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the core REST API behind 7 live utility client portals (58% of the v1 serving them today) and of its v2 successor (78%), now in production for the first tenant ahead of its cutover - and its operator: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rounds of external penetration testing </w:t>
      </w:r>
      <w:r>
        <w:t xml:space="preserve">- triaged 60 findings into severity-labelled batches (IDOR, unauthenticated endpoints, URL-borne tokens, client-side privilege checks, missing rate limits), then blocking Snyk gates and keyless OIDC deploys took long-lived AWS keys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two systems of record </w:t>
      </w:r>
      <w:r>
        <w:t xml:space="preserve">- a detection-only CCS/Invoice Cloud reconciler running four times daily in production as a scheduled Lambda, with per-tenant population queries, pre-flight link checks returning a reasoned verdict, and split-identity healing; it replaced the batch sync I built and retired.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flags moved from build-time env vars to a MongoDB-backed runtime reader with change-stream SSE push and fail-open on outage, wired into 6 v1 tenants' admin consoles and 4 customer portals and enabled per tenant behind a gate, with a flag manifest and parity tests guarding tenants still on compile-time flags.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(pg_advisory_xact_lock), fixed a duplicate-row race in a GraphQL sync resolver, blocked re-entrant AI generation calls, made optimistic cache creates idempotent by id, and reconciled stale polls that hid new rows.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a dead-pipe New Relic billing ~$176/month.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sessions); built AI Context Configuration - a per-strategy, per-user assistant response mode only a non-external strategy lead can choose, clamped on read and refused on write otherwise - plus help-centre retrieval.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retiring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