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1A237E"/>
          <w:sz w:val="44"/>
        </w:rPr>
        <w:t>Trabajo Práctico Grupal</w:t>
      </w:r>
    </w:p>
    <w:p>
      <w:pPr>
        <w:spacing w:after="40"/>
        <w:jc w:val="center"/>
      </w:pPr>
      <w:r>
        <w:rPr>
          <w:b/>
          <w:color w:val="455A64"/>
          <w:sz w:val="30"/>
        </w:rPr>
        <w:t>Aprendizaje Automático — Entrega Inicial</w:t>
      </w:r>
    </w:p>
    <w:tbl>
      <w:tblPr>
        <w:tblW w:type="auto" w:w="0"/>
        <w:jc w:val="center"/>
        <w:tblLook w:firstColumn="1" w:firstRow="1" w:lastColumn="0" w:lastRow="0" w:noHBand="0" w:noVBand="1" w:val="04A0"/>
      </w:tblPr>
      <w:tblGrid>
        <w:gridCol w:w="9236"/>
      </w:tblGrid>
      <w:tr>
        <w:tc>
          <w:tcPr>
            <w:tcW w:type="dxa" w:w="9236"/>
            <w:shd w:val="clear" w:color="auto" w:fill="1a237e"/>
          </w:tcPr>
          <w:p>
            <w:pPr>
              <w:spacing w:before="60" w:after="60"/>
            </w:pPr>
          </w:p>
        </w:tc>
      </w:tr>
    </w:tbl>
    <w:p/>
    <w:p>
      <w:pPr>
        <w:spacing w:after="40"/>
        <w:jc w:val="center"/>
      </w:pPr>
      <w:r>
        <w:rPr>
          <w:b/>
          <w:sz w:val="22"/>
        </w:rPr>
        <w:t xml:space="preserve">Institución: </w:t>
      </w:r>
      <w:r>
        <w:rPr>
          <w:sz w:val="22"/>
        </w:rPr>
        <w:t>Universidad Nacional de Rosario (UNR)</w:t>
      </w:r>
    </w:p>
    <w:p>
      <w:pPr>
        <w:spacing w:after="40"/>
        <w:jc w:val="center"/>
      </w:pPr>
      <w:r>
        <w:rPr>
          <w:b/>
          <w:sz w:val="22"/>
        </w:rPr>
        <w:t xml:space="preserve">Facultad: </w:t>
      </w:r>
      <w:r>
        <w:rPr>
          <w:sz w:val="22"/>
        </w:rPr>
        <w:t>Facultad de Ciencias Exactas, Ingeniería y Agrimensura (FCEIA)</w:t>
      </w:r>
    </w:p>
    <w:p>
      <w:pPr>
        <w:spacing w:after="40"/>
        <w:jc w:val="center"/>
      </w:pPr>
      <w:r>
        <w:rPr>
          <w:b/>
          <w:sz w:val="22"/>
        </w:rPr>
        <w:t xml:space="preserve">Materia: </w:t>
      </w:r>
      <w:r>
        <w:rPr>
          <w:sz w:val="22"/>
        </w:rPr>
        <w:t>Aprendizaje Automático</w:t>
      </w:r>
    </w:p>
    <w:p>
      <w:pPr>
        <w:spacing w:after="40"/>
        <w:jc w:val="center"/>
      </w:pPr>
      <w:r>
        <w:rPr>
          <w:b/>
          <w:sz w:val="22"/>
        </w:rPr>
        <w:t xml:space="preserve">Opción: </w:t>
      </w:r>
      <w:r>
        <w:rPr>
          <w:sz w:val="22"/>
        </w:rPr>
        <w:t>Opción 1 — Dataset real con modelo de regresión supervisada</w:t>
      </w:r>
    </w:p>
    <w:p>
      <w:pPr>
        <w:spacing w:after="40"/>
        <w:jc w:val="center"/>
      </w:pPr>
      <w:r>
        <w:rPr>
          <w:b/>
          <w:sz w:val="22"/>
        </w:rPr>
        <w:t xml:space="preserve">Fecha de entrega: </w:t>
      </w:r>
      <w:r>
        <w:rPr>
          <w:sz w:val="22"/>
        </w:rPr>
        <w:t>21 de mayo de 2026</w:t>
      </w:r>
    </w:p>
    <w:p/>
    <w:p>
      <w:r>
        <w:br w:type="page"/>
      </w:r>
    </w:p>
    <w:p>
      <w:pPr>
        <w:pStyle w:val="Heading1"/>
        <w:jc w:val="left"/>
      </w:pPr>
      <w:r>
        <w:rPr>
          <w:color w:val="1A237E"/>
        </w:rPr>
        <w:t>1. Contexto y Formulación del Problema</w:t>
      </w:r>
    </w:p>
    <w:p>
      <w:pPr>
        <w:spacing w:before="0" w:after="120"/>
        <w:jc w:val="both"/>
      </w:pPr>
      <w:r>
        <w:rPr>
          <w:b w:val="0"/>
          <w:i w:val="0"/>
          <w:sz w:val="22"/>
        </w:rPr>
        <w:t>El presente trabajo se enmarca en la Opción 1 de la consigna: disponemos de un dataset real obtenido de una fuente de datos abiertos del sector público argentino. El problema planteado consiste en predecir el precio internacional mensual del Oro (medido en USD por onza troy) para el período siguiente, transformando la serie temporal en un problema de regresión supervisada mediante la técnica de variables de rezago (lags).</w:t>
      </w:r>
    </w:p>
    <w:p>
      <w:pPr>
        <w:spacing w:before="0" w:after="80"/>
        <w:jc w:val="both"/>
      </w:pPr>
      <w:r>
        <w:rPr>
          <w:b w:val="0"/>
          <w:i w:val="0"/>
          <w:sz w:val="22"/>
        </w:rPr>
        <w:t>La elección del oro como activo a predecir responde a tres fundamentos concretos:</w:t>
      </w:r>
    </w:p>
    <w:p>
      <w:pPr>
        <w:pStyle w:val="ListBullet"/>
        <w:spacing w:after="60"/>
      </w:pPr>
      <w:r>
        <w:rPr>
          <w:sz w:val="22"/>
        </w:rPr>
        <w:t>Es un activo de refugio de relevancia económica global, cuya predicción tiene aplicaciones directas para inversores, analistas financieros y tomadores de decisiones de política monetaria.</w:t>
      </w:r>
    </w:p>
    <w:p>
      <w:pPr>
        <w:pStyle w:val="ListBullet"/>
        <w:spacing w:after="60"/>
      </w:pPr>
      <w:r>
        <w:rPr>
          <w:sz w:val="22"/>
        </w:rPr>
        <w:t>Cuenta con una serie histórica continua de 36 años (enero 1990 – abril 2026, 436 observaciones), un volumen favorable para el entrenamiento de modelos de Aprendizaje Automático.</w:t>
      </w:r>
    </w:p>
    <w:p>
      <w:pPr>
        <w:pStyle w:val="ListBullet"/>
        <w:spacing w:after="60"/>
      </w:pPr>
      <w:r>
        <w:rPr>
          <w:sz w:val="22"/>
        </w:rPr>
        <w:t>Presenta correlaciones estadísticamente significativas con otros minerales presentes en el dataset, lo que permite enriquecer el espacio de features más allá de los propios rezagos del oro.</w:t>
      </w:r>
    </w:p>
    <w:p/>
    <w:p>
      <w:pPr>
        <w:spacing w:before="0" w:after="160"/>
        <w:jc w:val="both"/>
      </w:pPr>
      <w:r>
        <w:rPr>
          <w:b w:val="0"/>
          <w:i w:val="0"/>
          <w:sz w:val="22"/>
        </w:rPr>
        <w:t>Tal como indicó la cátedra, Random Forest Regressor, SVR y XGBoost son modelos de regresión general y no específicos para series temporales. No obstante, pueden comportarse de manera adecuada cuando se realiza un preprocesamiento cuidadoso orientado a capturar la dependencia temporal — en particular, la construcción de variables de rezago —. Siguiendo el feedback recibido, el trabajo se centrará en la selección, entrenamiento y análisis exhaustivo de un único modelo, profundizando en el feature engineering temporal y la justificación de los resultados obtenidos.</w:t>
      </w:r>
    </w:p>
    <w:p>
      <w:pPr>
        <w:pStyle w:val="Heading1"/>
        <w:jc w:val="left"/>
      </w:pPr>
      <w:r>
        <w:rPr>
          <w:color w:val="1A237E"/>
        </w:rPr>
        <w:t>2. Descripción del Dataset</w:t>
      </w:r>
    </w:p>
    <w:p>
      <w:pPr>
        <w:pStyle w:val="Heading2"/>
        <w:jc w:val="left"/>
      </w:pPr>
      <w:r>
        <w:rPr>
          <w:color w:val="283593"/>
        </w:rPr>
        <w:t>2.1 Fuente y Características Generales</w:t>
      </w:r>
    </w:p>
    <w:p>
      <w:pPr>
        <w:spacing w:before="0" w:after="120"/>
        <w:jc w:val="both"/>
      </w:pPr>
      <w:r>
        <w:rPr>
          <w:b w:val="0"/>
          <w:i w:val="0"/>
          <w:sz w:val="22"/>
        </w:rPr>
        <w:t>El dataset original fue obtenido del portal de Datos Abiertos del Ministerio de Economía de la Nación Argentina (MECON), bajo el título "Precios internacionales de minerales". Se trata de un registro de cotizaciones mensuales de 12 commodities minerales desde enero de 1990 hasta abril de 2026.</w:t>
      </w:r>
    </w:p>
    <w:p>
      <w:pPr>
        <w:spacing w:before="0" w:after="160"/>
        <w:jc w:val="both"/>
      </w:pPr>
      <w:r>
        <w:rPr>
          <w:b/>
          <w:i w:val="0"/>
          <w:sz w:val="22"/>
        </w:rPr>
        <w:t xml:space="preserve">Enlace de acceso: </w:t>
      </w:r>
      <w:r>
        <w:rPr>
          <w:b w:val="0"/>
          <w:i/>
          <w:color w:val="1565C0"/>
          <w:sz w:val="22"/>
        </w:rPr>
        <w:t>https://datos.gob.ar/dataset/sspm-precios-internacionales-minerales</w:t>
      </w:r>
    </w:p>
    <w:p>
      <w:pPr>
        <w:pStyle w:val="Heading2"/>
        <w:jc w:val="left"/>
      </w:pPr>
      <w:r>
        <w:rPr>
          <w:color w:val="283593"/>
        </w:rPr>
        <w:t>2.2 Estructura del Dataset Original</w:t>
      </w:r>
    </w:p>
    <w:p>
      <w:pPr>
        <w:spacing w:before="0" w:after="120"/>
        <w:jc w:val="both"/>
      </w:pPr>
      <w:r>
        <w:rPr>
          <w:b w:val="0"/>
          <w:i w:val="0"/>
          <w:sz w:val="22"/>
        </w:rPr>
        <w:t>En su forma original, el dataset tiene estructura larga (long format): cada fila representa la cotización de un mineral en un mes determinado. La tabla a continuación describe cada columna:</w:t>
      </w:r>
    </w:p>
    <w:tbl>
      <w:tblPr>
        <w:tblStyle w:val="TableGrid"/>
        <w:tblW w:type="auto" w:w="0"/>
        <w:jc w:val="center"/>
        <w:tblLook w:firstColumn="1" w:firstRow="1" w:lastColumn="0" w:lastRow="0" w:noHBand="0" w:noVBand="1" w:val="04A0"/>
      </w:tblPr>
      <w:tblGrid>
        <w:gridCol w:w="3079"/>
        <w:gridCol w:w="3079"/>
        <w:gridCol w:w="3079"/>
      </w:tblGrid>
      <w:tr>
        <w:tc>
          <w:tcPr>
            <w:tcW w:type="dxa" w:w="2268"/>
            <w:shd w:val="clear" w:color="auto" w:fill="1a237e"/>
            <w:vAlign w:val="center"/>
          </w:tcPr>
          <w:p>
            <w:pPr>
              <w:jc w:val="center"/>
            </w:pPr>
            <w:r>
              <w:rPr>
                <w:b/>
                <w:color w:val="FFFFFF"/>
                <w:sz w:val="20"/>
              </w:rPr>
              <w:t>Columna Original</w:t>
            </w:r>
          </w:p>
        </w:tc>
        <w:tc>
          <w:tcPr>
            <w:tcW w:type="dxa" w:w="1984"/>
            <w:shd w:val="clear" w:color="auto" w:fill="1a237e"/>
            <w:vAlign w:val="center"/>
          </w:tcPr>
          <w:p>
            <w:pPr>
              <w:jc w:val="center"/>
            </w:pPr>
            <w:r>
              <w:rPr>
                <w:b/>
                <w:color w:val="FFFFFF"/>
                <w:sz w:val="20"/>
              </w:rPr>
              <w:t>Tipo de Dato</w:t>
            </w:r>
          </w:p>
        </w:tc>
        <w:tc>
          <w:tcPr>
            <w:tcW w:type="dxa" w:w="5102"/>
            <w:shd w:val="clear" w:color="auto" w:fill="1a237e"/>
            <w:vAlign w:val="center"/>
          </w:tcPr>
          <w:p>
            <w:pPr>
              <w:jc w:val="center"/>
            </w:pPr>
            <w:r>
              <w:rPr>
                <w:b/>
                <w:color w:val="FFFFFF"/>
                <w:sz w:val="20"/>
              </w:rPr>
              <w:t>Descripción</w:t>
            </w:r>
          </w:p>
        </w:tc>
      </w:tr>
      <w:tr>
        <w:tc>
          <w:tcPr>
            <w:tcW w:type="dxa" w:w="2268"/>
            <w:shd w:val="clear" w:color="auto" w:fill="e8eaf6"/>
          </w:tcPr>
          <w:p>
            <w:pPr>
              <w:jc w:val="center"/>
            </w:pPr>
            <w:r>
              <w:rPr>
                <w:sz w:val="20"/>
              </w:rPr>
              <w:t>Año</w:t>
            </w:r>
          </w:p>
        </w:tc>
        <w:tc>
          <w:tcPr>
            <w:tcW w:type="dxa" w:w="1984"/>
            <w:shd w:val="clear" w:color="auto" w:fill="e8eaf6"/>
          </w:tcPr>
          <w:p>
            <w:pPr>
              <w:jc w:val="center"/>
            </w:pPr>
            <w:r>
              <w:rPr>
                <w:sz w:val="20"/>
              </w:rPr>
              <w:t>int64</w:t>
            </w:r>
          </w:p>
        </w:tc>
        <w:tc>
          <w:tcPr>
            <w:tcW w:type="dxa" w:w="5102"/>
            <w:shd w:val="clear" w:color="auto" w:fill="e8eaf6"/>
          </w:tcPr>
          <w:p>
            <w:pPr>
              <w:jc w:val="center"/>
            </w:pPr>
            <w:r>
              <w:rPr>
                <w:sz w:val="20"/>
              </w:rPr>
              <w:t>Año de la observación (rango: 1990 – 2026).</w:t>
            </w:r>
          </w:p>
        </w:tc>
      </w:tr>
      <w:tr>
        <w:tc>
          <w:tcPr>
            <w:tcW w:type="dxa" w:w="2268"/>
            <w:shd w:val="clear" w:color="auto" w:fill="ffffff"/>
          </w:tcPr>
          <w:p>
            <w:pPr>
              <w:jc w:val="center"/>
            </w:pPr>
            <w:r>
              <w:rPr>
                <w:sz w:val="20"/>
              </w:rPr>
              <w:t>Mes</w:t>
            </w:r>
          </w:p>
        </w:tc>
        <w:tc>
          <w:tcPr>
            <w:tcW w:type="dxa" w:w="1984"/>
            <w:shd w:val="clear" w:color="auto" w:fill="ffffff"/>
          </w:tcPr>
          <w:p>
            <w:pPr>
              <w:jc w:val="center"/>
            </w:pPr>
            <w:r>
              <w:rPr>
                <w:sz w:val="20"/>
              </w:rPr>
              <w:t>int64</w:t>
            </w:r>
          </w:p>
        </w:tc>
        <w:tc>
          <w:tcPr>
            <w:tcW w:type="dxa" w:w="5102"/>
            <w:shd w:val="clear" w:color="auto" w:fill="ffffff"/>
          </w:tcPr>
          <w:p>
            <w:pPr>
              <w:jc w:val="center"/>
            </w:pPr>
            <w:r>
              <w:rPr>
                <w:sz w:val="20"/>
              </w:rPr>
              <w:t>Mes de la observación (rango: 1 – 12).</w:t>
            </w:r>
          </w:p>
        </w:tc>
      </w:tr>
      <w:tr>
        <w:tc>
          <w:tcPr>
            <w:tcW w:type="dxa" w:w="2268"/>
            <w:shd w:val="clear" w:color="auto" w:fill="e8eaf6"/>
          </w:tcPr>
          <w:p>
            <w:pPr>
              <w:jc w:val="center"/>
            </w:pPr>
            <w:r>
              <w:rPr>
                <w:sz w:val="20"/>
              </w:rPr>
              <w:t>Fecha</w:t>
            </w:r>
          </w:p>
        </w:tc>
        <w:tc>
          <w:tcPr>
            <w:tcW w:type="dxa" w:w="1984"/>
            <w:shd w:val="clear" w:color="auto" w:fill="e8eaf6"/>
          </w:tcPr>
          <w:p>
            <w:pPr>
              <w:jc w:val="center"/>
            </w:pPr>
            <w:r>
              <w:rPr>
                <w:sz w:val="20"/>
              </w:rPr>
              <w:t>object (string)</w:t>
            </w:r>
          </w:p>
        </w:tc>
        <w:tc>
          <w:tcPr>
            <w:tcW w:type="dxa" w:w="5102"/>
            <w:shd w:val="clear" w:color="auto" w:fill="e8eaf6"/>
          </w:tcPr>
          <w:p>
            <w:pPr>
              <w:jc w:val="center"/>
            </w:pPr>
            <w:r>
              <w:rPr>
                <w:sz w:val="20"/>
              </w:rPr>
              <w:t>Identificador temporal en formato YYYYMMM (ej. 2023M05).</w:t>
            </w:r>
          </w:p>
        </w:tc>
      </w:tr>
      <w:tr>
        <w:tc>
          <w:tcPr>
            <w:tcW w:type="dxa" w:w="2268"/>
            <w:shd w:val="clear" w:color="auto" w:fill="ffffff"/>
          </w:tcPr>
          <w:p>
            <w:pPr>
              <w:jc w:val="center"/>
            </w:pPr>
            <w:r>
              <w:rPr>
                <w:sz w:val="20"/>
              </w:rPr>
              <w:t>Precio</w:t>
            </w:r>
          </w:p>
        </w:tc>
        <w:tc>
          <w:tcPr>
            <w:tcW w:type="dxa" w:w="1984"/>
            <w:shd w:val="clear" w:color="auto" w:fill="ffffff"/>
          </w:tcPr>
          <w:p>
            <w:pPr>
              <w:jc w:val="center"/>
            </w:pPr>
            <w:r>
              <w:rPr>
                <w:sz w:val="20"/>
              </w:rPr>
              <w:t>float64</w:t>
            </w:r>
          </w:p>
        </w:tc>
        <w:tc>
          <w:tcPr>
            <w:tcW w:type="dxa" w:w="5102"/>
            <w:shd w:val="clear" w:color="auto" w:fill="ffffff"/>
          </w:tcPr>
          <w:p>
            <w:pPr>
              <w:jc w:val="center"/>
            </w:pPr>
            <w:r>
              <w:rPr>
                <w:sz w:val="20"/>
              </w:rPr>
              <w:t>Valor internacional mensual del mineral (en la unidad indicada).</w:t>
            </w:r>
          </w:p>
        </w:tc>
      </w:tr>
      <w:tr>
        <w:tc>
          <w:tcPr>
            <w:tcW w:type="dxa" w:w="2268"/>
            <w:shd w:val="clear" w:color="auto" w:fill="e8eaf6"/>
          </w:tcPr>
          <w:p>
            <w:pPr>
              <w:jc w:val="center"/>
            </w:pPr>
            <w:r>
              <w:rPr>
                <w:sz w:val="20"/>
              </w:rPr>
              <w:t>Mineral</w:t>
            </w:r>
          </w:p>
        </w:tc>
        <w:tc>
          <w:tcPr>
            <w:tcW w:type="dxa" w:w="1984"/>
            <w:shd w:val="clear" w:color="auto" w:fill="e8eaf6"/>
          </w:tcPr>
          <w:p>
            <w:pPr>
              <w:jc w:val="center"/>
            </w:pPr>
            <w:r>
              <w:rPr>
                <w:sz w:val="20"/>
              </w:rPr>
              <w:t>object (string)</w:t>
            </w:r>
          </w:p>
        </w:tc>
        <w:tc>
          <w:tcPr>
            <w:tcW w:type="dxa" w:w="5102"/>
            <w:shd w:val="clear" w:color="auto" w:fill="e8eaf6"/>
          </w:tcPr>
          <w:p>
            <w:pPr>
              <w:jc w:val="center"/>
            </w:pPr>
            <w:r>
              <w:rPr>
                <w:sz w:val="20"/>
              </w:rPr>
              <w:t>Nombre del commodity evaluado (12 categorías distintas).</w:t>
            </w:r>
          </w:p>
        </w:tc>
      </w:tr>
      <w:tr>
        <w:tc>
          <w:tcPr>
            <w:tcW w:type="dxa" w:w="2268"/>
            <w:shd w:val="clear" w:color="auto" w:fill="ffffff"/>
          </w:tcPr>
          <w:p>
            <w:pPr>
              <w:jc w:val="center"/>
            </w:pPr>
            <w:r>
              <w:rPr>
                <w:sz w:val="20"/>
              </w:rPr>
              <w:t>Unidad de medida</w:t>
            </w:r>
          </w:p>
        </w:tc>
        <w:tc>
          <w:tcPr>
            <w:tcW w:type="dxa" w:w="1984"/>
            <w:shd w:val="clear" w:color="auto" w:fill="ffffff"/>
          </w:tcPr>
          <w:p>
            <w:pPr>
              <w:jc w:val="center"/>
            </w:pPr>
            <w:r>
              <w:rPr>
                <w:sz w:val="20"/>
              </w:rPr>
              <w:t>object (string)</w:t>
            </w:r>
          </w:p>
        </w:tc>
        <w:tc>
          <w:tcPr>
            <w:tcW w:type="dxa" w:w="5102"/>
            <w:shd w:val="clear" w:color="auto" w:fill="ffffff"/>
          </w:tcPr>
          <w:p>
            <w:pPr>
              <w:jc w:val="center"/>
            </w:pPr>
            <w:r>
              <w:rPr>
                <w:sz w:val="20"/>
              </w:rPr>
              <w:t>Unidad monetaria y de masa (ej. USD/troy oz, USDT/TM).</w:t>
            </w:r>
          </w:p>
        </w:tc>
      </w:tr>
      <w:tr>
        <w:tc>
          <w:tcPr>
            <w:tcW w:type="dxa" w:w="2268"/>
            <w:shd w:val="clear" w:color="auto" w:fill="e8eaf6"/>
          </w:tcPr>
          <w:p>
            <w:pPr>
              <w:jc w:val="center"/>
            </w:pPr>
            <w:r>
              <w:rPr>
                <w:sz w:val="20"/>
              </w:rPr>
              <w:t>Numero Índice</w:t>
            </w:r>
          </w:p>
        </w:tc>
        <w:tc>
          <w:tcPr>
            <w:tcW w:type="dxa" w:w="1984"/>
            <w:shd w:val="clear" w:color="auto" w:fill="e8eaf6"/>
          </w:tcPr>
          <w:p>
            <w:pPr>
              <w:jc w:val="center"/>
            </w:pPr>
            <w:r>
              <w:rPr>
                <w:sz w:val="20"/>
              </w:rPr>
              <w:t>float64</w:t>
            </w:r>
          </w:p>
        </w:tc>
        <w:tc>
          <w:tcPr>
            <w:tcW w:type="dxa" w:w="5102"/>
            <w:shd w:val="clear" w:color="auto" w:fill="e8eaf6"/>
          </w:tcPr>
          <w:p>
            <w:pPr>
              <w:jc w:val="center"/>
            </w:pPr>
            <w:r>
              <w:rPr>
                <w:sz w:val="20"/>
              </w:rPr>
              <w:t>Índice de precios normalizado respecto a un período base.</w:t>
            </w:r>
          </w:p>
        </w:tc>
      </w:tr>
    </w:tbl>
    <w:p/>
    <w:p>
      <w:pPr>
        <w:spacing w:before="0" w:after="160"/>
        <w:jc w:val="both"/>
      </w:pPr>
      <w:r>
        <w:rPr>
          <w:b w:val="0"/>
          <w:i w:val="0"/>
          <w:sz w:val="22"/>
        </w:rPr>
        <w:t>El dataset contiene un total de 4.886 observaciones y 7 columnas, correspondientes a 12 minerales con series de 436 meses cada una (a excepción del Carbonato de Litio, disponible solo desde 2018).</w:t>
      </w:r>
    </w:p>
    <w:p>
      <w:pPr>
        <w:pStyle w:val="Heading2"/>
        <w:jc w:val="left"/>
      </w:pPr>
      <w:r>
        <w:rPr>
          <w:color w:val="283593"/>
        </w:rPr>
        <w:t>2.3 Variables Seleccionadas para el Modelado</w:t>
      </w:r>
    </w:p>
    <w:p>
      <w:pPr>
        <w:spacing w:before="0" w:after="80"/>
        <w:jc w:val="both"/>
      </w:pPr>
      <w:r>
        <w:rPr>
          <w:b w:val="0"/>
          <w:i w:val="0"/>
          <w:sz w:val="22"/>
        </w:rPr>
        <w:t>A partir del dataset original, se filtraron y trabajaron únicamente los tres minerales pertinentes al problema. La selección fue guiada por dos análisis estadísticos complementarios:</w:t>
      </w:r>
    </w:p>
    <w:p>
      <w:pPr>
        <w:pStyle w:val="ListBullet"/>
        <w:spacing w:after="60"/>
      </w:pPr>
      <w:r>
        <w:rPr>
          <w:b/>
          <w:sz w:val="22"/>
        </w:rPr>
        <w:t xml:space="preserve">(i) </w:t>
      </w:r>
      <w:r>
        <w:rPr>
          <w:sz w:val="22"/>
        </w:rPr>
        <w:t>Correlación de Pearson:</w:t>
      </w:r>
    </w:p>
    <w:p>
      <w:pPr>
        <w:spacing w:before="0" w:after="80"/>
        <w:jc w:val="both"/>
      </w:pPr>
      <w:r>
        <w:rPr>
          <w:b w:val="0"/>
          <w:i w:val="0"/>
          <w:sz w:val="22"/>
        </w:rPr>
        <w:t>Mide la asociación lineal entre el precio de cada mineral y el precio del oro. Una correlación alta indica que ambas series se mueven conjuntamente en el tiempo.</w:t>
      </w:r>
    </w:p>
    <w:p>
      <w:pPr>
        <w:pStyle w:val="ListBullet"/>
        <w:spacing w:after="60"/>
      </w:pPr>
      <w:r>
        <w:rPr>
          <w:b/>
          <w:sz w:val="22"/>
        </w:rPr>
        <w:t xml:space="preserve">(ii) </w:t>
      </w:r>
      <w:r>
        <w:rPr>
          <w:sz w:val="22"/>
        </w:rPr>
        <w:t>Test de Causalidad de Granger:</w:t>
      </w:r>
    </w:p>
    <w:p>
      <w:pPr>
        <w:spacing w:before="0" w:after="160"/>
        <w:jc w:val="both"/>
      </w:pPr>
      <w:r>
        <w:rPr>
          <w:b w:val="0"/>
          <w:i w:val="0"/>
          <w:sz w:val="22"/>
        </w:rPr>
        <w:t>Verifica si los valores pasados de un mineral contienen información estadísticamente útil para predecir el precio futuro del oro, más allá de lo que el propio oro predice por sí solo. Es la prueba clave para justificar la inclusión de una variable exógena en el modelo.</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1984"/>
            <w:shd w:val="clear" w:color="auto" w:fill="1a237e"/>
            <w:vAlign w:val="center"/>
          </w:tcPr>
          <w:p>
            <w:pPr>
              <w:jc w:val="center"/>
            </w:pPr>
            <w:r>
              <w:rPr>
                <w:b/>
                <w:color w:val="FFFFFF"/>
                <w:sz w:val="20"/>
              </w:rPr>
              <w:t>Mineral</w:t>
            </w:r>
          </w:p>
        </w:tc>
        <w:tc>
          <w:tcPr>
            <w:tcW w:type="dxa" w:w="2551"/>
            <w:shd w:val="clear" w:color="auto" w:fill="1a237e"/>
            <w:vAlign w:val="center"/>
          </w:tcPr>
          <w:p>
            <w:pPr>
              <w:jc w:val="center"/>
            </w:pPr>
            <w:r>
              <w:rPr>
                <w:b/>
                <w:color w:val="FFFFFF"/>
                <w:sz w:val="20"/>
              </w:rPr>
              <w:t>Correlación de Pearson (con Oro)</w:t>
            </w:r>
          </w:p>
        </w:tc>
        <w:tc>
          <w:tcPr>
            <w:tcW w:type="dxa" w:w="3685"/>
            <w:shd w:val="clear" w:color="auto" w:fill="1a237e"/>
            <w:vAlign w:val="center"/>
          </w:tcPr>
          <w:p>
            <w:pPr>
              <w:jc w:val="center"/>
            </w:pPr>
            <w:r>
              <w:rPr>
                <w:b/>
                <w:color w:val="FFFFFF"/>
                <w:sz w:val="20"/>
              </w:rPr>
              <w:t>Causalidad de Granger</w:t>
            </w:r>
          </w:p>
        </w:tc>
        <w:tc>
          <w:tcPr>
            <w:tcW w:type="dxa" w:w="1417"/>
            <w:shd w:val="clear" w:color="auto" w:fill="1a237e"/>
            <w:vAlign w:val="center"/>
          </w:tcPr>
          <w:p>
            <w:pPr>
              <w:jc w:val="center"/>
            </w:pPr>
            <w:r>
              <w:rPr>
                <w:b/>
                <w:color w:val="FFFFFF"/>
                <w:sz w:val="20"/>
              </w:rPr>
              <w:t>Decisión</w:t>
            </w:r>
          </w:p>
        </w:tc>
      </w:tr>
      <w:tr>
        <w:tc>
          <w:tcPr>
            <w:tcW w:type="dxa" w:w="1984"/>
            <w:shd w:val="clear" w:color="auto" w:fill="e8eaf6"/>
          </w:tcPr>
          <w:p>
            <w:pPr>
              <w:jc w:val="center"/>
            </w:pPr>
            <w:r>
              <w:rPr>
                <w:sz w:val="20"/>
              </w:rPr>
              <w:t>Plata (Ag)</w:t>
            </w:r>
          </w:p>
        </w:tc>
        <w:tc>
          <w:tcPr>
            <w:tcW w:type="dxa" w:w="2551"/>
            <w:shd w:val="clear" w:color="auto" w:fill="e8eaf6"/>
          </w:tcPr>
          <w:p>
            <w:pPr>
              <w:jc w:val="center"/>
            </w:pPr>
            <w:r>
              <w:rPr>
                <w:sz w:val="20"/>
              </w:rPr>
              <w:t>0.94 (muy alta)</w:t>
            </w:r>
          </w:p>
        </w:tc>
        <w:tc>
          <w:tcPr>
            <w:tcW w:type="dxa" w:w="3685"/>
            <w:shd w:val="clear" w:color="auto" w:fill="e8eaf6"/>
          </w:tcPr>
          <w:p>
            <w:pPr>
              <w:jc w:val="center"/>
            </w:pPr>
            <w:r>
              <w:rPr>
                <w:sz w:val="20"/>
              </w:rPr>
              <w:t>Significativa en todos los lags evaluados (p &lt; 0.001)</w:t>
            </w:r>
          </w:p>
        </w:tc>
        <w:tc>
          <w:tcPr>
            <w:tcW w:type="dxa" w:w="1417"/>
            <w:shd w:val="clear" w:color="auto" w:fill="e8eaf6"/>
          </w:tcPr>
          <w:p>
            <w:pPr>
              <w:jc w:val="center"/>
            </w:pPr>
            <w:r>
              <w:rPr>
                <w:sz w:val="20"/>
              </w:rPr>
              <w:t>✅ Incluida</w:t>
            </w:r>
          </w:p>
        </w:tc>
      </w:tr>
      <w:tr>
        <w:tc>
          <w:tcPr>
            <w:tcW w:type="dxa" w:w="1984"/>
            <w:shd w:val="clear" w:color="auto" w:fill="ffffff"/>
          </w:tcPr>
          <w:p>
            <w:pPr>
              <w:jc w:val="center"/>
            </w:pPr>
            <w:r>
              <w:rPr>
                <w:sz w:val="20"/>
              </w:rPr>
              <w:t>Platino (Pt)</w:t>
            </w:r>
          </w:p>
        </w:tc>
        <w:tc>
          <w:tcPr>
            <w:tcW w:type="dxa" w:w="2551"/>
            <w:shd w:val="clear" w:color="auto" w:fill="ffffff"/>
          </w:tcPr>
          <w:p>
            <w:pPr>
              <w:jc w:val="center"/>
            </w:pPr>
            <w:r>
              <w:rPr>
                <w:sz w:val="20"/>
              </w:rPr>
              <w:t>Alta</w:t>
            </w:r>
          </w:p>
        </w:tc>
        <w:tc>
          <w:tcPr>
            <w:tcW w:type="dxa" w:w="3685"/>
            <w:shd w:val="clear" w:color="auto" w:fill="ffffff"/>
          </w:tcPr>
          <w:p>
            <w:pPr>
              <w:jc w:val="center"/>
            </w:pPr>
            <w:r>
              <w:rPr>
                <w:sz w:val="20"/>
              </w:rPr>
              <w:t>Significativa en lags 1, 2 y 3 (p &lt; 0.05)</w:t>
            </w:r>
          </w:p>
        </w:tc>
        <w:tc>
          <w:tcPr>
            <w:tcW w:type="dxa" w:w="1417"/>
            <w:shd w:val="clear" w:color="auto" w:fill="ffffff"/>
          </w:tcPr>
          <w:p>
            <w:pPr>
              <w:jc w:val="center"/>
            </w:pPr>
            <w:r>
              <w:rPr>
                <w:sz w:val="20"/>
              </w:rPr>
              <w:t>✅ Incluida</w:t>
            </w:r>
          </w:p>
        </w:tc>
      </w:tr>
      <w:tr>
        <w:tc>
          <w:tcPr>
            <w:tcW w:type="dxa" w:w="1984"/>
            <w:shd w:val="clear" w:color="auto" w:fill="e8eaf6"/>
          </w:tcPr>
          <w:p>
            <w:pPr>
              <w:jc w:val="center"/>
            </w:pPr>
            <w:r>
              <w:rPr>
                <w:sz w:val="20"/>
              </w:rPr>
              <w:t>Níquel</w:t>
            </w:r>
          </w:p>
        </w:tc>
        <w:tc>
          <w:tcPr>
            <w:tcW w:type="dxa" w:w="2551"/>
            <w:shd w:val="clear" w:color="auto" w:fill="e8eaf6"/>
          </w:tcPr>
          <w:p>
            <w:pPr>
              <w:jc w:val="center"/>
            </w:pPr>
            <w:r>
              <w:rPr>
                <w:sz w:val="20"/>
              </w:rPr>
              <w:t>Moderada</w:t>
            </w:r>
          </w:p>
        </w:tc>
        <w:tc>
          <w:tcPr>
            <w:tcW w:type="dxa" w:w="3685"/>
            <w:shd w:val="clear" w:color="auto" w:fill="e8eaf6"/>
          </w:tcPr>
          <w:p>
            <w:pPr>
              <w:jc w:val="center"/>
            </w:pPr>
            <w:r>
              <w:rPr>
                <w:sz w:val="20"/>
              </w:rPr>
              <w:t>No significativa de forma consistente</w:t>
            </w:r>
          </w:p>
        </w:tc>
        <w:tc>
          <w:tcPr>
            <w:tcW w:type="dxa" w:w="1417"/>
            <w:shd w:val="clear" w:color="auto" w:fill="e8eaf6"/>
          </w:tcPr>
          <w:p>
            <w:pPr>
              <w:jc w:val="center"/>
            </w:pPr>
            <w:r>
              <w:rPr>
                <w:sz w:val="20"/>
              </w:rPr>
              <w:t>❌ Descartado</w:t>
            </w:r>
          </w:p>
        </w:tc>
      </w:tr>
      <w:tr>
        <w:tc>
          <w:tcPr>
            <w:tcW w:type="dxa" w:w="1984"/>
            <w:shd w:val="clear" w:color="auto" w:fill="ffffff"/>
          </w:tcPr>
          <w:p>
            <w:pPr>
              <w:jc w:val="center"/>
            </w:pPr>
            <w:r>
              <w:rPr>
                <w:sz w:val="20"/>
              </w:rPr>
              <w:t>Cobre (Cu)</w:t>
            </w:r>
          </w:p>
        </w:tc>
        <w:tc>
          <w:tcPr>
            <w:tcW w:type="dxa" w:w="2551"/>
            <w:shd w:val="clear" w:color="auto" w:fill="ffffff"/>
          </w:tcPr>
          <w:p>
            <w:pPr>
              <w:jc w:val="center"/>
            </w:pPr>
            <w:r>
              <w:rPr>
                <w:sz w:val="20"/>
              </w:rPr>
              <w:t>Moderada</w:t>
            </w:r>
          </w:p>
        </w:tc>
        <w:tc>
          <w:tcPr>
            <w:tcW w:type="dxa" w:w="3685"/>
            <w:shd w:val="clear" w:color="auto" w:fill="ffffff"/>
          </w:tcPr>
          <w:p>
            <w:pPr>
              <w:jc w:val="center"/>
            </w:pPr>
            <w:r>
              <w:rPr>
                <w:sz w:val="20"/>
              </w:rPr>
              <w:t>No significativa de forma consistente</w:t>
            </w:r>
          </w:p>
        </w:tc>
        <w:tc>
          <w:tcPr>
            <w:tcW w:type="dxa" w:w="1417"/>
            <w:shd w:val="clear" w:color="auto" w:fill="ffffff"/>
          </w:tcPr>
          <w:p>
            <w:pPr>
              <w:jc w:val="center"/>
            </w:pPr>
            <w:r>
              <w:rPr>
                <w:sz w:val="20"/>
              </w:rPr>
              <w:t>❌ Descartado</w:t>
            </w:r>
          </w:p>
        </w:tc>
      </w:tr>
    </w:tbl>
    <w:p/>
    <w:p>
      <w:pPr>
        <w:pStyle w:val="Heading2"/>
        <w:jc w:val="left"/>
      </w:pPr>
      <w:r>
        <w:rPr>
          <w:color w:val="283593"/>
        </w:rPr>
        <w:t>2.4 Semántica de las Variables del Modelo</w:t>
      </w:r>
    </w:p>
    <w:p>
      <w:pPr>
        <w:spacing w:before="0" w:after="120"/>
        <w:jc w:val="both"/>
      </w:pPr>
      <w:r>
        <w:rPr>
          <w:b w:val="0"/>
          <w:i w:val="0"/>
          <w:sz w:val="22"/>
        </w:rPr>
        <w:t>Una vez definido el enfoque de series temporales supervisadas mediante lags, las variables del modelo quedan definidas de la siguiente manera:</w:t>
      </w:r>
    </w:p>
    <w:p>
      <w:pPr>
        <w:spacing w:before="0" w:after="120"/>
        <w:jc w:val="both"/>
      </w:pPr>
      <w:r>
        <w:rPr>
          <w:b/>
          <w:i w:val="0"/>
          <w:color w:val="1A237E"/>
          <w:sz w:val="22"/>
        </w:rPr>
        <w:t>Variable Objetivo (Target):</w:t>
      </w:r>
      <w:r>
        <w:rPr>
          <w:b w:val="0"/>
          <w:i w:val="0"/>
          <w:sz w:val="22"/>
        </w:rPr>
        <w:t xml:space="preserve"> Precio del Oro (Au) en USD/troy oz del mes </w:t>
      </w:r>
      <w:r>
        <w:rPr>
          <w:b w:val="0"/>
          <w:i/>
          <w:sz w:val="22"/>
        </w:rPr>
        <w:t>t+1</w:t>
      </w:r>
      <w:r>
        <w:rPr>
          <w:b w:val="0"/>
          <w:i w:val="0"/>
          <w:sz w:val="22"/>
        </w:rPr>
        <w:t xml:space="preserve"> (predicción del mes siguiente).</w:t>
      </w:r>
    </w:p>
    <w:p/>
    <w:p>
      <w:pPr>
        <w:spacing w:before="0" w:after="60"/>
        <w:jc w:val="both"/>
      </w:pPr>
      <w:r>
        <w:rPr>
          <w:b/>
          <w:i w:val="0"/>
          <w:color w:val="1A237E"/>
          <w:sz w:val="22"/>
        </w:rPr>
        <w:t>Variables Predictoras (Features):</w:t>
      </w:r>
    </w:p>
    <w:p>
      <w:pPr>
        <w:pStyle w:val="ListBullet"/>
        <w:spacing w:after="60"/>
      </w:pPr>
      <w:r>
        <w:rPr>
          <w:b/>
          <w:sz w:val="22"/>
        </w:rPr>
        <w:t xml:space="preserve">Lags propios — </w:t>
      </w:r>
      <w:r>
        <w:rPr>
          <w:sz w:val="22"/>
        </w:rPr>
        <w:t>Rezagos del precio del Oro (Au): precio en los meses t-1, t-2, ..., t-k.</w:t>
      </w:r>
    </w:p>
    <w:p>
      <w:pPr>
        <w:pStyle w:val="ListBullet"/>
        <w:spacing w:after="60"/>
      </w:pPr>
      <w:r>
        <w:rPr>
          <w:b/>
          <w:sz w:val="22"/>
        </w:rPr>
        <w:t xml:space="preserve">Lags de Plata — </w:t>
      </w:r>
      <w:r>
        <w:rPr>
          <w:sz w:val="22"/>
        </w:rPr>
        <w:t>Rezagos del precio de la Plata (Ag): meses previos relevantes según el análisis de Granger.</w:t>
      </w:r>
    </w:p>
    <w:p>
      <w:pPr>
        <w:pStyle w:val="ListBullet"/>
        <w:spacing w:after="60"/>
      </w:pPr>
      <w:r>
        <w:rPr>
          <w:b/>
          <w:sz w:val="22"/>
        </w:rPr>
        <w:t xml:space="preserve">Lags de Platino — </w:t>
      </w:r>
      <w:r>
        <w:rPr>
          <w:sz w:val="22"/>
        </w:rPr>
        <w:t>Rezagos del precio del Platino (Pt): meses t-1, t-2 y t-3, donde se verificó significancia estadística.</w:t>
      </w:r>
    </w:p>
    <w:p/>
    <w:tbl>
      <w:tblPr>
        <w:tblW w:type="auto" w:w="0"/>
        <w:jc w:val="center"/>
        <w:tblLook w:firstColumn="1" w:firstRow="1" w:lastColumn="0" w:lastRow="0" w:noHBand="0" w:noVBand="1" w:val="04A0"/>
      </w:tblPr>
      <w:tblGrid>
        <w:gridCol w:w="9236"/>
      </w:tblGrid>
      <w:tr>
        <w:tc>
          <w:tcPr>
            <w:tcW w:type="dxa" w:w="9236"/>
            <w:shd w:val="clear" w:color="auto" w:fill="fff8e1"/>
            <w:tcBorders>
              <w:top w:val="single" w:sz="6" w:space="0" w:color="f57f17"/>
              <w:bottom w:val="single" w:sz="6" w:space="0" w:color="f57f17"/>
              <w:left w:val="single" w:sz="6" w:space="0" w:color="f57f17"/>
              <w:right w:val="single" w:sz="6" w:space="0" w:color="f57f17"/>
            </w:tcBorders>
          </w:tcPr>
          <w:p>
            <w:pPr>
              <w:spacing w:before="80" w:after="80"/>
              <w:jc w:val="both"/>
            </w:pPr>
            <w:r>
              <w:rPr>
                <w:i/>
                <w:sz w:val="20"/>
              </w:rPr>
              <w:t>📌  Nota metodológica: La cantidad exacta de lags a incluir (ventana óptima k) se determinará en la siguiente etapa mediante análisis de autocorrelación (ACF/PACF) y validación cruzada temporal (Time Series Split), evitando el data leakage.</w:t>
            </w:r>
          </w:p>
        </w:tc>
      </w:tr>
    </w:tbl>
    <w:p/>
    <w:p>
      <w:pPr>
        <w:pStyle w:val="Heading1"/>
        <w:jc w:val="left"/>
      </w:pPr>
      <w:r>
        <w:rPr>
          <w:color w:val="1A237E"/>
        </w:rPr>
        <w:t>3. Tareas de Limpieza y Análisis Exploratorio</w:t>
      </w:r>
    </w:p>
    <w:p>
      <w:pPr>
        <w:spacing w:before="0" w:after="160"/>
        <w:jc w:val="both"/>
      </w:pPr>
      <w:r>
        <w:rPr>
          <w:b w:val="0"/>
          <w:i w:val="0"/>
          <w:sz w:val="22"/>
        </w:rPr>
        <w:t>Previo a la estructuración como problema supervisado, se ejecutaron las siguientes tareas de auditoría y limpieza sobre el dataset original mediante una libreta de Jupyter Notebook (TP_Aprendizaje_Automático.ipynb):</w:t>
      </w:r>
    </w:p>
    <w:p>
      <w:pPr>
        <w:pStyle w:val="Heading2"/>
        <w:jc w:val="left"/>
      </w:pPr>
      <w:r>
        <w:rPr>
          <w:color w:val="283593"/>
        </w:rPr>
        <w:t>3.1 Verificación de Nulos y Duplicados</w:t>
      </w:r>
    </w:p>
    <w:p>
      <w:pPr>
        <w:spacing w:before="0" w:after="80"/>
        <w:jc w:val="both"/>
      </w:pPr>
      <w:r>
        <w:rPr>
          <w:b w:val="0"/>
          <w:i w:val="0"/>
          <w:sz w:val="22"/>
        </w:rPr>
        <w:t>Se auditó la matriz completa (4.886 observaciones × 7 columnas). El resultado fue:</w:t>
      </w:r>
    </w:p>
    <w:p>
      <w:pPr>
        <w:pStyle w:val="ListBullet"/>
        <w:spacing w:after="60"/>
      </w:pPr>
      <w:r>
        <w:rPr>
          <w:b/>
          <w:sz w:val="22"/>
        </w:rPr>
        <w:t xml:space="preserve">✅ </w:t>
      </w:r>
      <w:r>
        <w:rPr>
          <w:sz w:val="22"/>
        </w:rPr>
        <w:t>Valores nulos (missing values): 0 detectados en todas las columnas.</w:t>
      </w:r>
    </w:p>
    <w:p>
      <w:pPr>
        <w:pStyle w:val="ListBullet"/>
        <w:spacing w:after="60"/>
      </w:pPr>
      <w:r>
        <w:rPr>
          <w:b/>
          <w:sz w:val="22"/>
        </w:rPr>
        <w:t xml:space="preserve">✅ </w:t>
      </w:r>
      <w:r>
        <w:rPr>
          <w:sz w:val="22"/>
        </w:rPr>
        <w:t>Filas duplicadas: 0 detectadas.</w:t>
      </w:r>
    </w:p>
    <w:p>
      <w:pPr>
        <w:pStyle w:val="ListBullet"/>
        <w:spacing w:after="60"/>
      </w:pPr>
      <w:r>
        <w:rPr>
          <w:b/>
          <w:sz w:val="22"/>
        </w:rPr>
        <w:t xml:space="preserve">✅ </w:t>
      </w:r>
      <w:r>
        <w:rPr>
          <w:sz w:val="22"/>
        </w:rPr>
        <w:t>Tipo de dato de cada columna: consistente y acorde a su semántica.</w:t>
      </w:r>
    </w:p>
    <w:p>
      <w:pPr>
        <w:spacing w:before="0" w:after="160"/>
        <w:jc w:val="both"/>
      </w:pPr>
      <w:r>
        <w:rPr>
          <w:b w:val="0"/>
          <w:i w:val="0"/>
          <w:sz w:val="22"/>
        </w:rPr>
        <w:t>La ausencia de valores faltantes elimina la necesidad de aplicar técnicas de imputación, lo que simplifica el pipeline de preprocesamiento y evita introducir sesgos artificiales en la serie.</w:t>
      </w:r>
    </w:p>
    <w:p>
      <w:pPr>
        <w:pStyle w:val="Heading2"/>
        <w:jc w:val="left"/>
      </w:pPr>
      <w:r>
        <w:rPr>
          <w:color w:val="283593"/>
        </w:rPr>
        <w:t>3.2 Control de Continuidad Temporal</w:t>
      </w:r>
    </w:p>
    <w:p>
      <w:pPr>
        <w:spacing w:before="0" w:after="120"/>
        <w:jc w:val="both"/>
      </w:pPr>
      <w:r>
        <w:rPr>
          <w:b w:val="0"/>
          <w:i w:val="0"/>
          <w:sz w:val="22"/>
        </w:rPr>
        <w:t>Al tratarse de un problema de predicción de series temporales, la continuidad de la secuencia mensual es un requisito crítico: la presencia de saltos temporales invalidaría los rezagos calculados como features. Se implementó un algoritmo que construye el conjunto de pares (Año, Mes) esperados en el rango del mineral y los contrasta con los pares presentes en el dataset.</w:t>
      </w:r>
    </w:p>
    <w:p>
      <w:pPr>
        <w:spacing w:before="0" w:after="80"/>
        <w:jc w:val="both"/>
      </w:pPr>
      <w:r>
        <w:rPr>
          <w:b/>
          <w:i w:val="0"/>
          <w:sz w:val="22"/>
        </w:rPr>
        <w:t>Resultado para los tres minerales de interés:</w:t>
      </w:r>
    </w:p>
    <w:tbl>
      <w:tblPr>
        <w:tblStyle w:val="TableGrid"/>
        <w:tblW w:type="auto" w:w="0"/>
        <w:jc w:val="center"/>
        <w:tblLook w:firstColumn="1" w:firstRow="1" w:lastColumn="0" w:lastRow="0" w:noHBand="0" w:noVBand="1" w:val="04A0"/>
      </w:tblPr>
      <w:tblGrid>
        <w:gridCol w:w="2309"/>
        <w:gridCol w:w="2309"/>
        <w:gridCol w:w="2309"/>
        <w:gridCol w:w="2309"/>
      </w:tblGrid>
      <w:tr>
        <w:tc>
          <w:tcPr>
            <w:tcW w:type="dxa" w:w="1984"/>
            <w:shd w:val="clear" w:color="auto" w:fill="1a237e"/>
            <w:vAlign w:val="center"/>
          </w:tcPr>
          <w:p>
            <w:pPr>
              <w:jc w:val="center"/>
            </w:pPr>
            <w:r>
              <w:rPr>
                <w:b/>
                <w:color w:val="FFFFFF"/>
                <w:sz w:val="20"/>
              </w:rPr>
              <w:t>Mineral</w:t>
            </w:r>
          </w:p>
        </w:tc>
        <w:tc>
          <w:tcPr>
            <w:tcW w:type="dxa" w:w="2835"/>
            <w:shd w:val="clear" w:color="auto" w:fill="1a237e"/>
            <w:vAlign w:val="center"/>
          </w:tcPr>
          <w:p>
            <w:pPr>
              <w:jc w:val="center"/>
            </w:pPr>
            <w:r>
              <w:rPr>
                <w:b/>
                <w:color w:val="FFFFFF"/>
                <w:sz w:val="20"/>
              </w:rPr>
              <w:t>Período cubierto</w:t>
            </w:r>
          </w:p>
        </w:tc>
        <w:tc>
          <w:tcPr>
            <w:tcW w:type="dxa" w:w="1984"/>
            <w:shd w:val="clear" w:color="auto" w:fill="1a237e"/>
            <w:vAlign w:val="center"/>
          </w:tcPr>
          <w:p>
            <w:pPr>
              <w:jc w:val="center"/>
            </w:pPr>
            <w:r>
              <w:rPr>
                <w:b/>
                <w:color w:val="FFFFFF"/>
                <w:sz w:val="20"/>
              </w:rPr>
              <w:t>Observaciones</w:t>
            </w:r>
          </w:p>
        </w:tc>
        <w:tc>
          <w:tcPr>
            <w:tcW w:type="dxa" w:w="2835"/>
            <w:shd w:val="clear" w:color="auto" w:fill="1a237e"/>
            <w:vAlign w:val="center"/>
          </w:tcPr>
          <w:p>
            <w:pPr>
              <w:jc w:val="center"/>
            </w:pPr>
            <w:r>
              <w:rPr>
                <w:b/>
                <w:color w:val="FFFFFF"/>
                <w:sz w:val="20"/>
              </w:rPr>
              <w:t>Resultado</w:t>
            </w:r>
          </w:p>
        </w:tc>
      </w:tr>
      <w:tr>
        <w:tc>
          <w:tcPr>
            <w:tcW w:type="dxa" w:w="1984"/>
            <w:shd w:val="clear" w:color="auto" w:fill="e8eaf6"/>
          </w:tcPr>
          <w:p>
            <w:pPr>
              <w:jc w:val="center"/>
            </w:pPr>
            <w:r>
              <w:rPr>
                <w:sz w:val="20"/>
              </w:rPr>
              <w:t>Oro (Au)</w:t>
            </w:r>
          </w:p>
        </w:tc>
        <w:tc>
          <w:tcPr>
            <w:tcW w:type="dxa" w:w="2835"/>
            <w:shd w:val="clear" w:color="auto" w:fill="e8eaf6"/>
          </w:tcPr>
          <w:p>
            <w:pPr>
              <w:jc w:val="center"/>
            </w:pPr>
            <w:r>
              <w:rPr>
                <w:sz w:val="20"/>
              </w:rPr>
              <w:t>Ene 1990 – Abr 2026</w:t>
            </w:r>
          </w:p>
        </w:tc>
        <w:tc>
          <w:tcPr>
            <w:tcW w:type="dxa" w:w="1984"/>
            <w:shd w:val="clear" w:color="auto" w:fill="e8eaf6"/>
          </w:tcPr>
          <w:p>
            <w:pPr>
              <w:jc w:val="center"/>
            </w:pPr>
            <w:r>
              <w:rPr>
                <w:sz w:val="20"/>
              </w:rPr>
              <w:t>436</w:t>
            </w:r>
          </w:p>
        </w:tc>
        <w:tc>
          <w:tcPr>
            <w:tcW w:type="dxa" w:w="2835"/>
            <w:shd w:val="clear" w:color="auto" w:fill="e8eaf6"/>
          </w:tcPr>
          <w:p>
            <w:pPr>
              <w:jc w:val="center"/>
            </w:pPr>
            <w:r>
              <w:rPr>
                <w:sz w:val="20"/>
              </w:rPr>
              <w:t>✅ Serie completa, sin saltos</w:t>
            </w:r>
          </w:p>
        </w:tc>
      </w:tr>
      <w:tr>
        <w:tc>
          <w:tcPr>
            <w:tcW w:type="dxa" w:w="1984"/>
            <w:shd w:val="clear" w:color="auto" w:fill="ffffff"/>
          </w:tcPr>
          <w:p>
            <w:pPr>
              <w:jc w:val="center"/>
            </w:pPr>
            <w:r>
              <w:rPr>
                <w:sz w:val="20"/>
              </w:rPr>
              <w:t>Plata (Ag)</w:t>
            </w:r>
          </w:p>
        </w:tc>
        <w:tc>
          <w:tcPr>
            <w:tcW w:type="dxa" w:w="2835"/>
            <w:shd w:val="clear" w:color="auto" w:fill="ffffff"/>
          </w:tcPr>
          <w:p>
            <w:pPr>
              <w:jc w:val="center"/>
            </w:pPr>
            <w:r>
              <w:rPr>
                <w:sz w:val="20"/>
              </w:rPr>
              <w:t>Ene 1990 – Abr 2026</w:t>
            </w:r>
          </w:p>
        </w:tc>
        <w:tc>
          <w:tcPr>
            <w:tcW w:type="dxa" w:w="1984"/>
            <w:shd w:val="clear" w:color="auto" w:fill="ffffff"/>
          </w:tcPr>
          <w:p>
            <w:pPr>
              <w:jc w:val="center"/>
            </w:pPr>
            <w:r>
              <w:rPr>
                <w:sz w:val="20"/>
              </w:rPr>
              <w:t>436</w:t>
            </w:r>
          </w:p>
        </w:tc>
        <w:tc>
          <w:tcPr>
            <w:tcW w:type="dxa" w:w="2835"/>
            <w:shd w:val="clear" w:color="auto" w:fill="ffffff"/>
          </w:tcPr>
          <w:p>
            <w:pPr>
              <w:jc w:val="center"/>
            </w:pPr>
            <w:r>
              <w:rPr>
                <w:sz w:val="20"/>
              </w:rPr>
              <w:t>✅ Serie completa, sin saltos</w:t>
            </w:r>
          </w:p>
        </w:tc>
      </w:tr>
      <w:tr>
        <w:tc>
          <w:tcPr>
            <w:tcW w:type="dxa" w:w="1984"/>
            <w:shd w:val="clear" w:color="auto" w:fill="e8eaf6"/>
          </w:tcPr>
          <w:p>
            <w:pPr>
              <w:jc w:val="center"/>
            </w:pPr>
            <w:r>
              <w:rPr>
                <w:sz w:val="20"/>
              </w:rPr>
              <w:t>Platino (Pt)</w:t>
            </w:r>
          </w:p>
        </w:tc>
        <w:tc>
          <w:tcPr>
            <w:tcW w:type="dxa" w:w="2835"/>
            <w:shd w:val="clear" w:color="auto" w:fill="e8eaf6"/>
          </w:tcPr>
          <w:p>
            <w:pPr>
              <w:jc w:val="center"/>
            </w:pPr>
            <w:r>
              <w:rPr>
                <w:sz w:val="20"/>
              </w:rPr>
              <w:t>Ene 1990 – Abr 2026</w:t>
            </w:r>
          </w:p>
        </w:tc>
        <w:tc>
          <w:tcPr>
            <w:tcW w:type="dxa" w:w="1984"/>
            <w:shd w:val="clear" w:color="auto" w:fill="e8eaf6"/>
          </w:tcPr>
          <w:p>
            <w:pPr>
              <w:jc w:val="center"/>
            </w:pPr>
            <w:r>
              <w:rPr>
                <w:sz w:val="20"/>
              </w:rPr>
              <w:t>436</w:t>
            </w:r>
          </w:p>
        </w:tc>
        <w:tc>
          <w:tcPr>
            <w:tcW w:type="dxa" w:w="2835"/>
            <w:shd w:val="clear" w:color="auto" w:fill="e8eaf6"/>
          </w:tcPr>
          <w:p>
            <w:pPr>
              <w:jc w:val="center"/>
            </w:pPr>
            <w:r>
              <w:rPr>
                <w:sz w:val="20"/>
              </w:rPr>
              <w:t>✅ Serie completa, sin saltos</w:t>
            </w:r>
          </w:p>
        </w:tc>
      </w:tr>
    </w:tbl>
    <w:p/>
    <w:p>
      <w:pPr>
        <w:spacing w:before="0" w:after="160"/>
        <w:jc w:val="both"/>
      </w:pPr>
      <w:r>
        <w:rPr>
          <w:b w:val="0"/>
          <w:i w:val="0"/>
          <w:sz w:val="22"/>
        </w:rPr>
        <w:t>El año 2026 figura con solo 4 meses (enero–abril), lo cual es esperado y correcto dado que el dataset fue actualizado hasta dicha fecha. No constituye un salto temporal.</w:t>
      </w:r>
    </w:p>
    <w:p>
      <w:pPr>
        <w:pStyle w:val="Heading2"/>
        <w:jc w:val="left"/>
      </w:pPr>
      <w:r>
        <w:rPr>
          <w:color w:val="283593"/>
        </w:rPr>
        <w:t>3.3 Análisis de Valores Atípicos (Outliers)</w:t>
      </w:r>
    </w:p>
    <w:p>
      <w:pPr>
        <w:spacing w:before="0" w:after="80"/>
        <w:jc w:val="both"/>
      </w:pPr>
      <w:r>
        <w:rPr>
          <w:b w:val="0"/>
          <w:i w:val="0"/>
          <w:sz w:val="22"/>
        </w:rPr>
        <w:t>Mediante la visualización de un diagrama de boxplot agrupado por año, se identificaron picos de volatilidad pronunciados en la cotización del oro, particularmente en:</w:t>
      </w:r>
    </w:p>
    <w:p>
      <w:pPr>
        <w:pStyle w:val="ListBullet"/>
        <w:spacing w:after="60"/>
      </w:pPr>
      <w:r>
        <w:rPr>
          <w:sz w:val="22"/>
        </w:rPr>
        <w:t>2008-2009: crisis financiera global (Lehman Brothers).</w:t>
      </w:r>
    </w:p>
    <w:p>
      <w:pPr>
        <w:pStyle w:val="ListBullet"/>
        <w:spacing w:after="60"/>
      </w:pPr>
      <w:r>
        <w:rPr>
          <w:sz w:val="22"/>
        </w:rPr>
        <w:t>2011-2012: máximo histórico previo, impulsado por la crisis de deuda soberana europea.</w:t>
      </w:r>
    </w:p>
    <w:p>
      <w:pPr>
        <w:pStyle w:val="ListBullet"/>
        <w:spacing w:after="60"/>
      </w:pPr>
      <w:r>
        <w:rPr>
          <w:sz w:val="22"/>
        </w:rPr>
        <w:t>2020-2022: pandemia COVID-19, posterior estímulo monetario y conflicto en Ucrania.</w:t>
      </w:r>
    </w:p>
    <w:p>
      <w:pPr>
        <w:pStyle w:val="ListBullet"/>
        <w:spacing w:after="60"/>
      </w:pPr>
      <w:r>
        <w:rPr>
          <w:sz w:val="22"/>
        </w:rPr>
        <w:t>2024-2026: nuevo máximo histórico, superando los USD 5.000/troy oz.</w:t>
      </w:r>
    </w:p>
    <w:p>
      <w:pPr>
        <w:spacing w:before="0" w:after="160"/>
        <w:jc w:val="both"/>
      </w:pPr>
      <w:r>
        <w:rPr>
          <w:b w:val="0"/>
          <w:i w:val="0"/>
          <w:sz w:val="22"/>
        </w:rPr>
        <w:t>Estos valores no se imputarán ni eliminarán. Son fluctuaciones reales del mercado financiero con causas macroeconómicas identificables, no errores de medición o carga. Eliminarlos distorsionaría la distribución real del fenómeno y perjudicaría la capacidad predictiva del modelo en contextos de alta volatilidad, que son precisamente los más relevantes para los inversores.</w:t>
      </w:r>
    </w:p>
    <w:p>
      <w:pPr>
        <w:pStyle w:val="Heading1"/>
        <w:jc w:val="left"/>
      </w:pPr>
      <w:r>
        <w:rPr>
          <w:color w:val="1A237E"/>
        </w:rPr>
        <w:t>4. Estadísticas Descriptivas de las Series Seleccionadas</w:t>
      </w:r>
    </w:p>
    <w:p>
      <w:pPr>
        <w:spacing w:before="0" w:after="120"/>
        <w:jc w:val="both"/>
      </w:pPr>
      <w:r>
        <w:rPr>
          <w:b w:val="0"/>
          <w:i w:val="0"/>
          <w:sz w:val="22"/>
        </w:rPr>
        <w:t>A continuación se presenta el resumen estadístico de los tres minerales que integrarán el modelo, calculado sobre la totalidad de sus 436 observaciones mensuales:</w:t>
      </w:r>
    </w:p>
    <w:tbl>
      <w:tblPr>
        <w:tblStyle w:val="TableGrid"/>
        <w:tblW w:type="auto" w:w="0"/>
        <w:jc w:val="center"/>
        <w:tblLook w:firstColumn="1" w:firstRow="1" w:lastColumn="0" w:lastRow="0" w:noHBand="0" w:noVBand="1" w:val="04A0"/>
      </w:tblPr>
      <w:tblGrid>
        <w:gridCol w:w="1026"/>
        <w:gridCol w:w="1026"/>
        <w:gridCol w:w="1026"/>
        <w:gridCol w:w="1026"/>
        <w:gridCol w:w="1026"/>
        <w:gridCol w:w="1026"/>
        <w:gridCol w:w="1026"/>
        <w:gridCol w:w="1026"/>
        <w:gridCol w:w="1026"/>
      </w:tblGrid>
      <w:tr>
        <w:tc>
          <w:tcPr>
            <w:tcW w:type="dxa" w:w="3118"/>
            <w:shd w:val="clear" w:color="auto" w:fill="1a237e"/>
            <w:vAlign w:val="center"/>
          </w:tcPr>
          <w:p>
            <w:pPr>
              <w:jc w:val="center"/>
            </w:pPr>
            <w:r>
              <w:rPr>
                <w:b/>
                <w:color w:val="FFFFFF"/>
                <w:sz w:val="20"/>
              </w:rPr>
              <w:t>Mineral</w:t>
            </w:r>
          </w:p>
        </w:tc>
        <w:tc>
          <w:tcPr>
            <w:tcW w:type="dxa" w:w="850"/>
            <w:shd w:val="clear" w:color="auto" w:fill="1a237e"/>
            <w:vAlign w:val="center"/>
          </w:tcPr>
          <w:p>
            <w:pPr>
              <w:jc w:val="center"/>
            </w:pPr>
            <w:r>
              <w:rPr>
                <w:b/>
                <w:color w:val="FFFFFF"/>
                <w:sz w:val="20"/>
              </w:rPr>
              <w:t>Obs.</w:t>
            </w:r>
          </w:p>
        </w:tc>
        <w:tc>
          <w:tcPr>
            <w:tcW w:type="dxa" w:w="1417"/>
            <w:shd w:val="clear" w:color="auto" w:fill="1a237e"/>
            <w:vAlign w:val="center"/>
          </w:tcPr>
          <w:p>
            <w:pPr>
              <w:jc w:val="center"/>
            </w:pPr>
            <w:r>
              <w:rPr>
                <w:b/>
                <w:color w:val="FFFFFF"/>
                <w:sz w:val="20"/>
              </w:rPr>
              <w:t>Media (USD)</w:t>
            </w:r>
          </w:p>
        </w:tc>
        <w:tc>
          <w:tcPr>
            <w:tcW w:type="dxa" w:w="1417"/>
            <w:shd w:val="clear" w:color="auto" w:fill="1a237e"/>
            <w:vAlign w:val="center"/>
          </w:tcPr>
          <w:p>
            <w:pPr>
              <w:jc w:val="center"/>
            </w:pPr>
            <w:r>
              <w:rPr>
                <w:b/>
                <w:color w:val="FFFFFF"/>
                <w:sz w:val="20"/>
              </w:rPr>
              <w:t>Desv. Est.</w:t>
            </w:r>
          </w:p>
        </w:tc>
        <w:tc>
          <w:tcPr>
            <w:tcW w:type="dxa" w:w="1134"/>
            <w:shd w:val="clear" w:color="auto" w:fill="1a237e"/>
            <w:vAlign w:val="center"/>
          </w:tcPr>
          <w:p>
            <w:pPr>
              <w:jc w:val="center"/>
            </w:pPr>
            <w:r>
              <w:rPr>
                <w:b/>
                <w:color w:val="FFFFFF"/>
                <w:sz w:val="20"/>
              </w:rPr>
              <w:t>Mínimo</w:t>
            </w:r>
          </w:p>
        </w:tc>
        <w:tc>
          <w:tcPr>
            <w:tcW w:type="dxa" w:w="1134"/>
            <w:shd w:val="clear" w:color="auto" w:fill="1a237e"/>
            <w:vAlign w:val="center"/>
          </w:tcPr>
          <w:p>
            <w:pPr>
              <w:jc w:val="center"/>
            </w:pPr>
            <w:r>
              <w:rPr>
                <w:b/>
                <w:color w:val="FFFFFF"/>
                <w:sz w:val="20"/>
              </w:rPr>
              <w:t>P25</w:t>
            </w:r>
          </w:p>
        </w:tc>
        <w:tc>
          <w:tcPr>
            <w:tcW w:type="dxa" w:w="1247"/>
            <w:shd w:val="clear" w:color="auto" w:fill="1a237e"/>
            <w:vAlign w:val="center"/>
          </w:tcPr>
          <w:p>
            <w:pPr>
              <w:jc w:val="center"/>
            </w:pPr>
            <w:r>
              <w:rPr>
                <w:b/>
                <w:color w:val="FFFFFF"/>
                <w:sz w:val="20"/>
              </w:rPr>
              <w:t>Mediana</w:t>
            </w:r>
          </w:p>
        </w:tc>
        <w:tc>
          <w:tcPr>
            <w:tcW w:type="dxa" w:w="1247"/>
            <w:shd w:val="clear" w:color="auto" w:fill="1a237e"/>
            <w:vAlign w:val="center"/>
          </w:tcPr>
          <w:p>
            <w:pPr>
              <w:jc w:val="center"/>
            </w:pPr>
            <w:r>
              <w:rPr>
                <w:b/>
                <w:color w:val="FFFFFF"/>
                <w:sz w:val="20"/>
              </w:rPr>
              <w:t>P75</w:t>
            </w:r>
          </w:p>
        </w:tc>
        <w:tc>
          <w:tcPr>
            <w:tcW w:type="dxa" w:w="1247"/>
            <w:shd w:val="clear" w:color="auto" w:fill="1a237e"/>
            <w:vAlign w:val="center"/>
          </w:tcPr>
          <w:p>
            <w:pPr>
              <w:jc w:val="center"/>
            </w:pPr>
            <w:r>
              <w:rPr>
                <w:b/>
                <w:color w:val="FFFFFF"/>
                <w:sz w:val="20"/>
              </w:rPr>
              <w:t>Máximo</w:t>
            </w:r>
          </w:p>
        </w:tc>
      </w:tr>
      <w:tr>
        <w:tc>
          <w:tcPr>
            <w:tcW w:type="dxa" w:w="3118"/>
            <w:shd w:val="clear" w:color="auto" w:fill="e8eaf6"/>
          </w:tcPr>
          <w:p>
            <w:pPr>
              <w:jc w:val="center"/>
            </w:pPr>
            <w:r>
              <w:rPr>
                <w:sz w:val="20"/>
              </w:rPr>
              <w:t>Oro (Au) — USD/troy oz</w:t>
            </w:r>
          </w:p>
        </w:tc>
        <w:tc>
          <w:tcPr>
            <w:tcW w:type="dxa" w:w="850"/>
            <w:shd w:val="clear" w:color="auto" w:fill="e8eaf6"/>
          </w:tcPr>
          <w:p>
            <w:pPr>
              <w:jc w:val="center"/>
            </w:pPr>
            <w:r>
              <w:rPr>
                <w:sz w:val="20"/>
              </w:rPr>
              <w:t>436</w:t>
            </w:r>
          </w:p>
        </w:tc>
        <w:tc>
          <w:tcPr>
            <w:tcW w:type="dxa" w:w="1417"/>
            <w:shd w:val="clear" w:color="auto" w:fill="e8eaf6"/>
          </w:tcPr>
          <w:p>
            <w:pPr>
              <w:jc w:val="center"/>
            </w:pPr>
            <w:r>
              <w:rPr>
                <w:sz w:val="20"/>
              </w:rPr>
              <w:t>1.017,15</w:t>
            </w:r>
          </w:p>
        </w:tc>
        <w:tc>
          <w:tcPr>
            <w:tcW w:type="dxa" w:w="1417"/>
            <w:shd w:val="clear" w:color="auto" w:fill="e8eaf6"/>
          </w:tcPr>
          <w:p>
            <w:pPr>
              <w:jc w:val="center"/>
            </w:pPr>
            <w:r>
              <w:rPr>
                <w:sz w:val="20"/>
              </w:rPr>
              <w:t>821,71</w:t>
            </w:r>
          </w:p>
        </w:tc>
        <w:tc>
          <w:tcPr>
            <w:tcW w:type="dxa" w:w="1134"/>
            <w:shd w:val="clear" w:color="auto" w:fill="e8eaf6"/>
          </w:tcPr>
          <w:p>
            <w:pPr>
              <w:jc w:val="center"/>
            </w:pPr>
            <w:r>
              <w:rPr>
                <w:sz w:val="20"/>
              </w:rPr>
              <w:t>256,08</w:t>
            </w:r>
          </w:p>
        </w:tc>
        <w:tc>
          <w:tcPr>
            <w:tcW w:type="dxa" w:w="1134"/>
            <w:shd w:val="clear" w:color="auto" w:fill="e8eaf6"/>
          </w:tcPr>
          <w:p>
            <w:pPr>
              <w:jc w:val="center"/>
            </w:pPr>
            <w:r>
              <w:rPr>
                <w:sz w:val="20"/>
              </w:rPr>
              <w:t>339,55</w:t>
            </w:r>
          </w:p>
        </w:tc>
        <w:tc>
          <w:tcPr>
            <w:tcW w:type="dxa" w:w="1247"/>
            <w:shd w:val="clear" w:color="auto" w:fill="e8eaf6"/>
          </w:tcPr>
          <w:p>
            <w:pPr>
              <w:jc w:val="center"/>
            </w:pPr>
            <w:r>
              <w:rPr>
                <w:sz w:val="20"/>
              </w:rPr>
              <w:t>686,68</w:t>
            </w:r>
          </w:p>
        </w:tc>
        <w:tc>
          <w:tcPr>
            <w:tcW w:type="dxa" w:w="1247"/>
            <w:shd w:val="clear" w:color="auto" w:fill="e8eaf6"/>
          </w:tcPr>
          <w:p>
            <w:pPr>
              <w:jc w:val="center"/>
            </w:pPr>
            <w:r>
              <w:rPr>
                <w:sz w:val="20"/>
              </w:rPr>
              <w:t>1.527,87</w:t>
            </w:r>
          </w:p>
        </w:tc>
        <w:tc>
          <w:tcPr>
            <w:tcW w:type="dxa" w:w="1247"/>
            <w:shd w:val="clear" w:color="auto" w:fill="e8eaf6"/>
          </w:tcPr>
          <w:p>
            <w:pPr>
              <w:jc w:val="center"/>
            </w:pPr>
            <w:r>
              <w:rPr>
                <w:sz w:val="20"/>
              </w:rPr>
              <w:t>5.019,97</w:t>
            </w:r>
          </w:p>
        </w:tc>
      </w:tr>
      <w:tr>
        <w:tc>
          <w:tcPr>
            <w:tcW w:type="dxa" w:w="3118"/>
            <w:shd w:val="clear" w:color="auto" w:fill="ffffff"/>
          </w:tcPr>
          <w:p>
            <w:pPr>
              <w:jc w:val="center"/>
            </w:pPr>
            <w:r>
              <w:rPr>
                <w:sz w:val="20"/>
              </w:rPr>
              <w:t>Plata (Ag) — USD/troy oz</w:t>
            </w:r>
          </w:p>
        </w:tc>
        <w:tc>
          <w:tcPr>
            <w:tcW w:type="dxa" w:w="850"/>
            <w:shd w:val="clear" w:color="auto" w:fill="ffffff"/>
          </w:tcPr>
          <w:p>
            <w:pPr>
              <w:jc w:val="center"/>
            </w:pPr>
            <w:r>
              <w:rPr>
                <w:sz w:val="20"/>
              </w:rPr>
              <w:t>436</w:t>
            </w:r>
          </w:p>
        </w:tc>
        <w:tc>
          <w:tcPr>
            <w:tcW w:type="dxa" w:w="1417"/>
            <w:shd w:val="clear" w:color="auto" w:fill="ffffff"/>
          </w:tcPr>
          <w:p>
            <w:pPr>
              <w:jc w:val="center"/>
            </w:pPr>
            <w:r>
              <w:rPr>
                <w:sz w:val="20"/>
              </w:rPr>
              <w:t>14,68</w:t>
            </w:r>
          </w:p>
        </w:tc>
        <w:tc>
          <w:tcPr>
            <w:tcW w:type="dxa" w:w="1417"/>
            <w:shd w:val="clear" w:color="auto" w:fill="ffffff"/>
          </w:tcPr>
          <w:p>
            <w:pPr>
              <w:jc w:val="center"/>
            </w:pPr>
            <w:r>
              <w:rPr>
                <w:sz w:val="20"/>
              </w:rPr>
              <w:t>11,92</w:t>
            </w:r>
          </w:p>
        </w:tc>
        <w:tc>
          <w:tcPr>
            <w:tcW w:type="dxa" w:w="1134"/>
            <w:shd w:val="clear" w:color="auto" w:fill="ffffff"/>
          </w:tcPr>
          <w:p>
            <w:pPr>
              <w:jc w:val="center"/>
            </w:pPr>
            <w:r>
              <w:rPr>
                <w:sz w:val="20"/>
              </w:rPr>
              <w:t>3,65</w:t>
            </w:r>
          </w:p>
        </w:tc>
        <w:tc>
          <w:tcPr>
            <w:tcW w:type="dxa" w:w="1134"/>
            <w:shd w:val="clear" w:color="auto" w:fill="ffffff"/>
          </w:tcPr>
          <w:p>
            <w:pPr>
              <w:jc w:val="center"/>
            </w:pPr>
            <w:r>
              <w:rPr>
                <w:sz w:val="20"/>
              </w:rPr>
              <w:t>4,89</w:t>
            </w:r>
          </w:p>
        </w:tc>
        <w:tc>
          <w:tcPr>
            <w:tcW w:type="dxa" w:w="1247"/>
            <w:shd w:val="clear" w:color="auto" w:fill="ffffff"/>
          </w:tcPr>
          <w:p>
            <w:pPr>
              <w:jc w:val="center"/>
            </w:pPr>
            <w:r>
              <w:rPr>
                <w:sz w:val="20"/>
              </w:rPr>
              <w:t>12,55</w:t>
            </w:r>
          </w:p>
        </w:tc>
        <w:tc>
          <w:tcPr>
            <w:tcW w:type="dxa" w:w="1247"/>
            <w:shd w:val="clear" w:color="auto" w:fill="ffffff"/>
          </w:tcPr>
          <w:p>
            <w:pPr>
              <w:jc w:val="center"/>
            </w:pPr>
            <w:r>
              <w:rPr>
                <w:sz w:val="20"/>
              </w:rPr>
              <w:t>19,87</w:t>
            </w:r>
          </w:p>
        </w:tc>
        <w:tc>
          <w:tcPr>
            <w:tcW w:type="dxa" w:w="1247"/>
            <w:shd w:val="clear" w:color="auto" w:fill="ffffff"/>
          </w:tcPr>
          <w:p>
            <w:pPr>
              <w:jc w:val="center"/>
            </w:pPr>
            <w:r>
              <w:rPr>
                <w:sz w:val="20"/>
              </w:rPr>
              <w:t>92,06</w:t>
            </w:r>
          </w:p>
        </w:tc>
      </w:tr>
      <w:tr>
        <w:tc>
          <w:tcPr>
            <w:tcW w:type="dxa" w:w="3118"/>
            <w:shd w:val="clear" w:color="auto" w:fill="e8eaf6"/>
          </w:tcPr>
          <w:p>
            <w:pPr>
              <w:jc w:val="center"/>
            </w:pPr>
            <w:r>
              <w:rPr>
                <w:sz w:val="20"/>
              </w:rPr>
              <w:t>Platino (Pt) — USD/troy oz</w:t>
            </w:r>
          </w:p>
        </w:tc>
        <w:tc>
          <w:tcPr>
            <w:tcW w:type="dxa" w:w="850"/>
            <w:shd w:val="clear" w:color="auto" w:fill="e8eaf6"/>
          </w:tcPr>
          <w:p>
            <w:pPr>
              <w:jc w:val="center"/>
            </w:pPr>
            <w:r>
              <w:rPr>
                <w:sz w:val="20"/>
              </w:rPr>
              <w:t>436</w:t>
            </w:r>
          </w:p>
        </w:tc>
        <w:tc>
          <w:tcPr>
            <w:tcW w:type="dxa" w:w="1417"/>
            <w:shd w:val="clear" w:color="auto" w:fill="e8eaf6"/>
          </w:tcPr>
          <w:p>
            <w:pPr>
              <w:jc w:val="center"/>
            </w:pPr>
            <w:r>
              <w:rPr>
                <w:sz w:val="20"/>
              </w:rPr>
              <w:t>896,19</w:t>
            </w:r>
          </w:p>
        </w:tc>
        <w:tc>
          <w:tcPr>
            <w:tcW w:type="dxa" w:w="1417"/>
            <w:shd w:val="clear" w:color="auto" w:fill="e8eaf6"/>
          </w:tcPr>
          <w:p>
            <w:pPr>
              <w:jc w:val="center"/>
            </w:pPr>
            <w:r>
              <w:rPr>
                <w:sz w:val="20"/>
              </w:rPr>
              <w:t>444,95</w:t>
            </w:r>
          </w:p>
        </w:tc>
        <w:tc>
          <w:tcPr>
            <w:tcW w:type="dxa" w:w="1134"/>
            <w:shd w:val="clear" w:color="auto" w:fill="e8eaf6"/>
          </w:tcPr>
          <w:p>
            <w:pPr>
              <w:jc w:val="center"/>
            </w:pPr>
            <w:r>
              <w:rPr>
                <w:sz w:val="20"/>
              </w:rPr>
              <w:t>341,19</w:t>
            </w:r>
          </w:p>
        </w:tc>
        <w:tc>
          <w:tcPr>
            <w:tcW w:type="dxa" w:w="1134"/>
            <w:shd w:val="clear" w:color="auto" w:fill="e8eaf6"/>
          </w:tcPr>
          <w:p>
            <w:pPr>
              <w:jc w:val="center"/>
            </w:pPr>
            <w:r>
              <w:rPr>
                <w:sz w:val="20"/>
              </w:rPr>
              <w:t>481,69</w:t>
            </w:r>
          </w:p>
        </w:tc>
        <w:tc>
          <w:tcPr>
            <w:tcW w:type="dxa" w:w="1247"/>
            <w:shd w:val="clear" w:color="auto" w:fill="e8eaf6"/>
          </w:tcPr>
          <w:p>
            <w:pPr>
              <w:jc w:val="center"/>
            </w:pPr>
            <w:r>
              <w:rPr>
                <w:sz w:val="20"/>
              </w:rPr>
              <w:t>895,31</w:t>
            </w:r>
          </w:p>
        </w:tc>
        <w:tc>
          <w:tcPr>
            <w:tcW w:type="dxa" w:w="1247"/>
            <w:shd w:val="clear" w:color="auto" w:fill="e8eaf6"/>
          </w:tcPr>
          <w:p>
            <w:pPr>
              <w:jc w:val="center"/>
            </w:pPr>
            <w:r>
              <w:rPr>
                <w:sz w:val="20"/>
              </w:rPr>
              <w:t>1.189,50</w:t>
            </w:r>
          </w:p>
        </w:tc>
        <w:tc>
          <w:tcPr>
            <w:tcW w:type="dxa" w:w="1247"/>
            <w:shd w:val="clear" w:color="auto" w:fill="e8eaf6"/>
          </w:tcPr>
          <w:p>
            <w:pPr>
              <w:jc w:val="center"/>
            </w:pPr>
            <w:r>
              <w:rPr>
                <w:sz w:val="20"/>
              </w:rPr>
              <w:t>2.433,83</w:t>
            </w:r>
          </w:p>
        </w:tc>
      </w:tr>
    </w:tbl>
    <w:p/>
    <w:p>
      <w:pPr>
        <w:spacing w:before="0" w:after="80"/>
        <w:jc w:val="both"/>
      </w:pPr>
      <w:r>
        <w:rPr>
          <w:b/>
          <w:i w:val="0"/>
          <w:sz w:val="22"/>
        </w:rPr>
        <w:t>Observaciones relevantes a partir de la estadística descriptiva:</w:t>
      </w:r>
    </w:p>
    <w:p>
      <w:pPr>
        <w:pStyle w:val="ListBullet"/>
        <w:spacing w:after="60"/>
      </w:pPr>
      <w:r>
        <w:rPr>
          <w:sz w:val="22"/>
        </w:rPr>
        <w:t>El precio del Oro muestra una desviación estándar cercana a su media (coeficiente de variación ≈ 80,8 %), lo que evidencia una alta dispersión histórica y una fuerte tendencia alcista en el largo plazo.</w:t>
      </w:r>
    </w:p>
    <w:p>
      <w:pPr>
        <w:pStyle w:val="ListBullet"/>
        <w:spacing w:after="60"/>
      </w:pPr>
      <w:r>
        <w:rPr>
          <w:sz w:val="22"/>
        </w:rPr>
        <w:t>La Plata presenta el mayor coeficiente de variación relativo a su escala, con un máximo (USD 92,06) que casi quintuplica su valor mediano, impulsado por episodios especulativos puntuales.</w:t>
      </w:r>
    </w:p>
    <w:p>
      <w:pPr>
        <w:pStyle w:val="ListBullet"/>
        <w:spacing w:after="60"/>
      </w:pPr>
      <w:r>
        <w:rPr>
          <w:sz w:val="22"/>
        </w:rPr>
        <w:t>El Platino, si bien comparte la unidad de medida (USD/troy oz), muestra una distribución más simétrica y menor dispersión relativa, lo que sugiere una dinámica de mercado diferente a la del oro.</w:t>
      </w:r>
    </w:p>
    <w:p/>
    <w:p>
      <w:pPr>
        <w:pStyle w:val="Heading1"/>
        <w:jc w:val="left"/>
      </w:pPr>
      <w:r>
        <w:rPr>
          <w:color w:val="1A237E"/>
        </w:rPr>
        <w:t>5. Conclusión del Preprocesamiento y Próximos Pasos</w:t>
      </w:r>
    </w:p>
    <w:p>
      <w:pPr>
        <w:spacing w:before="0" w:after="160"/>
        <w:jc w:val="both"/>
      </w:pPr>
      <w:r>
        <w:rPr>
          <w:b w:val="0"/>
          <w:i w:val="0"/>
          <w:sz w:val="22"/>
        </w:rPr>
        <w:t>Las tareas de auditoría confirman que el dataset original posee integridad estructural completa: ausencia de valores nulos, sin duplicados, y con continuidad temporal perfecta para los tres minerales de interés (Oro, Plata y Platino) durante los 436 meses del período enero 1990 – abril 2026. Estas condiciones son óptimas para la construcción de un modelo de regresión supervisada basado en lags temporales.</w:t>
      </w:r>
    </w:p>
    <w:p>
      <w:pPr>
        <w:spacing w:before="0" w:after="80"/>
        <w:jc w:val="both"/>
      </w:pPr>
      <w:r>
        <w:rPr>
          <w:b/>
          <w:i w:val="0"/>
          <w:sz w:val="22"/>
        </w:rPr>
        <w:t>Las etapas planificadas para la siguiente entrega son:</w:t>
      </w:r>
    </w:p>
    <w:p>
      <w:pPr>
        <w:pStyle w:val="ListBullet"/>
        <w:spacing w:after="60"/>
      </w:pPr>
      <w:r>
        <w:rPr>
          <w:b/>
          <w:sz w:val="22"/>
        </w:rPr>
        <w:t xml:space="preserve">Etapa 1 — </w:t>
      </w:r>
      <w:r>
        <w:rPr>
          <w:sz w:val="22"/>
        </w:rPr>
        <w:t>Feature Engineering: construcción del dataset supervisado mediante variables de rezago (lag_1 a lag_k) para Oro, Plata y Platino; determinación de k mediante ACF/PACF.</w:t>
      </w:r>
    </w:p>
    <w:p>
      <w:pPr>
        <w:pStyle w:val="ListBullet"/>
        <w:spacing w:after="60"/>
      </w:pPr>
      <w:r>
        <w:rPr>
          <w:b/>
          <w:sz w:val="22"/>
        </w:rPr>
        <w:t xml:space="preserve">Etapa 2 — </w:t>
      </w:r>
      <w:r>
        <w:rPr>
          <w:sz w:val="22"/>
        </w:rPr>
        <w:t>División temporal: separación cronológica en conjunto de entrenamiento y prueba (sin shuffle aleatorio, respetando el orden temporal para evitar data leakage).</w:t>
      </w:r>
    </w:p>
    <w:p>
      <w:pPr>
        <w:pStyle w:val="ListBullet"/>
        <w:spacing w:after="60"/>
      </w:pPr>
      <w:r>
        <w:rPr>
          <w:b/>
          <w:sz w:val="22"/>
        </w:rPr>
        <w:t xml:space="preserve">Etapa 3 — </w:t>
      </w:r>
      <w:r>
        <w:rPr>
          <w:sz w:val="22"/>
        </w:rPr>
        <w:t>Selección y justificación del modelo: se adoptará Random Forest Regressor como algoritmo único, justificando la elección por su robustez ante outliers, su capacidad de capturar relaciones no lineales entre rezagos y su buena performance documentada en series temporales transformadas a formato supervisado.</w:t>
      </w:r>
    </w:p>
    <w:p>
      <w:pPr>
        <w:pStyle w:val="ListBullet"/>
        <w:spacing w:after="60"/>
      </w:pPr>
      <w:r>
        <w:rPr>
          <w:b/>
          <w:sz w:val="22"/>
        </w:rPr>
        <w:t xml:space="preserve">Etapa 4 — </w:t>
      </w:r>
      <w:r>
        <w:rPr>
          <w:sz w:val="22"/>
        </w:rPr>
        <w:t>Evaluación: métricas de error (MAE, RMSE, R²) sobre el conjunto de prueba, análisis de residuos e interpretación del modelo (feature importance).</w:t>
      </w:r>
    </w:p>
    <w:p/>
    <w:tbl>
      <w:tblPr>
        <w:tblW w:type="auto" w:w="0"/>
        <w:jc w:val="center"/>
        <w:tblLook w:firstColumn="1" w:firstRow="1" w:lastColumn="0" w:lastRow="0" w:noHBand="0" w:noVBand="1" w:val="04A0"/>
      </w:tblPr>
      <w:tblGrid>
        <w:gridCol w:w="9236"/>
      </w:tblGrid>
      <w:tr>
        <w:tc>
          <w:tcPr>
            <w:tcW w:type="dxa" w:w="9236"/>
            <w:shd w:val="clear" w:color="auto" w:fill="e8f5e9"/>
            <w:tcBorders>
              <w:top w:val="single" w:sz="6" w:space="0" w:color="2e7d32"/>
              <w:bottom w:val="single" w:sz="6" w:space="0" w:color="2e7d32"/>
              <w:left w:val="single" w:sz="6" w:space="0" w:color="2e7d32"/>
              <w:right w:val="single" w:sz="6" w:space="0" w:color="2e7d32"/>
            </w:tcBorders>
          </w:tcPr>
          <w:p>
            <w:pPr>
              <w:spacing w:before="80" w:after="80"/>
              <w:jc w:val="both"/>
            </w:pPr>
            <w:r>
              <w:rPr>
                <w:i/>
                <w:sz w:val="20"/>
              </w:rPr>
              <w:t>🌲  Elección de modelo: Se opta por Random Forest Regressor por su robustez ante valores atípicos (característica esencial dada la alta volatilidad histórica del oro), su capacidad intrínseca de capturar interacciones no lineales entre rezagos y su resistencia al sobreajuste mediante el mecanismo de bagging. Adicionalmente, la importancia de features que provee el algoritmo permitirá interpretar qué rezagos y qué minerales resultan más predictivos.</w:t>
            </w:r>
          </w:p>
        </w:tc>
      </w:tr>
    </w:tbl>
    <w:p/>
    <w:sectPr w:rsidR="00FC693F" w:rsidRPr="0006063C"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