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m8xwl9rt93y7" w:id="0"/>
    <w:bookmarkEnd w:id="0"/>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Pr>
        <w:drawing>
          <wp:inline distB="0" distT="0" distL="0" distR="0">
            <wp:extent cx="3971925" cy="3981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71925"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88" w:lineRule="auto"/>
        <w:ind w:left="0" w:right="0" w:firstLine="0"/>
        <w:jc w:val="center"/>
        <w:rPr>
          <w:rFonts w:ascii="Calibri" w:cs="Calibri" w:eastAsia="Calibri" w:hAnsi="Calibri"/>
          <w:b w:val="1"/>
          <w:bCs w:val="1"/>
          <w:i w:val="0"/>
          <w:iCs w:val="0"/>
          <w:smallCaps w:val="0"/>
          <w:strike w:val="0"/>
          <w:color w:val="4472c4"/>
          <w:sz w:val="44"/>
          <w:szCs w:val="44"/>
          <w:u w:val="none"/>
          <w:shd w:fill="auto" w:val="clear"/>
          <w:vertAlign w:val="baseline"/>
        </w:rPr>
      </w:pPr>
      <w:r w:rsidDel="00000000" w:rsidR="00000000" w:rsidRPr="00000000">
        <w:rPr>
          <w:rFonts w:ascii="Arial" w:cs="Arial" w:eastAsia="Arial" w:hAnsi="Arial"/>
          <w:b w:val="1"/>
          <w:bCs w:val="1"/>
          <w:i w:val="0"/>
          <w:iCs w:val="0"/>
          <w:smallCaps w:val="0"/>
          <w:strike w:val="0"/>
          <w:color w:val="4472c4"/>
          <w:sz w:val="44"/>
          <w:szCs w:val="44"/>
          <w:u w:val="none"/>
          <w:shd w:fill="auto" w:val="clear"/>
          <w:vertAlign w:val="baseline"/>
          <w:rtl w:val="0"/>
        </w:rPr>
        <w:t xml:space="preserve">Predicción de Series Temporales: PREDICCIÓN DEL PRECIO INTERNACIONAL DEL ORO</w:t>
      </w:r>
      <w:r w:rsidDel="00000000" w:rsidR="00000000" w:rsidRPr="00000000">
        <w:rPr>
          <w:rtl w:val="0"/>
        </w:rPr>
      </w:r>
    </w:p>
    <w:p w:rsidR="00000000" w:rsidDel="00000000" w:rsidP="00000000" w:rsidRDefault="00000000" w:rsidRPr="00000000" w14:paraId="00000004">
      <w:pPr>
        <w:spacing w:after="80" w:before="400" w:lineRule="auto"/>
        <w:jc w:val="center"/>
        <w:rPr>
          <w:b w:val="1"/>
          <w:bCs w:val="1"/>
          <w:color w:val="1a237e"/>
          <w:sz w:val="44"/>
          <w:szCs w:val="44"/>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spacing w:after="0" w:before="0" w:lineRule="auto"/>
        <w:rPr/>
      </w:pPr>
      <w:r w:rsidDel="00000000" w:rsidR="00000000" w:rsidRPr="00000000">
        <w:rPr>
          <w:color w:val="1a237e"/>
          <w:rtl w:val="0"/>
        </w:rPr>
        <w:t xml:space="preserve">1. Contexto y Formulación del Problema</w:t>
      </w:r>
      <w:r w:rsidDel="00000000" w:rsidR="00000000" w:rsidRPr="00000000">
        <w:rPr>
          <w:rtl w:val="0"/>
        </w:rPr>
      </w:r>
    </w:p>
    <w:p w:rsidR="00000000" w:rsidDel="00000000" w:rsidP="00000000" w:rsidRDefault="00000000" w:rsidRPr="00000000" w14:paraId="00000007">
      <w:pPr>
        <w:spacing w:after="120" w:before="0" w:lineRule="auto"/>
        <w:jc w:val="both"/>
        <w:rPr/>
      </w:pPr>
      <w:r w:rsidDel="00000000" w:rsidR="00000000" w:rsidRPr="00000000">
        <w:rPr>
          <w:b w:val="0"/>
          <w:bCs w:val="0"/>
          <w:i w:val="0"/>
          <w:iCs w:val="0"/>
          <w:sz w:val="22"/>
          <w:szCs w:val="22"/>
          <w:rtl w:val="0"/>
        </w:rPr>
        <w:t xml:space="preserve">El presente trabajo se enmarca en la Opción 2 de la consigna: disponemos de un dataset real obtenido de una fuente de datos abiertos del sector público argentino. El problema planteado consiste en predecir el precio internacional mensual del Oro (USD/troy oz) para los próximos meses, abordado como un problema de modelado de series temporales con variables exógenas mediante el modelo ARIMAX (AutoRegressive Integrated Moving Average with eXogenous inputs).</w:t>
      </w:r>
      <w:r w:rsidDel="00000000" w:rsidR="00000000" w:rsidRPr="00000000">
        <w:rPr>
          <w:rtl w:val="0"/>
        </w:rPr>
      </w:r>
    </w:p>
    <w:p w:rsidR="00000000" w:rsidDel="00000000" w:rsidP="00000000" w:rsidRDefault="00000000" w:rsidRPr="00000000" w14:paraId="00000008">
      <w:pPr>
        <w:spacing w:after="80" w:before="0" w:lineRule="auto"/>
        <w:jc w:val="both"/>
        <w:rPr/>
      </w:pPr>
      <w:r w:rsidDel="00000000" w:rsidR="00000000" w:rsidRPr="00000000">
        <w:rPr>
          <w:b w:val="0"/>
          <w:bCs w:val="0"/>
          <w:i w:val="0"/>
          <w:iCs w:val="0"/>
          <w:sz w:val="22"/>
          <w:szCs w:val="22"/>
          <w:rtl w:val="0"/>
        </w:rPr>
        <w:t xml:space="preserve">La elección del oro como activo a predecir responde a tres fundamentos concretos: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 un activo de refugio de relevancia económica global, cuya predicción tiene aplicaciones directas para inversores, analistas financieros y tomadores de decisiones de política monetaria.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Cuenta con una serie histórica continua de 36 años (enero 1990 – abril 2026, 436 observaciones), un volumen favorable para el entrenamiento de modelos de Aprendizaje Automático.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Sus precios muestran causalidad de Granger significativa respecto al oro, lo que habilita su incorporación como variables exógenas en el modelo ARIMAX.</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before="0" w:lineRule="auto"/>
        <w:jc w:val="both"/>
        <w:rPr/>
      </w:pPr>
      <w:r w:rsidDel="00000000" w:rsidR="00000000" w:rsidRPr="00000000">
        <w:rPr>
          <w:b w:val="0"/>
          <w:bCs w:val="0"/>
          <w:i w:val="0"/>
          <w:iCs w:val="0"/>
          <w:sz w:val="22"/>
          <w:szCs w:val="22"/>
          <w:rtl w:val="0"/>
        </w:rPr>
        <w:t xml:space="preserve">Habiendo evaluado las alternativas, se optó por ARIMAX como modelo único para esta entrega. A diferencia de los modelos de regresión general (Random Forest, SVR, XGBoost), ARIMAX integra nativamente la estructura temporal de la serie —componentes AR (autorregresivos), I (integración/diferenciación) y MA (medias móviles)— junto con la capacidad de incorporar series exógenas correlacionadas mediante el componente X. Esto lo convierte en la alternativa más adecuada y teóricamente fundamentada para el tipo de problema planteado.</w:t>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color w:val="1a237e"/>
          <w:rtl w:val="0"/>
        </w:rPr>
        <w:t xml:space="preserve">2. Descripción del Dataset</w:t>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color w:val="283593"/>
          <w:rtl w:val="0"/>
        </w:rPr>
        <w:t xml:space="preserve">2.1 Fuente y Características Generales</w:t>
      </w:r>
      <w:r w:rsidDel="00000000" w:rsidR="00000000" w:rsidRPr="00000000">
        <w:rPr>
          <w:rtl w:val="0"/>
        </w:rPr>
      </w:r>
    </w:p>
    <w:p w:rsidR="00000000" w:rsidDel="00000000" w:rsidP="00000000" w:rsidRDefault="00000000" w:rsidRPr="00000000" w14:paraId="00000010">
      <w:pPr>
        <w:spacing w:after="120" w:before="0" w:lineRule="auto"/>
        <w:jc w:val="both"/>
        <w:rPr/>
      </w:pPr>
      <w:r w:rsidDel="00000000" w:rsidR="00000000" w:rsidRPr="00000000">
        <w:rPr>
          <w:b w:val="0"/>
          <w:bCs w:val="0"/>
          <w:i w:val="0"/>
          <w:iCs w:val="0"/>
          <w:sz w:val="22"/>
          <w:szCs w:val="22"/>
          <w:rtl w:val="0"/>
        </w:rPr>
        <w:t xml:space="preserve">El dataset original fue obtenido del portal de Datos Abiertos del Ministerio de Economía de la Nación Argentina (MECON), bajo el título "Precios internacionales de minerales". Se trata de un registro de cotizaciones mensuales de 12 commodities minerales desde enero de 1990 hasta abril de 2026.</w:t>
      </w:r>
      <w:r w:rsidDel="00000000" w:rsidR="00000000" w:rsidRPr="00000000">
        <w:rPr>
          <w:rtl w:val="0"/>
        </w:rPr>
      </w:r>
    </w:p>
    <w:p w:rsidR="00000000" w:rsidDel="00000000" w:rsidP="00000000" w:rsidRDefault="00000000" w:rsidRPr="00000000" w14:paraId="00000011">
      <w:pPr>
        <w:spacing w:after="160" w:before="0" w:lineRule="auto"/>
        <w:jc w:val="both"/>
        <w:rPr/>
      </w:pPr>
      <w:r w:rsidDel="00000000" w:rsidR="00000000" w:rsidRPr="00000000">
        <w:rPr>
          <w:b w:val="1"/>
          <w:bCs w:val="1"/>
          <w:i w:val="0"/>
          <w:iCs w:val="0"/>
          <w:sz w:val="22"/>
          <w:szCs w:val="22"/>
          <w:rtl w:val="0"/>
        </w:rPr>
        <w:t xml:space="preserve">Enlace de acceso: </w:t>
      </w:r>
      <w:r w:rsidDel="00000000" w:rsidR="00000000" w:rsidRPr="00000000">
        <w:rPr>
          <w:b w:val="0"/>
          <w:bCs w:val="0"/>
          <w:i w:val="1"/>
          <w:iCs w:val="1"/>
          <w:color w:val="1565c0"/>
          <w:sz w:val="22"/>
          <w:szCs w:val="22"/>
          <w:rtl w:val="0"/>
        </w:rPr>
        <w:t xml:space="preserve">https://datos.gob.ar/dataset/sspm-precios-internacionales-minerales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color w:val="283593"/>
          <w:rtl w:val="0"/>
        </w:rPr>
        <w:t xml:space="preserve">2.2 Estructura del Dataset Original</w:t>
      </w:r>
      <w:r w:rsidDel="00000000" w:rsidR="00000000" w:rsidRPr="00000000">
        <w:rPr>
          <w:rtl w:val="0"/>
        </w:rPr>
      </w:r>
    </w:p>
    <w:p w:rsidR="00000000" w:rsidDel="00000000" w:rsidP="00000000" w:rsidRDefault="00000000" w:rsidRPr="00000000" w14:paraId="00000013">
      <w:pPr>
        <w:spacing w:after="120" w:before="0" w:lineRule="auto"/>
        <w:jc w:val="both"/>
        <w:rPr>
          <w:b w:val="0"/>
          <w:bCs w:val="0"/>
          <w:i w:val="0"/>
          <w:iCs w:val="0"/>
          <w:sz w:val="22"/>
          <w:szCs w:val="22"/>
        </w:rPr>
      </w:pPr>
      <w:r w:rsidDel="00000000" w:rsidR="00000000" w:rsidRPr="00000000">
        <w:rPr>
          <w:b w:val="0"/>
          <w:bCs w:val="0"/>
          <w:i w:val="0"/>
          <w:iCs w:val="0"/>
          <w:sz w:val="22"/>
          <w:szCs w:val="22"/>
          <w:rtl w:val="0"/>
        </w:rPr>
        <w:t xml:space="preserve">En su forma original, el dataset tiene estructura larga (long format): cada fila representa la cotización de un mineral en un mes determinado. La tabla a continuación describe cada columna:</w:t>
      </w:r>
    </w:p>
    <w:p w:rsidR="00000000" w:rsidDel="00000000" w:rsidP="00000000" w:rsidRDefault="00000000" w:rsidRPr="00000000" w14:paraId="00000014">
      <w:pPr>
        <w:spacing w:after="120" w:before="0" w:lineRule="auto"/>
        <w:jc w:val="both"/>
        <w:rPr/>
      </w:pP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rtl w:val="0"/>
        </w:rPr>
      </w:r>
    </w:p>
    <w:tbl>
      <w:tblPr>
        <w:tblStyle w:val="Table1"/>
        <w:tblW w:w="92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9"/>
        <w:gridCol w:w="3079"/>
        <w:gridCol w:w="3080"/>
        <w:tblGridChange w:id="0">
          <w:tblGrid>
            <w:gridCol w:w="3079"/>
            <w:gridCol w:w="3079"/>
            <w:gridCol w:w="3080"/>
          </w:tblGrid>
        </w:tblGridChange>
      </w:tblGrid>
      <w:tr>
        <w:trPr>
          <w:cantSplit w:val="0"/>
          <w:tblHeader w:val="0"/>
        </w:trPr>
        <w:tc>
          <w:tcPr>
            <w:shd w:fill="1a237e" w:val="clear"/>
            <w:vAlign w:val="center"/>
          </w:tcPr>
          <w:p w:rsidR="00000000" w:rsidDel="00000000" w:rsidP="00000000" w:rsidRDefault="00000000" w:rsidRPr="00000000" w14:paraId="00000016">
            <w:pPr>
              <w:widowControl w:val="1"/>
              <w:spacing w:after="0" w:before="0" w:line="240" w:lineRule="auto"/>
              <w:jc w:val="center"/>
              <w:rPr/>
            </w:pPr>
            <w:r w:rsidDel="00000000" w:rsidR="00000000" w:rsidRPr="00000000">
              <w:rPr>
                <w:b w:val="1"/>
                <w:bCs w:val="1"/>
                <w:color w:val="ffffff"/>
                <w:sz w:val="20"/>
                <w:szCs w:val="20"/>
                <w:rtl w:val="0"/>
              </w:rPr>
              <w:t xml:space="preserve">Columna Original</w:t>
            </w:r>
            <w:r w:rsidDel="00000000" w:rsidR="00000000" w:rsidRPr="00000000">
              <w:rPr>
                <w:rtl w:val="0"/>
              </w:rPr>
            </w:r>
          </w:p>
        </w:tc>
        <w:tc>
          <w:tcPr>
            <w:shd w:fill="1a237e" w:val="clear"/>
            <w:vAlign w:val="center"/>
          </w:tcPr>
          <w:p w:rsidR="00000000" w:rsidDel="00000000" w:rsidP="00000000" w:rsidRDefault="00000000" w:rsidRPr="00000000" w14:paraId="00000017">
            <w:pPr>
              <w:widowControl w:val="1"/>
              <w:spacing w:after="0" w:before="0" w:line="240" w:lineRule="auto"/>
              <w:jc w:val="center"/>
              <w:rPr/>
            </w:pPr>
            <w:r w:rsidDel="00000000" w:rsidR="00000000" w:rsidRPr="00000000">
              <w:rPr>
                <w:b w:val="1"/>
                <w:bCs w:val="1"/>
                <w:color w:val="ffffff"/>
                <w:sz w:val="20"/>
                <w:szCs w:val="20"/>
                <w:rtl w:val="0"/>
              </w:rPr>
              <w:t xml:space="preserve">Tipo de Dato</w:t>
            </w:r>
            <w:r w:rsidDel="00000000" w:rsidR="00000000" w:rsidRPr="00000000">
              <w:rPr>
                <w:rtl w:val="0"/>
              </w:rPr>
            </w:r>
          </w:p>
        </w:tc>
        <w:tc>
          <w:tcPr>
            <w:shd w:fill="1a237e" w:val="clear"/>
            <w:vAlign w:val="center"/>
          </w:tcPr>
          <w:p w:rsidR="00000000" w:rsidDel="00000000" w:rsidP="00000000" w:rsidRDefault="00000000" w:rsidRPr="00000000" w14:paraId="00000018">
            <w:pPr>
              <w:widowControl w:val="1"/>
              <w:spacing w:after="0" w:before="0" w:line="240" w:lineRule="auto"/>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19">
            <w:pPr>
              <w:widowControl w:val="1"/>
              <w:spacing w:after="0" w:before="0" w:line="240" w:lineRule="auto"/>
              <w:jc w:val="center"/>
              <w:rPr/>
            </w:pPr>
            <w:r w:rsidDel="00000000" w:rsidR="00000000" w:rsidRPr="00000000">
              <w:rPr>
                <w:sz w:val="20"/>
                <w:szCs w:val="20"/>
                <w:rtl w:val="0"/>
              </w:rPr>
              <w:t xml:space="preserve">Año</w:t>
            </w:r>
            <w:r w:rsidDel="00000000" w:rsidR="00000000" w:rsidRPr="00000000">
              <w:rPr>
                <w:rtl w:val="0"/>
              </w:rPr>
            </w:r>
          </w:p>
        </w:tc>
        <w:tc>
          <w:tcPr>
            <w:shd w:fill="e8eaf6" w:val="clear"/>
          </w:tcPr>
          <w:p w:rsidR="00000000" w:rsidDel="00000000" w:rsidP="00000000" w:rsidRDefault="00000000" w:rsidRPr="00000000" w14:paraId="0000001A">
            <w:pPr>
              <w:widowControl w:val="1"/>
              <w:spacing w:after="0" w:before="0" w:line="240" w:lineRule="auto"/>
              <w:jc w:val="center"/>
              <w:rPr/>
            </w:pPr>
            <w:r w:rsidDel="00000000" w:rsidR="00000000" w:rsidRPr="00000000">
              <w:rPr>
                <w:sz w:val="20"/>
                <w:szCs w:val="20"/>
                <w:rtl w:val="0"/>
              </w:rPr>
              <w:t xml:space="preserve">int64</w:t>
            </w:r>
            <w:r w:rsidDel="00000000" w:rsidR="00000000" w:rsidRPr="00000000">
              <w:rPr>
                <w:rtl w:val="0"/>
              </w:rPr>
            </w:r>
          </w:p>
        </w:tc>
        <w:tc>
          <w:tcPr>
            <w:shd w:fill="e8eaf6" w:val="clear"/>
          </w:tcPr>
          <w:p w:rsidR="00000000" w:rsidDel="00000000" w:rsidP="00000000" w:rsidRDefault="00000000" w:rsidRPr="00000000" w14:paraId="0000001B">
            <w:pPr>
              <w:widowControl w:val="1"/>
              <w:spacing w:after="0" w:before="0" w:line="240" w:lineRule="auto"/>
              <w:jc w:val="center"/>
              <w:rPr/>
            </w:pPr>
            <w:r w:rsidDel="00000000" w:rsidR="00000000" w:rsidRPr="00000000">
              <w:rPr>
                <w:sz w:val="20"/>
                <w:szCs w:val="20"/>
                <w:rtl w:val="0"/>
              </w:rPr>
              <w:t xml:space="preserve">Año de la observación (rango: 1990 – 2026).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C">
            <w:pPr>
              <w:widowControl w:val="1"/>
              <w:spacing w:after="0" w:before="0" w:line="240" w:lineRule="auto"/>
              <w:jc w:val="center"/>
              <w:rPr/>
            </w:pPr>
            <w:r w:rsidDel="00000000" w:rsidR="00000000" w:rsidRPr="00000000">
              <w:rPr>
                <w:sz w:val="20"/>
                <w:szCs w:val="20"/>
                <w:rtl w:val="0"/>
              </w:rPr>
              <w:t xml:space="preserve">Mes</w:t>
            </w:r>
            <w:r w:rsidDel="00000000" w:rsidR="00000000" w:rsidRPr="00000000">
              <w:rPr>
                <w:rtl w:val="0"/>
              </w:rPr>
            </w:r>
          </w:p>
        </w:tc>
        <w:tc>
          <w:tcPr>
            <w:shd w:fill="ffffff" w:val="clear"/>
          </w:tcPr>
          <w:p w:rsidR="00000000" w:rsidDel="00000000" w:rsidP="00000000" w:rsidRDefault="00000000" w:rsidRPr="00000000" w14:paraId="0000001D">
            <w:pPr>
              <w:widowControl w:val="1"/>
              <w:spacing w:after="0" w:before="0" w:line="240" w:lineRule="auto"/>
              <w:jc w:val="center"/>
              <w:rPr/>
            </w:pPr>
            <w:r w:rsidDel="00000000" w:rsidR="00000000" w:rsidRPr="00000000">
              <w:rPr>
                <w:sz w:val="20"/>
                <w:szCs w:val="20"/>
                <w:rtl w:val="0"/>
              </w:rPr>
              <w:t xml:space="preserve">int64</w:t>
            </w:r>
            <w:r w:rsidDel="00000000" w:rsidR="00000000" w:rsidRPr="00000000">
              <w:rPr>
                <w:rtl w:val="0"/>
              </w:rPr>
            </w:r>
          </w:p>
        </w:tc>
        <w:tc>
          <w:tcPr>
            <w:shd w:fill="ffffff" w:val="clear"/>
          </w:tcPr>
          <w:p w:rsidR="00000000" w:rsidDel="00000000" w:rsidP="00000000" w:rsidRDefault="00000000" w:rsidRPr="00000000" w14:paraId="0000001E">
            <w:pPr>
              <w:widowControl w:val="1"/>
              <w:spacing w:after="0" w:before="0" w:line="240" w:lineRule="auto"/>
              <w:jc w:val="center"/>
              <w:rPr/>
            </w:pPr>
            <w:r w:rsidDel="00000000" w:rsidR="00000000" w:rsidRPr="00000000">
              <w:rPr>
                <w:sz w:val="20"/>
                <w:szCs w:val="20"/>
                <w:rtl w:val="0"/>
              </w:rPr>
              <w:t xml:space="preserve">Mes de la observación (rango: 1 – 12).</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1F">
            <w:pPr>
              <w:widowControl w:val="1"/>
              <w:spacing w:after="0" w:before="0" w:line="240" w:lineRule="auto"/>
              <w:jc w:val="center"/>
              <w:rPr/>
            </w:pPr>
            <w:r w:rsidDel="00000000" w:rsidR="00000000" w:rsidRPr="00000000">
              <w:rPr>
                <w:sz w:val="20"/>
                <w:szCs w:val="20"/>
                <w:rtl w:val="0"/>
              </w:rPr>
              <w:t xml:space="preserve">Fecha</w:t>
            </w:r>
            <w:r w:rsidDel="00000000" w:rsidR="00000000" w:rsidRPr="00000000">
              <w:rPr>
                <w:rtl w:val="0"/>
              </w:rPr>
            </w:r>
          </w:p>
        </w:tc>
        <w:tc>
          <w:tcPr>
            <w:shd w:fill="e8eaf6" w:val="clear"/>
          </w:tcPr>
          <w:p w:rsidR="00000000" w:rsidDel="00000000" w:rsidP="00000000" w:rsidRDefault="00000000" w:rsidRPr="00000000" w14:paraId="00000020">
            <w:pPr>
              <w:widowControl w:val="1"/>
              <w:spacing w:after="0" w:before="0" w:line="240" w:lineRule="auto"/>
              <w:jc w:val="center"/>
              <w:rPr/>
            </w:pPr>
            <w:r w:rsidDel="00000000" w:rsidR="00000000" w:rsidRPr="00000000">
              <w:rPr>
                <w:sz w:val="20"/>
                <w:szCs w:val="20"/>
                <w:rtl w:val="0"/>
              </w:rPr>
              <w:t xml:space="preserve">object (string)</w:t>
            </w:r>
            <w:r w:rsidDel="00000000" w:rsidR="00000000" w:rsidRPr="00000000">
              <w:rPr>
                <w:rtl w:val="0"/>
              </w:rPr>
            </w:r>
          </w:p>
        </w:tc>
        <w:tc>
          <w:tcPr>
            <w:shd w:fill="e8eaf6" w:val="clear"/>
          </w:tcPr>
          <w:p w:rsidR="00000000" w:rsidDel="00000000" w:rsidP="00000000" w:rsidRDefault="00000000" w:rsidRPr="00000000" w14:paraId="00000021">
            <w:pPr>
              <w:widowControl w:val="1"/>
              <w:spacing w:after="0" w:before="0" w:line="240" w:lineRule="auto"/>
              <w:jc w:val="center"/>
              <w:rPr/>
            </w:pPr>
            <w:r w:rsidDel="00000000" w:rsidR="00000000" w:rsidRPr="00000000">
              <w:rPr>
                <w:sz w:val="20"/>
                <w:szCs w:val="20"/>
                <w:rtl w:val="0"/>
              </w:rPr>
              <w:t xml:space="preserve">Identificador temporal en formato YYYYMMM (ej. 2023M05).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2">
            <w:pPr>
              <w:widowControl w:val="1"/>
              <w:spacing w:after="0" w:before="0" w:line="240" w:lineRule="auto"/>
              <w:jc w:val="center"/>
              <w:rPr/>
            </w:pPr>
            <w:r w:rsidDel="00000000" w:rsidR="00000000" w:rsidRPr="00000000">
              <w:rPr>
                <w:sz w:val="20"/>
                <w:szCs w:val="20"/>
                <w:rtl w:val="0"/>
              </w:rPr>
              <w:t xml:space="preserve">Precio</w:t>
            </w:r>
            <w:r w:rsidDel="00000000" w:rsidR="00000000" w:rsidRPr="00000000">
              <w:rPr>
                <w:rtl w:val="0"/>
              </w:rPr>
            </w:r>
          </w:p>
        </w:tc>
        <w:tc>
          <w:tcPr>
            <w:shd w:fill="ffffff" w:val="clear"/>
          </w:tcPr>
          <w:p w:rsidR="00000000" w:rsidDel="00000000" w:rsidP="00000000" w:rsidRDefault="00000000" w:rsidRPr="00000000" w14:paraId="00000023">
            <w:pPr>
              <w:widowControl w:val="1"/>
              <w:spacing w:after="0" w:before="0" w:line="240" w:lineRule="auto"/>
              <w:jc w:val="center"/>
              <w:rPr/>
            </w:pPr>
            <w:r w:rsidDel="00000000" w:rsidR="00000000" w:rsidRPr="00000000">
              <w:rPr>
                <w:sz w:val="20"/>
                <w:szCs w:val="20"/>
                <w:rtl w:val="0"/>
              </w:rPr>
              <w:t xml:space="preserve">float64</w:t>
            </w:r>
            <w:r w:rsidDel="00000000" w:rsidR="00000000" w:rsidRPr="00000000">
              <w:rPr>
                <w:rtl w:val="0"/>
              </w:rPr>
            </w:r>
          </w:p>
        </w:tc>
        <w:tc>
          <w:tcPr>
            <w:shd w:fill="ffffff" w:val="clear"/>
          </w:tcPr>
          <w:p w:rsidR="00000000" w:rsidDel="00000000" w:rsidP="00000000" w:rsidRDefault="00000000" w:rsidRPr="00000000" w14:paraId="00000024">
            <w:pPr>
              <w:widowControl w:val="1"/>
              <w:spacing w:after="0" w:before="0" w:line="240" w:lineRule="auto"/>
              <w:jc w:val="center"/>
              <w:rPr/>
            </w:pPr>
            <w:r w:rsidDel="00000000" w:rsidR="00000000" w:rsidRPr="00000000">
              <w:rPr>
                <w:sz w:val="20"/>
                <w:szCs w:val="20"/>
                <w:rtl w:val="0"/>
              </w:rPr>
              <w:t xml:space="preserve">Valor internacional mensual del mineral (en la unidad indicada).</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25">
            <w:pPr>
              <w:widowControl w:val="1"/>
              <w:spacing w:after="0" w:before="0" w:line="240" w:lineRule="auto"/>
              <w:jc w:val="center"/>
              <w:rPr/>
            </w:pPr>
            <w:r w:rsidDel="00000000" w:rsidR="00000000" w:rsidRPr="00000000">
              <w:rPr>
                <w:sz w:val="20"/>
                <w:szCs w:val="20"/>
                <w:rtl w:val="0"/>
              </w:rPr>
              <w:t xml:space="preserve">Mineral</w:t>
            </w:r>
            <w:r w:rsidDel="00000000" w:rsidR="00000000" w:rsidRPr="00000000">
              <w:rPr>
                <w:rtl w:val="0"/>
              </w:rPr>
            </w:r>
          </w:p>
        </w:tc>
        <w:tc>
          <w:tcPr>
            <w:shd w:fill="e8eaf6" w:val="clear"/>
          </w:tcPr>
          <w:p w:rsidR="00000000" w:rsidDel="00000000" w:rsidP="00000000" w:rsidRDefault="00000000" w:rsidRPr="00000000" w14:paraId="00000026">
            <w:pPr>
              <w:widowControl w:val="1"/>
              <w:spacing w:after="0" w:before="0" w:line="240" w:lineRule="auto"/>
              <w:jc w:val="center"/>
              <w:rPr/>
            </w:pPr>
            <w:r w:rsidDel="00000000" w:rsidR="00000000" w:rsidRPr="00000000">
              <w:rPr>
                <w:sz w:val="20"/>
                <w:szCs w:val="20"/>
                <w:rtl w:val="0"/>
              </w:rPr>
              <w:t xml:space="preserve">object (string)</w:t>
            </w:r>
            <w:r w:rsidDel="00000000" w:rsidR="00000000" w:rsidRPr="00000000">
              <w:rPr>
                <w:rtl w:val="0"/>
              </w:rPr>
            </w:r>
          </w:p>
        </w:tc>
        <w:tc>
          <w:tcPr>
            <w:shd w:fill="e8eaf6" w:val="clear"/>
          </w:tcPr>
          <w:p w:rsidR="00000000" w:rsidDel="00000000" w:rsidP="00000000" w:rsidRDefault="00000000" w:rsidRPr="00000000" w14:paraId="00000027">
            <w:pPr>
              <w:widowControl w:val="1"/>
              <w:spacing w:after="0" w:before="0" w:line="240" w:lineRule="auto"/>
              <w:jc w:val="center"/>
              <w:rPr/>
            </w:pPr>
            <w:r w:rsidDel="00000000" w:rsidR="00000000" w:rsidRPr="00000000">
              <w:rPr>
                <w:sz w:val="20"/>
                <w:szCs w:val="20"/>
                <w:rtl w:val="0"/>
              </w:rPr>
              <w:t xml:space="preserve">Nombre del commodity evaluado (12 categorías distintas).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widowControl w:val="1"/>
              <w:spacing w:after="0" w:before="0" w:line="240" w:lineRule="auto"/>
              <w:jc w:val="center"/>
              <w:rPr/>
            </w:pPr>
            <w:r w:rsidDel="00000000" w:rsidR="00000000" w:rsidRPr="00000000">
              <w:rPr>
                <w:sz w:val="20"/>
                <w:szCs w:val="20"/>
                <w:rtl w:val="0"/>
              </w:rPr>
              <w:t xml:space="preserve">Unidad de medida</w:t>
            </w:r>
            <w:r w:rsidDel="00000000" w:rsidR="00000000" w:rsidRPr="00000000">
              <w:rPr>
                <w:rtl w:val="0"/>
              </w:rPr>
            </w:r>
          </w:p>
        </w:tc>
        <w:tc>
          <w:tcPr>
            <w:shd w:fill="ffffff" w:val="clear"/>
          </w:tcPr>
          <w:p w:rsidR="00000000" w:rsidDel="00000000" w:rsidP="00000000" w:rsidRDefault="00000000" w:rsidRPr="00000000" w14:paraId="00000029">
            <w:pPr>
              <w:widowControl w:val="1"/>
              <w:spacing w:after="0" w:before="0" w:line="240" w:lineRule="auto"/>
              <w:jc w:val="center"/>
              <w:rPr/>
            </w:pPr>
            <w:r w:rsidDel="00000000" w:rsidR="00000000" w:rsidRPr="00000000">
              <w:rPr>
                <w:sz w:val="20"/>
                <w:szCs w:val="20"/>
                <w:rtl w:val="0"/>
              </w:rPr>
              <w:t xml:space="preserve">object (string)</w:t>
            </w:r>
            <w:r w:rsidDel="00000000" w:rsidR="00000000" w:rsidRPr="00000000">
              <w:rPr>
                <w:rtl w:val="0"/>
              </w:rPr>
            </w:r>
          </w:p>
        </w:tc>
        <w:tc>
          <w:tcPr>
            <w:shd w:fill="ffffff" w:val="clear"/>
          </w:tcPr>
          <w:p w:rsidR="00000000" w:rsidDel="00000000" w:rsidP="00000000" w:rsidRDefault="00000000" w:rsidRPr="00000000" w14:paraId="0000002A">
            <w:pPr>
              <w:widowControl w:val="1"/>
              <w:spacing w:after="0" w:before="0" w:line="240" w:lineRule="auto"/>
              <w:jc w:val="center"/>
              <w:rPr/>
            </w:pPr>
            <w:r w:rsidDel="00000000" w:rsidR="00000000" w:rsidRPr="00000000">
              <w:rPr>
                <w:sz w:val="20"/>
                <w:szCs w:val="20"/>
                <w:rtl w:val="0"/>
              </w:rPr>
              <w:t xml:space="preserve">Unidad monetaria y de masa (ej. USD/troy oz, USDT/TM).</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2B">
            <w:pPr>
              <w:widowControl w:val="1"/>
              <w:spacing w:after="0" w:before="0" w:line="240" w:lineRule="auto"/>
              <w:jc w:val="center"/>
              <w:rPr/>
            </w:pPr>
            <w:r w:rsidDel="00000000" w:rsidR="00000000" w:rsidRPr="00000000">
              <w:rPr>
                <w:sz w:val="20"/>
                <w:szCs w:val="20"/>
                <w:rtl w:val="0"/>
              </w:rPr>
              <w:t xml:space="preserve">Numero Índice</w:t>
            </w:r>
            <w:r w:rsidDel="00000000" w:rsidR="00000000" w:rsidRPr="00000000">
              <w:rPr>
                <w:rtl w:val="0"/>
              </w:rPr>
            </w:r>
          </w:p>
        </w:tc>
        <w:tc>
          <w:tcPr>
            <w:shd w:fill="e8eaf6" w:val="clear"/>
          </w:tcPr>
          <w:p w:rsidR="00000000" w:rsidDel="00000000" w:rsidP="00000000" w:rsidRDefault="00000000" w:rsidRPr="00000000" w14:paraId="0000002C">
            <w:pPr>
              <w:widowControl w:val="1"/>
              <w:spacing w:after="0" w:before="0" w:line="240" w:lineRule="auto"/>
              <w:jc w:val="center"/>
              <w:rPr/>
            </w:pPr>
            <w:r w:rsidDel="00000000" w:rsidR="00000000" w:rsidRPr="00000000">
              <w:rPr>
                <w:sz w:val="20"/>
                <w:szCs w:val="20"/>
                <w:rtl w:val="0"/>
              </w:rPr>
              <w:t xml:space="preserve">float64</w:t>
            </w:r>
            <w:r w:rsidDel="00000000" w:rsidR="00000000" w:rsidRPr="00000000">
              <w:rPr>
                <w:rtl w:val="0"/>
              </w:rPr>
            </w:r>
          </w:p>
        </w:tc>
        <w:tc>
          <w:tcPr>
            <w:shd w:fill="e8eaf6" w:val="clear"/>
          </w:tcPr>
          <w:p w:rsidR="00000000" w:rsidDel="00000000" w:rsidP="00000000" w:rsidRDefault="00000000" w:rsidRPr="00000000" w14:paraId="0000002D">
            <w:pPr>
              <w:widowControl w:val="1"/>
              <w:spacing w:after="0" w:before="0" w:line="240" w:lineRule="auto"/>
              <w:jc w:val="center"/>
              <w:rPr/>
            </w:pPr>
            <w:r w:rsidDel="00000000" w:rsidR="00000000" w:rsidRPr="00000000">
              <w:rPr>
                <w:sz w:val="20"/>
                <w:szCs w:val="20"/>
                <w:rtl w:val="0"/>
              </w:rPr>
              <w:t xml:space="preserve">Índice de precios normalizado respecto a un período base.</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160" w:before="0" w:lineRule="auto"/>
        <w:jc w:val="both"/>
        <w:rPr/>
      </w:pPr>
      <w:r w:rsidDel="00000000" w:rsidR="00000000" w:rsidRPr="00000000">
        <w:rPr>
          <w:b w:val="0"/>
          <w:bCs w:val="0"/>
          <w:i w:val="0"/>
          <w:iCs w:val="0"/>
          <w:sz w:val="22"/>
          <w:szCs w:val="22"/>
          <w:rtl w:val="0"/>
        </w:rPr>
        <w:t xml:space="preserve">El dataset contiene un total de 4.886 observaciones y 7 columnas, correspondientes a 12 minerales con series de 436 meses cada una (a excepción del Carbonato de Litio, disponible solo desde 2018).</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color w:val="283593"/>
          <w:rtl w:val="0"/>
        </w:rPr>
        <w:t xml:space="preserve">2.3 Variables Seleccionadas para el Modelado</w:t>
      </w:r>
      <w:r w:rsidDel="00000000" w:rsidR="00000000" w:rsidRPr="00000000">
        <w:rPr>
          <w:rtl w:val="0"/>
        </w:rPr>
      </w:r>
    </w:p>
    <w:p w:rsidR="00000000" w:rsidDel="00000000" w:rsidP="00000000" w:rsidRDefault="00000000" w:rsidRPr="00000000" w14:paraId="00000031">
      <w:pPr>
        <w:spacing w:after="80" w:before="0" w:lineRule="auto"/>
        <w:jc w:val="both"/>
        <w:rPr/>
      </w:pPr>
      <w:r w:rsidDel="00000000" w:rsidR="00000000" w:rsidRPr="00000000">
        <w:rPr>
          <w:b w:val="0"/>
          <w:bCs w:val="0"/>
          <w:i w:val="0"/>
          <w:iCs w:val="0"/>
          <w:sz w:val="22"/>
          <w:szCs w:val="22"/>
          <w:rtl w:val="0"/>
        </w:rPr>
        <w:t xml:space="preserve">A partir del dataset original, se filtraron y trabajaron únicamente los tres minerales pertinentes al problema. La selección de las variables exógenas fue guiada por el Test de Causalidad de Granger, la herramienta estadística adecuada para series temporales: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Test de Causalidad de Granger:</w:t>
      </w:r>
      <w:r w:rsidDel="00000000" w:rsidR="00000000" w:rsidRPr="00000000">
        <w:rPr>
          <w:rtl w:val="0"/>
        </w:rPr>
      </w:r>
    </w:p>
    <w:p w:rsidR="00000000" w:rsidDel="00000000" w:rsidP="00000000" w:rsidRDefault="00000000" w:rsidRPr="00000000" w14:paraId="00000033">
      <w:pPr>
        <w:spacing w:after="160" w:before="0" w:lineRule="auto"/>
        <w:jc w:val="both"/>
        <w:rPr/>
      </w:pPr>
      <w:r w:rsidDel="00000000" w:rsidR="00000000" w:rsidRPr="00000000">
        <w:rPr>
          <w:b w:val="0"/>
          <w:bCs w:val="0"/>
          <w:i w:val="0"/>
          <w:iCs w:val="0"/>
          <w:sz w:val="22"/>
          <w:szCs w:val="22"/>
          <w:rtl w:val="0"/>
        </w:rPr>
        <w:t xml:space="preserve">Verifica si los valores pasados de un mineral contienen información estadísticamente útil para predecir el precio futuro del oro, más allá de lo que el propio oro predice por sí solo. Es la prueba clave para justificar la inclusión de una variable exógena en el modelo.</w:t>
      </w:r>
      <w:r w:rsidDel="00000000" w:rsidR="00000000" w:rsidRPr="00000000">
        <w:rPr>
          <w:rtl w:val="0"/>
        </w:rPr>
      </w:r>
    </w:p>
    <w:tbl>
      <w:tblPr>
        <w:tblStyle w:val="Table2"/>
        <w:tblW w:w="92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9"/>
        <w:gridCol w:w="2309"/>
        <w:gridCol w:w="2309"/>
        <w:gridCol w:w="2309"/>
        <w:tblGridChange w:id="0">
          <w:tblGrid>
            <w:gridCol w:w="2309"/>
            <w:gridCol w:w="2309"/>
            <w:gridCol w:w="2309"/>
            <w:gridCol w:w="2309"/>
          </w:tblGrid>
        </w:tblGridChange>
      </w:tblGrid>
      <w:tr>
        <w:trPr>
          <w:cantSplit w:val="0"/>
          <w:tblHeader w:val="0"/>
        </w:trPr>
        <w:tc>
          <w:tcPr>
            <w:shd w:fill="1a237e" w:val="clear"/>
            <w:vAlign w:val="center"/>
          </w:tcPr>
          <w:p w:rsidR="00000000" w:rsidDel="00000000" w:rsidP="00000000" w:rsidRDefault="00000000" w:rsidRPr="00000000" w14:paraId="00000034">
            <w:pPr>
              <w:widowControl w:val="1"/>
              <w:spacing w:after="0" w:before="0" w:line="240" w:lineRule="auto"/>
              <w:jc w:val="center"/>
              <w:rPr/>
            </w:pPr>
            <w:r w:rsidDel="00000000" w:rsidR="00000000" w:rsidRPr="00000000">
              <w:rPr>
                <w:b w:val="1"/>
                <w:bCs w:val="1"/>
                <w:color w:val="ffffff"/>
                <w:sz w:val="20"/>
                <w:szCs w:val="20"/>
                <w:rtl w:val="0"/>
              </w:rPr>
              <w:t xml:space="preserve">Mineral</w:t>
            </w:r>
            <w:r w:rsidDel="00000000" w:rsidR="00000000" w:rsidRPr="00000000">
              <w:rPr>
                <w:rtl w:val="0"/>
              </w:rPr>
            </w:r>
          </w:p>
        </w:tc>
        <w:tc>
          <w:tcPr>
            <w:shd w:fill="1a237e" w:val="clear"/>
            <w:vAlign w:val="center"/>
          </w:tcPr>
          <w:p w:rsidR="00000000" w:rsidDel="00000000" w:rsidP="00000000" w:rsidRDefault="00000000" w:rsidRPr="00000000" w14:paraId="00000035">
            <w:pPr>
              <w:widowControl w:val="1"/>
              <w:spacing w:after="0" w:before="0" w:line="240" w:lineRule="auto"/>
              <w:jc w:val="center"/>
              <w:rPr/>
            </w:pPr>
            <w:r w:rsidDel="00000000" w:rsidR="00000000" w:rsidRPr="00000000">
              <w:rPr>
                <w:b w:val="1"/>
                <w:bCs w:val="1"/>
                <w:color w:val="ffffff"/>
                <w:sz w:val="20"/>
                <w:szCs w:val="20"/>
                <w:rtl w:val="0"/>
              </w:rPr>
              <w:t xml:space="preserve">Correlación de Pearson (con Oro)</w:t>
            </w:r>
            <w:r w:rsidDel="00000000" w:rsidR="00000000" w:rsidRPr="00000000">
              <w:rPr>
                <w:rtl w:val="0"/>
              </w:rPr>
            </w:r>
          </w:p>
        </w:tc>
        <w:tc>
          <w:tcPr>
            <w:shd w:fill="1a237e" w:val="clear"/>
            <w:vAlign w:val="center"/>
          </w:tcPr>
          <w:p w:rsidR="00000000" w:rsidDel="00000000" w:rsidP="00000000" w:rsidRDefault="00000000" w:rsidRPr="00000000" w14:paraId="00000036">
            <w:pPr>
              <w:widowControl w:val="1"/>
              <w:spacing w:after="0" w:before="0" w:line="240" w:lineRule="auto"/>
              <w:jc w:val="center"/>
              <w:rPr/>
            </w:pPr>
            <w:r w:rsidDel="00000000" w:rsidR="00000000" w:rsidRPr="00000000">
              <w:rPr>
                <w:b w:val="1"/>
                <w:bCs w:val="1"/>
                <w:color w:val="ffffff"/>
                <w:sz w:val="20"/>
                <w:szCs w:val="20"/>
                <w:rtl w:val="0"/>
              </w:rPr>
              <w:t xml:space="preserve">Causalidad de Granger</w:t>
            </w:r>
            <w:r w:rsidDel="00000000" w:rsidR="00000000" w:rsidRPr="00000000">
              <w:rPr>
                <w:rtl w:val="0"/>
              </w:rPr>
            </w:r>
          </w:p>
        </w:tc>
        <w:tc>
          <w:tcPr>
            <w:shd w:fill="1a237e" w:val="clear"/>
            <w:vAlign w:val="center"/>
          </w:tcPr>
          <w:p w:rsidR="00000000" w:rsidDel="00000000" w:rsidP="00000000" w:rsidRDefault="00000000" w:rsidRPr="00000000" w14:paraId="00000037">
            <w:pPr>
              <w:widowControl w:val="1"/>
              <w:spacing w:after="0" w:before="0" w:line="240" w:lineRule="auto"/>
              <w:jc w:val="center"/>
              <w:rPr/>
            </w:pPr>
            <w:r w:rsidDel="00000000" w:rsidR="00000000" w:rsidRPr="00000000">
              <w:rPr>
                <w:b w:val="1"/>
                <w:bCs w:val="1"/>
                <w:color w:val="ffffff"/>
                <w:sz w:val="20"/>
                <w:szCs w:val="20"/>
                <w:rtl w:val="0"/>
              </w:rPr>
              <w:t xml:space="preserve">Decisión</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38">
            <w:pPr>
              <w:widowControl w:val="1"/>
              <w:spacing w:after="0" w:before="0" w:line="240" w:lineRule="auto"/>
              <w:jc w:val="center"/>
              <w:rPr/>
            </w:pPr>
            <w:r w:rsidDel="00000000" w:rsidR="00000000" w:rsidRPr="00000000">
              <w:rPr>
                <w:sz w:val="20"/>
                <w:szCs w:val="20"/>
                <w:rtl w:val="0"/>
              </w:rPr>
              <w:t xml:space="preserve">Plata (Ag)</w:t>
            </w:r>
            <w:r w:rsidDel="00000000" w:rsidR="00000000" w:rsidRPr="00000000">
              <w:rPr>
                <w:rtl w:val="0"/>
              </w:rPr>
            </w:r>
          </w:p>
        </w:tc>
        <w:tc>
          <w:tcPr>
            <w:shd w:fill="e8eaf6" w:val="clear"/>
          </w:tcPr>
          <w:p w:rsidR="00000000" w:rsidDel="00000000" w:rsidP="00000000" w:rsidRDefault="00000000" w:rsidRPr="00000000" w14:paraId="00000039">
            <w:pPr>
              <w:widowControl w:val="1"/>
              <w:spacing w:after="0" w:before="0" w:line="240" w:lineRule="auto"/>
              <w:jc w:val="center"/>
              <w:rPr/>
            </w:pPr>
            <w:r w:rsidDel="00000000" w:rsidR="00000000" w:rsidRPr="00000000">
              <w:rPr>
                <w:sz w:val="20"/>
                <w:szCs w:val="20"/>
                <w:rtl w:val="0"/>
              </w:rPr>
              <w:t xml:space="preserve">0.94 (muy alta)</w:t>
            </w:r>
            <w:r w:rsidDel="00000000" w:rsidR="00000000" w:rsidRPr="00000000">
              <w:rPr>
                <w:rtl w:val="0"/>
              </w:rPr>
            </w:r>
          </w:p>
        </w:tc>
        <w:tc>
          <w:tcPr>
            <w:shd w:fill="e8eaf6" w:val="clear"/>
          </w:tcPr>
          <w:p w:rsidR="00000000" w:rsidDel="00000000" w:rsidP="00000000" w:rsidRDefault="00000000" w:rsidRPr="00000000" w14:paraId="0000003A">
            <w:pPr>
              <w:widowControl w:val="1"/>
              <w:spacing w:after="0" w:before="0" w:line="240" w:lineRule="auto"/>
              <w:jc w:val="center"/>
              <w:rPr/>
            </w:pPr>
            <w:r w:rsidDel="00000000" w:rsidR="00000000" w:rsidRPr="00000000">
              <w:rPr>
                <w:sz w:val="20"/>
                <w:szCs w:val="20"/>
                <w:rtl w:val="0"/>
              </w:rPr>
              <w:t xml:space="preserve">Significativa en todos los lags evaluados (p &lt; 0.001)</w:t>
            </w:r>
            <w:r w:rsidDel="00000000" w:rsidR="00000000" w:rsidRPr="00000000">
              <w:rPr>
                <w:rtl w:val="0"/>
              </w:rPr>
            </w:r>
          </w:p>
        </w:tc>
        <w:tc>
          <w:tcPr>
            <w:shd w:fill="e8eaf6" w:val="clear"/>
          </w:tcPr>
          <w:p w:rsidR="00000000" w:rsidDel="00000000" w:rsidP="00000000" w:rsidRDefault="00000000" w:rsidRPr="00000000" w14:paraId="0000003B">
            <w:pPr>
              <w:widowControl w:val="1"/>
              <w:spacing w:after="0" w:before="0" w:line="240" w:lineRule="auto"/>
              <w:jc w:val="center"/>
              <w:rPr/>
            </w:pPr>
            <w:r w:rsidDel="00000000" w:rsidR="00000000" w:rsidRPr="00000000">
              <w:rPr>
                <w:sz w:val="20"/>
                <w:szCs w:val="20"/>
                <w:rtl w:val="0"/>
              </w:rPr>
              <w:t xml:space="preserve">✅ Incluida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widowControl w:val="1"/>
              <w:spacing w:after="0" w:before="0" w:line="240" w:lineRule="auto"/>
              <w:jc w:val="center"/>
              <w:rPr/>
            </w:pPr>
            <w:r w:rsidDel="00000000" w:rsidR="00000000" w:rsidRPr="00000000">
              <w:rPr>
                <w:sz w:val="20"/>
                <w:szCs w:val="20"/>
                <w:rtl w:val="0"/>
              </w:rPr>
              <w:t xml:space="preserve">Platino (Pt)</w:t>
            </w:r>
            <w:r w:rsidDel="00000000" w:rsidR="00000000" w:rsidRPr="00000000">
              <w:rPr>
                <w:rtl w:val="0"/>
              </w:rPr>
            </w:r>
          </w:p>
        </w:tc>
        <w:tc>
          <w:tcPr>
            <w:shd w:fill="ffffff" w:val="clear"/>
          </w:tcPr>
          <w:p w:rsidR="00000000" w:rsidDel="00000000" w:rsidP="00000000" w:rsidRDefault="00000000" w:rsidRPr="00000000" w14:paraId="0000003D">
            <w:pPr>
              <w:widowControl w:val="1"/>
              <w:spacing w:after="0" w:before="0" w:line="240" w:lineRule="auto"/>
              <w:jc w:val="center"/>
              <w:rPr/>
            </w:pPr>
            <w:r w:rsidDel="00000000" w:rsidR="00000000" w:rsidRPr="00000000">
              <w:rPr>
                <w:sz w:val="20"/>
                <w:szCs w:val="20"/>
                <w:rtl w:val="0"/>
              </w:rPr>
              <w:t xml:space="preserve">Alta</w:t>
            </w:r>
            <w:r w:rsidDel="00000000" w:rsidR="00000000" w:rsidRPr="00000000">
              <w:rPr>
                <w:rtl w:val="0"/>
              </w:rPr>
            </w:r>
          </w:p>
        </w:tc>
        <w:tc>
          <w:tcPr>
            <w:shd w:fill="ffffff" w:val="clear"/>
          </w:tcPr>
          <w:p w:rsidR="00000000" w:rsidDel="00000000" w:rsidP="00000000" w:rsidRDefault="00000000" w:rsidRPr="00000000" w14:paraId="0000003E">
            <w:pPr>
              <w:widowControl w:val="1"/>
              <w:spacing w:after="0" w:before="0" w:line="240" w:lineRule="auto"/>
              <w:jc w:val="center"/>
              <w:rPr/>
            </w:pPr>
            <w:r w:rsidDel="00000000" w:rsidR="00000000" w:rsidRPr="00000000">
              <w:rPr>
                <w:sz w:val="20"/>
                <w:szCs w:val="20"/>
                <w:rtl w:val="0"/>
              </w:rPr>
              <w:t xml:space="preserve">Significativa en lags 1, 2 y 3 (p &lt; 0.05)</w:t>
            </w:r>
            <w:r w:rsidDel="00000000" w:rsidR="00000000" w:rsidRPr="00000000">
              <w:rPr>
                <w:rtl w:val="0"/>
              </w:rPr>
            </w:r>
          </w:p>
        </w:tc>
        <w:tc>
          <w:tcPr>
            <w:shd w:fill="ffffff" w:val="clear"/>
          </w:tcPr>
          <w:p w:rsidR="00000000" w:rsidDel="00000000" w:rsidP="00000000" w:rsidRDefault="00000000" w:rsidRPr="00000000" w14:paraId="0000003F">
            <w:pPr>
              <w:widowControl w:val="1"/>
              <w:spacing w:after="0" w:before="0" w:line="240" w:lineRule="auto"/>
              <w:jc w:val="center"/>
              <w:rPr/>
            </w:pPr>
            <w:r w:rsidDel="00000000" w:rsidR="00000000" w:rsidRPr="00000000">
              <w:rPr>
                <w:sz w:val="20"/>
                <w:szCs w:val="20"/>
                <w:rtl w:val="0"/>
              </w:rPr>
              <w:t xml:space="preserve">✅ Incluida</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40">
            <w:pPr>
              <w:widowControl w:val="1"/>
              <w:spacing w:after="0" w:before="0" w:line="240" w:lineRule="auto"/>
              <w:jc w:val="center"/>
              <w:rPr/>
            </w:pPr>
            <w:r w:rsidDel="00000000" w:rsidR="00000000" w:rsidRPr="00000000">
              <w:rPr>
                <w:sz w:val="20"/>
                <w:szCs w:val="20"/>
                <w:rtl w:val="0"/>
              </w:rPr>
              <w:t xml:space="preserve">Níquel</w:t>
            </w:r>
            <w:r w:rsidDel="00000000" w:rsidR="00000000" w:rsidRPr="00000000">
              <w:rPr>
                <w:rtl w:val="0"/>
              </w:rPr>
            </w:r>
          </w:p>
        </w:tc>
        <w:tc>
          <w:tcPr>
            <w:shd w:fill="e8eaf6" w:val="clear"/>
          </w:tcPr>
          <w:p w:rsidR="00000000" w:rsidDel="00000000" w:rsidP="00000000" w:rsidRDefault="00000000" w:rsidRPr="00000000" w14:paraId="00000041">
            <w:pPr>
              <w:widowControl w:val="1"/>
              <w:spacing w:after="0" w:before="0" w:line="240" w:lineRule="auto"/>
              <w:jc w:val="center"/>
              <w:rPr/>
            </w:pPr>
            <w:r w:rsidDel="00000000" w:rsidR="00000000" w:rsidRPr="00000000">
              <w:rPr>
                <w:sz w:val="20"/>
                <w:szCs w:val="20"/>
                <w:rtl w:val="0"/>
              </w:rPr>
              <w:t xml:space="preserve">Moderada</w:t>
            </w:r>
            <w:r w:rsidDel="00000000" w:rsidR="00000000" w:rsidRPr="00000000">
              <w:rPr>
                <w:rtl w:val="0"/>
              </w:rPr>
            </w:r>
          </w:p>
        </w:tc>
        <w:tc>
          <w:tcPr>
            <w:shd w:fill="e8eaf6" w:val="clear"/>
          </w:tcPr>
          <w:p w:rsidR="00000000" w:rsidDel="00000000" w:rsidP="00000000" w:rsidRDefault="00000000" w:rsidRPr="00000000" w14:paraId="00000042">
            <w:pPr>
              <w:widowControl w:val="1"/>
              <w:spacing w:after="0" w:before="0" w:line="240" w:lineRule="auto"/>
              <w:jc w:val="center"/>
              <w:rPr/>
            </w:pPr>
            <w:r w:rsidDel="00000000" w:rsidR="00000000" w:rsidRPr="00000000">
              <w:rPr>
                <w:sz w:val="20"/>
                <w:szCs w:val="20"/>
                <w:rtl w:val="0"/>
              </w:rPr>
              <w:t xml:space="preserve">No significativa de forma consistente</w:t>
            </w:r>
            <w:r w:rsidDel="00000000" w:rsidR="00000000" w:rsidRPr="00000000">
              <w:rPr>
                <w:rtl w:val="0"/>
              </w:rPr>
            </w:r>
          </w:p>
        </w:tc>
        <w:tc>
          <w:tcPr>
            <w:shd w:fill="e8eaf6" w:val="clear"/>
          </w:tcPr>
          <w:p w:rsidR="00000000" w:rsidDel="00000000" w:rsidP="00000000" w:rsidRDefault="00000000" w:rsidRPr="00000000" w14:paraId="00000043">
            <w:pPr>
              <w:widowControl w:val="1"/>
              <w:spacing w:after="0" w:before="0" w:line="240" w:lineRule="auto"/>
              <w:jc w:val="center"/>
              <w:rPr/>
            </w:pPr>
            <w:r w:rsidDel="00000000" w:rsidR="00000000" w:rsidRPr="00000000">
              <w:rPr>
                <w:sz w:val="20"/>
                <w:szCs w:val="20"/>
                <w:rtl w:val="0"/>
              </w:rPr>
              <w:t xml:space="preserve">❌ Descartado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widowControl w:val="1"/>
              <w:spacing w:after="0" w:before="0" w:line="240" w:lineRule="auto"/>
              <w:jc w:val="center"/>
              <w:rPr/>
            </w:pPr>
            <w:r w:rsidDel="00000000" w:rsidR="00000000" w:rsidRPr="00000000">
              <w:rPr>
                <w:sz w:val="20"/>
                <w:szCs w:val="20"/>
                <w:rtl w:val="0"/>
              </w:rPr>
              <w:t xml:space="preserve">Cobre (Cu)</w:t>
            </w:r>
            <w:r w:rsidDel="00000000" w:rsidR="00000000" w:rsidRPr="00000000">
              <w:rPr>
                <w:rtl w:val="0"/>
              </w:rPr>
            </w:r>
          </w:p>
        </w:tc>
        <w:tc>
          <w:tcPr>
            <w:shd w:fill="ffffff" w:val="clear"/>
          </w:tcPr>
          <w:p w:rsidR="00000000" w:rsidDel="00000000" w:rsidP="00000000" w:rsidRDefault="00000000" w:rsidRPr="00000000" w14:paraId="00000045">
            <w:pPr>
              <w:widowControl w:val="1"/>
              <w:spacing w:after="0" w:before="0" w:line="240" w:lineRule="auto"/>
              <w:jc w:val="center"/>
              <w:rPr/>
            </w:pPr>
            <w:r w:rsidDel="00000000" w:rsidR="00000000" w:rsidRPr="00000000">
              <w:rPr>
                <w:sz w:val="20"/>
                <w:szCs w:val="20"/>
                <w:rtl w:val="0"/>
              </w:rPr>
              <w:t xml:space="preserve">Moderada</w:t>
            </w:r>
            <w:r w:rsidDel="00000000" w:rsidR="00000000" w:rsidRPr="00000000">
              <w:rPr>
                <w:rtl w:val="0"/>
              </w:rPr>
            </w:r>
          </w:p>
        </w:tc>
        <w:tc>
          <w:tcPr>
            <w:shd w:fill="ffffff" w:val="clear"/>
          </w:tcPr>
          <w:p w:rsidR="00000000" w:rsidDel="00000000" w:rsidP="00000000" w:rsidRDefault="00000000" w:rsidRPr="00000000" w14:paraId="00000046">
            <w:pPr>
              <w:widowControl w:val="1"/>
              <w:spacing w:after="0" w:before="0" w:line="240" w:lineRule="auto"/>
              <w:jc w:val="center"/>
              <w:rPr/>
            </w:pPr>
            <w:r w:rsidDel="00000000" w:rsidR="00000000" w:rsidRPr="00000000">
              <w:rPr>
                <w:sz w:val="20"/>
                <w:szCs w:val="20"/>
                <w:rtl w:val="0"/>
              </w:rPr>
              <w:t xml:space="preserve">No significativa de forma consistente</w:t>
            </w:r>
            <w:r w:rsidDel="00000000" w:rsidR="00000000" w:rsidRPr="00000000">
              <w:rPr>
                <w:rtl w:val="0"/>
              </w:rPr>
            </w:r>
          </w:p>
        </w:tc>
        <w:tc>
          <w:tcPr>
            <w:shd w:fill="ffffff" w:val="clear"/>
          </w:tcPr>
          <w:p w:rsidR="00000000" w:rsidDel="00000000" w:rsidP="00000000" w:rsidRDefault="00000000" w:rsidRPr="00000000" w14:paraId="00000047">
            <w:pPr>
              <w:widowControl w:val="1"/>
              <w:spacing w:after="0" w:before="0" w:line="240" w:lineRule="auto"/>
              <w:jc w:val="center"/>
              <w:rPr/>
            </w:pPr>
            <w:r w:rsidDel="00000000" w:rsidR="00000000" w:rsidRPr="00000000">
              <w:rPr>
                <w:sz w:val="20"/>
                <w:szCs w:val="20"/>
                <w:rtl w:val="0"/>
              </w:rPr>
              <w:t xml:space="preserve">❌ Descartado</w:t>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color w:val="283593"/>
          <w:rtl w:val="0"/>
        </w:rPr>
        <w:t xml:space="preserve">2.4 Variables del Modelo ARIMAX</w:t>
      </w:r>
      <w:r w:rsidDel="00000000" w:rsidR="00000000" w:rsidRPr="00000000">
        <w:rPr>
          <w:rtl w:val="0"/>
        </w:rPr>
      </w:r>
    </w:p>
    <w:p w:rsidR="00000000" w:rsidDel="00000000" w:rsidP="00000000" w:rsidRDefault="00000000" w:rsidRPr="00000000" w14:paraId="0000004A">
      <w:pPr>
        <w:spacing w:after="120" w:before="0" w:lineRule="auto"/>
        <w:jc w:val="both"/>
        <w:rPr/>
      </w:pPr>
      <w:r w:rsidDel="00000000" w:rsidR="00000000" w:rsidRPr="00000000">
        <w:rPr>
          <w:b w:val="0"/>
          <w:bCs w:val="0"/>
          <w:i w:val="0"/>
          <w:iCs w:val="0"/>
          <w:sz w:val="22"/>
          <w:szCs w:val="22"/>
          <w:rtl w:val="0"/>
        </w:rPr>
        <w:t xml:space="preserve">Una vez definido el enfoque ARIMAX, las variables del modelo quedan definidas de la siguiente manera:</w:t>
      </w:r>
      <w:r w:rsidDel="00000000" w:rsidR="00000000" w:rsidRPr="00000000">
        <w:rPr>
          <w:rtl w:val="0"/>
        </w:rPr>
      </w:r>
    </w:p>
    <w:p w:rsidR="00000000" w:rsidDel="00000000" w:rsidP="00000000" w:rsidRDefault="00000000" w:rsidRPr="00000000" w14:paraId="0000004B">
      <w:pPr>
        <w:spacing w:after="120" w:before="0" w:lineRule="auto"/>
        <w:jc w:val="both"/>
        <w:rPr/>
      </w:pPr>
      <w:r w:rsidDel="00000000" w:rsidR="00000000" w:rsidRPr="00000000">
        <w:rPr>
          <w:b w:val="1"/>
          <w:bCs w:val="1"/>
          <w:i w:val="0"/>
          <w:iCs w:val="0"/>
          <w:color w:val="1a237e"/>
          <w:sz w:val="22"/>
          <w:szCs w:val="22"/>
          <w:rtl w:val="0"/>
        </w:rPr>
        <w:t xml:space="preserve">Variable Objetivo (Serie principal): Precio del Oro (Au) en USD/troy oz — serie que el modelo ARIMAX modela y pronostica.</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60" w:before="0" w:lineRule="auto"/>
        <w:jc w:val="both"/>
        <w:rPr/>
      </w:pPr>
      <w:r w:rsidDel="00000000" w:rsidR="00000000" w:rsidRPr="00000000">
        <w:rPr>
          <w:b w:val="1"/>
          <w:bCs w:val="1"/>
          <w:i w:val="0"/>
          <w:iCs w:val="0"/>
          <w:color w:val="1a237e"/>
          <w:sz w:val="22"/>
          <w:szCs w:val="22"/>
          <w:rtl w:val="0"/>
        </w:rPr>
        <w:t xml:space="preserve">Variables Exógenas (Componente X de ARIMAX):</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Componente AR/MA — La dinámica propia del precio del Oro queda capturada por los términos autorregresivos (AR) y de media móvil (MA) del propio modelo ARIMAX, cuyos órdenes (p, d, q) se determinarán mediante análisis ACF/PACF y criterios de información (AIC/BIC).</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Plata (Ag) — Variable exógena: seleccionada por presentar causalidad de Granger significativa (p &lt; 0.001) en todos los lags evaluados.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Platino (Pt) — Variable exógena: seleccionada por mostrar causalidad de Granger significativa en los primeros tres lags (p &lt; 0.05).</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tbl>
      <w:tblPr>
        <w:tblStyle w:val="Table3"/>
        <w:tblW w:w="9236.0" w:type="dxa"/>
        <w:jc w:val="center"/>
        <w:tblLayout w:type="fixed"/>
        <w:tblLook w:val="0400"/>
      </w:tblPr>
      <w:tblGrid>
        <w:gridCol w:w="9236"/>
        <w:tblGridChange w:id="0">
          <w:tblGrid>
            <w:gridCol w:w="9236"/>
          </w:tblGrid>
        </w:tblGridChange>
      </w:tblGrid>
      <w:tr>
        <w:trPr>
          <w:cantSplit w:val="0"/>
          <w:tblHeader w:val="0"/>
        </w:trPr>
        <w:tc>
          <w:tcPr>
            <w:tcBorders>
              <w:top w:color="f57f17" w:space="0" w:sz="6" w:val="single"/>
              <w:bottom w:color="f57f17" w:space="0" w:sz="6" w:val="single"/>
            </w:tcBorders>
            <w:shd w:fill="fff8e1" w:val="clear"/>
          </w:tcPr>
          <w:p w:rsidR="00000000" w:rsidDel="00000000" w:rsidP="00000000" w:rsidRDefault="00000000" w:rsidRPr="00000000" w14:paraId="00000052">
            <w:pPr>
              <w:spacing w:after="80" w:before="80" w:lineRule="auto"/>
              <w:jc w:val="both"/>
              <w:rPr/>
            </w:pPr>
            <w:r w:rsidDel="00000000" w:rsidR="00000000" w:rsidRPr="00000000">
              <w:rPr>
                <w:i w:val="1"/>
                <w:iCs w:val="1"/>
                <w:sz w:val="20"/>
                <w:szCs w:val="20"/>
                <w:rtl w:val="0"/>
              </w:rPr>
              <w:t xml:space="preserve">Nota metodológica: La cantidad exacta de lags a incluir (ventana óptima k) se determinará en la siguiente etapa mediante análisis de autocorrelación (ACF/PACF) y validación cruzada temporal (Time Series Split), evitando el data leakage.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color w:val="1a237e"/>
          <w:rtl w:val="0"/>
        </w:rPr>
        <w:t xml:space="preserve">3. Tareas de Limpieza y Análisis Exploratorio</w:t>
      </w:r>
      <w:r w:rsidDel="00000000" w:rsidR="00000000" w:rsidRPr="00000000">
        <w:rPr>
          <w:rtl w:val="0"/>
        </w:rPr>
      </w:r>
    </w:p>
    <w:p w:rsidR="00000000" w:rsidDel="00000000" w:rsidP="00000000" w:rsidRDefault="00000000" w:rsidRPr="00000000" w14:paraId="00000055">
      <w:pPr>
        <w:spacing w:after="160" w:before="0" w:lineRule="auto"/>
        <w:jc w:val="both"/>
        <w:rPr/>
      </w:pPr>
      <w:r w:rsidDel="00000000" w:rsidR="00000000" w:rsidRPr="00000000">
        <w:rPr>
          <w:b w:val="0"/>
          <w:bCs w:val="0"/>
          <w:i w:val="0"/>
          <w:iCs w:val="0"/>
          <w:sz w:val="22"/>
          <w:szCs w:val="22"/>
          <w:rtl w:val="0"/>
        </w:rPr>
        <w:t xml:space="preserve">Previo al modelado con ARIMAX, se ejecutaron las siguientes tareas de auditoría y limpieza sobre el dataset original mediante una libreta de Jupyter Notebook (TP_Aprendizaje_Automático.ipynb):</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color w:val="283593"/>
          <w:rtl w:val="0"/>
        </w:rPr>
        <w:t xml:space="preserve">3.1 Verificación de Nulos y Duplicados</w:t>
      </w:r>
      <w:r w:rsidDel="00000000" w:rsidR="00000000" w:rsidRPr="00000000">
        <w:rPr>
          <w:rtl w:val="0"/>
        </w:rPr>
      </w:r>
    </w:p>
    <w:p w:rsidR="00000000" w:rsidDel="00000000" w:rsidP="00000000" w:rsidRDefault="00000000" w:rsidRPr="00000000" w14:paraId="00000057">
      <w:pPr>
        <w:spacing w:after="80" w:before="0" w:lineRule="auto"/>
        <w:jc w:val="both"/>
        <w:rPr/>
      </w:pPr>
      <w:r w:rsidDel="00000000" w:rsidR="00000000" w:rsidRPr="00000000">
        <w:rPr>
          <w:b w:val="0"/>
          <w:bCs w:val="0"/>
          <w:i w:val="0"/>
          <w:iCs w:val="0"/>
          <w:sz w:val="22"/>
          <w:szCs w:val="22"/>
          <w:rtl w:val="0"/>
        </w:rPr>
        <w:t xml:space="preserve">Se auditó la matriz completa (4.886 observaciones × 7 columnas). El resultado fue: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Valores nulos (missing values): 0 detectados en todas las columnas.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Filas duplicadas: 0 detectadas.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Tipo de dato de cada columna: consistente y acorde a su semántica.</w:t>
      </w:r>
    </w:p>
    <w:p w:rsidR="00000000" w:rsidDel="00000000" w:rsidP="00000000" w:rsidRDefault="00000000" w:rsidRPr="00000000" w14:paraId="0000005B">
      <w:pPr>
        <w:spacing w:after="160" w:before="0" w:lineRule="auto"/>
        <w:jc w:val="both"/>
        <w:rPr/>
      </w:pPr>
      <w:r w:rsidDel="00000000" w:rsidR="00000000" w:rsidRPr="00000000">
        <w:rPr>
          <w:b w:val="0"/>
          <w:bCs w:val="0"/>
          <w:i w:val="0"/>
          <w:iCs w:val="0"/>
          <w:sz w:val="22"/>
          <w:szCs w:val="22"/>
          <w:rtl w:val="0"/>
        </w:rPr>
        <w:t xml:space="preserve">La ausencia de valores faltantes elimina la necesidad de aplicar técnicas de imputación, lo que simplifica el pipeline de preprocesamiento y evita introducir sesgos artificiales en la serie.</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color w:val="283593"/>
          <w:rtl w:val="0"/>
        </w:rPr>
        <w:t xml:space="preserve">3.2 Control de Continuidad Temporal</w:t>
      </w:r>
      <w:r w:rsidDel="00000000" w:rsidR="00000000" w:rsidRPr="00000000">
        <w:rPr>
          <w:rtl w:val="0"/>
        </w:rPr>
      </w:r>
    </w:p>
    <w:p w:rsidR="00000000" w:rsidDel="00000000" w:rsidP="00000000" w:rsidRDefault="00000000" w:rsidRPr="00000000" w14:paraId="0000005D">
      <w:pPr>
        <w:spacing w:after="120" w:before="0" w:lineRule="auto"/>
        <w:jc w:val="both"/>
        <w:rPr/>
      </w:pPr>
      <w:r w:rsidDel="00000000" w:rsidR="00000000" w:rsidRPr="00000000">
        <w:rPr>
          <w:b w:val="0"/>
          <w:bCs w:val="0"/>
          <w:i w:val="0"/>
          <w:iCs w:val="0"/>
          <w:sz w:val="22"/>
          <w:szCs w:val="22"/>
          <w:rtl w:val="0"/>
        </w:rPr>
        <w:t xml:space="preserve">Al tratarse de un problema de modelado de series temporales con ARIMAX, la continuidad de la secuencia mensual es un requisito crítico: ARIMAX asume observaciones igualmente espaciadas en el tiempo. La presencia de saltos temporales invalidaría los parámetros del modelo e introduciría sesgos sistemáticos.</w:t>
      </w:r>
      <w:r w:rsidDel="00000000" w:rsidR="00000000" w:rsidRPr="00000000">
        <w:rPr>
          <w:rtl w:val="0"/>
        </w:rPr>
      </w:r>
    </w:p>
    <w:p w:rsidR="00000000" w:rsidDel="00000000" w:rsidP="00000000" w:rsidRDefault="00000000" w:rsidRPr="00000000" w14:paraId="0000005E">
      <w:pPr>
        <w:spacing w:after="80" w:before="0" w:lineRule="auto"/>
        <w:jc w:val="both"/>
        <w:rPr/>
      </w:pPr>
      <w:r w:rsidDel="00000000" w:rsidR="00000000" w:rsidRPr="00000000">
        <w:rPr>
          <w:b w:val="1"/>
          <w:bCs w:val="1"/>
          <w:i w:val="0"/>
          <w:iCs w:val="0"/>
          <w:sz w:val="22"/>
          <w:szCs w:val="22"/>
          <w:rtl w:val="0"/>
        </w:rPr>
        <w:t xml:space="preserve">Resultado para los tres minerales de interés:</w:t>
      </w:r>
      <w:r w:rsidDel="00000000" w:rsidR="00000000" w:rsidRPr="00000000">
        <w:rPr>
          <w:rtl w:val="0"/>
        </w:rPr>
      </w:r>
    </w:p>
    <w:tbl>
      <w:tblPr>
        <w:tblStyle w:val="Table4"/>
        <w:tblW w:w="92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9"/>
        <w:gridCol w:w="2309"/>
        <w:gridCol w:w="2309"/>
        <w:gridCol w:w="2309"/>
        <w:tblGridChange w:id="0">
          <w:tblGrid>
            <w:gridCol w:w="2309"/>
            <w:gridCol w:w="2309"/>
            <w:gridCol w:w="2309"/>
            <w:gridCol w:w="2309"/>
          </w:tblGrid>
        </w:tblGridChange>
      </w:tblGrid>
      <w:tr>
        <w:trPr>
          <w:cantSplit w:val="0"/>
          <w:tblHeader w:val="0"/>
        </w:trPr>
        <w:tc>
          <w:tcPr>
            <w:shd w:fill="1a237e" w:val="clear"/>
            <w:vAlign w:val="center"/>
          </w:tcPr>
          <w:p w:rsidR="00000000" w:rsidDel="00000000" w:rsidP="00000000" w:rsidRDefault="00000000" w:rsidRPr="00000000" w14:paraId="0000005F">
            <w:pPr>
              <w:widowControl w:val="1"/>
              <w:spacing w:after="0" w:before="0" w:line="240" w:lineRule="auto"/>
              <w:jc w:val="center"/>
              <w:rPr/>
            </w:pPr>
            <w:r w:rsidDel="00000000" w:rsidR="00000000" w:rsidRPr="00000000">
              <w:rPr>
                <w:b w:val="1"/>
                <w:bCs w:val="1"/>
                <w:color w:val="ffffff"/>
                <w:sz w:val="20"/>
                <w:szCs w:val="20"/>
                <w:rtl w:val="0"/>
              </w:rPr>
              <w:t xml:space="preserve">Mineral</w:t>
            </w:r>
            <w:r w:rsidDel="00000000" w:rsidR="00000000" w:rsidRPr="00000000">
              <w:rPr>
                <w:rtl w:val="0"/>
              </w:rPr>
            </w:r>
          </w:p>
        </w:tc>
        <w:tc>
          <w:tcPr>
            <w:shd w:fill="1a237e" w:val="clear"/>
            <w:vAlign w:val="center"/>
          </w:tcPr>
          <w:p w:rsidR="00000000" w:rsidDel="00000000" w:rsidP="00000000" w:rsidRDefault="00000000" w:rsidRPr="00000000" w14:paraId="00000060">
            <w:pPr>
              <w:widowControl w:val="1"/>
              <w:spacing w:after="0" w:before="0" w:line="240" w:lineRule="auto"/>
              <w:jc w:val="center"/>
              <w:rPr/>
            </w:pPr>
            <w:r w:rsidDel="00000000" w:rsidR="00000000" w:rsidRPr="00000000">
              <w:rPr>
                <w:b w:val="1"/>
                <w:bCs w:val="1"/>
                <w:color w:val="ffffff"/>
                <w:sz w:val="20"/>
                <w:szCs w:val="20"/>
                <w:rtl w:val="0"/>
              </w:rPr>
              <w:t xml:space="preserve">Período cubierto</w:t>
            </w:r>
            <w:r w:rsidDel="00000000" w:rsidR="00000000" w:rsidRPr="00000000">
              <w:rPr>
                <w:rtl w:val="0"/>
              </w:rPr>
            </w:r>
          </w:p>
        </w:tc>
        <w:tc>
          <w:tcPr>
            <w:shd w:fill="1a237e" w:val="clear"/>
            <w:vAlign w:val="center"/>
          </w:tcPr>
          <w:p w:rsidR="00000000" w:rsidDel="00000000" w:rsidP="00000000" w:rsidRDefault="00000000" w:rsidRPr="00000000" w14:paraId="00000061">
            <w:pPr>
              <w:widowControl w:val="1"/>
              <w:spacing w:after="0" w:before="0" w:line="240" w:lineRule="auto"/>
              <w:jc w:val="center"/>
              <w:rPr/>
            </w:pPr>
            <w:r w:rsidDel="00000000" w:rsidR="00000000" w:rsidRPr="00000000">
              <w:rPr>
                <w:b w:val="1"/>
                <w:bCs w:val="1"/>
                <w:color w:val="ffffff"/>
                <w:sz w:val="20"/>
                <w:szCs w:val="20"/>
                <w:rtl w:val="0"/>
              </w:rPr>
              <w:t xml:space="preserve">Observaciones</w:t>
            </w:r>
            <w:r w:rsidDel="00000000" w:rsidR="00000000" w:rsidRPr="00000000">
              <w:rPr>
                <w:rtl w:val="0"/>
              </w:rPr>
            </w:r>
          </w:p>
        </w:tc>
        <w:tc>
          <w:tcPr>
            <w:shd w:fill="1a237e" w:val="clear"/>
            <w:vAlign w:val="center"/>
          </w:tcPr>
          <w:p w:rsidR="00000000" w:rsidDel="00000000" w:rsidP="00000000" w:rsidRDefault="00000000" w:rsidRPr="00000000" w14:paraId="00000062">
            <w:pPr>
              <w:widowControl w:val="1"/>
              <w:spacing w:after="0" w:before="0" w:line="240" w:lineRule="auto"/>
              <w:jc w:val="center"/>
              <w:rPr/>
            </w:pPr>
            <w:r w:rsidDel="00000000" w:rsidR="00000000" w:rsidRPr="00000000">
              <w:rPr>
                <w:b w:val="1"/>
                <w:bCs w:val="1"/>
                <w:color w:val="ffffff"/>
                <w:sz w:val="20"/>
                <w:szCs w:val="20"/>
                <w:rtl w:val="0"/>
              </w:rPr>
              <w:t xml:space="preserve">Resultado</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63">
            <w:pPr>
              <w:widowControl w:val="1"/>
              <w:spacing w:after="0" w:before="0" w:line="240" w:lineRule="auto"/>
              <w:jc w:val="center"/>
              <w:rPr/>
            </w:pPr>
            <w:r w:rsidDel="00000000" w:rsidR="00000000" w:rsidRPr="00000000">
              <w:rPr>
                <w:sz w:val="20"/>
                <w:szCs w:val="20"/>
                <w:rtl w:val="0"/>
              </w:rPr>
              <w:t xml:space="preserve">Oro (Au)</w:t>
            </w:r>
            <w:r w:rsidDel="00000000" w:rsidR="00000000" w:rsidRPr="00000000">
              <w:rPr>
                <w:rtl w:val="0"/>
              </w:rPr>
            </w:r>
          </w:p>
        </w:tc>
        <w:tc>
          <w:tcPr>
            <w:shd w:fill="e8eaf6" w:val="clear"/>
          </w:tcPr>
          <w:p w:rsidR="00000000" w:rsidDel="00000000" w:rsidP="00000000" w:rsidRDefault="00000000" w:rsidRPr="00000000" w14:paraId="00000064">
            <w:pPr>
              <w:widowControl w:val="1"/>
              <w:spacing w:after="0" w:before="0" w:line="240" w:lineRule="auto"/>
              <w:jc w:val="center"/>
              <w:rPr/>
            </w:pPr>
            <w:r w:rsidDel="00000000" w:rsidR="00000000" w:rsidRPr="00000000">
              <w:rPr>
                <w:sz w:val="20"/>
                <w:szCs w:val="20"/>
                <w:rtl w:val="0"/>
              </w:rPr>
              <w:t xml:space="preserve">Ene 1990 – Abr 2026</w:t>
            </w:r>
            <w:r w:rsidDel="00000000" w:rsidR="00000000" w:rsidRPr="00000000">
              <w:rPr>
                <w:rtl w:val="0"/>
              </w:rPr>
            </w:r>
          </w:p>
        </w:tc>
        <w:tc>
          <w:tcPr>
            <w:shd w:fill="e8eaf6" w:val="clear"/>
          </w:tcPr>
          <w:p w:rsidR="00000000" w:rsidDel="00000000" w:rsidP="00000000" w:rsidRDefault="00000000" w:rsidRPr="00000000" w14:paraId="00000065">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e8eaf6" w:val="clear"/>
          </w:tcPr>
          <w:p w:rsidR="00000000" w:rsidDel="00000000" w:rsidP="00000000" w:rsidRDefault="00000000" w:rsidRPr="00000000" w14:paraId="00000066">
            <w:pPr>
              <w:widowControl w:val="1"/>
              <w:spacing w:after="0" w:before="0" w:line="240" w:lineRule="auto"/>
              <w:jc w:val="center"/>
              <w:rPr/>
            </w:pPr>
            <w:r w:rsidDel="00000000" w:rsidR="00000000" w:rsidRPr="00000000">
              <w:rPr>
                <w:sz w:val="20"/>
                <w:szCs w:val="20"/>
                <w:rtl w:val="0"/>
              </w:rPr>
              <w:t xml:space="preserve">✅ Serie completa, sin saltos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7">
            <w:pPr>
              <w:widowControl w:val="1"/>
              <w:spacing w:after="0" w:before="0" w:line="240" w:lineRule="auto"/>
              <w:jc w:val="center"/>
              <w:rPr/>
            </w:pPr>
            <w:r w:rsidDel="00000000" w:rsidR="00000000" w:rsidRPr="00000000">
              <w:rPr>
                <w:sz w:val="20"/>
                <w:szCs w:val="20"/>
                <w:rtl w:val="0"/>
              </w:rPr>
              <w:t xml:space="preserve">Plata (Ag)</w:t>
            </w:r>
            <w:r w:rsidDel="00000000" w:rsidR="00000000" w:rsidRPr="00000000">
              <w:rPr>
                <w:rtl w:val="0"/>
              </w:rPr>
            </w:r>
          </w:p>
        </w:tc>
        <w:tc>
          <w:tcPr>
            <w:shd w:fill="ffffff" w:val="clear"/>
          </w:tcPr>
          <w:p w:rsidR="00000000" w:rsidDel="00000000" w:rsidP="00000000" w:rsidRDefault="00000000" w:rsidRPr="00000000" w14:paraId="00000068">
            <w:pPr>
              <w:widowControl w:val="1"/>
              <w:spacing w:after="0" w:before="0" w:line="240" w:lineRule="auto"/>
              <w:jc w:val="center"/>
              <w:rPr/>
            </w:pPr>
            <w:r w:rsidDel="00000000" w:rsidR="00000000" w:rsidRPr="00000000">
              <w:rPr>
                <w:sz w:val="20"/>
                <w:szCs w:val="20"/>
                <w:rtl w:val="0"/>
              </w:rPr>
              <w:t xml:space="preserve">Ene 1990 – Abr 2026</w:t>
            </w:r>
            <w:r w:rsidDel="00000000" w:rsidR="00000000" w:rsidRPr="00000000">
              <w:rPr>
                <w:rtl w:val="0"/>
              </w:rPr>
            </w:r>
          </w:p>
        </w:tc>
        <w:tc>
          <w:tcPr>
            <w:shd w:fill="ffffff" w:val="clear"/>
          </w:tcPr>
          <w:p w:rsidR="00000000" w:rsidDel="00000000" w:rsidP="00000000" w:rsidRDefault="00000000" w:rsidRPr="00000000" w14:paraId="00000069">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ffffff" w:val="clear"/>
          </w:tcPr>
          <w:p w:rsidR="00000000" w:rsidDel="00000000" w:rsidP="00000000" w:rsidRDefault="00000000" w:rsidRPr="00000000" w14:paraId="0000006A">
            <w:pPr>
              <w:widowControl w:val="1"/>
              <w:spacing w:after="0" w:before="0" w:line="240" w:lineRule="auto"/>
              <w:jc w:val="center"/>
              <w:rPr/>
            </w:pPr>
            <w:r w:rsidDel="00000000" w:rsidR="00000000" w:rsidRPr="00000000">
              <w:rPr>
                <w:sz w:val="20"/>
                <w:szCs w:val="20"/>
                <w:rtl w:val="0"/>
              </w:rPr>
              <w:t xml:space="preserve">✅ Serie completa, sin saltos</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6B">
            <w:pPr>
              <w:widowControl w:val="1"/>
              <w:spacing w:after="0" w:before="0" w:line="240" w:lineRule="auto"/>
              <w:jc w:val="center"/>
              <w:rPr/>
            </w:pPr>
            <w:r w:rsidDel="00000000" w:rsidR="00000000" w:rsidRPr="00000000">
              <w:rPr>
                <w:sz w:val="20"/>
                <w:szCs w:val="20"/>
                <w:rtl w:val="0"/>
              </w:rPr>
              <w:t xml:space="preserve">Platino (Pt)</w:t>
            </w:r>
            <w:r w:rsidDel="00000000" w:rsidR="00000000" w:rsidRPr="00000000">
              <w:rPr>
                <w:rtl w:val="0"/>
              </w:rPr>
            </w:r>
          </w:p>
        </w:tc>
        <w:tc>
          <w:tcPr>
            <w:shd w:fill="e8eaf6" w:val="clear"/>
          </w:tcPr>
          <w:p w:rsidR="00000000" w:rsidDel="00000000" w:rsidP="00000000" w:rsidRDefault="00000000" w:rsidRPr="00000000" w14:paraId="0000006C">
            <w:pPr>
              <w:widowControl w:val="1"/>
              <w:spacing w:after="0" w:before="0" w:line="240" w:lineRule="auto"/>
              <w:jc w:val="center"/>
              <w:rPr/>
            </w:pPr>
            <w:r w:rsidDel="00000000" w:rsidR="00000000" w:rsidRPr="00000000">
              <w:rPr>
                <w:sz w:val="20"/>
                <w:szCs w:val="20"/>
                <w:rtl w:val="0"/>
              </w:rPr>
              <w:t xml:space="preserve">Ene 1990 – Abr 2026</w:t>
            </w:r>
            <w:r w:rsidDel="00000000" w:rsidR="00000000" w:rsidRPr="00000000">
              <w:rPr>
                <w:rtl w:val="0"/>
              </w:rPr>
            </w:r>
          </w:p>
        </w:tc>
        <w:tc>
          <w:tcPr>
            <w:shd w:fill="e8eaf6" w:val="clear"/>
          </w:tcPr>
          <w:p w:rsidR="00000000" w:rsidDel="00000000" w:rsidP="00000000" w:rsidRDefault="00000000" w:rsidRPr="00000000" w14:paraId="0000006D">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e8eaf6" w:val="clear"/>
          </w:tcPr>
          <w:p w:rsidR="00000000" w:rsidDel="00000000" w:rsidP="00000000" w:rsidRDefault="00000000" w:rsidRPr="00000000" w14:paraId="0000006E">
            <w:pPr>
              <w:widowControl w:val="1"/>
              <w:spacing w:after="0" w:before="0" w:line="240" w:lineRule="auto"/>
              <w:jc w:val="center"/>
              <w:rPr/>
            </w:pPr>
            <w:r w:rsidDel="00000000" w:rsidR="00000000" w:rsidRPr="00000000">
              <w:rPr>
                <w:sz w:val="20"/>
                <w:szCs w:val="20"/>
                <w:rtl w:val="0"/>
              </w:rPr>
              <w:t xml:space="preserve">✅ Serie completa, sin saltos</w:t>
            </w: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60" w:before="0" w:lineRule="auto"/>
        <w:jc w:val="both"/>
        <w:rPr/>
      </w:pPr>
      <w:r w:rsidDel="00000000" w:rsidR="00000000" w:rsidRPr="00000000">
        <w:rPr>
          <w:b w:val="0"/>
          <w:bCs w:val="0"/>
          <w:i w:val="0"/>
          <w:iCs w:val="0"/>
          <w:sz w:val="22"/>
          <w:szCs w:val="22"/>
          <w:rtl w:val="0"/>
        </w:rPr>
        <w:t xml:space="preserve">El año 2026 figura con solo 4 meses (enero–abril), lo cual es esperado y correcto dado que el dataset fue actualizado hasta dicha fecha. No constituye un salto temporal.</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color w:val="283593"/>
          <w:rtl w:val="0"/>
        </w:rPr>
        <w:t xml:space="preserve">3.3 Análisis de Valores Atípicos (Outliers)</w:t>
      </w:r>
      <w:r w:rsidDel="00000000" w:rsidR="00000000" w:rsidRPr="00000000">
        <w:rPr>
          <w:rtl w:val="0"/>
        </w:rPr>
      </w:r>
    </w:p>
    <w:p w:rsidR="00000000" w:rsidDel="00000000" w:rsidP="00000000" w:rsidRDefault="00000000" w:rsidRPr="00000000" w14:paraId="00000072">
      <w:pPr>
        <w:spacing w:after="80" w:before="0" w:lineRule="auto"/>
        <w:jc w:val="both"/>
        <w:rPr/>
      </w:pPr>
      <w:r w:rsidDel="00000000" w:rsidR="00000000" w:rsidRPr="00000000">
        <w:rPr>
          <w:b w:val="0"/>
          <w:bCs w:val="0"/>
          <w:i w:val="0"/>
          <w:iCs w:val="0"/>
          <w:sz w:val="22"/>
          <w:szCs w:val="22"/>
          <w:rtl w:val="0"/>
        </w:rPr>
        <w:t xml:space="preserve">Mediante la visualización de un diagrama de boxplot agrupado por año, se identificaron picos de volatilidad pronunciados en la cotización del oro, particularmente en:</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2008-2009: crisis financiera global (Lehman Brothers).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2011-2012: máximo histórico previo, impulsado por la crisis de deuda soberana europea.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2020-2022: pandemia COVID-19, posterior estímulo monetario y conflicto en Ucrania.</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2024-2026: nuevo máximo histórico, superando los USD 5.000/troy oz.</w:t>
      </w:r>
    </w:p>
    <w:p w:rsidR="00000000" w:rsidDel="00000000" w:rsidP="00000000" w:rsidRDefault="00000000" w:rsidRPr="00000000" w14:paraId="00000077">
      <w:pPr>
        <w:spacing w:after="160" w:before="0" w:lineRule="auto"/>
        <w:jc w:val="both"/>
        <w:rPr/>
      </w:pPr>
      <w:r w:rsidDel="00000000" w:rsidR="00000000" w:rsidRPr="00000000">
        <w:rPr>
          <w:b w:val="0"/>
          <w:bCs w:val="0"/>
          <w:i w:val="0"/>
          <w:iCs w:val="0"/>
          <w:sz w:val="22"/>
          <w:szCs w:val="22"/>
          <w:rtl w:val="0"/>
        </w:rPr>
        <w:t xml:space="preserve">Estos valores no se imputarán ni eliminarán. Son fluctuaciones reales del mercado financiero con causas macroeconómicas identificables, no errores de medición o carga. Eliminarlos distorsionaría la distribución real del fenómeno y perjudicaría la capacidad predictiva del modelo en contextos de alta volatilidad, que son precisamente los más relevantes para los inversores.</w:t>
      </w:r>
      <w:r w:rsidDel="00000000" w:rsidR="00000000" w:rsidRPr="00000000">
        <w:rPr>
          <w:rtl w:val="0"/>
        </w:rPr>
      </w:r>
    </w:p>
    <w:p w:rsidR="00000000" w:rsidDel="00000000" w:rsidP="00000000" w:rsidRDefault="00000000" w:rsidRPr="00000000" w14:paraId="00000078">
      <w:pPr>
        <w:pStyle w:val="Heading1"/>
        <w:rPr/>
      </w:pPr>
      <w:r w:rsidDel="00000000" w:rsidR="00000000" w:rsidRPr="00000000">
        <w:rPr>
          <w:color w:val="1a237e"/>
          <w:rtl w:val="0"/>
        </w:rPr>
        <w:t xml:space="preserve">4. Estadísticas Descriptivas de las Series Seleccionadas</w:t>
      </w:r>
      <w:r w:rsidDel="00000000" w:rsidR="00000000" w:rsidRPr="00000000">
        <w:rPr>
          <w:rtl w:val="0"/>
        </w:rPr>
      </w:r>
    </w:p>
    <w:p w:rsidR="00000000" w:rsidDel="00000000" w:rsidP="00000000" w:rsidRDefault="00000000" w:rsidRPr="00000000" w14:paraId="00000079">
      <w:pPr>
        <w:spacing w:after="120" w:before="0" w:lineRule="auto"/>
        <w:jc w:val="both"/>
        <w:rPr/>
      </w:pPr>
      <w:r w:rsidDel="00000000" w:rsidR="00000000" w:rsidRPr="00000000">
        <w:rPr>
          <w:b w:val="0"/>
          <w:bCs w:val="0"/>
          <w:i w:val="0"/>
          <w:iCs w:val="0"/>
          <w:sz w:val="22"/>
          <w:szCs w:val="22"/>
          <w:rtl w:val="0"/>
        </w:rPr>
        <w:t xml:space="preserve">A continuación se presenta el resumen estadístico de los tres minerales que integrarán el modelo, calculado sobre la totalidad de sus 436 observaciones mensuales:</w:t>
      </w:r>
      <w:r w:rsidDel="00000000" w:rsidR="00000000" w:rsidRPr="00000000">
        <w:rPr>
          <w:rtl w:val="0"/>
        </w:rPr>
      </w:r>
    </w:p>
    <w:tbl>
      <w:tblPr>
        <w:tblStyle w:val="Table5"/>
        <w:tblW w:w="92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1026"/>
        <w:gridCol w:w="1026"/>
        <w:gridCol w:w="1026"/>
        <w:gridCol w:w="1027"/>
        <w:gridCol w:w="1026"/>
        <w:gridCol w:w="1026"/>
        <w:gridCol w:w="1026"/>
        <w:gridCol w:w="1026"/>
        <w:tblGridChange w:id="0">
          <w:tblGrid>
            <w:gridCol w:w="1025"/>
            <w:gridCol w:w="1026"/>
            <w:gridCol w:w="1026"/>
            <w:gridCol w:w="1026"/>
            <w:gridCol w:w="1027"/>
            <w:gridCol w:w="1026"/>
            <w:gridCol w:w="1026"/>
            <w:gridCol w:w="1026"/>
            <w:gridCol w:w="1026"/>
          </w:tblGrid>
        </w:tblGridChange>
      </w:tblGrid>
      <w:tr>
        <w:trPr>
          <w:cantSplit w:val="0"/>
          <w:tblHeader w:val="0"/>
        </w:trPr>
        <w:tc>
          <w:tcPr>
            <w:shd w:fill="1a237e" w:val="clear"/>
            <w:vAlign w:val="center"/>
          </w:tcPr>
          <w:p w:rsidR="00000000" w:rsidDel="00000000" w:rsidP="00000000" w:rsidRDefault="00000000" w:rsidRPr="00000000" w14:paraId="0000007A">
            <w:pPr>
              <w:widowControl w:val="1"/>
              <w:spacing w:after="0" w:before="0" w:line="240" w:lineRule="auto"/>
              <w:jc w:val="center"/>
              <w:rPr/>
            </w:pPr>
            <w:r w:rsidDel="00000000" w:rsidR="00000000" w:rsidRPr="00000000">
              <w:rPr>
                <w:b w:val="1"/>
                <w:bCs w:val="1"/>
                <w:color w:val="ffffff"/>
                <w:sz w:val="20"/>
                <w:szCs w:val="20"/>
                <w:rtl w:val="0"/>
              </w:rPr>
              <w:t xml:space="preserve">Mineral</w:t>
            </w:r>
            <w:r w:rsidDel="00000000" w:rsidR="00000000" w:rsidRPr="00000000">
              <w:rPr>
                <w:rtl w:val="0"/>
              </w:rPr>
            </w:r>
          </w:p>
        </w:tc>
        <w:tc>
          <w:tcPr>
            <w:shd w:fill="1a237e" w:val="clear"/>
            <w:vAlign w:val="center"/>
          </w:tcPr>
          <w:p w:rsidR="00000000" w:rsidDel="00000000" w:rsidP="00000000" w:rsidRDefault="00000000" w:rsidRPr="00000000" w14:paraId="0000007B">
            <w:pPr>
              <w:widowControl w:val="1"/>
              <w:spacing w:after="0" w:before="0" w:line="240" w:lineRule="auto"/>
              <w:jc w:val="center"/>
              <w:rPr/>
            </w:pPr>
            <w:r w:rsidDel="00000000" w:rsidR="00000000" w:rsidRPr="00000000">
              <w:rPr>
                <w:b w:val="1"/>
                <w:bCs w:val="1"/>
                <w:color w:val="ffffff"/>
                <w:sz w:val="20"/>
                <w:szCs w:val="20"/>
                <w:rtl w:val="0"/>
              </w:rPr>
              <w:t xml:space="preserve">Obs.</w:t>
            </w:r>
            <w:r w:rsidDel="00000000" w:rsidR="00000000" w:rsidRPr="00000000">
              <w:rPr>
                <w:rtl w:val="0"/>
              </w:rPr>
            </w:r>
          </w:p>
        </w:tc>
        <w:tc>
          <w:tcPr>
            <w:shd w:fill="1a237e" w:val="clear"/>
            <w:vAlign w:val="center"/>
          </w:tcPr>
          <w:p w:rsidR="00000000" w:rsidDel="00000000" w:rsidP="00000000" w:rsidRDefault="00000000" w:rsidRPr="00000000" w14:paraId="0000007C">
            <w:pPr>
              <w:widowControl w:val="1"/>
              <w:spacing w:after="0" w:before="0" w:line="240" w:lineRule="auto"/>
              <w:jc w:val="center"/>
              <w:rPr/>
            </w:pPr>
            <w:r w:rsidDel="00000000" w:rsidR="00000000" w:rsidRPr="00000000">
              <w:rPr>
                <w:b w:val="1"/>
                <w:bCs w:val="1"/>
                <w:color w:val="ffffff"/>
                <w:sz w:val="20"/>
                <w:szCs w:val="20"/>
                <w:rtl w:val="0"/>
              </w:rPr>
              <w:t xml:space="preserve">Media (USD)</w:t>
            </w:r>
            <w:r w:rsidDel="00000000" w:rsidR="00000000" w:rsidRPr="00000000">
              <w:rPr>
                <w:rtl w:val="0"/>
              </w:rPr>
            </w:r>
          </w:p>
        </w:tc>
        <w:tc>
          <w:tcPr>
            <w:shd w:fill="1a237e" w:val="clear"/>
            <w:vAlign w:val="center"/>
          </w:tcPr>
          <w:p w:rsidR="00000000" w:rsidDel="00000000" w:rsidP="00000000" w:rsidRDefault="00000000" w:rsidRPr="00000000" w14:paraId="0000007D">
            <w:pPr>
              <w:widowControl w:val="1"/>
              <w:spacing w:after="0" w:before="0" w:line="240" w:lineRule="auto"/>
              <w:jc w:val="center"/>
              <w:rPr/>
            </w:pPr>
            <w:r w:rsidDel="00000000" w:rsidR="00000000" w:rsidRPr="00000000">
              <w:rPr>
                <w:b w:val="1"/>
                <w:bCs w:val="1"/>
                <w:color w:val="ffffff"/>
                <w:sz w:val="20"/>
                <w:szCs w:val="20"/>
                <w:rtl w:val="0"/>
              </w:rPr>
              <w:t xml:space="preserve">Desv. Est.</w:t>
            </w:r>
            <w:r w:rsidDel="00000000" w:rsidR="00000000" w:rsidRPr="00000000">
              <w:rPr>
                <w:rtl w:val="0"/>
              </w:rPr>
            </w:r>
          </w:p>
        </w:tc>
        <w:tc>
          <w:tcPr>
            <w:shd w:fill="1a237e" w:val="clear"/>
            <w:vAlign w:val="center"/>
          </w:tcPr>
          <w:p w:rsidR="00000000" w:rsidDel="00000000" w:rsidP="00000000" w:rsidRDefault="00000000" w:rsidRPr="00000000" w14:paraId="0000007E">
            <w:pPr>
              <w:widowControl w:val="1"/>
              <w:spacing w:after="0" w:before="0" w:line="240" w:lineRule="auto"/>
              <w:jc w:val="center"/>
              <w:rPr/>
            </w:pPr>
            <w:r w:rsidDel="00000000" w:rsidR="00000000" w:rsidRPr="00000000">
              <w:rPr>
                <w:b w:val="1"/>
                <w:bCs w:val="1"/>
                <w:color w:val="ffffff"/>
                <w:sz w:val="20"/>
                <w:szCs w:val="20"/>
                <w:rtl w:val="0"/>
              </w:rPr>
              <w:t xml:space="preserve">Mínimo</w:t>
            </w:r>
            <w:r w:rsidDel="00000000" w:rsidR="00000000" w:rsidRPr="00000000">
              <w:rPr>
                <w:rtl w:val="0"/>
              </w:rPr>
            </w:r>
          </w:p>
        </w:tc>
        <w:tc>
          <w:tcPr>
            <w:shd w:fill="1a237e" w:val="clear"/>
            <w:vAlign w:val="center"/>
          </w:tcPr>
          <w:p w:rsidR="00000000" w:rsidDel="00000000" w:rsidP="00000000" w:rsidRDefault="00000000" w:rsidRPr="00000000" w14:paraId="0000007F">
            <w:pPr>
              <w:widowControl w:val="1"/>
              <w:spacing w:after="0" w:before="0" w:line="240" w:lineRule="auto"/>
              <w:jc w:val="center"/>
              <w:rPr/>
            </w:pPr>
            <w:r w:rsidDel="00000000" w:rsidR="00000000" w:rsidRPr="00000000">
              <w:rPr>
                <w:b w:val="1"/>
                <w:bCs w:val="1"/>
                <w:color w:val="ffffff"/>
                <w:sz w:val="20"/>
                <w:szCs w:val="20"/>
                <w:rtl w:val="0"/>
              </w:rPr>
              <w:t xml:space="preserve">P25</w:t>
            </w:r>
            <w:r w:rsidDel="00000000" w:rsidR="00000000" w:rsidRPr="00000000">
              <w:rPr>
                <w:rtl w:val="0"/>
              </w:rPr>
            </w:r>
          </w:p>
        </w:tc>
        <w:tc>
          <w:tcPr>
            <w:shd w:fill="1a237e" w:val="clear"/>
            <w:vAlign w:val="center"/>
          </w:tcPr>
          <w:p w:rsidR="00000000" w:rsidDel="00000000" w:rsidP="00000000" w:rsidRDefault="00000000" w:rsidRPr="00000000" w14:paraId="00000080">
            <w:pPr>
              <w:widowControl w:val="1"/>
              <w:spacing w:after="0" w:before="0" w:line="240" w:lineRule="auto"/>
              <w:jc w:val="center"/>
              <w:rPr/>
            </w:pPr>
            <w:r w:rsidDel="00000000" w:rsidR="00000000" w:rsidRPr="00000000">
              <w:rPr>
                <w:b w:val="1"/>
                <w:bCs w:val="1"/>
                <w:color w:val="ffffff"/>
                <w:sz w:val="20"/>
                <w:szCs w:val="20"/>
                <w:rtl w:val="0"/>
              </w:rPr>
              <w:t xml:space="preserve">Mediana</w:t>
            </w:r>
            <w:r w:rsidDel="00000000" w:rsidR="00000000" w:rsidRPr="00000000">
              <w:rPr>
                <w:rtl w:val="0"/>
              </w:rPr>
            </w:r>
          </w:p>
        </w:tc>
        <w:tc>
          <w:tcPr>
            <w:shd w:fill="1a237e" w:val="clear"/>
            <w:vAlign w:val="center"/>
          </w:tcPr>
          <w:p w:rsidR="00000000" w:rsidDel="00000000" w:rsidP="00000000" w:rsidRDefault="00000000" w:rsidRPr="00000000" w14:paraId="00000081">
            <w:pPr>
              <w:widowControl w:val="1"/>
              <w:spacing w:after="0" w:before="0" w:line="240" w:lineRule="auto"/>
              <w:jc w:val="center"/>
              <w:rPr/>
            </w:pPr>
            <w:r w:rsidDel="00000000" w:rsidR="00000000" w:rsidRPr="00000000">
              <w:rPr>
                <w:b w:val="1"/>
                <w:bCs w:val="1"/>
                <w:color w:val="ffffff"/>
                <w:sz w:val="20"/>
                <w:szCs w:val="20"/>
                <w:rtl w:val="0"/>
              </w:rPr>
              <w:t xml:space="preserve">P75</w:t>
            </w:r>
            <w:r w:rsidDel="00000000" w:rsidR="00000000" w:rsidRPr="00000000">
              <w:rPr>
                <w:rtl w:val="0"/>
              </w:rPr>
            </w:r>
          </w:p>
        </w:tc>
        <w:tc>
          <w:tcPr>
            <w:shd w:fill="1a237e" w:val="clear"/>
            <w:vAlign w:val="center"/>
          </w:tcPr>
          <w:p w:rsidR="00000000" w:rsidDel="00000000" w:rsidP="00000000" w:rsidRDefault="00000000" w:rsidRPr="00000000" w14:paraId="00000082">
            <w:pPr>
              <w:widowControl w:val="1"/>
              <w:spacing w:after="0" w:before="0" w:line="240" w:lineRule="auto"/>
              <w:jc w:val="center"/>
              <w:rPr/>
            </w:pPr>
            <w:r w:rsidDel="00000000" w:rsidR="00000000" w:rsidRPr="00000000">
              <w:rPr>
                <w:b w:val="1"/>
                <w:bCs w:val="1"/>
                <w:color w:val="ffffff"/>
                <w:sz w:val="20"/>
                <w:szCs w:val="20"/>
                <w:rtl w:val="0"/>
              </w:rPr>
              <w:t xml:space="preserve">Máximo</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83">
            <w:pPr>
              <w:widowControl w:val="1"/>
              <w:spacing w:after="0" w:before="0" w:line="240" w:lineRule="auto"/>
              <w:jc w:val="center"/>
              <w:rPr/>
            </w:pPr>
            <w:r w:rsidDel="00000000" w:rsidR="00000000" w:rsidRPr="00000000">
              <w:rPr>
                <w:sz w:val="20"/>
                <w:szCs w:val="20"/>
                <w:rtl w:val="0"/>
              </w:rPr>
              <w:t xml:space="preserve">Oro (Au) — USD/troy oz</w:t>
            </w:r>
            <w:r w:rsidDel="00000000" w:rsidR="00000000" w:rsidRPr="00000000">
              <w:rPr>
                <w:rtl w:val="0"/>
              </w:rPr>
            </w:r>
          </w:p>
        </w:tc>
        <w:tc>
          <w:tcPr>
            <w:shd w:fill="e8eaf6" w:val="clear"/>
          </w:tcPr>
          <w:p w:rsidR="00000000" w:rsidDel="00000000" w:rsidP="00000000" w:rsidRDefault="00000000" w:rsidRPr="00000000" w14:paraId="00000084">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e8eaf6" w:val="clear"/>
          </w:tcPr>
          <w:p w:rsidR="00000000" w:rsidDel="00000000" w:rsidP="00000000" w:rsidRDefault="00000000" w:rsidRPr="00000000" w14:paraId="00000085">
            <w:pPr>
              <w:widowControl w:val="1"/>
              <w:spacing w:after="0" w:before="0" w:line="240" w:lineRule="auto"/>
              <w:jc w:val="center"/>
              <w:rPr/>
            </w:pPr>
            <w:r w:rsidDel="00000000" w:rsidR="00000000" w:rsidRPr="00000000">
              <w:rPr>
                <w:sz w:val="20"/>
                <w:szCs w:val="20"/>
                <w:rtl w:val="0"/>
              </w:rPr>
              <w:t xml:space="preserve">1.017,15</w:t>
            </w:r>
            <w:r w:rsidDel="00000000" w:rsidR="00000000" w:rsidRPr="00000000">
              <w:rPr>
                <w:rtl w:val="0"/>
              </w:rPr>
            </w:r>
          </w:p>
        </w:tc>
        <w:tc>
          <w:tcPr>
            <w:shd w:fill="e8eaf6" w:val="clear"/>
          </w:tcPr>
          <w:p w:rsidR="00000000" w:rsidDel="00000000" w:rsidP="00000000" w:rsidRDefault="00000000" w:rsidRPr="00000000" w14:paraId="00000086">
            <w:pPr>
              <w:widowControl w:val="1"/>
              <w:spacing w:after="0" w:before="0" w:line="240" w:lineRule="auto"/>
              <w:jc w:val="center"/>
              <w:rPr/>
            </w:pPr>
            <w:r w:rsidDel="00000000" w:rsidR="00000000" w:rsidRPr="00000000">
              <w:rPr>
                <w:sz w:val="20"/>
                <w:szCs w:val="20"/>
                <w:rtl w:val="0"/>
              </w:rPr>
              <w:t xml:space="preserve">821,71</w:t>
            </w:r>
            <w:r w:rsidDel="00000000" w:rsidR="00000000" w:rsidRPr="00000000">
              <w:rPr>
                <w:rtl w:val="0"/>
              </w:rPr>
            </w:r>
          </w:p>
        </w:tc>
        <w:tc>
          <w:tcPr>
            <w:shd w:fill="e8eaf6" w:val="clear"/>
          </w:tcPr>
          <w:p w:rsidR="00000000" w:rsidDel="00000000" w:rsidP="00000000" w:rsidRDefault="00000000" w:rsidRPr="00000000" w14:paraId="00000087">
            <w:pPr>
              <w:widowControl w:val="1"/>
              <w:spacing w:after="0" w:before="0" w:line="240" w:lineRule="auto"/>
              <w:jc w:val="center"/>
              <w:rPr/>
            </w:pPr>
            <w:r w:rsidDel="00000000" w:rsidR="00000000" w:rsidRPr="00000000">
              <w:rPr>
                <w:sz w:val="20"/>
                <w:szCs w:val="20"/>
                <w:rtl w:val="0"/>
              </w:rPr>
              <w:t xml:space="preserve">256,08</w:t>
            </w:r>
            <w:r w:rsidDel="00000000" w:rsidR="00000000" w:rsidRPr="00000000">
              <w:rPr>
                <w:rtl w:val="0"/>
              </w:rPr>
            </w:r>
          </w:p>
        </w:tc>
        <w:tc>
          <w:tcPr>
            <w:shd w:fill="e8eaf6" w:val="clear"/>
          </w:tcPr>
          <w:p w:rsidR="00000000" w:rsidDel="00000000" w:rsidP="00000000" w:rsidRDefault="00000000" w:rsidRPr="00000000" w14:paraId="00000088">
            <w:pPr>
              <w:widowControl w:val="1"/>
              <w:spacing w:after="0" w:before="0" w:line="240" w:lineRule="auto"/>
              <w:jc w:val="center"/>
              <w:rPr/>
            </w:pPr>
            <w:r w:rsidDel="00000000" w:rsidR="00000000" w:rsidRPr="00000000">
              <w:rPr>
                <w:sz w:val="20"/>
                <w:szCs w:val="20"/>
                <w:rtl w:val="0"/>
              </w:rPr>
              <w:t xml:space="preserve">339,55</w:t>
            </w:r>
            <w:r w:rsidDel="00000000" w:rsidR="00000000" w:rsidRPr="00000000">
              <w:rPr>
                <w:rtl w:val="0"/>
              </w:rPr>
            </w:r>
          </w:p>
        </w:tc>
        <w:tc>
          <w:tcPr>
            <w:shd w:fill="e8eaf6" w:val="clear"/>
          </w:tcPr>
          <w:p w:rsidR="00000000" w:rsidDel="00000000" w:rsidP="00000000" w:rsidRDefault="00000000" w:rsidRPr="00000000" w14:paraId="00000089">
            <w:pPr>
              <w:widowControl w:val="1"/>
              <w:spacing w:after="0" w:before="0" w:line="240" w:lineRule="auto"/>
              <w:jc w:val="center"/>
              <w:rPr/>
            </w:pPr>
            <w:r w:rsidDel="00000000" w:rsidR="00000000" w:rsidRPr="00000000">
              <w:rPr>
                <w:sz w:val="20"/>
                <w:szCs w:val="20"/>
                <w:rtl w:val="0"/>
              </w:rPr>
              <w:t xml:space="preserve">686,68</w:t>
            </w:r>
            <w:r w:rsidDel="00000000" w:rsidR="00000000" w:rsidRPr="00000000">
              <w:rPr>
                <w:rtl w:val="0"/>
              </w:rPr>
            </w:r>
          </w:p>
        </w:tc>
        <w:tc>
          <w:tcPr>
            <w:shd w:fill="e8eaf6" w:val="clear"/>
          </w:tcPr>
          <w:p w:rsidR="00000000" w:rsidDel="00000000" w:rsidP="00000000" w:rsidRDefault="00000000" w:rsidRPr="00000000" w14:paraId="0000008A">
            <w:pPr>
              <w:widowControl w:val="1"/>
              <w:spacing w:after="0" w:before="0" w:line="240" w:lineRule="auto"/>
              <w:jc w:val="center"/>
              <w:rPr/>
            </w:pPr>
            <w:r w:rsidDel="00000000" w:rsidR="00000000" w:rsidRPr="00000000">
              <w:rPr>
                <w:sz w:val="20"/>
                <w:szCs w:val="20"/>
                <w:rtl w:val="0"/>
              </w:rPr>
              <w:t xml:space="preserve">1.527,87</w:t>
            </w:r>
            <w:r w:rsidDel="00000000" w:rsidR="00000000" w:rsidRPr="00000000">
              <w:rPr>
                <w:rtl w:val="0"/>
              </w:rPr>
            </w:r>
          </w:p>
        </w:tc>
        <w:tc>
          <w:tcPr>
            <w:shd w:fill="e8eaf6" w:val="clear"/>
          </w:tcPr>
          <w:p w:rsidR="00000000" w:rsidDel="00000000" w:rsidP="00000000" w:rsidRDefault="00000000" w:rsidRPr="00000000" w14:paraId="0000008B">
            <w:pPr>
              <w:widowControl w:val="1"/>
              <w:spacing w:after="0" w:before="0" w:line="240" w:lineRule="auto"/>
              <w:jc w:val="center"/>
              <w:rPr/>
            </w:pPr>
            <w:r w:rsidDel="00000000" w:rsidR="00000000" w:rsidRPr="00000000">
              <w:rPr>
                <w:sz w:val="20"/>
                <w:szCs w:val="20"/>
                <w:rtl w:val="0"/>
              </w:rPr>
              <w:t xml:space="preserve">5.019,97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C">
            <w:pPr>
              <w:widowControl w:val="1"/>
              <w:spacing w:after="0" w:before="0" w:line="240" w:lineRule="auto"/>
              <w:jc w:val="center"/>
              <w:rPr/>
            </w:pPr>
            <w:r w:rsidDel="00000000" w:rsidR="00000000" w:rsidRPr="00000000">
              <w:rPr>
                <w:sz w:val="20"/>
                <w:szCs w:val="20"/>
                <w:rtl w:val="0"/>
              </w:rPr>
              <w:t xml:space="preserve">Plata (Ag) — USD/troy oz</w:t>
            </w:r>
            <w:r w:rsidDel="00000000" w:rsidR="00000000" w:rsidRPr="00000000">
              <w:rPr>
                <w:rtl w:val="0"/>
              </w:rPr>
            </w:r>
          </w:p>
        </w:tc>
        <w:tc>
          <w:tcPr>
            <w:shd w:fill="ffffff" w:val="clear"/>
          </w:tcPr>
          <w:p w:rsidR="00000000" w:rsidDel="00000000" w:rsidP="00000000" w:rsidRDefault="00000000" w:rsidRPr="00000000" w14:paraId="0000008D">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ffffff" w:val="clear"/>
          </w:tcPr>
          <w:p w:rsidR="00000000" w:rsidDel="00000000" w:rsidP="00000000" w:rsidRDefault="00000000" w:rsidRPr="00000000" w14:paraId="0000008E">
            <w:pPr>
              <w:widowControl w:val="1"/>
              <w:spacing w:after="0" w:before="0" w:line="240" w:lineRule="auto"/>
              <w:jc w:val="center"/>
              <w:rPr/>
            </w:pPr>
            <w:r w:rsidDel="00000000" w:rsidR="00000000" w:rsidRPr="00000000">
              <w:rPr>
                <w:sz w:val="20"/>
                <w:szCs w:val="20"/>
                <w:rtl w:val="0"/>
              </w:rPr>
              <w:t xml:space="preserve">14,68</w:t>
            </w:r>
            <w:r w:rsidDel="00000000" w:rsidR="00000000" w:rsidRPr="00000000">
              <w:rPr>
                <w:rtl w:val="0"/>
              </w:rPr>
            </w:r>
          </w:p>
        </w:tc>
        <w:tc>
          <w:tcPr>
            <w:shd w:fill="ffffff" w:val="clear"/>
          </w:tcPr>
          <w:p w:rsidR="00000000" w:rsidDel="00000000" w:rsidP="00000000" w:rsidRDefault="00000000" w:rsidRPr="00000000" w14:paraId="0000008F">
            <w:pPr>
              <w:widowControl w:val="1"/>
              <w:spacing w:after="0" w:before="0" w:line="240" w:lineRule="auto"/>
              <w:jc w:val="center"/>
              <w:rPr/>
            </w:pPr>
            <w:r w:rsidDel="00000000" w:rsidR="00000000" w:rsidRPr="00000000">
              <w:rPr>
                <w:sz w:val="20"/>
                <w:szCs w:val="20"/>
                <w:rtl w:val="0"/>
              </w:rPr>
              <w:t xml:space="preserve">11,92</w:t>
            </w:r>
            <w:r w:rsidDel="00000000" w:rsidR="00000000" w:rsidRPr="00000000">
              <w:rPr>
                <w:rtl w:val="0"/>
              </w:rPr>
            </w:r>
          </w:p>
        </w:tc>
        <w:tc>
          <w:tcPr>
            <w:shd w:fill="ffffff" w:val="clear"/>
          </w:tcPr>
          <w:p w:rsidR="00000000" w:rsidDel="00000000" w:rsidP="00000000" w:rsidRDefault="00000000" w:rsidRPr="00000000" w14:paraId="00000090">
            <w:pPr>
              <w:widowControl w:val="1"/>
              <w:spacing w:after="0" w:before="0" w:line="240" w:lineRule="auto"/>
              <w:jc w:val="center"/>
              <w:rPr/>
            </w:pPr>
            <w:r w:rsidDel="00000000" w:rsidR="00000000" w:rsidRPr="00000000">
              <w:rPr>
                <w:sz w:val="20"/>
                <w:szCs w:val="20"/>
                <w:rtl w:val="0"/>
              </w:rPr>
              <w:t xml:space="preserve">3,65</w:t>
            </w:r>
            <w:r w:rsidDel="00000000" w:rsidR="00000000" w:rsidRPr="00000000">
              <w:rPr>
                <w:rtl w:val="0"/>
              </w:rPr>
            </w:r>
          </w:p>
        </w:tc>
        <w:tc>
          <w:tcPr>
            <w:shd w:fill="ffffff" w:val="clear"/>
          </w:tcPr>
          <w:p w:rsidR="00000000" w:rsidDel="00000000" w:rsidP="00000000" w:rsidRDefault="00000000" w:rsidRPr="00000000" w14:paraId="00000091">
            <w:pPr>
              <w:widowControl w:val="1"/>
              <w:spacing w:after="0" w:before="0" w:line="240" w:lineRule="auto"/>
              <w:jc w:val="center"/>
              <w:rPr/>
            </w:pPr>
            <w:r w:rsidDel="00000000" w:rsidR="00000000" w:rsidRPr="00000000">
              <w:rPr>
                <w:sz w:val="20"/>
                <w:szCs w:val="20"/>
                <w:rtl w:val="0"/>
              </w:rPr>
              <w:t xml:space="preserve">4,89</w:t>
            </w:r>
            <w:r w:rsidDel="00000000" w:rsidR="00000000" w:rsidRPr="00000000">
              <w:rPr>
                <w:rtl w:val="0"/>
              </w:rPr>
            </w:r>
          </w:p>
        </w:tc>
        <w:tc>
          <w:tcPr>
            <w:shd w:fill="ffffff" w:val="clear"/>
          </w:tcPr>
          <w:p w:rsidR="00000000" w:rsidDel="00000000" w:rsidP="00000000" w:rsidRDefault="00000000" w:rsidRPr="00000000" w14:paraId="00000092">
            <w:pPr>
              <w:widowControl w:val="1"/>
              <w:spacing w:after="0" w:before="0" w:line="240" w:lineRule="auto"/>
              <w:jc w:val="center"/>
              <w:rPr/>
            </w:pPr>
            <w:r w:rsidDel="00000000" w:rsidR="00000000" w:rsidRPr="00000000">
              <w:rPr>
                <w:sz w:val="20"/>
                <w:szCs w:val="20"/>
                <w:rtl w:val="0"/>
              </w:rPr>
              <w:t xml:space="preserve">12,55</w:t>
            </w:r>
            <w:r w:rsidDel="00000000" w:rsidR="00000000" w:rsidRPr="00000000">
              <w:rPr>
                <w:rtl w:val="0"/>
              </w:rPr>
            </w:r>
          </w:p>
        </w:tc>
        <w:tc>
          <w:tcPr>
            <w:shd w:fill="ffffff" w:val="clear"/>
          </w:tcPr>
          <w:p w:rsidR="00000000" w:rsidDel="00000000" w:rsidP="00000000" w:rsidRDefault="00000000" w:rsidRPr="00000000" w14:paraId="00000093">
            <w:pPr>
              <w:widowControl w:val="1"/>
              <w:spacing w:after="0" w:before="0" w:line="240" w:lineRule="auto"/>
              <w:jc w:val="center"/>
              <w:rPr/>
            </w:pPr>
            <w:r w:rsidDel="00000000" w:rsidR="00000000" w:rsidRPr="00000000">
              <w:rPr>
                <w:sz w:val="20"/>
                <w:szCs w:val="20"/>
                <w:rtl w:val="0"/>
              </w:rPr>
              <w:t xml:space="preserve">19,87</w:t>
            </w:r>
            <w:r w:rsidDel="00000000" w:rsidR="00000000" w:rsidRPr="00000000">
              <w:rPr>
                <w:rtl w:val="0"/>
              </w:rPr>
            </w:r>
          </w:p>
        </w:tc>
        <w:tc>
          <w:tcPr>
            <w:shd w:fill="ffffff" w:val="clear"/>
          </w:tcPr>
          <w:p w:rsidR="00000000" w:rsidDel="00000000" w:rsidP="00000000" w:rsidRDefault="00000000" w:rsidRPr="00000000" w14:paraId="00000094">
            <w:pPr>
              <w:widowControl w:val="1"/>
              <w:spacing w:after="0" w:before="0" w:line="240" w:lineRule="auto"/>
              <w:jc w:val="center"/>
              <w:rPr/>
            </w:pPr>
            <w:r w:rsidDel="00000000" w:rsidR="00000000" w:rsidRPr="00000000">
              <w:rPr>
                <w:sz w:val="20"/>
                <w:szCs w:val="20"/>
                <w:rtl w:val="0"/>
              </w:rPr>
              <w:t xml:space="preserve">92,06</w:t>
            </w:r>
            <w:r w:rsidDel="00000000" w:rsidR="00000000" w:rsidRPr="00000000">
              <w:rPr>
                <w:rtl w:val="0"/>
              </w:rPr>
            </w:r>
          </w:p>
        </w:tc>
      </w:tr>
      <w:tr>
        <w:trPr>
          <w:cantSplit w:val="0"/>
          <w:tblHeader w:val="0"/>
        </w:trPr>
        <w:tc>
          <w:tcPr>
            <w:shd w:fill="e8eaf6" w:val="clear"/>
          </w:tcPr>
          <w:p w:rsidR="00000000" w:rsidDel="00000000" w:rsidP="00000000" w:rsidRDefault="00000000" w:rsidRPr="00000000" w14:paraId="00000095">
            <w:pPr>
              <w:widowControl w:val="1"/>
              <w:spacing w:after="0" w:before="0" w:line="240" w:lineRule="auto"/>
              <w:jc w:val="center"/>
              <w:rPr/>
            </w:pPr>
            <w:r w:rsidDel="00000000" w:rsidR="00000000" w:rsidRPr="00000000">
              <w:rPr>
                <w:sz w:val="20"/>
                <w:szCs w:val="20"/>
                <w:rtl w:val="0"/>
              </w:rPr>
              <w:t xml:space="preserve">Platino (Pt) — USD/troy oz</w:t>
            </w:r>
            <w:r w:rsidDel="00000000" w:rsidR="00000000" w:rsidRPr="00000000">
              <w:rPr>
                <w:rtl w:val="0"/>
              </w:rPr>
            </w:r>
          </w:p>
        </w:tc>
        <w:tc>
          <w:tcPr>
            <w:shd w:fill="e8eaf6" w:val="clear"/>
          </w:tcPr>
          <w:p w:rsidR="00000000" w:rsidDel="00000000" w:rsidP="00000000" w:rsidRDefault="00000000" w:rsidRPr="00000000" w14:paraId="00000096">
            <w:pPr>
              <w:widowControl w:val="1"/>
              <w:spacing w:after="0" w:before="0" w:line="240" w:lineRule="auto"/>
              <w:jc w:val="center"/>
              <w:rPr/>
            </w:pPr>
            <w:r w:rsidDel="00000000" w:rsidR="00000000" w:rsidRPr="00000000">
              <w:rPr>
                <w:sz w:val="20"/>
                <w:szCs w:val="20"/>
                <w:rtl w:val="0"/>
              </w:rPr>
              <w:t xml:space="preserve">436</w:t>
            </w:r>
            <w:r w:rsidDel="00000000" w:rsidR="00000000" w:rsidRPr="00000000">
              <w:rPr>
                <w:rtl w:val="0"/>
              </w:rPr>
            </w:r>
          </w:p>
        </w:tc>
        <w:tc>
          <w:tcPr>
            <w:shd w:fill="e8eaf6" w:val="clear"/>
          </w:tcPr>
          <w:p w:rsidR="00000000" w:rsidDel="00000000" w:rsidP="00000000" w:rsidRDefault="00000000" w:rsidRPr="00000000" w14:paraId="00000097">
            <w:pPr>
              <w:widowControl w:val="1"/>
              <w:spacing w:after="0" w:before="0" w:line="240" w:lineRule="auto"/>
              <w:jc w:val="center"/>
              <w:rPr/>
            </w:pPr>
            <w:r w:rsidDel="00000000" w:rsidR="00000000" w:rsidRPr="00000000">
              <w:rPr>
                <w:sz w:val="20"/>
                <w:szCs w:val="20"/>
                <w:rtl w:val="0"/>
              </w:rPr>
              <w:t xml:space="preserve">896,19</w:t>
            </w:r>
            <w:r w:rsidDel="00000000" w:rsidR="00000000" w:rsidRPr="00000000">
              <w:rPr>
                <w:rtl w:val="0"/>
              </w:rPr>
            </w:r>
          </w:p>
        </w:tc>
        <w:tc>
          <w:tcPr>
            <w:shd w:fill="e8eaf6" w:val="clear"/>
          </w:tcPr>
          <w:p w:rsidR="00000000" w:rsidDel="00000000" w:rsidP="00000000" w:rsidRDefault="00000000" w:rsidRPr="00000000" w14:paraId="00000098">
            <w:pPr>
              <w:widowControl w:val="1"/>
              <w:spacing w:after="0" w:before="0" w:line="240" w:lineRule="auto"/>
              <w:jc w:val="center"/>
              <w:rPr/>
            </w:pPr>
            <w:r w:rsidDel="00000000" w:rsidR="00000000" w:rsidRPr="00000000">
              <w:rPr>
                <w:sz w:val="20"/>
                <w:szCs w:val="20"/>
                <w:rtl w:val="0"/>
              </w:rPr>
              <w:t xml:space="preserve">444,95</w:t>
            </w:r>
            <w:r w:rsidDel="00000000" w:rsidR="00000000" w:rsidRPr="00000000">
              <w:rPr>
                <w:rtl w:val="0"/>
              </w:rPr>
            </w:r>
          </w:p>
        </w:tc>
        <w:tc>
          <w:tcPr>
            <w:shd w:fill="e8eaf6" w:val="clear"/>
          </w:tcPr>
          <w:p w:rsidR="00000000" w:rsidDel="00000000" w:rsidP="00000000" w:rsidRDefault="00000000" w:rsidRPr="00000000" w14:paraId="00000099">
            <w:pPr>
              <w:widowControl w:val="1"/>
              <w:spacing w:after="0" w:before="0" w:line="240" w:lineRule="auto"/>
              <w:jc w:val="center"/>
              <w:rPr/>
            </w:pPr>
            <w:r w:rsidDel="00000000" w:rsidR="00000000" w:rsidRPr="00000000">
              <w:rPr>
                <w:sz w:val="20"/>
                <w:szCs w:val="20"/>
                <w:rtl w:val="0"/>
              </w:rPr>
              <w:t xml:space="preserve">341,19</w:t>
            </w:r>
            <w:r w:rsidDel="00000000" w:rsidR="00000000" w:rsidRPr="00000000">
              <w:rPr>
                <w:rtl w:val="0"/>
              </w:rPr>
            </w:r>
          </w:p>
        </w:tc>
        <w:tc>
          <w:tcPr>
            <w:shd w:fill="e8eaf6" w:val="clear"/>
          </w:tcPr>
          <w:p w:rsidR="00000000" w:rsidDel="00000000" w:rsidP="00000000" w:rsidRDefault="00000000" w:rsidRPr="00000000" w14:paraId="0000009A">
            <w:pPr>
              <w:widowControl w:val="1"/>
              <w:spacing w:after="0" w:before="0" w:line="240" w:lineRule="auto"/>
              <w:jc w:val="center"/>
              <w:rPr/>
            </w:pPr>
            <w:r w:rsidDel="00000000" w:rsidR="00000000" w:rsidRPr="00000000">
              <w:rPr>
                <w:sz w:val="20"/>
                <w:szCs w:val="20"/>
                <w:rtl w:val="0"/>
              </w:rPr>
              <w:t xml:space="preserve">481,69</w:t>
            </w:r>
            <w:r w:rsidDel="00000000" w:rsidR="00000000" w:rsidRPr="00000000">
              <w:rPr>
                <w:rtl w:val="0"/>
              </w:rPr>
            </w:r>
          </w:p>
        </w:tc>
        <w:tc>
          <w:tcPr>
            <w:shd w:fill="e8eaf6" w:val="clear"/>
          </w:tcPr>
          <w:p w:rsidR="00000000" w:rsidDel="00000000" w:rsidP="00000000" w:rsidRDefault="00000000" w:rsidRPr="00000000" w14:paraId="0000009B">
            <w:pPr>
              <w:widowControl w:val="1"/>
              <w:spacing w:after="0" w:before="0" w:line="240" w:lineRule="auto"/>
              <w:jc w:val="center"/>
              <w:rPr/>
            </w:pPr>
            <w:r w:rsidDel="00000000" w:rsidR="00000000" w:rsidRPr="00000000">
              <w:rPr>
                <w:sz w:val="20"/>
                <w:szCs w:val="20"/>
                <w:rtl w:val="0"/>
              </w:rPr>
              <w:t xml:space="preserve">895,31</w:t>
            </w:r>
            <w:r w:rsidDel="00000000" w:rsidR="00000000" w:rsidRPr="00000000">
              <w:rPr>
                <w:rtl w:val="0"/>
              </w:rPr>
            </w:r>
          </w:p>
        </w:tc>
        <w:tc>
          <w:tcPr>
            <w:shd w:fill="e8eaf6" w:val="clear"/>
          </w:tcPr>
          <w:p w:rsidR="00000000" w:rsidDel="00000000" w:rsidP="00000000" w:rsidRDefault="00000000" w:rsidRPr="00000000" w14:paraId="0000009C">
            <w:pPr>
              <w:widowControl w:val="1"/>
              <w:spacing w:after="0" w:before="0" w:line="240" w:lineRule="auto"/>
              <w:jc w:val="center"/>
              <w:rPr/>
            </w:pPr>
            <w:r w:rsidDel="00000000" w:rsidR="00000000" w:rsidRPr="00000000">
              <w:rPr>
                <w:sz w:val="20"/>
                <w:szCs w:val="20"/>
                <w:rtl w:val="0"/>
              </w:rPr>
              <w:t xml:space="preserve">1.189,50</w:t>
            </w:r>
            <w:r w:rsidDel="00000000" w:rsidR="00000000" w:rsidRPr="00000000">
              <w:rPr>
                <w:rtl w:val="0"/>
              </w:rPr>
            </w:r>
          </w:p>
        </w:tc>
        <w:tc>
          <w:tcPr>
            <w:shd w:fill="e8eaf6" w:val="clear"/>
          </w:tcPr>
          <w:p w:rsidR="00000000" w:rsidDel="00000000" w:rsidP="00000000" w:rsidRDefault="00000000" w:rsidRPr="00000000" w14:paraId="0000009D">
            <w:pPr>
              <w:widowControl w:val="1"/>
              <w:spacing w:after="0" w:before="0" w:line="240" w:lineRule="auto"/>
              <w:jc w:val="center"/>
              <w:rPr/>
            </w:pPr>
            <w:r w:rsidDel="00000000" w:rsidR="00000000" w:rsidRPr="00000000">
              <w:rPr>
                <w:sz w:val="20"/>
                <w:szCs w:val="20"/>
                <w:rtl w:val="0"/>
              </w:rPr>
              <w:t xml:space="preserve">2.433,83</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80" w:before="0" w:lineRule="auto"/>
        <w:jc w:val="both"/>
        <w:rPr/>
      </w:pPr>
      <w:r w:rsidDel="00000000" w:rsidR="00000000" w:rsidRPr="00000000">
        <w:rPr>
          <w:b w:val="1"/>
          <w:bCs w:val="1"/>
          <w:i w:val="0"/>
          <w:iCs w:val="0"/>
          <w:sz w:val="22"/>
          <w:szCs w:val="22"/>
          <w:rtl w:val="0"/>
        </w:rPr>
        <w:t xml:space="preserve">Observaciones relevantes a partir de la estadística descriptiva:</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precio del Oro muestra una desviación estándar cercana a su media (coeficiente de variación ≈ 80,8 %), lo que evidencia una alta dispersión histórica y una fuerte tendencia alcista en el largo plazo.</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Plata presenta el mayor coeficiente de variación relativo a su escala, con un máximo (USD 92,06) que casi quintuplica su valor mediano, impulsado por episodios especulativos puntuales.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Platino, si bien comparte la unidad de medida (USD/troy oz), muestra una distribución más simétrica y menor dispersión relativa, lo que sugiere una dinámica de mercado diferente a la del oro.</w:t>
      </w:r>
    </w:p>
    <w:p w:rsidR="00000000" w:rsidDel="00000000" w:rsidP="00000000" w:rsidRDefault="00000000" w:rsidRPr="00000000" w14:paraId="000000A3">
      <w:pPr>
        <w:pStyle w:val="Heading1"/>
        <w:widowControl w:val="1"/>
        <w:spacing w:line="276" w:lineRule="auto"/>
        <w:rPr>
          <w:color w:val="1a237e"/>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widowControl w:val="1"/>
        <w:spacing w:line="276" w:lineRule="auto"/>
        <w:rPr>
          <w:color w:val="1a237e"/>
        </w:rPr>
      </w:pPr>
      <w:r w:rsidDel="00000000" w:rsidR="00000000" w:rsidRPr="00000000">
        <w:rPr>
          <w:color w:val="1a237e"/>
          <w:rtl w:val="0"/>
        </w:rPr>
        <w:t xml:space="preserve">5. Dataset Final</w:t>
      </w:r>
    </w:p>
    <w:p w:rsidR="00000000" w:rsidDel="00000000" w:rsidP="00000000" w:rsidRDefault="00000000" w:rsidRPr="00000000" w14:paraId="000000A5">
      <w:pPr>
        <w:spacing w:after="160" w:before="0" w:lineRule="auto"/>
        <w:jc w:val="both"/>
        <w:rPr>
          <w:b w:val="0"/>
          <w:bCs w:val="0"/>
          <w:i w:val="0"/>
          <w:iCs w:val="0"/>
        </w:rPr>
      </w:pPr>
      <w:r w:rsidDel="00000000" w:rsidR="00000000" w:rsidRPr="00000000">
        <w:rPr>
          <w:b w:val="0"/>
          <w:bCs w:val="0"/>
          <w:i w:val="0"/>
          <w:iCs w:val="0"/>
          <w:rtl w:val="0"/>
        </w:rPr>
        <w:t xml:space="preserve">Como resultado de las tareas de auditoría y limpieza descritas, el dataset utilizado para el modelado es idéntico al dataset original provisto por el MECON. No fue necesario eliminar observaciones, imputar valores faltantes ni corregir registros erróneos: el conjunto de datos presentó integridad estructural completa desde el inicio. Las 436 observaciones mensuales de cada una de las tres series (Oro, Plata y Platino) se utilizan en su totalidad, sin modificación alguna.</w:t>
      </w:r>
    </w:p>
    <w:sectPr>
      <w:headerReference r:id="rId7" w:type="first"/>
      <w:footerReference r:id="rId8" w:type="default"/>
      <w:footerReference r:id="rId9" w:type="first"/>
      <w:pgSz w:h="15840" w:w="12240" w:orient="portrait"/>
      <w:pgMar w:bottom="2492" w:top="1417" w:left="1587" w:right="1417" w:header="0" w:footer="141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1f3864" w:space="0" w:sz="4" w:val="single"/>
      </w:pBdr>
      <w:spacing w:after="0" w:before="8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color w:val="666666"/>
        <w:sz w:val="16"/>
        <w:szCs w:val="16"/>
        <w:rtl w:val="0"/>
      </w:rPr>
      <w:t xml:space="preserve">TP Grupal · Entrega Inicial · Mayo 2026  |  SIACAM – datos.gob.ar  |  Pag.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7">
    <w:pPr>
      <w:spacing w:after="120" w:before="0" w:line="288" w:lineRule="auto"/>
      <w:ind w:left="0" w:right="0" w:firstLine="0"/>
      <w:rPr>
        <w:rFonts w:ascii="Arial" w:cs="Arial" w:eastAsia="Arial" w:hAnsi="Arial"/>
        <w:b w:val="1"/>
        <w:bCs w:val="1"/>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120" w:line="288" w:lineRule="auto"/>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APRENDIZAJE AUTOMÁTICO</w:t>
    </w:r>
  </w:p>
  <w:p w:rsidR="00000000" w:rsidDel="00000000" w:rsidP="00000000" w:rsidRDefault="00000000" w:rsidRPr="00000000" w14:paraId="000000AA">
    <w:pPr>
      <w:spacing w:after="120" w:line="288" w:lineRule="auto"/>
      <w:jc w:val="right"/>
      <w:rPr/>
    </w:pPr>
    <w:r w:rsidDel="00000000" w:rsidR="00000000" w:rsidRPr="00000000">
      <w:rPr>
        <w:rFonts w:ascii="Arial" w:cs="Arial" w:eastAsia="Arial" w:hAnsi="Arial"/>
        <w:b w:val="1"/>
        <w:bCs w:val="1"/>
        <w:sz w:val="20"/>
        <w:szCs w:val="20"/>
        <w:rtl w:val="0"/>
      </w:rPr>
      <w:t xml:space="preserve">Alumnos: Crenna Giuliano, Pace Bruno,  Pérez Bustos Leonardo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