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p>
    <w:p>
      <w:pPr>
        <w:spacing w:after="120"/>
        <w:jc w:val="center"/>
      </w:pPr>
      <w:r>
        <w:rPr>
          <w:rFonts w:ascii="Georgia" w:cs="Georgia" w:eastAsia="Georgia" w:hAnsi="Georgia"/>
          <w:b/>
          <w:bCs/>
          <w:caps/>
          <w:color w:val="8B6914"/>
          <w:spacing w:val="200"/>
          <w:sz w:val="22"/>
          <w:szCs w:val="22"/>
        </w:rPr>
        <w:t xml:space="preserve">A CRITICAL REVIEW</w:t>
      </w:r>
    </w:p>
    <w:p>
      <w:pPr>
        <w:spacing w:after="80"/>
        <w:jc w:val="center"/>
      </w:pPr>
      <w:r>
        <w:rPr>
          <w:rFonts w:ascii="Georgia" w:cs="Georgia" w:eastAsia="Georgia" w:hAnsi="Georgia"/>
          <w:color w:val="C9A84C"/>
          <w:sz w:val="20"/>
          <w:szCs w:val="20"/>
        </w:rPr>
        <w:t xml:space="preserve">───  ◆  ───</w:t>
      </w:r>
    </w:p>
    <w:p>
      <w:pPr>
        <w:spacing w:after="200"/>
        <w:jc w:val="center"/>
      </w:pPr>
      <w:r>
        <w:rPr>
          <w:rFonts w:ascii="Georgia" w:cs="Georgia" w:eastAsia="Georgia" w:hAnsi="Georgia"/>
          <w:b/>
          <w:bCs/>
          <w:i/>
          <w:iCs/>
          <w:color w:val="1E1610"/>
          <w:sz w:val="44"/>
          <w:szCs w:val="44"/>
        </w:rPr>
        <w:t xml:space="preserve">The Order of the Gilt Frame</w:t>
      </w:r>
    </w:p>
    <w:p>
      <w:pPr>
        <w:spacing w:after="80"/>
        <w:jc w:val="center"/>
      </w:pPr>
      <w:r>
        <w:rPr>
          <w:rFonts w:ascii="Georgia" w:cs="Georgia" w:eastAsia="Georgia" w:hAnsi="Georgia"/>
          <w:i/>
          <w:iCs/>
          <w:color w:val="3D2E1E"/>
          <w:sz w:val="26"/>
          <w:szCs w:val="26"/>
        </w:rPr>
        <w:t xml:space="preserve">Prologue through Chapter 2</w:t>
      </w:r>
    </w:p>
    <w:p>
      <w:pPr>
        <w:spacing w:after="600"/>
        <w:jc w:val="center"/>
      </w:pPr>
      <w:r>
        <w:rPr>
          <w:rFonts w:ascii="Georgia" w:cs="Georgia" w:eastAsia="Georgia" w:hAnsi="Georgia"/>
          <w:color w:val="C9A84C"/>
          <w:sz w:val="20"/>
          <w:szCs w:val="20"/>
        </w:rPr>
        <w:t xml:space="preserve">───  ◆  ───</w:t>
      </w:r>
    </w:p>
    <w:p>
      <w:pPr>
        <w:spacing w:after="120"/>
        <w:jc w:val="center"/>
      </w:pPr>
      <w:r>
        <w:rPr>
          <w:rFonts w:ascii="Georgia" w:cs="Georgia" w:eastAsia="Georgia" w:hAnsi="Georgia"/>
          <w:color w:val="3D2E1E"/>
          <w:sz w:val="22"/>
          <w:szCs w:val="22"/>
        </w:rPr>
        <w:t xml:space="preserve">A narrative critique of the story, worldbuilding, prose,</w:t>
      </w:r>
    </w:p>
    <w:p>
      <w:pPr>
        <w:spacing w:after="200"/>
        <w:jc w:val="center"/>
      </w:pPr>
      <w:r>
        <w:rPr>
          <w:rFonts w:ascii="Georgia" w:cs="Georgia" w:eastAsia="Georgia" w:hAnsi="Georgia"/>
          <w:color w:val="3D2E1E"/>
          <w:sz w:val="22"/>
          <w:szCs w:val="22"/>
        </w:rPr>
        <w:t xml:space="preserve">and dramatic architecture of the opening act</w:t>
      </w:r>
    </w:p>
    <w:p>
      <w:pPr>
        <w:spacing w:after="120" w:before="1200"/>
        <w:jc w:val="center"/>
      </w:pPr>
      <w:r>
        <w:rPr>
          <w:rFonts w:ascii="Georgia" w:cs="Georgia" w:eastAsia="Georgia" w:hAnsi="Georgia"/>
          <w:i/>
          <w:iCs/>
          <w:color w:val="8B6914"/>
          <w:sz w:val="22"/>
          <w:szCs w:val="22"/>
        </w:rPr>
        <w:t xml:space="preserve">February 2026</w:t>
      </w:r>
    </w:p>
    <w:p>
      <w:r>
        <w:br w:type="page"/>
      </w:r>
    </w:p>
    <w:p>
      <w:pPr>
        <w:pStyle w:val="Heading1"/>
      </w:pPr>
      <w:r>
        <w:t xml:space="preserve">Overall Verdict</w:t>
      </w:r>
    </w:p>
    <w:p>
      <w:pPr>
        <w:spacing w:after="200" w:line="300"/>
      </w:pPr>
      <w:r>
        <w:rPr>
          <w:rFonts w:ascii="Georgia" w:cs="Georgia" w:eastAsia="Georgia" w:hAnsi="Georgia"/>
          <w:sz w:val="24"/>
          <w:szCs w:val="24"/>
        </w:rPr>
        <w:t xml:space="preserve">The Order of the Gilt Frame is, at its best, a genuinely original work of interactive fiction—a hybrid of epistolary novel, treasure hunt, and love letter disguised as a secret society thriller. Its ambitions are considerable: to weave real art history, real geography, and real emotional stakes into a story that unfolds not on a page but in the physical world, across months of lived time. In its finest moments—and there are several across these opening chapters—the narrative achieves something rare: it makes the act of looking at a painting feel like an act of courage.</w:t>
      </w:r>
    </w:p>
    <w:p>
      <w:pPr>
        <w:spacing w:after="200" w:line="300"/>
      </w:pPr>
      <w:r>
        <w:rPr>
          <w:rFonts w:ascii="Georgia" w:cs="Georgia" w:eastAsia="Georgia" w:hAnsi="Georgia"/>
          <w:sz w:val="24"/>
          <w:szCs w:val="24"/>
        </w:rPr>
        <w:t xml:space="preserve">This review examines only the completed material: the Prologue, Chapter 1, and Chapter 2, along with the worldbuilding infrastructure (Lore Bible, Oracle system, letter and email templates) that supports them. These three movements constitute the story’s opening act, and getting them right is essential. If the first contact fails to seduce, if the first trial fails to transform, if the first real chapter fails to deepen, then no amount of later brilliance can recover the loss.</w:t>
      </w:r>
    </w:p>
    <w:p>
      <w:pPr>
        <w:spacing w:after="200" w:line="300"/>
      </w:pPr>
      <w:r>
        <w:rPr>
          <w:rFonts w:ascii="Georgia" w:cs="Georgia" w:eastAsia="Georgia" w:hAnsi="Georgia"/>
          <w:sz w:val="24"/>
          <w:szCs w:val="24"/>
        </w:rPr>
        <w:t xml:space="preserve">I will say this plainly: the bones of this opening act are excellent. The flesh needs work in specific, identifiable places.</w:t>
      </w:r>
    </w:p>
    <w:p>
      <w:r>
        <w:br w:type="page"/>
      </w:r>
    </w:p>
    <w:p>
      <w:pPr>
        <w:pStyle w:val="Heading1"/>
      </w:pPr>
      <w:r>
        <w:t xml:space="preserve">I. Premise &amp; Worldbuilding</w:t>
      </w:r>
    </w:p>
    <w:p>
      <w:pPr>
        <w:pStyle w:val="Heading2"/>
      </w:pPr>
      <w:r>
        <w:t xml:space="preserve">The Central Conceit</w:t>
      </w:r>
    </w:p>
    <w:p>
      <w:pPr>
        <w:spacing w:after="200" w:line="300"/>
      </w:pPr>
      <w:r>
        <w:rPr>
          <w:rFonts w:ascii="Georgia" w:cs="Georgia" w:eastAsia="Georgia" w:hAnsi="Georgia"/>
          <w:sz w:val="24"/>
          <w:szCs w:val="24"/>
        </w:rPr>
        <w:t xml:space="preserve">The foundational premise—a secret society that embeds hidden truths in art and architecture, communicating through sealed letters, cryptic SMS, and multi-layered puzzles—is superb. It belongs to the same lineage as Umberto Eco’s Foucault’s Pendulum and Arturo Pérez-Reverte’s The Club Dumas: conspiracies that seduce precisely because the reader (or player, in this case) cannot be certain whether the conspiracy is real or self-imposed.</w:t>
      </w:r>
    </w:p>
    <w:p>
      <w:pPr>
        <w:spacing w:after="200" w:line="300"/>
      </w:pPr>
      <w:r>
        <w:rPr>
          <w:rFonts w:ascii="Georgia" w:cs="Georgia" w:eastAsia="Georgia" w:hAnsi="Georgia"/>
          <w:sz w:val="24"/>
          <w:szCs w:val="24"/>
        </w:rPr>
        <w:t xml:space="preserve">The decision to root the Order’s mythology in Impressionism rather than the usual occult fare (Templars, Illuminati, alchemical gold) is inspired. It gives the narrative an intellectual dignity that most ARGs lack entirely. The central philosophical claim—that “the art is the secret”—is genuinely moving. The idea that Monet’s thirty haystacks were not artistic exercises but systematic documentation of a fleeting truth positions the entire Impressionist movement as a vast, coordinated act of preservation. That is a beautiful conceit, and these opening chapters do the work of laying its foundation.</w:t>
      </w:r>
    </w:p>
    <w:p>
      <w:pPr>
        <w:pStyle w:val="Heading2"/>
      </w:pPr>
      <w:r>
        <w:t xml:space="preserve">The Lore Bible &amp; Oracle System</w:t>
      </w:r>
    </w:p>
    <w:p>
      <w:pPr>
        <w:spacing w:after="200" w:line="300"/>
      </w:pPr>
      <w:r>
        <w:rPr>
          <w:rFonts w:ascii="Georgia" w:cs="Georgia" w:eastAsia="Georgia" w:hAnsi="Georgia"/>
          <w:sz w:val="24"/>
          <w:szCs w:val="24"/>
        </w:rPr>
        <w:t xml:space="preserve">The Lore Bible—the pre-written knowledge base powering the Oracle—demonstrates real craft. The voice of the Council of Whispers is consistent, authoritative, and genuinely pleasurable to read. Lines like “We were old when Florence was young” and “Reality is not the Order’s concern. Seeing is” land with the right mixture of grandiosity and earned conviction. The deflection responses for meta-questions (“Is this a game?”, “Is my husband behind this?”) are particularly well-handled; they maintain the fourth wall without ever feeling defensive.</w:t>
      </w:r>
    </w:p>
    <w:p>
      <w:pPr>
        <w:spacing w:after="200" w:line="300"/>
      </w:pPr>
      <w:r>
        <w:rPr>
          <w:rFonts w:ascii="Georgia" w:cs="Georgia" w:eastAsia="Georgia" w:hAnsi="Georgia"/>
          <w:sz w:val="24"/>
          <w:szCs w:val="24"/>
        </w:rPr>
        <w:t xml:space="preserve">The progressive knowledge system—where the Oracle literally cannot reference information the player hasn’t unlocked—is an elegant structural choice. It turns the AI’s limitations into a narrative feature: the Oracle’s cryptic evasions are not bugs, they are lore. This is the kind of design decision that reveals a storyteller thinking in systems rather than just in scenes.</w:t>
      </w:r>
    </w:p>
    <w:p>
      <w:pPr>
        <w:spacing w:after="200" w:line="300"/>
      </w:pPr>
      <w:r>
        <w:rPr>
          <w:rFonts w:ascii="Georgia" w:cs="Georgia" w:eastAsia="Georgia" w:hAnsi="Georgia"/>
          <w:sz w:val="24"/>
          <w:szCs w:val="24"/>
        </w:rPr>
        <w:t xml:space="preserve">However, the worldbuilding suffers from a problem common to secret society fiction: it is a mythology built backward from its conclusions. The Order has existed “since before it mattered to count,” yet its operational vocabulary (Sparrows, Markers, the Sight, the Gilt Frame as threshold) is remarkably cohesive for an organization spanning millennia and continents. There is no schism, no heresy, no internal dissent. The Council of Whispers speaks with one voice across centuries.</w:t>
      </w:r>
    </w:p>
    <w:p>
      <w:pPr>
        <w:spacing w:after="200" w:line="300"/>
      </w:pPr>
      <w:r>
        <w:rPr>
          <w:rFonts w:ascii="Georgia" w:cs="Georgia" w:eastAsia="Georgia" w:hAnsi="Georgia"/>
          <w:sz w:val="24"/>
          <w:szCs w:val="24"/>
        </w:rPr>
        <w:t xml:space="preserve">Real secret societies fracture. The Freemasons have rival Grand Lodges. The Catholic Church had antipopes. Even the fictional Priory of Sion in The Da Vinci Code carries the scars of internal conflict. The Order of the Gilt Frame, by contrast, is immaculate. This diminishes its believability, and more critically, it robs the narrative of a potential source of dramatic tension that these opening chapters could seed—even subtly. A single line in the Prologue letter suggesting that not all Council members agreed on Christine’s selection would add a dimension of political texture that the current worldbuilding lacks entirely.</w:t>
      </w:r>
    </w:p>
    <w:p>
      <w:pPr>
        <w:pStyle w:val="Heading2"/>
      </w:pPr>
      <w:r>
        <w:t xml:space="preserve">The Blindness Pattern: A Powerful Engine That Needs a Driver</w:t>
      </w:r>
    </w:p>
    <w:p>
      <w:pPr>
        <w:spacing w:after="200" w:line="300"/>
      </w:pPr>
      <w:r>
        <w:rPr>
          <w:rFonts w:ascii="Georgia" w:cs="Georgia" w:eastAsia="Georgia" w:hAnsi="Georgia"/>
          <w:sz w:val="24"/>
          <w:szCs w:val="24"/>
        </w:rPr>
        <w:t xml:space="preserve">The recurring motif of visionaries being blinded and then killed—Kellogg, Cassatt, the unnamed “previous Sparrow”—is the story’s most potent dramatic engine, and it is established almost entirely within these first two chapters. The Oracle’s system prompt codifies it: “Blinding is preferred because it is quiet. Killing is a last resort.” The Chapter 2 debrief email makes it explicit: “The sight is taken from those who see too much.”</w:t>
      </w:r>
    </w:p>
    <w:p>
      <w:pPr>
        <w:spacing w:after="200" w:line="300"/>
      </w:pPr>
      <w:r>
        <w:rPr>
          <w:rFonts w:ascii="Georgia" w:cs="Georgia" w:eastAsia="Georgia" w:hAnsi="Georgia"/>
          <w:sz w:val="24"/>
          <w:szCs w:val="24"/>
        </w:rPr>
        <w:t xml:space="preserve">This is genuinely chilling, and the pattern is well-calibrated across the opening act: Chapter 1 introduces it through Kellogg (a real historical figure whose blindness and death are reframed as Order mythology), and Chapter 2 reinforces it through Cassatt (whose real-life vision loss gains sinister new meaning). The escalation is subtle and effective.</w:t>
      </w:r>
    </w:p>
    <w:p>
      <w:pPr>
        <w:spacing w:after="200" w:line="300"/>
      </w:pPr>
      <w:r>
        <w:rPr>
          <w:rFonts w:ascii="Georgia" w:cs="Georgia" w:eastAsia="Georgia" w:hAnsi="Georgia"/>
          <w:sz w:val="24"/>
          <w:szCs w:val="24"/>
        </w:rPr>
        <w:t xml:space="preserve">But by the end of Chapter 2, the player has been told three times that seeing is dangerous without experiencing any danger herself. The antagonist remains entirely unnamed and abstract. This is appropriate for an opening act—you do not reveal the villain in Act One. But the pattern needs to do more than repeat. Each iteration should add a new dimension: not just “another person was blinded,” but a detail that changes Christine’s understanding of the threat. The KIA warning embedded in the Oracle prompt—a moment of genuine, uncharacteristic urgency—is exactly the right kind of escalation. That energy should find its way into the player-facing narrative sooner rather than later.</w:t>
      </w:r>
    </w:p>
    <w:p>
      <w:r>
        <w:br w:type="page"/>
      </w:r>
    </w:p>
    <w:p>
      <w:pPr>
        <w:pStyle w:val="Heading1"/>
      </w:pPr>
      <w:r>
        <w:t xml:space="preserve">II. Narrative Voice &amp; Prose</w:t>
      </w:r>
    </w:p>
    <w:p>
      <w:pPr>
        <w:pStyle w:val="Heading2"/>
      </w:pPr>
      <w:r>
        <w:t xml:space="preserve">The Archivist: The Story’s Best Character</w:t>
      </w:r>
    </w:p>
    <w:p>
      <w:pPr>
        <w:spacing w:after="200" w:line="300"/>
      </w:pPr>
      <w:r>
        <w:rPr>
          <w:rFonts w:ascii="Georgia" w:cs="Georgia" w:eastAsia="Georgia" w:hAnsi="Georgia"/>
          <w:sz w:val="24"/>
          <w:szCs w:val="24"/>
        </w:rPr>
        <w:t xml:space="preserve">The Archivist’s emails are, without exaggeration, the finest prose in the entire experience. The Chapter 1 briefing achieves something remarkable: it makes expository backstory feel like revelation. “The man who fed the world also fed the sparrows. Consider that, young bird.” That single sentence accomplishes more worldbuilding than a paragraph of Council lore. It connects real history (Kellogg’s cereal empire) to the fictional framework (the sparrow as Order title) through a concrete, physical image (feeding birds). It is economical, resonant, and warm.</w:t>
      </w:r>
    </w:p>
    <w:p>
      <w:pPr>
        <w:spacing w:after="200" w:line="300"/>
      </w:pPr>
      <w:r>
        <w:rPr>
          <w:rFonts w:ascii="Georgia" w:cs="Georgia" w:eastAsia="Georgia" w:hAnsi="Georgia"/>
          <w:sz w:val="24"/>
          <w:szCs w:val="24"/>
        </w:rPr>
        <w:t xml:space="preserve">The timekeeper email after Chapter 1’s completion is equally strong: “For decades, the timekeeper stood silent. The Order knew the Manor held significance—the windmill, the sightlines, the convergence at the water—but the bearing had never been confirmed. We theorized. We waited.” This positions the Order not as omniscient but as genuinely uncertain, which makes Christine’s discovery feel consequential rather than performative. The Order needed her. That emotional beat is more powerful than any puzzle.</w:t>
      </w:r>
    </w:p>
    <w:p>
      <w:pPr>
        <w:spacing w:after="200" w:line="300"/>
      </w:pPr>
      <w:r>
        <w:rPr>
          <w:rFonts w:ascii="Georgia" w:cs="Georgia" w:eastAsia="Georgia" w:hAnsi="Georgia"/>
          <w:sz w:val="24"/>
          <w:szCs w:val="24"/>
        </w:rPr>
        <w:t xml:space="preserve">The Chapter 2 briefing email maintains this standard: “A painter from across the sea was commissioned to capture her likeness. He saw what the camera could not, the bearing of someone who bends the world by force of vision alone.” This is the right level of cryptic—precise enough to guide, poetic enough to enchant, mysterious enough to sustain.</w:t>
      </w:r>
    </w:p>
    <w:p>
      <w:pPr>
        <w:spacing w:after="200" w:line="300"/>
      </w:pPr>
      <w:r>
        <w:rPr>
          <w:rFonts w:ascii="Georgia" w:cs="Georgia" w:eastAsia="Georgia" w:hAnsi="Georgia"/>
          <w:sz w:val="24"/>
          <w:szCs w:val="24"/>
        </w:rPr>
        <w:t xml:space="preserve">The Archivist’s voice—measured, warm without being sentimental, authoritative without being pompous—is the correct tonal register for the entire project. When the story departs from it, the quality drops noticeably.</w:t>
      </w:r>
    </w:p>
    <w:p>
      <w:pPr>
        <w:pStyle w:val="Heading2"/>
      </w:pPr>
      <w:r>
        <w:t xml:space="preserve">The Prologue Letter: First Contact, First Problem</w:t>
      </w:r>
    </w:p>
    <w:p>
      <w:pPr>
        <w:spacing w:after="200" w:line="300"/>
      </w:pPr>
      <w:r>
        <w:rPr>
          <w:rFonts w:ascii="Georgia" w:cs="Georgia" w:eastAsia="Georgia" w:hAnsi="Georgia"/>
          <w:sz w:val="24"/>
          <w:szCs w:val="24"/>
        </w:rPr>
        <w:t xml:space="preserve">The Prologue letter is the single most important piece of prose in the entire experience. It is Christine’s first contact with the Order. It must seduce her into playing. It must feel authentic enough to create wonder and mysterious enough to sustain it. Everything that follows depends on this letter landing.</w:t>
      </w:r>
    </w:p>
    <w:p>
      <w:pPr>
        <w:spacing w:after="200" w:line="300"/>
      </w:pPr>
      <w:r>
        <w:rPr>
          <w:rFonts w:ascii="Georgia" w:cs="Georgia" w:eastAsia="Georgia" w:hAnsi="Georgia"/>
          <w:sz w:val="24"/>
          <w:szCs w:val="24"/>
        </w:rPr>
        <w:t xml:space="preserve">The current locked version is good but not great. The acrostic mechanism (I SEE CLEARLY) encoded through illuminated drop caps is clever, and the physical presentation (ivory cardstock, SVG Marker, gold flourishes) is impeccable. The production values signal care and seriousness. No one receiving this letter would dismiss it.</w:t>
      </w:r>
    </w:p>
    <w:p>
      <w:pPr>
        <w:spacing w:after="200" w:line="300"/>
      </w:pPr>
      <w:r>
        <w:rPr>
          <w:rFonts w:ascii="Georgia" w:cs="Georgia" w:eastAsia="Georgia" w:hAnsi="Georgia"/>
          <w:sz w:val="24"/>
          <w:szCs w:val="24"/>
        </w:rPr>
        <w:t xml:space="preserve">But the prose leans too heavily on warning and foreboding. Consider the density of threat in the body text: “The Order found you, and the Order is not the only fellowship with eyes on those who see.” “No refusal has ever made someone unseen.” “Those who see most deeply are the first to draw attention, and attention, in the circles surrounding the Order’s work, carries a cost.” “Letters like this one have been sent before. The Order does not speak of all those who received them. Some names appear frequently in our records. Others appear only once.”</w:t>
      </w:r>
    </w:p>
    <w:p>
      <w:pPr>
        <w:spacing w:after="200" w:line="300"/>
      </w:pPr>
      <w:r>
        <w:rPr>
          <w:rFonts w:ascii="Georgia" w:cs="Georgia" w:eastAsia="Georgia" w:hAnsi="Georgia"/>
          <w:sz w:val="24"/>
          <w:szCs w:val="24"/>
        </w:rPr>
        <w:t xml:space="preserve">This is four separate warnings of danger in a single letter. For a first contact, the letter is doing too much work. It must simultaneously intrigue, warn, instruct, and enchant, and under that burden, the prose tips toward intimidation rather than invitation. The effect is a document that reads less like an ancient summons and more like the Terms of Service for a high-end anxiety subscription.</w:t>
      </w:r>
    </w:p>
    <w:p>
      <w:pPr>
        <w:spacing w:after="200" w:line="300"/>
      </w:pPr>
      <w:r>
        <w:rPr>
          <w:rFonts w:ascii="Georgia" w:cs="Georgia" w:eastAsia="Georgia" w:hAnsi="Georgia"/>
          <w:sz w:val="24"/>
          <w:szCs w:val="24"/>
        </w:rPr>
        <w:t xml:space="preserve">Compare the locked version to the earlier draft’s lighter touch: “Look not for what is obvious. The Order has never valued the obvious.” That line invites. It flatters the recipient’s intelligence. It positions the Order as a patron of discernment, not a herald of doom. The locked version trades this elegance for intensity, and the trade is not always in the story’s favor.</w:t>
      </w:r>
    </w:p>
    <w:p>
      <w:pPr>
        <w:spacing w:after="200" w:line="300"/>
      </w:pPr>
      <w:r>
        <w:rPr>
          <w:rFonts w:ascii="Georgia" w:cs="Georgia" w:eastAsia="Georgia" w:hAnsi="Georgia"/>
          <w:sz w:val="24"/>
          <w:szCs w:val="24"/>
        </w:rPr>
        <w:t xml:space="preserve">My recommendation is specific: reduce the threat material in the Prologue letter to a single, glancing reference. Let the acrostic do the work of proving the Order’s cleverness. Let the physical object (wax seal, cardstock, gold type) do the work of proving the Order’s resources. And let the danger creep in during Chapter 1, once Christine is already committed. The Archivist’s briefing email (“When they could not make him look away, they took his eyes. When that was not enough, they took the rest.”) is the right place for that revelation—after she’s invested, not before.</w:t>
      </w:r>
    </w:p>
    <w:p>
      <w:pPr>
        <w:pStyle w:val="Heading2"/>
      </w:pPr>
      <w:r>
        <w:t xml:space="preserve">The No-Em-Dash Rule</w:t>
      </w:r>
    </w:p>
    <w:p>
      <w:pPr>
        <w:spacing w:after="200" w:line="300"/>
      </w:pPr>
      <w:r>
        <w:rPr>
          <w:rFonts w:ascii="Georgia" w:cs="Georgia" w:eastAsia="Georgia" w:hAnsi="Georgia"/>
          <w:sz w:val="24"/>
          <w:szCs w:val="24"/>
        </w:rPr>
        <w:t xml:space="preserve">The design documents contain an extraordinary directive: “No em dashes in any copy. Use commas instead. Em dashes give an AI-generated feel.” This is a fascinating piece of self-awareness about the current moment in prose style. And it is mostly right—the absence of em dashes forces the writer into more deliberate sentence construction, which generally improves the prose.</w:t>
      </w:r>
    </w:p>
    <w:p>
      <w:pPr>
        <w:spacing w:after="200" w:line="300"/>
      </w:pPr>
      <w:r>
        <w:rPr>
          <w:rFonts w:ascii="Georgia" w:cs="Georgia" w:eastAsia="Georgia" w:hAnsi="Georgia"/>
          <w:sz w:val="24"/>
          <w:szCs w:val="24"/>
        </w:rPr>
        <w:t xml:space="preserve">In the Archivist’s emails, where sentences tend to be short and declarative, the rule works beautifully. In the Lore Bible, where the Council’s voice requires more elaborate syntax, the comma-only constraint occasionally produces breathless, clause-heavy sentences that stack three or four subordinate ideas without a natural pause. The paradox is that these sentences can feel more artificial than the em dashes they’re avoiding. The rule is sound; its application needs occasional flexibility.</w:t>
      </w:r>
    </w:p>
    <w:p>
      <w:r>
        <w:br w:type="page"/>
      </w:r>
    </w:p>
    <w:p>
      <w:pPr>
        <w:pStyle w:val="Heading1"/>
      </w:pPr>
      <w:r>
        <w:t xml:space="preserve">III. The Prologue: The Summoning</w:t>
      </w:r>
    </w:p>
    <w:p>
      <w:pPr>
        <w:spacing w:after="200" w:line="300"/>
      </w:pPr>
      <w:r>
        <w:rPr>
          <w:rFonts w:ascii="Georgia" w:cs="Georgia" w:eastAsia="Georgia" w:hAnsi="Georgia"/>
          <w:sz w:val="24"/>
          <w:szCs w:val="24"/>
        </w:rPr>
        <w:t xml:space="preserve">The Prologue is an almost textbook example of how to open an immersive narrative. The three-channel delivery (physical letter, MMS with Marker image, website passphrase gate) creates a sense of encirclement: the Order is coming at Christine from every direction, through every medium. Before she even opens a website, she has held parchment, decoded a cipher, and received a message from an unknown number bearing a symbol she has never seen. The physical and digital worlds are already interpenetrating.</w:t>
      </w:r>
    </w:p>
    <w:p>
      <w:pPr>
        <w:spacing w:after="200" w:line="300"/>
      </w:pPr>
      <w:r>
        <w:rPr>
          <w:rFonts w:ascii="Georgia" w:cs="Georgia" w:eastAsia="Georgia" w:hAnsi="Georgia"/>
          <w:sz w:val="24"/>
          <w:szCs w:val="24"/>
        </w:rPr>
        <w:t xml:space="preserve">The acrostic passphrase is an ideal first puzzle. It is solvable but not trivial. It requires the player to shift from reading for content to reading for pattern—which is, not coincidentally, exactly the perceptual shift the Order claims to value. The puzzle’s solution teaches the player how to play the game: look past the surface. Read the first letters. The medium is the message. This is elegant design.</w:t>
      </w:r>
    </w:p>
    <w:p>
      <w:pPr>
        <w:spacing w:after="200" w:line="300"/>
      </w:pPr>
      <w:r>
        <w:rPr>
          <w:rFonts w:ascii="Georgia" w:cs="Georgia" w:eastAsia="Georgia" w:hAnsi="Georgia"/>
          <w:sz w:val="24"/>
          <w:szCs w:val="24"/>
        </w:rPr>
        <w:t xml:space="preserve">The puzzle-solve animation (gold particles, orb tracing the Marker frame, hourglass fade-in) is described with cinematic precision in the lockdown document. Its reuse across every chapter is a smart choice—it creates a ceremonial rhythm, a recurring moment of earned satisfaction. But the description suggests a level of visual spectacle that must be matched by the actual implementation. If the animation feels cheap or glitchy on Christine’s phone, the ceremony becomes a distraction. This is a case where execution must be flawless because the design has set expectations high.</w:t>
      </w:r>
    </w:p>
    <w:p>
      <w:pPr>
        <w:pStyle w:val="Heading3"/>
      </w:pPr>
      <w:r>
        <w:t xml:space="preserve">Pacing Concern</w:t>
      </w:r>
    </w:p>
    <w:p>
      <w:pPr>
        <w:spacing w:after="200" w:line="300"/>
      </w:pPr>
      <w:r>
        <w:rPr>
          <w:rFonts w:ascii="Georgia" w:cs="Georgia" w:eastAsia="Georgia" w:hAnsi="Georgia"/>
          <w:sz w:val="24"/>
          <w:szCs w:val="24"/>
        </w:rPr>
        <w:t xml:space="preserve">The design specifies a deliberate delay between the acceptance SMS and Chapter 1. The acceptance arrives the next morning: “The Order has noted your acceptance. Prepare yourself. The first trial is near.” Then silence until March 3.</w:t>
      </w:r>
    </w:p>
    <w:p>
      <w:pPr>
        <w:spacing w:after="200" w:line="300"/>
      </w:pPr>
      <w:r>
        <w:rPr>
          <w:rFonts w:ascii="Georgia" w:cs="Georgia" w:eastAsia="Georgia" w:hAnsi="Georgia"/>
          <w:sz w:val="24"/>
          <w:szCs w:val="24"/>
        </w:rPr>
        <w:t xml:space="preserve">This is correct in principle. The delay creates anticipation and makes the Order feel like it operates on its own schedule, not the player’s. But the risk is real: if the silence lasts longer than about 48 hours without any stimulus, the player’s emotional investment begins to decay. The Order’s “own schedule” is compelling only if the player trusts that the schedule exists. A mid-gap email—even a short one, even just the Marker image with no text—would maintain the thread without breaking the tension.</w:t>
      </w:r>
    </w:p>
    <w:p>
      <w:r>
        <w:br w:type="page"/>
      </w:r>
    </w:p>
    <w:p>
      <w:pPr>
        <w:pStyle w:val="Heading1"/>
      </w:pPr>
      <w:r>
        <w:t xml:space="preserve">IV. Chapter 1: The Compass and the Sundial</w:t>
      </w:r>
    </w:p>
    <w:p>
      <w:pPr>
        <w:spacing w:after="200" w:line="300"/>
      </w:pPr>
      <w:r>
        <w:rPr>
          <w:rFonts w:ascii="Georgia" w:cs="Georgia" w:eastAsia="Georgia" w:hAnsi="Georgia"/>
          <w:sz w:val="24"/>
          <w:szCs w:val="24"/>
        </w:rPr>
        <w:t xml:space="preserve">This is the strongest chapter in the opening act, and it may prove to be the narrative’s high-water mark for pure design elegance. Everything works in concert: the location, the mechanics, the symbolism, the emotional beats. Let me be specific about what makes it succeed and where it has vulnerabilities.</w:t>
      </w:r>
    </w:p>
    <w:p>
      <w:pPr>
        <w:pStyle w:val="Heading2"/>
      </w:pPr>
      <w:r>
        <w:t xml:space="preserve">The Marriage of Place and Story</w:t>
      </w:r>
    </w:p>
    <w:p>
      <w:pPr>
        <w:spacing w:after="200" w:line="300"/>
      </w:pPr>
      <w:r>
        <w:rPr>
          <w:rFonts w:ascii="Georgia" w:cs="Georgia" w:eastAsia="Georgia" w:hAnsi="Georgia"/>
          <w:sz w:val="24"/>
          <w:szCs w:val="24"/>
        </w:rPr>
        <w:t xml:space="preserve">Kellogg Manor is a superb choice of setting. Its real history (W.K. Kellogg’s estate, the windmill, the WWII Coast Guard use, the open grounds) provides raw material that the fictional overlay transforms without contradicting. The chapter never lies about the location; it reframes it. The sundial is a real object with a real inscription. The Marker is placed in context, not in conflict, with what actually exists. This is critical for an immersive narrative that operates in physical space: the fiction must feel like an additional layer of meaning, not a fabrication imposed on unwilling geography.</w:t>
      </w:r>
    </w:p>
    <w:p>
      <w:pPr>
        <w:spacing w:after="200" w:line="300"/>
      </w:pPr>
      <w:r>
        <w:rPr>
          <w:rFonts w:ascii="Georgia" w:cs="Georgia" w:eastAsia="Georgia" w:hAnsi="Georgia"/>
          <w:sz w:val="24"/>
          <w:szCs w:val="24"/>
        </w:rPr>
        <w:t xml:space="preserve">The wayfinding compass mechanic—where Christine’s phone literally guides her across the grounds to the sundial—collapses the distance between game and reality in a way that no screen-based narrative can achieve. She is not reading about a character walking toward a sundial; she is walking toward one. The 30-meter geofence arrival trigger creates a moment that is simultaneously technological and magical: the phone knows she has arrived before she does.</w:t>
      </w:r>
    </w:p>
    <w:p>
      <w:pPr>
        <w:pStyle w:val="Heading2"/>
      </w:pPr>
      <w:r>
        <w:t xml:space="preserve">The Sparrow Moment</w:t>
      </w:r>
    </w:p>
    <w:p>
      <w:pPr>
        <w:spacing w:after="200" w:line="300"/>
      </w:pPr>
      <w:r>
        <w:rPr>
          <w:rFonts w:ascii="Georgia" w:cs="Georgia" w:eastAsia="Georgia" w:hAnsi="Georgia"/>
          <w:sz w:val="24"/>
          <w:szCs w:val="24"/>
        </w:rPr>
        <w:t xml:space="preserve">The codename reveal is the chapter’s emotional pinnacle, and it is built on a foundation of physical observation. The sundial’s gnomon (shadow caster) is shaped like a bird. The inscription reads “The early bird gets the worm.” The narrative connects these two physical facts to Christine’s role: “This bird casts its shadow over time. So will you, Sparrow, cast yours.”</w:t>
      </w:r>
    </w:p>
    <w:p>
      <w:pPr>
        <w:spacing w:after="200" w:line="300"/>
      </w:pPr>
      <w:r>
        <w:rPr>
          <w:rFonts w:ascii="Georgia" w:cs="Georgia" w:eastAsia="Georgia" w:hAnsi="Georgia"/>
          <w:sz w:val="24"/>
          <w:szCs w:val="24"/>
        </w:rPr>
        <w:t xml:space="preserve">This is the narrative’s first genuinely poetic beat, and it earns its weight because every element is grounded in something the player can see and touch. The metaphor is not imposed from outside; it is discovered in the world. That is a meaningful distinction. Most interactive fiction tells the player what things mean. This chapter lets the player stand beside the meaning and see it for herself.</w:t>
      </w:r>
    </w:p>
    <w:p>
      <w:pPr>
        <w:spacing w:after="200" w:line="300"/>
      </w:pPr>
      <w:r>
        <w:rPr>
          <w:rFonts w:ascii="Georgia" w:cs="Georgia" w:eastAsia="Georgia" w:hAnsi="Georgia"/>
          <w:sz w:val="24"/>
          <w:szCs w:val="24"/>
        </w:rPr>
        <w:t xml:space="preserve">The design document’s note that “Christine may or may not notice the bird shape, but the line works either way and gains depth on reflection” reveals a sophisticated understanding of how metaphor functions in immersive narrative: the best symbols reward attention without punishing its absence.</w:t>
      </w:r>
    </w:p>
    <w:p>
      <w:pPr>
        <w:pStyle w:val="Heading2"/>
      </w:pPr>
      <w:r>
        <w:t xml:space="preserve">The 255-Degree Bearing</w:t>
      </w:r>
    </w:p>
    <w:p>
      <w:pPr>
        <w:spacing w:after="200" w:line="300"/>
      </w:pPr>
      <w:r>
        <w:rPr>
          <w:rFonts w:ascii="Georgia" w:cs="Georgia" w:eastAsia="Georgia" w:hAnsi="Georgia"/>
          <w:sz w:val="24"/>
          <w:szCs w:val="24"/>
        </w:rPr>
        <w:t xml:space="preserve">The compass puzzle’s solution—aligning the phone to 255° W—is a masterful piece of structural foreshadowing. The bearing points from Kellogg Manor directly toward Chicago, where Chapter 2 awaits. But the chapter never names Chicago. It never explains the bearing’s significance. The reward text says only: “The needle has shown you the way.”</w:t>
      </w:r>
    </w:p>
    <w:p>
      <w:pPr>
        <w:spacing w:after="200" w:line="300"/>
      </w:pPr>
      <w:r>
        <w:rPr>
          <w:rFonts w:ascii="Georgia" w:cs="Georgia" w:eastAsia="Georgia" w:hAnsi="Georgia"/>
          <w:sz w:val="24"/>
          <w:szCs w:val="24"/>
        </w:rPr>
        <w:t xml:space="preserve">This is exactly the right amount of information. It trusts the player to wonder where the compass points. It trusts that the answer will arrive in its own time. And when Christine eventually stands in Gallery 273 of the Art Institute and sees “Zorn / Chicago 1893” inscribed on the Palmer portrait, the connection will land with the force of delayed recognition. The design document’s instruction—“Do NOT spell this out. Let her discover it.”—is the single best piece of storytelling advice in the entire project.</w:t>
      </w:r>
    </w:p>
    <w:p>
      <w:pPr>
        <w:pStyle w:val="Heading2"/>
      </w:pPr>
      <w:r>
        <w:t xml:space="preserve">Vulnerabilities</w:t>
      </w:r>
    </w:p>
    <w:p>
      <w:pPr>
        <w:spacing w:after="200" w:line="300"/>
      </w:pPr>
      <w:r>
        <w:rPr>
          <w:rFonts w:ascii="Georgia" w:cs="Georgia" w:eastAsia="Georgia" w:hAnsi="Georgia"/>
          <w:sz w:val="24"/>
          <w:szCs w:val="24"/>
        </w:rPr>
        <w:t xml:space="preserve">The chapter’s primary vulnerability is logistical. The entire experience depends on Christine being at Kellogg Manor on March 3. The narrative has no mechanism for delay because the Order, as written, does not acknowledge human contingency. If something prevents the visit—illness, weather, a car that won’t start—the chapter collapses, and the silence that follows will feel like the Order abandoned her rather than the universe intervening.</w:t>
      </w:r>
    </w:p>
    <w:p>
      <w:pPr>
        <w:spacing w:after="200" w:line="300"/>
      </w:pPr>
      <w:r>
        <w:rPr>
          <w:rFonts w:ascii="Georgia" w:cs="Georgia" w:eastAsia="Georgia" w:hAnsi="Georgia"/>
          <w:sz w:val="24"/>
          <w:szCs w:val="24"/>
        </w:rPr>
        <w:t xml:space="preserve">The secondary vulnerability is the confirmation questions. “Four guardians encircle the dial. What form do they take?” and “What truth does the dial keep?” are well-designed proofs of physical presence. But “Maidens” as a correct answer for classical female relief figures is an interpretive choice that could trip up a player who sees “robed women” and thinks “Goddesses” or “Muses.” Wrong answers produce a gentle shake and return to the question, which is forgiving, but the first wrong answer in the entire game carries disproportionate emotional weight. A player who fails her first question may feel that the Order has judged her and found her wanting. The game’s reassurance mechanisms should be especially generous here.</w:t>
      </w:r>
    </w:p>
    <w:p>
      <w:r>
        <w:br w:type="page"/>
      </w:r>
    </w:p>
    <w:p>
      <w:pPr>
        <w:pStyle w:val="Heading1"/>
      </w:pPr>
      <w:r>
        <w:t xml:space="preserve">V. Chapter 2: The Gallery of Whispers</w:t>
      </w:r>
    </w:p>
    <w:p>
      <w:pPr>
        <w:spacing w:after="200" w:line="300"/>
      </w:pPr>
      <w:r>
        <w:rPr>
          <w:rFonts w:ascii="Georgia" w:cs="Georgia" w:eastAsia="Georgia" w:hAnsi="Georgia"/>
          <w:sz w:val="24"/>
          <w:szCs w:val="24"/>
        </w:rPr>
        <w:t xml:space="preserve">Chapter 2 is the narrative’s most ambitious chapter so far, and it demonstrates both the story’s extraordinary potential and its most persistent structural problem.</w:t>
      </w:r>
    </w:p>
    <w:p>
      <w:pPr>
        <w:pStyle w:val="Heading2"/>
      </w:pPr>
      <w:r>
        <w:t xml:space="preserve">Art History as Conspiracy</w:t>
      </w:r>
    </w:p>
    <w:p>
      <w:pPr>
        <w:spacing w:after="200" w:line="300"/>
      </w:pPr>
      <w:r>
        <w:rPr>
          <w:rFonts w:ascii="Georgia" w:cs="Georgia" w:eastAsia="Georgia" w:hAnsi="Georgia"/>
          <w:sz w:val="24"/>
          <w:szCs w:val="24"/>
        </w:rPr>
        <w:t xml:space="preserve">The Palmer-Cassatt-Zorn triangle is a genuine piece of cultural history, and the chapter presents it not as trivia but as intelligence. The idea that Palmer “hid the Order’s work within the very walls of a palace of art beside the lake” transforms a real museum into a fictional crime scene. This is thrilling in a way that purely digital puzzles cannot be. Christine is not matching symbols on a screen; she is standing in front of a 130-year-old portrait and asking questions about the woman in it.</w:t>
      </w:r>
    </w:p>
    <w:p>
      <w:pPr>
        <w:spacing w:after="200" w:line="300"/>
      </w:pPr>
      <w:r>
        <w:rPr>
          <w:rFonts w:ascii="Georgia" w:cs="Georgia" w:eastAsia="Georgia" w:hAnsi="Georgia"/>
          <w:sz w:val="24"/>
          <w:szCs w:val="24"/>
        </w:rPr>
        <w:t xml:space="preserve">The GuidedIdentification mechanic—where the player must find a specific painting in a real gallery using only cryptic clues—is the narrative’s finest innovation. The clue structure is well-calibrated: “A patron of the Order presided over the great Fair of 1893. A Swedish painter captured her likeness in this very room.” This gives Christine enough to work with if she already knows the art (the design notes observe that “Christine is a Palmer fan”) while providing progressive hints as a safety net. The hints escalate from contextual (“She reigned during the great Fair of 1893”) to specific (“A Swedish painter captured her in white”) to explicit (“Bertha Honoré Palmer”). This is good puzzle design: generous without being patronizing.</w:t>
      </w:r>
    </w:p>
    <w:p>
      <w:pPr>
        <w:spacing w:after="200" w:line="300"/>
      </w:pPr>
      <w:r>
        <w:rPr>
          <w:rFonts w:ascii="Georgia" w:cs="Georgia" w:eastAsia="Georgia" w:hAnsi="Georgia"/>
          <w:sz w:val="24"/>
          <w:szCs w:val="24"/>
        </w:rPr>
        <w:t xml:space="preserve">The second painting target—Mary Cassatt’s The Child’s Bath—is an even stronger choice. Its overhead perspective (the bird’s-eye view) creates a visual echo of the sparrow/gnomon from Chapter 1 that the narrative wisely does not make explicit. The connection between Cassatt’s radical perspective and the Order’s philosophy of seeing is left for Christine to feel rather than be told. Again, the story trusts its player.</w:t>
      </w:r>
    </w:p>
    <w:p>
      <w:pPr>
        <w:pStyle w:val="Heading2"/>
      </w:pPr>
      <w:r>
        <w:t xml:space="preserve">The Companion Subplot</w:t>
      </w:r>
    </w:p>
    <w:p>
      <w:pPr>
        <w:spacing w:after="200" w:line="300"/>
      </w:pPr>
      <w:r>
        <w:rPr>
          <w:rFonts w:ascii="Georgia" w:cs="Georgia" w:eastAsia="Georgia" w:hAnsi="Georgia"/>
          <w:sz w:val="24"/>
          <w:szCs w:val="24"/>
        </w:rPr>
        <w:t xml:space="preserve">Christine’s sister receiving parallel messages from the Order is a structural innovation I have not seen in any other ARG or interactive narrative. It creates a second audience for the fiction, a silent witness who knows the game is real in a different way than Christine does.</w:t>
      </w:r>
    </w:p>
    <w:p>
      <w:pPr>
        <w:spacing w:after="200" w:line="300"/>
      </w:pPr>
      <w:r>
        <w:rPr>
          <w:rFonts w:ascii="Georgia" w:cs="Georgia" w:eastAsia="Georgia" w:hAnsi="Georgia"/>
          <w:sz w:val="24"/>
          <w:szCs w:val="24"/>
        </w:rPr>
        <w:t xml:space="preserve">The tone of the sister messages is perfectly calibrated: “You are not the one we seek. But you walk beside her. Do not interfere.” This gives the sister a role (watchful protector) without giving her gameplay. The release message after completion (“She has proven worthy. The Order releases you from your watch”) is a miniature narrative in itself—the sister’s arc begins and ends within the chapter, complete and satisfying.</w:t>
      </w:r>
    </w:p>
    <w:p>
      <w:pPr>
        <w:spacing w:after="200" w:line="300"/>
      </w:pPr>
      <w:r>
        <w:rPr>
          <w:rFonts w:ascii="Georgia" w:cs="Georgia" w:eastAsia="Georgia" w:hAnsi="Georgia"/>
          <w:sz w:val="24"/>
          <w:szCs w:val="24"/>
        </w:rPr>
        <w:t xml:space="preserve">This subplot also serves a practical function that the design documents don’t fully acknowledge: it creates a witness to Christine’s experience. After the game ends and the ambiguity settles, the sister will be the one person who can confirm that the messages were real, that something happened. This gives the story an afterlife that purely solo experiences cannot possess.</w:t>
      </w:r>
    </w:p>
    <w:p>
      <w:pPr>
        <w:pStyle w:val="Heading2"/>
      </w:pPr>
      <w:r>
        <w:t xml:space="preserve">The Communication Volume Problem</w:t>
      </w:r>
    </w:p>
    <w:p>
      <w:pPr>
        <w:spacing w:after="200" w:line="300"/>
      </w:pPr>
      <w:r>
        <w:rPr>
          <w:rFonts w:ascii="Georgia" w:cs="Georgia" w:eastAsia="Georgia" w:hAnsi="Georgia"/>
          <w:sz w:val="24"/>
          <w:szCs w:val="24"/>
        </w:rPr>
        <w:t xml:space="preserve">And now the chapter’s most significant weakness. Between the mid-gap email, the pre-trip letter, the tickler SMS, the arrival SMS, the email briefing, the two GuidedIdentification sequences, the observation questions, the reward, the post-solve SMS, and the debrief email, Christine receives approximately eleven distinct communications in a single chapter. Add the sister’s three messages and the total reaches fourteen across two tracks.</w:t>
      </w:r>
    </w:p>
    <w:p>
      <w:pPr>
        <w:spacing w:after="200" w:line="300"/>
      </w:pPr>
      <w:r>
        <w:rPr>
          <w:rFonts w:ascii="Georgia" w:cs="Georgia" w:eastAsia="Georgia" w:hAnsi="Georgia"/>
          <w:sz w:val="24"/>
          <w:szCs w:val="24"/>
        </w:rPr>
        <w:t xml:space="preserve">The design documents show acute awareness of timing (location-triggered SMS rules, deliberate delays, channel-specific roles), and the execution notes are disciplined. But the sheer volume risks a tonal problem: the Order begins to feel less like a secretive society operating from the shadows and more like a customer engagement platform with excellent copywriting.</w:t>
      </w:r>
    </w:p>
    <w:p>
      <w:pPr>
        <w:spacing w:after="200" w:line="300"/>
      </w:pPr>
      <w:r>
        <w:rPr>
          <w:rFonts w:ascii="Georgia" w:cs="Georgia" w:eastAsia="Georgia" w:hAnsi="Georgia"/>
          <w:sz w:val="24"/>
          <w:szCs w:val="24"/>
        </w:rPr>
        <w:t xml:space="preserve">Consider the experience from Christine’s perspective. In a single day at the museum, she receives: a tickler text, an arrival text, an email briefing, website puzzle prompts for two paintings with observation questions for each, a reward screen, and a post-solve confirmation text. That is seven separate contacts in perhaps three hours. The Order claims to be ancient, patient, and deliberate. Seven messages in three hours is the cadence of a food delivery app, not a centuries-old conspiracy.</w:t>
      </w:r>
    </w:p>
    <w:p>
      <w:pPr>
        <w:spacing w:after="200" w:line="300"/>
      </w:pPr>
      <w:r>
        <w:rPr>
          <w:rFonts w:ascii="Georgia" w:cs="Georgia" w:eastAsia="Georgia" w:hAnsi="Georgia"/>
          <w:sz w:val="24"/>
          <w:szCs w:val="24"/>
        </w:rPr>
        <w:t xml:space="preserve">My recommendation: collapse the tickler and arrival SMS into a single message. Eliminate the email briefing entirely—the website’s GuidedIdentification clues already contain everything Christine needs, and the email duplicates them. The museum experience should feel like Christine and the paintings, with the Order watching in silence, not like Christine and her phone with the paintings as backdrop. Two or three contacts during the museum visit, maximum. Let the silence do the work.</w:t>
      </w:r>
    </w:p>
    <w:p>
      <w:pPr>
        <w:pStyle w:val="Heading2"/>
      </w:pPr>
      <w:r>
        <w:t xml:space="preserve">The Debrief Email: A Masterclass</w:t>
      </w:r>
    </w:p>
    <w:p>
      <w:pPr>
        <w:spacing w:after="200" w:line="300"/>
      </w:pPr>
      <w:r>
        <w:rPr>
          <w:rFonts w:ascii="Georgia" w:cs="Georgia" w:eastAsia="Georgia" w:hAnsi="Georgia"/>
          <w:sz w:val="24"/>
          <w:szCs w:val="24"/>
        </w:rPr>
        <w:t xml:space="preserve">If the museum visit has a communication volume problem, the post-chapter debrief email is its redemption. This is some of the finest narrative writing in the project:</w:t>
      </w:r>
    </w:p>
    <w:p>
      <w:pPr>
        <w:spacing w:after="200" w:line="300"/>
      </w:pPr>
      <w:r>
        <w:rPr>
          <w:rFonts w:ascii="Georgia" w:cs="Georgia" w:eastAsia="Georgia" w:hAnsi="Georgia"/>
          <w:i/>
          <w:iCs/>
          <w:color w:val="3D2E1E"/>
          <w:sz w:val="24"/>
          <w:szCs w:val="24"/>
        </w:rPr>
        <w:t xml:space="preserve">“Mrs. Potter Palmer was no mere socialite. When the World’s Columbian Exposition came to Chicago in 1893, she was appointed President of the Board of Lady Managers. She used that authority to champion artists the establishment had overlooked.”</w:t>
      </w:r>
    </w:p>
    <w:p>
      <w:pPr>
        <w:spacing w:after="200" w:line="300"/>
      </w:pPr>
      <w:r>
        <w:rPr>
          <w:rFonts w:ascii="Georgia" w:cs="Georgia" w:eastAsia="Georgia" w:hAnsi="Georgia"/>
          <w:sz w:val="24"/>
          <w:szCs w:val="24"/>
        </w:rPr>
        <w:t xml:space="preserve">The email accomplishes four things simultaneously: it rewards Christine with knowledge she has earned, it names the blindness pattern explicitly (“By 1914 she could no longer hold a brush”), it seeds the Crystal Bridges connection (“a museum built into the hills of a distant state”), and it deepens the emotional stakes by connecting Cassatt’s blindness to Kellogg’s. All four layers work because the Archivist’s voice maintains perfect control: warm but measured, revelatory but restrained.</w:t>
      </w:r>
    </w:p>
    <w:p>
      <w:pPr>
        <w:spacing w:after="200" w:line="300"/>
      </w:pPr>
      <w:r>
        <w:rPr>
          <w:rFonts w:ascii="Georgia" w:cs="Georgia" w:eastAsia="Georgia" w:hAnsi="Georgia"/>
          <w:sz w:val="24"/>
          <w:szCs w:val="24"/>
        </w:rPr>
        <w:t xml:space="preserve">The key line—“Do you see the pattern, Sparrow? The sight is taken from those who see too much.”—is the moment the story’s thriller spine locks into place. This is where it belongs: after two chapters of trust-building, once Christine has proven she cares. If this line had appeared in the Prologue letter, it would have been a warning. Here, after the museum, after the paintings, after the puzzle, it is a revelation. The placement is exactly right.</w:t>
      </w:r>
    </w:p>
    <w:p>
      <w:r>
        <w:br w:type="page"/>
      </w:r>
    </w:p>
    <w:p>
      <w:pPr>
        <w:pStyle w:val="Heading1"/>
      </w:pPr>
      <w:r>
        <w:t xml:space="preserve">VI. Structural Innovations &amp; Risks</w:t>
      </w:r>
    </w:p>
    <w:p>
      <w:pPr>
        <w:pStyle w:val="Heading2"/>
      </w:pPr>
      <w:r>
        <w:t xml:space="preserve">Multi-Channel Storytelling</w:t>
      </w:r>
    </w:p>
    <w:p>
      <w:pPr>
        <w:spacing w:after="200" w:line="300"/>
      </w:pPr>
      <w:r>
        <w:rPr>
          <w:rFonts w:ascii="Georgia" w:cs="Georgia" w:eastAsia="Georgia" w:hAnsi="Georgia"/>
          <w:sz w:val="24"/>
          <w:szCs w:val="24"/>
        </w:rPr>
        <w:t xml:space="preserve">The use of multiple communication channels (physical letters, SMS, email, website, AI oracle) is the narrative’s most innovative structural feature. Each channel carries a distinct narrative register: letters are ceremonial, SMS is urgent, email is expository, the website is interactive, the Oracle is conversational. This is not just clever design; it is genuine narrative architecture. The story could not be told in a single medium, and it would be diminished in any subset of its current channels.</w:t>
      </w:r>
    </w:p>
    <w:p>
      <w:pPr>
        <w:spacing w:after="200" w:line="300"/>
      </w:pPr>
      <w:r>
        <w:rPr>
          <w:rFonts w:ascii="Georgia" w:cs="Georgia" w:eastAsia="Georgia" w:hAnsi="Georgia"/>
          <w:sz w:val="24"/>
          <w:szCs w:val="24"/>
        </w:rPr>
        <w:t xml:space="preserve">The location-triggered SMS system deserves particular praise. The design document’s note that “a message that arrives at exactly the right moment creates an almost supernatural feeling” understates the case. This is the closest thing to magic realism that interactive fiction has achieved: a fictional secret society that demonstrably knows where you are, in real time, in the real world. The discipline of the timing rules (“Never more than one location-triggered SMS per day. Overuse kills the magic.” “Keep them under 20 words.” “Wait 5–10 minutes after arrival.”) shows real restraint and craft.</w:t>
      </w:r>
    </w:p>
    <w:p>
      <w:pPr>
        <w:pStyle w:val="Heading2"/>
      </w:pPr>
      <w:r>
        <w:t xml:space="preserve">The Problem of Safety</w:t>
      </w:r>
    </w:p>
    <w:p>
      <w:pPr>
        <w:spacing w:after="200" w:line="300"/>
      </w:pPr>
      <w:r>
        <w:rPr>
          <w:rFonts w:ascii="Georgia" w:cs="Georgia" w:eastAsia="Georgia" w:hAnsi="Georgia"/>
          <w:sz w:val="24"/>
          <w:szCs w:val="24"/>
        </w:rPr>
        <w:t xml:space="preserve">The narrative has no mechanism for failure. Every puzzle allows unlimited attempts. Wrong answers produce gentle shakes and encouragements. The Oracle never punishes a bad question. The design rule is explicit: “The Sight is attention, not intelligence.”</w:t>
      </w:r>
    </w:p>
    <w:p>
      <w:pPr>
        <w:spacing w:after="200" w:line="300"/>
      </w:pPr>
      <w:r>
        <w:rPr>
          <w:rFonts w:ascii="Georgia" w:cs="Georgia" w:eastAsia="Georgia" w:hAnsi="Georgia"/>
          <w:sz w:val="24"/>
          <w:szCs w:val="24"/>
        </w:rPr>
        <w:t xml:space="preserve">This is philosophically consistent with the Order’s values, but it is dramatically inert. Without the possibility of failure, there is no suspense. The player can feel challenged by a puzzle, but she can never feel at risk. The blindness-and-murder lore creates a veneer of danger over a narrative that is, in practice, completely safe. In literary terms, this is Chekhov’s gun hanging on the wall in Act One—and the audience has already been told, through the game’s forgiving mechanics, that it will never fire.</w:t>
      </w:r>
    </w:p>
    <w:p>
      <w:pPr>
        <w:spacing w:after="200" w:line="300"/>
      </w:pPr>
      <w:r>
        <w:rPr>
          <w:rFonts w:ascii="Georgia" w:cs="Georgia" w:eastAsia="Georgia" w:hAnsi="Georgia"/>
          <w:sz w:val="24"/>
          <w:szCs w:val="24"/>
        </w:rPr>
        <w:t xml:space="preserve">I am not suggesting Christine should be able to lose the game. But the opening act needs at least one moment where the fiction itself feels at risk—where a wrong answer changes something, where a missed window closes, where the Order’s patience is tested. Even a small, reversible consequence (a hint tier that expires, a bonus fragment that can only be earned on the first attempt, a Council message that changes tone if Christine takes too long) would increase the player’s emotional investment dramatically. The story asks Christine to believe that seeing is dangerous. The mechanics should occasionally make her feel it.</w:t>
      </w:r>
    </w:p>
    <w:p>
      <w:pPr>
        <w:pStyle w:val="Heading2"/>
      </w:pPr>
      <w:r>
        <w:t xml:space="preserve">The Chain of Women: An Emerging Strength</w:t>
      </w:r>
    </w:p>
    <w:p>
      <w:pPr>
        <w:spacing w:after="200" w:line="300"/>
      </w:pPr>
      <w:r>
        <w:rPr>
          <w:rFonts w:ascii="Georgia" w:cs="Georgia" w:eastAsia="Georgia" w:hAnsi="Georgia"/>
          <w:sz w:val="24"/>
          <w:szCs w:val="24"/>
        </w:rPr>
        <w:t xml:space="preserve">By the end of Chapter 2, the narrative’s deepest structural pattern has begun to emerge: a genealogy of women. Palmer the patron, Cassatt the creator, and Christine the seer. The implicit argument—that women have been the true guardians of beauty across generations, often without recognition—gives the narrative real intellectual substance that distinguishes it from genre-standard conspiracy fiction.</w:t>
      </w:r>
    </w:p>
    <w:p>
      <w:pPr>
        <w:spacing w:after="200" w:line="300"/>
      </w:pPr>
      <w:r>
        <w:rPr>
          <w:rFonts w:ascii="Georgia" w:cs="Georgia" w:eastAsia="Georgia" w:hAnsi="Georgia"/>
          <w:sz w:val="24"/>
          <w:szCs w:val="24"/>
        </w:rPr>
        <w:t xml:space="preserve">This theme is more interesting than the secret-society scaffolding around it. The Order of the Gilt Frame is, in a sense, a pretext for telling this story of women and vision. The fictional conspiracy makes the real history feel more urgent, more dangerous, more worth knowing. That is an impressive narrative accomplishment, and it is already working by the end of the opening act.</w:t>
      </w:r>
    </w:p>
    <w:p>
      <w:r>
        <w:br w:type="page"/>
      </w:r>
    </w:p>
    <w:p>
      <w:pPr>
        <w:pStyle w:val="Heading1"/>
      </w:pPr>
      <w:r>
        <w:t xml:space="preserve">VII. Summary of Recommendations</w:t>
      </w:r>
    </w:p>
    <w:p>
      <w:pPr>
        <w:pStyle w:val="Heading3"/>
      </w:pPr>
      <w:r>
        <w:t xml:space="preserve">The Prologue Letter</w:t>
      </w:r>
    </w:p>
    <w:p>
      <w:pPr>
        <w:spacing w:after="200" w:line="300"/>
      </w:pPr>
      <w:r>
        <w:rPr>
          <w:rFonts w:ascii="Georgia" w:cs="Georgia" w:eastAsia="Georgia" w:hAnsi="Georgia"/>
          <w:sz w:val="24"/>
          <w:szCs w:val="24"/>
        </w:rPr>
        <w:t xml:space="preserve">Reduce the threat material to a single, glancing reference. Let the physical object seduce before the narrative warns. Move the danger revelation to Chapter 1’s briefing email, where it will land with greater force because Christine is already invested.</w:t>
      </w:r>
    </w:p>
    <w:p>
      <w:pPr>
        <w:pStyle w:val="Heading3"/>
      </w:pPr>
      <w:r>
        <w:t xml:space="preserve">The Prologue Gap</w:t>
      </w:r>
    </w:p>
    <w:p>
      <w:pPr>
        <w:spacing w:after="200" w:line="300"/>
      </w:pPr>
      <w:r>
        <w:rPr>
          <w:rFonts w:ascii="Georgia" w:cs="Georgia" w:eastAsia="Georgia" w:hAnsi="Georgia"/>
          <w:sz w:val="24"/>
          <w:szCs w:val="24"/>
        </w:rPr>
        <w:t xml:space="preserve">Consider a minimal mid-gap touchpoint (even just the Marker image, no text) between the acceptance SMS and Chapter 1 activation to maintain engagement during silence.</w:t>
      </w:r>
    </w:p>
    <w:p>
      <w:pPr>
        <w:pStyle w:val="Heading3"/>
      </w:pPr>
      <w:r>
        <w:t xml:space="preserve">Chapter 1 Confirmation Questions</w:t>
      </w:r>
    </w:p>
    <w:p>
      <w:pPr>
        <w:spacing w:after="200" w:line="300"/>
      </w:pPr>
      <w:r>
        <w:rPr>
          <w:rFonts w:ascii="Georgia" w:cs="Georgia" w:eastAsia="Georgia" w:hAnsi="Georgia"/>
          <w:sz w:val="24"/>
          <w:szCs w:val="24"/>
        </w:rPr>
        <w:t xml:space="preserve">Ensure the reassurance mechanics are especially generous for the first wrong answer in the entire game. The first failure carries disproportionate emotional weight.</w:t>
      </w:r>
    </w:p>
    <w:p>
      <w:pPr>
        <w:pStyle w:val="Heading3"/>
      </w:pPr>
      <w:r>
        <w:t xml:space="preserve">Chapter 2 Communication Volume</w:t>
      </w:r>
    </w:p>
    <w:p>
      <w:pPr>
        <w:spacing w:after="200" w:line="300"/>
      </w:pPr>
      <w:r>
        <w:rPr>
          <w:rFonts w:ascii="Georgia" w:cs="Georgia" w:eastAsia="Georgia" w:hAnsi="Georgia"/>
          <w:sz w:val="24"/>
          <w:szCs w:val="24"/>
        </w:rPr>
        <w:t xml:space="preserve">Reduce museum-day contacts from seven to three maximum. Collapse the tickler and arrival SMS. Eliminate the email briefing (the website clues already serve this purpose). Let silence carry the weight during the museum visit.</w:t>
      </w:r>
    </w:p>
    <w:p>
      <w:pPr>
        <w:pStyle w:val="Heading3"/>
      </w:pPr>
      <w:r>
        <w:t xml:space="preserve">Worldbuilding Texture</w:t>
      </w:r>
    </w:p>
    <w:p>
      <w:pPr>
        <w:spacing w:after="200" w:line="300"/>
      </w:pPr>
      <w:r>
        <w:rPr>
          <w:rFonts w:ascii="Georgia" w:cs="Georgia" w:eastAsia="Georgia" w:hAnsi="Georgia"/>
          <w:sz w:val="24"/>
          <w:szCs w:val="24"/>
        </w:rPr>
        <w:t xml:space="preserve">Introduce a single note of internal dissent within the Order—even a passing reference to Council members who disagreed about Christine’s candidacy. Unanimous institutions feel fictional. Contested ones feel real.</w:t>
      </w:r>
    </w:p>
    <w:p>
      <w:pPr>
        <w:pStyle w:val="Heading3"/>
      </w:pPr>
      <w:r>
        <w:t xml:space="preserve">The Failure Mechanism</w:t>
      </w:r>
    </w:p>
    <w:p>
      <w:pPr>
        <w:spacing w:after="200" w:line="300"/>
      </w:pPr>
      <w:r>
        <w:rPr>
          <w:rFonts w:ascii="Georgia" w:cs="Georgia" w:eastAsia="Georgia" w:hAnsi="Georgia"/>
          <w:sz w:val="24"/>
          <w:szCs w:val="24"/>
        </w:rPr>
        <w:t xml:space="preserve">Introduce at least one moment in the opening act where the fiction carries a small, reversible consequence for delay or inattention. The story asks Christine to believe that seeing is dangerous. The mechanics should occasionally make her feel it.</w:t>
      </w:r>
    </w:p>
    <w:p>
      <w:pPr>
        <w:pStyle w:val="Heading3"/>
      </w:pPr>
      <w:r>
        <w:t xml:space="preserve">The Blindness Pattern</w:t>
      </w:r>
    </w:p>
    <w:p>
      <w:pPr>
        <w:spacing w:after="200" w:line="300"/>
      </w:pPr>
      <w:r>
        <w:rPr>
          <w:rFonts w:ascii="Georgia" w:cs="Georgia" w:eastAsia="Georgia" w:hAnsi="Georgia"/>
          <w:sz w:val="24"/>
          <w:szCs w:val="24"/>
        </w:rPr>
        <w:t xml:space="preserve">Ensure each repetition of the pattern adds a new dimension rather than simply another example. The Chapter 2 debrief email’s explicit naming (“Do you see the pattern, Sparrow?”) is the right escalation. Future chapters should continue to deepen, not just widen, this thread.</w:t>
      </w:r>
    </w:p>
    <w:p>
      <w:pPr>
        <w:spacing w:after="200" w:before="200"/>
        <w:jc w:val="center"/>
      </w:pPr>
      <w:r>
        <w:rPr>
          <w:rFonts w:ascii="Georgia" w:cs="Georgia" w:eastAsia="Georgia" w:hAnsi="Georgia"/>
          <w:color w:val="C9A84C"/>
          <w:sz w:val="20"/>
          <w:szCs w:val="20"/>
        </w:rPr>
        <w:t xml:space="preserve">───  ◆  ───</w:t>
      </w:r>
    </w:p>
    <w:p>
      <w:pPr>
        <w:pStyle w:val="Heading1"/>
      </w:pPr>
      <w:r>
        <w:t xml:space="preserve">Final Word</w:t>
      </w:r>
    </w:p>
    <w:p>
      <w:pPr>
        <w:spacing w:after="200" w:line="300"/>
      </w:pPr>
      <w:r>
        <w:rPr>
          <w:rFonts w:ascii="Georgia" w:cs="Georgia" w:eastAsia="Georgia" w:hAnsi="Georgia"/>
          <w:sz w:val="24"/>
          <w:szCs w:val="24"/>
        </w:rPr>
        <w:t xml:space="preserve">The opening act of The Order of the Gilt Frame establishes a narrative of uncommon ambition and frequent brilliance. The Archivist’s voice is authoritative and warm. The compass bearing is a structural masterstroke. The Palmer-Cassatt thread transforms a museum visit into an act of espionage. The companion subplot adds dimensions that no single-player narrative can achieve.</w:t>
      </w:r>
    </w:p>
    <w:p>
      <w:pPr>
        <w:spacing w:after="200" w:line="300"/>
      </w:pPr>
      <w:r>
        <w:rPr>
          <w:rFonts w:ascii="Georgia" w:cs="Georgia" w:eastAsia="Georgia" w:hAnsi="Georgia"/>
          <w:sz w:val="24"/>
          <w:szCs w:val="24"/>
        </w:rPr>
        <w:t xml:space="preserve">Where it stumbles—the over-warned Prologue letter, the crowded communication schedule at the museum, the absence of dramatic consequence—these are problems of calibration, not conception. The architecture is sound. The voice is found. The story knows what it wants to be.</w:t>
      </w:r>
    </w:p>
    <w:p>
      <w:pPr>
        <w:spacing w:after="200" w:line="300"/>
      </w:pPr>
      <w:r>
        <w:rPr>
          <w:rFonts w:ascii="Georgia" w:cs="Georgia" w:eastAsia="Georgia" w:hAnsi="Georgia"/>
          <w:sz w:val="24"/>
          <w:szCs w:val="24"/>
        </w:rPr>
        <w:t xml:space="preserve">What remains is the harder question: whether the act of looking, by itself, can sustain a six-chapter narrative. The opening act earns that question the right to be asked. The answer will depend on what comes next.</w:t>
      </w:r>
    </w:p>
    <w:p>
      <w:pPr>
        <w:spacing w:after="200" w:line="300"/>
      </w:pPr>
      <w:r>
        <w:rPr>
          <w:rFonts w:ascii="Georgia" w:cs="Georgia" w:eastAsia="Georgia" w:hAnsi="Georgia"/>
          <w:sz w:val="24"/>
          <w:szCs w:val="24"/>
        </w:rPr>
        <w:t xml:space="preserve">But this beginning? This beginning is very good.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161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E1610"/>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E231A"/>
      <w:sz w:val="28"/>
      <w:szCs w:val="28"/>
    </w:rPr>
  </w:style>
  <w:style w:type="paragraph" w:styleId="Heading3">
    <w:name w:val="Heading 3"/>
    <w:basedOn w:val="Normal"/>
    <w:next w:val="Normal"/>
    <w:qFormat/>
    <w:pPr>
      <w:spacing w:after="120" w:before="200"/>
      <w:outlineLvl w:val="2"/>
    </w:pPr>
    <w:rPr>
      <w:rFonts w:ascii="Georgia" w:cs="Georgia" w:eastAsia="Georgia" w:hAnsi="Georgia"/>
      <w:b/>
      <w:bCs/>
      <w:i/>
      <w:iCs/>
      <w:color w:val="3D2E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2026-02-25T23:20:59.679Z</dcterms:created>
  <dcterms:modified xsi:type="dcterms:W3CDTF">2026-02-25T23:20:59.679Z</dcterms:modified>
</cp:coreProperties>
</file>

<file path=docProps/custom.xml><?xml version="1.0" encoding="utf-8"?>
<Properties xmlns="http://schemas.openxmlformats.org/officeDocument/2006/custom-properties" xmlns:vt="http://schemas.openxmlformats.org/officeDocument/2006/docPropsVTypes"/>
</file>