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C8A54B"/>
          <w:spacing w:val="200"/>
          <w:sz w:val="20"/>
          <w:szCs w:val="20"/>
        </w:rPr>
        <w:t xml:space="preserve">THE ORDER OF THE GILT FRAME</w:t>
      </w:r>
    </w:p>
    <w:p>
      <w:pPr>
        <w:spacing w:after="80"/>
        <w:jc w:val="center"/>
      </w:pPr>
      <w:r>
        <w:rPr>
          <w:rFonts w:ascii="Arial" w:cs="Arial" w:eastAsia="Arial" w:hAnsi="Arial"/>
          <w:b/>
          <w:bCs/>
          <w:sz w:val="36"/>
          <w:szCs w:val="36"/>
        </w:rPr>
        <w:t xml:space="preserve">Chapter 2: The Gallery of Whispers</w:t>
      </w:r>
    </w:p>
    <w:p>
      <w:pPr>
        <w:spacing w:after="400"/>
        <w:jc w:val="center"/>
      </w:pPr>
      <w:r>
        <w:rPr>
          <w:rFonts w:ascii="Arial" w:cs="Arial" w:eastAsia="Arial" w:hAnsi="Arial"/>
          <w:i/>
          <w:iCs/>
          <w:color w:val="666666"/>
          <w:sz w:val="24"/>
          <w:szCs w:val="24"/>
        </w:rPr>
        <w:t xml:space="preserve">Art Institute of Chicago, Gallery 273</w:t>
      </w:r>
    </w:p>
    <w:p>
      <w:pPr>
        <w:pStyle w:val="Heading1"/>
      </w:pPr>
      <w:r>
        <w:t xml:space="preserve">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Art Institute of Chicago, Gallery 273</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Window</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March 23–24,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Sister (companion2) present throughout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Objective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Identify two paintings. Prove she stands before each. The Order reveals a pattern.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Story Thread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Palmer → Cassatt → Crystal Bridges → Alice Walton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Puzzle Type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GuidedIdentification + MultipleChoice (no wayfinding, no GPS)</w:t>
            </w:r>
          </w:p>
        </w:tc>
      </w:tr>
    </w:tbl>
    <w:p>
      <w:pPr>
        <w:pStyle w:val="Heading1"/>
      </w:pPr>
      <w:r>
        <w:t xml:space="preserve">Art Targets</w:t>
      </w:r>
    </w:p>
    <w:p>
      <w:pPr>
        <w:pStyle w:val="Heading3"/>
      </w:pPr>
      <w:r>
        <w:t xml:space="preserve">Painting 1: Anders Zorn — Mrs. Potter Palmer (1893)</w:t>
      </w:r>
    </w:p>
    <w:p>
      <w:pPr>
        <w:spacing w:after="200"/>
      </w:pPr>
      <w:r>
        <w:t xml:space="preserve">Full-length oil portrait of Bertha Honoré Palmer in a white satin ballgown. She holds an </w:t>
      </w:r>
      <w:r>
        <w:rPr>
          <w:b/>
          <w:bCs/>
        </w:rPr>
        <w:t xml:space="preserve">ivory gavel</w:t>
      </w:r>
      <w:r>
        <w:t xml:space="preserve"> (her symbol as President of the Board of Lady Managers at the 1893 World’s Columbian Exposition) and wears a </w:t>
      </w:r>
      <w:r>
        <w:rPr>
          <w:b/>
          <w:bCs/>
        </w:rPr>
        <w:t xml:space="preserve">jeweled tiara</w:t>
      </w:r>
      <w:r>
        <w:t xml:space="preserve">. Inscribed </w:t>
      </w:r>
      <w:r>
        <w:rPr>
          <w:i/>
          <w:iCs/>
        </w:rPr>
        <w:t xml:space="preserve">“Zorn / Chicago 1893”</w:t>
      </w:r>
      <w:r>
        <w:t xml:space="preserve"> at lower left. Gallery 273.</w:t>
      </w:r>
    </w:p>
    <w:p>
      <w:pPr>
        <w:pStyle w:val="Heading3"/>
      </w:pPr>
      <w:r>
        <w:t xml:space="preserve">Painting 2: Mary Cassatt — The Child’s Bath (1893)</w:t>
      </w:r>
    </w:p>
    <w:p>
      <w:pPr>
        <w:spacing w:after="200"/>
      </w:pPr>
      <w:r>
        <w:t xml:space="preserve">Oil on canvas depicting a woman bathing a child’s feet. Viewed from an </w:t>
      </w:r>
      <w:r>
        <w:rPr>
          <w:b/>
          <w:bCs/>
        </w:rPr>
        <w:t xml:space="preserve">overhead perspective</w:t>
      </w:r>
      <w:r>
        <w:t xml:space="preserve"> (bird’s-eye), inspired by </w:t>
      </w:r>
      <w:r>
        <w:rPr>
          <w:b/>
          <w:bCs/>
        </w:rPr>
        <w:t xml:space="preserve">Japanese woodblock prints</w:t>
      </w:r>
      <w:r>
        <w:t xml:space="preserve"> (ukiyo-e). The woman wears a striped dress. Bold patterns, flattened plane. Same year as the Zorn portrait. Same gallery.</w:t>
      </w:r>
    </w:p>
    <w:p>
      <w:pPr>
        <w:pStyle w:val="Heading3"/>
      </w:pPr>
      <w:r>
        <w:t xml:space="preserve">Backup: Mary Cassatt — On a Balcony (c. 1878–79)</w:t>
      </w:r>
    </w:p>
    <w:p>
      <w:pPr>
        <w:spacing w:after="200"/>
      </w:pPr>
      <w:r>
        <w:t xml:space="preserve">If The Child’s Bath is off display, swap to On a Balcony (also Gallery 273). Alternate questions: “What is the woman reading?” → A newspaper. “What does the setting reveal?” → A private garden.</w:t>
      </w:r>
    </w:p>
    <w:p>
      <w:pPr>
        <w:pStyle w:val="Heading1"/>
      </w:pPr>
      <w:r>
        <w:t xml:space="preserve">Story Thread</w:t>
      </w:r>
    </w:p>
    <w:p>
      <w:pPr>
        <w:spacing w:after="200"/>
      </w:pPr>
      <w:r>
        <w:t xml:space="preserve">Bertha Palmer → Mary Cassatt → Crystal Bridges → Alice Walton. Palmer was an Order patron who used her Impressionist collecting to protect Order artifacts. Cassatt was her personal art advisor and fellow Order member. Both painted in 1893, the year of the Fair. Both hang in the same room. This thread is NOT fully revealed in Chapter 2 — only teased.</w:t>
      </w:r>
    </w:p>
    <w:p>
      <w:pPr>
        <w:spacing w:after="200"/>
      </w:pPr>
      <w:r>
        <w:rPr>
          <w:b/>
          <w:bCs/>
        </w:rPr>
        <w:t xml:space="preserve">Blindness pattern: </w:t>
      </w:r>
      <w:r>
        <w:t xml:space="preserve">Both Kellogg and Cassatt lost their sight. The Order believes this was not chance. The debrief email makes this explicit: </w:t>
      </w:r>
      <w:r>
        <w:rPr>
          <w:i/>
          <w:iCs/>
        </w:rPr>
        <w:t xml:space="preserve">“The sight is taken from those who see too much.”</w:t>
      </w:r>
    </w:p>
    <w:p>
      <w:pPr>
        <w:spacing w:after="200"/>
      </w:pPr>
      <w:r>
        <w:rPr>
          <w:b/>
          <w:bCs/>
        </w:rPr>
        <w:t xml:space="preserve">255° bearing callback: </w:t>
      </w:r>
      <w:r>
        <w:t xml:space="preserve">In Chapter 1, Christine aligned her device to 255° at the Kellogg Manor sundial. That bearing points directly toward Chicago. The Zorn portrait inscription reads “Chicago 1893” — the same city the compass pointed to. Do NOT spell this out. Let her discover it.</w:t>
      </w:r>
    </w:p>
    <w:p>
      <w:r>
        <w:br w:type="page"/>
      </w:r>
    </w:p>
    <w:p>
      <w:pPr>
        <w:pStyle w:val="Heading1"/>
      </w:pPr>
      <w:r>
        <w:t xml:space="preserve">Full Step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800"/>
        <w:gridCol w:w="1200"/>
        <w:gridCol w:w="4560"/>
      </w:tblGrid>
      <w:tr>
        <w:tc>
          <w:tcPr>
            <w:tcW w:type="dxa" w:w="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Order</w:t>
            </w:r>
          </w:p>
        </w:tc>
        <w:tc>
          <w:tcPr>
            <w:tcW w:type="dxa" w:w="28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Step ID</w:t>
            </w:r>
          </w:p>
        </w:tc>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Name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ch2_mid_gap_email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Bearing Worth Remembering</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ch2_pre_trip_letter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Letter</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Pre-Trip Letter (acrostic: THE SIGHT)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ch2_tickler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Summons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ch2_museum_proximity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Arrival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ch2_find_portrait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Portrait (GuidedIdentification)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ch2_zorn_questions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Patron’s Trial (MultipleChoice)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ch2_find_cassatt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Advisor’s Trail (GuidedIdentification)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ch2_cassatt_questions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Advisor’s Trial (MultipleChoice)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ch2_reward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Website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Reward (RewardReveal)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ch2_post_solve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Post-Solve Confirmation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ch2_debrief_email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Email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Debrief</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11</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ch2_sister_release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Companion Release</w:t>
            </w:r>
          </w:p>
        </w:tc>
      </w:tr>
    </w:tbl>
    <w:p>
      <w:pPr>
        <w:pStyle w:val="Heading1"/>
      </w:pPr>
      <w:r>
        <w:t xml:space="preserve">Pre-Museum Communications</w:t>
      </w:r>
    </w:p>
    <w:p>
      <w:pPr>
        <w:pStyle w:val="Heading3"/>
      </w:pPr>
      <w:r>
        <w:t xml:space="preserve">Step 0: Mid-Gap Email</w:t>
      </w:r>
    </w:p>
    <w:p>
      <w:pPr>
        <w:spacing w:after="200"/>
      </w:pPr>
      <w:r>
        <w:t xml:space="preserve">Subject: “A Bearing Worth Remembering.” Sent ~March 10–14, midway between Ch1 completion and Ch2 activation. Maintains engagement during the 3-week gap. Subtly references the 255° bearing without naming Chicago.</w:t>
      </w:r>
    </w:p>
    <w:p>
      <w:pPr>
        <w:pStyle w:val="Heading3"/>
      </w:pPr>
      <w:r>
        <w:t xml:space="preserve">Step 1: Pre-Trip Letter</w:t>
      </w:r>
    </w:p>
    <w:p>
      <w:pPr>
        <w:spacing w:after="200"/>
      </w:pPr>
      <w:r>
        <w:t xml:space="preserve">Physical mail, 4–5 days before Chicago. Acrostic: THE SIGHT. References “the great Fair,” “a palace of art beside the lake.” Does NOT name Palmer, Zorn, or Gallery 273. Signed by The Registrar.</w:t>
      </w:r>
    </w:p>
    <w:p>
      <w:pPr>
        <w:pStyle w:val="Heading3"/>
      </w:pPr>
      <w:r>
        <w:t xml:space="preserve">Step 2: Tickler SMS</w:t>
      </w:r>
    </w:p>
    <w:p>
      <w:pPr>
        <w:spacing w:after="200"/>
      </w:pPr>
      <w:r>
        <w:t xml:space="preserve">Day before or morning of visit. Christine: </w:t>
      </w:r>
      <w:r>
        <w:rPr>
          <w:i/>
          <w:iCs/>
        </w:rPr>
        <w:t xml:space="preserve">“The lions are waiting, Sparrow.”</w:t>
      </w:r>
      <w:r>
        <w:t xml:space="preserve"> Sister: </w:t>
      </w:r>
      <w:r>
        <w:rPr>
          <w:i/>
          <w:iCs/>
        </w:rPr>
        <w:t xml:space="preserve">“You are not the one we seek. But you walk beside her. Do not interfere.”</w:t>
      </w:r>
    </w:p>
    <w:p>
      <w:pPr>
        <w:pStyle w:val="Heading3"/>
      </w:pPr>
      <w:r>
        <w:t xml:space="preserve">Step 3: Arrival SMS</w:t>
      </w:r>
    </w:p>
    <w:p>
      <w:pPr>
        <w:spacing w:after="200"/>
      </w:pPr>
      <w:r>
        <w:t xml:space="preserve">Sent when Find My confirms AIC arrival. Christine: </w:t>
      </w:r>
      <w:r>
        <w:rPr>
          <w:i/>
          <w:iCs/>
        </w:rPr>
        <w:t xml:space="preserve">“You are close. Ascend to the second floor. Gallery 273. She is waiting. giltframe.org”</w:t>
      </w:r>
      <w:r>
        <w:t xml:space="preserve"> Sister: </w:t>
      </w:r>
      <w:r>
        <w:rPr>
          <w:i/>
          <w:iCs/>
        </w:rPr>
        <w:t xml:space="preserve">“She is exposed now. The gallery has eyes that are not ours. Stay close. Do not leave her side.”</w:t>
      </w:r>
    </w:p>
    <w:p>
      <w:r>
        <w:br w:type="page"/>
      </w:r>
    </w:p>
    <w:p>
      <w:pPr>
        <w:pStyle w:val="Heading1"/>
      </w:pPr>
      <w:r>
        <w:t xml:space="preserve">Museum Puzzle Flow</w:t>
      </w:r>
    </w:p>
    <w:p>
      <w:pPr>
        <w:spacing w:after="200"/>
      </w:pPr>
      <w:r>
        <w:t xml:space="preserve">No email during the museum visit — Christine is on the move. No wayfinding component. The SMS directs her to Gallery 273; the website narrows to each painting.</w:t>
      </w:r>
    </w:p>
    <w:p>
      <w:pPr>
        <w:pStyle w:val="Heading2"/>
      </w:pPr>
      <w:r>
        <w:t xml:space="preserve">Step 4: Find the Zorn Portrait (GuidedIdentification)</w:t>
      </w:r>
    </w:p>
    <w:p>
      <w:pPr>
        <w:spacing w:after="200"/>
      </w:pPr>
      <w:r>
        <w:rPr>
          <w:b/>
          <w:bCs/>
        </w:rPr>
        <w:t xml:space="preserve">Phase 1 — Guidance: </w:t>
      </w:r>
      <w:r>
        <w:t xml:space="preserve">Three lines of gold text stagger in on screen:</w:t>
      </w:r>
    </w:p>
    <w:p>
      <w:pPr>
        <w:spacing w:after="200"/>
        <w:jc w:val="center"/>
      </w:pPr>
      <w:r>
        <w:rPr>
          <w:i/>
          <w:iCs/>
        </w:rPr>
        <w:t xml:space="preserve">“Your second trial awaits.”</w:t>
      </w:r>
    </w:p>
    <w:p>
      <w:pPr>
        <w:spacing w:after="200"/>
        <w:jc w:val="center"/>
      </w:pPr>
      <w:r>
        <w:rPr>
          <w:i/>
          <w:iCs/>
        </w:rPr>
        <w:t xml:space="preserve">“A patron of the Order presided over the great Fair of 1893.”</w:t>
      </w:r>
    </w:p>
    <w:p>
      <w:pPr>
        <w:spacing w:after="200"/>
        <w:jc w:val="center"/>
      </w:pPr>
      <w:r>
        <w:rPr>
          <w:i/>
          <w:iCs/>
        </w:rPr>
        <w:t xml:space="preserve">“A Swedish painter captured her likeness in this very room.”</w:t>
      </w:r>
    </w:p>
    <w:p>
      <w:pPr>
        <w:spacing w:after="200"/>
      </w:pPr>
      <w:r>
        <w:t xml:space="preserve">The Marker pulses below. Tap target: “I think I’ve found it.” Hints available via “Request a Hint” button (player-initiated, not auto-revealed).</w:t>
      </w:r>
    </w:p>
    <w:p>
      <w:pPr>
        <w:spacing w:after="200"/>
      </w:pPr>
      <w:r>
        <w:rPr>
          <w:b/>
          <w:bCs/>
        </w:rPr>
        <w:t xml:space="preserve">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held the highest authority a woman could claim at the Fair.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 name shaped Chicago society. Look for a portrait, not a scene.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Palmer name endures. She stands tall, regal, commanding.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Anders Zorn painted Mrs. Potter Palmer in 1893. Find her.</w:t>
            </w:r>
          </w:p>
        </w:tc>
      </w:tr>
    </w:tbl>
    <w:p>
      <w:pPr>
        <w:spacing w:after="200"/>
      </w:pPr>
      <w:r>
        <w:rPr>
          <w:b/>
          <w:bCs/>
        </w:rPr>
        <w:t xml:space="preserve">Phase 2 — Identification: </w:t>
      </w:r>
      <w:r>
        <w:rPr>
          <w:i/>
          <w:iCs/>
        </w:rPr>
        <w:t xml:space="preserve">“What is the name of the painting you stand before?”</w:t>
      </w:r>
      <w:r>
        <w:t xml:space="preserve"> Four options: 1 correct + 3 randomly drawn from the painting pool. Wrong answer → gentle shake → return to Phase 1. Distractors re-randomize on each attempt.</w:t>
      </w:r>
    </w:p>
    <w:p>
      <w:pPr>
        <w:spacing w:after="200"/>
      </w:pPr>
      <w:r>
        <w:rPr>
          <w:b/>
          <w:bCs/>
        </w:rPr>
        <w:t xml:space="preserve">Correct answer: </w:t>
      </w:r>
      <w:r>
        <w:t xml:space="preserve">Mrs. Potter Palmer — Anders Zorn</w:t>
      </w:r>
    </w:p>
    <w:p>
      <w:pPr>
        <w:spacing w:after="200"/>
      </w:pPr>
      <w:r>
        <w:rPr>
          <w:b/>
          <w:bCs/>
        </w:rPr>
        <w:t xml:space="preserve">Painting pool: </w:t>
      </w:r>
      <w:r>
        <w:t xml:space="preserve">The Child’s Bath (Cassatt), On a Balcony (Cassatt), The Artist in His Studio (Whistler), Arrangement in Flesh Color and Brown (Whistler), The Valley of Arconville (Robinson), In the Café (Lungren), The Song of the Lark (Breton), Two Sisters (Renoir)</w:t>
      </w:r>
    </w:p>
    <w:p>
      <w:pPr>
        <w:pStyle w:val="Heading2"/>
      </w:pPr>
      <w:r>
        <w:t xml:space="preserve">Step 5: The Patron’s Trial (MultipleChoice)</w:t>
      </w:r>
    </w:p>
    <w:p>
      <w:pPr>
        <w:spacing w:after="200"/>
      </w:pPr>
      <w:r>
        <w:t xml:space="preserve">Two questions on the Zorn portrait — one observation, one appreciation: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3460"/>
      </w:tblGrid>
      <w:tr>
        <w:tc>
          <w:tcPr>
            <w:tcW w:type="dxa" w:w="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does she 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 ivory gavel</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Palmer’s gavel as President of the Board of Lady Managers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artist inscribed this canvas at the lower left. What city appears in the inscription?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Chicago</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Inscription: “Zorn / Chicago 1893.” Ties back to 255° bearing from Ch1.</w:t>
            </w:r>
          </w:p>
        </w:tc>
      </w:tr>
    </w:tbl>
    <w:p>
      <w:pPr>
        <w:pStyle w:val="Heading2"/>
      </w:pPr>
      <w:r>
        <w:t xml:space="preserve">Step 6: Find the Cassatt (GuidedIdentification)</w:t>
      </w:r>
    </w:p>
    <w:p>
      <w:pPr>
        <w:spacing w:after="200"/>
      </w:pPr>
      <w:r>
        <w:rPr>
          <w:b/>
          <w:bCs/>
        </w:rPr>
        <w:t xml:space="preserve">Phase 1 — Guidance: </w:t>
      </w:r>
      <w:r>
        <w:t xml:space="preserve">Two lines of gold text:</w:t>
      </w:r>
    </w:p>
    <w:p>
      <w:pPr>
        <w:spacing w:after="200"/>
        <w:jc w:val="center"/>
      </w:pPr>
      <w:r>
        <w:rPr>
          <w:i/>
          <w:iCs/>
        </w:rPr>
        <w:t xml:space="preserve">“The patron’s eye was guided by another.”</w:t>
      </w:r>
    </w:p>
    <w:p>
      <w:pPr>
        <w:spacing w:after="200"/>
        <w:jc w:val="center"/>
      </w:pPr>
      <w:r>
        <w:rPr>
          <w:i/>
          <w:iCs/>
        </w:rPr>
        <w:t xml:space="preserve">“Her advisor’s work endures in this very room.”</w:t>
      </w:r>
    </w:p>
    <w:p>
      <w:pPr>
        <w:spacing w:after="200"/>
      </w:pPr>
      <w:r>
        <w:t xml:space="preserve">Same mechanic as Step 4. Tap: “I think I’ve found it.” Hints on request.</w:t>
      </w:r>
    </w:p>
    <w:p>
      <w:pPr>
        <w:spacing w:after="200"/>
      </w:pPr>
      <w:r>
        <w:rPr>
          <w:b/>
          <w:bCs/>
        </w:rPr>
        <w:t xml:space="preserve">Hints: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81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Hint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advisor was a painter — an American woman living abroad.</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 work depicts quiet domestic scenes — mothers, children, daily ritual.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This painting was created in the same year as the portrait you just found. 1893.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Mary Cassatt painted The Child’s Bath. Find it.</w:t>
            </w:r>
          </w:p>
        </w:tc>
      </w:tr>
    </w:tbl>
    <w:p>
      <w:pPr>
        <w:spacing w:after="200"/>
      </w:pPr>
      <w:r>
        <w:rPr>
          <w:b/>
          <w:bCs/>
        </w:rPr>
        <w:t xml:space="preserve">Phase 2 — Identification: </w:t>
      </w:r>
      <w:r>
        <w:t xml:space="preserve">Same question format. Correct answer: The Child’s Bath — Mary Cassatt.</w:t>
      </w:r>
    </w:p>
    <w:p>
      <w:pPr>
        <w:pStyle w:val="Heading2"/>
      </w:pPr>
      <w:r>
        <w:t xml:space="preserve">Step 7: The Advisor’s Trial (MultipleChoice)</w:t>
      </w:r>
    </w:p>
    <w:p>
      <w:pPr>
        <w:spacing w:after="200"/>
      </w:pPr>
      <w:r>
        <w:t xml:space="preserve">Two questions on The Child’s Bath — one observation, one appreciation: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2200"/>
        <w:gridCol w:w="3460"/>
      </w:tblGrid>
      <w:tr>
        <w:tc>
          <w:tcPr>
            <w:tcW w:type="dxa" w:w="5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W w:type="dxa" w:w="22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Correct Answer</w:t>
            </w:r>
          </w:p>
        </w:tc>
        <w:tc>
          <w:tcPr>
            <w:tcW w:type="dxa" w:w="34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what vantage does the artist compose this scene?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From above, looking down</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overhead perspective is THE defining feature, inspired by ukiyo-e prints.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What artistic tradition inspired this painting’s flattened perspective and bold patterns?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Japanese woodblock prints</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Cassatt visited the 1890 ukiyo-e exhibition at the École des Beaux-Arts. Christine would know this.</w:t>
            </w:r>
          </w:p>
        </w:tc>
      </w:tr>
    </w:tbl>
    <w:p>
      <w:pPr>
        <w:pStyle w:val="Heading2"/>
      </w:pPr>
      <w:r>
        <w:t xml:space="preserve">Step 8: Reward</w:t>
      </w:r>
    </w:p>
    <w:p>
      <w:pPr>
        <w:spacing w:after="200"/>
      </w:pPr>
      <w:r>
        <w:rPr>
          <w:b/>
          <w:bCs/>
        </w:rPr>
        <w:t xml:space="preserve">Primary: </w:t>
      </w:r>
      <w:r>
        <w:rPr>
          <w:i/>
          <w:iCs/>
        </w:rPr>
        <w:t xml:space="preserve">“Mrs. Palmer did not collect alone. Her closest advisor was a fellow member of the Order — a painter who saw what others could not. You stood before her vision today. 1893. Two frames. One purpose.”</w:t>
      </w:r>
    </w:p>
    <w:p>
      <w:pPr>
        <w:spacing w:after="200"/>
      </w:pPr>
      <w:r>
        <w:rPr>
          <w:b/>
          <w:bCs/>
        </w:rPr>
        <w:t xml:space="preserve">Secondary: </w:t>
      </w:r>
      <w:r>
        <w:rPr>
          <w:i/>
          <w:iCs/>
        </w:rPr>
        <w:t xml:space="preserve">“Your second fragment has been placed in the vault.”</w:t>
      </w:r>
    </w:p>
    <w:p>
      <w:r>
        <w:br w:type="page"/>
      </w:r>
    </w:p>
    <w:p>
      <w:pPr>
        <w:pStyle w:val="Heading1"/>
      </w:pPr>
      <w:r>
        <w:t xml:space="preserve">Post-Museum Communications</w:t>
      </w:r>
    </w:p>
    <w:p>
      <w:pPr>
        <w:pStyle w:val="Heading3"/>
      </w:pPr>
      <w:r>
        <w:t xml:space="preserve">Step 9: Post-Solve SMS</w:t>
      </w:r>
    </w:p>
    <w:p>
      <w:pPr>
        <w:spacing w:after="200"/>
      </w:pPr>
      <w:r>
        <w:t xml:space="preserve">Christine: </w:t>
      </w:r>
      <w:r>
        <w:rPr>
          <w:i/>
          <w:iCs/>
        </w:rPr>
        <w:t xml:space="preserve">“You see what others have not. Your Chronicle has been updated. The Council is watching with growing interest.”</w:t>
      </w:r>
      <w:r>
        <w:t xml:space="preserve"> Sister: </w:t>
      </w:r>
      <w:r>
        <w:rPr>
          <w:i/>
          <w:iCs/>
        </w:rPr>
        <w:t xml:space="preserve">“The Order sees those who stand watch. You have our thanks.”</w:t>
      </w:r>
    </w:p>
    <w:p>
      <w:pPr>
        <w:pStyle w:val="Heading3"/>
      </w:pPr>
      <w:r>
        <w:t xml:space="preserve">Step 10: Debrief Email</w:t>
      </w:r>
    </w:p>
    <w:p>
      <w:pPr>
        <w:spacing w:after="200"/>
      </w:pPr>
      <w:r>
        <w:t xml:space="preserve">Subject: “The Gallery of Whispers — The Order is Pleased.” Sent 1–2 days after Chicago trip. Key content:</w:t>
      </w:r>
    </w:p>
    <w:p>
      <w:pPr>
        <w:pStyle w:val="ListParagraph"/>
        <w:numPr>
          <w:ilvl w:val="0"/>
          <w:numId w:val="2"/>
        </w:numPr>
        <w:spacing w:after="80"/>
      </w:pPr>
      <w:r>
        <w:t xml:space="preserve">Names Palmer explicitly as Order patron</w:t>
      </w:r>
    </w:p>
    <w:p>
      <w:pPr>
        <w:pStyle w:val="ListParagraph"/>
        <w:numPr>
          <w:ilvl w:val="0"/>
          <w:numId w:val="2"/>
        </w:numPr>
        <w:spacing w:after="80"/>
      </w:pPr>
      <w:r>
        <w:t xml:space="preserve">Hints at Cassatt: “a painter living abroad — an American woman whose quiet domestic scenes concealed a radical eye”</w:t>
      </w:r>
    </w:p>
    <w:p>
      <w:pPr>
        <w:pStyle w:val="ListParagraph"/>
        <w:numPr>
          <w:ilvl w:val="0"/>
          <w:numId w:val="2"/>
        </w:numPr>
        <w:spacing w:after="80"/>
      </w:pPr>
      <w:r>
        <w:t xml:space="preserve">Names the blindness pattern: “By 1914 she could no longer hold a brush” (mirrors Kellogg)</w:t>
      </w:r>
    </w:p>
    <w:p>
      <w:pPr>
        <w:pStyle w:val="ListParagraph"/>
        <w:numPr>
          <w:ilvl w:val="0"/>
          <w:numId w:val="2"/>
        </w:numPr>
        <w:spacing w:after="80"/>
      </w:pPr>
      <w:r>
        <w:t xml:space="preserve">Antagonist escalation: “The sight is taken from those who see too much”</w:t>
      </w:r>
    </w:p>
    <w:p>
      <w:pPr>
        <w:pStyle w:val="ListParagraph"/>
        <w:numPr>
          <w:ilvl w:val="0"/>
          <w:numId w:val="2"/>
        </w:numPr>
        <w:spacing w:after="80"/>
      </w:pPr>
      <w:r>
        <w:t xml:space="preserve">Teases Crystal Bridges: “a museum built into the hills of a distant state”</w:t>
      </w:r>
    </w:p>
    <w:p>
      <w:pPr>
        <w:pStyle w:val="ListParagraph"/>
        <w:numPr>
          <w:ilvl w:val="0"/>
          <w:numId w:val="2"/>
        </w:numPr>
        <w:spacing w:after="200"/>
      </w:pPr>
      <w:r>
        <w:t xml:space="preserve">Hints at Alice Walton: “A modern patron… who saw what Palmer saw a century before her”</w:t>
      </w:r>
    </w:p>
    <w:p>
      <w:pPr>
        <w:pStyle w:val="Heading3"/>
      </w:pPr>
      <w:r>
        <w:t xml:space="preserve">Step 11: Sister Release SMS</w:t>
      </w:r>
    </w:p>
    <w:p>
      <w:pPr>
        <w:spacing w:after="200"/>
      </w:pPr>
      <w:r>
        <w:rPr>
          <w:i/>
          <w:iCs/>
        </w:rPr>
        <w:t xml:space="preserve">“She has proven worthy. The Order releases you from your watch — until the next summons.”</w:t>
      </w:r>
    </w:p>
    <w:p>
      <w:pPr>
        <w:pStyle w:val="Heading1"/>
      </w:pPr>
      <w:r>
        <w:t xml:space="preserve">Sister Companion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When</w:t>
            </w:r>
          </w:p>
        </w:tc>
        <w:tc>
          <w:tcPr>
            <w:tcW w:type="dxa" w:w="6960"/>
            <w:tcBorders>
              <w:top w:val="single" w:color="CCCCCC" w:sz="1"/>
              <w:left w:val="single" w:color="CCCCCC" w:sz="1"/>
              <w:bottom w:val="single" w:color="CCCCCC" w:sz="1"/>
              <w:right w:val="single" w:color="CCCCCC" w:sz="1"/>
            </w:tcBorders>
            <w:shd w:fill="1A1A1A" w:val="clear"/>
            <w:tcMar>
              <w:top w:type="dxa" w:w="80"/>
              <w:left w:type="dxa" w:w="120"/>
              <w:bottom w:type="dxa" w:w="80"/>
              <w:right w:type="dxa" w:w="120"/>
            </w:tcMar>
          </w:tcPr>
          <w:p>
            <w:r>
              <w:rPr>
                <w:rFonts w:ascii="Arial" w:cs="Arial" w:eastAsia="Arial" w:hAnsi="Arial"/>
                <w:b/>
                <w:bCs/>
                <w:color w:val="FFFFFF"/>
                <w:sz w:val="20"/>
                <w:szCs w:val="20"/>
              </w:rPr>
              <w:t xml:space="preserve">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 Tickler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You are not the one we seek. But you walk beside her. Do not interfere.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 Arrival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is exposed now. The gallery has eyes that are not ours. Stay close. Do not leave her side.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9: Post-solve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Order sees those who stand watch. You have our thanks.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11: Release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 has proven worthy. The Order releases you from your watch — until the next summons.</w:t>
            </w:r>
          </w:p>
        </w:tc>
      </w:tr>
    </w:tbl>
    <w:p>
      <w:pPr>
        <w:pStyle w:val="Heading1"/>
      </w:pPr>
      <w:r>
        <w:t xml:space="preserve">New Component: GuidedIdentification</w:t>
      </w:r>
    </w:p>
    <w:p>
      <w:pPr>
        <w:spacing w:after="200"/>
      </w:pPr>
      <w:r>
        <w:t xml:space="preserve">A new two-phase looping component created for Chapter 2. Defined in types.ts as GuidedIdentificationConfig, implemented in GuidedIdentification.tsx, registered in registry.ts.</w:t>
      </w:r>
    </w:p>
    <w:p>
      <w:pPr>
        <w:spacing w:after="200"/>
      </w:pPr>
      <w:r>
        <w:rPr>
          <w:b/>
          <w:bCs/>
        </w:rPr>
        <w:t xml:space="preserve">Phase 1 (Guidance): </w:t>
      </w:r>
      <w:r>
        <w:t xml:space="preserve">Text clues stagger in (gold on black, Georgia serif). Marker pulses below. “I think I’ve found it” tap target. Progressive hints available via “Request a Hint” button (player-initiated).</w:t>
      </w:r>
    </w:p>
    <w:p>
      <w:pPr>
        <w:spacing w:after="200"/>
      </w:pPr>
      <w:r>
        <w:rPr>
          <w:b/>
          <w:bCs/>
        </w:rPr>
        <w:t xml:space="preserve">Phase 2 (Identification): </w:t>
      </w:r>
      <w:r>
        <w:t xml:space="preserve">Multiple choice — “What is the name of the painting you stand before?” 4 options: 1 correct + 3 randomly drawn from painting_pool, shuffled.</w:t>
      </w:r>
    </w:p>
    <w:p>
      <w:pPr>
        <w:spacing w:after="200"/>
      </w:pPr>
      <w:r>
        <w:rPr>
          <w:b/>
          <w:bCs/>
        </w:rPr>
        <w:t xml:space="preserve">Wrong answer: </w:t>
      </w:r>
      <w:r>
        <w:t xml:space="preserve">Gentle shake → fade back to Phase 1. Not punitive — the message is “not yet, keep looking.” Hints remain revealed. Distractors re-randomize on each attempt (prevents brute-forcing).</w:t>
      </w:r>
    </w:p>
    <w:p>
      <w:pPr>
        <w:spacing w:after="200"/>
      </w:pPr>
      <w:r>
        <w:rPr>
          <w:b/>
          <w:bCs/>
        </w:rPr>
        <w:t xml:space="preserve">Correct answer: </w:t>
      </w:r>
      <w:r>
        <w:t xml:space="preserve">Gold border lock → advance to observation questions.</w:t>
      </w:r>
    </w:p>
    <w:p>
      <w:pPr>
        <w:pStyle w:val="Heading1"/>
      </w:pPr>
      <w:r>
        <w:t xml:space="preserve">Design Notes</w:t>
      </w:r>
    </w:p>
    <w:p>
      <w:pPr>
        <w:pStyle w:val="ListParagraph"/>
        <w:numPr>
          <w:ilvl w:val="0"/>
          <w:numId w:val="2"/>
        </w:numPr>
        <w:spacing w:after="80"/>
      </w:pPr>
      <w:r>
        <w:t xml:space="preserve">Christine is knowledgeable about both Palmer and Cassatt — the GuidedIdentification clues should click quickly for her. Hints are a safety net.</w:t>
      </w:r>
    </w:p>
    <w:p>
      <w:pPr>
        <w:pStyle w:val="ListParagraph"/>
        <w:numPr>
          <w:ilvl w:val="0"/>
          <w:numId w:val="2"/>
        </w:numPr>
        <w:spacing w:after="80"/>
      </w:pPr>
      <w:r>
        <w:t xml:space="preserve">Verify Gallery 273 is open and both paintings are on display before March 23. Check AIC website 2–3 days before.</w:t>
      </w:r>
    </w:p>
    <w:p>
      <w:pPr>
        <w:pStyle w:val="ListParagraph"/>
        <w:numPr>
          <w:ilvl w:val="0"/>
          <w:numId w:val="2"/>
        </w:numPr>
        <w:spacing w:after="80"/>
      </w:pPr>
      <w:r>
        <w:t xml:space="preserve">Backup questions documented in config.ts comments for On a Balcony if The Child’s Bath is off display.</w:t>
      </w:r>
    </w:p>
    <w:p>
      <w:pPr>
        <w:pStyle w:val="ListParagraph"/>
        <w:numPr>
          <w:ilvl w:val="0"/>
          <w:numId w:val="2"/>
        </w:numPr>
        <w:spacing w:after="80"/>
      </w:pPr>
      <w:r>
        <w:t xml:space="preserve">No email during museum visit — Christine is on the move. Briefing absorbed into GuidedIdentification guidance text.</w:t>
      </w:r>
    </w:p>
    <w:p>
      <w:pPr>
        <w:pStyle w:val="ListParagraph"/>
        <w:numPr>
          <w:ilvl w:val="0"/>
          <w:numId w:val="2"/>
        </w:numPr>
        <w:spacing w:after="80"/>
      </w:pPr>
      <w:r>
        <w:t xml:space="preserve">Gameplay is phone-based and unobtrusive — sister is present but not playing. Keep it discreet.</w:t>
      </w:r>
    </w:p>
    <w:p>
      <w:pPr>
        <w:pStyle w:val="ListParagraph"/>
        <w:numPr>
          <w:ilvl w:val="0"/>
          <w:numId w:val="2"/>
        </w:numPr>
        <w:spacing w:after="80"/>
      </w:pPr>
      <w:r>
        <w:t xml:space="preserve">Old ch2-briefing.html email template is DEPRECATED (preserved for reference). Briefing content now delivered via website.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A1A1A"/>
      <w:sz w:val="36"/>
      <w:szCs w:val="36"/>
    </w:rPr>
  </w:style>
  <w:style w:type="paragraph" w:styleId="Heading2">
    <w:name w:val="Heading 2"/>
    <w:basedOn w:val="Normal"/>
    <w:next w:val="Normal"/>
    <w:qFormat/>
    <w:pPr>
      <w:spacing w:before="280" w:after="18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66666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2026-02-20T18:52:08.925Z</dcterms:created>
  <dcterms:modified xsi:type="dcterms:W3CDTF">2026-02-20T18:52:08.926Z</dcterms:modified>
</cp:coreProperties>
</file>

<file path=docProps/custom.xml><?xml version="1.0" encoding="utf-8"?>
<Properties xmlns="http://schemas.openxmlformats.org/officeDocument/2006/custom-properties" xmlns:vt="http://schemas.openxmlformats.org/officeDocument/2006/docPropsVTypes"/>
</file>