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НАУЧНЫЙ ПЕРЕВОД СТАТЬИ</w:t>
      </w:r>
    </w:p>
    <w:p>
      <w:r>
        <w:t>Создан: 2026-06-28 13:07:46</w:t>
      </w:r>
    </w:p>
    <w:p>
      <w:r>
        <w:t>Модель: gemma4 (API: http://localhost:8080/v1)</w:t>
      </w:r>
    </w:p>
    <w:p/>
    <w:p>
      <w:pPr>
        <w:pStyle w:val="Heading1"/>
      </w:pPr>
      <w:r>
        <w:t>ОРИГИНАЛЬНЫЙ ТЕКСТ (очищенный)</w:t>
      </w:r>
    </w:p>
    <w:p>
      <w:r>
        <w:t>European Journal of Applied Physiology</w:t>
        <w:br/>
        <w:br/>
        <w:t>ORIGINAL ARTICLE</w:t>
        <w:br/>
        <w:br/>
        <w:t>Determinants of static balance performance across lifespan vary with</w:t>
        <w:br/>
        <w:t>sensory conditions</w:t>
        <w:br/>
        <w:t>A. Theodosiadou1 · A. Papavasileiou2 · C. Sahinis2 · M. Fabre3 · T. Lapole3 · D. A. Patikas2 · I. Amiridis2 · S. Baudry1</w:t>
        <w:br/>
        <w:t xml:space="preserve"> 14 April 2025 / 10 November 2025</w:t>
        <w:br/>
        <w:t>© The Author(s), under exclusive licence to Springer-Verlag GmbH Germany, part of Springer Nature 2025</w:t>
        <w:br/>
        <w:br/>
        <w:t>Abstract</w:t>
        <w:br/>
        <w:t>Age-related changes in balance control generally describes a U-shaped relation, with lesser stability observed at both</w:t>
        <w:br/>
        <w:t>ends of the lifespan. However, the determinants that drive this relation are still not clear and may vary with the sensory</w:t>
        <w:br/>
        <w:t>conditions in which the postural task is performed. This cross-sectional study investigated age-related changes in static</w:t>
        <w:br/>
        <w:t>balance control from childhood to old age and investigated potential factors underlying balance performance. One hundred</w:t>
        <w:br/>
        <w:t>fifty-seven participants were divided into six age groups (6–14; 14–17; 18–39; 40–59; 60–75; &gt;76 yrs). Mean velocity</w:t>
        <w:br/>
        <w:t>(MV) of the centre of pressure was recorded while participants stood upright under four sensory conditions: eyes open</w:t>
        <w:br/>
        <w:t>or closed on stable (top plate of the force platform) and unstable (foam mat) surface. Surface electromyography of the</w:t>
        <w:br/>
        <w:t>soleus, gastrocnemius medialis, and tibialis anterior was recorded during postural tasks. Ankle joint position sense (aJPS)</w:t>
        <w:br/>
        <w:t>and maximal isometric force of plantar flexors and dorsiflexors were also measured. Group differences in MV were</w:t>
        <w:br/>
        <w:t>observed across all conditions (p &lt; 0.001), with greater MV in children (6–14 yrs) and older adults (&gt; 60 yrs), especially</w:t>
        <w:br/>
        <w:t>on the unstable surface for older adults. Regression analyses showed that greater aJPS acuity contributes to stabilize CoP</w:t>
        <w:br/>
        <w:t>on rigid support, whereas an increase in leg muscle activity may help compensate for the inherent instability induced by</w:t>
        <w:br/>
        <w:t>the compliant surface. Chronological age appears as an independent predictor of static balance control only in this latter</w:t>
        <w:br/>
        <w:t>condition. These results highlight the necessity of using various sensory conditions to assess balance performance and its</w:t>
        <w:br/>
        <w:t>underlying determinants across lifespan.</w:t>
        <w:br/>
        <w:t>Keywords Balance · Postural sway · Ageing · Proprioception · Muscle activity</w:t>
        <w:br/>
        <w:br/>
        <w:t>Introduction</w:t>
        <w:br/>
        <w:t>Static balance control, defined as the ability to maintain</w:t>
        <w:br/>
        <w:t>stability during upright standing position, is a fundamental requisite to perform numerous daily life activities. Balance impairment, in contrast, is a major factor for falls risk,</w:t>
        <w:br/>
        <w:br/>
        <w:t>Communicated by Lori Ann Vallis.</w:t>
        <w:br/>
        <w:t>S. Baudry</w:t>
        <w:br/>
        <w:br/>
        <w:t>Faculty of Human Motor Science, Université Libre de</w:t>
        <w:br/>
        <w:t>Bruxelles, Brussels, Belgium</w:t>
        <w:br/>
        <w:t>Laboratory of Neuromechanics, School of Physical</w:t>
        <w:br/>
        <w:t>Education &amp; Sport Science at Serres, Aristotle University of</w:t>
        <w:br/>
        <w:t>Thessaloniki, Thessaloniki, Greece</w:t>
        <w:br/>
        <w:t>Laboratoire Interuniversitaire de Biologie de la Motricité,</w:t>
        <w:br/>
        <w:t>Université Jean Monnet Saint-Etienne, Lyon 1, Université</w:t>
        <w:br/>
        <w:t>Savoie Mont-Blanc, 42023 Saint-Etienne, France</w:t>
        <w:br/>
        <w:br/>
        <w:t>which can lead to injury and disability, particularly among</w:t>
        <w:br/>
        <w:t>older adults (Lord et al. 2003; Tinetti et al. 1988). Effective</w:t>
        <w:br/>
        <w:t>balance control relies on the integration of visual, vestibular, and proprioceptive information, dynamically modulated</w:t>
        <w:br/>
        <w:t>by task demands and environmental context (Lephart et al.</w:t>
        <w:br/>
        <w:t>1997; Peterka 2002). From childhood to old age, changes</w:t>
        <w:br/>
        <w:t>in the processing of sensory inputs to generate appropriate motor responses for maintaining stability (sensorimotor</w:t>
        <w:br/>
        <w:t>integration) might influence the ability to control balance</w:t>
        <w:br/>
        <w:t>under various conditions (Horak 2006). Despite extensive</w:t>
        <w:br/>
        <w:t>research in specific age groups (Abrahamová and Hlavacka</w:t>
        <w:br/>
        <w:t>2008; Brech et al. 2022; Prado et al. 2007; Roman-Liu</w:t>
        <w:br/>
        <w:t>2018), only a few studies have examined balance control</w:t>
        <w:br/>
        <w:t>from childhood to old adulthood (Hytönen et al. 1993;</w:t>
        <w:br/>
        <w:t>Humbeeck et al. 2023). These studies indicate a U-shaped</w:t>
        <w:br/>
        <w:t>function between balance and age, with the poorest balance</w:t>
        <w:br/>
        <w:t>control observed at both ends of the lifespan. Yet, gaps still</w:t>
        <w:br/>
        <w:t>exist in our understanding of the determinants of balance</w:t>
        <w:br/>
        <w:t>Content courtesy of Springer Nature, terms of use apply. Rights reserved.</w:t>
        <w:br/>
        <w:br/>
        <w:t>European Journal of Applied Physiology</w:t>
        <w:br/>
        <w:br/>
        <w:t>performance across lifespan (Behm et al. 2015; Kiss et al.</w:t>
        <w:br/>
        <w:t>2018; Woollacott and Shumway-Cook 1990).</w:t>
        <w:br/>
        <w:t>Quiet upright standing is often considered as an inverted</w:t>
        <w:br/>
        <w:t>pendulum rotating around the ankle joint (Winter et al.</w:t>
        <w:br/>
        <w:t>1998), with proprioceptive inputs being a major source of</w:t>
        <w:br/>
        <w:t>information (Peterka 2002). Age-related declines in proprioceptive acuity, often accompanied by an increased reliance to visual inputs (Henry and Baudry 2019), have been</w:t>
        <w:br/>
        <w:t>linked to increased postural sway and fall risk (Lord et al.</w:t>
        <w:br/>
        <w:t>1991; Shaffer and Harrison 2007). However, when investigating the ankle joint position sense (aJPS) – the ability</w:t>
        <w:br/>
        <w:t>to perceive angular ankle position – no age-related changes</w:t>
        <w:br/>
        <w:t>were observed across lifespan (Theodosiadou et al. 2025),</w:t>
        <w:br/>
        <w:t>questioning the influence of altered proprioception on balance control, which may depend on support surface (Kiers</w:t>
        <w:br/>
        <w:t>et al. 2012). In contrast, increased coactivation of the agonist and antagonist leg muscles is a common observation in</w:t>
        <w:br/>
        <w:t>older adults during upright standing and may reflect compensatory strategies to stabilize posture (DeVita and Hortobagyi 2000; Laughton et al. 2003). While these mentioned</w:t>
        <w:br/>
        <w:t>factors could influence the ability to maintain stable upright</w:t>
        <w:br/>
        <w:t>standing, their contribution in balance performance across</w:t>
        <w:br/>
        <w:t>lifespan remains poorly documented.</w:t>
        <w:br/>
        <w:t>Furthermore, as the capacity to maintain balance relies</w:t>
        <w:br/>
        <w:t>on a complex interplay between sensory inputs and motor</w:t>
        <w:br/>
        <w:t>command (Horak 2006), the sensory conditions of the</w:t>
        <w:br/>
        <w:t>postural task can influence balance performance. Standing on foam surface increases instability, as assessed by an</w:t>
        <w:br/>
        <w:t>increase in centre of pressure (CoP) excursion (Abrahamová and Hlavacka 2008; Baudry and Duchateau 2012). This</w:t>
        <w:br/>
        <w:t>could reflect, among other factors, an increased complexity</w:t>
        <w:br/>
        <w:t>to interpret proprioceptive signals and difficulties to apply</w:t>
        <w:br/>
        <w:t>adequate foot pressure on the compliant surface (Kiers et</w:t>
        <w:br/>
        <w:t>al. 2012),which can be worsened when standing with eyes</w:t>
        <w:br/>
        <w:t>closed.</w:t>
        <w:br/>
        <w:t>This study aimed to investigate age-related changes in</w:t>
        <w:br/>
        <w:t>static balance control, from childhood to old age, by assessing CoP mean velocity (MV) during upright standing performed in different sensory conditions. Furthermore, we</w:t>
        <w:br/>
        <w:t>seek to identify determinants of balance performance in</w:t>
        <w:br/>
        <w:t>each sensory condition. These findings may provide a basis</w:t>
        <w:br/>
        <w:t>for future research aimed at developing targeted interventions to prevent falls and balance impairments.</w:t>
        <w:br/>
        <w:br/>
        <w:t>Methods</w:t>
        <w:br/>
        <w:t>Participants</w:t>
        <w:br/>
        <w:t>One-hundred fifty-seven individuals aged from 6 to 92 yrs</w:t>
        <w:br/>
        <w:t>participated in this multicentre study (were divided in two groups based on their maturation offset (Mirwald et al. 2002): Young-Children (YC: 6–14 yrs);</w:t>
        <w:br/>
        <w:t>Older-Children (OC: 14–17 yrs). Even though large anthropometric changes occur in young ages, we first accounted</w:t>
        <w:br/>
        <w:t>for maturation status given the well-established influence</w:t>
        <w:br/>
        <w:t>of biological maturity on neuromuscular performance (Fernandez-Fernandez et al. 2022; Sinkovic et al. 2023). Furthermore, body mass and height were included as covariates</w:t>
        <w:br/>
        <w:t>in the regression analyses to control for anthropometric</w:t>
        <w:br/>
        <w:t>differences in the younger group. Adults were divided</w:t>
        <w:br/>
        <w:t>into four groups: Young (Y: 18–39 yrs), Middle-aged (M:</w:t>
        <w:br/>
        <w:t>40–59 yrs), Young-Old (YO: 60–75 yrs) and Old-Old (OO:</w:t>
        <w:br/>
        <w:t>&gt;76 yrs). Approval for the project was obtained from the</w:t>
        <w:br/>
        <w:t>local Ethics Committee of the Université libre de Bruxelles</w:t>
        <w:br/>
        <w:t>(B4062021000206) and of the Aristotle University of Thessaloniki (25284/2022). All procedures were in accordance</w:t>
        <w:br/>
        <w:t>with the ethical standards of Declaration of Helsinki. An</w:t>
        <w:br/>
        <w:t>informed written consent was signed by all participants or</w:t>
        <w:br/>
        <w:t>minors’ guardians before starting the experimental procedures, and minor participants provided their own assent to</w:t>
        <w:br/>
        <w:t>participate to the study.</w:t>
        <w:br/>
        <w:t>Individuals with neurological diseases such as Parkinson’s, multiple sclerosis, or stroke, as well as volunteers</w:t>
        <w:br/>
        <w:t>with orthopaedic problems within 12 months prior to the</w:t>
        <w:br/>
        <w:t>study were excluded. None of the participants were taking</w:t>
        <w:br/>
        <w:t>medications that could influence balance. For participants</w:t>
        <w:br/>
        <w:t>over 60 years old, two tests were performed to assess their</w:t>
        <w:br/>
        <w:t>cognitive (Montreal Cognitive Assessment; MoCA) and</w:t>
        <w:br/>
        <w:t>psychological state (Geriatric Depression Scale; GDS). Participants with inconclusive scores (MoCA &gt; 26 or GDS &lt; 10)</w:t>
        <w:br/>
        <w:t>were excluded from the study. Each participant completed a</w:t>
        <w:br/>
        <w:t>short questionnaire to measure the habitual physical activity</w:t>
        <w:br/>
        <w:t>(International Physical Activity Questionnaire; IPAQ).</w:t>
        <w:br/>
        <w:br/>
        <w:t>Group</w:t>
        <w:br/>
        <w:t>YC (n = 15)</w:t>
        <w:br/>
        <w:t>OC (n = 15)</w:t>
        <w:br/>
        <w:t>Y (n = 32)</w:t>
        <w:br/>
        <w:t>M (n = 40)</w:t>
        <w:br/>
        <w:t>O (n = 24)</w:t>
        <w:br/>
        <w:t>OO (n = 31)</w:t>
        <w:br/>
        <w:t>Age (yrs)</w:t>
        <w:br/>
        <w:t>10.3 (2.5)</w:t>
        <w:br/>
        <w:t>15.9 (1.0)</w:t>
        <w:br/>
        <w:t>29.1 (5.6)</w:t>
        <w:br/>
        <w:t>49.8 (5.5)</w:t>
        <w:br/>
        <w:t>68.7 (4.9)</w:t>
        <w:br/>
        <w:t>80.3 (3.7)</w:t>
        <w:br/>
        <w:t>Height (cm)</w:t>
        <w:br/>
        <w:t>154 (10.7)</w:t>
        <w:br/>
        <w:t>168 (8.0)</w:t>
        <w:br/>
        <w:t>172 (9.3)</w:t>
        <w:br/>
        <w:t>170 (8.4)</w:t>
        <w:br/>
        <w:t>166 (9.5)</w:t>
        <w:br/>
        <w:t>167 (10.1)</w:t>
        <w:br/>
        <w:t>Mass (kg)</w:t>
        <w:br/>
        <w:t>45.7 (13.1)</w:t>
        <w:br/>
        <w:t>65.6 (12.6)</w:t>
        <w:br/>
        <w:t>69.8 (12.9)</w:t>
        <w:br/>
        <w:t>73.5 (11.3)</w:t>
        <w:br/>
        <w:t>68.3 (11.0)</w:t>
        <w:br/>
        <w:t>69.3 (10.9)</w:t>
        <w:br/>
        <w:t>IPAQ (/3)</w:t>
        <w:br/>
        <w:t>2.7 (0.4)</w:t>
        <w:br/>
        <w:t>2.8 (0.5)</w:t>
        <w:br/>
        <w:t>2.5 (0.7)</w:t>
        <w:br/>
        <w:t>2.3 (0.6)</w:t>
        <w:br/>
        <w:t>2.4 (0.7)</w:t>
        <w:br/>
        <w:t>2.2 (0.7)</w:t>
        <w:br/>
        <w:t>YC young-Children (6–14 yrs), OC Old-Children (14–17 yrs), Y young (18–39 yrs), M Middle-aged (40–59 yrs), YO young-Old (60–75 yrs), OO</w:t>
        <w:br/>
        <w:t>Old-Old (76–92 yrs). IPAQ International Physical Activity Questionnaire (from 1 to 3)</w:t>
        <w:br/>
        <w:t>Content courtesy of Springer Nature, terms of use apply. Rights reserved.</w:t>
        <w:br/>
        <w:br/>
        <w:t>European Journal of Applied Physiology</w:t>
        <w:br/>
        <w:br/>
        <w:t>Materials</w:t>
        <w:br/>
        <w:t>Surface electromyogram</w:t>
        <w:br/>
        <w:t>Electromyography (EMG) was assessed by placing autoadhesive electrodes in a bipolar configuration with a</w:t>
        <w:br/>
        <w:t>centre-to-centre distance of 2 cm to record soleus (SOL),</w:t>
        <w:br/>
        <w:t>gastrocnemius medialis (GM) and tibialis anterior (TA) of</w:t>
        <w:br/>
        <w:t>the dominant leg. The skin was previously shaved when</w:t>
        <w:br/>
        <w:t>necessary and cleaned with alcohol to reduce the impedance</w:t>
        <w:br/>
        <w:t>at the skin–electrode interface. The electrodes for SOL were</w:t>
        <w:br/>
        <w:t>placed 2 cm below the muscle–tendon junction of the GM</w:t>
        <w:br/>
        <w:t>in line with the Achilles tendon and for the GM were placed</w:t>
        <w:br/>
        <w:t>midway between the femoral condyle and the muscle–tendon junction. For the TA they were placed at one third of the</w:t>
        <w:br/>
        <w:t>distance between the fibular head and the lateral malleolus,</w:t>
        <w:br/>
        <w:t>and 1 cm lateral to the tibia. Finally, the three reference electrodes (one for each muscle) were placed over the anterior</w:t>
        <w:br/>
        <w:t>border of the tibia bone. The EMG signals were amplified</w:t>
        <w:br/>
        <w:t>(1000×) and band-pass filtered (10–1000 Hz) prior to A/D</w:t>
        <w:br/>
        <w:t>sampling (2 kHz; Power 1401, 16-bit resolution, Cambridge</w:t>
        <w:br/>
        <w:t>Electronic Design, UK for Bruxelles and Biopac System</w:t>
        <w:br/>
        <w:t>Inc., Goleta, CA, USA for Serres).</w:t>
        <w:br/>
        <w:t>Force platform</w:t>
        <w:br/>
        <w:t>A force platform (AMTI, OR6-6- 2000, Advanced Mechanical Technology, Watertown, MA, USA for Bruxelles and</w:t>
        <w:br/>
        <w:t>9281CA Kistler Instruments Ltd., Winterthur, Switzerland</w:t>
        <w:br/>
        <w:t>for Serres) was used to record the CoP mean velocity (MV)</w:t>
        <w:br/>
        <w:t>(Power 1401, 16-bit resolution, Cambridge Electronic</w:t>
        <w:br/>
        <w:t>Design, UK, 100 Hz for Bruxelles and 1000 Hz, BioWare,</w:t>
        <w:br/>
        <w:t>Version 3.21, Kistler for Serres).</w:t>
        <w:br/>
        <w:t>Dynamometer</w:t>
        <w:br/>
        <w:br/>
        <w:t>paper to replace the feet in the same position throughout the</w:t>
        <w:br/>
        <w:t>different balance conditions. Participants were asked to stay</w:t>
        <w:br/>
        <w:t>as steady as possible. A red point was fixed 1.5 m in front of</w:t>
        <w:br/>
        <w:t>them at eyes level to avoid head movements. Four different</w:t>
        <w:br/>
        <w:t>conditions were performed in a random order: eyes open</w:t>
        <w:br/>
        <w:t>and closed on a stable (EOS and ECS) and unstable (foam</w:t>
        <w:br/>
        <w:t>pad; 48 × 40 × 6 cm, Airex, Sins, Switzerland) surface (EOU</w:t>
        <w:br/>
        <w:t>and ECU). In ECS and ECU, a sleeping mask covered the</w:t>
        <w:br/>
        <w:t>eyes. Participants repeated 3 trials of 60 s in each condition</w:t>
        <w:br/>
        <w:t>with at least 60 s rest between trials.</w:t>
        <w:br/>
        <w:t>Proprioceptive acuity</w:t>
        <w:br/>
        <w:t>Proprioceptive acuity was assessed with the aJPS of the</w:t>
        <w:br/>
        <w:t>dominant limb during an ipsilateral reproduction (IRT)</w:t>
        <w:br/>
        <w:t>and a contralateral matching task (CMT). Detailed descriptions of this assessment can be found in Theodosiadou et al.</w:t>
        <w:br/>
        <w:t>(2025). Briefly, the participants were seated in an adaptable</w:t>
        <w:br/>
        <w:t>armchair with their ankles and knees flexed at 90°. The feet</w:t>
        <w:br/>
        <w:t>were placed on two adjustable pedals of a wooden custommade construction, with a wireless inertial measurement</w:t>
        <w:br/>
        <w:t>unit (BWT901CL, WitMotion, Shenzhen Co., Ltd) fixed on</w:t>
        <w:br/>
        <w:t>the pedal of the dominant foot to provide a proxy of the</w:t>
        <w:br/>
        <w:t>ankle angle. The IRT consisted of reproducing a previously</w:t>
        <w:br/>
        <w:t>experienced ankle angle with the same limb while the CMT</w:t>
        <w:br/>
        <w:t>consisted of matching the passively held target ankle angle</w:t>
        <w:br/>
        <w:t>of one limb with the contralateral ankle. Both tests were</w:t>
        <w:br/>
        <w:t>performed blind-folded from 5° (DF10) and 20° (DF25)</w:t>
        <w:br/>
        <w:t>plantarflexion position to a 5° dorsiflexion target position.</w:t>
        <w:br/>
        <w:t>The magnitude of the error (expressed in absolute values)</w:t>
        <w:br/>
        <w:t>between the target and the reproduction position was considered for further analysis.</w:t>
        <w:br/>
        <w:t>Maximal voluntary contraction</w:t>
        <w:br/>
        <w:br/>
        <w:t>To record plantar flexors (PF) and dorsiflexors (DF) force,</w:t>
        <w:br/>
        <w:t>participants were seated in a custom-made dynamometer.</w:t>
        <w:br/>
        <w:t>The ankle and knee angles of the dominant leg were positioned at 90° and 0° (full extension), respectively, and the</w:t>
        <w:br/>
        <w:t>foot tightly attached to a footplate connected to a force</w:t>
        <w:br/>
        <w:t>transducer (model 4576A2N, Kistler, Winterthur, Switzerland; 200 Hz for Bruxelles and CCT transducers TF 022, OT</w:t>
        <w:br/>
        <w:t>Bioelettronica, Turin, Italy;1000 Hz for Serres).</w:t>
        <w:br/>
        <w:br/>
        <w:t>To record maximal voluntary contractions (MVC), participants were seated on the dynamometer (described above)</w:t>
        <w:br/>
        <w:t>and performed at least 3 MVCs of PF and DF, lasting 3–4 s,</w:t>
        <w:br/>
        <w:t>in a random order with at least 120 s rest between trials. A</w:t>
        <w:br/>
        <w:t>custom-made script (0.5-s moving window) was used to find</w:t>
        <w:br/>
        <w:t>the greatest value during the MVC force. If the difference</w:t>
        <w:br/>
        <w:t>between the best two trials was more than a 5%, additional</w:t>
        <w:br/>
        <w:t>trials were performed. All participants fulfilled 5% criterion</w:t>
        <w:br/>
        <w:t>within 5 or less MVCs trials.</w:t>
        <w:br/>
        <w:br/>
        <w:t>Experimental procedure</w:t>
        <w:br/>
        <w:br/>
        <w:t>Data reduction</w:t>
        <w:br/>
        <w:br/>
        <w:t>Balance control</w:t>
        <w:br/>
        <w:br/>
        <w:t>For balance control, a 40-s epoch window (excluding the</w:t>
        <w:br/>
        <w:t>first 10 s considered as a stabilization phase) was cut off</w:t>
        <w:br/>
        <w:t>(Baudry et al. 2015) during which CoP MV (5-Hz low pass</w:t>
        <w:br/>
        <w:t>filtered), which was the CoP path length divided by the time</w:t>
        <w:br/>
        <w:t>(mm/s), as well as the rectified mean EMG of the SOL, GM</w:t>
        <w:br/>
        <w:br/>
        <w:t>Participants stood upright barefoot on the force platform,</w:t>
        <w:br/>
        <w:t>arms at their sides and head looking straight, in a selfselected comfortable feet position, which was marked on a</w:t>
        <w:br/>
        <w:t>Content courtesy of Springer Nature, terms of use apply. Rights reserved.</w:t>
      </w:r>
    </w:p>
    <w:p>
      <w:pPr>
        <w:pStyle w:val="Heading1"/>
      </w:pPr>
      <w:r>
        <w:t>ПЕРЕВОД</w:t>
      </w:r>
    </w:p>
    <w:p>
      <w:pPr>
        <w:spacing w:after="120"/>
        <w:ind w:firstLine="420"/>
        <w:jc w:val="both"/>
      </w:pPr>
      <w:r>
        <w:rPr>
          <w:rFonts w:ascii="Times New Roman" w:hAnsi="Times New Roman"/>
          <w:sz w:val="22"/>
        </w:rPr>
        <w:t>Европейский журнал прикладной физиологии</w:t>
      </w:r>
    </w:p>
    <w:p>
      <w:pPr>
        <w:spacing w:after="120"/>
        <w:ind w:firstLine="420"/>
        <w:jc w:val="both"/>
      </w:pPr>
      <w:r>
        <w:rPr>
          <w:rFonts w:ascii="Times New Roman" w:hAnsi="Times New Roman"/>
          <w:sz w:val="22"/>
        </w:rPr>
        <w:t>ОРИГИНАЛЬНАЯ СТАТЬЯ</w:t>
      </w:r>
    </w:p>
    <w:p>
      <w:pPr>
        <w:spacing w:after="120"/>
        <w:ind w:firstLine="420"/>
        <w:jc w:val="both"/>
      </w:pPr>
      <w:r>
        <w:rPr>
          <w:rFonts w:ascii="Times New Roman" w:hAnsi="Times New Roman"/>
          <w:sz w:val="22"/>
        </w:rPr>
        <w:t>Детерминанты показателей статического равновесия в течение жизни варьируются в зависимости от сенсорных условий</w:t>
        <w:br/>
        <w:t>А. Теодосиаду1 · А. Папавасилеу2 · С. Санинис2 · М. Фабр3 · Т. Лаполь3 · Д. А. Патикас2 · И. Амиридис2 · С. Бодри1</w:t>
        <w:br/>
        <w:t>14 апреля 2025 г. / 10 ноября 2025 г.</w:t>
        <w:br/>
        <w:t>© Автор(ы), эксклюзивная лицензия Springer-Verlag GmbH Germany, часть Springer Nature 2025</w:t>
      </w:r>
    </w:p>
    <w:p>
      <w:pPr>
        <w:spacing w:after="120"/>
        <w:ind w:firstLine="420"/>
        <w:jc w:val="both"/>
      </w:pPr>
      <w:r>
        <w:rPr>
          <w:rFonts w:ascii="Times New Roman" w:hAnsi="Times New Roman"/>
          <w:sz w:val="22"/>
        </w:rPr>
        <w:t>Аннотация</w:t>
        <w:br/>
        <w:t>Изменения контроля равновесия, связанные с возрастом, в целом описывают U-образную зависимость, при этом наименьшая стабильность наблюдается на обоих концах жизненного цикла. Однако детерминанты, обусловливающие эту зависимость, до сих пор неясны и могут варьироваться в зависимости от сенсорных условий, в которых выполняется постуральная задача. В данном поперечном исследовании изучались возрастные изменения контроля статического равновесия от детства до старости и оценивались потенциальные факторы, лежащие в основе показателей равновесия. Сто пятьдесят семь участников были разделены на шесть возрастных групп (6–14; 14–17; 18–39; 40–59; 60–75; &gt;76 лет). Средняя скорость (СВ) центра давления регистрировалась во время стояния в вертикальном положении при четырех сенсорных условиях: с открытыми или закрытыми глазами на стабильной (верхняя плита платформы силы) и нестабильной (пенный коврик) поверхности. Электромиография поверхности икроножной мышцы (soleus), медиальной малоберцовой мышцы (gastrocnemius medialis) и передней большеберцовой мышцы (tibialis anterior) регистрировалась во время постуральных задач. Также измерялись проприоцепция голеностопного сустава (aJPS) и максимальная изометрическая сила подошвенных сгибателей и разгибателей. Были выявлены групповые различия в СВ во всех условиях ($p &lt; 0,001$), при этом у детей (6–14 лет) и пожилых людей (&gt; 60 лет) наблюдалась большая СВ, особенно на нестабильной поверхности для пожилых людей. Регрессионный анализ показал, что более высокая острота aJPS способствует стабилизации центра давления на жесткой опоре, тогда как увеличение мышечной активности ног может помочь компенсировать присущую нестабильность, вызванную податливой поверхностью. Хронологический возраст выступает в качестве независимого предиктора контроля статического равновесия только в последнем условии. Эти результаты подчеркивают необходимость использования различных сенсорных условий для оценки показателей равновесия и его лежащих в основе детерминант на протяжении всей жизни.</w:t>
        <w:br/>
        <w:t>Ключевые слова: Равновесие · Постуральные колебания · Старение · Проприоцепция · Мышечная активность</w:t>
      </w:r>
    </w:p>
    <w:p>
      <w:pPr>
        <w:spacing w:after="120"/>
        <w:ind w:firstLine="420"/>
        <w:jc w:val="both"/>
      </w:pPr>
      <w:r>
        <w:rPr>
          <w:rFonts w:ascii="Times New Roman" w:hAnsi="Times New Roman"/>
          <w:sz w:val="22"/>
        </w:rPr>
        <w:t>Введение</w:t>
        <w:br/>
        <w:t>Контроль статического равновесия, определяемый как способность поддерживать стабильность в положении стоя, является фундаментальным условием для выполнения многочисленных бытовых действий. Нарушение равновесия, напротив, является основным фактором риска падений,</w:t>
      </w:r>
    </w:p>
    <w:p>
      <w:pPr>
        <w:spacing w:after="120"/>
        <w:ind w:firstLine="420"/>
        <w:jc w:val="both"/>
      </w:pPr>
      <w:r>
        <w:rPr>
          <w:rFonts w:ascii="Times New Roman" w:hAnsi="Times New Roman"/>
          <w:sz w:val="22"/>
        </w:rPr>
        <w:t>Сообщено Лори Энн Валлис.</w:t>
        <w:br/>
        <w:t>С. Бодри</w:t>
      </w:r>
    </w:p>
    <w:p>
      <w:pPr>
        <w:spacing w:after="120"/>
        <w:ind w:firstLine="420"/>
        <w:jc w:val="both"/>
      </w:pPr>
      <w:r>
        <w:rPr>
          <w:rFonts w:ascii="Times New Roman" w:hAnsi="Times New Roman"/>
          <w:sz w:val="22"/>
        </w:rPr>
        <w:t>Факультет науки о двигательной активности человека, Свободный университет Брюсселя, Брюссель, Бельгия</w:t>
        <w:br/>
        <w:t>Лаборатория нейромеханики, Школа физической культуры и спортивной науки в Серре, Университет Аристотеля в Салониках, Салоники, Греция</w:t>
        <w:br/>
        <w:t>Межвузовская лаборатория биологии моторики, Университет Жана Монне Сент-Этьен, Лион 1, Университет Савой Мон-Блан, 42023 Сент-Этьен, Франция</w:t>
      </w:r>
    </w:p>
    <w:p>
      <w:pPr>
        <w:spacing w:after="120"/>
        <w:ind w:firstLine="420"/>
        <w:jc w:val="both"/>
      </w:pPr>
      <w:r>
        <w:rPr>
          <w:rFonts w:ascii="Times New Roman" w:hAnsi="Times New Roman"/>
          <w:sz w:val="22"/>
        </w:rPr>
        <w:t>что может привести к травмам и инвалидности, особенно среди пожилых людей (Lord et al. 200</w:t>
      </w:r>
    </w:p>
    <w:p>
      <w:r>
        <w:br w:type="page"/>
      </w:r>
    </w:p>
    <w:p>
      <w:pPr>
        <w:pStyle w:val="Heading1"/>
      </w:pPr>
      <w:r>
        <w:t>АНАЛИЗ СТАТЬИ (LLM)</w:t>
      </w:r>
    </w:p>
    <w:p>
      <w:pPr>
        <w:pStyle w:val="ListBullet"/>
      </w:pPr>
      <w:r>
        <w:t>Main topic: Возрастные изменения контроля статического равновесия и детерминанты этих показателей в зависимости от сенсорных условий.</w:t>
      </w:r>
    </w:p>
    <w:p>
      <w:pPr>
        <w:pStyle w:val="ListBullet"/>
      </w:pPr>
      <w:r>
        <w:t>Methods: Поперечное исследование с участием 157 человек, разделенных на шесть возрастных групп. Измерялись средняя скорость (СВ) центра давления (COP) в четырех сенсорных условиях (открытые/закрытые глаза на стабильной/нестабильной поверхности). Дополнительно проводилась электромиография (ЭМГ) и оценка проприоцепции голеностопного сустава (aJPS).</w:t>
      </w:r>
    </w:p>
    <w:p>
      <w:pPr>
        <w:pStyle w:val="ListBullet"/>
      </w:pPr>
      <w:r>
        <w:t>Key findings: Выявлены значимые групповые различия в СВ центра давления во всех условиях. У детей (6–14 лет) и пожилых людей (&gt; 60 лет) наблюдалась большая СВ, особенно на нестабильной поверхности для пожилых. Регрессионный анализ показал, что более высокая острота aJPS способствует стабилизации центра давления.</w:t>
      </w:r>
    </w:p>
    <w:p>
      <w:pPr>
        <w:pStyle w:val="ListBullet"/>
      </w:pPr>
      <w:r>
        <w:t>Conclusion: Контроль равновесия зависит от сенсорных условий. Возрастные изменения сложны, и проприоцепция голеностопного сустава является ключевым фактором, способствующим стабилизации центра давления.</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