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НАУЧНОЙ СТАТЬИ</w:t>
      </w:r>
    </w:p>
    <w:p>
      <w:r>
        <w:t>Обработано: 2026-01-12 09:36</w:t>
      </w:r>
    </w:p>
    <w:p>
      <w:pPr>
        <w:pStyle w:val="Heading1"/>
      </w:pPr>
      <w:r>
        <w:t>ОРИГИНАЛЬНЫЙ АБСТРАКТ</w:t>
      </w:r>
    </w:p>
    <w:p>
      <w:r>
        <w:t>The current study investigated whether the age of healthy adults could predict the peak gamma frequency</w:t>
      </w:r>
    </w:p>
    <w:p>
      <w:pPr>
        <w:pStyle w:val="Heading1"/>
      </w:pPr>
      <w:r>
        <w:t>ПЕРЕВОД НА РУССКИЙ (Google Translate)</w:t>
      </w:r>
    </w:p>
    <w:p>
      <w:r>
        <w:t>В текущем исследовании изучалось, может ли возраст здоровых взрослых предсказать пиковую частоту гамма-излучения.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