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АНАЛИЗ НАУЧНОЙ СТАТЬИ</w:t>
      </w:r>
    </w:p>
    <w:p>
      <w:r>
        <w:t>Обработано: 2026-01-12 09:36</w:t>
      </w:r>
    </w:p>
    <w:p>
      <w:pPr>
        <w:pStyle w:val="Heading1"/>
      </w:pPr>
      <w:r>
        <w:t>ОРИГИНАЛЬНЫЙ АБСТРАКТ</w:t>
      </w:r>
    </w:p>
    <w:p>
      <w:r>
        <w:t>Characteristics of real-life objects, such as binocular depth, potentially yield visual processes going beyond what examina-</w:t>
      </w:r>
    </w:p>
    <w:p>
      <w:pPr>
        <w:pStyle w:val="Heading1"/>
      </w:pPr>
      <w:r>
        <w:t>ПЕРЕВОД НА РУССКИЙ (Google Translate)</w:t>
      </w:r>
    </w:p>
    <w:p>
      <w:r>
        <w:t>Характеристики реальных объектов, такие как бинокулярная глубина, потенциально приводят к зрительным процессам, выходящим за рамки того, что изучается.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