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BB791" w14:textId="1C24AC72" w:rsidR="00D81A31" w:rsidRPr="0093683C" w:rsidRDefault="00FF4E9C" w:rsidP="00661B55">
      <w:pPr>
        <w:pStyle w:val="Heading1-Statement"/>
      </w:pPr>
      <w:r w:rsidRPr="0093683C">
        <w:t>Statement 3:</w:t>
      </w:r>
      <w:r w:rsidR="00C73E42" w:rsidRPr="0093683C">
        <w:br/>
      </w:r>
      <w:r w:rsidRPr="0093683C">
        <w:t>Fiscal Strategy and Outlook</w:t>
      </w:r>
    </w:p>
    <w:p w14:paraId="2FBC0FCE" w14:textId="0A04D79F" w:rsidR="00A3655C" w:rsidRPr="0093683C" w:rsidRDefault="00264AF2" w:rsidP="00FA2C19">
      <w:pPr>
        <w:pStyle w:val="StatementWhite"/>
      </w:pPr>
      <w:r w:rsidRPr="0093683C">
        <w:t xml:space="preserve">Australia faces </w:t>
      </w:r>
      <w:r w:rsidR="00A3655C" w:rsidRPr="0093683C">
        <w:t>an intensifying</w:t>
      </w:r>
      <w:r w:rsidRPr="0093683C">
        <w:t xml:space="preserve"> fiscal challenge. Gross debt </w:t>
      </w:r>
      <w:r w:rsidR="0014064C" w:rsidRPr="0093683C">
        <w:t>is close to one trillion dollars</w:t>
      </w:r>
      <w:r w:rsidR="000F2D92" w:rsidRPr="0093683C">
        <w:t xml:space="preserve"> </w:t>
      </w:r>
      <w:r w:rsidR="003B6543" w:rsidRPr="0093683C">
        <w:t>and</w:t>
      </w:r>
      <w:r w:rsidR="00EB6E0F" w:rsidRPr="0093683C">
        <w:t xml:space="preserve"> is</w:t>
      </w:r>
      <w:r w:rsidR="003B6543" w:rsidRPr="0093683C">
        <w:t xml:space="preserve"> at</w:t>
      </w:r>
      <w:r w:rsidR="0014064C" w:rsidRPr="0093683C">
        <w:t xml:space="preserve"> the highest level </w:t>
      </w:r>
      <w:r w:rsidRPr="0093683C">
        <w:t xml:space="preserve">as a share of GDP in </w:t>
      </w:r>
      <w:r w:rsidR="00A76622" w:rsidRPr="0093683C">
        <w:t xml:space="preserve">over </w:t>
      </w:r>
      <w:r w:rsidRPr="0093683C">
        <w:t>70 years.</w:t>
      </w:r>
      <w:r w:rsidR="00C85AE3" w:rsidRPr="0093683C">
        <w:t xml:space="preserve"> </w:t>
      </w:r>
      <w:r w:rsidRPr="0093683C">
        <w:t>The Pre</w:t>
      </w:r>
      <w:r w:rsidR="00A3655C" w:rsidRPr="0093683C">
        <w:t>-</w:t>
      </w:r>
      <w:r w:rsidRPr="0093683C">
        <w:t xml:space="preserve">election Economic and Fiscal Outlook (PEFO) projected deficits for at least the next decade. Since PEFO, these challenges have been compounded by significant cost pressures associated with </w:t>
      </w:r>
      <w:r w:rsidR="00C11366" w:rsidRPr="0093683C">
        <w:t xml:space="preserve">indexing household payments to inflation, </w:t>
      </w:r>
      <w:r w:rsidRPr="0093683C">
        <w:t>delivering essential services</w:t>
      </w:r>
      <w:r w:rsidR="00A3655C" w:rsidRPr="0093683C">
        <w:t xml:space="preserve"> like the N</w:t>
      </w:r>
      <w:r w:rsidR="00F85E9B" w:rsidRPr="0093683C">
        <w:t xml:space="preserve">ational </w:t>
      </w:r>
      <w:r w:rsidR="00A3655C" w:rsidRPr="0093683C">
        <w:t>D</w:t>
      </w:r>
      <w:r w:rsidR="00F85E9B" w:rsidRPr="0093683C">
        <w:t xml:space="preserve">isability </w:t>
      </w:r>
      <w:r w:rsidR="00A3655C" w:rsidRPr="0093683C">
        <w:t>I</w:t>
      </w:r>
      <w:r w:rsidR="00F85E9B" w:rsidRPr="0093683C">
        <w:t xml:space="preserve">nsurance </w:t>
      </w:r>
      <w:r w:rsidR="00A3655C" w:rsidRPr="0093683C">
        <w:t>S</w:t>
      </w:r>
      <w:r w:rsidR="00F85E9B" w:rsidRPr="0093683C">
        <w:t>cheme</w:t>
      </w:r>
      <w:r w:rsidR="003E1AE2" w:rsidRPr="0093683C">
        <w:t> </w:t>
      </w:r>
      <w:r w:rsidR="00F85E9B" w:rsidRPr="0093683C">
        <w:t>(NDIS)</w:t>
      </w:r>
      <w:r w:rsidR="00A3655C" w:rsidRPr="0093683C">
        <w:t>,</w:t>
      </w:r>
      <w:r w:rsidR="00AF1BB4" w:rsidRPr="0093683C">
        <w:t xml:space="preserve"> </w:t>
      </w:r>
      <w:r w:rsidR="00B65CC5" w:rsidRPr="0093683C">
        <w:t>and</w:t>
      </w:r>
      <w:r w:rsidRPr="0093683C">
        <w:rPr>
          <w:rStyle w:val="CommentReference"/>
        </w:rPr>
        <w:t xml:space="preserve"> </w:t>
      </w:r>
      <w:r w:rsidRPr="0093683C">
        <w:t>higher interest rates on government debt</w:t>
      </w:r>
      <w:r w:rsidR="0055024D" w:rsidRPr="0093683C">
        <w:t>.</w:t>
      </w:r>
      <w:r w:rsidR="00654D40" w:rsidRPr="0093683C">
        <w:t xml:space="preserve"> </w:t>
      </w:r>
    </w:p>
    <w:p w14:paraId="46691A0B" w14:textId="2809C558" w:rsidR="00A3655C" w:rsidRPr="0093683C" w:rsidRDefault="00A3655C" w:rsidP="00FA2C19">
      <w:pPr>
        <w:pStyle w:val="StatementWhite"/>
      </w:pPr>
      <w:r w:rsidRPr="0093683C">
        <w:t xml:space="preserve">The budget position has improved in the near term </w:t>
      </w:r>
      <w:r w:rsidR="002A3008" w:rsidRPr="0093683C">
        <w:t>as</w:t>
      </w:r>
      <w:r w:rsidRPr="0093683C">
        <w:t xml:space="preserve"> the government has </w:t>
      </w:r>
      <w:r w:rsidR="00994629" w:rsidRPr="0093683C">
        <w:t>returned</w:t>
      </w:r>
      <w:r w:rsidRPr="0093683C">
        <w:t xml:space="preserve"> higher</w:t>
      </w:r>
      <w:r w:rsidR="00F6229A" w:rsidRPr="0093683C">
        <w:noBreakHyphen/>
      </w:r>
      <w:r w:rsidRPr="0093683C">
        <w:t>than</w:t>
      </w:r>
      <w:r w:rsidR="00ED099A">
        <w:noBreakHyphen/>
      </w:r>
      <w:r w:rsidRPr="0093683C">
        <w:t>expected tax receipts</w:t>
      </w:r>
      <w:r w:rsidR="00994629" w:rsidRPr="0093683C">
        <w:t xml:space="preserve"> to the budget</w:t>
      </w:r>
      <w:r w:rsidRPr="0013146C">
        <w:t>,</w:t>
      </w:r>
      <w:r>
        <w:t xml:space="preserve"> </w:t>
      </w:r>
      <w:r w:rsidRPr="0093683C">
        <w:t>but these do not outweigh the growing medium-term structural pressures, which have become more pronounced since PEFO.</w:t>
      </w:r>
    </w:p>
    <w:p w14:paraId="5FEDCECA" w14:textId="24E6D2BE" w:rsidR="00A3655C" w:rsidRPr="0093683C" w:rsidRDefault="00A3655C" w:rsidP="00FA2C19">
      <w:pPr>
        <w:pStyle w:val="StatementWhite"/>
      </w:pPr>
      <w:r w:rsidRPr="0093683C">
        <w:t xml:space="preserve">This Budget begins the difficult task of budget repair </w:t>
      </w:r>
      <w:r w:rsidR="005A2567" w:rsidRPr="0093683C">
        <w:t xml:space="preserve">while </w:t>
      </w:r>
      <w:r w:rsidRPr="0093683C">
        <w:t>ensur</w:t>
      </w:r>
      <w:r w:rsidR="005A2567" w:rsidRPr="0093683C">
        <w:t>ing</w:t>
      </w:r>
      <w:r w:rsidRPr="0093683C">
        <w:t xml:space="preserve"> fiscal policy does not add inflationary pressure. As a first step in the </w:t>
      </w:r>
      <w:r w:rsidR="009D6386" w:rsidRPr="0093683C">
        <w:t>G</w:t>
      </w:r>
      <w:r w:rsidRPr="0093683C">
        <w:t>overnment’s Economic and Fiscal Strategy, the Budget makes $</w:t>
      </w:r>
      <w:r w:rsidR="00E657A4" w:rsidRPr="0093683C">
        <w:t>28.</w:t>
      </w:r>
      <w:r w:rsidR="00FE1E74" w:rsidRPr="0093683C">
        <w:t>5</w:t>
      </w:r>
      <w:r w:rsidRPr="0093683C">
        <w:t xml:space="preserve"> billion in</w:t>
      </w:r>
      <w:r w:rsidRPr="00E33409">
        <w:t xml:space="preserve"> </w:t>
      </w:r>
      <w:r w:rsidR="002054AB" w:rsidRPr="00E33409">
        <w:t>improvements</w:t>
      </w:r>
      <w:r w:rsidR="00012D76" w:rsidRPr="00E33409">
        <w:t xml:space="preserve"> </w:t>
      </w:r>
      <w:r w:rsidR="00992256" w:rsidRPr="0093683C">
        <w:t xml:space="preserve">by </w:t>
      </w:r>
      <w:r w:rsidR="00012D76" w:rsidRPr="0093683C">
        <w:t>unwind</w:t>
      </w:r>
      <w:r w:rsidR="00992256" w:rsidRPr="0093683C">
        <w:t xml:space="preserve">ing </w:t>
      </w:r>
      <w:r w:rsidRPr="0093683C">
        <w:t xml:space="preserve">wasteful spending and </w:t>
      </w:r>
      <w:r w:rsidR="00100EE9" w:rsidRPr="0093683C">
        <w:t>redirect</w:t>
      </w:r>
      <w:r w:rsidR="006745CF" w:rsidRPr="0093683C">
        <w:t>ing</w:t>
      </w:r>
      <w:r w:rsidR="00100EE9" w:rsidRPr="0093683C">
        <w:t xml:space="preserve"> spending to</w:t>
      </w:r>
      <w:r w:rsidR="001240BA" w:rsidRPr="0093683C">
        <w:t xml:space="preserve"> </w:t>
      </w:r>
      <w:r w:rsidRPr="0093683C">
        <w:t>higher quality investments</w:t>
      </w:r>
      <w:r w:rsidR="00CC4C62" w:rsidRPr="0093683C">
        <w:t xml:space="preserve"> and priorities</w:t>
      </w:r>
      <w:r w:rsidRPr="0093683C">
        <w:t xml:space="preserve">. Real spending </w:t>
      </w:r>
      <w:r w:rsidR="00100EE9" w:rsidRPr="0093683C">
        <w:t xml:space="preserve">growth </w:t>
      </w:r>
      <w:r w:rsidRPr="0093683C">
        <w:t xml:space="preserve">is </w:t>
      </w:r>
      <w:r w:rsidR="00B45E31" w:rsidRPr="0093683C">
        <w:t>flat</w:t>
      </w:r>
      <w:r w:rsidRPr="0093683C">
        <w:t xml:space="preserve"> over the forward estimates. Higher</w:t>
      </w:r>
      <w:r w:rsidR="00CC4C62" w:rsidRPr="0093683C">
        <w:t>-</w:t>
      </w:r>
      <w:r w:rsidRPr="0093683C">
        <w:t>than</w:t>
      </w:r>
      <w:r w:rsidR="00CC4C62" w:rsidRPr="0093683C">
        <w:t>-</w:t>
      </w:r>
      <w:r w:rsidRPr="0093683C">
        <w:t xml:space="preserve">expected tax receipts are directed to rebuilding fiscal buffers, </w:t>
      </w:r>
      <w:r w:rsidR="00765D0E" w:rsidRPr="0093683C">
        <w:t>with</w:t>
      </w:r>
      <w:r w:rsidRPr="0093683C">
        <w:t xml:space="preserve"> policy decisions hav</w:t>
      </w:r>
      <w:r w:rsidR="00765D0E" w:rsidRPr="0093683C">
        <w:t>ing</w:t>
      </w:r>
      <w:r w:rsidRPr="0093683C">
        <w:t xml:space="preserve"> a broadly neutral impact </w:t>
      </w:r>
      <w:r w:rsidR="00E646A3" w:rsidRPr="0093683C">
        <w:t xml:space="preserve">across </w:t>
      </w:r>
      <w:r w:rsidRPr="0093683C">
        <w:t xml:space="preserve">the first </w:t>
      </w:r>
      <w:r w:rsidR="00CB1581" w:rsidRPr="0093683C">
        <w:t xml:space="preserve">2 </w:t>
      </w:r>
      <w:r w:rsidRPr="0093683C">
        <w:t>years of the budget wh</w:t>
      </w:r>
      <w:r w:rsidR="00794B1B" w:rsidRPr="0093683C">
        <w:t xml:space="preserve">ile </w:t>
      </w:r>
      <w:r w:rsidRPr="0093683C">
        <w:t>inflationary pressures are most acute.</w:t>
      </w:r>
      <w:r w:rsidRPr="0093683C" w:rsidDel="00557E8C">
        <w:t xml:space="preserve"> </w:t>
      </w:r>
    </w:p>
    <w:p w14:paraId="48199459" w14:textId="5452F06A" w:rsidR="00A3655C" w:rsidRPr="0093683C" w:rsidRDefault="00A3655C" w:rsidP="00FA2C19">
      <w:pPr>
        <w:pStyle w:val="StatementWhite"/>
      </w:pPr>
      <w:r w:rsidRPr="0093683C">
        <w:t xml:space="preserve">As a result, the underlying cash </w:t>
      </w:r>
      <w:r w:rsidR="00AF4444" w:rsidRPr="0093683C">
        <w:t xml:space="preserve">deficit </w:t>
      </w:r>
      <w:r w:rsidRPr="0093683C">
        <w:t xml:space="preserve">is now </w:t>
      </w:r>
      <w:r w:rsidR="001F04FB" w:rsidRPr="0093683C">
        <w:t>forecast</w:t>
      </w:r>
      <w:r w:rsidRPr="0093683C">
        <w:t xml:space="preserve"> to be $</w:t>
      </w:r>
      <w:r w:rsidR="00555935" w:rsidRPr="0093683C">
        <w:t>36.9</w:t>
      </w:r>
      <w:r w:rsidRPr="0093683C">
        <w:t xml:space="preserve"> billion, (</w:t>
      </w:r>
      <w:r w:rsidR="00150352" w:rsidRPr="0093683C">
        <w:t>1.5</w:t>
      </w:r>
      <w:r w:rsidRPr="0093683C">
        <w:t> per cent of GDP) in 2022</w:t>
      </w:r>
      <w:r w:rsidR="005E3EBA">
        <w:t>–</w:t>
      </w:r>
      <w:r w:rsidRPr="0093683C">
        <w:t>23, $</w:t>
      </w:r>
      <w:r w:rsidR="00A2149F" w:rsidRPr="0093683C">
        <w:t>41.1</w:t>
      </w:r>
      <w:r w:rsidRPr="0093683C">
        <w:t xml:space="preserve"> billion lower than at PEFO. Gross debt</w:t>
      </w:r>
      <w:r w:rsidR="00697725" w:rsidRPr="0093683C">
        <w:t xml:space="preserve"> </w:t>
      </w:r>
      <w:r w:rsidRPr="0093683C">
        <w:t>to</w:t>
      </w:r>
      <w:r w:rsidR="00697725" w:rsidRPr="0093683C">
        <w:t xml:space="preserve"> </w:t>
      </w:r>
      <w:r w:rsidRPr="0093683C">
        <w:t xml:space="preserve">GDP is </w:t>
      </w:r>
      <w:r w:rsidR="00925E9E" w:rsidRPr="0093683C">
        <w:t xml:space="preserve">expected to be </w:t>
      </w:r>
      <w:r w:rsidR="00B326C2" w:rsidRPr="0093683C">
        <w:t>37.3</w:t>
      </w:r>
      <w:r w:rsidR="00925E9E" w:rsidRPr="0093683C">
        <w:t> </w:t>
      </w:r>
      <w:r w:rsidRPr="0093683C">
        <w:t xml:space="preserve">per cent </w:t>
      </w:r>
      <w:proofErr w:type="gramStart"/>
      <w:r w:rsidR="00A165DB" w:rsidRPr="0093683C">
        <w:t>at</w:t>
      </w:r>
      <w:proofErr w:type="gramEnd"/>
      <w:r w:rsidRPr="0093683C">
        <w:t xml:space="preserve"> </w:t>
      </w:r>
      <w:r w:rsidR="003017AB" w:rsidRPr="0093683C">
        <w:t>30</w:t>
      </w:r>
      <w:r w:rsidR="00ED099A">
        <w:t> </w:t>
      </w:r>
      <w:r w:rsidR="003017AB" w:rsidRPr="0093683C">
        <w:t>June 2023</w:t>
      </w:r>
      <w:r w:rsidR="00925E9E" w:rsidRPr="0093683C">
        <w:t>. Even with intensifying pressures on the Budget, the Government’s responsible approach to revenue upgrades and spending restraint means debt is expected to remain lower than at PEFO in each year of the forward estimates.</w:t>
      </w:r>
    </w:p>
    <w:p w14:paraId="185CF3E0" w14:textId="2A6D80B9" w:rsidR="00A3655C" w:rsidRPr="0093683C" w:rsidRDefault="00A3655C" w:rsidP="00FA2C19">
      <w:pPr>
        <w:pStyle w:val="StatementWhite"/>
      </w:pPr>
      <w:r w:rsidRPr="0093683C">
        <w:t>Receipts, excluding new policies, have been revised up by $</w:t>
      </w:r>
      <w:r w:rsidR="00470639" w:rsidRPr="0093683C">
        <w:t>144.6</w:t>
      </w:r>
      <w:r w:rsidR="00060D48" w:rsidRPr="0093683C">
        <w:t xml:space="preserve"> </w:t>
      </w:r>
      <w:r w:rsidRPr="0093683C">
        <w:t xml:space="preserve">billion over the 4 years to </w:t>
      </w:r>
      <w:r w:rsidR="00487DDD">
        <w:br/>
      </w:r>
      <w:r w:rsidRPr="0093683C">
        <w:t>2025</w:t>
      </w:r>
      <w:r w:rsidR="005E3EBA">
        <w:t>–</w:t>
      </w:r>
      <w:r w:rsidRPr="0093683C">
        <w:t xml:space="preserve">26. </w:t>
      </w:r>
      <w:r w:rsidR="00F772D2" w:rsidRPr="0093683C">
        <w:t>Around t</w:t>
      </w:r>
      <w:r w:rsidRPr="0093683C">
        <w:t>wo-thirds of the increase occurs in 2022</w:t>
      </w:r>
      <w:r w:rsidR="005E3EBA">
        <w:t>–</w:t>
      </w:r>
      <w:r w:rsidRPr="0093683C">
        <w:t>23</w:t>
      </w:r>
      <w:r w:rsidR="00C22C82" w:rsidRPr="0093683C">
        <w:t xml:space="preserve"> and</w:t>
      </w:r>
      <w:r w:rsidR="00D004F3" w:rsidRPr="0093683C">
        <w:t xml:space="preserve"> </w:t>
      </w:r>
      <w:r w:rsidRPr="0093683C">
        <w:t>2023</w:t>
      </w:r>
      <w:r w:rsidR="005E3EBA">
        <w:t>–</w:t>
      </w:r>
      <w:r w:rsidRPr="0093683C">
        <w:t>24. In later years</w:t>
      </w:r>
      <w:r w:rsidR="00686C6E" w:rsidRPr="0093683C">
        <w:t>,</w:t>
      </w:r>
      <w:r w:rsidRPr="0093683C">
        <w:t xml:space="preserve"> the receipts increase moderates and is </w:t>
      </w:r>
      <w:r w:rsidR="00822611" w:rsidRPr="0093683C">
        <w:t xml:space="preserve">overtaken </w:t>
      </w:r>
      <w:r w:rsidRPr="0093683C">
        <w:t xml:space="preserve">by an upward revision to payments </w:t>
      </w:r>
      <w:r w:rsidR="0089033A" w:rsidRPr="0093683C">
        <w:t xml:space="preserve">of </w:t>
      </w:r>
      <w:r w:rsidRPr="0093683C">
        <w:t>$</w:t>
      </w:r>
      <w:r w:rsidR="00EC5251" w:rsidRPr="0093683C">
        <w:t>92.</w:t>
      </w:r>
      <w:r w:rsidR="00060D48" w:rsidRPr="0093683C">
        <w:t>2</w:t>
      </w:r>
      <w:r w:rsidRPr="0093683C">
        <w:t> billion</w:t>
      </w:r>
      <w:r w:rsidR="0089033A" w:rsidRPr="0093683C">
        <w:t>, excluding new policies,</w:t>
      </w:r>
      <w:r w:rsidRPr="0093683C">
        <w:t xml:space="preserve"> over the 4</w:t>
      </w:r>
      <w:r w:rsidR="00375E1C" w:rsidRPr="0093683C">
        <w:t> </w:t>
      </w:r>
      <w:r w:rsidRPr="0093683C">
        <w:t>years to 2025</w:t>
      </w:r>
      <w:r w:rsidR="005E3EBA">
        <w:t>–</w:t>
      </w:r>
      <w:r w:rsidRPr="0093683C">
        <w:t>26. This is driven by higher inflation increasing indexed payments, cost pressures associated with delivering essential services, and higher interest rates. As a result</w:t>
      </w:r>
      <w:r w:rsidR="00B423C6" w:rsidRPr="0093683C">
        <w:t>,</w:t>
      </w:r>
      <w:r w:rsidRPr="0093683C">
        <w:t xml:space="preserve"> the deficit is expected to be slightly larger than at PEFO at the end of the forward estimates</w:t>
      </w:r>
      <w:r w:rsidR="006A127C" w:rsidRPr="0093683C">
        <w:t>. S</w:t>
      </w:r>
      <w:r w:rsidRPr="0093683C">
        <w:t>pending pressures continu</w:t>
      </w:r>
      <w:r w:rsidR="00E224FC" w:rsidRPr="0093683C">
        <w:t>e</w:t>
      </w:r>
      <w:r w:rsidRPr="0093683C">
        <w:t xml:space="preserve"> to build over the medium term</w:t>
      </w:r>
      <w:r w:rsidR="00E224FC" w:rsidRPr="0093683C">
        <w:t>,</w:t>
      </w:r>
      <w:r w:rsidR="006A127C" w:rsidRPr="0093683C">
        <w:rPr>
          <w:szCs w:val="18"/>
        </w:rPr>
        <w:t xml:space="preserve"> </w:t>
      </w:r>
      <w:r w:rsidR="00E224FC" w:rsidRPr="0093683C">
        <w:rPr>
          <w:szCs w:val="18"/>
        </w:rPr>
        <w:t>with</w:t>
      </w:r>
      <w:r w:rsidR="006A127C" w:rsidRPr="0093683C">
        <w:rPr>
          <w:szCs w:val="18"/>
        </w:rPr>
        <w:t xml:space="preserve"> </w:t>
      </w:r>
      <w:proofErr w:type="gramStart"/>
      <w:r w:rsidR="006A127C" w:rsidRPr="0093683C">
        <w:rPr>
          <w:szCs w:val="18"/>
        </w:rPr>
        <w:t>a number of</w:t>
      </w:r>
      <w:proofErr w:type="gramEnd"/>
      <w:r w:rsidR="006A127C" w:rsidRPr="0093683C">
        <w:rPr>
          <w:szCs w:val="18"/>
        </w:rPr>
        <w:t xml:space="preserve"> large payments growing faster than the economy.</w:t>
      </w:r>
    </w:p>
    <w:p w14:paraId="41048E2C" w14:textId="4E996140" w:rsidR="00A3655C" w:rsidRPr="00253784" w:rsidRDefault="00345ED4" w:rsidP="00FA2C19">
      <w:pPr>
        <w:pStyle w:val="StatementWhite"/>
      </w:pPr>
      <w:r w:rsidRPr="0093683C">
        <w:t>The updated</w:t>
      </w:r>
      <w:r w:rsidR="00A3655C" w:rsidRPr="0093683C">
        <w:t xml:space="preserve"> medium-term </w:t>
      </w:r>
      <w:r w:rsidRPr="0093683C">
        <w:t>projections presented in this Budget reveal the magnitude of the fiscal challenges the Government inherited</w:t>
      </w:r>
      <w:r w:rsidR="006B64D6" w:rsidRPr="0093683C">
        <w:t xml:space="preserve">. </w:t>
      </w:r>
      <w:r w:rsidR="00DB2EA8" w:rsidRPr="0093683C">
        <w:t>H</w:t>
      </w:r>
      <w:r w:rsidR="003739A2" w:rsidRPr="0093683C">
        <w:t>igher interest rates, a lower and more realistic productivity growth assumption, and an upward revision in the estimated cost of delivering the NDIS</w:t>
      </w:r>
      <w:r w:rsidR="006B64D6" w:rsidRPr="0093683C">
        <w:t xml:space="preserve"> account for the deterioration in</w:t>
      </w:r>
      <w:r w:rsidR="00A3655C" w:rsidRPr="0093683C">
        <w:t xml:space="preserve"> gross debt</w:t>
      </w:r>
      <w:r w:rsidR="00355A7A" w:rsidRPr="0093683C">
        <w:t xml:space="preserve"> </w:t>
      </w:r>
      <w:r w:rsidR="00A3655C" w:rsidRPr="0093683C">
        <w:t>to</w:t>
      </w:r>
      <w:r w:rsidR="00355A7A" w:rsidRPr="0093683C">
        <w:t xml:space="preserve"> </w:t>
      </w:r>
      <w:r w:rsidR="001B3273" w:rsidRPr="0093683C">
        <w:t>GDP</w:t>
      </w:r>
      <w:r w:rsidR="00A3655C" w:rsidRPr="0093683C">
        <w:t xml:space="preserve"> </w:t>
      </w:r>
      <w:r w:rsidR="006B64D6" w:rsidRPr="0093683C">
        <w:t>since PEFO</w:t>
      </w:r>
      <w:r w:rsidR="00A3655C" w:rsidRPr="0013146C">
        <w:t>.</w:t>
      </w:r>
    </w:p>
    <w:p w14:paraId="0B71FD26" w14:textId="0CFC857A" w:rsidR="00A029A7" w:rsidRDefault="00A3655C" w:rsidP="00FA2C19">
      <w:pPr>
        <w:pStyle w:val="StatementWhite"/>
        <w:rPr>
          <w:color w:val="FF0000"/>
          <w:szCs w:val="18"/>
        </w:rPr>
        <w:sectPr w:rsidR="00A029A7" w:rsidSect="00D41185">
          <w:headerReference w:type="even" r:id="rId11"/>
          <w:footerReference w:type="even" r:id="rId12"/>
          <w:footerReference w:type="default" r:id="rId13"/>
          <w:headerReference w:type="first" r:id="rId14"/>
          <w:footerReference w:type="first" r:id="rId15"/>
          <w:type w:val="oddPage"/>
          <w:pgSz w:w="11906" w:h="16838" w:code="9"/>
          <w:pgMar w:top="2835" w:right="2098" w:bottom="2466" w:left="2098" w:header="1814" w:footer="1814" w:gutter="0"/>
          <w:pgNumType w:start="69"/>
          <w:cols w:space="708"/>
          <w:titlePg/>
          <w:docGrid w:linePitch="360"/>
        </w:sectPr>
      </w:pPr>
      <w:r w:rsidRPr="0093683C">
        <w:t xml:space="preserve">The revised medium-term outlook makes clear that ongoing budget repair is required. </w:t>
      </w:r>
      <w:r w:rsidR="009E54F8" w:rsidRPr="0093683C">
        <w:t xml:space="preserve">The Government </w:t>
      </w:r>
      <w:r w:rsidRPr="0093683C">
        <w:t xml:space="preserve">will continue to work towards rebuilding fiscal buffers and </w:t>
      </w:r>
      <w:r w:rsidR="00CC03B0" w:rsidRPr="0093683C">
        <w:t>improving the quality of spending</w:t>
      </w:r>
      <w:r w:rsidRPr="0093683C">
        <w:t>.</w:t>
      </w:r>
    </w:p>
    <w:p w14:paraId="186A72E7" w14:textId="600C0DFE" w:rsidR="00D81A31" w:rsidRPr="0093683C" w:rsidRDefault="00FF4E9C" w:rsidP="0009408A">
      <w:pPr>
        <w:pStyle w:val="ContentsHeading"/>
      </w:pPr>
      <w:r w:rsidRPr="0093683C">
        <w:lastRenderedPageBreak/>
        <w:t>C</w:t>
      </w:r>
      <w:r w:rsidR="00D81A31" w:rsidRPr="0093683C">
        <w:t>ontents</w:t>
      </w:r>
    </w:p>
    <w:p w14:paraId="772BFBC9" w14:textId="0111A77F" w:rsidR="00ED099A" w:rsidRDefault="004D368A">
      <w:pPr>
        <w:pStyle w:val="TOC1"/>
        <w:rPr>
          <w:rFonts w:asciiTheme="minorHAnsi" w:eastAsiaTheme="minorEastAsia" w:hAnsiTheme="minorHAnsi" w:cstheme="minorBidi"/>
          <w:b w:val="0"/>
          <w:noProof/>
          <w:sz w:val="22"/>
          <w:szCs w:val="22"/>
        </w:rPr>
      </w:pPr>
      <w:r w:rsidRPr="0093683C">
        <w:rPr>
          <w:rFonts w:ascii="Arial" w:hAnsi="Arial"/>
          <w:sz w:val="18"/>
        </w:rPr>
        <w:fldChar w:fldCharType="begin"/>
      </w:r>
      <w:r w:rsidRPr="0093683C">
        <w:instrText xml:space="preserve"> TOC \h \z \u \t "Heading 2,1,Heading 3,2" </w:instrText>
      </w:r>
      <w:r w:rsidRPr="0093683C">
        <w:rPr>
          <w:rFonts w:ascii="Arial" w:hAnsi="Arial"/>
          <w:sz w:val="18"/>
        </w:rPr>
        <w:fldChar w:fldCharType="separate"/>
      </w:r>
      <w:hyperlink w:anchor="_Toc117356555" w:history="1">
        <w:r w:rsidR="00ED099A" w:rsidRPr="00300B4B">
          <w:rPr>
            <w:rStyle w:val="Hyperlink"/>
            <w:noProof/>
          </w:rPr>
          <w:t>Economic and Fiscal Strategy</w:t>
        </w:r>
        <w:r w:rsidR="00ED099A">
          <w:rPr>
            <w:noProof/>
            <w:webHidden/>
          </w:rPr>
          <w:tab/>
        </w:r>
        <w:r w:rsidR="00ED099A">
          <w:rPr>
            <w:noProof/>
            <w:webHidden/>
          </w:rPr>
          <w:fldChar w:fldCharType="begin"/>
        </w:r>
        <w:r w:rsidR="00ED099A">
          <w:rPr>
            <w:noProof/>
            <w:webHidden/>
          </w:rPr>
          <w:instrText xml:space="preserve"> PAGEREF _Toc117356555 \h </w:instrText>
        </w:r>
        <w:r w:rsidR="00ED099A">
          <w:rPr>
            <w:noProof/>
            <w:webHidden/>
          </w:rPr>
        </w:r>
        <w:r w:rsidR="00ED099A">
          <w:rPr>
            <w:noProof/>
            <w:webHidden/>
          </w:rPr>
          <w:fldChar w:fldCharType="separate"/>
        </w:r>
        <w:r w:rsidR="00550217">
          <w:rPr>
            <w:noProof/>
            <w:webHidden/>
          </w:rPr>
          <w:t>75</w:t>
        </w:r>
        <w:r w:rsidR="00ED099A">
          <w:rPr>
            <w:noProof/>
            <w:webHidden/>
          </w:rPr>
          <w:fldChar w:fldCharType="end"/>
        </w:r>
      </w:hyperlink>
    </w:p>
    <w:p w14:paraId="6D674BBF" w14:textId="556CEDD6" w:rsidR="00ED099A" w:rsidRDefault="001E7851">
      <w:pPr>
        <w:pStyle w:val="TOC2"/>
        <w:rPr>
          <w:rFonts w:asciiTheme="minorHAnsi" w:eastAsiaTheme="minorEastAsia" w:hAnsiTheme="minorHAnsi" w:cstheme="minorBidi"/>
          <w:noProof/>
          <w:sz w:val="22"/>
          <w:szCs w:val="22"/>
        </w:rPr>
      </w:pPr>
      <w:hyperlink w:anchor="_Toc117356556" w:history="1">
        <w:r w:rsidR="00ED099A" w:rsidRPr="00300B4B">
          <w:rPr>
            <w:rStyle w:val="Hyperlink"/>
            <w:noProof/>
          </w:rPr>
          <w:t>Delivering on the Economic and Fiscal Strategy</w:t>
        </w:r>
        <w:r w:rsidR="00ED099A">
          <w:rPr>
            <w:noProof/>
            <w:webHidden/>
          </w:rPr>
          <w:tab/>
        </w:r>
        <w:r w:rsidR="00ED099A">
          <w:rPr>
            <w:noProof/>
            <w:webHidden/>
          </w:rPr>
          <w:fldChar w:fldCharType="begin"/>
        </w:r>
        <w:r w:rsidR="00ED099A">
          <w:rPr>
            <w:noProof/>
            <w:webHidden/>
          </w:rPr>
          <w:instrText xml:space="preserve"> PAGEREF _Toc117356556 \h </w:instrText>
        </w:r>
        <w:r w:rsidR="00ED099A">
          <w:rPr>
            <w:noProof/>
            <w:webHidden/>
          </w:rPr>
        </w:r>
        <w:r w:rsidR="00ED099A">
          <w:rPr>
            <w:noProof/>
            <w:webHidden/>
          </w:rPr>
          <w:fldChar w:fldCharType="separate"/>
        </w:r>
        <w:r w:rsidR="00550217">
          <w:rPr>
            <w:noProof/>
            <w:webHidden/>
          </w:rPr>
          <w:t>76</w:t>
        </w:r>
        <w:r w:rsidR="00ED099A">
          <w:rPr>
            <w:noProof/>
            <w:webHidden/>
          </w:rPr>
          <w:fldChar w:fldCharType="end"/>
        </w:r>
      </w:hyperlink>
    </w:p>
    <w:p w14:paraId="2ED1D6CC" w14:textId="77E3A222" w:rsidR="00ED099A" w:rsidRDefault="001E7851">
      <w:pPr>
        <w:pStyle w:val="TOC1"/>
        <w:rPr>
          <w:rFonts w:asciiTheme="minorHAnsi" w:eastAsiaTheme="minorEastAsia" w:hAnsiTheme="minorHAnsi" w:cstheme="minorBidi"/>
          <w:b w:val="0"/>
          <w:noProof/>
          <w:sz w:val="22"/>
          <w:szCs w:val="22"/>
        </w:rPr>
      </w:pPr>
      <w:hyperlink w:anchor="_Toc117356557" w:history="1">
        <w:r w:rsidR="00ED099A" w:rsidRPr="00300B4B">
          <w:rPr>
            <w:rStyle w:val="Hyperlink"/>
            <w:noProof/>
          </w:rPr>
          <w:t>Fiscal outlook</w:t>
        </w:r>
        <w:r w:rsidR="00ED099A">
          <w:rPr>
            <w:noProof/>
            <w:webHidden/>
          </w:rPr>
          <w:tab/>
        </w:r>
        <w:r w:rsidR="00ED099A">
          <w:rPr>
            <w:noProof/>
            <w:webHidden/>
          </w:rPr>
          <w:fldChar w:fldCharType="begin"/>
        </w:r>
        <w:r w:rsidR="00ED099A">
          <w:rPr>
            <w:noProof/>
            <w:webHidden/>
          </w:rPr>
          <w:instrText xml:space="preserve"> PAGEREF _Toc117356557 \h </w:instrText>
        </w:r>
        <w:r w:rsidR="00ED099A">
          <w:rPr>
            <w:noProof/>
            <w:webHidden/>
          </w:rPr>
        </w:r>
        <w:r w:rsidR="00ED099A">
          <w:rPr>
            <w:noProof/>
            <w:webHidden/>
          </w:rPr>
          <w:fldChar w:fldCharType="separate"/>
        </w:r>
        <w:r w:rsidR="00550217">
          <w:rPr>
            <w:noProof/>
            <w:webHidden/>
          </w:rPr>
          <w:t>78</w:t>
        </w:r>
        <w:r w:rsidR="00ED099A">
          <w:rPr>
            <w:noProof/>
            <w:webHidden/>
          </w:rPr>
          <w:fldChar w:fldCharType="end"/>
        </w:r>
      </w:hyperlink>
    </w:p>
    <w:p w14:paraId="432A260D" w14:textId="2ABF0F9E" w:rsidR="00ED099A" w:rsidRDefault="001E7851">
      <w:pPr>
        <w:pStyle w:val="TOC2"/>
        <w:rPr>
          <w:rFonts w:asciiTheme="minorHAnsi" w:eastAsiaTheme="minorEastAsia" w:hAnsiTheme="minorHAnsi" w:cstheme="minorBidi"/>
          <w:noProof/>
          <w:sz w:val="22"/>
          <w:szCs w:val="22"/>
        </w:rPr>
      </w:pPr>
      <w:hyperlink w:anchor="_Toc117356558" w:history="1">
        <w:r w:rsidR="00ED099A" w:rsidRPr="00300B4B">
          <w:rPr>
            <w:rStyle w:val="Hyperlink"/>
            <w:noProof/>
          </w:rPr>
          <w:t>Underlying cash balance estimates</w:t>
        </w:r>
        <w:r w:rsidR="00ED099A">
          <w:rPr>
            <w:noProof/>
            <w:webHidden/>
          </w:rPr>
          <w:tab/>
        </w:r>
        <w:r w:rsidR="00ED099A">
          <w:rPr>
            <w:noProof/>
            <w:webHidden/>
          </w:rPr>
          <w:fldChar w:fldCharType="begin"/>
        </w:r>
        <w:r w:rsidR="00ED099A">
          <w:rPr>
            <w:noProof/>
            <w:webHidden/>
          </w:rPr>
          <w:instrText xml:space="preserve"> PAGEREF _Toc117356558 \h </w:instrText>
        </w:r>
        <w:r w:rsidR="00ED099A">
          <w:rPr>
            <w:noProof/>
            <w:webHidden/>
          </w:rPr>
        </w:r>
        <w:r w:rsidR="00ED099A">
          <w:rPr>
            <w:noProof/>
            <w:webHidden/>
          </w:rPr>
          <w:fldChar w:fldCharType="separate"/>
        </w:r>
        <w:r w:rsidR="00550217">
          <w:rPr>
            <w:noProof/>
            <w:webHidden/>
          </w:rPr>
          <w:t>78</w:t>
        </w:r>
        <w:r w:rsidR="00ED099A">
          <w:rPr>
            <w:noProof/>
            <w:webHidden/>
          </w:rPr>
          <w:fldChar w:fldCharType="end"/>
        </w:r>
      </w:hyperlink>
    </w:p>
    <w:p w14:paraId="4302A7AD" w14:textId="318952B2" w:rsidR="00ED099A" w:rsidRDefault="001E7851">
      <w:pPr>
        <w:pStyle w:val="TOC2"/>
        <w:rPr>
          <w:rFonts w:asciiTheme="minorHAnsi" w:eastAsiaTheme="minorEastAsia" w:hAnsiTheme="minorHAnsi" w:cstheme="minorBidi"/>
          <w:noProof/>
          <w:sz w:val="22"/>
          <w:szCs w:val="22"/>
        </w:rPr>
      </w:pPr>
      <w:hyperlink w:anchor="_Toc117356559" w:history="1">
        <w:r w:rsidR="00ED099A" w:rsidRPr="00300B4B">
          <w:rPr>
            <w:rStyle w:val="Hyperlink"/>
            <w:noProof/>
          </w:rPr>
          <w:t>Medium</w:t>
        </w:r>
        <w:r w:rsidR="00ED099A" w:rsidRPr="00300B4B">
          <w:rPr>
            <w:rStyle w:val="Hyperlink"/>
            <w:noProof/>
          </w:rPr>
          <w:noBreakHyphen/>
          <w:t>term projections</w:t>
        </w:r>
        <w:r w:rsidR="00ED099A">
          <w:rPr>
            <w:noProof/>
            <w:webHidden/>
          </w:rPr>
          <w:tab/>
        </w:r>
        <w:r w:rsidR="00ED099A">
          <w:rPr>
            <w:noProof/>
            <w:webHidden/>
          </w:rPr>
          <w:fldChar w:fldCharType="begin"/>
        </w:r>
        <w:r w:rsidR="00ED099A">
          <w:rPr>
            <w:noProof/>
            <w:webHidden/>
          </w:rPr>
          <w:instrText xml:space="preserve"> PAGEREF _Toc117356559 \h </w:instrText>
        </w:r>
        <w:r w:rsidR="00ED099A">
          <w:rPr>
            <w:noProof/>
            <w:webHidden/>
          </w:rPr>
        </w:r>
        <w:r w:rsidR="00ED099A">
          <w:rPr>
            <w:noProof/>
            <w:webHidden/>
          </w:rPr>
          <w:fldChar w:fldCharType="separate"/>
        </w:r>
        <w:r w:rsidR="00550217">
          <w:rPr>
            <w:noProof/>
            <w:webHidden/>
          </w:rPr>
          <w:t>81</w:t>
        </w:r>
        <w:r w:rsidR="00ED099A">
          <w:rPr>
            <w:noProof/>
            <w:webHidden/>
          </w:rPr>
          <w:fldChar w:fldCharType="end"/>
        </w:r>
      </w:hyperlink>
    </w:p>
    <w:p w14:paraId="57E7615A" w14:textId="4AD23580" w:rsidR="00ED099A" w:rsidRDefault="001E7851">
      <w:pPr>
        <w:pStyle w:val="TOC2"/>
        <w:rPr>
          <w:rFonts w:asciiTheme="minorHAnsi" w:eastAsiaTheme="minorEastAsia" w:hAnsiTheme="minorHAnsi" w:cstheme="minorBidi"/>
          <w:noProof/>
          <w:sz w:val="22"/>
          <w:szCs w:val="22"/>
        </w:rPr>
      </w:pPr>
      <w:hyperlink w:anchor="_Toc117356560" w:history="1">
        <w:r w:rsidR="00ED099A" w:rsidRPr="00300B4B">
          <w:rPr>
            <w:rStyle w:val="Hyperlink"/>
            <w:noProof/>
          </w:rPr>
          <w:t>Receipts estimates and projections</w:t>
        </w:r>
        <w:r w:rsidR="00ED099A">
          <w:rPr>
            <w:noProof/>
            <w:webHidden/>
          </w:rPr>
          <w:tab/>
        </w:r>
        <w:r w:rsidR="00ED099A">
          <w:rPr>
            <w:noProof/>
            <w:webHidden/>
          </w:rPr>
          <w:fldChar w:fldCharType="begin"/>
        </w:r>
        <w:r w:rsidR="00ED099A">
          <w:rPr>
            <w:noProof/>
            <w:webHidden/>
          </w:rPr>
          <w:instrText xml:space="preserve"> PAGEREF _Toc117356560 \h </w:instrText>
        </w:r>
        <w:r w:rsidR="00ED099A">
          <w:rPr>
            <w:noProof/>
            <w:webHidden/>
          </w:rPr>
        </w:r>
        <w:r w:rsidR="00ED099A">
          <w:rPr>
            <w:noProof/>
            <w:webHidden/>
          </w:rPr>
          <w:fldChar w:fldCharType="separate"/>
        </w:r>
        <w:r w:rsidR="00550217">
          <w:rPr>
            <w:noProof/>
            <w:webHidden/>
          </w:rPr>
          <w:t>88</w:t>
        </w:r>
        <w:r w:rsidR="00ED099A">
          <w:rPr>
            <w:noProof/>
            <w:webHidden/>
          </w:rPr>
          <w:fldChar w:fldCharType="end"/>
        </w:r>
      </w:hyperlink>
    </w:p>
    <w:p w14:paraId="628E9ACD" w14:textId="32DCD77C" w:rsidR="00ED099A" w:rsidRDefault="001E7851">
      <w:pPr>
        <w:pStyle w:val="TOC2"/>
        <w:rPr>
          <w:rFonts w:asciiTheme="minorHAnsi" w:eastAsiaTheme="minorEastAsia" w:hAnsiTheme="minorHAnsi" w:cstheme="minorBidi"/>
          <w:noProof/>
          <w:sz w:val="22"/>
          <w:szCs w:val="22"/>
        </w:rPr>
      </w:pPr>
      <w:hyperlink w:anchor="_Toc117356561" w:history="1">
        <w:r w:rsidR="00ED099A" w:rsidRPr="00300B4B">
          <w:rPr>
            <w:rStyle w:val="Hyperlink"/>
            <w:noProof/>
          </w:rPr>
          <w:t>Payments estimates and projections</w:t>
        </w:r>
        <w:r w:rsidR="00ED099A">
          <w:rPr>
            <w:noProof/>
            <w:webHidden/>
          </w:rPr>
          <w:tab/>
        </w:r>
        <w:r w:rsidR="00ED099A">
          <w:rPr>
            <w:noProof/>
            <w:webHidden/>
          </w:rPr>
          <w:fldChar w:fldCharType="begin"/>
        </w:r>
        <w:r w:rsidR="00ED099A">
          <w:rPr>
            <w:noProof/>
            <w:webHidden/>
          </w:rPr>
          <w:instrText xml:space="preserve"> PAGEREF _Toc117356561 \h </w:instrText>
        </w:r>
        <w:r w:rsidR="00ED099A">
          <w:rPr>
            <w:noProof/>
            <w:webHidden/>
          </w:rPr>
        </w:r>
        <w:r w:rsidR="00ED099A">
          <w:rPr>
            <w:noProof/>
            <w:webHidden/>
          </w:rPr>
          <w:fldChar w:fldCharType="separate"/>
        </w:r>
        <w:r w:rsidR="00550217">
          <w:rPr>
            <w:noProof/>
            <w:webHidden/>
          </w:rPr>
          <w:t>90</w:t>
        </w:r>
        <w:r w:rsidR="00ED099A">
          <w:rPr>
            <w:noProof/>
            <w:webHidden/>
          </w:rPr>
          <w:fldChar w:fldCharType="end"/>
        </w:r>
      </w:hyperlink>
    </w:p>
    <w:p w14:paraId="13D593E6" w14:textId="0141AFD5" w:rsidR="00ED099A" w:rsidRDefault="001E7851">
      <w:pPr>
        <w:pStyle w:val="TOC2"/>
        <w:rPr>
          <w:rFonts w:asciiTheme="minorHAnsi" w:eastAsiaTheme="minorEastAsia" w:hAnsiTheme="minorHAnsi" w:cstheme="minorBidi"/>
          <w:noProof/>
          <w:sz w:val="22"/>
          <w:szCs w:val="22"/>
        </w:rPr>
      </w:pPr>
      <w:hyperlink w:anchor="_Toc117356562" w:history="1">
        <w:r w:rsidR="00ED099A" w:rsidRPr="00300B4B">
          <w:rPr>
            <w:rStyle w:val="Hyperlink"/>
            <w:noProof/>
          </w:rPr>
          <w:t>Headline cash balance estimates</w:t>
        </w:r>
        <w:r w:rsidR="00ED099A">
          <w:rPr>
            <w:noProof/>
            <w:webHidden/>
          </w:rPr>
          <w:tab/>
        </w:r>
        <w:r w:rsidR="00ED099A">
          <w:rPr>
            <w:noProof/>
            <w:webHidden/>
          </w:rPr>
          <w:fldChar w:fldCharType="begin"/>
        </w:r>
        <w:r w:rsidR="00ED099A">
          <w:rPr>
            <w:noProof/>
            <w:webHidden/>
          </w:rPr>
          <w:instrText xml:space="preserve"> PAGEREF _Toc117356562 \h </w:instrText>
        </w:r>
        <w:r w:rsidR="00ED099A">
          <w:rPr>
            <w:noProof/>
            <w:webHidden/>
          </w:rPr>
        </w:r>
        <w:r w:rsidR="00ED099A">
          <w:rPr>
            <w:noProof/>
            <w:webHidden/>
          </w:rPr>
          <w:fldChar w:fldCharType="separate"/>
        </w:r>
        <w:r w:rsidR="00550217">
          <w:rPr>
            <w:noProof/>
            <w:webHidden/>
          </w:rPr>
          <w:t>94</w:t>
        </w:r>
        <w:r w:rsidR="00ED099A">
          <w:rPr>
            <w:noProof/>
            <w:webHidden/>
          </w:rPr>
          <w:fldChar w:fldCharType="end"/>
        </w:r>
      </w:hyperlink>
    </w:p>
    <w:p w14:paraId="0397A7D7" w14:textId="269F2498" w:rsidR="00ED099A" w:rsidRDefault="001E7851">
      <w:pPr>
        <w:pStyle w:val="TOC1"/>
        <w:rPr>
          <w:rFonts w:asciiTheme="minorHAnsi" w:eastAsiaTheme="minorEastAsia" w:hAnsiTheme="minorHAnsi" w:cstheme="minorBidi"/>
          <w:b w:val="0"/>
          <w:noProof/>
          <w:sz w:val="22"/>
          <w:szCs w:val="22"/>
        </w:rPr>
      </w:pPr>
      <w:hyperlink w:anchor="_Toc117356563" w:history="1">
        <w:r w:rsidR="00ED099A" w:rsidRPr="00300B4B">
          <w:rPr>
            <w:rStyle w:val="Hyperlink"/>
            <w:noProof/>
          </w:rPr>
          <w:t>The Government’s balance sheet</w:t>
        </w:r>
        <w:r w:rsidR="00ED099A">
          <w:rPr>
            <w:noProof/>
            <w:webHidden/>
          </w:rPr>
          <w:tab/>
        </w:r>
        <w:r w:rsidR="00ED099A">
          <w:rPr>
            <w:noProof/>
            <w:webHidden/>
          </w:rPr>
          <w:fldChar w:fldCharType="begin"/>
        </w:r>
        <w:r w:rsidR="00ED099A">
          <w:rPr>
            <w:noProof/>
            <w:webHidden/>
          </w:rPr>
          <w:instrText xml:space="preserve"> PAGEREF _Toc117356563 \h </w:instrText>
        </w:r>
        <w:r w:rsidR="00ED099A">
          <w:rPr>
            <w:noProof/>
            <w:webHidden/>
          </w:rPr>
        </w:r>
        <w:r w:rsidR="00ED099A">
          <w:rPr>
            <w:noProof/>
            <w:webHidden/>
          </w:rPr>
          <w:fldChar w:fldCharType="separate"/>
        </w:r>
        <w:r w:rsidR="00550217">
          <w:rPr>
            <w:noProof/>
            <w:webHidden/>
          </w:rPr>
          <w:t>96</w:t>
        </w:r>
        <w:r w:rsidR="00ED099A">
          <w:rPr>
            <w:noProof/>
            <w:webHidden/>
          </w:rPr>
          <w:fldChar w:fldCharType="end"/>
        </w:r>
      </w:hyperlink>
    </w:p>
    <w:p w14:paraId="6C0E88F1" w14:textId="6B3D4B56" w:rsidR="00ED099A" w:rsidRDefault="001E7851">
      <w:pPr>
        <w:pStyle w:val="TOC2"/>
        <w:rPr>
          <w:rFonts w:asciiTheme="minorHAnsi" w:eastAsiaTheme="minorEastAsia" w:hAnsiTheme="minorHAnsi" w:cstheme="minorBidi"/>
          <w:noProof/>
          <w:sz w:val="22"/>
          <w:szCs w:val="22"/>
        </w:rPr>
      </w:pPr>
      <w:hyperlink w:anchor="_Toc117356564" w:history="1">
        <w:r w:rsidR="00ED099A" w:rsidRPr="00300B4B">
          <w:rPr>
            <w:rStyle w:val="Hyperlink"/>
            <w:noProof/>
          </w:rPr>
          <w:t>Gross debt estimates and projections</w:t>
        </w:r>
        <w:r w:rsidR="00ED099A">
          <w:rPr>
            <w:noProof/>
            <w:webHidden/>
          </w:rPr>
          <w:tab/>
        </w:r>
        <w:r w:rsidR="00ED099A">
          <w:rPr>
            <w:noProof/>
            <w:webHidden/>
          </w:rPr>
          <w:fldChar w:fldCharType="begin"/>
        </w:r>
        <w:r w:rsidR="00ED099A">
          <w:rPr>
            <w:noProof/>
            <w:webHidden/>
          </w:rPr>
          <w:instrText xml:space="preserve"> PAGEREF _Toc117356564 \h </w:instrText>
        </w:r>
        <w:r w:rsidR="00ED099A">
          <w:rPr>
            <w:noProof/>
            <w:webHidden/>
          </w:rPr>
        </w:r>
        <w:r w:rsidR="00ED099A">
          <w:rPr>
            <w:noProof/>
            <w:webHidden/>
          </w:rPr>
          <w:fldChar w:fldCharType="separate"/>
        </w:r>
        <w:r w:rsidR="00550217">
          <w:rPr>
            <w:noProof/>
            <w:webHidden/>
          </w:rPr>
          <w:t>96</w:t>
        </w:r>
        <w:r w:rsidR="00ED099A">
          <w:rPr>
            <w:noProof/>
            <w:webHidden/>
          </w:rPr>
          <w:fldChar w:fldCharType="end"/>
        </w:r>
      </w:hyperlink>
    </w:p>
    <w:p w14:paraId="04A87B58" w14:textId="33576581" w:rsidR="00ED099A" w:rsidRDefault="001E7851">
      <w:pPr>
        <w:pStyle w:val="TOC2"/>
        <w:rPr>
          <w:rFonts w:asciiTheme="minorHAnsi" w:eastAsiaTheme="minorEastAsia" w:hAnsiTheme="minorHAnsi" w:cstheme="minorBidi"/>
          <w:noProof/>
          <w:sz w:val="22"/>
          <w:szCs w:val="22"/>
        </w:rPr>
      </w:pPr>
      <w:hyperlink w:anchor="_Toc117356565" w:history="1">
        <w:r w:rsidR="00ED099A" w:rsidRPr="00300B4B">
          <w:rPr>
            <w:rStyle w:val="Hyperlink"/>
            <w:noProof/>
          </w:rPr>
          <w:t>Net debt estimates and projections</w:t>
        </w:r>
        <w:r w:rsidR="00ED099A">
          <w:rPr>
            <w:noProof/>
            <w:webHidden/>
          </w:rPr>
          <w:tab/>
        </w:r>
        <w:r w:rsidR="00ED099A">
          <w:rPr>
            <w:noProof/>
            <w:webHidden/>
          </w:rPr>
          <w:fldChar w:fldCharType="begin"/>
        </w:r>
        <w:r w:rsidR="00ED099A">
          <w:rPr>
            <w:noProof/>
            <w:webHidden/>
          </w:rPr>
          <w:instrText xml:space="preserve"> PAGEREF _Toc117356565 \h </w:instrText>
        </w:r>
        <w:r w:rsidR="00ED099A">
          <w:rPr>
            <w:noProof/>
            <w:webHidden/>
          </w:rPr>
        </w:r>
        <w:r w:rsidR="00ED099A">
          <w:rPr>
            <w:noProof/>
            <w:webHidden/>
          </w:rPr>
          <w:fldChar w:fldCharType="separate"/>
        </w:r>
        <w:r w:rsidR="00550217">
          <w:rPr>
            <w:noProof/>
            <w:webHidden/>
          </w:rPr>
          <w:t>100</w:t>
        </w:r>
        <w:r w:rsidR="00ED099A">
          <w:rPr>
            <w:noProof/>
            <w:webHidden/>
          </w:rPr>
          <w:fldChar w:fldCharType="end"/>
        </w:r>
      </w:hyperlink>
    </w:p>
    <w:p w14:paraId="4E9080C3" w14:textId="6C4374EA" w:rsidR="00ED099A" w:rsidRDefault="001E7851">
      <w:pPr>
        <w:pStyle w:val="TOC2"/>
        <w:rPr>
          <w:rFonts w:asciiTheme="minorHAnsi" w:eastAsiaTheme="minorEastAsia" w:hAnsiTheme="minorHAnsi" w:cstheme="minorBidi"/>
          <w:noProof/>
          <w:sz w:val="22"/>
          <w:szCs w:val="22"/>
        </w:rPr>
      </w:pPr>
      <w:hyperlink w:anchor="_Toc117356566" w:history="1">
        <w:r w:rsidR="00ED099A" w:rsidRPr="00300B4B">
          <w:rPr>
            <w:rStyle w:val="Hyperlink"/>
            <w:noProof/>
          </w:rPr>
          <w:t>Net financial worth and net worth estimates and projections</w:t>
        </w:r>
        <w:r w:rsidR="00ED099A">
          <w:rPr>
            <w:noProof/>
            <w:webHidden/>
          </w:rPr>
          <w:tab/>
        </w:r>
        <w:r w:rsidR="00ED099A">
          <w:rPr>
            <w:noProof/>
            <w:webHidden/>
          </w:rPr>
          <w:fldChar w:fldCharType="begin"/>
        </w:r>
        <w:r w:rsidR="00ED099A">
          <w:rPr>
            <w:noProof/>
            <w:webHidden/>
          </w:rPr>
          <w:instrText xml:space="preserve"> PAGEREF _Toc117356566 \h </w:instrText>
        </w:r>
        <w:r w:rsidR="00ED099A">
          <w:rPr>
            <w:noProof/>
            <w:webHidden/>
          </w:rPr>
        </w:r>
        <w:r w:rsidR="00ED099A">
          <w:rPr>
            <w:noProof/>
            <w:webHidden/>
          </w:rPr>
          <w:fldChar w:fldCharType="separate"/>
        </w:r>
        <w:r w:rsidR="00550217">
          <w:rPr>
            <w:noProof/>
            <w:webHidden/>
          </w:rPr>
          <w:t>100</w:t>
        </w:r>
        <w:r w:rsidR="00ED099A">
          <w:rPr>
            <w:noProof/>
            <w:webHidden/>
          </w:rPr>
          <w:fldChar w:fldCharType="end"/>
        </w:r>
      </w:hyperlink>
    </w:p>
    <w:p w14:paraId="18A88F9C" w14:textId="75D69F5E" w:rsidR="00ED099A" w:rsidRDefault="001E7851">
      <w:pPr>
        <w:pStyle w:val="TOC1"/>
        <w:rPr>
          <w:rFonts w:asciiTheme="minorHAnsi" w:eastAsiaTheme="minorEastAsia" w:hAnsiTheme="minorHAnsi" w:cstheme="minorBidi"/>
          <w:b w:val="0"/>
          <w:noProof/>
          <w:sz w:val="22"/>
          <w:szCs w:val="22"/>
        </w:rPr>
      </w:pPr>
      <w:hyperlink w:anchor="_Toc117356567" w:history="1">
        <w:r w:rsidR="00ED099A" w:rsidRPr="00300B4B">
          <w:rPr>
            <w:rStyle w:val="Hyperlink"/>
            <w:noProof/>
          </w:rPr>
          <w:t>Fiscal impacts of climate change</w:t>
        </w:r>
        <w:r w:rsidR="00ED099A">
          <w:rPr>
            <w:noProof/>
            <w:webHidden/>
          </w:rPr>
          <w:tab/>
        </w:r>
        <w:r w:rsidR="00ED099A">
          <w:rPr>
            <w:noProof/>
            <w:webHidden/>
          </w:rPr>
          <w:fldChar w:fldCharType="begin"/>
        </w:r>
        <w:r w:rsidR="00ED099A">
          <w:rPr>
            <w:noProof/>
            <w:webHidden/>
          </w:rPr>
          <w:instrText xml:space="preserve"> PAGEREF _Toc117356567 \h </w:instrText>
        </w:r>
        <w:r w:rsidR="00ED099A">
          <w:rPr>
            <w:noProof/>
            <w:webHidden/>
          </w:rPr>
        </w:r>
        <w:r w:rsidR="00ED099A">
          <w:rPr>
            <w:noProof/>
            <w:webHidden/>
          </w:rPr>
          <w:fldChar w:fldCharType="separate"/>
        </w:r>
        <w:r w:rsidR="00550217">
          <w:rPr>
            <w:noProof/>
            <w:webHidden/>
          </w:rPr>
          <w:t>103</w:t>
        </w:r>
        <w:r w:rsidR="00ED099A">
          <w:rPr>
            <w:noProof/>
            <w:webHidden/>
          </w:rPr>
          <w:fldChar w:fldCharType="end"/>
        </w:r>
      </w:hyperlink>
    </w:p>
    <w:p w14:paraId="159A1430" w14:textId="103B448E" w:rsidR="00ED099A" w:rsidRDefault="001E7851">
      <w:pPr>
        <w:pStyle w:val="TOC2"/>
        <w:rPr>
          <w:rFonts w:asciiTheme="minorHAnsi" w:eastAsiaTheme="minorEastAsia" w:hAnsiTheme="minorHAnsi" w:cstheme="minorBidi"/>
          <w:noProof/>
          <w:sz w:val="22"/>
          <w:szCs w:val="22"/>
        </w:rPr>
      </w:pPr>
      <w:hyperlink w:anchor="_Toc117356568" w:history="1">
        <w:r w:rsidR="00ED099A" w:rsidRPr="00300B4B">
          <w:rPr>
            <w:rStyle w:val="Hyperlink"/>
            <w:noProof/>
          </w:rPr>
          <w:t>Fiscal risks associated with climate change</w:t>
        </w:r>
        <w:r w:rsidR="00ED099A">
          <w:rPr>
            <w:noProof/>
            <w:webHidden/>
          </w:rPr>
          <w:tab/>
        </w:r>
        <w:r w:rsidR="00ED099A">
          <w:rPr>
            <w:noProof/>
            <w:webHidden/>
          </w:rPr>
          <w:fldChar w:fldCharType="begin"/>
        </w:r>
        <w:r w:rsidR="00ED099A">
          <w:rPr>
            <w:noProof/>
            <w:webHidden/>
          </w:rPr>
          <w:instrText xml:space="preserve"> PAGEREF _Toc117356568 \h </w:instrText>
        </w:r>
        <w:r w:rsidR="00ED099A">
          <w:rPr>
            <w:noProof/>
            <w:webHidden/>
          </w:rPr>
        </w:r>
        <w:r w:rsidR="00ED099A">
          <w:rPr>
            <w:noProof/>
            <w:webHidden/>
          </w:rPr>
          <w:fldChar w:fldCharType="separate"/>
        </w:r>
        <w:r w:rsidR="00550217">
          <w:rPr>
            <w:noProof/>
            <w:webHidden/>
          </w:rPr>
          <w:t>103</w:t>
        </w:r>
        <w:r w:rsidR="00ED099A">
          <w:rPr>
            <w:noProof/>
            <w:webHidden/>
          </w:rPr>
          <w:fldChar w:fldCharType="end"/>
        </w:r>
      </w:hyperlink>
    </w:p>
    <w:p w14:paraId="530537F9" w14:textId="3B800057" w:rsidR="00ED099A" w:rsidRDefault="001E7851">
      <w:pPr>
        <w:pStyle w:val="TOC2"/>
        <w:rPr>
          <w:rFonts w:asciiTheme="minorHAnsi" w:eastAsiaTheme="minorEastAsia" w:hAnsiTheme="minorHAnsi" w:cstheme="minorBidi"/>
          <w:noProof/>
          <w:sz w:val="22"/>
          <w:szCs w:val="22"/>
        </w:rPr>
      </w:pPr>
      <w:hyperlink w:anchor="_Toc117356569" w:history="1">
        <w:r w:rsidR="00ED099A" w:rsidRPr="00300B4B">
          <w:rPr>
            <w:rStyle w:val="Hyperlink"/>
            <w:noProof/>
          </w:rPr>
          <w:t>Climate spending</w:t>
        </w:r>
        <w:r w:rsidR="00ED099A">
          <w:rPr>
            <w:noProof/>
            <w:webHidden/>
          </w:rPr>
          <w:tab/>
        </w:r>
        <w:r w:rsidR="00ED099A">
          <w:rPr>
            <w:noProof/>
            <w:webHidden/>
          </w:rPr>
          <w:fldChar w:fldCharType="begin"/>
        </w:r>
        <w:r w:rsidR="00ED099A">
          <w:rPr>
            <w:noProof/>
            <w:webHidden/>
          </w:rPr>
          <w:instrText xml:space="preserve"> PAGEREF _Toc117356569 \h </w:instrText>
        </w:r>
        <w:r w:rsidR="00ED099A">
          <w:rPr>
            <w:noProof/>
            <w:webHidden/>
          </w:rPr>
        </w:r>
        <w:r w:rsidR="00ED099A">
          <w:rPr>
            <w:noProof/>
            <w:webHidden/>
          </w:rPr>
          <w:fldChar w:fldCharType="separate"/>
        </w:r>
        <w:r w:rsidR="00550217">
          <w:rPr>
            <w:noProof/>
            <w:webHidden/>
          </w:rPr>
          <w:t>109</w:t>
        </w:r>
        <w:r w:rsidR="00ED099A">
          <w:rPr>
            <w:noProof/>
            <w:webHidden/>
          </w:rPr>
          <w:fldChar w:fldCharType="end"/>
        </w:r>
      </w:hyperlink>
    </w:p>
    <w:p w14:paraId="0A4130B0" w14:textId="038934A6" w:rsidR="00ED099A" w:rsidRDefault="001E7851">
      <w:pPr>
        <w:pStyle w:val="TOC2"/>
        <w:rPr>
          <w:rFonts w:asciiTheme="minorHAnsi" w:eastAsiaTheme="minorEastAsia" w:hAnsiTheme="minorHAnsi" w:cstheme="minorBidi"/>
          <w:noProof/>
          <w:sz w:val="22"/>
          <w:szCs w:val="22"/>
        </w:rPr>
      </w:pPr>
      <w:hyperlink w:anchor="_Toc117356570" w:history="1">
        <w:r w:rsidR="00ED099A" w:rsidRPr="00300B4B">
          <w:rPr>
            <w:rStyle w:val="Hyperlink"/>
            <w:noProof/>
          </w:rPr>
          <w:t>Selected climate spending measures</w:t>
        </w:r>
        <w:r w:rsidR="00ED099A">
          <w:rPr>
            <w:noProof/>
            <w:webHidden/>
          </w:rPr>
          <w:tab/>
        </w:r>
        <w:r w:rsidR="00ED099A">
          <w:rPr>
            <w:noProof/>
            <w:webHidden/>
          </w:rPr>
          <w:fldChar w:fldCharType="begin"/>
        </w:r>
        <w:r w:rsidR="00ED099A">
          <w:rPr>
            <w:noProof/>
            <w:webHidden/>
          </w:rPr>
          <w:instrText xml:space="preserve"> PAGEREF _Toc117356570 \h </w:instrText>
        </w:r>
        <w:r w:rsidR="00ED099A">
          <w:rPr>
            <w:noProof/>
            <w:webHidden/>
          </w:rPr>
        </w:r>
        <w:r w:rsidR="00ED099A">
          <w:rPr>
            <w:noProof/>
            <w:webHidden/>
          </w:rPr>
          <w:fldChar w:fldCharType="separate"/>
        </w:r>
        <w:r w:rsidR="00550217">
          <w:rPr>
            <w:noProof/>
            <w:webHidden/>
          </w:rPr>
          <w:t>111</w:t>
        </w:r>
        <w:r w:rsidR="00ED099A">
          <w:rPr>
            <w:noProof/>
            <w:webHidden/>
          </w:rPr>
          <w:fldChar w:fldCharType="end"/>
        </w:r>
      </w:hyperlink>
    </w:p>
    <w:p w14:paraId="01F592A1" w14:textId="6A989BA0" w:rsidR="00ED099A" w:rsidRDefault="001E7851">
      <w:pPr>
        <w:pStyle w:val="TOC1"/>
        <w:rPr>
          <w:rFonts w:asciiTheme="minorHAnsi" w:eastAsiaTheme="minorEastAsia" w:hAnsiTheme="minorHAnsi" w:cstheme="minorBidi"/>
          <w:b w:val="0"/>
          <w:noProof/>
          <w:sz w:val="22"/>
          <w:szCs w:val="22"/>
        </w:rPr>
      </w:pPr>
      <w:hyperlink w:anchor="_Toc117356571" w:history="1">
        <w:r w:rsidR="00ED099A" w:rsidRPr="00300B4B">
          <w:rPr>
            <w:rStyle w:val="Hyperlink"/>
            <w:noProof/>
          </w:rPr>
          <w:t>Appendix A: Other fiscal aggregates</w:t>
        </w:r>
        <w:r w:rsidR="00ED099A">
          <w:rPr>
            <w:noProof/>
            <w:webHidden/>
          </w:rPr>
          <w:tab/>
        </w:r>
        <w:r w:rsidR="00ED099A">
          <w:rPr>
            <w:noProof/>
            <w:webHidden/>
          </w:rPr>
          <w:fldChar w:fldCharType="begin"/>
        </w:r>
        <w:r w:rsidR="00ED099A">
          <w:rPr>
            <w:noProof/>
            <w:webHidden/>
          </w:rPr>
          <w:instrText xml:space="preserve"> PAGEREF _Toc117356571 \h </w:instrText>
        </w:r>
        <w:r w:rsidR="00ED099A">
          <w:rPr>
            <w:noProof/>
            <w:webHidden/>
          </w:rPr>
        </w:r>
        <w:r w:rsidR="00ED099A">
          <w:rPr>
            <w:noProof/>
            <w:webHidden/>
          </w:rPr>
          <w:fldChar w:fldCharType="separate"/>
        </w:r>
        <w:r w:rsidR="00550217">
          <w:rPr>
            <w:noProof/>
            <w:webHidden/>
          </w:rPr>
          <w:t>114</w:t>
        </w:r>
        <w:r w:rsidR="00ED099A">
          <w:rPr>
            <w:noProof/>
            <w:webHidden/>
          </w:rPr>
          <w:fldChar w:fldCharType="end"/>
        </w:r>
      </w:hyperlink>
    </w:p>
    <w:p w14:paraId="4506D0ED" w14:textId="758051B6" w:rsidR="00ED099A" w:rsidRDefault="001E7851">
      <w:pPr>
        <w:pStyle w:val="TOC2"/>
        <w:rPr>
          <w:rFonts w:asciiTheme="minorHAnsi" w:eastAsiaTheme="minorEastAsia" w:hAnsiTheme="minorHAnsi" w:cstheme="minorBidi"/>
          <w:noProof/>
          <w:sz w:val="22"/>
          <w:szCs w:val="22"/>
        </w:rPr>
      </w:pPr>
      <w:hyperlink w:anchor="_Toc117356572" w:history="1">
        <w:r w:rsidR="00ED099A" w:rsidRPr="00300B4B">
          <w:rPr>
            <w:rStyle w:val="Hyperlink"/>
            <w:noProof/>
          </w:rPr>
          <w:t>Accrual aggregates</w:t>
        </w:r>
        <w:r w:rsidR="00ED099A">
          <w:rPr>
            <w:noProof/>
            <w:webHidden/>
          </w:rPr>
          <w:tab/>
        </w:r>
        <w:r w:rsidR="00ED099A">
          <w:rPr>
            <w:noProof/>
            <w:webHidden/>
          </w:rPr>
          <w:fldChar w:fldCharType="begin"/>
        </w:r>
        <w:r w:rsidR="00ED099A">
          <w:rPr>
            <w:noProof/>
            <w:webHidden/>
          </w:rPr>
          <w:instrText xml:space="preserve"> PAGEREF _Toc117356572 \h </w:instrText>
        </w:r>
        <w:r w:rsidR="00ED099A">
          <w:rPr>
            <w:noProof/>
            <w:webHidden/>
          </w:rPr>
        </w:r>
        <w:r w:rsidR="00ED099A">
          <w:rPr>
            <w:noProof/>
            <w:webHidden/>
          </w:rPr>
          <w:fldChar w:fldCharType="separate"/>
        </w:r>
        <w:r w:rsidR="00550217">
          <w:rPr>
            <w:noProof/>
            <w:webHidden/>
          </w:rPr>
          <w:t>114</w:t>
        </w:r>
        <w:r w:rsidR="00ED099A">
          <w:rPr>
            <w:noProof/>
            <w:webHidden/>
          </w:rPr>
          <w:fldChar w:fldCharType="end"/>
        </w:r>
      </w:hyperlink>
    </w:p>
    <w:p w14:paraId="3189F4E9" w14:textId="5E3B3317" w:rsidR="00ED099A" w:rsidRDefault="001E7851">
      <w:pPr>
        <w:pStyle w:val="TOC2"/>
        <w:rPr>
          <w:rFonts w:asciiTheme="minorHAnsi" w:eastAsiaTheme="minorEastAsia" w:hAnsiTheme="minorHAnsi" w:cstheme="minorBidi"/>
          <w:noProof/>
          <w:sz w:val="22"/>
          <w:szCs w:val="22"/>
        </w:rPr>
      </w:pPr>
      <w:hyperlink w:anchor="_Toc117356573" w:history="1">
        <w:r w:rsidR="00ED099A" w:rsidRPr="00300B4B">
          <w:rPr>
            <w:rStyle w:val="Hyperlink"/>
            <w:noProof/>
          </w:rPr>
          <w:t>Primary balance estimates and projections</w:t>
        </w:r>
        <w:r w:rsidR="00ED099A">
          <w:rPr>
            <w:noProof/>
            <w:webHidden/>
          </w:rPr>
          <w:tab/>
        </w:r>
        <w:r w:rsidR="00ED099A">
          <w:rPr>
            <w:noProof/>
            <w:webHidden/>
          </w:rPr>
          <w:fldChar w:fldCharType="begin"/>
        </w:r>
        <w:r w:rsidR="00ED099A">
          <w:rPr>
            <w:noProof/>
            <w:webHidden/>
          </w:rPr>
          <w:instrText xml:space="preserve"> PAGEREF _Toc117356573 \h </w:instrText>
        </w:r>
        <w:r w:rsidR="00ED099A">
          <w:rPr>
            <w:noProof/>
            <w:webHidden/>
          </w:rPr>
        </w:r>
        <w:r w:rsidR="00ED099A">
          <w:rPr>
            <w:noProof/>
            <w:webHidden/>
          </w:rPr>
          <w:fldChar w:fldCharType="separate"/>
        </w:r>
        <w:r w:rsidR="00550217">
          <w:rPr>
            <w:noProof/>
            <w:webHidden/>
          </w:rPr>
          <w:t>116</w:t>
        </w:r>
        <w:r w:rsidR="00ED099A">
          <w:rPr>
            <w:noProof/>
            <w:webHidden/>
          </w:rPr>
          <w:fldChar w:fldCharType="end"/>
        </w:r>
      </w:hyperlink>
    </w:p>
    <w:p w14:paraId="14854CD7" w14:textId="18F41C24" w:rsidR="00ED099A" w:rsidRDefault="001E7851">
      <w:pPr>
        <w:pStyle w:val="TOC2"/>
        <w:rPr>
          <w:rFonts w:asciiTheme="minorHAnsi" w:eastAsiaTheme="minorEastAsia" w:hAnsiTheme="minorHAnsi" w:cstheme="minorBidi"/>
          <w:noProof/>
          <w:sz w:val="22"/>
          <w:szCs w:val="22"/>
        </w:rPr>
      </w:pPr>
      <w:hyperlink w:anchor="_Toc117356574" w:history="1">
        <w:r w:rsidR="00ED099A" w:rsidRPr="00300B4B">
          <w:rPr>
            <w:rStyle w:val="Hyperlink"/>
            <w:noProof/>
          </w:rPr>
          <w:t>Structural budget balance estimates</w:t>
        </w:r>
        <w:r w:rsidR="00ED099A">
          <w:rPr>
            <w:noProof/>
            <w:webHidden/>
          </w:rPr>
          <w:tab/>
        </w:r>
        <w:r w:rsidR="00ED099A">
          <w:rPr>
            <w:noProof/>
            <w:webHidden/>
          </w:rPr>
          <w:fldChar w:fldCharType="begin"/>
        </w:r>
        <w:r w:rsidR="00ED099A">
          <w:rPr>
            <w:noProof/>
            <w:webHidden/>
          </w:rPr>
          <w:instrText xml:space="preserve"> PAGEREF _Toc117356574 \h </w:instrText>
        </w:r>
        <w:r w:rsidR="00ED099A">
          <w:rPr>
            <w:noProof/>
            <w:webHidden/>
          </w:rPr>
        </w:r>
        <w:r w:rsidR="00ED099A">
          <w:rPr>
            <w:noProof/>
            <w:webHidden/>
          </w:rPr>
          <w:fldChar w:fldCharType="separate"/>
        </w:r>
        <w:r w:rsidR="00550217">
          <w:rPr>
            <w:noProof/>
            <w:webHidden/>
          </w:rPr>
          <w:t>117</w:t>
        </w:r>
        <w:r w:rsidR="00ED099A">
          <w:rPr>
            <w:noProof/>
            <w:webHidden/>
          </w:rPr>
          <w:fldChar w:fldCharType="end"/>
        </w:r>
      </w:hyperlink>
    </w:p>
    <w:p w14:paraId="49C812FD" w14:textId="43FD1B45" w:rsidR="00D81A31" w:rsidRPr="000004EA" w:rsidRDefault="004D368A" w:rsidP="002A07BC">
      <w:pPr>
        <w:rPr>
          <w:noProof/>
        </w:rPr>
        <w:sectPr w:rsidR="00D81A31" w:rsidRPr="000004EA" w:rsidSect="00DE504B">
          <w:headerReference w:type="first" r:id="rId16"/>
          <w:footerReference w:type="first" r:id="rId17"/>
          <w:type w:val="oddPage"/>
          <w:pgSz w:w="11906" w:h="16838" w:code="9"/>
          <w:pgMar w:top="2835" w:right="2098" w:bottom="2466" w:left="2098" w:header="1814" w:footer="1814" w:gutter="0"/>
          <w:cols w:space="708"/>
          <w:titlePg/>
          <w:docGrid w:linePitch="360"/>
        </w:sectPr>
      </w:pPr>
      <w:r w:rsidRPr="0093683C">
        <w:rPr>
          <w:lang w:val="en-US"/>
        </w:rPr>
        <w:fldChar w:fldCharType="end"/>
      </w:r>
    </w:p>
    <w:p w14:paraId="1B8D4296" w14:textId="0DC11987" w:rsidR="00FF4E9C" w:rsidRPr="0093683C" w:rsidRDefault="00FF4E9C" w:rsidP="00FF4E9C">
      <w:pPr>
        <w:pStyle w:val="Heading1"/>
        <w:rPr>
          <w:rFonts w:asciiTheme="minorHAnsi" w:eastAsiaTheme="minorHAnsi" w:hAnsiTheme="minorHAnsi" w:cstheme="minorBidi"/>
          <w:b w:val="0"/>
          <w:sz w:val="22"/>
          <w:szCs w:val="22"/>
          <w:lang w:eastAsia="en-US"/>
        </w:rPr>
      </w:pPr>
      <w:r w:rsidRPr="0093683C">
        <w:lastRenderedPageBreak/>
        <w:t>Statement 3: Fiscal Strategy and Outlook</w:t>
      </w:r>
    </w:p>
    <w:p w14:paraId="154043B2" w14:textId="77777777" w:rsidR="00F65BC7" w:rsidRPr="0093683C" w:rsidRDefault="004F34DB" w:rsidP="00F65BC7">
      <w:r w:rsidRPr="0093683C">
        <w:t xml:space="preserve">Since </w:t>
      </w:r>
      <w:r w:rsidR="00D205B2" w:rsidRPr="0093683C">
        <w:t>PEFO</w:t>
      </w:r>
      <w:r w:rsidR="00143ADC" w:rsidRPr="0093683C">
        <w:t>,</w:t>
      </w:r>
      <w:r w:rsidR="00A93DD5" w:rsidRPr="0093683C">
        <w:t xml:space="preserve"> there </w:t>
      </w:r>
      <w:r w:rsidR="005269C0" w:rsidRPr="0093683C">
        <w:t>has been</w:t>
      </w:r>
      <w:r w:rsidR="00FA1D24" w:rsidRPr="0093683C">
        <w:t xml:space="preserve"> a</w:t>
      </w:r>
      <w:r w:rsidR="00D163D9" w:rsidRPr="0093683C">
        <w:t xml:space="preserve"> </w:t>
      </w:r>
      <w:r w:rsidR="0052480C" w:rsidRPr="0093683C">
        <w:t xml:space="preserve">substantial </w:t>
      </w:r>
      <w:r w:rsidR="007C0324" w:rsidRPr="0093683C">
        <w:t xml:space="preserve">improvement </w:t>
      </w:r>
      <w:r w:rsidR="00F42A7F" w:rsidRPr="0093683C">
        <w:t>in the near</w:t>
      </w:r>
      <w:r w:rsidR="008C6DA9" w:rsidRPr="0093683C">
        <w:noBreakHyphen/>
      </w:r>
      <w:r w:rsidR="00F42A7F" w:rsidRPr="0093683C">
        <w:t>term</w:t>
      </w:r>
      <w:r w:rsidRPr="0093683C">
        <w:t xml:space="preserve"> </w:t>
      </w:r>
      <w:r w:rsidR="00D205B2" w:rsidRPr="0093683C">
        <w:t xml:space="preserve">fiscal </w:t>
      </w:r>
      <w:r w:rsidRPr="0093683C">
        <w:t>outlook</w:t>
      </w:r>
      <w:r w:rsidR="00F42A7F" w:rsidRPr="0093683C">
        <w:t xml:space="preserve">, </w:t>
      </w:r>
      <w:r w:rsidR="002C05DB" w:rsidRPr="0093683C">
        <w:t xml:space="preserve">but </w:t>
      </w:r>
      <w:r w:rsidR="0061177D" w:rsidRPr="0093683C">
        <w:t xml:space="preserve">persistent </w:t>
      </w:r>
      <w:r w:rsidR="004740B8" w:rsidRPr="0093683C">
        <w:t xml:space="preserve">spending pressures have become </w:t>
      </w:r>
      <w:r w:rsidR="005269C0" w:rsidRPr="0093683C">
        <w:t xml:space="preserve">even </w:t>
      </w:r>
      <w:r w:rsidR="004740B8" w:rsidRPr="0093683C">
        <w:t>more pronounced</w:t>
      </w:r>
      <w:r w:rsidR="00A93DD5" w:rsidRPr="0093683C">
        <w:t>.</w:t>
      </w:r>
    </w:p>
    <w:p w14:paraId="08EB31A5" w14:textId="3BA03FEC" w:rsidR="007E53BD" w:rsidRDefault="009B4C9E" w:rsidP="00F65BC7">
      <w:r w:rsidRPr="0093683C">
        <w:t xml:space="preserve">The underlying cash balance has improved by </w:t>
      </w:r>
      <w:r w:rsidR="009B4508" w:rsidRPr="0093683C">
        <w:t xml:space="preserve">a cumulative </w:t>
      </w:r>
      <w:r w:rsidR="00A0059C" w:rsidRPr="0093683C">
        <w:t>$</w:t>
      </w:r>
      <w:r w:rsidR="00B420F7" w:rsidRPr="0093683C">
        <w:t>4</w:t>
      </w:r>
      <w:r w:rsidR="0028239F" w:rsidRPr="0093683C">
        <w:t>2.</w:t>
      </w:r>
      <w:r w:rsidR="00060D48" w:rsidRPr="0093683C">
        <w:t>7</w:t>
      </w:r>
      <w:r w:rsidR="00A0059C" w:rsidRPr="0093683C">
        <w:t xml:space="preserve"> billion across the 4</w:t>
      </w:r>
      <w:r w:rsidR="00102B03" w:rsidRPr="0093683C">
        <w:t> </w:t>
      </w:r>
      <w:r w:rsidR="00A0059C" w:rsidRPr="0093683C">
        <w:t>years to 2025</w:t>
      </w:r>
      <w:r w:rsidR="00B9531B" w:rsidRPr="0093683C">
        <w:t>–</w:t>
      </w:r>
      <w:r w:rsidR="00A0059C" w:rsidRPr="0093683C">
        <w:t xml:space="preserve">26. </w:t>
      </w:r>
      <w:r w:rsidR="0061177D" w:rsidRPr="0093683C">
        <w:t>In the near term, high</w:t>
      </w:r>
      <w:r w:rsidR="00F65BC7" w:rsidRPr="0093683C">
        <w:t xml:space="preserve"> </w:t>
      </w:r>
      <w:r w:rsidR="00BD4374" w:rsidRPr="0093683C">
        <w:t>Australian dollar</w:t>
      </w:r>
      <w:r w:rsidR="0061177D" w:rsidRPr="0093683C">
        <w:t xml:space="preserve"> </w:t>
      </w:r>
      <w:r w:rsidR="00F65BC7" w:rsidRPr="0093683C">
        <w:t>commodity prices</w:t>
      </w:r>
      <w:r w:rsidR="00F65BC7" w:rsidRPr="0093683C" w:rsidDel="00312C96">
        <w:t xml:space="preserve"> </w:t>
      </w:r>
      <w:r w:rsidR="00DF27E2" w:rsidRPr="0093683C">
        <w:t xml:space="preserve">and </w:t>
      </w:r>
      <w:r w:rsidR="37A07C45" w:rsidRPr="0093683C">
        <w:t>elevated</w:t>
      </w:r>
      <w:r w:rsidR="00F65BC7" w:rsidRPr="0093683C">
        <w:t xml:space="preserve"> employment have increased forecast tax receipts</w:t>
      </w:r>
      <w:r w:rsidR="001353E5">
        <w:rPr>
          <w:color w:val="FF0000"/>
        </w:rPr>
        <w:t xml:space="preserve"> </w:t>
      </w:r>
      <w:r w:rsidR="00F65BC7" w:rsidRPr="0093683C">
        <w:t>leading to an improved fiscal outlook</w:t>
      </w:r>
      <w:r w:rsidR="00EC75DA" w:rsidRPr="0093683C">
        <w:t xml:space="preserve">. </w:t>
      </w:r>
      <w:r w:rsidR="005878C0" w:rsidRPr="0093683C">
        <w:t xml:space="preserve">However, the improvement </w:t>
      </w:r>
      <w:r w:rsidR="002C05DB" w:rsidRPr="0093683C">
        <w:t>moderates</w:t>
      </w:r>
      <w:r w:rsidR="005F4552" w:rsidRPr="0093683C">
        <w:t xml:space="preserve"> over the forward estimates</w:t>
      </w:r>
      <w:r w:rsidR="005F4552" w:rsidRPr="0013146C">
        <w:t xml:space="preserve"> </w:t>
      </w:r>
      <w:r w:rsidR="005F4552" w:rsidRPr="0093683C">
        <w:t xml:space="preserve">as </w:t>
      </w:r>
      <w:r w:rsidR="00664F59" w:rsidRPr="0093683C">
        <w:t xml:space="preserve">commodity prices </w:t>
      </w:r>
      <w:proofErr w:type="gramStart"/>
      <w:r w:rsidR="00664F59" w:rsidRPr="0093683C">
        <w:t>decline</w:t>
      </w:r>
      <w:proofErr w:type="gramEnd"/>
      <w:r w:rsidR="00664F59" w:rsidRPr="00EA29FB">
        <w:t xml:space="preserve"> </w:t>
      </w:r>
      <w:r w:rsidR="00664F59" w:rsidRPr="0093683C">
        <w:t>and economic activity slows</w:t>
      </w:r>
      <w:r w:rsidR="002F13EE" w:rsidRPr="0093683C">
        <w:t>.</w:t>
      </w:r>
      <w:r w:rsidR="00664F59" w:rsidRPr="0093683C">
        <w:t xml:space="preserve"> </w:t>
      </w:r>
      <w:r w:rsidR="004A61F3" w:rsidRPr="0093683C">
        <w:t>Around t</w:t>
      </w:r>
      <w:r w:rsidR="00664F59" w:rsidRPr="0093683C">
        <w:t>wo</w:t>
      </w:r>
      <w:r w:rsidR="008C6DA9" w:rsidRPr="0093683C">
        <w:noBreakHyphen/>
      </w:r>
      <w:r w:rsidR="00AA18C3" w:rsidRPr="0093683C">
        <w:t>thirds of the $</w:t>
      </w:r>
      <w:r w:rsidR="00863F20" w:rsidRPr="0093683C">
        <w:t>132</w:t>
      </w:r>
      <w:r w:rsidR="002D0EF0" w:rsidRPr="0093683C">
        <w:t>.</w:t>
      </w:r>
      <w:r w:rsidR="000025D3" w:rsidRPr="0093683C">
        <w:t>5</w:t>
      </w:r>
      <w:r w:rsidR="00791199" w:rsidRPr="0093683C">
        <w:t> </w:t>
      </w:r>
      <w:r w:rsidR="00AA18C3" w:rsidRPr="0093683C">
        <w:t xml:space="preserve">billion </w:t>
      </w:r>
      <w:r w:rsidR="00F60D47" w:rsidRPr="0093683C">
        <w:t xml:space="preserve">upgrade </w:t>
      </w:r>
      <w:r w:rsidR="00E23998" w:rsidRPr="0093683C">
        <w:t xml:space="preserve">in tax receipts </w:t>
      </w:r>
      <w:r w:rsidR="00F60D47" w:rsidRPr="0093683C">
        <w:t xml:space="preserve">from parameter and other variations </w:t>
      </w:r>
      <w:r w:rsidR="001D34B4" w:rsidRPr="0093683C">
        <w:t xml:space="preserve">is in </w:t>
      </w:r>
      <w:r w:rsidR="00312C96" w:rsidRPr="0093683C">
        <w:t xml:space="preserve">the first </w:t>
      </w:r>
      <w:r w:rsidR="006D4690" w:rsidRPr="0093683C">
        <w:t>2</w:t>
      </w:r>
      <w:r w:rsidR="00312C96" w:rsidRPr="0093683C" w:rsidDel="006D4690">
        <w:t xml:space="preserve"> </w:t>
      </w:r>
      <w:r w:rsidR="00312C96" w:rsidRPr="0093683C">
        <w:t>years of the forward estimates.</w:t>
      </w:r>
    </w:p>
    <w:p w14:paraId="41DC3D1D" w14:textId="5451DBCF" w:rsidR="00224509" w:rsidRPr="0093683C" w:rsidRDefault="00ED70E2" w:rsidP="00F65BC7">
      <w:r w:rsidRPr="0093683C">
        <w:t>Across 2022</w:t>
      </w:r>
      <w:r w:rsidR="005E3EBA">
        <w:t>–</w:t>
      </w:r>
      <w:r w:rsidRPr="0093683C">
        <w:t>23 and 2023</w:t>
      </w:r>
      <w:r w:rsidR="005E3EBA">
        <w:t>–</w:t>
      </w:r>
      <w:r w:rsidRPr="0093683C">
        <w:t>24, the years when inflationary pressures are most acute</w:t>
      </w:r>
      <w:r w:rsidR="00750938" w:rsidRPr="0093683C">
        <w:t xml:space="preserve"> in the forecasts</w:t>
      </w:r>
      <w:r w:rsidRPr="0093683C">
        <w:t>,</w:t>
      </w:r>
      <w:r w:rsidR="008E1BE0" w:rsidRPr="0013146C">
        <w:t xml:space="preserve"> </w:t>
      </w:r>
      <w:r w:rsidR="00B3080F" w:rsidRPr="0093683C">
        <w:t xml:space="preserve">additional </w:t>
      </w:r>
      <w:r w:rsidR="003C7D17" w:rsidRPr="0093683C">
        <w:t xml:space="preserve">tax receipts </w:t>
      </w:r>
      <w:r w:rsidR="00CF0CAC" w:rsidRPr="0093683C">
        <w:t xml:space="preserve">have been returned to the </w:t>
      </w:r>
      <w:r w:rsidR="009F3386" w:rsidRPr="0093683C">
        <w:t xml:space="preserve">budget, </w:t>
      </w:r>
      <w:r w:rsidR="000520A3" w:rsidRPr="0093683C">
        <w:t xml:space="preserve">new </w:t>
      </w:r>
      <w:r w:rsidR="007E53BD" w:rsidRPr="0093683C">
        <w:t xml:space="preserve">policy decisions </w:t>
      </w:r>
      <w:r w:rsidR="002024D1" w:rsidRPr="0093683C">
        <w:t xml:space="preserve">have been largely </w:t>
      </w:r>
      <w:r w:rsidR="007E53BD" w:rsidRPr="0093683C">
        <w:t xml:space="preserve">offset and real growth in spending </w:t>
      </w:r>
      <w:r w:rsidR="003A328B" w:rsidRPr="0093683C">
        <w:t>declines</w:t>
      </w:r>
      <w:r w:rsidR="007E53BD" w:rsidRPr="0093683C">
        <w:t>.</w:t>
      </w:r>
      <w:r w:rsidR="008F72FE" w:rsidRPr="0093683C">
        <w:t xml:space="preserve"> This responsible approach to revenue upgrades and spending restraint means gross debt as a share of GDP remains lower than at PEFO in each year of the forward estimates</w:t>
      </w:r>
      <w:r w:rsidR="007E53BD" w:rsidRPr="0093683C">
        <w:t>.</w:t>
      </w:r>
    </w:p>
    <w:p w14:paraId="519B4DF3" w14:textId="740AAF8A" w:rsidR="00DF5B2E" w:rsidRPr="0093683C" w:rsidRDefault="008F72FE" w:rsidP="00F65BC7">
      <w:r w:rsidRPr="0093683C">
        <w:t>However</w:t>
      </w:r>
      <w:r w:rsidR="00F30F44" w:rsidRPr="0093683C">
        <w:t>,</w:t>
      </w:r>
      <w:r w:rsidR="004C1D13" w:rsidRPr="0093683C">
        <w:t xml:space="preserve"> </w:t>
      </w:r>
      <w:r w:rsidR="00E71E47" w:rsidRPr="0093683C">
        <w:t>in the final 2 years of the forward estimates</w:t>
      </w:r>
      <w:r w:rsidR="00FE73DE" w:rsidRPr="0093683C">
        <w:t>, the improvement in tax receipts</w:t>
      </w:r>
      <w:r w:rsidR="00E71E47" w:rsidRPr="0093683C">
        <w:t xml:space="preserve"> </w:t>
      </w:r>
      <w:r w:rsidR="00741E20" w:rsidRPr="0093683C">
        <w:t>is</w:t>
      </w:r>
      <w:r w:rsidR="00224509" w:rsidRPr="0093683C">
        <w:t xml:space="preserve"> not </w:t>
      </w:r>
      <w:r w:rsidR="00FA276E" w:rsidRPr="0093683C">
        <w:t xml:space="preserve">large enough to </w:t>
      </w:r>
      <w:r w:rsidR="00224509" w:rsidRPr="0093683C">
        <w:t xml:space="preserve">cover the growing spending pressures </w:t>
      </w:r>
      <w:r w:rsidR="00D15D6F" w:rsidRPr="0093683C">
        <w:t>arising from</w:t>
      </w:r>
      <w:r w:rsidR="00D15D6F" w:rsidRPr="0013146C">
        <w:t xml:space="preserve"> </w:t>
      </w:r>
      <w:r w:rsidR="004D21EA" w:rsidRPr="0093683C">
        <w:t>higher</w:t>
      </w:r>
      <w:r w:rsidR="00651547" w:rsidRPr="0093683C">
        <w:t xml:space="preserve"> </w:t>
      </w:r>
      <w:r w:rsidR="00284DEE" w:rsidRPr="0093683C">
        <w:t>prices</w:t>
      </w:r>
      <w:r w:rsidR="00651547" w:rsidRPr="0093683C">
        <w:t xml:space="preserve">, </w:t>
      </w:r>
      <w:r w:rsidR="00A200ED" w:rsidRPr="0093683C">
        <w:t>higher</w:t>
      </w:r>
      <w:r w:rsidR="00651547" w:rsidRPr="0093683C">
        <w:t xml:space="preserve"> interest rates</w:t>
      </w:r>
      <w:r w:rsidR="00FD3D93" w:rsidRPr="0093683C">
        <w:t xml:space="preserve"> and cost pressures associated with essential services</w:t>
      </w:r>
      <w:r w:rsidR="00F245C6" w:rsidRPr="0093683C">
        <w:t>.</w:t>
      </w:r>
      <w:r w:rsidR="00FD3D93" w:rsidRPr="0093683C">
        <w:t xml:space="preserve"> </w:t>
      </w:r>
    </w:p>
    <w:p w14:paraId="7A1F5655" w14:textId="26BBDDD7" w:rsidR="00E03DA2" w:rsidRPr="0093683C" w:rsidRDefault="00CA03CD" w:rsidP="00F65BC7">
      <w:r w:rsidRPr="0093683C">
        <w:t>Excluding new polic</w:t>
      </w:r>
      <w:r w:rsidR="00133595" w:rsidRPr="0093683C">
        <w:t>ies</w:t>
      </w:r>
      <w:r w:rsidRPr="0093683C">
        <w:t>, payments have been revised up by</w:t>
      </w:r>
      <w:r w:rsidR="00625B91" w:rsidRPr="0093683C">
        <w:t xml:space="preserve"> $</w:t>
      </w:r>
      <w:r w:rsidR="00F9527F" w:rsidRPr="0093683C">
        <w:t>92.2</w:t>
      </w:r>
      <w:r w:rsidR="00625B91" w:rsidRPr="0093683C">
        <w:t xml:space="preserve"> billion </w:t>
      </w:r>
      <w:r w:rsidR="00EC2139" w:rsidRPr="0093683C">
        <w:t xml:space="preserve">over the 4 years </w:t>
      </w:r>
      <w:r w:rsidR="00C8033A" w:rsidRPr="0093683C">
        <w:t>to 2025</w:t>
      </w:r>
      <w:r w:rsidR="00B9531B" w:rsidRPr="0093683C">
        <w:t>–</w:t>
      </w:r>
      <w:r w:rsidR="00C8033A" w:rsidRPr="0093683C">
        <w:t>26</w:t>
      </w:r>
      <w:r w:rsidR="00CA422B" w:rsidRPr="0093683C">
        <w:t xml:space="preserve">, the largest upgrade </w:t>
      </w:r>
      <w:r w:rsidR="003F2BEE" w:rsidRPr="0093683C">
        <w:t>on record</w:t>
      </w:r>
      <w:r w:rsidR="007400BB" w:rsidRPr="0093683C">
        <w:t>.</w:t>
      </w:r>
      <w:r w:rsidR="008E5AAE" w:rsidRPr="0093683C">
        <w:t xml:space="preserve"> </w:t>
      </w:r>
      <w:r w:rsidR="00587EBB" w:rsidRPr="0093683C">
        <w:t>Around</w:t>
      </w:r>
      <w:r w:rsidR="00F77589" w:rsidRPr="0093683C">
        <w:t xml:space="preserve"> half of the estimate variations</w:t>
      </w:r>
      <w:r w:rsidR="00F84CA5" w:rsidRPr="0093683C">
        <w:t xml:space="preserve"> </w:t>
      </w:r>
      <w:r w:rsidR="00F77589" w:rsidRPr="0093683C">
        <w:t xml:space="preserve">are </w:t>
      </w:r>
      <w:r w:rsidR="00F84CA5" w:rsidRPr="0093683C">
        <w:t>from</w:t>
      </w:r>
      <w:r w:rsidR="00F77589" w:rsidRPr="0093683C">
        <w:t xml:space="preserve"> </w:t>
      </w:r>
      <w:r w:rsidR="00C516AE" w:rsidRPr="0093683C">
        <w:t>higher</w:t>
      </w:r>
      <w:r w:rsidR="009A4216" w:rsidRPr="0093683C">
        <w:t>-than-expected price</w:t>
      </w:r>
      <w:r w:rsidR="00431911" w:rsidRPr="0093683C">
        <w:t>s</w:t>
      </w:r>
      <w:r w:rsidR="009A4216" w:rsidRPr="0093683C">
        <w:t xml:space="preserve"> and </w:t>
      </w:r>
      <w:r w:rsidR="00431911" w:rsidRPr="0093683C">
        <w:t>wages</w:t>
      </w:r>
      <w:r w:rsidR="00436979" w:rsidRPr="0093683C">
        <w:t xml:space="preserve"> </w:t>
      </w:r>
      <w:r w:rsidR="009A4216" w:rsidRPr="0093683C">
        <w:t>($34.1 billion)</w:t>
      </w:r>
      <w:r w:rsidR="00436979" w:rsidRPr="0093683C">
        <w:t xml:space="preserve"> and higher borrowing costs on A</w:t>
      </w:r>
      <w:r w:rsidR="00133B8B" w:rsidRPr="0093683C">
        <w:t xml:space="preserve">ustralian </w:t>
      </w:r>
      <w:r w:rsidR="00436979" w:rsidRPr="0093683C">
        <w:t>G</w:t>
      </w:r>
      <w:r w:rsidR="00133B8B" w:rsidRPr="0093683C">
        <w:t xml:space="preserve">overnment </w:t>
      </w:r>
      <w:r w:rsidR="00436979" w:rsidRPr="0093683C">
        <w:t>S</w:t>
      </w:r>
      <w:r w:rsidR="00133B8B" w:rsidRPr="0093683C">
        <w:t>ecurities ($12.0 billion)</w:t>
      </w:r>
      <w:r w:rsidR="006E4192" w:rsidRPr="0093683C">
        <w:t xml:space="preserve">. The </w:t>
      </w:r>
      <w:r w:rsidR="00A30FD0" w:rsidRPr="0093683C">
        <w:t>prices</w:t>
      </w:r>
      <w:r w:rsidR="00F77589" w:rsidRPr="0093683C">
        <w:t xml:space="preserve"> </w:t>
      </w:r>
      <w:r w:rsidR="00834768" w:rsidRPr="0093683C">
        <w:t>impact</w:t>
      </w:r>
      <w:r w:rsidR="0024353A" w:rsidRPr="0093683C">
        <w:t xml:space="preserve"> </w:t>
      </w:r>
      <w:r w:rsidR="006E4192" w:rsidRPr="0093683C">
        <w:t>is</w:t>
      </w:r>
      <w:r w:rsidR="00F77589" w:rsidRPr="0093683C">
        <w:t xml:space="preserve"> primarily </w:t>
      </w:r>
      <w:r w:rsidR="0024353A" w:rsidRPr="0093683C">
        <w:t xml:space="preserve">driven by </w:t>
      </w:r>
      <w:r w:rsidR="00F77589" w:rsidRPr="0093683C">
        <w:t>household payment</w:t>
      </w:r>
      <w:r w:rsidR="00D202A4" w:rsidRPr="0093683C">
        <w:t xml:space="preserve"> increases needed t</w:t>
      </w:r>
      <w:r w:rsidR="00F77589" w:rsidRPr="0093683C">
        <w:t>o ensure support keeps pace with the cost of living.</w:t>
      </w:r>
      <w:r w:rsidR="008E5AAE" w:rsidRPr="0093683C">
        <w:t xml:space="preserve"> </w:t>
      </w:r>
    </w:p>
    <w:p w14:paraId="1DC20E29" w14:textId="054EB0EC" w:rsidR="00767CE9" w:rsidRPr="0093683C" w:rsidRDefault="001012B9" w:rsidP="00767CE9">
      <w:r w:rsidRPr="0093683C">
        <w:t xml:space="preserve">The Government </w:t>
      </w:r>
      <w:r w:rsidR="000812A3" w:rsidRPr="0093683C">
        <w:t xml:space="preserve">has </w:t>
      </w:r>
      <w:r w:rsidRPr="0093683C">
        <w:t>also</w:t>
      </w:r>
      <w:r w:rsidR="000812A3" w:rsidRPr="0093683C">
        <w:t xml:space="preserve"> need</w:t>
      </w:r>
      <w:r w:rsidRPr="0093683C">
        <w:t>ed</w:t>
      </w:r>
      <w:r w:rsidR="000812A3" w:rsidRPr="0093683C">
        <w:t xml:space="preserve"> to </w:t>
      </w:r>
      <w:r w:rsidR="00516367" w:rsidRPr="0093683C">
        <w:t xml:space="preserve">provide </w:t>
      </w:r>
      <w:r w:rsidR="002D4FDE" w:rsidRPr="0093683C">
        <w:t>$24.4 </w:t>
      </w:r>
      <w:r w:rsidR="00EB290F" w:rsidRPr="0093683C">
        <w:t>billion in</w:t>
      </w:r>
      <w:r w:rsidR="000812A3" w:rsidRPr="0093683C">
        <w:t xml:space="preserve"> </w:t>
      </w:r>
      <w:r w:rsidR="007E5672" w:rsidRPr="0093683C">
        <w:t>additional</w:t>
      </w:r>
      <w:r w:rsidR="004A0B67" w:rsidRPr="0093683C">
        <w:t xml:space="preserve"> spending </w:t>
      </w:r>
      <w:r w:rsidR="00F804C5" w:rsidRPr="0093683C">
        <w:t>for floods and the pandemic</w:t>
      </w:r>
      <w:r w:rsidR="00301D81" w:rsidRPr="0093683C">
        <w:t xml:space="preserve">, </w:t>
      </w:r>
      <w:r w:rsidR="007E5672" w:rsidRPr="0093683C">
        <w:t xml:space="preserve">to </w:t>
      </w:r>
      <w:r w:rsidR="00301D81" w:rsidRPr="0093683C">
        <w:t xml:space="preserve">address legacy issues </w:t>
      </w:r>
      <w:r w:rsidR="0008263E" w:rsidRPr="0093683C">
        <w:t>left behind</w:t>
      </w:r>
      <w:r w:rsidR="00A856A0" w:rsidRPr="0093683C">
        <w:t xml:space="preserve"> by the former government, and fund delayed payments </w:t>
      </w:r>
      <w:r w:rsidR="008B794D" w:rsidRPr="0093683C">
        <w:t>from 2021</w:t>
      </w:r>
      <w:r w:rsidR="00B9531B" w:rsidRPr="0093683C">
        <w:t>–</w:t>
      </w:r>
      <w:r w:rsidR="008B794D" w:rsidRPr="0093683C">
        <w:t xml:space="preserve">22 </w:t>
      </w:r>
      <w:r w:rsidR="002F1840" w:rsidRPr="0093683C">
        <w:t xml:space="preserve">that have spilled over </w:t>
      </w:r>
      <w:r w:rsidR="003148B2" w:rsidRPr="0093683C">
        <w:t>to 2022</w:t>
      </w:r>
      <w:r w:rsidR="00B9531B" w:rsidRPr="0093683C">
        <w:t>–</w:t>
      </w:r>
      <w:r w:rsidR="003148B2" w:rsidRPr="0093683C">
        <w:t xml:space="preserve">23 and </w:t>
      </w:r>
      <w:r w:rsidR="00800A90" w:rsidRPr="0093683C">
        <w:t>later</w:t>
      </w:r>
      <w:r w:rsidR="00597570" w:rsidRPr="0093683C">
        <w:t xml:space="preserve"> years</w:t>
      </w:r>
      <w:r w:rsidR="00DC258B" w:rsidRPr="0093683C">
        <w:t xml:space="preserve">. </w:t>
      </w:r>
    </w:p>
    <w:p w14:paraId="38A5EE5F" w14:textId="45658E1F" w:rsidR="00767CE9" w:rsidRPr="0093683C" w:rsidRDefault="003D6A0D" w:rsidP="00767CE9">
      <w:pPr>
        <w:rPr>
          <w:sz w:val="22"/>
        </w:rPr>
      </w:pPr>
      <w:r w:rsidRPr="0093683C">
        <w:t xml:space="preserve">The Government’s responsible approach </w:t>
      </w:r>
      <w:r w:rsidR="00E17862" w:rsidRPr="0093683C">
        <w:t xml:space="preserve">will keep debt lower that at PEFO </w:t>
      </w:r>
      <w:r w:rsidR="007E2707" w:rsidRPr="0093683C">
        <w:t xml:space="preserve">in each year </w:t>
      </w:r>
      <w:r w:rsidR="00E17862" w:rsidRPr="0093683C">
        <w:t>across the forward</w:t>
      </w:r>
      <w:r w:rsidR="003C21AB" w:rsidRPr="0093683C">
        <w:t xml:space="preserve"> e</w:t>
      </w:r>
      <w:r w:rsidR="00E17862" w:rsidRPr="0093683C">
        <w:t>s</w:t>
      </w:r>
      <w:r w:rsidR="003C21AB" w:rsidRPr="0093683C">
        <w:t>timates</w:t>
      </w:r>
      <w:r w:rsidR="00E17862" w:rsidRPr="0093683C">
        <w:t xml:space="preserve">. </w:t>
      </w:r>
      <w:r w:rsidR="006717FB" w:rsidRPr="0093683C">
        <w:t xml:space="preserve">However, </w:t>
      </w:r>
      <w:r w:rsidR="00947957" w:rsidRPr="0093683C">
        <w:t>g</w:t>
      </w:r>
      <w:r w:rsidR="00BF64E5" w:rsidRPr="0093683C">
        <w:t>ross debt</w:t>
      </w:r>
      <w:r w:rsidR="006F2266" w:rsidRPr="0093683C">
        <w:t xml:space="preserve"> </w:t>
      </w:r>
      <w:r w:rsidR="006717FB" w:rsidRPr="0093683C">
        <w:t>to GDP rises</w:t>
      </w:r>
      <w:r w:rsidR="00767CE9" w:rsidRPr="0093683C">
        <w:t xml:space="preserve"> over the medium</w:t>
      </w:r>
      <w:r w:rsidR="00F0605C" w:rsidRPr="0093683C">
        <w:t xml:space="preserve"> </w:t>
      </w:r>
      <w:r w:rsidR="00767CE9" w:rsidRPr="0093683C">
        <w:t>term</w:t>
      </w:r>
      <w:r w:rsidR="00947957" w:rsidRPr="0093683C">
        <w:t xml:space="preserve"> </w:t>
      </w:r>
      <w:r w:rsidR="00767CE9" w:rsidRPr="0093683C">
        <w:t xml:space="preserve">driven by higher borrowing costs, the use of a lower and more realistic productivity growth assumption, and an upward revision in the estimated costs of delivering the NDIS. </w:t>
      </w:r>
    </w:p>
    <w:p w14:paraId="50B6842F" w14:textId="0CBD5BA3" w:rsidR="00F65BC7" w:rsidRPr="0093683C" w:rsidRDefault="00AA4492" w:rsidP="00F65BC7">
      <w:r w:rsidRPr="0093683C">
        <w:t>If</w:t>
      </w:r>
      <w:r w:rsidR="00F7726D" w:rsidRPr="0093683C">
        <w:t xml:space="preserve"> </w:t>
      </w:r>
      <w:r w:rsidR="004319F9" w:rsidRPr="0093683C">
        <w:t xml:space="preserve">PEFO </w:t>
      </w:r>
      <w:r w:rsidR="00C7323E" w:rsidRPr="0093683C">
        <w:t>had</w:t>
      </w:r>
      <w:r w:rsidR="004319F9" w:rsidRPr="0093683C">
        <w:t xml:space="preserve"> </w:t>
      </w:r>
      <w:r w:rsidR="009F786D" w:rsidRPr="0093683C">
        <w:t>incorporated</w:t>
      </w:r>
      <w:r w:rsidR="004319F9" w:rsidRPr="0093683C">
        <w:t xml:space="preserve"> </w:t>
      </w:r>
      <w:r w:rsidR="00FE38E4" w:rsidRPr="0093683C">
        <w:t xml:space="preserve">the </w:t>
      </w:r>
      <w:r w:rsidR="001024AF" w:rsidRPr="0093683C">
        <w:t xml:space="preserve">current </w:t>
      </w:r>
      <w:r w:rsidR="0010290E" w:rsidRPr="0093683C">
        <w:t xml:space="preserve">higher interest rates, lower productivity </w:t>
      </w:r>
      <w:r w:rsidR="002B5993" w:rsidRPr="0093683C">
        <w:t>growth</w:t>
      </w:r>
      <w:r w:rsidR="0010290E" w:rsidRPr="0093683C">
        <w:t xml:space="preserve"> </w:t>
      </w:r>
      <w:r w:rsidR="005058BD" w:rsidRPr="0093683C">
        <w:t>assumption</w:t>
      </w:r>
      <w:r w:rsidR="0010290E" w:rsidRPr="0093683C">
        <w:t xml:space="preserve"> and </w:t>
      </w:r>
      <w:r w:rsidR="009E2B48" w:rsidRPr="0093683C">
        <w:t xml:space="preserve">higher NDIS cost estimates, </w:t>
      </w:r>
      <w:r w:rsidR="00C7323E" w:rsidRPr="0093683C">
        <w:t xml:space="preserve">then </w:t>
      </w:r>
      <w:r w:rsidR="003D008C" w:rsidRPr="0093683C">
        <w:t xml:space="preserve">gross debt </w:t>
      </w:r>
      <w:r w:rsidR="00A75AFF" w:rsidRPr="0093683C">
        <w:t xml:space="preserve">would have been </w:t>
      </w:r>
      <w:r w:rsidR="0004110B" w:rsidRPr="0093683C">
        <w:t>49.</w:t>
      </w:r>
      <w:r w:rsidR="003244F4" w:rsidRPr="0093683C">
        <w:t>2</w:t>
      </w:r>
      <w:r w:rsidR="0004110B" w:rsidRPr="0093683C">
        <w:t xml:space="preserve"> per cent</w:t>
      </w:r>
      <w:r w:rsidR="005909AC" w:rsidRPr="0093683C">
        <w:t xml:space="preserve"> of GDP</w:t>
      </w:r>
      <w:r w:rsidR="00C7323E" w:rsidRPr="0093683C">
        <w:t xml:space="preserve"> in 2032</w:t>
      </w:r>
      <w:r w:rsidR="005E3EBA">
        <w:t>–</w:t>
      </w:r>
      <w:r w:rsidR="00C7323E" w:rsidRPr="0093683C">
        <w:t>33</w:t>
      </w:r>
      <w:r w:rsidR="00A41F9A" w:rsidRPr="0093683C">
        <w:t xml:space="preserve">, </w:t>
      </w:r>
      <w:r w:rsidR="00410F5D" w:rsidRPr="0093683C">
        <w:t>which is</w:t>
      </w:r>
      <w:r w:rsidR="00A41F9A" w:rsidRPr="0093683C">
        <w:t xml:space="preserve"> </w:t>
      </w:r>
      <w:r w:rsidR="00A64D98" w:rsidRPr="0093683C">
        <w:t>8.</w:t>
      </w:r>
      <w:r w:rsidR="003244F4" w:rsidRPr="0093683C">
        <w:t>9</w:t>
      </w:r>
      <w:r w:rsidR="00BE0839" w:rsidRPr="0093683C">
        <w:t> </w:t>
      </w:r>
      <w:r w:rsidR="00A75AFF" w:rsidRPr="0093683C">
        <w:t>percentage</w:t>
      </w:r>
      <w:r w:rsidR="00BE0839" w:rsidRPr="0093683C">
        <w:t> </w:t>
      </w:r>
      <w:r w:rsidR="00A75AFF" w:rsidRPr="0093683C">
        <w:t xml:space="preserve">points of GDP </w:t>
      </w:r>
      <w:r w:rsidR="0004110B" w:rsidRPr="0093683C">
        <w:t>higher</w:t>
      </w:r>
      <w:r w:rsidR="003D008C" w:rsidRPr="0093683C">
        <w:t xml:space="preserve"> </w:t>
      </w:r>
      <w:r w:rsidR="0012250C" w:rsidRPr="0093683C">
        <w:t xml:space="preserve">than </w:t>
      </w:r>
      <w:r w:rsidR="00C9407B" w:rsidRPr="0093683C">
        <w:t>at PEFO, and higher than in this Budget</w:t>
      </w:r>
      <w:r w:rsidR="00143741" w:rsidRPr="0093683C" w:rsidDel="00B738B8">
        <w:t>.</w:t>
      </w:r>
      <w:r w:rsidR="001F474E" w:rsidRPr="0093683C">
        <w:t xml:space="preserve"> </w:t>
      </w:r>
    </w:p>
    <w:p w14:paraId="2F9539D5" w14:textId="39C1DA20" w:rsidR="00A85673" w:rsidRPr="00F36ADA" w:rsidRDefault="00A85673">
      <w:pPr>
        <w:spacing w:before="0" w:after="160" w:line="259" w:lineRule="auto"/>
        <w:rPr>
          <w:color w:val="FF0000"/>
        </w:rPr>
      </w:pPr>
      <w:r w:rsidRPr="00F36ADA">
        <w:rPr>
          <w:color w:val="FF0000"/>
        </w:rPr>
        <w:br w:type="page"/>
      </w:r>
    </w:p>
    <w:p w14:paraId="0AD85BF3" w14:textId="32F9F1E6" w:rsidR="009D6D26" w:rsidRPr="0093683C" w:rsidRDefault="00942819" w:rsidP="00C84888">
      <w:pPr>
        <w:keepNext/>
      </w:pPr>
      <w:r w:rsidRPr="0093683C" w:rsidDel="00205F1C">
        <w:lastRenderedPageBreak/>
        <w:t xml:space="preserve">Table 3.1 presents estimates and projections of the key </w:t>
      </w:r>
      <w:r w:rsidR="00153620" w:rsidRPr="0093683C">
        <w:t>b</w:t>
      </w:r>
      <w:r w:rsidRPr="0093683C" w:rsidDel="00205F1C">
        <w:t>udget aggregates</w:t>
      </w:r>
      <w:r w:rsidRPr="0093683C" w:rsidDel="007164EA">
        <w:t xml:space="preserve"> </w:t>
      </w:r>
      <w:r w:rsidRPr="0093683C" w:rsidDel="00205F1C">
        <w:t>in this Statement</w:t>
      </w:r>
      <w:r w:rsidR="00CC0A8C" w:rsidRPr="0093683C">
        <w:t>.</w:t>
      </w:r>
    </w:p>
    <w:p w14:paraId="1B5E1BF3" w14:textId="0F14FB50" w:rsidR="001A2DA9" w:rsidRDefault="009D6D26" w:rsidP="00E25355">
      <w:pPr>
        <w:pStyle w:val="TableHeading"/>
        <w:rPr>
          <w:rFonts w:asciiTheme="minorHAnsi" w:eastAsiaTheme="minorHAnsi" w:hAnsiTheme="minorHAnsi" w:cstheme="minorBidi"/>
          <w:sz w:val="22"/>
          <w:szCs w:val="22"/>
          <w:lang w:eastAsia="en-US"/>
        </w:rPr>
      </w:pPr>
      <w:r w:rsidRPr="0093683C">
        <w:t>Table 3.1: Australian Government general government sector budget aggregate</w:t>
      </w:r>
      <w:r w:rsidR="00FC1965" w:rsidRPr="0093683C">
        <w:t>s</w:t>
      </w:r>
    </w:p>
    <w:tbl>
      <w:tblPr>
        <w:tblW w:w="5000" w:type="pct"/>
        <w:tblCellMar>
          <w:left w:w="0" w:type="dxa"/>
          <w:right w:w="28" w:type="dxa"/>
        </w:tblCellMar>
        <w:tblLook w:val="04A0" w:firstRow="1" w:lastRow="0" w:firstColumn="1" w:lastColumn="0" w:noHBand="0" w:noVBand="1"/>
        <w:tblCaption w:val="Table"/>
      </w:tblPr>
      <w:tblGrid>
        <w:gridCol w:w="2356"/>
        <w:gridCol w:w="703"/>
        <w:gridCol w:w="104"/>
        <w:gridCol w:w="689"/>
        <w:gridCol w:w="689"/>
        <w:gridCol w:w="689"/>
        <w:gridCol w:w="692"/>
        <w:gridCol w:w="103"/>
        <w:gridCol w:w="702"/>
        <w:gridCol w:w="123"/>
        <w:gridCol w:w="860"/>
      </w:tblGrid>
      <w:tr w:rsidR="001A2DA9" w:rsidRPr="001A2DA9" w14:paraId="33302EE0" w14:textId="77777777" w:rsidTr="000528CD">
        <w:trPr>
          <w:trHeight w:hRule="exact" w:val="225"/>
        </w:trPr>
        <w:tc>
          <w:tcPr>
            <w:tcW w:w="1527" w:type="pct"/>
            <w:tcBorders>
              <w:top w:val="single" w:sz="4" w:space="0" w:color="293F5B"/>
              <w:left w:val="nil"/>
              <w:bottom w:val="nil"/>
              <w:right w:val="nil"/>
            </w:tcBorders>
            <w:shd w:val="clear" w:color="000000" w:fill="FFFFFF"/>
            <w:noWrap/>
            <w:vAlign w:val="center"/>
            <w:hideMark/>
          </w:tcPr>
          <w:p w14:paraId="74263934" w14:textId="5442A26D" w:rsidR="001A2DA9" w:rsidRPr="001A2DA9" w:rsidRDefault="001A2DA9">
            <w:pPr>
              <w:rPr>
                <w:rFonts w:ascii="Arial" w:hAnsi="Arial" w:cs="Arial"/>
                <w:color w:val="000000"/>
                <w:sz w:val="16"/>
                <w:szCs w:val="16"/>
              </w:rPr>
            </w:pPr>
            <w:r w:rsidRPr="001A2DA9">
              <w:rPr>
                <w:rFonts w:ascii="Arial" w:hAnsi="Arial" w:cs="Arial"/>
                <w:color w:val="000000"/>
                <w:sz w:val="16"/>
                <w:szCs w:val="16"/>
              </w:rPr>
              <w:t> </w:t>
            </w:r>
          </w:p>
        </w:tc>
        <w:tc>
          <w:tcPr>
            <w:tcW w:w="455" w:type="pct"/>
            <w:tcBorders>
              <w:top w:val="single" w:sz="4" w:space="0" w:color="293F5B"/>
              <w:left w:val="nil"/>
              <w:bottom w:val="single" w:sz="4" w:space="0" w:color="000000"/>
              <w:right w:val="nil"/>
            </w:tcBorders>
            <w:shd w:val="clear" w:color="000000" w:fill="FFFFFF"/>
            <w:noWrap/>
            <w:vAlign w:val="center"/>
            <w:hideMark/>
          </w:tcPr>
          <w:p w14:paraId="796D6ABC" w14:textId="77777777" w:rsidR="001A2DA9" w:rsidRPr="001A2DA9" w:rsidRDefault="001A2DA9" w:rsidP="001A2DA9">
            <w:pPr>
              <w:spacing w:before="0" w:after="0" w:line="240" w:lineRule="auto"/>
              <w:jc w:val="center"/>
              <w:rPr>
                <w:rFonts w:ascii="Arial" w:hAnsi="Arial" w:cs="Arial"/>
                <w:sz w:val="16"/>
                <w:szCs w:val="16"/>
              </w:rPr>
            </w:pPr>
            <w:r w:rsidRPr="001A2DA9">
              <w:rPr>
                <w:rFonts w:ascii="Arial" w:hAnsi="Arial" w:cs="Arial"/>
                <w:sz w:val="16"/>
                <w:szCs w:val="16"/>
              </w:rPr>
              <w:t>Actual</w:t>
            </w:r>
          </w:p>
        </w:tc>
        <w:tc>
          <w:tcPr>
            <w:tcW w:w="67" w:type="pct"/>
            <w:tcBorders>
              <w:top w:val="single" w:sz="4" w:space="0" w:color="293F5B"/>
              <w:left w:val="nil"/>
              <w:bottom w:val="nil"/>
              <w:right w:val="nil"/>
            </w:tcBorders>
            <w:shd w:val="clear" w:color="000000" w:fill="FFFFFF"/>
            <w:noWrap/>
            <w:vAlign w:val="center"/>
            <w:hideMark/>
          </w:tcPr>
          <w:p w14:paraId="75A4AF65" w14:textId="77777777" w:rsidR="001A2DA9" w:rsidRPr="001A2DA9" w:rsidRDefault="001A2DA9" w:rsidP="001A2DA9">
            <w:pPr>
              <w:spacing w:before="0" w:after="0" w:line="240" w:lineRule="auto"/>
              <w:jc w:val="center"/>
              <w:rPr>
                <w:rFonts w:ascii="Arial" w:hAnsi="Arial" w:cs="Arial"/>
                <w:color w:val="000000"/>
                <w:sz w:val="16"/>
                <w:szCs w:val="16"/>
              </w:rPr>
            </w:pPr>
            <w:r w:rsidRPr="001A2DA9">
              <w:rPr>
                <w:rFonts w:ascii="Arial" w:hAnsi="Arial" w:cs="Arial"/>
                <w:color w:val="000000"/>
                <w:sz w:val="16"/>
                <w:szCs w:val="16"/>
              </w:rPr>
              <w:t> </w:t>
            </w:r>
          </w:p>
        </w:tc>
        <w:tc>
          <w:tcPr>
            <w:tcW w:w="1790" w:type="pct"/>
            <w:gridSpan w:val="4"/>
            <w:tcBorders>
              <w:top w:val="single" w:sz="4" w:space="0" w:color="293F5B"/>
              <w:left w:val="nil"/>
              <w:bottom w:val="single" w:sz="4" w:space="0" w:color="auto"/>
              <w:right w:val="nil"/>
            </w:tcBorders>
            <w:shd w:val="clear" w:color="000000" w:fill="FFFFFF"/>
            <w:noWrap/>
            <w:vAlign w:val="center"/>
            <w:hideMark/>
          </w:tcPr>
          <w:p w14:paraId="49E9B4B2" w14:textId="77777777" w:rsidR="001A2DA9" w:rsidRPr="001A2DA9" w:rsidRDefault="001A2DA9" w:rsidP="001A2DA9">
            <w:pPr>
              <w:spacing w:before="0" w:after="0" w:line="240" w:lineRule="auto"/>
              <w:jc w:val="center"/>
              <w:rPr>
                <w:rFonts w:ascii="Arial" w:hAnsi="Arial" w:cs="Arial"/>
                <w:color w:val="000000"/>
                <w:sz w:val="16"/>
                <w:szCs w:val="16"/>
              </w:rPr>
            </w:pPr>
            <w:r w:rsidRPr="001A2DA9">
              <w:rPr>
                <w:rFonts w:ascii="Arial" w:hAnsi="Arial" w:cs="Arial"/>
                <w:color w:val="000000"/>
                <w:sz w:val="16"/>
                <w:szCs w:val="16"/>
              </w:rPr>
              <w:t>Estimates</w:t>
            </w:r>
          </w:p>
        </w:tc>
        <w:tc>
          <w:tcPr>
            <w:tcW w:w="67" w:type="pct"/>
            <w:tcBorders>
              <w:top w:val="single" w:sz="4" w:space="0" w:color="293F5B"/>
              <w:left w:val="nil"/>
              <w:bottom w:val="nil"/>
              <w:right w:val="nil"/>
            </w:tcBorders>
            <w:shd w:val="clear" w:color="000000" w:fill="FFFFFF"/>
            <w:noWrap/>
            <w:vAlign w:val="center"/>
            <w:hideMark/>
          </w:tcPr>
          <w:p w14:paraId="25C5E602"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single" w:sz="4" w:space="0" w:color="293F5B"/>
              <w:left w:val="nil"/>
              <w:bottom w:val="single" w:sz="4" w:space="0" w:color="auto"/>
              <w:right w:val="nil"/>
            </w:tcBorders>
            <w:shd w:val="clear" w:color="000000" w:fill="FFFFFF"/>
            <w:noWrap/>
            <w:vAlign w:val="center"/>
            <w:hideMark/>
          </w:tcPr>
          <w:p w14:paraId="3415B04C"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80" w:type="pct"/>
            <w:tcBorders>
              <w:top w:val="single" w:sz="4" w:space="0" w:color="293F5B"/>
              <w:left w:val="nil"/>
              <w:bottom w:val="nil"/>
              <w:right w:val="nil"/>
            </w:tcBorders>
            <w:shd w:val="clear" w:color="000000" w:fill="FFFFFF"/>
            <w:noWrap/>
            <w:vAlign w:val="center"/>
            <w:hideMark/>
          </w:tcPr>
          <w:p w14:paraId="3F1917B8"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558" w:type="pct"/>
            <w:tcBorders>
              <w:top w:val="single" w:sz="4" w:space="0" w:color="293F5B"/>
              <w:left w:val="nil"/>
              <w:bottom w:val="nil"/>
              <w:right w:val="nil"/>
            </w:tcBorders>
            <w:shd w:val="clear" w:color="000000" w:fill="FFFFFF"/>
            <w:noWrap/>
            <w:vAlign w:val="center"/>
            <w:hideMark/>
          </w:tcPr>
          <w:p w14:paraId="40AFCBF4"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Projections</w:t>
            </w:r>
          </w:p>
        </w:tc>
      </w:tr>
      <w:tr w:rsidR="001A2DA9" w:rsidRPr="001A2DA9" w14:paraId="09EAD481"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5A831C0B"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72D7B59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2021-22</w:t>
            </w:r>
          </w:p>
        </w:tc>
        <w:tc>
          <w:tcPr>
            <w:tcW w:w="67" w:type="pct"/>
            <w:tcBorders>
              <w:top w:val="nil"/>
              <w:left w:val="nil"/>
              <w:bottom w:val="nil"/>
              <w:right w:val="nil"/>
            </w:tcBorders>
            <w:shd w:val="clear" w:color="000000" w:fill="FFFFFF"/>
            <w:noWrap/>
            <w:vAlign w:val="center"/>
            <w:hideMark/>
          </w:tcPr>
          <w:p w14:paraId="585DB19A"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single" w:sz="4" w:space="0" w:color="000000"/>
              <w:left w:val="nil"/>
              <w:bottom w:val="nil"/>
              <w:right w:val="nil"/>
            </w:tcBorders>
            <w:shd w:val="clear" w:color="000000" w:fill="E6F2FF"/>
            <w:noWrap/>
            <w:vAlign w:val="center"/>
            <w:hideMark/>
          </w:tcPr>
          <w:p w14:paraId="1D733BB0"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2022-23</w:t>
            </w:r>
          </w:p>
        </w:tc>
        <w:tc>
          <w:tcPr>
            <w:tcW w:w="447" w:type="pct"/>
            <w:tcBorders>
              <w:top w:val="nil"/>
              <w:left w:val="nil"/>
              <w:bottom w:val="nil"/>
              <w:right w:val="nil"/>
            </w:tcBorders>
            <w:shd w:val="clear" w:color="000000" w:fill="FFFFFF"/>
            <w:noWrap/>
            <w:vAlign w:val="center"/>
            <w:hideMark/>
          </w:tcPr>
          <w:p w14:paraId="68C58123"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2023-24</w:t>
            </w:r>
          </w:p>
        </w:tc>
        <w:tc>
          <w:tcPr>
            <w:tcW w:w="447" w:type="pct"/>
            <w:tcBorders>
              <w:top w:val="nil"/>
              <w:left w:val="nil"/>
              <w:bottom w:val="nil"/>
              <w:right w:val="nil"/>
            </w:tcBorders>
            <w:shd w:val="clear" w:color="000000" w:fill="FFFFFF"/>
            <w:noWrap/>
            <w:vAlign w:val="center"/>
            <w:hideMark/>
          </w:tcPr>
          <w:p w14:paraId="7BF81060"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2024-25</w:t>
            </w:r>
          </w:p>
        </w:tc>
        <w:tc>
          <w:tcPr>
            <w:tcW w:w="447" w:type="pct"/>
            <w:tcBorders>
              <w:top w:val="nil"/>
              <w:left w:val="nil"/>
              <w:bottom w:val="nil"/>
              <w:right w:val="nil"/>
            </w:tcBorders>
            <w:shd w:val="clear" w:color="000000" w:fill="FFFFFF"/>
            <w:noWrap/>
            <w:vAlign w:val="center"/>
            <w:hideMark/>
          </w:tcPr>
          <w:p w14:paraId="76992BF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2025-26</w:t>
            </w:r>
          </w:p>
        </w:tc>
        <w:tc>
          <w:tcPr>
            <w:tcW w:w="67" w:type="pct"/>
            <w:tcBorders>
              <w:top w:val="nil"/>
              <w:left w:val="nil"/>
              <w:bottom w:val="nil"/>
              <w:right w:val="nil"/>
            </w:tcBorders>
            <w:shd w:val="clear" w:color="000000" w:fill="FFFFFF"/>
            <w:noWrap/>
            <w:vAlign w:val="center"/>
            <w:hideMark/>
          </w:tcPr>
          <w:p w14:paraId="6D38443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55" w:type="pct"/>
            <w:tcBorders>
              <w:top w:val="single" w:sz="4" w:space="0" w:color="auto"/>
              <w:left w:val="nil"/>
              <w:bottom w:val="nil"/>
              <w:right w:val="nil"/>
            </w:tcBorders>
            <w:shd w:val="clear" w:color="000000" w:fill="FFFFFF"/>
            <w:noWrap/>
            <w:vAlign w:val="center"/>
            <w:hideMark/>
          </w:tcPr>
          <w:p w14:paraId="229E200A"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Total(a)</w:t>
            </w:r>
          </w:p>
        </w:tc>
        <w:tc>
          <w:tcPr>
            <w:tcW w:w="80" w:type="pct"/>
            <w:tcBorders>
              <w:top w:val="nil"/>
              <w:left w:val="nil"/>
              <w:bottom w:val="nil"/>
              <w:right w:val="nil"/>
            </w:tcBorders>
            <w:shd w:val="clear" w:color="000000" w:fill="FFFFFF"/>
            <w:noWrap/>
            <w:vAlign w:val="center"/>
            <w:hideMark/>
          </w:tcPr>
          <w:p w14:paraId="273FF7AD"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single" w:sz="4" w:space="0" w:color="auto"/>
              <w:left w:val="nil"/>
              <w:bottom w:val="nil"/>
              <w:right w:val="nil"/>
            </w:tcBorders>
            <w:shd w:val="clear" w:color="000000" w:fill="FFFFFF"/>
            <w:noWrap/>
            <w:vAlign w:val="center"/>
            <w:hideMark/>
          </w:tcPr>
          <w:p w14:paraId="5C0D6BBB"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2032-33</w:t>
            </w:r>
          </w:p>
        </w:tc>
      </w:tr>
      <w:tr w:rsidR="001A2DA9" w:rsidRPr="001A2DA9" w14:paraId="5DA22944"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10E71E1A"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single" w:sz="4" w:space="0" w:color="000000"/>
              <w:right w:val="nil"/>
            </w:tcBorders>
            <w:shd w:val="clear" w:color="000000" w:fill="FFFFFF"/>
            <w:noWrap/>
            <w:vAlign w:val="center"/>
            <w:hideMark/>
          </w:tcPr>
          <w:p w14:paraId="0D7A78A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$b</w:t>
            </w:r>
          </w:p>
        </w:tc>
        <w:tc>
          <w:tcPr>
            <w:tcW w:w="67" w:type="pct"/>
            <w:tcBorders>
              <w:top w:val="nil"/>
              <w:left w:val="nil"/>
              <w:bottom w:val="nil"/>
              <w:right w:val="nil"/>
            </w:tcBorders>
            <w:shd w:val="clear" w:color="000000" w:fill="FFFFFF"/>
            <w:noWrap/>
            <w:vAlign w:val="center"/>
            <w:hideMark/>
          </w:tcPr>
          <w:p w14:paraId="2E72804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79AFB15A"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$b</w:t>
            </w:r>
          </w:p>
        </w:tc>
        <w:tc>
          <w:tcPr>
            <w:tcW w:w="447" w:type="pct"/>
            <w:tcBorders>
              <w:top w:val="nil"/>
              <w:left w:val="nil"/>
              <w:bottom w:val="single" w:sz="4" w:space="0" w:color="000000"/>
              <w:right w:val="nil"/>
            </w:tcBorders>
            <w:shd w:val="clear" w:color="000000" w:fill="FFFFFF"/>
            <w:noWrap/>
            <w:vAlign w:val="center"/>
            <w:hideMark/>
          </w:tcPr>
          <w:p w14:paraId="6433C52D"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$b</w:t>
            </w:r>
          </w:p>
        </w:tc>
        <w:tc>
          <w:tcPr>
            <w:tcW w:w="447" w:type="pct"/>
            <w:tcBorders>
              <w:top w:val="nil"/>
              <w:left w:val="nil"/>
              <w:bottom w:val="single" w:sz="4" w:space="0" w:color="000000"/>
              <w:right w:val="nil"/>
            </w:tcBorders>
            <w:shd w:val="clear" w:color="000000" w:fill="FFFFFF"/>
            <w:noWrap/>
            <w:vAlign w:val="center"/>
            <w:hideMark/>
          </w:tcPr>
          <w:p w14:paraId="31203660"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$b</w:t>
            </w:r>
          </w:p>
        </w:tc>
        <w:tc>
          <w:tcPr>
            <w:tcW w:w="447" w:type="pct"/>
            <w:tcBorders>
              <w:top w:val="nil"/>
              <w:left w:val="nil"/>
              <w:bottom w:val="single" w:sz="4" w:space="0" w:color="000000"/>
              <w:right w:val="nil"/>
            </w:tcBorders>
            <w:shd w:val="clear" w:color="000000" w:fill="FFFFFF"/>
            <w:noWrap/>
            <w:vAlign w:val="center"/>
            <w:hideMark/>
          </w:tcPr>
          <w:p w14:paraId="3BD2D15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$b</w:t>
            </w:r>
          </w:p>
        </w:tc>
        <w:tc>
          <w:tcPr>
            <w:tcW w:w="67" w:type="pct"/>
            <w:tcBorders>
              <w:top w:val="nil"/>
              <w:left w:val="nil"/>
              <w:bottom w:val="nil"/>
              <w:right w:val="nil"/>
            </w:tcBorders>
            <w:shd w:val="clear" w:color="000000" w:fill="FFFFFF"/>
            <w:noWrap/>
            <w:vAlign w:val="center"/>
            <w:hideMark/>
          </w:tcPr>
          <w:p w14:paraId="21B62052"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single" w:sz="4" w:space="0" w:color="000000"/>
              <w:right w:val="nil"/>
            </w:tcBorders>
            <w:shd w:val="clear" w:color="000000" w:fill="FFFFFF"/>
            <w:noWrap/>
            <w:vAlign w:val="center"/>
            <w:hideMark/>
          </w:tcPr>
          <w:p w14:paraId="6302AD3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$b</w:t>
            </w:r>
          </w:p>
        </w:tc>
        <w:tc>
          <w:tcPr>
            <w:tcW w:w="80" w:type="pct"/>
            <w:tcBorders>
              <w:top w:val="nil"/>
              <w:left w:val="nil"/>
              <w:bottom w:val="nil"/>
              <w:right w:val="nil"/>
            </w:tcBorders>
            <w:shd w:val="clear" w:color="000000" w:fill="FFFFFF"/>
            <w:noWrap/>
            <w:vAlign w:val="center"/>
            <w:hideMark/>
          </w:tcPr>
          <w:p w14:paraId="78BC4FD3"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single" w:sz="4" w:space="0" w:color="000000"/>
              <w:right w:val="nil"/>
            </w:tcBorders>
            <w:shd w:val="clear" w:color="000000" w:fill="FFFFFF"/>
            <w:noWrap/>
            <w:vAlign w:val="center"/>
            <w:hideMark/>
          </w:tcPr>
          <w:p w14:paraId="6B4F55F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xml:space="preserve">% </w:t>
            </w:r>
            <w:proofErr w:type="gramStart"/>
            <w:r w:rsidRPr="001A2DA9">
              <w:rPr>
                <w:rFonts w:ascii="Arial" w:hAnsi="Arial" w:cs="Arial"/>
                <w:color w:val="000000"/>
                <w:sz w:val="16"/>
                <w:szCs w:val="16"/>
              </w:rPr>
              <w:t>of</w:t>
            </w:r>
            <w:proofErr w:type="gramEnd"/>
            <w:r w:rsidRPr="001A2DA9">
              <w:rPr>
                <w:rFonts w:ascii="Arial" w:hAnsi="Arial" w:cs="Arial"/>
                <w:color w:val="000000"/>
                <w:sz w:val="16"/>
                <w:szCs w:val="16"/>
              </w:rPr>
              <w:t xml:space="preserve"> GDP</w:t>
            </w:r>
          </w:p>
        </w:tc>
      </w:tr>
      <w:tr w:rsidR="001A2DA9" w:rsidRPr="001A2DA9" w14:paraId="39B296E7"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311600A1" w14:textId="77777777" w:rsidR="001A2DA9" w:rsidRPr="001A2DA9" w:rsidRDefault="001A2DA9" w:rsidP="001A2DA9">
            <w:pPr>
              <w:spacing w:before="0" w:after="0" w:line="240" w:lineRule="auto"/>
              <w:rPr>
                <w:rFonts w:ascii="Arial" w:hAnsi="Arial" w:cs="Arial"/>
                <w:b/>
                <w:bCs/>
                <w:sz w:val="16"/>
                <w:szCs w:val="16"/>
              </w:rPr>
            </w:pPr>
            <w:r w:rsidRPr="001A2DA9">
              <w:rPr>
                <w:rFonts w:ascii="Arial" w:hAnsi="Arial" w:cs="Arial"/>
                <w:b/>
                <w:bCs/>
                <w:sz w:val="16"/>
                <w:szCs w:val="16"/>
              </w:rPr>
              <w:t>Underlying cash balance</w:t>
            </w:r>
          </w:p>
        </w:tc>
        <w:tc>
          <w:tcPr>
            <w:tcW w:w="455" w:type="pct"/>
            <w:tcBorders>
              <w:top w:val="nil"/>
              <w:left w:val="nil"/>
              <w:bottom w:val="nil"/>
              <w:right w:val="nil"/>
            </w:tcBorders>
            <w:shd w:val="clear" w:color="000000" w:fill="FFFFFF"/>
            <w:noWrap/>
            <w:vAlign w:val="center"/>
            <w:hideMark/>
          </w:tcPr>
          <w:p w14:paraId="3422DBAF"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-32.0</w:t>
            </w:r>
          </w:p>
        </w:tc>
        <w:tc>
          <w:tcPr>
            <w:tcW w:w="67" w:type="pct"/>
            <w:tcBorders>
              <w:top w:val="nil"/>
              <w:left w:val="nil"/>
              <w:bottom w:val="nil"/>
              <w:right w:val="nil"/>
            </w:tcBorders>
            <w:shd w:val="clear" w:color="000000" w:fill="FFFFFF"/>
            <w:noWrap/>
            <w:vAlign w:val="center"/>
            <w:hideMark/>
          </w:tcPr>
          <w:p w14:paraId="38528F1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single" w:sz="4" w:space="0" w:color="auto"/>
              <w:left w:val="nil"/>
              <w:bottom w:val="nil"/>
              <w:right w:val="nil"/>
            </w:tcBorders>
            <w:shd w:val="clear" w:color="000000" w:fill="E6F2FF"/>
            <w:noWrap/>
            <w:vAlign w:val="center"/>
            <w:hideMark/>
          </w:tcPr>
          <w:p w14:paraId="5247EF8C"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-36.9</w:t>
            </w:r>
          </w:p>
        </w:tc>
        <w:tc>
          <w:tcPr>
            <w:tcW w:w="447" w:type="pct"/>
            <w:tcBorders>
              <w:top w:val="nil"/>
              <w:left w:val="nil"/>
              <w:bottom w:val="nil"/>
              <w:right w:val="nil"/>
            </w:tcBorders>
            <w:shd w:val="clear" w:color="000000" w:fill="FFFFFF"/>
            <w:noWrap/>
            <w:vAlign w:val="center"/>
            <w:hideMark/>
          </w:tcPr>
          <w:p w14:paraId="2CBD9C50"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-44.0</w:t>
            </w:r>
          </w:p>
        </w:tc>
        <w:tc>
          <w:tcPr>
            <w:tcW w:w="447" w:type="pct"/>
            <w:tcBorders>
              <w:top w:val="nil"/>
              <w:left w:val="nil"/>
              <w:bottom w:val="nil"/>
              <w:right w:val="nil"/>
            </w:tcBorders>
            <w:shd w:val="clear" w:color="000000" w:fill="FFFFFF"/>
            <w:noWrap/>
            <w:vAlign w:val="center"/>
            <w:hideMark/>
          </w:tcPr>
          <w:p w14:paraId="0122635C"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-51.3</w:t>
            </w:r>
          </w:p>
        </w:tc>
        <w:tc>
          <w:tcPr>
            <w:tcW w:w="447" w:type="pct"/>
            <w:tcBorders>
              <w:top w:val="nil"/>
              <w:left w:val="nil"/>
              <w:bottom w:val="nil"/>
              <w:right w:val="nil"/>
            </w:tcBorders>
            <w:shd w:val="clear" w:color="000000" w:fill="FFFFFF"/>
            <w:noWrap/>
            <w:vAlign w:val="center"/>
            <w:hideMark/>
          </w:tcPr>
          <w:p w14:paraId="1F4A800A"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-49.6</w:t>
            </w:r>
          </w:p>
        </w:tc>
        <w:tc>
          <w:tcPr>
            <w:tcW w:w="67" w:type="pct"/>
            <w:tcBorders>
              <w:top w:val="nil"/>
              <w:left w:val="nil"/>
              <w:bottom w:val="nil"/>
              <w:right w:val="nil"/>
            </w:tcBorders>
            <w:shd w:val="clear" w:color="000000" w:fill="FFFFFF"/>
            <w:noWrap/>
            <w:vAlign w:val="center"/>
            <w:hideMark/>
          </w:tcPr>
          <w:p w14:paraId="081EBB48"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455" w:type="pct"/>
            <w:tcBorders>
              <w:top w:val="nil"/>
              <w:left w:val="nil"/>
              <w:bottom w:val="nil"/>
              <w:right w:val="nil"/>
            </w:tcBorders>
            <w:shd w:val="clear" w:color="000000" w:fill="FFFFFF"/>
            <w:noWrap/>
            <w:vAlign w:val="center"/>
            <w:hideMark/>
          </w:tcPr>
          <w:p w14:paraId="1E036840"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-181.8</w:t>
            </w:r>
          </w:p>
        </w:tc>
        <w:tc>
          <w:tcPr>
            <w:tcW w:w="80" w:type="pct"/>
            <w:tcBorders>
              <w:top w:val="nil"/>
              <w:left w:val="nil"/>
              <w:bottom w:val="nil"/>
              <w:right w:val="nil"/>
            </w:tcBorders>
            <w:shd w:val="clear" w:color="000000" w:fill="FFFFFF"/>
            <w:noWrap/>
            <w:vAlign w:val="center"/>
            <w:hideMark/>
          </w:tcPr>
          <w:p w14:paraId="03C32C18"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558" w:type="pct"/>
            <w:tcBorders>
              <w:top w:val="nil"/>
              <w:left w:val="nil"/>
              <w:bottom w:val="nil"/>
              <w:right w:val="nil"/>
            </w:tcBorders>
            <w:shd w:val="clear" w:color="000000" w:fill="FFFFFF"/>
            <w:noWrap/>
            <w:vAlign w:val="center"/>
            <w:hideMark/>
          </w:tcPr>
          <w:p w14:paraId="717F3F76"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r>
      <w:tr w:rsidR="001A2DA9" w:rsidRPr="001A2DA9" w14:paraId="32AE18F7"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1353F5E9"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Per cent of GDP</w:t>
            </w:r>
          </w:p>
        </w:tc>
        <w:tc>
          <w:tcPr>
            <w:tcW w:w="455" w:type="pct"/>
            <w:tcBorders>
              <w:top w:val="nil"/>
              <w:left w:val="nil"/>
              <w:bottom w:val="nil"/>
              <w:right w:val="nil"/>
            </w:tcBorders>
            <w:shd w:val="clear" w:color="000000" w:fill="FFFFFF"/>
            <w:noWrap/>
            <w:vAlign w:val="center"/>
            <w:hideMark/>
          </w:tcPr>
          <w:p w14:paraId="170DA4E4"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-1.4</w:t>
            </w:r>
          </w:p>
        </w:tc>
        <w:tc>
          <w:tcPr>
            <w:tcW w:w="67" w:type="pct"/>
            <w:tcBorders>
              <w:top w:val="nil"/>
              <w:left w:val="nil"/>
              <w:bottom w:val="nil"/>
              <w:right w:val="nil"/>
            </w:tcBorders>
            <w:shd w:val="clear" w:color="000000" w:fill="FFFFFF"/>
            <w:noWrap/>
            <w:vAlign w:val="center"/>
            <w:hideMark/>
          </w:tcPr>
          <w:p w14:paraId="017B8FF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E6F2FF"/>
            <w:noWrap/>
            <w:vAlign w:val="center"/>
            <w:hideMark/>
          </w:tcPr>
          <w:p w14:paraId="7C4F38C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-1.5</w:t>
            </w:r>
          </w:p>
        </w:tc>
        <w:tc>
          <w:tcPr>
            <w:tcW w:w="447" w:type="pct"/>
            <w:tcBorders>
              <w:top w:val="nil"/>
              <w:left w:val="nil"/>
              <w:bottom w:val="nil"/>
              <w:right w:val="nil"/>
            </w:tcBorders>
            <w:shd w:val="clear" w:color="000000" w:fill="FFFFFF"/>
            <w:noWrap/>
            <w:vAlign w:val="center"/>
            <w:hideMark/>
          </w:tcPr>
          <w:p w14:paraId="0642AED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-1.8</w:t>
            </w:r>
          </w:p>
        </w:tc>
        <w:tc>
          <w:tcPr>
            <w:tcW w:w="447" w:type="pct"/>
            <w:tcBorders>
              <w:top w:val="nil"/>
              <w:left w:val="nil"/>
              <w:bottom w:val="nil"/>
              <w:right w:val="nil"/>
            </w:tcBorders>
            <w:shd w:val="clear" w:color="000000" w:fill="FFFFFF"/>
            <w:noWrap/>
            <w:vAlign w:val="center"/>
            <w:hideMark/>
          </w:tcPr>
          <w:p w14:paraId="47398308"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-2.0</w:t>
            </w:r>
          </w:p>
        </w:tc>
        <w:tc>
          <w:tcPr>
            <w:tcW w:w="447" w:type="pct"/>
            <w:tcBorders>
              <w:top w:val="nil"/>
              <w:left w:val="nil"/>
              <w:bottom w:val="nil"/>
              <w:right w:val="nil"/>
            </w:tcBorders>
            <w:shd w:val="clear" w:color="000000" w:fill="FFFFFF"/>
            <w:noWrap/>
            <w:vAlign w:val="center"/>
            <w:hideMark/>
          </w:tcPr>
          <w:p w14:paraId="0464B475"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-1.8</w:t>
            </w:r>
          </w:p>
        </w:tc>
        <w:tc>
          <w:tcPr>
            <w:tcW w:w="67" w:type="pct"/>
            <w:tcBorders>
              <w:top w:val="nil"/>
              <w:left w:val="nil"/>
              <w:bottom w:val="nil"/>
              <w:right w:val="nil"/>
            </w:tcBorders>
            <w:shd w:val="clear" w:color="000000" w:fill="FFFFFF"/>
            <w:noWrap/>
            <w:vAlign w:val="center"/>
            <w:hideMark/>
          </w:tcPr>
          <w:p w14:paraId="266BAB3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0B945E76"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5F8838C"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558" w:type="pct"/>
            <w:tcBorders>
              <w:top w:val="nil"/>
              <w:left w:val="nil"/>
              <w:bottom w:val="nil"/>
              <w:right w:val="nil"/>
            </w:tcBorders>
            <w:shd w:val="clear" w:color="000000" w:fill="FFFFFF"/>
            <w:noWrap/>
            <w:vAlign w:val="center"/>
            <w:hideMark/>
          </w:tcPr>
          <w:p w14:paraId="39DB71E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-1.9</w:t>
            </w:r>
          </w:p>
        </w:tc>
      </w:tr>
      <w:tr w:rsidR="001A2DA9" w:rsidRPr="001A2DA9" w14:paraId="68277864"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5C009857"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1DE12EEE"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67" w:type="pct"/>
            <w:tcBorders>
              <w:top w:val="nil"/>
              <w:left w:val="nil"/>
              <w:bottom w:val="nil"/>
              <w:right w:val="nil"/>
            </w:tcBorders>
            <w:shd w:val="clear" w:color="000000" w:fill="FFFFFF"/>
            <w:noWrap/>
            <w:vAlign w:val="center"/>
            <w:hideMark/>
          </w:tcPr>
          <w:p w14:paraId="62D21476"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3067CEF5"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197B498C"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29C150B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78420937"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67" w:type="pct"/>
            <w:tcBorders>
              <w:top w:val="nil"/>
              <w:left w:val="nil"/>
              <w:bottom w:val="nil"/>
              <w:right w:val="nil"/>
            </w:tcBorders>
            <w:shd w:val="clear" w:color="000000" w:fill="FFFFFF"/>
            <w:noWrap/>
            <w:vAlign w:val="center"/>
            <w:hideMark/>
          </w:tcPr>
          <w:p w14:paraId="18687E8A"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7BCB3BD6"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3EC37A6D"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6C3C80D6"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r>
      <w:tr w:rsidR="001A2DA9" w:rsidRPr="001A2DA9" w14:paraId="44E728C9"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4D428ED6" w14:textId="77777777" w:rsidR="001A2DA9" w:rsidRPr="001A2DA9" w:rsidRDefault="001A2DA9" w:rsidP="001A2DA9">
            <w:pPr>
              <w:spacing w:before="0" w:after="0" w:line="240" w:lineRule="auto"/>
              <w:rPr>
                <w:rFonts w:ascii="Arial" w:hAnsi="Arial" w:cs="Arial"/>
                <w:b/>
                <w:bCs/>
                <w:color w:val="000000"/>
                <w:sz w:val="16"/>
                <w:szCs w:val="16"/>
              </w:rPr>
            </w:pPr>
            <w:r w:rsidRPr="001A2DA9">
              <w:rPr>
                <w:rFonts w:ascii="Arial" w:hAnsi="Arial" w:cs="Arial"/>
                <w:b/>
                <w:bCs/>
                <w:color w:val="000000"/>
                <w:sz w:val="16"/>
                <w:szCs w:val="16"/>
              </w:rPr>
              <w:t>Receipts</w:t>
            </w:r>
          </w:p>
        </w:tc>
        <w:tc>
          <w:tcPr>
            <w:tcW w:w="455" w:type="pct"/>
            <w:tcBorders>
              <w:top w:val="nil"/>
              <w:left w:val="nil"/>
              <w:bottom w:val="nil"/>
              <w:right w:val="nil"/>
            </w:tcBorders>
            <w:shd w:val="clear" w:color="000000" w:fill="FFFFFF"/>
            <w:noWrap/>
            <w:vAlign w:val="center"/>
            <w:hideMark/>
          </w:tcPr>
          <w:p w14:paraId="0D6E80E9"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584.4</w:t>
            </w:r>
          </w:p>
        </w:tc>
        <w:tc>
          <w:tcPr>
            <w:tcW w:w="67" w:type="pct"/>
            <w:tcBorders>
              <w:top w:val="nil"/>
              <w:left w:val="nil"/>
              <w:bottom w:val="nil"/>
              <w:right w:val="nil"/>
            </w:tcBorders>
            <w:shd w:val="clear" w:color="000000" w:fill="FFFFFF"/>
            <w:noWrap/>
            <w:vAlign w:val="center"/>
            <w:hideMark/>
          </w:tcPr>
          <w:p w14:paraId="635423F6"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447" w:type="pct"/>
            <w:tcBorders>
              <w:top w:val="nil"/>
              <w:left w:val="nil"/>
              <w:bottom w:val="nil"/>
              <w:right w:val="nil"/>
            </w:tcBorders>
            <w:shd w:val="clear" w:color="000000" w:fill="E6F2FF"/>
            <w:noWrap/>
            <w:vAlign w:val="center"/>
            <w:hideMark/>
          </w:tcPr>
          <w:p w14:paraId="2DF492D9"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607.2</w:t>
            </w:r>
          </w:p>
        </w:tc>
        <w:tc>
          <w:tcPr>
            <w:tcW w:w="447" w:type="pct"/>
            <w:tcBorders>
              <w:top w:val="nil"/>
              <w:left w:val="nil"/>
              <w:bottom w:val="nil"/>
              <w:right w:val="nil"/>
            </w:tcBorders>
            <w:shd w:val="clear" w:color="000000" w:fill="FFFFFF"/>
            <w:noWrap/>
            <w:vAlign w:val="center"/>
            <w:hideMark/>
          </w:tcPr>
          <w:p w14:paraId="1AB259B0"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621.4</w:t>
            </w:r>
          </w:p>
        </w:tc>
        <w:tc>
          <w:tcPr>
            <w:tcW w:w="447" w:type="pct"/>
            <w:tcBorders>
              <w:top w:val="nil"/>
              <w:left w:val="nil"/>
              <w:bottom w:val="nil"/>
              <w:right w:val="nil"/>
            </w:tcBorders>
            <w:shd w:val="clear" w:color="000000" w:fill="FFFFFF"/>
            <w:noWrap/>
            <w:vAlign w:val="center"/>
            <w:hideMark/>
          </w:tcPr>
          <w:p w14:paraId="47277A05"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642.8</w:t>
            </w:r>
          </w:p>
        </w:tc>
        <w:tc>
          <w:tcPr>
            <w:tcW w:w="447" w:type="pct"/>
            <w:tcBorders>
              <w:top w:val="nil"/>
              <w:left w:val="nil"/>
              <w:bottom w:val="nil"/>
              <w:right w:val="nil"/>
            </w:tcBorders>
            <w:shd w:val="clear" w:color="000000" w:fill="FFFFFF"/>
            <w:noWrap/>
            <w:vAlign w:val="center"/>
            <w:hideMark/>
          </w:tcPr>
          <w:p w14:paraId="5080FDCA"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679.0</w:t>
            </w:r>
          </w:p>
        </w:tc>
        <w:tc>
          <w:tcPr>
            <w:tcW w:w="67" w:type="pct"/>
            <w:tcBorders>
              <w:top w:val="nil"/>
              <w:left w:val="nil"/>
              <w:bottom w:val="nil"/>
              <w:right w:val="nil"/>
            </w:tcBorders>
            <w:shd w:val="clear" w:color="000000" w:fill="FFFFFF"/>
            <w:noWrap/>
            <w:vAlign w:val="center"/>
            <w:hideMark/>
          </w:tcPr>
          <w:p w14:paraId="7F94FE6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455" w:type="pct"/>
            <w:tcBorders>
              <w:top w:val="nil"/>
              <w:left w:val="nil"/>
              <w:bottom w:val="nil"/>
              <w:right w:val="nil"/>
            </w:tcBorders>
            <w:shd w:val="clear" w:color="000000" w:fill="FFFFFF"/>
            <w:noWrap/>
            <w:vAlign w:val="center"/>
            <w:hideMark/>
          </w:tcPr>
          <w:p w14:paraId="11F0B553"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2,550.5</w:t>
            </w:r>
          </w:p>
        </w:tc>
        <w:tc>
          <w:tcPr>
            <w:tcW w:w="80" w:type="pct"/>
            <w:tcBorders>
              <w:top w:val="nil"/>
              <w:left w:val="nil"/>
              <w:bottom w:val="nil"/>
              <w:right w:val="nil"/>
            </w:tcBorders>
            <w:shd w:val="clear" w:color="000000" w:fill="FFFFFF"/>
            <w:noWrap/>
            <w:vAlign w:val="center"/>
            <w:hideMark/>
          </w:tcPr>
          <w:p w14:paraId="5A68E706"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558" w:type="pct"/>
            <w:tcBorders>
              <w:top w:val="nil"/>
              <w:left w:val="nil"/>
              <w:bottom w:val="nil"/>
              <w:right w:val="nil"/>
            </w:tcBorders>
            <w:shd w:val="clear" w:color="000000" w:fill="FFFFFF"/>
            <w:noWrap/>
            <w:vAlign w:val="center"/>
            <w:hideMark/>
          </w:tcPr>
          <w:p w14:paraId="0573C20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r>
      <w:tr w:rsidR="001A2DA9" w:rsidRPr="001A2DA9" w14:paraId="77883D01"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7314813B"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Per cent of GDP</w:t>
            </w:r>
          </w:p>
        </w:tc>
        <w:tc>
          <w:tcPr>
            <w:tcW w:w="455" w:type="pct"/>
            <w:tcBorders>
              <w:top w:val="nil"/>
              <w:left w:val="nil"/>
              <w:bottom w:val="nil"/>
              <w:right w:val="nil"/>
            </w:tcBorders>
            <w:shd w:val="clear" w:color="000000" w:fill="FFFFFF"/>
            <w:noWrap/>
            <w:vAlign w:val="center"/>
            <w:hideMark/>
          </w:tcPr>
          <w:p w14:paraId="74AEA8F2"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25.4</w:t>
            </w:r>
          </w:p>
        </w:tc>
        <w:tc>
          <w:tcPr>
            <w:tcW w:w="67" w:type="pct"/>
            <w:tcBorders>
              <w:top w:val="nil"/>
              <w:left w:val="nil"/>
              <w:bottom w:val="nil"/>
              <w:right w:val="nil"/>
            </w:tcBorders>
            <w:shd w:val="clear" w:color="000000" w:fill="FFFFFF"/>
            <w:noWrap/>
            <w:vAlign w:val="center"/>
            <w:hideMark/>
          </w:tcPr>
          <w:p w14:paraId="6B943722"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301410DC"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24.5</w:t>
            </w:r>
          </w:p>
        </w:tc>
        <w:tc>
          <w:tcPr>
            <w:tcW w:w="447" w:type="pct"/>
            <w:tcBorders>
              <w:top w:val="nil"/>
              <w:left w:val="nil"/>
              <w:bottom w:val="nil"/>
              <w:right w:val="nil"/>
            </w:tcBorders>
            <w:shd w:val="clear" w:color="000000" w:fill="FFFFFF"/>
            <w:noWrap/>
            <w:vAlign w:val="center"/>
            <w:hideMark/>
          </w:tcPr>
          <w:p w14:paraId="0CD784FE"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25.3</w:t>
            </w:r>
          </w:p>
        </w:tc>
        <w:tc>
          <w:tcPr>
            <w:tcW w:w="447" w:type="pct"/>
            <w:tcBorders>
              <w:top w:val="nil"/>
              <w:left w:val="nil"/>
              <w:bottom w:val="nil"/>
              <w:right w:val="nil"/>
            </w:tcBorders>
            <w:shd w:val="clear" w:color="000000" w:fill="FFFFFF"/>
            <w:noWrap/>
            <w:vAlign w:val="center"/>
            <w:hideMark/>
          </w:tcPr>
          <w:p w14:paraId="4315B92C"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25.1</w:t>
            </w:r>
          </w:p>
        </w:tc>
        <w:tc>
          <w:tcPr>
            <w:tcW w:w="447" w:type="pct"/>
            <w:tcBorders>
              <w:top w:val="nil"/>
              <w:left w:val="nil"/>
              <w:bottom w:val="nil"/>
              <w:right w:val="nil"/>
            </w:tcBorders>
            <w:shd w:val="clear" w:color="000000" w:fill="FFFFFF"/>
            <w:noWrap/>
            <w:vAlign w:val="center"/>
            <w:hideMark/>
          </w:tcPr>
          <w:p w14:paraId="336DAFF7"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25.2</w:t>
            </w:r>
          </w:p>
        </w:tc>
        <w:tc>
          <w:tcPr>
            <w:tcW w:w="67" w:type="pct"/>
            <w:tcBorders>
              <w:top w:val="nil"/>
              <w:left w:val="nil"/>
              <w:bottom w:val="nil"/>
              <w:right w:val="nil"/>
            </w:tcBorders>
            <w:shd w:val="clear" w:color="000000" w:fill="FFFFFF"/>
            <w:noWrap/>
            <w:vAlign w:val="center"/>
            <w:hideMark/>
          </w:tcPr>
          <w:p w14:paraId="12046E8D"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4F11C634"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77ED8E7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6F7F08F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26.0</w:t>
            </w:r>
          </w:p>
        </w:tc>
      </w:tr>
      <w:tr w:rsidR="001A2DA9" w:rsidRPr="001A2DA9" w14:paraId="14D08436"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409935A4"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50ABAC2B"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67" w:type="pct"/>
            <w:tcBorders>
              <w:top w:val="nil"/>
              <w:left w:val="nil"/>
              <w:bottom w:val="nil"/>
              <w:right w:val="nil"/>
            </w:tcBorders>
            <w:shd w:val="clear" w:color="000000" w:fill="FFFFFF"/>
            <w:noWrap/>
            <w:vAlign w:val="center"/>
            <w:hideMark/>
          </w:tcPr>
          <w:p w14:paraId="64F8D46C"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38FA152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6D0AD59B"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53B183FC"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5C212AF2"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67" w:type="pct"/>
            <w:tcBorders>
              <w:top w:val="nil"/>
              <w:left w:val="nil"/>
              <w:bottom w:val="nil"/>
              <w:right w:val="nil"/>
            </w:tcBorders>
            <w:shd w:val="clear" w:color="000000" w:fill="FFFFFF"/>
            <w:noWrap/>
            <w:vAlign w:val="center"/>
            <w:hideMark/>
          </w:tcPr>
          <w:p w14:paraId="7F795BEE"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6DC8A761"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45CA200F"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763CC7F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r>
      <w:tr w:rsidR="001A2DA9" w:rsidRPr="001A2DA9" w14:paraId="7E6D8FBD"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1E6CBCB3" w14:textId="77777777" w:rsidR="001A2DA9" w:rsidRPr="001A2DA9" w:rsidRDefault="001A2DA9" w:rsidP="000528CD">
            <w:pPr>
              <w:spacing w:before="0" w:after="0" w:line="240" w:lineRule="auto"/>
              <w:ind w:left="170"/>
              <w:rPr>
                <w:rFonts w:ascii="Arial" w:hAnsi="Arial" w:cs="Arial"/>
                <w:b/>
                <w:bCs/>
                <w:color w:val="000000"/>
                <w:sz w:val="16"/>
                <w:szCs w:val="16"/>
              </w:rPr>
            </w:pPr>
            <w:r w:rsidRPr="001A2DA9">
              <w:rPr>
                <w:rFonts w:ascii="Arial" w:hAnsi="Arial" w:cs="Arial"/>
                <w:b/>
                <w:bCs/>
                <w:color w:val="000000"/>
                <w:sz w:val="16"/>
                <w:szCs w:val="16"/>
              </w:rPr>
              <w:t>Tax receipts</w:t>
            </w:r>
          </w:p>
        </w:tc>
        <w:tc>
          <w:tcPr>
            <w:tcW w:w="455" w:type="pct"/>
            <w:tcBorders>
              <w:top w:val="nil"/>
              <w:left w:val="nil"/>
              <w:bottom w:val="nil"/>
              <w:right w:val="nil"/>
            </w:tcBorders>
            <w:shd w:val="clear" w:color="000000" w:fill="FFFFFF"/>
            <w:noWrap/>
            <w:vAlign w:val="center"/>
            <w:hideMark/>
          </w:tcPr>
          <w:p w14:paraId="4C8FD18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536.6</w:t>
            </w:r>
          </w:p>
        </w:tc>
        <w:tc>
          <w:tcPr>
            <w:tcW w:w="67" w:type="pct"/>
            <w:tcBorders>
              <w:top w:val="nil"/>
              <w:left w:val="nil"/>
              <w:bottom w:val="nil"/>
              <w:right w:val="nil"/>
            </w:tcBorders>
            <w:shd w:val="clear" w:color="000000" w:fill="FFFFFF"/>
            <w:noWrap/>
            <w:vAlign w:val="center"/>
            <w:hideMark/>
          </w:tcPr>
          <w:p w14:paraId="44661237"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1AD5B095"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562.9</w:t>
            </w:r>
          </w:p>
        </w:tc>
        <w:tc>
          <w:tcPr>
            <w:tcW w:w="447" w:type="pct"/>
            <w:tcBorders>
              <w:top w:val="nil"/>
              <w:left w:val="nil"/>
              <w:bottom w:val="nil"/>
              <w:right w:val="nil"/>
            </w:tcBorders>
            <w:shd w:val="clear" w:color="000000" w:fill="FFFFFF"/>
            <w:noWrap/>
            <w:vAlign w:val="center"/>
            <w:hideMark/>
          </w:tcPr>
          <w:p w14:paraId="12E40D7D"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574.3</w:t>
            </w:r>
          </w:p>
        </w:tc>
        <w:tc>
          <w:tcPr>
            <w:tcW w:w="447" w:type="pct"/>
            <w:tcBorders>
              <w:top w:val="nil"/>
              <w:left w:val="nil"/>
              <w:bottom w:val="nil"/>
              <w:right w:val="nil"/>
            </w:tcBorders>
            <w:shd w:val="clear" w:color="000000" w:fill="FFFFFF"/>
            <w:noWrap/>
            <w:vAlign w:val="center"/>
            <w:hideMark/>
          </w:tcPr>
          <w:p w14:paraId="51E6213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590.5</w:t>
            </w:r>
          </w:p>
        </w:tc>
        <w:tc>
          <w:tcPr>
            <w:tcW w:w="447" w:type="pct"/>
            <w:tcBorders>
              <w:top w:val="nil"/>
              <w:left w:val="nil"/>
              <w:bottom w:val="nil"/>
              <w:right w:val="nil"/>
            </w:tcBorders>
            <w:shd w:val="clear" w:color="000000" w:fill="FFFFFF"/>
            <w:noWrap/>
            <w:vAlign w:val="center"/>
            <w:hideMark/>
          </w:tcPr>
          <w:p w14:paraId="04952CA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629.3</w:t>
            </w:r>
          </w:p>
        </w:tc>
        <w:tc>
          <w:tcPr>
            <w:tcW w:w="67" w:type="pct"/>
            <w:tcBorders>
              <w:top w:val="nil"/>
              <w:left w:val="nil"/>
              <w:bottom w:val="nil"/>
              <w:right w:val="nil"/>
            </w:tcBorders>
            <w:shd w:val="clear" w:color="000000" w:fill="FFFFFF"/>
            <w:noWrap/>
            <w:vAlign w:val="center"/>
            <w:hideMark/>
          </w:tcPr>
          <w:p w14:paraId="69DEA4D5"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55" w:type="pct"/>
            <w:tcBorders>
              <w:top w:val="nil"/>
              <w:left w:val="nil"/>
              <w:bottom w:val="nil"/>
              <w:right w:val="nil"/>
            </w:tcBorders>
            <w:shd w:val="clear" w:color="000000" w:fill="FFFFFF"/>
            <w:noWrap/>
            <w:vAlign w:val="center"/>
            <w:hideMark/>
          </w:tcPr>
          <w:p w14:paraId="1D6678FD"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2,356.9</w:t>
            </w:r>
          </w:p>
        </w:tc>
        <w:tc>
          <w:tcPr>
            <w:tcW w:w="80" w:type="pct"/>
            <w:tcBorders>
              <w:top w:val="nil"/>
              <w:left w:val="nil"/>
              <w:bottom w:val="nil"/>
              <w:right w:val="nil"/>
            </w:tcBorders>
            <w:shd w:val="clear" w:color="000000" w:fill="FFFFFF"/>
            <w:noWrap/>
            <w:vAlign w:val="center"/>
            <w:hideMark/>
          </w:tcPr>
          <w:p w14:paraId="7F3C542E"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558" w:type="pct"/>
            <w:tcBorders>
              <w:top w:val="nil"/>
              <w:left w:val="nil"/>
              <w:bottom w:val="nil"/>
              <w:right w:val="nil"/>
            </w:tcBorders>
            <w:shd w:val="clear" w:color="000000" w:fill="FFFFFF"/>
            <w:noWrap/>
            <w:vAlign w:val="center"/>
            <w:hideMark/>
          </w:tcPr>
          <w:p w14:paraId="4876537C"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r>
      <w:tr w:rsidR="001A2DA9" w:rsidRPr="001A2DA9" w14:paraId="7212F64E"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4C3041BE" w14:textId="77777777" w:rsidR="001A2DA9" w:rsidRPr="001A2DA9" w:rsidRDefault="001A2DA9" w:rsidP="000528CD">
            <w:pPr>
              <w:spacing w:before="0" w:after="0" w:line="240" w:lineRule="auto"/>
              <w:ind w:left="170"/>
              <w:rPr>
                <w:rFonts w:ascii="Arial" w:hAnsi="Arial" w:cs="Arial"/>
                <w:color w:val="000000"/>
                <w:sz w:val="16"/>
                <w:szCs w:val="16"/>
              </w:rPr>
            </w:pPr>
            <w:r w:rsidRPr="001A2DA9">
              <w:rPr>
                <w:rFonts w:ascii="Arial" w:hAnsi="Arial" w:cs="Arial"/>
                <w:color w:val="000000"/>
                <w:sz w:val="16"/>
                <w:szCs w:val="16"/>
              </w:rPr>
              <w:t>Per cent of GDP</w:t>
            </w:r>
          </w:p>
        </w:tc>
        <w:tc>
          <w:tcPr>
            <w:tcW w:w="455" w:type="pct"/>
            <w:tcBorders>
              <w:top w:val="nil"/>
              <w:left w:val="nil"/>
              <w:bottom w:val="nil"/>
              <w:right w:val="nil"/>
            </w:tcBorders>
            <w:shd w:val="clear" w:color="000000" w:fill="FFFFFF"/>
            <w:noWrap/>
            <w:vAlign w:val="center"/>
            <w:hideMark/>
          </w:tcPr>
          <w:p w14:paraId="7256E81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23.4</w:t>
            </w:r>
          </w:p>
        </w:tc>
        <w:tc>
          <w:tcPr>
            <w:tcW w:w="67" w:type="pct"/>
            <w:tcBorders>
              <w:top w:val="nil"/>
              <w:left w:val="nil"/>
              <w:bottom w:val="nil"/>
              <w:right w:val="nil"/>
            </w:tcBorders>
            <w:shd w:val="clear" w:color="000000" w:fill="FFFFFF"/>
            <w:noWrap/>
            <w:vAlign w:val="center"/>
            <w:hideMark/>
          </w:tcPr>
          <w:p w14:paraId="0B11D069"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457505EA"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22.7</w:t>
            </w:r>
          </w:p>
        </w:tc>
        <w:tc>
          <w:tcPr>
            <w:tcW w:w="447" w:type="pct"/>
            <w:tcBorders>
              <w:top w:val="nil"/>
              <w:left w:val="nil"/>
              <w:bottom w:val="nil"/>
              <w:right w:val="nil"/>
            </w:tcBorders>
            <w:shd w:val="clear" w:color="000000" w:fill="FFFFFF"/>
            <w:noWrap/>
            <w:vAlign w:val="center"/>
            <w:hideMark/>
          </w:tcPr>
          <w:p w14:paraId="3570BD92"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23.3</w:t>
            </w:r>
          </w:p>
        </w:tc>
        <w:tc>
          <w:tcPr>
            <w:tcW w:w="447" w:type="pct"/>
            <w:tcBorders>
              <w:top w:val="nil"/>
              <w:left w:val="nil"/>
              <w:bottom w:val="nil"/>
              <w:right w:val="nil"/>
            </w:tcBorders>
            <w:shd w:val="clear" w:color="000000" w:fill="FFFFFF"/>
            <w:noWrap/>
            <w:vAlign w:val="center"/>
            <w:hideMark/>
          </w:tcPr>
          <w:p w14:paraId="41256288"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23.0</w:t>
            </w:r>
          </w:p>
        </w:tc>
        <w:tc>
          <w:tcPr>
            <w:tcW w:w="447" w:type="pct"/>
            <w:tcBorders>
              <w:top w:val="nil"/>
              <w:left w:val="nil"/>
              <w:bottom w:val="nil"/>
              <w:right w:val="nil"/>
            </w:tcBorders>
            <w:shd w:val="clear" w:color="000000" w:fill="FFFFFF"/>
            <w:noWrap/>
            <w:vAlign w:val="center"/>
            <w:hideMark/>
          </w:tcPr>
          <w:p w14:paraId="5241C2BD"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23.4</w:t>
            </w:r>
          </w:p>
        </w:tc>
        <w:tc>
          <w:tcPr>
            <w:tcW w:w="67" w:type="pct"/>
            <w:tcBorders>
              <w:top w:val="nil"/>
              <w:left w:val="nil"/>
              <w:bottom w:val="nil"/>
              <w:right w:val="nil"/>
            </w:tcBorders>
            <w:shd w:val="clear" w:color="000000" w:fill="FFFFFF"/>
            <w:noWrap/>
            <w:vAlign w:val="center"/>
            <w:hideMark/>
          </w:tcPr>
          <w:p w14:paraId="3FD8A381"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55" w:type="pct"/>
            <w:tcBorders>
              <w:top w:val="nil"/>
              <w:left w:val="nil"/>
              <w:bottom w:val="nil"/>
              <w:right w:val="nil"/>
            </w:tcBorders>
            <w:shd w:val="clear" w:color="000000" w:fill="FFFFFF"/>
            <w:noWrap/>
            <w:vAlign w:val="center"/>
            <w:hideMark/>
          </w:tcPr>
          <w:p w14:paraId="75055358"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685B3BBF"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0F0FF411"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24.1</w:t>
            </w:r>
          </w:p>
        </w:tc>
      </w:tr>
      <w:tr w:rsidR="001A2DA9" w:rsidRPr="001A2DA9" w14:paraId="4F4C1BC3"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5C800F23"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37D194D9"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67" w:type="pct"/>
            <w:tcBorders>
              <w:top w:val="nil"/>
              <w:left w:val="nil"/>
              <w:bottom w:val="nil"/>
              <w:right w:val="nil"/>
            </w:tcBorders>
            <w:shd w:val="clear" w:color="000000" w:fill="FFFFFF"/>
            <w:noWrap/>
            <w:vAlign w:val="center"/>
            <w:hideMark/>
          </w:tcPr>
          <w:p w14:paraId="7E480838"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2C703FCF"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694CBE97"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47" w:type="pct"/>
            <w:tcBorders>
              <w:top w:val="nil"/>
              <w:left w:val="nil"/>
              <w:bottom w:val="nil"/>
              <w:right w:val="nil"/>
            </w:tcBorders>
            <w:shd w:val="clear" w:color="000000" w:fill="FFFFFF"/>
            <w:noWrap/>
            <w:vAlign w:val="center"/>
            <w:hideMark/>
          </w:tcPr>
          <w:p w14:paraId="40389141"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47" w:type="pct"/>
            <w:tcBorders>
              <w:top w:val="nil"/>
              <w:left w:val="nil"/>
              <w:bottom w:val="nil"/>
              <w:right w:val="nil"/>
            </w:tcBorders>
            <w:shd w:val="clear" w:color="000000" w:fill="FFFFFF"/>
            <w:noWrap/>
            <w:vAlign w:val="center"/>
            <w:hideMark/>
          </w:tcPr>
          <w:p w14:paraId="552941C1"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67" w:type="pct"/>
            <w:tcBorders>
              <w:top w:val="nil"/>
              <w:left w:val="nil"/>
              <w:bottom w:val="nil"/>
              <w:right w:val="nil"/>
            </w:tcBorders>
            <w:shd w:val="clear" w:color="000000" w:fill="FFFFFF"/>
            <w:noWrap/>
            <w:vAlign w:val="center"/>
            <w:hideMark/>
          </w:tcPr>
          <w:p w14:paraId="2ACC6C78"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55" w:type="pct"/>
            <w:tcBorders>
              <w:top w:val="nil"/>
              <w:left w:val="nil"/>
              <w:bottom w:val="nil"/>
              <w:right w:val="nil"/>
            </w:tcBorders>
            <w:shd w:val="clear" w:color="000000" w:fill="FFFFFF"/>
            <w:noWrap/>
            <w:vAlign w:val="center"/>
            <w:hideMark/>
          </w:tcPr>
          <w:p w14:paraId="7F6A0BE2"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2256EA91"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7B71941D"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r>
      <w:tr w:rsidR="001A2DA9" w:rsidRPr="001A2DA9" w14:paraId="49DA5D4C"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35D1F22A" w14:textId="77777777" w:rsidR="001A2DA9" w:rsidRPr="001A2DA9" w:rsidRDefault="001A2DA9" w:rsidP="000528CD">
            <w:pPr>
              <w:spacing w:before="0" w:after="0" w:line="240" w:lineRule="auto"/>
              <w:ind w:left="170"/>
              <w:rPr>
                <w:rFonts w:ascii="Arial" w:hAnsi="Arial" w:cs="Arial"/>
                <w:b/>
                <w:bCs/>
                <w:color w:val="000000"/>
                <w:sz w:val="16"/>
                <w:szCs w:val="16"/>
              </w:rPr>
            </w:pPr>
            <w:r w:rsidRPr="001A2DA9">
              <w:rPr>
                <w:rFonts w:ascii="Arial" w:hAnsi="Arial" w:cs="Arial"/>
                <w:b/>
                <w:bCs/>
                <w:color w:val="000000"/>
                <w:sz w:val="16"/>
                <w:szCs w:val="16"/>
              </w:rPr>
              <w:t>Non-tax receipts</w:t>
            </w:r>
          </w:p>
        </w:tc>
        <w:tc>
          <w:tcPr>
            <w:tcW w:w="455" w:type="pct"/>
            <w:tcBorders>
              <w:top w:val="nil"/>
              <w:left w:val="nil"/>
              <w:bottom w:val="nil"/>
              <w:right w:val="nil"/>
            </w:tcBorders>
            <w:shd w:val="clear" w:color="000000" w:fill="FFFFFF"/>
            <w:noWrap/>
            <w:vAlign w:val="center"/>
            <w:hideMark/>
          </w:tcPr>
          <w:p w14:paraId="5244056E"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47.8</w:t>
            </w:r>
          </w:p>
        </w:tc>
        <w:tc>
          <w:tcPr>
            <w:tcW w:w="67" w:type="pct"/>
            <w:tcBorders>
              <w:top w:val="nil"/>
              <w:left w:val="nil"/>
              <w:bottom w:val="nil"/>
              <w:right w:val="nil"/>
            </w:tcBorders>
            <w:shd w:val="clear" w:color="000000" w:fill="FFFFFF"/>
            <w:noWrap/>
            <w:vAlign w:val="center"/>
            <w:hideMark/>
          </w:tcPr>
          <w:p w14:paraId="16913471"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5B95809B"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44.4</w:t>
            </w:r>
          </w:p>
        </w:tc>
        <w:tc>
          <w:tcPr>
            <w:tcW w:w="447" w:type="pct"/>
            <w:tcBorders>
              <w:top w:val="nil"/>
              <w:left w:val="nil"/>
              <w:bottom w:val="nil"/>
              <w:right w:val="nil"/>
            </w:tcBorders>
            <w:shd w:val="clear" w:color="000000" w:fill="FFFFFF"/>
            <w:noWrap/>
            <w:vAlign w:val="center"/>
            <w:hideMark/>
          </w:tcPr>
          <w:p w14:paraId="1173A4EF"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47.1</w:t>
            </w:r>
          </w:p>
        </w:tc>
        <w:tc>
          <w:tcPr>
            <w:tcW w:w="447" w:type="pct"/>
            <w:tcBorders>
              <w:top w:val="nil"/>
              <w:left w:val="nil"/>
              <w:bottom w:val="nil"/>
              <w:right w:val="nil"/>
            </w:tcBorders>
            <w:shd w:val="clear" w:color="000000" w:fill="FFFFFF"/>
            <w:noWrap/>
            <w:vAlign w:val="center"/>
            <w:hideMark/>
          </w:tcPr>
          <w:p w14:paraId="1C8B2A83"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52.4</w:t>
            </w:r>
          </w:p>
        </w:tc>
        <w:tc>
          <w:tcPr>
            <w:tcW w:w="447" w:type="pct"/>
            <w:tcBorders>
              <w:top w:val="nil"/>
              <w:left w:val="nil"/>
              <w:bottom w:val="nil"/>
              <w:right w:val="nil"/>
            </w:tcBorders>
            <w:shd w:val="clear" w:color="000000" w:fill="FFFFFF"/>
            <w:noWrap/>
            <w:vAlign w:val="center"/>
            <w:hideMark/>
          </w:tcPr>
          <w:p w14:paraId="21EA9438"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49.7</w:t>
            </w:r>
          </w:p>
        </w:tc>
        <w:tc>
          <w:tcPr>
            <w:tcW w:w="67" w:type="pct"/>
            <w:tcBorders>
              <w:top w:val="nil"/>
              <w:left w:val="nil"/>
              <w:bottom w:val="nil"/>
              <w:right w:val="nil"/>
            </w:tcBorders>
            <w:shd w:val="clear" w:color="000000" w:fill="FFFFFF"/>
            <w:noWrap/>
            <w:vAlign w:val="center"/>
            <w:hideMark/>
          </w:tcPr>
          <w:p w14:paraId="3F44FDC3"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55" w:type="pct"/>
            <w:tcBorders>
              <w:top w:val="nil"/>
              <w:left w:val="nil"/>
              <w:bottom w:val="nil"/>
              <w:right w:val="nil"/>
            </w:tcBorders>
            <w:shd w:val="clear" w:color="000000" w:fill="FFFFFF"/>
            <w:noWrap/>
            <w:vAlign w:val="center"/>
            <w:hideMark/>
          </w:tcPr>
          <w:p w14:paraId="54C7FE60"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193.6</w:t>
            </w:r>
          </w:p>
        </w:tc>
        <w:tc>
          <w:tcPr>
            <w:tcW w:w="80" w:type="pct"/>
            <w:tcBorders>
              <w:top w:val="nil"/>
              <w:left w:val="nil"/>
              <w:bottom w:val="nil"/>
              <w:right w:val="nil"/>
            </w:tcBorders>
            <w:shd w:val="clear" w:color="000000" w:fill="FFFFFF"/>
            <w:noWrap/>
            <w:vAlign w:val="center"/>
            <w:hideMark/>
          </w:tcPr>
          <w:p w14:paraId="17768F3B"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558" w:type="pct"/>
            <w:tcBorders>
              <w:top w:val="nil"/>
              <w:left w:val="nil"/>
              <w:bottom w:val="nil"/>
              <w:right w:val="nil"/>
            </w:tcBorders>
            <w:shd w:val="clear" w:color="000000" w:fill="FFFFFF"/>
            <w:noWrap/>
            <w:vAlign w:val="center"/>
            <w:hideMark/>
          </w:tcPr>
          <w:p w14:paraId="3A61828E"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r>
      <w:tr w:rsidR="001A2DA9" w:rsidRPr="001A2DA9" w14:paraId="516167FA"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593A1309" w14:textId="77777777" w:rsidR="001A2DA9" w:rsidRPr="001A2DA9" w:rsidRDefault="001A2DA9" w:rsidP="000528CD">
            <w:pPr>
              <w:spacing w:before="0" w:after="0" w:line="240" w:lineRule="auto"/>
              <w:ind w:left="170"/>
              <w:rPr>
                <w:rFonts w:ascii="Arial" w:hAnsi="Arial" w:cs="Arial"/>
                <w:color w:val="000000"/>
                <w:sz w:val="16"/>
                <w:szCs w:val="16"/>
              </w:rPr>
            </w:pPr>
            <w:r w:rsidRPr="001A2DA9">
              <w:rPr>
                <w:rFonts w:ascii="Arial" w:hAnsi="Arial" w:cs="Arial"/>
                <w:color w:val="000000"/>
                <w:sz w:val="16"/>
                <w:szCs w:val="16"/>
              </w:rPr>
              <w:t>Per cent of GDP</w:t>
            </w:r>
          </w:p>
        </w:tc>
        <w:tc>
          <w:tcPr>
            <w:tcW w:w="455" w:type="pct"/>
            <w:tcBorders>
              <w:top w:val="nil"/>
              <w:left w:val="nil"/>
              <w:bottom w:val="nil"/>
              <w:right w:val="nil"/>
            </w:tcBorders>
            <w:shd w:val="clear" w:color="000000" w:fill="FFFFFF"/>
            <w:noWrap/>
            <w:vAlign w:val="center"/>
            <w:hideMark/>
          </w:tcPr>
          <w:p w14:paraId="23F925B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2.1</w:t>
            </w:r>
          </w:p>
        </w:tc>
        <w:tc>
          <w:tcPr>
            <w:tcW w:w="67" w:type="pct"/>
            <w:tcBorders>
              <w:top w:val="nil"/>
              <w:left w:val="nil"/>
              <w:bottom w:val="nil"/>
              <w:right w:val="nil"/>
            </w:tcBorders>
            <w:shd w:val="clear" w:color="000000" w:fill="FFFFFF"/>
            <w:noWrap/>
            <w:vAlign w:val="center"/>
            <w:hideMark/>
          </w:tcPr>
          <w:p w14:paraId="282901CD"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4836D5E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1.8</w:t>
            </w:r>
          </w:p>
        </w:tc>
        <w:tc>
          <w:tcPr>
            <w:tcW w:w="447" w:type="pct"/>
            <w:tcBorders>
              <w:top w:val="nil"/>
              <w:left w:val="nil"/>
              <w:bottom w:val="nil"/>
              <w:right w:val="nil"/>
            </w:tcBorders>
            <w:shd w:val="clear" w:color="000000" w:fill="FFFFFF"/>
            <w:noWrap/>
            <w:vAlign w:val="center"/>
            <w:hideMark/>
          </w:tcPr>
          <w:p w14:paraId="7AB92D9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1.9</w:t>
            </w:r>
          </w:p>
        </w:tc>
        <w:tc>
          <w:tcPr>
            <w:tcW w:w="447" w:type="pct"/>
            <w:tcBorders>
              <w:top w:val="nil"/>
              <w:left w:val="nil"/>
              <w:bottom w:val="nil"/>
              <w:right w:val="nil"/>
            </w:tcBorders>
            <w:shd w:val="clear" w:color="000000" w:fill="FFFFFF"/>
            <w:noWrap/>
            <w:vAlign w:val="center"/>
            <w:hideMark/>
          </w:tcPr>
          <w:p w14:paraId="2D1649C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2.0</w:t>
            </w:r>
          </w:p>
        </w:tc>
        <w:tc>
          <w:tcPr>
            <w:tcW w:w="447" w:type="pct"/>
            <w:tcBorders>
              <w:top w:val="nil"/>
              <w:left w:val="nil"/>
              <w:bottom w:val="nil"/>
              <w:right w:val="nil"/>
            </w:tcBorders>
            <w:shd w:val="clear" w:color="000000" w:fill="FFFFFF"/>
            <w:noWrap/>
            <w:vAlign w:val="center"/>
            <w:hideMark/>
          </w:tcPr>
          <w:p w14:paraId="4B18339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1.8</w:t>
            </w:r>
          </w:p>
        </w:tc>
        <w:tc>
          <w:tcPr>
            <w:tcW w:w="67" w:type="pct"/>
            <w:tcBorders>
              <w:top w:val="nil"/>
              <w:left w:val="nil"/>
              <w:bottom w:val="nil"/>
              <w:right w:val="nil"/>
            </w:tcBorders>
            <w:shd w:val="clear" w:color="000000" w:fill="FFFFFF"/>
            <w:noWrap/>
            <w:vAlign w:val="center"/>
            <w:hideMark/>
          </w:tcPr>
          <w:p w14:paraId="7A7F6CA9"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55" w:type="pct"/>
            <w:tcBorders>
              <w:top w:val="nil"/>
              <w:left w:val="nil"/>
              <w:bottom w:val="nil"/>
              <w:right w:val="nil"/>
            </w:tcBorders>
            <w:shd w:val="clear" w:color="000000" w:fill="FFFFFF"/>
            <w:noWrap/>
            <w:vAlign w:val="center"/>
            <w:hideMark/>
          </w:tcPr>
          <w:p w14:paraId="05787C92"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7A4F932D"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59CE10A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1.9</w:t>
            </w:r>
          </w:p>
        </w:tc>
      </w:tr>
      <w:tr w:rsidR="001A2DA9" w:rsidRPr="001A2DA9" w14:paraId="12805265"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20DEBA17"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1B95B6C9"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67" w:type="pct"/>
            <w:tcBorders>
              <w:top w:val="nil"/>
              <w:left w:val="nil"/>
              <w:bottom w:val="nil"/>
              <w:right w:val="nil"/>
            </w:tcBorders>
            <w:shd w:val="clear" w:color="000000" w:fill="FFFFFF"/>
            <w:noWrap/>
            <w:vAlign w:val="center"/>
            <w:hideMark/>
          </w:tcPr>
          <w:p w14:paraId="5991F9DC"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502B59A4"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2A1AD7EC"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47" w:type="pct"/>
            <w:tcBorders>
              <w:top w:val="nil"/>
              <w:left w:val="nil"/>
              <w:bottom w:val="nil"/>
              <w:right w:val="nil"/>
            </w:tcBorders>
            <w:shd w:val="clear" w:color="000000" w:fill="FFFFFF"/>
            <w:noWrap/>
            <w:vAlign w:val="center"/>
            <w:hideMark/>
          </w:tcPr>
          <w:p w14:paraId="62DA4F6D"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47" w:type="pct"/>
            <w:tcBorders>
              <w:top w:val="nil"/>
              <w:left w:val="nil"/>
              <w:bottom w:val="nil"/>
              <w:right w:val="nil"/>
            </w:tcBorders>
            <w:shd w:val="clear" w:color="000000" w:fill="FFFFFF"/>
            <w:noWrap/>
            <w:vAlign w:val="center"/>
            <w:hideMark/>
          </w:tcPr>
          <w:p w14:paraId="6C25E881"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67" w:type="pct"/>
            <w:tcBorders>
              <w:top w:val="nil"/>
              <w:left w:val="nil"/>
              <w:bottom w:val="nil"/>
              <w:right w:val="nil"/>
            </w:tcBorders>
            <w:shd w:val="clear" w:color="000000" w:fill="FFFFFF"/>
            <w:noWrap/>
            <w:vAlign w:val="center"/>
            <w:hideMark/>
          </w:tcPr>
          <w:p w14:paraId="055589E3" w14:textId="77777777" w:rsidR="001A2DA9" w:rsidRPr="001A2DA9" w:rsidRDefault="001A2DA9" w:rsidP="001A2DA9">
            <w:pPr>
              <w:spacing w:before="0" w:after="0" w:line="240" w:lineRule="auto"/>
              <w:jc w:val="right"/>
              <w:rPr>
                <w:rFonts w:ascii="Arial" w:hAnsi="Arial" w:cs="Arial"/>
                <w:i/>
                <w:iCs/>
                <w:color w:val="000000"/>
                <w:sz w:val="16"/>
                <w:szCs w:val="16"/>
              </w:rPr>
            </w:pPr>
            <w:r w:rsidRPr="001A2DA9">
              <w:rPr>
                <w:rFonts w:ascii="Arial" w:hAnsi="Arial" w:cs="Arial"/>
                <w:i/>
                <w:iCs/>
                <w:color w:val="000000"/>
                <w:sz w:val="16"/>
                <w:szCs w:val="16"/>
              </w:rPr>
              <w:t> </w:t>
            </w:r>
          </w:p>
        </w:tc>
        <w:tc>
          <w:tcPr>
            <w:tcW w:w="455" w:type="pct"/>
            <w:tcBorders>
              <w:top w:val="nil"/>
              <w:left w:val="nil"/>
              <w:bottom w:val="nil"/>
              <w:right w:val="nil"/>
            </w:tcBorders>
            <w:shd w:val="clear" w:color="000000" w:fill="FFFFFF"/>
            <w:noWrap/>
            <w:vAlign w:val="center"/>
            <w:hideMark/>
          </w:tcPr>
          <w:p w14:paraId="3D978808"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794A6814"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3687CAEA"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r>
      <w:tr w:rsidR="001A2DA9" w:rsidRPr="001A2DA9" w14:paraId="461B2798"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5FE5A8EF" w14:textId="77777777" w:rsidR="001A2DA9" w:rsidRPr="001A2DA9" w:rsidRDefault="001A2DA9" w:rsidP="001A2DA9">
            <w:pPr>
              <w:spacing w:before="0" w:after="0" w:line="240" w:lineRule="auto"/>
              <w:rPr>
                <w:rFonts w:ascii="Arial" w:hAnsi="Arial" w:cs="Arial"/>
                <w:b/>
                <w:bCs/>
                <w:color w:val="000000"/>
                <w:sz w:val="16"/>
                <w:szCs w:val="16"/>
              </w:rPr>
            </w:pPr>
            <w:r w:rsidRPr="001A2DA9">
              <w:rPr>
                <w:rFonts w:ascii="Arial" w:hAnsi="Arial" w:cs="Arial"/>
                <w:b/>
                <w:bCs/>
                <w:color w:val="000000"/>
                <w:sz w:val="16"/>
                <w:szCs w:val="16"/>
              </w:rPr>
              <w:t>Payments(b)</w:t>
            </w:r>
          </w:p>
        </w:tc>
        <w:tc>
          <w:tcPr>
            <w:tcW w:w="455" w:type="pct"/>
            <w:tcBorders>
              <w:top w:val="nil"/>
              <w:left w:val="nil"/>
              <w:bottom w:val="nil"/>
              <w:right w:val="nil"/>
            </w:tcBorders>
            <w:shd w:val="clear" w:color="000000" w:fill="FFFFFF"/>
            <w:noWrap/>
            <w:vAlign w:val="center"/>
            <w:hideMark/>
          </w:tcPr>
          <w:p w14:paraId="088EB42A"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616.3</w:t>
            </w:r>
          </w:p>
        </w:tc>
        <w:tc>
          <w:tcPr>
            <w:tcW w:w="67" w:type="pct"/>
            <w:tcBorders>
              <w:top w:val="nil"/>
              <w:left w:val="nil"/>
              <w:bottom w:val="nil"/>
              <w:right w:val="nil"/>
            </w:tcBorders>
            <w:shd w:val="clear" w:color="000000" w:fill="FFFFFF"/>
            <w:noWrap/>
            <w:vAlign w:val="center"/>
            <w:hideMark/>
          </w:tcPr>
          <w:p w14:paraId="65A272D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447" w:type="pct"/>
            <w:tcBorders>
              <w:top w:val="nil"/>
              <w:left w:val="nil"/>
              <w:bottom w:val="nil"/>
              <w:right w:val="nil"/>
            </w:tcBorders>
            <w:shd w:val="clear" w:color="000000" w:fill="E6F2FF"/>
            <w:noWrap/>
            <w:vAlign w:val="center"/>
            <w:hideMark/>
          </w:tcPr>
          <w:p w14:paraId="241C9C2A"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644.1</w:t>
            </w:r>
          </w:p>
        </w:tc>
        <w:tc>
          <w:tcPr>
            <w:tcW w:w="447" w:type="pct"/>
            <w:tcBorders>
              <w:top w:val="nil"/>
              <w:left w:val="nil"/>
              <w:bottom w:val="nil"/>
              <w:right w:val="nil"/>
            </w:tcBorders>
            <w:shd w:val="clear" w:color="000000" w:fill="FFFFFF"/>
            <w:noWrap/>
            <w:vAlign w:val="center"/>
            <w:hideMark/>
          </w:tcPr>
          <w:p w14:paraId="789FCCF9"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665.5</w:t>
            </w:r>
          </w:p>
        </w:tc>
        <w:tc>
          <w:tcPr>
            <w:tcW w:w="447" w:type="pct"/>
            <w:tcBorders>
              <w:top w:val="nil"/>
              <w:left w:val="nil"/>
              <w:bottom w:val="nil"/>
              <w:right w:val="nil"/>
            </w:tcBorders>
            <w:shd w:val="clear" w:color="000000" w:fill="FFFFFF"/>
            <w:noWrap/>
            <w:vAlign w:val="center"/>
            <w:hideMark/>
          </w:tcPr>
          <w:p w14:paraId="258764DE"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694.2</w:t>
            </w:r>
          </w:p>
        </w:tc>
        <w:tc>
          <w:tcPr>
            <w:tcW w:w="447" w:type="pct"/>
            <w:tcBorders>
              <w:top w:val="nil"/>
              <w:left w:val="nil"/>
              <w:bottom w:val="nil"/>
              <w:right w:val="nil"/>
            </w:tcBorders>
            <w:shd w:val="clear" w:color="000000" w:fill="FFFFFF"/>
            <w:noWrap/>
            <w:vAlign w:val="center"/>
            <w:hideMark/>
          </w:tcPr>
          <w:p w14:paraId="56356E97"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728.6</w:t>
            </w:r>
          </w:p>
        </w:tc>
        <w:tc>
          <w:tcPr>
            <w:tcW w:w="67" w:type="pct"/>
            <w:tcBorders>
              <w:top w:val="nil"/>
              <w:left w:val="nil"/>
              <w:bottom w:val="nil"/>
              <w:right w:val="nil"/>
            </w:tcBorders>
            <w:shd w:val="clear" w:color="000000" w:fill="FFFFFF"/>
            <w:noWrap/>
            <w:vAlign w:val="center"/>
            <w:hideMark/>
          </w:tcPr>
          <w:p w14:paraId="5AE07DCE"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455" w:type="pct"/>
            <w:tcBorders>
              <w:top w:val="nil"/>
              <w:left w:val="nil"/>
              <w:bottom w:val="nil"/>
              <w:right w:val="nil"/>
            </w:tcBorders>
            <w:shd w:val="clear" w:color="000000" w:fill="FFFFFF"/>
            <w:noWrap/>
            <w:vAlign w:val="center"/>
            <w:hideMark/>
          </w:tcPr>
          <w:p w14:paraId="714737B4"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2,732.3</w:t>
            </w:r>
          </w:p>
        </w:tc>
        <w:tc>
          <w:tcPr>
            <w:tcW w:w="80" w:type="pct"/>
            <w:tcBorders>
              <w:top w:val="nil"/>
              <w:left w:val="nil"/>
              <w:bottom w:val="nil"/>
              <w:right w:val="nil"/>
            </w:tcBorders>
            <w:shd w:val="clear" w:color="000000" w:fill="FFFFFF"/>
            <w:noWrap/>
            <w:vAlign w:val="center"/>
            <w:hideMark/>
          </w:tcPr>
          <w:p w14:paraId="5430D57F"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c>
          <w:tcPr>
            <w:tcW w:w="558" w:type="pct"/>
            <w:tcBorders>
              <w:top w:val="nil"/>
              <w:left w:val="nil"/>
              <w:bottom w:val="nil"/>
              <w:right w:val="nil"/>
            </w:tcBorders>
            <w:shd w:val="clear" w:color="000000" w:fill="FFFFFF"/>
            <w:noWrap/>
            <w:vAlign w:val="center"/>
            <w:hideMark/>
          </w:tcPr>
          <w:p w14:paraId="707B528F" w14:textId="77777777" w:rsidR="001A2DA9" w:rsidRPr="001A2DA9" w:rsidRDefault="001A2DA9" w:rsidP="001A2DA9">
            <w:pPr>
              <w:spacing w:before="0" w:after="0" w:line="240" w:lineRule="auto"/>
              <w:jc w:val="right"/>
              <w:rPr>
                <w:rFonts w:ascii="Arial" w:hAnsi="Arial" w:cs="Arial"/>
                <w:b/>
                <w:bCs/>
                <w:color w:val="000000"/>
                <w:sz w:val="16"/>
                <w:szCs w:val="16"/>
              </w:rPr>
            </w:pPr>
            <w:r w:rsidRPr="001A2DA9">
              <w:rPr>
                <w:rFonts w:ascii="Arial" w:hAnsi="Arial" w:cs="Arial"/>
                <w:b/>
                <w:bCs/>
                <w:color w:val="000000"/>
                <w:sz w:val="16"/>
                <w:szCs w:val="16"/>
              </w:rPr>
              <w:t> </w:t>
            </w:r>
          </w:p>
        </w:tc>
      </w:tr>
      <w:tr w:rsidR="001A2DA9" w:rsidRPr="001A2DA9" w14:paraId="6B7B8769"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1ACABE93"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Per cent of GDP</w:t>
            </w:r>
          </w:p>
        </w:tc>
        <w:tc>
          <w:tcPr>
            <w:tcW w:w="455" w:type="pct"/>
            <w:tcBorders>
              <w:top w:val="nil"/>
              <w:left w:val="nil"/>
              <w:bottom w:val="nil"/>
              <w:right w:val="nil"/>
            </w:tcBorders>
            <w:shd w:val="clear" w:color="000000" w:fill="FFFFFF"/>
            <w:noWrap/>
            <w:vAlign w:val="center"/>
            <w:hideMark/>
          </w:tcPr>
          <w:p w14:paraId="6EFDC466"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26.8</w:t>
            </w:r>
          </w:p>
        </w:tc>
        <w:tc>
          <w:tcPr>
            <w:tcW w:w="67" w:type="pct"/>
            <w:tcBorders>
              <w:top w:val="nil"/>
              <w:left w:val="nil"/>
              <w:bottom w:val="nil"/>
              <w:right w:val="nil"/>
            </w:tcBorders>
            <w:shd w:val="clear" w:color="000000" w:fill="FFFFFF"/>
            <w:noWrap/>
            <w:vAlign w:val="center"/>
            <w:hideMark/>
          </w:tcPr>
          <w:p w14:paraId="18646356"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5E438B78"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25.9</w:t>
            </w:r>
          </w:p>
        </w:tc>
        <w:tc>
          <w:tcPr>
            <w:tcW w:w="447" w:type="pct"/>
            <w:tcBorders>
              <w:top w:val="nil"/>
              <w:left w:val="nil"/>
              <w:bottom w:val="nil"/>
              <w:right w:val="nil"/>
            </w:tcBorders>
            <w:shd w:val="clear" w:color="000000" w:fill="FFFFFF"/>
            <w:noWrap/>
            <w:vAlign w:val="center"/>
            <w:hideMark/>
          </w:tcPr>
          <w:p w14:paraId="604A6165"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27.0</w:t>
            </w:r>
          </w:p>
        </w:tc>
        <w:tc>
          <w:tcPr>
            <w:tcW w:w="447" w:type="pct"/>
            <w:tcBorders>
              <w:top w:val="nil"/>
              <w:left w:val="nil"/>
              <w:bottom w:val="nil"/>
              <w:right w:val="nil"/>
            </w:tcBorders>
            <w:shd w:val="clear" w:color="000000" w:fill="FFFFFF"/>
            <w:noWrap/>
            <w:vAlign w:val="center"/>
            <w:hideMark/>
          </w:tcPr>
          <w:p w14:paraId="208741A0"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27.1</w:t>
            </w:r>
          </w:p>
        </w:tc>
        <w:tc>
          <w:tcPr>
            <w:tcW w:w="447" w:type="pct"/>
            <w:tcBorders>
              <w:top w:val="nil"/>
              <w:left w:val="nil"/>
              <w:bottom w:val="nil"/>
              <w:right w:val="nil"/>
            </w:tcBorders>
            <w:shd w:val="clear" w:color="000000" w:fill="FFFFFF"/>
            <w:noWrap/>
            <w:vAlign w:val="center"/>
            <w:hideMark/>
          </w:tcPr>
          <w:p w14:paraId="7FED5A1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27.1</w:t>
            </w:r>
          </w:p>
        </w:tc>
        <w:tc>
          <w:tcPr>
            <w:tcW w:w="67" w:type="pct"/>
            <w:tcBorders>
              <w:top w:val="nil"/>
              <w:left w:val="nil"/>
              <w:bottom w:val="nil"/>
              <w:right w:val="nil"/>
            </w:tcBorders>
            <w:shd w:val="clear" w:color="000000" w:fill="FFFFFF"/>
            <w:noWrap/>
            <w:vAlign w:val="center"/>
            <w:hideMark/>
          </w:tcPr>
          <w:p w14:paraId="4FA6CCD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4D0D713B"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17BDBA74"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64A6BBB2"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27.9</w:t>
            </w:r>
          </w:p>
        </w:tc>
      </w:tr>
      <w:tr w:rsidR="001A2DA9" w:rsidRPr="001A2DA9" w14:paraId="47E2179E"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7D06A89F"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037FE81B"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67" w:type="pct"/>
            <w:tcBorders>
              <w:top w:val="nil"/>
              <w:left w:val="nil"/>
              <w:bottom w:val="nil"/>
              <w:right w:val="nil"/>
            </w:tcBorders>
            <w:shd w:val="clear" w:color="000000" w:fill="FFFFFF"/>
            <w:noWrap/>
            <w:vAlign w:val="center"/>
            <w:hideMark/>
          </w:tcPr>
          <w:p w14:paraId="5CF80F86"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E6F2FF"/>
            <w:noWrap/>
            <w:vAlign w:val="center"/>
            <w:hideMark/>
          </w:tcPr>
          <w:p w14:paraId="33787EF7"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30ABAA2A"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44ABDE55"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47" w:type="pct"/>
            <w:tcBorders>
              <w:top w:val="nil"/>
              <w:left w:val="nil"/>
              <w:bottom w:val="nil"/>
              <w:right w:val="nil"/>
            </w:tcBorders>
            <w:shd w:val="clear" w:color="000000" w:fill="FFFFFF"/>
            <w:noWrap/>
            <w:vAlign w:val="center"/>
            <w:hideMark/>
          </w:tcPr>
          <w:p w14:paraId="107D2AE3"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67" w:type="pct"/>
            <w:tcBorders>
              <w:top w:val="nil"/>
              <w:left w:val="nil"/>
              <w:bottom w:val="nil"/>
              <w:right w:val="nil"/>
            </w:tcBorders>
            <w:shd w:val="clear" w:color="000000" w:fill="FFFFFF"/>
            <w:noWrap/>
            <w:vAlign w:val="center"/>
            <w:hideMark/>
          </w:tcPr>
          <w:p w14:paraId="2CE30F4C"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1DCE9F5E"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1AC49AF0"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c>
          <w:tcPr>
            <w:tcW w:w="558" w:type="pct"/>
            <w:tcBorders>
              <w:top w:val="nil"/>
              <w:left w:val="nil"/>
              <w:bottom w:val="nil"/>
              <w:right w:val="nil"/>
            </w:tcBorders>
            <w:shd w:val="clear" w:color="000000" w:fill="FFFFFF"/>
            <w:noWrap/>
            <w:vAlign w:val="center"/>
            <w:hideMark/>
          </w:tcPr>
          <w:p w14:paraId="0378AF1A" w14:textId="77777777" w:rsidR="001A2DA9" w:rsidRPr="001A2DA9" w:rsidRDefault="001A2DA9" w:rsidP="001A2DA9">
            <w:pPr>
              <w:spacing w:before="0" w:after="0" w:line="240" w:lineRule="auto"/>
              <w:jc w:val="right"/>
              <w:rPr>
                <w:rFonts w:ascii="Arial" w:hAnsi="Arial" w:cs="Arial"/>
                <w:color w:val="000000"/>
                <w:sz w:val="16"/>
                <w:szCs w:val="16"/>
              </w:rPr>
            </w:pPr>
            <w:r w:rsidRPr="001A2DA9">
              <w:rPr>
                <w:rFonts w:ascii="Arial" w:hAnsi="Arial" w:cs="Arial"/>
                <w:color w:val="000000"/>
                <w:sz w:val="16"/>
                <w:szCs w:val="16"/>
              </w:rPr>
              <w:t> </w:t>
            </w:r>
          </w:p>
        </w:tc>
      </w:tr>
      <w:tr w:rsidR="001A2DA9" w:rsidRPr="001A2DA9" w14:paraId="4942D5D7"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47B0D174" w14:textId="77777777" w:rsidR="001A2DA9" w:rsidRPr="001A2DA9" w:rsidRDefault="001A2DA9" w:rsidP="001A2DA9">
            <w:pPr>
              <w:spacing w:before="0" w:after="0" w:line="240" w:lineRule="auto"/>
              <w:rPr>
                <w:rFonts w:ascii="Arial" w:hAnsi="Arial" w:cs="Arial"/>
                <w:b/>
                <w:bCs/>
                <w:color w:val="000000"/>
                <w:sz w:val="16"/>
                <w:szCs w:val="16"/>
              </w:rPr>
            </w:pPr>
            <w:r w:rsidRPr="001A2DA9">
              <w:rPr>
                <w:rFonts w:ascii="Arial" w:hAnsi="Arial" w:cs="Arial"/>
                <w:b/>
                <w:bCs/>
                <w:color w:val="000000"/>
                <w:sz w:val="16"/>
                <w:szCs w:val="16"/>
              </w:rPr>
              <w:t>Gross debt(c)</w:t>
            </w:r>
          </w:p>
        </w:tc>
        <w:tc>
          <w:tcPr>
            <w:tcW w:w="455" w:type="pct"/>
            <w:tcBorders>
              <w:top w:val="nil"/>
              <w:left w:val="nil"/>
              <w:bottom w:val="nil"/>
              <w:right w:val="nil"/>
            </w:tcBorders>
            <w:shd w:val="clear" w:color="000000" w:fill="FFFFFF"/>
            <w:noWrap/>
            <w:vAlign w:val="center"/>
            <w:hideMark/>
          </w:tcPr>
          <w:p w14:paraId="65602CCD"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895.3</w:t>
            </w:r>
          </w:p>
        </w:tc>
        <w:tc>
          <w:tcPr>
            <w:tcW w:w="67" w:type="pct"/>
            <w:tcBorders>
              <w:top w:val="nil"/>
              <w:left w:val="nil"/>
              <w:bottom w:val="nil"/>
              <w:right w:val="nil"/>
            </w:tcBorders>
            <w:shd w:val="clear" w:color="000000" w:fill="FFFFFF"/>
            <w:noWrap/>
            <w:vAlign w:val="center"/>
            <w:hideMark/>
          </w:tcPr>
          <w:p w14:paraId="35A39043"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447" w:type="pct"/>
            <w:tcBorders>
              <w:top w:val="nil"/>
              <w:left w:val="nil"/>
              <w:bottom w:val="nil"/>
              <w:right w:val="nil"/>
            </w:tcBorders>
            <w:shd w:val="clear" w:color="000000" w:fill="E6F2FF"/>
            <w:noWrap/>
            <w:vAlign w:val="center"/>
            <w:hideMark/>
          </w:tcPr>
          <w:p w14:paraId="5EE2215F"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927.0</w:t>
            </w:r>
          </w:p>
        </w:tc>
        <w:tc>
          <w:tcPr>
            <w:tcW w:w="447" w:type="pct"/>
            <w:tcBorders>
              <w:top w:val="nil"/>
              <w:left w:val="nil"/>
              <w:bottom w:val="nil"/>
              <w:right w:val="nil"/>
            </w:tcBorders>
            <w:shd w:val="clear" w:color="000000" w:fill="FFFFFF"/>
            <w:noWrap/>
            <w:vAlign w:val="center"/>
            <w:hideMark/>
          </w:tcPr>
          <w:p w14:paraId="24271AD8"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1,004.0</w:t>
            </w:r>
          </w:p>
        </w:tc>
        <w:tc>
          <w:tcPr>
            <w:tcW w:w="447" w:type="pct"/>
            <w:tcBorders>
              <w:top w:val="nil"/>
              <w:left w:val="nil"/>
              <w:bottom w:val="nil"/>
              <w:right w:val="nil"/>
            </w:tcBorders>
            <w:shd w:val="clear" w:color="000000" w:fill="FFFFFF"/>
            <w:noWrap/>
            <w:vAlign w:val="center"/>
            <w:hideMark/>
          </w:tcPr>
          <w:p w14:paraId="0B3DA870"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1,091.0</w:t>
            </w:r>
          </w:p>
        </w:tc>
        <w:tc>
          <w:tcPr>
            <w:tcW w:w="447" w:type="pct"/>
            <w:tcBorders>
              <w:top w:val="nil"/>
              <w:left w:val="nil"/>
              <w:bottom w:val="nil"/>
              <w:right w:val="nil"/>
            </w:tcBorders>
            <w:shd w:val="clear" w:color="000000" w:fill="FFFFFF"/>
            <w:noWrap/>
            <w:vAlign w:val="center"/>
            <w:hideMark/>
          </w:tcPr>
          <w:p w14:paraId="57738D9A"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1,159.0</w:t>
            </w:r>
          </w:p>
        </w:tc>
        <w:tc>
          <w:tcPr>
            <w:tcW w:w="67" w:type="pct"/>
            <w:tcBorders>
              <w:top w:val="nil"/>
              <w:left w:val="nil"/>
              <w:bottom w:val="nil"/>
              <w:right w:val="nil"/>
            </w:tcBorders>
            <w:shd w:val="clear" w:color="000000" w:fill="FFFFFF"/>
            <w:noWrap/>
            <w:vAlign w:val="center"/>
            <w:hideMark/>
          </w:tcPr>
          <w:p w14:paraId="070C40A3"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455" w:type="pct"/>
            <w:tcBorders>
              <w:top w:val="nil"/>
              <w:left w:val="nil"/>
              <w:bottom w:val="nil"/>
              <w:right w:val="nil"/>
            </w:tcBorders>
            <w:shd w:val="clear" w:color="000000" w:fill="FFFFFF"/>
            <w:noWrap/>
            <w:vAlign w:val="center"/>
            <w:hideMark/>
          </w:tcPr>
          <w:p w14:paraId="7C187212"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50DD19F8"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558" w:type="pct"/>
            <w:tcBorders>
              <w:top w:val="nil"/>
              <w:left w:val="nil"/>
              <w:bottom w:val="nil"/>
              <w:right w:val="nil"/>
            </w:tcBorders>
            <w:shd w:val="clear" w:color="000000" w:fill="FFFFFF"/>
            <w:noWrap/>
            <w:vAlign w:val="center"/>
            <w:hideMark/>
          </w:tcPr>
          <w:p w14:paraId="4D3A1BA1" w14:textId="77777777" w:rsidR="001A2DA9" w:rsidRPr="001A2DA9" w:rsidRDefault="001A2DA9" w:rsidP="001A2DA9">
            <w:pPr>
              <w:spacing w:before="0" w:after="0" w:line="240" w:lineRule="auto"/>
              <w:rPr>
                <w:rFonts w:ascii="Arial" w:hAnsi="Arial" w:cs="Arial"/>
                <w:b/>
                <w:bCs/>
                <w:color w:val="000000"/>
                <w:sz w:val="16"/>
                <w:szCs w:val="16"/>
              </w:rPr>
            </w:pPr>
            <w:r w:rsidRPr="001A2DA9">
              <w:rPr>
                <w:rFonts w:ascii="Arial" w:hAnsi="Arial" w:cs="Arial"/>
                <w:b/>
                <w:bCs/>
                <w:color w:val="000000"/>
                <w:sz w:val="16"/>
                <w:szCs w:val="16"/>
              </w:rPr>
              <w:t> </w:t>
            </w:r>
          </w:p>
        </w:tc>
      </w:tr>
      <w:tr w:rsidR="001A2DA9" w:rsidRPr="001A2DA9" w14:paraId="151E749D"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24127798"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Per cent of GDP</w:t>
            </w:r>
          </w:p>
        </w:tc>
        <w:tc>
          <w:tcPr>
            <w:tcW w:w="455" w:type="pct"/>
            <w:tcBorders>
              <w:top w:val="nil"/>
              <w:left w:val="nil"/>
              <w:bottom w:val="nil"/>
              <w:right w:val="nil"/>
            </w:tcBorders>
            <w:shd w:val="clear" w:color="000000" w:fill="FFFFFF"/>
            <w:noWrap/>
            <w:vAlign w:val="center"/>
            <w:hideMark/>
          </w:tcPr>
          <w:p w14:paraId="7382B79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39.0</w:t>
            </w:r>
          </w:p>
        </w:tc>
        <w:tc>
          <w:tcPr>
            <w:tcW w:w="67" w:type="pct"/>
            <w:tcBorders>
              <w:top w:val="nil"/>
              <w:left w:val="nil"/>
              <w:bottom w:val="nil"/>
              <w:right w:val="nil"/>
            </w:tcBorders>
            <w:shd w:val="clear" w:color="000000" w:fill="FFFFFF"/>
            <w:noWrap/>
            <w:vAlign w:val="center"/>
            <w:hideMark/>
          </w:tcPr>
          <w:p w14:paraId="78C91C1A" w14:textId="77777777" w:rsidR="001A2DA9" w:rsidRPr="001A2DA9" w:rsidRDefault="001A2DA9" w:rsidP="001A2DA9">
            <w:pPr>
              <w:spacing w:before="0" w:after="0" w:line="240" w:lineRule="auto"/>
              <w:jc w:val="right"/>
              <w:rPr>
                <w:rFonts w:ascii="Arial" w:hAnsi="Arial" w:cs="Arial"/>
                <w:color w:val="FF0000"/>
                <w:sz w:val="16"/>
                <w:szCs w:val="16"/>
              </w:rPr>
            </w:pPr>
            <w:r w:rsidRPr="001A2DA9">
              <w:rPr>
                <w:rFonts w:ascii="Arial" w:hAnsi="Arial" w:cs="Arial"/>
                <w:color w:val="FF0000"/>
                <w:sz w:val="16"/>
                <w:szCs w:val="16"/>
              </w:rPr>
              <w:t> </w:t>
            </w:r>
          </w:p>
        </w:tc>
        <w:tc>
          <w:tcPr>
            <w:tcW w:w="447" w:type="pct"/>
            <w:tcBorders>
              <w:top w:val="nil"/>
              <w:left w:val="nil"/>
              <w:bottom w:val="nil"/>
              <w:right w:val="nil"/>
            </w:tcBorders>
            <w:shd w:val="clear" w:color="000000" w:fill="E6F2FF"/>
            <w:noWrap/>
            <w:vAlign w:val="center"/>
            <w:hideMark/>
          </w:tcPr>
          <w:p w14:paraId="5647F6F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37.3</w:t>
            </w:r>
          </w:p>
        </w:tc>
        <w:tc>
          <w:tcPr>
            <w:tcW w:w="447" w:type="pct"/>
            <w:tcBorders>
              <w:top w:val="nil"/>
              <w:left w:val="nil"/>
              <w:bottom w:val="nil"/>
              <w:right w:val="nil"/>
            </w:tcBorders>
            <w:shd w:val="clear" w:color="000000" w:fill="FFFFFF"/>
            <w:noWrap/>
            <w:vAlign w:val="center"/>
            <w:hideMark/>
          </w:tcPr>
          <w:p w14:paraId="21DA8D18"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40.8</w:t>
            </w:r>
          </w:p>
        </w:tc>
        <w:tc>
          <w:tcPr>
            <w:tcW w:w="447" w:type="pct"/>
            <w:tcBorders>
              <w:top w:val="nil"/>
              <w:left w:val="nil"/>
              <w:bottom w:val="nil"/>
              <w:right w:val="nil"/>
            </w:tcBorders>
            <w:shd w:val="clear" w:color="000000" w:fill="FFFFFF"/>
            <w:noWrap/>
            <w:vAlign w:val="center"/>
            <w:hideMark/>
          </w:tcPr>
          <w:p w14:paraId="5863950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42.5</w:t>
            </w:r>
          </w:p>
        </w:tc>
        <w:tc>
          <w:tcPr>
            <w:tcW w:w="447" w:type="pct"/>
            <w:tcBorders>
              <w:top w:val="nil"/>
              <w:left w:val="nil"/>
              <w:bottom w:val="nil"/>
              <w:right w:val="nil"/>
            </w:tcBorders>
            <w:shd w:val="clear" w:color="000000" w:fill="FFFFFF"/>
            <w:noWrap/>
            <w:vAlign w:val="center"/>
            <w:hideMark/>
          </w:tcPr>
          <w:p w14:paraId="7F58258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43.1</w:t>
            </w:r>
          </w:p>
        </w:tc>
        <w:tc>
          <w:tcPr>
            <w:tcW w:w="67" w:type="pct"/>
            <w:tcBorders>
              <w:top w:val="nil"/>
              <w:left w:val="nil"/>
              <w:bottom w:val="nil"/>
              <w:right w:val="nil"/>
            </w:tcBorders>
            <w:shd w:val="clear" w:color="000000" w:fill="FFFFFF"/>
            <w:noWrap/>
            <w:vAlign w:val="center"/>
            <w:hideMark/>
          </w:tcPr>
          <w:p w14:paraId="73A5520F"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284A005D"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9FCAD74"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558" w:type="pct"/>
            <w:tcBorders>
              <w:top w:val="nil"/>
              <w:left w:val="nil"/>
              <w:bottom w:val="nil"/>
              <w:right w:val="nil"/>
            </w:tcBorders>
            <w:shd w:val="clear" w:color="000000" w:fill="FFFFFF"/>
            <w:noWrap/>
            <w:vAlign w:val="center"/>
            <w:hideMark/>
          </w:tcPr>
          <w:p w14:paraId="2D97016D"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46.9</w:t>
            </w:r>
          </w:p>
        </w:tc>
      </w:tr>
      <w:tr w:rsidR="001A2DA9" w:rsidRPr="001A2DA9" w14:paraId="24A241F3"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4C6C5F7C"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7497F794"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67" w:type="pct"/>
            <w:tcBorders>
              <w:top w:val="nil"/>
              <w:left w:val="nil"/>
              <w:bottom w:val="nil"/>
              <w:right w:val="nil"/>
            </w:tcBorders>
            <w:shd w:val="clear" w:color="000000" w:fill="FFFFFF"/>
            <w:noWrap/>
            <w:vAlign w:val="center"/>
            <w:hideMark/>
          </w:tcPr>
          <w:p w14:paraId="0501D950" w14:textId="77777777" w:rsidR="001A2DA9" w:rsidRPr="001A2DA9" w:rsidRDefault="001A2DA9" w:rsidP="001A2DA9">
            <w:pPr>
              <w:spacing w:before="0" w:after="0" w:line="240" w:lineRule="auto"/>
              <w:jc w:val="right"/>
              <w:rPr>
                <w:rFonts w:ascii="Arial" w:hAnsi="Arial" w:cs="Arial"/>
                <w:color w:val="FF0000"/>
                <w:sz w:val="16"/>
                <w:szCs w:val="16"/>
              </w:rPr>
            </w:pPr>
            <w:r w:rsidRPr="001A2DA9">
              <w:rPr>
                <w:rFonts w:ascii="Arial" w:hAnsi="Arial" w:cs="Arial"/>
                <w:color w:val="FF0000"/>
                <w:sz w:val="16"/>
                <w:szCs w:val="16"/>
              </w:rPr>
              <w:t> </w:t>
            </w:r>
          </w:p>
        </w:tc>
        <w:tc>
          <w:tcPr>
            <w:tcW w:w="447" w:type="pct"/>
            <w:tcBorders>
              <w:top w:val="nil"/>
              <w:left w:val="nil"/>
              <w:bottom w:val="nil"/>
              <w:right w:val="nil"/>
            </w:tcBorders>
            <w:shd w:val="clear" w:color="000000" w:fill="E6F2FF"/>
            <w:noWrap/>
            <w:vAlign w:val="center"/>
            <w:hideMark/>
          </w:tcPr>
          <w:p w14:paraId="32FA7EF2"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447" w:type="pct"/>
            <w:tcBorders>
              <w:top w:val="nil"/>
              <w:left w:val="nil"/>
              <w:bottom w:val="nil"/>
              <w:right w:val="nil"/>
            </w:tcBorders>
            <w:shd w:val="clear" w:color="000000" w:fill="FFFFFF"/>
            <w:noWrap/>
            <w:vAlign w:val="center"/>
            <w:hideMark/>
          </w:tcPr>
          <w:p w14:paraId="4EE4DC2F"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3CDFE1D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73E8157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67" w:type="pct"/>
            <w:tcBorders>
              <w:top w:val="nil"/>
              <w:left w:val="nil"/>
              <w:bottom w:val="nil"/>
              <w:right w:val="nil"/>
            </w:tcBorders>
            <w:shd w:val="clear" w:color="000000" w:fill="FFFFFF"/>
            <w:noWrap/>
            <w:vAlign w:val="center"/>
            <w:hideMark/>
          </w:tcPr>
          <w:p w14:paraId="298BD1E4"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73FFEE1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C5D0500"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558" w:type="pct"/>
            <w:tcBorders>
              <w:top w:val="nil"/>
              <w:left w:val="nil"/>
              <w:bottom w:val="nil"/>
              <w:right w:val="nil"/>
            </w:tcBorders>
            <w:shd w:val="clear" w:color="000000" w:fill="FFFFFF"/>
            <w:noWrap/>
            <w:vAlign w:val="center"/>
            <w:hideMark/>
          </w:tcPr>
          <w:p w14:paraId="5795B088"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r>
      <w:tr w:rsidR="001A2DA9" w:rsidRPr="001A2DA9" w14:paraId="2DB6409D"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7FC8DA5F" w14:textId="77777777" w:rsidR="001A2DA9" w:rsidRPr="001A2DA9" w:rsidRDefault="001A2DA9" w:rsidP="001A2DA9">
            <w:pPr>
              <w:spacing w:before="0" w:after="0" w:line="240" w:lineRule="auto"/>
              <w:rPr>
                <w:rFonts w:ascii="Arial" w:hAnsi="Arial" w:cs="Arial"/>
                <w:b/>
                <w:bCs/>
                <w:color w:val="000000"/>
                <w:sz w:val="16"/>
                <w:szCs w:val="16"/>
              </w:rPr>
            </w:pPr>
            <w:r w:rsidRPr="001A2DA9">
              <w:rPr>
                <w:rFonts w:ascii="Arial" w:hAnsi="Arial" w:cs="Arial"/>
                <w:b/>
                <w:bCs/>
                <w:color w:val="000000"/>
                <w:sz w:val="16"/>
                <w:szCs w:val="16"/>
              </w:rPr>
              <w:t xml:space="preserve">Net debt(d) </w:t>
            </w:r>
          </w:p>
        </w:tc>
        <w:tc>
          <w:tcPr>
            <w:tcW w:w="455" w:type="pct"/>
            <w:tcBorders>
              <w:top w:val="nil"/>
              <w:left w:val="nil"/>
              <w:bottom w:val="nil"/>
              <w:right w:val="nil"/>
            </w:tcBorders>
            <w:shd w:val="clear" w:color="000000" w:fill="FFFFFF"/>
            <w:noWrap/>
            <w:vAlign w:val="center"/>
            <w:hideMark/>
          </w:tcPr>
          <w:p w14:paraId="576E5935"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515.6</w:t>
            </w:r>
          </w:p>
        </w:tc>
        <w:tc>
          <w:tcPr>
            <w:tcW w:w="67" w:type="pct"/>
            <w:tcBorders>
              <w:top w:val="nil"/>
              <w:left w:val="nil"/>
              <w:bottom w:val="nil"/>
              <w:right w:val="nil"/>
            </w:tcBorders>
            <w:shd w:val="clear" w:color="000000" w:fill="FFFFFF"/>
            <w:noWrap/>
            <w:vAlign w:val="center"/>
            <w:hideMark/>
          </w:tcPr>
          <w:p w14:paraId="3F613945" w14:textId="77777777" w:rsidR="001A2DA9" w:rsidRPr="001A2DA9" w:rsidRDefault="001A2DA9" w:rsidP="001A2DA9">
            <w:pPr>
              <w:spacing w:before="0" w:after="0" w:line="240" w:lineRule="auto"/>
              <w:jc w:val="right"/>
              <w:rPr>
                <w:rFonts w:ascii="Arial" w:hAnsi="Arial" w:cs="Arial"/>
                <w:color w:val="FF0000"/>
                <w:sz w:val="16"/>
                <w:szCs w:val="16"/>
              </w:rPr>
            </w:pPr>
            <w:r w:rsidRPr="001A2DA9">
              <w:rPr>
                <w:rFonts w:ascii="Arial" w:hAnsi="Arial" w:cs="Arial"/>
                <w:color w:val="FF0000"/>
                <w:sz w:val="16"/>
                <w:szCs w:val="16"/>
              </w:rPr>
              <w:t> </w:t>
            </w:r>
          </w:p>
        </w:tc>
        <w:tc>
          <w:tcPr>
            <w:tcW w:w="447" w:type="pct"/>
            <w:tcBorders>
              <w:top w:val="nil"/>
              <w:left w:val="nil"/>
              <w:bottom w:val="nil"/>
              <w:right w:val="nil"/>
            </w:tcBorders>
            <w:shd w:val="clear" w:color="000000" w:fill="E6F2FF"/>
            <w:noWrap/>
            <w:vAlign w:val="center"/>
            <w:hideMark/>
          </w:tcPr>
          <w:p w14:paraId="0FDEDEF1"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572.2</w:t>
            </w:r>
          </w:p>
        </w:tc>
        <w:tc>
          <w:tcPr>
            <w:tcW w:w="447" w:type="pct"/>
            <w:tcBorders>
              <w:top w:val="nil"/>
              <w:left w:val="nil"/>
              <w:bottom w:val="nil"/>
              <w:right w:val="nil"/>
            </w:tcBorders>
            <w:shd w:val="clear" w:color="000000" w:fill="FFFFFF"/>
            <w:noWrap/>
            <w:vAlign w:val="center"/>
            <w:hideMark/>
          </w:tcPr>
          <w:p w14:paraId="741B72FA"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634.1</w:t>
            </w:r>
          </w:p>
        </w:tc>
        <w:tc>
          <w:tcPr>
            <w:tcW w:w="447" w:type="pct"/>
            <w:tcBorders>
              <w:top w:val="nil"/>
              <w:left w:val="nil"/>
              <w:bottom w:val="nil"/>
              <w:right w:val="nil"/>
            </w:tcBorders>
            <w:shd w:val="clear" w:color="000000" w:fill="FFFFFF"/>
            <w:noWrap/>
            <w:vAlign w:val="center"/>
            <w:hideMark/>
          </w:tcPr>
          <w:p w14:paraId="5C16E032"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702.8</w:t>
            </w:r>
          </w:p>
        </w:tc>
        <w:tc>
          <w:tcPr>
            <w:tcW w:w="447" w:type="pct"/>
            <w:tcBorders>
              <w:top w:val="nil"/>
              <w:left w:val="nil"/>
              <w:bottom w:val="nil"/>
              <w:right w:val="nil"/>
            </w:tcBorders>
            <w:shd w:val="clear" w:color="000000" w:fill="FFFFFF"/>
            <w:noWrap/>
            <w:vAlign w:val="center"/>
            <w:hideMark/>
          </w:tcPr>
          <w:p w14:paraId="74A3D645"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766.8</w:t>
            </w:r>
          </w:p>
        </w:tc>
        <w:tc>
          <w:tcPr>
            <w:tcW w:w="67" w:type="pct"/>
            <w:tcBorders>
              <w:top w:val="nil"/>
              <w:left w:val="nil"/>
              <w:bottom w:val="nil"/>
              <w:right w:val="nil"/>
            </w:tcBorders>
            <w:shd w:val="clear" w:color="000000" w:fill="FFFFFF"/>
            <w:noWrap/>
            <w:vAlign w:val="center"/>
            <w:hideMark/>
          </w:tcPr>
          <w:p w14:paraId="4C601BC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1E16DEA4"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E67ED47"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558" w:type="pct"/>
            <w:tcBorders>
              <w:top w:val="nil"/>
              <w:left w:val="nil"/>
              <w:bottom w:val="nil"/>
              <w:right w:val="nil"/>
            </w:tcBorders>
            <w:shd w:val="clear" w:color="000000" w:fill="FFFFFF"/>
            <w:noWrap/>
            <w:vAlign w:val="center"/>
            <w:hideMark/>
          </w:tcPr>
          <w:p w14:paraId="2406A35F"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r>
      <w:tr w:rsidR="001A2DA9" w:rsidRPr="001A2DA9" w14:paraId="3B948A1B"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43D99D5A"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xml:space="preserve">Per cent of GDP </w:t>
            </w:r>
          </w:p>
        </w:tc>
        <w:tc>
          <w:tcPr>
            <w:tcW w:w="455" w:type="pct"/>
            <w:tcBorders>
              <w:top w:val="nil"/>
              <w:left w:val="nil"/>
              <w:bottom w:val="nil"/>
              <w:right w:val="nil"/>
            </w:tcBorders>
            <w:shd w:val="clear" w:color="000000" w:fill="FFFFFF"/>
            <w:noWrap/>
            <w:vAlign w:val="center"/>
            <w:hideMark/>
          </w:tcPr>
          <w:p w14:paraId="0E76692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22.5</w:t>
            </w:r>
          </w:p>
        </w:tc>
        <w:tc>
          <w:tcPr>
            <w:tcW w:w="67" w:type="pct"/>
            <w:tcBorders>
              <w:top w:val="nil"/>
              <w:left w:val="nil"/>
              <w:bottom w:val="nil"/>
              <w:right w:val="nil"/>
            </w:tcBorders>
            <w:shd w:val="clear" w:color="000000" w:fill="FFFFFF"/>
            <w:noWrap/>
            <w:vAlign w:val="center"/>
            <w:hideMark/>
          </w:tcPr>
          <w:p w14:paraId="6FABCBE3" w14:textId="77777777" w:rsidR="001A2DA9" w:rsidRPr="001A2DA9" w:rsidRDefault="001A2DA9" w:rsidP="001A2DA9">
            <w:pPr>
              <w:spacing w:before="0" w:after="0" w:line="240" w:lineRule="auto"/>
              <w:jc w:val="right"/>
              <w:rPr>
                <w:rFonts w:ascii="Arial" w:hAnsi="Arial" w:cs="Arial"/>
                <w:color w:val="33CCCC"/>
                <w:sz w:val="16"/>
                <w:szCs w:val="16"/>
              </w:rPr>
            </w:pPr>
            <w:r w:rsidRPr="001A2DA9">
              <w:rPr>
                <w:rFonts w:ascii="Arial" w:hAnsi="Arial" w:cs="Arial"/>
                <w:color w:val="33CCCC"/>
                <w:sz w:val="16"/>
                <w:szCs w:val="16"/>
              </w:rPr>
              <w:t> </w:t>
            </w:r>
          </w:p>
        </w:tc>
        <w:tc>
          <w:tcPr>
            <w:tcW w:w="447" w:type="pct"/>
            <w:tcBorders>
              <w:top w:val="nil"/>
              <w:left w:val="nil"/>
              <w:bottom w:val="nil"/>
              <w:right w:val="nil"/>
            </w:tcBorders>
            <w:shd w:val="clear" w:color="000000" w:fill="E6F2FF"/>
            <w:noWrap/>
            <w:vAlign w:val="center"/>
            <w:hideMark/>
          </w:tcPr>
          <w:p w14:paraId="2CB9A672"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23.0</w:t>
            </w:r>
          </w:p>
        </w:tc>
        <w:tc>
          <w:tcPr>
            <w:tcW w:w="447" w:type="pct"/>
            <w:tcBorders>
              <w:top w:val="nil"/>
              <w:left w:val="nil"/>
              <w:bottom w:val="nil"/>
              <w:right w:val="nil"/>
            </w:tcBorders>
            <w:shd w:val="clear" w:color="000000" w:fill="FFFFFF"/>
            <w:noWrap/>
            <w:vAlign w:val="center"/>
            <w:hideMark/>
          </w:tcPr>
          <w:p w14:paraId="69333B4E"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25.8</w:t>
            </w:r>
          </w:p>
        </w:tc>
        <w:tc>
          <w:tcPr>
            <w:tcW w:w="447" w:type="pct"/>
            <w:tcBorders>
              <w:top w:val="nil"/>
              <w:left w:val="nil"/>
              <w:bottom w:val="nil"/>
              <w:right w:val="nil"/>
            </w:tcBorders>
            <w:shd w:val="clear" w:color="000000" w:fill="FFFFFF"/>
            <w:noWrap/>
            <w:vAlign w:val="center"/>
            <w:hideMark/>
          </w:tcPr>
          <w:p w14:paraId="6D76FBA5"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27.4</w:t>
            </w:r>
          </w:p>
        </w:tc>
        <w:tc>
          <w:tcPr>
            <w:tcW w:w="447" w:type="pct"/>
            <w:tcBorders>
              <w:top w:val="nil"/>
              <w:left w:val="nil"/>
              <w:bottom w:val="nil"/>
              <w:right w:val="nil"/>
            </w:tcBorders>
            <w:shd w:val="clear" w:color="000000" w:fill="FFFFFF"/>
            <w:noWrap/>
            <w:vAlign w:val="center"/>
            <w:hideMark/>
          </w:tcPr>
          <w:p w14:paraId="08A0E0C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28.5</w:t>
            </w:r>
          </w:p>
        </w:tc>
        <w:tc>
          <w:tcPr>
            <w:tcW w:w="67" w:type="pct"/>
            <w:tcBorders>
              <w:top w:val="nil"/>
              <w:left w:val="nil"/>
              <w:bottom w:val="nil"/>
              <w:right w:val="nil"/>
            </w:tcBorders>
            <w:shd w:val="clear" w:color="000000" w:fill="FFFFFF"/>
            <w:noWrap/>
            <w:vAlign w:val="center"/>
            <w:hideMark/>
          </w:tcPr>
          <w:p w14:paraId="1EDB10AD"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551B780A"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9D90482"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558" w:type="pct"/>
            <w:tcBorders>
              <w:top w:val="nil"/>
              <w:left w:val="nil"/>
              <w:bottom w:val="nil"/>
              <w:right w:val="nil"/>
            </w:tcBorders>
            <w:shd w:val="clear" w:color="000000" w:fill="FFFFFF"/>
            <w:noWrap/>
            <w:vAlign w:val="center"/>
            <w:hideMark/>
          </w:tcPr>
          <w:p w14:paraId="358E9FC8"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31.9</w:t>
            </w:r>
          </w:p>
        </w:tc>
      </w:tr>
      <w:tr w:rsidR="001A2DA9" w:rsidRPr="001A2DA9" w14:paraId="5571DB25" w14:textId="77777777" w:rsidTr="000528CD">
        <w:trPr>
          <w:trHeight w:hRule="exact" w:val="60"/>
        </w:trPr>
        <w:tc>
          <w:tcPr>
            <w:tcW w:w="1527" w:type="pct"/>
            <w:tcBorders>
              <w:top w:val="nil"/>
              <w:left w:val="nil"/>
              <w:bottom w:val="nil"/>
              <w:right w:val="nil"/>
            </w:tcBorders>
            <w:shd w:val="clear" w:color="000000" w:fill="FFFFFF"/>
            <w:noWrap/>
            <w:vAlign w:val="center"/>
            <w:hideMark/>
          </w:tcPr>
          <w:p w14:paraId="4C830E77"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c>
          <w:tcPr>
            <w:tcW w:w="455" w:type="pct"/>
            <w:tcBorders>
              <w:top w:val="nil"/>
              <w:left w:val="nil"/>
              <w:bottom w:val="nil"/>
              <w:right w:val="nil"/>
            </w:tcBorders>
            <w:shd w:val="clear" w:color="000000" w:fill="FFFFFF"/>
            <w:noWrap/>
            <w:vAlign w:val="center"/>
            <w:hideMark/>
          </w:tcPr>
          <w:p w14:paraId="5ACED135"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67" w:type="pct"/>
            <w:tcBorders>
              <w:top w:val="nil"/>
              <w:left w:val="nil"/>
              <w:bottom w:val="nil"/>
              <w:right w:val="nil"/>
            </w:tcBorders>
            <w:shd w:val="clear" w:color="000000" w:fill="FFFFFF"/>
            <w:noWrap/>
            <w:vAlign w:val="center"/>
            <w:hideMark/>
          </w:tcPr>
          <w:p w14:paraId="4B3CC042" w14:textId="77777777" w:rsidR="001A2DA9" w:rsidRPr="001A2DA9" w:rsidRDefault="001A2DA9" w:rsidP="001A2DA9">
            <w:pPr>
              <w:spacing w:before="0" w:after="0" w:line="240" w:lineRule="auto"/>
              <w:jc w:val="right"/>
              <w:rPr>
                <w:rFonts w:ascii="Arial" w:hAnsi="Arial" w:cs="Arial"/>
                <w:color w:val="33CCCC"/>
                <w:sz w:val="16"/>
                <w:szCs w:val="16"/>
              </w:rPr>
            </w:pPr>
            <w:r w:rsidRPr="001A2DA9">
              <w:rPr>
                <w:rFonts w:ascii="Arial" w:hAnsi="Arial" w:cs="Arial"/>
                <w:color w:val="33CCCC"/>
                <w:sz w:val="16"/>
                <w:szCs w:val="16"/>
              </w:rPr>
              <w:t> </w:t>
            </w:r>
          </w:p>
        </w:tc>
        <w:tc>
          <w:tcPr>
            <w:tcW w:w="447" w:type="pct"/>
            <w:tcBorders>
              <w:top w:val="nil"/>
              <w:left w:val="nil"/>
              <w:bottom w:val="nil"/>
              <w:right w:val="nil"/>
            </w:tcBorders>
            <w:shd w:val="clear" w:color="000000" w:fill="E6F2FF"/>
            <w:noWrap/>
            <w:vAlign w:val="center"/>
            <w:hideMark/>
          </w:tcPr>
          <w:p w14:paraId="74A8944B"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024DE5CE"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0175BA5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nil"/>
              <w:right w:val="nil"/>
            </w:tcBorders>
            <w:shd w:val="clear" w:color="000000" w:fill="FFFFFF"/>
            <w:noWrap/>
            <w:vAlign w:val="center"/>
            <w:hideMark/>
          </w:tcPr>
          <w:p w14:paraId="1C79B542"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67" w:type="pct"/>
            <w:tcBorders>
              <w:top w:val="nil"/>
              <w:left w:val="nil"/>
              <w:bottom w:val="nil"/>
              <w:right w:val="nil"/>
            </w:tcBorders>
            <w:shd w:val="clear" w:color="000000" w:fill="FFFFFF"/>
            <w:noWrap/>
            <w:vAlign w:val="center"/>
            <w:hideMark/>
          </w:tcPr>
          <w:p w14:paraId="042B6ACF"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10AD32A0"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F7BCE6C"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558" w:type="pct"/>
            <w:tcBorders>
              <w:top w:val="nil"/>
              <w:left w:val="nil"/>
              <w:bottom w:val="nil"/>
              <w:right w:val="nil"/>
            </w:tcBorders>
            <w:shd w:val="clear" w:color="000000" w:fill="FFFFFF"/>
            <w:noWrap/>
            <w:vAlign w:val="center"/>
            <w:hideMark/>
          </w:tcPr>
          <w:p w14:paraId="2BAAE076" w14:textId="77777777" w:rsidR="001A2DA9" w:rsidRPr="001A2DA9" w:rsidRDefault="001A2DA9" w:rsidP="001A2DA9">
            <w:pPr>
              <w:spacing w:before="0" w:after="0" w:line="240" w:lineRule="auto"/>
              <w:rPr>
                <w:rFonts w:ascii="Arial" w:hAnsi="Arial" w:cs="Arial"/>
                <w:color w:val="000000"/>
                <w:sz w:val="16"/>
                <w:szCs w:val="16"/>
              </w:rPr>
            </w:pPr>
            <w:r w:rsidRPr="001A2DA9">
              <w:rPr>
                <w:rFonts w:ascii="Arial" w:hAnsi="Arial" w:cs="Arial"/>
                <w:color w:val="000000"/>
                <w:sz w:val="16"/>
                <w:szCs w:val="16"/>
              </w:rPr>
              <w:t> </w:t>
            </w:r>
          </w:p>
        </w:tc>
      </w:tr>
      <w:tr w:rsidR="001A2DA9" w:rsidRPr="001A2DA9" w14:paraId="779EF74F" w14:textId="77777777" w:rsidTr="000528CD">
        <w:trPr>
          <w:trHeight w:hRule="exact" w:val="225"/>
        </w:trPr>
        <w:tc>
          <w:tcPr>
            <w:tcW w:w="1527" w:type="pct"/>
            <w:tcBorders>
              <w:top w:val="nil"/>
              <w:left w:val="nil"/>
              <w:bottom w:val="nil"/>
              <w:right w:val="nil"/>
            </w:tcBorders>
            <w:shd w:val="clear" w:color="000000" w:fill="FFFFFF"/>
            <w:noWrap/>
            <w:vAlign w:val="center"/>
            <w:hideMark/>
          </w:tcPr>
          <w:p w14:paraId="0BF0F0D6" w14:textId="77777777" w:rsidR="001A2DA9" w:rsidRPr="001A2DA9" w:rsidRDefault="001A2DA9" w:rsidP="001A2DA9">
            <w:pPr>
              <w:spacing w:before="0" w:after="0" w:line="240" w:lineRule="auto"/>
              <w:rPr>
                <w:rFonts w:ascii="Arial" w:hAnsi="Arial" w:cs="Arial"/>
                <w:b/>
                <w:bCs/>
                <w:sz w:val="16"/>
                <w:szCs w:val="16"/>
              </w:rPr>
            </w:pPr>
            <w:r w:rsidRPr="001A2DA9">
              <w:rPr>
                <w:rFonts w:ascii="Arial" w:hAnsi="Arial" w:cs="Arial"/>
                <w:b/>
                <w:bCs/>
                <w:sz w:val="16"/>
                <w:szCs w:val="16"/>
              </w:rPr>
              <w:t>Net interest payments(e)</w:t>
            </w:r>
          </w:p>
        </w:tc>
        <w:tc>
          <w:tcPr>
            <w:tcW w:w="455" w:type="pct"/>
            <w:tcBorders>
              <w:top w:val="nil"/>
              <w:left w:val="nil"/>
              <w:bottom w:val="nil"/>
              <w:right w:val="nil"/>
            </w:tcBorders>
            <w:shd w:val="clear" w:color="000000" w:fill="FFFFFF"/>
            <w:noWrap/>
            <w:vAlign w:val="center"/>
            <w:hideMark/>
          </w:tcPr>
          <w:p w14:paraId="355405C7"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15.0</w:t>
            </w:r>
          </w:p>
        </w:tc>
        <w:tc>
          <w:tcPr>
            <w:tcW w:w="67" w:type="pct"/>
            <w:tcBorders>
              <w:top w:val="nil"/>
              <w:left w:val="nil"/>
              <w:bottom w:val="nil"/>
              <w:right w:val="nil"/>
            </w:tcBorders>
            <w:shd w:val="clear" w:color="000000" w:fill="FFFFFF"/>
            <w:noWrap/>
            <w:vAlign w:val="center"/>
            <w:hideMark/>
          </w:tcPr>
          <w:p w14:paraId="736E7A6F"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 </w:t>
            </w:r>
          </w:p>
        </w:tc>
        <w:tc>
          <w:tcPr>
            <w:tcW w:w="447" w:type="pct"/>
            <w:tcBorders>
              <w:top w:val="nil"/>
              <w:left w:val="nil"/>
              <w:bottom w:val="nil"/>
              <w:right w:val="nil"/>
            </w:tcBorders>
            <w:shd w:val="clear" w:color="000000" w:fill="E6F2FF"/>
            <w:noWrap/>
            <w:vAlign w:val="center"/>
            <w:hideMark/>
          </w:tcPr>
          <w:p w14:paraId="705BD7AD"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13.6</w:t>
            </w:r>
          </w:p>
        </w:tc>
        <w:tc>
          <w:tcPr>
            <w:tcW w:w="447" w:type="pct"/>
            <w:tcBorders>
              <w:top w:val="nil"/>
              <w:left w:val="nil"/>
              <w:bottom w:val="nil"/>
              <w:right w:val="nil"/>
            </w:tcBorders>
            <w:shd w:val="clear" w:color="000000" w:fill="FFFFFF"/>
            <w:noWrap/>
            <w:vAlign w:val="center"/>
            <w:hideMark/>
          </w:tcPr>
          <w:p w14:paraId="0E6E02A9"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16.6</w:t>
            </w:r>
          </w:p>
        </w:tc>
        <w:tc>
          <w:tcPr>
            <w:tcW w:w="447" w:type="pct"/>
            <w:tcBorders>
              <w:top w:val="nil"/>
              <w:left w:val="nil"/>
              <w:bottom w:val="nil"/>
              <w:right w:val="nil"/>
            </w:tcBorders>
            <w:shd w:val="clear" w:color="000000" w:fill="FFFFFF"/>
            <w:noWrap/>
            <w:vAlign w:val="center"/>
            <w:hideMark/>
          </w:tcPr>
          <w:p w14:paraId="2D68B5C8"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19.4</w:t>
            </w:r>
          </w:p>
        </w:tc>
        <w:tc>
          <w:tcPr>
            <w:tcW w:w="447" w:type="pct"/>
            <w:tcBorders>
              <w:top w:val="nil"/>
              <w:left w:val="nil"/>
              <w:bottom w:val="nil"/>
              <w:right w:val="nil"/>
            </w:tcBorders>
            <w:shd w:val="clear" w:color="000000" w:fill="FFFFFF"/>
            <w:noWrap/>
            <w:vAlign w:val="center"/>
            <w:hideMark/>
          </w:tcPr>
          <w:p w14:paraId="25128FD3" w14:textId="77777777" w:rsidR="001A2DA9" w:rsidRPr="001A2DA9" w:rsidRDefault="001A2DA9" w:rsidP="001A2DA9">
            <w:pPr>
              <w:spacing w:before="0" w:after="0" w:line="240" w:lineRule="auto"/>
              <w:jc w:val="right"/>
              <w:rPr>
                <w:rFonts w:ascii="Arial" w:hAnsi="Arial" w:cs="Arial"/>
                <w:b/>
                <w:bCs/>
                <w:sz w:val="16"/>
                <w:szCs w:val="16"/>
              </w:rPr>
            </w:pPr>
            <w:r w:rsidRPr="001A2DA9">
              <w:rPr>
                <w:rFonts w:ascii="Arial" w:hAnsi="Arial" w:cs="Arial"/>
                <w:b/>
                <w:bCs/>
                <w:sz w:val="16"/>
                <w:szCs w:val="16"/>
              </w:rPr>
              <w:t>26.5</w:t>
            </w:r>
          </w:p>
        </w:tc>
        <w:tc>
          <w:tcPr>
            <w:tcW w:w="67" w:type="pct"/>
            <w:tcBorders>
              <w:top w:val="nil"/>
              <w:left w:val="nil"/>
              <w:bottom w:val="nil"/>
              <w:right w:val="nil"/>
            </w:tcBorders>
            <w:shd w:val="clear" w:color="000000" w:fill="FFFFFF"/>
            <w:noWrap/>
            <w:vAlign w:val="center"/>
            <w:hideMark/>
          </w:tcPr>
          <w:p w14:paraId="54246725"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 </w:t>
            </w:r>
          </w:p>
        </w:tc>
        <w:tc>
          <w:tcPr>
            <w:tcW w:w="455" w:type="pct"/>
            <w:tcBorders>
              <w:top w:val="nil"/>
              <w:left w:val="nil"/>
              <w:bottom w:val="nil"/>
              <w:right w:val="nil"/>
            </w:tcBorders>
            <w:shd w:val="clear" w:color="000000" w:fill="FFFFFF"/>
            <w:noWrap/>
            <w:vAlign w:val="center"/>
            <w:hideMark/>
          </w:tcPr>
          <w:p w14:paraId="1395D9F3" w14:textId="2A40E7AE" w:rsidR="001A2DA9" w:rsidRPr="001A2DA9" w:rsidRDefault="000528CD" w:rsidP="001A2DA9">
            <w:pPr>
              <w:spacing w:before="0" w:after="0" w:line="240" w:lineRule="auto"/>
              <w:jc w:val="right"/>
              <w:rPr>
                <w:rFonts w:ascii="Arial" w:hAnsi="Arial" w:cs="Arial"/>
                <w:b/>
                <w:bCs/>
                <w:sz w:val="16"/>
                <w:szCs w:val="16"/>
              </w:rPr>
            </w:pPr>
            <w:r>
              <w:rPr>
                <w:rFonts w:ascii="Arial" w:hAnsi="Arial" w:cs="Arial"/>
                <w:b/>
                <w:bCs/>
                <w:sz w:val="16"/>
                <w:szCs w:val="16"/>
              </w:rPr>
              <w:t xml:space="preserve">76.1 </w:t>
            </w:r>
          </w:p>
        </w:tc>
        <w:tc>
          <w:tcPr>
            <w:tcW w:w="80" w:type="pct"/>
            <w:tcBorders>
              <w:top w:val="nil"/>
              <w:left w:val="nil"/>
              <w:bottom w:val="nil"/>
              <w:right w:val="nil"/>
            </w:tcBorders>
            <w:shd w:val="clear" w:color="000000" w:fill="FFFFFF"/>
            <w:noWrap/>
            <w:vAlign w:val="center"/>
            <w:hideMark/>
          </w:tcPr>
          <w:p w14:paraId="76D6FB24"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 </w:t>
            </w:r>
          </w:p>
        </w:tc>
        <w:tc>
          <w:tcPr>
            <w:tcW w:w="558" w:type="pct"/>
            <w:tcBorders>
              <w:top w:val="nil"/>
              <w:left w:val="nil"/>
              <w:bottom w:val="nil"/>
              <w:right w:val="nil"/>
            </w:tcBorders>
            <w:shd w:val="clear" w:color="000000" w:fill="FFFFFF"/>
            <w:noWrap/>
            <w:vAlign w:val="center"/>
            <w:hideMark/>
          </w:tcPr>
          <w:p w14:paraId="306D994D"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 </w:t>
            </w:r>
          </w:p>
        </w:tc>
      </w:tr>
      <w:tr w:rsidR="001A2DA9" w:rsidRPr="001A2DA9" w14:paraId="2724AD1C" w14:textId="77777777" w:rsidTr="000528CD">
        <w:trPr>
          <w:trHeight w:hRule="exact" w:val="225"/>
        </w:trPr>
        <w:tc>
          <w:tcPr>
            <w:tcW w:w="1527" w:type="pct"/>
            <w:tcBorders>
              <w:top w:val="nil"/>
              <w:left w:val="nil"/>
              <w:bottom w:val="single" w:sz="4" w:space="0" w:color="293F5B"/>
              <w:right w:val="nil"/>
            </w:tcBorders>
            <w:shd w:val="clear" w:color="000000" w:fill="FFFFFF"/>
            <w:noWrap/>
            <w:vAlign w:val="center"/>
            <w:hideMark/>
          </w:tcPr>
          <w:p w14:paraId="288297D3"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Per cent of GDP</w:t>
            </w:r>
          </w:p>
        </w:tc>
        <w:tc>
          <w:tcPr>
            <w:tcW w:w="455" w:type="pct"/>
            <w:tcBorders>
              <w:top w:val="nil"/>
              <w:left w:val="nil"/>
              <w:bottom w:val="single" w:sz="4" w:space="0" w:color="293F5B"/>
              <w:right w:val="nil"/>
            </w:tcBorders>
            <w:shd w:val="clear" w:color="000000" w:fill="FFFFFF"/>
            <w:noWrap/>
            <w:vAlign w:val="center"/>
            <w:hideMark/>
          </w:tcPr>
          <w:p w14:paraId="35073286"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0.7</w:t>
            </w:r>
          </w:p>
        </w:tc>
        <w:tc>
          <w:tcPr>
            <w:tcW w:w="67" w:type="pct"/>
            <w:tcBorders>
              <w:top w:val="nil"/>
              <w:left w:val="nil"/>
              <w:bottom w:val="single" w:sz="4" w:space="0" w:color="293F5B"/>
              <w:right w:val="nil"/>
            </w:tcBorders>
            <w:shd w:val="clear" w:color="000000" w:fill="FFFFFF"/>
            <w:noWrap/>
            <w:vAlign w:val="center"/>
            <w:hideMark/>
          </w:tcPr>
          <w:p w14:paraId="702A1359"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 </w:t>
            </w:r>
          </w:p>
        </w:tc>
        <w:tc>
          <w:tcPr>
            <w:tcW w:w="447" w:type="pct"/>
            <w:tcBorders>
              <w:top w:val="nil"/>
              <w:left w:val="nil"/>
              <w:bottom w:val="single" w:sz="4" w:space="0" w:color="293F5B"/>
              <w:right w:val="nil"/>
            </w:tcBorders>
            <w:shd w:val="clear" w:color="000000" w:fill="E6F2FF"/>
            <w:noWrap/>
            <w:vAlign w:val="center"/>
            <w:hideMark/>
          </w:tcPr>
          <w:p w14:paraId="193520EA"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0.5</w:t>
            </w:r>
          </w:p>
        </w:tc>
        <w:tc>
          <w:tcPr>
            <w:tcW w:w="447" w:type="pct"/>
            <w:tcBorders>
              <w:top w:val="nil"/>
              <w:left w:val="nil"/>
              <w:bottom w:val="single" w:sz="4" w:space="0" w:color="293F5B"/>
              <w:right w:val="nil"/>
            </w:tcBorders>
            <w:shd w:val="clear" w:color="000000" w:fill="FFFFFF"/>
            <w:noWrap/>
            <w:vAlign w:val="center"/>
            <w:hideMark/>
          </w:tcPr>
          <w:p w14:paraId="263C73EC"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0.7</w:t>
            </w:r>
          </w:p>
        </w:tc>
        <w:tc>
          <w:tcPr>
            <w:tcW w:w="447" w:type="pct"/>
            <w:tcBorders>
              <w:top w:val="nil"/>
              <w:left w:val="nil"/>
              <w:bottom w:val="single" w:sz="4" w:space="0" w:color="293F5B"/>
              <w:right w:val="nil"/>
            </w:tcBorders>
            <w:shd w:val="clear" w:color="000000" w:fill="FFFFFF"/>
            <w:noWrap/>
            <w:vAlign w:val="center"/>
            <w:hideMark/>
          </w:tcPr>
          <w:p w14:paraId="7837E013"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0.8</w:t>
            </w:r>
          </w:p>
        </w:tc>
        <w:tc>
          <w:tcPr>
            <w:tcW w:w="447" w:type="pct"/>
            <w:tcBorders>
              <w:top w:val="nil"/>
              <w:left w:val="nil"/>
              <w:bottom w:val="single" w:sz="4" w:space="0" w:color="293F5B"/>
              <w:right w:val="nil"/>
            </w:tcBorders>
            <w:shd w:val="clear" w:color="000000" w:fill="FFFFFF"/>
            <w:noWrap/>
            <w:vAlign w:val="center"/>
            <w:hideMark/>
          </w:tcPr>
          <w:p w14:paraId="129C33B7"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1.0</w:t>
            </w:r>
          </w:p>
        </w:tc>
        <w:tc>
          <w:tcPr>
            <w:tcW w:w="67" w:type="pct"/>
            <w:tcBorders>
              <w:top w:val="nil"/>
              <w:left w:val="nil"/>
              <w:bottom w:val="single" w:sz="4" w:space="0" w:color="293F5B"/>
              <w:right w:val="nil"/>
            </w:tcBorders>
            <w:shd w:val="clear" w:color="000000" w:fill="FFFFFF"/>
            <w:noWrap/>
            <w:vAlign w:val="center"/>
            <w:hideMark/>
          </w:tcPr>
          <w:p w14:paraId="0D789BDF"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 </w:t>
            </w:r>
          </w:p>
        </w:tc>
        <w:tc>
          <w:tcPr>
            <w:tcW w:w="455" w:type="pct"/>
            <w:tcBorders>
              <w:top w:val="nil"/>
              <w:left w:val="nil"/>
              <w:bottom w:val="single" w:sz="4" w:space="0" w:color="293F5B"/>
              <w:right w:val="nil"/>
            </w:tcBorders>
            <w:shd w:val="clear" w:color="000000" w:fill="FFFFFF"/>
            <w:noWrap/>
            <w:vAlign w:val="center"/>
            <w:hideMark/>
          </w:tcPr>
          <w:p w14:paraId="670069D0"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 </w:t>
            </w:r>
          </w:p>
        </w:tc>
        <w:tc>
          <w:tcPr>
            <w:tcW w:w="80" w:type="pct"/>
            <w:tcBorders>
              <w:top w:val="nil"/>
              <w:left w:val="nil"/>
              <w:bottom w:val="single" w:sz="4" w:space="0" w:color="293F5B"/>
              <w:right w:val="nil"/>
            </w:tcBorders>
            <w:shd w:val="clear" w:color="000000" w:fill="FFFFFF"/>
            <w:noWrap/>
            <w:vAlign w:val="center"/>
            <w:hideMark/>
          </w:tcPr>
          <w:p w14:paraId="15E84C6C" w14:textId="77777777" w:rsidR="001A2DA9" w:rsidRPr="001A2DA9" w:rsidRDefault="001A2DA9" w:rsidP="001A2DA9">
            <w:pPr>
              <w:spacing w:before="0" w:after="0" w:line="240" w:lineRule="auto"/>
              <w:rPr>
                <w:rFonts w:ascii="Arial" w:hAnsi="Arial" w:cs="Arial"/>
                <w:sz w:val="16"/>
                <w:szCs w:val="16"/>
              </w:rPr>
            </w:pPr>
            <w:r w:rsidRPr="001A2DA9">
              <w:rPr>
                <w:rFonts w:ascii="Arial" w:hAnsi="Arial" w:cs="Arial"/>
                <w:sz w:val="16"/>
                <w:szCs w:val="16"/>
              </w:rPr>
              <w:t> </w:t>
            </w:r>
          </w:p>
        </w:tc>
        <w:tc>
          <w:tcPr>
            <w:tcW w:w="558" w:type="pct"/>
            <w:tcBorders>
              <w:top w:val="nil"/>
              <w:left w:val="nil"/>
              <w:bottom w:val="single" w:sz="4" w:space="0" w:color="293F5B"/>
              <w:right w:val="nil"/>
            </w:tcBorders>
            <w:shd w:val="clear" w:color="000000" w:fill="FFFFFF"/>
            <w:noWrap/>
            <w:vAlign w:val="center"/>
            <w:hideMark/>
          </w:tcPr>
          <w:p w14:paraId="0BC88861" w14:textId="77777777" w:rsidR="001A2DA9" w:rsidRPr="001A2DA9" w:rsidRDefault="001A2DA9" w:rsidP="001A2DA9">
            <w:pPr>
              <w:spacing w:before="0" w:after="0" w:line="240" w:lineRule="auto"/>
              <w:jc w:val="right"/>
              <w:rPr>
                <w:rFonts w:ascii="Arial" w:hAnsi="Arial" w:cs="Arial"/>
                <w:sz w:val="16"/>
                <w:szCs w:val="16"/>
              </w:rPr>
            </w:pPr>
            <w:r w:rsidRPr="001A2DA9">
              <w:rPr>
                <w:rFonts w:ascii="Arial" w:hAnsi="Arial" w:cs="Arial"/>
                <w:sz w:val="16"/>
                <w:szCs w:val="16"/>
              </w:rPr>
              <w:t>1.5</w:t>
            </w:r>
          </w:p>
        </w:tc>
      </w:tr>
    </w:tbl>
    <w:p w14:paraId="7D0E5B47" w14:textId="5E0D88A0" w:rsidR="00AF1922" w:rsidRPr="003C7625" w:rsidRDefault="00AF1922" w:rsidP="003C7625">
      <w:pPr>
        <w:pStyle w:val="ChartandTableFootnoteAlpha"/>
      </w:pPr>
      <w:r w:rsidRPr="003C7625">
        <w:t>Total is equal to the sum of amounts from 2022–23 to 2025–26</w:t>
      </w:r>
      <w:r w:rsidR="00F53D10" w:rsidRPr="003C7625">
        <w:t>.</w:t>
      </w:r>
    </w:p>
    <w:p w14:paraId="2AD09B52" w14:textId="77777777" w:rsidR="0097671B" w:rsidRPr="003C7625" w:rsidRDefault="0097671B" w:rsidP="003C7625">
      <w:pPr>
        <w:pStyle w:val="ChartandTableFootnoteAlpha"/>
      </w:pPr>
      <w:r w:rsidRPr="003C7625">
        <w:t>Equivalent to cash payments for operating activities, purchases of non</w:t>
      </w:r>
      <w:r w:rsidR="008C6DA9" w:rsidRPr="003C7625">
        <w:noBreakHyphen/>
      </w:r>
      <w:r w:rsidRPr="003C7625">
        <w:t>financial assets and principal payments of lease liabilities.</w:t>
      </w:r>
    </w:p>
    <w:p w14:paraId="1FE35B41" w14:textId="52145B4D" w:rsidR="0097671B" w:rsidRPr="003C7625" w:rsidRDefault="0097671B" w:rsidP="003C7625">
      <w:pPr>
        <w:pStyle w:val="ChartandTableFootnoteAlpha"/>
      </w:pPr>
      <w:r w:rsidRPr="003C7625">
        <w:t>Gross debt measures the face value of Australian Government Securities (AGS) on issue.</w:t>
      </w:r>
    </w:p>
    <w:p w14:paraId="70308482" w14:textId="77777777" w:rsidR="0097671B" w:rsidRPr="003C7625" w:rsidRDefault="0097671B" w:rsidP="003C7625">
      <w:pPr>
        <w:pStyle w:val="ChartandTableFootnoteAlpha"/>
      </w:pPr>
      <w:r w:rsidRPr="003C7625">
        <w:t xml:space="preserve">Net debt is the sum of </w:t>
      </w:r>
      <w:proofErr w:type="gramStart"/>
      <w:r w:rsidRPr="003C7625">
        <w:t>interest bearing</w:t>
      </w:r>
      <w:proofErr w:type="gramEnd"/>
      <w:r w:rsidRPr="003C7625">
        <w:t xml:space="preserve"> liabilities (which includes AGS on issue measured at market value) less the sum of selected financial assets (cash and deposits, advances paid and investments, loans and placements).</w:t>
      </w:r>
    </w:p>
    <w:p w14:paraId="673B9E82" w14:textId="77777777" w:rsidR="003C7625" w:rsidRDefault="0097671B" w:rsidP="003C7625">
      <w:pPr>
        <w:pStyle w:val="ChartandTableFootnoteAlpha"/>
      </w:pPr>
      <w:r w:rsidRPr="003C7625">
        <w:t xml:space="preserve">Net interest payments are equal to the difference between interest payments and interest receipts. </w:t>
      </w:r>
    </w:p>
    <w:p w14:paraId="10585C66" w14:textId="6DEB9E46" w:rsidR="0013243B" w:rsidRPr="003C7625" w:rsidRDefault="0013243B" w:rsidP="003C7625">
      <w:pPr>
        <w:pStyle w:val="TableLine"/>
      </w:pPr>
    </w:p>
    <w:p w14:paraId="28DD818F" w14:textId="77777777" w:rsidR="00AE7E15" w:rsidRDefault="00AE7E15" w:rsidP="0013243B">
      <w:r>
        <w:br w:type="page"/>
      </w:r>
    </w:p>
    <w:p w14:paraId="54C00FE2" w14:textId="20B2296A" w:rsidR="00192279" w:rsidRPr="0093683C" w:rsidRDefault="00192279" w:rsidP="00192279">
      <w:pPr>
        <w:pStyle w:val="Heading2"/>
        <w:spacing w:after="120"/>
        <w:jc w:val="both"/>
      </w:pPr>
      <w:bookmarkStart w:id="0" w:name="_Toc117356555"/>
      <w:r w:rsidRPr="0093683C">
        <w:lastRenderedPageBreak/>
        <w:t>Economic and Fiscal Strategy</w:t>
      </w:r>
      <w:bookmarkEnd w:id="0"/>
    </w:p>
    <w:p w14:paraId="672E2F22" w14:textId="77777777" w:rsidR="00192279" w:rsidRPr="0093683C" w:rsidRDefault="00192279" w:rsidP="00192279">
      <w:r w:rsidRPr="0093683C">
        <w:t xml:space="preserve">The Government’s Economic and Fiscal Strategy (the strategy) is focused on making the economy and budget </w:t>
      </w:r>
      <w:r w:rsidR="00D26CFD" w:rsidRPr="0093683C">
        <w:t>stronger,</w:t>
      </w:r>
      <w:r w:rsidRPr="0093683C">
        <w:t xml:space="preserve"> more </w:t>
      </w:r>
      <w:proofErr w:type="gramStart"/>
      <w:r w:rsidRPr="0093683C">
        <w:t>resilient</w:t>
      </w:r>
      <w:proofErr w:type="gramEnd"/>
      <w:r w:rsidRPr="0093683C">
        <w:t xml:space="preserve"> and </w:t>
      </w:r>
      <w:r w:rsidR="009C0E4B" w:rsidRPr="0093683C">
        <w:t>more</w:t>
      </w:r>
      <w:r w:rsidRPr="0093683C">
        <w:t xml:space="preserve"> sustainable over the medium term. The strategy is set out in Box 3.1, consistent with the requirements of the </w:t>
      </w:r>
      <w:r w:rsidRPr="0093683C">
        <w:rPr>
          <w:i/>
        </w:rPr>
        <w:t>Charter of Budget Honesty Act 1998</w:t>
      </w:r>
      <w:r w:rsidRPr="0093683C">
        <w:t xml:space="preserve">. </w:t>
      </w:r>
      <w:r w:rsidRPr="0093683C">
        <w:rPr>
          <w:rStyle w:val="BoxTextChar"/>
          <w:rFonts w:eastAsia="Calibri"/>
        </w:rPr>
        <w:t>Progress against the strategy will be reviewed at each budget update</w:t>
      </w:r>
      <w:r w:rsidRPr="0093683C">
        <w:rPr>
          <w:rFonts w:eastAsia="Calibri"/>
        </w:rPr>
        <w:t>.</w:t>
      </w:r>
    </w:p>
    <w:tbl>
      <w:tblPr>
        <w:tblpPr w:leftFromText="180" w:rightFromText="180" w:vertAnchor="text" w:horzAnchor="margin" w:tblpY="-57"/>
        <w:tblW w:w="5024" w:type="pct"/>
        <w:shd w:val="clear" w:color="auto" w:fill="E6F2FF"/>
        <w:tblCellMar>
          <w:top w:w="284" w:type="dxa"/>
          <w:left w:w="284" w:type="dxa"/>
          <w:bottom w:w="284" w:type="dxa"/>
          <w:right w:w="284" w:type="dxa"/>
        </w:tblCellMar>
        <w:tblLook w:val="0000" w:firstRow="0" w:lastRow="0" w:firstColumn="0" w:lastColumn="0" w:noHBand="0" w:noVBand="0"/>
      </w:tblPr>
      <w:tblGrid>
        <w:gridCol w:w="7747"/>
      </w:tblGrid>
      <w:tr w:rsidR="00192279" w:rsidRPr="00286258" w14:paraId="0809694C" w14:textId="77777777" w:rsidTr="00192279">
        <w:tc>
          <w:tcPr>
            <w:tcW w:w="5000" w:type="pct"/>
            <w:shd w:val="clear" w:color="auto" w:fill="E6F2FF"/>
          </w:tcPr>
          <w:p w14:paraId="71D329FA" w14:textId="77777777" w:rsidR="00192279" w:rsidRPr="0093683C" w:rsidRDefault="00192279" w:rsidP="00192279">
            <w:pPr>
              <w:pStyle w:val="BoxHeading"/>
            </w:pPr>
            <w:r w:rsidRPr="0093683C">
              <w:t xml:space="preserve">Box 3.1: </w:t>
            </w:r>
            <w:r w:rsidRPr="0093683C">
              <w:rPr>
                <w:spacing w:val="-4"/>
              </w:rPr>
              <w:t xml:space="preserve">The Government’s </w:t>
            </w:r>
            <w:r w:rsidRPr="0093683C">
              <w:rPr>
                <w:sz w:val="19"/>
                <w:szCs w:val="19"/>
              </w:rPr>
              <w:t>Economic and Fiscal Strategy</w:t>
            </w:r>
          </w:p>
          <w:p w14:paraId="4CFE5AF9" w14:textId="77777777" w:rsidR="00192279" w:rsidRPr="0093683C" w:rsidRDefault="00192279" w:rsidP="00192279">
            <w:pPr>
              <w:pStyle w:val="BoxText"/>
              <w:rPr>
                <w:rFonts w:eastAsia="Calibri"/>
              </w:rPr>
            </w:pPr>
            <w:r w:rsidRPr="0093683C">
              <w:rPr>
                <w:rFonts w:eastAsia="Calibri"/>
              </w:rPr>
              <w:t xml:space="preserve">The Government’s Economic and Fiscal Strategy will </w:t>
            </w:r>
            <w:r w:rsidR="006F3D51" w:rsidRPr="0093683C">
              <w:rPr>
                <w:rFonts w:eastAsia="Calibri"/>
              </w:rPr>
              <w:t xml:space="preserve">make the </w:t>
            </w:r>
            <w:r w:rsidR="0083727F" w:rsidRPr="0093683C">
              <w:rPr>
                <w:rFonts w:eastAsia="Calibri"/>
              </w:rPr>
              <w:t>economy more</w:t>
            </w:r>
            <w:r w:rsidRPr="0093683C">
              <w:rPr>
                <w:rFonts w:eastAsia="Calibri"/>
              </w:rPr>
              <w:t xml:space="preserve"> resilien</w:t>
            </w:r>
            <w:r w:rsidR="00906499" w:rsidRPr="0093683C">
              <w:rPr>
                <w:rFonts w:eastAsia="Calibri"/>
              </w:rPr>
              <w:t>t</w:t>
            </w:r>
            <w:r w:rsidRPr="0093683C">
              <w:rPr>
                <w:rFonts w:eastAsia="Calibri"/>
              </w:rPr>
              <w:t xml:space="preserve"> and put the budget on a more sustainable footing over time. </w:t>
            </w:r>
          </w:p>
          <w:p w14:paraId="54F4E5BC" w14:textId="77777777" w:rsidR="00192279" w:rsidRPr="0093683C" w:rsidRDefault="00192279" w:rsidP="00192279">
            <w:pPr>
              <w:pStyle w:val="BoxText"/>
              <w:rPr>
                <w:rFonts w:eastAsia="Calibri"/>
              </w:rPr>
            </w:pPr>
            <w:r w:rsidRPr="0093683C">
              <w:rPr>
                <w:rFonts w:eastAsia="Calibri"/>
              </w:rPr>
              <w:t xml:space="preserve">The </w:t>
            </w:r>
            <w:r w:rsidR="006808CB" w:rsidRPr="0093683C">
              <w:rPr>
                <w:rFonts w:eastAsia="Calibri"/>
              </w:rPr>
              <w:t>s</w:t>
            </w:r>
            <w:r w:rsidRPr="0093683C">
              <w:rPr>
                <w:rFonts w:eastAsia="Calibri"/>
              </w:rPr>
              <w:t xml:space="preserve">trategy is focused on the objectives of strong, </w:t>
            </w:r>
            <w:proofErr w:type="gramStart"/>
            <w:r w:rsidRPr="0093683C">
              <w:rPr>
                <w:rFonts w:eastAsia="Calibri"/>
              </w:rPr>
              <w:t>inclusive</w:t>
            </w:r>
            <w:proofErr w:type="gramEnd"/>
            <w:r w:rsidRPr="0093683C">
              <w:rPr>
                <w:rFonts w:eastAsia="Calibri"/>
              </w:rPr>
              <w:t xml:space="preserve"> and sustainable economic growth, full employment, growing real wages, ensuring women’s economic participation and equality</w:t>
            </w:r>
            <w:r w:rsidR="00C00D48" w:rsidRPr="0093683C">
              <w:rPr>
                <w:rFonts w:eastAsia="Calibri"/>
              </w:rPr>
              <w:t>,</w:t>
            </w:r>
            <w:r w:rsidRPr="0093683C">
              <w:rPr>
                <w:rFonts w:eastAsia="Calibri"/>
              </w:rPr>
              <w:t xml:space="preserve"> and improving living standards for all Australians. </w:t>
            </w:r>
          </w:p>
          <w:p w14:paraId="521E50FC" w14:textId="77777777" w:rsidR="00192279" w:rsidRPr="0093683C" w:rsidRDefault="00192279" w:rsidP="00192279">
            <w:pPr>
              <w:pStyle w:val="BoxText"/>
              <w:rPr>
                <w:rFonts w:eastAsia="Calibri"/>
              </w:rPr>
            </w:pPr>
            <w:r w:rsidRPr="0093683C">
              <w:rPr>
                <w:rFonts w:eastAsia="Calibri"/>
              </w:rPr>
              <w:t xml:space="preserve">The immediate priority is to ensure fiscal policy is not adding to inflationary pressures and to begin budget repair. Over time, the focus will shift to achieving measured improvements in the budget position to stabilise and reduce gross debt as a share of the economy. </w:t>
            </w:r>
          </w:p>
          <w:p w14:paraId="7015BEC4" w14:textId="77777777" w:rsidR="00192279" w:rsidRPr="0093683C" w:rsidRDefault="00192279" w:rsidP="00192279">
            <w:pPr>
              <w:pStyle w:val="BoxText"/>
              <w:rPr>
                <w:rFonts w:eastAsia="Calibri"/>
              </w:rPr>
            </w:pPr>
            <w:r w:rsidRPr="0093683C">
              <w:rPr>
                <w:rFonts w:eastAsia="Calibri"/>
              </w:rPr>
              <w:t xml:space="preserve">These objectives will be achieved </w:t>
            </w:r>
            <w:r w:rsidR="00A27600" w:rsidRPr="0093683C">
              <w:rPr>
                <w:rFonts w:eastAsia="Calibri"/>
              </w:rPr>
              <w:t xml:space="preserve">by </w:t>
            </w:r>
            <w:r w:rsidRPr="0093683C">
              <w:rPr>
                <w:rFonts w:eastAsia="Calibri"/>
              </w:rPr>
              <w:t>investments that grow the economy and expand productive capacity</w:t>
            </w:r>
            <w:r w:rsidR="00FA5873" w:rsidRPr="0093683C">
              <w:rPr>
                <w:rFonts w:eastAsia="Calibri"/>
              </w:rPr>
              <w:t>,</w:t>
            </w:r>
            <w:r w:rsidRPr="0093683C">
              <w:rPr>
                <w:rFonts w:eastAsia="Calibri"/>
              </w:rPr>
              <w:t xml:space="preserve"> and </w:t>
            </w:r>
            <w:r w:rsidR="003F7D54" w:rsidRPr="0093683C">
              <w:rPr>
                <w:rFonts w:eastAsia="Calibri"/>
              </w:rPr>
              <w:t xml:space="preserve">budget discipline that restrains spending growth </w:t>
            </w:r>
            <w:r w:rsidRPr="0093683C">
              <w:rPr>
                <w:rFonts w:eastAsia="Calibri"/>
              </w:rPr>
              <w:t>and enhance</w:t>
            </w:r>
            <w:r w:rsidR="003F7D54" w:rsidRPr="0093683C">
              <w:rPr>
                <w:rFonts w:eastAsia="Calibri"/>
              </w:rPr>
              <w:t>s</w:t>
            </w:r>
            <w:r w:rsidRPr="0093683C">
              <w:rPr>
                <w:rFonts w:eastAsia="Calibri"/>
              </w:rPr>
              <w:t xml:space="preserve"> the quality of spending. The budget will be improved in a manner consistent with </w:t>
            </w:r>
            <w:r w:rsidR="00F8473C" w:rsidRPr="0093683C">
              <w:rPr>
                <w:rFonts w:eastAsia="Calibri"/>
              </w:rPr>
              <w:t xml:space="preserve">the objective of </w:t>
            </w:r>
            <w:r w:rsidRPr="0093683C">
              <w:rPr>
                <w:rFonts w:eastAsia="Calibri"/>
              </w:rPr>
              <w:t xml:space="preserve">maintaining full employment, while continuing to deliver essential services. </w:t>
            </w:r>
          </w:p>
          <w:p w14:paraId="0D4462A3" w14:textId="77777777" w:rsidR="00192279" w:rsidRPr="0093683C" w:rsidRDefault="00192279" w:rsidP="00192279">
            <w:pPr>
              <w:pStyle w:val="BoxText"/>
              <w:rPr>
                <w:rFonts w:eastAsia="Calibri"/>
                <w:szCs w:val="19"/>
              </w:rPr>
            </w:pPr>
            <w:r w:rsidRPr="0093683C">
              <w:rPr>
                <w:rFonts w:eastAsia="Calibri"/>
                <w:szCs w:val="19"/>
              </w:rPr>
              <w:t xml:space="preserve">Putting the budget on a more sustainable footing will ensure the Government has the fiscal buffers to withstand economic shocks and better manage the fiscal pressures from an ageing population and climate change. </w:t>
            </w:r>
          </w:p>
          <w:p w14:paraId="1388BD64" w14:textId="77777777" w:rsidR="00192279" w:rsidRPr="0093683C" w:rsidRDefault="00192279" w:rsidP="00192279">
            <w:pPr>
              <w:pStyle w:val="BoxText"/>
              <w:rPr>
                <w:rFonts w:eastAsia="Calibri"/>
              </w:rPr>
            </w:pPr>
            <w:r w:rsidRPr="0093683C">
              <w:rPr>
                <w:rFonts w:eastAsia="Calibri"/>
              </w:rPr>
              <w:t>These commitments will be underpinned by the following elements:</w:t>
            </w:r>
          </w:p>
          <w:p w14:paraId="7FD66550" w14:textId="77777777" w:rsidR="00192279" w:rsidRPr="0093683C" w:rsidRDefault="00192279" w:rsidP="00192279">
            <w:pPr>
              <w:pStyle w:val="BoxBullet"/>
              <w:rPr>
                <w:rFonts w:eastAsia="Calibri"/>
              </w:rPr>
            </w:pPr>
            <w:r w:rsidRPr="0093683C">
              <w:rPr>
                <w:rFonts w:eastAsia="Calibri"/>
              </w:rPr>
              <w:t xml:space="preserve">Allowing tax receipts and income support to respond in line with changes in the economy and directing </w:t>
            </w:r>
            <w:proofErr w:type="gramStart"/>
            <w:r w:rsidRPr="0093683C">
              <w:rPr>
                <w:rFonts w:eastAsia="Calibri"/>
              </w:rPr>
              <w:t>the majority of</w:t>
            </w:r>
            <w:proofErr w:type="gramEnd"/>
            <w:r w:rsidRPr="0093683C">
              <w:rPr>
                <w:rFonts w:eastAsia="Calibri"/>
              </w:rPr>
              <w:t xml:space="preserve"> improvements in tax receipts to budget repair. </w:t>
            </w:r>
          </w:p>
          <w:p w14:paraId="5EF9B2E9" w14:textId="77777777" w:rsidR="00192279" w:rsidRPr="0093683C" w:rsidRDefault="00192279" w:rsidP="00192279">
            <w:pPr>
              <w:pStyle w:val="BoxBullet"/>
              <w:rPr>
                <w:rFonts w:eastAsia="Calibri"/>
              </w:rPr>
            </w:pPr>
            <w:r w:rsidRPr="0093683C">
              <w:rPr>
                <w:rFonts w:eastAsia="Calibri"/>
              </w:rPr>
              <w:t xml:space="preserve">Limiting growth in spending until gross debt as a share of GDP is on a downwards trajectory, while growth prospects are </w:t>
            </w:r>
            <w:proofErr w:type="gramStart"/>
            <w:r w:rsidRPr="0093683C">
              <w:rPr>
                <w:rFonts w:eastAsia="Calibri"/>
              </w:rPr>
              <w:t>sound</w:t>
            </w:r>
            <w:proofErr w:type="gramEnd"/>
            <w:r w:rsidRPr="0093683C">
              <w:rPr>
                <w:rFonts w:eastAsia="Calibri"/>
              </w:rPr>
              <w:t xml:space="preserve"> and unemployment is low.</w:t>
            </w:r>
          </w:p>
          <w:p w14:paraId="2C51706F" w14:textId="77777777" w:rsidR="00192279" w:rsidRPr="0093683C" w:rsidRDefault="00192279" w:rsidP="00192279">
            <w:pPr>
              <w:pStyle w:val="BoxBullet"/>
              <w:rPr>
                <w:rFonts w:eastAsia="Calibri"/>
              </w:rPr>
            </w:pPr>
            <w:r w:rsidRPr="0093683C">
              <w:rPr>
                <w:rFonts w:eastAsia="Calibri"/>
              </w:rPr>
              <w:t xml:space="preserve">Improving the efficiency, </w:t>
            </w:r>
            <w:proofErr w:type="gramStart"/>
            <w:r w:rsidRPr="0093683C">
              <w:rPr>
                <w:rFonts w:eastAsia="Calibri"/>
              </w:rPr>
              <w:t>quality</w:t>
            </w:r>
            <w:proofErr w:type="gramEnd"/>
            <w:r w:rsidRPr="0093683C">
              <w:rPr>
                <w:rFonts w:eastAsia="Calibri"/>
              </w:rPr>
              <w:t xml:space="preserve"> and sustainability of spending.</w:t>
            </w:r>
          </w:p>
          <w:p w14:paraId="4B53195B" w14:textId="77777777" w:rsidR="00192279" w:rsidRPr="0093683C" w:rsidRDefault="00192279" w:rsidP="00192279">
            <w:pPr>
              <w:pStyle w:val="BoxBullet"/>
              <w:rPr>
                <w:rFonts w:eastAsia="Calibri"/>
              </w:rPr>
            </w:pPr>
            <w:r w:rsidRPr="0093683C">
              <w:rPr>
                <w:rFonts w:eastAsia="Calibri"/>
              </w:rPr>
              <w:t>Focusing new spending on investments and reforms that build the capability of our people, expand the productive capacity of our economy, and support action on climate change.</w:t>
            </w:r>
          </w:p>
          <w:p w14:paraId="4E009964" w14:textId="77777777" w:rsidR="00192279" w:rsidRPr="0093683C" w:rsidRDefault="00192279" w:rsidP="00192279">
            <w:pPr>
              <w:pStyle w:val="BoxBullet"/>
              <w:rPr>
                <w:rFonts w:eastAsia="Calibri"/>
              </w:rPr>
            </w:pPr>
            <w:r w:rsidRPr="0093683C">
              <w:rPr>
                <w:rFonts w:eastAsia="Calibri"/>
              </w:rPr>
              <w:t xml:space="preserve">Delivering a tax system that funds government services in an efficient, </w:t>
            </w:r>
            <w:proofErr w:type="gramStart"/>
            <w:r w:rsidRPr="0093683C">
              <w:rPr>
                <w:rFonts w:eastAsia="Calibri"/>
              </w:rPr>
              <w:t>fair</w:t>
            </w:r>
            <w:proofErr w:type="gramEnd"/>
            <w:r w:rsidRPr="0093683C">
              <w:rPr>
                <w:rFonts w:eastAsia="Calibri"/>
              </w:rPr>
              <w:t xml:space="preserve"> and sustainable way.</w:t>
            </w:r>
          </w:p>
        </w:tc>
      </w:tr>
    </w:tbl>
    <w:p w14:paraId="6C194586" w14:textId="1FF22234" w:rsidR="000152E1" w:rsidRPr="0093683C" w:rsidRDefault="000152E1" w:rsidP="000152E1">
      <w:pPr>
        <w:pStyle w:val="Heading3"/>
      </w:pPr>
      <w:bookmarkStart w:id="1" w:name="_Toc117356556"/>
      <w:r w:rsidRPr="0093683C">
        <w:lastRenderedPageBreak/>
        <w:t xml:space="preserve">Delivering </w:t>
      </w:r>
      <w:r w:rsidR="00F460D2" w:rsidRPr="0093683C">
        <w:t xml:space="preserve">on the </w:t>
      </w:r>
      <w:r w:rsidR="00991361" w:rsidRPr="0093683C">
        <w:t>Economic and F</w:t>
      </w:r>
      <w:r w:rsidR="00F460D2" w:rsidRPr="0093683C">
        <w:t xml:space="preserve">iscal </w:t>
      </w:r>
      <w:r w:rsidR="00BB6FE3" w:rsidRPr="0093683C">
        <w:t>S</w:t>
      </w:r>
      <w:r w:rsidR="00F460D2" w:rsidRPr="0093683C">
        <w:t>trategy</w:t>
      </w:r>
      <w:bookmarkEnd w:id="1"/>
    </w:p>
    <w:p w14:paraId="208D195F" w14:textId="77777777" w:rsidR="00F33F6A" w:rsidRPr="0093683C" w:rsidRDefault="00FB27D5" w:rsidP="00F33F6A">
      <w:r w:rsidRPr="0093683C">
        <w:t>In this Budget</w:t>
      </w:r>
      <w:r w:rsidR="00F33F6A" w:rsidRPr="0093683C">
        <w:t xml:space="preserve">, the Government </w:t>
      </w:r>
      <w:r w:rsidR="00AA5C0A" w:rsidRPr="0093683C">
        <w:t>is providing</w:t>
      </w:r>
      <w:r w:rsidR="00F33F6A" w:rsidRPr="0093683C">
        <w:t xml:space="preserve"> cost of living </w:t>
      </w:r>
      <w:r w:rsidR="00AA5C0A" w:rsidRPr="0093683C">
        <w:t xml:space="preserve">relief in a responsible way </w:t>
      </w:r>
      <w:r w:rsidR="00F33F6A" w:rsidRPr="0093683C">
        <w:t>that also deliver</w:t>
      </w:r>
      <w:r w:rsidR="00AA5C0A" w:rsidRPr="0093683C">
        <w:t>s</w:t>
      </w:r>
      <w:r w:rsidR="00F33F6A" w:rsidRPr="0093683C">
        <w:t xml:space="preserve"> an economic dividend</w:t>
      </w:r>
      <w:r w:rsidR="00A914C9" w:rsidRPr="0093683C">
        <w:t xml:space="preserve">, while beginning the process of </w:t>
      </w:r>
      <w:r w:rsidR="00756822" w:rsidRPr="0093683C">
        <w:t>b</w:t>
      </w:r>
      <w:r w:rsidR="00A914C9" w:rsidRPr="0093683C">
        <w:t xml:space="preserve">udget repair by </w:t>
      </w:r>
      <w:r w:rsidR="005A6B25" w:rsidRPr="0093683C">
        <w:t>unwinding</w:t>
      </w:r>
      <w:r w:rsidR="00A914C9" w:rsidRPr="0093683C">
        <w:t xml:space="preserve"> wasteful spending</w:t>
      </w:r>
      <w:r w:rsidR="00AA5C0A" w:rsidRPr="0093683C">
        <w:t xml:space="preserve"> and improving the quality of spending</w:t>
      </w:r>
      <w:r w:rsidR="00F33F6A" w:rsidRPr="0093683C">
        <w:t xml:space="preserve">. </w:t>
      </w:r>
    </w:p>
    <w:p w14:paraId="6013165F" w14:textId="77777777" w:rsidR="008052AB" w:rsidRPr="0093683C" w:rsidRDefault="008942B4">
      <w:r w:rsidRPr="0093683C">
        <w:t xml:space="preserve">This Budget </w:t>
      </w:r>
      <w:r w:rsidR="00696B1C" w:rsidRPr="0093683C">
        <w:t xml:space="preserve">delivers on the </w:t>
      </w:r>
      <w:r w:rsidR="00831BF8" w:rsidRPr="0093683C">
        <w:t>Government’s</w:t>
      </w:r>
      <w:r w:rsidR="00696B1C" w:rsidRPr="0093683C">
        <w:t xml:space="preserve"> </w:t>
      </w:r>
      <w:r w:rsidR="00B62305" w:rsidRPr="0093683C">
        <w:t xml:space="preserve">strategy </w:t>
      </w:r>
      <w:r w:rsidR="00696B1C" w:rsidRPr="0093683C">
        <w:t>by</w:t>
      </w:r>
      <w:r w:rsidR="00B2022B" w:rsidRPr="0093683C">
        <w:t>:</w:t>
      </w:r>
    </w:p>
    <w:p w14:paraId="574E1194" w14:textId="2716E7A7" w:rsidR="001A55B9" w:rsidRPr="0093683C" w:rsidRDefault="00B1511D" w:rsidP="001A55B9">
      <w:pPr>
        <w:pStyle w:val="Bullet"/>
      </w:pPr>
      <w:r w:rsidRPr="0093683C">
        <w:t>Largely</w:t>
      </w:r>
      <w:r w:rsidR="00813355" w:rsidRPr="0093683C">
        <w:t xml:space="preserve"> offsetting new</w:t>
      </w:r>
      <w:r w:rsidR="001A55B9" w:rsidRPr="0093683C">
        <w:t xml:space="preserve"> polic</w:t>
      </w:r>
      <w:r w:rsidR="000A343A" w:rsidRPr="0093683C">
        <w:t xml:space="preserve">ies </w:t>
      </w:r>
      <w:r w:rsidR="003C5DED" w:rsidRPr="0093683C">
        <w:t>across</w:t>
      </w:r>
      <w:r w:rsidR="005B06E6" w:rsidRPr="0093683C">
        <w:t xml:space="preserve"> </w:t>
      </w:r>
      <w:r w:rsidR="001A55B9" w:rsidRPr="0093683C">
        <w:t xml:space="preserve">this year and next when inflationary pressures are expected to be most acute. </w:t>
      </w:r>
    </w:p>
    <w:p w14:paraId="69053726" w14:textId="2DD4B8BD" w:rsidR="00F24395" w:rsidRPr="0093683C" w:rsidRDefault="00510527" w:rsidP="001F3312">
      <w:pPr>
        <w:pStyle w:val="Bullet"/>
      </w:pPr>
      <w:r w:rsidRPr="0093683C">
        <w:t>I</w:t>
      </w:r>
      <w:r w:rsidR="00707D89" w:rsidRPr="0093683C">
        <w:t xml:space="preserve">mplementing </w:t>
      </w:r>
      <w:r w:rsidR="0045787F" w:rsidRPr="0093683C">
        <w:t>$</w:t>
      </w:r>
      <w:r w:rsidR="00804BA9" w:rsidRPr="0093683C">
        <w:t>28.</w:t>
      </w:r>
      <w:r w:rsidR="00E014E9" w:rsidRPr="0093683C">
        <w:t>5</w:t>
      </w:r>
      <w:r w:rsidR="0045787F" w:rsidRPr="0093683C">
        <w:t xml:space="preserve"> </w:t>
      </w:r>
      <w:r w:rsidR="00557DDA" w:rsidRPr="0093683C">
        <w:t>billion</w:t>
      </w:r>
      <w:r w:rsidR="0045787F" w:rsidRPr="0093683C">
        <w:t xml:space="preserve"> in savings</w:t>
      </w:r>
      <w:r w:rsidR="00AA5C0A" w:rsidRPr="0093683C">
        <w:t xml:space="preserve"> over the 4 years to 2025</w:t>
      </w:r>
      <w:r w:rsidR="005E3EBA">
        <w:t>–</w:t>
      </w:r>
      <w:r w:rsidR="00AA5C0A" w:rsidRPr="0093683C">
        <w:t>26</w:t>
      </w:r>
      <w:r w:rsidR="009F0722" w:rsidRPr="0093683C">
        <w:t xml:space="preserve">, by </w:t>
      </w:r>
      <w:r w:rsidR="00BE153D" w:rsidRPr="0093683C">
        <w:t xml:space="preserve">unwinding </w:t>
      </w:r>
      <w:r w:rsidR="00DE0DCD" w:rsidRPr="0093683C">
        <w:t>wasteful</w:t>
      </w:r>
      <w:r w:rsidR="009F0722" w:rsidRPr="0093683C">
        <w:t xml:space="preserve"> spending, </w:t>
      </w:r>
      <w:r w:rsidR="00773414" w:rsidRPr="0093683C">
        <w:t>redirecting spending to higher quality areas</w:t>
      </w:r>
      <w:r w:rsidR="00464515" w:rsidRPr="0093683C">
        <w:t>,</w:t>
      </w:r>
      <w:r w:rsidR="00773414" w:rsidRPr="0093683C">
        <w:t xml:space="preserve"> </w:t>
      </w:r>
      <w:r w:rsidR="00DC0A2E" w:rsidRPr="0093683C">
        <w:t xml:space="preserve">deferring </w:t>
      </w:r>
      <w:r w:rsidR="00C72658" w:rsidRPr="0093683C">
        <w:t xml:space="preserve">infrastructure spending to not compound </w:t>
      </w:r>
      <w:r w:rsidR="008A13D2" w:rsidRPr="0093683C">
        <w:t>supply constraints</w:t>
      </w:r>
      <w:r w:rsidR="002A390D" w:rsidRPr="0093683C">
        <w:t xml:space="preserve"> or </w:t>
      </w:r>
      <w:r w:rsidR="005B06E6" w:rsidRPr="0093683C">
        <w:t>to</w:t>
      </w:r>
      <w:r w:rsidR="002A390D" w:rsidRPr="0093683C">
        <w:t xml:space="preserve"> better assess their merits</w:t>
      </w:r>
      <w:r w:rsidR="00E85E7D" w:rsidRPr="0093683C">
        <w:t xml:space="preserve">, </w:t>
      </w:r>
      <w:r w:rsidR="00370C65" w:rsidRPr="0093683C">
        <w:t xml:space="preserve">and </w:t>
      </w:r>
      <w:r w:rsidR="0040212F" w:rsidRPr="0093683C">
        <w:t xml:space="preserve">improving the </w:t>
      </w:r>
      <w:r w:rsidR="006544A2" w:rsidRPr="0093683C">
        <w:t>fair</w:t>
      </w:r>
      <w:r w:rsidR="00AA2250" w:rsidRPr="0093683C">
        <w:t>ness</w:t>
      </w:r>
      <w:r w:rsidR="006544A2" w:rsidRPr="0093683C">
        <w:t xml:space="preserve"> and </w:t>
      </w:r>
      <w:r w:rsidR="00DE7B25" w:rsidRPr="0093683C">
        <w:t xml:space="preserve">integrity </w:t>
      </w:r>
      <w:r w:rsidR="002237D1" w:rsidRPr="0093683C">
        <w:t>of</w:t>
      </w:r>
      <w:r w:rsidR="006544A2" w:rsidRPr="0093683C">
        <w:t xml:space="preserve"> the tax system.</w:t>
      </w:r>
      <w:r w:rsidR="00D00A49" w:rsidRPr="0093683C">
        <w:t xml:space="preserve"> </w:t>
      </w:r>
    </w:p>
    <w:p w14:paraId="0821AB96" w14:textId="0D3E0E2A" w:rsidR="008A0B27" w:rsidRPr="0093683C" w:rsidRDefault="001B3273" w:rsidP="001F3312">
      <w:pPr>
        <w:pStyle w:val="Bullet"/>
      </w:pPr>
      <w:r w:rsidRPr="0093683C">
        <w:t>Retur</w:t>
      </w:r>
      <w:r w:rsidR="008106FD" w:rsidRPr="0093683C">
        <w:t>n</w:t>
      </w:r>
      <w:r w:rsidRPr="0093683C">
        <w:t xml:space="preserve">ing </w:t>
      </w:r>
      <w:r w:rsidR="008A0B27" w:rsidRPr="0093683C">
        <w:t>over</w:t>
      </w:r>
      <w:r w:rsidR="007271F9" w:rsidRPr="0093683C">
        <w:t xml:space="preserve"> </w:t>
      </w:r>
      <w:r w:rsidR="00CD484B" w:rsidRPr="0093683C">
        <w:t>90</w:t>
      </w:r>
      <w:r w:rsidR="003B3828" w:rsidRPr="0093683C">
        <w:t xml:space="preserve"> </w:t>
      </w:r>
      <w:r w:rsidR="008A0B27" w:rsidRPr="0093683C">
        <w:t>per cent</w:t>
      </w:r>
      <w:r w:rsidR="008A0B27" w:rsidRPr="004B1167">
        <w:t xml:space="preserve"> </w:t>
      </w:r>
      <w:r w:rsidR="008A0B27" w:rsidRPr="0093683C">
        <w:t>o</w:t>
      </w:r>
      <w:r w:rsidR="00D00A49" w:rsidRPr="0093683C">
        <w:t xml:space="preserve">f the </w:t>
      </w:r>
      <w:r w:rsidR="006C051F" w:rsidRPr="0093683C">
        <w:t>$</w:t>
      </w:r>
      <w:r w:rsidR="00926D5C" w:rsidRPr="0093683C">
        <w:t>123.8</w:t>
      </w:r>
      <w:r w:rsidR="006C051F" w:rsidRPr="0093683C">
        <w:t xml:space="preserve"> billion of improvements </w:t>
      </w:r>
      <w:r w:rsidR="006C7980" w:rsidRPr="0093683C">
        <w:t>in tax receipts</w:t>
      </w:r>
      <w:r w:rsidR="005D755D" w:rsidRPr="0093683C">
        <w:t xml:space="preserve"> (excluding GST)</w:t>
      </w:r>
      <w:r w:rsidR="006C7980" w:rsidRPr="0093683C">
        <w:t xml:space="preserve"> from estimates variations</w:t>
      </w:r>
      <w:r w:rsidR="006C051F" w:rsidRPr="0093683C">
        <w:t xml:space="preserve"> to </w:t>
      </w:r>
      <w:r w:rsidR="008106FD" w:rsidRPr="0093683C">
        <w:t xml:space="preserve">improve </w:t>
      </w:r>
      <w:r w:rsidR="006C051F" w:rsidRPr="0093683C">
        <w:t xml:space="preserve">the </w:t>
      </w:r>
      <w:r w:rsidR="005E1873" w:rsidRPr="0093683C">
        <w:t>b</w:t>
      </w:r>
      <w:r w:rsidR="006C051F" w:rsidRPr="0093683C">
        <w:t xml:space="preserve">udget position </w:t>
      </w:r>
      <w:r w:rsidR="00AD29B1" w:rsidRPr="0093683C">
        <w:t>over the forward estimates</w:t>
      </w:r>
      <w:r w:rsidR="00CE7C3F" w:rsidRPr="0093683C">
        <w:t>.</w:t>
      </w:r>
      <w:r w:rsidR="00D00A49" w:rsidRPr="0093683C">
        <w:t xml:space="preserve"> </w:t>
      </w:r>
    </w:p>
    <w:p w14:paraId="0EC059DC" w14:textId="64909EA5" w:rsidR="00F24395" w:rsidRPr="0093683C" w:rsidRDefault="00BF14EB" w:rsidP="003C7625">
      <w:pPr>
        <w:pStyle w:val="Dash"/>
      </w:pPr>
      <w:r w:rsidRPr="0093683C">
        <w:t xml:space="preserve">This is far more disciplined than </w:t>
      </w:r>
      <w:r w:rsidR="00B75A27" w:rsidRPr="0093683C">
        <w:t xml:space="preserve">recent </w:t>
      </w:r>
      <w:r w:rsidR="00BA3668">
        <w:t>B</w:t>
      </w:r>
      <w:r w:rsidR="00B75A27" w:rsidRPr="0093683C">
        <w:t xml:space="preserve">udget updates. In the </w:t>
      </w:r>
      <w:r w:rsidR="00BE6C65" w:rsidRPr="0093683C">
        <w:t xml:space="preserve">7 </w:t>
      </w:r>
      <w:r w:rsidR="00BA3668">
        <w:t>B</w:t>
      </w:r>
      <w:r w:rsidR="00726424" w:rsidRPr="0093683C">
        <w:t>udget</w:t>
      </w:r>
      <w:r w:rsidR="00B75A27" w:rsidRPr="0093683C">
        <w:t xml:space="preserve"> updates between </w:t>
      </w:r>
      <w:r w:rsidR="00800E07" w:rsidRPr="0093683C">
        <w:t>2013</w:t>
      </w:r>
      <w:r w:rsidR="005E3EBA">
        <w:t>–</w:t>
      </w:r>
      <w:r w:rsidR="00800E07" w:rsidRPr="0093683C">
        <w:t>14 MYEFO</w:t>
      </w:r>
      <w:r w:rsidR="00B75A27" w:rsidRPr="0093683C">
        <w:t xml:space="preserve"> </w:t>
      </w:r>
      <w:r w:rsidR="002A2EEF" w:rsidRPr="0093683C">
        <w:t>and</w:t>
      </w:r>
      <w:r w:rsidR="00B75A27" w:rsidRPr="0093683C">
        <w:t xml:space="preserve"> </w:t>
      </w:r>
      <w:r w:rsidR="009128AE" w:rsidRPr="0093683C">
        <w:t xml:space="preserve">the </w:t>
      </w:r>
      <w:r w:rsidR="004070EA" w:rsidRPr="0093683C">
        <w:t>2022</w:t>
      </w:r>
      <w:r w:rsidR="00B9531B" w:rsidRPr="0093683C">
        <w:t>–</w:t>
      </w:r>
      <w:r w:rsidR="004070EA" w:rsidRPr="0093683C">
        <w:t xml:space="preserve">23 </w:t>
      </w:r>
      <w:r w:rsidR="009128AE" w:rsidRPr="0093683C">
        <w:t>March Budget</w:t>
      </w:r>
      <w:r w:rsidR="00800E07" w:rsidRPr="0093683C">
        <w:t xml:space="preserve"> where tax receipts (excluding GST) were upgraded</w:t>
      </w:r>
      <w:r w:rsidR="009128AE" w:rsidRPr="0093683C">
        <w:t xml:space="preserve">, </w:t>
      </w:r>
      <w:r w:rsidR="00552674" w:rsidRPr="0093683C">
        <w:t xml:space="preserve">only </w:t>
      </w:r>
      <w:r w:rsidR="00453094" w:rsidRPr="0093683C">
        <w:t xml:space="preserve">around </w:t>
      </w:r>
      <w:r w:rsidR="00800E07" w:rsidRPr="0093683C">
        <w:t>40 per cent</w:t>
      </w:r>
      <w:r w:rsidR="009128AE" w:rsidRPr="0093683C">
        <w:t xml:space="preserve"> </w:t>
      </w:r>
      <w:r w:rsidR="00806396" w:rsidRPr="0093683C">
        <w:t xml:space="preserve">of the </w:t>
      </w:r>
      <w:r w:rsidR="009128AE" w:rsidRPr="0093683C">
        <w:t xml:space="preserve">improvements were </w:t>
      </w:r>
      <w:r w:rsidR="001B3273" w:rsidRPr="0093683C">
        <w:t>returned to the budget</w:t>
      </w:r>
      <w:r w:rsidR="009128AE" w:rsidRPr="0093683C">
        <w:t xml:space="preserve">. </w:t>
      </w:r>
    </w:p>
    <w:p w14:paraId="04440187" w14:textId="0F1E5523" w:rsidR="005769EA" w:rsidRPr="0093683C" w:rsidRDefault="007E0CE6" w:rsidP="00244EDD">
      <w:pPr>
        <w:pStyle w:val="Bullet"/>
      </w:pPr>
      <w:r w:rsidRPr="0093683C">
        <w:t xml:space="preserve">Limiting growth in payments, notwithstanding </w:t>
      </w:r>
      <w:r w:rsidR="009C053C" w:rsidRPr="0093683C">
        <w:t>building spending pressures</w:t>
      </w:r>
      <w:r w:rsidR="00C10929" w:rsidRPr="0093683C">
        <w:t>. R</w:t>
      </w:r>
      <w:r w:rsidR="009C053C" w:rsidRPr="0093683C">
        <w:t xml:space="preserve">eal </w:t>
      </w:r>
      <w:r w:rsidR="005769EA" w:rsidRPr="0093683C">
        <w:t>payments growth</w:t>
      </w:r>
      <w:r w:rsidR="005769EA" w:rsidRPr="0093683C">
        <w:rPr>
          <w:rStyle w:val="FootnoteReference"/>
        </w:rPr>
        <w:footnoteReference w:id="2"/>
      </w:r>
      <w:r w:rsidR="005769EA" w:rsidRPr="0093683C">
        <w:t xml:space="preserve"> is expected to average </w:t>
      </w:r>
      <w:r w:rsidR="00E31F50" w:rsidRPr="0093683C">
        <w:t>0.</w:t>
      </w:r>
      <w:r w:rsidR="00B17227" w:rsidRPr="0093683C">
        <w:t>3</w:t>
      </w:r>
      <w:r w:rsidR="005769EA" w:rsidRPr="0093683C">
        <w:t xml:space="preserve"> per cent over the forward estimates</w:t>
      </w:r>
      <w:r w:rsidR="00B50373" w:rsidRPr="0093683C">
        <w:t>. This</w:t>
      </w:r>
      <w:r w:rsidR="005769EA" w:rsidRPr="0093683C">
        <w:t xml:space="preserve"> compare</w:t>
      </w:r>
      <w:r w:rsidR="009D4EE9" w:rsidRPr="0093683C">
        <w:t>s</w:t>
      </w:r>
      <w:r w:rsidR="005769EA" w:rsidRPr="0093683C">
        <w:t xml:space="preserve"> to an average of </w:t>
      </w:r>
      <w:r w:rsidR="009D4EE9" w:rsidRPr="0093683C">
        <w:t xml:space="preserve">around </w:t>
      </w:r>
      <w:r w:rsidR="00B17227" w:rsidRPr="0093683C">
        <w:t>4.0</w:t>
      </w:r>
      <w:r w:rsidR="005769EA" w:rsidRPr="0093683C">
        <w:t xml:space="preserve"> per cent over the period </w:t>
      </w:r>
      <w:r w:rsidR="001A12D2" w:rsidRPr="0093683C">
        <w:t xml:space="preserve">prior to the </w:t>
      </w:r>
      <w:r w:rsidR="005834CD" w:rsidRPr="0093683C">
        <w:t>G</w:t>
      </w:r>
      <w:r w:rsidR="001A12D2" w:rsidRPr="0093683C">
        <w:t xml:space="preserve">lobal </w:t>
      </w:r>
      <w:r w:rsidR="005834CD" w:rsidRPr="0093683C">
        <w:t>F</w:t>
      </w:r>
      <w:r w:rsidR="001A12D2" w:rsidRPr="0093683C">
        <w:t xml:space="preserve">inancial </w:t>
      </w:r>
      <w:r w:rsidR="005834CD" w:rsidRPr="0093683C">
        <w:t>C</w:t>
      </w:r>
      <w:r w:rsidR="001A12D2" w:rsidRPr="0093683C">
        <w:t>risis (</w:t>
      </w:r>
      <w:r w:rsidR="005769EA" w:rsidRPr="0093683C">
        <w:t>2000</w:t>
      </w:r>
      <w:r w:rsidR="00B9531B" w:rsidRPr="0093683C">
        <w:t>–</w:t>
      </w:r>
      <w:r w:rsidR="005769EA" w:rsidRPr="0093683C">
        <w:t xml:space="preserve">01 to </w:t>
      </w:r>
      <w:r w:rsidR="000F5D62" w:rsidRPr="0093683C">
        <w:t>200</w:t>
      </w:r>
      <w:r w:rsidR="00475AAE" w:rsidRPr="0093683C">
        <w:t>7</w:t>
      </w:r>
      <w:r w:rsidR="005E3EBA">
        <w:t>–</w:t>
      </w:r>
      <w:r w:rsidR="000F5D62" w:rsidRPr="0093683C">
        <w:t>0</w:t>
      </w:r>
      <w:r w:rsidR="00475AAE" w:rsidRPr="0093683C">
        <w:t>8</w:t>
      </w:r>
      <w:r w:rsidR="001A12D2" w:rsidRPr="0093683C">
        <w:t>)</w:t>
      </w:r>
      <w:r w:rsidR="000F5D62" w:rsidRPr="0093683C">
        <w:t xml:space="preserve"> and </w:t>
      </w:r>
      <w:r w:rsidR="00383A3D" w:rsidRPr="0093683C">
        <w:t>2.2</w:t>
      </w:r>
      <w:r w:rsidR="00F370DF" w:rsidRPr="0093683C">
        <w:t xml:space="preserve"> per cent </w:t>
      </w:r>
      <w:r w:rsidR="009D7E4E" w:rsidRPr="0093683C">
        <w:t xml:space="preserve">over the period </w:t>
      </w:r>
      <w:r w:rsidR="001A12D2" w:rsidRPr="0093683C">
        <w:t>prior to the pandemic (</w:t>
      </w:r>
      <w:r w:rsidR="00071974" w:rsidRPr="0093683C">
        <w:t>2011</w:t>
      </w:r>
      <w:r w:rsidR="005E3EBA">
        <w:t>–</w:t>
      </w:r>
      <w:r w:rsidR="00071974" w:rsidRPr="0093683C">
        <w:t>12 to 2018</w:t>
      </w:r>
      <w:r w:rsidR="005E3EBA">
        <w:t>–</w:t>
      </w:r>
      <w:r w:rsidR="00071974" w:rsidRPr="0093683C">
        <w:t>19</w:t>
      </w:r>
      <w:r w:rsidR="001A12D2" w:rsidRPr="0093683C">
        <w:t>)</w:t>
      </w:r>
      <w:r w:rsidR="005769EA" w:rsidRPr="0093683C">
        <w:t xml:space="preserve"> (Chart 3.1).</w:t>
      </w:r>
    </w:p>
    <w:p w14:paraId="3FFB38C9" w14:textId="72D3D01C" w:rsidR="003F0EC0" w:rsidRPr="0093683C" w:rsidRDefault="007B0FB0" w:rsidP="00282AA3">
      <w:pPr>
        <w:pStyle w:val="Bullet"/>
      </w:pPr>
      <w:r w:rsidRPr="0093683C">
        <w:t>Reducing g</w:t>
      </w:r>
      <w:r w:rsidR="00247411" w:rsidRPr="0093683C">
        <w:t xml:space="preserve">ross </w:t>
      </w:r>
      <w:r w:rsidR="00AD013D" w:rsidRPr="0093683C">
        <w:t>debt</w:t>
      </w:r>
      <w:r w:rsidR="00B843E9" w:rsidRPr="0093683C">
        <w:t xml:space="preserve"> </w:t>
      </w:r>
      <w:r w:rsidR="00DA74D6" w:rsidRPr="0093683C">
        <w:t>as a share of</w:t>
      </w:r>
      <w:r w:rsidR="00B843E9" w:rsidRPr="0093683C">
        <w:t xml:space="preserve"> </w:t>
      </w:r>
      <w:r w:rsidR="00911794" w:rsidRPr="0093683C">
        <w:t>GDP</w:t>
      </w:r>
      <w:r w:rsidR="00247411" w:rsidRPr="0093683C">
        <w:t xml:space="preserve"> </w:t>
      </w:r>
      <w:r w:rsidR="009638AF" w:rsidRPr="0093683C">
        <w:t xml:space="preserve">and </w:t>
      </w:r>
      <w:r w:rsidRPr="0093683C">
        <w:t>keeping it</w:t>
      </w:r>
      <w:r w:rsidR="009C0187" w:rsidRPr="0093683C">
        <w:t xml:space="preserve"> lower</w:t>
      </w:r>
      <w:r w:rsidR="009638AF" w:rsidRPr="0093683C">
        <w:t xml:space="preserve"> </w:t>
      </w:r>
      <w:r w:rsidR="00E014E9" w:rsidRPr="0093683C">
        <w:t>in each year of</w:t>
      </w:r>
      <w:r w:rsidR="009C0187" w:rsidRPr="0093683C">
        <w:t xml:space="preserve"> the forward estimates </w:t>
      </w:r>
      <w:r w:rsidR="009638AF" w:rsidRPr="0093683C">
        <w:t xml:space="preserve">than </w:t>
      </w:r>
      <w:r w:rsidR="009C0187" w:rsidRPr="0093683C">
        <w:t>at PEFO.</w:t>
      </w:r>
      <w:r w:rsidR="00911794" w:rsidRPr="0093683C">
        <w:t xml:space="preserve"> </w:t>
      </w:r>
      <w:r w:rsidR="008D1971" w:rsidRPr="0093683C">
        <w:t xml:space="preserve">At the end of </w:t>
      </w:r>
      <w:r w:rsidR="00127413" w:rsidRPr="0093683C">
        <w:t>forward estimates</w:t>
      </w:r>
      <w:r w:rsidR="006E1C54" w:rsidRPr="0093683C">
        <w:t xml:space="preserve">, gross debt as a share of GDP </w:t>
      </w:r>
      <w:r w:rsidR="00724136" w:rsidRPr="0093683C">
        <w:t xml:space="preserve">is </w:t>
      </w:r>
      <w:r w:rsidR="006E1C54" w:rsidRPr="0093683C">
        <w:t xml:space="preserve">projected to be </w:t>
      </w:r>
      <w:r w:rsidR="002B190E" w:rsidRPr="0093683C">
        <w:t>1.6</w:t>
      </w:r>
      <w:r w:rsidR="006E1C54" w:rsidRPr="0093683C">
        <w:t xml:space="preserve"> percentage points lower than at PEFO. </w:t>
      </w:r>
    </w:p>
    <w:p w14:paraId="23BE5F52" w14:textId="661D7830" w:rsidR="00FA4CD4" w:rsidRPr="004F1EFB" w:rsidRDefault="00FA4CD4" w:rsidP="00AA18D3">
      <w:pPr>
        <w:pStyle w:val="Bullet"/>
        <w:numPr>
          <w:ilvl w:val="0"/>
          <w:numId w:val="0"/>
        </w:numPr>
      </w:pPr>
      <w:r w:rsidRPr="0093683C">
        <w:t xml:space="preserve">These actions will ensure that fiscal policy supports monetary policy efforts to dampen inflation and avoid higher than necessary interest </w:t>
      </w:r>
      <w:proofErr w:type="gramStart"/>
      <w:r w:rsidRPr="0093683C">
        <w:t>rates</w:t>
      </w:r>
      <w:r>
        <w:t>,</w:t>
      </w:r>
      <w:r w:rsidRPr="0093683C">
        <w:t xml:space="preserve"> and</w:t>
      </w:r>
      <w:proofErr w:type="gramEnd"/>
      <w:r w:rsidRPr="0093683C">
        <w:t xml:space="preserve"> are a meaningful first step on the Government’s commitment to improve the quality of spending and repair the </w:t>
      </w:r>
      <w:r w:rsidR="008A2D3D" w:rsidRPr="0093683C">
        <w:t>b</w:t>
      </w:r>
      <w:r w:rsidRPr="0093683C">
        <w:t xml:space="preserve">udget. </w:t>
      </w:r>
    </w:p>
    <w:p w14:paraId="595BA0A2" w14:textId="4C27F13D" w:rsidR="0060618C" w:rsidRPr="0093683C" w:rsidRDefault="00FA4CD4" w:rsidP="00AA18D3">
      <w:pPr>
        <w:pStyle w:val="Bullet"/>
        <w:numPr>
          <w:ilvl w:val="0"/>
          <w:numId w:val="0"/>
        </w:numPr>
      </w:pPr>
      <w:r w:rsidRPr="0093683C">
        <w:t xml:space="preserve">The updated medium-term projections presented in </w:t>
      </w:r>
      <w:r w:rsidR="00CE6A46" w:rsidRPr="0093683C">
        <w:t>this</w:t>
      </w:r>
      <w:r w:rsidRPr="0093683C">
        <w:t xml:space="preserve"> Budget reveal the magnitude of the fiscal challenges the Government inherited. </w:t>
      </w:r>
      <w:r w:rsidR="008B1125" w:rsidRPr="0093683C">
        <w:t xml:space="preserve">The risk </w:t>
      </w:r>
      <w:r w:rsidR="00295A48" w:rsidRPr="0093683C">
        <w:t xml:space="preserve">of higher interest rates and lower productivity </w:t>
      </w:r>
      <w:r w:rsidR="00AA0F20" w:rsidRPr="0093683C">
        <w:t>growth</w:t>
      </w:r>
      <w:r w:rsidR="00295A48" w:rsidRPr="0093683C">
        <w:t xml:space="preserve"> </w:t>
      </w:r>
      <w:r w:rsidR="00C82783" w:rsidRPr="0093683C">
        <w:t xml:space="preserve">had </w:t>
      </w:r>
      <w:r w:rsidR="00A54FA6" w:rsidRPr="0093683C">
        <w:t xml:space="preserve">been </w:t>
      </w:r>
      <w:r w:rsidR="00295A48" w:rsidRPr="0093683C">
        <w:t>foreshadowed</w:t>
      </w:r>
      <w:r w:rsidR="00A54FA6" w:rsidRPr="0093683C">
        <w:t xml:space="preserve">. </w:t>
      </w:r>
      <w:r w:rsidR="007B4D7B" w:rsidRPr="0093683C">
        <w:t>T</w:t>
      </w:r>
      <w:r w:rsidRPr="0093683C">
        <w:t xml:space="preserve">he </w:t>
      </w:r>
      <w:r w:rsidR="004057CA" w:rsidRPr="0093683C">
        <w:t>2022 </w:t>
      </w:r>
      <w:r w:rsidRPr="0093683C">
        <w:t xml:space="preserve">PEFO outlined the </w:t>
      </w:r>
      <w:r w:rsidR="00542032" w:rsidRPr="0093683C">
        <w:t xml:space="preserve">potential </w:t>
      </w:r>
      <w:r w:rsidR="00CB21F3" w:rsidRPr="0093683C">
        <w:t xml:space="preserve">fiscal </w:t>
      </w:r>
      <w:r w:rsidRPr="0093683C">
        <w:lastRenderedPageBreak/>
        <w:t xml:space="preserve">impact </w:t>
      </w:r>
      <w:r w:rsidR="00CB21F3" w:rsidRPr="0093683C">
        <w:t xml:space="preserve">of </w:t>
      </w:r>
      <w:r w:rsidRPr="0093683C">
        <w:t xml:space="preserve">higher interest </w:t>
      </w:r>
      <w:proofErr w:type="gramStart"/>
      <w:r w:rsidRPr="0093683C">
        <w:t>rates</w:t>
      </w:r>
      <w:proofErr w:type="gramEnd"/>
      <w:r w:rsidR="007B4D7B" w:rsidRPr="0093683C">
        <w:t xml:space="preserve"> and the </w:t>
      </w:r>
      <w:r w:rsidR="00835D3D" w:rsidRPr="0093683C">
        <w:rPr>
          <w:i/>
        </w:rPr>
        <w:t>2021 Intergenerational Report</w:t>
      </w:r>
      <w:r w:rsidR="00835D3D" w:rsidRPr="0093683C">
        <w:t xml:space="preserve"> </w:t>
      </w:r>
      <w:r w:rsidR="007B4D7B" w:rsidRPr="0093683C">
        <w:t xml:space="preserve">outlined the potential impact of </w:t>
      </w:r>
      <w:r w:rsidRPr="0093683C">
        <w:t>lower productivity growth.</w:t>
      </w:r>
      <w:r w:rsidR="007B4D7B" w:rsidRPr="0093683C">
        <w:t xml:space="preserve"> </w:t>
      </w:r>
    </w:p>
    <w:p w14:paraId="2B2E4A82" w14:textId="1CA39F6E" w:rsidR="00D51961" w:rsidRPr="0093683C" w:rsidRDefault="00291A81" w:rsidP="00D51961">
      <w:pPr>
        <w:pStyle w:val="Bullet"/>
        <w:numPr>
          <w:ilvl w:val="0"/>
          <w:numId w:val="0"/>
        </w:numPr>
      </w:pPr>
      <w:r w:rsidRPr="0093683C">
        <w:t>T</w:t>
      </w:r>
      <w:r w:rsidR="00D51961" w:rsidRPr="0093683C">
        <w:t xml:space="preserve">his Budget begins the </w:t>
      </w:r>
      <w:r w:rsidRPr="0093683C">
        <w:t xml:space="preserve">critical </w:t>
      </w:r>
      <w:r w:rsidR="00D51961" w:rsidRPr="0093683C">
        <w:t xml:space="preserve">task of budget repair, </w:t>
      </w:r>
      <w:r w:rsidRPr="0093683C">
        <w:t xml:space="preserve">but </w:t>
      </w:r>
      <w:r w:rsidR="00D51961" w:rsidRPr="0093683C">
        <w:t xml:space="preserve">further work will be required to continue to build fiscal buffers </w:t>
      </w:r>
      <w:r w:rsidR="00D8183C" w:rsidRPr="0093683C">
        <w:t xml:space="preserve">to respond to </w:t>
      </w:r>
      <w:r w:rsidR="00D51961" w:rsidRPr="0093683C">
        <w:t xml:space="preserve">future shocks and manage </w:t>
      </w:r>
      <w:r w:rsidR="00C75905" w:rsidRPr="0093683C">
        <w:t>growing</w:t>
      </w:r>
      <w:r w:rsidR="00D51961" w:rsidRPr="0093683C">
        <w:t xml:space="preserve"> </w:t>
      </w:r>
      <w:r w:rsidR="00D8183C" w:rsidRPr="0093683C">
        <w:t xml:space="preserve">cost </w:t>
      </w:r>
      <w:r w:rsidR="00D51961" w:rsidRPr="0093683C">
        <w:t xml:space="preserve">pressures. Achieving this will require a national conversation </w:t>
      </w:r>
      <w:r w:rsidR="00761CDD" w:rsidRPr="0093683C">
        <w:t>about</w:t>
      </w:r>
      <w:r w:rsidR="00D51961" w:rsidRPr="0093683C">
        <w:t xml:space="preserve"> how the</w:t>
      </w:r>
      <w:r w:rsidR="005600BC" w:rsidRPr="0093683C">
        <w:t xml:space="preserve"> services Australians need </w:t>
      </w:r>
      <w:r w:rsidR="00D51961" w:rsidRPr="0093683C">
        <w:t xml:space="preserve">are funded. The Government will continue the task of reviewing programs to </w:t>
      </w:r>
      <w:r w:rsidR="00D8183C" w:rsidRPr="0093683C">
        <w:t>identify savings. This</w:t>
      </w:r>
      <w:r w:rsidR="00D51961" w:rsidRPr="0093683C" w:rsidDel="00D8183C">
        <w:t xml:space="preserve"> </w:t>
      </w:r>
      <w:r w:rsidR="00D8183C" w:rsidRPr="0093683C">
        <w:t xml:space="preserve">will </w:t>
      </w:r>
      <w:r w:rsidR="00D51961" w:rsidRPr="0093683C">
        <w:t xml:space="preserve">ensure </w:t>
      </w:r>
      <w:r w:rsidR="00D8183C" w:rsidRPr="0093683C">
        <w:t xml:space="preserve">programs </w:t>
      </w:r>
      <w:r w:rsidR="00D51961" w:rsidRPr="0093683C">
        <w:t>are efficient, effective, and focussed on national prioritie</w:t>
      </w:r>
      <w:r w:rsidR="00D8183C" w:rsidRPr="0093683C">
        <w:t>s</w:t>
      </w:r>
      <w:r w:rsidR="00D51961" w:rsidRPr="0093683C">
        <w:t xml:space="preserve">, enhance the quality of spending, and improve the budget position over time. </w:t>
      </w:r>
    </w:p>
    <w:p w14:paraId="29ED2708" w14:textId="77777777" w:rsidR="00A101EA" w:rsidRPr="0093683C" w:rsidRDefault="00A101EA" w:rsidP="008A2D3D">
      <w:pPr>
        <w:pStyle w:val="ChartHeading"/>
      </w:pPr>
      <w:r w:rsidRPr="0093683C">
        <w:t>Chart 3.</w:t>
      </w:r>
      <w:r w:rsidR="000634EE" w:rsidRPr="0093683C">
        <w:t>1</w:t>
      </w:r>
      <w:r w:rsidRPr="0093683C">
        <w:t>: Real payments growth</w:t>
      </w:r>
    </w:p>
    <w:p w14:paraId="09FF3487" w14:textId="09F76E13" w:rsidR="00A101EA" w:rsidRPr="0093683C" w:rsidRDefault="003A7369" w:rsidP="008D2E3A">
      <w:pPr>
        <w:pStyle w:val="ChartGraphic"/>
      </w:pPr>
      <w:r>
        <w:rPr>
          <w:noProof/>
        </w:rPr>
        <w:drawing>
          <wp:inline distT="0" distB="0" distL="0" distR="0" wp14:anchorId="462BAC82" wp14:editId="4F3E3DD5">
            <wp:extent cx="4674235" cy="2523490"/>
            <wp:effectExtent l="0" t="0" r="0" b="0"/>
            <wp:docPr id="22" name="Picture 22" descr="This chart shows that real payments growth is expected to average 0.3 per cent over the forward estimates. This is low compared to an average of 4.0 per cent in the period prior to the Global Financial Crisis (2000-01 to 2007-08) and 2.2 per cent in the period prior to the pandemic (2011-12 to 2018-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is chart shows that real payments growth is expected to average 0.3 per cent over the forward estimates. This is low compared to an average of 4.0 per cent in the period prior to the Global Financial Crisis (2000-01 to 2007-08) and 2.2 per cent in the period prior to the pandemic (2011-12 to 2018-19).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1E8ED19F" w14:textId="77777777" w:rsidR="00A101EA" w:rsidRPr="0093683C" w:rsidRDefault="00A101EA" w:rsidP="005B7554">
      <w:pPr>
        <w:pStyle w:val="ChartandTableFootnote"/>
        <w:rPr>
          <w:color w:val="auto"/>
        </w:rPr>
      </w:pPr>
      <w:r w:rsidRPr="0093683C">
        <w:rPr>
          <w:color w:val="auto"/>
        </w:rPr>
        <w:t xml:space="preserve">Source: </w:t>
      </w:r>
      <w:r w:rsidR="00D455B5" w:rsidRPr="0093683C">
        <w:rPr>
          <w:color w:val="auto"/>
        </w:rPr>
        <w:tab/>
      </w:r>
      <w:r w:rsidRPr="0093683C">
        <w:rPr>
          <w:color w:val="auto"/>
        </w:rPr>
        <w:t>Treasury</w:t>
      </w:r>
      <w:r w:rsidR="00FF0EF1" w:rsidRPr="0093683C">
        <w:rPr>
          <w:color w:val="auto"/>
        </w:rPr>
        <w:t>.</w:t>
      </w:r>
    </w:p>
    <w:p w14:paraId="680C8B8A" w14:textId="3140D784" w:rsidR="00C67831" w:rsidRPr="0093683C" w:rsidRDefault="00764ABD" w:rsidP="00A171AA">
      <w:pPr>
        <w:pStyle w:val="ChartandTableFootnote"/>
        <w:rPr>
          <w:color w:val="auto"/>
        </w:rPr>
      </w:pPr>
      <w:r w:rsidRPr="0093683C">
        <w:rPr>
          <w:color w:val="auto"/>
        </w:rPr>
        <w:t xml:space="preserve">Note: </w:t>
      </w:r>
      <w:r w:rsidR="00D455B5" w:rsidRPr="0093683C">
        <w:rPr>
          <w:color w:val="auto"/>
        </w:rPr>
        <w:tab/>
      </w:r>
      <w:r w:rsidR="00131DCF" w:rsidRPr="0093683C">
        <w:rPr>
          <w:color w:val="auto"/>
        </w:rPr>
        <w:t>Average</w:t>
      </w:r>
      <w:r w:rsidR="00AA18D3" w:rsidRPr="0093683C">
        <w:rPr>
          <w:color w:val="auto"/>
        </w:rPr>
        <w:t>s</w:t>
      </w:r>
      <w:r w:rsidR="00131DCF" w:rsidRPr="0093683C">
        <w:rPr>
          <w:color w:val="auto"/>
        </w:rPr>
        <w:t xml:space="preserve"> </w:t>
      </w:r>
      <w:r w:rsidR="00AA18D3" w:rsidRPr="0093683C">
        <w:rPr>
          <w:color w:val="auto"/>
        </w:rPr>
        <w:t>cover 2000</w:t>
      </w:r>
      <w:r w:rsidR="005E3EBA">
        <w:rPr>
          <w:color w:val="auto"/>
        </w:rPr>
        <w:t>–</w:t>
      </w:r>
      <w:r w:rsidR="00AA18D3" w:rsidRPr="0093683C">
        <w:rPr>
          <w:color w:val="auto"/>
        </w:rPr>
        <w:t>01 to 2007</w:t>
      </w:r>
      <w:r w:rsidR="005E3EBA">
        <w:rPr>
          <w:color w:val="auto"/>
        </w:rPr>
        <w:t>–</w:t>
      </w:r>
      <w:r w:rsidR="00AA18D3" w:rsidRPr="0093683C">
        <w:rPr>
          <w:color w:val="auto"/>
        </w:rPr>
        <w:t>08, 2011</w:t>
      </w:r>
      <w:r w:rsidR="005E3EBA">
        <w:rPr>
          <w:color w:val="auto"/>
        </w:rPr>
        <w:t>–</w:t>
      </w:r>
      <w:r w:rsidR="00AA18D3" w:rsidRPr="0093683C">
        <w:rPr>
          <w:color w:val="auto"/>
        </w:rPr>
        <w:t>12 to 2018</w:t>
      </w:r>
      <w:r w:rsidR="005E3EBA">
        <w:rPr>
          <w:color w:val="auto"/>
        </w:rPr>
        <w:t>–</w:t>
      </w:r>
      <w:r w:rsidR="00AA18D3" w:rsidRPr="0093683C">
        <w:rPr>
          <w:color w:val="auto"/>
        </w:rPr>
        <w:t>19 and 2022</w:t>
      </w:r>
      <w:r w:rsidR="005E3EBA">
        <w:rPr>
          <w:color w:val="auto"/>
        </w:rPr>
        <w:t>–</w:t>
      </w:r>
      <w:r w:rsidR="00AA18D3" w:rsidRPr="0093683C">
        <w:rPr>
          <w:color w:val="auto"/>
        </w:rPr>
        <w:t>23 to 2025</w:t>
      </w:r>
      <w:r w:rsidR="005E3EBA">
        <w:rPr>
          <w:color w:val="auto"/>
        </w:rPr>
        <w:t>–</w:t>
      </w:r>
      <w:r w:rsidR="00AA18D3" w:rsidRPr="0093683C">
        <w:rPr>
          <w:color w:val="auto"/>
        </w:rPr>
        <w:t>26,</w:t>
      </w:r>
      <w:r w:rsidR="00BF5CFD" w:rsidRPr="0093683C">
        <w:rPr>
          <w:color w:val="auto"/>
        </w:rPr>
        <w:t xml:space="preserve"> to exclude the impact of </w:t>
      </w:r>
      <w:r w:rsidR="001A0F8D" w:rsidRPr="0093683C">
        <w:rPr>
          <w:color w:val="auto"/>
        </w:rPr>
        <w:t>fiscal stimulus</w:t>
      </w:r>
      <w:r w:rsidR="00BF5CFD" w:rsidRPr="0093683C">
        <w:rPr>
          <w:color w:val="auto"/>
        </w:rPr>
        <w:t xml:space="preserve"> </w:t>
      </w:r>
      <w:r w:rsidR="00044614" w:rsidRPr="0093683C">
        <w:rPr>
          <w:color w:val="auto"/>
        </w:rPr>
        <w:t xml:space="preserve">during the Global Financial Crisis and </w:t>
      </w:r>
      <w:r w:rsidR="00BA5307" w:rsidRPr="0093683C">
        <w:rPr>
          <w:color w:val="auto"/>
        </w:rPr>
        <w:t xml:space="preserve">COVID-19 pandemic. </w:t>
      </w:r>
    </w:p>
    <w:p w14:paraId="4452119D" w14:textId="77777777" w:rsidR="0013243B" w:rsidRPr="0093683C" w:rsidRDefault="0013243B" w:rsidP="0013243B">
      <w:pPr>
        <w:pStyle w:val="ChartLine"/>
      </w:pPr>
    </w:p>
    <w:p w14:paraId="1B7A7DC4" w14:textId="77777777" w:rsidR="000C7956" w:rsidRPr="0093683C" w:rsidRDefault="000C7956" w:rsidP="000152E1">
      <w:r w:rsidRPr="0093683C">
        <w:br w:type="page"/>
      </w:r>
    </w:p>
    <w:p w14:paraId="453797DA" w14:textId="77777777" w:rsidR="00726AAB" w:rsidRPr="0093683C" w:rsidRDefault="00726AAB" w:rsidP="00726AAB">
      <w:pPr>
        <w:pStyle w:val="Heading2"/>
      </w:pPr>
      <w:bookmarkStart w:id="2" w:name="_Toc117356557"/>
      <w:r w:rsidRPr="0093683C">
        <w:lastRenderedPageBreak/>
        <w:t>Fiscal outlook</w:t>
      </w:r>
      <w:bookmarkEnd w:id="2"/>
      <w:r w:rsidRPr="0093683C">
        <w:t xml:space="preserve"> </w:t>
      </w:r>
    </w:p>
    <w:p w14:paraId="00C96343" w14:textId="77777777" w:rsidR="00726AAB" w:rsidRPr="0093683C" w:rsidRDefault="00726AAB" w:rsidP="00726AAB">
      <w:pPr>
        <w:pStyle w:val="Heading3"/>
        <w:rPr>
          <w:rFonts w:eastAsiaTheme="minorHAnsi"/>
        </w:rPr>
      </w:pPr>
      <w:bookmarkStart w:id="3" w:name="_Toc117356558"/>
      <w:r w:rsidRPr="0093683C">
        <w:t>Underlying cash balance estimates</w:t>
      </w:r>
      <w:bookmarkEnd w:id="3"/>
    </w:p>
    <w:p w14:paraId="48F1A561" w14:textId="18598FD8" w:rsidR="00C21CAE" w:rsidRDefault="00DA5957" w:rsidP="00726AAB">
      <w:r w:rsidRPr="0093683C">
        <w:t>The</w:t>
      </w:r>
      <w:r w:rsidR="00726AAB" w:rsidRPr="0093683C">
        <w:t xml:space="preserve"> underlying cash deficit </w:t>
      </w:r>
      <w:r w:rsidRPr="0093683C">
        <w:t xml:space="preserve">is estimated to be </w:t>
      </w:r>
      <w:r w:rsidR="00F95C54" w:rsidRPr="0093683C">
        <w:t>$</w:t>
      </w:r>
      <w:r w:rsidR="00817078" w:rsidRPr="0093683C">
        <w:t xml:space="preserve">36.9 </w:t>
      </w:r>
      <w:r w:rsidR="00F95C54" w:rsidRPr="0093683C">
        <w:t>billion</w:t>
      </w:r>
      <w:r w:rsidR="00726AAB" w:rsidRPr="0093683C" w:rsidDel="00CA5963">
        <w:t xml:space="preserve"> </w:t>
      </w:r>
      <w:r w:rsidR="00CA5963" w:rsidRPr="0093683C">
        <w:t>(</w:t>
      </w:r>
      <w:r w:rsidR="00BE7AB0" w:rsidRPr="0093683C">
        <w:t>1.5</w:t>
      </w:r>
      <w:r w:rsidR="00726AAB" w:rsidRPr="0093683C">
        <w:t xml:space="preserve"> per cent of GDP</w:t>
      </w:r>
      <w:r w:rsidR="00CA5963" w:rsidRPr="0093683C">
        <w:t>)</w:t>
      </w:r>
      <w:r w:rsidR="00726AAB" w:rsidRPr="0093683C">
        <w:t xml:space="preserve"> in 2022</w:t>
      </w:r>
      <w:r w:rsidR="0072515F" w:rsidRPr="0093683C">
        <w:t>–</w:t>
      </w:r>
      <w:r w:rsidR="00726AAB" w:rsidRPr="0093683C">
        <w:t xml:space="preserve">23, </w:t>
      </w:r>
      <w:r w:rsidR="00CA5963" w:rsidRPr="0093683C">
        <w:t xml:space="preserve">an improvement </w:t>
      </w:r>
      <w:r w:rsidR="001939B4" w:rsidRPr="0093683C">
        <w:t>of $</w:t>
      </w:r>
      <w:r w:rsidR="004A4DCC" w:rsidRPr="0093683C">
        <w:t>41.1</w:t>
      </w:r>
      <w:r w:rsidR="001939B4" w:rsidRPr="0093683C">
        <w:t xml:space="preserve"> billion </w:t>
      </w:r>
      <w:r w:rsidR="00FF4CAE" w:rsidRPr="0093683C">
        <w:t>(</w:t>
      </w:r>
      <w:r w:rsidR="00DB4FFA" w:rsidRPr="0093683C" w:rsidDel="00DB4FFA">
        <w:t>1.</w:t>
      </w:r>
      <w:r w:rsidR="004A4DCC" w:rsidRPr="0093683C">
        <w:t>9</w:t>
      </w:r>
      <w:r w:rsidR="00726AAB" w:rsidRPr="0093683C">
        <w:t xml:space="preserve"> per</w:t>
      </w:r>
      <w:r w:rsidR="00A129F2" w:rsidRPr="0093683C">
        <w:t>centage point</w:t>
      </w:r>
      <w:r w:rsidR="004350E2" w:rsidRPr="0093683C">
        <w:t>s</w:t>
      </w:r>
      <w:r w:rsidR="00726AAB" w:rsidRPr="0093683C">
        <w:t xml:space="preserve"> of GDP</w:t>
      </w:r>
      <w:r w:rsidR="00FF4CAE" w:rsidRPr="0093683C">
        <w:t>)</w:t>
      </w:r>
      <w:r w:rsidR="00726AAB" w:rsidRPr="0093683C" w:rsidDel="00FF4CAE">
        <w:t xml:space="preserve"> </w:t>
      </w:r>
      <w:r w:rsidR="00FF4CAE" w:rsidRPr="0093683C">
        <w:t>since PEFO</w:t>
      </w:r>
      <w:r w:rsidR="00726AAB" w:rsidRPr="0093683C">
        <w:t xml:space="preserve">. </w:t>
      </w:r>
      <w:r w:rsidR="00990CA9" w:rsidRPr="0093683C">
        <w:t>N</w:t>
      </w:r>
      <w:r w:rsidR="00FF4CAE" w:rsidRPr="0093683C">
        <w:t>e</w:t>
      </w:r>
      <w:r w:rsidR="00895333" w:rsidRPr="0093683C">
        <w:t>ar</w:t>
      </w:r>
      <w:r w:rsidR="008C6DA9" w:rsidRPr="0093683C">
        <w:noBreakHyphen/>
      </w:r>
      <w:r w:rsidR="00895333" w:rsidRPr="0093683C">
        <w:t>term improvement</w:t>
      </w:r>
      <w:r w:rsidR="00990CA9" w:rsidRPr="0093683C">
        <w:t xml:space="preserve">s </w:t>
      </w:r>
      <w:r w:rsidR="00E24D72" w:rsidRPr="0093683C">
        <w:t xml:space="preserve">are </w:t>
      </w:r>
      <w:r w:rsidR="00324A5F" w:rsidRPr="0093683C">
        <w:t xml:space="preserve">driven by an improved </w:t>
      </w:r>
      <w:r w:rsidR="00325586" w:rsidRPr="0093683C">
        <w:t xml:space="preserve">outlook for </w:t>
      </w:r>
      <w:r w:rsidR="00355C66" w:rsidRPr="0093683C">
        <w:t xml:space="preserve">receipts. The improvement </w:t>
      </w:r>
      <w:r w:rsidR="00213205" w:rsidRPr="0093683C">
        <w:t xml:space="preserve">in receipts </w:t>
      </w:r>
      <w:r w:rsidR="00355C66" w:rsidRPr="0093683C">
        <w:t xml:space="preserve">is projected to </w:t>
      </w:r>
      <w:r w:rsidR="00C054FD" w:rsidRPr="0093683C">
        <w:t xml:space="preserve">moderate from </w:t>
      </w:r>
      <w:r w:rsidR="00A0361A" w:rsidRPr="0093683C">
        <w:t>2023</w:t>
      </w:r>
      <w:r w:rsidR="00B9531B" w:rsidRPr="0093683C">
        <w:t>–</w:t>
      </w:r>
      <w:r w:rsidR="00A0361A" w:rsidRPr="0093683C">
        <w:t>24</w:t>
      </w:r>
      <w:r w:rsidR="00A0361A">
        <w:t xml:space="preserve"> </w:t>
      </w:r>
      <w:r w:rsidR="00A0361A" w:rsidRPr="0093683C">
        <w:t xml:space="preserve">alongside slowing economic activity </w:t>
      </w:r>
      <w:r w:rsidR="0046118C" w:rsidRPr="0093683C">
        <w:t xml:space="preserve">and </w:t>
      </w:r>
      <w:r w:rsidR="00B878E5" w:rsidRPr="0093683C">
        <w:t>lower</w:t>
      </w:r>
      <w:r w:rsidR="0046118C" w:rsidRPr="0093683C">
        <w:t xml:space="preserve"> commodity prices</w:t>
      </w:r>
      <w:r w:rsidR="00484EE4" w:rsidRPr="0093683C">
        <w:t xml:space="preserve">. </w:t>
      </w:r>
    </w:p>
    <w:p w14:paraId="7962623D" w14:textId="2042D7B9" w:rsidR="00726AAB" w:rsidRPr="0093683C" w:rsidDel="00EF7068" w:rsidRDefault="00726AAB" w:rsidP="004B544A">
      <w:r w:rsidRPr="0093683C">
        <w:t xml:space="preserve">The underlying cash </w:t>
      </w:r>
      <w:r w:rsidR="00341FBE" w:rsidRPr="0093683C">
        <w:t>deficits are higher</w:t>
      </w:r>
      <w:r w:rsidRPr="0093683C" w:rsidDel="00341FBE">
        <w:t xml:space="preserve"> </w:t>
      </w:r>
      <w:r w:rsidR="00323D68" w:rsidRPr="0093683C">
        <w:t>from 2024</w:t>
      </w:r>
      <w:r w:rsidR="005E3EBA">
        <w:t>–</w:t>
      </w:r>
      <w:r w:rsidR="00323D68" w:rsidRPr="0093683C">
        <w:t>25</w:t>
      </w:r>
      <w:r w:rsidR="004B544A" w:rsidRPr="0093683C">
        <w:t xml:space="preserve"> onwards</w:t>
      </w:r>
      <w:r w:rsidR="00516A13" w:rsidRPr="0093683C">
        <w:t xml:space="preserve">, </w:t>
      </w:r>
      <w:r w:rsidR="004B544A" w:rsidRPr="0093683C">
        <w:t xml:space="preserve">with </w:t>
      </w:r>
      <w:r w:rsidR="00213205" w:rsidRPr="0093683C">
        <w:t xml:space="preserve">payment pressures related to </w:t>
      </w:r>
      <w:r w:rsidR="00E24EDA" w:rsidRPr="0093683C">
        <w:t>higher price</w:t>
      </w:r>
      <w:r w:rsidR="0002635A" w:rsidRPr="0093683C">
        <w:t>s</w:t>
      </w:r>
      <w:r w:rsidR="00213205" w:rsidRPr="0093683C">
        <w:t>,</w:t>
      </w:r>
      <w:r w:rsidR="00705D05" w:rsidRPr="0093683C">
        <w:t xml:space="preserve"> higher </w:t>
      </w:r>
      <w:r w:rsidR="00EF7068" w:rsidRPr="0093683C">
        <w:t>debt servicing costs and pressures associated with delivering essential services</w:t>
      </w:r>
      <w:r w:rsidR="007D47B8" w:rsidRPr="0093683C">
        <w:t xml:space="preserve"> </w:t>
      </w:r>
      <w:r w:rsidR="004B544A" w:rsidRPr="0093683C">
        <w:t>outweighing</w:t>
      </w:r>
      <w:r w:rsidR="005B4CBD" w:rsidRPr="0093683C">
        <w:t xml:space="preserve"> improve</w:t>
      </w:r>
      <w:r w:rsidR="004B544A" w:rsidRPr="0093683C">
        <w:t>d</w:t>
      </w:r>
      <w:r w:rsidR="00DF30FF" w:rsidRPr="0093683C">
        <w:t xml:space="preserve"> receipts</w:t>
      </w:r>
      <w:r w:rsidR="00A26886" w:rsidRPr="0093683C">
        <w:t>.</w:t>
      </w:r>
      <w:r w:rsidR="006F6FED" w:rsidRPr="0093683C">
        <w:t xml:space="preserve"> </w:t>
      </w:r>
      <w:r w:rsidR="00A26886" w:rsidRPr="005467A3">
        <w:t xml:space="preserve"> </w:t>
      </w:r>
      <w:r w:rsidR="00A26886" w:rsidRPr="0093683C">
        <w:t>Still</w:t>
      </w:r>
      <w:r w:rsidR="003C3509" w:rsidRPr="0093683C">
        <w:t>,</w:t>
      </w:r>
      <w:r w:rsidR="00A26886" w:rsidRPr="0093683C">
        <w:t xml:space="preserve"> </w:t>
      </w:r>
      <w:r w:rsidRPr="0093683C">
        <w:t xml:space="preserve">the underlying cash balance has improved by </w:t>
      </w:r>
      <w:r w:rsidR="003C3509" w:rsidRPr="0093683C">
        <w:t xml:space="preserve">a cumulative </w:t>
      </w:r>
      <w:r w:rsidRPr="0093683C">
        <w:t>$</w:t>
      </w:r>
      <w:r w:rsidR="00F53326" w:rsidRPr="0093683C">
        <w:t>42.7</w:t>
      </w:r>
      <w:r w:rsidR="008E2384" w:rsidRPr="0093683C">
        <w:t xml:space="preserve"> billion</w:t>
      </w:r>
      <w:r w:rsidRPr="0093683C">
        <w:t xml:space="preserve"> over the 4 years to 2025</w:t>
      </w:r>
      <w:r w:rsidR="0072515F" w:rsidRPr="0093683C">
        <w:t>–</w:t>
      </w:r>
      <w:r w:rsidRPr="0093683C">
        <w:t>2</w:t>
      </w:r>
      <w:r w:rsidRPr="0093683C" w:rsidDel="00EF7068">
        <w:t>6</w:t>
      </w:r>
      <w:r w:rsidRPr="0093683C">
        <w:t xml:space="preserve">. </w:t>
      </w:r>
    </w:p>
    <w:p w14:paraId="4E5FA7F5" w14:textId="77777777" w:rsidR="008822A1" w:rsidRPr="0093683C" w:rsidRDefault="008822A1" w:rsidP="009C662F">
      <w:pPr>
        <w:pStyle w:val="Heading4"/>
      </w:pPr>
      <w:r w:rsidRPr="0093683C">
        <w:rPr>
          <w:rFonts w:eastAsiaTheme="minorHAnsi"/>
        </w:rPr>
        <w:t xml:space="preserve">Changes in the </w:t>
      </w:r>
      <w:r w:rsidRPr="0093683C">
        <w:t xml:space="preserve">underlying cash balance over the forward estimates </w:t>
      </w:r>
    </w:p>
    <w:p w14:paraId="46BB4E20" w14:textId="42E3B004" w:rsidR="009642A5" w:rsidRPr="0093683C" w:rsidRDefault="008822A1" w:rsidP="008822A1">
      <w:pPr>
        <w:rPr>
          <w:rFonts w:asciiTheme="majorHAnsi" w:hAnsiTheme="majorHAnsi" w:cstheme="majorHAnsi"/>
          <w:sz w:val="16"/>
          <w:szCs w:val="16"/>
        </w:rPr>
      </w:pPr>
      <w:r w:rsidRPr="0093683C">
        <w:t>Policy decisions since PEFO have reduced the underlying cash balance by $</w:t>
      </w:r>
      <w:r w:rsidR="002D2301" w:rsidRPr="0093683C">
        <w:t>9.</w:t>
      </w:r>
      <w:r w:rsidR="00DC2948" w:rsidRPr="0093683C">
        <w:t>8</w:t>
      </w:r>
      <w:r w:rsidRPr="0093683C">
        <w:t xml:space="preserve"> billion over the 4 years to 2025</w:t>
      </w:r>
      <w:r w:rsidR="00B9531B" w:rsidRPr="0093683C">
        <w:t>–</w:t>
      </w:r>
      <w:r w:rsidRPr="0093683C">
        <w:t>26</w:t>
      </w:r>
      <w:r w:rsidR="00BC4C20" w:rsidRPr="0093683C">
        <w:t xml:space="preserve"> (Table 3.2)</w:t>
      </w:r>
      <w:r w:rsidR="003B4E2D" w:rsidRPr="0093683C">
        <w:t xml:space="preserve">, with a broadly neutral impact </w:t>
      </w:r>
      <w:r w:rsidR="0062212D" w:rsidRPr="0093683C">
        <w:t>on the budget in the first 2 years</w:t>
      </w:r>
      <w:r w:rsidR="00FC6426" w:rsidRPr="0093683C">
        <w:t>.</w:t>
      </w:r>
      <w:r w:rsidRPr="0093683C">
        <w:t xml:space="preserve"> This includes</w:t>
      </w:r>
      <w:r w:rsidR="008563CE" w:rsidRPr="0093683C">
        <w:t>:</w:t>
      </w:r>
      <w:r w:rsidRPr="0093683C">
        <w:t xml:space="preserve"> $</w:t>
      </w:r>
      <w:r w:rsidR="00A25E7B" w:rsidRPr="0093683C">
        <w:t>4.2</w:t>
      </w:r>
      <w:r w:rsidRPr="0093683C">
        <w:t xml:space="preserve"> billion in unavoidable spending</w:t>
      </w:r>
      <w:r w:rsidR="00251E56" w:rsidRPr="0093683C">
        <w:t>,</w:t>
      </w:r>
      <w:r w:rsidRPr="0093683C">
        <w:t xml:space="preserve"> </w:t>
      </w:r>
      <w:r w:rsidR="00731086" w:rsidRPr="0093683C">
        <w:t xml:space="preserve">including </w:t>
      </w:r>
      <w:r w:rsidRPr="0093683C">
        <w:t>for the COVID</w:t>
      </w:r>
      <w:r w:rsidR="008C6DA9" w:rsidRPr="0093683C">
        <w:noBreakHyphen/>
      </w:r>
      <w:r w:rsidRPr="0093683C">
        <w:t>19 response</w:t>
      </w:r>
      <w:r w:rsidR="00731086" w:rsidRPr="0093683C">
        <w:t xml:space="preserve"> and</w:t>
      </w:r>
      <w:r w:rsidRPr="0093683C">
        <w:t xml:space="preserve"> disaster recovery payments</w:t>
      </w:r>
      <w:r w:rsidR="0080024A" w:rsidRPr="0093683C">
        <w:t>;</w:t>
      </w:r>
      <w:r w:rsidRPr="0093683C">
        <w:t xml:space="preserve"> </w:t>
      </w:r>
      <w:r w:rsidR="005D6B81" w:rsidRPr="0093683C">
        <w:t xml:space="preserve">$4.1 billion </w:t>
      </w:r>
      <w:r w:rsidR="00275621" w:rsidRPr="0093683C">
        <w:t xml:space="preserve">to </w:t>
      </w:r>
      <w:r w:rsidR="00854403" w:rsidRPr="0093683C">
        <w:t>resolv</w:t>
      </w:r>
      <w:r w:rsidR="00275621" w:rsidRPr="0093683C">
        <w:t>e</w:t>
      </w:r>
      <w:r w:rsidR="00854403" w:rsidRPr="0093683C">
        <w:t xml:space="preserve"> legacy issues</w:t>
      </w:r>
      <w:r w:rsidR="00462D69" w:rsidRPr="0093683C">
        <w:t>;</w:t>
      </w:r>
      <w:r w:rsidR="0080024A" w:rsidRPr="0093683C">
        <w:t xml:space="preserve"> and </w:t>
      </w:r>
      <w:r w:rsidR="00723C52" w:rsidRPr="0093683C">
        <w:t>$1.4</w:t>
      </w:r>
      <w:r w:rsidR="009322A7" w:rsidRPr="0093683C">
        <w:t xml:space="preserve"> billion </w:t>
      </w:r>
      <w:r w:rsidR="0007392F" w:rsidRPr="0093683C">
        <w:t>for the Government</w:t>
      </w:r>
      <w:r w:rsidR="00D64B05" w:rsidRPr="0093683C">
        <w:t>’s election commitments and other policy priorities</w:t>
      </w:r>
      <w:r w:rsidR="00C96EC3" w:rsidRPr="0093683C">
        <w:t>.</w:t>
      </w:r>
      <w:r w:rsidR="00731086" w:rsidRPr="0093683C">
        <w:rPr>
          <w:rFonts w:asciiTheme="majorHAnsi" w:hAnsiTheme="majorHAnsi" w:cstheme="majorHAnsi"/>
          <w:sz w:val="16"/>
          <w:szCs w:val="16"/>
        </w:rPr>
        <w:t xml:space="preserve"> </w:t>
      </w:r>
    </w:p>
    <w:p w14:paraId="1AB0FF96" w14:textId="62BB072D" w:rsidR="0078197C" w:rsidRPr="0093683C" w:rsidRDefault="008822A1" w:rsidP="0078197C">
      <w:pPr>
        <w:pStyle w:val="TableHeading"/>
        <w:rPr>
          <w:rFonts w:eastAsiaTheme="minorHAnsi" w:cstheme="minorBidi"/>
          <w:sz w:val="22"/>
          <w:szCs w:val="22"/>
          <w:lang w:eastAsia="en-US"/>
        </w:rPr>
      </w:pPr>
      <w:r w:rsidRPr="0093683C">
        <w:t>Table 3.</w:t>
      </w:r>
      <w:r w:rsidR="0065001C" w:rsidRPr="0093683C">
        <w:t>2</w:t>
      </w:r>
      <w:r w:rsidRPr="0093683C">
        <w:t>: Reconciliation of policy decisio</w:t>
      </w:r>
      <w:r w:rsidR="00EC12BB" w:rsidRPr="0093683C">
        <w:t>n</w:t>
      </w:r>
      <w:r w:rsidR="003F7259" w:rsidRPr="0093683C">
        <w:t>s</w:t>
      </w:r>
    </w:p>
    <w:tbl>
      <w:tblPr>
        <w:tblW w:w="5000" w:type="pct"/>
        <w:tblCellMar>
          <w:left w:w="0" w:type="dxa"/>
          <w:right w:w="28" w:type="dxa"/>
        </w:tblCellMar>
        <w:tblLook w:val="04A0" w:firstRow="1" w:lastRow="0" w:firstColumn="1" w:lastColumn="0" w:noHBand="0" w:noVBand="1"/>
        <w:tblCaption w:val="Table"/>
      </w:tblPr>
      <w:tblGrid>
        <w:gridCol w:w="3265"/>
        <w:gridCol w:w="889"/>
        <w:gridCol w:w="889"/>
        <w:gridCol w:w="890"/>
        <w:gridCol w:w="890"/>
        <w:gridCol w:w="887"/>
      </w:tblGrid>
      <w:tr w:rsidR="0078197C" w:rsidRPr="0093683C" w14:paraId="68A561C1" w14:textId="77777777" w:rsidTr="00615E5B">
        <w:trPr>
          <w:divId w:val="1343241342"/>
          <w:trHeight w:hRule="exact" w:val="300"/>
        </w:trPr>
        <w:tc>
          <w:tcPr>
            <w:tcW w:w="2117" w:type="pct"/>
            <w:tcBorders>
              <w:top w:val="single" w:sz="4" w:space="0" w:color="293F5B"/>
              <w:left w:val="nil"/>
              <w:bottom w:val="nil"/>
              <w:right w:val="nil"/>
            </w:tcBorders>
            <w:shd w:val="clear" w:color="000000" w:fill="FFFFFF"/>
            <w:vAlign w:val="center"/>
            <w:hideMark/>
          </w:tcPr>
          <w:p w14:paraId="1CD9B139" w14:textId="77777777" w:rsidR="0078197C" w:rsidRPr="0093683C" w:rsidRDefault="0078197C" w:rsidP="0078197C">
            <w:pPr>
              <w:spacing w:before="0" w:after="0" w:line="240" w:lineRule="auto"/>
              <w:rPr>
                <w:rFonts w:ascii="Arial" w:hAnsi="Arial" w:cs="Arial"/>
                <w:sz w:val="16"/>
                <w:szCs w:val="16"/>
              </w:rPr>
            </w:pPr>
            <w:r w:rsidRPr="0093683C">
              <w:rPr>
                <w:rFonts w:ascii="Arial" w:hAnsi="Arial" w:cs="Arial"/>
                <w:sz w:val="16"/>
                <w:szCs w:val="16"/>
              </w:rPr>
              <w:t> </w:t>
            </w:r>
          </w:p>
        </w:tc>
        <w:tc>
          <w:tcPr>
            <w:tcW w:w="577" w:type="pct"/>
            <w:tcBorders>
              <w:top w:val="single" w:sz="4" w:space="0" w:color="293F5B"/>
              <w:left w:val="nil"/>
              <w:bottom w:val="nil"/>
              <w:right w:val="nil"/>
            </w:tcBorders>
            <w:shd w:val="clear" w:color="000000" w:fill="FFFFFF"/>
            <w:vAlign w:val="center"/>
            <w:hideMark/>
          </w:tcPr>
          <w:p w14:paraId="667093CC"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2022-23</w:t>
            </w:r>
          </w:p>
        </w:tc>
        <w:tc>
          <w:tcPr>
            <w:tcW w:w="577" w:type="pct"/>
            <w:tcBorders>
              <w:top w:val="single" w:sz="4" w:space="0" w:color="293F5B"/>
              <w:left w:val="nil"/>
              <w:bottom w:val="nil"/>
              <w:right w:val="nil"/>
            </w:tcBorders>
            <w:shd w:val="clear" w:color="000000" w:fill="FFFFFF"/>
            <w:vAlign w:val="center"/>
            <w:hideMark/>
          </w:tcPr>
          <w:p w14:paraId="07E2ECE1"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2023-24</w:t>
            </w:r>
          </w:p>
        </w:tc>
        <w:tc>
          <w:tcPr>
            <w:tcW w:w="577" w:type="pct"/>
            <w:tcBorders>
              <w:top w:val="single" w:sz="4" w:space="0" w:color="293F5B"/>
              <w:left w:val="nil"/>
              <w:bottom w:val="nil"/>
              <w:right w:val="nil"/>
            </w:tcBorders>
            <w:shd w:val="clear" w:color="000000" w:fill="FFFFFF"/>
            <w:vAlign w:val="center"/>
            <w:hideMark/>
          </w:tcPr>
          <w:p w14:paraId="27A61934"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2024-25</w:t>
            </w:r>
          </w:p>
        </w:tc>
        <w:tc>
          <w:tcPr>
            <w:tcW w:w="577" w:type="pct"/>
            <w:tcBorders>
              <w:top w:val="single" w:sz="4" w:space="0" w:color="293F5B"/>
              <w:left w:val="nil"/>
              <w:bottom w:val="nil"/>
              <w:right w:val="nil"/>
            </w:tcBorders>
            <w:shd w:val="clear" w:color="000000" w:fill="FFFFFF"/>
            <w:vAlign w:val="center"/>
            <w:hideMark/>
          </w:tcPr>
          <w:p w14:paraId="2A21B2D7"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2025-26</w:t>
            </w:r>
          </w:p>
        </w:tc>
        <w:tc>
          <w:tcPr>
            <w:tcW w:w="577" w:type="pct"/>
            <w:tcBorders>
              <w:top w:val="single" w:sz="4" w:space="0" w:color="293F5B"/>
              <w:left w:val="nil"/>
              <w:bottom w:val="nil"/>
              <w:right w:val="nil"/>
            </w:tcBorders>
            <w:shd w:val="clear" w:color="000000" w:fill="FFFFFF"/>
            <w:vAlign w:val="center"/>
            <w:hideMark/>
          </w:tcPr>
          <w:p w14:paraId="69D69880"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Total</w:t>
            </w:r>
          </w:p>
        </w:tc>
      </w:tr>
      <w:tr w:rsidR="0078197C" w:rsidRPr="0093683C" w14:paraId="4E28913F" w14:textId="77777777" w:rsidTr="00615E5B">
        <w:trPr>
          <w:divId w:val="1343241342"/>
          <w:trHeight w:hRule="exact" w:val="300"/>
        </w:trPr>
        <w:tc>
          <w:tcPr>
            <w:tcW w:w="2117" w:type="pct"/>
            <w:tcBorders>
              <w:top w:val="nil"/>
              <w:left w:val="nil"/>
              <w:bottom w:val="nil"/>
              <w:right w:val="nil"/>
            </w:tcBorders>
            <w:shd w:val="clear" w:color="000000" w:fill="FFFFFF"/>
            <w:vAlign w:val="center"/>
            <w:hideMark/>
          </w:tcPr>
          <w:p w14:paraId="2BA42199" w14:textId="77777777" w:rsidR="0078197C" w:rsidRPr="0093683C" w:rsidRDefault="0078197C" w:rsidP="0078197C">
            <w:pPr>
              <w:spacing w:before="0" w:after="0" w:line="240" w:lineRule="auto"/>
              <w:rPr>
                <w:rFonts w:ascii="Arial" w:hAnsi="Arial" w:cs="Arial"/>
                <w:b/>
                <w:bCs/>
                <w:sz w:val="16"/>
                <w:szCs w:val="16"/>
              </w:rPr>
            </w:pPr>
            <w:r w:rsidRPr="0093683C">
              <w:rPr>
                <w:rFonts w:ascii="Arial" w:hAnsi="Arial" w:cs="Arial"/>
                <w:b/>
                <w:bCs/>
                <w:sz w:val="16"/>
                <w:szCs w:val="16"/>
              </w:rPr>
              <w:t> </w:t>
            </w:r>
          </w:p>
        </w:tc>
        <w:tc>
          <w:tcPr>
            <w:tcW w:w="577" w:type="pct"/>
            <w:tcBorders>
              <w:top w:val="nil"/>
              <w:left w:val="nil"/>
              <w:bottom w:val="single" w:sz="4" w:space="0" w:color="293F5B"/>
              <w:right w:val="nil"/>
            </w:tcBorders>
            <w:shd w:val="clear" w:color="000000" w:fill="FFFFFF"/>
            <w:vAlign w:val="center"/>
            <w:hideMark/>
          </w:tcPr>
          <w:p w14:paraId="52A9C76B"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$m</w:t>
            </w:r>
          </w:p>
        </w:tc>
        <w:tc>
          <w:tcPr>
            <w:tcW w:w="577" w:type="pct"/>
            <w:tcBorders>
              <w:top w:val="nil"/>
              <w:left w:val="nil"/>
              <w:bottom w:val="single" w:sz="4" w:space="0" w:color="293F5B"/>
              <w:right w:val="nil"/>
            </w:tcBorders>
            <w:shd w:val="clear" w:color="000000" w:fill="FFFFFF"/>
            <w:vAlign w:val="center"/>
            <w:hideMark/>
          </w:tcPr>
          <w:p w14:paraId="56542FBB"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$m</w:t>
            </w:r>
          </w:p>
        </w:tc>
        <w:tc>
          <w:tcPr>
            <w:tcW w:w="577" w:type="pct"/>
            <w:tcBorders>
              <w:top w:val="nil"/>
              <w:left w:val="nil"/>
              <w:bottom w:val="single" w:sz="4" w:space="0" w:color="293F5B"/>
              <w:right w:val="nil"/>
            </w:tcBorders>
            <w:shd w:val="clear" w:color="000000" w:fill="FFFFFF"/>
            <w:vAlign w:val="center"/>
            <w:hideMark/>
          </w:tcPr>
          <w:p w14:paraId="76B80D4B"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$m</w:t>
            </w:r>
          </w:p>
        </w:tc>
        <w:tc>
          <w:tcPr>
            <w:tcW w:w="577" w:type="pct"/>
            <w:tcBorders>
              <w:top w:val="nil"/>
              <w:left w:val="nil"/>
              <w:bottom w:val="single" w:sz="4" w:space="0" w:color="293F5B"/>
              <w:right w:val="nil"/>
            </w:tcBorders>
            <w:shd w:val="clear" w:color="000000" w:fill="FFFFFF"/>
            <w:vAlign w:val="center"/>
            <w:hideMark/>
          </w:tcPr>
          <w:p w14:paraId="0DE2F9D3"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$m</w:t>
            </w:r>
          </w:p>
        </w:tc>
        <w:tc>
          <w:tcPr>
            <w:tcW w:w="577" w:type="pct"/>
            <w:tcBorders>
              <w:top w:val="nil"/>
              <w:left w:val="nil"/>
              <w:bottom w:val="single" w:sz="4" w:space="0" w:color="293F5B"/>
              <w:right w:val="nil"/>
            </w:tcBorders>
            <w:shd w:val="clear" w:color="000000" w:fill="FFFFFF"/>
            <w:vAlign w:val="center"/>
            <w:hideMark/>
          </w:tcPr>
          <w:p w14:paraId="5796C5A1"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$m</w:t>
            </w:r>
          </w:p>
        </w:tc>
      </w:tr>
      <w:tr w:rsidR="0078197C" w:rsidRPr="0093683C" w14:paraId="0E18E43A" w14:textId="77777777" w:rsidTr="00615E5B">
        <w:trPr>
          <w:divId w:val="1343241342"/>
          <w:trHeight w:hRule="exact" w:val="300"/>
        </w:trPr>
        <w:tc>
          <w:tcPr>
            <w:tcW w:w="2117" w:type="pct"/>
            <w:tcBorders>
              <w:top w:val="nil"/>
              <w:left w:val="nil"/>
              <w:bottom w:val="nil"/>
              <w:right w:val="nil"/>
            </w:tcBorders>
            <w:shd w:val="clear" w:color="000000" w:fill="FFFFFF"/>
            <w:noWrap/>
            <w:vAlign w:val="center"/>
            <w:hideMark/>
          </w:tcPr>
          <w:p w14:paraId="0558FCFA" w14:textId="77777777" w:rsidR="0078197C" w:rsidRPr="0093683C" w:rsidRDefault="0078197C" w:rsidP="0078197C">
            <w:pPr>
              <w:spacing w:before="0" w:after="0" w:line="240" w:lineRule="auto"/>
              <w:rPr>
                <w:rFonts w:ascii="Arial" w:hAnsi="Arial" w:cs="Arial"/>
                <w:sz w:val="16"/>
                <w:szCs w:val="16"/>
              </w:rPr>
            </w:pPr>
            <w:r w:rsidRPr="0093683C">
              <w:rPr>
                <w:rFonts w:ascii="Arial" w:hAnsi="Arial" w:cs="Arial"/>
                <w:sz w:val="16"/>
                <w:szCs w:val="16"/>
              </w:rPr>
              <w:t>Unavoidable spending</w:t>
            </w:r>
          </w:p>
        </w:tc>
        <w:tc>
          <w:tcPr>
            <w:tcW w:w="577" w:type="pct"/>
            <w:tcBorders>
              <w:top w:val="nil"/>
              <w:left w:val="nil"/>
              <w:bottom w:val="nil"/>
              <w:right w:val="nil"/>
            </w:tcBorders>
            <w:shd w:val="clear" w:color="000000" w:fill="FFFFFF"/>
            <w:noWrap/>
            <w:vAlign w:val="bottom"/>
            <w:hideMark/>
          </w:tcPr>
          <w:p w14:paraId="41EDA331"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-3,023</w:t>
            </w:r>
          </w:p>
        </w:tc>
        <w:tc>
          <w:tcPr>
            <w:tcW w:w="577" w:type="pct"/>
            <w:tcBorders>
              <w:top w:val="nil"/>
              <w:left w:val="nil"/>
              <w:bottom w:val="nil"/>
              <w:right w:val="nil"/>
            </w:tcBorders>
            <w:shd w:val="clear" w:color="000000" w:fill="FFFFFF"/>
            <w:noWrap/>
            <w:vAlign w:val="bottom"/>
            <w:hideMark/>
          </w:tcPr>
          <w:p w14:paraId="549A5442"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-406</w:t>
            </w:r>
          </w:p>
        </w:tc>
        <w:tc>
          <w:tcPr>
            <w:tcW w:w="577" w:type="pct"/>
            <w:tcBorders>
              <w:top w:val="nil"/>
              <w:left w:val="nil"/>
              <w:bottom w:val="nil"/>
              <w:right w:val="nil"/>
            </w:tcBorders>
            <w:shd w:val="clear" w:color="000000" w:fill="FFFFFF"/>
            <w:noWrap/>
            <w:vAlign w:val="bottom"/>
            <w:hideMark/>
          </w:tcPr>
          <w:p w14:paraId="3F9F506D"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-394</w:t>
            </w:r>
          </w:p>
        </w:tc>
        <w:tc>
          <w:tcPr>
            <w:tcW w:w="577" w:type="pct"/>
            <w:tcBorders>
              <w:top w:val="nil"/>
              <w:left w:val="nil"/>
              <w:bottom w:val="nil"/>
              <w:right w:val="nil"/>
            </w:tcBorders>
            <w:shd w:val="clear" w:color="000000" w:fill="FFFFFF"/>
            <w:noWrap/>
            <w:vAlign w:val="bottom"/>
            <w:hideMark/>
          </w:tcPr>
          <w:p w14:paraId="5DDD4761"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-395</w:t>
            </w:r>
          </w:p>
        </w:tc>
        <w:tc>
          <w:tcPr>
            <w:tcW w:w="577" w:type="pct"/>
            <w:tcBorders>
              <w:top w:val="nil"/>
              <w:left w:val="nil"/>
              <w:bottom w:val="nil"/>
              <w:right w:val="nil"/>
            </w:tcBorders>
            <w:shd w:val="clear" w:color="000000" w:fill="FFFFFF"/>
            <w:noWrap/>
            <w:vAlign w:val="bottom"/>
            <w:hideMark/>
          </w:tcPr>
          <w:p w14:paraId="0D082FA7"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-4,218</w:t>
            </w:r>
          </w:p>
        </w:tc>
      </w:tr>
      <w:tr w:rsidR="0078197C" w:rsidRPr="0093683C" w14:paraId="7E445046" w14:textId="77777777" w:rsidTr="00615E5B">
        <w:trPr>
          <w:divId w:val="1343241342"/>
          <w:trHeight w:hRule="exact" w:val="300"/>
        </w:trPr>
        <w:tc>
          <w:tcPr>
            <w:tcW w:w="2117" w:type="pct"/>
            <w:tcBorders>
              <w:top w:val="nil"/>
              <w:left w:val="nil"/>
              <w:bottom w:val="nil"/>
              <w:right w:val="nil"/>
            </w:tcBorders>
            <w:shd w:val="clear" w:color="000000" w:fill="FFFFFF"/>
            <w:noWrap/>
            <w:vAlign w:val="center"/>
            <w:hideMark/>
          </w:tcPr>
          <w:p w14:paraId="6BF82E47" w14:textId="77777777" w:rsidR="0078197C" w:rsidRPr="0093683C" w:rsidRDefault="0078197C" w:rsidP="0078197C">
            <w:pPr>
              <w:spacing w:before="0" w:after="0" w:line="240" w:lineRule="auto"/>
              <w:rPr>
                <w:rFonts w:ascii="Arial" w:hAnsi="Arial" w:cs="Arial"/>
                <w:sz w:val="16"/>
                <w:szCs w:val="16"/>
              </w:rPr>
            </w:pPr>
            <w:r w:rsidRPr="0093683C">
              <w:rPr>
                <w:rFonts w:ascii="Arial" w:hAnsi="Arial" w:cs="Arial"/>
                <w:sz w:val="16"/>
                <w:szCs w:val="16"/>
              </w:rPr>
              <w:t>Resolving legacy issues</w:t>
            </w:r>
          </w:p>
        </w:tc>
        <w:tc>
          <w:tcPr>
            <w:tcW w:w="577" w:type="pct"/>
            <w:tcBorders>
              <w:top w:val="nil"/>
              <w:left w:val="nil"/>
              <w:bottom w:val="nil"/>
              <w:right w:val="nil"/>
            </w:tcBorders>
            <w:shd w:val="clear" w:color="000000" w:fill="FFFFFF"/>
            <w:noWrap/>
            <w:vAlign w:val="bottom"/>
            <w:hideMark/>
          </w:tcPr>
          <w:p w14:paraId="2B145640"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-1,188</w:t>
            </w:r>
          </w:p>
        </w:tc>
        <w:tc>
          <w:tcPr>
            <w:tcW w:w="577" w:type="pct"/>
            <w:tcBorders>
              <w:top w:val="nil"/>
              <w:left w:val="nil"/>
              <w:bottom w:val="nil"/>
              <w:right w:val="nil"/>
            </w:tcBorders>
            <w:shd w:val="clear" w:color="000000" w:fill="FFFFFF"/>
            <w:noWrap/>
            <w:vAlign w:val="bottom"/>
            <w:hideMark/>
          </w:tcPr>
          <w:p w14:paraId="463DA3DA"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-1,211</w:t>
            </w:r>
          </w:p>
        </w:tc>
        <w:tc>
          <w:tcPr>
            <w:tcW w:w="577" w:type="pct"/>
            <w:tcBorders>
              <w:top w:val="nil"/>
              <w:left w:val="nil"/>
              <w:bottom w:val="nil"/>
              <w:right w:val="nil"/>
            </w:tcBorders>
            <w:shd w:val="clear" w:color="000000" w:fill="FFFFFF"/>
            <w:noWrap/>
            <w:vAlign w:val="bottom"/>
            <w:hideMark/>
          </w:tcPr>
          <w:p w14:paraId="45C3AA6D"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-805</w:t>
            </w:r>
          </w:p>
        </w:tc>
        <w:tc>
          <w:tcPr>
            <w:tcW w:w="577" w:type="pct"/>
            <w:tcBorders>
              <w:top w:val="nil"/>
              <w:left w:val="nil"/>
              <w:bottom w:val="nil"/>
              <w:right w:val="nil"/>
            </w:tcBorders>
            <w:shd w:val="clear" w:color="000000" w:fill="FFFFFF"/>
            <w:noWrap/>
            <w:vAlign w:val="bottom"/>
            <w:hideMark/>
          </w:tcPr>
          <w:p w14:paraId="7E6DF554"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-919</w:t>
            </w:r>
          </w:p>
        </w:tc>
        <w:tc>
          <w:tcPr>
            <w:tcW w:w="577" w:type="pct"/>
            <w:tcBorders>
              <w:top w:val="nil"/>
              <w:left w:val="nil"/>
              <w:bottom w:val="nil"/>
              <w:right w:val="nil"/>
            </w:tcBorders>
            <w:shd w:val="clear" w:color="000000" w:fill="FFFFFF"/>
            <w:noWrap/>
            <w:vAlign w:val="bottom"/>
            <w:hideMark/>
          </w:tcPr>
          <w:p w14:paraId="5B69A0A2"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-4,123</w:t>
            </w:r>
          </w:p>
        </w:tc>
      </w:tr>
      <w:tr w:rsidR="0078197C" w:rsidRPr="0093683C" w14:paraId="72D26A81" w14:textId="77777777" w:rsidTr="00615E5B">
        <w:trPr>
          <w:divId w:val="1343241342"/>
          <w:trHeight w:hRule="exact" w:val="300"/>
        </w:trPr>
        <w:tc>
          <w:tcPr>
            <w:tcW w:w="2117" w:type="pct"/>
            <w:tcBorders>
              <w:top w:val="nil"/>
              <w:left w:val="nil"/>
              <w:bottom w:val="nil"/>
              <w:right w:val="nil"/>
            </w:tcBorders>
            <w:shd w:val="clear" w:color="000000" w:fill="FFFFFF"/>
            <w:noWrap/>
            <w:vAlign w:val="center"/>
            <w:hideMark/>
          </w:tcPr>
          <w:p w14:paraId="1DC87D13" w14:textId="77777777" w:rsidR="0078197C" w:rsidRPr="0093683C" w:rsidRDefault="0078197C" w:rsidP="0078197C">
            <w:pPr>
              <w:spacing w:before="0" w:after="0" w:line="240" w:lineRule="auto"/>
              <w:rPr>
                <w:rFonts w:ascii="Arial" w:hAnsi="Arial" w:cs="Arial"/>
                <w:sz w:val="16"/>
                <w:szCs w:val="16"/>
              </w:rPr>
            </w:pPr>
            <w:r w:rsidRPr="0093683C">
              <w:rPr>
                <w:rFonts w:ascii="Arial" w:hAnsi="Arial" w:cs="Arial"/>
                <w:sz w:val="16"/>
                <w:szCs w:val="16"/>
              </w:rPr>
              <w:t>Election Commitments and other priorities</w:t>
            </w:r>
          </w:p>
        </w:tc>
        <w:tc>
          <w:tcPr>
            <w:tcW w:w="577" w:type="pct"/>
            <w:tcBorders>
              <w:top w:val="nil"/>
              <w:left w:val="nil"/>
              <w:bottom w:val="nil"/>
              <w:right w:val="nil"/>
            </w:tcBorders>
            <w:shd w:val="clear" w:color="000000" w:fill="FFFFFF"/>
            <w:noWrap/>
            <w:vAlign w:val="bottom"/>
            <w:hideMark/>
          </w:tcPr>
          <w:p w14:paraId="2F730E41"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3,116</w:t>
            </w:r>
          </w:p>
        </w:tc>
        <w:tc>
          <w:tcPr>
            <w:tcW w:w="577" w:type="pct"/>
            <w:tcBorders>
              <w:top w:val="nil"/>
              <w:left w:val="nil"/>
              <w:bottom w:val="nil"/>
              <w:right w:val="nil"/>
            </w:tcBorders>
            <w:shd w:val="clear" w:color="000000" w:fill="FFFFFF"/>
            <w:noWrap/>
            <w:vAlign w:val="bottom"/>
            <w:hideMark/>
          </w:tcPr>
          <w:p w14:paraId="6BF6B0F9"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2,364</w:t>
            </w:r>
          </w:p>
        </w:tc>
        <w:tc>
          <w:tcPr>
            <w:tcW w:w="577" w:type="pct"/>
            <w:tcBorders>
              <w:top w:val="nil"/>
              <w:left w:val="nil"/>
              <w:bottom w:val="nil"/>
              <w:right w:val="nil"/>
            </w:tcBorders>
            <w:shd w:val="clear" w:color="000000" w:fill="FFFFFF"/>
            <w:noWrap/>
            <w:vAlign w:val="bottom"/>
            <w:hideMark/>
          </w:tcPr>
          <w:p w14:paraId="71F026BB"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-815</w:t>
            </w:r>
          </w:p>
        </w:tc>
        <w:tc>
          <w:tcPr>
            <w:tcW w:w="577" w:type="pct"/>
            <w:tcBorders>
              <w:top w:val="nil"/>
              <w:left w:val="nil"/>
              <w:bottom w:val="nil"/>
              <w:right w:val="nil"/>
            </w:tcBorders>
            <w:shd w:val="clear" w:color="000000" w:fill="FFFFFF"/>
            <w:noWrap/>
            <w:vAlign w:val="bottom"/>
            <w:hideMark/>
          </w:tcPr>
          <w:p w14:paraId="250AD1E4"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-6,106</w:t>
            </w:r>
          </w:p>
        </w:tc>
        <w:tc>
          <w:tcPr>
            <w:tcW w:w="577" w:type="pct"/>
            <w:tcBorders>
              <w:top w:val="nil"/>
              <w:left w:val="nil"/>
              <w:bottom w:val="nil"/>
              <w:right w:val="nil"/>
            </w:tcBorders>
            <w:shd w:val="clear" w:color="000000" w:fill="FFFFFF"/>
            <w:noWrap/>
            <w:vAlign w:val="bottom"/>
            <w:hideMark/>
          </w:tcPr>
          <w:p w14:paraId="2B22D858" w14:textId="77777777" w:rsidR="0078197C" w:rsidRPr="0093683C" w:rsidRDefault="0078197C" w:rsidP="0078197C">
            <w:pPr>
              <w:spacing w:before="0" w:after="0" w:line="240" w:lineRule="auto"/>
              <w:jc w:val="right"/>
              <w:rPr>
                <w:rFonts w:ascii="Arial" w:hAnsi="Arial" w:cs="Arial"/>
                <w:sz w:val="16"/>
                <w:szCs w:val="16"/>
              </w:rPr>
            </w:pPr>
            <w:r w:rsidRPr="0093683C">
              <w:rPr>
                <w:rFonts w:ascii="Arial" w:hAnsi="Arial" w:cs="Arial"/>
                <w:sz w:val="16"/>
                <w:szCs w:val="16"/>
              </w:rPr>
              <w:t>-1,441</w:t>
            </w:r>
          </w:p>
        </w:tc>
      </w:tr>
      <w:tr w:rsidR="0078197C" w:rsidRPr="0093683C" w14:paraId="621EE435" w14:textId="77777777" w:rsidTr="00615E5B">
        <w:trPr>
          <w:divId w:val="1343241342"/>
          <w:trHeight w:hRule="exact" w:val="300"/>
        </w:trPr>
        <w:tc>
          <w:tcPr>
            <w:tcW w:w="2117" w:type="pct"/>
            <w:tcBorders>
              <w:top w:val="nil"/>
              <w:left w:val="nil"/>
              <w:bottom w:val="single" w:sz="4" w:space="0" w:color="293F5B"/>
              <w:right w:val="nil"/>
            </w:tcBorders>
            <w:shd w:val="clear" w:color="000000" w:fill="FFFFFF"/>
            <w:noWrap/>
            <w:vAlign w:val="bottom"/>
            <w:hideMark/>
          </w:tcPr>
          <w:p w14:paraId="0D4CBC18" w14:textId="77777777" w:rsidR="0078197C" w:rsidRPr="0093683C" w:rsidRDefault="0078197C" w:rsidP="0078197C">
            <w:pPr>
              <w:spacing w:before="0" w:after="0" w:line="240" w:lineRule="auto"/>
              <w:rPr>
                <w:rFonts w:ascii="Arial" w:hAnsi="Arial" w:cs="Arial"/>
                <w:b/>
                <w:bCs/>
                <w:sz w:val="16"/>
                <w:szCs w:val="16"/>
              </w:rPr>
            </w:pPr>
            <w:r w:rsidRPr="0093683C">
              <w:rPr>
                <w:rFonts w:ascii="Arial" w:hAnsi="Arial" w:cs="Arial"/>
                <w:b/>
                <w:bCs/>
                <w:sz w:val="16"/>
                <w:szCs w:val="16"/>
              </w:rPr>
              <w:t>Total policy decisions since 2022-23 PEFO</w:t>
            </w:r>
          </w:p>
        </w:tc>
        <w:tc>
          <w:tcPr>
            <w:tcW w:w="577" w:type="pct"/>
            <w:tcBorders>
              <w:top w:val="nil"/>
              <w:left w:val="nil"/>
              <w:bottom w:val="single" w:sz="4" w:space="0" w:color="293F5B"/>
              <w:right w:val="nil"/>
            </w:tcBorders>
            <w:shd w:val="clear" w:color="000000" w:fill="FFFFFF"/>
            <w:noWrap/>
            <w:vAlign w:val="bottom"/>
            <w:hideMark/>
          </w:tcPr>
          <w:p w14:paraId="53D8A77B"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-1,096</w:t>
            </w:r>
          </w:p>
        </w:tc>
        <w:tc>
          <w:tcPr>
            <w:tcW w:w="577" w:type="pct"/>
            <w:tcBorders>
              <w:top w:val="nil"/>
              <w:left w:val="nil"/>
              <w:bottom w:val="single" w:sz="4" w:space="0" w:color="293F5B"/>
              <w:right w:val="nil"/>
            </w:tcBorders>
            <w:shd w:val="clear" w:color="000000" w:fill="FFFFFF"/>
            <w:noWrap/>
            <w:vAlign w:val="bottom"/>
            <w:hideMark/>
          </w:tcPr>
          <w:p w14:paraId="399DED74"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747</w:t>
            </w:r>
          </w:p>
        </w:tc>
        <w:tc>
          <w:tcPr>
            <w:tcW w:w="577" w:type="pct"/>
            <w:tcBorders>
              <w:top w:val="nil"/>
              <w:left w:val="nil"/>
              <w:bottom w:val="single" w:sz="4" w:space="0" w:color="293F5B"/>
              <w:right w:val="nil"/>
            </w:tcBorders>
            <w:shd w:val="clear" w:color="000000" w:fill="FFFFFF"/>
            <w:noWrap/>
            <w:vAlign w:val="bottom"/>
            <w:hideMark/>
          </w:tcPr>
          <w:p w14:paraId="7AAB57D3"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-2,014</w:t>
            </w:r>
          </w:p>
        </w:tc>
        <w:tc>
          <w:tcPr>
            <w:tcW w:w="577" w:type="pct"/>
            <w:tcBorders>
              <w:top w:val="nil"/>
              <w:left w:val="nil"/>
              <w:bottom w:val="single" w:sz="4" w:space="0" w:color="293F5B"/>
              <w:right w:val="nil"/>
            </w:tcBorders>
            <w:shd w:val="clear" w:color="000000" w:fill="FFFFFF"/>
            <w:noWrap/>
            <w:vAlign w:val="bottom"/>
            <w:hideMark/>
          </w:tcPr>
          <w:p w14:paraId="1A552DF2"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-7,420</w:t>
            </w:r>
          </w:p>
        </w:tc>
        <w:tc>
          <w:tcPr>
            <w:tcW w:w="577" w:type="pct"/>
            <w:tcBorders>
              <w:top w:val="nil"/>
              <w:left w:val="nil"/>
              <w:bottom w:val="single" w:sz="4" w:space="0" w:color="293F5B"/>
              <w:right w:val="nil"/>
            </w:tcBorders>
            <w:shd w:val="clear" w:color="000000" w:fill="FFFFFF"/>
            <w:noWrap/>
            <w:vAlign w:val="bottom"/>
            <w:hideMark/>
          </w:tcPr>
          <w:p w14:paraId="50D04CCB" w14:textId="77777777" w:rsidR="0078197C" w:rsidRPr="0093683C" w:rsidRDefault="0078197C" w:rsidP="0078197C">
            <w:pPr>
              <w:spacing w:before="0" w:after="0" w:line="240" w:lineRule="auto"/>
              <w:jc w:val="right"/>
              <w:rPr>
                <w:rFonts w:ascii="Arial" w:hAnsi="Arial" w:cs="Arial"/>
                <w:b/>
                <w:bCs/>
                <w:sz w:val="16"/>
                <w:szCs w:val="16"/>
              </w:rPr>
            </w:pPr>
            <w:r w:rsidRPr="0093683C">
              <w:rPr>
                <w:rFonts w:ascii="Arial" w:hAnsi="Arial" w:cs="Arial"/>
                <w:b/>
                <w:bCs/>
                <w:sz w:val="16"/>
                <w:szCs w:val="16"/>
              </w:rPr>
              <w:t>-9,782</w:t>
            </w:r>
          </w:p>
        </w:tc>
      </w:tr>
    </w:tbl>
    <w:p w14:paraId="5625A4A3" w14:textId="2FC72C8D" w:rsidR="002E103A" w:rsidRDefault="008822A1" w:rsidP="008822A1">
      <w:r w:rsidRPr="0093683C" w:rsidDel="00BC68A0">
        <w:t xml:space="preserve">Parameter and other variations since PEFO have improved the </w:t>
      </w:r>
      <w:r w:rsidRPr="0093683C">
        <w:t>underlying cash balance by $</w:t>
      </w:r>
      <w:r w:rsidR="00503D56" w:rsidRPr="0093683C">
        <w:t>42.</w:t>
      </w:r>
      <w:r w:rsidR="00215145" w:rsidRPr="0093683C">
        <w:t>2</w:t>
      </w:r>
      <w:r w:rsidRPr="0093683C">
        <w:t xml:space="preserve"> billion in 2022</w:t>
      </w:r>
      <w:r w:rsidR="00B9531B" w:rsidRPr="0093683C">
        <w:t>–</w:t>
      </w:r>
      <w:r w:rsidRPr="0093683C">
        <w:t>23, and by $</w:t>
      </w:r>
      <w:r w:rsidR="005C5430" w:rsidRPr="0093683C">
        <w:t>52.5</w:t>
      </w:r>
      <w:r w:rsidRPr="0093683C">
        <w:t xml:space="preserve"> billion over the 4 years to 2025</w:t>
      </w:r>
      <w:r w:rsidR="00B9531B" w:rsidRPr="0093683C">
        <w:t>–</w:t>
      </w:r>
      <w:r w:rsidRPr="0093683C">
        <w:t>26 (Table 3.</w:t>
      </w:r>
      <w:r w:rsidR="0065001C" w:rsidRPr="0093683C">
        <w:t>3</w:t>
      </w:r>
      <w:r w:rsidRPr="0093683C">
        <w:t>). This</w:t>
      </w:r>
      <w:r w:rsidRPr="0093683C" w:rsidDel="00744068">
        <w:t xml:space="preserve"> reflects </w:t>
      </w:r>
      <w:r w:rsidRPr="0093683C">
        <w:t>an increase</w:t>
      </w:r>
      <w:r w:rsidRPr="0093683C" w:rsidDel="00744068">
        <w:t xml:space="preserve"> in receipts, partially offset by </w:t>
      </w:r>
      <w:r w:rsidRPr="0093683C">
        <w:t>an increase</w:t>
      </w:r>
      <w:r w:rsidRPr="0093683C" w:rsidDel="00594EEF">
        <w:t xml:space="preserve"> in </w:t>
      </w:r>
      <w:r w:rsidRPr="0093683C">
        <w:t>payments.</w:t>
      </w:r>
    </w:p>
    <w:p w14:paraId="7D29E3D1" w14:textId="77777777" w:rsidR="00084A4A" w:rsidRDefault="00084A4A">
      <w:pPr>
        <w:spacing w:before="0" w:after="160" w:line="259" w:lineRule="auto"/>
      </w:pPr>
      <w:r>
        <w:br w:type="page"/>
      </w:r>
    </w:p>
    <w:p w14:paraId="26C833D4" w14:textId="647E975A" w:rsidR="00D039B7" w:rsidRDefault="008822A1" w:rsidP="00D039B7">
      <w:pPr>
        <w:pStyle w:val="TableHeading"/>
        <w:rPr>
          <w:rFonts w:asciiTheme="minorHAnsi" w:eastAsiaTheme="minorHAnsi" w:hAnsiTheme="minorHAnsi" w:cstheme="minorBidi"/>
          <w:sz w:val="22"/>
          <w:szCs w:val="22"/>
          <w:lang w:eastAsia="en-US"/>
        </w:rPr>
      </w:pPr>
      <w:r w:rsidRPr="0093683C">
        <w:lastRenderedPageBreak/>
        <w:t>Table 3.</w:t>
      </w:r>
      <w:r w:rsidR="001D0845" w:rsidRPr="0093683C">
        <w:t>3</w:t>
      </w:r>
      <w:r w:rsidRPr="0093683C">
        <w:t>: Reconciliation of underlying cash balance estimates</w:t>
      </w:r>
    </w:p>
    <w:tbl>
      <w:tblPr>
        <w:tblW w:w="5000" w:type="pct"/>
        <w:tblCellMar>
          <w:left w:w="0" w:type="dxa"/>
          <w:right w:w="28" w:type="dxa"/>
        </w:tblCellMar>
        <w:tblLook w:val="04A0" w:firstRow="1" w:lastRow="0" w:firstColumn="1" w:lastColumn="0" w:noHBand="0" w:noVBand="1"/>
        <w:tblCaption w:val="Table"/>
      </w:tblPr>
      <w:tblGrid>
        <w:gridCol w:w="3618"/>
        <w:gridCol w:w="823"/>
        <w:gridCol w:w="842"/>
        <w:gridCol w:w="746"/>
        <w:gridCol w:w="719"/>
        <w:gridCol w:w="77"/>
        <w:gridCol w:w="885"/>
      </w:tblGrid>
      <w:tr w:rsidR="00FE0DAD" w:rsidRPr="00FE0DAD" w14:paraId="427757A7" w14:textId="77777777" w:rsidTr="00FE0DAD">
        <w:trPr>
          <w:divId w:val="1091581966"/>
          <w:trHeight w:hRule="exact" w:val="225"/>
        </w:trPr>
        <w:tc>
          <w:tcPr>
            <w:tcW w:w="2346" w:type="pct"/>
            <w:tcBorders>
              <w:top w:val="single" w:sz="4" w:space="0" w:color="293F5B"/>
              <w:left w:val="nil"/>
              <w:bottom w:val="nil"/>
              <w:right w:val="nil"/>
            </w:tcBorders>
            <w:shd w:val="clear" w:color="000000" w:fill="FFFFFF"/>
            <w:noWrap/>
            <w:vAlign w:val="bottom"/>
            <w:hideMark/>
          </w:tcPr>
          <w:p w14:paraId="7FF7FC9C" w14:textId="4C7E5D25" w:rsidR="00FE0DAD" w:rsidRPr="00FE0DAD" w:rsidRDefault="00FE0DAD" w:rsidP="00FE0DAD">
            <w:pPr>
              <w:spacing w:before="0" w:after="0" w:line="240" w:lineRule="auto"/>
              <w:rPr>
                <w:rFonts w:ascii="Calibri" w:hAnsi="Calibri" w:cs="Calibri"/>
                <w:color w:val="000000"/>
                <w:sz w:val="22"/>
                <w:szCs w:val="22"/>
              </w:rPr>
            </w:pPr>
            <w:r w:rsidRPr="00FE0DAD">
              <w:rPr>
                <w:rFonts w:ascii="Calibri" w:hAnsi="Calibri" w:cs="Calibri"/>
                <w:color w:val="000000"/>
                <w:sz w:val="22"/>
                <w:szCs w:val="22"/>
              </w:rPr>
              <w:t> </w:t>
            </w:r>
          </w:p>
        </w:tc>
        <w:tc>
          <w:tcPr>
            <w:tcW w:w="534" w:type="pct"/>
            <w:tcBorders>
              <w:top w:val="single" w:sz="4" w:space="0" w:color="293F5B"/>
              <w:left w:val="nil"/>
              <w:bottom w:val="nil"/>
              <w:right w:val="nil"/>
            </w:tcBorders>
            <w:shd w:val="clear" w:color="000000" w:fill="FFFFFF"/>
            <w:noWrap/>
            <w:vAlign w:val="center"/>
            <w:hideMark/>
          </w:tcPr>
          <w:p w14:paraId="67A2DC76"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1030" w:type="pct"/>
            <w:gridSpan w:val="2"/>
            <w:tcBorders>
              <w:top w:val="single" w:sz="4" w:space="0" w:color="293F5B"/>
              <w:left w:val="nil"/>
              <w:bottom w:val="nil"/>
              <w:right w:val="nil"/>
            </w:tcBorders>
            <w:shd w:val="clear" w:color="000000" w:fill="FFFFFF"/>
            <w:noWrap/>
            <w:vAlign w:val="center"/>
            <w:hideMark/>
          </w:tcPr>
          <w:p w14:paraId="6DF09B5E" w14:textId="77777777" w:rsidR="00FE0DAD" w:rsidRPr="00FE0DAD" w:rsidRDefault="00FE0DAD" w:rsidP="00FE0DAD">
            <w:pPr>
              <w:spacing w:before="0" w:after="0" w:line="240" w:lineRule="auto"/>
              <w:jc w:val="center"/>
              <w:rPr>
                <w:rFonts w:ascii="Arial" w:hAnsi="Arial" w:cs="Arial"/>
                <w:sz w:val="16"/>
                <w:szCs w:val="16"/>
              </w:rPr>
            </w:pPr>
            <w:r w:rsidRPr="00FE0DAD">
              <w:rPr>
                <w:rFonts w:ascii="Arial" w:hAnsi="Arial" w:cs="Arial"/>
                <w:sz w:val="16"/>
                <w:szCs w:val="16"/>
              </w:rPr>
              <w:t>Estimates</w:t>
            </w:r>
          </w:p>
        </w:tc>
        <w:tc>
          <w:tcPr>
            <w:tcW w:w="466" w:type="pct"/>
            <w:tcBorders>
              <w:top w:val="single" w:sz="4" w:space="0" w:color="293F5B"/>
              <w:left w:val="nil"/>
              <w:bottom w:val="single" w:sz="4" w:space="0" w:color="000000"/>
              <w:right w:val="nil"/>
            </w:tcBorders>
            <w:shd w:val="clear" w:color="000000" w:fill="FFFFFF"/>
            <w:noWrap/>
            <w:vAlign w:val="center"/>
            <w:hideMark/>
          </w:tcPr>
          <w:p w14:paraId="428552B2" w14:textId="77777777" w:rsidR="00FE0DAD" w:rsidRPr="00FE0DAD" w:rsidRDefault="00FE0DAD" w:rsidP="00FE0DAD">
            <w:pPr>
              <w:spacing w:before="0" w:after="0" w:line="240" w:lineRule="auto"/>
              <w:jc w:val="center"/>
              <w:rPr>
                <w:rFonts w:ascii="Arial" w:hAnsi="Arial" w:cs="Arial"/>
                <w:sz w:val="16"/>
                <w:szCs w:val="16"/>
              </w:rPr>
            </w:pPr>
            <w:r w:rsidRPr="00FE0DAD">
              <w:rPr>
                <w:rFonts w:ascii="Arial" w:hAnsi="Arial" w:cs="Arial"/>
                <w:sz w:val="16"/>
                <w:szCs w:val="16"/>
              </w:rPr>
              <w:t> </w:t>
            </w:r>
          </w:p>
        </w:tc>
        <w:tc>
          <w:tcPr>
            <w:tcW w:w="50" w:type="pct"/>
            <w:tcBorders>
              <w:top w:val="single" w:sz="4" w:space="0" w:color="293F5B"/>
              <w:left w:val="nil"/>
              <w:bottom w:val="nil"/>
              <w:right w:val="nil"/>
            </w:tcBorders>
            <w:shd w:val="clear" w:color="000000" w:fill="FFFFFF"/>
            <w:noWrap/>
            <w:vAlign w:val="center"/>
            <w:hideMark/>
          </w:tcPr>
          <w:p w14:paraId="0FC23FB9"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575" w:type="pct"/>
            <w:tcBorders>
              <w:top w:val="single" w:sz="4" w:space="0" w:color="293F5B"/>
              <w:left w:val="nil"/>
              <w:bottom w:val="nil"/>
              <w:right w:val="nil"/>
            </w:tcBorders>
            <w:shd w:val="clear" w:color="000000" w:fill="FFFFFF"/>
            <w:noWrap/>
            <w:vAlign w:val="center"/>
            <w:hideMark/>
          </w:tcPr>
          <w:p w14:paraId="2A135381"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44D12447" w14:textId="77777777" w:rsidTr="00FE0DAD">
        <w:trPr>
          <w:divId w:val="1091581966"/>
          <w:trHeight w:hRule="exact" w:val="225"/>
        </w:trPr>
        <w:tc>
          <w:tcPr>
            <w:tcW w:w="2346" w:type="pct"/>
            <w:tcBorders>
              <w:top w:val="nil"/>
              <w:left w:val="nil"/>
              <w:bottom w:val="nil"/>
              <w:right w:val="nil"/>
            </w:tcBorders>
            <w:shd w:val="clear" w:color="000000" w:fill="FFFFFF"/>
            <w:noWrap/>
            <w:vAlign w:val="bottom"/>
            <w:hideMark/>
          </w:tcPr>
          <w:p w14:paraId="776A68B2"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534" w:type="pct"/>
            <w:tcBorders>
              <w:top w:val="single" w:sz="4" w:space="0" w:color="auto"/>
              <w:left w:val="nil"/>
              <w:bottom w:val="nil"/>
              <w:right w:val="nil"/>
            </w:tcBorders>
            <w:shd w:val="clear" w:color="000000" w:fill="E6F2FF"/>
            <w:noWrap/>
            <w:vAlign w:val="center"/>
            <w:hideMark/>
          </w:tcPr>
          <w:p w14:paraId="483F7C5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2022-23</w:t>
            </w:r>
          </w:p>
        </w:tc>
        <w:tc>
          <w:tcPr>
            <w:tcW w:w="546" w:type="pct"/>
            <w:tcBorders>
              <w:top w:val="single" w:sz="4" w:space="0" w:color="auto"/>
              <w:left w:val="nil"/>
              <w:bottom w:val="nil"/>
              <w:right w:val="nil"/>
            </w:tcBorders>
            <w:shd w:val="clear" w:color="000000" w:fill="FFFFFF"/>
            <w:noWrap/>
            <w:vAlign w:val="center"/>
            <w:hideMark/>
          </w:tcPr>
          <w:p w14:paraId="4692AD76"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2023-24</w:t>
            </w:r>
          </w:p>
        </w:tc>
        <w:tc>
          <w:tcPr>
            <w:tcW w:w="484" w:type="pct"/>
            <w:tcBorders>
              <w:top w:val="single" w:sz="4" w:space="0" w:color="auto"/>
              <w:left w:val="nil"/>
              <w:bottom w:val="nil"/>
              <w:right w:val="nil"/>
            </w:tcBorders>
            <w:shd w:val="clear" w:color="000000" w:fill="FFFFFF"/>
            <w:noWrap/>
            <w:vAlign w:val="center"/>
            <w:hideMark/>
          </w:tcPr>
          <w:p w14:paraId="0415721F"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2024-25</w:t>
            </w:r>
          </w:p>
        </w:tc>
        <w:tc>
          <w:tcPr>
            <w:tcW w:w="466" w:type="pct"/>
            <w:tcBorders>
              <w:top w:val="single" w:sz="4" w:space="0" w:color="auto"/>
              <w:left w:val="nil"/>
              <w:bottom w:val="nil"/>
              <w:right w:val="nil"/>
            </w:tcBorders>
            <w:shd w:val="clear" w:color="000000" w:fill="FFFFFF"/>
            <w:noWrap/>
            <w:vAlign w:val="center"/>
            <w:hideMark/>
          </w:tcPr>
          <w:p w14:paraId="45C7B21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2025-26</w:t>
            </w:r>
          </w:p>
        </w:tc>
        <w:tc>
          <w:tcPr>
            <w:tcW w:w="50" w:type="pct"/>
            <w:tcBorders>
              <w:top w:val="nil"/>
              <w:left w:val="nil"/>
              <w:bottom w:val="nil"/>
              <w:right w:val="nil"/>
            </w:tcBorders>
            <w:shd w:val="clear" w:color="000000" w:fill="FFFFFF"/>
            <w:noWrap/>
            <w:vAlign w:val="center"/>
            <w:hideMark/>
          </w:tcPr>
          <w:p w14:paraId="19087B0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single" w:sz="4" w:space="0" w:color="auto"/>
              <w:left w:val="nil"/>
              <w:bottom w:val="nil"/>
              <w:right w:val="nil"/>
            </w:tcBorders>
            <w:shd w:val="clear" w:color="000000" w:fill="FFFFFF"/>
            <w:noWrap/>
            <w:vAlign w:val="center"/>
            <w:hideMark/>
          </w:tcPr>
          <w:p w14:paraId="7565288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Total</w:t>
            </w:r>
          </w:p>
        </w:tc>
      </w:tr>
      <w:tr w:rsidR="00FE0DAD" w:rsidRPr="00FE0DAD" w14:paraId="30078515"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2669923C"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534" w:type="pct"/>
            <w:tcBorders>
              <w:top w:val="nil"/>
              <w:left w:val="nil"/>
              <w:bottom w:val="single" w:sz="4" w:space="0" w:color="000000"/>
              <w:right w:val="nil"/>
            </w:tcBorders>
            <w:shd w:val="clear" w:color="000000" w:fill="E6F2FF"/>
            <w:noWrap/>
            <w:vAlign w:val="center"/>
            <w:hideMark/>
          </w:tcPr>
          <w:p w14:paraId="3B1BC47D"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$m</w:t>
            </w:r>
          </w:p>
        </w:tc>
        <w:tc>
          <w:tcPr>
            <w:tcW w:w="546" w:type="pct"/>
            <w:tcBorders>
              <w:top w:val="nil"/>
              <w:left w:val="nil"/>
              <w:bottom w:val="single" w:sz="4" w:space="0" w:color="000000"/>
              <w:right w:val="nil"/>
            </w:tcBorders>
            <w:shd w:val="clear" w:color="000000" w:fill="FFFFFF"/>
            <w:noWrap/>
            <w:vAlign w:val="center"/>
            <w:hideMark/>
          </w:tcPr>
          <w:p w14:paraId="334DCE32"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$m</w:t>
            </w:r>
          </w:p>
        </w:tc>
        <w:tc>
          <w:tcPr>
            <w:tcW w:w="484" w:type="pct"/>
            <w:tcBorders>
              <w:top w:val="nil"/>
              <w:left w:val="nil"/>
              <w:bottom w:val="single" w:sz="4" w:space="0" w:color="000000"/>
              <w:right w:val="nil"/>
            </w:tcBorders>
            <w:shd w:val="clear" w:color="000000" w:fill="FFFFFF"/>
            <w:noWrap/>
            <w:vAlign w:val="center"/>
            <w:hideMark/>
          </w:tcPr>
          <w:p w14:paraId="4AEC2563"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$m</w:t>
            </w:r>
          </w:p>
        </w:tc>
        <w:tc>
          <w:tcPr>
            <w:tcW w:w="466" w:type="pct"/>
            <w:tcBorders>
              <w:top w:val="nil"/>
              <w:left w:val="nil"/>
              <w:bottom w:val="single" w:sz="4" w:space="0" w:color="000000"/>
              <w:right w:val="nil"/>
            </w:tcBorders>
            <w:shd w:val="clear" w:color="000000" w:fill="FFFFFF"/>
            <w:noWrap/>
            <w:vAlign w:val="center"/>
            <w:hideMark/>
          </w:tcPr>
          <w:p w14:paraId="60631CE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$m</w:t>
            </w:r>
          </w:p>
        </w:tc>
        <w:tc>
          <w:tcPr>
            <w:tcW w:w="50" w:type="pct"/>
            <w:tcBorders>
              <w:top w:val="nil"/>
              <w:left w:val="nil"/>
              <w:bottom w:val="nil"/>
              <w:right w:val="nil"/>
            </w:tcBorders>
            <w:shd w:val="clear" w:color="000000" w:fill="FFFFFF"/>
            <w:noWrap/>
            <w:vAlign w:val="center"/>
            <w:hideMark/>
          </w:tcPr>
          <w:p w14:paraId="5558D73B"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single" w:sz="4" w:space="0" w:color="000000"/>
              <w:right w:val="nil"/>
            </w:tcBorders>
            <w:shd w:val="clear" w:color="000000" w:fill="FFFFFF"/>
            <w:noWrap/>
            <w:vAlign w:val="center"/>
            <w:hideMark/>
          </w:tcPr>
          <w:p w14:paraId="4C45E24D"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$m</w:t>
            </w:r>
          </w:p>
        </w:tc>
      </w:tr>
      <w:tr w:rsidR="00FE0DAD" w:rsidRPr="00FE0DAD" w14:paraId="0BB1E085"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2B8939B1"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2022-23 March Budget underlying cash</w:t>
            </w:r>
          </w:p>
        </w:tc>
        <w:tc>
          <w:tcPr>
            <w:tcW w:w="534" w:type="pct"/>
            <w:tcBorders>
              <w:top w:val="nil"/>
              <w:left w:val="nil"/>
              <w:bottom w:val="nil"/>
              <w:right w:val="nil"/>
            </w:tcBorders>
            <w:shd w:val="clear" w:color="000000" w:fill="E6F2FF"/>
            <w:noWrap/>
            <w:vAlign w:val="center"/>
            <w:hideMark/>
          </w:tcPr>
          <w:p w14:paraId="4A770495"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52F79455"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84" w:type="pct"/>
            <w:tcBorders>
              <w:top w:val="nil"/>
              <w:left w:val="nil"/>
              <w:bottom w:val="nil"/>
              <w:right w:val="nil"/>
            </w:tcBorders>
            <w:shd w:val="clear" w:color="000000" w:fill="FFFFFF"/>
            <w:noWrap/>
            <w:vAlign w:val="center"/>
            <w:hideMark/>
          </w:tcPr>
          <w:p w14:paraId="7F02504D"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66" w:type="pct"/>
            <w:tcBorders>
              <w:top w:val="nil"/>
              <w:left w:val="nil"/>
              <w:bottom w:val="nil"/>
              <w:right w:val="nil"/>
            </w:tcBorders>
            <w:shd w:val="clear" w:color="000000" w:fill="FFFFFF"/>
            <w:noWrap/>
            <w:vAlign w:val="center"/>
            <w:hideMark/>
          </w:tcPr>
          <w:p w14:paraId="16CF887F"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0" w:type="pct"/>
            <w:tcBorders>
              <w:top w:val="nil"/>
              <w:left w:val="nil"/>
              <w:bottom w:val="nil"/>
              <w:right w:val="nil"/>
            </w:tcBorders>
            <w:shd w:val="clear" w:color="000000" w:fill="FFFFFF"/>
            <w:noWrap/>
            <w:vAlign w:val="center"/>
            <w:hideMark/>
          </w:tcPr>
          <w:p w14:paraId="32B4209E"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35414E1"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r>
      <w:tr w:rsidR="00FE0DAD" w:rsidRPr="00FE0DAD" w14:paraId="73C7B3B8"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41FF0D8E" w14:textId="77777777" w:rsidR="00FE0DAD" w:rsidRPr="00FE0DAD" w:rsidRDefault="00FE0DAD" w:rsidP="00FE0DAD">
            <w:pPr>
              <w:spacing w:before="0" w:after="0" w:line="240" w:lineRule="auto"/>
              <w:ind w:left="170"/>
              <w:rPr>
                <w:rFonts w:ascii="Arial" w:hAnsi="Arial" w:cs="Arial"/>
                <w:b/>
                <w:bCs/>
                <w:sz w:val="16"/>
                <w:szCs w:val="16"/>
              </w:rPr>
            </w:pPr>
            <w:r w:rsidRPr="00FE0DAD">
              <w:rPr>
                <w:rFonts w:ascii="Arial" w:hAnsi="Arial" w:cs="Arial"/>
                <w:b/>
                <w:bCs/>
                <w:sz w:val="16"/>
                <w:szCs w:val="16"/>
              </w:rPr>
              <w:t>balance</w:t>
            </w:r>
          </w:p>
        </w:tc>
        <w:tc>
          <w:tcPr>
            <w:tcW w:w="534" w:type="pct"/>
            <w:tcBorders>
              <w:top w:val="nil"/>
              <w:left w:val="nil"/>
              <w:bottom w:val="nil"/>
              <w:right w:val="nil"/>
            </w:tcBorders>
            <w:shd w:val="clear" w:color="000000" w:fill="E6F2FF"/>
            <w:noWrap/>
            <w:vAlign w:val="bottom"/>
            <w:hideMark/>
          </w:tcPr>
          <w:p w14:paraId="70B7E61C"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-77,961</w:t>
            </w:r>
          </w:p>
        </w:tc>
        <w:tc>
          <w:tcPr>
            <w:tcW w:w="546" w:type="pct"/>
            <w:tcBorders>
              <w:top w:val="nil"/>
              <w:left w:val="nil"/>
              <w:bottom w:val="nil"/>
              <w:right w:val="nil"/>
            </w:tcBorders>
            <w:shd w:val="clear" w:color="000000" w:fill="FFFFFF"/>
            <w:noWrap/>
            <w:vAlign w:val="bottom"/>
            <w:hideMark/>
          </w:tcPr>
          <w:p w14:paraId="5A03C518"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-56,532</w:t>
            </w:r>
          </w:p>
        </w:tc>
        <w:tc>
          <w:tcPr>
            <w:tcW w:w="484" w:type="pct"/>
            <w:tcBorders>
              <w:top w:val="nil"/>
              <w:left w:val="nil"/>
              <w:bottom w:val="nil"/>
              <w:right w:val="nil"/>
            </w:tcBorders>
            <w:shd w:val="clear" w:color="000000" w:fill="FFFFFF"/>
            <w:noWrap/>
            <w:vAlign w:val="bottom"/>
            <w:hideMark/>
          </w:tcPr>
          <w:p w14:paraId="5DAD0C8C"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-47,108</w:t>
            </w:r>
          </w:p>
        </w:tc>
        <w:tc>
          <w:tcPr>
            <w:tcW w:w="466" w:type="pct"/>
            <w:tcBorders>
              <w:top w:val="nil"/>
              <w:left w:val="nil"/>
              <w:bottom w:val="nil"/>
              <w:right w:val="nil"/>
            </w:tcBorders>
            <w:shd w:val="clear" w:color="000000" w:fill="FFFFFF"/>
            <w:noWrap/>
            <w:vAlign w:val="bottom"/>
            <w:hideMark/>
          </w:tcPr>
          <w:p w14:paraId="52C7471A"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-43,068</w:t>
            </w:r>
          </w:p>
        </w:tc>
        <w:tc>
          <w:tcPr>
            <w:tcW w:w="50" w:type="pct"/>
            <w:tcBorders>
              <w:top w:val="nil"/>
              <w:left w:val="nil"/>
              <w:bottom w:val="nil"/>
              <w:right w:val="nil"/>
            </w:tcBorders>
            <w:shd w:val="clear" w:color="000000" w:fill="FFFFFF"/>
            <w:noWrap/>
            <w:vAlign w:val="center"/>
            <w:hideMark/>
          </w:tcPr>
          <w:p w14:paraId="41FF8E0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3F89DBB"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-224,670</w:t>
            </w:r>
          </w:p>
        </w:tc>
      </w:tr>
      <w:tr w:rsidR="00FE0DAD" w:rsidRPr="00FE0DAD" w14:paraId="673F3064"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4F46A12A"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Per cent of GDP</w:t>
            </w:r>
          </w:p>
        </w:tc>
        <w:tc>
          <w:tcPr>
            <w:tcW w:w="534" w:type="pct"/>
            <w:tcBorders>
              <w:top w:val="nil"/>
              <w:left w:val="nil"/>
              <w:bottom w:val="nil"/>
              <w:right w:val="nil"/>
            </w:tcBorders>
            <w:shd w:val="clear" w:color="000000" w:fill="E6F2FF"/>
            <w:noWrap/>
            <w:vAlign w:val="center"/>
            <w:hideMark/>
          </w:tcPr>
          <w:p w14:paraId="63A1A3E5"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-3.4</w:t>
            </w:r>
          </w:p>
        </w:tc>
        <w:tc>
          <w:tcPr>
            <w:tcW w:w="546" w:type="pct"/>
            <w:tcBorders>
              <w:top w:val="nil"/>
              <w:left w:val="nil"/>
              <w:bottom w:val="nil"/>
              <w:right w:val="nil"/>
            </w:tcBorders>
            <w:shd w:val="clear" w:color="000000" w:fill="FFFFFF"/>
            <w:noWrap/>
            <w:vAlign w:val="center"/>
            <w:hideMark/>
          </w:tcPr>
          <w:p w14:paraId="4B1967A6"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-2.4</w:t>
            </w:r>
          </w:p>
        </w:tc>
        <w:tc>
          <w:tcPr>
            <w:tcW w:w="484" w:type="pct"/>
            <w:tcBorders>
              <w:top w:val="nil"/>
              <w:left w:val="nil"/>
              <w:bottom w:val="nil"/>
              <w:right w:val="nil"/>
            </w:tcBorders>
            <w:shd w:val="clear" w:color="000000" w:fill="FFFFFF"/>
            <w:noWrap/>
            <w:vAlign w:val="center"/>
            <w:hideMark/>
          </w:tcPr>
          <w:p w14:paraId="28AA34E1"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-1.9</w:t>
            </w:r>
          </w:p>
        </w:tc>
        <w:tc>
          <w:tcPr>
            <w:tcW w:w="466" w:type="pct"/>
            <w:tcBorders>
              <w:top w:val="nil"/>
              <w:left w:val="nil"/>
              <w:bottom w:val="nil"/>
              <w:right w:val="nil"/>
            </w:tcBorders>
            <w:shd w:val="clear" w:color="000000" w:fill="FFFFFF"/>
            <w:noWrap/>
            <w:vAlign w:val="center"/>
            <w:hideMark/>
          </w:tcPr>
          <w:p w14:paraId="24BB72F5"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-1.6</w:t>
            </w:r>
          </w:p>
        </w:tc>
        <w:tc>
          <w:tcPr>
            <w:tcW w:w="50" w:type="pct"/>
            <w:tcBorders>
              <w:top w:val="nil"/>
              <w:left w:val="nil"/>
              <w:bottom w:val="nil"/>
              <w:right w:val="nil"/>
            </w:tcBorders>
            <w:shd w:val="clear" w:color="000000" w:fill="FFFFFF"/>
            <w:noWrap/>
            <w:vAlign w:val="center"/>
            <w:hideMark/>
          </w:tcPr>
          <w:p w14:paraId="4635E4F7"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1C9DA7E8"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3E3D5C6F"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7E30669C"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 xml:space="preserve">Changes from 2022-23 March Budget to </w:t>
            </w:r>
          </w:p>
        </w:tc>
        <w:tc>
          <w:tcPr>
            <w:tcW w:w="534" w:type="pct"/>
            <w:tcBorders>
              <w:top w:val="nil"/>
              <w:left w:val="nil"/>
              <w:bottom w:val="nil"/>
              <w:right w:val="nil"/>
            </w:tcBorders>
            <w:shd w:val="clear" w:color="000000" w:fill="E6F2FF"/>
            <w:noWrap/>
            <w:vAlign w:val="center"/>
            <w:hideMark/>
          </w:tcPr>
          <w:p w14:paraId="21DD594C"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46" w:type="pct"/>
            <w:tcBorders>
              <w:top w:val="nil"/>
              <w:left w:val="nil"/>
              <w:bottom w:val="nil"/>
              <w:right w:val="nil"/>
            </w:tcBorders>
            <w:shd w:val="clear" w:color="000000" w:fill="FFFFFF"/>
            <w:noWrap/>
            <w:vAlign w:val="center"/>
            <w:hideMark/>
          </w:tcPr>
          <w:p w14:paraId="43B77E5E"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84" w:type="pct"/>
            <w:tcBorders>
              <w:top w:val="nil"/>
              <w:left w:val="nil"/>
              <w:bottom w:val="nil"/>
              <w:right w:val="nil"/>
            </w:tcBorders>
            <w:shd w:val="clear" w:color="000000" w:fill="FFFFFF"/>
            <w:noWrap/>
            <w:vAlign w:val="center"/>
            <w:hideMark/>
          </w:tcPr>
          <w:p w14:paraId="7177BA1B"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66" w:type="pct"/>
            <w:tcBorders>
              <w:top w:val="nil"/>
              <w:left w:val="nil"/>
              <w:bottom w:val="nil"/>
              <w:right w:val="nil"/>
            </w:tcBorders>
            <w:shd w:val="clear" w:color="000000" w:fill="FFFFFF"/>
            <w:noWrap/>
            <w:vAlign w:val="center"/>
            <w:hideMark/>
          </w:tcPr>
          <w:p w14:paraId="192B9579"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0" w:type="pct"/>
            <w:tcBorders>
              <w:top w:val="nil"/>
              <w:left w:val="nil"/>
              <w:bottom w:val="nil"/>
              <w:right w:val="nil"/>
            </w:tcBorders>
            <w:shd w:val="clear" w:color="000000" w:fill="FFFFFF"/>
            <w:noWrap/>
            <w:vAlign w:val="center"/>
            <w:hideMark/>
          </w:tcPr>
          <w:p w14:paraId="3811F995"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75" w:type="pct"/>
            <w:tcBorders>
              <w:top w:val="nil"/>
              <w:left w:val="nil"/>
              <w:bottom w:val="nil"/>
              <w:right w:val="nil"/>
            </w:tcBorders>
            <w:shd w:val="clear" w:color="000000" w:fill="FFFFFF"/>
            <w:noWrap/>
            <w:vAlign w:val="center"/>
            <w:hideMark/>
          </w:tcPr>
          <w:p w14:paraId="24A08C91"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5ECE298D"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530FEC49" w14:textId="77777777" w:rsidR="00FE0DAD" w:rsidRPr="00FE0DAD" w:rsidRDefault="00FE0DAD" w:rsidP="00FE0DAD">
            <w:pPr>
              <w:spacing w:before="0" w:after="0" w:line="240" w:lineRule="auto"/>
              <w:ind w:left="170"/>
              <w:rPr>
                <w:rFonts w:ascii="Arial" w:hAnsi="Arial" w:cs="Arial"/>
                <w:b/>
                <w:bCs/>
                <w:sz w:val="16"/>
                <w:szCs w:val="16"/>
              </w:rPr>
            </w:pPr>
            <w:r w:rsidRPr="00FE0DAD">
              <w:rPr>
                <w:rFonts w:ascii="Arial" w:hAnsi="Arial" w:cs="Arial"/>
                <w:b/>
                <w:bCs/>
                <w:sz w:val="16"/>
                <w:szCs w:val="16"/>
              </w:rPr>
              <w:t>2022 PEFO</w:t>
            </w:r>
          </w:p>
        </w:tc>
        <w:tc>
          <w:tcPr>
            <w:tcW w:w="534" w:type="pct"/>
            <w:tcBorders>
              <w:top w:val="nil"/>
              <w:left w:val="nil"/>
              <w:bottom w:val="nil"/>
              <w:right w:val="nil"/>
            </w:tcBorders>
            <w:shd w:val="clear" w:color="000000" w:fill="E6F2FF"/>
            <w:noWrap/>
            <w:vAlign w:val="center"/>
            <w:hideMark/>
          </w:tcPr>
          <w:p w14:paraId="24E87DD2"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46" w:type="pct"/>
            <w:tcBorders>
              <w:top w:val="nil"/>
              <w:left w:val="nil"/>
              <w:bottom w:val="nil"/>
              <w:right w:val="nil"/>
            </w:tcBorders>
            <w:shd w:val="clear" w:color="000000" w:fill="FFFFFF"/>
            <w:noWrap/>
            <w:vAlign w:val="center"/>
            <w:hideMark/>
          </w:tcPr>
          <w:p w14:paraId="062F97D7"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84" w:type="pct"/>
            <w:tcBorders>
              <w:top w:val="nil"/>
              <w:left w:val="nil"/>
              <w:bottom w:val="nil"/>
              <w:right w:val="nil"/>
            </w:tcBorders>
            <w:shd w:val="clear" w:color="000000" w:fill="FFFFFF"/>
            <w:noWrap/>
            <w:vAlign w:val="center"/>
            <w:hideMark/>
          </w:tcPr>
          <w:p w14:paraId="6AE0CF92"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66" w:type="pct"/>
            <w:tcBorders>
              <w:top w:val="nil"/>
              <w:left w:val="nil"/>
              <w:bottom w:val="nil"/>
              <w:right w:val="nil"/>
            </w:tcBorders>
            <w:shd w:val="clear" w:color="000000" w:fill="FFFFFF"/>
            <w:noWrap/>
            <w:vAlign w:val="center"/>
            <w:hideMark/>
          </w:tcPr>
          <w:p w14:paraId="4D880448"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0" w:type="pct"/>
            <w:tcBorders>
              <w:top w:val="nil"/>
              <w:left w:val="nil"/>
              <w:bottom w:val="nil"/>
              <w:right w:val="nil"/>
            </w:tcBorders>
            <w:shd w:val="clear" w:color="000000" w:fill="FFFFFF"/>
            <w:noWrap/>
            <w:vAlign w:val="center"/>
            <w:hideMark/>
          </w:tcPr>
          <w:p w14:paraId="76191BE3"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75" w:type="pct"/>
            <w:tcBorders>
              <w:top w:val="nil"/>
              <w:left w:val="nil"/>
              <w:bottom w:val="nil"/>
              <w:right w:val="nil"/>
            </w:tcBorders>
            <w:shd w:val="clear" w:color="000000" w:fill="FFFFFF"/>
            <w:noWrap/>
            <w:vAlign w:val="center"/>
            <w:hideMark/>
          </w:tcPr>
          <w:p w14:paraId="3C4FDC96"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4E47EF37"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261CF5DE"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Effect of policy decisions(a)</w:t>
            </w:r>
          </w:p>
        </w:tc>
        <w:tc>
          <w:tcPr>
            <w:tcW w:w="534" w:type="pct"/>
            <w:tcBorders>
              <w:top w:val="nil"/>
              <w:left w:val="nil"/>
              <w:bottom w:val="nil"/>
              <w:right w:val="nil"/>
            </w:tcBorders>
            <w:shd w:val="clear" w:color="000000" w:fill="E6F2FF"/>
            <w:noWrap/>
            <w:vAlign w:val="center"/>
            <w:hideMark/>
          </w:tcPr>
          <w:p w14:paraId="401111D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-543</w:t>
            </w:r>
          </w:p>
        </w:tc>
        <w:tc>
          <w:tcPr>
            <w:tcW w:w="546" w:type="pct"/>
            <w:tcBorders>
              <w:top w:val="nil"/>
              <w:left w:val="nil"/>
              <w:bottom w:val="nil"/>
              <w:right w:val="nil"/>
            </w:tcBorders>
            <w:shd w:val="clear" w:color="000000" w:fill="FFFFFF"/>
            <w:noWrap/>
            <w:vAlign w:val="center"/>
            <w:hideMark/>
          </w:tcPr>
          <w:p w14:paraId="69E6A79E"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-61</w:t>
            </w:r>
          </w:p>
        </w:tc>
        <w:tc>
          <w:tcPr>
            <w:tcW w:w="484" w:type="pct"/>
            <w:tcBorders>
              <w:top w:val="nil"/>
              <w:left w:val="nil"/>
              <w:bottom w:val="nil"/>
              <w:right w:val="nil"/>
            </w:tcBorders>
            <w:shd w:val="clear" w:color="000000" w:fill="FFFFFF"/>
            <w:noWrap/>
            <w:vAlign w:val="center"/>
            <w:hideMark/>
          </w:tcPr>
          <w:p w14:paraId="50B946EB"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-67</w:t>
            </w:r>
          </w:p>
        </w:tc>
        <w:tc>
          <w:tcPr>
            <w:tcW w:w="466" w:type="pct"/>
            <w:tcBorders>
              <w:top w:val="nil"/>
              <w:left w:val="nil"/>
              <w:bottom w:val="nil"/>
              <w:right w:val="nil"/>
            </w:tcBorders>
            <w:shd w:val="clear" w:color="000000" w:fill="FFFFFF"/>
            <w:noWrap/>
            <w:vAlign w:val="center"/>
            <w:hideMark/>
          </w:tcPr>
          <w:p w14:paraId="6EE27C23"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-43</w:t>
            </w:r>
          </w:p>
        </w:tc>
        <w:tc>
          <w:tcPr>
            <w:tcW w:w="50" w:type="pct"/>
            <w:tcBorders>
              <w:top w:val="nil"/>
              <w:left w:val="nil"/>
              <w:bottom w:val="nil"/>
              <w:right w:val="nil"/>
            </w:tcBorders>
            <w:shd w:val="clear" w:color="000000" w:fill="FFFFFF"/>
            <w:noWrap/>
            <w:vAlign w:val="center"/>
            <w:hideMark/>
          </w:tcPr>
          <w:p w14:paraId="01C1319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6B9856D4"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-714</w:t>
            </w:r>
          </w:p>
        </w:tc>
      </w:tr>
      <w:tr w:rsidR="00FE0DAD" w:rsidRPr="00FE0DAD" w14:paraId="3F1D424F"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38B0E6A0" w14:textId="77777777" w:rsidR="00FE0DAD" w:rsidRPr="00FE0DAD" w:rsidRDefault="00FE0DAD" w:rsidP="00FE0DAD">
            <w:pPr>
              <w:spacing w:before="0" w:after="0" w:line="240" w:lineRule="auto"/>
              <w:rPr>
                <w:rFonts w:ascii="Arial" w:hAnsi="Arial" w:cs="Arial"/>
                <w:color w:val="000000"/>
                <w:sz w:val="16"/>
                <w:szCs w:val="16"/>
              </w:rPr>
            </w:pPr>
            <w:r w:rsidRPr="00FE0DAD">
              <w:rPr>
                <w:rFonts w:ascii="Arial" w:hAnsi="Arial" w:cs="Arial"/>
                <w:color w:val="000000"/>
                <w:sz w:val="16"/>
                <w:szCs w:val="16"/>
              </w:rPr>
              <w:t>Effect of parameter and other variations</w:t>
            </w:r>
          </w:p>
        </w:tc>
        <w:tc>
          <w:tcPr>
            <w:tcW w:w="534" w:type="pct"/>
            <w:tcBorders>
              <w:top w:val="nil"/>
              <w:left w:val="nil"/>
              <w:bottom w:val="single" w:sz="4" w:space="0" w:color="000000"/>
              <w:right w:val="nil"/>
            </w:tcBorders>
            <w:shd w:val="clear" w:color="000000" w:fill="E6F2FF"/>
            <w:noWrap/>
            <w:vAlign w:val="center"/>
            <w:hideMark/>
          </w:tcPr>
          <w:p w14:paraId="758C5333"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568</w:t>
            </w:r>
          </w:p>
        </w:tc>
        <w:tc>
          <w:tcPr>
            <w:tcW w:w="546" w:type="pct"/>
            <w:tcBorders>
              <w:top w:val="nil"/>
              <w:left w:val="nil"/>
              <w:bottom w:val="single" w:sz="4" w:space="0" w:color="000000"/>
              <w:right w:val="nil"/>
            </w:tcBorders>
            <w:shd w:val="clear" w:color="000000" w:fill="FFFFFF"/>
            <w:noWrap/>
            <w:vAlign w:val="center"/>
            <w:hideMark/>
          </w:tcPr>
          <w:p w14:paraId="2360CBE2"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69</w:t>
            </w:r>
          </w:p>
        </w:tc>
        <w:tc>
          <w:tcPr>
            <w:tcW w:w="484" w:type="pct"/>
            <w:tcBorders>
              <w:top w:val="nil"/>
              <w:left w:val="nil"/>
              <w:bottom w:val="single" w:sz="4" w:space="0" w:color="000000"/>
              <w:right w:val="nil"/>
            </w:tcBorders>
            <w:shd w:val="clear" w:color="000000" w:fill="FFFFFF"/>
            <w:noWrap/>
            <w:vAlign w:val="center"/>
            <w:hideMark/>
          </w:tcPr>
          <w:p w14:paraId="537A566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82</w:t>
            </w:r>
          </w:p>
        </w:tc>
        <w:tc>
          <w:tcPr>
            <w:tcW w:w="466" w:type="pct"/>
            <w:tcBorders>
              <w:top w:val="nil"/>
              <w:left w:val="nil"/>
              <w:bottom w:val="single" w:sz="4" w:space="0" w:color="000000"/>
              <w:right w:val="nil"/>
            </w:tcBorders>
            <w:shd w:val="clear" w:color="000000" w:fill="FFFFFF"/>
            <w:noWrap/>
            <w:vAlign w:val="center"/>
            <w:hideMark/>
          </w:tcPr>
          <w:p w14:paraId="1752455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175</w:t>
            </w:r>
          </w:p>
        </w:tc>
        <w:tc>
          <w:tcPr>
            <w:tcW w:w="50" w:type="pct"/>
            <w:tcBorders>
              <w:top w:val="nil"/>
              <w:left w:val="nil"/>
              <w:bottom w:val="nil"/>
              <w:right w:val="nil"/>
            </w:tcBorders>
            <w:shd w:val="clear" w:color="000000" w:fill="FFFFFF"/>
            <w:noWrap/>
            <w:vAlign w:val="center"/>
            <w:hideMark/>
          </w:tcPr>
          <w:p w14:paraId="4A3B588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61C0DE4E"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894</w:t>
            </w:r>
          </w:p>
        </w:tc>
      </w:tr>
      <w:tr w:rsidR="00FE0DAD" w:rsidRPr="00FE0DAD" w14:paraId="61649CB6"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6085A0B9"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Total variations</w:t>
            </w:r>
          </w:p>
        </w:tc>
        <w:tc>
          <w:tcPr>
            <w:tcW w:w="534" w:type="pct"/>
            <w:tcBorders>
              <w:top w:val="nil"/>
              <w:left w:val="nil"/>
              <w:bottom w:val="single" w:sz="4" w:space="0" w:color="000000"/>
              <w:right w:val="nil"/>
            </w:tcBorders>
            <w:shd w:val="clear" w:color="000000" w:fill="E6F2FF"/>
            <w:noWrap/>
            <w:vAlign w:val="center"/>
            <w:hideMark/>
          </w:tcPr>
          <w:p w14:paraId="0173B2C0"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25</w:t>
            </w:r>
          </w:p>
        </w:tc>
        <w:tc>
          <w:tcPr>
            <w:tcW w:w="546" w:type="pct"/>
            <w:tcBorders>
              <w:top w:val="nil"/>
              <w:left w:val="nil"/>
              <w:bottom w:val="single" w:sz="4" w:space="0" w:color="000000"/>
              <w:right w:val="nil"/>
            </w:tcBorders>
            <w:shd w:val="clear" w:color="000000" w:fill="FFFFFF"/>
            <w:noWrap/>
            <w:vAlign w:val="center"/>
            <w:hideMark/>
          </w:tcPr>
          <w:p w14:paraId="4E9D258C"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8</w:t>
            </w:r>
          </w:p>
        </w:tc>
        <w:tc>
          <w:tcPr>
            <w:tcW w:w="484" w:type="pct"/>
            <w:tcBorders>
              <w:top w:val="nil"/>
              <w:left w:val="nil"/>
              <w:bottom w:val="single" w:sz="4" w:space="0" w:color="000000"/>
              <w:right w:val="nil"/>
            </w:tcBorders>
            <w:shd w:val="clear" w:color="000000" w:fill="FFFFFF"/>
            <w:noWrap/>
            <w:vAlign w:val="center"/>
            <w:hideMark/>
          </w:tcPr>
          <w:p w14:paraId="7DB655BB"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15</w:t>
            </w:r>
          </w:p>
        </w:tc>
        <w:tc>
          <w:tcPr>
            <w:tcW w:w="466" w:type="pct"/>
            <w:tcBorders>
              <w:top w:val="nil"/>
              <w:left w:val="nil"/>
              <w:bottom w:val="single" w:sz="4" w:space="0" w:color="000000"/>
              <w:right w:val="nil"/>
            </w:tcBorders>
            <w:shd w:val="clear" w:color="000000" w:fill="FFFFFF"/>
            <w:noWrap/>
            <w:vAlign w:val="center"/>
            <w:hideMark/>
          </w:tcPr>
          <w:p w14:paraId="5703E57D"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132</w:t>
            </w:r>
          </w:p>
        </w:tc>
        <w:tc>
          <w:tcPr>
            <w:tcW w:w="50" w:type="pct"/>
            <w:tcBorders>
              <w:top w:val="nil"/>
              <w:left w:val="nil"/>
              <w:bottom w:val="nil"/>
              <w:right w:val="nil"/>
            </w:tcBorders>
            <w:shd w:val="clear" w:color="000000" w:fill="FFFFFF"/>
            <w:noWrap/>
            <w:vAlign w:val="center"/>
            <w:hideMark/>
          </w:tcPr>
          <w:p w14:paraId="4B87BE4E"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575" w:type="pct"/>
            <w:tcBorders>
              <w:top w:val="single" w:sz="4" w:space="0" w:color="auto"/>
              <w:left w:val="nil"/>
              <w:bottom w:val="single" w:sz="4" w:space="0" w:color="000000"/>
              <w:right w:val="nil"/>
            </w:tcBorders>
            <w:shd w:val="clear" w:color="000000" w:fill="FFFFFF"/>
            <w:noWrap/>
            <w:vAlign w:val="center"/>
            <w:hideMark/>
          </w:tcPr>
          <w:p w14:paraId="319CA4A2"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180</w:t>
            </w:r>
          </w:p>
        </w:tc>
      </w:tr>
      <w:tr w:rsidR="00FE0DAD" w:rsidRPr="00FE0DAD" w14:paraId="3BA5C358" w14:textId="77777777" w:rsidTr="00FE0DAD">
        <w:trPr>
          <w:divId w:val="1091581966"/>
          <w:trHeight w:hRule="exact" w:val="60"/>
        </w:trPr>
        <w:tc>
          <w:tcPr>
            <w:tcW w:w="2346" w:type="pct"/>
            <w:tcBorders>
              <w:top w:val="nil"/>
              <w:left w:val="nil"/>
              <w:bottom w:val="nil"/>
              <w:right w:val="nil"/>
            </w:tcBorders>
            <w:shd w:val="clear" w:color="000000" w:fill="FFFFFF"/>
            <w:noWrap/>
            <w:vAlign w:val="center"/>
            <w:hideMark/>
          </w:tcPr>
          <w:p w14:paraId="6BDCE55B" w14:textId="77777777" w:rsidR="00FE0DAD" w:rsidRPr="00FE0DAD" w:rsidRDefault="00FE0DAD" w:rsidP="00FE0DAD">
            <w:pPr>
              <w:spacing w:before="0" w:after="0" w:line="240" w:lineRule="auto"/>
              <w:rPr>
                <w:rFonts w:ascii="Arial" w:hAnsi="Arial" w:cs="Arial"/>
                <w:b/>
                <w:bCs/>
                <w:color w:val="0066CC"/>
                <w:sz w:val="16"/>
                <w:szCs w:val="16"/>
              </w:rPr>
            </w:pPr>
            <w:r w:rsidRPr="00FE0DAD">
              <w:rPr>
                <w:rFonts w:ascii="Arial" w:hAnsi="Arial" w:cs="Arial"/>
                <w:b/>
                <w:bCs/>
                <w:color w:val="0066CC"/>
                <w:sz w:val="16"/>
                <w:szCs w:val="16"/>
              </w:rPr>
              <w:t> </w:t>
            </w:r>
          </w:p>
        </w:tc>
        <w:tc>
          <w:tcPr>
            <w:tcW w:w="534" w:type="pct"/>
            <w:tcBorders>
              <w:top w:val="nil"/>
              <w:left w:val="nil"/>
              <w:bottom w:val="nil"/>
              <w:right w:val="nil"/>
            </w:tcBorders>
            <w:shd w:val="clear" w:color="000000" w:fill="E6F2FF"/>
            <w:noWrap/>
            <w:vAlign w:val="center"/>
            <w:hideMark/>
          </w:tcPr>
          <w:p w14:paraId="1457BBD6"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46" w:type="pct"/>
            <w:tcBorders>
              <w:top w:val="nil"/>
              <w:left w:val="nil"/>
              <w:bottom w:val="nil"/>
              <w:right w:val="nil"/>
            </w:tcBorders>
            <w:shd w:val="clear" w:color="000000" w:fill="FFFFFF"/>
            <w:noWrap/>
            <w:vAlign w:val="center"/>
            <w:hideMark/>
          </w:tcPr>
          <w:p w14:paraId="04CDCA40"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484" w:type="pct"/>
            <w:tcBorders>
              <w:top w:val="nil"/>
              <w:left w:val="nil"/>
              <w:bottom w:val="nil"/>
              <w:right w:val="nil"/>
            </w:tcBorders>
            <w:shd w:val="clear" w:color="000000" w:fill="FFFFFF"/>
            <w:noWrap/>
            <w:vAlign w:val="center"/>
            <w:hideMark/>
          </w:tcPr>
          <w:p w14:paraId="65D4B3FE"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66" w:type="pct"/>
            <w:tcBorders>
              <w:top w:val="nil"/>
              <w:left w:val="nil"/>
              <w:bottom w:val="nil"/>
              <w:right w:val="nil"/>
            </w:tcBorders>
            <w:shd w:val="clear" w:color="000000" w:fill="FFFFFF"/>
            <w:noWrap/>
            <w:vAlign w:val="center"/>
            <w:hideMark/>
          </w:tcPr>
          <w:p w14:paraId="2C0A00B3"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0" w:type="pct"/>
            <w:tcBorders>
              <w:top w:val="nil"/>
              <w:left w:val="nil"/>
              <w:bottom w:val="nil"/>
              <w:right w:val="nil"/>
            </w:tcBorders>
            <w:shd w:val="clear" w:color="000000" w:fill="FFFFFF"/>
            <w:noWrap/>
            <w:vAlign w:val="center"/>
            <w:hideMark/>
          </w:tcPr>
          <w:p w14:paraId="16C99C4F"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75" w:type="pct"/>
            <w:tcBorders>
              <w:top w:val="nil"/>
              <w:left w:val="nil"/>
              <w:bottom w:val="nil"/>
              <w:right w:val="nil"/>
            </w:tcBorders>
            <w:shd w:val="clear" w:color="000000" w:fill="FFFFFF"/>
            <w:noWrap/>
            <w:vAlign w:val="center"/>
            <w:hideMark/>
          </w:tcPr>
          <w:p w14:paraId="4F7E4EE7"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1ED654C3"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6143CF1F"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2022 PEFO underlying cash</w:t>
            </w:r>
          </w:p>
        </w:tc>
        <w:tc>
          <w:tcPr>
            <w:tcW w:w="534" w:type="pct"/>
            <w:tcBorders>
              <w:top w:val="nil"/>
              <w:left w:val="nil"/>
              <w:bottom w:val="nil"/>
              <w:right w:val="nil"/>
            </w:tcBorders>
            <w:shd w:val="clear" w:color="000000" w:fill="E6F2FF"/>
            <w:noWrap/>
            <w:vAlign w:val="center"/>
            <w:hideMark/>
          </w:tcPr>
          <w:p w14:paraId="016DD565"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46" w:type="pct"/>
            <w:tcBorders>
              <w:top w:val="nil"/>
              <w:left w:val="nil"/>
              <w:bottom w:val="nil"/>
              <w:right w:val="nil"/>
            </w:tcBorders>
            <w:shd w:val="clear" w:color="000000" w:fill="FFFFFF"/>
            <w:noWrap/>
            <w:vAlign w:val="center"/>
            <w:hideMark/>
          </w:tcPr>
          <w:p w14:paraId="6DA04434"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484" w:type="pct"/>
            <w:tcBorders>
              <w:top w:val="nil"/>
              <w:left w:val="nil"/>
              <w:bottom w:val="nil"/>
              <w:right w:val="nil"/>
            </w:tcBorders>
            <w:shd w:val="clear" w:color="000000" w:fill="FFFFFF"/>
            <w:noWrap/>
            <w:vAlign w:val="center"/>
            <w:hideMark/>
          </w:tcPr>
          <w:p w14:paraId="386567CB"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66" w:type="pct"/>
            <w:tcBorders>
              <w:top w:val="nil"/>
              <w:left w:val="nil"/>
              <w:bottom w:val="nil"/>
              <w:right w:val="nil"/>
            </w:tcBorders>
            <w:shd w:val="clear" w:color="000000" w:fill="FFFFFF"/>
            <w:noWrap/>
            <w:vAlign w:val="center"/>
            <w:hideMark/>
          </w:tcPr>
          <w:p w14:paraId="254BA127"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0" w:type="pct"/>
            <w:tcBorders>
              <w:top w:val="nil"/>
              <w:left w:val="nil"/>
              <w:bottom w:val="nil"/>
              <w:right w:val="nil"/>
            </w:tcBorders>
            <w:shd w:val="clear" w:color="000000" w:fill="FFFFFF"/>
            <w:noWrap/>
            <w:vAlign w:val="center"/>
            <w:hideMark/>
          </w:tcPr>
          <w:p w14:paraId="617216CE"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75" w:type="pct"/>
            <w:tcBorders>
              <w:top w:val="nil"/>
              <w:left w:val="nil"/>
              <w:bottom w:val="nil"/>
              <w:right w:val="nil"/>
            </w:tcBorders>
            <w:shd w:val="clear" w:color="000000" w:fill="FFFFFF"/>
            <w:noWrap/>
            <w:vAlign w:val="center"/>
            <w:hideMark/>
          </w:tcPr>
          <w:p w14:paraId="70E1BB2B"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2E9D8598"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1F7E854C" w14:textId="77777777" w:rsidR="00FE0DAD" w:rsidRPr="00FE0DAD" w:rsidRDefault="00FE0DAD" w:rsidP="00FE0DAD">
            <w:pPr>
              <w:spacing w:before="0" w:after="0" w:line="240" w:lineRule="auto"/>
              <w:ind w:left="170"/>
              <w:rPr>
                <w:rFonts w:ascii="Arial" w:hAnsi="Arial" w:cs="Arial"/>
                <w:b/>
                <w:bCs/>
                <w:sz w:val="16"/>
                <w:szCs w:val="16"/>
              </w:rPr>
            </w:pPr>
            <w:r w:rsidRPr="00FE0DAD">
              <w:rPr>
                <w:rFonts w:ascii="Arial" w:hAnsi="Arial" w:cs="Arial"/>
                <w:b/>
                <w:bCs/>
                <w:sz w:val="16"/>
                <w:szCs w:val="16"/>
              </w:rPr>
              <w:t>balance</w:t>
            </w:r>
          </w:p>
        </w:tc>
        <w:tc>
          <w:tcPr>
            <w:tcW w:w="534" w:type="pct"/>
            <w:tcBorders>
              <w:top w:val="nil"/>
              <w:left w:val="nil"/>
              <w:bottom w:val="nil"/>
              <w:right w:val="nil"/>
            </w:tcBorders>
            <w:shd w:val="clear" w:color="000000" w:fill="E6F2FF"/>
            <w:noWrap/>
            <w:vAlign w:val="center"/>
            <w:hideMark/>
          </w:tcPr>
          <w:p w14:paraId="53CC80E3"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-77,937</w:t>
            </w:r>
          </w:p>
        </w:tc>
        <w:tc>
          <w:tcPr>
            <w:tcW w:w="546" w:type="pct"/>
            <w:tcBorders>
              <w:top w:val="nil"/>
              <w:left w:val="nil"/>
              <w:bottom w:val="nil"/>
              <w:right w:val="nil"/>
            </w:tcBorders>
            <w:shd w:val="clear" w:color="000000" w:fill="FFFFFF"/>
            <w:noWrap/>
            <w:vAlign w:val="center"/>
            <w:hideMark/>
          </w:tcPr>
          <w:p w14:paraId="67795ADB"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-56,525</w:t>
            </w:r>
          </w:p>
        </w:tc>
        <w:tc>
          <w:tcPr>
            <w:tcW w:w="484" w:type="pct"/>
            <w:tcBorders>
              <w:top w:val="nil"/>
              <w:left w:val="nil"/>
              <w:bottom w:val="nil"/>
              <w:right w:val="nil"/>
            </w:tcBorders>
            <w:shd w:val="clear" w:color="000000" w:fill="FFFFFF"/>
            <w:noWrap/>
            <w:vAlign w:val="center"/>
            <w:hideMark/>
          </w:tcPr>
          <w:p w14:paraId="359F6DF5"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-47,093</w:t>
            </w:r>
          </w:p>
        </w:tc>
        <w:tc>
          <w:tcPr>
            <w:tcW w:w="466" w:type="pct"/>
            <w:tcBorders>
              <w:top w:val="nil"/>
              <w:left w:val="nil"/>
              <w:bottom w:val="nil"/>
              <w:right w:val="nil"/>
            </w:tcBorders>
            <w:shd w:val="clear" w:color="000000" w:fill="FFFFFF"/>
            <w:noWrap/>
            <w:vAlign w:val="center"/>
            <w:hideMark/>
          </w:tcPr>
          <w:p w14:paraId="404A2725"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-42,936</w:t>
            </w:r>
          </w:p>
        </w:tc>
        <w:tc>
          <w:tcPr>
            <w:tcW w:w="50" w:type="pct"/>
            <w:tcBorders>
              <w:top w:val="nil"/>
              <w:left w:val="nil"/>
              <w:bottom w:val="nil"/>
              <w:right w:val="nil"/>
            </w:tcBorders>
            <w:shd w:val="clear" w:color="000000" w:fill="FFFFFF"/>
            <w:noWrap/>
            <w:vAlign w:val="center"/>
            <w:hideMark/>
          </w:tcPr>
          <w:p w14:paraId="77CC99CB"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F34FB66"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-224,490</w:t>
            </w:r>
          </w:p>
        </w:tc>
      </w:tr>
      <w:tr w:rsidR="00FE0DAD" w:rsidRPr="00FE0DAD" w14:paraId="2896A731"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6C1AF6B3"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Per cent of GDP</w:t>
            </w:r>
          </w:p>
        </w:tc>
        <w:tc>
          <w:tcPr>
            <w:tcW w:w="534" w:type="pct"/>
            <w:tcBorders>
              <w:top w:val="nil"/>
              <w:left w:val="nil"/>
              <w:bottom w:val="nil"/>
              <w:right w:val="nil"/>
            </w:tcBorders>
            <w:shd w:val="clear" w:color="000000" w:fill="E6F2FF"/>
            <w:noWrap/>
            <w:vAlign w:val="center"/>
            <w:hideMark/>
          </w:tcPr>
          <w:p w14:paraId="6177331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-3.4</w:t>
            </w:r>
          </w:p>
        </w:tc>
        <w:tc>
          <w:tcPr>
            <w:tcW w:w="546" w:type="pct"/>
            <w:tcBorders>
              <w:top w:val="nil"/>
              <w:left w:val="nil"/>
              <w:bottom w:val="nil"/>
              <w:right w:val="nil"/>
            </w:tcBorders>
            <w:shd w:val="clear" w:color="000000" w:fill="FFFFFF"/>
            <w:noWrap/>
            <w:vAlign w:val="center"/>
            <w:hideMark/>
          </w:tcPr>
          <w:p w14:paraId="34F052E0"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-2.4</w:t>
            </w:r>
          </w:p>
        </w:tc>
        <w:tc>
          <w:tcPr>
            <w:tcW w:w="484" w:type="pct"/>
            <w:tcBorders>
              <w:top w:val="nil"/>
              <w:left w:val="nil"/>
              <w:bottom w:val="nil"/>
              <w:right w:val="nil"/>
            </w:tcBorders>
            <w:shd w:val="clear" w:color="000000" w:fill="FFFFFF"/>
            <w:noWrap/>
            <w:vAlign w:val="center"/>
            <w:hideMark/>
          </w:tcPr>
          <w:p w14:paraId="02A81A7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-1.9</w:t>
            </w:r>
          </w:p>
        </w:tc>
        <w:tc>
          <w:tcPr>
            <w:tcW w:w="466" w:type="pct"/>
            <w:tcBorders>
              <w:top w:val="nil"/>
              <w:left w:val="nil"/>
              <w:bottom w:val="nil"/>
              <w:right w:val="nil"/>
            </w:tcBorders>
            <w:shd w:val="clear" w:color="000000" w:fill="FFFFFF"/>
            <w:noWrap/>
            <w:vAlign w:val="center"/>
            <w:hideMark/>
          </w:tcPr>
          <w:p w14:paraId="060C1ED3"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-1.6</w:t>
            </w:r>
          </w:p>
        </w:tc>
        <w:tc>
          <w:tcPr>
            <w:tcW w:w="50" w:type="pct"/>
            <w:tcBorders>
              <w:top w:val="nil"/>
              <w:left w:val="nil"/>
              <w:bottom w:val="nil"/>
              <w:right w:val="nil"/>
            </w:tcBorders>
            <w:shd w:val="clear" w:color="000000" w:fill="FFFFFF"/>
            <w:noWrap/>
            <w:vAlign w:val="center"/>
            <w:hideMark/>
          </w:tcPr>
          <w:p w14:paraId="1A07451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3F27C48"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571F0119" w14:textId="77777777" w:rsidTr="00FE0DAD">
        <w:trPr>
          <w:divId w:val="1091581966"/>
          <w:trHeight w:hRule="exact" w:val="60"/>
        </w:trPr>
        <w:tc>
          <w:tcPr>
            <w:tcW w:w="2346" w:type="pct"/>
            <w:tcBorders>
              <w:top w:val="nil"/>
              <w:left w:val="nil"/>
              <w:bottom w:val="nil"/>
              <w:right w:val="nil"/>
            </w:tcBorders>
            <w:shd w:val="clear" w:color="000000" w:fill="FFFFFF"/>
            <w:noWrap/>
            <w:vAlign w:val="center"/>
            <w:hideMark/>
          </w:tcPr>
          <w:p w14:paraId="3698DA81"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534" w:type="pct"/>
            <w:tcBorders>
              <w:top w:val="nil"/>
              <w:left w:val="nil"/>
              <w:bottom w:val="nil"/>
              <w:right w:val="nil"/>
            </w:tcBorders>
            <w:shd w:val="clear" w:color="000000" w:fill="E6F2FF"/>
            <w:noWrap/>
            <w:vAlign w:val="center"/>
            <w:hideMark/>
          </w:tcPr>
          <w:p w14:paraId="210364F0"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1A4413B9"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84" w:type="pct"/>
            <w:tcBorders>
              <w:top w:val="nil"/>
              <w:left w:val="nil"/>
              <w:bottom w:val="nil"/>
              <w:right w:val="nil"/>
            </w:tcBorders>
            <w:shd w:val="clear" w:color="000000" w:fill="FFFFFF"/>
            <w:noWrap/>
            <w:vAlign w:val="center"/>
            <w:hideMark/>
          </w:tcPr>
          <w:p w14:paraId="40B54D17"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66" w:type="pct"/>
            <w:tcBorders>
              <w:top w:val="nil"/>
              <w:left w:val="nil"/>
              <w:bottom w:val="nil"/>
              <w:right w:val="nil"/>
            </w:tcBorders>
            <w:shd w:val="clear" w:color="000000" w:fill="FFFFFF"/>
            <w:noWrap/>
            <w:vAlign w:val="center"/>
            <w:hideMark/>
          </w:tcPr>
          <w:p w14:paraId="065B3DA1"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0" w:type="pct"/>
            <w:tcBorders>
              <w:top w:val="nil"/>
              <w:left w:val="nil"/>
              <w:bottom w:val="nil"/>
              <w:right w:val="nil"/>
            </w:tcBorders>
            <w:shd w:val="clear" w:color="000000" w:fill="FFFFFF"/>
            <w:noWrap/>
            <w:vAlign w:val="center"/>
            <w:hideMark/>
          </w:tcPr>
          <w:p w14:paraId="75580DE5"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E1A042D"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61D7F467"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5B79F240"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Changes from 2022 PEFO to</w:t>
            </w:r>
          </w:p>
        </w:tc>
        <w:tc>
          <w:tcPr>
            <w:tcW w:w="534" w:type="pct"/>
            <w:tcBorders>
              <w:top w:val="nil"/>
              <w:left w:val="nil"/>
              <w:bottom w:val="nil"/>
              <w:right w:val="nil"/>
            </w:tcBorders>
            <w:shd w:val="clear" w:color="000000" w:fill="E6F2FF"/>
            <w:noWrap/>
            <w:vAlign w:val="center"/>
            <w:hideMark/>
          </w:tcPr>
          <w:p w14:paraId="704F56BE"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2EBF9A8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84" w:type="pct"/>
            <w:tcBorders>
              <w:top w:val="nil"/>
              <w:left w:val="nil"/>
              <w:bottom w:val="nil"/>
              <w:right w:val="nil"/>
            </w:tcBorders>
            <w:shd w:val="clear" w:color="000000" w:fill="FFFFFF"/>
            <w:noWrap/>
            <w:vAlign w:val="center"/>
            <w:hideMark/>
          </w:tcPr>
          <w:p w14:paraId="07980F47"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66" w:type="pct"/>
            <w:tcBorders>
              <w:top w:val="nil"/>
              <w:left w:val="nil"/>
              <w:bottom w:val="nil"/>
              <w:right w:val="nil"/>
            </w:tcBorders>
            <w:shd w:val="clear" w:color="000000" w:fill="FFFFFF"/>
            <w:noWrap/>
            <w:vAlign w:val="center"/>
            <w:hideMark/>
          </w:tcPr>
          <w:p w14:paraId="6F8ECF49"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0" w:type="pct"/>
            <w:tcBorders>
              <w:top w:val="nil"/>
              <w:left w:val="nil"/>
              <w:bottom w:val="nil"/>
              <w:right w:val="nil"/>
            </w:tcBorders>
            <w:shd w:val="clear" w:color="000000" w:fill="FFFFFF"/>
            <w:noWrap/>
            <w:vAlign w:val="center"/>
            <w:hideMark/>
          </w:tcPr>
          <w:p w14:paraId="54B32213"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772F04CC"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65F08A6C"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34C7FBA5" w14:textId="77777777" w:rsidR="00FE0DAD" w:rsidRPr="00FE0DAD" w:rsidRDefault="00FE0DAD" w:rsidP="00FE0DAD">
            <w:pPr>
              <w:spacing w:before="0" w:after="0" w:line="240" w:lineRule="auto"/>
              <w:ind w:left="170"/>
              <w:rPr>
                <w:rFonts w:ascii="Arial" w:hAnsi="Arial" w:cs="Arial"/>
                <w:b/>
                <w:bCs/>
                <w:sz w:val="16"/>
                <w:szCs w:val="16"/>
              </w:rPr>
            </w:pPr>
            <w:r w:rsidRPr="00FE0DAD">
              <w:rPr>
                <w:rFonts w:ascii="Arial" w:hAnsi="Arial" w:cs="Arial"/>
                <w:b/>
                <w:bCs/>
                <w:sz w:val="16"/>
                <w:szCs w:val="16"/>
              </w:rPr>
              <w:t>2022-23 October Budget</w:t>
            </w:r>
          </w:p>
        </w:tc>
        <w:tc>
          <w:tcPr>
            <w:tcW w:w="534" w:type="pct"/>
            <w:tcBorders>
              <w:top w:val="nil"/>
              <w:left w:val="nil"/>
              <w:bottom w:val="nil"/>
              <w:right w:val="nil"/>
            </w:tcBorders>
            <w:shd w:val="clear" w:color="000000" w:fill="E6F2FF"/>
            <w:noWrap/>
            <w:vAlign w:val="center"/>
            <w:hideMark/>
          </w:tcPr>
          <w:p w14:paraId="770DB5D1"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 </w:t>
            </w:r>
          </w:p>
        </w:tc>
        <w:tc>
          <w:tcPr>
            <w:tcW w:w="546" w:type="pct"/>
            <w:tcBorders>
              <w:top w:val="nil"/>
              <w:left w:val="nil"/>
              <w:bottom w:val="nil"/>
              <w:right w:val="nil"/>
            </w:tcBorders>
            <w:shd w:val="clear" w:color="000000" w:fill="FFFFFF"/>
            <w:noWrap/>
            <w:vAlign w:val="center"/>
            <w:hideMark/>
          </w:tcPr>
          <w:p w14:paraId="6404FAB3"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484" w:type="pct"/>
            <w:tcBorders>
              <w:top w:val="nil"/>
              <w:left w:val="nil"/>
              <w:bottom w:val="nil"/>
              <w:right w:val="nil"/>
            </w:tcBorders>
            <w:shd w:val="clear" w:color="000000" w:fill="FFFFFF"/>
            <w:noWrap/>
            <w:vAlign w:val="center"/>
            <w:hideMark/>
          </w:tcPr>
          <w:p w14:paraId="2E1294E6"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19E6F64D"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 </w:t>
            </w:r>
          </w:p>
        </w:tc>
        <w:tc>
          <w:tcPr>
            <w:tcW w:w="50" w:type="pct"/>
            <w:tcBorders>
              <w:top w:val="nil"/>
              <w:left w:val="nil"/>
              <w:bottom w:val="nil"/>
              <w:right w:val="nil"/>
            </w:tcBorders>
            <w:shd w:val="clear" w:color="000000" w:fill="FFFFFF"/>
            <w:noWrap/>
            <w:vAlign w:val="center"/>
            <w:hideMark/>
          </w:tcPr>
          <w:p w14:paraId="4C83AB08"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7245418C"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461B3E80"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57FB4718"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Effect of policy decisions(a)(b)</w:t>
            </w:r>
          </w:p>
        </w:tc>
        <w:tc>
          <w:tcPr>
            <w:tcW w:w="534" w:type="pct"/>
            <w:tcBorders>
              <w:top w:val="nil"/>
              <w:left w:val="nil"/>
              <w:bottom w:val="nil"/>
              <w:right w:val="nil"/>
            </w:tcBorders>
            <w:shd w:val="clear" w:color="000000" w:fill="E6F2FF"/>
            <w:noWrap/>
            <w:vAlign w:val="center"/>
            <w:hideMark/>
          </w:tcPr>
          <w:p w14:paraId="5DE35934"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75E218E6"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84" w:type="pct"/>
            <w:tcBorders>
              <w:top w:val="nil"/>
              <w:left w:val="nil"/>
              <w:bottom w:val="nil"/>
              <w:right w:val="nil"/>
            </w:tcBorders>
            <w:shd w:val="clear" w:color="000000" w:fill="FFFFFF"/>
            <w:noWrap/>
            <w:vAlign w:val="center"/>
            <w:hideMark/>
          </w:tcPr>
          <w:p w14:paraId="7DE216CD"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66" w:type="pct"/>
            <w:tcBorders>
              <w:top w:val="nil"/>
              <w:left w:val="nil"/>
              <w:bottom w:val="nil"/>
              <w:right w:val="nil"/>
            </w:tcBorders>
            <w:shd w:val="clear" w:color="000000" w:fill="FFFFFF"/>
            <w:noWrap/>
            <w:vAlign w:val="center"/>
            <w:hideMark/>
          </w:tcPr>
          <w:p w14:paraId="6591C25D"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0" w:type="pct"/>
            <w:tcBorders>
              <w:top w:val="nil"/>
              <w:left w:val="nil"/>
              <w:bottom w:val="nil"/>
              <w:right w:val="nil"/>
            </w:tcBorders>
            <w:shd w:val="clear" w:color="000000" w:fill="FFFFFF"/>
            <w:noWrap/>
            <w:vAlign w:val="center"/>
            <w:hideMark/>
          </w:tcPr>
          <w:p w14:paraId="23DA486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08191A86"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133027DC"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1E399AB4" w14:textId="77777777" w:rsidR="00FE0DAD" w:rsidRPr="00FE0DAD" w:rsidRDefault="00FE0DAD" w:rsidP="00FE0DAD">
            <w:pPr>
              <w:spacing w:before="0" w:after="0" w:line="240" w:lineRule="auto"/>
              <w:ind w:left="170"/>
              <w:rPr>
                <w:rFonts w:ascii="Arial" w:hAnsi="Arial" w:cs="Arial"/>
                <w:i/>
                <w:iCs/>
                <w:sz w:val="16"/>
                <w:szCs w:val="16"/>
              </w:rPr>
            </w:pPr>
            <w:r w:rsidRPr="00FE0DAD">
              <w:rPr>
                <w:rFonts w:ascii="Arial" w:hAnsi="Arial" w:cs="Arial"/>
                <w:i/>
                <w:iCs/>
                <w:sz w:val="16"/>
                <w:szCs w:val="16"/>
              </w:rPr>
              <w:t>Receipts</w:t>
            </w:r>
          </w:p>
        </w:tc>
        <w:tc>
          <w:tcPr>
            <w:tcW w:w="534" w:type="pct"/>
            <w:tcBorders>
              <w:top w:val="nil"/>
              <w:left w:val="nil"/>
              <w:bottom w:val="nil"/>
              <w:right w:val="nil"/>
            </w:tcBorders>
            <w:shd w:val="clear" w:color="000000" w:fill="E6F2FF"/>
            <w:noWrap/>
            <w:vAlign w:val="center"/>
            <w:hideMark/>
          </w:tcPr>
          <w:p w14:paraId="22F0BBF1"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1,410</w:t>
            </w:r>
          </w:p>
        </w:tc>
        <w:tc>
          <w:tcPr>
            <w:tcW w:w="546" w:type="pct"/>
            <w:tcBorders>
              <w:top w:val="nil"/>
              <w:left w:val="nil"/>
              <w:bottom w:val="nil"/>
              <w:right w:val="nil"/>
            </w:tcBorders>
            <w:shd w:val="clear" w:color="000000" w:fill="FFFFFF"/>
            <w:noWrap/>
            <w:vAlign w:val="center"/>
            <w:hideMark/>
          </w:tcPr>
          <w:p w14:paraId="0866CA25"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2,458</w:t>
            </w:r>
          </w:p>
        </w:tc>
        <w:tc>
          <w:tcPr>
            <w:tcW w:w="484" w:type="pct"/>
            <w:tcBorders>
              <w:top w:val="nil"/>
              <w:left w:val="nil"/>
              <w:bottom w:val="nil"/>
              <w:right w:val="nil"/>
            </w:tcBorders>
            <w:shd w:val="clear" w:color="000000" w:fill="FFFFFF"/>
            <w:noWrap/>
            <w:vAlign w:val="center"/>
            <w:hideMark/>
          </w:tcPr>
          <w:p w14:paraId="6A65ACC1"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3,967</w:t>
            </w:r>
          </w:p>
        </w:tc>
        <w:tc>
          <w:tcPr>
            <w:tcW w:w="466" w:type="pct"/>
            <w:tcBorders>
              <w:top w:val="nil"/>
              <w:left w:val="nil"/>
              <w:bottom w:val="nil"/>
              <w:right w:val="nil"/>
            </w:tcBorders>
            <w:shd w:val="clear" w:color="000000" w:fill="FFFFFF"/>
            <w:noWrap/>
            <w:vAlign w:val="center"/>
            <w:hideMark/>
          </w:tcPr>
          <w:p w14:paraId="59A1549C"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5,253</w:t>
            </w:r>
          </w:p>
        </w:tc>
        <w:tc>
          <w:tcPr>
            <w:tcW w:w="50" w:type="pct"/>
            <w:tcBorders>
              <w:top w:val="nil"/>
              <w:left w:val="nil"/>
              <w:bottom w:val="nil"/>
              <w:right w:val="nil"/>
            </w:tcBorders>
            <w:shd w:val="clear" w:color="000000" w:fill="FFFFFF"/>
            <w:noWrap/>
            <w:vAlign w:val="center"/>
            <w:hideMark/>
          </w:tcPr>
          <w:p w14:paraId="1D37BF1D"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75" w:type="pct"/>
            <w:tcBorders>
              <w:top w:val="nil"/>
              <w:left w:val="nil"/>
              <w:bottom w:val="nil"/>
              <w:right w:val="nil"/>
            </w:tcBorders>
            <w:shd w:val="clear" w:color="000000" w:fill="FFFFFF"/>
            <w:noWrap/>
            <w:vAlign w:val="center"/>
            <w:hideMark/>
          </w:tcPr>
          <w:p w14:paraId="7EAB7839"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13,088</w:t>
            </w:r>
          </w:p>
        </w:tc>
      </w:tr>
      <w:tr w:rsidR="00FE0DAD" w:rsidRPr="00FE0DAD" w14:paraId="106A13E9"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3975CDDB" w14:textId="77777777" w:rsidR="00FE0DAD" w:rsidRPr="00FE0DAD" w:rsidRDefault="00FE0DAD" w:rsidP="00FE0DAD">
            <w:pPr>
              <w:spacing w:before="0" w:after="0" w:line="240" w:lineRule="auto"/>
              <w:ind w:left="170"/>
              <w:rPr>
                <w:rFonts w:ascii="Arial" w:hAnsi="Arial" w:cs="Arial"/>
                <w:i/>
                <w:iCs/>
                <w:sz w:val="16"/>
                <w:szCs w:val="16"/>
              </w:rPr>
            </w:pPr>
            <w:r w:rsidRPr="00FE0DAD">
              <w:rPr>
                <w:rFonts w:ascii="Arial" w:hAnsi="Arial" w:cs="Arial"/>
                <w:i/>
                <w:iCs/>
                <w:sz w:val="16"/>
                <w:szCs w:val="16"/>
              </w:rPr>
              <w:t>Payments</w:t>
            </w:r>
          </w:p>
        </w:tc>
        <w:tc>
          <w:tcPr>
            <w:tcW w:w="534" w:type="pct"/>
            <w:tcBorders>
              <w:top w:val="nil"/>
              <w:left w:val="nil"/>
              <w:bottom w:val="nil"/>
              <w:right w:val="nil"/>
            </w:tcBorders>
            <w:shd w:val="clear" w:color="000000" w:fill="E6F2FF"/>
            <w:noWrap/>
            <w:vAlign w:val="center"/>
            <w:hideMark/>
          </w:tcPr>
          <w:p w14:paraId="77672777"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2,506</w:t>
            </w:r>
          </w:p>
        </w:tc>
        <w:tc>
          <w:tcPr>
            <w:tcW w:w="546" w:type="pct"/>
            <w:tcBorders>
              <w:top w:val="nil"/>
              <w:left w:val="nil"/>
              <w:bottom w:val="nil"/>
              <w:right w:val="nil"/>
            </w:tcBorders>
            <w:shd w:val="clear" w:color="000000" w:fill="FFFFFF"/>
            <w:noWrap/>
            <w:vAlign w:val="center"/>
            <w:hideMark/>
          </w:tcPr>
          <w:p w14:paraId="4B62096C"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1,711</w:t>
            </w:r>
          </w:p>
        </w:tc>
        <w:tc>
          <w:tcPr>
            <w:tcW w:w="484" w:type="pct"/>
            <w:tcBorders>
              <w:top w:val="nil"/>
              <w:left w:val="nil"/>
              <w:bottom w:val="single" w:sz="4" w:space="0" w:color="auto"/>
              <w:right w:val="nil"/>
            </w:tcBorders>
            <w:shd w:val="clear" w:color="000000" w:fill="FFFFFF"/>
            <w:noWrap/>
            <w:vAlign w:val="center"/>
            <w:hideMark/>
          </w:tcPr>
          <w:p w14:paraId="0B10648E"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5,980</w:t>
            </w:r>
          </w:p>
        </w:tc>
        <w:tc>
          <w:tcPr>
            <w:tcW w:w="466" w:type="pct"/>
            <w:tcBorders>
              <w:top w:val="nil"/>
              <w:left w:val="nil"/>
              <w:bottom w:val="single" w:sz="4" w:space="0" w:color="auto"/>
              <w:right w:val="nil"/>
            </w:tcBorders>
            <w:shd w:val="clear" w:color="000000" w:fill="FFFFFF"/>
            <w:noWrap/>
            <w:vAlign w:val="center"/>
            <w:hideMark/>
          </w:tcPr>
          <w:p w14:paraId="0EEE59C8"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12,673</w:t>
            </w:r>
          </w:p>
        </w:tc>
        <w:tc>
          <w:tcPr>
            <w:tcW w:w="50" w:type="pct"/>
            <w:tcBorders>
              <w:top w:val="nil"/>
              <w:left w:val="nil"/>
              <w:bottom w:val="nil"/>
              <w:right w:val="nil"/>
            </w:tcBorders>
            <w:shd w:val="clear" w:color="000000" w:fill="FFFFFF"/>
            <w:noWrap/>
            <w:vAlign w:val="center"/>
            <w:hideMark/>
          </w:tcPr>
          <w:p w14:paraId="68F6F7FD"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75" w:type="pct"/>
            <w:tcBorders>
              <w:top w:val="nil"/>
              <w:left w:val="nil"/>
              <w:bottom w:val="nil"/>
              <w:right w:val="nil"/>
            </w:tcBorders>
            <w:shd w:val="clear" w:color="000000" w:fill="FFFFFF"/>
            <w:noWrap/>
            <w:vAlign w:val="center"/>
            <w:hideMark/>
          </w:tcPr>
          <w:p w14:paraId="659496CD"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22,870</w:t>
            </w:r>
          </w:p>
        </w:tc>
      </w:tr>
      <w:tr w:rsidR="00FE0DAD" w:rsidRPr="00FE0DAD" w14:paraId="2BC07CE8"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508A9887"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Total policy decisions impact on</w:t>
            </w:r>
          </w:p>
        </w:tc>
        <w:tc>
          <w:tcPr>
            <w:tcW w:w="534" w:type="pct"/>
            <w:tcBorders>
              <w:top w:val="single" w:sz="4" w:space="0" w:color="auto"/>
              <w:left w:val="nil"/>
              <w:bottom w:val="nil"/>
              <w:right w:val="nil"/>
            </w:tcBorders>
            <w:shd w:val="clear" w:color="000000" w:fill="E6F2FF"/>
            <w:noWrap/>
            <w:vAlign w:val="center"/>
            <w:hideMark/>
          </w:tcPr>
          <w:p w14:paraId="700A4670"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46" w:type="pct"/>
            <w:tcBorders>
              <w:top w:val="single" w:sz="4" w:space="0" w:color="auto"/>
              <w:left w:val="nil"/>
              <w:bottom w:val="nil"/>
              <w:right w:val="nil"/>
            </w:tcBorders>
            <w:shd w:val="clear" w:color="000000" w:fill="FFFFFF"/>
            <w:noWrap/>
            <w:vAlign w:val="center"/>
            <w:hideMark/>
          </w:tcPr>
          <w:p w14:paraId="553D16E5"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484" w:type="pct"/>
            <w:tcBorders>
              <w:top w:val="nil"/>
              <w:left w:val="nil"/>
              <w:bottom w:val="nil"/>
              <w:right w:val="nil"/>
            </w:tcBorders>
            <w:shd w:val="clear" w:color="000000" w:fill="FFFFFF"/>
            <w:noWrap/>
            <w:vAlign w:val="center"/>
            <w:hideMark/>
          </w:tcPr>
          <w:p w14:paraId="23A431B9"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466" w:type="pct"/>
            <w:tcBorders>
              <w:top w:val="nil"/>
              <w:left w:val="nil"/>
              <w:bottom w:val="nil"/>
              <w:right w:val="nil"/>
            </w:tcBorders>
            <w:shd w:val="clear" w:color="000000" w:fill="FFFFFF"/>
            <w:noWrap/>
            <w:vAlign w:val="center"/>
            <w:hideMark/>
          </w:tcPr>
          <w:p w14:paraId="6D145A93"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0" w:type="pct"/>
            <w:tcBorders>
              <w:top w:val="nil"/>
              <w:left w:val="nil"/>
              <w:bottom w:val="nil"/>
              <w:right w:val="nil"/>
            </w:tcBorders>
            <w:shd w:val="clear" w:color="000000" w:fill="FFFFFF"/>
            <w:noWrap/>
            <w:vAlign w:val="center"/>
            <w:hideMark/>
          </w:tcPr>
          <w:p w14:paraId="40E3A779"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75" w:type="pct"/>
            <w:tcBorders>
              <w:top w:val="single" w:sz="4" w:space="0" w:color="auto"/>
              <w:left w:val="nil"/>
              <w:bottom w:val="nil"/>
              <w:right w:val="nil"/>
            </w:tcBorders>
            <w:shd w:val="clear" w:color="000000" w:fill="FFFFFF"/>
            <w:noWrap/>
            <w:vAlign w:val="center"/>
            <w:hideMark/>
          </w:tcPr>
          <w:p w14:paraId="789CA059"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r>
      <w:tr w:rsidR="00FE0DAD" w:rsidRPr="00FE0DAD" w14:paraId="2E1663A7"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12848C74" w14:textId="77777777" w:rsidR="00FE0DAD" w:rsidRPr="00FE0DAD" w:rsidRDefault="00FE0DAD" w:rsidP="00FE0DAD">
            <w:pPr>
              <w:spacing w:before="0" w:after="0" w:line="240" w:lineRule="auto"/>
              <w:ind w:left="170"/>
              <w:rPr>
                <w:rFonts w:ascii="Arial" w:hAnsi="Arial" w:cs="Arial"/>
                <w:sz w:val="16"/>
                <w:szCs w:val="16"/>
              </w:rPr>
            </w:pPr>
            <w:r w:rsidRPr="00FE0DAD">
              <w:rPr>
                <w:rFonts w:ascii="Arial" w:hAnsi="Arial" w:cs="Arial"/>
                <w:sz w:val="16"/>
                <w:szCs w:val="16"/>
              </w:rPr>
              <w:t>underlying cash balance</w:t>
            </w:r>
          </w:p>
        </w:tc>
        <w:tc>
          <w:tcPr>
            <w:tcW w:w="534" w:type="pct"/>
            <w:tcBorders>
              <w:top w:val="nil"/>
              <w:left w:val="nil"/>
              <w:bottom w:val="single" w:sz="4" w:space="0" w:color="000000"/>
              <w:right w:val="nil"/>
            </w:tcBorders>
            <w:shd w:val="clear" w:color="000000" w:fill="E6F2FF"/>
            <w:vAlign w:val="center"/>
            <w:hideMark/>
          </w:tcPr>
          <w:p w14:paraId="020CEC27"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-1,096</w:t>
            </w:r>
          </w:p>
        </w:tc>
        <w:tc>
          <w:tcPr>
            <w:tcW w:w="546" w:type="pct"/>
            <w:tcBorders>
              <w:top w:val="nil"/>
              <w:left w:val="nil"/>
              <w:bottom w:val="single" w:sz="4" w:space="0" w:color="000000"/>
              <w:right w:val="nil"/>
            </w:tcBorders>
            <w:shd w:val="clear" w:color="000000" w:fill="FFFFFF"/>
            <w:vAlign w:val="center"/>
            <w:hideMark/>
          </w:tcPr>
          <w:p w14:paraId="44CC3583"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747</w:t>
            </w:r>
          </w:p>
        </w:tc>
        <w:tc>
          <w:tcPr>
            <w:tcW w:w="484" w:type="pct"/>
            <w:tcBorders>
              <w:top w:val="nil"/>
              <w:left w:val="nil"/>
              <w:bottom w:val="single" w:sz="4" w:space="0" w:color="000000"/>
              <w:right w:val="nil"/>
            </w:tcBorders>
            <w:shd w:val="clear" w:color="000000" w:fill="FFFFFF"/>
            <w:vAlign w:val="center"/>
            <w:hideMark/>
          </w:tcPr>
          <w:p w14:paraId="692DB5E9"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-2,014</w:t>
            </w:r>
          </w:p>
        </w:tc>
        <w:tc>
          <w:tcPr>
            <w:tcW w:w="466" w:type="pct"/>
            <w:tcBorders>
              <w:top w:val="nil"/>
              <w:left w:val="nil"/>
              <w:bottom w:val="single" w:sz="4" w:space="0" w:color="000000"/>
              <w:right w:val="nil"/>
            </w:tcBorders>
            <w:shd w:val="clear" w:color="000000" w:fill="FFFFFF"/>
            <w:vAlign w:val="center"/>
            <w:hideMark/>
          </w:tcPr>
          <w:p w14:paraId="19A89BE4"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-7,420</w:t>
            </w:r>
          </w:p>
        </w:tc>
        <w:tc>
          <w:tcPr>
            <w:tcW w:w="50" w:type="pct"/>
            <w:tcBorders>
              <w:top w:val="nil"/>
              <w:left w:val="nil"/>
              <w:bottom w:val="nil"/>
              <w:right w:val="nil"/>
            </w:tcBorders>
            <w:shd w:val="clear" w:color="000000" w:fill="FFFFFF"/>
            <w:vAlign w:val="center"/>
            <w:hideMark/>
          </w:tcPr>
          <w:p w14:paraId="7471310C"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575" w:type="pct"/>
            <w:tcBorders>
              <w:top w:val="nil"/>
              <w:left w:val="nil"/>
              <w:bottom w:val="single" w:sz="4" w:space="0" w:color="000000"/>
              <w:right w:val="nil"/>
            </w:tcBorders>
            <w:shd w:val="clear" w:color="000000" w:fill="FFFFFF"/>
            <w:vAlign w:val="center"/>
            <w:hideMark/>
          </w:tcPr>
          <w:p w14:paraId="3573948B"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-9,782</w:t>
            </w:r>
          </w:p>
        </w:tc>
      </w:tr>
      <w:tr w:rsidR="00FE0DAD" w:rsidRPr="00FE0DAD" w14:paraId="5D674C22" w14:textId="77777777" w:rsidTr="00FE0DAD">
        <w:trPr>
          <w:divId w:val="1091581966"/>
          <w:trHeight w:hRule="exact" w:val="60"/>
        </w:trPr>
        <w:tc>
          <w:tcPr>
            <w:tcW w:w="2346" w:type="pct"/>
            <w:tcBorders>
              <w:top w:val="nil"/>
              <w:left w:val="nil"/>
              <w:bottom w:val="nil"/>
              <w:right w:val="nil"/>
            </w:tcBorders>
            <w:shd w:val="clear" w:color="000000" w:fill="FFFFFF"/>
            <w:noWrap/>
            <w:vAlign w:val="center"/>
            <w:hideMark/>
          </w:tcPr>
          <w:p w14:paraId="2BF9B843" w14:textId="77777777" w:rsidR="00FE0DAD" w:rsidRPr="00FE0DAD" w:rsidRDefault="00FE0DAD" w:rsidP="00FE0DAD">
            <w:pPr>
              <w:spacing w:before="0" w:after="0" w:line="240" w:lineRule="auto"/>
              <w:ind w:left="170"/>
              <w:rPr>
                <w:rFonts w:ascii="Arial" w:hAnsi="Arial" w:cs="Arial"/>
                <w:i/>
                <w:iCs/>
                <w:sz w:val="16"/>
                <w:szCs w:val="16"/>
              </w:rPr>
            </w:pPr>
            <w:r w:rsidRPr="00FE0DAD">
              <w:rPr>
                <w:rFonts w:ascii="Arial" w:hAnsi="Arial" w:cs="Arial"/>
                <w:i/>
                <w:iCs/>
                <w:sz w:val="16"/>
                <w:szCs w:val="16"/>
              </w:rPr>
              <w:t> </w:t>
            </w:r>
          </w:p>
        </w:tc>
        <w:tc>
          <w:tcPr>
            <w:tcW w:w="534" w:type="pct"/>
            <w:tcBorders>
              <w:top w:val="nil"/>
              <w:left w:val="nil"/>
              <w:bottom w:val="nil"/>
              <w:right w:val="nil"/>
            </w:tcBorders>
            <w:shd w:val="clear" w:color="000000" w:fill="E6F2FF"/>
            <w:noWrap/>
            <w:vAlign w:val="center"/>
            <w:hideMark/>
          </w:tcPr>
          <w:p w14:paraId="261EBDD4"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04653F8B"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484" w:type="pct"/>
            <w:tcBorders>
              <w:top w:val="nil"/>
              <w:left w:val="nil"/>
              <w:bottom w:val="nil"/>
              <w:right w:val="nil"/>
            </w:tcBorders>
            <w:shd w:val="clear" w:color="000000" w:fill="FFFFFF"/>
            <w:noWrap/>
            <w:vAlign w:val="center"/>
            <w:hideMark/>
          </w:tcPr>
          <w:p w14:paraId="3B435C96"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466" w:type="pct"/>
            <w:tcBorders>
              <w:top w:val="nil"/>
              <w:left w:val="nil"/>
              <w:bottom w:val="nil"/>
              <w:right w:val="nil"/>
            </w:tcBorders>
            <w:shd w:val="clear" w:color="000000" w:fill="FFFFFF"/>
            <w:noWrap/>
            <w:vAlign w:val="center"/>
            <w:hideMark/>
          </w:tcPr>
          <w:p w14:paraId="2243BCF6"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0" w:type="pct"/>
            <w:tcBorders>
              <w:top w:val="nil"/>
              <w:left w:val="nil"/>
              <w:bottom w:val="nil"/>
              <w:right w:val="nil"/>
            </w:tcBorders>
            <w:shd w:val="clear" w:color="000000" w:fill="FFFFFF"/>
            <w:noWrap/>
            <w:vAlign w:val="center"/>
            <w:hideMark/>
          </w:tcPr>
          <w:p w14:paraId="1BB4F45F"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75" w:type="pct"/>
            <w:tcBorders>
              <w:top w:val="nil"/>
              <w:left w:val="nil"/>
              <w:bottom w:val="nil"/>
              <w:right w:val="nil"/>
            </w:tcBorders>
            <w:shd w:val="clear" w:color="000000" w:fill="FFFFFF"/>
            <w:noWrap/>
            <w:vAlign w:val="center"/>
            <w:hideMark/>
          </w:tcPr>
          <w:p w14:paraId="080FB389"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04AE135D" w14:textId="77777777" w:rsidTr="00FE0DAD">
        <w:trPr>
          <w:divId w:val="1091581966"/>
          <w:trHeight w:hRule="exact" w:val="225"/>
        </w:trPr>
        <w:tc>
          <w:tcPr>
            <w:tcW w:w="2346" w:type="pct"/>
            <w:tcBorders>
              <w:top w:val="nil"/>
              <w:left w:val="nil"/>
              <w:bottom w:val="nil"/>
              <w:right w:val="nil"/>
            </w:tcBorders>
            <w:shd w:val="clear" w:color="000000" w:fill="FFFFFF"/>
            <w:noWrap/>
            <w:vAlign w:val="bottom"/>
            <w:hideMark/>
          </w:tcPr>
          <w:p w14:paraId="5EE0AB7C"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Effect of parameter and other variations(b)</w:t>
            </w:r>
          </w:p>
        </w:tc>
        <w:tc>
          <w:tcPr>
            <w:tcW w:w="534" w:type="pct"/>
            <w:tcBorders>
              <w:top w:val="nil"/>
              <w:left w:val="nil"/>
              <w:bottom w:val="nil"/>
              <w:right w:val="nil"/>
            </w:tcBorders>
            <w:shd w:val="clear" w:color="000000" w:fill="E6F2FF"/>
            <w:noWrap/>
            <w:vAlign w:val="center"/>
            <w:hideMark/>
          </w:tcPr>
          <w:p w14:paraId="6C1FACE7"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16391999"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84" w:type="pct"/>
            <w:tcBorders>
              <w:top w:val="nil"/>
              <w:left w:val="nil"/>
              <w:bottom w:val="nil"/>
              <w:right w:val="nil"/>
            </w:tcBorders>
            <w:shd w:val="clear" w:color="000000" w:fill="FFFFFF"/>
            <w:noWrap/>
            <w:vAlign w:val="center"/>
            <w:hideMark/>
          </w:tcPr>
          <w:p w14:paraId="2797C9D7"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66" w:type="pct"/>
            <w:tcBorders>
              <w:top w:val="nil"/>
              <w:left w:val="nil"/>
              <w:bottom w:val="nil"/>
              <w:right w:val="nil"/>
            </w:tcBorders>
            <w:shd w:val="clear" w:color="000000" w:fill="FFFFFF"/>
            <w:noWrap/>
            <w:vAlign w:val="center"/>
            <w:hideMark/>
          </w:tcPr>
          <w:p w14:paraId="05270CF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0" w:type="pct"/>
            <w:tcBorders>
              <w:top w:val="nil"/>
              <w:left w:val="nil"/>
              <w:bottom w:val="nil"/>
              <w:right w:val="nil"/>
            </w:tcBorders>
            <w:shd w:val="clear" w:color="000000" w:fill="FFFFFF"/>
            <w:noWrap/>
            <w:vAlign w:val="center"/>
            <w:hideMark/>
          </w:tcPr>
          <w:p w14:paraId="4629C4C9"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4B6F376C"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r>
      <w:tr w:rsidR="00FE0DAD" w:rsidRPr="00FE0DAD" w14:paraId="548D7B21"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25298432" w14:textId="77777777" w:rsidR="00FE0DAD" w:rsidRPr="00FE0DAD" w:rsidRDefault="00FE0DAD" w:rsidP="00FE0DAD">
            <w:pPr>
              <w:spacing w:before="0" w:after="0" w:line="240" w:lineRule="auto"/>
              <w:ind w:left="170"/>
              <w:rPr>
                <w:rFonts w:ascii="Arial" w:hAnsi="Arial" w:cs="Arial"/>
                <w:i/>
                <w:iCs/>
                <w:sz w:val="16"/>
                <w:szCs w:val="16"/>
              </w:rPr>
            </w:pPr>
            <w:r w:rsidRPr="00FE0DAD">
              <w:rPr>
                <w:rFonts w:ascii="Arial" w:hAnsi="Arial" w:cs="Arial"/>
                <w:i/>
                <w:iCs/>
                <w:sz w:val="16"/>
                <w:szCs w:val="16"/>
              </w:rPr>
              <w:t>Receipts</w:t>
            </w:r>
          </w:p>
        </w:tc>
        <w:tc>
          <w:tcPr>
            <w:tcW w:w="534" w:type="pct"/>
            <w:tcBorders>
              <w:top w:val="nil"/>
              <w:left w:val="nil"/>
              <w:bottom w:val="nil"/>
              <w:right w:val="nil"/>
            </w:tcBorders>
            <w:shd w:val="clear" w:color="000000" w:fill="E6F2FF"/>
            <w:noWrap/>
            <w:vAlign w:val="center"/>
            <w:hideMark/>
          </w:tcPr>
          <w:p w14:paraId="44C1287D"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57,286</w:t>
            </w:r>
          </w:p>
        </w:tc>
        <w:tc>
          <w:tcPr>
            <w:tcW w:w="546" w:type="pct"/>
            <w:tcBorders>
              <w:top w:val="nil"/>
              <w:left w:val="nil"/>
              <w:bottom w:val="nil"/>
              <w:right w:val="nil"/>
            </w:tcBorders>
            <w:shd w:val="clear" w:color="000000" w:fill="FFFFFF"/>
            <w:noWrap/>
            <w:vAlign w:val="center"/>
            <w:hideMark/>
          </w:tcPr>
          <w:p w14:paraId="413B1156"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33,793</w:t>
            </w:r>
          </w:p>
        </w:tc>
        <w:tc>
          <w:tcPr>
            <w:tcW w:w="484" w:type="pct"/>
            <w:tcBorders>
              <w:top w:val="nil"/>
              <w:left w:val="nil"/>
              <w:bottom w:val="nil"/>
              <w:right w:val="nil"/>
            </w:tcBorders>
            <w:shd w:val="clear" w:color="000000" w:fill="FFFFFF"/>
            <w:noWrap/>
            <w:vAlign w:val="center"/>
            <w:hideMark/>
          </w:tcPr>
          <w:p w14:paraId="1214E67D"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23,689</w:t>
            </w:r>
          </w:p>
        </w:tc>
        <w:tc>
          <w:tcPr>
            <w:tcW w:w="466" w:type="pct"/>
            <w:tcBorders>
              <w:top w:val="nil"/>
              <w:left w:val="nil"/>
              <w:bottom w:val="nil"/>
              <w:right w:val="nil"/>
            </w:tcBorders>
            <w:shd w:val="clear" w:color="000000" w:fill="FFFFFF"/>
            <w:noWrap/>
            <w:vAlign w:val="center"/>
            <w:hideMark/>
          </w:tcPr>
          <w:p w14:paraId="46DAFF82"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29,870</w:t>
            </w:r>
          </w:p>
        </w:tc>
        <w:tc>
          <w:tcPr>
            <w:tcW w:w="50" w:type="pct"/>
            <w:tcBorders>
              <w:top w:val="nil"/>
              <w:left w:val="nil"/>
              <w:bottom w:val="nil"/>
              <w:right w:val="nil"/>
            </w:tcBorders>
            <w:shd w:val="clear" w:color="000000" w:fill="FFFFFF"/>
            <w:noWrap/>
            <w:vAlign w:val="center"/>
            <w:hideMark/>
          </w:tcPr>
          <w:p w14:paraId="5A88FD9C"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75" w:type="pct"/>
            <w:tcBorders>
              <w:top w:val="nil"/>
              <w:left w:val="nil"/>
              <w:bottom w:val="nil"/>
              <w:right w:val="nil"/>
            </w:tcBorders>
            <w:shd w:val="clear" w:color="000000" w:fill="FFFFFF"/>
            <w:noWrap/>
            <w:vAlign w:val="center"/>
            <w:hideMark/>
          </w:tcPr>
          <w:p w14:paraId="54762C47"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144,638</w:t>
            </w:r>
          </w:p>
        </w:tc>
      </w:tr>
      <w:tr w:rsidR="00FE0DAD" w:rsidRPr="00FE0DAD" w14:paraId="483BC722"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52B98AF0" w14:textId="77777777" w:rsidR="00FE0DAD" w:rsidRPr="00FE0DAD" w:rsidRDefault="00FE0DAD" w:rsidP="00FE0DAD">
            <w:pPr>
              <w:spacing w:before="0" w:after="0" w:line="240" w:lineRule="auto"/>
              <w:ind w:left="170"/>
              <w:rPr>
                <w:rFonts w:ascii="Arial" w:hAnsi="Arial" w:cs="Arial"/>
                <w:i/>
                <w:iCs/>
                <w:sz w:val="16"/>
                <w:szCs w:val="16"/>
              </w:rPr>
            </w:pPr>
            <w:r w:rsidRPr="00FE0DAD">
              <w:rPr>
                <w:rFonts w:ascii="Arial" w:hAnsi="Arial" w:cs="Arial"/>
                <w:i/>
                <w:iCs/>
                <w:sz w:val="16"/>
                <w:szCs w:val="16"/>
              </w:rPr>
              <w:t>Payments</w:t>
            </w:r>
          </w:p>
        </w:tc>
        <w:tc>
          <w:tcPr>
            <w:tcW w:w="534" w:type="pct"/>
            <w:tcBorders>
              <w:top w:val="nil"/>
              <w:left w:val="nil"/>
              <w:bottom w:val="nil"/>
              <w:right w:val="nil"/>
            </w:tcBorders>
            <w:shd w:val="clear" w:color="000000" w:fill="E6F2FF"/>
            <w:noWrap/>
            <w:vAlign w:val="center"/>
            <w:hideMark/>
          </w:tcPr>
          <w:p w14:paraId="3313ECE2"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15,105</w:t>
            </w:r>
          </w:p>
        </w:tc>
        <w:tc>
          <w:tcPr>
            <w:tcW w:w="546" w:type="pct"/>
            <w:tcBorders>
              <w:top w:val="nil"/>
              <w:left w:val="nil"/>
              <w:bottom w:val="nil"/>
              <w:right w:val="nil"/>
            </w:tcBorders>
            <w:shd w:val="clear" w:color="000000" w:fill="FFFFFF"/>
            <w:noWrap/>
            <w:vAlign w:val="center"/>
            <w:hideMark/>
          </w:tcPr>
          <w:p w14:paraId="1E736FD2"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22,064</w:t>
            </w:r>
          </w:p>
        </w:tc>
        <w:tc>
          <w:tcPr>
            <w:tcW w:w="484" w:type="pct"/>
            <w:tcBorders>
              <w:top w:val="nil"/>
              <w:left w:val="nil"/>
              <w:bottom w:val="nil"/>
              <w:right w:val="nil"/>
            </w:tcBorders>
            <w:shd w:val="clear" w:color="000000" w:fill="FFFFFF"/>
            <w:noWrap/>
            <w:vAlign w:val="center"/>
            <w:hideMark/>
          </w:tcPr>
          <w:p w14:paraId="4D959D56"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25,929</w:t>
            </w:r>
          </w:p>
        </w:tc>
        <w:tc>
          <w:tcPr>
            <w:tcW w:w="466" w:type="pct"/>
            <w:tcBorders>
              <w:top w:val="nil"/>
              <w:left w:val="nil"/>
              <w:bottom w:val="single" w:sz="4" w:space="0" w:color="auto"/>
              <w:right w:val="nil"/>
            </w:tcBorders>
            <w:shd w:val="clear" w:color="000000" w:fill="FFFFFF"/>
            <w:noWrap/>
            <w:vAlign w:val="center"/>
            <w:hideMark/>
          </w:tcPr>
          <w:p w14:paraId="7FC1C21B"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29,075</w:t>
            </w:r>
          </w:p>
        </w:tc>
        <w:tc>
          <w:tcPr>
            <w:tcW w:w="50" w:type="pct"/>
            <w:tcBorders>
              <w:top w:val="nil"/>
              <w:left w:val="nil"/>
              <w:bottom w:val="nil"/>
              <w:right w:val="nil"/>
            </w:tcBorders>
            <w:shd w:val="clear" w:color="000000" w:fill="FFFFFF"/>
            <w:noWrap/>
            <w:vAlign w:val="center"/>
            <w:hideMark/>
          </w:tcPr>
          <w:p w14:paraId="47408C28"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75" w:type="pct"/>
            <w:tcBorders>
              <w:top w:val="nil"/>
              <w:left w:val="nil"/>
              <w:bottom w:val="nil"/>
              <w:right w:val="nil"/>
            </w:tcBorders>
            <w:shd w:val="clear" w:color="000000" w:fill="FFFFFF"/>
            <w:noWrap/>
            <w:vAlign w:val="center"/>
            <w:hideMark/>
          </w:tcPr>
          <w:p w14:paraId="124DA83C"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92,173</w:t>
            </w:r>
          </w:p>
        </w:tc>
      </w:tr>
      <w:tr w:rsidR="00FE0DAD" w:rsidRPr="00FE0DAD" w14:paraId="4506416A"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38534C2D"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Total parameter and other variations</w:t>
            </w:r>
          </w:p>
        </w:tc>
        <w:tc>
          <w:tcPr>
            <w:tcW w:w="534" w:type="pct"/>
            <w:tcBorders>
              <w:top w:val="single" w:sz="4" w:space="0" w:color="auto"/>
              <w:left w:val="nil"/>
              <w:bottom w:val="nil"/>
              <w:right w:val="nil"/>
            </w:tcBorders>
            <w:shd w:val="clear" w:color="000000" w:fill="E6F2FF"/>
            <w:noWrap/>
            <w:vAlign w:val="center"/>
            <w:hideMark/>
          </w:tcPr>
          <w:p w14:paraId="6E9E389B"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46" w:type="pct"/>
            <w:tcBorders>
              <w:top w:val="single" w:sz="4" w:space="0" w:color="auto"/>
              <w:left w:val="nil"/>
              <w:bottom w:val="nil"/>
              <w:right w:val="nil"/>
            </w:tcBorders>
            <w:shd w:val="clear" w:color="000000" w:fill="FFFFFF"/>
            <w:noWrap/>
            <w:vAlign w:val="center"/>
            <w:hideMark/>
          </w:tcPr>
          <w:p w14:paraId="46EE7F7B"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484" w:type="pct"/>
            <w:tcBorders>
              <w:top w:val="single" w:sz="4" w:space="0" w:color="auto"/>
              <w:left w:val="nil"/>
              <w:bottom w:val="nil"/>
              <w:right w:val="nil"/>
            </w:tcBorders>
            <w:shd w:val="clear" w:color="000000" w:fill="FFFFFF"/>
            <w:noWrap/>
            <w:vAlign w:val="center"/>
            <w:hideMark/>
          </w:tcPr>
          <w:p w14:paraId="469D5E2F"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466" w:type="pct"/>
            <w:tcBorders>
              <w:top w:val="nil"/>
              <w:left w:val="nil"/>
              <w:bottom w:val="nil"/>
              <w:right w:val="nil"/>
            </w:tcBorders>
            <w:shd w:val="clear" w:color="000000" w:fill="FFFFFF"/>
            <w:noWrap/>
            <w:vAlign w:val="center"/>
            <w:hideMark/>
          </w:tcPr>
          <w:p w14:paraId="1E331C60"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c>
          <w:tcPr>
            <w:tcW w:w="50" w:type="pct"/>
            <w:tcBorders>
              <w:top w:val="nil"/>
              <w:left w:val="nil"/>
              <w:bottom w:val="nil"/>
              <w:right w:val="nil"/>
            </w:tcBorders>
            <w:shd w:val="clear" w:color="000000" w:fill="FFFFFF"/>
            <w:noWrap/>
            <w:vAlign w:val="center"/>
            <w:hideMark/>
          </w:tcPr>
          <w:p w14:paraId="29D4468C"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single" w:sz="4" w:space="0" w:color="auto"/>
              <w:left w:val="nil"/>
              <w:bottom w:val="nil"/>
              <w:right w:val="nil"/>
            </w:tcBorders>
            <w:shd w:val="clear" w:color="000000" w:fill="FFFFFF"/>
            <w:noWrap/>
            <w:vAlign w:val="center"/>
            <w:hideMark/>
          </w:tcPr>
          <w:p w14:paraId="4FA34120" w14:textId="77777777" w:rsidR="00FE0DAD" w:rsidRPr="00FE0DAD" w:rsidRDefault="00FE0DAD" w:rsidP="00FE0DAD">
            <w:pPr>
              <w:spacing w:before="0" w:after="0" w:line="240" w:lineRule="auto"/>
              <w:jc w:val="right"/>
              <w:rPr>
                <w:rFonts w:ascii="Arial" w:hAnsi="Arial" w:cs="Arial"/>
                <w:i/>
                <w:iCs/>
                <w:sz w:val="16"/>
                <w:szCs w:val="16"/>
              </w:rPr>
            </w:pPr>
            <w:r w:rsidRPr="00FE0DAD">
              <w:rPr>
                <w:rFonts w:ascii="Arial" w:hAnsi="Arial" w:cs="Arial"/>
                <w:i/>
                <w:iCs/>
                <w:sz w:val="16"/>
                <w:szCs w:val="16"/>
              </w:rPr>
              <w:t> </w:t>
            </w:r>
          </w:p>
        </w:tc>
      </w:tr>
      <w:tr w:rsidR="00FE0DAD" w:rsidRPr="00FE0DAD" w14:paraId="4E596818"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1C0862B7" w14:textId="77777777" w:rsidR="00FE0DAD" w:rsidRPr="00FE0DAD" w:rsidRDefault="00FE0DAD" w:rsidP="00FE0DAD">
            <w:pPr>
              <w:spacing w:before="0" w:after="0" w:line="240" w:lineRule="auto"/>
              <w:ind w:left="170"/>
              <w:rPr>
                <w:rFonts w:ascii="Arial" w:hAnsi="Arial" w:cs="Arial"/>
                <w:sz w:val="16"/>
                <w:szCs w:val="16"/>
              </w:rPr>
            </w:pPr>
            <w:r w:rsidRPr="00FE0DAD">
              <w:rPr>
                <w:rFonts w:ascii="Arial" w:hAnsi="Arial" w:cs="Arial"/>
                <w:sz w:val="16"/>
                <w:szCs w:val="16"/>
              </w:rPr>
              <w:t>impact on underlying cash balance</w:t>
            </w:r>
          </w:p>
        </w:tc>
        <w:tc>
          <w:tcPr>
            <w:tcW w:w="534" w:type="pct"/>
            <w:tcBorders>
              <w:top w:val="nil"/>
              <w:left w:val="nil"/>
              <w:bottom w:val="nil"/>
              <w:right w:val="nil"/>
            </w:tcBorders>
            <w:shd w:val="clear" w:color="000000" w:fill="E6F2FF"/>
            <w:noWrap/>
            <w:vAlign w:val="center"/>
            <w:hideMark/>
          </w:tcPr>
          <w:p w14:paraId="08BFCCD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42,181</w:t>
            </w:r>
          </w:p>
        </w:tc>
        <w:tc>
          <w:tcPr>
            <w:tcW w:w="546" w:type="pct"/>
            <w:tcBorders>
              <w:top w:val="nil"/>
              <w:left w:val="nil"/>
              <w:bottom w:val="nil"/>
              <w:right w:val="nil"/>
            </w:tcBorders>
            <w:shd w:val="clear" w:color="000000" w:fill="FFFFFF"/>
            <w:noWrap/>
            <w:vAlign w:val="center"/>
            <w:hideMark/>
          </w:tcPr>
          <w:p w14:paraId="41221D16"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11,729</w:t>
            </w:r>
          </w:p>
        </w:tc>
        <w:tc>
          <w:tcPr>
            <w:tcW w:w="484" w:type="pct"/>
            <w:tcBorders>
              <w:top w:val="nil"/>
              <w:left w:val="nil"/>
              <w:bottom w:val="nil"/>
              <w:right w:val="nil"/>
            </w:tcBorders>
            <w:shd w:val="clear" w:color="000000" w:fill="FFFFFF"/>
            <w:noWrap/>
            <w:vAlign w:val="center"/>
            <w:hideMark/>
          </w:tcPr>
          <w:p w14:paraId="54C2ABAF"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-2,240</w:t>
            </w:r>
          </w:p>
        </w:tc>
        <w:tc>
          <w:tcPr>
            <w:tcW w:w="466" w:type="pct"/>
            <w:tcBorders>
              <w:top w:val="nil"/>
              <w:left w:val="nil"/>
              <w:bottom w:val="nil"/>
              <w:right w:val="nil"/>
            </w:tcBorders>
            <w:shd w:val="clear" w:color="000000" w:fill="FFFFFF"/>
            <w:noWrap/>
            <w:vAlign w:val="center"/>
            <w:hideMark/>
          </w:tcPr>
          <w:p w14:paraId="4B41387B"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795</w:t>
            </w:r>
          </w:p>
        </w:tc>
        <w:tc>
          <w:tcPr>
            <w:tcW w:w="50" w:type="pct"/>
            <w:tcBorders>
              <w:top w:val="nil"/>
              <w:left w:val="nil"/>
              <w:bottom w:val="nil"/>
              <w:right w:val="nil"/>
            </w:tcBorders>
            <w:shd w:val="clear" w:color="000000" w:fill="FFFFFF"/>
            <w:noWrap/>
            <w:vAlign w:val="center"/>
            <w:hideMark/>
          </w:tcPr>
          <w:p w14:paraId="2020B3B5"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nil"/>
              <w:right w:val="nil"/>
            </w:tcBorders>
            <w:shd w:val="clear" w:color="000000" w:fill="FFFFFF"/>
            <w:noWrap/>
            <w:vAlign w:val="center"/>
            <w:hideMark/>
          </w:tcPr>
          <w:p w14:paraId="219AE53F"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52,465</w:t>
            </w:r>
          </w:p>
        </w:tc>
      </w:tr>
      <w:tr w:rsidR="00FE0DAD" w:rsidRPr="00FE0DAD" w14:paraId="27B72038" w14:textId="77777777" w:rsidTr="00FE0DAD">
        <w:trPr>
          <w:divId w:val="1091581966"/>
          <w:trHeight w:hRule="exact" w:val="60"/>
        </w:trPr>
        <w:tc>
          <w:tcPr>
            <w:tcW w:w="2346" w:type="pct"/>
            <w:tcBorders>
              <w:top w:val="nil"/>
              <w:left w:val="nil"/>
              <w:bottom w:val="nil"/>
              <w:right w:val="nil"/>
            </w:tcBorders>
            <w:shd w:val="clear" w:color="000000" w:fill="FFFFFF"/>
            <w:noWrap/>
            <w:vAlign w:val="center"/>
            <w:hideMark/>
          </w:tcPr>
          <w:p w14:paraId="56FB4220"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 </w:t>
            </w:r>
          </w:p>
        </w:tc>
        <w:tc>
          <w:tcPr>
            <w:tcW w:w="534" w:type="pct"/>
            <w:tcBorders>
              <w:top w:val="nil"/>
              <w:left w:val="nil"/>
              <w:bottom w:val="single" w:sz="4" w:space="0" w:color="auto"/>
              <w:right w:val="nil"/>
            </w:tcBorders>
            <w:shd w:val="clear" w:color="000000" w:fill="E6F2FF"/>
            <w:noWrap/>
            <w:vAlign w:val="center"/>
            <w:hideMark/>
          </w:tcPr>
          <w:p w14:paraId="0024A490"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46" w:type="pct"/>
            <w:tcBorders>
              <w:top w:val="nil"/>
              <w:left w:val="nil"/>
              <w:bottom w:val="single" w:sz="4" w:space="0" w:color="auto"/>
              <w:right w:val="nil"/>
            </w:tcBorders>
            <w:shd w:val="clear" w:color="000000" w:fill="FFFFFF"/>
            <w:noWrap/>
            <w:vAlign w:val="center"/>
            <w:hideMark/>
          </w:tcPr>
          <w:p w14:paraId="18C9E11C"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84" w:type="pct"/>
            <w:tcBorders>
              <w:top w:val="nil"/>
              <w:left w:val="nil"/>
              <w:bottom w:val="single" w:sz="4" w:space="0" w:color="auto"/>
              <w:right w:val="nil"/>
            </w:tcBorders>
            <w:shd w:val="clear" w:color="000000" w:fill="FFFFFF"/>
            <w:noWrap/>
            <w:vAlign w:val="center"/>
            <w:hideMark/>
          </w:tcPr>
          <w:p w14:paraId="13CDBCE1"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466" w:type="pct"/>
            <w:tcBorders>
              <w:top w:val="nil"/>
              <w:left w:val="nil"/>
              <w:bottom w:val="single" w:sz="4" w:space="0" w:color="auto"/>
              <w:right w:val="nil"/>
            </w:tcBorders>
            <w:shd w:val="clear" w:color="000000" w:fill="FFFFFF"/>
            <w:noWrap/>
            <w:vAlign w:val="center"/>
            <w:hideMark/>
          </w:tcPr>
          <w:p w14:paraId="56D3AD14"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0" w:type="pct"/>
            <w:tcBorders>
              <w:top w:val="nil"/>
              <w:left w:val="nil"/>
              <w:bottom w:val="nil"/>
              <w:right w:val="nil"/>
            </w:tcBorders>
            <w:shd w:val="clear" w:color="000000" w:fill="FFFFFF"/>
            <w:noWrap/>
            <w:vAlign w:val="center"/>
            <w:hideMark/>
          </w:tcPr>
          <w:p w14:paraId="11A3C426"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c>
          <w:tcPr>
            <w:tcW w:w="575" w:type="pct"/>
            <w:tcBorders>
              <w:top w:val="nil"/>
              <w:left w:val="nil"/>
              <w:bottom w:val="single" w:sz="4" w:space="0" w:color="auto"/>
              <w:right w:val="nil"/>
            </w:tcBorders>
            <w:shd w:val="clear" w:color="000000" w:fill="FFFFFF"/>
            <w:noWrap/>
            <w:vAlign w:val="center"/>
            <w:hideMark/>
          </w:tcPr>
          <w:p w14:paraId="52A8905D" w14:textId="77777777" w:rsidR="00FE0DAD" w:rsidRPr="00FE0DAD" w:rsidRDefault="00FE0DAD" w:rsidP="00FE0DAD">
            <w:pPr>
              <w:spacing w:before="0" w:after="0" w:line="240" w:lineRule="auto"/>
              <w:jc w:val="right"/>
              <w:rPr>
                <w:rFonts w:ascii="Arial" w:hAnsi="Arial" w:cs="Arial"/>
                <w:color w:val="0066CC"/>
                <w:sz w:val="16"/>
                <w:szCs w:val="16"/>
              </w:rPr>
            </w:pPr>
            <w:r w:rsidRPr="00FE0DAD">
              <w:rPr>
                <w:rFonts w:ascii="Arial" w:hAnsi="Arial" w:cs="Arial"/>
                <w:color w:val="0066CC"/>
                <w:sz w:val="16"/>
                <w:szCs w:val="16"/>
              </w:rPr>
              <w:t> </w:t>
            </w:r>
          </w:p>
        </w:tc>
      </w:tr>
      <w:tr w:rsidR="00FE0DAD" w:rsidRPr="00FE0DAD" w14:paraId="0E5FE043"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375BD56B" w14:textId="77777777" w:rsidR="00FE0DAD" w:rsidRPr="00FE0DAD" w:rsidRDefault="00FE0DAD" w:rsidP="00FE0DAD">
            <w:pPr>
              <w:spacing w:before="0" w:after="0" w:line="240" w:lineRule="auto"/>
              <w:rPr>
                <w:rFonts w:ascii="Arial" w:hAnsi="Arial" w:cs="Arial"/>
                <w:b/>
                <w:bCs/>
                <w:sz w:val="16"/>
                <w:szCs w:val="16"/>
              </w:rPr>
            </w:pPr>
            <w:r w:rsidRPr="00FE0DAD">
              <w:rPr>
                <w:rFonts w:ascii="Arial" w:hAnsi="Arial" w:cs="Arial"/>
                <w:b/>
                <w:bCs/>
                <w:sz w:val="16"/>
                <w:szCs w:val="16"/>
              </w:rPr>
              <w:t>2022-23 October Budget underlying cash</w:t>
            </w:r>
          </w:p>
        </w:tc>
        <w:tc>
          <w:tcPr>
            <w:tcW w:w="534" w:type="pct"/>
            <w:tcBorders>
              <w:top w:val="nil"/>
              <w:left w:val="nil"/>
              <w:bottom w:val="nil"/>
              <w:right w:val="nil"/>
            </w:tcBorders>
            <w:shd w:val="clear" w:color="000000" w:fill="E6F2FF"/>
            <w:noWrap/>
            <w:vAlign w:val="center"/>
            <w:hideMark/>
          </w:tcPr>
          <w:p w14:paraId="591731E0"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546" w:type="pct"/>
            <w:tcBorders>
              <w:top w:val="nil"/>
              <w:left w:val="nil"/>
              <w:bottom w:val="nil"/>
              <w:right w:val="nil"/>
            </w:tcBorders>
            <w:shd w:val="clear" w:color="000000" w:fill="FFFFFF"/>
            <w:noWrap/>
            <w:vAlign w:val="center"/>
            <w:hideMark/>
          </w:tcPr>
          <w:p w14:paraId="69E14D91"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484" w:type="pct"/>
            <w:tcBorders>
              <w:top w:val="nil"/>
              <w:left w:val="nil"/>
              <w:bottom w:val="nil"/>
              <w:right w:val="nil"/>
            </w:tcBorders>
            <w:shd w:val="clear" w:color="000000" w:fill="FFFFFF"/>
            <w:noWrap/>
            <w:vAlign w:val="center"/>
            <w:hideMark/>
          </w:tcPr>
          <w:p w14:paraId="0369A2CC"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466" w:type="pct"/>
            <w:tcBorders>
              <w:top w:val="nil"/>
              <w:left w:val="nil"/>
              <w:bottom w:val="nil"/>
              <w:right w:val="nil"/>
            </w:tcBorders>
            <w:shd w:val="clear" w:color="000000" w:fill="FFFFFF"/>
            <w:noWrap/>
            <w:vAlign w:val="center"/>
            <w:hideMark/>
          </w:tcPr>
          <w:p w14:paraId="06972DE6"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50" w:type="pct"/>
            <w:tcBorders>
              <w:top w:val="nil"/>
              <w:left w:val="nil"/>
              <w:bottom w:val="nil"/>
              <w:right w:val="nil"/>
            </w:tcBorders>
            <w:shd w:val="clear" w:color="000000" w:fill="FFFFFF"/>
            <w:noWrap/>
            <w:vAlign w:val="center"/>
            <w:hideMark/>
          </w:tcPr>
          <w:p w14:paraId="70C89676"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5A4118C3"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r>
      <w:tr w:rsidR="00FE0DAD" w:rsidRPr="00FE0DAD" w14:paraId="3C4C91A1" w14:textId="77777777" w:rsidTr="00FE0DAD">
        <w:trPr>
          <w:divId w:val="1091581966"/>
          <w:trHeight w:hRule="exact" w:val="225"/>
        </w:trPr>
        <w:tc>
          <w:tcPr>
            <w:tcW w:w="2346" w:type="pct"/>
            <w:tcBorders>
              <w:top w:val="nil"/>
              <w:left w:val="nil"/>
              <w:bottom w:val="nil"/>
              <w:right w:val="nil"/>
            </w:tcBorders>
            <w:shd w:val="clear" w:color="000000" w:fill="FFFFFF"/>
            <w:noWrap/>
            <w:vAlign w:val="center"/>
            <w:hideMark/>
          </w:tcPr>
          <w:p w14:paraId="0F2B21A4" w14:textId="77777777" w:rsidR="00FE0DAD" w:rsidRPr="00FE0DAD" w:rsidRDefault="00FE0DAD" w:rsidP="00FE0DAD">
            <w:pPr>
              <w:spacing w:before="0" w:after="0" w:line="240" w:lineRule="auto"/>
              <w:ind w:left="170"/>
              <w:rPr>
                <w:rFonts w:ascii="Arial" w:hAnsi="Arial" w:cs="Arial"/>
                <w:b/>
                <w:bCs/>
                <w:sz w:val="16"/>
                <w:szCs w:val="16"/>
              </w:rPr>
            </w:pPr>
            <w:r w:rsidRPr="00FE0DAD">
              <w:rPr>
                <w:rFonts w:ascii="Arial" w:hAnsi="Arial" w:cs="Arial"/>
                <w:b/>
                <w:bCs/>
                <w:sz w:val="16"/>
                <w:szCs w:val="16"/>
              </w:rPr>
              <w:t>balance</w:t>
            </w:r>
          </w:p>
        </w:tc>
        <w:tc>
          <w:tcPr>
            <w:tcW w:w="534" w:type="pct"/>
            <w:tcBorders>
              <w:top w:val="nil"/>
              <w:left w:val="nil"/>
              <w:bottom w:val="nil"/>
              <w:right w:val="nil"/>
            </w:tcBorders>
            <w:shd w:val="clear" w:color="000000" w:fill="E6F2FF"/>
            <w:noWrap/>
            <w:vAlign w:val="center"/>
            <w:hideMark/>
          </w:tcPr>
          <w:p w14:paraId="04B64602"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-36,851</w:t>
            </w:r>
          </w:p>
        </w:tc>
        <w:tc>
          <w:tcPr>
            <w:tcW w:w="546" w:type="pct"/>
            <w:tcBorders>
              <w:top w:val="nil"/>
              <w:left w:val="nil"/>
              <w:bottom w:val="nil"/>
              <w:right w:val="nil"/>
            </w:tcBorders>
            <w:shd w:val="clear" w:color="000000" w:fill="FFFFFF"/>
            <w:noWrap/>
            <w:vAlign w:val="center"/>
            <w:hideMark/>
          </w:tcPr>
          <w:p w14:paraId="5FA85B65"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-44,048</w:t>
            </w:r>
          </w:p>
        </w:tc>
        <w:tc>
          <w:tcPr>
            <w:tcW w:w="484" w:type="pct"/>
            <w:tcBorders>
              <w:top w:val="nil"/>
              <w:left w:val="nil"/>
              <w:bottom w:val="nil"/>
              <w:right w:val="nil"/>
            </w:tcBorders>
            <w:shd w:val="clear" w:color="000000" w:fill="FFFFFF"/>
            <w:noWrap/>
            <w:vAlign w:val="center"/>
            <w:hideMark/>
          </w:tcPr>
          <w:p w14:paraId="58C71306"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-51,347</w:t>
            </w:r>
          </w:p>
        </w:tc>
        <w:tc>
          <w:tcPr>
            <w:tcW w:w="466" w:type="pct"/>
            <w:tcBorders>
              <w:top w:val="nil"/>
              <w:left w:val="nil"/>
              <w:bottom w:val="nil"/>
              <w:right w:val="nil"/>
            </w:tcBorders>
            <w:shd w:val="clear" w:color="000000" w:fill="FFFFFF"/>
            <w:noWrap/>
            <w:vAlign w:val="center"/>
            <w:hideMark/>
          </w:tcPr>
          <w:p w14:paraId="6831A525"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-49,561</w:t>
            </w:r>
          </w:p>
        </w:tc>
        <w:tc>
          <w:tcPr>
            <w:tcW w:w="50" w:type="pct"/>
            <w:tcBorders>
              <w:top w:val="nil"/>
              <w:left w:val="nil"/>
              <w:bottom w:val="nil"/>
              <w:right w:val="nil"/>
            </w:tcBorders>
            <w:shd w:val="clear" w:color="000000" w:fill="FFFFFF"/>
            <w:noWrap/>
            <w:vAlign w:val="center"/>
            <w:hideMark/>
          </w:tcPr>
          <w:p w14:paraId="53995FB8"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 </w:t>
            </w:r>
          </w:p>
        </w:tc>
        <w:tc>
          <w:tcPr>
            <w:tcW w:w="575" w:type="pct"/>
            <w:tcBorders>
              <w:top w:val="nil"/>
              <w:left w:val="nil"/>
              <w:bottom w:val="nil"/>
              <w:right w:val="nil"/>
            </w:tcBorders>
            <w:shd w:val="clear" w:color="000000" w:fill="FFFFFF"/>
            <w:noWrap/>
            <w:vAlign w:val="center"/>
            <w:hideMark/>
          </w:tcPr>
          <w:p w14:paraId="3DFA0989" w14:textId="77777777" w:rsidR="00FE0DAD" w:rsidRPr="00FE0DAD" w:rsidRDefault="00FE0DAD" w:rsidP="00FE0DAD">
            <w:pPr>
              <w:spacing w:before="0" w:after="0" w:line="240" w:lineRule="auto"/>
              <w:jc w:val="right"/>
              <w:rPr>
                <w:rFonts w:ascii="Arial" w:hAnsi="Arial" w:cs="Arial"/>
                <w:b/>
                <w:bCs/>
                <w:sz w:val="16"/>
                <w:szCs w:val="16"/>
              </w:rPr>
            </w:pPr>
            <w:r w:rsidRPr="00FE0DAD">
              <w:rPr>
                <w:rFonts w:ascii="Arial" w:hAnsi="Arial" w:cs="Arial"/>
                <w:b/>
                <w:bCs/>
                <w:sz w:val="16"/>
                <w:szCs w:val="16"/>
              </w:rPr>
              <w:t>-181,807</w:t>
            </w:r>
          </w:p>
        </w:tc>
      </w:tr>
      <w:tr w:rsidR="00FE0DAD" w:rsidRPr="00FE0DAD" w14:paraId="25F80365" w14:textId="77777777" w:rsidTr="00FE0DAD">
        <w:trPr>
          <w:divId w:val="1091581966"/>
          <w:trHeight w:hRule="exact" w:val="225"/>
        </w:trPr>
        <w:tc>
          <w:tcPr>
            <w:tcW w:w="2346" w:type="pct"/>
            <w:tcBorders>
              <w:top w:val="nil"/>
              <w:left w:val="nil"/>
              <w:bottom w:val="single" w:sz="4" w:space="0" w:color="293F5B"/>
              <w:right w:val="nil"/>
            </w:tcBorders>
            <w:shd w:val="clear" w:color="000000" w:fill="FFFFFF"/>
            <w:noWrap/>
            <w:vAlign w:val="center"/>
            <w:hideMark/>
          </w:tcPr>
          <w:p w14:paraId="607BA48E" w14:textId="77777777" w:rsidR="00FE0DAD" w:rsidRPr="00FE0DAD" w:rsidRDefault="00FE0DAD" w:rsidP="00FE0DAD">
            <w:pPr>
              <w:spacing w:before="0" w:after="0" w:line="240" w:lineRule="auto"/>
              <w:rPr>
                <w:rFonts w:ascii="Arial" w:hAnsi="Arial" w:cs="Arial"/>
                <w:sz w:val="16"/>
                <w:szCs w:val="16"/>
              </w:rPr>
            </w:pPr>
            <w:r w:rsidRPr="00FE0DAD">
              <w:rPr>
                <w:rFonts w:ascii="Arial" w:hAnsi="Arial" w:cs="Arial"/>
                <w:sz w:val="16"/>
                <w:szCs w:val="16"/>
              </w:rPr>
              <w:t>Per cent of GDP</w:t>
            </w:r>
          </w:p>
        </w:tc>
        <w:tc>
          <w:tcPr>
            <w:tcW w:w="534" w:type="pct"/>
            <w:tcBorders>
              <w:top w:val="nil"/>
              <w:left w:val="nil"/>
              <w:bottom w:val="single" w:sz="4" w:space="0" w:color="293F5B"/>
              <w:right w:val="nil"/>
            </w:tcBorders>
            <w:shd w:val="clear" w:color="000000" w:fill="E6F2FF"/>
            <w:noWrap/>
            <w:vAlign w:val="center"/>
            <w:hideMark/>
          </w:tcPr>
          <w:p w14:paraId="0264B7F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-1.5</w:t>
            </w:r>
          </w:p>
        </w:tc>
        <w:tc>
          <w:tcPr>
            <w:tcW w:w="546" w:type="pct"/>
            <w:tcBorders>
              <w:top w:val="nil"/>
              <w:left w:val="nil"/>
              <w:bottom w:val="single" w:sz="4" w:space="0" w:color="293F5B"/>
              <w:right w:val="nil"/>
            </w:tcBorders>
            <w:shd w:val="clear" w:color="000000" w:fill="FFFFFF"/>
            <w:noWrap/>
            <w:vAlign w:val="center"/>
            <w:hideMark/>
          </w:tcPr>
          <w:p w14:paraId="6CF2A3DF"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-1.8</w:t>
            </w:r>
          </w:p>
        </w:tc>
        <w:tc>
          <w:tcPr>
            <w:tcW w:w="484" w:type="pct"/>
            <w:tcBorders>
              <w:top w:val="nil"/>
              <w:left w:val="nil"/>
              <w:bottom w:val="single" w:sz="4" w:space="0" w:color="293F5B"/>
              <w:right w:val="nil"/>
            </w:tcBorders>
            <w:shd w:val="clear" w:color="000000" w:fill="FFFFFF"/>
            <w:noWrap/>
            <w:vAlign w:val="center"/>
            <w:hideMark/>
          </w:tcPr>
          <w:p w14:paraId="338588BE"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-2.0</w:t>
            </w:r>
          </w:p>
        </w:tc>
        <w:tc>
          <w:tcPr>
            <w:tcW w:w="466" w:type="pct"/>
            <w:tcBorders>
              <w:top w:val="nil"/>
              <w:left w:val="nil"/>
              <w:bottom w:val="single" w:sz="4" w:space="0" w:color="293F5B"/>
              <w:right w:val="nil"/>
            </w:tcBorders>
            <w:shd w:val="clear" w:color="000000" w:fill="FFFFFF"/>
            <w:noWrap/>
            <w:vAlign w:val="center"/>
            <w:hideMark/>
          </w:tcPr>
          <w:p w14:paraId="24DBACA1"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-1.8</w:t>
            </w:r>
          </w:p>
        </w:tc>
        <w:tc>
          <w:tcPr>
            <w:tcW w:w="50" w:type="pct"/>
            <w:tcBorders>
              <w:top w:val="nil"/>
              <w:left w:val="nil"/>
              <w:bottom w:val="single" w:sz="4" w:space="0" w:color="293F5B"/>
              <w:right w:val="nil"/>
            </w:tcBorders>
            <w:shd w:val="clear" w:color="000000" w:fill="FFFFFF"/>
            <w:noWrap/>
            <w:vAlign w:val="center"/>
            <w:hideMark/>
          </w:tcPr>
          <w:p w14:paraId="1A7A5A88"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c>
          <w:tcPr>
            <w:tcW w:w="575" w:type="pct"/>
            <w:tcBorders>
              <w:top w:val="nil"/>
              <w:left w:val="nil"/>
              <w:bottom w:val="single" w:sz="4" w:space="0" w:color="293F5B"/>
              <w:right w:val="nil"/>
            </w:tcBorders>
            <w:shd w:val="clear" w:color="000000" w:fill="FFFFFF"/>
            <w:noWrap/>
            <w:vAlign w:val="center"/>
            <w:hideMark/>
          </w:tcPr>
          <w:p w14:paraId="62EFD62A" w14:textId="77777777" w:rsidR="00FE0DAD" w:rsidRPr="00FE0DAD" w:rsidRDefault="00FE0DAD" w:rsidP="00FE0DAD">
            <w:pPr>
              <w:spacing w:before="0" w:after="0" w:line="240" w:lineRule="auto"/>
              <w:jc w:val="right"/>
              <w:rPr>
                <w:rFonts w:ascii="Arial" w:hAnsi="Arial" w:cs="Arial"/>
                <w:sz w:val="16"/>
                <w:szCs w:val="16"/>
              </w:rPr>
            </w:pPr>
            <w:r w:rsidRPr="00FE0DAD">
              <w:rPr>
                <w:rFonts w:ascii="Arial" w:hAnsi="Arial" w:cs="Arial"/>
                <w:sz w:val="16"/>
                <w:szCs w:val="16"/>
              </w:rPr>
              <w:t> </w:t>
            </w:r>
          </w:p>
        </w:tc>
      </w:tr>
    </w:tbl>
    <w:p w14:paraId="55BAF9A5" w14:textId="089BD3D3" w:rsidR="008822A1" w:rsidRPr="0093683C" w:rsidRDefault="008822A1" w:rsidP="000D7551">
      <w:pPr>
        <w:pStyle w:val="ChartandTableFootnoteAlpha"/>
        <w:numPr>
          <w:ilvl w:val="0"/>
          <w:numId w:val="43"/>
        </w:numPr>
        <w:rPr>
          <w:color w:val="auto"/>
        </w:rPr>
      </w:pPr>
      <w:r w:rsidRPr="0093683C">
        <w:rPr>
          <w:color w:val="auto"/>
        </w:rPr>
        <w:t>Excludes secondary impacts on public debt interest of policy decisions and offsets from the Contingency Reserve for decisions taken.</w:t>
      </w:r>
    </w:p>
    <w:p w14:paraId="0108014B" w14:textId="77777777" w:rsidR="008822A1" w:rsidRPr="0093683C" w:rsidRDefault="008822A1" w:rsidP="00C51E4E">
      <w:pPr>
        <w:pStyle w:val="ChartandTableFootnoteAlpha"/>
        <w:rPr>
          <w:color w:val="auto"/>
        </w:rPr>
      </w:pPr>
      <w:r w:rsidRPr="0093683C">
        <w:rPr>
          <w:color w:val="auto"/>
        </w:rPr>
        <w:t xml:space="preserve">A positive number for receipts improves the underlying cash balance, while a positive number for payments worsens the underlying cash balance. </w:t>
      </w:r>
    </w:p>
    <w:p w14:paraId="2B263F43" w14:textId="2DFD2B9B" w:rsidR="0013243B" w:rsidRPr="00F36ADA" w:rsidRDefault="0013243B" w:rsidP="003C7625">
      <w:pPr>
        <w:pStyle w:val="TableLine"/>
      </w:pPr>
    </w:p>
    <w:p w14:paraId="7555BCD6" w14:textId="02EBE001" w:rsidR="008822A1" w:rsidRPr="0093683C" w:rsidRDefault="008822A1" w:rsidP="008822A1">
      <w:pPr>
        <w:pStyle w:val="Heading4"/>
      </w:pPr>
      <w:r w:rsidRPr="0093683C">
        <w:t>Unavoidable spending and resolving legacy issues</w:t>
      </w:r>
    </w:p>
    <w:p w14:paraId="753A5EBA" w14:textId="6274F385" w:rsidR="008822A1" w:rsidRPr="0093683C" w:rsidRDefault="002B7F9A" w:rsidP="008822A1">
      <w:r w:rsidRPr="0093683C">
        <w:t>Payments</w:t>
      </w:r>
      <w:r w:rsidR="00591E95" w:rsidRPr="0093683C">
        <w:t xml:space="preserve"> of</w:t>
      </w:r>
      <w:r w:rsidR="00907178" w:rsidRPr="0093683C">
        <w:t xml:space="preserve"> </w:t>
      </w:r>
      <w:r w:rsidR="008822A1" w:rsidRPr="0093683C">
        <w:t>$</w:t>
      </w:r>
      <w:r w:rsidR="002139EF" w:rsidRPr="0093683C">
        <w:t>24.4</w:t>
      </w:r>
      <w:r w:rsidR="008822A1" w:rsidRPr="0093683C">
        <w:t xml:space="preserve"> billion </w:t>
      </w:r>
      <w:r w:rsidR="00F5295B" w:rsidRPr="0093683C">
        <w:t xml:space="preserve">are </w:t>
      </w:r>
      <w:r w:rsidR="005C087C" w:rsidRPr="0093683C">
        <w:t>required</w:t>
      </w:r>
      <w:r w:rsidR="00F5295B" w:rsidRPr="0093683C">
        <w:t xml:space="preserve"> to</w:t>
      </w:r>
      <w:r w:rsidR="00577AE1" w:rsidRPr="0093683C">
        <w:t xml:space="preserve"> meet</w:t>
      </w:r>
      <w:r w:rsidR="00704681" w:rsidRPr="0093683C">
        <w:t xml:space="preserve"> the need for </w:t>
      </w:r>
      <w:r w:rsidR="008822A1" w:rsidRPr="0093683C">
        <w:t>unavoidable and essential assistance</w:t>
      </w:r>
      <w:r w:rsidR="00926F69" w:rsidRPr="0093683C">
        <w:t>,</w:t>
      </w:r>
      <w:r w:rsidR="004055EF">
        <w:t xml:space="preserve"> and</w:t>
      </w:r>
      <w:r w:rsidR="00926F69" w:rsidRPr="0093683C">
        <w:t xml:space="preserve"> </w:t>
      </w:r>
      <w:r w:rsidR="002E7D58" w:rsidRPr="0093683C">
        <w:t>resolve</w:t>
      </w:r>
      <w:r w:rsidR="008822A1" w:rsidRPr="0093683C">
        <w:t xml:space="preserve"> legacy </w:t>
      </w:r>
      <w:r w:rsidR="002E7D58" w:rsidRPr="0093683C">
        <w:t>issues</w:t>
      </w:r>
      <w:r w:rsidR="008822A1" w:rsidRPr="0093683C">
        <w:t xml:space="preserve"> </w:t>
      </w:r>
      <w:r w:rsidR="00F32E0F" w:rsidRPr="0093683C">
        <w:t xml:space="preserve">left behind by </w:t>
      </w:r>
      <w:r w:rsidR="008822A1" w:rsidRPr="0093683C">
        <w:t xml:space="preserve">the </w:t>
      </w:r>
      <w:r w:rsidR="00127588" w:rsidRPr="0093683C">
        <w:t>former</w:t>
      </w:r>
      <w:r w:rsidR="008822A1" w:rsidRPr="0093683C">
        <w:t xml:space="preserve"> </w:t>
      </w:r>
      <w:r w:rsidR="00DE0BE7" w:rsidRPr="0093683C">
        <w:t>G</w:t>
      </w:r>
      <w:r w:rsidR="008822A1" w:rsidRPr="0093683C">
        <w:t xml:space="preserve">overnment. </w:t>
      </w:r>
      <w:r w:rsidR="00B65F84" w:rsidRPr="0093683C">
        <w:t>Of this, $8.4</w:t>
      </w:r>
      <w:r w:rsidR="00431B5B">
        <w:t> </w:t>
      </w:r>
      <w:r w:rsidR="00B65F84" w:rsidRPr="0093683C">
        <w:t xml:space="preserve">billion relates to new policy decisions </w:t>
      </w:r>
      <w:r w:rsidR="004221D9" w:rsidRPr="0093683C">
        <w:t xml:space="preserve">and $16.1 billion </w:t>
      </w:r>
      <w:r w:rsidR="008822A1" w:rsidRPr="0093683C">
        <w:t xml:space="preserve">are parameter and other variations. </w:t>
      </w:r>
    </w:p>
    <w:p w14:paraId="5B510D44" w14:textId="77777777" w:rsidR="008822A1" w:rsidRPr="0093683C" w:rsidRDefault="008822A1" w:rsidP="008822A1">
      <w:pPr>
        <w:keepNext/>
      </w:pPr>
      <w:r w:rsidRPr="0093683C">
        <w:t>Over the 4 years to 2025</w:t>
      </w:r>
      <w:r w:rsidR="00B9531B" w:rsidRPr="0093683C">
        <w:t>–</w:t>
      </w:r>
      <w:r w:rsidRPr="0093683C">
        <w:t>26, this includes:</w:t>
      </w:r>
    </w:p>
    <w:p w14:paraId="4F76C1BE" w14:textId="39E94BE5" w:rsidR="000D7CD8" w:rsidRPr="0093683C" w:rsidRDefault="000D7CD8" w:rsidP="000D7CD8">
      <w:pPr>
        <w:pStyle w:val="Bullet"/>
      </w:pPr>
      <w:r w:rsidRPr="0093683C">
        <w:t>$</w:t>
      </w:r>
      <w:r w:rsidR="007461DE" w:rsidRPr="0093683C">
        <w:t>7.4</w:t>
      </w:r>
      <w:r w:rsidRPr="0093683C">
        <w:t xml:space="preserve"> billion in recovery funding</w:t>
      </w:r>
      <w:r w:rsidR="00104EB0" w:rsidRPr="0093683C">
        <w:t xml:space="preserve"> for disaster affected communities. This </w:t>
      </w:r>
      <w:r w:rsidRPr="0093683C">
        <w:t>includ</w:t>
      </w:r>
      <w:r w:rsidR="0086196F" w:rsidRPr="0093683C">
        <w:t>es</w:t>
      </w:r>
      <w:r w:rsidRPr="0093683C">
        <w:t xml:space="preserve"> $</w:t>
      </w:r>
      <w:r w:rsidR="00261E17" w:rsidRPr="0093683C">
        <w:t>86.3</w:t>
      </w:r>
      <w:r w:rsidR="003F5855" w:rsidRPr="0093683C">
        <w:t> </w:t>
      </w:r>
      <w:r w:rsidRPr="0093683C">
        <w:t>million in new policy decisions</w:t>
      </w:r>
      <w:r w:rsidR="006401B9" w:rsidRPr="0093683C">
        <w:t xml:space="preserve">, including </w:t>
      </w:r>
      <w:r w:rsidRPr="0093683C">
        <w:t>support for the 2019</w:t>
      </w:r>
      <w:r w:rsidR="00B9531B" w:rsidRPr="0093683C">
        <w:t>–</w:t>
      </w:r>
      <w:r w:rsidRPr="0093683C">
        <w:t>20 bushfire recovery and floods that occurred before the election</w:t>
      </w:r>
      <w:r w:rsidR="001C7493" w:rsidRPr="0093683C">
        <w:t>.</w:t>
      </w:r>
      <w:r w:rsidRPr="0093683C">
        <w:t xml:space="preserve"> </w:t>
      </w:r>
      <w:r w:rsidR="006401B9" w:rsidRPr="0093683C">
        <w:t>A further</w:t>
      </w:r>
      <w:r w:rsidRPr="0093683C">
        <w:t xml:space="preserve"> </w:t>
      </w:r>
      <w:r w:rsidR="008B195A" w:rsidRPr="0093683C">
        <w:t>$</w:t>
      </w:r>
      <w:r w:rsidR="00564F19" w:rsidRPr="0093683C">
        <w:t>7.3</w:t>
      </w:r>
      <w:r w:rsidR="005A2F4B" w:rsidRPr="0093683C">
        <w:t xml:space="preserve"> billion</w:t>
      </w:r>
      <w:r w:rsidRPr="0093683C">
        <w:t xml:space="preserve"> </w:t>
      </w:r>
      <w:r w:rsidR="005E38A1" w:rsidRPr="0093683C">
        <w:t xml:space="preserve">in estimates variations </w:t>
      </w:r>
      <w:r w:rsidR="000469FF" w:rsidRPr="0093683C">
        <w:t xml:space="preserve">relate to </w:t>
      </w:r>
      <w:r w:rsidR="006401B9" w:rsidRPr="0093683C">
        <w:t>provid</w:t>
      </w:r>
      <w:r w:rsidR="000469FF" w:rsidRPr="0093683C">
        <w:t>ing</w:t>
      </w:r>
      <w:r w:rsidR="00D769C4" w:rsidRPr="0093683C">
        <w:t xml:space="preserve"> </w:t>
      </w:r>
      <w:r w:rsidR="003761DB" w:rsidRPr="0093683C">
        <w:t>disaster recovery</w:t>
      </w:r>
      <w:r w:rsidR="00933F24" w:rsidRPr="0093683C">
        <w:t xml:space="preserve"> assist</w:t>
      </w:r>
      <w:r w:rsidR="00EF2612" w:rsidRPr="0093683C">
        <w:t>ance</w:t>
      </w:r>
      <w:r w:rsidR="00875F6F">
        <w:t>, including</w:t>
      </w:r>
      <w:r w:rsidR="00933F24" w:rsidRPr="0093683C">
        <w:t xml:space="preserve"> </w:t>
      </w:r>
      <w:r w:rsidR="005E38A1" w:rsidRPr="0093683C">
        <w:t xml:space="preserve">for </w:t>
      </w:r>
      <w:r w:rsidR="00933F24" w:rsidRPr="0093683C">
        <w:t xml:space="preserve">communities </w:t>
      </w:r>
      <w:r w:rsidR="00933F24" w:rsidRPr="0093683C">
        <w:lastRenderedPageBreak/>
        <w:t>affected by floods</w:t>
      </w:r>
      <w:r w:rsidR="00BC509F" w:rsidRPr="0093683C">
        <w:t xml:space="preserve">. This </w:t>
      </w:r>
      <w:r w:rsidR="00084A4A" w:rsidRPr="0093683C">
        <w:t>include</w:t>
      </w:r>
      <w:r w:rsidR="006401B9" w:rsidRPr="0093683C">
        <w:t>s</w:t>
      </w:r>
      <w:r w:rsidR="00084A4A" w:rsidRPr="0093683C">
        <w:t xml:space="preserve"> a provision in the conting</w:t>
      </w:r>
      <w:r w:rsidR="00944108" w:rsidRPr="0093683C">
        <w:t xml:space="preserve">ency reserve for costs associated with recent flood events. </w:t>
      </w:r>
    </w:p>
    <w:p w14:paraId="19F38046" w14:textId="70B87CF6" w:rsidR="00942233" w:rsidRPr="0093683C" w:rsidRDefault="00DE609D" w:rsidP="002223B8">
      <w:pPr>
        <w:pStyle w:val="Bullet"/>
        <w:numPr>
          <w:ilvl w:val="0"/>
          <w:numId w:val="5"/>
        </w:numPr>
      </w:pPr>
      <w:r w:rsidRPr="0093683C">
        <w:t>$</w:t>
      </w:r>
      <w:r w:rsidR="00A44E6A" w:rsidRPr="0093683C">
        <w:t>4.1</w:t>
      </w:r>
      <w:r w:rsidRPr="0093683C">
        <w:t xml:space="preserve"> billion in new policy decisions to resolve other legacy issues inherited from the former </w:t>
      </w:r>
      <w:r w:rsidR="00DE0BE7" w:rsidRPr="0093683C">
        <w:t>G</w:t>
      </w:r>
      <w:r w:rsidRPr="0093683C">
        <w:t>overnment</w:t>
      </w:r>
      <w:r w:rsidR="00F74393" w:rsidRPr="0093683C">
        <w:t xml:space="preserve">. This </w:t>
      </w:r>
      <w:r w:rsidRPr="0093683C">
        <w:t>includ</w:t>
      </w:r>
      <w:r w:rsidR="00F74393" w:rsidRPr="0093683C">
        <w:t>es</w:t>
      </w:r>
      <w:r w:rsidRPr="0093683C">
        <w:t xml:space="preserve"> </w:t>
      </w:r>
      <w:r w:rsidR="00176867" w:rsidRPr="0093683C">
        <w:t>providing certainty for</w:t>
      </w:r>
      <w:r w:rsidR="00900188" w:rsidRPr="0093683C">
        <w:t xml:space="preserve"> programs</w:t>
      </w:r>
      <w:r w:rsidR="00932580" w:rsidRPr="0093683C">
        <w:t xml:space="preserve"> </w:t>
      </w:r>
      <w:r w:rsidR="00841E0E" w:rsidRPr="0093683C">
        <w:t xml:space="preserve">that were underfunded or had </w:t>
      </w:r>
      <w:r w:rsidR="00932580" w:rsidRPr="0093683C">
        <w:t xml:space="preserve">expiring funding </w:t>
      </w:r>
      <w:r w:rsidR="00841E0E" w:rsidRPr="0093683C">
        <w:t xml:space="preserve">but </w:t>
      </w:r>
      <w:r w:rsidR="00932580" w:rsidRPr="0093683C">
        <w:t>were</w:t>
      </w:r>
      <w:r w:rsidRPr="0093683C">
        <w:t xml:space="preserve"> ongoing in nature</w:t>
      </w:r>
      <w:r w:rsidR="009B7DB4" w:rsidRPr="0093683C">
        <w:t xml:space="preserve">. </w:t>
      </w:r>
      <w:r w:rsidR="0085755C" w:rsidRPr="0093683C">
        <w:t>This includes</w:t>
      </w:r>
      <w:r w:rsidR="00942233" w:rsidRPr="0093683C">
        <w:t xml:space="preserve"> funding to continue the environmental approval process under the </w:t>
      </w:r>
      <w:r w:rsidR="00942233" w:rsidRPr="0093683C">
        <w:rPr>
          <w:i/>
        </w:rPr>
        <w:t>E</w:t>
      </w:r>
      <w:r w:rsidR="00A759F1" w:rsidRPr="0093683C">
        <w:rPr>
          <w:i/>
        </w:rPr>
        <w:t xml:space="preserve">nvironmental Protection and </w:t>
      </w:r>
      <w:r w:rsidR="00942233" w:rsidRPr="0093683C">
        <w:rPr>
          <w:i/>
        </w:rPr>
        <w:t>B</w:t>
      </w:r>
      <w:r w:rsidR="00A759F1" w:rsidRPr="0093683C">
        <w:rPr>
          <w:i/>
        </w:rPr>
        <w:t xml:space="preserve">iodiversity </w:t>
      </w:r>
      <w:r w:rsidR="00942233" w:rsidRPr="0093683C">
        <w:rPr>
          <w:i/>
        </w:rPr>
        <w:t>C</w:t>
      </w:r>
      <w:r w:rsidR="00A759F1" w:rsidRPr="0093683C">
        <w:rPr>
          <w:i/>
        </w:rPr>
        <w:t>onservation</w:t>
      </w:r>
      <w:r w:rsidR="00942233" w:rsidRPr="0093683C">
        <w:rPr>
          <w:i/>
        </w:rPr>
        <w:t xml:space="preserve"> Act</w:t>
      </w:r>
      <w:r w:rsidR="00A759F1" w:rsidRPr="0093683C">
        <w:rPr>
          <w:i/>
        </w:rPr>
        <w:t xml:space="preserve"> 1999</w:t>
      </w:r>
      <w:r w:rsidR="00942233" w:rsidRPr="0093683C">
        <w:t xml:space="preserve">, and to sustain critical information technology platforms such as Modernising of Business Registers and My Aged Care. </w:t>
      </w:r>
      <w:r w:rsidR="0085755C" w:rsidRPr="0093683C">
        <w:t>It</w:t>
      </w:r>
      <w:r w:rsidR="00EC5211">
        <w:t> </w:t>
      </w:r>
      <w:r w:rsidR="0085755C" w:rsidRPr="0093683C">
        <w:t>also includes not proceeding with a range of unlegislated measures</w:t>
      </w:r>
      <w:r w:rsidR="00EF25A1" w:rsidRPr="0093683C">
        <w:t>.</w:t>
      </w:r>
      <w:r w:rsidR="00942233" w:rsidRPr="0093683C">
        <w:t xml:space="preserve"> </w:t>
      </w:r>
    </w:p>
    <w:p w14:paraId="2D8CC6A3" w14:textId="2CDB4FBC" w:rsidR="008822A1" w:rsidRPr="0093683C" w:rsidRDefault="00B0214B" w:rsidP="008822A1">
      <w:pPr>
        <w:pStyle w:val="Bullet"/>
      </w:pPr>
      <w:r w:rsidRPr="0093683C">
        <w:t>$</w:t>
      </w:r>
      <w:r w:rsidR="00814080" w:rsidRPr="0093683C">
        <w:t>5.</w:t>
      </w:r>
      <w:r w:rsidR="004816C0" w:rsidRPr="0093683C">
        <w:t>5</w:t>
      </w:r>
      <w:r w:rsidRPr="0093683C">
        <w:t xml:space="preserve"> billion </w:t>
      </w:r>
      <w:r w:rsidR="008822A1" w:rsidRPr="0093683C">
        <w:t xml:space="preserve">to continue the pandemic response, including continuing the Pandemic Leave Disaster Payment, procuring </w:t>
      </w:r>
      <w:proofErr w:type="gramStart"/>
      <w:r w:rsidR="008822A1" w:rsidRPr="0093683C">
        <w:t>vaccines</w:t>
      </w:r>
      <w:proofErr w:type="gramEnd"/>
      <w:r w:rsidR="008822A1" w:rsidRPr="0093683C">
        <w:t xml:space="preserve"> and rebuilding our medical stockpiles</w:t>
      </w:r>
      <w:r w:rsidRPr="0093683C">
        <w:t xml:space="preserve">. This includes </w:t>
      </w:r>
      <w:r w:rsidR="008822A1" w:rsidRPr="0093683C">
        <w:t>$2.</w:t>
      </w:r>
      <w:r w:rsidR="00DD375C" w:rsidRPr="0093683C">
        <w:t>6</w:t>
      </w:r>
      <w:r w:rsidR="008822A1" w:rsidRPr="0093683C">
        <w:t xml:space="preserve"> billion in new policy decisions </w:t>
      </w:r>
      <w:r w:rsidR="00105BF1" w:rsidRPr="0093683C">
        <w:t>and</w:t>
      </w:r>
      <w:r w:rsidR="001C7493" w:rsidRPr="0093683C">
        <w:t xml:space="preserve"> $</w:t>
      </w:r>
      <w:r w:rsidR="00DC46A5" w:rsidRPr="0093683C">
        <w:t>2.9</w:t>
      </w:r>
      <w:r w:rsidR="001C7493" w:rsidRPr="0093683C">
        <w:t xml:space="preserve"> </w:t>
      </w:r>
      <w:r w:rsidR="00722862" w:rsidRPr="0093683C">
        <w:t>billion</w:t>
      </w:r>
      <w:r w:rsidR="001C7493" w:rsidRPr="0093683C">
        <w:t xml:space="preserve"> in delayed spending from 2021</w:t>
      </w:r>
      <w:r w:rsidR="005E3EBA">
        <w:t>–</w:t>
      </w:r>
      <w:r w:rsidR="001C7493" w:rsidRPr="0093683C">
        <w:t xml:space="preserve">22 required </w:t>
      </w:r>
      <w:r w:rsidR="007D6EFB" w:rsidRPr="0093683C">
        <w:t>for</w:t>
      </w:r>
      <w:r w:rsidR="001C7493" w:rsidRPr="0093683C">
        <w:t xml:space="preserve"> </w:t>
      </w:r>
      <w:r w:rsidR="00E20C23" w:rsidRPr="0093683C">
        <w:t xml:space="preserve">the </w:t>
      </w:r>
      <w:r w:rsidR="00A20752" w:rsidRPr="0093683C">
        <w:t>COVID-19</w:t>
      </w:r>
      <w:r w:rsidR="00E20C23" w:rsidRPr="0093683C">
        <w:t xml:space="preserve"> pandemic response</w:t>
      </w:r>
      <w:r w:rsidR="00A20752" w:rsidRPr="0093683C">
        <w:t>.</w:t>
      </w:r>
      <w:r w:rsidR="001C7493" w:rsidRPr="0093683C">
        <w:t xml:space="preserve"> </w:t>
      </w:r>
    </w:p>
    <w:p w14:paraId="0CAD2074" w14:textId="3E27C029" w:rsidR="001C7493" w:rsidRPr="0093683C" w:rsidRDefault="005875B6" w:rsidP="001C7493">
      <w:pPr>
        <w:pStyle w:val="Bullet"/>
      </w:pPr>
      <w:r w:rsidRPr="0093683C">
        <w:t>In addition to the above, a further</w:t>
      </w:r>
      <w:r w:rsidR="00DE609D" w:rsidRPr="0093683C">
        <w:t xml:space="preserve"> </w:t>
      </w:r>
      <w:r w:rsidR="001C7493" w:rsidRPr="0093683C">
        <w:t>$</w:t>
      </w:r>
      <w:r w:rsidR="00B8445D" w:rsidRPr="0093683C">
        <w:t>5.9</w:t>
      </w:r>
      <w:r w:rsidR="00BF3FB4" w:rsidRPr="0093683C">
        <w:t xml:space="preserve"> </w:t>
      </w:r>
      <w:r w:rsidR="001C7493" w:rsidRPr="0093683C">
        <w:t>billion in estimates variations for payments scheduled for 2021</w:t>
      </w:r>
      <w:r w:rsidR="00B9531B" w:rsidRPr="0093683C">
        <w:t>–</w:t>
      </w:r>
      <w:r w:rsidR="001C7493" w:rsidRPr="0093683C">
        <w:t xml:space="preserve">22 but now delayed, </w:t>
      </w:r>
      <w:r w:rsidR="002B664D" w:rsidRPr="0093683C">
        <w:t xml:space="preserve">largely </w:t>
      </w:r>
      <w:r w:rsidR="001C7493" w:rsidRPr="0093683C">
        <w:t>due to slower contract finalisation, supply chain disruptions and capacity constraints affecting</w:t>
      </w:r>
      <w:r w:rsidR="001C7493" w:rsidRPr="0093683C" w:rsidDel="00565D6F">
        <w:t xml:space="preserve"> </w:t>
      </w:r>
      <w:r w:rsidR="001C7493" w:rsidRPr="0093683C">
        <w:t>infrastructure project completion.</w:t>
      </w:r>
    </w:p>
    <w:p w14:paraId="68C2AF52" w14:textId="77777777" w:rsidR="009642A5" w:rsidRPr="0093683C" w:rsidRDefault="009642A5">
      <w:pPr>
        <w:spacing w:before="0" w:after="160" w:line="259" w:lineRule="auto"/>
      </w:pPr>
      <w:r w:rsidRPr="0093683C">
        <w:br w:type="page"/>
      </w:r>
    </w:p>
    <w:p w14:paraId="0FCCCAF0" w14:textId="05860EA1" w:rsidR="00760A52" w:rsidRPr="0093683C" w:rsidRDefault="00760A52" w:rsidP="00760A52">
      <w:pPr>
        <w:pStyle w:val="Heading3"/>
      </w:pPr>
      <w:bookmarkStart w:id="4" w:name="_Toc117356559"/>
      <w:r w:rsidRPr="0093683C">
        <w:lastRenderedPageBreak/>
        <w:t>Medium</w:t>
      </w:r>
      <w:r w:rsidR="008C6DA9" w:rsidRPr="0093683C">
        <w:noBreakHyphen/>
      </w:r>
      <w:r w:rsidRPr="0093683C">
        <w:t>term projections</w:t>
      </w:r>
      <w:bookmarkEnd w:id="4"/>
    </w:p>
    <w:p w14:paraId="3E920D1D" w14:textId="73C89CF0" w:rsidR="003F1BCB" w:rsidRPr="0093683C" w:rsidRDefault="007766E8" w:rsidP="00711BE0">
      <w:r w:rsidRPr="0093683C">
        <w:t xml:space="preserve">This Budget provides an updated assessment of the medium-term fiscal outlook and lays out the large structural deficits inherited by the Government. </w:t>
      </w:r>
    </w:p>
    <w:p w14:paraId="040DE6A8" w14:textId="7E1F1993" w:rsidR="00A56AB7" w:rsidRPr="0093683C" w:rsidRDefault="00A56AB7" w:rsidP="00711BE0">
      <w:r w:rsidRPr="0093683C">
        <w:t xml:space="preserve">Pre-election forecasts </w:t>
      </w:r>
      <w:r w:rsidR="009822E9" w:rsidRPr="0093683C">
        <w:t xml:space="preserve">showed persistent deficits, with </w:t>
      </w:r>
      <w:r w:rsidRPr="0093683C">
        <w:t>many payments growing faster than the economy. Large, fast</w:t>
      </w:r>
      <w:r w:rsidRPr="0093683C">
        <w:noBreakHyphen/>
        <w:t xml:space="preserve">growing payments include NDIS, hospitals, aged care, defence, </w:t>
      </w:r>
      <w:r w:rsidR="008047F8" w:rsidRPr="0093683C">
        <w:t>a</w:t>
      </w:r>
      <w:r w:rsidRPr="0093683C">
        <w:t xml:space="preserve">ge </w:t>
      </w:r>
      <w:r w:rsidR="008047F8" w:rsidRPr="0093683C">
        <w:t>p</w:t>
      </w:r>
      <w:r w:rsidRPr="0093683C">
        <w:t xml:space="preserve">ension, medical </w:t>
      </w:r>
      <w:proofErr w:type="gramStart"/>
      <w:r w:rsidRPr="0093683C">
        <w:t>benefits</w:t>
      </w:r>
      <w:proofErr w:type="gramEnd"/>
      <w:r w:rsidRPr="0093683C">
        <w:t xml:space="preserve"> and interest payments</w:t>
      </w:r>
      <w:r w:rsidR="009822E9" w:rsidRPr="0093683C">
        <w:t xml:space="preserve">. </w:t>
      </w:r>
    </w:p>
    <w:p w14:paraId="24567BB2" w14:textId="03CFA398" w:rsidR="00711BE0" w:rsidRPr="0093683C" w:rsidRDefault="005F45B9" w:rsidP="00711BE0">
      <w:r w:rsidRPr="0093683C">
        <w:t>Since PEFO, these challenges have grown</w:t>
      </w:r>
      <w:r w:rsidR="00063E57" w:rsidRPr="0093683C">
        <w:t xml:space="preserve"> (Box 3.</w:t>
      </w:r>
      <w:r w:rsidR="009D6C6D" w:rsidRPr="0093683C">
        <w:t>2</w:t>
      </w:r>
      <w:r w:rsidR="00063E57" w:rsidRPr="0093683C">
        <w:t>)</w:t>
      </w:r>
      <w:r w:rsidRPr="0093683C">
        <w:t xml:space="preserve">. </w:t>
      </w:r>
      <w:r w:rsidR="00925CAB" w:rsidRPr="0093683C">
        <w:t xml:space="preserve">The adoption of a </w:t>
      </w:r>
      <w:r w:rsidR="00711BE0" w:rsidRPr="0093683C">
        <w:t>more realistic productivity growth assumption (Box 3.</w:t>
      </w:r>
      <w:r w:rsidR="002E5028" w:rsidRPr="0093683C">
        <w:t>3</w:t>
      </w:r>
      <w:r w:rsidR="00711BE0" w:rsidRPr="0093683C">
        <w:t xml:space="preserve">), </w:t>
      </w:r>
      <w:r w:rsidRPr="0093683C">
        <w:t>together with</w:t>
      </w:r>
      <w:r w:rsidR="00925CAB" w:rsidRPr="0093683C">
        <w:t xml:space="preserve"> </w:t>
      </w:r>
      <w:r w:rsidR="00711BE0" w:rsidRPr="0093683C">
        <w:t xml:space="preserve">higher </w:t>
      </w:r>
      <w:r w:rsidR="00F063E2" w:rsidRPr="0093683C">
        <w:t xml:space="preserve">borrowing costs due to </w:t>
      </w:r>
      <w:r w:rsidR="00DF0255" w:rsidRPr="0093683C">
        <w:t>increased</w:t>
      </w:r>
      <w:r w:rsidR="00582432" w:rsidRPr="0093683C">
        <w:t xml:space="preserve"> </w:t>
      </w:r>
      <w:r w:rsidR="00711BE0" w:rsidRPr="0093683C">
        <w:t>interest rates (Box 3.</w:t>
      </w:r>
      <w:r w:rsidR="002E5028" w:rsidRPr="0093683C">
        <w:t>4</w:t>
      </w:r>
      <w:r w:rsidR="00711BE0" w:rsidRPr="0093683C">
        <w:t>) and an upward revision in the estimated cost of delivering the NDIS</w:t>
      </w:r>
      <w:r w:rsidRPr="0093683C">
        <w:t xml:space="preserve"> </w:t>
      </w:r>
      <w:r w:rsidR="00B9360F" w:rsidRPr="0093683C">
        <w:t>account for</w:t>
      </w:r>
      <w:r w:rsidR="00C9479A" w:rsidRPr="0093683C">
        <w:t xml:space="preserve"> </w:t>
      </w:r>
      <w:r w:rsidR="0017605B" w:rsidRPr="0093683C">
        <w:t>the</w:t>
      </w:r>
      <w:r w:rsidR="004227B0" w:rsidRPr="0093683C">
        <w:t xml:space="preserve"> increased</w:t>
      </w:r>
      <w:r w:rsidR="00EF72E2" w:rsidRPr="0093683C">
        <w:t xml:space="preserve"> deficit and </w:t>
      </w:r>
      <w:r w:rsidR="004227B0" w:rsidRPr="0093683C">
        <w:t xml:space="preserve">higher </w:t>
      </w:r>
      <w:r w:rsidR="00EF72E2" w:rsidRPr="0093683C">
        <w:t>gross debt since PEFO</w:t>
      </w:r>
      <w:r w:rsidR="00711BE0" w:rsidRPr="0093683C">
        <w:t xml:space="preserve">. </w:t>
      </w:r>
    </w:p>
    <w:p w14:paraId="24D42C24" w14:textId="6209C879" w:rsidR="00BE5645" w:rsidRPr="0093683C" w:rsidRDefault="00BE5645" w:rsidP="009D382E">
      <w:r w:rsidRPr="0093683C">
        <w:t xml:space="preserve">The underlying cash deficit in 2032–33 is projected to be </w:t>
      </w:r>
      <w:r w:rsidR="00566566" w:rsidRPr="0093683C">
        <w:t>1</w:t>
      </w:r>
      <w:r w:rsidR="004E45A2" w:rsidRPr="0093683C">
        <w:t>.9</w:t>
      </w:r>
      <w:r w:rsidRPr="0093683C">
        <w:t xml:space="preserve"> per cent of GDP, </w:t>
      </w:r>
      <w:r w:rsidR="00134C62" w:rsidRPr="0093683C">
        <w:t xml:space="preserve">a deterioration of </w:t>
      </w:r>
      <w:r w:rsidR="00CC7D04" w:rsidRPr="0093683C">
        <w:t>1.</w:t>
      </w:r>
      <w:r w:rsidR="003F2C1D" w:rsidRPr="0093683C">
        <w:t>2</w:t>
      </w:r>
      <w:r w:rsidR="00F42028" w:rsidRPr="0093683C">
        <w:t> </w:t>
      </w:r>
      <w:r w:rsidRPr="0093683C">
        <w:t xml:space="preserve">percentage points </w:t>
      </w:r>
      <w:r w:rsidR="00134C62" w:rsidRPr="0093683C">
        <w:t>since</w:t>
      </w:r>
      <w:r w:rsidRPr="0093683C">
        <w:t xml:space="preserve"> PEFO (Chart 3.2). </w:t>
      </w:r>
      <w:r w:rsidR="00EF3EDC">
        <w:tab/>
      </w:r>
    </w:p>
    <w:p w14:paraId="7AAE17B3" w14:textId="5E6A8E1E" w:rsidR="00C4232A" w:rsidRPr="0093683C" w:rsidRDefault="00C4232A" w:rsidP="00C4232A">
      <w:pPr>
        <w:pStyle w:val="ChartHeading"/>
      </w:pPr>
      <w:r w:rsidRPr="0093683C">
        <w:t>Chart 3.2</w:t>
      </w:r>
      <w:r w:rsidR="00EC5211">
        <w:t>:</w:t>
      </w:r>
      <w:r w:rsidRPr="0093683C">
        <w:t xml:space="preserve"> Underlying cash balance</w:t>
      </w:r>
    </w:p>
    <w:p w14:paraId="03D017D5" w14:textId="5478BEA1" w:rsidR="00C4232A" w:rsidRPr="0093683C" w:rsidRDefault="001E7851" w:rsidP="00655903">
      <w:pPr>
        <w:pStyle w:val="ChartGraphic"/>
      </w:pPr>
      <w:r>
        <w:pict w14:anchorId="468EA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is chart shows the underlying cash balance as at the 2022-23 October Budget and 2022 PEFO. At the 2022-23 October Budget, the underlying cash balance is expected to deteriorate from a deficit of 1.5 per cent of GDP in 2022-23 to a deficit of 1.9 per cent of GDP by the end of the medium term. This compares to a deficit of 3.4 per cent of GDP in 2022-23 and a deficit of 0.7 per cent of GDP by the end of the medium term at PEFO." style="width:369pt;height:198pt">
            <v:imagedata r:id="rId19" o:title=""/>
          </v:shape>
        </w:pict>
      </w:r>
    </w:p>
    <w:p w14:paraId="612EE5C6" w14:textId="7665DEEB" w:rsidR="00C4232A" w:rsidRPr="0093683C" w:rsidRDefault="00C4232A" w:rsidP="00C4232A">
      <w:pPr>
        <w:pStyle w:val="ChartandTableFootnote"/>
        <w:rPr>
          <w:color w:val="auto"/>
        </w:rPr>
      </w:pPr>
      <w:r w:rsidRPr="0093683C">
        <w:rPr>
          <w:color w:val="auto"/>
        </w:rPr>
        <w:t xml:space="preserve">Source: </w:t>
      </w:r>
      <w:r w:rsidR="00AD1C44" w:rsidRPr="0093683C">
        <w:rPr>
          <w:color w:val="auto"/>
        </w:rPr>
        <w:tab/>
      </w:r>
      <w:r w:rsidRPr="0093683C">
        <w:rPr>
          <w:color w:val="auto"/>
        </w:rPr>
        <w:t>Treasury</w:t>
      </w:r>
      <w:r w:rsidR="00290FC5" w:rsidRPr="0093683C">
        <w:rPr>
          <w:color w:val="auto"/>
        </w:rPr>
        <w:t>.</w:t>
      </w:r>
    </w:p>
    <w:p w14:paraId="5F31BAE3" w14:textId="34917BE9" w:rsidR="00B13D42" w:rsidRPr="00F36ADA" w:rsidRDefault="00B13D42" w:rsidP="00C4232A">
      <w:pPr>
        <w:pStyle w:val="ChartLine"/>
        <w:rPr>
          <w:color w:val="FF0000"/>
        </w:rPr>
      </w:pPr>
    </w:p>
    <w:p w14:paraId="11DB8E21" w14:textId="77777777" w:rsidR="00032DED" w:rsidRDefault="00032DED" w:rsidP="00AD1C44">
      <w:pPr>
        <w:pStyle w:val="SingleParagraph"/>
      </w:pPr>
    </w:p>
    <w:tbl>
      <w:tblPr>
        <w:tblW w:w="5000" w:type="pct"/>
        <w:shd w:val="clear" w:color="auto" w:fill="E6F2FF"/>
        <w:tblLayout w:type="fixed"/>
        <w:tblCellMar>
          <w:top w:w="284" w:type="dxa"/>
          <w:left w:w="284" w:type="dxa"/>
          <w:bottom w:w="284" w:type="dxa"/>
          <w:right w:w="284" w:type="dxa"/>
        </w:tblCellMar>
        <w:tblLook w:val="0000" w:firstRow="0" w:lastRow="0" w:firstColumn="0" w:lastColumn="0" w:noHBand="0" w:noVBand="0"/>
      </w:tblPr>
      <w:tblGrid>
        <w:gridCol w:w="7710"/>
      </w:tblGrid>
      <w:tr w:rsidR="009D6C6D" w:rsidRPr="0045064C" w14:paraId="34D3E14D" w14:textId="77777777" w:rsidTr="009D5031">
        <w:trPr>
          <w:cantSplit/>
          <w:trHeight w:val="567"/>
        </w:trPr>
        <w:tc>
          <w:tcPr>
            <w:tcW w:w="5000" w:type="pct"/>
            <w:shd w:val="clear" w:color="auto" w:fill="E6F2FF"/>
          </w:tcPr>
          <w:p w14:paraId="2EE83E8A" w14:textId="3660A472" w:rsidR="009D6C6D" w:rsidRPr="0093683C" w:rsidRDefault="009D6C6D" w:rsidP="009D5031">
            <w:pPr>
              <w:pStyle w:val="BoxHeading"/>
            </w:pPr>
            <w:r w:rsidRPr="0093683C">
              <w:lastRenderedPageBreak/>
              <w:t>Box 3.2: PEFO adjusted for key developments</w:t>
            </w:r>
          </w:p>
          <w:p w14:paraId="1EB3F09A" w14:textId="77777777" w:rsidR="009D6C6D" w:rsidRPr="0093683C" w:rsidRDefault="009D6C6D" w:rsidP="00142BC1">
            <w:pPr>
              <w:pStyle w:val="BoxText"/>
            </w:pPr>
            <w:r w:rsidRPr="0093683C">
              <w:t xml:space="preserve">The magnitude of the fiscal impact of a lower productivity growth assumption, higher yields and revised NDIS </w:t>
            </w:r>
            <w:r w:rsidRPr="00142BC1">
              <w:t>cost</w:t>
            </w:r>
            <w:r w:rsidRPr="0093683C">
              <w:t xml:space="preserve"> estimates can be illustrated by applying them to the PEFO baseline.</w:t>
            </w:r>
          </w:p>
          <w:p w14:paraId="78220DD2" w14:textId="53210F9C" w:rsidR="009D6C6D" w:rsidRPr="0093683C" w:rsidRDefault="009D6C6D" w:rsidP="00142BC1">
            <w:pPr>
              <w:pStyle w:val="BoxBullet"/>
            </w:pPr>
            <w:r w:rsidRPr="0093683C">
              <w:t>Applying the lower productivity growth assumption lowers real GDP by 1¾</w:t>
            </w:r>
            <w:r w:rsidR="0089514B" w:rsidRPr="0093683C">
              <w:t> </w:t>
            </w:r>
            <w:r w:rsidRPr="0093683C">
              <w:t>per</w:t>
            </w:r>
            <w:r w:rsidR="0089514B" w:rsidRPr="0093683C">
              <w:t> </w:t>
            </w:r>
            <w:r w:rsidRPr="0093683C">
              <w:t>cent by 2032</w:t>
            </w:r>
            <w:r w:rsidR="00142BC1">
              <w:t>–</w:t>
            </w:r>
            <w:r w:rsidRPr="0093683C">
              <w:t>33.</w:t>
            </w:r>
            <w:r w:rsidRPr="0093683C">
              <w:rPr>
                <w:rStyle w:val="FootnoteReference"/>
              </w:rPr>
              <w:footnoteReference w:id="3"/>
            </w:r>
            <w:r w:rsidRPr="0093683C">
              <w:t xml:space="preserve"> This reduces the size of the tax base and government payments are also reduced, but to a lesser extent. Overall, the underlying cash deficit is 0.3 percentage points of GDP larger and gross debt is 2 percentage points of GDP larger in 2032</w:t>
            </w:r>
            <w:r w:rsidR="00142BC1">
              <w:t>–</w:t>
            </w:r>
            <w:r w:rsidRPr="0093683C">
              <w:t xml:space="preserve">33. </w:t>
            </w:r>
          </w:p>
          <w:p w14:paraId="4D79353D" w14:textId="6B7EFE2D" w:rsidR="009D6C6D" w:rsidRPr="0093683C" w:rsidRDefault="009D6C6D" w:rsidP="00142BC1">
            <w:pPr>
              <w:pStyle w:val="BoxBullet"/>
            </w:pPr>
            <w:r w:rsidRPr="0093683C">
              <w:t xml:space="preserve">Applying the </w:t>
            </w:r>
            <w:r w:rsidR="00D267DE" w:rsidRPr="0093683C">
              <w:t xml:space="preserve">higher </w:t>
            </w:r>
            <w:r w:rsidRPr="0093683C">
              <w:t>yields on government debt further increases the underlying cash deficit by 0.6 percentage points of GDP and gross debt by</w:t>
            </w:r>
            <w:r w:rsidRPr="0093683C" w:rsidDel="00707780">
              <w:t xml:space="preserve"> </w:t>
            </w:r>
            <w:r w:rsidRPr="0093683C">
              <w:t>3.</w:t>
            </w:r>
            <w:r w:rsidR="00AC3B1E" w:rsidRPr="0093683C">
              <w:t>7</w:t>
            </w:r>
            <w:r w:rsidR="000B2C34" w:rsidRPr="0093683C">
              <w:t> </w:t>
            </w:r>
            <w:r w:rsidRPr="0093683C">
              <w:t>percentage points of GDP in 2032</w:t>
            </w:r>
            <w:r w:rsidR="00142BC1">
              <w:t>–</w:t>
            </w:r>
            <w:r w:rsidRPr="0093683C">
              <w:t>33.</w:t>
            </w:r>
          </w:p>
          <w:p w14:paraId="3DFC3A0E" w14:textId="0782960C" w:rsidR="009D6C6D" w:rsidRPr="0093683C" w:rsidRDefault="009D6C6D" w:rsidP="00142BC1">
            <w:pPr>
              <w:pStyle w:val="BoxBullet"/>
            </w:pPr>
            <w:r w:rsidRPr="0093683C">
              <w:t xml:space="preserve">Applying revised NDIS costs </w:t>
            </w:r>
            <w:r w:rsidR="006315F4" w:rsidRPr="0093683C">
              <w:t xml:space="preserve">in line with </w:t>
            </w:r>
            <w:r w:rsidR="005D4B83" w:rsidRPr="0093683C">
              <w:t xml:space="preserve">an updated </w:t>
            </w:r>
            <w:r w:rsidR="00DF0DB6" w:rsidRPr="0093683C">
              <w:t>actuarial a</w:t>
            </w:r>
            <w:r w:rsidR="00AE6F30" w:rsidRPr="0093683C">
              <w:t>ssessment</w:t>
            </w:r>
            <w:r w:rsidRPr="0093683C">
              <w:t xml:space="preserve"> further increases the underlying cash deficit by 0.7 percentage points of GDP and gross debt by 3.</w:t>
            </w:r>
            <w:r w:rsidR="00AC3B1E" w:rsidRPr="0093683C">
              <w:t>3</w:t>
            </w:r>
            <w:r w:rsidRPr="0093683C">
              <w:t xml:space="preserve"> percentage points of GDP in 2032</w:t>
            </w:r>
            <w:r w:rsidR="00142BC1">
              <w:t>–</w:t>
            </w:r>
            <w:r w:rsidRPr="0093683C">
              <w:t>33.</w:t>
            </w:r>
          </w:p>
          <w:p w14:paraId="104BFD36" w14:textId="4CD62054" w:rsidR="009D6C6D" w:rsidRPr="0093683C" w:rsidRDefault="009D6C6D" w:rsidP="009D5031">
            <w:pPr>
              <w:pStyle w:val="BoxText"/>
            </w:pPr>
            <w:r w:rsidRPr="0093683C">
              <w:t xml:space="preserve">The 3 updates combined increase the </w:t>
            </w:r>
            <w:r w:rsidR="001F59F3" w:rsidRPr="0093683C">
              <w:t>2022</w:t>
            </w:r>
            <w:r w:rsidRPr="0093683C">
              <w:t xml:space="preserve"> </w:t>
            </w:r>
            <w:r w:rsidR="004221D9" w:rsidRPr="0093683C">
              <w:t xml:space="preserve">PEFO </w:t>
            </w:r>
            <w:r w:rsidRPr="0093683C">
              <w:t>underlying cash deficit by 1.7</w:t>
            </w:r>
            <w:r w:rsidR="00940E16" w:rsidRPr="0093683C">
              <w:t> </w:t>
            </w:r>
            <w:r w:rsidRPr="0093683C">
              <w:t>percentage points of GDP and gross debt by 8.</w:t>
            </w:r>
            <w:r w:rsidR="00AC3B1E" w:rsidRPr="0093683C">
              <w:t>9</w:t>
            </w:r>
            <w:r w:rsidRPr="0093683C">
              <w:t xml:space="preserve"> percentage points of GDP by 2032</w:t>
            </w:r>
            <w:r w:rsidR="00142BC1">
              <w:t>–</w:t>
            </w:r>
            <w:r w:rsidR="00ED1E12" w:rsidRPr="0093683C">
              <w:t>3</w:t>
            </w:r>
            <w:r w:rsidRPr="0093683C">
              <w:t>3. This results in higher debt and deficit as a share of GDP than in the current Budget (Chart 3.</w:t>
            </w:r>
            <w:r w:rsidR="00F06DB9" w:rsidRPr="0093683C">
              <w:t>3</w:t>
            </w:r>
            <w:r w:rsidRPr="0093683C">
              <w:t xml:space="preserve"> and Chart 3.</w:t>
            </w:r>
            <w:r w:rsidR="00F06DB9" w:rsidRPr="0093683C">
              <w:t>4</w:t>
            </w:r>
            <w:r w:rsidRPr="0093683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113" w:type="dxa"/>
              </w:tblCellMar>
              <w:tblLook w:val="04A0" w:firstRow="1" w:lastRow="0" w:firstColumn="1" w:lastColumn="0" w:noHBand="0" w:noVBand="1"/>
            </w:tblPr>
            <w:tblGrid>
              <w:gridCol w:w="3571"/>
              <w:gridCol w:w="3571"/>
            </w:tblGrid>
            <w:tr w:rsidR="009D5031" w:rsidRPr="00286258" w14:paraId="04786797" w14:textId="77777777" w:rsidTr="00142BC1">
              <w:tc>
                <w:tcPr>
                  <w:tcW w:w="3571" w:type="dxa"/>
                  <w:shd w:val="clear" w:color="auto" w:fill="auto"/>
                </w:tcPr>
                <w:p w14:paraId="0CCF2B05" w14:textId="4B44B8F3" w:rsidR="009D5031" w:rsidRPr="0093683C" w:rsidRDefault="009D5031" w:rsidP="009D5031">
                  <w:pPr>
                    <w:pStyle w:val="ChartHeading"/>
                  </w:pPr>
                  <w:r w:rsidRPr="0093683C">
                    <w:t>Chart 3.3: Impact of updates on</w:t>
                  </w:r>
                  <w:r w:rsidR="00142BC1">
                    <w:t> </w:t>
                  </w:r>
                  <w:r w:rsidRPr="0093683C">
                    <w:t>UCB</w:t>
                  </w:r>
                </w:p>
                <w:p w14:paraId="02B22268" w14:textId="41038386" w:rsidR="009D5031" w:rsidRPr="0093683C" w:rsidRDefault="00915530" w:rsidP="009D5031">
                  <w:pPr>
                    <w:pStyle w:val="ChartGraphic"/>
                  </w:pPr>
                  <w:r>
                    <w:rPr>
                      <w:noProof/>
                    </w:rPr>
                    <w:drawing>
                      <wp:inline distT="0" distB="0" distL="0" distR="0" wp14:anchorId="2A73D495" wp14:editId="3968768D">
                        <wp:extent cx="2245995" cy="2340610"/>
                        <wp:effectExtent l="0" t="0" r="1905" b="2540"/>
                        <wp:docPr id="1" name="Picture 1" descr="This chart shows the impact of a lower productivity growth assumption, higher yields and revised NDIS cost estimates on the 2022 PEFO underlying cash balance projections. The 3 updates combined increase the 2022 PEFO underlying cash deficit by 1.7 percentage points of GDP by 2032-33. This results in a higher deficit as a share of GDP than in the current Budget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chart shows the impact of a lower productivity growth assumption, higher yields and revised NDIS cost estimates on the 2022 PEFO underlying cash balance projections. The 3 updates combined increase the 2022 PEFO underlying cash deficit by 1.7 percentage points of GDP by 2032-33. This results in a higher deficit as a share of GDP than in the current Budget projec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5995" cy="2340610"/>
                                </a:xfrm>
                                <a:prstGeom prst="rect">
                                  <a:avLst/>
                                </a:prstGeom>
                                <a:noFill/>
                                <a:ln>
                                  <a:noFill/>
                                </a:ln>
                              </pic:spPr>
                            </pic:pic>
                          </a:graphicData>
                        </a:graphic>
                      </wp:inline>
                    </w:drawing>
                  </w:r>
                </w:p>
                <w:p w14:paraId="06DE9D1E" w14:textId="77777777" w:rsidR="009D5031" w:rsidRPr="0093683C" w:rsidRDefault="009D5031" w:rsidP="009D5031">
                  <w:pPr>
                    <w:pStyle w:val="ChartGraphic"/>
                  </w:pPr>
                </w:p>
              </w:tc>
              <w:tc>
                <w:tcPr>
                  <w:tcW w:w="3571" w:type="dxa"/>
                  <w:shd w:val="clear" w:color="auto" w:fill="auto"/>
                </w:tcPr>
                <w:p w14:paraId="253E3742" w14:textId="77777777" w:rsidR="009D5031" w:rsidRPr="0093683C" w:rsidRDefault="009D5031" w:rsidP="009D5031">
                  <w:pPr>
                    <w:pStyle w:val="ChartHeading"/>
                  </w:pPr>
                  <w:r w:rsidRPr="0093683C">
                    <w:t>Chart 3.4: Impact of updates on gross debt</w:t>
                  </w:r>
                </w:p>
                <w:p w14:paraId="5EDAA1A7" w14:textId="3E614FA1" w:rsidR="009D5031" w:rsidRPr="0093683C" w:rsidRDefault="00915530" w:rsidP="009D5031">
                  <w:pPr>
                    <w:pStyle w:val="ChartGraphic"/>
                  </w:pPr>
                  <w:r>
                    <w:rPr>
                      <w:noProof/>
                    </w:rPr>
                    <w:drawing>
                      <wp:inline distT="0" distB="0" distL="0" distR="0" wp14:anchorId="2705E007" wp14:editId="36B3E420">
                        <wp:extent cx="2252980" cy="2340610"/>
                        <wp:effectExtent l="0" t="0" r="0" b="0"/>
                        <wp:docPr id="2" name="Picture 2" descr="This chart shows the impact of a lower productivity growth assumption, higher yields and revised NDIS cost estimates on the 2022 PEFO gross debt projections. The 3 updates combined increase 2022 PEFO gross debt by 8.9 percentage points of GDP by 2032-33. This results in a higher gross debt as a share of GDP than in the current Budget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s chart shows the impact of a lower productivity growth assumption, higher yields and revised NDIS cost estimates on the 2022 PEFO gross debt projections. The 3 updates combined increase 2022 PEFO gross debt by 8.9 percentage points of GDP by 2032-33. This results in a higher gross debt as a share of GDP than in the current Budget projec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2980" cy="2340610"/>
                                </a:xfrm>
                                <a:prstGeom prst="rect">
                                  <a:avLst/>
                                </a:prstGeom>
                                <a:noFill/>
                                <a:ln>
                                  <a:noFill/>
                                </a:ln>
                              </pic:spPr>
                            </pic:pic>
                          </a:graphicData>
                        </a:graphic>
                      </wp:inline>
                    </w:drawing>
                  </w:r>
                </w:p>
              </w:tc>
            </w:tr>
            <w:tr w:rsidR="009D5031" w:rsidRPr="00286258" w14:paraId="642F8D77" w14:textId="77777777" w:rsidTr="00142BC1">
              <w:tc>
                <w:tcPr>
                  <w:tcW w:w="3571" w:type="dxa"/>
                  <w:shd w:val="clear" w:color="auto" w:fill="auto"/>
                </w:tcPr>
                <w:p w14:paraId="1A2AB478" w14:textId="77777777" w:rsidR="009D5031" w:rsidRPr="0093683C" w:rsidRDefault="009D5031" w:rsidP="009D5031">
                  <w:pPr>
                    <w:pStyle w:val="ChartandTableFootnoteSmall"/>
                    <w:rPr>
                      <w:color w:val="auto"/>
                      <w:sz w:val="16"/>
                      <w:szCs w:val="16"/>
                    </w:rPr>
                  </w:pPr>
                  <w:r w:rsidRPr="0093683C">
                    <w:rPr>
                      <w:color w:val="auto"/>
                      <w:sz w:val="16"/>
                      <w:szCs w:val="16"/>
                    </w:rPr>
                    <w:t xml:space="preserve">Source: </w:t>
                  </w:r>
                  <w:r w:rsidRPr="0093683C">
                    <w:rPr>
                      <w:color w:val="auto"/>
                      <w:sz w:val="16"/>
                      <w:szCs w:val="16"/>
                    </w:rPr>
                    <w:tab/>
                    <w:t>Treasury.</w:t>
                  </w:r>
                </w:p>
              </w:tc>
              <w:tc>
                <w:tcPr>
                  <w:tcW w:w="3571" w:type="dxa"/>
                  <w:shd w:val="clear" w:color="auto" w:fill="auto"/>
                </w:tcPr>
                <w:p w14:paraId="735A244D" w14:textId="77777777" w:rsidR="009D5031" w:rsidRPr="0093683C" w:rsidRDefault="009D5031" w:rsidP="009D5031">
                  <w:pPr>
                    <w:pStyle w:val="ChartandTableFootnoteSmall"/>
                    <w:rPr>
                      <w:color w:val="auto"/>
                      <w:sz w:val="16"/>
                      <w:szCs w:val="16"/>
                    </w:rPr>
                  </w:pPr>
                  <w:r w:rsidRPr="0093683C">
                    <w:rPr>
                      <w:color w:val="auto"/>
                      <w:sz w:val="16"/>
                      <w:szCs w:val="16"/>
                    </w:rPr>
                    <w:t xml:space="preserve">Source: </w:t>
                  </w:r>
                  <w:r w:rsidRPr="0093683C">
                    <w:rPr>
                      <w:color w:val="auto"/>
                      <w:sz w:val="16"/>
                      <w:szCs w:val="16"/>
                    </w:rPr>
                    <w:tab/>
                    <w:t>Treasury.</w:t>
                  </w:r>
                </w:p>
              </w:tc>
            </w:tr>
          </w:tbl>
          <w:p w14:paraId="05AC0F4E" w14:textId="5A093834" w:rsidR="009D6C6D" w:rsidRPr="00F36ADA" w:rsidRDefault="009D6C6D" w:rsidP="009D5031">
            <w:pPr>
              <w:pStyle w:val="GhostLine"/>
            </w:pPr>
          </w:p>
        </w:tc>
      </w:tr>
    </w:tbl>
    <w:p w14:paraId="3F772921" w14:textId="77777777" w:rsidR="00530C98" w:rsidRDefault="00530C98">
      <w:pPr>
        <w:spacing w:before="0" w:after="160" w:line="259" w:lineRule="auto"/>
      </w:pPr>
      <w:r w:rsidRPr="0013146C">
        <w:br w:type="page"/>
      </w: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F271A5" w14:paraId="18EE5923" w14:textId="77777777" w:rsidTr="007913DD">
        <w:trPr>
          <w:cantSplit/>
        </w:trPr>
        <w:tc>
          <w:tcPr>
            <w:tcW w:w="5000" w:type="pct"/>
            <w:shd w:val="clear" w:color="auto" w:fill="E6F2FF"/>
          </w:tcPr>
          <w:p w14:paraId="5971AEE1" w14:textId="49479418" w:rsidR="00F271A5" w:rsidRPr="0093683C" w:rsidRDefault="00F271A5" w:rsidP="00EC24CF">
            <w:pPr>
              <w:pStyle w:val="BoxHeading"/>
            </w:pPr>
            <w:r w:rsidRPr="0093683C">
              <w:lastRenderedPageBreak/>
              <w:t>Box 3.</w:t>
            </w:r>
            <w:r w:rsidR="006A0BE8" w:rsidRPr="0093683C">
              <w:t>3</w:t>
            </w:r>
            <w:r w:rsidRPr="0093683C">
              <w:t xml:space="preserve">: A more prudent long-term productivity </w:t>
            </w:r>
            <w:r w:rsidRPr="00EC24CF">
              <w:t>assumption</w:t>
            </w:r>
          </w:p>
          <w:p w14:paraId="794ECA0C" w14:textId="77777777" w:rsidR="00F271A5" w:rsidRPr="0093683C" w:rsidRDefault="00F271A5" w:rsidP="00F271A5">
            <w:pPr>
              <w:pStyle w:val="BoxText"/>
              <w:rPr>
                <w:rStyle w:val="normaltextrun"/>
                <w:spacing w:val="-4"/>
              </w:rPr>
            </w:pPr>
            <w:r w:rsidRPr="0093683C">
              <w:t>Productivity growth has slowed in Australia since the mid-2000s. It has averaged around 1.5 per cent over the past 30 years, but only 1.2 per cent over the past 20</w:t>
            </w:r>
            <w:r w:rsidR="00AE320E" w:rsidRPr="0093683C">
              <w:t> </w:t>
            </w:r>
            <w:r w:rsidRPr="0093683C">
              <w:t>years (Chart 3.</w:t>
            </w:r>
            <w:r w:rsidR="00F06DB9" w:rsidRPr="0093683C">
              <w:t>5</w:t>
            </w:r>
            <w:r w:rsidRPr="0093683C">
              <w:t xml:space="preserve">). </w:t>
            </w:r>
            <w:r w:rsidRPr="0093683C">
              <w:rPr>
                <w:rStyle w:val="normaltextrun"/>
                <w:spacing w:val="-4"/>
              </w:rPr>
              <w:t>The slowdown is broad-based across industries and has been observed in other advanced economies, suggesting some shared factors are at play, be it trends in competition, technology adoption or human capital accumulation.</w:t>
            </w:r>
          </w:p>
          <w:p w14:paraId="5EAA262B" w14:textId="77777777" w:rsidR="00F271A5" w:rsidRPr="0093683C" w:rsidRDefault="00F271A5" w:rsidP="00C12F76">
            <w:pPr>
              <w:pStyle w:val="ChartHeading"/>
            </w:pPr>
            <w:r w:rsidRPr="0093683C">
              <w:t>Chart 3.</w:t>
            </w:r>
            <w:r w:rsidR="00F06DB9" w:rsidRPr="0093683C">
              <w:t>5</w:t>
            </w:r>
            <w:r w:rsidRPr="0093683C">
              <w:t>: Whole economy labour productivity growth</w:t>
            </w:r>
          </w:p>
          <w:p w14:paraId="40872A8B" w14:textId="7FF02902" w:rsidR="00E016A9" w:rsidRPr="0093683C" w:rsidRDefault="00562B74" w:rsidP="00354D22">
            <w:pPr>
              <w:pStyle w:val="ChartGraphic"/>
            </w:pPr>
            <w:r>
              <w:rPr>
                <w:noProof/>
              </w:rPr>
              <w:drawing>
                <wp:inline distT="0" distB="0" distL="0" distR="0" wp14:anchorId="54A16FD6" wp14:editId="419823D5">
                  <wp:extent cx="4352290" cy="2508885"/>
                  <wp:effectExtent l="0" t="0" r="0" b="0"/>
                  <wp:docPr id="3" name="Picture 3" descr="Column chart of labour productivity growth across ABS productivity growth cycles where growth declines in recent cy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lumn chart of labour productivity growth across ABS productivity growth cycles where growth declines in recent cycl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2290" cy="2508885"/>
                          </a:xfrm>
                          <a:prstGeom prst="rect">
                            <a:avLst/>
                          </a:prstGeom>
                          <a:noFill/>
                          <a:ln>
                            <a:noFill/>
                          </a:ln>
                        </pic:spPr>
                      </pic:pic>
                    </a:graphicData>
                  </a:graphic>
                </wp:inline>
              </w:drawing>
            </w:r>
          </w:p>
          <w:p w14:paraId="1C77F80E" w14:textId="13EC9630" w:rsidR="00F271A5" w:rsidRDefault="00F271A5" w:rsidP="004C721A">
            <w:pPr>
              <w:pStyle w:val="ChartandTableFootnoteSmall"/>
              <w:jc w:val="left"/>
              <w:rPr>
                <w:rFonts w:eastAsia="Calibri"/>
                <w:color w:val="auto"/>
                <w:sz w:val="16"/>
                <w:szCs w:val="16"/>
              </w:rPr>
            </w:pPr>
            <w:r w:rsidRPr="0093683C">
              <w:rPr>
                <w:rFonts w:eastAsia="Calibri"/>
                <w:color w:val="auto"/>
                <w:sz w:val="16"/>
                <w:szCs w:val="16"/>
              </w:rPr>
              <w:t xml:space="preserve">Note: </w:t>
            </w:r>
            <w:r w:rsidR="00EF3EDC">
              <w:tab/>
            </w:r>
            <w:r w:rsidRPr="0093683C">
              <w:rPr>
                <w:rFonts w:eastAsia="Calibri"/>
                <w:color w:val="auto"/>
                <w:sz w:val="16"/>
                <w:szCs w:val="16"/>
              </w:rPr>
              <w:t>Productivity cycles determined by the ABS. Final cycle (2018</w:t>
            </w:r>
            <w:r w:rsidR="005E3EBA">
              <w:rPr>
                <w:rFonts w:eastAsia="Calibri"/>
                <w:color w:val="auto"/>
                <w:sz w:val="16"/>
                <w:szCs w:val="16"/>
              </w:rPr>
              <w:t>–</w:t>
            </w:r>
            <w:r w:rsidRPr="0093683C">
              <w:rPr>
                <w:rFonts w:eastAsia="Calibri"/>
                <w:color w:val="auto"/>
                <w:sz w:val="16"/>
                <w:szCs w:val="16"/>
              </w:rPr>
              <w:t>21*) is incomplete.</w:t>
            </w:r>
            <w:r w:rsidRPr="0093683C">
              <w:rPr>
                <w:rFonts w:eastAsia="Calibri"/>
                <w:color w:val="auto"/>
                <w:sz w:val="16"/>
                <w:szCs w:val="16"/>
              </w:rPr>
              <w:br/>
              <w:t xml:space="preserve">Source: </w:t>
            </w:r>
            <w:r w:rsidR="00EF3EDC">
              <w:tab/>
            </w:r>
            <w:r w:rsidRPr="0093683C">
              <w:rPr>
                <w:rFonts w:eastAsia="Calibri"/>
                <w:color w:val="auto"/>
                <w:sz w:val="16"/>
                <w:szCs w:val="16"/>
              </w:rPr>
              <w:t>ABS Australian System of National Accounts, 2020</w:t>
            </w:r>
            <w:r w:rsidR="005E3EBA">
              <w:rPr>
                <w:rFonts w:eastAsia="Calibri"/>
                <w:color w:val="auto"/>
                <w:sz w:val="16"/>
                <w:szCs w:val="16"/>
              </w:rPr>
              <w:t>–</w:t>
            </w:r>
            <w:r w:rsidRPr="0093683C">
              <w:rPr>
                <w:rFonts w:eastAsia="Calibri"/>
                <w:color w:val="auto"/>
                <w:sz w:val="16"/>
                <w:szCs w:val="16"/>
              </w:rPr>
              <w:t>21.</w:t>
            </w:r>
          </w:p>
          <w:p w14:paraId="60303A02" w14:textId="77777777" w:rsidR="00EF3EDC" w:rsidRPr="00EF3EDC" w:rsidRDefault="00EF3EDC" w:rsidP="00EF3EDC">
            <w:pPr>
              <w:pStyle w:val="ChartLine"/>
              <w:rPr>
                <w:rFonts w:eastAsia="Calibri"/>
              </w:rPr>
            </w:pPr>
          </w:p>
          <w:p w14:paraId="4173F798" w14:textId="3595A77F" w:rsidR="00F271A5" w:rsidRPr="00AD1C44" w:rsidRDefault="00F271A5" w:rsidP="00792E8E">
            <w:pPr>
              <w:pStyle w:val="BoxText"/>
            </w:pPr>
            <w:r w:rsidRPr="0093683C">
              <w:rPr>
                <w:rStyle w:val="normaltextrun"/>
                <w:spacing w:val="-4"/>
              </w:rPr>
              <w:t>This Budget adopts a more prudent assumption for long-run productivity growth to</w:t>
            </w:r>
            <w:r w:rsidRPr="0093683C">
              <w:t xml:space="preserve"> show a more realistic picture of </w:t>
            </w:r>
            <w:r w:rsidR="00F61DC5" w:rsidRPr="0093683C">
              <w:t xml:space="preserve">the </w:t>
            </w:r>
            <w:r w:rsidRPr="0093683C">
              <w:t xml:space="preserve">medium-term fiscal challenges. </w:t>
            </w:r>
            <w:r w:rsidRPr="0093683C">
              <w:rPr>
                <w:rStyle w:val="normaltextrun"/>
                <w:spacing w:val="-4"/>
              </w:rPr>
              <w:t xml:space="preserve">The long-run productivity growth assumption has been lowered from its 30-year average of around 1.5 per cent to the 20-year average of 1.2 per cent. Placing more weight on recent history better captures emerging headwinds to productivity growth, such as continued structural change towards service industries, the costs of a changing climate, and diminishing returns from past reforms. This downgrade is </w:t>
            </w:r>
            <w:r w:rsidRPr="0093683C">
              <w:t>consistent with those made by forecasters in other advanced economies such as Canada, New Zealand, the United </w:t>
            </w:r>
            <w:proofErr w:type="gramStart"/>
            <w:r w:rsidRPr="0093683C">
              <w:t>Kingdom</w:t>
            </w:r>
            <w:proofErr w:type="gramEnd"/>
            <w:r w:rsidRPr="0093683C">
              <w:t xml:space="preserve"> and the United States. </w:t>
            </w:r>
          </w:p>
        </w:tc>
      </w:tr>
    </w:tbl>
    <w:p w14:paraId="0ADE622B" w14:textId="77777777" w:rsidR="00ED4E42" w:rsidRDefault="00ED4E42">
      <w:pPr>
        <w:spacing w:before="0" w:after="160" w:line="259" w:lineRule="auto"/>
      </w:pPr>
      <w:r>
        <w:br w:type="page"/>
      </w: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8D68A1" w14:paraId="710064D5" w14:textId="77777777" w:rsidTr="007913DD">
        <w:trPr>
          <w:cantSplit/>
        </w:trPr>
        <w:tc>
          <w:tcPr>
            <w:tcW w:w="5000" w:type="pct"/>
            <w:shd w:val="clear" w:color="auto" w:fill="E6F2FF"/>
          </w:tcPr>
          <w:p w14:paraId="1068C5EB" w14:textId="3C8AD838" w:rsidR="00BD1231" w:rsidRPr="0093683C" w:rsidRDefault="00BD1231" w:rsidP="00EC24CF">
            <w:pPr>
              <w:pStyle w:val="BoxHeading"/>
            </w:pPr>
            <w:r w:rsidRPr="0093683C">
              <w:lastRenderedPageBreak/>
              <w:t>Box 3.</w:t>
            </w:r>
            <w:r w:rsidR="006A0BE8" w:rsidRPr="0093683C">
              <w:t>4</w:t>
            </w:r>
            <w:r w:rsidR="00EC5211">
              <w:t>:</w:t>
            </w:r>
            <w:r w:rsidRPr="0093683C">
              <w:t xml:space="preserve"> Impact of higher </w:t>
            </w:r>
            <w:r w:rsidRPr="00EC24CF">
              <w:t>interest</w:t>
            </w:r>
            <w:r w:rsidRPr="0093683C">
              <w:t xml:space="preserve"> rates on the budget</w:t>
            </w:r>
          </w:p>
          <w:p w14:paraId="1E7D87FD" w14:textId="77777777" w:rsidR="00BD1231" w:rsidRPr="0093683C" w:rsidRDefault="00BD1231" w:rsidP="00BD1231">
            <w:pPr>
              <w:pStyle w:val="BoxText"/>
            </w:pPr>
            <w:r w:rsidRPr="0093683C">
              <w:t xml:space="preserve">In advanced economies, there had been a trend decline in bond yields over </w:t>
            </w:r>
            <w:r w:rsidR="000C4E34" w:rsidRPr="0093683C">
              <w:t xml:space="preserve">recent </w:t>
            </w:r>
            <w:r w:rsidRPr="0093683C">
              <w:t>decades. However,</w:t>
            </w:r>
            <w:r w:rsidRPr="0093683C" w:rsidDel="004F5E32">
              <w:t xml:space="preserve"> </w:t>
            </w:r>
            <w:r w:rsidRPr="0093683C">
              <w:t>over the past year, bond yields have increased as central banks normalise policy in response to higher inflation.</w:t>
            </w:r>
            <w:r w:rsidRPr="0093683C" w:rsidDel="00181E99">
              <w:t xml:space="preserve"> </w:t>
            </w:r>
          </w:p>
          <w:p w14:paraId="50D6B08D" w14:textId="77777777" w:rsidR="00BD1231" w:rsidRPr="0093683C" w:rsidRDefault="00BD1231" w:rsidP="00EF3EDC">
            <w:pPr>
              <w:pStyle w:val="ChartHeading"/>
            </w:pPr>
            <w:r w:rsidRPr="0093683C">
              <w:t>Chart 3.</w:t>
            </w:r>
            <w:r w:rsidR="00F06DB9" w:rsidRPr="0093683C">
              <w:t>6</w:t>
            </w:r>
            <w:r w:rsidRPr="0093683C">
              <w:t>: Government bond yields</w:t>
            </w:r>
            <w:r w:rsidR="00DA7E2D" w:rsidRPr="0093683C">
              <w:t xml:space="preserve"> (10-year)</w:t>
            </w:r>
          </w:p>
          <w:p w14:paraId="5740018A" w14:textId="1B328FC3" w:rsidR="009C4D9F" w:rsidRPr="0093683C" w:rsidRDefault="00D61F3B" w:rsidP="009C4D9F">
            <w:pPr>
              <w:pStyle w:val="ChartGraphic"/>
            </w:pPr>
            <w:r>
              <w:rPr>
                <w:noProof/>
              </w:rPr>
              <w:drawing>
                <wp:inline distT="0" distB="0" distL="0" distR="0" wp14:anchorId="69A67162" wp14:editId="148F3659">
                  <wp:extent cx="4572000" cy="2523490"/>
                  <wp:effectExtent l="0" t="0" r="0" b="0"/>
                  <wp:docPr id="4" name="Picture 4" descr="The 10-year Government bond yield trended downwards from around 6.5 per cent in 2008 to around 1 per cent during the pandemic. Between late 2021 and now it has risen to close to 4 per cent.  The assumed yield on 10-year bonds issued over the forward estimates is flat at 3.8 per cent, compared with 2.3 per cent at PEFO. Beyond the forward estimates, the 10 year yield is assumed to linearly converge to long run nominal GDP growth over a 15 year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10-year Government bond yield trended downwards from around 6.5 per cent in 2008 to around 1 per cent during the pandemic. Between late 2021 and now it has risen to close to 4 per cent.  The assumed yield on 10-year bonds issued over the forward estimates is flat at 3.8 per cent, compared with 2.3 per cent at PEFO. Beyond the forward estimates, the 10 year yield is assumed to linearly converge to long run nominal GDP growth over a 15 year perio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2523490"/>
                          </a:xfrm>
                          <a:prstGeom prst="rect">
                            <a:avLst/>
                          </a:prstGeom>
                          <a:noFill/>
                          <a:ln>
                            <a:noFill/>
                          </a:ln>
                        </pic:spPr>
                      </pic:pic>
                    </a:graphicData>
                  </a:graphic>
                </wp:inline>
              </w:drawing>
            </w:r>
          </w:p>
          <w:p w14:paraId="4D87EFB0" w14:textId="5F39F362" w:rsidR="00BD1231" w:rsidRDefault="00BD1231" w:rsidP="00BD1231">
            <w:pPr>
              <w:pStyle w:val="ChartandTableFootnote"/>
              <w:rPr>
                <w:color w:val="auto"/>
              </w:rPr>
            </w:pPr>
            <w:r w:rsidRPr="0093683C">
              <w:rPr>
                <w:color w:val="auto"/>
              </w:rPr>
              <w:t xml:space="preserve">Source: </w:t>
            </w:r>
            <w:r w:rsidR="00EF3EDC">
              <w:tab/>
            </w:r>
            <w:r w:rsidRPr="0093683C">
              <w:rPr>
                <w:color w:val="auto"/>
              </w:rPr>
              <w:t>Treasury and Reserve Bank of Australia</w:t>
            </w:r>
            <w:r w:rsidR="00837487" w:rsidRPr="0093683C">
              <w:rPr>
                <w:color w:val="auto"/>
              </w:rPr>
              <w:t>.</w:t>
            </w:r>
          </w:p>
          <w:p w14:paraId="4B538C4B" w14:textId="77777777" w:rsidR="00EF3EDC" w:rsidRPr="00EF3EDC" w:rsidRDefault="00EF3EDC" w:rsidP="00EF3EDC">
            <w:pPr>
              <w:pStyle w:val="ChartLine"/>
            </w:pPr>
          </w:p>
          <w:p w14:paraId="730303A2" w14:textId="77777777" w:rsidR="00BD1231" w:rsidRPr="0093683C" w:rsidRDefault="00BD1231" w:rsidP="00BD1231">
            <w:pPr>
              <w:pStyle w:val="BoxText"/>
            </w:pPr>
            <w:r w:rsidRPr="0093683C">
              <w:t xml:space="preserve">Consistent with previous Budgets, it is assumed that: </w:t>
            </w:r>
          </w:p>
          <w:p w14:paraId="55AF4FBE" w14:textId="77777777" w:rsidR="00BD1231" w:rsidRPr="0093683C" w:rsidRDefault="00BD1231" w:rsidP="00BD1231">
            <w:pPr>
              <w:pStyle w:val="BoxBullet"/>
            </w:pPr>
            <w:r w:rsidRPr="0093683C">
              <w:t xml:space="preserve">yields are based on prevailing rates when budget estimates are finalised, and held constant over the forward estimates </w:t>
            </w:r>
          </w:p>
          <w:p w14:paraId="41930976" w14:textId="77777777" w:rsidR="00BD1231" w:rsidRPr="0093683C" w:rsidRDefault="00BD1231" w:rsidP="00BD1231">
            <w:pPr>
              <w:pStyle w:val="BoxBullet"/>
            </w:pPr>
            <w:r w:rsidRPr="0093683C">
              <w:t>the 10-year bond yield will then converge to nominal GDP growth over a 15-year period, consistent with a prudent approach to medium-term modelling, and</w:t>
            </w:r>
          </w:p>
          <w:p w14:paraId="40DEBAC0" w14:textId="77777777" w:rsidR="00BD1231" w:rsidRPr="0093683C" w:rsidRDefault="00BD1231" w:rsidP="00BD1231">
            <w:pPr>
              <w:pStyle w:val="BoxBullet"/>
            </w:pPr>
            <w:r w:rsidRPr="0093683C">
              <w:t xml:space="preserve">for bonds with other tenors, their yields are assumed to converge </w:t>
            </w:r>
            <w:r w:rsidR="00F612AC" w:rsidRPr="0093683C">
              <w:t>relative</w:t>
            </w:r>
            <w:r w:rsidRPr="0093683C">
              <w:t xml:space="preserve"> to the 10-year bond yield in the yield curve. </w:t>
            </w:r>
          </w:p>
          <w:p w14:paraId="3BAF2B25" w14:textId="652E4E9D" w:rsidR="00BD1231" w:rsidRPr="00F95A31" w:rsidRDefault="00BD1231" w:rsidP="00BD1231">
            <w:pPr>
              <w:pStyle w:val="BoxText"/>
            </w:pPr>
            <w:r w:rsidRPr="0093683C">
              <w:t xml:space="preserve">Based on this methodology, the assumed yield on 10-year bonds issued over the forward estimates is 3.8 per cent, compared with 2.3 per cent at PEFO. The 10-year yield is then assumed to rise to 4.3 per cent by the end of the medium term, around 70 basis points higher than projected at PEFO. </w:t>
            </w:r>
          </w:p>
          <w:p w14:paraId="4A170AA6" w14:textId="77777777" w:rsidR="00ED4E42" w:rsidRDefault="00BD1231" w:rsidP="005730CC">
            <w:pPr>
              <w:pStyle w:val="Box-continuedon"/>
            </w:pPr>
            <w:proofErr w:type="gramStart"/>
            <w:r>
              <w:t>continued on</w:t>
            </w:r>
            <w:proofErr w:type="gramEnd"/>
            <w:r>
              <w:t xml:space="preserve"> next page</w:t>
            </w:r>
            <w:r w:rsidRPr="00F95A31" w:rsidDel="00442785">
              <w:rPr>
                <w:noProof/>
              </w:rPr>
              <w:t xml:space="preserve"> </w:t>
            </w:r>
          </w:p>
        </w:tc>
      </w:tr>
      <w:tr w:rsidR="00BD1231" w14:paraId="433E4A51" w14:textId="77777777" w:rsidTr="00B33BF8">
        <w:trPr>
          <w:cantSplit/>
          <w:trHeight w:val="9497"/>
        </w:trPr>
        <w:tc>
          <w:tcPr>
            <w:tcW w:w="5000" w:type="pct"/>
            <w:shd w:val="clear" w:color="auto" w:fill="E6F2FF"/>
          </w:tcPr>
          <w:p w14:paraId="37293A1D" w14:textId="77777777" w:rsidR="00BD1231" w:rsidRPr="00F95A31" w:rsidRDefault="00BD1231" w:rsidP="00BD1231">
            <w:pPr>
              <w:pStyle w:val="BoxHeading"/>
            </w:pPr>
            <w:r w:rsidRPr="00F95A31">
              <w:lastRenderedPageBreak/>
              <w:t>Box 3.</w:t>
            </w:r>
            <w:r w:rsidR="006A0BE8">
              <w:t>4</w:t>
            </w:r>
            <w:r w:rsidRPr="00F95A31">
              <w:t xml:space="preserve"> Impact of higher interest rates on the budget</w:t>
            </w:r>
            <w:r>
              <w:t xml:space="preserve"> (continued)</w:t>
            </w:r>
          </w:p>
          <w:p w14:paraId="43A73264" w14:textId="15512612" w:rsidR="00BD1231" w:rsidRPr="0093683C" w:rsidRDefault="00BD1231" w:rsidP="00BD1231">
            <w:pPr>
              <w:pStyle w:val="BoxText"/>
            </w:pPr>
            <w:r w:rsidRPr="0093683C">
              <w:t>Interest payments on Treasury Bonds are fixed at the time of issuance. Over the past decade, t</w:t>
            </w:r>
            <w:r w:rsidRPr="0093683C">
              <w:rPr>
                <w:rFonts w:eastAsiaTheme="minorEastAsia"/>
              </w:rPr>
              <w:t xml:space="preserve">he Australian Office of Financial Management (AOFM) has </w:t>
            </w:r>
            <w:r w:rsidRPr="0093683C">
              <w:t>extended</w:t>
            </w:r>
            <w:r w:rsidRPr="0093683C">
              <w:rPr>
                <w:rFonts w:eastAsiaTheme="minorEastAsia"/>
              </w:rPr>
              <w:t xml:space="preserve"> the average maturity of the debt portfolio</w:t>
            </w:r>
            <w:r w:rsidRPr="0093683C">
              <w:t>, meaning the Government will continue to benefit from the lower borrowing costs of the past decade for many years. At the end of the forward estimates, most debt will still be on the lower interest rates set before 30</w:t>
            </w:r>
            <w:r w:rsidR="00D134E8" w:rsidRPr="0093683C">
              <w:t> </w:t>
            </w:r>
            <w:r w:rsidRPr="0093683C">
              <w:t>June</w:t>
            </w:r>
            <w:r w:rsidR="00D134E8" w:rsidRPr="0093683C">
              <w:t> </w:t>
            </w:r>
            <w:r w:rsidRPr="0093683C">
              <w:t>2022</w:t>
            </w:r>
            <w:r w:rsidR="00D134E8" w:rsidRPr="0093683C">
              <w:t xml:space="preserve"> (Chart 3.</w:t>
            </w:r>
            <w:r w:rsidR="00F06DB9" w:rsidRPr="0093683C">
              <w:t>7</w:t>
            </w:r>
            <w:r w:rsidR="00D134E8" w:rsidRPr="0093683C">
              <w:t>)</w:t>
            </w:r>
            <w:r w:rsidRPr="0093683C">
              <w:t xml:space="preserve">. </w:t>
            </w:r>
          </w:p>
          <w:p w14:paraId="00450797" w14:textId="21E098BB" w:rsidR="00BC5A73" w:rsidRPr="0093683C" w:rsidRDefault="00BD1231" w:rsidP="00BD1231">
            <w:pPr>
              <w:pStyle w:val="BoxText"/>
            </w:pPr>
            <w:r w:rsidRPr="0093683C">
              <w:t xml:space="preserve">However, as </w:t>
            </w:r>
            <w:r w:rsidR="008A6BFA" w:rsidRPr="0093683C">
              <w:t>new debt is issued to finance deficits and refinance maturing debts</w:t>
            </w:r>
            <w:r w:rsidRPr="0093683C">
              <w:t xml:space="preserve">, this will be at </w:t>
            </w:r>
            <w:r w:rsidR="008A6BFA" w:rsidRPr="0093683C">
              <w:t xml:space="preserve">the higher </w:t>
            </w:r>
            <w:r w:rsidRPr="0093683C">
              <w:t xml:space="preserve">prevailing yields. </w:t>
            </w:r>
            <w:r w:rsidR="009C02C0" w:rsidRPr="0093683C">
              <w:t xml:space="preserve">As a result, interest payments </w:t>
            </w:r>
            <w:r w:rsidR="00FF0F25" w:rsidRPr="0093683C">
              <w:t xml:space="preserve">are projected to </w:t>
            </w:r>
            <w:r w:rsidR="009C02C0" w:rsidRPr="0093683C">
              <w:t xml:space="preserve">increase over </w:t>
            </w:r>
            <w:r w:rsidR="009E1DC7" w:rsidRPr="0093683C">
              <w:t>time</w:t>
            </w:r>
            <w:r w:rsidR="006511DB" w:rsidRPr="0093683C">
              <w:t>, and by 2032</w:t>
            </w:r>
            <w:r w:rsidR="005E3EBA">
              <w:t>–</w:t>
            </w:r>
            <w:r w:rsidR="006511DB" w:rsidRPr="0093683C">
              <w:t>33</w:t>
            </w:r>
            <w:r w:rsidR="009C02C0" w:rsidRPr="0093683C">
              <w:t xml:space="preserve"> have been revised up from 1.1 per cent </w:t>
            </w:r>
            <w:r w:rsidR="009E1DC7" w:rsidRPr="0093683C">
              <w:t xml:space="preserve">of GDP </w:t>
            </w:r>
            <w:r w:rsidR="009C02C0" w:rsidRPr="0093683C">
              <w:t xml:space="preserve">at PEFO to 1.8 per cent </w:t>
            </w:r>
            <w:r w:rsidR="009E1DC7" w:rsidRPr="0093683C">
              <w:t>of GDP</w:t>
            </w:r>
            <w:r w:rsidR="009C02C0" w:rsidRPr="0093683C">
              <w:t xml:space="preserve"> (Chart 3.</w:t>
            </w:r>
            <w:r w:rsidR="00F06DB9" w:rsidRPr="0093683C">
              <w:t>8</w:t>
            </w:r>
            <w:r w:rsidR="009C02C0" w:rsidRPr="0093683C">
              <w:t xml:space="preserve">). </w:t>
            </w:r>
          </w:p>
          <w:p w14:paraId="7340D67D" w14:textId="5F31100C" w:rsidR="00BD1231" w:rsidRPr="00F95A31" w:rsidRDefault="00143C04" w:rsidP="00BD1231">
            <w:pPr>
              <w:pStyle w:val="BoxText"/>
            </w:pPr>
            <w:r w:rsidRPr="0093683C">
              <w:t>For</w:t>
            </w:r>
            <w:r w:rsidR="00BC5A73" w:rsidRPr="0093683C">
              <w:t xml:space="preserve"> example, t</w:t>
            </w:r>
            <w:r w:rsidR="00BD1231" w:rsidRPr="0093683C">
              <w:t>he 2021</w:t>
            </w:r>
            <w:r w:rsidR="005E3EBA">
              <w:t>–</w:t>
            </w:r>
            <w:r w:rsidR="00BD1231" w:rsidRPr="0093683C">
              <w:t>22 Budget showed that the AOFM had issued around $281.6</w:t>
            </w:r>
            <w:r w:rsidRPr="0093683C">
              <w:t> </w:t>
            </w:r>
            <w:r w:rsidR="00BD1231" w:rsidRPr="0093683C">
              <w:t xml:space="preserve">billion in Treasury </w:t>
            </w:r>
            <w:r w:rsidR="00AB5BAB" w:rsidRPr="0093683C">
              <w:t>B</w:t>
            </w:r>
            <w:r w:rsidR="00BD1231" w:rsidRPr="0093683C">
              <w:t xml:space="preserve">onds </w:t>
            </w:r>
            <w:r w:rsidR="00076F73" w:rsidRPr="0093683C">
              <w:t xml:space="preserve">between 20 March 2020 and 3 May 2021, </w:t>
            </w:r>
            <w:r w:rsidR="00BD1231" w:rsidRPr="0093683C">
              <w:t>with a weighted average issuance yield of only 0.</w:t>
            </w:r>
            <w:r w:rsidR="008A654D" w:rsidRPr="0093683C">
              <w:t>9</w:t>
            </w:r>
            <w:r w:rsidR="00BD1231" w:rsidRPr="0093683C">
              <w:t xml:space="preserve"> per cent. Of these bonds, around $90.2</w:t>
            </w:r>
            <w:r w:rsidR="00076F73" w:rsidRPr="0093683C">
              <w:t> </w:t>
            </w:r>
            <w:r w:rsidR="00BD1231" w:rsidRPr="0093683C">
              <w:t xml:space="preserve">billion will mature within the forward estimates. These will be refinanced at an assumed weighted average yield of 3.8 per cent – an almost 3 percentage point increase.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461"/>
            </w:tblGrid>
            <w:tr w:rsidR="00123332" w:rsidRPr="00971186" w14:paraId="4D616407" w14:textId="77777777" w:rsidTr="00CA1438">
              <w:tc>
                <w:tcPr>
                  <w:tcW w:w="3681" w:type="dxa"/>
                  <w:shd w:val="clear" w:color="auto" w:fill="auto"/>
                </w:tcPr>
                <w:p w14:paraId="197160D1" w14:textId="43731537" w:rsidR="00BD1231" w:rsidRPr="0093683C" w:rsidRDefault="00BD1231" w:rsidP="001435F3">
                  <w:pPr>
                    <w:pStyle w:val="ChartHeading"/>
                    <w:rPr>
                      <w:sz w:val="18"/>
                      <w:szCs w:val="18"/>
                    </w:rPr>
                  </w:pPr>
                  <w:r w:rsidRPr="0093683C">
                    <w:rPr>
                      <w:sz w:val="18"/>
                      <w:szCs w:val="18"/>
                    </w:rPr>
                    <w:t>Chart 3.</w:t>
                  </w:r>
                  <w:r w:rsidR="00F06DB9" w:rsidRPr="0093683C">
                    <w:rPr>
                      <w:sz w:val="18"/>
                      <w:szCs w:val="18"/>
                    </w:rPr>
                    <w:t>7</w:t>
                  </w:r>
                  <w:r w:rsidRPr="0093683C">
                    <w:rPr>
                      <w:sz w:val="18"/>
                      <w:szCs w:val="18"/>
                    </w:rPr>
                    <w:t>: Gross debt, by issuance date</w:t>
                  </w:r>
                </w:p>
                <w:p w14:paraId="2D9BE6E7" w14:textId="2318767F" w:rsidR="00F864A3" w:rsidRPr="0093683C" w:rsidRDefault="00337948" w:rsidP="00765C23">
                  <w:pPr>
                    <w:pStyle w:val="ChartGraphic"/>
                  </w:pPr>
                  <w:r>
                    <w:rPr>
                      <w:noProof/>
                    </w:rPr>
                    <w:drawing>
                      <wp:inline distT="0" distB="0" distL="0" distR="0" wp14:anchorId="02CAA1E1" wp14:editId="068EDA9F">
                        <wp:extent cx="1980000" cy="1980000"/>
                        <wp:effectExtent l="0" t="0" r="0" b="1270"/>
                        <wp:docPr id="5" name="Picture 5" descr="This chart shows gross debt by issuance date. As existing debt matures, more debt need to be refinanced. At the end of the forward estimates, the majority of debt will still have been issued before 30 September 2022, and be on the lower interest rates that applied over the past decade. However, over time an increase portion of the stock of debt will have been issued after 30 September 2022, and will be financed at higher yiel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is chart shows gross debt by issuance date. As existing debt matures, more debt need to be refinanced. At the end of the forward estimates, the majority of debt will still have been issued before 30 September 2022, and be on the lower interest rates that applied over the past decade. However, over time an increase portion of the stock of debt will have been issued after 30 September 2022, and will be financed at higher yields.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0000" cy="1980000"/>
                                </a:xfrm>
                                <a:prstGeom prst="rect">
                                  <a:avLst/>
                                </a:prstGeom>
                                <a:noFill/>
                                <a:ln>
                                  <a:noFill/>
                                </a:ln>
                              </pic:spPr>
                            </pic:pic>
                          </a:graphicData>
                        </a:graphic>
                      </wp:inline>
                    </w:drawing>
                  </w:r>
                </w:p>
                <w:p w14:paraId="50F5EF81" w14:textId="4D3AE425" w:rsidR="00BD1231" w:rsidRPr="0093683C" w:rsidRDefault="00BD1231" w:rsidP="00BD1231">
                  <w:pPr>
                    <w:pStyle w:val="ChartandTableFootnoteSmall"/>
                    <w:rPr>
                      <w:color w:val="auto"/>
                      <w:sz w:val="16"/>
                      <w:szCs w:val="16"/>
                    </w:rPr>
                  </w:pPr>
                  <w:r w:rsidRPr="0093683C">
                    <w:rPr>
                      <w:color w:val="auto"/>
                      <w:sz w:val="16"/>
                      <w:szCs w:val="16"/>
                    </w:rPr>
                    <w:t xml:space="preserve">Source: </w:t>
                  </w:r>
                  <w:r w:rsidR="00EF3EDC">
                    <w:tab/>
                  </w:r>
                  <w:r w:rsidRPr="0093683C">
                    <w:rPr>
                      <w:color w:val="auto"/>
                      <w:sz w:val="16"/>
                      <w:szCs w:val="16"/>
                    </w:rPr>
                    <w:t>Treasury</w:t>
                  </w:r>
                  <w:r w:rsidR="004178C1" w:rsidRPr="0093683C">
                    <w:rPr>
                      <w:color w:val="auto"/>
                      <w:sz w:val="16"/>
                      <w:szCs w:val="16"/>
                    </w:rPr>
                    <w:t>.</w:t>
                  </w:r>
                </w:p>
              </w:tc>
              <w:tc>
                <w:tcPr>
                  <w:tcW w:w="3461" w:type="dxa"/>
                  <w:shd w:val="clear" w:color="auto" w:fill="auto"/>
                </w:tcPr>
                <w:p w14:paraId="05F1FB90" w14:textId="55B16C2C" w:rsidR="00BD1231" w:rsidRPr="0093683C" w:rsidRDefault="00BD1231" w:rsidP="001435F3">
                  <w:pPr>
                    <w:pStyle w:val="ChartHeading"/>
                    <w:rPr>
                      <w:sz w:val="18"/>
                      <w:szCs w:val="18"/>
                    </w:rPr>
                  </w:pPr>
                  <w:r w:rsidRPr="0093683C">
                    <w:rPr>
                      <w:sz w:val="18"/>
                      <w:szCs w:val="18"/>
                    </w:rPr>
                    <w:t>Chart 3.</w:t>
                  </w:r>
                  <w:r w:rsidR="00F06DB9" w:rsidRPr="0093683C">
                    <w:rPr>
                      <w:sz w:val="18"/>
                      <w:szCs w:val="18"/>
                    </w:rPr>
                    <w:t>8</w:t>
                  </w:r>
                  <w:r w:rsidRPr="0093683C">
                    <w:rPr>
                      <w:sz w:val="18"/>
                      <w:szCs w:val="18"/>
                    </w:rPr>
                    <w:t>: Total interest payments</w:t>
                  </w:r>
                </w:p>
                <w:p w14:paraId="2F4C72AB" w14:textId="128FADD4" w:rsidR="00BD1231" w:rsidRPr="0093683C" w:rsidRDefault="00074D00" w:rsidP="007751A8">
                  <w:pPr>
                    <w:pStyle w:val="ChartGraphic"/>
                  </w:pPr>
                  <w:r>
                    <w:rPr>
                      <w:noProof/>
                      <w:sz w:val="18"/>
                      <w:szCs w:val="18"/>
                    </w:rPr>
                    <w:drawing>
                      <wp:inline distT="0" distB="0" distL="0" distR="0" wp14:anchorId="2D0C4953" wp14:editId="4B2ACD0D">
                        <wp:extent cx="1950720" cy="1981200"/>
                        <wp:effectExtent l="0" t="0" r="0" b="0"/>
                        <wp:docPr id="24" name="Picture 24" descr="Interest payments have been steady at about 0.8 per cent of GDP for the past decade. However, they are expected to rise steadily to 1.8 per cent of GDP over the next decade. This is much higher than projected at PEFO when they were only expected to rise to 1.1 per cent of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nterest payments have been steady at about 0.8 per cent of GDP for the past decade. However, they are expected to rise steadily to 1.8 per cent of GDP over the next decade. This is much higher than projected at PEFO when they were only expected to rise to 1.1 per cent of GD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50720" cy="1981200"/>
                                </a:xfrm>
                                <a:prstGeom prst="rect">
                                  <a:avLst/>
                                </a:prstGeom>
                                <a:noFill/>
                              </pic:spPr>
                            </pic:pic>
                          </a:graphicData>
                        </a:graphic>
                      </wp:inline>
                    </w:drawing>
                  </w:r>
                </w:p>
                <w:p w14:paraId="22D7DC2B" w14:textId="25FF0517" w:rsidR="00BD1231" w:rsidRPr="0093683C" w:rsidRDefault="00BD1231" w:rsidP="0032687E">
                  <w:pPr>
                    <w:pStyle w:val="ChartandTableFootnote"/>
                  </w:pPr>
                  <w:r w:rsidRPr="0093683C">
                    <w:t xml:space="preserve">Source: </w:t>
                  </w:r>
                  <w:r w:rsidR="00EF3EDC">
                    <w:tab/>
                  </w:r>
                  <w:r w:rsidRPr="0093683C">
                    <w:t>Treasury</w:t>
                  </w:r>
                  <w:r w:rsidR="004178C1" w:rsidRPr="0093683C">
                    <w:t>.</w:t>
                  </w:r>
                </w:p>
              </w:tc>
            </w:tr>
          </w:tbl>
          <w:p w14:paraId="47B4FB22" w14:textId="77777777" w:rsidR="00EF3EDC" w:rsidRDefault="00EF3EDC" w:rsidP="00EF3EDC">
            <w:pPr>
              <w:pStyle w:val="ChartLine"/>
            </w:pPr>
          </w:p>
          <w:p w14:paraId="2A922265" w14:textId="0E9C874B" w:rsidR="00BD1231" w:rsidRPr="00F63325" w:rsidRDefault="00BD1231" w:rsidP="00BC5A73">
            <w:pPr>
              <w:pStyle w:val="BoxText"/>
              <w:rPr>
                <w:color w:val="0000FF"/>
              </w:rPr>
            </w:pPr>
            <w:r w:rsidRPr="0093683C">
              <w:t>More information on the yield assumptions used in this Budget and the AOFM’s issuance plan is in</w:t>
            </w:r>
            <w:r w:rsidRPr="0093683C">
              <w:rPr>
                <w:i/>
              </w:rPr>
              <w:t xml:space="preserve"> Statement 7: Debt Statement</w:t>
            </w:r>
            <w:r w:rsidRPr="0093683C">
              <w:t xml:space="preserve">. An analysis of the sensitivity of the budget balance and debt to changes in yields is in </w:t>
            </w:r>
            <w:r w:rsidRPr="0093683C">
              <w:rPr>
                <w:i/>
              </w:rPr>
              <w:t>Statement 8: Forecast Performance and Sensitivity Analysis</w:t>
            </w:r>
            <w:r w:rsidR="00BC5A73" w:rsidRPr="0093683C">
              <w:t>.</w:t>
            </w:r>
          </w:p>
        </w:tc>
      </w:tr>
    </w:tbl>
    <w:p w14:paraId="47B5E628" w14:textId="77777777" w:rsidR="00321215" w:rsidRDefault="00321215">
      <w:pPr>
        <w:spacing w:before="0" w:after="160" w:line="259" w:lineRule="auto"/>
        <w:rPr>
          <w:lang w:eastAsia="en-US"/>
        </w:rPr>
      </w:pPr>
    </w:p>
    <w:p w14:paraId="284B797B" w14:textId="77777777" w:rsidR="00FE6565" w:rsidRDefault="00FE6565">
      <w:pPr>
        <w:spacing w:before="0" w:after="160" w:line="259" w:lineRule="auto"/>
        <w:rPr>
          <w:lang w:eastAsia="en-US"/>
        </w:rPr>
      </w:pPr>
      <w:r>
        <w:rPr>
          <w:lang w:eastAsia="en-US"/>
        </w:rPr>
        <w:br w:type="page"/>
      </w:r>
    </w:p>
    <w:p w14:paraId="72801B34" w14:textId="76F2AD20" w:rsidR="001B6534" w:rsidRPr="0093683C" w:rsidRDefault="001B6534" w:rsidP="001B6534">
      <w:pPr>
        <w:rPr>
          <w:lang w:eastAsia="en-US"/>
        </w:rPr>
      </w:pPr>
      <w:r w:rsidRPr="0093683C">
        <w:rPr>
          <w:lang w:eastAsia="en-US"/>
        </w:rPr>
        <w:lastRenderedPageBreak/>
        <w:t xml:space="preserve">While revisions to interest </w:t>
      </w:r>
      <w:r w:rsidR="0000343A" w:rsidRPr="0093683C">
        <w:rPr>
          <w:lang w:eastAsia="en-US"/>
        </w:rPr>
        <w:t xml:space="preserve">payments and NDIS </w:t>
      </w:r>
      <w:r w:rsidRPr="0093683C">
        <w:rPr>
          <w:lang w:eastAsia="en-US"/>
        </w:rPr>
        <w:t>represent the largest changes to payments since PEFO, other payment pressures are also expected to increase</w:t>
      </w:r>
      <w:r w:rsidR="001C31D0" w:rsidRPr="0093683C">
        <w:rPr>
          <w:lang w:eastAsia="en-US"/>
        </w:rPr>
        <w:t xml:space="preserve"> (Chart 3.9)</w:t>
      </w:r>
      <w:r w:rsidRPr="0093683C">
        <w:rPr>
          <w:lang w:eastAsia="en-US"/>
        </w:rPr>
        <w:t>. Higher inflation since PEFO results in higher indexation of a range of payments to individuals such as Jobseeker, Disability Support Pension and Age Pension.</w:t>
      </w:r>
      <w:r w:rsidR="00D52975" w:rsidRPr="0093683C">
        <w:rPr>
          <w:lang w:eastAsia="en-US"/>
        </w:rPr>
        <w:t xml:space="preserve"> </w:t>
      </w:r>
    </w:p>
    <w:p w14:paraId="37A08A95" w14:textId="1B554EFE" w:rsidR="0053459D" w:rsidRPr="0093683C" w:rsidRDefault="0053459D" w:rsidP="0053459D">
      <w:pPr>
        <w:pStyle w:val="ChartHeading"/>
      </w:pPr>
      <w:r w:rsidRPr="0093683C">
        <w:t>Chart 3.</w:t>
      </w:r>
      <w:r w:rsidR="00A44AB4" w:rsidRPr="0093683C">
        <w:t>9</w:t>
      </w:r>
      <w:r w:rsidR="0032687E">
        <w:t>:</w:t>
      </w:r>
      <w:r w:rsidRPr="0093683C">
        <w:t xml:space="preserve"> Revisions to major payments since PEFO</w:t>
      </w:r>
    </w:p>
    <w:p w14:paraId="24F1572A" w14:textId="2DC122F7" w:rsidR="0053459D" w:rsidRPr="0093683C" w:rsidRDefault="00CA52A0" w:rsidP="009C29FF">
      <w:pPr>
        <w:pStyle w:val="ChartGraphic"/>
      </w:pPr>
      <w:r>
        <w:rPr>
          <w:noProof/>
        </w:rPr>
        <w:drawing>
          <wp:inline distT="0" distB="0" distL="0" distR="0" wp14:anchorId="7948DC3D" wp14:editId="0A5D0623">
            <wp:extent cx="4681855" cy="2882265"/>
            <wp:effectExtent l="0" t="0" r="4445" b="0"/>
            <wp:docPr id="7" name="Picture 7" descr="The chart shows revisions to major payment lines compared to PEFO. Payments excluding NDIS and interest have increased by a consistent $20 to $30 billion each year of the forecast period but NDIS and interest costs display a rising increase compared to PEFO. NDIS increases to about $23 billion higher than PEFO by 2032-33 and interest costs increases to about $29 billion higher than PEFO by 2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chart shows revisions to major payment lines compared to PEFO. Payments excluding NDIS and interest have increased by a consistent $20 to $30 billion each year of the forecast period but NDIS and interest costs display a rising increase compared to PEFO. NDIS increases to about $23 billion higher than PEFO by 2032-33 and interest costs increases to about $29 billion higher than PEFO by 2032-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1855" cy="2882265"/>
                    </a:xfrm>
                    <a:prstGeom prst="rect">
                      <a:avLst/>
                    </a:prstGeom>
                    <a:noFill/>
                    <a:ln>
                      <a:noFill/>
                    </a:ln>
                  </pic:spPr>
                </pic:pic>
              </a:graphicData>
            </a:graphic>
          </wp:inline>
        </w:drawing>
      </w:r>
    </w:p>
    <w:p w14:paraId="59A9A259" w14:textId="77777777" w:rsidR="009A4D1B" w:rsidRPr="0093683C" w:rsidRDefault="0035401E" w:rsidP="00566794">
      <w:pPr>
        <w:pStyle w:val="ChartandTableFootnote"/>
        <w:rPr>
          <w:color w:val="auto"/>
        </w:rPr>
      </w:pPr>
      <w:r w:rsidRPr="0093683C">
        <w:rPr>
          <w:color w:val="auto"/>
        </w:rPr>
        <w:t xml:space="preserve">Source: </w:t>
      </w:r>
      <w:r w:rsidRPr="0093683C">
        <w:rPr>
          <w:color w:val="auto"/>
        </w:rPr>
        <w:tab/>
        <w:t xml:space="preserve">Treasury. </w:t>
      </w:r>
    </w:p>
    <w:p w14:paraId="5BC62418" w14:textId="1D9852B6" w:rsidR="009A4D1B" w:rsidRPr="0093683C" w:rsidRDefault="0030024F" w:rsidP="009311F3">
      <w:pPr>
        <w:pStyle w:val="ChartandTableFootnote"/>
        <w:rPr>
          <w:color w:val="auto"/>
        </w:rPr>
      </w:pPr>
      <w:r w:rsidRPr="0093683C">
        <w:rPr>
          <w:color w:val="auto"/>
        </w:rPr>
        <w:t xml:space="preserve">Note: </w:t>
      </w:r>
      <w:r w:rsidR="00B53958" w:rsidRPr="0093683C">
        <w:rPr>
          <w:color w:val="auto"/>
        </w:rPr>
        <w:tab/>
      </w:r>
      <w:r w:rsidR="009311F3" w:rsidRPr="0093683C">
        <w:rPr>
          <w:color w:val="auto"/>
        </w:rPr>
        <w:t xml:space="preserve">Numbers may </w:t>
      </w:r>
      <w:r w:rsidR="007B6ED1" w:rsidRPr="0093683C">
        <w:rPr>
          <w:color w:val="auto"/>
        </w:rPr>
        <w:t xml:space="preserve">differ from estimates presented in </w:t>
      </w:r>
      <w:r w:rsidR="007B6ED1" w:rsidRPr="0093683C">
        <w:rPr>
          <w:i/>
          <w:color w:val="auto"/>
        </w:rPr>
        <w:t>Statement 6: Expenses and Net Capital Investment</w:t>
      </w:r>
      <w:r w:rsidR="009311F3" w:rsidRPr="0093683C">
        <w:rPr>
          <w:color w:val="auto"/>
        </w:rPr>
        <w:t xml:space="preserve"> due to accounting and classification differences. NDIS refers to the Commonwealth’s contribution to payments for NDIS participant supports.</w:t>
      </w:r>
    </w:p>
    <w:p w14:paraId="5B639EE8" w14:textId="77777777" w:rsidR="00B53958" w:rsidRPr="0093683C" w:rsidRDefault="00B53958" w:rsidP="00B53958">
      <w:pPr>
        <w:pStyle w:val="ChartLine"/>
      </w:pPr>
    </w:p>
    <w:p w14:paraId="17D42398" w14:textId="31798EF6" w:rsidR="009E4A81" w:rsidRPr="0093683C" w:rsidRDefault="009A4D1B" w:rsidP="009A4D1B">
      <w:r w:rsidRPr="0093683C">
        <w:t xml:space="preserve">The increases </w:t>
      </w:r>
      <w:r w:rsidR="001F59D6" w:rsidRPr="0093683C">
        <w:t>since PEFO</w:t>
      </w:r>
      <w:r w:rsidRPr="0093683C">
        <w:t xml:space="preserve"> </w:t>
      </w:r>
      <w:r w:rsidR="007A1661" w:rsidRPr="0093683C">
        <w:t>build</w:t>
      </w:r>
      <w:r w:rsidRPr="0093683C">
        <w:t xml:space="preserve"> on existing </w:t>
      </w:r>
      <w:r w:rsidR="007A1661" w:rsidRPr="0093683C">
        <w:t xml:space="preserve">strong </w:t>
      </w:r>
      <w:r w:rsidRPr="0093683C">
        <w:t>growth</w:t>
      </w:r>
      <w:r w:rsidR="005E5A6C" w:rsidRPr="0093683C">
        <w:t>, with many</w:t>
      </w:r>
      <w:r w:rsidRPr="0093683C">
        <w:t xml:space="preserve"> payments </w:t>
      </w:r>
      <w:r w:rsidR="005E5A6C" w:rsidRPr="0093683C">
        <w:t xml:space="preserve">growing </w:t>
      </w:r>
      <w:r w:rsidRPr="0093683C">
        <w:t xml:space="preserve">faster than the economy. </w:t>
      </w:r>
      <w:r w:rsidR="00711992" w:rsidRPr="0093683C">
        <w:t>These payments include the</w:t>
      </w:r>
      <w:r w:rsidR="0069765C" w:rsidRPr="0093683C">
        <w:t xml:space="preserve"> </w:t>
      </w:r>
      <w:r w:rsidRPr="0093683C">
        <w:t xml:space="preserve">NDIS, hospitals, aged care, </w:t>
      </w:r>
      <w:r w:rsidR="00B36338" w:rsidRPr="0093683C">
        <w:t xml:space="preserve">defence, aged pension, </w:t>
      </w:r>
      <w:r w:rsidRPr="0093683C">
        <w:t xml:space="preserve">medical </w:t>
      </w:r>
      <w:proofErr w:type="gramStart"/>
      <w:r w:rsidRPr="0093683C">
        <w:t>benefits</w:t>
      </w:r>
      <w:proofErr w:type="gramEnd"/>
      <w:r w:rsidRPr="0093683C">
        <w:t xml:space="preserve"> and interest payments (Chart</w:t>
      </w:r>
      <w:r w:rsidR="00773315" w:rsidRPr="0093683C">
        <w:t> </w:t>
      </w:r>
      <w:r w:rsidRPr="0093683C">
        <w:t>3.</w:t>
      </w:r>
      <w:r w:rsidR="00297CE2" w:rsidRPr="0093683C">
        <w:t>10</w:t>
      </w:r>
      <w:r w:rsidRPr="0093683C">
        <w:t>).</w:t>
      </w:r>
      <w:r w:rsidRPr="0093683C" w:rsidDel="000D373F">
        <w:t xml:space="preserve"> </w:t>
      </w:r>
    </w:p>
    <w:p w14:paraId="4066349E" w14:textId="77A9E0F6" w:rsidR="009A4D1B" w:rsidRPr="0093683C" w:rsidRDefault="009A4D1B" w:rsidP="009A4D1B">
      <w:pPr>
        <w:pStyle w:val="ChartHeading"/>
      </w:pPr>
      <w:r w:rsidRPr="0093683C">
        <w:lastRenderedPageBreak/>
        <w:t>Chart 3.</w:t>
      </w:r>
      <w:r w:rsidR="00261ABD" w:rsidRPr="0093683C">
        <w:t>10</w:t>
      </w:r>
      <w:r w:rsidRPr="0093683C">
        <w:t>: Average annual growth in major payments 2022–23 to 2032–33</w:t>
      </w:r>
    </w:p>
    <w:p w14:paraId="2BFD664B" w14:textId="68103E4E" w:rsidR="009A4D1B" w:rsidRPr="0093683C" w:rsidRDefault="00CA52A0" w:rsidP="009A4D1B">
      <w:pPr>
        <w:pStyle w:val="ChartGraphic"/>
      </w:pPr>
      <w:r>
        <w:rPr>
          <w:noProof/>
        </w:rPr>
        <w:drawing>
          <wp:inline distT="0" distB="0" distL="0" distR="0" wp14:anchorId="74C4770F" wp14:editId="639D5C6A">
            <wp:extent cx="4681855" cy="2523490"/>
            <wp:effectExtent l="0" t="0" r="4445" b="0"/>
            <wp:docPr id="8" name="Picture 8" descr="The chart shows major payment categories that grow faster than the economy. Growth rates are the average annual growth rate from 2022-23 to 2032-33. Interest is the fastest growing payment at 14.4%, NDIS is the next fastest growing payment at  13.8%. Hospitals is the third fastest at 6.5%, then Aged care at 6.2% and Defence at 5.6%. Finally medical benefits grows at 5.4% and age pension a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 chart shows major payment categories that grow faster than the economy. Growth rates are the average annual growth rate from 2022-23 to 2032-33. Interest is the fastest growing payment at 14.4%, NDIS is the next fastest growing payment at  13.8%. Hospitals is the third fastest at 6.5%, then Aged care at 6.2% and Defence at 5.6%. Finally medical benefits grows at 5.4% and age pension at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1855" cy="2523490"/>
                    </a:xfrm>
                    <a:prstGeom prst="rect">
                      <a:avLst/>
                    </a:prstGeom>
                    <a:noFill/>
                    <a:ln>
                      <a:noFill/>
                    </a:ln>
                  </pic:spPr>
                </pic:pic>
              </a:graphicData>
            </a:graphic>
          </wp:inline>
        </w:drawing>
      </w:r>
    </w:p>
    <w:p w14:paraId="334A1D5E" w14:textId="77777777" w:rsidR="00C0290D" w:rsidRPr="0093683C" w:rsidRDefault="009A4D1B" w:rsidP="009A4D1B">
      <w:pPr>
        <w:pStyle w:val="ChartandTableFootnote"/>
        <w:rPr>
          <w:color w:val="auto"/>
        </w:rPr>
      </w:pPr>
      <w:r w:rsidRPr="0093683C">
        <w:rPr>
          <w:color w:val="auto"/>
        </w:rPr>
        <w:t xml:space="preserve">Source: </w:t>
      </w:r>
      <w:r w:rsidRPr="0093683C">
        <w:rPr>
          <w:color w:val="auto"/>
        </w:rPr>
        <w:tab/>
        <w:t>Treasury.</w:t>
      </w:r>
    </w:p>
    <w:p w14:paraId="3D557BFC" w14:textId="77777777" w:rsidR="009A4D1B" w:rsidRPr="0093683C" w:rsidRDefault="00C0290D" w:rsidP="00AA51DE">
      <w:pPr>
        <w:pStyle w:val="ChartandTableFootnote"/>
        <w:rPr>
          <w:color w:val="auto"/>
        </w:rPr>
      </w:pPr>
      <w:r w:rsidRPr="0093683C">
        <w:rPr>
          <w:color w:val="auto"/>
        </w:rPr>
        <w:t xml:space="preserve">Note: </w:t>
      </w:r>
      <w:r w:rsidR="00B53958" w:rsidRPr="0093683C">
        <w:rPr>
          <w:color w:val="auto"/>
        </w:rPr>
        <w:tab/>
      </w:r>
      <w:r w:rsidRPr="0093683C">
        <w:rPr>
          <w:color w:val="auto"/>
        </w:rPr>
        <w:t xml:space="preserve">NDIS </w:t>
      </w:r>
      <w:r w:rsidR="00181D27" w:rsidRPr="0093683C">
        <w:rPr>
          <w:color w:val="auto"/>
        </w:rPr>
        <w:t>refers to</w:t>
      </w:r>
      <w:r w:rsidRPr="0093683C">
        <w:rPr>
          <w:color w:val="auto"/>
        </w:rPr>
        <w:t xml:space="preserve"> the Commonwealth</w:t>
      </w:r>
      <w:r w:rsidR="00753C24" w:rsidRPr="0093683C">
        <w:rPr>
          <w:color w:val="auto"/>
        </w:rPr>
        <w:t>’s contribution to payments for NDIS</w:t>
      </w:r>
      <w:r w:rsidRPr="0093683C">
        <w:rPr>
          <w:color w:val="auto"/>
        </w:rPr>
        <w:t xml:space="preserve"> participant </w:t>
      </w:r>
      <w:r w:rsidR="00753C24" w:rsidRPr="0093683C">
        <w:rPr>
          <w:color w:val="auto"/>
        </w:rPr>
        <w:t>supports</w:t>
      </w:r>
      <w:r w:rsidRPr="0093683C">
        <w:rPr>
          <w:color w:val="auto"/>
        </w:rPr>
        <w:t>.</w:t>
      </w:r>
    </w:p>
    <w:p w14:paraId="13824E69" w14:textId="4B283D32" w:rsidR="009A4D1B" w:rsidRPr="0093683C" w:rsidRDefault="009A4D1B" w:rsidP="009A4D1B">
      <w:pPr>
        <w:pStyle w:val="ChartLine"/>
      </w:pPr>
    </w:p>
    <w:p w14:paraId="0906E026" w14:textId="6F039186" w:rsidR="0087231F" w:rsidRPr="0093683C" w:rsidRDefault="0087231F" w:rsidP="0087231F">
      <w:r w:rsidRPr="0093683C" w:rsidDel="00E407D1">
        <w:t>I</w:t>
      </w:r>
      <w:r w:rsidRPr="0093683C">
        <w:t xml:space="preserve">nterest payments are the fastest growing payment, increasing on average by </w:t>
      </w:r>
      <w:r w:rsidR="00912747" w:rsidRPr="0093683C">
        <w:t>14.</w:t>
      </w:r>
      <w:r w:rsidR="00676A68" w:rsidRPr="0093683C">
        <w:t>4</w:t>
      </w:r>
      <w:r w:rsidRPr="0093683C">
        <w:t xml:space="preserve"> per cent per year. This is closely followed by NDIS that increases on average by </w:t>
      </w:r>
      <w:r w:rsidR="00912747" w:rsidRPr="0093683C">
        <w:t>13.8</w:t>
      </w:r>
      <w:r w:rsidRPr="0093683C">
        <w:t xml:space="preserve"> per cent per year. </w:t>
      </w:r>
      <w:r w:rsidR="007E36AE" w:rsidRPr="0093683C">
        <w:t xml:space="preserve">The </w:t>
      </w:r>
      <w:r w:rsidR="00E625C2" w:rsidRPr="0093683C">
        <w:t>revised</w:t>
      </w:r>
      <w:r w:rsidR="007E36AE" w:rsidRPr="0093683C">
        <w:t xml:space="preserve"> growth in </w:t>
      </w:r>
      <w:r w:rsidR="00E625C2" w:rsidRPr="0093683C">
        <w:t>estimated</w:t>
      </w:r>
      <w:r w:rsidR="007E36AE" w:rsidRPr="0093683C">
        <w:t xml:space="preserve"> NDIS costs </w:t>
      </w:r>
      <w:r w:rsidR="006309A1" w:rsidRPr="0093683C">
        <w:t>is</w:t>
      </w:r>
      <w:r w:rsidR="007E36AE" w:rsidRPr="0093683C">
        <w:t xml:space="preserve"> in line with the Scheme Actuary’s most recent projections </w:t>
      </w:r>
      <w:r w:rsidR="00FC74BF" w:rsidRPr="0093683C">
        <w:t>as</w:t>
      </w:r>
      <w:r w:rsidR="007E36AE" w:rsidRPr="0093683C">
        <w:t xml:space="preserve"> reviewed by the Australian Government Actuary. </w:t>
      </w:r>
      <w:r w:rsidRPr="0093683C">
        <w:t>Th</w:t>
      </w:r>
      <w:r w:rsidR="00D160A5" w:rsidRPr="0093683C">
        <w:t>e</w:t>
      </w:r>
      <w:r w:rsidR="009949E1" w:rsidRPr="0093683C">
        <w:t xml:space="preserve"> increase in costs</w:t>
      </w:r>
      <w:r w:rsidRPr="0093683C">
        <w:t xml:space="preserve"> reflects </w:t>
      </w:r>
      <w:r w:rsidR="005160FE" w:rsidRPr="0093683C">
        <w:t>the sustained growth in participants and</w:t>
      </w:r>
      <w:r w:rsidR="00D160A5" w:rsidRPr="0093683C">
        <w:t xml:space="preserve"> average </w:t>
      </w:r>
      <w:r w:rsidR="006309A1" w:rsidRPr="0093683C">
        <w:t xml:space="preserve">support </w:t>
      </w:r>
      <w:r w:rsidR="00D160A5" w:rsidRPr="0093683C">
        <w:t>costs per participant</w:t>
      </w:r>
      <w:r w:rsidR="00FC74BF" w:rsidRPr="0093683C">
        <w:t xml:space="preserve">. </w:t>
      </w:r>
      <w:r w:rsidR="00E94432" w:rsidRPr="0093683C">
        <w:t xml:space="preserve">Higher costs per participant </w:t>
      </w:r>
      <w:r w:rsidR="00FC74BF" w:rsidRPr="0093683C">
        <w:t>relates to higher</w:t>
      </w:r>
      <w:r w:rsidR="00D160A5" w:rsidRPr="0093683C">
        <w:t xml:space="preserve"> </w:t>
      </w:r>
      <w:r w:rsidR="00E94432" w:rsidRPr="0093683C">
        <w:t>support</w:t>
      </w:r>
      <w:r w:rsidR="00D160A5" w:rsidRPr="0093683C">
        <w:t xml:space="preserve"> utilisation, increased </w:t>
      </w:r>
      <w:r w:rsidR="006309A1" w:rsidRPr="0093683C">
        <w:t>volumes</w:t>
      </w:r>
      <w:r w:rsidR="00D160A5" w:rsidRPr="0093683C">
        <w:t xml:space="preserve"> of supports in participant plans and increased </w:t>
      </w:r>
      <w:r w:rsidR="006309A1" w:rsidRPr="0093683C">
        <w:t xml:space="preserve">support </w:t>
      </w:r>
      <w:r w:rsidR="00D160A5" w:rsidRPr="0093683C">
        <w:t xml:space="preserve">prices. </w:t>
      </w:r>
      <w:r w:rsidRPr="0093683C">
        <w:t>Hospital and</w:t>
      </w:r>
      <w:r w:rsidRPr="0093683C" w:rsidDel="003C0F37">
        <w:t xml:space="preserve"> </w:t>
      </w:r>
      <w:r w:rsidRPr="0093683C">
        <w:t xml:space="preserve">medical benefits payments increase by an average of </w:t>
      </w:r>
      <w:r w:rsidR="00DC4B35" w:rsidRPr="0093683C">
        <w:t>6.5</w:t>
      </w:r>
      <w:r w:rsidRPr="0093683C">
        <w:t xml:space="preserve"> and </w:t>
      </w:r>
      <w:r w:rsidR="00DC4B35" w:rsidRPr="0093683C">
        <w:t>5.</w:t>
      </w:r>
      <w:r w:rsidR="002C6770" w:rsidRPr="0093683C">
        <w:t>4</w:t>
      </w:r>
      <w:r w:rsidRPr="0093683C">
        <w:t xml:space="preserve"> per cent</w:t>
      </w:r>
      <w:r w:rsidR="00676A68" w:rsidRPr="0093683C">
        <w:t xml:space="preserve"> respectively</w:t>
      </w:r>
      <w:r w:rsidRPr="0093683C">
        <w:t>. This reflects the ageing population, rising consumer expectations and the cost of improved medical technology. Other large payments are projected to grow faster than the economy leading to significant fiscal pressures in the medium term</w:t>
      </w:r>
      <w:r w:rsidR="007B4005" w:rsidRPr="0093683C">
        <w:t xml:space="preserve"> (Chart 3.11)</w:t>
      </w:r>
      <w:r w:rsidRPr="0093683C">
        <w:t>.</w:t>
      </w:r>
    </w:p>
    <w:p w14:paraId="67D1C8A6" w14:textId="30755CCC" w:rsidR="008A37C4" w:rsidRPr="0093683C" w:rsidRDefault="008A37C4" w:rsidP="002C6D6A">
      <w:pPr>
        <w:pStyle w:val="ChartHeading"/>
      </w:pPr>
      <w:r w:rsidRPr="0093683C">
        <w:lastRenderedPageBreak/>
        <w:t>Chart 3.</w:t>
      </w:r>
      <w:r w:rsidR="00297CE2" w:rsidRPr="0093683C">
        <w:t>11</w:t>
      </w:r>
      <w:r w:rsidRPr="0093683C">
        <w:t xml:space="preserve">: </w:t>
      </w:r>
      <w:r w:rsidR="002C6D6A" w:rsidRPr="0093683C">
        <w:t>Payments and receipts</w:t>
      </w:r>
    </w:p>
    <w:p w14:paraId="760B8701" w14:textId="66ECB37D" w:rsidR="008A37C4" w:rsidRPr="0093683C" w:rsidRDefault="004D45C5" w:rsidP="00763579">
      <w:pPr>
        <w:pStyle w:val="ChartGraphic"/>
      </w:pPr>
      <w:r>
        <w:rPr>
          <w:noProof/>
        </w:rPr>
        <w:drawing>
          <wp:inline distT="0" distB="0" distL="0" distR="0" wp14:anchorId="08ABC755" wp14:editId="2FB5A7A2">
            <wp:extent cx="4681855" cy="2523490"/>
            <wp:effectExtent l="0" t="0" r="0" b="0"/>
            <wp:docPr id="9" name="Picture 9" descr="This chart shows 2022-23 October Budget projections for total payments and receipts as a share of GDP. Total payments are projected to increase from 25.9 per cent of GDP in 2022-23 to 27.9 per cent of GDP in 2032-33. Total receipts are projected to increase from 24.5 per cent of GDP in 2022-23 to 26 per cent of GDP in 2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is chart shows 2022-23 October Budget projections for total payments and receipts as a share of GDP. Total payments are projected to increase from 25.9 per cent of GDP in 2022-23 to 27.9 per cent of GDP in 2032-33. Total receipts are projected to increase from 24.5 per cent of GDP in 2022-23 to 26 per cent of GDP in 2032-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1855" cy="2523490"/>
                    </a:xfrm>
                    <a:prstGeom prst="rect">
                      <a:avLst/>
                    </a:prstGeom>
                    <a:noFill/>
                    <a:ln>
                      <a:noFill/>
                    </a:ln>
                  </pic:spPr>
                </pic:pic>
              </a:graphicData>
            </a:graphic>
          </wp:inline>
        </w:drawing>
      </w:r>
    </w:p>
    <w:p w14:paraId="3347377C" w14:textId="2175C239" w:rsidR="00C544A2" w:rsidRPr="0093683C" w:rsidRDefault="00C544A2" w:rsidP="00C544A2">
      <w:pPr>
        <w:pStyle w:val="ChartandTableFootnote"/>
        <w:keepNext/>
        <w:rPr>
          <w:color w:val="auto"/>
        </w:rPr>
      </w:pPr>
      <w:r w:rsidRPr="0093683C">
        <w:rPr>
          <w:color w:val="auto"/>
        </w:rPr>
        <w:t xml:space="preserve">Source: </w:t>
      </w:r>
      <w:r w:rsidRPr="0093683C">
        <w:rPr>
          <w:color w:val="auto"/>
        </w:rPr>
        <w:tab/>
        <w:t>Treasury.</w:t>
      </w:r>
    </w:p>
    <w:p w14:paraId="4E286F48" w14:textId="21FE45FE" w:rsidR="004769CD" w:rsidRPr="00F36ADA" w:rsidRDefault="004769CD" w:rsidP="00C544A2">
      <w:pPr>
        <w:pStyle w:val="ChartLine"/>
        <w:rPr>
          <w:color w:val="FF0000"/>
        </w:rPr>
      </w:pPr>
    </w:p>
    <w:p w14:paraId="0041F1D4" w14:textId="2B316BB8" w:rsidR="005075D3" w:rsidRPr="0093683C" w:rsidRDefault="005075D3" w:rsidP="005075D3">
      <w:pPr>
        <w:pStyle w:val="Heading3"/>
      </w:pPr>
      <w:bookmarkStart w:id="5" w:name="_Toc117356560"/>
      <w:r w:rsidRPr="0093683C">
        <w:t>Receipts estimates and projections</w:t>
      </w:r>
      <w:bookmarkEnd w:id="5"/>
    </w:p>
    <w:p w14:paraId="7CE70F3B" w14:textId="70C40645" w:rsidR="005075D3" w:rsidRPr="0093683C" w:rsidRDefault="005075D3" w:rsidP="005075D3">
      <w:r w:rsidRPr="0093683C">
        <w:t xml:space="preserve">Total receipts are expected to increase from </w:t>
      </w:r>
      <w:r w:rsidR="00684991" w:rsidRPr="0093683C" w:rsidDel="00F97385">
        <w:t>24</w:t>
      </w:r>
      <w:r w:rsidR="00684991" w:rsidRPr="0093683C">
        <w:t>.</w:t>
      </w:r>
      <w:r w:rsidR="00BD7021" w:rsidRPr="0093683C">
        <w:t>5</w:t>
      </w:r>
      <w:r w:rsidRPr="0093683C">
        <w:t xml:space="preserve"> per cent of GDP in 2022</w:t>
      </w:r>
      <w:r w:rsidR="00B9531B" w:rsidRPr="0093683C">
        <w:t>–</w:t>
      </w:r>
      <w:r w:rsidRPr="0093683C">
        <w:t xml:space="preserve">23 to </w:t>
      </w:r>
      <w:r w:rsidR="00BD7021" w:rsidRPr="0093683C">
        <w:t>25.2</w:t>
      </w:r>
      <w:r w:rsidRPr="0093683C">
        <w:t> per cent of GDP in 2025</w:t>
      </w:r>
      <w:r w:rsidR="00B9531B" w:rsidRPr="0093683C">
        <w:t>–</w:t>
      </w:r>
      <w:r w:rsidRPr="0093683C">
        <w:t>26.</w:t>
      </w:r>
      <w:r w:rsidR="00931CD6" w:rsidRPr="0093683C">
        <w:t xml:space="preserve"> </w:t>
      </w:r>
      <w:r w:rsidRPr="0093683C">
        <w:t xml:space="preserve">This largely reflects tax receipts, which are expected to increase from </w:t>
      </w:r>
      <w:r w:rsidR="00FE3AFA" w:rsidRPr="0093683C">
        <w:t>22.7</w:t>
      </w:r>
      <w:r w:rsidRPr="0093683C">
        <w:t xml:space="preserve"> per cent of GDP to </w:t>
      </w:r>
      <w:r w:rsidR="00581CB5" w:rsidRPr="0093683C">
        <w:t>23.</w:t>
      </w:r>
      <w:r w:rsidR="00E20BA9" w:rsidRPr="0093683C">
        <w:t>4</w:t>
      </w:r>
      <w:r w:rsidRPr="0093683C">
        <w:t xml:space="preserve"> per cent of GDP over this period. </w:t>
      </w:r>
    </w:p>
    <w:p w14:paraId="474033A2" w14:textId="6521A14D" w:rsidR="005075D3" w:rsidRPr="001324AA" w:rsidRDefault="00091F55" w:rsidP="005075D3">
      <w:r w:rsidRPr="0093683C">
        <w:t>Since PEFO, t</w:t>
      </w:r>
      <w:r w:rsidR="005075D3" w:rsidRPr="0093683C">
        <w:t xml:space="preserve">otal receipts are </w:t>
      </w:r>
      <w:r w:rsidRPr="0093683C">
        <w:t>expected</w:t>
      </w:r>
      <w:r w:rsidR="005075D3" w:rsidRPr="0093683C">
        <w:t xml:space="preserve"> to increase by $</w:t>
      </w:r>
      <w:r w:rsidR="00E474EA" w:rsidRPr="0093683C">
        <w:t>58.7</w:t>
      </w:r>
      <w:r w:rsidR="005075D3" w:rsidRPr="0093683C">
        <w:t xml:space="preserve"> billion in 2022</w:t>
      </w:r>
      <w:r w:rsidR="00B9531B" w:rsidRPr="0093683C">
        <w:t>–</w:t>
      </w:r>
      <w:r w:rsidR="005075D3" w:rsidRPr="0093683C">
        <w:t>23, and by $</w:t>
      </w:r>
      <w:r w:rsidR="000B43D2" w:rsidRPr="0093683C">
        <w:t>157.7</w:t>
      </w:r>
      <w:r w:rsidR="00B309A5" w:rsidRPr="0093683C">
        <w:t> </w:t>
      </w:r>
      <w:r w:rsidR="005075D3" w:rsidRPr="0093683C">
        <w:t>billion over the 4 years to 2025</w:t>
      </w:r>
      <w:r w:rsidR="00B9531B" w:rsidRPr="0093683C">
        <w:t>–</w:t>
      </w:r>
      <w:r w:rsidR="005075D3" w:rsidRPr="0093683C">
        <w:t>26</w:t>
      </w:r>
      <w:r w:rsidR="00535C45" w:rsidRPr="0093683C">
        <w:t xml:space="preserve">, which is largely the result </w:t>
      </w:r>
      <w:r w:rsidR="00935EBD" w:rsidRPr="0093683C">
        <w:t xml:space="preserve">of </w:t>
      </w:r>
      <w:r w:rsidR="00B266C6" w:rsidRPr="0093683C">
        <w:t>t</w:t>
      </w:r>
      <w:r w:rsidR="00F22AB7" w:rsidRPr="0093683C">
        <w:t>ax receipts be</w:t>
      </w:r>
      <w:r w:rsidR="00401994" w:rsidRPr="0093683C">
        <w:t>ing</w:t>
      </w:r>
      <w:r w:rsidR="00F22AB7" w:rsidRPr="0093683C">
        <w:t xml:space="preserve"> revised up </w:t>
      </w:r>
      <w:r w:rsidR="000742E7" w:rsidRPr="0093683C">
        <w:t>since PEFO</w:t>
      </w:r>
      <w:r w:rsidR="00F22AB7" w:rsidRPr="0093683C">
        <w:t xml:space="preserve"> by $</w:t>
      </w:r>
      <w:r w:rsidR="00ED540E" w:rsidRPr="0093683C">
        <w:t>54.</w:t>
      </w:r>
      <w:r w:rsidR="004337C4" w:rsidRPr="0093683C">
        <w:t>4</w:t>
      </w:r>
      <w:r w:rsidR="00ED540E" w:rsidRPr="0093683C">
        <w:t xml:space="preserve"> </w:t>
      </w:r>
      <w:r w:rsidR="00F22AB7" w:rsidRPr="0093683C">
        <w:t>billion in 2022</w:t>
      </w:r>
      <w:r w:rsidR="005E3EBA">
        <w:t>–</w:t>
      </w:r>
      <w:r w:rsidR="00F22AB7" w:rsidRPr="0093683C">
        <w:t>23 and by $</w:t>
      </w:r>
      <w:r w:rsidR="004E6C8A" w:rsidRPr="0093683C">
        <w:t>142.0</w:t>
      </w:r>
      <w:r w:rsidR="00F22AB7" w:rsidRPr="0093683C">
        <w:t xml:space="preserve"> billion over the 4 years to 2025</w:t>
      </w:r>
      <w:r w:rsidR="00ED099A">
        <w:t>–</w:t>
      </w:r>
      <w:r w:rsidR="00F22AB7" w:rsidRPr="0093683C">
        <w:t xml:space="preserve">26. </w:t>
      </w:r>
    </w:p>
    <w:p w14:paraId="0509B6FB" w14:textId="4046546D" w:rsidR="005075D3" w:rsidRPr="00D8709B" w:rsidRDefault="005075D3" w:rsidP="005075D3">
      <w:r w:rsidRPr="0093683C">
        <w:t xml:space="preserve">Strong corporate profits and </w:t>
      </w:r>
      <w:r w:rsidR="00A129EF" w:rsidRPr="0093683C">
        <w:t>higher</w:t>
      </w:r>
      <w:r w:rsidR="00D75177" w:rsidRPr="0093683C">
        <w:t xml:space="preserve"> employment</w:t>
      </w:r>
      <w:r w:rsidRPr="0093683C">
        <w:t xml:space="preserve"> compared to PEFO are resulting in higher company </w:t>
      </w:r>
      <w:r w:rsidR="00963984" w:rsidRPr="0093683C">
        <w:t>and personal income</w:t>
      </w:r>
      <w:r w:rsidRPr="0093683C">
        <w:t xml:space="preserve"> tax receipts</w:t>
      </w:r>
      <w:r w:rsidR="002D1D3B" w:rsidRPr="0093683C">
        <w:t>.</w:t>
      </w:r>
    </w:p>
    <w:p w14:paraId="60BD6897" w14:textId="53FB433D" w:rsidR="005075D3" w:rsidRPr="0093683C" w:rsidRDefault="005075D3" w:rsidP="005075D3">
      <w:r w:rsidRPr="0093683C">
        <w:t xml:space="preserve">Total receipts are now </w:t>
      </w:r>
      <w:r w:rsidR="003B5A84" w:rsidRPr="0093683C">
        <w:t>projected</w:t>
      </w:r>
      <w:r w:rsidRPr="0093683C">
        <w:t xml:space="preserve"> to reach </w:t>
      </w:r>
      <w:r w:rsidR="00951084" w:rsidRPr="0093683C">
        <w:t>26.0</w:t>
      </w:r>
      <w:r w:rsidRPr="0093683C">
        <w:t xml:space="preserve"> per cent of GDP in 2032</w:t>
      </w:r>
      <w:r w:rsidR="00B9531B" w:rsidRPr="0093683C">
        <w:t>–</w:t>
      </w:r>
      <w:r w:rsidRPr="0093683C">
        <w:t>33</w:t>
      </w:r>
      <w:r w:rsidR="0082647D" w:rsidRPr="0093683C">
        <w:t>.</w:t>
      </w:r>
      <w:r w:rsidRPr="0093683C">
        <w:t xml:space="preserve"> Tax receipts reach </w:t>
      </w:r>
      <w:r w:rsidR="00E24C4E" w:rsidRPr="0093683C">
        <w:t>24.1</w:t>
      </w:r>
      <w:r w:rsidRPr="0093683C">
        <w:t xml:space="preserve"> per cent of GDP and non</w:t>
      </w:r>
      <w:r w:rsidR="008C6DA9" w:rsidRPr="0093683C">
        <w:noBreakHyphen/>
      </w:r>
      <w:r w:rsidRPr="0093683C">
        <w:t xml:space="preserve">tax receipts </w:t>
      </w:r>
      <w:r w:rsidR="00762392" w:rsidRPr="0093683C">
        <w:t>1.9</w:t>
      </w:r>
      <w:r w:rsidRPr="0093683C">
        <w:t xml:space="preserve"> per cent of GDP (Chart 3.</w:t>
      </w:r>
      <w:r w:rsidR="00C30BCF" w:rsidRPr="0093683C">
        <w:t>1</w:t>
      </w:r>
      <w:r w:rsidR="002826F3" w:rsidRPr="0093683C">
        <w:t>2</w:t>
      </w:r>
      <w:r w:rsidRPr="0093683C">
        <w:t xml:space="preserve">). </w:t>
      </w:r>
    </w:p>
    <w:p w14:paraId="5D62458A" w14:textId="19186814" w:rsidR="005075D3" w:rsidRPr="0093683C" w:rsidRDefault="005075D3" w:rsidP="0001735D">
      <w:pPr>
        <w:pStyle w:val="ChartHeading"/>
      </w:pPr>
      <w:r w:rsidRPr="0093683C">
        <w:lastRenderedPageBreak/>
        <w:t>Chart 3.</w:t>
      </w:r>
      <w:r w:rsidR="00C30BCF" w:rsidRPr="0093683C">
        <w:t>1</w:t>
      </w:r>
      <w:r w:rsidR="00E01D03" w:rsidRPr="0093683C">
        <w:t>2</w:t>
      </w:r>
      <w:r w:rsidRPr="0093683C">
        <w:t>: Total receipts</w:t>
      </w:r>
    </w:p>
    <w:p w14:paraId="1E12B36D" w14:textId="6028710E" w:rsidR="00990925" w:rsidRPr="0093683C" w:rsidRDefault="005C191D" w:rsidP="007B4005">
      <w:pPr>
        <w:pStyle w:val="ChartGraphic"/>
      </w:pPr>
      <w:r>
        <w:rPr>
          <w:noProof/>
        </w:rPr>
        <w:drawing>
          <wp:inline distT="0" distB="0" distL="0" distR="0" wp14:anchorId="59456C01" wp14:editId="7ABF15B2">
            <wp:extent cx="4681855" cy="2524125"/>
            <wp:effectExtent l="0" t="0" r="0" b="9525"/>
            <wp:docPr id="25" name="Picture 25" descr="This chart shows projections for total receipts and tax receipts as a share of GDP at the 2022-23 October Budget and 2022 PEFO. At the 2022-23 October Budget total receipts are expected to increase from 24.5 per cent of GDP in 2022-23 to 26 per cent of GDP at the end of the medium term. Tax receipts are expected to increase from 22.7 per cent of GDP in 2022-23 to 24.1 per cent of GDP at the end of the medium term. Both of these are higher than at the 2022 PEF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his chart shows projections for total receipts and tax receipts as a share of GDP at the 2022-23 October Budget and 2022 PEFO. At the 2022-23 October Budget total receipts are expected to increase from 24.5 per cent of GDP in 2022-23 to 26 per cent of GDP at the end of the medium term. Tax receipts are expected to increase from 22.7 per cent of GDP in 2022-23 to 24.1 per cent of GDP at the end of the medium term. Both of these are higher than at the 2022 PEFO.&#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1855" cy="2524125"/>
                    </a:xfrm>
                    <a:prstGeom prst="rect">
                      <a:avLst/>
                    </a:prstGeom>
                    <a:noFill/>
                  </pic:spPr>
                </pic:pic>
              </a:graphicData>
            </a:graphic>
          </wp:inline>
        </w:drawing>
      </w:r>
    </w:p>
    <w:p w14:paraId="4E7A0C7A" w14:textId="585D8A1A" w:rsidR="00783293" w:rsidRPr="0093683C" w:rsidRDefault="00783293" w:rsidP="00783293">
      <w:pPr>
        <w:pStyle w:val="ChartandTableFootnote"/>
        <w:keepNext/>
        <w:rPr>
          <w:color w:val="auto"/>
        </w:rPr>
      </w:pPr>
      <w:r w:rsidRPr="0093683C">
        <w:rPr>
          <w:color w:val="auto"/>
        </w:rPr>
        <w:t xml:space="preserve">Source: </w:t>
      </w:r>
      <w:r w:rsidRPr="0093683C">
        <w:rPr>
          <w:color w:val="auto"/>
        </w:rPr>
        <w:tab/>
        <w:t>Treasury.</w:t>
      </w:r>
    </w:p>
    <w:p w14:paraId="3B3D80C8" w14:textId="794E82C2" w:rsidR="00B3694A" w:rsidRPr="00F36ADA" w:rsidRDefault="00B3694A" w:rsidP="00B3694A">
      <w:pPr>
        <w:pStyle w:val="ChartLine"/>
        <w:rPr>
          <w:color w:val="FF0000"/>
        </w:rPr>
      </w:pPr>
    </w:p>
    <w:p w14:paraId="4182580A" w14:textId="094D65FE" w:rsidR="005075D3" w:rsidRPr="0093683C" w:rsidRDefault="005075D3" w:rsidP="005075D3">
      <w:pPr>
        <w:pStyle w:val="Heading4"/>
        <w:spacing w:after="240"/>
      </w:pPr>
      <w:r w:rsidRPr="0093683C">
        <w:t>Receipts policy decisions over the forward estimates</w:t>
      </w:r>
    </w:p>
    <w:p w14:paraId="40785A3D" w14:textId="64A782AF" w:rsidR="005075D3" w:rsidRPr="0093683C" w:rsidRDefault="005075D3" w:rsidP="005075D3">
      <w:r w:rsidRPr="0093683C">
        <w:t>Policy decisions in this Budget have increased total receipts by $</w:t>
      </w:r>
      <w:r w:rsidR="000254FA" w:rsidRPr="0093683C">
        <w:t>1</w:t>
      </w:r>
      <w:r w:rsidR="00C71B92" w:rsidRPr="0093683C">
        <w:t>.4</w:t>
      </w:r>
      <w:r w:rsidRPr="0093683C">
        <w:t xml:space="preserve"> billion in 2022</w:t>
      </w:r>
      <w:r w:rsidR="00B9531B" w:rsidRPr="0093683C">
        <w:t>–</w:t>
      </w:r>
      <w:r w:rsidRPr="0093683C">
        <w:t>23 and by $</w:t>
      </w:r>
      <w:r w:rsidR="00C71B92" w:rsidRPr="0093683C">
        <w:t>13.1</w:t>
      </w:r>
      <w:r w:rsidRPr="0093683C">
        <w:t xml:space="preserve"> billion over the 4 years to 2025</w:t>
      </w:r>
      <w:r w:rsidR="00B9531B" w:rsidRPr="0093683C">
        <w:t>–</w:t>
      </w:r>
      <w:r w:rsidRPr="0093683C">
        <w:t>26.</w:t>
      </w:r>
      <w:r w:rsidRPr="00F95A31">
        <w:t xml:space="preserve"> </w:t>
      </w:r>
      <w:r w:rsidRPr="0093683C">
        <w:t>Policy decisions taken since PEFO increased tax receipts by $</w:t>
      </w:r>
      <w:r w:rsidR="00195CBB" w:rsidRPr="0093683C">
        <w:t>9.5</w:t>
      </w:r>
      <w:r w:rsidRPr="0093683C">
        <w:t xml:space="preserve"> billion over the 4 years to 2025</w:t>
      </w:r>
      <w:r w:rsidR="00B9531B" w:rsidRPr="0093683C">
        <w:t>–</w:t>
      </w:r>
      <w:r w:rsidRPr="0093683C">
        <w:t xml:space="preserve">26. </w:t>
      </w:r>
    </w:p>
    <w:p w14:paraId="642AB17F" w14:textId="602AE8EB" w:rsidR="005075D3" w:rsidRPr="00EA29FB" w:rsidRDefault="005075D3" w:rsidP="005075D3">
      <w:r w:rsidRPr="0093683C">
        <w:t>Key receipts measures include:</w:t>
      </w:r>
      <w:r w:rsidR="00E469C9" w:rsidRPr="0093683C">
        <w:t xml:space="preserve"> </w:t>
      </w:r>
    </w:p>
    <w:p w14:paraId="54E83F16" w14:textId="7F7C5738" w:rsidR="007C53A2" w:rsidRPr="0093683C" w:rsidRDefault="007C53A2" w:rsidP="007C53A2">
      <w:pPr>
        <w:pStyle w:val="Bullet"/>
      </w:pPr>
      <w:r w:rsidRPr="0093683C">
        <w:t xml:space="preserve">Extending </w:t>
      </w:r>
      <w:r w:rsidR="007C2B11" w:rsidRPr="0093683C">
        <w:t>3</w:t>
      </w:r>
      <w:r w:rsidRPr="0093683C">
        <w:t xml:space="preserve"> existing ATO compliance programs, including the ATO’s Tax Avoidance Taskforce, Shadow </w:t>
      </w:r>
      <w:proofErr w:type="gramStart"/>
      <w:r w:rsidRPr="0093683C">
        <w:t>Economy</w:t>
      </w:r>
      <w:proofErr w:type="gramEnd"/>
      <w:r w:rsidRPr="0093683C">
        <w:t xml:space="preserve"> and Personal Income Taxation Compliance programs. These measures are estimated to increase receipts by $5.6 billion over the 4</w:t>
      </w:r>
      <w:r w:rsidR="00D616D1" w:rsidRPr="0093683C">
        <w:t> </w:t>
      </w:r>
      <w:r w:rsidRPr="0093683C">
        <w:t xml:space="preserve">years from 2022–23, </w:t>
      </w:r>
      <w:r w:rsidR="006D474C" w:rsidRPr="0093683C">
        <w:t xml:space="preserve">partially </w:t>
      </w:r>
      <w:r w:rsidRPr="0093683C">
        <w:t>offset by an associated increase in departmental expenses of $1.5</w:t>
      </w:r>
      <w:r w:rsidR="00D616D1" w:rsidRPr="0093683C">
        <w:t> </w:t>
      </w:r>
      <w:r w:rsidRPr="0093683C">
        <w:t xml:space="preserve">billion and GST payments of $442.3 million. </w:t>
      </w:r>
    </w:p>
    <w:p w14:paraId="6CC902AF" w14:textId="5473F49F" w:rsidR="007C53A2" w:rsidRPr="0093683C" w:rsidRDefault="007C53A2" w:rsidP="007C53A2">
      <w:pPr>
        <w:pStyle w:val="Bullet"/>
      </w:pPr>
      <w:r w:rsidRPr="0093683C">
        <w:t>Increasing the 2022</w:t>
      </w:r>
      <w:r w:rsidR="00B9531B" w:rsidRPr="0093683C">
        <w:t>–</w:t>
      </w:r>
      <w:r w:rsidRPr="0093683C">
        <w:t>23 permanent Migration Program planning level from 160,000 to 195,000, with priority given to offshore applicants and on</w:t>
      </w:r>
      <w:r w:rsidR="008C6DA9" w:rsidRPr="0093683C">
        <w:noBreakHyphen/>
      </w:r>
      <w:r w:rsidRPr="0093683C">
        <w:t>hand applications for the Skilled Independent visa – New</w:t>
      </w:r>
      <w:r w:rsidR="000122FE" w:rsidRPr="0093683C">
        <w:t> </w:t>
      </w:r>
      <w:r w:rsidRPr="0093683C">
        <w:t>Zealand stream. This measure is estimated to increase receipts by $935.0 million over the 4 years from 2022</w:t>
      </w:r>
      <w:r w:rsidR="00B9531B" w:rsidRPr="0093683C">
        <w:t>–</w:t>
      </w:r>
      <w:r w:rsidRPr="0093683C">
        <w:t>23</w:t>
      </w:r>
      <w:r w:rsidR="00AA128C" w:rsidRPr="0093683C">
        <w:t xml:space="preserve">, </w:t>
      </w:r>
      <w:r w:rsidR="00EE5AC5" w:rsidRPr="0093683C">
        <w:t>partially</w:t>
      </w:r>
      <w:r w:rsidR="00AA128C" w:rsidRPr="0093683C">
        <w:t xml:space="preserve"> offset by an associated increase in payments of $487.2 million</w:t>
      </w:r>
      <w:r w:rsidRPr="0093683C">
        <w:t>.</w:t>
      </w:r>
    </w:p>
    <w:p w14:paraId="7678EFA7" w14:textId="727F53A2" w:rsidR="007C53A2" w:rsidRPr="0093683C" w:rsidRDefault="007C53A2" w:rsidP="007C53A2">
      <w:pPr>
        <w:pStyle w:val="Bullet"/>
      </w:pPr>
      <w:r w:rsidRPr="0093683C">
        <w:t>Ensuring multinationals pay their fair share of tax, including limiting the amount of debt</w:t>
      </w:r>
      <w:r w:rsidR="008C6DA9" w:rsidRPr="0093683C">
        <w:noBreakHyphen/>
      </w:r>
      <w:r w:rsidRPr="0093683C">
        <w:t>related deductions multinationals can claim and closing loopholes on the use of intangibles and intellectual property. These measures are estimated to increase receipts by $970</w:t>
      </w:r>
      <w:r w:rsidR="00D00448" w:rsidRPr="0093683C">
        <w:t>.0</w:t>
      </w:r>
      <w:r w:rsidRPr="0093683C">
        <w:t xml:space="preserve"> million over the 4 years from 2022–23.</w:t>
      </w:r>
    </w:p>
    <w:p w14:paraId="188ED215" w14:textId="6ECFEAB2" w:rsidR="001B773D" w:rsidRPr="0093683C" w:rsidRDefault="001B773D" w:rsidP="001B773D">
      <w:r w:rsidRPr="0093683C">
        <w:t>Since PEFO, policy decisions are expected to increase non</w:t>
      </w:r>
      <w:r w:rsidRPr="0093683C">
        <w:noBreakHyphen/>
        <w:t>tax receipts by $0.9 billion in 2022</w:t>
      </w:r>
      <w:r w:rsidR="005E3EBA">
        <w:t>–</w:t>
      </w:r>
      <w:r w:rsidRPr="0093683C">
        <w:t>23, and by $3.5 billion over the 4 years to 2025</w:t>
      </w:r>
      <w:r w:rsidR="005E3EBA">
        <w:t>–</w:t>
      </w:r>
      <w:r w:rsidRPr="0093683C">
        <w:t>26. T</w:t>
      </w:r>
      <w:r w:rsidR="008F4E39" w:rsidRPr="0093683C">
        <w:t xml:space="preserve">he largest contributor for </w:t>
      </w:r>
      <w:r w:rsidR="000858DA" w:rsidRPr="0093683C">
        <w:t>t</w:t>
      </w:r>
      <w:r w:rsidRPr="0093683C">
        <w:t>his movement is driven by the expected earnings of the Housing Australia Future Fund,</w:t>
      </w:r>
      <w:r>
        <w:t xml:space="preserve"> </w:t>
      </w:r>
      <w:r w:rsidRPr="0093683C">
        <w:t xml:space="preserve">as </w:t>
      </w:r>
      <w:r w:rsidRPr="0093683C">
        <w:lastRenderedPageBreak/>
        <w:t>announced in the 2022</w:t>
      </w:r>
      <w:r w:rsidR="005E3EBA">
        <w:t>–</w:t>
      </w:r>
      <w:r w:rsidRPr="0093683C">
        <w:t xml:space="preserve">23 October Budget measure </w:t>
      </w:r>
      <w:r w:rsidRPr="0093683C">
        <w:rPr>
          <w:i/>
        </w:rPr>
        <w:t>Safer and More Affordable Housing</w:t>
      </w:r>
      <w:r w:rsidR="00542AA2" w:rsidRPr="0093683C">
        <w:t>, which will fund the delivery of 30,000 social and affordable homes over 5 years.</w:t>
      </w:r>
    </w:p>
    <w:p w14:paraId="3A1E1F36" w14:textId="22C631F5" w:rsidR="005075D3" w:rsidRPr="0093683C" w:rsidRDefault="005075D3" w:rsidP="005075D3">
      <w:r w:rsidRPr="0093683C">
        <w:t xml:space="preserve">Further details of Government policy decisions are provided in </w:t>
      </w:r>
      <w:r w:rsidRPr="0093683C">
        <w:rPr>
          <w:i/>
        </w:rPr>
        <w:t>Budget Paper No. 2</w:t>
      </w:r>
      <w:r w:rsidRPr="0093683C">
        <w:t>,</w:t>
      </w:r>
      <w:r w:rsidRPr="0093683C">
        <w:rPr>
          <w:i/>
        </w:rPr>
        <w:t xml:space="preserve"> Budget Measures 2022</w:t>
      </w:r>
      <w:r w:rsidR="00B9531B" w:rsidRPr="0093683C">
        <w:rPr>
          <w:i/>
        </w:rPr>
        <w:t>–</w:t>
      </w:r>
      <w:r w:rsidRPr="0093683C">
        <w:rPr>
          <w:i/>
        </w:rPr>
        <w:t>23</w:t>
      </w:r>
      <w:r w:rsidRPr="0093683C">
        <w:t>.</w:t>
      </w:r>
    </w:p>
    <w:p w14:paraId="30A01B35" w14:textId="77777777" w:rsidR="005075D3" w:rsidRPr="0093683C" w:rsidRDefault="005075D3" w:rsidP="005075D3">
      <w:pPr>
        <w:pStyle w:val="Heading4"/>
        <w:spacing w:after="240"/>
      </w:pPr>
      <w:r w:rsidRPr="0093683C">
        <w:t>Receipts parameter and other variations over the forward estimates</w:t>
      </w:r>
    </w:p>
    <w:p w14:paraId="094089C3" w14:textId="77777777" w:rsidR="005075D3" w:rsidRPr="0093683C" w:rsidRDefault="005075D3" w:rsidP="005075D3">
      <w:r w:rsidRPr="0093683C">
        <w:t>Parameter and other variations have increased total receipts since PEFO by $</w:t>
      </w:r>
      <w:r w:rsidR="009D00C6" w:rsidRPr="0093683C">
        <w:t>57.3</w:t>
      </w:r>
      <w:r w:rsidRPr="0093683C">
        <w:t> billion in 2022</w:t>
      </w:r>
      <w:r w:rsidR="00B9531B" w:rsidRPr="0093683C">
        <w:t>–</w:t>
      </w:r>
      <w:r w:rsidRPr="0093683C">
        <w:t>23 and by $</w:t>
      </w:r>
      <w:r w:rsidR="008C144B" w:rsidRPr="0093683C">
        <w:t>144.6</w:t>
      </w:r>
      <w:r w:rsidRPr="0093683C">
        <w:t xml:space="preserve"> billion over the 4 years to 2025</w:t>
      </w:r>
      <w:r w:rsidR="00B9531B" w:rsidRPr="0093683C">
        <w:t>–</w:t>
      </w:r>
      <w:r w:rsidRPr="0093683C">
        <w:t>26.</w:t>
      </w:r>
      <w:r w:rsidR="008E0C32" w:rsidRPr="0093683C">
        <w:t xml:space="preserve"> </w:t>
      </w:r>
    </w:p>
    <w:p w14:paraId="0BF1B896" w14:textId="63EC0BC2" w:rsidR="005075D3" w:rsidRPr="0093683C" w:rsidRDefault="005075D3" w:rsidP="005075D3">
      <w:r w:rsidRPr="0093683C">
        <w:t>The increase in total receipts due to parameter and other variations primarily reflects tax receipts,</w:t>
      </w:r>
      <w:r w:rsidR="009D1473" w:rsidRPr="0093683C">
        <w:t xml:space="preserve"> </w:t>
      </w:r>
      <w:r w:rsidRPr="0093683C">
        <w:t>which have been revised up by $</w:t>
      </w:r>
      <w:r w:rsidR="0010560A" w:rsidRPr="0093683C">
        <w:t>5</w:t>
      </w:r>
      <w:r w:rsidR="003D01C6" w:rsidRPr="0093683C">
        <w:t>3.9</w:t>
      </w:r>
      <w:r w:rsidRPr="0093683C">
        <w:t> billion in 2022</w:t>
      </w:r>
      <w:r w:rsidR="00B9531B" w:rsidRPr="0093683C">
        <w:t>–</w:t>
      </w:r>
      <w:r w:rsidRPr="0093683C">
        <w:t>23 and by $</w:t>
      </w:r>
      <w:r w:rsidR="0010560A" w:rsidRPr="0093683C">
        <w:t>1</w:t>
      </w:r>
      <w:r w:rsidR="00EF72A2" w:rsidRPr="0093683C">
        <w:t>32.5</w:t>
      </w:r>
      <w:r w:rsidRPr="0093683C">
        <w:t> billion over the 4 years to 2025</w:t>
      </w:r>
      <w:r w:rsidR="00B9531B" w:rsidRPr="0093683C">
        <w:t>–</w:t>
      </w:r>
      <w:r w:rsidRPr="0093683C">
        <w:t xml:space="preserve">26. </w:t>
      </w:r>
    </w:p>
    <w:p w14:paraId="5343158D" w14:textId="4DF7D957" w:rsidR="005075D3" w:rsidRPr="00D8709B" w:rsidRDefault="005075D3" w:rsidP="005075D3">
      <w:r w:rsidRPr="0093683C">
        <w:t xml:space="preserve">The upward tax receipts revision is primarily driven by corporate profits leading to higher company tax receipts. High commodity prices and appreciation in the US dollar are driving stronger corporate profits for Australia’s commodity </w:t>
      </w:r>
      <w:proofErr w:type="gramStart"/>
      <w:r w:rsidRPr="0093683C">
        <w:t>exporters,</w:t>
      </w:r>
      <w:r w:rsidR="005A7D0C" w:rsidRPr="0093683C">
        <w:t xml:space="preserve"> </w:t>
      </w:r>
      <w:r w:rsidRPr="0093683C">
        <w:t xml:space="preserve"> supporting</w:t>
      </w:r>
      <w:proofErr w:type="gramEnd"/>
      <w:r w:rsidRPr="0093683C">
        <w:t xml:space="preserve"> company tax receipts.</w:t>
      </w:r>
      <w:r w:rsidR="00322DFF" w:rsidRPr="0093683C">
        <w:t xml:space="preserve"> </w:t>
      </w:r>
      <w:r w:rsidRPr="0093683C">
        <w:t xml:space="preserve"> Higher employment leading to higher personal income tax receipts is also driving upward tax receipts revisions.</w:t>
      </w:r>
      <w:r w:rsidR="00D4029A" w:rsidRPr="0093683C">
        <w:t xml:space="preserve"> </w:t>
      </w:r>
      <w:r w:rsidR="00725366" w:rsidRPr="0093683C">
        <w:t xml:space="preserve">Around two-thirds of the increase in tax receipts due to parameter and other variations is concentrated in the first 2 years. The near-term strength in tax receipts recedes in the later years of the forward estimates period as </w:t>
      </w:r>
      <w:proofErr w:type="gramStart"/>
      <w:r w:rsidR="00725366" w:rsidRPr="0093683C">
        <w:t>a number of</w:t>
      </w:r>
      <w:proofErr w:type="gramEnd"/>
      <w:r w:rsidR="00725366" w:rsidRPr="0093683C">
        <w:t xml:space="preserve"> the factors supporting higher tax receipts are expected to moderate. </w:t>
      </w:r>
    </w:p>
    <w:p w14:paraId="4F9EB1DD" w14:textId="7B38ED5E" w:rsidR="005075D3" w:rsidRPr="0093683C" w:rsidRDefault="00C80D16" w:rsidP="005075D3">
      <w:r w:rsidRPr="0093683C">
        <w:t>Since PEFO, parameter and other variations are expected to increase non</w:t>
      </w:r>
      <w:r w:rsidRPr="0093683C">
        <w:noBreakHyphen/>
        <w:t>taxation receipts by $</w:t>
      </w:r>
      <w:r w:rsidR="00233DD0" w:rsidRPr="0093683C">
        <w:t>3.3</w:t>
      </w:r>
      <w:r w:rsidRPr="0093683C">
        <w:t> billion in 2022</w:t>
      </w:r>
      <w:r w:rsidR="005E3EBA">
        <w:t>–</w:t>
      </w:r>
      <w:r w:rsidRPr="0093683C">
        <w:t>23, and by $</w:t>
      </w:r>
      <w:r w:rsidR="00414045" w:rsidRPr="0093683C">
        <w:t>12.2</w:t>
      </w:r>
      <w:r w:rsidRPr="0093683C">
        <w:t> billion over the 4 years to 2025</w:t>
      </w:r>
      <w:r w:rsidR="005E3EBA">
        <w:t>–</w:t>
      </w:r>
      <w:r w:rsidRPr="0093683C">
        <w:t>26. This movement is driven by higher</w:t>
      </w:r>
      <w:r w:rsidRPr="0093683C">
        <w:noBreakHyphen/>
        <w:t>than-expected earnings from the Future Fund, higher earnings from interest on cash deposits due to the rise in short</w:t>
      </w:r>
      <w:r w:rsidRPr="0093683C">
        <w:noBreakHyphen/>
        <w:t>term interest rates, and an expected increase in petroleum royalties</w:t>
      </w:r>
      <w:r w:rsidRPr="0093683C">
        <w:rPr>
          <w:rFonts w:ascii="Book Antiqua" w:hAnsi="Book Antiqua"/>
          <w:sz w:val="20"/>
        </w:rPr>
        <w:t>.</w:t>
      </w:r>
    </w:p>
    <w:p w14:paraId="161A5DDA" w14:textId="1E74A05E" w:rsidR="005075D3" w:rsidRPr="0093683C" w:rsidRDefault="005075D3" w:rsidP="005075D3">
      <w:r w:rsidRPr="0093683C">
        <w:t xml:space="preserve">Further information on expected receipts is provided in </w:t>
      </w:r>
      <w:r w:rsidRPr="0093683C">
        <w:rPr>
          <w:i/>
        </w:rPr>
        <w:t>Statement 5:</w:t>
      </w:r>
      <w:r w:rsidRPr="0093683C">
        <w:t xml:space="preserve"> </w:t>
      </w:r>
      <w:r w:rsidRPr="0093683C">
        <w:rPr>
          <w:i/>
        </w:rPr>
        <w:t xml:space="preserve">Revenue. </w:t>
      </w:r>
      <w:r w:rsidRPr="0093683C">
        <w:t xml:space="preserve">Analysis of the sensitivity of the receipts estimates to changes in the economic outlook is provided in </w:t>
      </w:r>
      <w:r w:rsidRPr="0093683C">
        <w:rPr>
          <w:i/>
        </w:rPr>
        <w:t>Statement 8: Forecasting Performance and Sensitivity Analysis</w:t>
      </w:r>
      <w:r w:rsidRPr="0093683C">
        <w:t xml:space="preserve">. </w:t>
      </w:r>
    </w:p>
    <w:p w14:paraId="0C8F439F" w14:textId="77777777" w:rsidR="00726AAB" w:rsidRPr="0093683C" w:rsidRDefault="00726AAB" w:rsidP="00726AAB">
      <w:pPr>
        <w:pStyle w:val="Heading3"/>
        <w:spacing w:before="0" w:after="240"/>
      </w:pPr>
      <w:bookmarkStart w:id="6" w:name="_Toc117356561"/>
      <w:r w:rsidRPr="0093683C">
        <w:t>Payments estimates and projections</w:t>
      </w:r>
      <w:bookmarkEnd w:id="6"/>
    </w:p>
    <w:p w14:paraId="6F21F2EA" w14:textId="159341B9" w:rsidR="00725366" w:rsidRPr="0093683C" w:rsidRDefault="00A56704" w:rsidP="00726AAB">
      <w:r w:rsidRPr="0093683C">
        <w:t>Since PEFO, total payments have increased by $</w:t>
      </w:r>
      <w:r w:rsidR="001D4406" w:rsidRPr="0093683C">
        <w:t>17.6</w:t>
      </w:r>
      <w:r w:rsidRPr="0093683C">
        <w:t xml:space="preserve"> billion in 2022</w:t>
      </w:r>
      <w:r w:rsidR="00B9531B" w:rsidRPr="0093683C">
        <w:t>–</w:t>
      </w:r>
      <w:r w:rsidRPr="0093683C">
        <w:t>23 and by $</w:t>
      </w:r>
      <w:r w:rsidR="004D4D34" w:rsidRPr="0093683C">
        <w:t>115.</w:t>
      </w:r>
      <w:r w:rsidR="00F0535C" w:rsidRPr="0093683C">
        <w:t>0</w:t>
      </w:r>
      <w:r w:rsidRPr="0093683C">
        <w:t xml:space="preserve"> billion over the 4 years to 2025</w:t>
      </w:r>
      <w:r w:rsidR="00B9531B" w:rsidRPr="0093683C">
        <w:t>–</w:t>
      </w:r>
      <w:r w:rsidRPr="0093683C">
        <w:t xml:space="preserve">26. </w:t>
      </w:r>
      <w:r w:rsidR="00725366" w:rsidRPr="0093683C">
        <w:t>Real payments are falling in 2022</w:t>
      </w:r>
      <w:r w:rsidR="005E3EBA">
        <w:t>–</w:t>
      </w:r>
      <w:r w:rsidR="00725366" w:rsidRPr="0093683C">
        <w:t xml:space="preserve">23 and </w:t>
      </w:r>
      <w:r w:rsidR="00A079BF" w:rsidRPr="0093683C">
        <w:t>2023</w:t>
      </w:r>
      <w:r w:rsidR="005E3EBA">
        <w:t>–</w:t>
      </w:r>
      <w:proofErr w:type="gramStart"/>
      <w:r w:rsidR="00A079BF" w:rsidRPr="0093683C">
        <w:t>24</w:t>
      </w:r>
      <w:r w:rsidR="00725366" w:rsidRPr="0093683C">
        <w:t>, and</w:t>
      </w:r>
      <w:proofErr w:type="gramEnd"/>
      <w:r w:rsidR="00725366" w:rsidRPr="0093683C">
        <w:t xml:space="preserve"> are </w:t>
      </w:r>
      <w:r w:rsidR="00D169A7" w:rsidRPr="0093683C">
        <w:t>broadly stable across the forward estimates.</w:t>
      </w:r>
    </w:p>
    <w:p w14:paraId="0470F824" w14:textId="130AB9C4" w:rsidR="005D2707" w:rsidRPr="0093683C" w:rsidDel="0090567D" w:rsidRDefault="005D2707" w:rsidP="00726AAB">
      <w:r w:rsidRPr="0093683C">
        <w:t>By 2032</w:t>
      </w:r>
      <w:r w:rsidR="00B9531B" w:rsidRPr="0093683C">
        <w:t>–</w:t>
      </w:r>
      <w:r w:rsidRPr="0093683C">
        <w:t>33</w:t>
      </w:r>
      <w:r w:rsidR="0052621A" w:rsidRPr="0093683C">
        <w:t>,</w:t>
      </w:r>
      <w:r w:rsidRPr="0093683C">
        <w:t xml:space="preserve"> payments are </w:t>
      </w:r>
      <w:r w:rsidR="00DB0527" w:rsidRPr="0093683C">
        <w:t>projected</w:t>
      </w:r>
      <w:r w:rsidRPr="0093683C">
        <w:t xml:space="preserve"> to be </w:t>
      </w:r>
      <w:r w:rsidR="00273791" w:rsidRPr="0093683C">
        <w:t>27.9</w:t>
      </w:r>
      <w:r w:rsidR="00D616D1" w:rsidRPr="0093683C">
        <w:t> </w:t>
      </w:r>
      <w:r w:rsidRPr="0093683C">
        <w:t>per cent of GDP</w:t>
      </w:r>
      <w:r w:rsidR="00522D13" w:rsidRPr="0093683C">
        <w:t xml:space="preserve"> </w:t>
      </w:r>
      <w:r w:rsidRPr="0093683C">
        <w:t>(</w:t>
      </w:r>
      <w:r w:rsidR="000A6BC9" w:rsidRPr="0093683C">
        <w:t>Chart 3.</w:t>
      </w:r>
      <w:r w:rsidRPr="0093683C">
        <w:t>1</w:t>
      </w:r>
      <w:r w:rsidR="00E01D03" w:rsidRPr="0093683C">
        <w:t>3</w:t>
      </w:r>
      <w:r w:rsidRPr="0093683C">
        <w:t>)</w:t>
      </w:r>
      <w:r w:rsidR="00E97841" w:rsidRPr="0093683C">
        <w:t>.</w:t>
      </w:r>
    </w:p>
    <w:p w14:paraId="7CEC3DBD" w14:textId="7D024476" w:rsidR="000A6BC9" w:rsidRPr="0093683C" w:rsidRDefault="000A6BC9" w:rsidP="00D616D1">
      <w:pPr>
        <w:pStyle w:val="ChartHeading"/>
      </w:pPr>
      <w:r w:rsidRPr="0093683C">
        <w:lastRenderedPageBreak/>
        <w:t>Chart 3.</w:t>
      </w:r>
      <w:r w:rsidR="00C30BCF" w:rsidRPr="0093683C">
        <w:t>1</w:t>
      </w:r>
      <w:r w:rsidR="00E01D03" w:rsidRPr="0093683C">
        <w:t>3</w:t>
      </w:r>
      <w:r w:rsidRPr="0093683C">
        <w:t>: Total payments</w:t>
      </w:r>
    </w:p>
    <w:p w14:paraId="0E097280" w14:textId="5A229E84" w:rsidR="000A6BC9" w:rsidRPr="0093683C" w:rsidRDefault="00B45457" w:rsidP="000A6BC9">
      <w:pPr>
        <w:pStyle w:val="ChartGraphic"/>
      </w:pPr>
      <w:r>
        <w:rPr>
          <w:noProof/>
        </w:rPr>
        <w:drawing>
          <wp:inline distT="0" distB="0" distL="0" distR="0" wp14:anchorId="3679514B" wp14:editId="1079F164">
            <wp:extent cx="4674235" cy="2479675"/>
            <wp:effectExtent l="0" t="0" r="0" b="0"/>
            <wp:docPr id="11" name="Picture 11" descr="This chart compares projections of payments as a share of GDP at the 2022-23 October Budget and 2022 PEFO. In the 2022-23 October Budget, total payments are expected to increase from 25.9 per cent of GDP in 2022-23 to 27.9 per cent by the end of the medium term. At PEFO, total payments were projected to decrease from 27.8 per cent of GDP in 2022-23 to 26.5 per cent of GDP by the end of the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his chart compares projections of payments as a share of GDP at the 2022-23 October Budget and 2022 PEFO. In the 2022-23 October Budget, total payments are expected to increase from 25.9 per cent of GDP in 2022-23 to 27.9 per cent by the end of the medium term. At PEFO, total payments were projected to decrease from 27.8 per cent of GDP in 2022-23 to 26.5 per cent of GDP by the end of the medium ter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4235" cy="2479675"/>
                    </a:xfrm>
                    <a:prstGeom prst="rect">
                      <a:avLst/>
                    </a:prstGeom>
                    <a:noFill/>
                    <a:ln>
                      <a:noFill/>
                    </a:ln>
                  </pic:spPr>
                </pic:pic>
              </a:graphicData>
            </a:graphic>
          </wp:inline>
        </w:drawing>
      </w:r>
    </w:p>
    <w:p w14:paraId="1B7A4F46" w14:textId="77777777" w:rsidR="000A6BC9" w:rsidRPr="0093683C" w:rsidRDefault="000A6BC9" w:rsidP="00B3694A">
      <w:pPr>
        <w:pStyle w:val="ChartandTableFootnote"/>
        <w:rPr>
          <w:color w:val="auto"/>
        </w:rPr>
      </w:pPr>
      <w:r w:rsidRPr="0093683C">
        <w:rPr>
          <w:color w:val="auto"/>
        </w:rPr>
        <w:t xml:space="preserve">Source: </w:t>
      </w:r>
      <w:r w:rsidRPr="0093683C">
        <w:rPr>
          <w:color w:val="auto"/>
        </w:rPr>
        <w:tab/>
        <w:t>Treasury.</w:t>
      </w:r>
    </w:p>
    <w:p w14:paraId="3E4001CD" w14:textId="5B095A60" w:rsidR="00B3694A" w:rsidRPr="0093683C" w:rsidRDefault="00B3694A" w:rsidP="00B3694A">
      <w:pPr>
        <w:pStyle w:val="ChartLine"/>
      </w:pPr>
    </w:p>
    <w:p w14:paraId="3891F95A" w14:textId="16FB714F" w:rsidR="00726AAB" w:rsidRPr="0093683C" w:rsidRDefault="00726AAB" w:rsidP="00726AAB">
      <w:pPr>
        <w:pStyle w:val="Heading4"/>
      </w:pPr>
      <w:r w:rsidRPr="0093683C">
        <w:t>Payment policy decisions over the forward estimates</w:t>
      </w:r>
    </w:p>
    <w:p w14:paraId="5317D067" w14:textId="2592EA87" w:rsidR="001B773D" w:rsidRPr="0093683C" w:rsidRDefault="001B773D" w:rsidP="001B773D">
      <w:r w:rsidRPr="0093683C">
        <w:t>New policy decisions since PEFO have increased total payments by $2.5 billion in 2022</w:t>
      </w:r>
      <w:r w:rsidR="005E3EBA">
        <w:t>–</w:t>
      </w:r>
      <w:r w:rsidRPr="0093683C">
        <w:t>23 and by $22.9 billion over the 4 years to 2025</w:t>
      </w:r>
      <w:r w:rsidR="005E3EBA">
        <w:t>–</w:t>
      </w:r>
      <w:r w:rsidRPr="0093683C">
        <w:t xml:space="preserve">26. </w:t>
      </w:r>
    </w:p>
    <w:p w14:paraId="53A2F009" w14:textId="77777777" w:rsidR="0012603F" w:rsidRPr="0093683C" w:rsidRDefault="0012603F" w:rsidP="0012603F">
      <w:r w:rsidRPr="0093683C">
        <w:t xml:space="preserve">Major policy decisions since PEFO that have increased payments include: </w:t>
      </w:r>
    </w:p>
    <w:p w14:paraId="2CDF6356" w14:textId="691372A1" w:rsidR="001B773D" w:rsidRPr="0093683C" w:rsidRDefault="001B773D" w:rsidP="001906D1">
      <w:pPr>
        <w:pStyle w:val="Bullet"/>
      </w:pPr>
      <w:r w:rsidRPr="0093683C">
        <w:t xml:space="preserve">funding to deliver cheaper </w:t>
      </w:r>
      <w:proofErr w:type="gramStart"/>
      <w:r w:rsidRPr="0093683C">
        <w:t>child care</w:t>
      </w:r>
      <w:proofErr w:type="gramEnd"/>
      <w:r w:rsidRPr="0093683C">
        <w:t>, easing the cost of living for families and reducing barriers to greater workforce participation, which is expected to increase payments by $4.7 billion over 4 years from 2022</w:t>
      </w:r>
      <w:r w:rsidR="005E3EBA">
        <w:t>–</w:t>
      </w:r>
      <w:r w:rsidRPr="0093683C">
        <w:t xml:space="preserve">23, and $1.7 billion per year </w:t>
      </w:r>
    </w:p>
    <w:p w14:paraId="10F29A75" w14:textId="618AF439" w:rsidR="0012603F" w:rsidRPr="0093683C" w:rsidRDefault="0012603F" w:rsidP="001906D1">
      <w:pPr>
        <w:pStyle w:val="Bullet"/>
      </w:pPr>
      <w:r w:rsidRPr="0093683C">
        <w:t>funding to fix the Aged Care crisis, including through 24/7 registered nurses onsite and increased care minutes, which is expected to increase payments by $2.5 billion over 4</w:t>
      </w:r>
      <w:r w:rsidR="00C969E4">
        <w:t> </w:t>
      </w:r>
      <w:r w:rsidRPr="0093683C">
        <w:t>years from 2022</w:t>
      </w:r>
      <w:r w:rsidR="005E3EBA">
        <w:t>–</w:t>
      </w:r>
      <w:r w:rsidRPr="0093683C">
        <w:t>23</w:t>
      </w:r>
    </w:p>
    <w:p w14:paraId="461C4788" w14:textId="5B8E9FE5" w:rsidR="00C4397A" w:rsidRPr="0093683C" w:rsidRDefault="00C4397A" w:rsidP="001906D1">
      <w:pPr>
        <w:pStyle w:val="Bullet"/>
      </w:pPr>
      <w:r w:rsidRPr="0093683C">
        <w:t xml:space="preserve">improving the quality of spending by not proceeding with </w:t>
      </w:r>
      <w:proofErr w:type="gramStart"/>
      <w:r w:rsidRPr="0093683C">
        <w:t>a number of</w:t>
      </w:r>
      <w:proofErr w:type="gramEnd"/>
      <w:r w:rsidRPr="0093683C">
        <w:t xml:space="preserve"> measures announced by the previous Government but not yet legislated, which is expected to increase payments by $1.6 billion over 4 years from 2022</w:t>
      </w:r>
      <w:r w:rsidR="005E3EBA">
        <w:t>–</w:t>
      </w:r>
      <w:r w:rsidRPr="0093683C">
        <w:t>23.</w:t>
      </w:r>
    </w:p>
    <w:p w14:paraId="45F0FBC1" w14:textId="1EE80098" w:rsidR="001B773D" w:rsidRPr="0093683C" w:rsidRDefault="001B773D" w:rsidP="001B773D">
      <w:r w:rsidRPr="0093683C">
        <w:t>Significant COVID</w:t>
      </w:r>
      <w:r w:rsidR="005E3EBA">
        <w:noBreakHyphen/>
      </w:r>
      <w:r w:rsidRPr="0093683C">
        <w:t>19 related policy decisions to manage the impacts of the pandemic</w:t>
      </w:r>
      <w:r w:rsidR="005C232D" w:rsidRPr="0093683C">
        <w:t xml:space="preserve"> are expected to increase payments by $2.6 billion in 2022</w:t>
      </w:r>
      <w:r w:rsidR="005E3EBA">
        <w:t>–</w:t>
      </w:r>
      <w:r w:rsidR="005C232D" w:rsidRPr="0093683C">
        <w:t xml:space="preserve">23. </w:t>
      </w:r>
      <w:r w:rsidR="001906D1" w:rsidRPr="0093683C">
        <w:t>This includes extending the National Partnership on COVID</w:t>
      </w:r>
      <w:r w:rsidR="001906D1" w:rsidRPr="0093683C">
        <w:noBreakHyphen/>
        <w:t>19 Response, which provides for 50 per cent of the cost of state and territory COVID</w:t>
      </w:r>
      <w:r w:rsidR="001906D1" w:rsidRPr="0093683C">
        <w:noBreakHyphen/>
        <w:t>19 responses, funding for vaccines and treatments and support for older Australians and the aged care sector with managing the impacts of the COVID</w:t>
      </w:r>
      <w:r w:rsidR="001906D1" w:rsidRPr="0093683C">
        <w:noBreakHyphen/>
        <w:t xml:space="preserve">19 pandemic. </w:t>
      </w:r>
    </w:p>
    <w:p w14:paraId="48F702AA" w14:textId="77777777" w:rsidR="001906D1" w:rsidRPr="0093683C" w:rsidRDefault="001906D1" w:rsidP="00C969E4">
      <w:pPr>
        <w:keepNext/>
      </w:pPr>
      <w:r w:rsidRPr="0093683C">
        <w:lastRenderedPageBreak/>
        <w:t>The Government has also started to repair the budget. Policy decisions that improve the bottom line include:</w:t>
      </w:r>
    </w:p>
    <w:p w14:paraId="472E0EA5" w14:textId="4C53B687" w:rsidR="001906D1" w:rsidRPr="0093683C" w:rsidRDefault="001906D1" w:rsidP="00C969E4">
      <w:pPr>
        <w:pStyle w:val="Bullet"/>
      </w:pPr>
      <w:r w:rsidRPr="0093683C">
        <w:t xml:space="preserve">re-profiling funding for existing projects in the </w:t>
      </w:r>
      <w:r w:rsidRPr="0093683C">
        <w:rPr>
          <w:i/>
        </w:rPr>
        <w:t>Infrastructure Investment Program</w:t>
      </w:r>
      <w:r w:rsidRPr="0093683C">
        <w:t xml:space="preserve"> to better align the investment with construction market conditions, while maintaining the Government’s overall funding commitment to the projects, which is expected to decrease payments by $6.5 billion over 4 years from 2022</w:t>
      </w:r>
      <w:r w:rsidR="005E3EBA">
        <w:t>–</w:t>
      </w:r>
      <w:r w:rsidRPr="0093683C">
        <w:t xml:space="preserve">23 </w:t>
      </w:r>
    </w:p>
    <w:p w14:paraId="4CF4B671" w14:textId="6417BBB6" w:rsidR="001B773D" w:rsidRPr="0093683C" w:rsidRDefault="001B773D" w:rsidP="00C969E4">
      <w:pPr>
        <w:pStyle w:val="Bullet"/>
      </w:pPr>
      <w:r w:rsidRPr="0093683C">
        <w:t xml:space="preserve">reducing spending on external labour, advertising, </w:t>
      </w:r>
      <w:proofErr w:type="gramStart"/>
      <w:r w:rsidRPr="0093683C">
        <w:t>travel</w:t>
      </w:r>
      <w:proofErr w:type="gramEnd"/>
      <w:r w:rsidRPr="0093683C">
        <w:t xml:space="preserve"> and legal expenses, which is expected to decrease </w:t>
      </w:r>
      <w:r w:rsidRPr="00C969E4">
        <w:t>payments</w:t>
      </w:r>
      <w:r w:rsidRPr="0093683C">
        <w:t xml:space="preserve"> by $3.6 billion over 4 years from 2022</w:t>
      </w:r>
      <w:r w:rsidR="005E3EBA">
        <w:t>–</w:t>
      </w:r>
      <w:r w:rsidRPr="0093683C">
        <w:t xml:space="preserve">23. </w:t>
      </w:r>
    </w:p>
    <w:p w14:paraId="6307F978" w14:textId="118216FA" w:rsidR="00D545E1" w:rsidRPr="0093683C" w:rsidRDefault="000C26AF" w:rsidP="00D545E1">
      <w:pPr>
        <w:pStyle w:val="Bullet"/>
      </w:pPr>
      <w:r w:rsidRPr="0093683C">
        <w:t>making responsible investment decisions in the National Water Grid Fund, which includes not proceeding with the Hells Gates Dam project and deferring projects</w:t>
      </w:r>
      <w:r w:rsidR="00C84C6F" w:rsidRPr="0093683C">
        <w:t xml:space="preserve"> until </w:t>
      </w:r>
      <w:r w:rsidRPr="0093683C">
        <w:t>business cases are completed and viable pathways to delivery are determined and assessed, which are expected to decrease payments by $1.7 billion over 4 years from 2022</w:t>
      </w:r>
      <w:r w:rsidR="005E3EBA">
        <w:t>–</w:t>
      </w:r>
      <w:r w:rsidRPr="0093683C">
        <w:t>23</w:t>
      </w:r>
      <w:r w:rsidR="003F6F6C" w:rsidRPr="0093683C">
        <w:t>.</w:t>
      </w:r>
    </w:p>
    <w:p w14:paraId="43FA6A6D" w14:textId="431507EE" w:rsidR="00640BA5" w:rsidRPr="0093683C" w:rsidRDefault="00640BA5" w:rsidP="00640BA5">
      <w:pPr>
        <w:pStyle w:val="Heading4"/>
        <w:spacing w:after="240"/>
      </w:pPr>
      <w:r w:rsidRPr="0093683C">
        <w:t>Payment parameter and other variations</w:t>
      </w:r>
      <w:r w:rsidR="00726AAB" w:rsidRPr="0093683C">
        <w:t xml:space="preserve"> over the forward estimates</w:t>
      </w:r>
    </w:p>
    <w:p w14:paraId="78D1BEC5" w14:textId="77777777" w:rsidR="00C639B2" w:rsidRPr="0093683C" w:rsidRDefault="00C639B2" w:rsidP="00C639B2">
      <w:r w:rsidRPr="0093683C">
        <w:t>Parameter and other variations since PEFO have increased payments by $</w:t>
      </w:r>
      <w:r w:rsidR="00A1320F" w:rsidRPr="0093683C">
        <w:t>15.</w:t>
      </w:r>
      <w:r w:rsidR="0017796E" w:rsidRPr="0093683C">
        <w:t>1</w:t>
      </w:r>
      <w:r w:rsidRPr="0093683C">
        <w:t xml:space="preserve"> billion in 2022</w:t>
      </w:r>
      <w:r w:rsidR="00B9531B" w:rsidRPr="0093683C">
        <w:t>–</w:t>
      </w:r>
      <w:r w:rsidRPr="0093683C">
        <w:t>23 and by $</w:t>
      </w:r>
      <w:r w:rsidR="00A1320F" w:rsidRPr="0093683C">
        <w:t>92.</w:t>
      </w:r>
      <w:r w:rsidR="009B12DB" w:rsidRPr="0093683C">
        <w:t>2</w:t>
      </w:r>
      <w:r w:rsidRPr="0093683C">
        <w:t xml:space="preserve"> billion over the 4 years to 2025</w:t>
      </w:r>
      <w:r w:rsidR="00B9531B" w:rsidRPr="0093683C">
        <w:t>–</w:t>
      </w:r>
      <w:r w:rsidRPr="0093683C">
        <w:t xml:space="preserve">26. </w:t>
      </w:r>
      <w:r w:rsidR="00F62913" w:rsidRPr="0093683C">
        <w:t>This is the largest increase to payments from parameter and other variations on record.</w:t>
      </w:r>
    </w:p>
    <w:p w14:paraId="21909057" w14:textId="624A4D52" w:rsidR="00962CDB" w:rsidRPr="0093683C" w:rsidRDefault="00C639B2" w:rsidP="00962CDB">
      <w:r w:rsidRPr="0093683C">
        <w:t xml:space="preserve">A significant proportion of Government spending is adjusted at each update to reflect changes in economic parameters (including prices and wages, </w:t>
      </w:r>
      <w:proofErr w:type="gramStart"/>
      <w:r w:rsidRPr="0093683C">
        <w:t>unemployment</w:t>
      </w:r>
      <w:proofErr w:type="gramEnd"/>
      <w:r w:rsidRPr="0093683C">
        <w:t xml:space="preserve"> and foreign exchange rates). </w:t>
      </w:r>
      <w:r w:rsidR="00962CDB" w:rsidRPr="0093683C">
        <w:t>Table 3.4 shows the impact of economic conditions on payments. In particular, the impact of higher</w:t>
      </w:r>
      <w:r w:rsidR="00962CDB" w:rsidRPr="0093683C">
        <w:noBreakHyphen/>
        <w:t>than</w:t>
      </w:r>
      <w:r w:rsidR="00962CDB" w:rsidRPr="0093683C">
        <w:noBreakHyphen/>
        <w:t>expected price and wage inflation has increased payments by $34.1 billion over the 4 years to 2025–26.</w:t>
      </w:r>
    </w:p>
    <w:p w14:paraId="41FE2E59" w14:textId="3265A06D" w:rsidR="00944169" w:rsidRPr="00F36ADA" w:rsidRDefault="00944169" w:rsidP="00C969E4">
      <w:pPr>
        <w:rPr>
          <w:rFonts w:ascii="Arial" w:hAnsi="Arial"/>
          <w:b/>
          <w:sz w:val="20"/>
        </w:rPr>
      </w:pPr>
      <w:r w:rsidRPr="00F36ADA">
        <w:br w:type="page"/>
      </w:r>
    </w:p>
    <w:p w14:paraId="4F44F6E1" w14:textId="64F8A883" w:rsidR="003117BE" w:rsidRPr="0093683C" w:rsidRDefault="00962CDB" w:rsidP="00C969E4">
      <w:pPr>
        <w:pStyle w:val="TableHeading"/>
        <w:rPr>
          <w:rFonts w:asciiTheme="minorHAnsi" w:eastAsiaTheme="minorHAnsi" w:hAnsiTheme="minorHAnsi" w:cstheme="minorBidi"/>
          <w:sz w:val="22"/>
          <w:szCs w:val="22"/>
          <w:lang w:eastAsia="en-US"/>
        </w:rPr>
      </w:pPr>
      <w:r w:rsidRPr="0093683C">
        <w:lastRenderedPageBreak/>
        <w:t>Table 3.4: Reconciliation of payments estimate</w:t>
      </w:r>
      <w:r w:rsidR="00B400C7" w:rsidRPr="0093683C">
        <w:t>s</w:t>
      </w:r>
      <w:r w:rsidR="00F90A41" w:rsidRPr="0093683C">
        <w:rPr>
          <w:vertAlign w:val="superscript"/>
        </w:rPr>
        <w:t>(a)</w:t>
      </w:r>
    </w:p>
    <w:tbl>
      <w:tblPr>
        <w:tblW w:w="5000" w:type="pct"/>
        <w:tblCellMar>
          <w:left w:w="0" w:type="dxa"/>
          <w:right w:w="28" w:type="dxa"/>
        </w:tblCellMar>
        <w:tblLook w:val="04A0" w:firstRow="1" w:lastRow="0" w:firstColumn="1" w:lastColumn="0" w:noHBand="0" w:noVBand="1"/>
        <w:tblCaption w:val="Table"/>
      </w:tblPr>
      <w:tblGrid>
        <w:gridCol w:w="3730"/>
        <w:gridCol w:w="779"/>
        <w:gridCol w:w="771"/>
        <w:gridCol w:w="773"/>
        <w:gridCol w:w="779"/>
        <w:gridCol w:w="99"/>
        <w:gridCol w:w="779"/>
      </w:tblGrid>
      <w:tr w:rsidR="009B734F" w:rsidRPr="0093683C" w14:paraId="224644DF" w14:textId="77777777" w:rsidTr="00AE2E5E">
        <w:trPr>
          <w:trHeight w:hRule="exact" w:val="225"/>
        </w:trPr>
        <w:tc>
          <w:tcPr>
            <w:tcW w:w="2419" w:type="pct"/>
            <w:tcBorders>
              <w:top w:val="single" w:sz="4" w:space="0" w:color="293F5B"/>
              <w:left w:val="nil"/>
              <w:bottom w:val="nil"/>
              <w:right w:val="nil"/>
            </w:tcBorders>
            <w:shd w:val="clear" w:color="000000" w:fill="FFFFFF"/>
            <w:noWrap/>
            <w:vAlign w:val="center"/>
            <w:hideMark/>
          </w:tcPr>
          <w:p w14:paraId="23BFFAD2"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single" w:sz="4" w:space="0" w:color="293F5B"/>
              <w:left w:val="nil"/>
              <w:bottom w:val="single" w:sz="4" w:space="0" w:color="000000"/>
              <w:right w:val="nil"/>
            </w:tcBorders>
            <w:shd w:val="clear" w:color="000000" w:fill="FFFFFF"/>
            <w:noWrap/>
            <w:vAlign w:val="center"/>
            <w:hideMark/>
          </w:tcPr>
          <w:p w14:paraId="1705FF0B"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1001" w:type="pct"/>
            <w:gridSpan w:val="2"/>
            <w:tcBorders>
              <w:top w:val="single" w:sz="4" w:space="0" w:color="293F5B"/>
              <w:left w:val="nil"/>
              <w:bottom w:val="single" w:sz="4" w:space="0" w:color="000000"/>
              <w:right w:val="nil"/>
            </w:tcBorders>
            <w:shd w:val="clear" w:color="000000" w:fill="FFFFFF"/>
            <w:noWrap/>
            <w:vAlign w:val="center"/>
            <w:hideMark/>
          </w:tcPr>
          <w:p w14:paraId="5C15F7AD" w14:textId="77777777" w:rsidR="003117BE" w:rsidRPr="0093683C" w:rsidRDefault="003117BE" w:rsidP="003117BE">
            <w:pPr>
              <w:spacing w:before="0" w:after="0" w:line="240" w:lineRule="auto"/>
              <w:jc w:val="center"/>
              <w:rPr>
                <w:rFonts w:ascii="Arial" w:hAnsi="Arial" w:cs="Arial"/>
                <w:sz w:val="16"/>
                <w:szCs w:val="16"/>
              </w:rPr>
            </w:pPr>
            <w:r w:rsidRPr="0093683C">
              <w:rPr>
                <w:rFonts w:ascii="Arial" w:hAnsi="Arial" w:cs="Arial"/>
                <w:sz w:val="16"/>
                <w:szCs w:val="16"/>
              </w:rPr>
              <w:t>Estimates</w:t>
            </w:r>
          </w:p>
        </w:tc>
        <w:tc>
          <w:tcPr>
            <w:tcW w:w="505" w:type="pct"/>
            <w:tcBorders>
              <w:top w:val="single" w:sz="4" w:space="0" w:color="293F5B"/>
              <w:left w:val="nil"/>
              <w:bottom w:val="single" w:sz="4" w:space="0" w:color="000000"/>
              <w:right w:val="nil"/>
            </w:tcBorders>
            <w:shd w:val="clear" w:color="000000" w:fill="FFFFFF"/>
            <w:noWrap/>
            <w:vAlign w:val="center"/>
            <w:hideMark/>
          </w:tcPr>
          <w:p w14:paraId="51CB87E8"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64" w:type="pct"/>
            <w:tcBorders>
              <w:top w:val="single" w:sz="4" w:space="0" w:color="293F5B"/>
              <w:left w:val="nil"/>
              <w:bottom w:val="nil"/>
              <w:right w:val="nil"/>
            </w:tcBorders>
            <w:shd w:val="clear" w:color="000000" w:fill="FFFFFF"/>
            <w:noWrap/>
            <w:vAlign w:val="center"/>
            <w:hideMark/>
          </w:tcPr>
          <w:p w14:paraId="0829A3E1"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single" w:sz="4" w:space="0" w:color="293F5B"/>
              <w:left w:val="nil"/>
              <w:bottom w:val="nil"/>
              <w:right w:val="nil"/>
            </w:tcBorders>
            <w:shd w:val="clear" w:color="000000" w:fill="FFFFFF"/>
            <w:noWrap/>
            <w:vAlign w:val="center"/>
            <w:hideMark/>
          </w:tcPr>
          <w:p w14:paraId="4080A4FD"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r>
      <w:tr w:rsidR="009B734F" w:rsidRPr="0093683C" w14:paraId="65060207" w14:textId="77777777" w:rsidTr="00AE2E5E">
        <w:trPr>
          <w:trHeight w:hRule="exact" w:val="225"/>
        </w:trPr>
        <w:tc>
          <w:tcPr>
            <w:tcW w:w="2419" w:type="pct"/>
            <w:tcBorders>
              <w:top w:val="nil"/>
              <w:left w:val="nil"/>
              <w:bottom w:val="nil"/>
              <w:right w:val="nil"/>
            </w:tcBorders>
            <w:shd w:val="clear" w:color="000000" w:fill="FFFFFF"/>
            <w:noWrap/>
            <w:vAlign w:val="bottom"/>
            <w:hideMark/>
          </w:tcPr>
          <w:p w14:paraId="7CCCD302"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single" w:sz="4" w:space="0" w:color="293F5B"/>
              <w:left w:val="nil"/>
              <w:bottom w:val="nil"/>
              <w:right w:val="nil"/>
            </w:tcBorders>
            <w:shd w:val="clear" w:color="000000" w:fill="E6F2FF"/>
            <w:noWrap/>
            <w:vAlign w:val="center"/>
            <w:hideMark/>
          </w:tcPr>
          <w:p w14:paraId="58C7F62D"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2022-23</w:t>
            </w:r>
          </w:p>
        </w:tc>
        <w:tc>
          <w:tcPr>
            <w:tcW w:w="500" w:type="pct"/>
            <w:tcBorders>
              <w:top w:val="single" w:sz="4" w:space="0" w:color="293F5B"/>
              <w:left w:val="nil"/>
              <w:bottom w:val="nil"/>
              <w:right w:val="nil"/>
            </w:tcBorders>
            <w:shd w:val="clear" w:color="000000" w:fill="FFFFFF"/>
            <w:noWrap/>
            <w:vAlign w:val="center"/>
            <w:hideMark/>
          </w:tcPr>
          <w:p w14:paraId="0A3BFF55"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2023-24</w:t>
            </w:r>
          </w:p>
        </w:tc>
        <w:tc>
          <w:tcPr>
            <w:tcW w:w="500" w:type="pct"/>
            <w:tcBorders>
              <w:top w:val="single" w:sz="4" w:space="0" w:color="293F5B"/>
              <w:left w:val="nil"/>
              <w:bottom w:val="nil"/>
              <w:right w:val="nil"/>
            </w:tcBorders>
            <w:shd w:val="clear" w:color="000000" w:fill="FFFFFF"/>
            <w:noWrap/>
            <w:vAlign w:val="center"/>
            <w:hideMark/>
          </w:tcPr>
          <w:p w14:paraId="3ABF1155"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2024-25</w:t>
            </w:r>
          </w:p>
        </w:tc>
        <w:tc>
          <w:tcPr>
            <w:tcW w:w="505" w:type="pct"/>
            <w:tcBorders>
              <w:top w:val="single" w:sz="4" w:space="0" w:color="293F5B"/>
              <w:left w:val="nil"/>
              <w:bottom w:val="nil"/>
              <w:right w:val="nil"/>
            </w:tcBorders>
            <w:shd w:val="clear" w:color="000000" w:fill="FFFFFF"/>
            <w:noWrap/>
            <w:vAlign w:val="center"/>
            <w:hideMark/>
          </w:tcPr>
          <w:p w14:paraId="4F08BF39"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2025-26</w:t>
            </w:r>
          </w:p>
        </w:tc>
        <w:tc>
          <w:tcPr>
            <w:tcW w:w="64" w:type="pct"/>
            <w:tcBorders>
              <w:top w:val="nil"/>
              <w:left w:val="nil"/>
              <w:bottom w:val="nil"/>
              <w:right w:val="nil"/>
            </w:tcBorders>
            <w:shd w:val="clear" w:color="000000" w:fill="FFFFFF"/>
            <w:noWrap/>
            <w:vAlign w:val="center"/>
            <w:hideMark/>
          </w:tcPr>
          <w:p w14:paraId="1D9CC347"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 </w:t>
            </w:r>
          </w:p>
        </w:tc>
        <w:tc>
          <w:tcPr>
            <w:tcW w:w="505" w:type="pct"/>
            <w:tcBorders>
              <w:top w:val="single" w:sz="4" w:space="0" w:color="293F5B"/>
              <w:left w:val="nil"/>
              <w:bottom w:val="nil"/>
              <w:right w:val="nil"/>
            </w:tcBorders>
            <w:shd w:val="clear" w:color="000000" w:fill="FFFFFF"/>
            <w:noWrap/>
            <w:vAlign w:val="center"/>
            <w:hideMark/>
          </w:tcPr>
          <w:p w14:paraId="21FC3EE8"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Total</w:t>
            </w:r>
          </w:p>
        </w:tc>
      </w:tr>
      <w:tr w:rsidR="009B734F" w:rsidRPr="0093683C" w14:paraId="280C35E9"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3288A5C7"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single" w:sz="4" w:space="0" w:color="293F5B"/>
              <w:right w:val="nil"/>
            </w:tcBorders>
            <w:shd w:val="clear" w:color="000000" w:fill="E6F2FF"/>
            <w:noWrap/>
            <w:vAlign w:val="center"/>
            <w:hideMark/>
          </w:tcPr>
          <w:p w14:paraId="3F4C97F6"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$m</w:t>
            </w:r>
          </w:p>
        </w:tc>
        <w:tc>
          <w:tcPr>
            <w:tcW w:w="500" w:type="pct"/>
            <w:tcBorders>
              <w:top w:val="nil"/>
              <w:left w:val="nil"/>
              <w:bottom w:val="single" w:sz="4" w:space="0" w:color="293F5B"/>
              <w:right w:val="nil"/>
            </w:tcBorders>
            <w:shd w:val="clear" w:color="000000" w:fill="FFFFFF"/>
            <w:noWrap/>
            <w:vAlign w:val="center"/>
            <w:hideMark/>
          </w:tcPr>
          <w:p w14:paraId="786E9BF2"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$m</w:t>
            </w:r>
          </w:p>
        </w:tc>
        <w:tc>
          <w:tcPr>
            <w:tcW w:w="500" w:type="pct"/>
            <w:tcBorders>
              <w:top w:val="nil"/>
              <w:left w:val="nil"/>
              <w:bottom w:val="single" w:sz="4" w:space="0" w:color="293F5B"/>
              <w:right w:val="nil"/>
            </w:tcBorders>
            <w:shd w:val="clear" w:color="000000" w:fill="FFFFFF"/>
            <w:noWrap/>
            <w:vAlign w:val="center"/>
            <w:hideMark/>
          </w:tcPr>
          <w:p w14:paraId="46617C1D"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$m</w:t>
            </w:r>
          </w:p>
        </w:tc>
        <w:tc>
          <w:tcPr>
            <w:tcW w:w="505" w:type="pct"/>
            <w:tcBorders>
              <w:top w:val="nil"/>
              <w:left w:val="nil"/>
              <w:bottom w:val="single" w:sz="4" w:space="0" w:color="293F5B"/>
              <w:right w:val="nil"/>
            </w:tcBorders>
            <w:shd w:val="clear" w:color="000000" w:fill="FFFFFF"/>
            <w:noWrap/>
            <w:vAlign w:val="center"/>
            <w:hideMark/>
          </w:tcPr>
          <w:p w14:paraId="24E33F46"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$m</w:t>
            </w:r>
          </w:p>
        </w:tc>
        <w:tc>
          <w:tcPr>
            <w:tcW w:w="64" w:type="pct"/>
            <w:tcBorders>
              <w:top w:val="nil"/>
              <w:left w:val="nil"/>
              <w:bottom w:val="nil"/>
              <w:right w:val="nil"/>
            </w:tcBorders>
            <w:shd w:val="clear" w:color="000000" w:fill="FFFFFF"/>
            <w:noWrap/>
            <w:vAlign w:val="center"/>
            <w:hideMark/>
          </w:tcPr>
          <w:p w14:paraId="3CFF38FF"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 </w:t>
            </w:r>
          </w:p>
        </w:tc>
        <w:tc>
          <w:tcPr>
            <w:tcW w:w="505" w:type="pct"/>
            <w:tcBorders>
              <w:top w:val="nil"/>
              <w:left w:val="nil"/>
              <w:bottom w:val="single" w:sz="4" w:space="0" w:color="293F5B"/>
              <w:right w:val="nil"/>
            </w:tcBorders>
            <w:shd w:val="clear" w:color="000000" w:fill="FFFFFF"/>
            <w:noWrap/>
            <w:vAlign w:val="center"/>
            <w:hideMark/>
          </w:tcPr>
          <w:p w14:paraId="263A5CF0"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$m</w:t>
            </w:r>
          </w:p>
        </w:tc>
      </w:tr>
      <w:tr w:rsidR="003117BE" w:rsidRPr="0093683C" w14:paraId="07FD4CD9"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777CF37F"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2022 PEFO payments</w:t>
            </w:r>
          </w:p>
        </w:tc>
        <w:tc>
          <w:tcPr>
            <w:tcW w:w="505" w:type="pct"/>
            <w:tcBorders>
              <w:top w:val="nil"/>
              <w:left w:val="nil"/>
              <w:bottom w:val="nil"/>
              <w:right w:val="nil"/>
            </w:tcBorders>
            <w:shd w:val="clear" w:color="000000" w:fill="E6F2FF"/>
            <w:noWrap/>
            <w:vAlign w:val="center"/>
            <w:hideMark/>
          </w:tcPr>
          <w:p w14:paraId="0F9656C3"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626,470</w:t>
            </w:r>
          </w:p>
        </w:tc>
        <w:tc>
          <w:tcPr>
            <w:tcW w:w="500" w:type="pct"/>
            <w:tcBorders>
              <w:top w:val="nil"/>
              <w:left w:val="nil"/>
              <w:bottom w:val="nil"/>
              <w:right w:val="nil"/>
            </w:tcBorders>
            <w:shd w:val="clear" w:color="000000" w:fill="FFFFFF"/>
            <w:noWrap/>
            <w:vAlign w:val="center"/>
            <w:hideMark/>
          </w:tcPr>
          <w:p w14:paraId="158B21A0"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641,714</w:t>
            </w:r>
          </w:p>
        </w:tc>
        <w:tc>
          <w:tcPr>
            <w:tcW w:w="500" w:type="pct"/>
            <w:tcBorders>
              <w:top w:val="nil"/>
              <w:left w:val="nil"/>
              <w:bottom w:val="nil"/>
              <w:right w:val="nil"/>
            </w:tcBorders>
            <w:shd w:val="clear" w:color="000000" w:fill="FFFFFF"/>
            <w:noWrap/>
            <w:vAlign w:val="center"/>
            <w:hideMark/>
          </w:tcPr>
          <w:p w14:paraId="1595C61A"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662,277</w:t>
            </w:r>
          </w:p>
        </w:tc>
        <w:tc>
          <w:tcPr>
            <w:tcW w:w="505" w:type="pct"/>
            <w:tcBorders>
              <w:top w:val="nil"/>
              <w:left w:val="nil"/>
              <w:bottom w:val="nil"/>
              <w:right w:val="nil"/>
            </w:tcBorders>
            <w:shd w:val="clear" w:color="000000" w:fill="FFFFFF"/>
            <w:noWrap/>
            <w:vAlign w:val="center"/>
            <w:hideMark/>
          </w:tcPr>
          <w:p w14:paraId="2DDD9828"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686,836</w:t>
            </w:r>
          </w:p>
        </w:tc>
        <w:tc>
          <w:tcPr>
            <w:tcW w:w="64" w:type="pct"/>
            <w:tcBorders>
              <w:top w:val="nil"/>
              <w:left w:val="nil"/>
              <w:bottom w:val="nil"/>
              <w:right w:val="nil"/>
            </w:tcBorders>
            <w:shd w:val="clear" w:color="000000" w:fill="FFFFFF"/>
            <w:noWrap/>
            <w:vAlign w:val="center"/>
            <w:hideMark/>
          </w:tcPr>
          <w:p w14:paraId="2922FFAA"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 </w:t>
            </w:r>
          </w:p>
        </w:tc>
        <w:tc>
          <w:tcPr>
            <w:tcW w:w="505" w:type="pct"/>
            <w:tcBorders>
              <w:top w:val="nil"/>
              <w:left w:val="nil"/>
              <w:bottom w:val="nil"/>
              <w:right w:val="nil"/>
            </w:tcBorders>
            <w:shd w:val="clear" w:color="000000" w:fill="FFFFFF"/>
            <w:noWrap/>
            <w:vAlign w:val="center"/>
            <w:hideMark/>
          </w:tcPr>
          <w:p w14:paraId="3EB6DB06"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2,617,297</w:t>
            </w:r>
          </w:p>
        </w:tc>
      </w:tr>
      <w:tr w:rsidR="003117BE" w:rsidRPr="0093683C" w14:paraId="003CA670" w14:textId="77777777" w:rsidTr="00AE2E5E">
        <w:trPr>
          <w:trHeight w:hRule="exact" w:val="60"/>
        </w:trPr>
        <w:tc>
          <w:tcPr>
            <w:tcW w:w="2419" w:type="pct"/>
            <w:tcBorders>
              <w:top w:val="nil"/>
              <w:left w:val="nil"/>
              <w:bottom w:val="nil"/>
              <w:right w:val="nil"/>
            </w:tcBorders>
            <w:shd w:val="clear" w:color="000000" w:fill="FFFFFF"/>
            <w:noWrap/>
            <w:vAlign w:val="center"/>
            <w:hideMark/>
          </w:tcPr>
          <w:p w14:paraId="1B79E83E"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 </w:t>
            </w:r>
          </w:p>
        </w:tc>
        <w:tc>
          <w:tcPr>
            <w:tcW w:w="505" w:type="pct"/>
            <w:tcBorders>
              <w:top w:val="nil"/>
              <w:left w:val="nil"/>
              <w:bottom w:val="nil"/>
              <w:right w:val="nil"/>
            </w:tcBorders>
            <w:shd w:val="clear" w:color="000000" w:fill="E6F2FF"/>
            <w:noWrap/>
            <w:vAlign w:val="center"/>
            <w:hideMark/>
          </w:tcPr>
          <w:p w14:paraId="2ECF49F9"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0" w:type="pct"/>
            <w:tcBorders>
              <w:top w:val="nil"/>
              <w:left w:val="nil"/>
              <w:bottom w:val="nil"/>
              <w:right w:val="nil"/>
            </w:tcBorders>
            <w:shd w:val="clear" w:color="000000" w:fill="FFFFFF"/>
            <w:noWrap/>
            <w:vAlign w:val="center"/>
            <w:hideMark/>
          </w:tcPr>
          <w:p w14:paraId="615598D1"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0" w:type="pct"/>
            <w:tcBorders>
              <w:top w:val="nil"/>
              <w:left w:val="nil"/>
              <w:bottom w:val="nil"/>
              <w:right w:val="nil"/>
            </w:tcBorders>
            <w:shd w:val="clear" w:color="000000" w:fill="FFFFFF"/>
            <w:noWrap/>
            <w:vAlign w:val="center"/>
            <w:hideMark/>
          </w:tcPr>
          <w:p w14:paraId="2BD46F15"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0FB6345A"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5C030B41"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7BD39D0B"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r>
      <w:tr w:rsidR="003117BE" w:rsidRPr="0093683C" w14:paraId="1E1F7D1D"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31C9B87B"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Changes from 2022 PEFO to</w:t>
            </w:r>
          </w:p>
        </w:tc>
        <w:tc>
          <w:tcPr>
            <w:tcW w:w="505" w:type="pct"/>
            <w:tcBorders>
              <w:top w:val="nil"/>
              <w:left w:val="nil"/>
              <w:bottom w:val="nil"/>
              <w:right w:val="nil"/>
            </w:tcBorders>
            <w:shd w:val="clear" w:color="000000" w:fill="E6F2FF"/>
            <w:noWrap/>
            <w:vAlign w:val="center"/>
            <w:hideMark/>
          </w:tcPr>
          <w:p w14:paraId="22B71D74"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0" w:type="pct"/>
            <w:tcBorders>
              <w:top w:val="nil"/>
              <w:left w:val="nil"/>
              <w:bottom w:val="nil"/>
              <w:right w:val="nil"/>
            </w:tcBorders>
            <w:shd w:val="clear" w:color="000000" w:fill="FFFFFF"/>
            <w:noWrap/>
            <w:vAlign w:val="center"/>
            <w:hideMark/>
          </w:tcPr>
          <w:p w14:paraId="65F1BA0A"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0" w:type="pct"/>
            <w:tcBorders>
              <w:top w:val="nil"/>
              <w:left w:val="nil"/>
              <w:bottom w:val="nil"/>
              <w:right w:val="nil"/>
            </w:tcBorders>
            <w:shd w:val="clear" w:color="000000" w:fill="FFFFFF"/>
            <w:noWrap/>
            <w:vAlign w:val="center"/>
            <w:hideMark/>
          </w:tcPr>
          <w:p w14:paraId="057AF5BE"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593220E9"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73256EE5"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7E1C48BD"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r>
      <w:tr w:rsidR="003117BE" w:rsidRPr="0093683C" w14:paraId="15E1C825"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390F7E27" w14:textId="77777777" w:rsidR="003117BE" w:rsidRPr="0093683C" w:rsidRDefault="003117BE" w:rsidP="00AE2E5E">
            <w:pPr>
              <w:spacing w:before="0" w:after="0" w:line="240" w:lineRule="auto"/>
              <w:ind w:left="170"/>
              <w:rPr>
                <w:rFonts w:ascii="Arial" w:hAnsi="Arial" w:cs="Arial"/>
                <w:b/>
                <w:bCs/>
                <w:sz w:val="16"/>
                <w:szCs w:val="16"/>
              </w:rPr>
            </w:pPr>
            <w:r w:rsidRPr="0093683C">
              <w:rPr>
                <w:rFonts w:ascii="Arial" w:hAnsi="Arial" w:cs="Arial"/>
                <w:b/>
                <w:bCs/>
                <w:sz w:val="16"/>
                <w:szCs w:val="16"/>
              </w:rPr>
              <w:t>2022-23 October Budget</w:t>
            </w:r>
          </w:p>
        </w:tc>
        <w:tc>
          <w:tcPr>
            <w:tcW w:w="505" w:type="pct"/>
            <w:tcBorders>
              <w:top w:val="nil"/>
              <w:left w:val="nil"/>
              <w:bottom w:val="nil"/>
              <w:right w:val="nil"/>
            </w:tcBorders>
            <w:shd w:val="clear" w:color="000000" w:fill="E6F2FF"/>
            <w:noWrap/>
            <w:vAlign w:val="center"/>
            <w:hideMark/>
          </w:tcPr>
          <w:p w14:paraId="226775FC"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0" w:type="pct"/>
            <w:tcBorders>
              <w:top w:val="nil"/>
              <w:left w:val="nil"/>
              <w:bottom w:val="nil"/>
              <w:right w:val="nil"/>
            </w:tcBorders>
            <w:shd w:val="clear" w:color="000000" w:fill="FFFFFF"/>
            <w:noWrap/>
            <w:vAlign w:val="center"/>
            <w:hideMark/>
          </w:tcPr>
          <w:p w14:paraId="762619E3"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0" w:type="pct"/>
            <w:tcBorders>
              <w:top w:val="nil"/>
              <w:left w:val="nil"/>
              <w:bottom w:val="nil"/>
              <w:right w:val="nil"/>
            </w:tcBorders>
            <w:shd w:val="clear" w:color="000000" w:fill="FFFFFF"/>
            <w:noWrap/>
            <w:vAlign w:val="center"/>
            <w:hideMark/>
          </w:tcPr>
          <w:p w14:paraId="2EBC1566"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5" w:type="pct"/>
            <w:tcBorders>
              <w:top w:val="nil"/>
              <w:left w:val="nil"/>
              <w:bottom w:val="nil"/>
              <w:right w:val="nil"/>
            </w:tcBorders>
            <w:shd w:val="clear" w:color="000000" w:fill="FFFFFF"/>
            <w:noWrap/>
            <w:vAlign w:val="center"/>
            <w:hideMark/>
          </w:tcPr>
          <w:p w14:paraId="008DAE52"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64" w:type="pct"/>
            <w:tcBorders>
              <w:top w:val="nil"/>
              <w:left w:val="nil"/>
              <w:bottom w:val="nil"/>
              <w:right w:val="nil"/>
            </w:tcBorders>
            <w:shd w:val="clear" w:color="000000" w:fill="FFFFFF"/>
            <w:noWrap/>
            <w:vAlign w:val="center"/>
            <w:hideMark/>
          </w:tcPr>
          <w:p w14:paraId="56651F1C"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5" w:type="pct"/>
            <w:tcBorders>
              <w:top w:val="nil"/>
              <w:left w:val="nil"/>
              <w:bottom w:val="nil"/>
              <w:right w:val="nil"/>
            </w:tcBorders>
            <w:shd w:val="clear" w:color="000000" w:fill="FFFFFF"/>
            <w:noWrap/>
            <w:vAlign w:val="center"/>
            <w:hideMark/>
          </w:tcPr>
          <w:p w14:paraId="00674C2B"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r>
      <w:tr w:rsidR="003117BE" w:rsidRPr="0093683C" w14:paraId="3935B18C"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11C7E19A"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Effect of policy decisions(b)</w:t>
            </w:r>
          </w:p>
        </w:tc>
        <w:tc>
          <w:tcPr>
            <w:tcW w:w="505" w:type="pct"/>
            <w:tcBorders>
              <w:top w:val="nil"/>
              <w:left w:val="nil"/>
              <w:bottom w:val="nil"/>
              <w:right w:val="nil"/>
            </w:tcBorders>
            <w:shd w:val="clear" w:color="000000" w:fill="E6F2FF"/>
            <w:noWrap/>
            <w:vAlign w:val="center"/>
            <w:hideMark/>
          </w:tcPr>
          <w:p w14:paraId="3C268E98"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2,506</w:t>
            </w:r>
          </w:p>
        </w:tc>
        <w:tc>
          <w:tcPr>
            <w:tcW w:w="500" w:type="pct"/>
            <w:tcBorders>
              <w:top w:val="nil"/>
              <w:left w:val="nil"/>
              <w:bottom w:val="nil"/>
              <w:right w:val="nil"/>
            </w:tcBorders>
            <w:shd w:val="clear" w:color="000000" w:fill="FFFFFF"/>
            <w:noWrap/>
            <w:vAlign w:val="center"/>
            <w:hideMark/>
          </w:tcPr>
          <w:p w14:paraId="2E392B5A"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1,711</w:t>
            </w:r>
          </w:p>
        </w:tc>
        <w:tc>
          <w:tcPr>
            <w:tcW w:w="500" w:type="pct"/>
            <w:tcBorders>
              <w:top w:val="nil"/>
              <w:left w:val="nil"/>
              <w:bottom w:val="nil"/>
              <w:right w:val="nil"/>
            </w:tcBorders>
            <w:shd w:val="clear" w:color="000000" w:fill="FFFFFF"/>
            <w:noWrap/>
            <w:vAlign w:val="center"/>
            <w:hideMark/>
          </w:tcPr>
          <w:p w14:paraId="6240E858"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5,980</w:t>
            </w:r>
          </w:p>
        </w:tc>
        <w:tc>
          <w:tcPr>
            <w:tcW w:w="505" w:type="pct"/>
            <w:tcBorders>
              <w:top w:val="nil"/>
              <w:left w:val="nil"/>
              <w:bottom w:val="nil"/>
              <w:right w:val="nil"/>
            </w:tcBorders>
            <w:shd w:val="clear" w:color="000000" w:fill="FFFFFF"/>
            <w:noWrap/>
            <w:vAlign w:val="center"/>
            <w:hideMark/>
          </w:tcPr>
          <w:p w14:paraId="6F1E7133"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12,673</w:t>
            </w:r>
          </w:p>
        </w:tc>
        <w:tc>
          <w:tcPr>
            <w:tcW w:w="64" w:type="pct"/>
            <w:tcBorders>
              <w:top w:val="nil"/>
              <w:left w:val="nil"/>
              <w:bottom w:val="nil"/>
              <w:right w:val="nil"/>
            </w:tcBorders>
            <w:shd w:val="clear" w:color="000000" w:fill="FFFFFF"/>
            <w:noWrap/>
            <w:vAlign w:val="center"/>
            <w:hideMark/>
          </w:tcPr>
          <w:p w14:paraId="7DE9ADAE"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08B8EBAB"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22,870</w:t>
            </w:r>
          </w:p>
        </w:tc>
      </w:tr>
      <w:tr w:rsidR="003117BE" w:rsidRPr="0093683C" w14:paraId="009D9D7B"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5BE92B10"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Effect of parameter and other variations</w:t>
            </w:r>
          </w:p>
        </w:tc>
        <w:tc>
          <w:tcPr>
            <w:tcW w:w="505" w:type="pct"/>
            <w:tcBorders>
              <w:top w:val="nil"/>
              <w:left w:val="nil"/>
              <w:bottom w:val="nil"/>
              <w:right w:val="nil"/>
            </w:tcBorders>
            <w:shd w:val="clear" w:color="000000" w:fill="E6F2FF"/>
            <w:noWrap/>
            <w:vAlign w:val="center"/>
            <w:hideMark/>
          </w:tcPr>
          <w:p w14:paraId="1B25F189"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15,105</w:t>
            </w:r>
          </w:p>
        </w:tc>
        <w:tc>
          <w:tcPr>
            <w:tcW w:w="500" w:type="pct"/>
            <w:tcBorders>
              <w:top w:val="nil"/>
              <w:left w:val="nil"/>
              <w:bottom w:val="nil"/>
              <w:right w:val="nil"/>
            </w:tcBorders>
            <w:shd w:val="clear" w:color="000000" w:fill="FFFFFF"/>
            <w:noWrap/>
            <w:vAlign w:val="center"/>
            <w:hideMark/>
          </w:tcPr>
          <w:p w14:paraId="19AFDDC1"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22,064</w:t>
            </w:r>
          </w:p>
        </w:tc>
        <w:tc>
          <w:tcPr>
            <w:tcW w:w="500" w:type="pct"/>
            <w:tcBorders>
              <w:top w:val="nil"/>
              <w:left w:val="nil"/>
              <w:bottom w:val="nil"/>
              <w:right w:val="nil"/>
            </w:tcBorders>
            <w:shd w:val="clear" w:color="000000" w:fill="FFFFFF"/>
            <w:noWrap/>
            <w:vAlign w:val="center"/>
            <w:hideMark/>
          </w:tcPr>
          <w:p w14:paraId="0ADAE572"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25,929</w:t>
            </w:r>
          </w:p>
        </w:tc>
        <w:tc>
          <w:tcPr>
            <w:tcW w:w="505" w:type="pct"/>
            <w:tcBorders>
              <w:top w:val="nil"/>
              <w:left w:val="nil"/>
              <w:bottom w:val="nil"/>
              <w:right w:val="nil"/>
            </w:tcBorders>
            <w:shd w:val="clear" w:color="000000" w:fill="FFFFFF"/>
            <w:noWrap/>
            <w:vAlign w:val="center"/>
            <w:hideMark/>
          </w:tcPr>
          <w:p w14:paraId="0AA0FFF6"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29,075</w:t>
            </w:r>
          </w:p>
        </w:tc>
        <w:tc>
          <w:tcPr>
            <w:tcW w:w="64" w:type="pct"/>
            <w:tcBorders>
              <w:top w:val="nil"/>
              <w:left w:val="nil"/>
              <w:bottom w:val="nil"/>
              <w:right w:val="nil"/>
            </w:tcBorders>
            <w:shd w:val="clear" w:color="000000" w:fill="FFFFFF"/>
            <w:noWrap/>
            <w:vAlign w:val="center"/>
            <w:hideMark/>
          </w:tcPr>
          <w:p w14:paraId="5D884706"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50199608"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92,173</w:t>
            </w:r>
          </w:p>
        </w:tc>
      </w:tr>
      <w:tr w:rsidR="003117BE" w:rsidRPr="0093683C" w14:paraId="32063518"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39AF32BA" w14:textId="77777777" w:rsidR="003117BE" w:rsidRPr="0093683C" w:rsidRDefault="003117BE" w:rsidP="00AE2E5E">
            <w:pPr>
              <w:spacing w:before="0" w:after="0" w:line="240" w:lineRule="auto"/>
              <w:ind w:left="170"/>
              <w:rPr>
                <w:rFonts w:ascii="Arial" w:hAnsi="Arial" w:cs="Arial"/>
                <w:sz w:val="16"/>
                <w:szCs w:val="16"/>
              </w:rPr>
            </w:pPr>
            <w:r w:rsidRPr="0093683C">
              <w:rPr>
                <w:rFonts w:ascii="Arial" w:hAnsi="Arial" w:cs="Arial"/>
                <w:sz w:val="16"/>
                <w:szCs w:val="16"/>
              </w:rPr>
              <w:t>Total economic parameter variations</w:t>
            </w:r>
          </w:p>
        </w:tc>
        <w:tc>
          <w:tcPr>
            <w:tcW w:w="505" w:type="pct"/>
            <w:tcBorders>
              <w:top w:val="nil"/>
              <w:left w:val="nil"/>
              <w:bottom w:val="nil"/>
              <w:right w:val="nil"/>
            </w:tcBorders>
            <w:shd w:val="clear" w:color="000000" w:fill="E6F2FF"/>
            <w:noWrap/>
            <w:vAlign w:val="center"/>
            <w:hideMark/>
          </w:tcPr>
          <w:p w14:paraId="1139E882"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6,915</w:t>
            </w:r>
          </w:p>
        </w:tc>
        <w:tc>
          <w:tcPr>
            <w:tcW w:w="500" w:type="pct"/>
            <w:tcBorders>
              <w:top w:val="nil"/>
              <w:left w:val="nil"/>
              <w:bottom w:val="nil"/>
              <w:right w:val="nil"/>
            </w:tcBorders>
            <w:shd w:val="clear" w:color="000000" w:fill="FFFFFF"/>
            <w:noWrap/>
            <w:vAlign w:val="center"/>
            <w:hideMark/>
          </w:tcPr>
          <w:p w14:paraId="7599877C"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14,461</w:t>
            </w:r>
          </w:p>
        </w:tc>
        <w:tc>
          <w:tcPr>
            <w:tcW w:w="500" w:type="pct"/>
            <w:tcBorders>
              <w:top w:val="nil"/>
              <w:left w:val="nil"/>
              <w:bottom w:val="nil"/>
              <w:right w:val="nil"/>
            </w:tcBorders>
            <w:shd w:val="clear" w:color="000000" w:fill="FFFFFF"/>
            <w:noWrap/>
            <w:vAlign w:val="center"/>
            <w:hideMark/>
          </w:tcPr>
          <w:p w14:paraId="1DEF8C19"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16,541</w:t>
            </w:r>
          </w:p>
        </w:tc>
        <w:tc>
          <w:tcPr>
            <w:tcW w:w="505" w:type="pct"/>
            <w:tcBorders>
              <w:top w:val="nil"/>
              <w:left w:val="nil"/>
              <w:bottom w:val="nil"/>
              <w:right w:val="nil"/>
            </w:tcBorders>
            <w:shd w:val="clear" w:color="000000" w:fill="FFFFFF"/>
            <w:noWrap/>
            <w:vAlign w:val="center"/>
            <w:hideMark/>
          </w:tcPr>
          <w:p w14:paraId="09DE4BDD"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16,175</w:t>
            </w:r>
          </w:p>
        </w:tc>
        <w:tc>
          <w:tcPr>
            <w:tcW w:w="64" w:type="pct"/>
            <w:tcBorders>
              <w:top w:val="nil"/>
              <w:left w:val="nil"/>
              <w:bottom w:val="nil"/>
              <w:right w:val="nil"/>
            </w:tcBorders>
            <w:shd w:val="clear" w:color="000000" w:fill="FFFFFF"/>
            <w:noWrap/>
            <w:vAlign w:val="center"/>
            <w:hideMark/>
          </w:tcPr>
          <w:p w14:paraId="30111A47"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1B29EA17"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54,092</w:t>
            </w:r>
          </w:p>
        </w:tc>
      </w:tr>
      <w:tr w:rsidR="003117BE" w:rsidRPr="0093683C" w14:paraId="11CD6B9A"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332FB129" w14:textId="77777777" w:rsidR="003117BE" w:rsidRPr="0093683C" w:rsidRDefault="003117BE" w:rsidP="00AE2E5E">
            <w:pPr>
              <w:spacing w:before="0" w:after="0" w:line="240" w:lineRule="auto"/>
              <w:ind w:left="340"/>
              <w:rPr>
                <w:rFonts w:ascii="Arial" w:hAnsi="Arial" w:cs="Arial"/>
                <w:i/>
                <w:iCs/>
                <w:sz w:val="16"/>
                <w:szCs w:val="16"/>
              </w:rPr>
            </w:pPr>
            <w:r w:rsidRPr="0093683C">
              <w:rPr>
                <w:rFonts w:ascii="Arial" w:hAnsi="Arial" w:cs="Arial"/>
                <w:i/>
                <w:iCs/>
                <w:sz w:val="16"/>
                <w:szCs w:val="16"/>
              </w:rPr>
              <w:t>Unemployment benefits</w:t>
            </w:r>
          </w:p>
        </w:tc>
        <w:tc>
          <w:tcPr>
            <w:tcW w:w="505" w:type="pct"/>
            <w:tcBorders>
              <w:top w:val="nil"/>
              <w:left w:val="nil"/>
              <w:bottom w:val="nil"/>
              <w:right w:val="nil"/>
            </w:tcBorders>
            <w:shd w:val="clear" w:color="000000" w:fill="E6F2FF"/>
            <w:noWrap/>
            <w:vAlign w:val="center"/>
            <w:hideMark/>
          </w:tcPr>
          <w:p w14:paraId="47AC4AC2"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1,417</w:t>
            </w:r>
          </w:p>
        </w:tc>
        <w:tc>
          <w:tcPr>
            <w:tcW w:w="500" w:type="pct"/>
            <w:tcBorders>
              <w:top w:val="nil"/>
              <w:left w:val="nil"/>
              <w:bottom w:val="nil"/>
              <w:right w:val="nil"/>
            </w:tcBorders>
            <w:shd w:val="clear" w:color="000000" w:fill="FFFFFF"/>
            <w:noWrap/>
            <w:vAlign w:val="center"/>
            <w:hideMark/>
          </w:tcPr>
          <w:p w14:paraId="37BCDEA7"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2,487</w:t>
            </w:r>
          </w:p>
        </w:tc>
        <w:tc>
          <w:tcPr>
            <w:tcW w:w="500" w:type="pct"/>
            <w:tcBorders>
              <w:top w:val="nil"/>
              <w:left w:val="nil"/>
              <w:bottom w:val="nil"/>
              <w:right w:val="nil"/>
            </w:tcBorders>
            <w:shd w:val="clear" w:color="000000" w:fill="FFFFFF"/>
            <w:noWrap/>
            <w:vAlign w:val="center"/>
            <w:hideMark/>
          </w:tcPr>
          <w:p w14:paraId="63B66EE7"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3,227</w:t>
            </w:r>
          </w:p>
        </w:tc>
        <w:tc>
          <w:tcPr>
            <w:tcW w:w="505" w:type="pct"/>
            <w:tcBorders>
              <w:top w:val="nil"/>
              <w:left w:val="nil"/>
              <w:bottom w:val="nil"/>
              <w:right w:val="nil"/>
            </w:tcBorders>
            <w:shd w:val="clear" w:color="000000" w:fill="FFFFFF"/>
            <w:noWrap/>
            <w:vAlign w:val="center"/>
            <w:hideMark/>
          </w:tcPr>
          <w:p w14:paraId="68C983A2"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2,658</w:t>
            </w:r>
          </w:p>
        </w:tc>
        <w:tc>
          <w:tcPr>
            <w:tcW w:w="64" w:type="pct"/>
            <w:tcBorders>
              <w:top w:val="nil"/>
              <w:left w:val="nil"/>
              <w:bottom w:val="nil"/>
              <w:right w:val="nil"/>
            </w:tcBorders>
            <w:shd w:val="clear" w:color="000000" w:fill="FFFFFF"/>
            <w:noWrap/>
            <w:vAlign w:val="center"/>
            <w:hideMark/>
          </w:tcPr>
          <w:p w14:paraId="15CBD763"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5" w:type="pct"/>
            <w:tcBorders>
              <w:top w:val="nil"/>
              <w:left w:val="nil"/>
              <w:bottom w:val="nil"/>
              <w:right w:val="nil"/>
            </w:tcBorders>
            <w:shd w:val="clear" w:color="000000" w:fill="FFFFFF"/>
            <w:noWrap/>
            <w:vAlign w:val="center"/>
            <w:hideMark/>
          </w:tcPr>
          <w:p w14:paraId="4812BC45"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9,790</w:t>
            </w:r>
          </w:p>
        </w:tc>
      </w:tr>
      <w:tr w:rsidR="003117BE" w:rsidRPr="0093683C" w14:paraId="0A7EB709"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10A59FD5" w14:textId="77777777" w:rsidR="003117BE" w:rsidRPr="0093683C" w:rsidRDefault="003117BE" w:rsidP="00AE2E5E">
            <w:pPr>
              <w:spacing w:before="0" w:after="0" w:line="240" w:lineRule="auto"/>
              <w:ind w:left="340"/>
              <w:rPr>
                <w:rFonts w:ascii="Arial" w:hAnsi="Arial" w:cs="Arial"/>
                <w:i/>
                <w:iCs/>
                <w:sz w:val="16"/>
                <w:szCs w:val="16"/>
              </w:rPr>
            </w:pPr>
            <w:r w:rsidRPr="0093683C">
              <w:rPr>
                <w:rFonts w:ascii="Arial" w:hAnsi="Arial" w:cs="Arial"/>
                <w:i/>
                <w:iCs/>
                <w:sz w:val="16"/>
                <w:szCs w:val="16"/>
              </w:rPr>
              <w:t>Prices and wages</w:t>
            </w:r>
          </w:p>
        </w:tc>
        <w:tc>
          <w:tcPr>
            <w:tcW w:w="505" w:type="pct"/>
            <w:tcBorders>
              <w:top w:val="nil"/>
              <w:left w:val="nil"/>
              <w:bottom w:val="nil"/>
              <w:right w:val="nil"/>
            </w:tcBorders>
            <w:shd w:val="clear" w:color="000000" w:fill="E6F2FF"/>
            <w:noWrap/>
            <w:vAlign w:val="center"/>
            <w:hideMark/>
          </w:tcPr>
          <w:p w14:paraId="3CF15A4A"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2,121</w:t>
            </w:r>
          </w:p>
        </w:tc>
        <w:tc>
          <w:tcPr>
            <w:tcW w:w="500" w:type="pct"/>
            <w:tcBorders>
              <w:top w:val="nil"/>
              <w:left w:val="nil"/>
              <w:bottom w:val="nil"/>
              <w:right w:val="nil"/>
            </w:tcBorders>
            <w:shd w:val="clear" w:color="000000" w:fill="FFFFFF"/>
            <w:noWrap/>
            <w:vAlign w:val="center"/>
            <w:hideMark/>
          </w:tcPr>
          <w:p w14:paraId="12218D4C"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9,104</w:t>
            </w:r>
          </w:p>
        </w:tc>
        <w:tc>
          <w:tcPr>
            <w:tcW w:w="500" w:type="pct"/>
            <w:tcBorders>
              <w:top w:val="nil"/>
              <w:left w:val="nil"/>
              <w:bottom w:val="nil"/>
              <w:right w:val="nil"/>
            </w:tcBorders>
            <w:shd w:val="clear" w:color="000000" w:fill="FFFFFF"/>
            <w:noWrap/>
            <w:vAlign w:val="center"/>
            <w:hideMark/>
          </w:tcPr>
          <w:p w14:paraId="2C3649DE"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11,564</w:t>
            </w:r>
          </w:p>
        </w:tc>
        <w:tc>
          <w:tcPr>
            <w:tcW w:w="505" w:type="pct"/>
            <w:tcBorders>
              <w:top w:val="nil"/>
              <w:left w:val="nil"/>
              <w:bottom w:val="nil"/>
              <w:right w:val="nil"/>
            </w:tcBorders>
            <w:shd w:val="clear" w:color="000000" w:fill="FFFFFF"/>
            <w:noWrap/>
            <w:vAlign w:val="center"/>
            <w:hideMark/>
          </w:tcPr>
          <w:p w14:paraId="39BC9866"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11,315</w:t>
            </w:r>
          </w:p>
        </w:tc>
        <w:tc>
          <w:tcPr>
            <w:tcW w:w="64" w:type="pct"/>
            <w:tcBorders>
              <w:top w:val="nil"/>
              <w:left w:val="nil"/>
              <w:bottom w:val="nil"/>
              <w:right w:val="nil"/>
            </w:tcBorders>
            <w:shd w:val="clear" w:color="000000" w:fill="FFFFFF"/>
            <w:noWrap/>
            <w:vAlign w:val="center"/>
            <w:hideMark/>
          </w:tcPr>
          <w:p w14:paraId="132F573A"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5" w:type="pct"/>
            <w:tcBorders>
              <w:top w:val="nil"/>
              <w:left w:val="nil"/>
              <w:bottom w:val="nil"/>
              <w:right w:val="nil"/>
            </w:tcBorders>
            <w:shd w:val="clear" w:color="000000" w:fill="FFFFFF"/>
            <w:noWrap/>
            <w:vAlign w:val="center"/>
            <w:hideMark/>
          </w:tcPr>
          <w:p w14:paraId="1A31FB34"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34,104</w:t>
            </w:r>
          </w:p>
        </w:tc>
      </w:tr>
      <w:tr w:rsidR="003117BE" w:rsidRPr="0093683C" w14:paraId="587AE876"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3A409023" w14:textId="77777777" w:rsidR="003117BE" w:rsidRPr="0093683C" w:rsidRDefault="003117BE" w:rsidP="00AE2E5E">
            <w:pPr>
              <w:spacing w:before="0" w:after="0" w:line="240" w:lineRule="auto"/>
              <w:ind w:left="340"/>
              <w:rPr>
                <w:rFonts w:ascii="Arial" w:hAnsi="Arial" w:cs="Arial"/>
                <w:i/>
                <w:iCs/>
                <w:sz w:val="16"/>
                <w:szCs w:val="16"/>
              </w:rPr>
            </w:pPr>
            <w:r w:rsidRPr="0093683C">
              <w:rPr>
                <w:rFonts w:ascii="Arial" w:hAnsi="Arial" w:cs="Arial"/>
                <w:i/>
                <w:iCs/>
                <w:sz w:val="16"/>
                <w:szCs w:val="16"/>
              </w:rPr>
              <w:t>Interest and exchange rates</w:t>
            </w:r>
          </w:p>
        </w:tc>
        <w:tc>
          <w:tcPr>
            <w:tcW w:w="505" w:type="pct"/>
            <w:tcBorders>
              <w:top w:val="nil"/>
              <w:left w:val="nil"/>
              <w:bottom w:val="nil"/>
              <w:right w:val="nil"/>
            </w:tcBorders>
            <w:shd w:val="clear" w:color="000000" w:fill="E6F2FF"/>
            <w:noWrap/>
            <w:vAlign w:val="center"/>
            <w:hideMark/>
          </w:tcPr>
          <w:p w14:paraId="59E66D93"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255</w:t>
            </w:r>
          </w:p>
        </w:tc>
        <w:tc>
          <w:tcPr>
            <w:tcW w:w="500" w:type="pct"/>
            <w:tcBorders>
              <w:top w:val="nil"/>
              <w:left w:val="nil"/>
              <w:bottom w:val="nil"/>
              <w:right w:val="nil"/>
            </w:tcBorders>
            <w:shd w:val="clear" w:color="000000" w:fill="FFFFFF"/>
            <w:noWrap/>
            <w:vAlign w:val="center"/>
            <w:hideMark/>
          </w:tcPr>
          <w:p w14:paraId="78067897"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275</w:t>
            </w:r>
          </w:p>
        </w:tc>
        <w:tc>
          <w:tcPr>
            <w:tcW w:w="500" w:type="pct"/>
            <w:tcBorders>
              <w:top w:val="nil"/>
              <w:left w:val="nil"/>
              <w:bottom w:val="nil"/>
              <w:right w:val="nil"/>
            </w:tcBorders>
            <w:shd w:val="clear" w:color="000000" w:fill="FFFFFF"/>
            <w:noWrap/>
            <w:vAlign w:val="center"/>
            <w:hideMark/>
          </w:tcPr>
          <w:p w14:paraId="2B4D310B"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423</w:t>
            </w:r>
          </w:p>
        </w:tc>
        <w:tc>
          <w:tcPr>
            <w:tcW w:w="505" w:type="pct"/>
            <w:tcBorders>
              <w:top w:val="nil"/>
              <w:left w:val="nil"/>
              <w:bottom w:val="nil"/>
              <w:right w:val="nil"/>
            </w:tcBorders>
            <w:shd w:val="clear" w:color="000000" w:fill="FFFFFF"/>
            <w:noWrap/>
            <w:vAlign w:val="center"/>
            <w:hideMark/>
          </w:tcPr>
          <w:p w14:paraId="4B5F33F5"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480</w:t>
            </w:r>
          </w:p>
        </w:tc>
        <w:tc>
          <w:tcPr>
            <w:tcW w:w="64" w:type="pct"/>
            <w:tcBorders>
              <w:top w:val="nil"/>
              <w:left w:val="nil"/>
              <w:bottom w:val="nil"/>
              <w:right w:val="nil"/>
            </w:tcBorders>
            <w:shd w:val="clear" w:color="000000" w:fill="FFFFFF"/>
            <w:noWrap/>
            <w:vAlign w:val="center"/>
            <w:hideMark/>
          </w:tcPr>
          <w:p w14:paraId="1E592A5A"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5" w:type="pct"/>
            <w:tcBorders>
              <w:top w:val="nil"/>
              <w:left w:val="nil"/>
              <w:bottom w:val="nil"/>
              <w:right w:val="nil"/>
            </w:tcBorders>
            <w:shd w:val="clear" w:color="000000" w:fill="FFFFFF"/>
            <w:noWrap/>
            <w:vAlign w:val="center"/>
            <w:hideMark/>
          </w:tcPr>
          <w:p w14:paraId="5DBA8B32"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1,432</w:t>
            </w:r>
          </w:p>
        </w:tc>
      </w:tr>
      <w:tr w:rsidR="003117BE" w:rsidRPr="0093683C" w14:paraId="546780C2"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7E34D4E6" w14:textId="77777777" w:rsidR="003117BE" w:rsidRPr="0093683C" w:rsidRDefault="003117BE" w:rsidP="00AE2E5E">
            <w:pPr>
              <w:spacing w:before="0" w:after="0" w:line="240" w:lineRule="auto"/>
              <w:ind w:left="340"/>
              <w:rPr>
                <w:rFonts w:ascii="Arial" w:hAnsi="Arial" w:cs="Arial"/>
                <w:i/>
                <w:iCs/>
                <w:sz w:val="16"/>
                <w:szCs w:val="16"/>
              </w:rPr>
            </w:pPr>
            <w:r w:rsidRPr="0093683C">
              <w:rPr>
                <w:rFonts w:ascii="Arial" w:hAnsi="Arial" w:cs="Arial"/>
                <w:i/>
                <w:iCs/>
                <w:sz w:val="16"/>
                <w:szCs w:val="16"/>
              </w:rPr>
              <w:t>GST payments to the States</w:t>
            </w:r>
          </w:p>
        </w:tc>
        <w:tc>
          <w:tcPr>
            <w:tcW w:w="505" w:type="pct"/>
            <w:tcBorders>
              <w:top w:val="nil"/>
              <w:left w:val="nil"/>
              <w:bottom w:val="nil"/>
              <w:right w:val="nil"/>
            </w:tcBorders>
            <w:shd w:val="clear" w:color="000000" w:fill="E6F2FF"/>
            <w:noWrap/>
            <w:vAlign w:val="center"/>
            <w:hideMark/>
          </w:tcPr>
          <w:p w14:paraId="4BD87A2F"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3,122</w:t>
            </w:r>
          </w:p>
        </w:tc>
        <w:tc>
          <w:tcPr>
            <w:tcW w:w="500" w:type="pct"/>
            <w:tcBorders>
              <w:top w:val="nil"/>
              <w:left w:val="nil"/>
              <w:bottom w:val="nil"/>
              <w:right w:val="nil"/>
            </w:tcBorders>
            <w:shd w:val="clear" w:color="000000" w:fill="FFFFFF"/>
            <w:noWrap/>
            <w:vAlign w:val="center"/>
            <w:hideMark/>
          </w:tcPr>
          <w:p w14:paraId="4AD43604"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2,595</w:t>
            </w:r>
          </w:p>
        </w:tc>
        <w:tc>
          <w:tcPr>
            <w:tcW w:w="500" w:type="pct"/>
            <w:tcBorders>
              <w:top w:val="nil"/>
              <w:left w:val="nil"/>
              <w:bottom w:val="nil"/>
              <w:right w:val="nil"/>
            </w:tcBorders>
            <w:shd w:val="clear" w:color="000000" w:fill="FFFFFF"/>
            <w:noWrap/>
            <w:vAlign w:val="center"/>
            <w:hideMark/>
          </w:tcPr>
          <w:p w14:paraId="4A29023B"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1,327</w:t>
            </w:r>
          </w:p>
        </w:tc>
        <w:tc>
          <w:tcPr>
            <w:tcW w:w="505" w:type="pct"/>
            <w:tcBorders>
              <w:top w:val="nil"/>
              <w:left w:val="nil"/>
              <w:bottom w:val="nil"/>
              <w:right w:val="nil"/>
            </w:tcBorders>
            <w:shd w:val="clear" w:color="000000" w:fill="FFFFFF"/>
            <w:noWrap/>
            <w:vAlign w:val="center"/>
            <w:hideMark/>
          </w:tcPr>
          <w:p w14:paraId="224775EA"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1,722</w:t>
            </w:r>
          </w:p>
        </w:tc>
        <w:tc>
          <w:tcPr>
            <w:tcW w:w="64" w:type="pct"/>
            <w:tcBorders>
              <w:top w:val="nil"/>
              <w:left w:val="nil"/>
              <w:bottom w:val="nil"/>
              <w:right w:val="nil"/>
            </w:tcBorders>
            <w:shd w:val="clear" w:color="000000" w:fill="FFFFFF"/>
            <w:noWrap/>
            <w:vAlign w:val="center"/>
            <w:hideMark/>
          </w:tcPr>
          <w:p w14:paraId="2A835BBD" w14:textId="77777777" w:rsidR="003117BE" w:rsidRPr="0093683C" w:rsidRDefault="003117BE" w:rsidP="003117BE">
            <w:pPr>
              <w:spacing w:before="0" w:after="0" w:line="240" w:lineRule="auto"/>
              <w:rPr>
                <w:rFonts w:ascii="Arial" w:hAnsi="Arial" w:cs="Arial"/>
                <w:i/>
                <w:iCs/>
                <w:sz w:val="16"/>
                <w:szCs w:val="16"/>
              </w:rPr>
            </w:pPr>
            <w:r w:rsidRPr="0093683C">
              <w:rPr>
                <w:rFonts w:ascii="Arial" w:hAnsi="Arial" w:cs="Arial"/>
                <w:i/>
                <w:iCs/>
                <w:sz w:val="16"/>
                <w:szCs w:val="16"/>
              </w:rPr>
              <w:t> </w:t>
            </w:r>
          </w:p>
        </w:tc>
        <w:tc>
          <w:tcPr>
            <w:tcW w:w="505" w:type="pct"/>
            <w:tcBorders>
              <w:top w:val="nil"/>
              <w:left w:val="nil"/>
              <w:bottom w:val="nil"/>
              <w:right w:val="nil"/>
            </w:tcBorders>
            <w:shd w:val="clear" w:color="000000" w:fill="FFFFFF"/>
            <w:noWrap/>
            <w:vAlign w:val="center"/>
            <w:hideMark/>
          </w:tcPr>
          <w:p w14:paraId="0C633150" w14:textId="77777777" w:rsidR="003117BE" w:rsidRPr="0093683C" w:rsidRDefault="003117BE" w:rsidP="003117BE">
            <w:pPr>
              <w:spacing w:before="0" w:after="0" w:line="240" w:lineRule="auto"/>
              <w:jc w:val="right"/>
              <w:rPr>
                <w:rFonts w:ascii="Arial" w:hAnsi="Arial" w:cs="Arial"/>
                <w:i/>
                <w:iCs/>
                <w:sz w:val="16"/>
                <w:szCs w:val="16"/>
              </w:rPr>
            </w:pPr>
            <w:r w:rsidRPr="0093683C">
              <w:rPr>
                <w:rFonts w:ascii="Arial" w:hAnsi="Arial" w:cs="Arial"/>
                <w:i/>
                <w:iCs/>
                <w:sz w:val="16"/>
                <w:szCs w:val="16"/>
              </w:rPr>
              <w:t>8,766</w:t>
            </w:r>
          </w:p>
        </w:tc>
      </w:tr>
      <w:tr w:rsidR="003117BE" w:rsidRPr="0093683C" w14:paraId="47A1C185"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21C3833F" w14:textId="77777777" w:rsidR="003117BE" w:rsidRPr="0093683C" w:rsidRDefault="003117BE" w:rsidP="00AE2E5E">
            <w:pPr>
              <w:spacing w:before="0" w:after="0" w:line="240" w:lineRule="auto"/>
              <w:ind w:left="170"/>
              <w:rPr>
                <w:rFonts w:ascii="Arial" w:hAnsi="Arial" w:cs="Arial"/>
                <w:sz w:val="16"/>
                <w:szCs w:val="16"/>
              </w:rPr>
            </w:pPr>
            <w:r w:rsidRPr="0093683C">
              <w:rPr>
                <w:rFonts w:ascii="Arial" w:hAnsi="Arial" w:cs="Arial"/>
                <w:sz w:val="16"/>
                <w:szCs w:val="16"/>
              </w:rPr>
              <w:t>Interest payments on AGS</w:t>
            </w:r>
          </w:p>
        </w:tc>
        <w:tc>
          <w:tcPr>
            <w:tcW w:w="505" w:type="pct"/>
            <w:tcBorders>
              <w:top w:val="nil"/>
              <w:left w:val="nil"/>
              <w:bottom w:val="nil"/>
              <w:right w:val="nil"/>
            </w:tcBorders>
            <w:shd w:val="clear" w:color="000000" w:fill="E6F2FF"/>
            <w:noWrap/>
            <w:vAlign w:val="center"/>
            <w:hideMark/>
          </w:tcPr>
          <w:p w14:paraId="648EC986"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685</w:t>
            </w:r>
          </w:p>
        </w:tc>
        <w:tc>
          <w:tcPr>
            <w:tcW w:w="500" w:type="pct"/>
            <w:tcBorders>
              <w:top w:val="nil"/>
              <w:left w:val="nil"/>
              <w:bottom w:val="nil"/>
              <w:right w:val="nil"/>
            </w:tcBorders>
            <w:shd w:val="clear" w:color="000000" w:fill="FFFFFF"/>
            <w:noWrap/>
            <w:vAlign w:val="center"/>
            <w:hideMark/>
          </w:tcPr>
          <w:p w14:paraId="54D5F803"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1,781</w:t>
            </w:r>
          </w:p>
        </w:tc>
        <w:tc>
          <w:tcPr>
            <w:tcW w:w="500" w:type="pct"/>
            <w:tcBorders>
              <w:top w:val="nil"/>
              <w:left w:val="nil"/>
              <w:bottom w:val="nil"/>
              <w:right w:val="nil"/>
            </w:tcBorders>
            <w:shd w:val="clear" w:color="000000" w:fill="FFFFFF"/>
            <w:noWrap/>
            <w:vAlign w:val="center"/>
            <w:hideMark/>
          </w:tcPr>
          <w:p w14:paraId="2F987F3B"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3,442</w:t>
            </w:r>
          </w:p>
        </w:tc>
        <w:tc>
          <w:tcPr>
            <w:tcW w:w="505" w:type="pct"/>
            <w:tcBorders>
              <w:top w:val="nil"/>
              <w:left w:val="nil"/>
              <w:bottom w:val="nil"/>
              <w:right w:val="nil"/>
            </w:tcBorders>
            <w:shd w:val="clear" w:color="000000" w:fill="FFFFFF"/>
            <w:noWrap/>
            <w:vAlign w:val="center"/>
            <w:hideMark/>
          </w:tcPr>
          <w:p w14:paraId="0855C2BE"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6,045</w:t>
            </w:r>
          </w:p>
        </w:tc>
        <w:tc>
          <w:tcPr>
            <w:tcW w:w="64" w:type="pct"/>
            <w:tcBorders>
              <w:top w:val="nil"/>
              <w:left w:val="nil"/>
              <w:bottom w:val="nil"/>
              <w:right w:val="nil"/>
            </w:tcBorders>
            <w:shd w:val="clear" w:color="000000" w:fill="FFFFFF"/>
            <w:noWrap/>
            <w:vAlign w:val="center"/>
            <w:hideMark/>
          </w:tcPr>
          <w:p w14:paraId="5D1CB15D"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30CD1B6C"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11,953</w:t>
            </w:r>
          </w:p>
        </w:tc>
      </w:tr>
      <w:tr w:rsidR="003117BE" w:rsidRPr="0093683C" w14:paraId="56255698"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2389E981" w14:textId="77777777" w:rsidR="003117BE" w:rsidRPr="0093683C" w:rsidRDefault="003117BE" w:rsidP="00AE2E5E">
            <w:pPr>
              <w:spacing w:before="0" w:after="0" w:line="240" w:lineRule="auto"/>
              <w:ind w:left="170"/>
              <w:rPr>
                <w:rFonts w:ascii="Arial" w:hAnsi="Arial" w:cs="Arial"/>
                <w:sz w:val="16"/>
                <w:szCs w:val="16"/>
              </w:rPr>
            </w:pPr>
            <w:r w:rsidRPr="0093683C">
              <w:rPr>
                <w:rFonts w:ascii="Arial" w:hAnsi="Arial" w:cs="Arial"/>
                <w:sz w:val="16"/>
                <w:szCs w:val="16"/>
              </w:rPr>
              <w:t>Program specific parameter variations</w:t>
            </w:r>
          </w:p>
        </w:tc>
        <w:tc>
          <w:tcPr>
            <w:tcW w:w="505" w:type="pct"/>
            <w:tcBorders>
              <w:top w:val="nil"/>
              <w:left w:val="nil"/>
              <w:bottom w:val="nil"/>
              <w:right w:val="nil"/>
            </w:tcBorders>
            <w:shd w:val="clear" w:color="000000" w:fill="E6F2FF"/>
            <w:noWrap/>
            <w:vAlign w:val="center"/>
            <w:hideMark/>
          </w:tcPr>
          <w:p w14:paraId="7CCFB9B3"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903</w:t>
            </w:r>
          </w:p>
        </w:tc>
        <w:tc>
          <w:tcPr>
            <w:tcW w:w="500" w:type="pct"/>
            <w:tcBorders>
              <w:top w:val="nil"/>
              <w:left w:val="nil"/>
              <w:bottom w:val="nil"/>
              <w:right w:val="nil"/>
            </w:tcBorders>
            <w:shd w:val="clear" w:color="000000" w:fill="FFFFFF"/>
            <w:noWrap/>
            <w:vAlign w:val="center"/>
            <w:hideMark/>
          </w:tcPr>
          <w:p w14:paraId="4813FEF0"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3,703</w:t>
            </w:r>
          </w:p>
        </w:tc>
        <w:tc>
          <w:tcPr>
            <w:tcW w:w="500" w:type="pct"/>
            <w:tcBorders>
              <w:top w:val="nil"/>
              <w:left w:val="nil"/>
              <w:bottom w:val="nil"/>
              <w:right w:val="nil"/>
            </w:tcBorders>
            <w:shd w:val="clear" w:color="000000" w:fill="FFFFFF"/>
            <w:noWrap/>
            <w:vAlign w:val="center"/>
            <w:hideMark/>
          </w:tcPr>
          <w:p w14:paraId="42282138"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4,195</w:t>
            </w:r>
          </w:p>
        </w:tc>
        <w:tc>
          <w:tcPr>
            <w:tcW w:w="505" w:type="pct"/>
            <w:tcBorders>
              <w:top w:val="nil"/>
              <w:left w:val="nil"/>
              <w:bottom w:val="nil"/>
              <w:right w:val="nil"/>
            </w:tcBorders>
            <w:shd w:val="clear" w:color="000000" w:fill="FFFFFF"/>
            <w:noWrap/>
            <w:vAlign w:val="center"/>
            <w:hideMark/>
          </w:tcPr>
          <w:p w14:paraId="188F27A1"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6,912</w:t>
            </w:r>
          </w:p>
        </w:tc>
        <w:tc>
          <w:tcPr>
            <w:tcW w:w="64" w:type="pct"/>
            <w:tcBorders>
              <w:top w:val="nil"/>
              <w:left w:val="nil"/>
              <w:bottom w:val="nil"/>
              <w:right w:val="nil"/>
            </w:tcBorders>
            <w:shd w:val="clear" w:color="000000" w:fill="FFFFFF"/>
            <w:noWrap/>
            <w:vAlign w:val="center"/>
            <w:hideMark/>
          </w:tcPr>
          <w:p w14:paraId="46F00D80"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0242C251"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15,712</w:t>
            </w:r>
          </w:p>
        </w:tc>
      </w:tr>
      <w:tr w:rsidR="009B734F" w:rsidRPr="0093683C" w14:paraId="068B35C3"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7177F5C3" w14:textId="77777777" w:rsidR="003117BE" w:rsidRPr="0093683C" w:rsidRDefault="003117BE" w:rsidP="00AE2E5E">
            <w:pPr>
              <w:spacing w:before="0" w:after="0" w:line="240" w:lineRule="auto"/>
              <w:ind w:left="170"/>
              <w:rPr>
                <w:rFonts w:ascii="Arial" w:hAnsi="Arial" w:cs="Arial"/>
                <w:sz w:val="16"/>
                <w:szCs w:val="16"/>
              </w:rPr>
            </w:pPr>
            <w:r w:rsidRPr="0093683C">
              <w:rPr>
                <w:rFonts w:ascii="Arial" w:hAnsi="Arial" w:cs="Arial"/>
                <w:sz w:val="16"/>
                <w:szCs w:val="16"/>
              </w:rPr>
              <w:t>Other variations(c)</w:t>
            </w:r>
          </w:p>
        </w:tc>
        <w:tc>
          <w:tcPr>
            <w:tcW w:w="505" w:type="pct"/>
            <w:tcBorders>
              <w:top w:val="nil"/>
              <w:left w:val="nil"/>
              <w:bottom w:val="single" w:sz="4" w:space="0" w:color="000000"/>
              <w:right w:val="nil"/>
            </w:tcBorders>
            <w:shd w:val="clear" w:color="000000" w:fill="E6F2FF"/>
            <w:noWrap/>
            <w:vAlign w:val="center"/>
            <w:hideMark/>
          </w:tcPr>
          <w:p w14:paraId="221C23F1"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6,602</w:t>
            </w:r>
          </w:p>
        </w:tc>
        <w:tc>
          <w:tcPr>
            <w:tcW w:w="500" w:type="pct"/>
            <w:tcBorders>
              <w:top w:val="nil"/>
              <w:left w:val="nil"/>
              <w:bottom w:val="single" w:sz="4" w:space="0" w:color="000000"/>
              <w:right w:val="nil"/>
            </w:tcBorders>
            <w:shd w:val="clear" w:color="000000" w:fill="FFFFFF"/>
            <w:noWrap/>
            <w:vAlign w:val="center"/>
            <w:hideMark/>
          </w:tcPr>
          <w:p w14:paraId="2C9B8FD2"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2,119</w:t>
            </w:r>
          </w:p>
        </w:tc>
        <w:tc>
          <w:tcPr>
            <w:tcW w:w="500" w:type="pct"/>
            <w:tcBorders>
              <w:top w:val="nil"/>
              <w:left w:val="nil"/>
              <w:bottom w:val="single" w:sz="4" w:space="0" w:color="000000"/>
              <w:right w:val="nil"/>
            </w:tcBorders>
            <w:shd w:val="clear" w:color="000000" w:fill="FFFFFF"/>
            <w:noWrap/>
            <w:vAlign w:val="center"/>
            <w:hideMark/>
          </w:tcPr>
          <w:p w14:paraId="66E938C3"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1,751</w:t>
            </w:r>
          </w:p>
        </w:tc>
        <w:tc>
          <w:tcPr>
            <w:tcW w:w="505" w:type="pct"/>
            <w:tcBorders>
              <w:top w:val="nil"/>
              <w:left w:val="nil"/>
              <w:bottom w:val="single" w:sz="4" w:space="0" w:color="000000"/>
              <w:right w:val="nil"/>
            </w:tcBorders>
            <w:shd w:val="clear" w:color="000000" w:fill="FFFFFF"/>
            <w:noWrap/>
            <w:vAlign w:val="center"/>
            <w:hideMark/>
          </w:tcPr>
          <w:p w14:paraId="1C338A00"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-57</w:t>
            </w:r>
          </w:p>
        </w:tc>
        <w:tc>
          <w:tcPr>
            <w:tcW w:w="64" w:type="pct"/>
            <w:tcBorders>
              <w:top w:val="nil"/>
              <w:left w:val="nil"/>
              <w:bottom w:val="nil"/>
              <w:right w:val="nil"/>
            </w:tcBorders>
            <w:shd w:val="clear" w:color="000000" w:fill="FFFFFF"/>
            <w:noWrap/>
            <w:vAlign w:val="center"/>
            <w:hideMark/>
          </w:tcPr>
          <w:p w14:paraId="0041F0D4"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7CC0ABC9" w14:textId="77777777" w:rsidR="003117BE" w:rsidRPr="0093683C" w:rsidRDefault="003117BE" w:rsidP="003117BE">
            <w:pPr>
              <w:spacing w:before="0" w:after="0" w:line="240" w:lineRule="auto"/>
              <w:jc w:val="right"/>
              <w:rPr>
                <w:rFonts w:ascii="Arial" w:hAnsi="Arial" w:cs="Arial"/>
                <w:sz w:val="16"/>
                <w:szCs w:val="16"/>
              </w:rPr>
            </w:pPr>
            <w:r w:rsidRPr="0093683C">
              <w:rPr>
                <w:rFonts w:ascii="Arial" w:hAnsi="Arial" w:cs="Arial"/>
                <w:sz w:val="16"/>
                <w:szCs w:val="16"/>
              </w:rPr>
              <w:t>10,416</w:t>
            </w:r>
          </w:p>
        </w:tc>
      </w:tr>
      <w:tr w:rsidR="009B734F" w:rsidRPr="0093683C" w14:paraId="224CA081" w14:textId="77777777" w:rsidTr="00AE2E5E">
        <w:trPr>
          <w:trHeight w:hRule="exact" w:val="225"/>
        </w:trPr>
        <w:tc>
          <w:tcPr>
            <w:tcW w:w="2419" w:type="pct"/>
            <w:tcBorders>
              <w:top w:val="nil"/>
              <w:left w:val="nil"/>
              <w:bottom w:val="nil"/>
              <w:right w:val="nil"/>
            </w:tcBorders>
            <w:shd w:val="clear" w:color="000000" w:fill="FFFFFF"/>
            <w:noWrap/>
            <w:vAlign w:val="center"/>
            <w:hideMark/>
          </w:tcPr>
          <w:p w14:paraId="259A1F62"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Total variations</w:t>
            </w:r>
          </w:p>
        </w:tc>
        <w:tc>
          <w:tcPr>
            <w:tcW w:w="505" w:type="pct"/>
            <w:tcBorders>
              <w:top w:val="single" w:sz="4" w:space="0" w:color="293F5B"/>
              <w:left w:val="nil"/>
              <w:bottom w:val="single" w:sz="4" w:space="0" w:color="293F5B"/>
              <w:right w:val="nil"/>
            </w:tcBorders>
            <w:shd w:val="clear" w:color="000000" w:fill="E6F2FF"/>
            <w:noWrap/>
            <w:vAlign w:val="center"/>
            <w:hideMark/>
          </w:tcPr>
          <w:p w14:paraId="24B2A627"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17,611</w:t>
            </w:r>
          </w:p>
        </w:tc>
        <w:tc>
          <w:tcPr>
            <w:tcW w:w="500" w:type="pct"/>
            <w:tcBorders>
              <w:top w:val="single" w:sz="4" w:space="0" w:color="293F5B"/>
              <w:left w:val="nil"/>
              <w:bottom w:val="single" w:sz="4" w:space="0" w:color="293F5B"/>
              <w:right w:val="nil"/>
            </w:tcBorders>
            <w:shd w:val="clear" w:color="000000" w:fill="FFFFFF"/>
            <w:noWrap/>
            <w:vAlign w:val="center"/>
            <w:hideMark/>
          </w:tcPr>
          <w:p w14:paraId="749CFECE"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23,775</w:t>
            </w:r>
          </w:p>
        </w:tc>
        <w:tc>
          <w:tcPr>
            <w:tcW w:w="500" w:type="pct"/>
            <w:tcBorders>
              <w:top w:val="single" w:sz="4" w:space="0" w:color="293F5B"/>
              <w:left w:val="nil"/>
              <w:bottom w:val="single" w:sz="4" w:space="0" w:color="293F5B"/>
              <w:right w:val="nil"/>
            </w:tcBorders>
            <w:shd w:val="clear" w:color="000000" w:fill="FFFFFF"/>
            <w:noWrap/>
            <w:vAlign w:val="center"/>
            <w:hideMark/>
          </w:tcPr>
          <w:p w14:paraId="45E82078"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31,909</w:t>
            </w:r>
          </w:p>
        </w:tc>
        <w:tc>
          <w:tcPr>
            <w:tcW w:w="505" w:type="pct"/>
            <w:tcBorders>
              <w:top w:val="single" w:sz="4" w:space="0" w:color="293F5B"/>
              <w:left w:val="nil"/>
              <w:bottom w:val="single" w:sz="4" w:space="0" w:color="293F5B"/>
              <w:right w:val="nil"/>
            </w:tcBorders>
            <w:shd w:val="clear" w:color="000000" w:fill="FFFFFF"/>
            <w:noWrap/>
            <w:vAlign w:val="center"/>
            <w:hideMark/>
          </w:tcPr>
          <w:p w14:paraId="75326A57"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41,748</w:t>
            </w:r>
          </w:p>
        </w:tc>
        <w:tc>
          <w:tcPr>
            <w:tcW w:w="64" w:type="pct"/>
            <w:tcBorders>
              <w:top w:val="nil"/>
              <w:left w:val="nil"/>
              <w:bottom w:val="nil"/>
              <w:right w:val="nil"/>
            </w:tcBorders>
            <w:shd w:val="clear" w:color="000000" w:fill="FFFFFF"/>
            <w:noWrap/>
            <w:vAlign w:val="center"/>
            <w:hideMark/>
          </w:tcPr>
          <w:p w14:paraId="2A268823"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 </w:t>
            </w:r>
          </w:p>
        </w:tc>
        <w:tc>
          <w:tcPr>
            <w:tcW w:w="505" w:type="pct"/>
            <w:tcBorders>
              <w:top w:val="single" w:sz="4" w:space="0" w:color="293F5B"/>
              <w:left w:val="nil"/>
              <w:bottom w:val="single" w:sz="4" w:space="0" w:color="293F5B"/>
              <w:right w:val="nil"/>
            </w:tcBorders>
            <w:shd w:val="clear" w:color="000000" w:fill="FFFFFF"/>
            <w:noWrap/>
            <w:vAlign w:val="center"/>
            <w:hideMark/>
          </w:tcPr>
          <w:p w14:paraId="23417C5C"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115,043</w:t>
            </w:r>
          </w:p>
        </w:tc>
      </w:tr>
      <w:tr w:rsidR="003117BE" w:rsidRPr="0093683C" w14:paraId="068C4FCC" w14:textId="77777777" w:rsidTr="00AE2E5E">
        <w:trPr>
          <w:trHeight w:hRule="exact" w:val="60"/>
        </w:trPr>
        <w:tc>
          <w:tcPr>
            <w:tcW w:w="2419" w:type="pct"/>
            <w:tcBorders>
              <w:top w:val="nil"/>
              <w:left w:val="nil"/>
              <w:bottom w:val="nil"/>
              <w:right w:val="nil"/>
            </w:tcBorders>
            <w:shd w:val="clear" w:color="000000" w:fill="FFFFFF"/>
            <w:noWrap/>
            <w:vAlign w:val="center"/>
            <w:hideMark/>
          </w:tcPr>
          <w:p w14:paraId="70B6287C"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 </w:t>
            </w:r>
          </w:p>
        </w:tc>
        <w:tc>
          <w:tcPr>
            <w:tcW w:w="505" w:type="pct"/>
            <w:tcBorders>
              <w:top w:val="nil"/>
              <w:left w:val="nil"/>
              <w:bottom w:val="nil"/>
              <w:right w:val="nil"/>
            </w:tcBorders>
            <w:shd w:val="clear" w:color="000000" w:fill="E6F2FF"/>
            <w:noWrap/>
            <w:vAlign w:val="center"/>
            <w:hideMark/>
          </w:tcPr>
          <w:p w14:paraId="173C2305"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0" w:type="pct"/>
            <w:tcBorders>
              <w:top w:val="nil"/>
              <w:left w:val="nil"/>
              <w:bottom w:val="nil"/>
              <w:right w:val="nil"/>
            </w:tcBorders>
            <w:shd w:val="clear" w:color="000000" w:fill="FFFFFF"/>
            <w:noWrap/>
            <w:vAlign w:val="center"/>
            <w:hideMark/>
          </w:tcPr>
          <w:p w14:paraId="791847F6"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0" w:type="pct"/>
            <w:tcBorders>
              <w:top w:val="nil"/>
              <w:left w:val="nil"/>
              <w:bottom w:val="nil"/>
              <w:right w:val="nil"/>
            </w:tcBorders>
            <w:shd w:val="clear" w:color="000000" w:fill="FFFFFF"/>
            <w:noWrap/>
            <w:vAlign w:val="center"/>
            <w:hideMark/>
          </w:tcPr>
          <w:p w14:paraId="338D9DB5"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5AE7ED9D"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0E93771B"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c>
          <w:tcPr>
            <w:tcW w:w="505" w:type="pct"/>
            <w:tcBorders>
              <w:top w:val="nil"/>
              <w:left w:val="nil"/>
              <w:bottom w:val="nil"/>
              <w:right w:val="nil"/>
            </w:tcBorders>
            <w:shd w:val="clear" w:color="000000" w:fill="FFFFFF"/>
            <w:noWrap/>
            <w:vAlign w:val="center"/>
            <w:hideMark/>
          </w:tcPr>
          <w:p w14:paraId="4A4CFCD5" w14:textId="77777777" w:rsidR="003117BE" w:rsidRPr="0093683C" w:rsidRDefault="003117BE" w:rsidP="003117BE">
            <w:pPr>
              <w:spacing w:before="0" w:after="0" w:line="240" w:lineRule="auto"/>
              <w:rPr>
                <w:rFonts w:ascii="Arial" w:hAnsi="Arial" w:cs="Arial"/>
                <w:sz w:val="16"/>
                <w:szCs w:val="16"/>
              </w:rPr>
            </w:pPr>
            <w:r w:rsidRPr="0093683C">
              <w:rPr>
                <w:rFonts w:ascii="Arial" w:hAnsi="Arial" w:cs="Arial"/>
                <w:sz w:val="16"/>
                <w:szCs w:val="16"/>
              </w:rPr>
              <w:t> </w:t>
            </w:r>
          </w:p>
        </w:tc>
      </w:tr>
      <w:tr w:rsidR="003117BE" w:rsidRPr="0093683C" w14:paraId="14AA7461" w14:textId="77777777" w:rsidTr="00AE2E5E">
        <w:trPr>
          <w:trHeight w:hRule="exact" w:val="225"/>
        </w:trPr>
        <w:tc>
          <w:tcPr>
            <w:tcW w:w="2419" w:type="pct"/>
            <w:tcBorders>
              <w:top w:val="nil"/>
              <w:left w:val="nil"/>
              <w:bottom w:val="single" w:sz="4" w:space="0" w:color="293F5B"/>
              <w:right w:val="nil"/>
            </w:tcBorders>
            <w:shd w:val="clear" w:color="000000" w:fill="FFFFFF"/>
            <w:noWrap/>
            <w:vAlign w:val="center"/>
            <w:hideMark/>
          </w:tcPr>
          <w:p w14:paraId="4FDE0579" w14:textId="77777777" w:rsidR="003117BE" w:rsidRPr="0093683C" w:rsidRDefault="003117BE" w:rsidP="003117BE">
            <w:pPr>
              <w:spacing w:before="0" w:after="0" w:line="240" w:lineRule="auto"/>
              <w:rPr>
                <w:rFonts w:ascii="Arial" w:hAnsi="Arial" w:cs="Arial"/>
                <w:b/>
                <w:bCs/>
                <w:sz w:val="16"/>
                <w:szCs w:val="16"/>
              </w:rPr>
            </w:pPr>
            <w:r w:rsidRPr="0093683C">
              <w:rPr>
                <w:rFonts w:ascii="Arial" w:hAnsi="Arial" w:cs="Arial"/>
                <w:b/>
                <w:bCs/>
                <w:sz w:val="16"/>
                <w:szCs w:val="16"/>
              </w:rPr>
              <w:t>2022-23 October Budget payments</w:t>
            </w:r>
          </w:p>
        </w:tc>
        <w:tc>
          <w:tcPr>
            <w:tcW w:w="505" w:type="pct"/>
            <w:tcBorders>
              <w:top w:val="nil"/>
              <w:left w:val="nil"/>
              <w:bottom w:val="single" w:sz="4" w:space="0" w:color="293F5B"/>
              <w:right w:val="nil"/>
            </w:tcBorders>
            <w:shd w:val="clear" w:color="000000" w:fill="E6F2FF"/>
            <w:noWrap/>
            <w:vAlign w:val="center"/>
            <w:hideMark/>
          </w:tcPr>
          <w:p w14:paraId="1384CDEC"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644,080</w:t>
            </w:r>
          </w:p>
        </w:tc>
        <w:tc>
          <w:tcPr>
            <w:tcW w:w="500" w:type="pct"/>
            <w:tcBorders>
              <w:top w:val="nil"/>
              <w:left w:val="nil"/>
              <w:bottom w:val="single" w:sz="4" w:space="0" w:color="293F5B"/>
              <w:right w:val="nil"/>
            </w:tcBorders>
            <w:shd w:val="clear" w:color="000000" w:fill="FFFFFF"/>
            <w:noWrap/>
            <w:vAlign w:val="center"/>
            <w:hideMark/>
          </w:tcPr>
          <w:p w14:paraId="68DC9DD7"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665,489</w:t>
            </w:r>
          </w:p>
        </w:tc>
        <w:tc>
          <w:tcPr>
            <w:tcW w:w="500" w:type="pct"/>
            <w:tcBorders>
              <w:top w:val="nil"/>
              <w:left w:val="nil"/>
              <w:bottom w:val="single" w:sz="4" w:space="0" w:color="293F5B"/>
              <w:right w:val="nil"/>
            </w:tcBorders>
            <w:shd w:val="clear" w:color="000000" w:fill="FFFFFF"/>
            <w:noWrap/>
            <w:vAlign w:val="center"/>
            <w:hideMark/>
          </w:tcPr>
          <w:p w14:paraId="72A02967"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694,187</w:t>
            </w:r>
          </w:p>
        </w:tc>
        <w:tc>
          <w:tcPr>
            <w:tcW w:w="505" w:type="pct"/>
            <w:tcBorders>
              <w:top w:val="nil"/>
              <w:left w:val="nil"/>
              <w:bottom w:val="single" w:sz="4" w:space="0" w:color="293F5B"/>
              <w:right w:val="nil"/>
            </w:tcBorders>
            <w:shd w:val="clear" w:color="000000" w:fill="FFFFFF"/>
            <w:noWrap/>
            <w:vAlign w:val="center"/>
            <w:hideMark/>
          </w:tcPr>
          <w:p w14:paraId="05614EA1"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728,584</w:t>
            </w:r>
          </w:p>
        </w:tc>
        <w:tc>
          <w:tcPr>
            <w:tcW w:w="64" w:type="pct"/>
            <w:tcBorders>
              <w:top w:val="nil"/>
              <w:left w:val="nil"/>
              <w:bottom w:val="single" w:sz="4" w:space="0" w:color="293F5B"/>
              <w:right w:val="nil"/>
            </w:tcBorders>
            <w:shd w:val="clear" w:color="000000" w:fill="FFFFFF"/>
            <w:noWrap/>
            <w:vAlign w:val="center"/>
            <w:hideMark/>
          </w:tcPr>
          <w:p w14:paraId="011233DC"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505" w:type="pct"/>
            <w:tcBorders>
              <w:top w:val="nil"/>
              <w:left w:val="nil"/>
              <w:bottom w:val="single" w:sz="4" w:space="0" w:color="293F5B"/>
              <w:right w:val="nil"/>
            </w:tcBorders>
            <w:shd w:val="clear" w:color="000000" w:fill="FFFFFF"/>
            <w:noWrap/>
            <w:vAlign w:val="center"/>
            <w:hideMark/>
          </w:tcPr>
          <w:p w14:paraId="325C2955" w14:textId="77777777" w:rsidR="003117BE" w:rsidRPr="0093683C" w:rsidRDefault="003117BE" w:rsidP="003117BE">
            <w:pPr>
              <w:spacing w:before="0" w:after="0" w:line="240" w:lineRule="auto"/>
              <w:jc w:val="right"/>
              <w:rPr>
                <w:rFonts w:ascii="Arial" w:hAnsi="Arial" w:cs="Arial"/>
                <w:b/>
                <w:bCs/>
                <w:sz w:val="16"/>
                <w:szCs w:val="16"/>
              </w:rPr>
            </w:pPr>
            <w:r w:rsidRPr="0093683C">
              <w:rPr>
                <w:rFonts w:ascii="Arial" w:hAnsi="Arial" w:cs="Arial"/>
                <w:b/>
                <w:bCs/>
                <w:sz w:val="16"/>
                <w:szCs w:val="16"/>
              </w:rPr>
              <w:t>2,732,340</w:t>
            </w:r>
          </w:p>
        </w:tc>
      </w:tr>
    </w:tbl>
    <w:p w14:paraId="6A3F6BB0" w14:textId="51654C16" w:rsidR="00962CDB" w:rsidRPr="0093683C" w:rsidRDefault="00962CDB" w:rsidP="000D7551">
      <w:pPr>
        <w:pStyle w:val="ChartandTableFootnoteAlpha"/>
        <w:numPr>
          <w:ilvl w:val="0"/>
          <w:numId w:val="44"/>
        </w:numPr>
        <w:rPr>
          <w:color w:val="auto"/>
        </w:rPr>
      </w:pPr>
      <w:r w:rsidRPr="0093683C">
        <w:rPr>
          <w:color w:val="auto"/>
        </w:rPr>
        <w:t>A positive number for payments worsens the underlying cash balance.</w:t>
      </w:r>
    </w:p>
    <w:p w14:paraId="1E133B35" w14:textId="77777777" w:rsidR="009320D8" w:rsidRPr="0093683C" w:rsidRDefault="009320D8" w:rsidP="002A740D">
      <w:pPr>
        <w:pStyle w:val="ChartandTableFootnoteAlpha"/>
        <w:rPr>
          <w:color w:val="auto"/>
        </w:rPr>
      </w:pPr>
      <w:r w:rsidRPr="0093683C">
        <w:rPr>
          <w:color w:val="auto"/>
        </w:rPr>
        <w:t>Excludes secondary impacts on the public debt interest for policy decisions and offsets from the Contingency Reserve for decisions taken.</w:t>
      </w:r>
    </w:p>
    <w:p w14:paraId="62D33093" w14:textId="00B3FA80" w:rsidR="00962CDB" w:rsidRPr="0093683C" w:rsidRDefault="00962CDB" w:rsidP="002A740D">
      <w:pPr>
        <w:pStyle w:val="ChartandTableFootnoteAlpha"/>
        <w:rPr>
          <w:rFonts w:eastAsiaTheme="minorHAnsi"/>
          <w:color w:val="auto"/>
        </w:rPr>
      </w:pPr>
      <w:r w:rsidRPr="0093683C">
        <w:rPr>
          <w:color w:val="auto"/>
        </w:rPr>
        <w:t xml:space="preserve">Includes changes in the conservative bias allowance component in the Contingency Reserve and impacts of changes in program payments for a range of reasons including movement </w:t>
      </w:r>
      <w:r w:rsidR="000270A0" w:rsidRPr="0093683C">
        <w:rPr>
          <w:color w:val="auto"/>
        </w:rPr>
        <w:t>and</w:t>
      </w:r>
      <w:r w:rsidRPr="0093683C">
        <w:rPr>
          <w:color w:val="auto"/>
        </w:rPr>
        <w:t xml:space="preserve"> re</w:t>
      </w:r>
      <w:r w:rsidRPr="0093683C">
        <w:rPr>
          <w:color w:val="auto"/>
        </w:rPr>
        <w:noBreakHyphen/>
        <w:t xml:space="preserve">profiling. </w:t>
      </w:r>
    </w:p>
    <w:p w14:paraId="5AFB6CD0" w14:textId="77777777" w:rsidR="00962CDB" w:rsidRPr="0093683C" w:rsidRDefault="00962CDB" w:rsidP="00962CDB">
      <w:pPr>
        <w:pStyle w:val="ChartLine"/>
      </w:pPr>
    </w:p>
    <w:p w14:paraId="7A8A599A" w14:textId="5A8615A1" w:rsidR="00203E5F" w:rsidRPr="0093683C" w:rsidRDefault="00203E5F" w:rsidP="00203E5F">
      <w:r w:rsidRPr="0093683C">
        <w:t>Major increases in payments from parameter and other variations since PEFO include:</w:t>
      </w:r>
    </w:p>
    <w:p w14:paraId="289C5452" w14:textId="71AF464C" w:rsidR="000E765C" w:rsidRPr="0093683C" w:rsidRDefault="000E765C" w:rsidP="00FE6E05">
      <w:pPr>
        <w:pStyle w:val="Bullet"/>
        <w:numPr>
          <w:ilvl w:val="0"/>
          <w:numId w:val="16"/>
        </w:numPr>
        <w:spacing w:before="0" w:after="240" w:line="260" w:lineRule="exact"/>
        <w:jc w:val="both"/>
      </w:pPr>
      <w:r w:rsidRPr="0093683C">
        <w:t>payments relating to Commonwealth Debt Management, which are expected to increase by $684.6 million in 2022</w:t>
      </w:r>
      <w:r w:rsidR="005E3EBA">
        <w:t>–</w:t>
      </w:r>
      <w:r w:rsidRPr="0093683C">
        <w:t xml:space="preserve">23 ($12.0 billion over the </w:t>
      </w:r>
      <w:r w:rsidR="00D46CA7" w:rsidRPr="0093683C">
        <w:t>4</w:t>
      </w:r>
      <w:r w:rsidRPr="0093683C">
        <w:t xml:space="preserve"> years to 2025</w:t>
      </w:r>
      <w:r w:rsidR="005E3EBA">
        <w:t>–</w:t>
      </w:r>
      <w:r w:rsidRPr="0093683C">
        <w:t xml:space="preserve">26), largely reflecting higher </w:t>
      </w:r>
      <w:r w:rsidR="001969AB" w:rsidRPr="0093683C">
        <w:t>debt</w:t>
      </w:r>
      <w:r w:rsidRPr="0093683C">
        <w:t xml:space="preserve"> servicing costs </w:t>
      </w:r>
    </w:p>
    <w:p w14:paraId="105B8C82" w14:textId="77777777" w:rsidR="000E765C" w:rsidRPr="0093683C" w:rsidRDefault="00203E5F" w:rsidP="00FE6E05">
      <w:pPr>
        <w:pStyle w:val="Bullet"/>
        <w:numPr>
          <w:ilvl w:val="0"/>
          <w:numId w:val="16"/>
        </w:numPr>
      </w:pPr>
      <w:r w:rsidRPr="0093683C">
        <w:t>payments related to Support for Seniors, which are expected to increase by $1.0 billion in 2022–23 ($11.5 billion over the 4 years to 2025–26), largely reflecting a higher</w:t>
      </w:r>
      <w:r w:rsidRPr="0093683C">
        <w:noBreakHyphen/>
        <w:t>than</w:t>
      </w:r>
      <w:r w:rsidRPr="0093683C">
        <w:noBreakHyphen/>
        <w:t>projected rate of indexation</w:t>
      </w:r>
    </w:p>
    <w:p w14:paraId="232A0BFA" w14:textId="77777777" w:rsidR="000E765C" w:rsidRPr="0093683C" w:rsidRDefault="000E765C" w:rsidP="00FE6E05">
      <w:pPr>
        <w:pStyle w:val="Bullet"/>
        <w:numPr>
          <w:ilvl w:val="0"/>
          <w:numId w:val="16"/>
        </w:numPr>
      </w:pPr>
      <w:r w:rsidRPr="0093683C">
        <w:t>payments related to Job Seeker Income Support, expected to increase by $1.4 billion in 2022–23 ($10.2 billion over the 4 years to 2025–26) largely due to increase in indexation costs and numbers of recipients</w:t>
      </w:r>
    </w:p>
    <w:p w14:paraId="1F1A4ADE" w14:textId="77777777" w:rsidR="001835DE" w:rsidRPr="0093683C" w:rsidRDefault="001835DE" w:rsidP="00FE6E05">
      <w:pPr>
        <w:pStyle w:val="Bullet"/>
        <w:numPr>
          <w:ilvl w:val="0"/>
          <w:numId w:val="16"/>
        </w:numPr>
      </w:pPr>
      <w:r w:rsidRPr="0093683C">
        <w:t>payments relating to the provision of GST to the states and territories, which are expected to increase by $3.1 billion in 2022–23 ($8.8 billion over the 4 years to 2025–26), consistent with an increase in GST receipts</w:t>
      </w:r>
    </w:p>
    <w:p w14:paraId="4EB6E058" w14:textId="7584649E" w:rsidR="000E765C" w:rsidRPr="0093683C" w:rsidRDefault="000E765C" w:rsidP="00FE6E05">
      <w:pPr>
        <w:pStyle w:val="Bullet"/>
        <w:numPr>
          <w:ilvl w:val="0"/>
          <w:numId w:val="16"/>
        </w:numPr>
      </w:pPr>
      <w:r w:rsidRPr="0093683C">
        <w:t xml:space="preserve">payments relating to the </w:t>
      </w:r>
      <w:r w:rsidR="00BA6D2F" w:rsidRPr="0093683C">
        <w:t>NDIS</w:t>
      </w:r>
      <w:r w:rsidRPr="0093683C">
        <w:t xml:space="preserve"> which are expected to increase by $5.9 billion over the </w:t>
      </w:r>
      <w:r w:rsidR="00AC13A7" w:rsidRPr="0093683C">
        <w:t>4</w:t>
      </w:r>
      <w:r w:rsidR="00C969E4">
        <w:t> </w:t>
      </w:r>
      <w:r w:rsidRPr="0093683C">
        <w:t>years to 2025</w:t>
      </w:r>
      <w:r w:rsidR="005E3EBA">
        <w:t>–</w:t>
      </w:r>
      <w:r w:rsidRPr="0093683C">
        <w:t>26 (including a decrease by $585.7 million in 2022</w:t>
      </w:r>
      <w:r w:rsidR="00B7602C" w:rsidRPr="0093683C">
        <w:t>–</w:t>
      </w:r>
      <w:r w:rsidRPr="0093683C">
        <w:t xml:space="preserve">23), largely reflecting projected increases to participant numbers and a projected increase in the average value of participant plans </w:t>
      </w:r>
    </w:p>
    <w:p w14:paraId="58C96490" w14:textId="77777777" w:rsidR="000E765C" w:rsidRPr="0093683C" w:rsidRDefault="000E765C" w:rsidP="00FE6E05">
      <w:pPr>
        <w:pStyle w:val="Bullet"/>
        <w:numPr>
          <w:ilvl w:val="0"/>
          <w:numId w:val="16"/>
        </w:numPr>
      </w:pPr>
      <w:r w:rsidRPr="0093683C">
        <w:lastRenderedPageBreak/>
        <w:t>payments relating to the Financial Support for People with Disability (Disability Support Pension), which are expected to increase by $413.8 million in 2022–23 ($3.4 billion over the 4 years to 2025–26), largely reflecting a higher</w:t>
      </w:r>
      <w:r w:rsidRPr="0093683C">
        <w:noBreakHyphen/>
        <w:t>than</w:t>
      </w:r>
      <w:r w:rsidRPr="0093683C">
        <w:noBreakHyphen/>
        <w:t>projected rate of indexation</w:t>
      </w:r>
    </w:p>
    <w:p w14:paraId="4123C4ED" w14:textId="77777777" w:rsidR="000E765C" w:rsidRPr="0093683C" w:rsidRDefault="000E765C" w:rsidP="00FE6E05">
      <w:pPr>
        <w:pStyle w:val="Bullet"/>
        <w:numPr>
          <w:ilvl w:val="0"/>
          <w:numId w:val="16"/>
        </w:numPr>
      </w:pPr>
      <w:r w:rsidRPr="0093683C">
        <w:t>payments relating to National Partnership Payments – Natural Disaster Relief which are expected to increase by $3.2 billion over the 4 years to 2025–26 (including a decrease by $897.5 million in 2022–23) reflecting revised timing of the projected payments to states</w:t>
      </w:r>
    </w:p>
    <w:p w14:paraId="14467F0F" w14:textId="77777777" w:rsidR="000E765C" w:rsidRPr="0093683C" w:rsidRDefault="000E765C" w:rsidP="00FE6E05">
      <w:pPr>
        <w:pStyle w:val="Bullet"/>
        <w:numPr>
          <w:ilvl w:val="0"/>
          <w:numId w:val="16"/>
        </w:numPr>
      </w:pPr>
      <w:r w:rsidRPr="0093683C">
        <w:t>payments related to Family Assistance, which are expected to increase by $2.7 billion over the 4 years to 2025–26 (including a decrease by $125.4 million in 2022–23), largely reflecting a higher</w:t>
      </w:r>
      <w:r w:rsidRPr="0093683C">
        <w:noBreakHyphen/>
        <w:t>than</w:t>
      </w:r>
      <w:r w:rsidRPr="0093683C">
        <w:noBreakHyphen/>
        <w:t>projected rate of indexation.</w:t>
      </w:r>
    </w:p>
    <w:p w14:paraId="6F851672" w14:textId="77777777" w:rsidR="000E765C" w:rsidRPr="0093683C" w:rsidRDefault="000E765C" w:rsidP="000E765C">
      <w:pPr>
        <w:keepNext/>
      </w:pPr>
      <w:r w:rsidRPr="0093683C">
        <w:t>Major decreases in payments from parameter and other variations since PEFO include:</w:t>
      </w:r>
    </w:p>
    <w:p w14:paraId="5FBB15DD" w14:textId="77777777" w:rsidR="000E765C" w:rsidRPr="0093683C" w:rsidRDefault="000E765C" w:rsidP="00FE6E05">
      <w:pPr>
        <w:pStyle w:val="Bullet"/>
        <w:numPr>
          <w:ilvl w:val="0"/>
          <w:numId w:val="16"/>
        </w:numPr>
      </w:pPr>
      <w:r w:rsidRPr="0093683C">
        <w:t xml:space="preserve">payments to the states and territories for public hospitals, which are expected to decrease by $755.4 million in 2022–23 ($2.4 billion over the 4 years to 2025–26), </w:t>
      </w:r>
      <w:r w:rsidR="001835DE" w:rsidRPr="0093683C">
        <w:t>largely reflecting a reduction in the volume of hospital services, forecast by the states and territories. This funding formula has been in place since 1 July 2014. The Government is also providing additional funding for hospital services in 2022–23 through the National Partnership on COVID</w:t>
      </w:r>
      <w:r w:rsidR="00181FD7" w:rsidRPr="0093683C">
        <w:t>-</w:t>
      </w:r>
      <w:r w:rsidR="001835DE" w:rsidRPr="0093683C">
        <w:t>19 Response</w:t>
      </w:r>
    </w:p>
    <w:p w14:paraId="2742A244" w14:textId="77777777" w:rsidR="000E765C" w:rsidRPr="0093683C" w:rsidRDefault="000E765C" w:rsidP="00FE6E05">
      <w:pPr>
        <w:pStyle w:val="Bullet"/>
        <w:numPr>
          <w:ilvl w:val="0"/>
          <w:numId w:val="16"/>
        </w:numPr>
      </w:pPr>
      <w:r w:rsidRPr="0093683C">
        <w:t>payments relating to the Support for Markets and Business program, which are expected to decrease by $87.2 million in 2022–23 ($464.3 million over the 4 years to 2025–26), reflecting lower-than-projected demand for the Small and Medium Enterprise (SME) Recovery Loan Scheme, and updated data on actual loan balances</w:t>
      </w:r>
    </w:p>
    <w:p w14:paraId="4257E285" w14:textId="77777777" w:rsidR="000E765C" w:rsidRPr="0093683C" w:rsidRDefault="000E765C" w:rsidP="00FE6E05">
      <w:pPr>
        <w:pStyle w:val="Bullet"/>
        <w:numPr>
          <w:ilvl w:val="0"/>
          <w:numId w:val="16"/>
        </w:numPr>
      </w:pPr>
      <w:r w:rsidRPr="0093683C">
        <w:t>payments relating to Aged Care Services, which are expected to decrease by $653.8</w:t>
      </w:r>
      <w:r w:rsidR="00C4109C" w:rsidRPr="0093683C">
        <w:t> </w:t>
      </w:r>
      <w:r w:rsidRPr="0093683C">
        <w:t>million in 2022–23 ($421.1 million over the 4 years to 2025–26), largely reflecting lower</w:t>
      </w:r>
      <w:r w:rsidRPr="0093683C">
        <w:noBreakHyphen/>
        <w:t>than</w:t>
      </w:r>
      <w:r w:rsidRPr="0093683C">
        <w:noBreakHyphen/>
        <w:t>projected occupancy for residential aged care in line with consumer demand and the shift to in-home care.</w:t>
      </w:r>
    </w:p>
    <w:p w14:paraId="4099DDA9" w14:textId="769607C4" w:rsidR="00640BA5" w:rsidRPr="0093683C" w:rsidRDefault="00640BA5" w:rsidP="009A29A5">
      <w:r w:rsidRPr="0093683C">
        <w:t>Consistent with p</w:t>
      </w:r>
      <w:r w:rsidR="005050FD" w:rsidRPr="0093683C">
        <w:t>ast</w:t>
      </w:r>
      <w:r w:rsidRPr="0093683C">
        <w:t xml:space="preserve"> budgets, the underlying cash balance has been improved by regular draw down of the conservative bias allowance. Details in </w:t>
      </w:r>
      <w:r w:rsidRPr="0093683C">
        <w:rPr>
          <w:i/>
        </w:rPr>
        <w:t xml:space="preserve">Statement </w:t>
      </w:r>
      <w:r w:rsidR="00CA50D8" w:rsidRPr="0093683C">
        <w:rPr>
          <w:i/>
        </w:rPr>
        <w:t>6</w:t>
      </w:r>
      <w:r w:rsidRPr="0093683C">
        <w:rPr>
          <w:i/>
        </w:rPr>
        <w:t>: Expenses and Net Capital Investment</w:t>
      </w:r>
      <w:r w:rsidRPr="0093683C">
        <w:t>.</w:t>
      </w:r>
    </w:p>
    <w:p w14:paraId="69D971F6" w14:textId="3F1C74E0" w:rsidR="00640BA5" w:rsidRPr="0093683C" w:rsidRDefault="00640BA5" w:rsidP="00B3694A">
      <w:pPr>
        <w:pStyle w:val="Heading3"/>
      </w:pPr>
      <w:bookmarkStart w:id="7" w:name="_Toc117356562"/>
      <w:r w:rsidRPr="0093683C">
        <w:rPr>
          <w:rStyle w:val="Heading3Char"/>
        </w:rPr>
        <w:t xml:space="preserve">Headline cash </w:t>
      </w:r>
      <w:r w:rsidRPr="0093683C">
        <w:rPr>
          <w:rStyle w:val="Heading3Char"/>
          <w:b/>
        </w:rPr>
        <w:t>balance</w:t>
      </w:r>
      <w:r w:rsidRPr="0093683C">
        <w:rPr>
          <w:rStyle w:val="Heading3Char"/>
        </w:rPr>
        <w:t xml:space="preserve"> estimates</w:t>
      </w:r>
      <w:bookmarkEnd w:id="7"/>
    </w:p>
    <w:p w14:paraId="55F5D4D7" w14:textId="0987B70A" w:rsidR="00190A0C" w:rsidRDefault="00DC7AF3" w:rsidP="00ED047C">
      <w:r w:rsidRPr="0093683C">
        <w:t xml:space="preserve">The headline cash balance </w:t>
      </w:r>
      <w:r w:rsidR="00B40687" w:rsidRPr="0093683C">
        <w:t xml:space="preserve">adjusts the </w:t>
      </w:r>
      <w:r w:rsidRPr="0093683C">
        <w:t xml:space="preserve">underlying cash balance </w:t>
      </w:r>
      <w:r w:rsidR="00B40687" w:rsidRPr="0093683C">
        <w:t>to include</w:t>
      </w:r>
      <w:r w:rsidRPr="0093683C">
        <w:t xml:space="preserve"> net cash flows from investments in financial assets for policy purposes</w:t>
      </w:r>
      <w:r w:rsidR="00E435FC" w:rsidRPr="0093683C">
        <w:t>. For</w:t>
      </w:r>
      <w:r w:rsidRPr="0093683C">
        <w:t xml:space="preserve"> example, student loans and equity investment in NBN</w:t>
      </w:r>
      <w:r w:rsidR="005B251A" w:rsidRPr="0093683C">
        <w:t xml:space="preserve"> Co</w:t>
      </w:r>
      <w:r w:rsidR="004E2D1F" w:rsidRPr="0093683C">
        <w:t xml:space="preserve"> reduce the headline cash balance but not the underlying cash balance</w:t>
      </w:r>
      <w:r w:rsidR="00726AAB" w:rsidRPr="0093683C">
        <w:t>. Table 3.</w:t>
      </w:r>
      <w:r w:rsidR="009C662F" w:rsidRPr="0093683C">
        <w:t>5</w:t>
      </w:r>
      <w:r w:rsidRPr="0093683C">
        <w:t xml:space="preserve"> provides further details of differences between the underlying and headline cash balance estimates.</w:t>
      </w:r>
      <w:r w:rsidR="006C35CC" w:rsidRPr="0093683C">
        <w:t xml:space="preserve"> </w:t>
      </w:r>
      <w:r w:rsidRPr="0093683C">
        <w:t>A headline cash deficit of $</w:t>
      </w:r>
      <w:r w:rsidR="00634EB3" w:rsidRPr="0093683C">
        <w:t>49.6</w:t>
      </w:r>
      <w:r w:rsidRPr="0093683C">
        <w:t xml:space="preserve"> billion is estimated in 2022</w:t>
      </w:r>
      <w:r w:rsidR="00B9531B" w:rsidRPr="0093683C">
        <w:t>–</w:t>
      </w:r>
      <w:r w:rsidRPr="0093683C">
        <w:t>23, compare</w:t>
      </w:r>
      <w:r w:rsidR="00220768" w:rsidRPr="0093683C">
        <w:t>d</w:t>
      </w:r>
      <w:r w:rsidRPr="0093683C">
        <w:t xml:space="preserve"> </w:t>
      </w:r>
      <w:r w:rsidR="00220768" w:rsidRPr="0093683C">
        <w:t>to</w:t>
      </w:r>
      <w:r w:rsidRPr="0093683C">
        <w:t xml:space="preserve"> a deficit of $</w:t>
      </w:r>
      <w:r w:rsidR="00FA749B" w:rsidRPr="0093683C">
        <w:t>90.8</w:t>
      </w:r>
      <w:r w:rsidRPr="0093683C">
        <w:t xml:space="preserve"> billion</w:t>
      </w:r>
      <w:r w:rsidRPr="0093683C" w:rsidDel="00E62F13">
        <w:t xml:space="preserve"> </w:t>
      </w:r>
      <w:r w:rsidRPr="0093683C">
        <w:t>in 2022</w:t>
      </w:r>
      <w:r w:rsidR="00B9531B" w:rsidRPr="0093683C">
        <w:t>–</w:t>
      </w:r>
      <w:r w:rsidRPr="0093683C">
        <w:t xml:space="preserve">23 estimated at PEFO. </w:t>
      </w:r>
      <w:r w:rsidR="00190A0C">
        <w:br w:type="page"/>
      </w:r>
    </w:p>
    <w:p w14:paraId="52F31A37" w14:textId="2F19BD80" w:rsidR="00E819A4" w:rsidRPr="000D21DA" w:rsidRDefault="00C539CD" w:rsidP="00B42B08">
      <w:pPr>
        <w:pStyle w:val="TableHeading"/>
        <w:rPr>
          <w:rFonts w:eastAsiaTheme="minorHAnsi"/>
          <w:sz w:val="16"/>
        </w:rPr>
      </w:pPr>
      <w:r w:rsidRPr="0093683C">
        <w:lastRenderedPageBreak/>
        <w:t xml:space="preserve">Table 3.5 Reconciliation of general government </w:t>
      </w:r>
      <w:r w:rsidR="000270A0" w:rsidRPr="0093683C">
        <w:t xml:space="preserve">sector </w:t>
      </w:r>
      <w:r w:rsidRPr="0093683C">
        <w:t xml:space="preserve">underlying </w:t>
      </w:r>
      <w:r w:rsidR="000270A0" w:rsidRPr="0093683C">
        <w:t xml:space="preserve">and </w:t>
      </w:r>
      <w:r w:rsidRPr="0093683C">
        <w:t>headline cash balance estimate</w:t>
      </w:r>
      <w:r w:rsidR="006B70CD" w:rsidRPr="0093683C">
        <w:t>s</w:t>
      </w:r>
    </w:p>
    <w:tbl>
      <w:tblPr>
        <w:tblW w:w="5000" w:type="pct"/>
        <w:tblCellMar>
          <w:left w:w="0" w:type="dxa"/>
          <w:right w:w="28" w:type="dxa"/>
        </w:tblCellMar>
        <w:tblLook w:val="04A0" w:firstRow="1" w:lastRow="0" w:firstColumn="1" w:lastColumn="0" w:noHBand="0" w:noVBand="1"/>
        <w:tblCaption w:val="Table"/>
      </w:tblPr>
      <w:tblGrid>
        <w:gridCol w:w="3011"/>
        <w:gridCol w:w="712"/>
        <w:gridCol w:w="73"/>
        <w:gridCol w:w="768"/>
        <w:gridCol w:w="768"/>
        <w:gridCol w:w="768"/>
        <w:gridCol w:w="769"/>
        <w:gridCol w:w="73"/>
        <w:gridCol w:w="768"/>
      </w:tblGrid>
      <w:tr w:rsidR="00E133F4" w:rsidRPr="0093683C" w14:paraId="6DBD95AE" w14:textId="77777777" w:rsidTr="00E133F4">
        <w:trPr>
          <w:trHeight w:hRule="exact" w:val="225"/>
        </w:trPr>
        <w:tc>
          <w:tcPr>
            <w:tcW w:w="1953" w:type="pct"/>
            <w:tcBorders>
              <w:top w:val="single" w:sz="4" w:space="0" w:color="293F5B"/>
              <w:left w:val="nil"/>
              <w:bottom w:val="nil"/>
              <w:right w:val="nil"/>
            </w:tcBorders>
            <w:shd w:val="clear" w:color="000000" w:fill="FFFFFF"/>
            <w:noWrap/>
            <w:vAlign w:val="bottom"/>
            <w:hideMark/>
          </w:tcPr>
          <w:p w14:paraId="53418F3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62" w:type="pct"/>
            <w:tcBorders>
              <w:top w:val="single" w:sz="4" w:space="0" w:color="293F5B"/>
              <w:left w:val="nil"/>
              <w:bottom w:val="nil"/>
              <w:right w:val="nil"/>
            </w:tcBorders>
            <w:shd w:val="clear" w:color="000000" w:fill="FFFFFF"/>
            <w:noWrap/>
            <w:vAlign w:val="bottom"/>
            <w:hideMark/>
          </w:tcPr>
          <w:p w14:paraId="152005A7" w14:textId="77777777" w:rsidR="00E133F4" w:rsidRPr="00286258" w:rsidRDefault="00E133F4" w:rsidP="00E133F4">
            <w:pPr>
              <w:spacing w:before="0" w:after="0" w:line="240" w:lineRule="auto"/>
              <w:jc w:val="center"/>
              <w:rPr>
                <w:rFonts w:ascii="Arial" w:hAnsi="Arial" w:cs="Arial"/>
                <w:sz w:val="16"/>
                <w:szCs w:val="16"/>
                <w:highlight w:val="darkCyan"/>
              </w:rPr>
            </w:pPr>
            <w:r w:rsidRPr="000D21DA">
              <w:rPr>
                <w:rFonts w:ascii="Arial" w:hAnsi="Arial" w:cs="Arial"/>
                <w:sz w:val="16"/>
                <w:szCs w:val="16"/>
              </w:rPr>
              <w:t>Actual</w:t>
            </w:r>
          </w:p>
        </w:tc>
        <w:tc>
          <w:tcPr>
            <w:tcW w:w="2040" w:type="pct"/>
            <w:gridSpan w:val="5"/>
            <w:tcBorders>
              <w:top w:val="single" w:sz="4" w:space="0" w:color="293F5B"/>
              <w:left w:val="nil"/>
              <w:bottom w:val="nil"/>
              <w:right w:val="nil"/>
            </w:tcBorders>
            <w:shd w:val="clear" w:color="000000" w:fill="FFFFFF"/>
            <w:noWrap/>
            <w:vAlign w:val="bottom"/>
            <w:hideMark/>
          </w:tcPr>
          <w:p w14:paraId="088594E3" w14:textId="77777777" w:rsidR="00E133F4" w:rsidRPr="00286258" w:rsidRDefault="00E133F4" w:rsidP="00E133F4">
            <w:pPr>
              <w:spacing w:before="0" w:after="0" w:line="240" w:lineRule="auto"/>
              <w:jc w:val="center"/>
              <w:rPr>
                <w:rFonts w:ascii="Arial" w:hAnsi="Arial" w:cs="Arial"/>
                <w:sz w:val="16"/>
                <w:szCs w:val="16"/>
                <w:highlight w:val="darkCyan"/>
              </w:rPr>
            </w:pPr>
            <w:r w:rsidRPr="000D21DA">
              <w:rPr>
                <w:rFonts w:ascii="Arial" w:hAnsi="Arial" w:cs="Arial"/>
                <w:sz w:val="16"/>
                <w:szCs w:val="16"/>
              </w:rPr>
              <w:t>Estimates</w:t>
            </w:r>
          </w:p>
        </w:tc>
        <w:tc>
          <w:tcPr>
            <w:tcW w:w="47" w:type="pct"/>
            <w:tcBorders>
              <w:top w:val="single" w:sz="4" w:space="0" w:color="293F5B"/>
              <w:left w:val="nil"/>
              <w:bottom w:val="nil"/>
              <w:right w:val="nil"/>
            </w:tcBorders>
            <w:shd w:val="clear" w:color="000000" w:fill="FFFFFF"/>
            <w:noWrap/>
            <w:vAlign w:val="bottom"/>
            <w:hideMark/>
          </w:tcPr>
          <w:p w14:paraId="07AD8B4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single" w:sz="4" w:space="0" w:color="293F5B"/>
              <w:left w:val="nil"/>
              <w:bottom w:val="nil"/>
              <w:right w:val="nil"/>
            </w:tcBorders>
            <w:shd w:val="clear" w:color="000000" w:fill="FFFFFF"/>
            <w:noWrap/>
            <w:vAlign w:val="bottom"/>
            <w:hideMark/>
          </w:tcPr>
          <w:p w14:paraId="27C5E3B6"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181CC12C"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1D2428E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62" w:type="pct"/>
            <w:tcBorders>
              <w:top w:val="single" w:sz="4" w:space="0" w:color="293F5B"/>
              <w:left w:val="nil"/>
              <w:bottom w:val="nil"/>
              <w:right w:val="nil"/>
            </w:tcBorders>
            <w:shd w:val="clear" w:color="000000" w:fill="FFFFFF"/>
            <w:noWrap/>
            <w:vAlign w:val="center"/>
            <w:hideMark/>
          </w:tcPr>
          <w:p w14:paraId="0F40EC2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2021-22</w:t>
            </w:r>
          </w:p>
        </w:tc>
        <w:tc>
          <w:tcPr>
            <w:tcW w:w="47" w:type="pct"/>
            <w:tcBorders>
              <w:top w:val="nil"/>
              <w:left w:val="nil"/>
              <w:bottom w:val="nil"/>
              <w:right w:val="nil"/>
            </w:tcBorders>
            <w:shd w:val="clear" w:color="000000" w:fill="FFFFFF"/>
            <w:noWrap/>
            <w:vAlign w:val="center"/>
            <w:hideMark/>
          </w:tcPr>
          <w:p w14:paraId="48B122C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single" w:sz="4" w:space="0" w:color="293F5B"/>
              <w:left w:val="nil"/>
              <w:bottom w:val="nil"/>
              <w:right w:val="nil"/>
            </w:tcBorders>
            <w:shd w:val="clear" w:color="000000" w:fill="E6F2FF"/>
            <w:noWrap/>
            <w:vAlign w:val="center"/>
            <w:hideMark/>
          </w:tcPr>
          <w:p w14:paraId="4E913C56"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2022-23</w:t>
            </w:r>
          </w:p>
        </w:tc>
        <w:tc>
          <w:tcPr>
            <w:tcW w:w="498" w:type="pct"/>
            <w:tcBorders>
              <w:top w:val="single" w:sz="4" w:space="0" w:color="293F5B"/>
              <w:left w:val="nil"/>
              <w:bottom w:val="nil"/>
              <w:right w:val="nil"/>
            </w:tcBorders>
            <w:shd w:val="clear" w:color="000000" w:fill="FFFFFF"/>
            <w:noWrap/>
            <w:vAlign w:val="center"/>
            <w:hideMark/>
          </w:tcPr>
          <w:p w14:paraId="34C4809E"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2023-24</w:t>
            </w:r>
          </w:p>
        </w:tc>
        <w:tc>
          <w:tcPr>
            <w:tcW w:w="498" w:type="pct"/>
            <w:tcBorders>
              <w:top w:val="single" w:sz="4" w:space="0" w:color="293F5B"/>
              <w:left w:val="nil"/>
              <w:bottom w:val="nil"/>
              <w:right w:val="nil"/>
            </w:tcBorders>
            <w:shd w:val="clear" w:color="000000" w:fill="FFFFFF"/>
            <w:noWrap/>
            <w:vAlign w:val="center"/>
            <w:hideMark/>
          </w:tcPr>
          <w:p w14:paraId="7186EAE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2024-25</w:t>
            </w:r>
          </w:p>
        </w:tc>
        <w:tc>
          <w:tcPr>
            <w:tcW w:w="498" w:type="pct"/>
            <w:tcBorders>
              <w:top w:val="single" w:sz="4" w:space="0" w:color="293F5B"/>
              <w:left w:val="nil"/>
              <w:bottom w:val="nil"/>
              <w:right w:val="nil"/>
            </w:tcBorders>
            <w:shd w:val="clear" w:color="000000" w:fill="FFFFFF"/>
            <w:noWrap/>
            <w:vAlign w:val="center"/>
            <w:hideMark/>
          </w:tcPr>
          <w:p w14:paraId="5FEEF1B7"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2025-26</w:t>
            </w:r>
          </w:p>
        </w:tc>
        <w:tc>
          <w:tcPr>
            <w:tcW w:w="47" w:type="pct"/>
            <w:tcBorders>
              <w:top w:val="single" w:sz="4" w:space="0" w:color="293F5B"/>
              <w:left w:val="nil"/>
              <w:bottom w:val="nil"/>
              <w:right w:val="nil"/>
            </w:tcBorders>
            <w:shd w:val="clear" w:color="000000" w:fill="FFFFFF"/>
            <w:noWrap/>
            <w:vAlign w:val="bottom"/>
            <w:hideMark/>
          </w:tcPr>
          <w:p w14:paraId="6CBBEA1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single" w:sz="4" w:space="0" w:color="293F5B"/>
              <w:left w:val="nil"/>
              <w:bottom w:val="nil"/>
              <w:right w:val="nil"/>
            </w:tcBorders>
            <w:shd w:val="clear" w:color="000000" w:fill="FFFFFF"/>
            <w:noWrap/>
            <w:vAlign w:val="bottom"/>
            <w:hideMark/>
          </w:tcPr>
          <w:p w14:paraId="00109B26"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Total(a)</w:t>
            </w:r>
          </w:p>
        </w:tc>
      </w:tr>
      <w:tr w:rsidR="00E133F4" w:rsidRPr="0093683C" w14:paraId="41A311FC"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222B699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62" w:type="pct"/>
            <w:tcBorders>
              <w:top w:val="nil"/>
              <w:left w:val="nil"/>
              <w:bottom w:val="nil"/>
              <w:right w:val="nil"/>
            </w:tcBorders>
            <w:shd w:val="clear" w:color="000000" w:fill="FFFFFF"/>
            <w:noWrap/>
            <w:vAlign w:val="bottom"/>
            <w:hideMark/>
          </w:tcPr>
          <w:p w14:paraId="767E744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7" w:type="pct"/>
            <w:tcBorders>
              <w:top w:val="nil"/>
              <w:left w:val="nil"/>
              <w:bottom w:val="nil"/>
              <w:right w:val="nil"/>
            </w:tcBorders>
            <w:shd w:val="clear" w:color="000000" w:fill="FFFFFF"/>
            <w:noWrap/>
            <w:vAlign w:val="bottom"/>
            <w:hideMark/>
          </w:tcPr>
          <w:p w14:paraId="6C3EC44B"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3EFD53A1"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98" w:type="pct"/>
            <w:tcBorders>
              <w:top w:val="nil"/>
              <w:left w:val="nil"/>
              <w:bottom w:val="nil"/>
              <w:right w:val="nil"/>
            </w:tcBorders>
            <w:shd w:val="clear" w:color="000000" w:fill="FFFFFF"/>
            <w:noWrap/>
            <w:vAlign w:val="bottom"/>
            <w:hideMark/>
          </w:tcPr>
          <w:p w14:paraId="177E0E0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98" w:type="pct"/>
            <w:tcBorders>
              <w:top w:val="nil"/>
              <w:left w:val="nil"/>
              <w:bottom w:val="nil"/>
              <w:right w:val="nil"/>
            </w:tcBorders>
            <w:shd w:val="clear" w:color="000000" w:fill="FFFFFF"/>
            <w:noWrap/>
            <w:vAlign w:val="bottom"/>
            <w:hideMark/>
          </w:tcPr>
          <w:p w14:paraId="59EBC68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98" w:type="pct"/>
            <w:tcBorders>
              <w:top w:val="nil"/>
              <w:left w:val="nil"/>
              <w:bottom w:val="nil"/>
              <w:right w:val="nil"/>
            </w:tcBorders>
            <w:shd w:val="clear" w:color="000000" w:fill="FFFFFF"/>
            <w:noWrap/>
            <w:vAlign w:val="bottom"/>
            <w:hideMark/>
          </w:tcPr>
          <w:p w14:paraId="452D040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7" w:type="pct"/>
            <w:tcBorders>
              <w:top w:val="nil"/>
              <w:left w:val="nil"/>
              <w:bottom w:val="nil"/>
              <w:right w:val="nil"/>
            </w:tcBorders>
            <w:shd w:val="clear" w:color="000000" w:fill="FFFFFF"/>
            <w:noWrap/>
            <w:vAlign w:val="bottom"/>
            <w:hideMark/>
          </w:tcPr>
          <w:p w14:paraId="6B00ADE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41D4314"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$m</w:t>
            </w:r>
          </w:p>
        </w:tc>
      </w:tr>
      <w:tr w:rsidR="00E133F4" w:rsidRPr="0093683C" w14:paraId="7DA1E270"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27F5C179"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2022-23 October Budget underlying</w:t>
            </w:r>
          </w:p>
        </w:tc>
        <w:tc>
          <w:tcPr>
            <w:tcW w:w="462" w:type="pct"/>
            <w:tcBorders>
              <w:top w:val="single" w:sz="4" w:space="0" w:color="293F5B"/>
              <w:left w:val="nil"/>
              <w:bottom w:val="nil"/>
              <w:right w:val="nil"/>
            </w:tcBorders>
            <w:shd w:val="clear" w:color="000000" w:fill="FFFFFF"/>
            <w:noWrap/>
            <w:vAlign w:val="bottom"/>
            <w:hideMark/>
          </w:tcPr>
          <w:p w14:paraId="1A0BF907"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585D529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single" w:sz="4" w:space="0" w:color="293F5B"/>
              <w:left w:val="nil"/>
              <w:bottom w:val="nil"/>
              <w:right w:val="nil"/>
            </w:tcBorders>
            <w:shd w:val="clear" w:color="000000" w:fill="E6F2FF"/>
            <w:noWrap/>
            <w:vAlign w:val="bottom"/>
            <w:hideMark/>
          </w:tcPr>
          <w:p w14:paraId="0F373F68"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single" w:sz="4" w:space="0" w:color="293F5B"/>
              <w:left w:val="nil"/>
              <w:bottom w:val="nil"/>
              <w:right w:val="nil"/>
            </w:tcBorders>
            <w:shd w:val="clear" w:color="000000" w:fill="FFFFFF"/>
            <w:noWrap/>
            <w:vAlign w:val="bottom"/>
            <w:hideMark/>
          </w:tcPr>
          <w:p w14:paraId="5588419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single" w:sz="4" w:space="0" w:color="293F5B"/>
              <w:left w:val="nil"/>
              <w:bottom w:val="nil"/>
              <w:right w:val="nil"/>
            </w:tcBorders>
            <w:shd w:val="clear" w:color="000000" w:fill="FFFFFF"/>
            <w:noWrap/>
            <w:vAlign w:val="bottom"/>
            <w:hideMark/>
          </w:tcPr>
          <w:p w14:paraId="6749ECCA"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single" w:sz="4" w:space="0" w:color="293F5B"/>
              <w:left w:val="nil"/>
              <w:bottom w:val="nil"/>
              <w:right w:val="nil"/>
            </w:tcBorders>
            <w:shd w:val="clear" w:color="000000" w:fill="FFFFFF"/>
            <w:noWrap/>
            <w:vAlign w:val="bottom"/>
            <w:hideMark/>
          </w:tcPr>
          <w:p w14:paraId="1A0DE98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22C4F2AE"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9" w:type="pct"/>
            <w:tcBorders>
              <w:top w:val="single" w:sz="4" w:space="0" w:color="293F5B"/>
              <w:left w:val="nil"/>
              <w:bottom w:val="nil"/>
              <w:right w:val="nil"/>
            </w:tcBorders>
            <w:shd w:val="clear" w:color="000000" w:fill="FFFFFF"/>
            <w:noWrap/>
            <w:vAlign w:val="bottom"/>
            <w:hideMark/>
          </w:tcPr>
          <w:p w14:paraId="789EC2BE"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 </w:t>
            </w:r>
          </w:p>
        </w:tc>
      </w:tr>
      <w:tr w:rsidR="00E133F4" w:rsidRPr="0093683C" w14:paraId="6DAAEC85"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4678E6C9"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cash balance</w:t>
            </w:r>
          </w:p>
        </w:tc>
        <w:tc>
          <w:tcPr>
            <w:tcW w:w="462" w:type="pct"/>
            <w:tcBorders>
              <w:top w:val="nil"/>
              <w:left w:val="nil"/>
              <w:bottom w:val="nil"/>
              <w:right w:val="nil"/>
            </w:tcBorders>
            <w:shd w:val="clear" w:color="000000" w:fill="FFFFFF"/>
            <w:noWrap/>
            <w:vAlign w:val="bottom"/>
            <w:hideMark/>
          </w:tcPr>
          <w:p w14:paraId="273A8FDA"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-31,962</w:t>
            </w:r>
          </w:p>
        </w:tc>
        <w:tc>
          <w:tcPr>
            <w:tcW w:w="47" w:type="pct"/>
            <w:tcBorders>
              <w:top w:val="nil"/>
              <w:left w:val="nil"/>
              <w:bottom w:val="nil"/>
              <w:right w:val="nil"/>
            </w:tcBorders>
            <w:shd w:val="clear" w:color="000000" w:fill="FFFFFF"/>
            <w:noWrap/>
            <w:vAlign w:val="bottom"/>
            <w:hideMark/>
          </w:tcPr>
          <w:p w14:paraId="0CAD6814"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nil"/>
              <w:right w:val="nil"/>
            </w:tcBorders>
            <w:shd w:val="clear" w:color="000000" w:fill="E6F2FF"/>
            <w:noWrap/>
            <w:vAlign w:val="bottom"/>
            <w:hideMark/>
          </w:tcPr>
          <w:p w14:paraId="737E7E7C"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-36,851</w:t>
            </w:r>
          </w:p>
        </w:tc>
        <w:tc>
          <w:tcPr>
            <w:tcW w:w="498" w:type="pct"/>
            <w:tcBorders>
              <w:top w:val="nil"/>
              <w:left w:val="nil"/>
              <w:bottom w:val="nil"/>
              <w:right w:val="nil"/>
            </w:tcBorders>
            <w:shd w:val="clear" w:color="000000" w:fill="FFFFFF"/>
            <w:noWrap/>
            <w:vAlign w:val="bottom"/>
            <w:hideMark/>
          </w:tcPr>
          <w:p w14:paraId="56C7563A"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-44,048</w:t>
            </w:r>
          </w:p>
        </w:tc>
        <w:tc>
          <w:tcPr>
            <w:tcW w:w="498" w:type="pct"/>
            <w:tcBorders>
              <w:top w:val="nil"/>
              <w:left w:val="nil"/>
              <w:bottom w:val="nil"/>
              <w:right w:val="nil"/>
            </w:tcBorders>
            <w:shd w:val="clear" w:color="000000" w:fill="FFFFFF"/>
            <w:noWrap/>
            <w:vAlign w:val="bottom"/>
            <w:hideMark/>
          </w:tcPr>
          <w:p w14:paraId="3843E096"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-51,347</w:t>
            </w:r>
          </w:p>
        </w:tc>
        <w:tc>
          <w:tcPr>
            <w:tcW w:w="498" w:type="pct"/>
            <w:tcBorders>
              <w:top w:val="nil"/>
              <w:left w:val="nil"/>
              <w:bottom w:val="nil"/>
              <w:right w:val="nil"/>
            </w:tcBorders>
            <w:shd w:val="clear" w:color="000000" w:fill="FFFFFF"/>
            <w:noWrap/>
            <w:vAlign w:val="bottom"/>
            <w:hideMark/>
          </w:tcPr>
          <w:p w14:paraId="1F0BBB74"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-49,561</w:t>
            </w:r>
          </w:p>
        </w:tc>
        <w:tc>
          <w:tcPr>
            <w:tcW w:w="47" w:type="pct"/>
            <w:tcBorders>
              <w:top w:val="nil"/>
              <w:left w:val="nil"/>
              <w:bottom w:val="nil"/>
              <w:right w:val="nil"/>
            </w:tcBorders>
            <w:shd w:val="clear" w:color="000000" w:fill="FFFFFF"/>
            <w:noWrap/>
            <w:vAlign w:val="bottom"/>
            <w:hideMark/>
          </w:tcPr>
          <w:p w14:paraId="20230644"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9" w:type="pct"/>
            <w:tcBorders>
              <w:top w:val="nil"/>
              <w:left w:val="nil"/>
              <w:bottom w:val="nil"/>
              <w:right w:val="nil"/>
            </w:tcBorders>
            <w:shd w:val="clear" w:color="000000" w:fill="FFFFFF"/>
            <w:noWrap/>
            <w:vAlign w:val="bottom"/>
            <w:hideMark/>
          </w:tcPr>
          <w:p w14:paraId="7AB43039" w14:textId="77777777" w:rsidR="00E133F4" w:rsidRPr="000D21DA" w:rsidRDefault="00E133F4" w:rsidP="00E133F4">
            <w:pPr>
              <w:spacing w:before="0" w:after="0" w:line="240" w:lineRule="auto"/>
              <w:jc w:val="right"/>
              <w:rPr>
                <w:rFonts w:ascii="Arial" w:hAnsi="Arial" w:cs="Arial"/>
                <w:b/>
                <w:sz w:val="16"/>
                <w:szCs w:val="16"/>
              </w:rPr>
            </w:pPr>
            <w:r w:rsidRPr="000D21DA">
              <w:rPr>
                <w:rFonts w:ascii="Arial" w:hAnsi="Arial" w:cs="Arial"/>
                <w:b/>
                <w:sz w:val="16"/>
                <w:szCs w:val="16"/>
              </w:rPr>
              <w:t>-181,807</w:t>
            </w:r>
          </w:p>
        </w:tc>
      </w:tr>
      <w:tr w:rsidR="00E133F4" w:rsidRPr="0093683C" w14:paraId="02FD5080"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5140A739" w14:textId="77777777" w:rsidR="00E133F4" w:rsidRPr="00286258" w:rsidRDefault="00E133F4" w:rsidP="00E133F4">
            <w:pPr>
              <w:spacing w:before="0" w:after="0" w:line="240" w:lineRule="auto"/>
              <w:rPr>
                <w:rFonts w:ascii="Arial" w:hAnsi="Arial" w:cs="Arial"/>
                <w:b/>
                <w:sz w:val="16"/>
                <w:szCs w:val="16"/>
                <w:highlight w:val="darkCyan"/>
              </w:rPr>
            </w:pPr>
            <w:proofErr w:type="gramStart"/>
            <w:r w:rsidRPr="000D21DA">
              <w:rPr>
                <w:rFonts w:ascii="Arial" w:hAnsi="Arial" w:cs="Arial"/>
                <w:b/>
                <w:i/>
                <w:sz w:val="16"/>
                <w:szCs w:val="16"/>
              </w:rPr>
              <w:t>plus</w:t>
            </w:r>
            <w:proofErr w:type="gramEnd"/>
            <w:r w:rsidRPr="000D21DA">
              <w:rPr>
                <w:rFonts w:ascii="Arial" w:hAnsi="Arial" w:cs="Arial"/>
                <w:b/>
                <w:sz w:val="16"/>
                <w:szCs w:val="16"/>
              </w:rPr>
              <w:t xml:space="preserve"> Net cash flows from </w:t>
            </w:r>
          </w:p>
        </w:tc>
        <w:tc>
          <w:tcPr>
            <w:tcW w:w="462" w:type="pct"/>
            <w:tcBorders>
              <w:top w:val="nil"/>
              <w:left w:val="nil"/>
              <w:bottom w:val="nil"/>
              <w:right w:val="nil"/>
            </w:tcBorders>
            <w:shd w:val="clear" w:color="000000" w:fill="FFFFFF"/>
            <w:noWrap/>
            <w:vAlign w:val="bottom"/>
            <w:hideMark/>
          </w:tcPr>
          <w:p w14:paraId="385C07C1"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3DA24CFB"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nil"/>
              <w:right w:val="nil"/>
            </w:tcBorders>
            <w:shd w:val="clear" w:color="000000" w:fill="E6F2FF"/>
            <w:noWrap/>
            <w:vAlign w:val="bottom"/>
            <w:hideMark/>
          </w:tcPr>
          <w:p w14:paraId="1670192B"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nil"/>
              <w:right w:val="nil"/>
            </w:tcBorders>
            <w:shd w:val="clear" w:color="000000" w:fill="FFFFFF"/>
            <w:noWrap/>
            <w:vAlign w:val="bottom"/>
            <w:hideMark/>
          </w:tcPr>
          <w:p w14:paraId="6582543F"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nil"/>
              <w:right w:val="nil"/>
            </w:tcBorders>
            <w:shd w:val="clear" w:color="000000" w:fill="FFFFFF"/>
            <w:noWrap/>
            <w:vAlign w:val="bottom"/>
            <w:hideMark/>
          </w:tcPr>
          <w:p w14:paraId="53E6D59E"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nil"/>
              <w:right w:val="nil"/>
            </w:tcBorders>
            <w:shd w:val="clear" w:color="000000" w:fill="FFFFFF"/>
            <w:noWrap/>
            <w:vAlign w:val="bottom"/>
            <w:hideMark/>
          </w:tcPr>
          <w:p w14:paraId="599DFB58"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1CC03CDB"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9" w:type="pct"/>
            <w:tcBorders>
              <w:top w:val="nil"/>
              <w:left w:val="nil"/>
              <w:bottom w:val="nil"/>
              <w:right w:val="nil"/>
            </w:tcBorders>
            <w:shd w:val="clear" w:color="000000" w:fill="FFFFFF"/>
            <w:noWrap/>
            <w:vAlign w:val="bottom"/>
            <w:hideMark/>
          </w:tcPr>
          <w:p w14:paraId="15EB67E4" w14:textId="77777777" w:rsidR="00E133F4" w:rsidRPr="000D21DA" w:rsidRDefault="00E133F4" w:rsidP="00E133F4">
            <w:pPr>
              <w:spacing w:before="0" w:after="0" w:line="240" w:lineRule="auto"/>
              <w:rPr>
                <w:rFonts w:ascii="Arial" w:hAnsi="Arial" w:cs="Arial"/>
                <w:b/>
                <w:sz w:val="16"/>
                <w:szCs w:val="16"/>
              </w:rPr>
            </w:pPr>
            <w:r w:rsidRPr="000D21DA">
              <w:rPr>
                <w:rFonts w:ascii="Arial" w:hAnsi="Arial" w:cs="Arial"/>
                <w:b/>
                <w:sz w:val="16"/>
                <w:szCs w:val="16"/>
              </w:rPr>
              <w:t> </w:t>
            </w:r>
          </w:p>
        </w:tc>
      </w:tr>
      <w:tr w:rsidR="00E133F4" w:rsidRPr="0093683C" w14:paraId="02793374"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4B05FA98"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 xml:space="preserve">investments in financial </w:t>
            </w:r>
          </w:p>
        </w:tc>
        <w:tc>
          <w:tcPr>
            <w:tcW w:w="462" w:type="pct"/>
            <w:tcBorders>
              <w:top w:val="nil"/>
              <w:left w:val="nil"/>
              <w:bottom w:val="nil"/>
              <w:right w:val="nil"/>
            </w:tcBorders>
            <w:shd w:val="clear" w:color="000000" w:fill="FFFFFF"/>
            <w:noWrap/>
            <w:vAlign w:val="bottom"/>
            <w:hideMark/>
          </w:tcPr>
          <w:p w14:paraId="3F6B669F" w14:textId="77777777" w:rsidR="00E133F4" w:rsidRPr="00286258" w:rsidRDefault="00E133F4" w:rsidP="00E133F4">
            <w:pPr>
              <w:spacing w:before="0" w:after="0" w:line="240" w:lineRule="auto"/>
              <w:ind w:firstLineChars="100" w:firstLine="161"/>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164CC49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1A1EC51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297C2DA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BF0CDF1"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001961B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68C6175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27A8CD3"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0FD24520"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7EB79079"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assets for policy purposes(b)</w:t>
            </w:r>
          </w:p>
        </w:tc>
        <w:tc>
          <w:tcPr>
            <w:tcW w:w="462" w:type="pct"/>
            <w:tcBorders>
              <w:top w:val="nil"/>
              <w:left w:val="nil"/>
              <w:bottom w:val="nil"/>
              <w:right w:val="nil"/>
            </w:tcBorders>
            <w:shd w:val="clear" w:color="000000" w:fill="FFFFFF"/>
            <w:noWrap/>
            <w:vAlign w:val="bottom"/>
            <w:hideMark/>
          </w:tcPr>
          <w:p w14:paraId="632E8006" w14:textId="77777777" w:rsidR="00E133F4" w:rsidRPr="00286258" w:rsidRDefault="00E133F4" w:rsidP="00E133F4">
            <w:pPr>
              <w:spacing w:before="0" w:after="0" w:line="240" w:lineRule="auto"/>
              <w:ind w:firstLineChars="100" w:firstLine="161"/>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09F23FB9"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2D83520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21EDDA3D"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3CDA22E3"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779384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2071DA03"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4AC5581E"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52438BCF"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10B2A861"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Student loans</w:t>
            </w:r>
          </w:p>
        </w:tc>
        <w:tc>
          <w:tcPr>
            <w:tcW w:w="462" w:type="pct"/>
            <w:tcBorders>
              <w:top w:val="nil"/>
              <w:left w:val="nil"/>
              <w:bottom w:val="nil"/>
              <w:right w:val="nil"/>
            </w:tcBorders>
            <w:shd w:val="clear" w:color="000000" w:fill="FFFFFF"/>
            <w:noWrap/>
            <w:vAlign w:val="bottom"/>
            <w:hideMark/>
          </w:tcPr>
          <w:p w14:paraId="30F25D38"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-3,397</w:t>
            </w:r>
          </w:p>
        </w:tc>
        <w:tc>
          <w:tcPr>
            <w:tcW w:w="47" w:type="pct"/>
            <w:tcBorders>
              <w:top w:val="nil"/>
              <w:left w:val="nil"/>
              <w:bottom w:val="nil"/>
              <w:right w:val="nil"/>
            </w:tcBorders>
            <w:shd w:val="clear" w:color="000000" w:fill="FFFFFF"/>
            <w:noWrap/>
            <w:vAlign w:val="bottom"/>
            <w:hideMark/>
          </w:tcPr>
          <w:p w14:paraId="5CEEE7D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441DDCE"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-3,810</w:t>
            </w:r>
          </w:p>
        </w:tc>
        <w:tc>
          <w:tcPr>
            <w:tcW w:w="498" w:type="pct"/>
            <w:tcBorders>
              <w:top w:val="nil"/>
              <w:left w:val="nil"/>
              <w:bottom w:val="nil"/>
              <w:right w:val="nil"/>
            </w:tcBorders>
            <w:shd w:val="clear" w:color="000000" w:fill="FFFFFF"/>
            <w:noWrap/>
            <w:vAlign w:val="bottom"/>
            <w:hideMark/>
          </w:tcPr>
          <w:p w14:paraId="7DE6FD7A"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-4,552</w:t>
            </w:r>
          </w:p>
        </w:tc>
        <w:tc>
          <w:tcPr>
            <w:tcW w:w="498" w:type="pct"/>
            <w:tcBorders>
              <w:top w:val="nil"/>
              <w:left w:val="nil"/>
              <w:bottom w:val="nil"/>
              <w:right w:val="nil"/>
            </w:tcBorders>
            <w:shd w:val="clear" w:color="000000" w:fill="FFFFFF"/>
            <w:noWrap/>
            <w:vAlign w:val="bottom"/>
            <w:hideMark/>
          </w:tcPr>
          <w:p w14:paraId="219722C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-5,012</w:t>
            </w:r>
          </w:p>
        </w:tc>
        <w:tc>
          <w:tcPr>
            <w:tcW w:w="498" w:type="pct"/>
            <w:tcBorders>
              <w:top w:val="nil"/>
              <w:left w:val="nil"/>
              <w:bottom w:val="nil"/>
              <w:right w:val="nil"/>
            </w:tcBorders>
            <w:shd w:val="clear" w:color="000000" w:fill="FFFFFF"/>
            <w:noWrap/>
            <w:vAlign w:val="bottom"/>
            <w:hideMark/>
          </w:tcPr>
          <w:p w14:paraId="3E1D6CFB"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-5,208</w:t>
            </w:r>
          </w:p>
        </w:tc>
        <w:tc>
          <w:tcPr>
            <w:tcW w:w="47" w:type="pct"/>
            <w:tcBorders>
              <w:top w:val="nil"/>
              <w:left w:val="nil"/>
              <w:bottom w:val="nil"/>
              <w:right w:val="nil"/>
            </w:tcBorders>
            <w:shd w:val="clear" w:color="000000" w:fill="FFFFFF"/>
            <w:noWrap/>
            <w:vAlign w:val="bottom"/>
            <w:hideMark/>
          </w:tcPr>
          <w:p w14:paraId="09EAA05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0916FF0F"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-18,582</w:t>
            </w:r>
          </w:p>
        </w:tc>
      </w:tr>
      <w:tr w:rsidR="00E133F4" w:rsidRPr="0093683C" w14:paraId="73963A1A"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0457683C"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NBN loan(c)</w:t>
            </w:r>
          </w:p>
        </w:tc>
        <w:tc>
          <w:tcPr>
            <w:tcW w:w="462" w:type="pct"/>
            <w:tcBorders>
              <w:top w:val="nil"/>
              <w:left w:val="nil"/>
              <w:bottom w:val="nil"/>
              <w:right w:val="nil"/>
            </w:tcBorders>
            <w:shd w:val="clear" w:color="000000" w:fill="FFFFFF"/>
            <w:noWrap/>
            <w:vAlign w:val="bottom"/>
            <w:hideMark/>
          </w:tcPr>
          <w:p w14:paraId="284665B8"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6,825</w:t>
            </w:r>
          </w:p>
        </w:tc>
        <w:tc>
          <w:tcPr>
            <w:tcW w:w="47" w:type="pct"/>
            <w:tcBorders>
              <w:top w:val="nil"/>
              <w:left w:val="nil"/>
              <w:bottom w:val="nil"/>
              <w:right w:val="nil"/>
            </w:tcBorders>
            <w:shd w:val="clear" w:color="000000" w:fill="FFFFFF"/>
            <w:noWrap/>
            <w:vAlign w:val="bottom"/>
            <w:hideMark/>
          </w:tcPr>
          <w:p w14:paraId="2FB905D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68227D5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875</w:t>
            </w:r>
          </w:p>
        </w:tc>
        <w:tc>
          <w:tcPr>
            <w:tcW w:w="498" w:type="pct"/>
            <w:tcBorders>
              <w:top w:val="nil"/>
              <w:left w:val="nil"/>
              <w:bottom w:val="nil"/>
              <w:right w:val="nil"/>
            </w:tcBorders>
            <w:shd w:val="clear" w:color="000000" w:fill="FFFFFF"/>
            <w:noWrap/>
            <w:vAlign w:val="bottom"/>
            <w:hideMark/>
          </w:tcPr>
          <w:p w14:paraId="0E30850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5,500</w:t>
            </w:r>
          </w:p>
        </w:tc>
        <w:tc>
          <w:tcPr>
            <w:tcW w:w="498" w:type="pct"/>
            <w:tcBorders>
              <w:top w:val="nil"/>
              <w:left w:val="nil"/>
              <w:bottom w:val="nil"/>
              <w:right w:val="nil"/>
            </w:tcBorders>
            <w:shd w:val="clear" w:color="000000" w:fill="FFFFFF"/>
            <w:noWrap/>
            <w:vAlign w:val="bottom"/>
            <w:hideMark/>
          </w:tcPr>
          <w:p w14:paraId="766CE78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0</w:t>
            </w:r>
          </w:p>
        </w:tc>
        <w:tc>
          <w:tcPr>
            <w:tcW w:w="498" w:type="pct"/>
            <w:tcBorders>
              <w:top w:val="nil"/>
              <w:left w:val="nil"/>
              <w:bottom w:val="nil"/>
              <w:right w:val="nil"/>
            </w:tcBorders>
            <w:shd w:val="clear" w:color="000000" w:fill="FFFFFF"/>
            <w:noWrap/>
            <w:vAlign w:val="bottom"/>
            <w:hideMark/>
          </w:tcPr>
          <w:p w14:paraId="4AFB6C3A"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0</w:t>
            </w:r>
          </w:p>
        </w:tc>
        <w:tc>
          <w:tcPr>
            <w:tcW w:w="47" w:type="pct"/>
            <w:tcBorders>
              <w:top w:val="nil"/>
              <w:left w:val="nil"/>
              <w:bottom w:val="nil"/>
              <w:right w:val="nil"/>
            </w:tcBorders>
            <w:shd w:val="clear" w:color="000000" w:fill="FFFFFF"/>
            <w:noWrap/>
            <w:vAlign w:val="bottom"/>
            <w:hideMark/>
          </w:tcPr>
          <w:p w14:paraId="2A73D7D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392C4D17"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6,375</w:t>
            </w:r>
          </w:p>
        </w:tc>
      </w:tr>
      <w:tr w:rsidR="00E133F4" w:rsidRPr="0093683C" w14:paraId="0C14BBF1"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53FF3F9"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NBN investment</w:t>
            </w:r>
          </w:p>
        </w:tc>
        <w:tc>
          <w:tcPr>
            <w:tcW w:w="462" w:type="pct"/>
            <w:tcBorders>
              <w:top w:val="nil"/>
              <w:left w:val="nil"/>
              <w:bottom w:val="nil"/>
              <w:right w:val="nil"/>
            </w:tcBorders>
            <w:shd w:val="clear" w:color="000000" w:fill="FFFFFF"/>
            <w:noWrap/>
            <w:vAlign w:val="bottom"/>
            <w:hideMark/>
          </w:tcPr>
          <w:p w14:paraId="617F9376"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0</w:t>
            </w:r>
          </w:p>
        </w:tc>
        <w:tc>
          <w:tcPr>
            <w:tcW w:w="47" w:type="pct"/>
            <w:tcBorders>
              <w:top w:val="nil"/>
              <w:left w:val="nil"/>
              <w:bottom w:val="nil"/>
              <w:right w:val="nil"/>
            </w:tcBorders>
            <w:shd w:val="clear" w:color="000000" w:fill="FFFFFF"/>
            <w:noWrap/>
            <w:vAlign w:val="bottom"/>
            <w:hideMark/>
          </w:tcPr>
          <w:p w14:paraId="7649074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6AAA3BB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-328</w:t>
            </w:r>
          </w:p>
        </w:tc>
        <w:tc>
          <w:tcPr>
            <w:tcW w:w="498" w:type="pct"/>
            <w:tcBorders>
              <w:top w:val="nil"/>
              <w:left w:val="nil"/>
              <w:bottom w:val="nil"/>
              <w:right w:val="nil"/>
            </w:tcBorders>
            <w:shd w:val="clear" w:color="000000" w:fill="FFFFFF"/>
            <w:noWrap/>
            <w:vAlign w:val="bottom"/>
            <w:hideMark/>
          </w:tcPr>
          <w:p w14:paraId="1FC0AEA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-748</w:t>
            </w:r>
          </w:p>
        </w:tc>
        <w:tc>
          <w:tcPr>
            <w:tcW w:w="498" w:type="pct"/>
            <w:tcBorders>
              <w:top w:val="nil"/>
              <w:left w:val="nil"/>
              <w:bottom w:val="nil"/>
              <w:right w:val="nil"/>
            </w:tcBorders>
            <w:shd w:val="clear" w:color="000000" w:fill="FFFFFF"/>
            <w:noWrap/>
            <w:vAlign w:val="bottom"/>
            <w:hideMark/>
          </w:tcPr>
          <w:p w14:paraId="3DF7E1E1"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-1,016</w:t>
            </w:r>
          </w:p>
        </w:tc>
        <w:tc>
          <w:tcPr>
            <w:tcW w:w="498" w:type="pct"/>
            <w:tcBorders>
              <w:top w:val="nil"/>
              <w:left w:val="nil"/>
              <w:bottom w:val="nil"/>
              <w:right w:val="nil"/>
            </w:tcBorders>
            <w:shd w:val="clear" w:color="000000" w:fill="FFFFFF"/>
            <w:noWrap/>
            <w:vAlign w:val="bottom"/>
            <w:hideMark/>
          </w:tcPr>
          <w:p w14:paraId="69A13F97"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-308</w:t>
            </w:r>
          </w:p>
        </w:tc>
        <w:tc>
          <w:tcPr>
            <w:tcW w:w="47" w:type="pct"/>
            <w:tcBorders>
              <w:top w:val="nil"/>
              <w:left w:val="nil"/>
              <w:bottom w:val="nil"/>
              <w:right w:val="nil"/>
            </w:tcBorders>
            <w:shd w:val="clear" w:color="000000" w:fill="FFFFFF"/>
            <w:noWrap/>
            <w:vAlign w:val="bottom"/>
            <w:hideMark/>
          </w:tcPr>
          <w:p w14:paraId="6A116F4D"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39E7C8F2"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-2,400</w:t>
            </w:r>
          </w:p>
        </w:tc>
      </w:tr>
      <w:tr w:rsidR="00E133F4" w:rsidRPr="0093683C" w14:paraId="5B300E31"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127ABFBB"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Trade support loans</w:t>
            </w:r>
          </w:p>
        </w:tc>
        <w:tc>
          <w:tcPr>
            <w:tcW w:w="462" w:type="pct"/>
            <w:tcBorders>
              <w:top w:val="nil"/>
              <w:left w:val="nil"/>
              <w:bottom w:val="nil"/>
              <w:right w:val="nil"/>
            </w:tcBorders>
            <w:shd w:val="clear" w:color="000000" w:fill="FFFFFF"/>
            <w:noWrap/>
            <w:vAlign w:val="bottom"/>
            <w:hideMark/>
          </w:tcPr>
          <w:p w14:paraId="0A1A1EB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-119</w:t>
            </w:r>
          </w:p>
        </w:tc>
        <w:tc>
          <w:tcPr>
            <w:tcW w:w="47" w:type="pct"/>
            <w:tcBorders>
              <w:top w:val="nil"/>
              <w:left w:val="nil"/>
              <w:bottom w:val="nil"/>
              <w:right w:val="nil"/>
            </w:tcBorders>
            <w:shd w:val="clear" w:color="000000" w:fill="FFFFFF"/>
            <w:noWrap/>
            <w:vAlign w:val="bottom"/>
            <w:hideMark/>
          </w:tcPr>
          <w:p w14:paraId="2719D5C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252C32EE"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-153</w:t>
            </w:r>
          </w:p>
        </w:tc>
        <w:tc>
          <w:tcPr>
            <w:tcW w:w="498" w:type="pct"/>
            <w:tcBorders>
              <w:top w:val="nil"/>
              <w:left w:val="nil"/>
              <w:bottom w:val="nil"/>
              <w:right w:val="nil"/>
            </w:tcBorders>
            <w:shd w:val="clear" w:color="000000" w:fill="FFFFFF"/>
            <w:noWrap/>
            <w:vAlign w:val="bottom"/>
            <w:hideMark/>
          </w:tcPr>
          <w:p w14:paraId="2BAA87F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-183</w:t>
            </w:r>
          </w:p>
        </w:tc>
        <w:tc>
          <w:tcPr>
            <w:tcW w:w="498" w:type="pct"/>
            <w:tcBorders>
              <w:top w:val="nil"/>
              <w:left w:val="nil"/>
              <w:bottom w:val="nil"/>
              <w:right w:val="nil"/>
            </w:tcBorders>
            <w:shd w:val="clear" w:color="000000" w:fill="FFFFFF"/>
            <w:noWrap/>
            <w:vAlign w:val="bottom"/>
            <w:hideMark/>
          </w:tcPr>
          <w:p w14:paraId="482DD3D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-175</w:t>
            </w:r>
          </w:p>
        </w:tc>
        <w:tc>
          <w:tcPr>
            <w:tcW w:w="498" w:type="pct"/>
            <w:tcBorders>
              <w:top w:val="nil"/>
              <w:left w:val="nil"/>
              <w:bottom w:val="nil"/>
              <w:right w:val="nil"/>
            </w:tcBorders>
            <w:shd w:val="clear" w:color="000000" w:fill="FFFFFF"/>
            <w:noWrap/>
            <w:vAlign w:val="bottom"/>
            <w:hideMark/>
          </w:tcPr>
          <w:p w14:paraId="2125785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-148</w:t>
            </w:r>
          </w:p>
        </w:tc>
        <w:tc>
          <w:tcPr>
            <w:tcW w:w="47" w:type="pct"/>
            <w:tcBorders>
              <w:top w:val="nil"/>
              <w:left w:val="nil"/>
              <w:bottom w:val="nil"/>
              <w:right w:val="nil"/>
            </w:tcBorders>
            <w:shd w:val="clear" w:color="000000" w:fill="FFFFFF"/>
            <w:noWrap/>
            <w:vAlign w:val="bottom"/>
            <w:hideMark/>
          </w:tcPr>
          <w:p w14:paraId="3585634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593ED9A2"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-659</w:t>
            </w:r>
          </w:p>
        </w:tc>
      </w:tr>
      <w:tr w:rsidR="00E133F4" w:rsidRPr="0093683C" w14:paraId="4FD78389"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5D9D4EAE"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CEFC loans and investments</w:t>
            </w:r>
          </w:p>
        </w:tc>
        <w:tc>
          <w:tcPr>
            <w:tcW w:w="462" w:type="pct"/>
            <w:tcBorders>
              <w:top w:val="nil"/>
              <w:left w:val="nil"/>
              <w:bottom w:val="nil"/>
              <w:right w:val="nil"/>
            </w:tcBorders>
            <w:shd w:val="clear" w:color="000000" w:fill="FFFFFF"/>
            <w:noWrap/>
            <w:vAlign w:val="bottom"/>
            <w:hideMark/>
          </w:tcPr>
          <w:p w14:paraId="76E06417"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-951</w:t>
            </w:r>
          </w:p>
        </w:tc>
        <w:tc>
          <w:tcPr>
            <w:tcW w:w="47" w:type="pct"/>
            <w:tcBorders>
              <w:top w:val="nil"/>
              <w:left w:val="nil"/>
              <w:bottom w:val="nil"/>
              <w:right w:val="nil"/>
            </w:tcBorders>
            <w:shd w:val="clear" w:color="000000" w:fill="FFFFFF"/>
            <w:noWrap/>
            <w:vAlign w:val="bottom"/>
            <w:hideMark/>
          </w:tcPr>
          <w:p w14:paraId="196CC25D"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7C6934E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-715</w:t>
            </w:r>
          </w:p>
        </w:tc>
        <w:tc>
          <w:tcPr>
            <w:tcW w:w="498" w:type="pct"/>
            <w:tcBorders>
              <w:top w:val="nil"/>
              <w:left w:val="nil"/>
              <w:bottom w:val="nil"/>
              <w:right w:val="nil"/>
            </w:tcBorders>
            <w:shd w:val="clear" w:color="000000" w:fill="FFFFFF"/>
            <w:noWrap/>
            <w:vAlign w:val="bottom"/>
            <w:hideMark/>
          </w:tcPr>
          <w:p w14:paraId="6B20BC2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-570</w:t>
            </w:r>
          </w:p>
        </w:tc>
        <w:tc>
          <w:tcPr>
            <w:tcW w:w="498" w:type="pct"/>
            <w:tcBorders>
              <w:top w:val="nil"/>
              <w:left w:val="nil"/>
              <w:bottom w:val="nil"/>
              <w:right w:val="nil"/>
            </w:tcBorders>
            <w:shd w:val="clear" w:color="000000" w:fill="FFFFFF"/>
            <w:noWrap/>
            <w:vAlign w:val="bottom"/>
            <w:hideMark/>
          </w:tcPr>
          <w:p w14:paraId="61DEB31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-1,543</w:t>
            </w:r>
          </w:p>
        </w:tc>
        <w:tc>
          <w:tcPr>
            <w:tcW w:w="498" w:type="pct"/>
            <w:tcBorders>
              <w:top w:val="nil"/>
              <w:left w:val="nil"/>
              <w:bottom w:val="nil"/>
              <w:right w:val="nil"/>
            </w:tcBorders>
            <w:shd w:val="clear" w:color="000000" w:fill="FFFFFF"/>
            <w:noWrap/>
            <w:vAlign w:val="bottom"/>
            <w:hideMark/>
          </w:tcPr>
          <w:p w14:paraId="3788E5C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-2,924</w:t>
            </w:r>
          </w:p>
        </w:tc>
        <w:tc>
          <w:tcPr>
            <w:tcW w:w="47" w:type="pct"/>
            <w:tcBorders>
              <w:top w:val="nil"/>
              <w:left w:val="nil"/>
              <w:bottom w:val="nil"/>
              <w:right w:val="nil"/>
            </w:tcBorders>
            <w:shd w:val="clear" w:color="000000" w:fill="FFFFFF"/>
            <w:noWrap/>
            <w:vAlign w:val="bottom"/>
            <w:hideMark/>
          </w:tcPr>
          <w:p w14:paraId="19E4B3A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75CCE0C3"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-5,752</w:t>
            </w:r>
          </w:p>
        </w:tc>
      </w:tr>
      <w:tr w:rsidR="00E133F4" w:rsidRPr="0093683C" w14:paraId="066278BE"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19DE11CA"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 xml:space="preserve">Northern Australia </w:t>
            </w:r>
          </w:p>
        </w:tc>
        <w:tc>
          <w:tcPr>
            <w:tcW w:w="462" w:type="pct"/>
            <w:tcBorders>
              <w:top w:val="nil"/>
              <w:left w:val="nil"/>
              <w:bottom w:val="nil"/>
              <w:right w:val="nil"/>
            </w:tcBorders>
            <w:shd w:val="clear" w:color="000000" w:fill="FFFFFF"/>
            <w:noWrap/>
            <w:vAlign w:val="bottom"/>
            <w:hideMark/>
          </w:tcPr>
          <w:p w14:paraId="775D1EE3"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4A76E69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4E7A3AD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23095E9"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5CF3E7E1"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413939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4E1183B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0F79D84"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62121932"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0ABED5D0"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 xml:space="preserve">Infrastructure Facility </w:t>
            </w:r>
          </w:p>
        </w:tc>
        <w:tc>
          <w:tcPr>
            <w:tcW w:w="462" w:type="pct"/>
            <w:tcBorders>
              <w:top w:val="nil"/>
              <w:left w:val="nil"/>
              <w:bottom w:val="nil"/>
              <w:right w:val="nil"/>
            </w:tcBorders>
            <w:shd w:val="clear" w:color="000000" w:fill="FFFFFF"/>
            <w:noWrap/>
            <w:vAlign w:val="bottom"/>
            <w:hideMark/>
          </w:tcPr>
          <w:p w14:paraId="561D364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-455</w:t>
            </w:r>
          </w:p>
        </w:tc>
        <w:tc>
          <w:tcPr>
            <w:tcW w:w="47" w:type="pct"/>
            <w:tcBorders>
              <w:top w:val="nil"/>
              <w:left w:val="nil"/>
              <w:bottom w:val="nil"/>
              <w:right w:val="nil"/>
            </w:tcBorders>
            <w:shd w:val="clear" w:color="000000" w:fill="FFFFFF"/>
            <w:noWrap/>
            <w:vAlign w:val="bottom"/>
            <w:hideMark/>
          </w:tcPr>
          <w:p w14:paraId="39B8E21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04C770F1"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-743</w:t>
            </w:r>
          </w:p>
        </w:tc>
        <w:tc>
          <w:tcPr>
            <w:tcW w:w="498" w:type="pct"/>
            <w:tcBorders>
              <w:top w:val="nil"/>
              <w:left w:val="nil"/>
              <w:bottom w:val="nil"/>
              <w:right w:val="nil"/>
            </w:tcBorders>
            <w:shd w:val="clear" w:color="000000" w:fill="FFFFFF"/>
            <w:noWrap/>
            <w:vAlign w:val="bottom"/>
            <w:hideMark/>
          </w:tcPr>
          <w:p w14:paraId="7244916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-1,016</w:t>
            </w:r>
          </w:p>
        </w:tc>
        <w:tc>
          <w:tcPr>
            <w:tcW w:w="498" w:type="pct"/>
            <w:tcBorders>
              <w:top w:val="nil"/>
              <w:left w:val="nil"/>
              <w:bottom w:val="nil"/>
              <w:right w:val="nil"/>
            </w:tcBorders>
            <w:shd w:val="clear" w:color="000000" w:fill="FFFFFF"/>
            <w:noWrap/>
            <w:vAlign w:val="bottom"/>
            <w:hideMark/>
          </w:tcPr>
          <w:p w14:paraId="4B8C3EE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-1,074</w:t>
            </w:r>
          </w:p>
        </w:tc>
        <w:tc>
          <w:tcPr>
            <w:tcW w:w="498" w:type="pct"/>
            <w:tcBorders>
              <w:top w:val="nil"/>
              <w:left w:val="nil"/>
              <w:bottom w:val="nil"/>
              <w:right w:val="nil"/>
            </w:tcBorders>
            <w:shd w:val="clear" w:color="000000" w:fill="FFFFFF"/>
            <w:noWrap/>
            <w:vAlign w:val="bottom"/>
            <w:hideMark/>
          </w:tcPr>
          <w:p w14:paraId="5E559C8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-961</w:t>
            </w:r>
          </w:p>
        </w:tc>
        <w:tc>
          <w:tcPr>
            <w:tcW w:w="47" w:type="pct"/>
            <w:tcBorders>
              <w:top w:val="nil"/>
              <w:left w:val="nil"/>
              <w:bottom w:val="nil"/>
              <w:right w:val="nil"/>
            </w:tcBorders>
            <w:shd w:val="clear" w:color="000000" w:fill="FFFFFF"/>
            <w:noWrap/>
            <w:vAlign w:val="bottom"/>
            <w:hideMark/>
          </w:tcPr>
          <w:p w14:paraId="1561B50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606A1E1D"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-3,794</w:t>
            </w:r>
          </w:p>
        </w:tc>
      </w:tr>
      <w:tr w:rsidR="00E133F4" w:rsidRPr="0093683C" w14:paraId="1709FC61"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B5D8B1F"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Australian Business</w:t>
            </w:r>
          </w:p>
        </w:tc>
        <w:tc>
          <w:tcPr>
            <w:tcW w:w="462" w:type="pct"/>
            <w:tcBorders>
              <w:top w:val="nil"/>
              <w:left w:val="nil"/>
              <w:bottom w:val="nil"/>
              <w:right w:val="nil"/>
            </w:tcBorders>
            <w:shd w:val="clear" w:color="000000" w:fill="FFFFFF"/>
            <w:noWrap/>
            <w:vAlign w:val="bottom"/>
            <w:hideMark/>
          </w:tcPr>
          <w:p w14:paraId="7EAF1D0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1EFA27B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7DD2163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7FAAC5B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5570155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7F04B7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688B839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4B4451FC"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7E7DDF32"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7523C1D1"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Securitisation Fund</w:t>
            </w:r>
          </w:p>
        </w:tc>
        <w:tc>
          <w:tcPr>
            <w:tcW w:w="462" w:type="pct"/>
            <w:tcBorders>
              <w:top w:val="nil"/>
              <w:left w:val="nil"/>
              <w:bottom w:val="nil"/>
              <w:right w:val="nil"/>
            </w:tcBorders>
            <w:shd w:val="clear" w:color="000000" w:fill="FFFFFF"/>
            <w:noWrap/>
            <w:vAlign w:val="bottom"/>
            <w:hideMark/>
          </w:tcPr>
          <w:p w14:paraId="77CF720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-9</w:t>
            </w:r>
          </w:p>
        </w:tc>
        <w:tc>
          <w:tcPr>
            <w:tcW w:w="47" w:type="pct"/>
            <w:tcBorders>
              <w:top w:val="nil"/>
              <w:left w:val="nil"/>
              <w:bottom w:val="nil"/>
              <w:right w:val="nil"/>
            </w:tcBorders>
            <w:shd w:val="clear" w:color="000000" w:fill="FFFFFF"/>
            <w:noWrap/>
            <w:vAlign w:val="bottom"/>
            <w:hideMark/>
          </w:tcPr>
          <w:p w14:paraId="6C5731C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681D0C56"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-389</w:t>
            </w:r>
          </w:p>
        </w:tc>
        <w:tc>
          <w:tcPr>
            <w:tcW w:w="498" w:type="pct"/>
            <w:tcBorders>
              <w:top w:val="nil"/>
              <w:left w:val="nil"/>
              <w:bottom w:val="nil"/>
              <w:right w:val="nil"/>
            </w:tcBorders>
            <w:shd w:val="clear" w:color="000000" w:fill="FFFFFF"/>
            <w:noWrap/>
            <w:vAlign w:val="bottom"/>
            <w:hideMark/>
          </w:tcPr>
          <w:p w14:paraId="3D6F1AE1"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-250</w:t>
            </w:r>
          </w:p>
        </w:tc>
        <w:tc>
          <w:tcPr>
            <w:tcW w:w="498" w:type="pct"/>
            <w:tcBorders>
              <w:top w:val="nil"/>
              <w:left w:val="nil"/>
              <w:bottom w:val="nil"/>
              <w:right w:val="nil"/>
            </w:tcBorders>
            <w:shd w:val="clear" w:color="000000" w:fill="FFFFFF"/>
            <w:noWrap/>
            <w:vAlign w:val="bottom"/>
            <w:hideMark/>
          </w:tcPr>
          <w:p w14:paraId="6A670932"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-251</w:t>
            </w:r>
          </w:p>
        </w:tc>
        <w:tc>
          <w:tcPr>
            <w:tcW w:w="498" w:type="pct"/>
            <w:tcBorders>
              <w:top w:val="nil"/>
              <w:left w:val="nil"/>
              <w:bottom w:val="nil"/>
              <w:right w:val="nil"/>
            </w:tcBorders>
            <w:shd w:val="clear" w:color="000000" w:fill="FFFFFF"/>
            <w:noWrap/>
            <w:vAlign w:val="bottom"/>
            <w:hideMark/>
          </w:tcPr>
          <w:p w14:paraId="0DD8ACBE"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-251</w:t>
            </w:r>
          </w:p>
        </w:tc>
        <w:tc>
          <w:tcPr>
            <w:tcW w:w="47" w:type="pct"/>
            <w:tcBorders>
              <w:top w:val="nil"/>
              <w:left w:val="nil"/>
              <w:bottom w:val="nil"/>
              <w:right w:val="nil"/>
            </w:tcBorders>
            <w:shd w:val="clear" w:color="000000" w:fill="FFFFFF"/>
            <w:noWrap/>
            <w:vAlign w:val="bottom"/>
            <w:hideMark/>
          </w:tcPr>
          <w:p w14:paraId="4C67A5E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3F536CB3"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-1,141</w:t>
            </w:r>
          </w:p>
        </w:tc>
      </w:tr>
      <w:tr w:rsidR="00E133F4" w:rsidRPr="0093683C" w14:paraId="1CE142A3"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3DE88F01"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 xml:space="preserve">Structured Finance </w:t>
            </w:r>
          </w:p>
        </w:tc>
        <w:tc>
          <w:tcPr>
            <w:tcW w:w="462" w:type="pct"/>
            <w:tcBorders>
              <w:top w:val="nil"/>
              <w:left w:val="nil"/>
              <w:bottom w:val="nil"/>
              <w:right w:val="nil"/>
            </w:tcBorders>
            <w:shd w:val="clear" w:color="000000" w:fill="FFFFFF"/>
            <w:noWrap/>
            <w:vAlign w:val="bottom"/>
            <w:hideMark/>
          </w:tcPr>
          <w:p w14:paraId="1DC2ED5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A18ADA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7FCAA13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B982BCD"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37D5298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07A6A93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1FB5500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09CD1D14"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61FE2DD5"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08C62DCD"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Support Fund</w:t>
            </w:r>
          </w:p>
        </w:tc>
        <w:tc>
          <w:tcPr>
            <w:tcW w:w="462" w:type="pct"/>
            <w:tcBorders>
              <w:top w:val="nil"/>
              <w:left w:val="nil"/>
              <w:bottom w:val="nil"/>
              <w:right w:val="nil"/>
            </w:tcBorders>
            <w:shd w:val="clear" w:color="000000" w:fill="FFFFFF"/>
            <w:noWrap/>
            <w:vAlign w:val="bottom"/>
            <w:hideMark/>
          </w:tcPr>
          <w:p w14:paraId="35D7C8F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1,062</w:t>
            </w:r>
          </w:p>
        </w:tc>
        <w:tc>
          <w:tcPr>
            <w:tcW w:w="47" w:type="pct"/>
            <w:tcBorders>
              <w:top w:val="nil"/>
              <w:left w:val="nil"/>
              <w:bottom w:val="nil"/>
              <w:right w:val="nil"/>
            </w:tcBorders>
            <w:shd w:val="clear" w:color="000000" w:fill="FFFFFF"/>
            <w:noWrap/>
            <w:vAlign w:val="bottom"/>
            <w:hideMark/>
          </w:tcPr>
          <w:p w14:paraId="3246A8F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BCCECC3"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265</w:t>
            </w:r>
          </w:p>
        </w:tc>
        <w:tc>
          <w:tcPr>
            <w:tcW w:w="498" w:type="pct"/>
            <w:tcBorders>
              <w:top w:val="nil"/>
              <w:left w:val="nil"/>
              <w:bottom w:val="nil"/>
              <w:right w:val="nil"/>
            </w:tcBorders>
            <w:shd w:val="clear" w:color="000000" w:fill="FFFFFF"/>
            <w:noWrap/>
            <w:vAlign w:val="bottom"/>
            <w:hideMark/>
          </w:tcPr>
          <w:p w14:paraId="5FA3D74B"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280</w:t>
            </w:r>
          </w:p>
        </w:tc>
        <w:tc>
          <w:tcPr>
            <w:tcW w:w="498" w:type="pct"/>
            <w:tcBorders>
              <w:top w:val="nil"/>
              <w:left w:val="nil"/>
              <w:bottom w:val="nil"/>
              <w:right w:val="nil"/>
            </w:tcBorders>
            <w:shd w:val="clear" w:color="000000" w:fill="FFFFFF"/>
            <w:noWrap/>
            <w:vAlign w:val="bottom"/>
            <w:hideMark/>
          </w:tcPr>
          <w:p w14:paraId="2B874C03"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85</w:t>
            </w:r>
          </w:p>
        </w:tc>
        <w:tc>
          <w:tcPr>
            <w:tcW w:w="498" w:type="pct"/>
            <w:tcBorders>
              <w:top w:val="nil"/>
              <w:left w:val="nil"/>
              <w:bottom w:val="nil"/>
              <w:right w:val="nil"/>
            </w:tcBorders>
            <w:shd w:val="clear" w:color="000000" w:fill="FFFFFF"/>
            <w:noWrap/>
            <w:vAlign w:val="bottom"/>
            <w:hideMark/>
          </w:tcPr>
          <w:p w14:paraId="007BDAE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65</w:t>
            </w:r>
          </w:p>
        </w:tc>
        <w:tc>
          <w:tcPr>
            <w:tcW w:w="47" w:type="pct"/>
            <w:tcBorders>
              <w:top w:val="nil"/>
              <w:left w:val="nil"/>
              <w:bottom w:val="nil"/>
              <w:right w:val="nil"/>
            </w:tcBorders>
            <w:shd w:val="clear" w:color="000000" w:fill="FFFFFF"/>
            <w:noWrap/>
            <w:vAlign w:val="bottom"/>
            <w:hideMark/>
          </w:tcPr>
          <w:p w14:paraId="2A8A3C51"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438CC31"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695</w:t>
            </w:r>
          </w:p>
        </w:tc>
      </w:tr>
      <w:tr w:rsidR="00E133F4" w:rsidRPr="0093683C" w14:paraId="3A304519"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F312525"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Drought and rural assistance</w:t>
            </w:r>
          </w:p>
        </w:tc>
        <w:tc>
          <w:tcPr>
            <w:tcW w:w="462" w:type="pct"/>
            <w:tcBorders>
              <w:top w:val="nil"/>
              <w:left w:val="nil"/>
              <w:bottom w:val="nil"/>
              <w:right w:val="nil"/>
            </w:tcBorders>
            <w:shd w:val="clear" w:color="000000" w:fill="FFFFFF"/>
            <w:noWrap/>
            <w:vAlign w:val="bottom"/>
            <w:hideMark/>
          </w:tcPr>
          <w:p w14:paraId="4B6B000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62EC71C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23D6588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710E2BF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7B8D00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810C88D"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6EA8B4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7EEF377A"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234D7C01"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8D79AA2"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loans</w:t>
            </w:r>
          </w:p>
        </w:tc>
        <w:tc>
          <w:tcPr>
            <w:tcW w:w="462" w:type="pct"/>
            <w:tcBorders>
              <w:top w:val="nil"/>
              <w:left w:val="nil"/>
              <w:bottom w:val="nil"/>
              <w:right w:val="nil"/>
            </w:tcBorders>
            <w:shd w:val="clear" w:color="000000" w:fill="FFFFFF"/>
            <w:noWrap/>
            <w:vAlign w:val="bottom"/>
            <w:hideMark/>
          </w:tcPr>
          <w:p w14:paraId="32542ECA"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-1,398</w:t>
            </w:r>
          </w:p>
        </w:tc>
        <w:tc>
          <w:tcPr>
            <w:tcW w:w="47" w:type="pct"/>
            <w:tcBorders>
              <w:top w:val="nil"/>
              <w:left w:val="nil"/>
              <w:bottom w:val="nil"/>
              <w:right w:val="nil"/>
            </w:tcBorders>
            <w:shd w:val="clear" w:color="000000" w:fill="FFFFFF"/>
            <w:noWrap/>
            <w:vAlign w:val="bottom"/>
            <w:hideMark/>
          </w:tcPr>
          <w:p w14:paraId="6293D179"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BD803D8"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-341</w:t>
            </w:r>
          </w:p>
        </w:tc>
        <w:tc>
          <w:tcPr>
            <w:tcW w:w="498" w:type="pct"/>
            <w:tcBorders>
              <w:top w:val="nil"/>
              <w:left w:val="nil"/>
              <w:bottom w:val="nil"/>
              <w:right w:val="nil"/>
            </w:tcBorders>
            <w:shd w:val="clear" w:color="000000" w:fill="FFFFFF"/>
            <w:noWrap/>
            <w:vAlign w:val="bottom"/>
            <w:hideMark/>
          </w:tcPr>
          <w:p w14:paraId="09185D1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-194</w:t>
            </w:r>
          </w:p>
        </w:tc>
        <w:tc>
          <w:tcPr>
            <w:tcW w:w="498" w:type="pct"/>
            <w:tcBorders>
              <w:top w:val="nil"/>
              <w:left w:val="nil"/>
              <w:bottom w:val="nil"/>
              <w:right w:val="nil"/>
            </w:tcBorders>
            <w:shd w:val="clear" w:color="000000" w:fill="FFFFFF"/>
            <w:noWrap/>
            <w:vAlign w:val="bottom"/>
            <w:hideMark/>
          </w:tcPr>
          <w:p w14:paraId="06B8439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-179</w:t>
            </w:r>
          </w:p>
        </w:tc>
        <w:tc>
          <w:tcPr>
            <w:tcW w:w="498" w:type="pct"/>
            <w:tcBorders>
              <w:top w:val="nil"/>
              <w:left w:val="nil"/>
              <w:bottom w:val="nil"/>
              <w:right w:val="nil"/>
            </w:tcBorders>
            <w:shd w:val="clear" w:color="000000" w:fill="FFFFFF"/>
            <w:noWrap/>
            <w:vAlign w:val="bottom"/>
            <w:hideMark/>
          </w:tcPr>
          <w:p w14:paraId="660540C8"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-136</w:t>
            </w:r>
          </w:p>
        </w:tc>
        <w:tc>
          <w:tcPr>
            <w:tcW w:w="47" w:type="pct"/>
            <w:tcBorders>
              <w:top w:val="nil"/>
              <w:left w:val="nil"/>
              <w:bottom w:val="nil"/>
              <w:right w:val="nil"/>
            </w:tcBorders>
            <w:shd w:val="clear" w:color="000000" w:fill="FFFFFF"/>
            <w:noWrap/>
            <w:vAlign w:val="bottom"/>
            <w:hideMark/>
          </w:tcPr>
          <w:p w14:paraId="72932573"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210A318"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-850</w:t>
            </w:r>
          </w:p>
        </w:tc>
      </w:tr>
      <w:tr w:rsidR="00E133F4" w:rsidRPr="0093683C" w14:paraId="14BB4692"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E9AF340"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Official Development Assistance</w:t>
            </w:r>
          </w:p>
        </w:tc>
        <w:tc>
          <w:tcPr>
            <w:tcW w:w="462" w:type="pct"/>
            <w:tcBorders>
              <w:top w:val="nil"/>
              <w:left w:val="nil"/>
              <w:bottom w:val="nil"/>
              <w:right w:val="nil"/>
            </w:tcBorders>
            <w:shd w:val="clear" w:color="000000" w:fill="FFFFFF"/>
            <w:noWrap/>
            <w:vAlign w:val="bottom"/>
            <w:hideMark/>
          </w:tcPr>
          <w:p w14:paraId="4972C3A1"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2C7C82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557A4F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E60752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757BB98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26885D43"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86E8D4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242E067A"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434942DD"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F8F171E"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 Multilateral Replenishment</w:t>
            </w:r>
          </w:p>
        </w:tc>
        <w:tc>
          <w:tcPr>
            <w:tcW w:w="462" w:type="pct"/>
            <w:tcBorders>
              <w:top w:val="nil"/>
              <w:left w:val="nil"/>
              <w:bottom w:val="nil"/>
              <w:right w:val="nil"/>
            </w:tcBorders>
            <w:shd w:val="clear" w:color="000000" w:fill="FFFFFF"/>
            <w:noWrap/>
            <w:vAlign w:val="bottom"/>
            <w:hideMark/>
          </w:tcPr>
          <w:p w14:paraId="5F76D00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-127</w:t>
            </w:r>
          </w:p>
        </w:tc>
        <w:tc>
          <w:tcPr>
            <w:tcW w:w="47" w:type="pct"/>
            <w:tcBorders>
              <w:top w:val="nil"/>
              <w:left w:val="nil"/>
              <w:bottom w:val="nil"/>
              <w:right w:val="nil"/>
            </w:tcBorders>
            <w:shd w:val="clear" w:color="000000" w:fill="FFFFFF"/>
            <w:noWrap/>
            <w:vAlign w:val="bottom"/>
            <w:hideMark/>
          </w:tcPr>
          <w:p w14:paraId="6C18BA8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0BB86FD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-128</w:t>
            </w:r>
          </w:p>
        </w:tc>
        <w:tc>
          <w:tcPr>
            <w:tcW w:w="498" w:type="pct"/>
            <w:tcBorders>
              <w:top w:val="nil"/>
              <w:left w:val="nil"/>
              <w:bottom w:val="nil"/>
              <w:right w:val="nil"/>
            </w:tcBorders>
            <w:shd w:val="clear" w:color="000000" w:fill="FFFFFF"/>
            <w:noWrap/>
            <w:vAlign w:val="bottom"/>
            <w:hideMark/>
          </w:tcPr>
          <w:p w14:paraId="3DA63CD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-132</w:t>
            </w:r>
          </w:p>
        </w:tc>
        <w:tc>
          <w:tcPr>
            <w:tcW w:w="498" w:type="pct"/>
            <w:tcBorders>
              <w:top w:val="nil"/>
              <w:left w:val="nil"/>
              <w:bottom w:val="nil"/>
              <w:right w:val="nil"/>
            </w:tcBorders>
            <w:shd w:val="clear" w:color="000000" w:fill="FFFFFF"/>
            <w:noWrap/>
            <w:vAlign w:val="bottom"/>
            <w:hideMark/>
          </w:tcPr>
          <w:p w14:paraId="2D7868A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-139</w:t>
            </w:r>
          </w:p>
        </w:tc>
        <w:tc>
          <w:tcPr>
            <w:tcW w:w="498" w:type="pct"/>
            <w:tcBorders>
              <w:top w:val="nil"/>
              <w:left w:val="nil"/>
              <w:bottom w:val="nil"/>
              <w:right w:val="nil"/>
            </w:tcBorders>
            <w:shd w:val="clear" w:color="000000" w:fill="FFFFFF"/>
            <w:noWrap/>
            <w:vAlign w:val="bottom"/>
            <w:hideMark/>
          </w:tcPr>
          <w:p w14:paraId="7F54C8FA"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-193</w:t>
            </w:r>
          </w:p>
        </w:tc>
        <w:tc>
          <w:tcPr>
            <w:tcW w:w="47" w:type="pct"/>
            <w:tcBorders>
              <w:top w:val="nil"/>
              <w:left w:val="nil"/>
              <w:bottom w:val="nil"/>
              <w:right w:val="nil"/>
            </w:tcBorders>
            <w:shd w:val="clear" w:color="000000" w:fill="FFFFFF"/>
            <w:noWrap/>
            <w:vAlign w:val="bottom"/>
            <w:hideMark/>
          </w:tcPr>
          <w:p w14:paraId="72AF22F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43DE53FF"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-592</w:t>
            </w:r>
          </w:p>
        </w:tc>
      </w:tr>
      <w:tr w:rsidR="00E133F4" w:rsidRPr="0093683C" w14:paraId="28651FE3"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6C970155"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 xml:space="preserve">National Housing Finance and </w:t>
            </w:r>
          </w:p>
        </w:tc>
        <w:tc>
          <w:tcPr>
            <w:tcW w:w="462" w:type="pct"/>
            <w:tcBorders>
              <w:top w:val="nil"/>
              <w:left w:val="nil"/>
              <w:bottom w:val="nil"/>
              <w:right w:val="nil"/>
            </w:tcBorders>
            <w:shd w:val="clear" w:color="000000" w:fill="FFFFFF"/>
            <w:noWrap/>
            <w:vAlign w:val="bottom"/>
            <w:hideMark/>
          </w:tcPr>
          <w:p w14:paraId="781B0D0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40D03FE1"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102F6F5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06CEEC7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B5364B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594C344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B7F23B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37894692"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3074E963"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4A8520EE"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Investment Corporation</w:t>
            </w:r>
          </w:p>
        </w:tc>
        <w:tc>
          <w:tcPr>
            <w:tcW w:w="462" w:type="pct"/>
            <w:tcBorders>
              <w:top w:val="nil"/>
              <w:left w:val="nil"/>
              <w:bottom w:val="nil"/>
              <w:right w:val="nil"/>
            </w:tcBorders>
            <w:shd w:val="clear" w:color="000000" w:fill="FFFFFF"/>
            <w:noWrap/>
            <w:vAlign w:val="bottom"/>
            <w:hideMark/>
          </w:tcPr>
          <w:p w14:paraId="704D1FA7"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41</w:t>
            </w:r>
          </w:p>
        </w:tc>
        <w:tc>
          <w:tcPr>
            <w:tcW w:w="47" w:type="pct"/>
            <w:tcBorders>
              <w:top w:val="nil"/>
              <w:left w:val="nil"/>
              <w:bottom w:val="nil"/>
              <w:right w:val="nil"/>
            </w:tcBorders>
            <w:shd w:val="clear" w:color="000000" w:fill="FFFFFF"/>
            <w:noWrap/>
            <w:vAlign w:val="bottom"/>
            <w:hideMark/>
          </w:tcPr>
          <w:p w14:paraId="59C437A9"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798411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w:t>
            </w:r>
          </w:p>
        </w:tc>
        <w:tc>
          <w:tcPr>
            <w:tcW w:w="498" w:type="pct"/>
            <w:tcBorders>
              <w:top w:val="nil"/>
              <w:left w:val="nil"/>
              <w:bottom w:val="nil"/>
              <w:right w:val="nil"/>
            </w:tcBorders>
            <w:shd w:val="clear" w:color="000000" w:fill="FFFFFF"/>
            <w:noWrap/>
            <w:vAlign w:val="bottom"/>
            <w:hideMark/>
          </w:tcPr>
          <w:p w14:paraId="0706AC8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-242</w:t>
            </w:r>
          </w:p>
        </w:tc>
        <w:tc>
          <w:tcPr>
            <w:tcW w:w="498" w:type="pct"/>
            <w:tcBorders>
              <w:top w:val="nil"/>
              <w:left w:val="nil"/>
              <w:bottom w:val="nil"/>
              <w:right w:val="nil"/>
            </w:tcBorders>
            <w:shd w:val="clear" w:color="000000" w:fill="FFFFFF"/>
            <w:noWrap/>
            <w:vAlign w:val="bottom"/>
            <w:hideMark/>
          </w:tcPr>
          <w:p w14:paraId="2615C3A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-455</w:t>
            </w:r>
          </w:p>
        </w:tc>
        <w:tc>
          <w:tcPr>
            <w:tcW w:w="498" w:type="pct"/>
            <w:tcBorders>
              <w:top w:val="nil"/>
              <w:left w:val="nil"/>
              <w:bottom w:val="nil"/>
              <w:right w:val="nil"/>
            </w:tcBorders>
            <w:shd w:val="clear" w:color="000000" w:fill="FFFFFF"/>
            <w:noWrap/>
            <w:vAlign w:val="bottom"/>
            <w:hideMark/>
          </w:tcPr>
          <w:p w14:paraId="2C00E818"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301</w:t>
            </w:r>
          </w:p>
        </w:tc>
        <w:tc>
          <w:tcPr>
            <w:tcW w:w="47" w:type="pct"/>
            <w:tcBorders>
              <w:top w:val="nil"/>
              <w:left w:val="nil"/>
              <w:bottom w:val="nil"/>
              <w:right w:val="nil"/>
            </w:tcBorders>
            <w:shd w:val="clear" w:color="000000" w:fill="FFFFFF"/>
            <w:noWrap/>
            <w:vAlign w:val="bottom"/>
            <w:hideMark/>
          </w:tcPr>
          <w:p w14:paraId="39D49A31"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2C2C097E"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-398</w:t>
            </w:r>
          </w:p>
        </w:tc>
      </w:tr>
      <w:tr w:rsidR="00E133F4" w:rsidRPr="0093683C" w14:paraId="6C42AA32"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102A40CD"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 xml:space="preserve">COVID-19 Support for </w:t>
            </w:r>
          </w:p>
        </w:tc>
        <w:tc>
          <w:tcPr>
            <w:tcW w:w="462" w:type="pct"/>
            <w:tcBorders>
              <w:top w:val="nil"/>
              <w:left w:val="nil"/>
              <w:bottom w:val="nil"/>
              <w:right w:val="nil"/>
            </w:tcBorders>
            <w:shd w:val="clear" w:color="000000" w:fill="FFFFFF"/>
            <w:noWrap/>
            <w:vAlign w:val="bottom"/>
            <w:hideMark/>
          </w:tcPr>
          <w:p w14:paraId="4004B70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0FEEC7D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6742D7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201CD5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5A2FF7B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7D3E471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93B59D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54F23E08"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25C980E6"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54883294"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 xml:space="preserve">Indonesia — loan </w:t>
            </w:r>
          </w:p>
        </w:tc>
        <w:tc>
          <w:tcPr>
            <w:tcW w:w="462" w:type="pct"/>
            <w:tcBorders>
              <w:top w:val="nil"/>
              <w:left w:val="nil"/>
              <w:bottom w:val="nil"/>
              <w:right w:val="nil"/>
            </w:tcBorders>
            <w:shd w:val="clear" w:color="000000" w:fill="FFFFFF"/>
            <w:noWrap/>
            <w:vAlign w:val="bottom"/>
            <w:hideMark/>
          </w:tcPr>
          <w:p w14:paraId="08093FB2"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100</w:t>
            </w:r>
          </w:p>
        </w:tc>
        <w:tc>
          <w:tcPr>
            <w:tcW w:w="47" w:type="pct"/>
            <w:tcBorders>
              <w:top w:val="nil"/>
              <w:left w:val="nil"/>
              <w:bottom w:val="nil"/>
              <w:right w:val="nil"/>
            </w:tcBorders>
            <w:shd w:val="clear" w:color="000000" w:fill="FFFFFF"/>
            <w:noWrap/>
            <w:vAlign w:val="bottom"/>
            <w:hideMark/>
          </w:tcPr>
          <w:p w14:paraId="65DD40A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7406B20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100</w:t>
            </w:r>
          </w:p>
        </w:tc>
        <w:tc>
          <w:tcPr>
            <w:tcW w:w="498" w:type="pct"/>
            <w:tcBorders>
              <w:top w:val="nil"/>
              <w:left w:val="nil"/>
              <w:bottom w:val="nil"/>
              <w:right w:val="nil"/>
            </w:tcBorders>
            <w:shd w:val="clear" w:color="000000" w:fill="FFFFFF"/>
            <w:noWrap/>
            <w:vAlign w:val="bottom"/>
            <w:hideMark/>
          </w:tcPr>
          <w:p w14:paraId="3FE831B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100</w:t>
            </w:r>
          </w:p>
        </w:tc>
        <w:tc>
          <w:tcPr>
            <w:tcW w:w="498" w:type="pct"/>
            <w:tcBorders>
              <w:top w:val="nil"/>
              <w:left w:val="nil"/>
              <w:bottom w:val="nil"/>
              <w:right w:val="nil"/>
            </w:tcBorders>
            <w:shd w:val="clear" w:color="000000" w:fill="FFFFFF"/>
            <w:noWrap/>
            <w:vAlign w:val="bottom"/>
            <w:hideMark/>
          </w:tcPr>
          <w:p w14:paraId="49C9549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100</w:t>
            </w:r>
          </w:p>
        </w:tc>
        <w:tc>
          <w:tcPr>
            <w:tcW w:w="498" w:type="pct"/>
            <w:tcBorders>
              <w:top w:val="nil"/>
              <w:left w:val="nil"/>
              <w:bottom w:val="nil"/>
              <w:right w:val="nil"/>
            </w:tcBorders>
            <w:shd w:val="clear" w:color="000000" w:fill="FFFFFF"/>
            <w:noWrap/>
            <w:vAlign w:val="bottom"/>
            <w:hideMark/>
          </w:tcPr>
          <w:p w14:paraId="4BBFD7E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100</w:t>
            </w:r>
          </w:p>
        </w:tc>
        <w:tc>
          <w:tcPr>
            <w:tcW w:w="47" w:type="pct"/>
            <w:tcBorders>
              <w:top w:val="nil"/>
              <w:left w:val="nil"/>
              <w:bottom w:val="nil"/>
              <w:right w:val="nil"/>
            </w:tcBorders>
            <w:shd w:val="clear" w:color="000000" w:fill="FFFFFF"/>
            <w:noWrap/>
            <w:vAlign w:val="bottom"/>
            <w:hideMark/>
          </w:tcPr>
          <w:p w14:paraId="19CAED6C"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90311AB"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400</w:t>
            </w:r>
          </w:p>
        </w:tc>
      </w:tr>
      <w:tr w:rsidR="00E133F4" w:rsidRPr="0093683C" w14:paraId="77FFA89D"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3E62BEBD"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 xml:space="preserve">Financial Assistance to </w:t>
            </w:r>
          </w:p>
        </w:tc>
        <w:tc>
          <w:tcPr>
            <w:tcW w:w="462" w:type="pct"/>
            <w:tcBorders>
              <w:top w:val="nil"/>
              <w:left w:val="nil"/>
              <w:bottom w:val="nil"/>
              <w:right w:val="nil"/>
            </w:tcBorders>
            <w:shd w:val="clear" w:color="000000" w:fill="FFFFFF"/>
            <w:noWrap/>
            <w:vAlign w:val="bottom"/>
            <w:hideMark/>
          </w:tcPr>
          <w:p w14:paraId="6D3C219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36E0876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EB7381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35EF6A4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3CCCE7C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1BE5A4A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3EA53D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5F9F2948"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62894104"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25F479BC" w14:textId="77777777" w:rsidR="00E133F4" w:rsidRPr="00286258" w:rsidRDefault="00E133F4" w:rsidP="00E133F4">
            <w:pPr>
              <w:spacing w:before="0" w:after="0" w:line="240" w:lineRule="auto"/>
              <w:ind w:left="510"/>
              <w:rPr>
                <w:rFonts w:ascii="Arial" w:hAnsi="Arial" w:cs="Arial"/>
                <w:sz w:val="16"/>
                <w:szCs w:val="16"/>
                <w:highlight w:val="darkCyan"/>
              </w:rPr>
            </w:pPr>
            <w:r w:rsidRPr="000D21DA">
              <w:rPr>
                <w:rFonts w:ascii="Arial" w:hAnsi="Arial" w:cs="Arial"/>
                <w:sz w:val="16"/>
                <w:szCs w:val="16"/>
              </w:rPr>
              <w:t>Papua New Guinea — loan</w:t>
            </w:r>
          </w:p>
        </w:tc>
        <w:tc>
          <w:tcPr>
            <w:tcW w:w="462" w:type="pct"/>
            <w:tcBorders>
              <w:top w:val="nil"/>
              <w:left w:val="nil"/>
              <w:bottom w:val="nil"/>
              <w:right w:val="nil"/>
            </w:tcBorders>
            <w:shd w:val="clear" w:color="000000" w:fill="FFFFFF"/>
            <w:noWrap/>
            <w:vAlign w:val="bottom"/>
            <w:hideMark/>
          </w:tcPr>
          <w:p w14:paraId="2EEEEDF3"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-614</w:t>
            </w:r>
          </w:p>
        </w:tc>
        <w:tc>
          <w:tcPr>
            <w:tcW w:w="47" w:type="pct"/>
            <w:tcBorders>
              <w:top w:val="nil"/>
              <w:left w:val="nil"/>
              <w:bottom w:val="nil"/>
              <w:right w:val="nil"/>
            </w:tcBorders>
            <w:shd w:val="clear" w:color="000000" w:fill="FFFFFF"/>
            <w:noWrap/>
            <w:vAlign w:val="bottom"/>
            <w:hideMark/>
          </w:tcPr>
          <w:p w14:paraId="1F2B562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5C94C59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72</w:t>
            </w:r>
          </w:p>
        </w:tc>
        <w:tc>
          <w:tcPr>
            <w:tcW w:w="498" w:type="pct"/>
            <w:tcBorders>
              <w:top w:val="nil"/>
              <w:left w:val="nil"/>
              <w:bottom w:val="nil"/>
              <w:right w:val="nil"/>
            </w:tcBorders>
            <w:shd w:val="clear" w:color="000000" w:fill="FFFFFF"/>
            <w:noWrap/>
            <w:vAlign w:val="bottom"/>
            <w:hideMark/>
          </w:tcPr>
          <w:p w14:paraId="526D5799"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72</w:t>
            </w:r>
          </w:p>
        </w:tc>
        <w:tc>
          <w:tcPr>
            <w:tcW w:w="498" w:type="pct"/>
            <w:tcBorders>
              <w:top w:val="nil"/>
              <w:left w:val="nil"/>
              <w:bottom w:val="nil"/>
              <w:right w:val="nil"/>
            </w:tcBorders>
            <w:shd w:val="clear" w:color="000000" w:fill="FFFFFF"/>
            <w:noWrap/>
            <w:vAlign w:val="bottom"/>
            <w:hideMark/>
          </w:tcPr>
          <w:p w14:paraId="47C65A54"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72</w:t>
            </w:r>
          </w:p>
        </w:tc>
        <w:tc>
          <w:tcPr>
            <w:tcW w:w="498" w:type="pct"/>
            <w:tcBorders>
              <w:top w:val="nil"/>
              <w:left w:val="nil"/>
              <w:bottom w:val="nil"/>
              <w:right w:val="nil"/>
            </w:tcBorders>
            <w:shd w:val="clear" w:color="000000" w:fill="FFFFFF"/>
            <w:noWrap/>
            <w:vAlign w:val="bottom"/>
            <w:hideMark/>
          </w:tcPr>
          <w:p w14:paraId="1F8428E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72</w:t>
            </w:r>
          </w:p>
        </w:tc>
        <w:tc>
          <w:tcPr>
            <w:tcW w:w="47" w:type="pct"/>
            <w:tcBorders>
              <w:top w:val="nil"/>
              <w:left w:val="nil"/>
              <w:bottom w:val="nil"/>
              <w:right w:val="nil"/>
            </w:tcBorders>
            <w:shd w:val="clear" w:color="000000" w:fill="FFFFFF"/>
            <w:noWrap/>
            <w:vAlign w:val="bottom"/>
            <w:hideMark/>
          </w:tcPr>
          <w:p w14:paraId="2C20E37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04C3B1D1"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288</w:t>
            </w:r>
          </w:p>
        </w:tc>
      </w:tr>
      <w:tr w:rsidR="00E133F4" w:rsidRPr="0093683C" w14:paraId="3860F157"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46902918" w14:textId="77777777" w:rsidR="00E133F4" w:rsidRPr="00286258" w:rsidRDefault="00E133F4" w:rsidP="00E133F4">
            <w:pPr>
              <w:spacing w:before="0" w:after="0" w:line="240" w:lineRule="auto"/>
              <w:ind w:left="340"/>
              <w:rPr>
                <w:rFonts w:ascii="Arial" w:hAnsi="Arial" w:cs="Arial"/>
                <w:sz w:val="16"/>
                <w:szCs w:val="16"/>
                <w:highlight w:val="darkCyan"/>
              </w:rPr>
            </w:pPr>
            <w:r w:rsidRPr="000D21DA">
              <w:rPr>
                <w:rFonts w:ascii="Arial" w:hAnsi="Arial" w:cs="Arial"/>
                <w:sz w:val="16"/>
                <w:szCs w:val="16"/>
              </w:rPr>
              <w:t>Net other(d)</w:t>
            </w:r>
          </w:p>
        </w:tc>
        <w:tc>
          <w:tcPr>
            <w:tcW w:w="462" w:type="pct"/>
            <w:tcBorders>
              <w:top w:val="nil"/>
              <w:left w:val="nil"/>
              <w:bottom w:val="nil"/>
              <w:right w:val="nil"/>
            </w:tcBorders>
            <w:shd w:val="clear" w:color="000000" w:fill="FFFFFF"/>
            <w:noWrap/>
            <w:vAlign w:val="bottom"/>
            <w:hideMark/>
          </w:tcPr>
          <w:p w14:paraId="2385541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-2,298</w:t>
            </w:r>
          </w:p>
        </w:tc>
        <w:tc>
          <w:tcPr>
            <w:tcW w:w="47" w:type="pct"/>
            <w:tcBorders>
              <w:top w:val="nil"/>
              <w:left w:val="nil"/>
              <w:bottom w:val="nil"/>
              <w:right w:val="nil"/>
            </w:tcBorders>
            <w:shd w:val="clear" w:color="000000" w:fill="FFFFFF"/>
            <w:noWrap/>
            <w:vAlign w:val="bottom"/>
            <w:hideMark/>
          </w:tcPr>
          <w:p w14:paraId="4CF8A09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7934D82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-7,423</w:t>
            </w:r>
          </w:p>
        </w:tc>
        <w:tc>
          <w:tcPr>
            <w:tcW w:w="498" w:type="pct"/>
            <w:tcBorders>
              <w:top w:val="nil"/>
              <w:left w:val="nil"/>
              <w:bottom w:val="nil"/>
              <w:right w:val="nil"/>
            </w:tcBorders>
            <w:shd w:val="clear" w:color="000000" w:fill="FFFFFF"/>
            <w:noWrap/>
            <w:vAlign w:val="bottom"/>
            <w:hideMark/>
          </w:tcPr>
          <w:p w14:paraId="7B564010"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-4,744</w:t>
            </w:r>
          </w:p>
        </w:tc>
        <w:tc>
          <w:tcPr>
            <w:tcW w:w="498" w:type="pct"/>
            <w:tcBorders>
              <w:top w:val="nil"/>
              <w:left w:val="nil"/>
              <w:bottom w:val="nil"/>
              <w:right w:val="nil"/>
            </w:tcBorders>
            <w:shd w:val="clear" w:color="000000" w:fill="FFFFFF"/>
            <w:noWrap/>
            <w:vAlign w:val="bottom"/>
            <w:hideMark/>
          </w:tcPr>
          <w:p w14:paraId="36E4A09F"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-4,112</w:t>
            </w:r>
          </w:p>
        </w:tc>
        <w:tc>
          <w:tcPr>
            <w:tcW w:w="498" w:type="pct"/>
            <w:tcBorders>
              <w:top w:val="nil"/>
              <w:left w:val="nil"/>
              <w:bottom w:val="nil"/>
              <w:right w:val="nil"/>
            </w:tcBorders>
            <w:shd w:val="clear" w:color="000000" w:fill="FFFFFF"/>
            <w:noWrap/>
            <w:vAlign w:val="bottom"/>
            <w:hideMark/>
          </w:tcPr>
          <w:p w14:paraId="7BF2C282"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-4,476</w:t>
            </w:r>
          </w:p>
        </w:tc>
        <w:tc>
          <w:tcPr>
            <w:tcW w:w="47" w:type="pct"/>
            <w:tcBorders>
              <w:top w:val="nil"/>
              <w:left w:val="nil"/>
              <w:bottom w:val="nil"/>
              <w:right w:val="nil"/>
            </w:tcBorders>
            <w:shd w:val="clear" w:color="000000" w:fill="FFFFFF"/>
            <w:noWrap/>
            <w:vAlign w:val="bottom"/>
            <w:hideMark/>
          </w:tcPr>
          <w:p w14:paraId="2B1CF1C2"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073751F" w14:textId="77777777" w:rsidR="00E133F4" w:rsidRPr="000D21DA" w:rsidRDefault="00E133F4" w:rsidP="00E133F4">
            <w:pPr>
              <w:spacing w:before="0" w:after="0" w:line="240" w:lineRule="auto"/>
              <w:jc w:val="right"/>
              <w:rPr>
                <w:rFonts w:ascii="Arial" w:hAnsi="Arial" w:cs="Arial"/>
                <w:sz w:val="16"/>
                <w:szCs w:val="16"/>
              </w:rPr>
            </w:pPr>
            <w:r w:rsidRPr="000D21DA">
              <w:rPr>
                <w:rFonts w:ascii="Arial" w:hAnsi="Arial" w:cs="Arial"/>
                <w:sz w:val="16"/>
                <w:szCs w:val="16"/>
              </w:rPr>
              <w:t>-20,755</w:t>
            </w:r>
          </w:p>
        </w:tc>
      </w:tr>
      <w:tr w:rsidR="00E133F4" w:rsidRPr="0093683C" w14:paraId="3C32F23E"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7A177097"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xml:space="preserve">Total net cash flows from </w:t>
            </w:r>
          </w:p>
        </w:tc>
        <w:tc>
          <w:tcPr>
            <w:tcW w:w="462" w:type="pct"/>
            <w:tcBorders>
              <w:top w:val="nil"/>
              <w:left w:val="nil"/>
              <w:bottom w:val="nil"/>
              <w:right w:val="nil"/>
            </w:tcBorders>
            <w:shd w:val="clear" w:color="000000" w:fill="FFFFFF"/>
            <w:noWrap/>
            <w:vAlign w:val="bottom"/>
            <w:hideMark/>
          </w:tcPr>
          <w:p w14:paraId="704756D3"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7BDAD429"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150A1E4F"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039887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7A34961D"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E6FDDC8"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349C164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630E71DC"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60964E72"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09840EE4"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 xml:space="preserve">investments in financial </w:t>
            </w:r>
          </w:p>
        </w:tc>
        <w:tc>
          <w:tcPr>
            <w:tcW w:w="462" w:type="pct"/>
            <w:tcBorders>
              <w:top w:val="nil"/>
              <w:left w:val="nil"/>
              <w:bottom w:val="nil"/>
              <w:right w:val="nil"/>
            </w:tcBorders>
            <w:shd w:val="clear" w:color="000000" w:fill="FFFFFF"/>
            <w:noWrap/>
            <w:vAlign w:val="bottom"/>
            <w:hideMark/>
          </w:tcPr>
          <w:p w14:paraId="2A3BF68E"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96E6220"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7AB75CD5"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67715734"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022B619A"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554C002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5FAE9C4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48AE44E8"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58D3B1A0"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014C6746"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assets for policy purposes</w:t>
            </w:r>
          </w:p>
        </w:tc>
        <w:tc>
          <w:tcPr>
            <w:tcW w:w="462" w:type="pct"/>
            <w:tcBorders>
              <w:top w:val="nil"/>
              <w:left w:val="nil"/>
              <w:bottom w:val="nil"/>
              <w:right w:val="nil"/>
            </w:tcBorders>
            <w:shd w:val="clear" w:color="000000" w:fill="FFFFFF"/>
            <w:noWrap/>
            <w:vAlign w:val="bottom"/>
            <w:hideMark/>
          </w:tcPr>
          <w:p w14:paraId="6B22A592"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-1,340</w:t>
            </w:r>
          </w:p>
        </w:tc>
        <w:tc>
          <w:tcPr>
            <w:tcW w:w="47" w:type="pct"/>
            <w:tcBorders>
              <w:top w:val="nil"/>
              <w:left w:val="nil"/>
              <w:bottom w:val="nil"/>
              <w:right w:val="nil"/>
            </w:tcBorders>
            <w:shd w:val="clear" w:color="000000" w:fill="FFFFFF"/>
            <w:noWrap/>
            <w:vAlign w:val="bottom"/>
            <w:hideMark/>
          </w:tcPr>
          <w:p w14:paraId="2B36B446"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nil"/>
              <w:right w:val="nil"/>
            </w:tcBorders>
            <w:shd w:val="clear" w:color="000000" w:fill="E6F2FF"/>
            <w:noWrap/>
            <w:vAlign w:val="bottom"/>
            <w:hideMark/>
          </w:tcPr>
          <w:p w14:paraId="6CAEA589"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-12,720</w:t>
            </w:r>
          </w:p>
        </w:tc>
        <w:tc>
          <w:tcPr>
            <w:tcW w:w="498" w:type="pct"/>
            <w:tcBorders>
              <w:top w:val="nil"/>
              <w:left w:val="nil"/>
              <w:bottom w:val="nil"/>
              <w:right w:val="nil"/>
            </w:tcBorders>
            <w:shd w:val="clear" w:color="000000" w:fill="FFFFFF"/>
            <w:noWrap/>
            <w:vAlign w:val="bottom"/>
            <w:hideMark/>
          </w:tcPr>
          <w:p w14:paraId="03117D3F"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-6,679</w:t>
            </w:r>
          </w:p>
        </w:tc>
        <w:tc>
          <w:tcPr>
            <w:tcW w:w="498" w:type="pct"/>
            <w:tcBorders>
              <w:top w:val="nil"/>
              <w:left w:val="nil"/>
              <w:bottom w:val="nil"/>
              <w:right w:val="nil"/>
            </w:tcBorders>
            <w:shd w:val="clear" w:color="000000" w:fill="FFFFFF"/>
            <w:noWrap/>
            <w:vAlign w:val="bottom"/>
            <w:hideMark/>
          </w:tcPr>
          <w:p w14:paraId="50FE92C2"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-13,699</w:t>
            </w:r>
          </w:p>
        </w:tc>
        <w:tc>
          <w:tcPr>
            <w:tcW w:w="498" w:type="pct"/>
            <w:tcBorders>
              <w:top w:val="nil"/>
              <w:left w:val="nil"/>
              <w:bottom w:val="nil"/>
              <w:right w:val="nil"/>
            </w:tcBorders>
            <w:shd w:val="clear" w:color="000000" w:fill="FFFFFF"/>
            <w:noWrap/>
            <w:vAlign w:val="bottom"/>
            <w:hideMark/>
          </w:tcPr>
          <w:p w14:paraId="5150F126"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-14,066</w:t>
            </w:r>
          </w:p>
        </w:tc>
        <w:tc>
          <w:tcPr>
            <w:tcW w:w="47" w:type="pct"/>
            <w:tcBorders>
              <w:top w:val="nil"/>
              <w:left w:val="nil"/>
              <w:bottom w:val="nil"/>
              <w:right w:val="nil"/>
            </w:tcBorders>
            <w:shd w:val="clear" w:color="000000" w:fill="FFFFFF"/>
            <w:noWrap/>
            <w:vAlign w:val="bottom"/>
            <w:hideMark/>
          </w:tcPr>
          <w:p w14:paraId="29401307"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1A26AD51" w14:textId="77777777" w:rsidR="00E133F4" w:rsidRPr="000D21DA" w:rsidRDefault="00E133F4" w:rsidP="00E133F4">
            <w:pPr>
              <w:spacing w:before="0" w:after="0" w:line="240" w:lineRule="auto"/>
              <w:jc w:val="right"/>
              <w:rPr>
                <w:rFonts w:ascii="Arial" w:hAnsi="Arial" w:cs="Arial"/>
                <w:b/>
                <w:sz w:val="16"/>
                <w:szCs w:val="16"/>
              </w:rPr>
            </w:pPr>
            <w:r w:rsidRPr="000D21DA">
              <w:rPr>
                <w:rFonts w:ascii="Arial" w:hAnsi="Arial" w:cs="Arial"/>
                <w:b/>
                <w:sz w:val="16"/>
                <w:szCs w:val="16"/>
              </w:rPr>
              <w:t>-47,165</w:t>
            </w:r>
          </w:p>
        </w:tc>
      </w:tr>
      <w:tr w:rsidR="00E133F4" w:rsidRPr="0093683C" w14:paraId="47B7E2F9" w14:textId="77777777" w:rsidTr="00E133F4">
        <w:trPr>
          <w:trHeight w:hRule="exact" w:val="60"/>
        </w:trPr>
        <w:tc>
          <w:tcPr>
            <w:tcW w:w="1953" w:type="pct"/>
            <w:tcBorders>
              <w:top w:val="nil"/>
              <w:left w:val="nil"/>
              <w:bottom w:val="nil"/>
              <w:right w:val="nil"/>
            </w:tcBorders>
            <w:shd w:val="clear" w:color="000000" w:fill="FFFFFF"/>
            <w:noWrap/>
            <w:vAlign w:val="bottom"/>
            <w:hideMark/>
          </w:tcPr>
          <w:p w14:paraId="4C521F9D"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 </w:t>
            </w:r>
          </w:p>
        </w:tc>
        <w:tc>
          <w:tcPr>
            <w:tcW w:w="462" w:type="pct"/>
            <w:tcBorders>
              <w:top w:val="nil"/>
              <w:left w:val="nil"/>
              <w:bottom w:val="single" w:sz="4" w:space="0" w:color="293F5B"/>
              <w:right w:val="nil"/>
            </w:tcBorders>
            <w:shd w:val="clear" w:color="000000" w:fill="FFFFFF"/>
            <w:noWrap/>
            <w:vAlign w:val="bottom"/>
            <w:hideMark/>
          </w:tcPr>
          <w:p w14:paraId="0593B7BC"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0EFC57C7"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single" w:sz="4" w:space="0" w:color="293F5B"/>
              <w:right w:val="nil"/>
            </w:tcBorders>
            <w:shd w:val="clear" w:color="000000" w:fill="E6F2FF"/>
            <w:noWrap/>
            <w:vAlign w:val="bottom"/>
            <w:hideMark/>
          </w:tcPr>
          <w:p w14:paraId="01C034C7"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single" w:sz="4" w:space="0" w:color="293F5B"/>
              <w:right w:val="nil"/>
            </w:tcBorders>
            <w:shd w:val="clear" w:color="000000" w:fill="FFFFFF"/>
            <w:noWrap/>
            <w:vAlign w:val="bottom"/>
            <w:hideMark/>
          </w:tcPr>
          <w:p w14:paraId="45B574B5"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single" w:sz="4" w:space="0" w:color="293F5B"/>
              <w:right w:val="nil"/>
            </w:tcBorders>
            <w:shd w:val="clear" w:color="000000" w:fill="FFFFFF"/>
            <w:noWrap/>
            <w:vAlign w:val="bottom"/>
            <w:hideMark/>
          </w:tcPr>
          <w:p w14:paraId="5D4B295C"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single" w:sz="4" w:space="0" w:color="293F5B"/>
              <w:right w:val="nil"/>
            </w:tcBorders>
            <w:shd w:val="clear" w:color="000000" w:fill="FFFFFF"/>
            <w:noWrap/>
            <w:vAlign w:val="bottom"/>
            <w:hideMark/>
          </w:tcPr>
          <w:p w14:paraId="277E8497"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7" w:type="pct"/>
            <w:tcBorders>
              <w:top w:val="nil"/>
              <w:left w:val="nil"/>
              <w:bottom w:val="nil"/>
              <w:right w:val="nil"/>
            </w:tcBorders>
            <w:shd w:val="clear" w:color="000000" w:fill="FFFFFF"/>
            <w:noWrap/>
            <w:vAlign w:val="bottom"/>
            <w:hideMark/>
          </w:tcPr>
          <w:p w14:paraId="3BB16A59"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single" w:sz="4" w:space="0" w:color="293F5B"/>
              <w:right w:val="nil"/>
            </w:tcBorders>
            <w:shd w:val="clear" w:color="000000" w:fill="FFFFFF"/>
            <w:noWrap/>
            <w:vAlign w:val="bottom"/>
            <w:hideMark/>
          </w:tcPr>
          <w:p w14:paraId="2049BBD7" w14:textId="77777777" w:rsidR="00E133F4" w:rsidRPr="000D21DA" w:rsidRDefault="00E133F4" w:rsidP="00E133F4">
            <w:pPr>
              <w:spacing w:before="0" w:after="0" w:line="240" w:lineRule="auto"/>
              <w:rPr>
                <w:rFonts w:ascii="Arial" w:hAnsi="Arial" w:cs="Arial"/>
                <w:b/>
                <w:sz w:val="16"/>
                <w:szCs w:val="16"/>
              </w:rPr>
            </w:pPr>
            <w:r w:rsidRPr="000D21DA">
              <w:rPr>
                <w:rFonts w:ascii="Arial" w:hAnsi="Arial" w:cs="Arial"/>
                <w:b/>
                <w:sz w:val="16"/>
                <w:szCs w:val="16"/>
              </w:rPr>
              <w:t> </w:t>
            </w:r>
          </w:p>
        </w:tc>
      </w:tr>
      <w:tr w:rsidR="00E133F4" w:rsidRPr="0093683C" w14:paraId="0885FE91" w14:textId="77777777" w:rsidTr="00E133F4">
        <w:trPr>
          <w:trHeight w:hRule="exact" w:val="225"/>
        </w:trPr>
        <w:tc>
          <w:tcPr>
            <w:tcW w:w="1953" w:type="pct"/>
            <w:tcBorders>
              <w:top w:val="nil"/>
              <w:left w:val="nil"/>
              <w:bottom w:val="nil"/>
              <w:right w:val="nil"/>
            </w:tcBorders>
            <w:shd w:val="clear" w:color="000000" w:fill="FFFFFF"/>
            <w:noWrap/>
            <w:vAlign w:val="bottom"/>
            <w:hideMark/>
          </w:tcPr>
          <w:p w14:paraId="748B4950"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2022-23 October Budget headline</w:t>
            </w:r>
          </w:p>
        </w:tc>
        <w:tc>
          <w:tcPr>
            <w:tcW w:w="462" w:type="pct"/>
            <w:tcBorders>
              <w:top w:val="single" w:sz="4" w:space="0" w:color="293F5B"/>
              <w:left w:val="nil"/>
              <w:bottom w:val="nil"/>
              <w:right w:val="nil"/>
            </w:tcBorders>
            <w:shd w:val="clear" w:color="000000" w:fill="FFFFFF"/>
            <w:noWrap/>
            <w:vAlign w:val="bottom"/>
            <w:hideMark/>
          </w:tcPr>
          <w:p w14:paraId="1E88809E"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75BAFF4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E6F2FF"/>
            <w:noWrap/>
            <w:vAlign w:val="bottom"/>
            <w:hideMark/>
          </w:tcPr>
          <w:p w14:paraId="21E0CE8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48606C5C"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3629D24D"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98" w:type="pct"/>
            <w:tcBorders>
              <w:top w:val="nil"/>
              <w:left w:val="nil"/>
              <w:bottom w:val="nil"/>
              <w:right w:val="nil"/>
            </w:tcBorders>
            <w:shd w:val="clear" w:color="000000" w:fill="FFFFFF"/>
            <w:noWrap/>
            <w:vAlign w:val="bottom"/>
            <w:hideMark/>
          </w:tcPr>
          <w:p w14:paraId="7D759562" w14:textId="77777777" w:rsidR="00E133F4" w:rsidRPr="00286258" w:rsidRDefault="00E133F4" w:rsidP="00E133F4">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7" w:type="pct"/>
            <w:tcBorders>
              <w:top w:val="nil"/>
              <w:left w:val="nil"/>
              <w:bottom w:val="nil"/>
              <w:right w:val="nil"/>
            </w:tcBorders>
            <w:shd w:val="clear" w:color="000000" w:fill="FFFFFF"/>
            <w:noWrap/>
            <w:vAlign w:val="bottom"/>
            <w:hideMark/>
          </w:tcPr>
          <w:p w14:paraId="22F0C066"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nil"/>
              <w:right w:val="nil"/>
            </w:tcBorders>
            <w:shd w:val="clear" w:color="000000" w:fill="FFFFFF"/>
            <w:noWrap/>
            <w:vAlign w:val="bottom"/>
            <w:hideMark/>
          </w:tcPr>
          <w:p w14:paraId="0911BCD5" w14:textId="77777777" w:rsidR="00E133F4" w:rsidRPr="000D21DA" w:rsidRDefault="00E133F4" w:rsidP="00E133F4">
            <w:pPr>
              <w:spacing w:before="0" w:after="0" w:line="240" w:lineRule="auto"/>
              <w:rPr>
                <w:rFonts w:ascii="Arial" w:hAnsi="Arial" w:cs="Arial"/>
                <w:sz w:val="16"/>
                <w:szCs w:val="16"/>
              </w:rPr>
            </w:pPr>
            <w:r w:rsidRPr="000D21DA">
              <w:rPr>
                <w:rFonts w:ascii="Arial" w:hAnsi="Arial" w:cs="Arial"/>
                <w:sz w:val="16"/>
                <w:szCs w:val="16"/>
              </w:rPr>
              <w:t> </w:t>
            </w:r>
          </w:p>
        </w:tc>
      </w:tr>
      <w:tr w:rsidR="00E133F4" w:rsidRPr="0093683C" w14:paraId="3E4CB018" w14:textId="77777777" w:rsidTr="00E133F4">
        <w:trPr>
          <w:trHeight w:hRule="exact" w:val="225"/>
        </w:trPr>
        <w:tc>
          <w:tcPr>
            <w:tcW w:w="1953" w:type="pct"/>
            <w:tcBorders>
              <w:top w:val="nil"/>
              <w:left w:val="nil"/>
              <w:bottom w:val="single" w:sz="4" w:space="0" w:color="293F5B"/>
              <w:right w:val="nil"/>
            </w:tcBorders>
            <w:shd w:val="clear" w:color="000000" w:fill="FFFFFF"/>
            <w:noWrap/>
            <w:vAlign w:val="bottom"/>
            <w:hideMark/>
          </w:tcPr>
          <w:p w14:paraId="1783A338" w14:textId="77777777" w:rsidR="00E133F4" w:rsidRPr="00286258" w:rsidRDefault="00E133F4" w:rsidP="00E133F4">
            <w:pPr>
              <w:spacing w:before="0" w:after="0" w:line="240" w:lineRule="auto"/>
              <w:ind w:left="170"/>
              <w:rPr>
                <w:rFonts w:ascii="Arial" w:hAnsi="Arial" w:cs="Arial"/>
                <w:b/>
                <w:sz w:val="16"/>
                <w:szCs w:val="16"/>
                <w:highlight w:val="darkCyan"/>
              </w:rPr>
            </w:pPr>
            <w:r w:rsidRPr="000D21DA">
              <w:rPr>
                <w:rFonts w:ascii="Arial" w:hAnsi="Arial" w:cs="Arial"/>
                <w:b/>
                <w:sz w:val="16"/>
                <w:szCs w:val="16"/>
              </w:rPr>
              <w:t>cash balance</w:t>
            </w:r>
          </w:p>
        </w:tc>
        <w:tc>
          <w:tcPr>
            <w:tcW w:w="462" w:type="pct"/>
            <w:tcBorders>
              <w:top w:val="nil"/>
              <w:left w:val="nil"/>
              <w:bottom w:val="single" w:sz="4" w:space="0" w:color="293F5B"/>
              <w:right w:val="nil"/>
            </w:tcBorders>
            <w:shd w:val="clear" w:color="000000" w:fill="FFFFFF"/>
            <w:noWrap/>
            <w:vAlign w:val="bottom"/>
            <w:hideMark/>
          </w:tcPr>
          <w:p w14:paraId="30196B12"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-33,302</w:t>
            </w:r>
          </w:p>
        </w:tc>
        <w:tc>
          <w:tcPr>
            <w:tcW w:w="47" w:type="pct"/>
            <w:tcBorders>
              <w:top w:val="nil"/>
              <w:left w:val="nil"/>
              <w:bottom w:val="single" w:sz="4" w:space="0" w:color="293F5B"/>
              <w:right w:val="nil"/>
            </w:tcBorders>
            <w:shd w:val="clear" w:color="000000" w:fill="FFFFFF"/>
            <w:noWrap/>
            <w:vAlign w:val="bottom"/>
            <w:hideMark/>
          </w:tcPr>
          <w:p w14:paraId="5A2D4F34" w14:textId="77777777" w:rsidR="00E133F4" w:rsidRPr="00286258" w:rsidRDefault="00E133F4" w:rsidP="00E133F4">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98" w:type="pct"/>
            <w:tcBorders>
              <w:top w:val="nil"/>
              <w:left w:val="nil"/>
              <w:bottom w:val="single" w:sz="4" w:space="0" w:color="293F5B"/>
              <w:right w:val="nil"/>
            </w:tcBorders>
            <w:shd w:val="clear" w:color="000000" w:fill="E6F2FF"/>
            <w:noWrap/>
            <w:vAlign w:val="bottom"/>
            <w:hideMark/>
          </w:tcPr>
          <w:p w14:paraId="17446A8A"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-49,572</w:t>
            </w:r>
          </w:p>
        </w:tc>
        <w:tc>
          <w:tcPr>
            <w:tcW w:w="498" w:type="pct"/>
            <w:tcBorders>
              <w:top w:val="nil"/>
              <w:left w:val="nil"/>
              <w:bottom w:val="single" w:sz="4" w:space="0" w:color="293F5B"/>
              <w:right w:val="nil"/>
            </w:tcBorders>
            <w:shd w:val="clear" w:color="000000" w:fill="FFFFFF"/>
            <w:noWrap/>
            <w:vAlign w:val="bottom"/>
            <w:hideMark/>
          </w:tcPr>
          <w:p w14:paraId="36B7F225"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-50,727</w:t>
            </w:r>
          </w:p>
        </w:tc>
        <w:tc>
          <w:tcPr>
            <w:tcW w:w="498" w:type="pct"/>
            <w:tcBorders>
              <w:top w:val="nil"/>
              <w:left w:val="nil"/>
              <w:bottom w:val="single" w:sz="4" w:space="0" w:color="293F5B"/>
              <w:right w:val="nil"/>
            </w:tcBorders>
            <w:shd w:val="clear" w:color="000000" w:fill="FFFFFF"/>
            <w:noWrap/>
            <w:vAlign w:val="bottom"/>
            <w:hideMark/>
          </w:tcPr>
          <w:p w14:paraId="49D15041"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-65,046</w:t>
            </w:r>
          </w:p>
        </w:tc>
        <w:tc>
          <w:tcPr>
            <w:tcW w:w="498" w:type="pct"/>
            <w:tcBorders>
              <w:top w:val="nil"/>
              <w:left w:val="nil"/>
              <w:bottom w:val="single" w:sz="4" w:space="0" w:color="293F5B"/>
              <w:right w:val="nil"/>
            </w:tcBorders>
            <w:shd w:val="clear" w:color="000000" w:fill="FFFFFF"/>
            <w:noWrap/>
            <w:vAlign w:val="bottom"/>
            <w:hideMark/>
          </w:tcPr>
          <w:p w14:paraId="7E00AD25" w14:textId="77777777" w:rsidR="00E133F4" w:rsidRPr="00286258" w:rsidRDefault="00E133F4" w:rsidP="00E133F4">
            <w:pPr>
              <w:spacing w:before="0" w:after="0" w:line="240" w:lineRule="auto"/>
              <w:jc w:val="right"/>
              <w:rPr>
                <w:rFonts w:ascii="Arial" w:hAnsi="Arial" w:cs="Arial"/>
                <w:b/>
                <w:sz w:val="16"/>
                <w:szCs w:val="16"/>
                <w:highlight w:val="darkCyan"/>
              </w:rPr>
            </w:pPr>
            <w:r w:rsidRPr="000D21DA">
              <w:rPr>
                <w:rFonts w:ascii="Arial" w:hAnsi="Arial" w:cs="Arial"/>
                <w:b/>
                <w:sz w:val="16"/>
                <w:szCs w:val="16"/>
              </w:rPr>
              <w:t>-63,627</w:t>
            </w:r>
          </w:p>
        </w:tc>
        <w:tc>
          <w:tcPr>
            <w:tcW w:w="47" w:type="pct"/>
            <w:tcBorders>
              <w:top w:val="nil"/>
              <w:left w:val="nil"/>
              <w:bottom w:val="single" w:sz="4" w:space="0" w:color="293F5B"/>
              <w:right w:val="nil"/>
            </w:tcBorders>
            <w:shd w:val="clear" w:color="000000" w:fill="FFFFFF"/>
            <w:noWrap/>
            <w:vAlign w:val="bottom"/>
            <w:hideMark/>
          </w:tcPr>
          <w:p w14:paraId="7AFF54FB" w14:textId="77777777" w:rsidR="00E133F4" w:rsidRPr="00286258" w:rsidRDefault="00E133F4" w:rsidP="00E133F4">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99" w:type="pct"/>
            <w:tcBorders>
              <w:top w:val="nil"/>
              <w:left w:val="nil"/>
              <w:bottom w:val="single" w:sz="4" w:space="0" w:color="293F5B"/>
              <w:right w:val="nil"/>
            </w:tcBorders>
            <w:shd w:val="clear" w:color="000000" w:fill="FFFFFF"/>
            <w:noWrap/>
            <w:vAlign w:val="bottom"/>
            <w:hideMark/>
          </w:tcPr>
          <w:p w14:paraId="306C1ACB" w14:textId="77777777" w:rsidR="00E133F4" w:rsidRPr="000D21DA" w:rsidRDefault="00E133F4" w:rsidP="00E133F4">
            <w:pPr>
              <w:spacing w:before="0" w:after="0" w:line="240" w:lineRule="auto"/>
              <w:jc w:val="right"/>
              <w:rPr>
                <w:rFonts w:ascii="Arial" w:hAnsi="Arial" w:cs="Arial"/>
                <w:b/>
                <w:sz w:val="16"/>
                <w:szCs w:val="16"/>
              </w:rPr>
            </w:pPr>
            <w:r w:rsidRPr="000D21DA">
              <w:rPr>
                <w:rFonts w:ascii="Arial" w:hAnsi="Arial" w:cs="Arial"/>
                <w:b/>
                <w:sz w:val="16"/>
                <w:szCs w:val="16"/>
              </w:rPr>
              <w:t>-228,972</w:t>
            </w:r>
          </w:p>
        </w:tc>
      </w:tr>
    </w:tbl>
    <w:p w14:paraId="1F0C5419" w14:textId="7C31103B" w:rsidR="00726AAB" w:rsidRPr="0064089C" w:rsidRDefault="00726AAB" w:rsidP="000D7551">
      <w:pPr>
        <w:pStyle w:val="ChartandTableFootnoteAlpha"/>
        <w:numPr>
          <w:ilvl w:val="0"/>
          <w:numId w:val="45"/>
        </w:numPr>
      </w:pPr>
      <w:r w:rsidRPr="0093683C">
        <w:rPr>
          <w:color w:val="auto"/>
        </w:rPr>
        <w:t>Total is equal to the sum of amounts from 2022</w:t>
      </w:r>
      <w:r w:rsidR="00B9531B" w:rsidRPr="0093683C">
        <w:rPr>
          <w:color w:val="auto"/>
        </w:rPr>
        <w:t>–</w:t>
      </w:r>
      <w:r w:rsidRPr="0093683C">
        <w:rPr>
          <w:color w:val="auto"/>
        </w:rPr>
        <w:t>23 to 2025</w:t>
      </w:r>
      <w:r w:rsidR="00B9531B" w:rsidRPr="0093683C">
        <w:rPr>
          <w:color w:val="auto"/>
        </w:rPr>
        <w:t>–</w:t>
      </w:r>
      <w:r w:rsidRPr="0093683C">
        <w:rPr>
          <w:color w:val="auto"/>
        </w:rPr>
        <w:t>26.</w:t>
      </w:r>
    </w:p>
    <w:p w14:paraId="37031295" w14:textId="77777777" w:rsidR="007D0AC6" w:rsidRPr="0093683C" w:rsidRDefault="003A1664" w:rsidP="000B1675">
      <w:pPr>
        <w:pStyle w:val="ChartandTableFootnoteAlpha"/>
        <w:rPr>
          <w:color w:val="auto"/>
        </w:rPr>
      </w:pPr>
      <w:r w:rsidRPr="0093683C">
        <w:rPr>
          <w:color w:val="auto"/>
        </w:rPr>
        <w:t>A positive number denotes a cash inflow, a negative number denotes a cash outflow.</w:t>
      </w:r>
    </w:p>
    <w:p w14:paraId="0BECAD42" w14:textId="04BAE76D" w:rsidR="00FA749B" w:rsidRPr="0093683C" w:rsidRDefault="00726AAB" w:rsidP="000B1675">
      <w:pPr>
        <w:pStyle w:val="ChartandTableFootnoteAlpha"/>
        <w:rPr>
          <w:color w:val="auto"/>
        </w:rPr>
      </w:pPr>
      <w:r w:rsidRPr="0093683C">
        <w:rPr>
          <w:color w:val="auto"/>
        </w:rPr>
        <w:t>This financial profile represents the actual repayments for 2021</w:t>
      </w:r>
      <w:r w:rsidR="00B9531B" w:rsidRPr="0093683C">
        <w:rPr>
          <w:color w:val="auto"/>
        </w:rPr>
        <w:t>–</w:t>
      </w:r>
      <w:r w:rsidRPr="0093683C">
        <w:rPr>
          <w:color w:val="auto"/>
        </w:rPr>
        <w:t>22</w:t>
      </w:r>
      <w:r w:rsidR="00046414" w:rsidRPr="0093683C">
        <w:rPr>
          <w:color w:val="auto"/>
        </w:rPr>
        <w:t xml:space="preserve"> and 2022</w:t>
      </w:r>
      <w:r w:rsidR="005E3EBA">
        <w:rPr>
          <w:color w:val="auto"/>
        </w:rPr>
        <w:t>–</w:t>
      </w:r>
      <w:r w:rsidR="00046414" w:rsidRPr="0093683C">
        <w:rPr>
          <w:color w:val="auto"/>
        </w:rPr>
        <w:t>23</w:t>
      </w:r>
      <w:r w:rsidRPr="0093683C">
        <w:rPr>
          <w:color w:val="auto"/>
        </w:rPr>
        <w:t>. As loan agreement between the Government and NBN Co allows some flexibility in relation to the timing of the repayment, the remaining amount is included in 2023</w:t>
      </w:r>
      <w:r w:rsidR="00B9531B" w:rsidRPr="0093683C">
        <w:rPr>
          <w:color w:val="auto"/>
        </w:rPr>
        <w:t>–</w:t>
      </w:r>
      <w:r w:rsidRPr="0093683C">
        <w:rPr>
          <w:color w:val="auto"/>
        </w:rPr>
        <w:t>24.</w:t>
      </w:r>
    </w:p>
    <w:p w14:paraId="11BF6943" w14:textId="2CF21C06" w:rsidR="00726AAB" w:rsidRPr="0093683C" w:rsidRDefault="00726AAB" w:rsidP="000B1675">
      <w:pPr>
        <w:pStyle w:val="ChartandTableFootnoteAlpha"/>
        <w:rPr>
          <w:color w:val="auto"/>
        </w:rPr>
      </w:pPr>
      <w:r w:rsidRPr="0093683C">
        <w:rPr>
          <w:color w:val="auto"/>
        </w:rPr>
        <w:t xml:space="preserve"> </w:t>
      </w:r>
      <w:r w:rsidR="00FA749B" w:rsidRPr="0093683C">
        <w:rPr>
          <w:color w:val="auto"/>
        </w:rPr>
        <w:t>Net other includes amounts that that have not been itemised for commercial in confidence reasons.</w:t>
      </w:r>
    </w:p>
    <w:p w14:paraId="7735F03A" w14:textId="77777777" w:rsidR="00B3694A" w:rsidRPr="0093683C" w:rsidRDefault="00B3694A" w:rsidP="00B3694A">
      <w:pPr>
        <w:pStyle w:val="ChartLine"/>
      </w:pPr>
    </w:p>
    <w:p w14:paraId="6B4DC672" w14:textId="798CF180" w:rsidR="00570F2D" w:rsidRPr="00F36ADA" w:rsidRDefault="00570F2D">
      <w:pPr>
        <w:spacing w:before="0" w:after="160" w:line="259" w:lineRule="auto"/>
        <w:rPr>
          <w:rFonts w:ascii="Arial" w:hAnsi="Arial"/>
          <w:color w:val="FF0000"/>
          <w:sz w:val="16"/>
        </w:rPr>
      </w:pPr>
      <w:r w:rsidRPr="00F36ADA">
        <w:rPr>
          <w:color w:val="FF0000"/>
        </w:rPr>
        <w:br w:type="page"/>
      </w:r>
    </w:p>
    <w:p w14:paraId="21C2FA7A" w14:textId="343893DA" w:rsidR="00640BA5" w:rsidRPr="0093683C" w:rsidRDefault="00640BA5" w:rsidP="00B3694A">
      <w:pPr>
        <w:pStyle w:val="Heading2"/>
      </w:pPr>
      <w:bookmarkStart w:id="8" w:name="_Toc117356563"/>
      <w:r w:rsidRPr="0093683C">
        <w:lastRenderedPageBreak/>
        <w:t>The Government’s balance sheet</w:t>
      </w:r>
      <w:bookmarkEnd w:id="8"/>
    </w:p>
    <w:p w14:paraId="500FE5EC" w14:textId="77777777" w:rsidR="000A00A9" w:rsidRPr="0093683C" w:rsidRDefault="00640BA5" w:rsidP="0064089C">
      <w:r w:rsidRPr="0093683C">
        <w:t xml:space="preserve">The balance sheet measures the </w:t>
      </w:r>
      <w:r w:rsidRPr="0064089C">
        <w:t>value</w:t>
      </w:r>
      <w:r w:rsidRPr="0093683C">
        <w:t xml:space="preserve"> of the Government’s assets and liabilities</w:t>
      </w:r>
      <w:r w:rsidR="00480503" w:rsidRPr="0093683C">
        <w:t xml:space="preserve">. </w:t>
      </w:r>
      <w:r w:rsidR="000A00A9" w:rsidRPr="0093683C">
        <w:t xml:space="preserve">Changes in the balance sheet reflect movements in the underlying cash balance, additional balance sheet commitments, and market valuation effects including from higher yields. </w:t>
      </w:r>
    </w:p>
    <w:p w14:paraId="0CF47324" w14:textId="77777777" w:rsidR="00640BA5" w:rsidRPr="0093683C" w:rsidRDefault="00640BA5" w:rsidP="00640BA5">
      <w:r w:rsidRPr="0093683C">
        <w:t xml:space="preserve">Different balance sheet metrics measure different groupings of assets and liabilities. </w:t>
      </w:r>
    </w:p>
    <w:p w14:paraId="18F1EED8" w14:textId="77777777" w:rsidR="00640BA5" w:rsidRPr="0093683C" w:rsidRDefault="00640BA5" w:rsidP="00A67C56">
      <w:pPr>
        <w:pStyle w:val="Bullet"/>
        <w:numPr>
          <w:ilvl w:val="0"/>
          <w:numId w:val="5"/>
        </w:numPr>
      </w:pPr>
      <w:r w:rsidRPr="0093683C">
        <w:rPr>
          <w:b/>
        </w:rPr>
        <w:t>Gross debt</w:t>
      </w:r>
      <w:r w:rsidRPr="0093683C">
        <w:t xml:space="preserve"> measures the face value of Australian Government Securities (AGS) on issue. This is the amount that the Government pays back to investors at maturity, independent of fluctuations in market prices. </w:t>
      </w:r>
    </w:p>
    <w:p w14:paraId="146481E1" w14:textId="77777777" w:rsidR="00640BA5" w:rsidRPr="0093683C" w:rsidRDefault="00640BA5" w:rsidP="00A67C56">
      <w:pPr>
        <w:pStyle w:val="Bullet"/>
        <w:numPr>
          <w:ilvl w:val="0"/>
          <w:numId w:val="5"/>
        </w:numPr>
        <w:rPr>
          <w:b/>
        </w:rPr>
      </w:pPr>
      <w:r w:rsidRPr="0093683C">
        <w:rPr>
          <w:b/>
        </w:rPr>
        <w:t>Net debt</w:t>
      </w:r>
      <w:r w:rsidRPr="0093683C">
        <w:t xml:space="preserve"> is measured at market value and incorporates specific financial assets and liabilities and provides a broader measure of the financial obligations of the Government than gross debt.</w:t>
      </w:r>
    </w:p>
    <w:p w14:paraId="6ED74B0F" w14:textId="77777777" w:rsidR="00640BA5" w:rsidRPr="0093683C" w:rsidRDefault="00640BA5" w:rsidP="00A67C56">
      <w:pPr>
        <w:pStyle w:val="Bullet"/>
        <w:numPr>
          <w:ilvl w:val="0"/>
          <w:numId w:val="5"/>
        </w:numPr>
      </w:pPr>
      <w:r w:rsidRPr="0093683C">
        <w:rPr>
          <w:b/>
        </w:rPr>
        <w:t>Net financial worth</w:t>
      </w:r>
      <w:r w:rsidRPr="0093683C">
        <w:t xml:space="preserve"> includes all classes of financial assets and all liabilities, only some of which are included in net debt. Both the assets of the Future Fund and the public sector superannuation liability that the Future Fund seeks to finance are included in net financial worth.</w:t>
      </w:r>
    </w:p>
    <w:p w14:paraId="546772BD" w14:textId="77777777" w:rsidR="00640BA5" w:rsidRPr="0093683C" w:rsidRDefault="00640BA5" w:rsidP="00A67C56">
      <w:pPr>
        <w:pStyle w:val="Bullet"/>
        <w:numPr>
          <w:ilvl w:val="0"/>
          <w:numId w:val="5"/>
        </w:numPr>
      </w:pPr>
      <w:r w:rsidRPr="0093683C">
        <w:rPr>
          <w:b/>
          <w:lang w:eastAsia="en-US"/>
        </w:rPr>
        <w:t>Net worth</w:t>
      </w:r>
      <w:r w:rsidRPr="0093683C">
        <w:rPr>
          <w:lang w:eastAsia="en-US"/>
        </w:rPr>
        <w:t xml:space="preserve"> is the sum of all assets less all liabilities. It includes non–financial assets such as buildings and plant, equipment, and infrastructure.</w:t>
      </w:r>
    </w:p>
    <w:p w14:paraId="1FA992E8" w14:textId="77777777" w:rsidR="00640BA5" w:rsidRPr="0093683C" w:rsidRDefault="00640BA5" w:rsidP="00640BA5">
      <w:r w:rsidRPr="0093683C">
        <w:t xml:space="preserve">Further information on definitions is available in </w:t>
      </w:r>
      <w:r w:rsidRPr="0093683C">
        <w:rPr>
          <w:i/>
        </w:rPr>
        <w:t>Statement</w:t>
      </w:r>
      <w:r w:rsidRPr="0093683C">
        <w:t xml:space="preserve"> </w:t>
      </w:r>
      <w:r w:rsidR="00CD484E" w:rsidRPr="0093683C">
        <w:rPr>
          <w:i/>
        </w:rPr>
        <w:t>10</w:t>
      </w:r>
      <w:r w:rsidRPr="0093683C">
        <w:rPr>
          <w:i/>
        </w:rPr>
        <w:t>:</w:t>
      </w:r>
      <w:r w:rsidRPr="0093683C">
        <w:t xml:space="preserve"> </w:t>
      </w:r>
      <w:r w:rsidRPr="0093683C">
        <w:rPr>
          <w:i/>
        </w:rPr>
        <w:t>Australian Government Budget Financial Statements</w:t>
      </w:r>
      <w:r w:rsidRPr="0093683C">
        <w:t xml:space="preserve">. </w:t>
      </w:r>
    </w:p>
    <w:p w14:paraId="47758461" w14:textId="77777777" w:rsidR="00640BA5" w:rsidRPr="0093683C" w:rsidRDefault="00640BA5" w:rsidP="00791645">
      <w:pPr>
        <w:pStyle w:val="Heading3"/>
      </w:pPr>
      <w:bookmarkStart w:id="9" w:name="_Toc117356564"/>
      <w:r w:rsidRPr="0093683C">
        <w:t>Gross debt estimates and projections</w:t>
      </w:r>
      <w:bookmarkEnd w:id="9"/>
    </w:p>
    <w:p w14:paraId="02645CA0" w14:textId="77777777" w:rsidR="00640BA5" w:rsidRPr="0093683C" w:rsidRDefault="00366F2D" w:rsidP="0064089C">
      <w:r w:rsidRPr="0093683C">
        <w:t xml:space="preserve">Gross debt is estimated to be </w:t>
      </w:r>
      <w:r w:rsidR="006729A3" w:rsidRPr="0093683C">
        <w:t>37.3</w:t>
      </w:r>
      <w:r w:rsidRPr="0093683C">
        <w:t xml:space="preserve"> per cent of GDP ($</w:t>
      </w:r>
      <w:r w:rsidR="004867A8" w:rsidRPr="0093683C">
        <w:t>92</w:t>
      </w:r>
      <w:r w:rsidR="00CC759C" w:rsidRPr="0093683C">
        <w:t>7.0</w:t>
      </w:r>
      <w:r w:rsidRPr="0093683C">
        <w:t xml:space="preserve"> billion) </w:t>
      </w:r>
      <w:proofErr w:type="gramStart"/>
      <w:r w:rsidRPr="0093683C">
        <w:t>at</w:t>
      </w:r>
      <w:proofErr w:type="gramEnd"/>
      <w:r w:rsidRPr="0093683C">
        <w:t xml:space="preserve"> 30 June 2023</w:t>
      </w:r>
      <w:r w:rsidR="00C61820" w:rsidRPr="0093683C">
        <w:t>,</w:t>
      </w:r>
      <w:r w:rsidRPr="0093683C">
        <w:t xml:space="preserve"> lower than the estimate of </w:t>
      </w:r>
      <w:r w:rsidR="00624B58" w:rsidRPr="0093683C">
        <w:t>42.5</w:t>
      </w:r>
      <w:r w:rsidRPr="0093683C">
        <w:t> per cent of GDP ($</w:t>
      </w:r>
      <w:r w:rsidR="007B1BA4" w:rsidRPr="0093683C">
        <w:t>977.0</w:t>
      </w:r>
      <w:r w:rsidRPr="0093683C">
        <w:t xml:space="preserve"> billion) at PEFO. </w:t>
      </w:r>
      <w:r w:rsidR="00C5160E" w:rsidRPr="0093683C">
        <w:t xml:space="preserve">This </w:t>
      </w:r>
      <w:r w:rsidR="00D17BC1" w:rsidRPr="0093683C">
        <w:t>primarily</w:t>
      </w:r>
      <w:r w:rsidR="00C5160E" w:rsidRPr="0093683C">
        <w:t xml:space="preserve"> reflects improvements in the underlying cash balance</w:t>
      </w:r>
      <w:r w:rsidR="00425068" w:rsidRPr="0093683C">
        <w:t>.</w:t>
      </w:r>
      <w:r w:rsidR="00D27511" w:rsidRPr="0093683C">
        <w:t xml:space="preserve"> </w:t>
      </w:r>
      <w:r w:rsidR="007338E0" w:rsidRPr="0093683C">
        <w:t>Gross</w:t>
      </w:r>
      <w:r w:rsidR="00224C83" w:rsidRPr="0093683C">
        <w:t xml:space="preserve"> debt remains lower than</w:t>
      </w:r>
      <w:r w:rsidR="00EF7570" w:rsidRPr="0093683C">
        <w:t xml:space="preserve"> </w:t>
      </w:r>
      <w:r w:rsidR="001D3E1F" w:rsidRPr="0093683C">
        <w:t xml:space="preserve">at PEFO across </w:t>
      </w:r>
      <w:r w:rsidR="00332B7C" w:rsidRPr="0093683C">
        <w:t>each year of the forward estimates.</w:t>
      </w:r>
    </w:p>
    <w:p w14:paraId="5F42225E" w14:textId="4E64E3C8" w:rsidR="005654C3" w:rsidRPr="0093683C" w:rsidRDefault="005654C3" w:rsidP="00791645">
      <w:r w:rsidRPr="0093683C">
        <w:t xml:space="preserve">While gross debt is estimated to be </w:t>
      </w:r>
      <w:r w:rsidR="00096987" w:rsidRPr="0093683C">
        <w:t>$</w:t>
      </w:r>
      <w:r w:rsidR="003331E8" w:rsidRPr="0093683C">
        <w:t>52</w:t>
      </w:r>
      <w:r w:rsidR="00852124" w:rsidRPr="0093683C">
        <w:t xml:space="preserve">.0 billion lower </w:t>
      </w:r>
      <w:r w:rsidR="004A3E51" w:rsidRPr="0093683C">
        <w:t>by the end of</w:t>
      </w:r>
      <w:r w:rsidR="00BA1365">
        <w:t xml:space="preserve"> </w:t>
      </w:r>
      <w:r w:rsidR="00852124" w:rsidRPr="0093683C">
        <w:t>2023</w:t>
      </w:r>
      <w:r w:rsidR="005E3EBA">
        <w:t>–</w:t>
      </w:r>
      <w:r w:rsidR="00852124" w:rsidRPr="0093683C">
        <w:t>24 it is still expected to exceed $1.0 trillion in that year, in the same year as PEFO.</w:t>
      </w:r>
    </w:p>
    <w:p w14:paraId="072D4B7E" w14:textId="4BE1E5C5" w:rsidR="00425068" w:rsidRPr="0064089C" w:rsidRDefault="00C5160E" w:rsidP="0064089C">
      <w:r w:rsidRPr="0064089C">
        <w:t xml:space="preserve">Gross debt </w:t>
      </w:r>
      <w:r w:rsidR="00EE5713" w:rsidRPr="0064089C">
        <w:t xml:space="preserve">is projected to stabilise at </w:t>
      </w:r>
      <w:r w:rsidR="00B01955" w:rsidRPr="0064089C">
        <w:t>46.9</w:t>
      </w:r>
      <w:r w:rsidRPr="0064089C">
        <w:t xml:space="preserve"> per cent of GDP </w:t>
      </w:r>
      <w:r w:rsidR="00EE5713" w:rsidRPr="0064089C">
        <w:t>in the last 3 years of the medium term</w:t>
      </w:r>
      <w:r w:rsidR="00525EAE" w:rsidRPr="0064089C">
        <w:t xml:space="preserve"> </w:t>
      </w:r>
      <w:r w:rsidRPr="0064089C">
        <w:t>(Chart 3.1</w:t>
      </w:r>
      <w:r w:rsidR="008B7B3B" w:rsidRPr="0064089C">
        <w:t>4</w:t>
      </w:r>
      <w:r w:rsidRPr="0064089C">
        <w:t xml:space="preserve">). </w:t>
      </w:r>
      <w:r w:rsidR="005E0C97" w:rsidRPr="0064089C">
        <w:t>By the end of the medium term, gross debt</w:t>
      </w:r>
      <w:r w:rsidRPr="0064089C" w:rsidDel="005E0C97">
        <w:t xml:space="preserve"> </w:t>
      </w:r>
      <w:r w:rsidR="0058472D" w:rsidRPr="0064089C">
        <w:t xml:space="preserve">is </w:t>
      </w:r>
      <w:r w:rsidR="00E70949" w:rsidRPr="0064089C">
        <w:t>6.</w:t>
      </w:r>
      <w:r w:rsidR="004D71CC" w:rsidRPr="0064089C">
        <w:t>7</w:t>
      </w:r>
      <w:r w:rsidR="0058472D" w:rsidRPr="0064089C">
        <w:t xml:space="preserve"> percentage points higher than </w:t>
      </w:r>
      <w:r w:rsidR="00B54442" w:rsidRPr="0064089C">
        <w:t>at</w:t>
      </w:r>
      <w:r w:rsidR="0058472D" w:rsidRPr="0064089C">
        <w:t xml:space="preserve"> PEFO. </w:t>
      </w:r>
      <w:r w:rsidR="005E0C97" w:rsidRPr="0064089C">
        <w:t xml:space="preserve">The increase in gross debt can be explained by </w:t>
      </w:r>
      <w:r w:rsidR="00F37B7A" w:rsidRPr="0064089C">
        <w:t xml:space="preserve">the </w:t>
      </w:r>
      <w:r w:rsidR="00A73C58" w:rsidRPr="0064089C">
        <w:t>lower productivity growth assumption</w:t>
      </w:r>
      <w:r w:rsidR="00E757DB" w:rsidRPr="0064089C">
        <w:t xml:space="preserve">, the increase in </w:t>
      </w:r>
      <w:r w:rsidR="000242C4" w:rsidRPr="0064089C">
        <w:t xml:space="preserve">yields since PEFO, and increased spending pressures including </w:t>
      </w:r>
      <w:r w:rsidR="00425068" w:rsidRPr="0064089C">
        <w:t>borrowing to finance the Government’s balance sheet commitments (Box 3.</w:t>
      </w:r>
      <w:r w:rsidR="00782E96" w:rsidRPr="0064089C">
        <w:t>5</w:t>
      </w:r>
      <w:r w:rsidR="00425068" w:rsidRPr="0064089C">
        <w:t xml:space="preserve">). </w:t>
      </w:r>
    </w:p>
    <w:p w14:paraId="6FB5D4FF" w14:textId="0F160ED1" w:rsidR="00640BA5" w:rsidRPr="0093683C" w:rsidRDefault="00640BA5" w:rsidP="005C19E6">
      <w:pPr>
        <w:pStyle w:val="ChartHeading"/>
      </w:pPr>
      <w:r w:rsidRPr="0093683C">
        <w:lastRenderedPageBreak/>
        <w:t>Chart 3.</w:t>
      </w:r>
      <w:r w:rsidR="0077300E" w:rsidRPr="0093683C">
        <w:t>1</w:t>
      </w:r>
      <w:r w:rsidR="008B7B3B" w:rsidRPr="0093683C">
        <w:t>4</w:t>
      </w:r>
      <w:r w:rsidRPr="0093683C">
        <w:t>: Gross debt</w:t>
      </w:r>
    </w:p>
    <w:p w14:paraId="2DB92BA1" w14:textId="5142914D" w:rsidR="00640BA5" w:rsidRPr="0093683C" w:rsidRDefault="00EA0E9A" w:rsidP="00640BA5">
      <w:pPr>
        <w:pStyle w:val="ChartGraphic"/>
      </w:pPr>
      <w:r>
        <w:rPr>
          <w:noProof/>
        </w:rPr>
        <w:drawing>
          <wp:inline distT="0" distB="0" distL="0" distR="0" wp14:anchorId="1E9D1C58" wp14:editId="34A5DABE">
            <wp:extent cx="4681855" cy="2479675"/>
            <wp:effectExtent l="0" t="0" r="0" b="0"/>
            <wp:docPr id="14" name="Picture 14" descr="This chart compares projections of gross debt as a share of GDP at the 2022-23 October Budget and 2022 PEFO. In the 2022-23 October Budget, gross debt is expected to be 37.3 per cent of GDP in 2022-23 before increasing and stabilising at 46.9 per cent of GDP by the end of the medium term. Compared to PEFO, gross debt as a share of GDP is projected to be lower over the entire forward estimates but higher from 2027-28 to the end of the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is chart compares projections of gross debt as a share of GDP at the 2022-23 October Budget and 2022 PEFO. In the 2022-23 October Budget, gross debt is expected to be 37.3 per cent of GDP in 2022-23 before increasing and stabilising at 46.9 per cent of GDP by the end of the medium term. Compared to PEFO, gross debt as a share of GDP is projected to be lower over the entire forward estimates but higher from 2027-28 to the end of the medium ter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1855" cy="2479675"/>
                    </a:xfrm>
                    <a:prstGeom prst="rect">
                      <a:avLst/>
                    </a:prstGeom>
                    <a:noFill/>
                    <a:ln>
                      <a:noFill/>
                    </a:ln>
                  </pic:spPr>
                </pic:pic>
              </a:graphicData>
            </a:graphic>
          </wp:inline>
        </w:drawing>
      </w:r>
    </w:p>
    <w:p w14:paraId="33CB9608" w14:textId="1A4240F6" w:rsidR="00640BA5" w:rsidRPr="0093683C" w:rsidRDefault="00640BA5" w:rsidP="00B3694A">
      <w:pPr>
        <w:pStyle w:val="ChartandTableFootnote"/>
        <w:rPr>
          <w:color w:val="auto"/>
        </w:rPr>
      </w:pPr>
      <w:r w:rsidRPr="0093683C">
        <w:rPr>
          <w:color w:val="auto"/>
        </w:rPr>
        <w:t xml:space="preserve">Source: </w:t>
      </w:r>
      <w:r w:rsidRPr="0093683C">
        <w:rPr>
          <w:color w:val="auto"/>
        </w:rPr>
        <w:tab/>
        <w:t xml:space="preserve">Australian Office of Financial Management, Treasury. </w:t>
      </w:r>
    </w:p>
    <w:p w14:paraId="244782E1" w14:textId="77777777" w:rsidR="00B3694A" w:rsidRPr="0093683C" w:rsidRDefault="00B3694A" w:rsidP="00B3694A">
      <w:pPr>
        <w:pStyle w:val="ChartLine"/>
      </w:pPr>
    </w:p>
    <w:p w14:paraId="6674C0A3" w14:textId="015759A0" w:rsidR="00640BA5" w:rsidRDefault="009B587A" w:rsidP="009B587A">
      <w:r w:rsidRPr="0093683C">
        <w:rPr>
          <w:i/>
        </w:rPr>
        <w:t xml:space="preserve">Statement </w:t>
      </w:r>
      <w:r w:rsidR="0021274A" w:rsidRPr="0093683C">
        <w:rPr>
          <w:i/>
        </w:rPr>
        <w:t>8</w:t>
      </w:r>
      <w:r w:rsidRPr="0093683C">
        <w:t xml:space="preserve">: </w:t>
      </w:r>
      <w:r w:rsidR="0021274A" w:rsidRPr="0093683C">
        <w:rPr>
          <w:i/>
        </w:rPr>
        <w:t>Forecast Performance and Se</w:t>
      </w:r>
      <w:r w:rsidRPr="0093683C">
        <w:rPr>
          <w:i/>
        </w:rPr>
        <w:t>nsitivity Analysis</w:t>
      </w:r>
      <w:r w:rsidRPr="0093683C">
        <w:t xml:space="preserve"> contains information on the impact on gross debt if the future trajectory for yields is higher or lower than projected</w:t>
      </w:r>
      <w:r w:rsidR="003F6358" w:rsidRPr="0093683C">
        <w:t>.</w:t>
      </w:r>
    </w:p>
    <w:tbl>
      <w:tblPr>
        <w:tblW w:w="5000" w:type="pct"/>
        <w:shd w:val="clear" w:color="auto" w:fill="E6F2FF"/>
        <w:tblCellMar>
          <w:top w:w="284" w:type="dxa"/>
          <w:left w:w="255" w:type="dxa"/>
          <w:bottom w:w="170" w:type="dxa"/>
          <w:right w:w="255" w:type="dxa"/>
        </w:tblCellMar>
        <w:tblLook w:val="0000" w:firstRow="0" w:lastRow="0" w:firstColumn="0" w:lastColumn="0" w:noHBand="0" w:noVBand="0"/>
      </w:tblPr>
      <w:tblGrid>
        <w:gridCol w:w="7710"/>
      </w:tblGrid>
      <w:tr w:rsidR="003855D4" w14:paraId="701A73C3" w14:textId="77777777" w:rsidTr="00D07C62">
        <w:trPr>
          <w:cantSplit/>
        </w:trPr>
        <w:tc>
          <w:tcPr>
            <w:tcW w:w="5000" w:type="pct"/>
            <w:shd w:val="clear" w:color="auto" w:fill="E6F2FF"/>
          </w:tcPr>
          <w:p w14:paraId="280F1152" w14:textId="33B2D97F" w:rsidR="003855D4" w:rsidRPr="0093683C" w:rsidRDefault="003855D4" w:rsidP="002F071B">
            <w:pPr>
              <w:pStyle w:val="BoxHeading"/>
            </w:pPr>
            <w:r w:rsidRPr="0093683C">
              <w:lastRenderedPageBreak/>
              <w:t>Box 3.</w:t>
            </w:r>
            <w:r w:rsidR="00B8768C" w:rsidRPr="0093683C">
              <w:t>5</w:t>
            </w:r>
            <w:r w:rsidRPr="0093683C">
              <w:t>: Investing in a more resilient economy</w:t>
            </w:r>
            <w:r w:rsidR="001A64AD" w:rsidRPr="0093683C">
              <w:t xml:space="preserve"> </w:t>
            </w:r>
          </w:p>
          <w:p w14:paraId="6518440A" w14:textId="77777777" w:rsidR="003855D4" w:rsidRPr="0093683C" w:rsidRDefault="00B429A3" w:rsidP="002F071B">
            <w:pPr>
              <w:pStyle w:val="BoxText"/>
            </w:pPr>
            <w:r w:rsidRPr="0093683C">
              <w:t>T</w:t>
            </w:r>
            <w:r w:rsidR="003855D4" w:rsidRPr="0093683C">
              <w:t>he Government is financing additional</w:t>
            </w:r>
            <w:r w:rsidR="003855D4" w:rsidRPr="0093683C" w:rsidDel="004C03FE">
              <w:t xml:space="preserve"> </w:t>
            </w:r>
            <w:r w:rsidR="003855D4" w:rsidRPr="0093683C">
              <w:t>investment to build a stronger and more resilient economy. This includes utilising investment vehicles to provide additional loans, guarantees and equity injections, which will increase the assets on the Government’s balance sheet. This helps deliver policy objectives by attracting additional private investment for projects that deliver public value, while also delivering returns to taxpayers. Government support can include reducing risk for investors in early</w:t>
            </w:r>
            <w:r w:rsidR="008C6DA9" w:rsidRPr="0093683C">
              <w:noBreakHyphen/>
            </w:r>
            <w:r w:rsidR="003855D4" w:rsidRPr="0093683C">
              <w:t>stage technology, providing ‘patient’ long</w:t>
            </w:r>
            <w:r w:rsidR="008C6DA9" w:rsidRPr="0093683C">
              <w:noBreakHyphen/>
            </w:r>
            <w:r w:rsidR="003855D4" w:rsidRPr="0093683C">
              <w:t xml:space="preserve">term capital and providing capital on concessional terms. </w:t>
            </w:r>
          </w:p>
          <w:p w14:paraId="6EF717E2" w14:textId="31574E1C" w:rsidR="003855D4" w:rsidRPr="0093683C" w:rsidRDefault="003855D4" w:rsidP="00B3694A">
            <w:pPr>
              <w:pStyle w:val="BoxText"/>
            </w:pPr>
            <w:r w:rsidRPr="0093683C">
              <w:t xml:space="preserve">The Clean Energy Finance Corporation (CEFC) is an example of the benefits of government financed investment vehicles. The CEFC works with businesses, </w:t>
            </w:r>
            <w:proofErr w:type="gramStart"/>
            <w:r w:rsidRPr="0093683C">
              <w:t>investors</w:t>
            </w:r>
            <w:proofErr w:type="gramEnd"/>
            <w:r w:rsidRPr="0093683C">
              <w:t xml:space="preserve"> and entrepreneurs to attract capital to support transition to net zero emissions, while generating financial returns for taxpayers. For example, the Clean Energy Innovation Fund stream of the CEFC has supported innovative clean and renewable technology start</w:t>
            </w:r>
            <w:r w:rsidR="008C6DA9" w:rsidRPr="0093683C">
              <w:noBreakHyphen/>
            </w:r>
            <w:r w:rsidRPr="0093683C">
              <w:t xml:space="preserve">up businesses that have passed beyond the research and development stage and require capital to progress to commercialisation. Over its lifetime, </w:t>
            </w:r>
            <w:r w:rsidR="003E39D8" w:rsidRPr="0093683C">
              <w:t>for every</w:t>
            </w:r>
            <w:r w:rsidRPr="0093683C">
              <w:t xml:space="preserve"> dollar </w:t>
            </w:r>
            <w:r w:rsidR="00C85684" w:rsidRPr="0093683C">
              <w:t>the</w:t>
            </w:r>
            <w:r w:rsidRPr="0093683C">
              <w:t xml:space="preserve"> Innovation Fund</w:t>
            </w:r>
            <w:r w:rsidR="00FA4300" w:rsidRPr="0093683C">
              <w:t xml:space="preserve"> invest</w:t>
            </w:r>
            <w:r w:rsidR="00A41AEC" w:rsidRPr="0093683C">
              <w:t xml:space="preserve">s </w:t>
            </w:r>
            <w:r w:rsidRPr="0093683C">
              <w:t>an additional $2.6</w:t>
            </w:r>
            <w:r w:rsidR="004523A4" w:rsidRPr="0093683C">
              <w:t xml:space="preserve"> </w:t>
            </w:r>
            <w:r w:rsidR="004117FF" w:rsidRPr="0093683C">
              <w:t>of private sector capital has been unlocked through co-invest</w:t>
            </w:r>
            <w:r w:rsidR="0018026E" w:rsidRPr="0093683C">
              <w:t>ment</w:t>
            </w:r>
            <w:r w:rsidRPr="0093683C">
              <w:t xml:space="preserve">. </w:t>
            </w:r>
          </w:p>
          <w:p w14:paraId="185C3AA8" w14:textId="7477D1A7" w:rsidR="003855D4" w:rsidRPr="000229B1" w:rsidRDefault="003855D4" w:rsidP="002F071B">
            <w:pPr>
              <w:pStyle w:val="BoxText"/>
            </w:pPr>
            <w:r w:rsidRPr="0093683C">
              <w:t>The Government is invest</w:t>
            </w:r>
            <w:r w:rsidR="00597177" w:rsidRPr="0093683C">
              <w:t>ing through</w:t>
            </w:r>
            <w:r w:rsidRPr="0093683C">
              <w:t>:</w:t>
            </w:r>
            <w:r w:rsidRPr="000229B1">
              <w:t xml:space="preserve"> </w:t>
            </w:r>
          </w:p>
          <w:p w14:paraId="2542F4C2" w14:textId="7905F43D" w:rsidR="003855D4" w:rsidRPr="000229B1" w:rsidRDefault="003855D4" w:rsidP="002F071B">
            <w:pPr>
              <w:pStyle w:val="BoxBullet"/>
              <w:rPr>
                <w:rFonts w:eastAsia="Calibri"/>
              </w:rPr>
            </w:pPr>
            <w:r w:rsidRPr="0093683C">
              <w:rPr>
                <w:rFonts w:eastAsia="Calibri"/>
                <w:b/>
              </w:rPr>
              <w:t>National Reconstruction Fund:</w:t>
            </w:r>
            <w:r w:rsidRPr="0093683C">
              <w:rPr>
                <w:rFonts w:eastAsia="Calibri"/>
              </w:rPr>
              <w:t xml:space="preserve"> to drive regional development, </w:t>
            </w:r>
            <w:r w:rsidR="001F095C" w:rsidRPr="0093683C">
              <w:rPr>
                <w:rFonts w:eastAsia="Calibri"/>
              </w:rPr>
              <w:t>support employment grow</w:t>
            </w:r>
            <w:r w:rsidR="00A36459" w:rsidRPr="0093683C">
              <w:rPr>
                <w:rFonts w:eastAsia="Calibri"/>
              </w:rPr>
              <w:t>th</w:t>
            </w:r>
            <w:r w:rsidR="007F2FCD" w:rsidRPr="0093683C">
              <w:rPr>
                <w:rFonts w:eastAsia="Calibri"/>
              </w:rPr>
              <w:t xml:space="preserve"> </w:t>
            </w:r>
            <w:r w:rsidRPr="0093683C">
              <w:rPr>
                <w:rFonts w:eastAsia="Calibri"/>
              </w:rPr>
              <w:t>and broaden and diversify Australia’s economy.</w:t>
            </w:r>
            <w:r w:rsidR="00924B39">
              <w:rPr>
                <w:rFonts w:eastAsia="Calibri"/>
                <w:b/>
              </w:rPr>
              <w:t xml:space="preserve"> </w:t>
            </w:r>
          </w:p>
          <w:p w14:paraId="14B47306" w14:textId="3B4C21D4" w:rsidR="003855D4" w:rsidRPr="000229B1" w:rsidRDefault="003855D4" w:rsidP="002F071B">
            <w:pPr>
              <w:pStyle w:val="BoxBullet"/>
              <w:rPr>
                <w:rFonts w:eastAsia="Calibri"/>
              </w:rPr>
            </w:pPr>
            <w:r w:rsidRPr="0093683C">
              <w:rPr>
                <w:rFonts w:eastAsia="Calibri"/>
                <w:b/>
              </w:rPr>
              <w:t>Rewiring the Nation</w:t>
            </w:r>
            <w:r w:rsidR="008A7890" w:rsidRPr="0093683C">
              <w:rPr>
                <w:rFonts w:eastAsia="Calibri"/>
                <w:b/>
              </w:rPr>
              <w:t>:</w:t>
            </w:r>
            <w:r w:rsidRPr="0093683C">
              <w:rPr>
                <w:rFonts w:eastAsia="Calibri"/>
              </w:rPr>
              <w:t xml:space="preserve"> to finance the modernisation of the electricity grid, improving reliability and driving prices down.</w:t>
            </w:r>
            <w:r w:rsidR="001F1F97" w:rsidRPr="0093683C">
              <w:rPr>
                <w:rFonts w:eastAsia="Calibri"/>
                <w:b/>
              </w:rPr>
              <w:t xml:space="preserve"> </w:t>
            </w:r>
          </w:p>
          <w:p w14:paraId="69AD57A9" w14:textId="359EA973" w:rsidR="003855D4" w:rsidRPr="00697FEE" w:rsidRDefault="003855D4" w:rsidP="002F071B">
            <w:pPr>
              <w:pStyle w:val="BoxBullet"/>
              <w:rPr>
                <w:rFonts w:eastAsia="Calibri"/>
              </w:rPr>
            </w:pPr>
            <w:r w:rsidRPr="0093683C">
              <w:rPr>
                <w:rFonts w:eastAsia="Calibri"/>
                <w:b/>
              </w:rPr>
              <w:t>Pacific Climate Infrastructure Financing Partnership:</w:t>
            </w:r>
            <w:r w:rsidRPr="0093683C">
              <w:rPr>
                <w:rFonts w:eastAsia="Calibri"/>
              </w:rPr>
              <w:t xml:space="preserve"> to support climate</w:t>
            </w:r>
            <w:r w:rsidR="008C6DA9" w:rsidRPr="0093683C">
              <w:rPr>
                <w:rFonts w:eastAsia="Calibri"/>
              </w:rPr>
              <w:noBreakHyphen/>
            </w:r>
            <w:r w:rsidRPr="0093683C">
              <w:rPr>
                <w:rFonts w:eastAsia="Calibri"/>
              </w:rPr>
              <w:t>related infrastructure and energy projects in Pacific countries and Timor</w:t>
            </w:r>
            <w:r w:rsidR="008C6DA9" w:rsidRPr="0093683C">
              <w:rPr>
                <w:rFonts w:eastAsia="Calibri"/>
              </w:rPr>
              <w:noBreakHyphen/>
            </w:r>
            <w:r w:rsidRPr="0093683C">
              <w:rPr>
                <w:rFonts w:eastAsia="Calibri"/>
              </w:rPr>
              <w:t>Leste.</w:t>
            </w:r>
          </w:p>
          <w:p w14:paraId="3A08EE39" w14:textId="7B4E6803" w:rsidR="003855D4" w:rsidRPr="0093683C" w:rsidRDefault="003855D4" w:rsidP="002F071B">
            <w:pPr>
              <w:pStyle w:val="BoxText"/>
            </w:pPr>
            <w:r w:rsidRPr="0093683C">
              <w:t xml:space="preserve">Government balance sheet investment is increasingly common in advanced economies. </w:t>
            </w:r>
            <w:r w:rsidR="002F0DF2" w:rsidRPr="0093683C">
              <w:t>T</w:t>
            </w:r>
            <w:r w:rsidRPr="0093683C">
              <w:t>he United</w:t>
            </w:r>
            <w:r w:rsidR="007C14E8" w:rsidRPr="0093683C">
              <w:t> </w:t>
            </w:r>
            <w:r w:rsidRPr="0093683C">
              <w:t>Kingdom, New</w:t>
            </w:r>
            <w:r w:rsidR="007C14E8" w:rsidRPr="0093683C">
              <w:t> </w:t>
            </w:r>
            <w:r w:rsidRPr="0093683C">
              <w:t>Zealand and Canada have all established green financing entities using their balance sheets. Similar to the CEFC, New</w:t>
            </w:r>
            <w:r w:rsidR="007C14E8" w:rsidRPr="0093683C">
              <w:t> </w:t>
            </w:r>
            <w:r w:rsidRPr="0093683C">
              <w:t xml:space="preserve">Zealand and Canada are establishing ‘green </w:t>
            </w:r>
            <w:proofErr w:type="gramStart"/>
            <w:r w:rsidRPr="0093683C">
              <w:t>banks’</w:t>
            </w:r>
            <w:proofErr w:type="gramEnd"/>
            <w:r w:rsidRPr="0093683C">
              <w:t xml:space="preserve"> and the United</w:t>
            </w:r>
            <w:r w:rsidR="007C14E8" w:rsidRPr="0093683C">
              <w:t> </w:t>
            </w:r>
            <w:r w:rsidRPr="0093683C">
              <w:t xml:space="preserve">Kingdom has introduced a clean energy investment stream through its Infrastructure Bank. </w:t>
            </w:r>
          </w:p>
          <w:p w14:paraId="03A7D5E8" w14:textId="77777777" w:rsidR="003855D4" w:rsidRPr="0093683C" w:rsidRDefault="003855D4" w:rsidP="00B3694A">
            <w:pPr>
              <w:pStyle w:val="BoxHeading2"/>
            </w:pPr>
            <w:r w:rsidRPr="0093683C">
              <w:t xml:space="preserve">Managing and accounting for balance sheet investments </w:t>
            </w:r>
          </w:p>
          <w:p w14:paraId="58C5C68C" w14:textId="77777777" w:rsidR="003855D4" w:rsidRPr="0093683C" w:rsidRDefault="003855D4" w:rsidP="002F071B">
            <w:pPr>
              <w:pStyle w:val="BoxText"/>
            </w:pPr>
            <w:r w:rsidRPr="0093683C">
              <w:t>Projections for assets on the Government’s balance sheet are included in Table 10.</w:t>
            </w:r>
            <w:r w:rsidR="009F6A10" w:rsidRPr="0093683C">
              <w:t>2</w:t>
            </w:r>
            <w:r w:rsidRPr="0093683C">
              <w:t xml:space="preserve"> of </w:t>
            </w:r>
            <w:r w:rsidRPr="0093683C">
              <w:rPr>
                <w:i/>
              </w:rPr>
              <w:t>Statement 10: Australian Government Budget Financial Statements</w:t>
            </w:r>
            <w:r w:rsidRPr="0093683C">
              <w:t xml:space="preserve">. Details of major financial assets, including investment funds and the CEFC are included in </w:t>
            </w:r>
            <w:r w:rsidRPr="0093683C">
              <w:rPr>
                <w:i/>
              </w:rPr>
              <w:t>Appendix B to Statement 10</w:t>
            </w:r>
            <w:r w:rsidRPr="0093683C">
              <w:t>. The Government is committed to improving transparency provided around the use of the balance sheet.</w:t>
            </w:r>
            <w:r w:rsidR="00DD101C" w:rsidRPr="0093683C">
              <w:t xml:space="preserve"> </w:t>
            </w:r>
          </w:p>
          <w:p w14:paraId="365EDB93" w14:textId="71AC5539" w:rsidR="003855D4" w:rsidRDefault="00687238" w:rsidP="00687238">
            <w:pPr>
              <w:pStyle w:val="Box-continuedon"/>
              <w:spacing w:before="200" w:after="0"/>
            </w:pPr>
            <w:proofErr w:type="gramStart"/>
            <w:r w:rsidRPr="0093683C">
              <w:t>continued on</w:t>
            </w:r>
            <w:proofErr w:type="gramEnd"/>
            <w:r w:rsidRPr="0093683C">
              <w:t xml:space="preserve"> next page</w:t>
            </w:r>
          </w:p>
        </w:tc>
      </w:tr>
      <w:tr w:rsidR="00687238" w:rsidRPr="00286258" w14:paraId="520586C9" w14:textId="77777777" w:rsidTr="00D07C62">
        <w:trPr>
          <w:cantSplit/>
        </w:trPr>
        <w:tc>
          <w:tcPr>
            <w:tcW w:w="5000" w:type="pct"/>
            <w:shd w:val="clear" w:color="auto" w:fill="E6F2FF"/>
          </w:tcPr>
          <w:p w14:paraId="41D7E61E" w14:textId="737F31F4" w:rsidR="00687238" w:rsidRPr="0093683C" w:rsidRDefault="00687238" w:rsidP="00687238">
            <w:pPr>
              <w:pStyle w:val="BoxHeading"/>
              <w:rPr>
                <w:rStyle w:val="apple-tab-span"/>
              </w:rPr>
            </w:pPr>
            <w:r w:rsidRPr="0093683C">
              <w:lastRenderedPageBreak/>
              <w:t>Box 3.</w:t>
            </w:r>
            <w:r w:rsidR="003B2FDF" w:rsidRPr="0093683C">
              <w:t>5</w:t>
            </w:r>
            <w:r w:rsidRPr="0093683C">
              <w:t>: Investing in a more resilient economy (continued)</w:t>
            </w:r>
          </w:p>
          <w:p w14:paraId="12A3E47E" w14:textId="77777777" w:rsidR="00687238" w:rsidRPr="0093683C" w:rsidRDefault="00687238" w:rsidP="00D07C62">
            <w:pPr>
              <w:pStyle w:val="BoxText"/>
              <w:spacing w:before="80" w:after="80"/>
            </w:pPr>
            <w:r w:rsidRPr="0093683C">
              <w:t>Cashflows from the acquisition of financial assets, like equity or loans receivable, do not impact on the underlying cash balance (UCB) provided the Government is expected to recover its investments. The acquisition of financial assets</w:t>
            </w:r>
            <w:r w:rsidR="009F1B1B" w:rsidRPr="0093683C">
              <w:t xml:space="preserve"> for policy purposes</w:t>
            </w:r>
            <w:r w:rsidRPr="0093683C">
              <w:t xml:space="preserve"> does reduce the headline cash balance (HCB) and requires additional debt issuance (assuming no available cash reserves), increasing gross debt. A disaggregation of the impact of cash flows from investments in financial assets on HCB is in Table 3.</w:t>
            </w:r>
            <w:r w:rsidR="009028D1" w:rsidRPr="0093683C">
              <w:t>5</w:t>
            </w:r>
            <w:r w:rsidRPr="0093683C">
              <w:t>.</w:t>
            </w:r>
          </w:p>
          <w:p w14:paraId="34817636" w14:textId="77777777" w:rsidR="00687238" w:rsidRPr="0093683C" w:rsidRDefault="00687238" w:rsidP="00D07C62">
            <w:pPr>
              <w:pStyle w:val="BoxText"/>
              <w:spacing w:before="80" w:after="80"/>
            </w:pPr>
            <w:r w:rsidRPr="0093683C">
              <w:t>Establishing investments expected to earn a market rate of return does not initially change net financial worth (as an increase in gross debt is offset by an equal increase in financial assets). The impact on net debt depends on the nature of the asset acquired. Debt</w:t>
            </w:r>
            <w:r w:rsidRPr="0093683C">
              <w:noBreakHyphen/>
              <w:t>like financial assets</w:t>
            </w:r>
            <w:r w:rsidRPr="0093683C">
              <w:rPr>
                <w:rStyle w:val="FootnoteReference"/>
              </w:rPr>
              <w:footnoteReference w:id="4"/>
            </w:r>
            <w:r w:rsidRPr="0093683C">
              <w:t xml:space="preserve"> are included as assets in net debt, offsetting debt issuance. For example, a (non</w:t>
            </w:r>
            <w:r w:rsidRPr="0093683C">
              <w:noBreakHyphen/>
              <w:t xml:space="preserve">concessional) loan does not increase net debt as it is considered a </w:t>
            </w:r>
            <w:r w:rsidRPr="0093683C" w:rsidDel="00BC6B66">
              <w:t>debt</w:t>
            </w:r>
            <w:r w:rsidRPr="0093683C">
              <w:noBreakHyphen/>
              <w:t xml:space="preserve">like asset, whereas equity investments do increase net debt. </w:t>
            </w:r>
          </w:p>
          <w:p w14:paraId="65A0D78C" w14:textId="77777777" w:rsidR="00687238" w:rsidRPr="0093683C" w:rsidRDefault="00687238" w:rsidP="00D07C62">
            <w:pPr>
              <w:pStyle w:val="BoxText"/>
              <w:spacing w:before="80" w:after="80"/>
            </w:pPr>
            <w:r w:rsidRPr="0093683C">
              <w:t xml:space="preserve">Where the value of the asset acquired is less than the amount borrowed (as for example with concessional loans) net financial worth is reduced. There is no immediate UCB impact from the acquisition. UCB </w:t>
            </w:r>
            <w:r w:rsidR="009F1B1B" w:rsidRPr="0093683C">
              <w:t>worsen</w:t>
            </w:r>
            <w:r w:rsidR="00DB7531" w:rsidRPr="0093683C">
              <w:t>s</w:t>
            </w:r>
            <w:r w:rsidRPr="0093683C">
              <w:t xml:space="preserve"> over time if interest payments on debt exceed investment returns. Assets and liabilities are also subject to revaluations each reporting period. The impact of revaluations on net financial worth are included in the operating statement in Table 10.1 under other economic flows.</w:t>
            </w:r>
          </w:p>
          <w:p w14:paraId="6679FF35" w14:textId="77777777" w:rsidR="00687238" w:rsidRPr="0093683C" w:rsidRDefault="00687238" w:rsidP="00D07C62">
            <w:pPr>
              <w:pStyle w:val="BoxText"/>
              <w:spacing w:before="80" w:after="80"/>
            </w:pPr>
            <w:r w:rsidRPr="0093683C">
              <w:t>Government can also guarantee to honour other debts, to encourage investment. Guarantees do not change the UCB or HCB when established.</w:t>
            </w:r>
            <w:r w:rsidR="00A01696" w:rsidRPr="0093683C">
              <w:t xml:space="preserve"> Contractual guarantee</w:t>
            </w:r>
            <w:r w:rsidR="00AD1EB8" w:rsidRPr="0093683C">
              <w:t>s</w:t>
            </w:r>
            <w:r w:rsidR="00A01696" w:rsidRPr="0093683C">
              <w:t xml:space="preserve"> </w:t>
            </w:r>
            <w:r w:rsidR="00764EC0" w:rsidRPr="0093683C">
              <w:t>are</w:t>
            </w:r>
            <w:r w:rsidR="00A01696" w:rsidRPr="0093683C">
              <w:t xml:space="preserve"> measured </w:t>
            </w:r>
            <w:r w:rsidR="00D122B3" w:rsidRPr="0093683C">
              <w:t>as liabilit</w:t>
            </w:r>
            <w:r w:rsidR="00764EC0" w:rsidRPr="0093683C">
              <w:t>ies</w:t>
            </w:r>
            <w:r w:rsidR="00D122B3" w:rsidRPr="0093683C">
              <w:t xml:space="preserve"> at </w:t>
            </w:r>
            <w:r w:rsidR="00764EC0" w:rsidRPr="0093683C">
              <w:t>their</w:t>
            </w:r>
            <w:r w:rsidR="00D122B3" w:rsidRPr="0093683C">
              <w:t xml:space="preserve"> fair value.</w:t>
            </w:r>
            <w:r w:rsidRPr="0093683C">
              <w:t xml:space="preserve"> Where a guarantee is created through legislation, if quantifiable, and likely to be called this liability is measured on the balance sheet, based on the amount guaranteed and the likelihood of the guarantee being invoked. This reduces net financial worth.</w:t>
            </w:r>
            <w:r w:rsidR="003E2059" w:rsidRPr="0093683C">
              <w:t xml:space="preserve"> Legislative guarantees may </w:t>
            </w:r>
            <w:r w:rsidR="004F3254" w:rsidRPr="0093683C">
              <w:t xml:space="preserve">also </w:t>
            </w:r>
            <w:r w:rsidR="003E2059" w:rsidRPr="0093683C">
              <w:t>be recognised a</w:t>
            </w:r>
            <w:r w:rsidR="003F3C13" w:rsidRPr="0093683C">
              <w:t>s</w:t>
            </w:r>
            <w:r w:rsidR="003E2059" w:rsidRPr="0093683C">
              <w:t xml:space="preserve"> contingent liabilit</w:t>
            </w:r>
            <w:r w:rsidR="003F3C13" w:rsidRPr="0093683C">
              <w:t>ies</w:t>
            </w:r>
            <w:r w:rsidR="003E2059" w:rsidRPr="0093683C">
              <w:t>.</w:t>
            </w:r>
            <w:r w:rsidRPr="0093683C">
              <w:t xml:space="preserve"> If the guarantee is invoked for payout, this reduces the UCB, HCB and net financial worth</w:t>
            </w:r>
            <w:r w:rsidR="000E2FA9" w:rsidRPr="0093683C">
              <w:t xml:space="preserve"> (</w:t>
            </w:r>
            <w:r w:rsidR="00B100B4" w:rsidRPr="0093683C">
              <w:t>if payment exceeds liability recognised</w:t>
            </w:r>
            <w:r w:rsidR="000E2FA9" w:rsidRPr="0093683C">
              <w:t>)</w:t>
            </w:r>
            <w:r w:rsidRPr="0093683C">
              <w:t xml:space="preserve">. Details of contingent liabilities are outlined in </w:t>
            </w:r>
            <w:r w:rsidRPr="0093683C">
              <w:rPr>
                <w:i/>
              </w:rPr>
              <w:t>Statement 9: Statement of Risks</w:t>
            </w:r>
            <w:r w:rsidRPr="0093683C">
              <w:t>.</w:t>
            </w:r>
          </w:p>
          <w:p w14:paraId="71407CED" w14:textId="583AC772" w:rsidR="00687238" w:rsidRPr="0093683C" w:rsidRDefault="00687238" w:rsidP="00D07C62">
            <w:pPr>
              <w:pStyle w:val="BoxText"/>
              <w:spacing w:before="80" w:after="80"/>
            </w:pPr>
            <w:r w:rsidRPr="0093683C">
              <w:t xml:space="preserve">Risk management is critical to balance sheet investment. Debt financed asset accumulation improves the budget when returns exceed borrowing costs, but also increases the Government’s risk exposure. Some risks are specific to the investment (such as borrower specific risks of defaults or delivering poor value for money by competing with the private sector for investment opportunities). Others are economy wide (such as changes in interest rates, economic activity, and business profitability). Government has a comprehensive system of financial management and governance under the </w:t>
            </w:r>
            <w:r w:rsidRPr="0093683C">
              <w:rPr>
                <w:i/>
              </w:rPr>
              <w:t>Public Governance and Performance Accountability Act 2013</w:t>
            </w:r>
            <w:r w:rsidRPr="0093683C">
              <w:t xml:space="preserve">, and is committed to effective, </w:t>
            </w:r>
            <w:proofErr w:type="gramStart"/>
            <w:r w:rsidRPr="0093683C">
              <w:t>efficient</w:t>
            </w:r>
            <w:proofErr w:type="gramEnd"/>
            <w:r w:rsidRPr="0093683C">
              <w:t xml:space="preserve"> and transparent management of Commonwealth assets.</w:t>
            </w:r>
          </w:p>
        </w:tc>
      </w:tr>
    </w:tbl>
    <w:p w14:paraId="39109C12" w14:textId="4723A774" w:rsidR="00995CDA" w:rsidRPr="0093683C" w:rsidRDefault="00995CDA" w:rsidP="00D07C62">
      <w:pPr>
        <w:pStyle w:val="GhostLine"/>
      </w:pPr>
    </w:p>
    <w:p w14:paraId="4D402A37" w14:textId="77777777" w:rsidR="00640BA5" w:rsidRPr="0093683C" w:rsidRDefault="00640BA5" w:rsidP="00B3694A">
      <w:pPr>
        <w:pStyle w:val="Heading3"/>
      </w:pPr>
      <w:bookmarkStart w:id="10" w:name="_Toc117356565"/>
      <w:r w:rsidRPr="0093683C">
        <w:lastRenderedPageBreak/>
        <w:t>Net debt estimates and projections</w:t>
      </w:r>
      <w:bookmarkEnd w:id="10"/>
      <w:r w:rsidRPr="0093683C">
        <w:t xml:space="preserve"> </w:t>
      </w:r>
    </w:p>
    <w:p w14:paraId="31A06B5B" w14:textId="2C80760D" w:rsidR="00534B93" w:rsidRPr="0093683C" w:rsidRDefault="00534B93" w:rsidP="00534B93">
      <w:r w:rsidRPr="0093683C">
        <w:t xml:space="preserve">Net debt is estimated to be </w:t>
      </w:r>
      <w:r w:rsidR="003A4EA4" w:rsidRPr="0093683C">
        <w:t>23.</w:t>
      </w:r>
      <w:r w:rsidR="00ED59C5" w:rsidRPr="0093683C">
        <w:t>0</w:t>
      </w:r>
      <w:r w:rsidRPr="0093683C">
        <w:t xml:space="preserve"> per cent of GDP ($</w:t>
      </w:r>
      <w:r w:rsidR="003A4EA4" w:rsidRPr="0093683C">
        <w:t>57</w:t>
      </w:r>
      <w:r w:rsidR="00951335" w:rsidRPr="0093683C">
        <w:t>2.2</w:t>
      </w:r>
      <w:r w:rsidRPr="0093683C">
        <w:t xml:space="preserve"> billion) </w:t>
      </w:r>
      <w:proofErr w:type="gramStart"/>
      <w:r w:rsidRPr="0093683C">
        <w:t>at</w:t>
      </w:r>
      <w:proofErr w:type="gramEnd"/>
      <w:r w:rsidRPr="0093683C">
        <w:t xml:space="preserve"> 30 June 2023 (Table 3.</w:t>
      </w:r>
      <w:r w:rsidR="00AE4474" w:rsidRPr="0093683C">
        <w:t>6</w:t>
      </w:r>
      <w:r w:rsidRPr="0093683C">
        <w:t xml:space="preserve">), lower than the estimate of </w:t>
      </w:r>
      <w:r w:rsidR="008B1E28" w:rsidRPr="0093683C">
        <w:t>31.1</w:t>
      </w:r>
      <w:r w:rsidRPr="0093683C">
        <w:t> per cent of GDP ($</w:t>
      </w:r>
      <w:r w:rsidR="0021136F" w:rsidRPr="0093683C">
        <w:t>714.9</w:t>
      </w:r>
      <w:r w:rsidRPr="0093683C">
        <w:t xml:space="preserve"> billion) at PEFO. The improvement since PEFO </w:t>
      </w:r>
      <w:r w:rsidR="00CA6FBA" w:rsidRPr="0093683C">
        <w:t>primarily</w:t>
      </w:r>
      <w:r w:rsidRPr="0093683C">
        <w:t xml:space="preserve"> reflects the Government’s decreased borrowing requirement resulting from the expected improvement in the underlying cash balance and a decrease in the market value of </w:t>
      </w:r>
      <w:r w:rsidR="00840FB7" w:rsidRPr="0093683C">
        <w:t>existing debt</w:t>
      </w:r>
      <w:r w:rsidRPr="0093683C">
        <w:t xml:space="preserve"> due to higher yields.</w:t>
      </w:r>
    </w:p>
    <w:p w14:paraId="724340B2" w14:textId="62023A54" w:rsidR="007261AD" w:rsidRPr="0093683C" w:rsidRDefault="003454E2" w:rsidP="00877438">
      <w:r w:rsidRPr="0093683C">
        <w:t xml:space="preserve">Net debt is based on </w:t>
      </w:r>
      <w:r w:rsidR="00AD70B9" w:rsidRPr="0093683C">
        <w:t>the</w:t>
      </w:r>
      <w:r w:rsidRPr="0093683C">
        <w:t xml:space="preserve"> market value</w:t>
      </w:r>
      <w:r w:rsidR="005037CC" w:rsidRPr="0093683C">
        <w:t xml:space="preserve"> of debt</w:t>
      </w:r>
      <w:r w:rsidR="008C6DA9" w:rsidRPr="0093683C">
        <w:noBreakHyphen/>
      </w:r>
      <w:r w:rsidR="005037CC" w:rsidRPr="0093683C">
        <w:t>like assets and liabilities</w:t>
      </w:r>
      <w:r w:rsidRPr="0093683C">
        <w:t xml:space="preserve">. </w:t>
      </w:r>
      <w:r w:rsidR="00E811B6" w:rsidRPr="0093683C">
        <w:t xml:space="preserve">Therefore, </w:t>
      </w:r>
      <w:r w:rsidR="007C4486" w:rsidRPr="0093683C">
        <w:t xml:space="preserve">the value of net debt falls as </w:t>
      </w:r>
      <w:r w:rsidR="00B54418" w:rsidRPr="0093683C">
        <w:t>yields</w:t>
      </w:r>
      <w:r w:rsidR="00E811B6" w:rsidRPr="0093683C">
        <w:t xml:space="preserve"> increase</w:t>
      </w:r>
      <w:r w:rsidR="002513A1" w:rsidRPr="0093683C">
        <w:t xml:space="preserve">, as the </w:t>
      </w:r>
      <w:r w:rsidR="009A13E6" w:rsidRPr="0093683C">
        <w:t xml:space="preserve">fixed </w:t>
      </w:r>
      <w:r w:rsidR="002513A1" w:rsidRPr="0093683C">
        <w:t>income stream from existing bonds becomes relatively less attractive to investors</w:t>
      </w:r>
      <w:r w:rsidR="007C4486" w:rsidRPr="0093683C">
        <w:t>.</w:t>
      </w:r>
      <w:r w:rsidR="00E811B6" w:rsidRPr="0093683C">
        <w:t xml:space="preserve"> </w:t>
      </w:r>
      <w:r w:rsidR="008C23C1" w:rsidRPr="0093683C">
        <w:t>This has supported a large near</w:t>
      </w:r>
      <w:r w:rsidR="008C6DA9" w:rsidRPr="0093683C">
        <w:noBreakHyphen/>
      </w:r>
      <w:r w:rsidR="008C23C1" w:rsidRPr="0093683C">
        <w:t xml:space="preserve">term improvement in net debt. </w:t>
      </w:r>
    </w:p>
    <w:p w14:paraId="1915E72D" w14:textId="34E2951C" w:rsidR="00640BA5" w:rsidRPr="0093683C" w:rsidRDefault="00C858EF" w:rsidP="00C858EF">
      <w:r w:rsidRPr="0093683C">
        <w:t xml:space="preserve">Net debt </w:t>
      </w:r>
      <w:r w:rsidR="008C083A" w:rsidRPr="0093683C">
        <w:t xml:space="preserve">remains </w:t>
      </w:r>
      <w:r w:rsidR="003D4470" w:rsidRPr="0093683C">
        <w:t xml:space="preserve">lower than estimated at PEFO across each year of the forward estimates. It </w:t>
      </w:r>
      <w:r w:rsidRPr="0093683C">
        <w:t xml:space="preserve">is expected to </w:t>
      </w:r>
      <w:r w:rsidR="00534B93" w:rsidRPr="0093683C">
        <w:t>worsen</w:t>
      </w:r>
      <w:r w:rsidRPr="0093683C">
        <w:t xml:space="preserve"> over </w:t>
      </w:r>
      <w:r w:rsidR="00534B93" w:rsidRPr="0093683C">
        <w:t xml:space="preserve">time in line with an increase in </w:t>
      </w:r>
      <w:r w:rsidRPr="0093683C">
        <w:t xml:space="preserve">the </w:t>
      </w:r>
      <w:r w:rsidR="00534B93" w:rsidRPr="0093683C">
        <w:t>borrowing requirement</w:t>
      </w:r>
      <w:r w:rsidR="000776FA" w:rsidRPr="0093683C">
        <w:t>,</w:t>
      </w:r>
      <w:r w:rsidR="002573E2" w:rsidRPr="0093683C">
        <w:t xml:space="preserve"> the unwinding of market valuation effects </w:t>
      </w:r>
      <w:r w:rsidR="002A676B" w:rsidRPr="0093683C">
        <w:t>and</w:t>
      </w:r>
      <w:r w:rsidR="002573E2" w:rsidRPr="0093683C">
        <w:t xml:space="preserve"> new debt </w:t>
      </w:r>
      <w:r w:rsidR="002A676B" w:rsidRPr="0093683C">
        <w:t>being</w:t>
      </w:r>
      <w:r w:rsidR="002573E2" w:rsidRPr="0093683C">
        <w:t xml:space="preserve"> issued at higher yields</w:t>
      </w:r>
      <w:r w:rsidR="00534B93" w:rsidRPr="0093683C">
        <w:t>. Net debt is projected</w:t>
      </w:r>
      <w:r w:rsidRPr="0093683C">
        <w:t xml:space="preserve"> to </w:t>
      </w:r>
      <w:r w:rsidR="00534B93" w:rsidRPr="0093683C">
        <w:t>be</w:t>
      </w:r>
      <w:r w:rsidRPr="0093683C">
        <w:t xml:space="preserve"> </w:t>
      </w:r>
      <w:r w:rsidR="0021739B" w:rsidRPr="0093683C">
        <w:t>31.9</w:t>
      </w:r>
      <w:r w:rsidRPr="0093683C">
        <w:t xml:space="preserve"> per cent of GDP </w:t>
      </w:r>
      <w:r w:rsidR="00534B93" w:rsidRPr="0093683C">
        <w:t>by</w:t>
      </w:r>
      <w:r w:rsidRPr="0093683C">
        <w:t xml:space="preserve"> 30 June 2033 (Chart 3.1</w:t>
      </w:r>
      <w:r w:rsidR="00256CF4" w:rsidRPr="0093683C">
        <w:t>5</w:t>
      </w:r>
      <w:r w:rsidRPr="0093683C">
        <w:t xml:space="preserve">). </w:t>
      </w:r>
    </w:p>
    <w:p w14:paraId="78525C39" w14:textId="185BB0CD" w:rsidR="00640BA5" w:rsidRPr="0093683C" w:rsidRDefault="00640BA5" w:rsidP="00687238">
      <w:pPr>
        <w:pStyle w:val="ChartHeading"/>
      </w:pPr>
      <w:r w:rsidRPr="0093683C">
        <w:t>Chart 3.1</w:t>
      </w:r>
      <w:r w:rsidR="00862420" w:rsidRPr="0093683C">
        <w:t>5</w:t>
      </w:r>
      <w:r w:rsidRPr="0093683C">
        <w:t>: Net debt</w:t>
      </w:r>
    </w:p>
    <w:p w14:paraId="0AA8DD5D" w14:textId="0824D2A1" w:rsidR="00552118" w:rsidRPr="0093683C" w:rsidRDefault="00AB4E49" w:rsidP="00B87E05">
      <w:pPr>
        <w:pStyle w:val="ChartGraphic"/>
      </w:pPr>
      <w:r>
        <w:rPr>
          <w:noProof/>
        </w:rPr>
        <w:drawing>
          <wp:inline distT="0" distB="0" distL="0" distR="0" wp14:anchorId="63DEBF3F" wp14:editId="2F44F082">
            <wp:extent cx="4674235" cy="2523490"/>
            <wp:effectExtent l="0" t="0" r="0" b="0"/>
            <wp:docPr id="15" name="Picture 15" descr="This chart compares projections of net debt as a share of GDP at the 2022-23 October Budget and 2022 PEFO. In the 2022-23 October Budget, net debt is projected to deteriorate from 23 per cent of GDP in 2022-23 to 31.9 per cent of GDP by the end of the medium term. At PEFO, net debt was projected to be 31.1 per cent of GDP in 2022-23 and improve to 26.9 per cent of GDP by the end of the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his chart compares projections of net debt as a share of GDP at the 2022-23 October Budget and 2022 PEFO. In the 2022-23 October Budget, net debt is projected to deteriorate from 23 per cent of GDP in 2022-23 to 31.9 per cent of GDP by the end of the medium term. At PEFO, net debt was projected to be 31.1 per cent of GDP in 2022-23 and improve to 26.9 per cent of GDP by the end of the medium ter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53DA21D7" w14:textId="109A7713" w:rsidR="00640BA5" w:rsidRPr="0093683C" w:rsidRDefault="00640BA5" w:rsidP="00B3694A">
      <w:pPr>
        <w:pStyle w:val="ChartandTableFootnote"/>
        <w:rPr>
          <w:color w:val="auto"/>
        </w:rPr>
      </w:pPr>
      <w:r w:rsidRPr="0093683C">
        <w:rPr>
          <w:color w:val="auto"/>
        </w:rPr>
        <w:t>Source:</w:t>
      </w:r>
      <w:r w:rsidRPr="0093683C">
        <w:rPr>
          <w:color w:val="auto"/>
        </w:rPr>
        <w:tab/>
        <w:t xml:space="preserve">Treasury. </w:t>
      </w:r>
    </w:p>
    <w:p w14:paraId="725114C9" w14:textId="77777777" w:rsidR="00B3694A" w:rsidRPr="0093683C" w:rsidRDefault="00B3694A" w:rsidP="00B3694A">
      <w:pPr>
        <w:pStyle w:val="ChartLine"/>
      </w:pPr>
    </w:p>
    <w:p w14:paraId="2B976180" w14:textId="6542536E" w:rsidR="00640BA5" w:rsidRPr="0093683C" w:rsidRDefault="00640BA5" w:rsidP="00B3694A">
      <w:pPr>
        <w:rPr>
          <w:rFonts w:ascii="Courier New" w:hAnsi="Courier New"/>
          <w:b/>
        </w:rPr>
      </w:pPr>
      <w:r w:rsidRPr="0093683C">
        <w:t xml:space="preserve">Further information on gross debt and net debt </w:t>
      </w:r>
      <w:r w:rsidR="005F03A3" w:rsidRPr="0093683C">
        <w:t>estimates across the forward estimates</w:t>
      </w:r>
      <w:r w:rsidRPr="0093683C">
        <w:t xml:space="preserve"> is provided in </w:t>
      </w:r>
      <w:r w:rsidRPr="0093683C">
        <w:rPr>
          <w:i/>
        </w:rPr>
        <w:t xml:space="preserve">Statement </w:t>
      </w:r>
      <w:r w:rsidR="00167E80" w:rsidRPr="0093683C">
        <w:rPr>
          <w:i/>
        </w:rPr>
        <w:t>7</w:t>
      </w:r>
      <w:r w:rsidRPr="0093683C">
        <w:rPr>
          <w:i/>
        </w:rPr>
        <w:t>: Debt Statement</w:t>
      </w:r>
      <w:r w:rsidRPr="0093683C">
        <w:t xml:space="preserve">. </w:t>
      </w:r>
    </w:p>
    <w:p w14:paraId="6984365A" w14:textId="77777777" w:rsidR="00640BA5" w:rsidRPr="0093683C" w:rsidRDefault="00640BA5" w:rsidP="00B3694A">
      <w:pPr>
        <w:pStyle w:val="Heading3"/>
      </w:pPr>
      <w:bookmarkStart w:id="11" w:name="_Toc117356566"/>
      <w:r w:rsidRPr="0093683C">
        <w:t>Net financial worth and net worth estimates and projections</w:t>
      </w:r>
      <w:bookmarkEnd w:id="11"/>
      <w:r w:rsidRPr="0093683C">
        <w:t xml:space="preserve"> </w:t>
      </w:r>
    </w:p>
    <w:p w14:paraId="10260625" w14:textId="10D6DC23" w:rsidR="002E396F" w:rsidRPr="0093683C" w:rsidRDefault="002E396F" w:rsidP="002E396F">
      <w:pPr>
        <w:rPr>
          <w:lang w:eastAsia="en-US"/>
        </w:rPr>
      </w:pPr>
      <w:r w:rsidRPr="0093683C">
        <w:rPr>
          <w:lang w:eastAsia="en-US"/>
        </w:rPr>
        <w:t xml:space="preserve">Net financial worth is estimated to be </w:t>
      </w:r>
      <w:r w:rsidR="008C6DA9" w:rsidRPr="0093683C">
        <w:rPr>
          <w:lang w:eastAsia="en-US"/>
        </w:rPr>
        <w:noBreakHyphen/>
      </w:r>
      <w:r w:rsidR="002D11A2" w:rsidRPr="0093683C">
        <w:rPr>
          <w:lang w:eastAsia="en-US"/>
        </w:rPr>
        <w:t>30.</w:t>
      </w:r>
      <w:r w:rsidR="00D80AEB" w:rsidRPr="0093683C">
        <w:rPr>
          <w:lang w:eastAsia="en-US"/>
        </w:rPr>
        <w:t>7</w:t>
      </w:r>
      <w:r w:rsidRPr="0093683C">
        <w:rPr>
          <w:lang w:eastAsia="en-US"/>
        </w:rPr>
        <w:t xml:space="preserve"> per cent of GDP (</w:t>
      </w:r>
      <w:r w:rsidR="008C6DA9" w:rsidRPr="0093683C">
        <w:rPr>
          <w:lang w:eastAsia="en-US"/>
        </w:rPr>
        <w:noBreakHyphen/>
      </w:r>
      <w:r w:rsidR="00927CB3" w:rsidRPr="0093683C">
        <w:rPr>
          <w:lang w:eastAsia="en-US"/>
        </w:rPr>
        <w:t>$</w:t>
      </w:r>
      <w:r w:rsidR="00013CAA" w:rsidRPr="0093683C">
        <w:rPr>
          <w:lang w:eastAsia="en-US"/>
        </w:rPr>
        <w:t>76</w:t>
      </w:r>
      <w:r w:rsidR="00D93C77" w:rsidRPr="0093683C">
        <w:rPr>
          <w:lang w:eastAsia="en-US"/>
        </w:rPr>
        <w:t>1.1</w:t>
      </w:r>
      <w:r w:rsidRPr="0093683C">
        <w:rPr>
          <w:lang w:eastAsia="en-US"/>
        </w:rPr>
        <w:t xml:space="preserve"> billion) </w:t>
      </w:r>
      <w:proofErr w:type="gramStart"/>
      <w:r w:rsidRPr="0093683C">
        <w:rPr>
          <w:lang w:eastAsia="en-US"/>
        </w:rPr>
        <w:t>at</w:t>
      </w:r>
      <w:proofErr w:type="gramEnd"/>
      <w:r w:rsidRPr="0093683C">
        <w:rPr>
          <w:lang w:eastAsia="en-US"/>
        </w:rPr>
        <w:t xml:space="preserve"> 30 June 2023 </w:t>
      </w:r>
      <w:r w:rsidRPr="0093683C">
        <w:t>(Table 3.</w:t>
      </w:r>
      <w:r w:rsidR="00AE4474" w:rsidRPr="0093683C">
        <w:t>6</w:t>
      </w:r>
      <w:r w:rsidRPr="0093683C">
        <w:t>)</w:t>
      </w:r>
      <w:r w:rsidRPr="0093683C">
        <w:rPr>
          <w:lang w:eastAsia="en-US"/>
        </w:rPr>
        <w:t xml:space="preserve">, compared with the estimate of </w:t>
      </w:r>
      <w:r w:rsidR="00927CB3" w:rsidRPr="0093683C">
        <w:rPr>
          <w:lang w:eastAsia="en-US"/>
        </w:rPr>
        <w:t>-</w:t>
      </w:r>
      <w:r w:rsidR="006B613E" w:rsidRPr="0093683C">
        <w:rPr>
          <w:lang w:eastAsia="en-US"/>
        </w:rPr>
        <w:t>37.4</w:t>
      </w:r>
      <w:r w:rsidRPr="0093683C">
        <w:rPr>
          <w:lang w:eastAsia="en-US"/>
        </w:rPr>
        <w:t xml:space="preserve"> per cent of GDP (</w:t>
      </w:r>
      <w:r w:rsidRPr="0093683C">
        <w:rPr>
          <w:lang w:eastAsia="en-US"/>
        </w:rPr>
        <w:noBreakHyphen/>
      </w:r>
      <w:r w:rsidR="00A961DA" w:rsidRPr="0093683C">
        <w:rPr>
          <w:lang w:eastAsia="en-US"/>
        </w:rPr>
        <w:t>$859.3</w:t>
      </w:r>
      <w:r w:rsidRPr="0093683C">
        <w:rPr>
          <w:lang w:eastAsia="en-US"/>
        </w:rPr>
        <w:t xml:space="preserve"> billion) at PEFO. </w:t>
      </w:r>
    </w:p>
    <w:p w14:paraId="1DC67F0D" w14:textId="76BAA1C4" w:rsidR="002E396F" w:rsidRPr="0093683C" w:rsidRDefault="002E396F" w:rsidP="002E396F">
      <w:pPr>
        <w:rPr>
          <w:lang w:eastAsia="en-US"/>
        </w:rPr>
      </w:pPr>
      <w:r w:rsidRPr="0093683C">
        <w:lastRenderedPageBreak/>
        <w:t xml:space="preserve">Net financial worth is </w:t>
      </w:r>
      <w:r w:rsidR="0092498A" w:rsidRPr="0093683C">
        <w:t xml:space="preserve">projected </w:t>
      </w:r>
      <w:r w:rsidRPr="0093683C">
        <w:t xml:space="preserve">to </w:t>
      </w:r>
      <w:r w:rsidR="0092498A" w:rsidRPr="0093683C">
        <w:t>deteriorate</w:t>
      </w:r>
      <w:r w:rsidRPr="0093683C">
        <w:t xml:space="preserve"> </w:t>
      </w:r>
      <w:r w:rsidR="008A4C2F" w:rsidRPr="0093683C">
        <w:t>over time</w:t>
      </w:r>
      <w:r w:rsidR="00116AE8" w:rsidRPr="0093683C">
        <w:t xml:space="preserve"> </w:t>
      </w:r>
      <w:r w:rsidRPr="0093683C">
        <w:t xml:space="preserve">to </w:t>
      </w:r>
      <w:r w:rsidR="0092498A" w:rsidRPr="0093683C">
        <w:t>be</w:t>
      </w:r>
      <w:r w:rsidRPr="0093683C">
        <w:t xml:space="preserve"> </w:t>
      </w:r>
      <w:r w:rsidR="00927CB3" w:rsidRPr="0093683C">
        <w:t>-</w:t>
      </w:r>
      <w:r w:rsidR="00B729CD" w:rsidRPr="0093683C">
        <w:t>35.9</w:t>
      </w:r>
      <w:r w:rsidRPr="0093683C">
        <w:t xml:space="preserve"> per cent of GDP </w:t>
      </w:r>
      <w:proofErr w:type="gramStart"/>
      <w:r w:rsidRPr="0093683C">
        <w:t>at</w:t>
      </w:r>
      <w:proofErr w:type="gramEnd"/>
      <w:r w:rsidRPr="0093683C">
        <w:t xml:space="preserve"> 30</w:t>
      </w:r>
      <w:r w:rsidR="00C43229" w:rsidRPr="0093683C">
        <w:t> </w:t>
      </w:r>
      <w:r w:rsidRPr="0093683C">
        <w:t>June 20</w:t>
      </w:r>
      <w:r w:rsidR="00EE5697" w:rsidRPr="0093683C">
        <w:t>33</w:t>
      </w:r>
      <w:r w:rsidRPr="0093683C">
        <w:t xml:space="preserve"> (Chart 3.</w:t>
      </w:r>
      <w:r w:rsidR="00D7710A" w:rsidRPr="0093683C">
        <w:t>1</w:t>
      </w:r>
      <w:r w:rsidR="00BB4EF4" w:rsidRPr="0093683C">
        <w:t>6</w:t>
      </w:r>
      <w:r w:rsidRPr="0093683C">
        <w:t xml:space="preserve">). At PEFO, net financial worth was projected to be </w:t>
      </w:r>
      <w:r w:rsidR="00927CB3" w:rsidRPr="0093683C">
        <w:t>-</w:t>
      </w:r>
      <w:r w:rsidR="002438AC" w:rsidRPr="0093683C">
        <w:t>30.2</w:t>
      </w:r>
      <w:r w:rsidRPr="0093683C">
        <w:t xml:space="preserve"> per cent of GDP </w:t>
      </w:r>
      <w:proofErr w:type="gramStart"/>
      <w:r w:rsidRPr="0093683C">
        <w:t>at</w:t>
      </w:r>
      <w:proofErr w:type="gramEnd"/>
      <w:r w:rsidRPr="0093683C">
        <w:t xml:space="preserve"> 30 June 203</w:t>
      </w:r>
      <w:r w:rsidR="00EE5697" w:rsidRPr="0093683C">
        <w:t>3</w:t>
      </w:r>
      <w:r w:rsidRPr="0093683C">
        <w:t>.</w:t>
      </w:r>
      <w:r w:rsidRPr="0093683C">
        <w:rPr>
          <w:lang w:eastAsia="en-US"/>
        </w:rPr>
        <w:t xml:space="preserve"> </w:t>
      </w:r>
    </w:p>
    <w:p w14:paraId="6304E5BF" w14:textId="1DC7E217" w:rsidR="00640BA5" w:rsidRPr="0093683C" w:rsidRDefault="00640BA5" w:rsidP="00687238">
      <w:pPr>
        <w:pStyle w:val="ChartHeading"/>
      </w:pPr>
      <w:r w:rsidRPr="0093683C">
        <w:t>Chart 3.</w:t>
      </w:r>
      <w:r w:rsidR="00D7710A" w:rsidRPr="0093683C">
        <w:t>1</w:t>
      </w:r>
      <w:r w:rsidR="00256CF4" w:rsidRPr="0093683C">
        <w:t>6</w:t>
      </w:r>
      <w:r w:rsidRPr="0093683C">
        <w:t>: Net financial worth</w:t>
      </w:r>
    </w:p>
    <w:p w14:paraId="4DEEA9ED" w14:textId="45A1C3A7" w:rsidR="00A537BD" w:rsidRPr="0093683C" w:rsidRDefault="006346C7" w:rsidP="00046016">
      <w:pPr>
        <w:pStyle w:val="ChartGraphic"/>
      </w:pPr>
      <w:r>
        <w:rPr>
          <w:noProof/>
        </w:rPr>
        <w:drawing>
          <wp:inline distT="0" distB="0" distL="0" distR="0" wp14:anchorId="4742F60B" wp14:editId="2E4F5A10">
            <wp:extent cx="4674235" cy="2523490"/>
            <wp:effectExtent l="0" t="0" r="0" b="0"/>
            <wp:docPr id="16" name="Picture 16" descr="This chart compares projections of net financial worth as a share of GDP at the 2022-23 October Budget and 2022 PEFO. At the 2022-23 October Budget, net financial worth is estimated to be -30.7 per cent of GDP at 30 June 2023. It is expected to deteriorate through the forward estimates and the medium term to be 35.9 per cent of GDP at 30 June 2033. Since PEFO, projections of net financial worth have improved over the forward estimates but deteriorated from 2027-28 to the end of the medium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his chart compares projections of net financial worth as a share of GDP at the 2022-23 October Budget and 2022 PEFO. At the 2022-23 October Budget, net financial worth is estimated to be -30.7 per cent of GDP at 30 June 2023. It is expected to deteriorate through the forward estimates and the medium term to be 35.9 per cent of GDP at 30 June 2033. Since PEFO, projections of net financial worth have improved over the forward estimates but deteriorated from 2027-28 to the end of the medium ter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24115EDA" w14:textId="183948C0" w:rsidR="00640BA5" w:rsidRPr="0093683C" w:rsidRDefault="00640BA5" w:rsidP="00B3694A">
      <w:pPr>
        <w:pStyle w:val="ChartandTableFootnote"/>
        <w:rPr>
          <w:color w:val="auto"/>
        </w:rPr>
      </w:pPr>
      <w:r w:rsidRPr="0093683C">
        <w:rPr>
          <w:color w:val="auto"/>
        </w:rPr>
        <w:t xml:space="preserve">Source: </w:t>
      </w:r>
      <w:r w:rsidRPr="0093683C">
        <w:rPr>
          <w:color w:val="auto"/>
        </w:rPr>
        <w:tab/>
        <w:t>Treasury.</w:t>
      </w:r>
      <w:r w:rsidRPr="0093683C">
        <w:rPr>
          <w:color w:val="auto"/>
          <w:lang w:eastAsia="en-US"/>
        </w:rPr>
        <w:t xml:space="preserve"> </w:t>
      </w:r>
    </w:p>
    <w:p w14:paraId="49709DEC" w14:textId="77777777" w:rsidR="00B3694A" w:rsidRPr="0093683C" w:rsidRDefault="00B3694A" w:rsidP="00B3694A">
      <w:pPr>
        <w:pStyle w:val="ChartLine"/>
        <w:rPr>
          <w:lang w:eastAsia="en-US"/>
        </w:rPr>
      </w:pPr>
    </w:p>
    <w:p w14:paraId="00674094" w14:textId="3A19868E" w:rsidR="00640BA5" w:rsidRPr="0093683C" w:rsidRDefault="00575409" w:rsidP="00640BA5">
      <w:pPr>
        <w:rPr>
          <w:lang w:eastAsia="en-US"/>
        </w:rPr>
      </w:pPr>
      <w:r w:rsidRPr="0093683C">
        <w:rPr>
          <w:lang w:eastAsia="en-US"/>
        </w:rPr>
        <w:t>Net worth is estimated to be –</w:t>
      </w:r>
      <w:r w:rsidR="009D09AC" w:rsidRPr="0093683C">
        <w:rPr>
          <w:lang w:eastAsia="en-US"/>
        </w:rPr>
        <w:t>22.</w:t>
      </w:r>
      <w:r w:rsidR="00B9405C" w:rsidRPr="0093683C">
        <w:rPr>
          <w:lang w:eastAsia="en-US"/>
        </w:rPr>
        <w:t>4</w:t>
      </w:r>
      <w:r w:rsidRPr="0093683C">
        <w:rPr>
          <w:lang w:eastAsia="en-US"/>
        </w:rPr>
        <w:t> per cent of GDP (</w:t>
      </w:r>
      <w:r w:rsidR="008C6DA9" w:rsidRPr="0093683C">
        <w:rPr>
          <w:lang w:eastAsia="en-US"/>
        </w:rPr>
        <w:noBreakHyphen/>
      </w:r>
      <w:r w:rsidR="00927CB3" w:rsidRPr="0093683C">
        <w:rPr>
          <w:lang w:eastAsia="en-US"/>
        </w:rPr>
        <w:t>$</w:t>
      </w:r>
      <w:r w:rsidR="0083406D" w:rsidRPr="0093683C">
        <w:rPr>
          <w:lang w:eastAsia="en-US"/>
        </w:rPr>
        <w:t>55</w:t>
      </w:r>
      <w:r w:rsidR="00927CB3" w:rsidRPr="0093683C">
        <w:rPr>
          <w:lang w:eastAsia="en-US"/>
        </w:rPr>
        <w:t>5</w:t>
      </w:r>
      <w:r w:rsidR="0083406D" w:rsidRPr="0093683C">
        <w:rPr>
          <w:lang w:eastAsia="en-US"/>
        </w:rPr>
        <w:t>.</w:t>
      </w:r>
      <w:r w:rsidR="00927CB3" w:rsidRPr="0093683C">
        <w:rPr>
          <w:lang w:eastAsia="en-US"/>
        </w:rPr>
        <w:t>7</w:t>
      </w:r>
      <w:r w:rsidRPr="0093683C">
        <w:rPr>
          <w:lang w:eastAsia="en-US"/>
        </w:rPr>
        <w:t xml:space="preserve"> billion) </w:t>
      </w:r>
      <w:proofErr w:type="gramStart"/>
      <w:r w:rsidRPr="0093683C">
        <w:rPr>
          <w:lang w:eastAsia="en-US"/>
        </w:rPr>
        <w:t>at</w:t>
      </w:r>
      <w:proofErr w:type="gramEnd"/>
      <w:r w:rsidRPr="0093683C">
        <w:rPr>
          <w:lang w:eastAsia="en-US"/>
        </w:rPr>
        <w:t xml:space="preserve"> 30 June 2023 </w:t>
      </w:r>
      <w:r w:rsidRPr="0093683C">
        <w:t>(Table 3.</w:t>
      </w:r>
      <w:r w:rsidR="00AE4474" w:rsidRPr="0093683C">
        <w:t>6</w:t>
      </w:r>
      <w:r w:rsidRPr="0093683C">
        <w:t>)</w:t>
      </w:r>
      <w:r w:rsidRPr="0093683C">
        <w:rPr>
          <w:lang w:eastAsia="en-US"/>
        </w:rPr>
        <w:t xml:space="preserve">, </w:t>
      </w:r>
      <w:r w:rsidRPr="0093683C">
        <w:t>compared</w:t>
      </w:r>
      <w:r w:rsidRPr="0093683C">
        <w:rPr>
          <w:lang w:eastAsia="en-US"/>
        </w:rPr>
        <w:t xml:space="preserve"> with the estimate of –</w:t>
      </w:r>
      <w:r w:rsidR="00AE5FD5" w:rsidRPr="0093683C">
        <w:rPr>
          <w:lang w:eastAsia="en-US"/>
        </w:rPr>
        <w:t>28.6</w:t>
      </w:r>
      <w:r w:rsidRPr="0093683C">
        <w:rPr>
          <w:lang w:eastAsia="en-US"/>
        </w:rPr>
        <w:t> per cent of GDP (</w:t>
      </w:r>
      <w:r w:rsidRPr="0093683C">
        <w:rPr>
          <w:lang w:eastAsia="en-US"/>
        </w:rPr>
        <w:noBreakHyphen/>
        <w:t>$</w:t>
      </w:r>
      <w:r w:rsidR="00F74AA6" w:rsidRPr="0093683C">
        <w:rPr>
          <w:lang w:eastAsia="en-US"/>
        </w:rPr>
        <w:t>657.5</w:t>
      </w:r>
      <w:r w:rsidRPr="0093683C">
        <w:rPr>
          <w:lang w:eastAsia="en-US"/>
        </w:rPr>
        <w:t xml:space="preserve"> billion) at PEFO. Net worth is projected to </w:t>
      </w:r>
      <w:r w:rsidR="00C31790" w:rsidRPr="0093683C">
        <w:rPr>
          <w:lang w:eastAsia="en-US"/>
        </w:rPr>
        <w:t xml:space="preserve">broadly </w:t>
      </w:r>
      <w:r w:rsidRPr="0093683C">
        <w:rPr>
          <w:lang w:eastAsia="en-US"/>
        </w:rPr>
        <w:t xml:space="preserve">deteriorate to </w:t>
      </w:r>
      <w:r w:rsidR="00276C72" w:rsidRPr="0093683C">
        <w:rPr>
          <w:lang w:eastAsia="en-US"/>
        </w:rPr>
        <w:t>-</w:t>
      </w:r>
      <w:r w:rsidR="00B52D4F" w:rsidRPr="0093683C">
        <w:rPr>
          <w:lang w:eastAsia="en-US"/>
        </w:rPr>
        <w:t>27.1</w:t>
      </w:r>
      <w:r w:rsidRPr="0093683C">
        <w:rPr>
          <w:lang w:eastAsia="en-US"/>
        </w:rPr>
        <w:t xml:space="preserve"> per cent of GDP </w:t>
      </w:r>
      <w:r w:rsidR="00085041" w:rsidRPr="0093683C">
        <w:rPr>
          <w:lang w:eastAsia="en-US"/>
        </w:rPr>
        <w:t>by</w:t>
      </w:r>
      <w:r w:rsidRPr="0093683C">
        <w:rPr>
          <w:lang w:eastAsia="en-US"/>
        </w:rPr>
        <w:t xml:space="preserve"> 30 June 20</w:t>
      </w:r>
      <w:r w:rsidR="00085041" w:rsidRPr="0093683C">
        <w:rPr>
          <w:lang w:eastAsia="en-US"/>
        </w:rPr>
        <w:t>33</w:t>
      </w:r>
      <w:r w:rsidR="00640BA5" w:rsidRPr="0093683C">
        <w:rPr>
          <w:lang w:eastAsia="en-US"/>
        </w:rPr>
        <w:t>.</w:t>
      </w:r>
    </w:p>
    <w:p w14:paraId="14251914" w14:textId="2A8E251A" w:rsidR="00C40D41" w:rsidRPr="0093683C" w:rsidRDefault="00C40D41" w:rsidP="00BF475F">
      <w:pPr>
        <w:rPr>
          <w:sz w:val="22"/>
        </w:rPr>
      </w:pPr>
      <w:r w:rsidRPr="0093683C">
        <w:t xml:space="preserve">The improvement in net worth and net financial worth </w:t>
      </w:r>
      <w:r w:rsidR="00944169" w:rsidRPr="0093683C">
        <w:t xml:space="preserve">over the forward estimates </w:t>
      </w:r>
      <w:r w:rsidRPr="0093683C">
        <w:t xml:space="preserve">primarily </w:t>
      </w:r>
      <w:r w:rsidR="00944169" w:rsidRPr="0093683C">
        <w:t>reflect</w:t>
      </w:r>
      <w:r w:rsidRPr="0093683C">
        <w:t xml:space="preserve"> the same drivers as the improvement in net debt, partially offset by a higher unfunded superannuation liability and </w:t>
      </w:r>
      <w:r w:rsidR="00CB3255" w:rsidRPr="0093683C">
        <w:t>a reduction in the</w:t>
      </w:r>
      <w:r w:rsidRPr="0093683C">
        <w:t xml:space="preserve"> value of Future Fund shares and the Commonwealth’s investment in the Reserve Bank of Australia. </w:t>
      </w:r>
    </w:p>
    <w:p w14:paraId="6E3FC74A" w14:textId="1359C119" w:rsidR="00640BA5" w:rsidRPr="00F36ADA" w:rsidRDefault="00640BA5" w:rsidP="00640BA5">
      <w:pPr>
        <w:rPr>
          <w:color w:val="FF0000"/>
        </w:rPr>
      </w:pPr>
      <w:r w:rsidRPr="00F36ADA">
        <w:rPr>
          <w:color w:val="FF0000"/>
        </w:rPr>
        <w:br w:type="page"/>
      </w:r>
    </w:p>
    <w:p w14:paraId="1FCD64D7" w14:textId="4F01CE72" w:rsidR="006F622A" w:rsidRPr="0093683C" w:rsidRDefault="00640BA5" w:rsidP="00A2726D">
      <w:pPr>
        <w:pStyle w:val="TableHeading"/>
        <w:rPr>
          <w:rFonts w:asciiTheme="minorHAnsi" w:eastAsiaTheme="minorHAnsi" w:hAnsiTheme="minorHAnsi" w:cstheme="minorBidi"/>
          <w:sz w:val="22"/>
          <w:szCs w:val="22"/>
          <w:lang w:eastAsia="en-US"/>
        </w:rPr>
      </w:pPr>
      <w:r w:rsidRPr="0093683C">
        <w:lastRenderedPageBreak/>
        <w:t>Table 3.</w:t>
      </w:r>
      <w:r w:rsidR="00AE4474" w:rsidRPr="0093683C">
        <w:t>6</w:t>
      </w:r>
      <w:r w:rsidRPr="0093683C">
        <w:t>: Australian Government general government sector balance sheet aggregate</w:t>
      </w:r>
      <w:r w:rsidR="00575ACA" w:rsidRPr="0093683C">
        <w:t>s</w:t>
      </w:r>
    </w:p>
    <w:tbl>
      <w:tblPr>
        <w:tblW w:w="5000" w:type="pct"/>
        <w:tblCellMar>
          <w:left w:w="0" w:type="dxa"/>
          <w:right w:w="28" w:type="dxa"/>
        </w:tblCellMar>
        <w:tblLook w:val="04A0" w:firstRow="1" w:lastRow="0" w:firstColumn="1" w:lastColumn="0" w:noHBand="0" w:noVBand="1"/>
        <w:tblCaption w:val="Table"/>
      </w:tblPr>
      <w:tblGrid>
        <w:gridCol w:w="2909"/>
        <w:gridCol w:w="945"/>
        <w:gridCol w:w="130"/>
        <w:gridCol w:w="931"/>
        <w:gridCol w:w="931"/>
        <w:gridCol w:w="931"/>
        <w:gridCol w:w="933"/>
      </w:tblGrid>
      <w:tr w:rsidR="006F622A" w:rsidRPr="0093683C" w14:paraId="50731365" w14:textId="77777777" w:rsidTr="00543848">
        <w:trPr>
          <w:divId w:val="268857863"/>
          <w:trHeight w:hRule="exact" w:val="225"/>
        </w:trPr>
        <w:tc>
          <w:tcPr>
            <w:tcW w:w="1886" w:type="pct"/>
            <w:tcBorders>
              <w:top w:val="single" w:sz="4" w:space="0" w:color="293F5B"/>
              <w:left w:val="nil"/>
              <w:bottom w:val="nil"/>
              <w:right w:val="nil"/>
            </w:tcBorders>
            <w:shd w:val="clear" w:color="000000" w:fill="FFFFFF"/>
            <w:noWrap/>
            <w:vAlign w:val="center"/>
            <w:hideMark/>
          </w:tcPr>
          <w:p w14:paraId="25A25B02"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612" w:type="pct"/>
            <w:tcBorders>
              <w:top w:val="single" w:sz="4" w:space="0" w:color="293F5B"/>
              <w:left w:val="nil"/>
              <w:bottom w:val="single" w:sz="4" w:space="0" w:color="000000"/>
              <w:right w:val="nil"/>
            </w:tcBorders>
            <w:shd w:val="clear" w:color="000000" w:fill="FFFFFF"/>
            <w:noWrap/>
            <w:vAlign w:val="center"/>
            <w:hideMark/>
          </w:tcPr>
          <w:p w14:paraId="608A1977" w14:textId="77777777" w:rsidR="006F622A" w:rsidRPr="0093683C" w:rsidRDefault="006F622A" w:rsidP="006F622A">
            <w:pPr>
              <w:spacing w:before="0" w:after="0" w:line="240" w:lineRule="auto"/>
              <w:jc w:val="center"/>
              <w:rPr>
                <w:rFonts w:ascii="Arial" w:hAnsi="Arial" w:cs="Arial"/>
                <w:sz w:val="16"/>
                <w:szCs w:val="16"/>
              </w:rPr>
            </w:pPr>
            <w:r w:rsidRPr="0093683C">
              <w:rPr>
                <w:rFonts w:ascii="Arial" w:hAnsi="Arial" w:cs="Arial"/>
                <w:sz w:val="16"/>
                <w:szCs w:val="16"/>
              </w:rPr>
              <w:t>Actual</w:t>
            </w:r>
          </w:p>
        </w:tc>
        <w:tc>
          <w:tcPr>
            <w:tcW w:w="84" w:type="pct"/>
            <w:tcBorders>
              <w:top w:val="single" w:sz="4" w:space="0" w:color="293F5B"/>
              <w:left w:val="nil"/>
              <w:bottom w:val="nil"/>
              <w:right w:val="nil"/>
            </w:tcBorders>
            <w:shd w:val="clear" w:color="000000" w:fill="FFFFFF"/>
            <w:noWrap/>
            <w:vAlign w:val="center"/>
            <w:hideMark/>
          </w:tcPr>
          <w:p w14:paraId="2CFFDDD9"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2417" w:type="pct"/>
            <w:gridSpan w:val="4"/>
            <w:tcBorders>
              <w:top w:val="single" w:sz="4" w:space="0" w:color="293F5B"/>
              <w:left w:val="nil"/>
              <w:bottom w:val="single" w:sz="4" w:space="0" w:color="000000"/>
              <w:right w:val="nil"/>
            </w:tcBorders>
            <w:shd w:val="clear" w:color="000000" w:fill="FFFFFF"/>
            <w:noWrap/>
            <w:vAlign w:val="center"/>
            <w:hideMark/>
          </w:tcPr>
          <w:p w14:paraId="6EEE8BB8" w14:textId="77777777" w:rsidR="006F622A" w:rsidRPr="0093683C" w:rsidRDefault="006F622A" w:rsidP="006F622A">
            <w:pPr>
              <w:spacing w:before="0" w:after="0" w:line="240" w:lineRule="auto"/>
              <w:jc w:val="center"/>
              <w:rPr>
                <w:rFonts w:ascii="Arial" w:hAnsi="Arial" w:cs="Arial"/>
                <w:sz w:val="16"/>
                <w:szCs w:val="16"/>
              </w:rPr>
            </w:pPr>
            <w:r w:rsidRPr="0093683C">
              <w:rPr>
                <w:rFonts w:ascii="Arial" w:hAnsi="Arial" w:cs="Arial"/>
                <w:sz w:val="16"/>
                <w:szCs w:val="16"/>
              </w:rPr>
              <w:t>Estimates</w:t>
            </w:r>
          </w:p>
        </w:tc>
      </w:tr>
      <w:tr w:rsidR="006F622A" w:rsidRPr="0093683C" w14:paraId="47AD7D25"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69BBE5C7"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612" w:type="pct"/>
            <w:tcBorders>
              <w:top w:val="single" w:sz="4" w:space="0" w:color="auto"/>
              <w:left w:val="nil"/>
              <w:bottom w:val="nil"/>
              <w:right w:val="nil"/>
            </w:tcBorders>
            <w:shd w:val="clear" w:color="000000" w:fill="FFFFFF"/>
            <w:noWrap/>
            <w:vAlign w:val="center"/>
            <w:hideMark/>
          </w:tcPr>
          <w:p w14:paraId="686AE632"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2021-22</w:t>
            </w:r>
          </w:p>
        </w:tc>
        <w:tc>
          <w:tcPr>
            <w:tcW w:w="84" w:type="pct"/>
            <w:tcBorders>
              <w:top w:val="nil"/>
              <w:left w:val="nil"/>
              <w:bottom w:val="nil"/>
              <w:right w:val="nil"/>
            </w:tcBorders>
            <w:shd w:val="clear" w:color="000000" w:fill="FFFFFF"/>
            <w:noWrap/>
            <w:vAlign w:val="center"/>
            <w:hideMark/>
          </w:tcPr>
          <w:p w14:paraId="680E035F"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single" w:sz="4" w:space="0" w:color="auto"/>
              <w:left w:val="nil"/>
              <w:bottom w:val="nil"/>
              <w:right w:val="nil"/>
            </w:tcBorders>
            <w:shd w:val="clear" w:color="000000" w:fill="E6F2FF"/>
            <w:noWrap/>
            <w:vAlign w:val="center"/>
            <w:hideMark/>
          </w:tcPr>
          <w:p w14:paraId="7CA45356"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2022-23</w:t>
            </w:r>
          </w:p>
        </w:tc>
        <w:tc>
          <w:tcPr>
            <w:tcW w:w="604" w:type="pct"/>
            <w:tcBorders>
              <w:top w:val="single" w:sz="4" w:space="0" w:color="auto"/>
              <w:left w:val="nil"/>
              <w:bottom w:val="nil"/>
              <w:right w:val="nil"/>
            </w:tcBorders>
            <w:shd w:val="clear" w:color="000000" w:fill="FFFFFF"/>
            <w:noWrap/>
            <w:vAlign w:val="center"/>
            <w:hideMark/>
          </w:tcPr>
          <w:p w14:paraId="471E05CD"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2023-24</w:t>
            </w:r>
          </w:p>
        </w:tc>
        <w:tc>
          <w:tcPr>
            <w:tcW w:w="604" w:type="pct"/>
            <w:tcBorders>
              <w:top w:val="single" w:sz="4" w:space="0" w:color="auto"/>
              <w:left w:val="nil"/>
              <w:bottom w:val="nil"/>
              <w:right w:val="nil"/>
            </w:tcBorders>
            <w:shd w:val="clear" w:color="000000" w:fill="FFFFFF"/>
            <w:noWrap/>
            <w:vAlign w:val="center"/>
            <w:hideMark/>
          </w:tcPr>
          <w:p w14:paraId="65D1512D"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2024-25</w:t>
            </w:r>
          </w:p>
        </w:tc>
        <w:tc>
          <w:tcPr>
            <w:tcW w:w="604" w:type="pct"/>
            <w:tcBorders>
              <w:top w:val="single" w:sz="4" w:space="0" w:color="auto"/>
              <w:left w:val="nil"/>
              <w:bottom w:val="nil"/>
              <w:right w:val="nil"/>
            </w:tcBorders>
            <w:shd w:val="clear" w:color="000000" w:fill="FFFFFF"/>
            <w:noWrap/>
            <w:vAlign w:val="center"/>
            <w:hideMark/>
          </w:tcPr>
          <w:p w14:paraId="2A242508"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2025-26</w:t>
            </w:r>
          </w:p>
        </w:tc>
      </w:tr>
      <w:tr w:rsidR="006F622A" w:rsidRPr="0093683C" w14:paraId="79BFD329"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65A6DB17"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612" w:type="pct"/>
            <w:tcBorders>
              <w:top w:val="nil"/>
              <w:left w:val="nil"/>
              <w:bottom w:val="single" w:sz="4" w:space="0" w:color="000000"/>
              <w:right w:val="nil"/>
            </w:tcBorders>
            <w:shd w:val="clear" w:color="000000" w:fill="FFFFFF"/>
            <w:noWrap/>
            <w:vAlign w:val="center"/>
            <w:hideMark/>
          </w:tcPr>
          <w:p w14:paraId="4D2FFBB6"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$b</w:t>
            </w:r>
          </w:p>
        </w:tc>
        <w:tc>
          <w:tcPr>
            <w:tcW w:w="84" w:type="pct"/>
            <w:tcBorders>
              <w:top w:val="nil"/>
              <w:left w:val="nil"/>
              <w:bottom w:val="nil"/>
              <w:right w:val="nil"/>
            </w:tcBorders>
            <w:shd w:val="clear" w:color="000000" w:fill="FFFFFF"/>
            <w:noWrap/>
            <w:vAlign w:val="center"/>
            <w:hideMark/>
          </w:tcPr>
          <w:p w14:paraId="44D866B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single" w:sz="4" w:space="0" w:color="000000"/>
              <w:right w:val="nil"/>
            </w:tcBorders>
            <w:shd w:val="clear" w:color="000000" w:fill="E6F2FF"/>
            <w:noWrap/>
            <w:vAlign w:val="center"/>
            <w:hideMark/>
          </w:tcPr>
          <w:p w14:paraId="3CE915AE"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$b</w:t>
            </w:r>
          </w:p>
        </w:tc>
        <w:tc>
          <w:tcPr>
            <w:tcW w:w="604" w:type="pct"/>
            <w:tcBorders>
              <w:top w:val="nil"/>
              <w:left w:val="nil"/>
              <w:bottom w:val="single" w:sz="4" w:space="0" w:color="000000"/>
              <w:right w:val="nil"/>
            </w:tcBorders>
            <w:shd w:val="clear" w:color="000000" w:fill="FFFFFF"/>
            <w:noWrap/>
            <w:vAlign w:val="center"/>
            <w:hideMark/>
          </w:tcPr>
          <w:p w14:paraId="54F18B94"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$b</w:t>
            </w:r>
          </w:p>
        </w:tc>
        <w:tc>
          <w:tcPr>
            <w:tcW w:w="604" w:type="pct"/>
            <w:tcBorders>
              <w:top w:val="nil"/>
              <w:left w:val="nil"/>
              <w:bottom w:val="single" w:sz="4" w:space="0" w:color="000000"/>
              <w:right w:val="nil"/>
            </w:tcBorders>
            <w:shd w:val="clear" w:color="000000" w:fill="FFFFFF"/>
            <w:noWrap/>
            <w:vAlign w:val="center"/>
            <w:hideMark/>
          </w:tcPr>
          <w:p w14:paraId="51847EA9"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$b</w:t>
            </w:r>
          </w:p>
        </w:tc>
        <w:tc>
          <w:tcPr>
            <w:tcW w:w="604" w:type="pct"/>
            <w:tcBorders>
              <w:top w:val="nil"/>
              <w:left w:val="nil"/>
              <w:bottom w:val="single" w:sz="4" w:space="0" w:color="000000"/>
              <w:right w:val="nil"/>
            </w:tcBorders>
            <w:shd w:val="clear" w:color="000000" w:fill="FFFFFF"/>
            <w:noWrap/>
            <w:vAlign w:val="center"/>
            <w:hideMark/>
          </w:tcPr>
          <w:p w14:paraId="62FC07B0"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$b</w:t>
            </w:r>
          </w:p>
        </w:tc>
      </w:tr>
      <w:tr w:rsidR="006F622A" w:rsidRPr="0093683C" w14:paraId="0BB25E11"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4F14BF22"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Financial assets</w:t>
            </w:r>
          </w:p>
        </w:tc>
        <w:tc>
          <w:tcPr>
            <w:tcW w:w="612" w:type="pct"/>
            <w:tcBorders>
              <w:top w:val="nil"/>
              <w:left w:val="nil"/>
              <w:bottom w:val="nil"/>
              <w:right w:val="nil"/>
            </w:tcBorders>
            <w:shd w:val="clear" w:color="000000" w:fill="FFFFFF"/>
            <w:noWrap/>
            <w:vAlign w:val="center"/>
            <w:hideMark/>
          </w:tcPr>
          <w:p w14:paraId="69F5634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569.7</w:t>
            </w:r>
          </w:p>
        </w:tc>
        <w:tc>
          <w:tcPr>
            <w:tcW w:w="84" w:type="pct"/>
            <w:tcBorders>
              <w:top w:val="nil"/>
              <w:left w:val="nil"/>
              <w:bottom w:val="nil"/>
              <w:right w:val="nil"/>
            </w:tcBorders>
            <w:shd w:val="clear" w:color="000000" w:fill="FFFFFF"/>
            <w:noWrap/>
            <w:vAlign w:val="center"/>
            <w:hideMark/>
          </w:tcPr>
          <w:p w14:paraId="05EE722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279E60C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560.5</w:t>
            </w:r>
          </w:p>
        </w:tc>
        <w:tc>
          <w:tcPr>
            <w:tcW w:w="604" w:type="pct"/>
            <w:tcBorders>
              <w:top w:val="nil"/>
              <w:left w:val="nil"/>
              <w:bottom w:val="nil"/>
              <w:right w:val="nil"/>
            </w:tcBorders>
            <w:shd w:val="clear" w:color="000000" w:fill="FFFFFF"/>
            <w:noWrap/>
            <w:vAlign w:val="center"/>
            <w:hideMark/>
          </w:tcPr>
          <w:p w14:paraId="01F413A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598.3</w:t>
            </w:r>
          </w:p>
        </w:tc>
        <w:tc>
          <w:tcPr>
            <w:tcW w:w="604" w:type="pct"/>
            <w:tcBorders>
              <w:top w:val="nil"/>
              <w:left w:val="nil"/>
              <w:bottom w:val="nil"/>
              <w:right w:val="nil"/>
            </w:tcBorders>
            <w:shd w:val="clear" w:color="000000" w:fill="FFFFFF"/>
            <w:noWrap/>
            <w:vAlign w:val="center"/>
            <w:hideMark/>
          </w:tcPr>
          <w:p w14:paraId="0BA3BC1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635.1</w:t>
            </w:r>
          </w:p>
        </w:tc>
        <w:tc>
          <w:tcPr>
            <w:tcW w:w="604" w:type="pct"/>
            <w:tcBorders>
              <w:top w:val="nil"/>
              <w:left w:val="nil"/>
              <w:bottom w:val="nil"/>
              <w:right w:val="nil"/>
            </w:tcBorders>
            <w:shd w:val="clear" w:color="000000" w:fill="FFFFFF"/>
            <w:noWrap/>
            <w:vAlign w:val="center"/>
            <w:hideMark/>
          </w:tcPr>
          <w:p w14:paraId="2372F1C8"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655.5</w:t>
            </w:r>
          </w:p>
        </w:tc>
      </w:tr>
      <w:tr w:rsidR="006F622A" w:rsidRPr="0093683C" w14:paraId="0997677C"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54CF634A"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3320FD6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24.8</w:t>
            </w:r>
          </w:p>
        </w:tc>
        <w:tc>
          <w:tcPr>
            <w:tcW w:w="84" w:type="pct"/>
            <w:tcBorders>
              <w:top w:val="nil"/>
              <w:left w:val="nil"/>
              <w:bottom w:val="nil"/>
              <w:right w:val="nil"/>
            </w:tcBorders>
            <w:shd w:val="clear" w:color="000000" w:fill="FFFFFF"/>
            <w:noWrap/>
            <w:vAlign w:val="center"/>
            <w:hideMark/>
          </w:tcPr>
          <w:p w14:paraId="13A6A07B"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7A674168"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22.6</w:t>
            </w:r>
          </w:p>
        </w:tc>
        <w:tc>
          <w:tcPr>
            <w:tcW w:w="604" w:type="pct"/>
            <w:tcBorders>
              <w:top w:val="nil"/>
              <w:left w:val="nil"/>
              <w:bottom w:val="nil"/>
              <w:right w:val="nil"/>
            </w:tcBorders>
            <w:shd w:val="clear" w:color="000000" w:fill="FFFFFF"/>
            <w:noWrap/>
            <w:vAlign w:val="center"/>
            <w:hideMark/>
          </w:tcPr>
          <w:p w14:paraId="664531D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24.3</w:t>
            </w:r>
          </w:p>
        </w:tc>
        <w:tc>
          <w:tcPr>
            <w:tcW w:w="604" w:type="pct"/>
            <w:tcBorders>
              <w:top w:val="nil"/>
              <w:left w:val="nil"/>
              <w:bottom w:val="nil"/>
              <w:right w:val="nil"/>
            </w:tcBorders>
            <w:shd w:val="clear" w:color="000000" w:fill="FFFFFF"/>
            <w:noWrap/>
            <w:vAlign w:val="center"/>
            <w:hideMark/>
          </w:tcPr>
          <w:p w14:paraId="0796A12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24.8</w:t>
            </w:r>
          </w:p>
        </w:tc>
        <w:tc>
          <w:tcPr>
            <w:tcW w:w="604" w:type="pct"/>
            <w:tcBorders>
              <w:top w:val="nil"/>
              <w:left w:val="nil"/>
              <w:bottom w:val="nil"/>
              <w:right w:val="nil"/>
            </w:tcBorders>
            <w:shd w:val="clear" w:color="000000" w:fill="FFFFFF"/>
            <w:noWrap/>
            <w:vAlign w:val="center"/>
            <w:hideMark/>
          </w:tcPr>
          <w:p w14:paraId="38B16C60"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24.4</w:t>
            </w:r>
          </w:p>
        </w:tc>
      </w:tr>
      <w:tr w:rsidR="006F622A" w:rsidRPr="0093683C" w14:paraId="049CF238"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1069B3E7"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w:t>
            </w:r>
          </w:p>
        </w:tc>
        <w:tc>
          <w:tcPr>
            <w:tcW w:w="612" w:type="pct"/>
            <w:tcBorders>
              <w:top w:val="nil"/>
              <w:left w:val="nil"/>
              <w:bottom w:val="nil"/>
              <w:right w:val="nil"/>
            </w:tcBorders>
            <w:shd w:val="clear" w:color="000000" w:fill="FFFFFF"/>
            <w:noWrap/>
            <w:vAlign w:val="center"/>
            <w:hideMark/>
          </w:tcPr>
          <w:p w14:paraId="42274CB5"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84" w:type="pct"/>
            <w:tcBorders>
              <w:top w:val="nil"/>
              <w:left w:val="nil"/>
              <w:bottom w:val="nil"/>
              <w:right w:val="nil"/>
            </w:tcBorders>
            <w:shd w:val="clear" w:color="000000" w:fill="FFFFFF"/>
            <w:noWrap/>
            <w:vAlign w:val="center"/>
            <w:hideMark/>
          </w:tcPr>
          <w:p w14:paraId="78B68089"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0C6DFE3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72BEFE03"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2423BE77"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0A4E9B00"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r>
      <w:tr w:rsidR="006F622A" w:rsidRPr="0093683C" w14:paraId="38D1E2EA"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1405100F"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Non-financial assets</w:t>
            </w:r>
          </w:p>
        </w:tc>
        <w:tc>
          <w:tcPr>
            <w:tcW w:w="612" w:type="pct"/>
            <w:tcBorders>
              <w:top w:val="nil"/>
              <w:left w:val="nil"/>
              <w:bottom w:val="nil"/>
              <w:right w:val="nil"/>
            </w:tcBorders>
            <w:shd w:val="clear" w:color="000000" w:fill="FFFFFF"/>
            <w:noWrap/>
            <w:vAlign w:val="center"/>
            <w:hideMark/>
          </w:tcPr>
          <w:p w14:paraId="2145CE6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194.0</w:t>
            </w:r>
          </w:p>
        </w:tc>
        <w:tc>
          <w:tcPr>
            <w:tcW w:w="84" w:type="pct"/>
            <w:tcBorders>
              <w:top w:val="nil"/>
              <w:left w:val="nil"/>
              <w:bottom w:val="nil"/>
              <w:right w:val="nil"/>
            </w:tcBorders>
            <w:shd w:val="clear" w:color="000000" w:fill="FFFFFF"/>
            <w:noWrap/>
            <w:vAlign w:val="center"/>
            <w:hideMark/>
          </w:tcPr>
          <w:p w14:paraId="0E0B9BF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6E6BDB3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205.5</w:t>
            </w:r>
          </w:p>
        </w:tc>
        <w:tc>
          <w:tcPr>
            <w:tcW w:w="604" w:type="pct"/>
            <w:tcBorders>
              <w:top w:val="nil"/>
              <w:left w:val="nil"/>
              <w:bottom w:val="nil"/>
              <w:right w:val="nil"/>
            </w:tcBorders>
            <w:shd w:val="clear" w:color="000000" w:fill="FFFFFF"/>
            <w:noWrap/>
            <w:vAlign w:val="center"/>
            <w:hideMark/>
          </w:tcPr>
          <w:p w14:paraId="3AC6214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216.4</w:t>
            </w:r>
          </w:p>
        </w:tc>
        <w:tc>
          <w:tcPr>
            <w:tcW w:w="604" w:type="pct"/>
            <w:tcBorders>
              <w:top w:val="nil"/>
              <w:left w:val="nil"/>
              <w:bottom w:val="nil"/>
              <w:right w:val="nil"/>
            </w:tcBorders>
            <w:shd w:val="clear" w:color="000000" w:fill="FFFFFF"/>
            <w:noWrap/>
            <w:vAlign w:val="center"/>
            <w:hideMark/>
          </w:tcPr>
          <w:p w14:paraId="5DF684B7"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226.6</w:t>
            </w:r>
          </w:p>
        </w:tc>
        <w:tc>
          <w:tcPr>
            <w:tcW w:w="604" w:type="pct"/>
            <w:tcBorders>
              <w:top w:val="nil"/>
              <w:left w:val="nil"/>
              <w:bottom w:val="nil"/>
              <w:right w:val="nil"/>
            </w:tcBorders>
            <w:shd w:val="clear" w:color="000000" w:fill="FFFFFF"/>
            <w:noWrap/>
            <w:vAlign w:val="center"/>
            <w:hideMark/>
          </w:tcPr>
          <w:p w14:paraId="554E52F8"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235.7</w:t>
            </w:r>
          </w:p>
        </w:tc>
      </w:tr>
      <w:tr w:rsidR="006F622A" w:rsidRPr="0093683C" w14:paraId="5E714720"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66FAF748"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44ED81E9"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8.4</w:t>
            </w:r>
          </w:p>
        </w:tc>
        <w:tc>
          <w:tcPr>
            <w:tcW w:w="84" w:type="pct"/>
            <w:tcBorders>
              <w:top w:val="nil"/>
              <w:left w:val="nil"/>
              <w:bottom w:val="nil"/>
              <w:right w:val="nil"/>
            </w:tcBorders>
            <w:shd w:val="clear" w:color="000000" w:fill="FFFFFF"/>
            <w:noWrap/>
            <w:vAlign w:val="center"/>
            <w:hideMark/>
          </w:tcPr>
          <w:p w14:paraId="669DB20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4AC4272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8.3</w:t>
            </w:r>
          </w:p>
        </w:tc>
        <w:tc>
          <w:tcPr>
            <w:tcW w:w="604" w:type="pct"/>
            <w:tcBorders>
              <w:top w:val="nil"/>
              <w:left w:val="nil"/>
              <w:bottom w:val="nil"/>
              <w:right w:val="nil"/>
            </w:tcBorders>
            <w:shd w:val="clear" w:color="000000" w:fill="FFFFFF"/>
            <w:noWrap/>
            <w:vAlign w:val="center"/>
            <w:hideMark/>
          </w:tcPr>
          <w:p w14:paraId="621E4D11"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8.8</w:t>
            </w:r>
          </w:p>
        </w:tc>
        <w:tc>
          <w:tcPr>
            <w:tcW w:w="604" w:type="pct"/>
            <w:tcBorders>
              <w:top w:val="nil"/>
              <w:left w:val="nil"/>
              <w:bottom w:val="nil"/>
              <w:right w:val="nil"/>
            </w:tcBorders>
            <w:shd w:val="clear" w:color="000000" w:fill="FFFFFF"/>
            <w:noWrap/>
            <w:vAlign w:val="center"/>
            <w:hideMark/>
          </w:tcPr>
          <w:p w14:paraId="3F7F7FD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8.8</w:t>
            </w:r>
          </w:p>
        </w:tc>
        <w:tc>
          <w:tcPr>
            <w:tcW w:w="604" w:type="pct"/>
            <w:tcBorders>
              <w:top w:val="nil"/>
              <w:left w:val="nil"/>
              <w:bottom w:val="nil"/>
              <w:right w:val="nil"/>
            </w:tcBorders>
            <w:shd w:val="clear" w:color="000000" w:fill="FFFFFF"/>
            <w:noWrap/>
            <w:vAlign w:val="center"/>
            <w:hideMark/>
          </w:tcPr>
          <w:p w14:paraId="1957F57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8.8</w:t>
            </w:r>
          </w:p>
        </w:tc>
      </w:tr>
      <w:tr w:rsidR="006F622A" w:rsidRPr="0093683C" w14:paraId="03DC0BD3"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3AC26F7E"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612" w:type="pct"/>
            <w:tcBorders>
              <w:top w:val="nil"/>
              <w:left w:val="nil"/>
              <w:bottom w:val="nil"/>
              <w:right w:val="nil"/>
            </w:tcBorders>
            <w:shd w:val="clear" w:color="000000" w:fill="FFFFFF"/>
            <w:noWrap/>
            <w:vAlign w:val="center"/>
            <w:hideMark/>
          </w:tcPr>
          <w:p w14:paraId="503BF89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84" w:type="pct"/>
            <w:tcBorders>
              <w:top w:val="nil"/>
              <w:left w:val="nil"/>
              <w:bottom w:val="nil"/>
              <w:right w:val="nil"/>
            </w:tcBorders>
            <w:shd w:val="clear" w:color="000000" w:fill="FFFFFF"/>
            <w:noWrap/>
            <w:vAlign w:val="center"/>
            <w:hideMark/>
          </w:tcPr>
          <w:p w14:paraId="27BC54BB"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7F0B5349"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7087110D"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08A6118B"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65FBB1A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r>
      <w:tr w:rsidR="006F622A" w:rsidRPr="0093683C" w14:paraId="3CC3C57D"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2BBE4631"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Total assets</w:t>
            </w:r>
          </w:p>
        </w:tc>
        <w:tc>
          <w:tcPr>
            <w:tcW w:w="612" w:type="pct"/>
            <w:tcBorders>
              <w:top w:val="nil"/>
              <w:left w:val="nil"/>
              <w:bottom w:val="nil"/>
              <w:right w:val="nil"/>
            </w:tcBorders>
            <w:shd w:val="clear" w:color="000000" w:fill="FFFFFF"/>
            <w:noWrap/>
            <w:vAlign w:val="center"/>
            <w:hideMark/>
          </w:tcPr>
          <w:p w14:paraId="3D97838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763.6</w:t>
            </w:r>
          </w:p>
        </w:tc>
        <w:tc>
          <w:tcPr>
            <w:tcW w:w="84" w:type="pct"/>
            <w:tcBorders>
              <w:top w:val="nil"/>
              <w:left w:val="nil"/>
              <w:bottom w:val="nil"/>
              <w:right w:val="nil"/>
            </w:tcBorders>
            <w:shd w:val="clear" w:color="000000" w:fill="FFFFFF"/>
            <w:noWrap/>
            <w:vAlign w:val="center"/>
            <w:hideMark/>
          </w:tcPr>
          <w:p w14:paraId="789E38B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68F3DBA3"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766.0</w:t>
            </w:r>
          </w:p>
        </w:tc>
        <w:tc>
          <w:tcPr>
            <w:tcW w:w="604" w:type="pct"/>
            <w:tcBorders>
              <w:top w:val="nil"/>
              <w:left w:val="nil"/>
              <w:bottom w:val="nil"/>
              <w:right w:val="nil"/>
            </w:tcBorders>
            <w:shd w:val="clear" w:color="000000" w:fill="FFFFFF"/>
            <w:noWrap/>
            <w:vAlign w:val="center"/>
            <w:hideMark/>
          </w:tcPr>
          <w:p w14:paraId="6E3DFDE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814.7</w:t>
            </w:r>
          </w:p>
        </w:tc>
        <w:tc>
          <w:tcPr>
            <w:tcW w:w="604" w:type="pct"/>
            <w:tcBorders>
              <w:top w:val="nil"/>
              <w:left w:val="nil"/>
              <w:bottom w:val="nil"/>
              <w:right w:val="nil"/>
            </w:tcBorders>
            <w:shd w:val="clear" w:color="000000" w:fill="FFFFFF"/>
            <w:noWrap/>
            <w:vAlign w:val="center"/>
            <w:hideMark/>
          </w:tcPr>
          <w:p w14:paraId="5B42E3F5"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861.7</w:t>
            </w:r>
          </w:p>
        </w:tc>
        <w:tc>
          <w:tcPr>
            <w:tcW w:w="604" w:type="pct"/>
            <w:tcBorders>
              <w:top w:val="nil"/>
              <w:left w:val="nil"/>
              <w:bottom w:val="nil"/>
              <w:right w:val="nil"/>
            </w:tcBorders>
            <w:shd w:val="clear" w:color="000000" w:fill="FFFFFF"/>
            <w:noWrap/>
            <w:vAlign w:val="center"/>
            <w:hideMark/>
          </w:tcPr>
          <w:p w14:paraId="303001D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891.2</w:t>
            </w:r>
          </w:p>
        </w:tc>
      </w:tr>
      <w:tr w:rsidR="006F622A" w:rsidRPr="0093683C" w14:paraId="55D2831C"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3D7C1637"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5C6D1299"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33.3</w:t>
            </w:r>
          </w:p>
        </w:tc>
        <w:tc>
          <w:tcPr>
            <w:tcW w:w="84" w:type="pct"/>
            <w:tcBorders>
              <w:top w:val="nil"/>
              <w:left w:val="nil"/>
              <w:bottom w:val="nil"/>
              <w:right w:val="nil"/>
            </w:tcBorders>
            <w:shd w:val="clear" w:color="000000" w:fill="FFFFFF"/>
            <w:noWrap/>
            <w:vAlign w:val="center"/>
            <w:hideMark/>
          </w:tcPr>
          <w:p w14:paraId="5F6F508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4C70EF7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30.9</w:t>
            </w:r>
          </w:p>
        </w:tc>
        <w:tc>
          <w:tcPr>
            <w:tcW w:w="604" w:type="pct"/>
            <w:tcBorders>
              <w:top w:val="nil"/>
              <w:left w:val="nil"/>
              <w:bottom w:val="nil"/>
              <w:right w:val="nil"/>
            </w:tcBorders>
            <w:shd w:val="clear" w:color="000000" w:fill="FFFFFF"/>
            <w:noWrap/>
            <w:vAlign w:val="center"/>
            <w:hideMark/>
          </w:tcPr>
          <w:p w14:paraId="239F3FF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33.1</w:t>
            </w:r>
          </w:p>
        </w:tc>
        <w:tc>
          <w:tcPr>
            <w:tcW w:w="604" w:type="pct"/>
            <w:tcBorders>
              <w:top w:val="nil"/>
              <w:left w:val="nil"/>
              <w:bottom w:val="nil"/>
              <w:right w:val="nil"/>
            </w:tcBorders>
            <w:shd w:val="clear" w:color="000000" w:fill="FFFFFF"/>
            <w:noWrap/>
            <w:vAlign w:val="center"/>
            <w:hideMark/>
          </w:tcPr>
          <w:p w14:paraId="2F667047"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33.6</w:t>
            </w:r>
          </w:p>
        </w:tc>
        <w:tc>
          <w:tcPr>
            <w:tcW w:w="604" w:type="pct"/>
            <w:tcBorders>
              <w:top w:val="nil"/>
              <w:left w:val="nil"/>
              <w:bottom w:val="nil"/>
              <w:right w:val="nil"/>
            </w:tcBorders>
            <w:shd w:val="clear" w:color="000000" w:fill="FFFFFF"/>
            <w:noWrap/>
            <w:vAlign w:val="center"/>
            <w:hideMark/>
          </w:tcPr>
          <w:p w14:paraId="07EE2372"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33.1</w:t>
            </w:r>
          </w:p>
        </w:tc>
      </w:tr>
      <w:tr w:rsidR="006F622A" w:rsidRPr="0093683C" w14:paraId="2D342C1F"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07FCB9F1"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w:t>
            </w:r>
          </w:p>
        </w:tc>
        <w:tc>
          <w:tcPr>
            <w:tcW w:w="612" w:type="pct"/>
            <w:tcBorders>
              <w:top w:val="nil"/>
              <w:left w:val="nil"/>
              <w:bottom w:val="nil"/>
              <w:right w:val="nil"/>
            </w:tcBorders>
            <w:shd w:val="clear" w:color="000000" w:fill="FFFFFF"/>
            <w:noWrap/>
            <w:vAlign w:val="center"/>
            <w:hideMark/>
          </w:tcPr>
          <w:p w14:paraId="0576143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84" w:type="pct"/>
            <w:tcBorders>
              <w:top w:val="nil"/>
              <w:left w:val="nil"/>
              <w:bottom w:val="nil"/>
              <w:right w:val="nil"/>
            </w:tcBorders>
            <w:shd w:val="clear" w:color="000000" w:fill="FFFFFF"/>
            <w:noWrap/>
            <w:vAlign w:val="center"/>
            <w:hideMark/>
          </w:tcPr>
          <w:p w14:paraId="1DF153C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4E27A0B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614D080F"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633B0C27"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6B4E12CD"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r>
      <w:tr w:rsidR="006F622A" w:rsidRPr="0093683C" w14:paraId="0634D3EE"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458D7F99"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Total liabilities</w:t>
            </w:r>
          </w:p>
        </w:tc>
        <w:tc>
          <w:tcPr>
            <w:tcW w:w="612" w:type="pct"/>
            <w:tcBorders>
              <w:top w:val="nil"/>
              <w:left w:val="nil"/>
              <w:bottom w:val="nil"/>
              <w:right w:val="nil"/>
            </w:tcBorders>
            <w:shd w:val="clear" w:color="000000" w:fill="FFFFFF"/>
            <w:noWrap/>
            <w:vAlign w:val="center"/>
            <w:hideMark/>
          </w:tcPr>
          <w:p w14:paraId="6064DE5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1,345.4</w:t>
            </w:r>
          </w:p>
        </w:tc>
        <w:tc>
          <w:tcPr>
            <w:tcW w:w="84" w:type="pct"/>
            <w:tcBorders>
              <w:top w:val="nil"/>
              <w:left w:val="nil"/>
              <w:bottom w:val="nil"/>
              <w:right w:val="nil"/>
            </w:tcBorders>
            <w:shd w:val="clear" w:color="000000" w:fill="FFFFFF"/>
            <w:noWrap/>
            <w:vAlign w:val="center"/>
            <w:hideMark/>
          </w:tcPr>
          <w:p w14:paraId="18B337B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2E6DBF4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1,321.6</w:t>
            </w:r>
          </w:p>
        </w:tc>
        <w:tc>
          <w:tcPr>
            <w:tcW w:w="604" w:type="pct"/>
            <w:tcBorders>
              <w:top w:val="nil"/>
              <w:left w:val="nil"/>
              <w:bottom w:val="nil"/>
              <w:right w:val="nil"/>
            </w:tcBorders>
            <w:shd w:val="clear" w:color="000000" w:fill="FFFFFF"/>
            <w:noWrap/>
            <w:vAlign w:val="center"/>
            <w:hideMark/>
          </w:tcPr>
          <w:p w14:paraId="434FBF10"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1,415.3</w:t>
            </w:r>
          </w:p>
        </w:tc>
        <w:tc>
          <w:tcPr>
            <w:tcW w:w="604" w:type="pct"/>
            <w:tcBorders>
              <w:top w:val="nil"/>
              <w:left w:val="nil"/>
              <w:bottom w:val="nil"/>
              <w:right w:val="nil"/>
            </w:tcBorders>
            <w:shd w:val="clear" w:color="000000" w:fill="FFFFFF"/>
            <w:noWrap/>
            <w:vAlign w:val="center"/>
            <w:hideMark/>
          </w:tcPr>
          <w:p w14:paraId="6561B27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1,523.4</w:t>
            </w:r>
          </w:p>
        </w:tc>
        <w:tc>
          <w:tcPr>
            <w:tcW w:w="604" w:type="pct"/>
            <w:tcBorders>
              <w:top w:val="nil"/>
              <w:left w:val="nil"/>
              <w:bottom w:val="nil"/>
              <w:right w:val="nil"/>
            </w:tcBorders>
            <w:shd w:val="clear" w:color="000000" w:fill="FFFFFF"/>
            <w:noWrap/>
            <w:vAlign w:val="center"/>
            <w:hideMark/>
          </w:tcPr>
          <w:p w14:paraId="7008370D"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1,602.1</w:t>
            </w:r>
          </w:p>
        </w:tc>
      </w:tr>
      <w:tr w:rsidR="006F622A" w:rsidRPr="0093683C" w14:paraId="692EB9FF"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33B2FBA6"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746CCCE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58.6</w:t>
            </w:r>
          </w:p>
        </w:tc>
        <w:tc>
          <w:tcPr>
            <w:tcW w:w="84" w:type="pct"/>
            <w:tcBorders>
              <w:top w:val="nil"/>
              <w:left w:val="nil"/>
              <w:bottom w:val="nil"/>
              <w:right w:val="nil"/>
            </w:tcBorders>
            <w:shd w:val="clear" w:color="000000" w:fill="FFFFFF"/>
            <w:noWrap/>
            <w:vAlign w:val="center"/>
            <w:hideMark/>
          </w:tcPr>
          <w:p w14:paraId="0CFD52DF"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6D60FB38"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53.2</w:t>
            </w:r>
          </w:p>
        </w:tc>
        <w:tc>
          <w:tcPr>
            <w:tcW w:w="604" w:type="pct"/>
            <w:tcBorders>
              <w:top w:val="nil"/>
              <w:left w:val="nil"/>
              <w:bottom w:val="nil"/>
              <w:right w:val="nil"/>
            </w:tcBorders>
            <w:shd w:val="clear" w:color="000000" w:fill="FFFFFF"/>
            <w:noWrap/>
            <w:vAlign w:val="center"/>
            <w:hideMark/>
          </w:tcPr>
          <w:p w14:paraId="3C9274C0"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57.5</w:t>
            </w:r>
          </w:p>
        </w:tc>
        <w:tc>
          <w:tcPr>
            <w:tcW w:w="604" w:type="pct"/>
            <w:tcBorders>
              <w:top w:val="nil"/>
              <w:left w:val="nil"/>
              <w:bottom w:val="nil"/>
              <w:right w:val="nil"/>
            </w:tcBorders>
            <w:shd w:val="clear" w:color="000000" w:fill="FFFFFF"/>
            <w:noWrap/>
            <w:vAlign w:val="center"/>
            <w:hideMark/>
          </w:tcPr>
          <w:p w14:paraId="5995C8AF"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59.4</w:t>
            </w:r>
          </w:p>
        </w:tc>
        <w:tc>
          <w:tcPr>
            <w:tcW w:w="604" w:type="pct"/>
            <w:tcBorders>
              <w:top w:val="nil"/>
              <w:left w:val="nil"/>
              <w:bottom w:val="nil"/>
              <w:right w:val="nil"/>
            </w:tcBorders>
            <w:shd w:val="clear" w:color="000000" w:fill="FFFFFF"/>
            <w:noWrap/>
            <w:vAlign w:val="center"/>
            <w:hideMark/>
          </w:tcPr>
          <w:p w14:paraId="6240C0BB"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59.5</w:t>
            </w:r>
          </w:p>
        </w:tc>
      </w:tr>
      <w:tr w:rsidR="006F622A" w:rsidRPr="0093683C" w14:paraId="40047D30"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40A25356"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w:t>
            </w:r>
          </w:p>
        </w:tc>
        <w:tc>
          <w:tcPr>
            <w:tcW w:w="612" w:type="pct"/>
            <w:tcBorders>
              <w:top w:val="nil"/>
              <w:left w:val="nil"/>
              <w:bottom w:val="nil"/>
              <w:right w:val="nil"/>
            </w:tcBorders>
            <w:shd w:val="clear" w:color="000000" w:fill="FFFFFF"/>
            <w:noWrap/>
            <w:vAlign w:val="center"/>
            <w:hideMark/>
          </w:tcPr>
          <w:p w14:paraId="2E63F31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84" w:type="pct"/>
            <w:tcBorders>
              <w:top w:val="nil"/>
              <w:left w:val="nil"/>
              <w:bottom w:val="nil"/>
              <w:right w:val="nil"/>
            </w:tcBorders>
            <w:shd w:val="clear" w:color="000000" w:fill="FFFFFF"/>
            <w:noWrap/>
            <w:vAlign w:val="center"/>
            <w:hideMark/>
          </w:tcPr>
          <w:p w14:paraId="4B70B16F"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3D53DC7F"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553EC090"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636E38A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167FCDBD"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r>
      <w:tr w:rsidR="006F622A" w:rsidRPr="0093683C" w14:paraId="72DFEAB1"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074376C1"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Net worth</w:t>
            </w:r>
          </w:p>
        </w:tc>
        <w:tc>
          <w:tcPr>
            <w:tcW w:w="612" w:type="pct"/>
            <w:tcBorders>
              <w:top w:val="nil"/>
              <w:left w:val="nil"/>
              <w:bottom w:val="nil"/>
              <w:right w:val="nil"/>
            </w:tcBorders>
            <w:shd w:val="clear" w:color="000000" w:fill="FFFFFF"/>
            <w:noWrap/>
            <w:vAlign w:val="center"/>
            <w:hideMark/>
          </w:tcPr>
          <w:p w14:paraId="422F7532"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-581.8</w:t>
            </w:r>
          </w:p>
        </w:tc>
        <w:tc>
          <w:tcPr>
            <w:tcW w:w="84" w:type="pct"/>
            <w:tcBorders>
              <w:top w:val="nil"/>
              <w:left w:val="nil"/>
              <w:bottom w:val="nil"/>
              <w:right w:val="nil"/>
            </w:tcBorders>
            <w:shd w:val="clear" w:color="000000" w:fill="FFFFFF"/>
            <w:noWrap/>
            <w:vAlign w:val="center"/>
            <w:hideMark/>
          </w:tcPr>
          <w:p w14:paraId="31AFEA03"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44B14FA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-555.7</w:t>
            </w:r>
          </w:p>
        </w:tc>
        <w:tc>
          <w:tcPr>
            <w:tcW w:w="604" w:type="pct"/>
            <w:tcBorders>
              <w:top w:val="nil"/>
              <w:left w:val="nil"/>
              <w:bottom w:val="nil"/>
              <w:right w:val="nil"/>
            </w:tcBorders>
            <w:shd w:val="clear" w:color="000000" w:fill="FFFFFF"/>
            <w:noWrap/>
            <w:vAlign w:val="center"/>
            <w:hideMark/>
          </w:tcPr>
          <w:p w14:paraId="614A90D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-600.6</w:t>
            </w:r>
          </w:p>
        </w:tc>
        <w:tc>
          <w:tcPr>
            <w:tcW w:w="604" w:type="pct"/>
            <w:tcBorders>
              <w:top w:val="nil"/>
              <w:left w:val="nil"/>
              <w:bottom w:val="nil"/>
              <w:right w:val="nil"/>
            </w:tcBorders>
            <w:shd w:val="clear" w:color="000000" w:fill="FFFFFF"/>
            <w:noWrap/>
            <w:vAlign w:val="center"/>
            <w:hideMark/>
          </w:tcPr>
          <w:p w14:paraId="04A35EA7"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-661.7</w:t>
            </w:r>
          </w:p>
        </w:tc>
        <w:tc>
          <w:tcPr>
            <w:tcW w:w="604" w:type="pct"/>
            <w:tcBorders>
              <w:top w:val="nil"/>
              <w:left w:val="nil"/>
              <w:bottom w:val="nil"/>
              <w:right w:val="nil"/>
            </w:tcBorders>
            <w:shd w:val="clear" w:color="000000" w:fill="FFFFFF"/>
            <w:noWrap/>
            <w:vAlign w:val="center"/>
            <w:hideMark/>
          </w:tcPr>
          <w:p w14:paraId="0A72D848"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-710.9</w:t>
            </w:r>
          </w:p>
        </w:tc>
      </w:tr>
      <w:tr w:rsidR="006F622A" w:rsidRPr="0093683C" w14:paraId="427EC0B2"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133B6C68"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69BA9F08"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-25.3</w:t>
            </w:r>
          </w:p>
        </w:tc>
        <w:tc>
          <w:tcPr>
            <w:tcW w:w="84" w:type="pct"/>
            <w:tcBorders>
              <w:top w:val="nil"/>
              <w:left w:val="nil"/>
              <w:bottom w:val="nil"/>
              <w:right w:val="nil"/>
            </w:tcBorders>
            <w:shd w:val="clear" w:color="000000" w:fill="FFFFFF"/>
            <w:noWrap/>
            <w:vAlign w:val="center"/>
            <w:hideMark/>
          </w:tcPr>
          <w:p w14:paraId="3773DA29"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72853214"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-22.4</w:t>
            </w:r>
          </w:p>
        </w:tc>
        <w:tc>
          <w:tcPr>
            <w:tcW w:w="604" w:type="pct"/>
            <w:tcBorders>
              <w:top w:val="nil"/>
              <w:left w:val="nil"/>
              <w:bottom w:val="nil"/>
              <w:right w:val="nil"/>
            </w:tcBorders>
            <w:shd w:val="clear" w:color="000000" w:fill="FFFFFF"/>
            <w:noWrap/>
            <w:vAlign w:val="center"/>
            <w:hideMark/>
          </w:tcPr>
          <w:p w14:paraId="7ADF2BA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-24.4</w:t>
            </w:r>
          </w:p>
        </w:tc>
        <w:tc>
          <w:tcPr>
            <w:tcW w:w="604" w:type="pct"/>
            <w:tcBorders>
              <w:top w:val="nil"/>
              <w:left w:val="nil"/>
              <w:bottom w:val="nil"/>
              <w:right w:val="nil"/>
            </w:tcBorders>
            <w:shd w:val="clear" w:color="000000" w:fill="FFFFFF"/>
            <w:noWrap/>
            <w:vAlign w:val="center"/>
            <w:hideMark/>
          </w:tcPr>
          <w:p w14:paraId="5E9A0E8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-25.8</w:t>
            </w:r>
          </w:p>
        </w:tc>
        <w:tc>
          <w:tcPr>
            <w:tcW w:w="604" w:type="pct"/>
            <w:tcBorders>
              <w:top w:val="nil"/>
              <w:left w:val="nil"/>
              <w:bottom w:val="nil"/>
              <w:right w:val="nil"/>
            </w:tcBorders>
            <w:shd w:val="clear" w:color="000000" w:fill="FFFFFF"/>
            <w:noWrap/>
            <w:vAlign w:val="center"/>
            <w:hideMark/>
          </w:tcPr>
          <w:p w14:paraId="572BB2FF"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-26.4</w:t>
            </w:r>
          </w:p>
        </w:tc>
      </w:tr>
      <w:tr w:rsidR="006F622A" w:rsidRPr="0093683C" w14:paraId="2D9D7C5F"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13B34143"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w:t>
            </w:r>
          </w:p>
        </w:tc>
        <w:tc>
          <w:tcPr>
            <w:tcW w:w="612" w:type="pct"/>
            <w:tcBorders>
              <w:top w:val="nil"/>
              <w:left w:val="nil"/>
              <w:bottom w:val="nil"/>
              <w:right w:val="nil"/>
            </w:tcBorders>
            <w:shd w:val="clear" w:color="000000" w:fill="FFFFFF"/>
            <w:noWrap/>
            <w:vAlign w:val="center"/>
            <w:hideMark/>
          </w:tcPr>
          <w:p w14:paraId="5EDB5D9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84" w:type="pct"/>
            <w:tcBorders>
              <w:top w:val="nil"/>
              <w:left w:val="nil"/>
              <w:bottom w:val="nil"/>
              <w:right w:val="nil"/>
            </w:tcBorders>
            <w:shd w:val="clear" w:color="000000" w:fill="FFFFFF"/>
            <w:noWrap/>
            <w:vAlign w:val="center"/>
            <w:hideMark/>
          </w:tcPr>
          <w:p w14:paraId="20A230D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093775E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2FB3E130"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22D2AAF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06F63009"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r>
      <w:tr w:rsidR="006F622A" w:rsidRPr="0093683C" w14:paraId="79CCEDD9"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0DB91DB5"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xml:space="preserve">Net financial worth(a) </w:t>
            </w:r>
          </w:p>
        </w:tc>
        <w:tc>
          <w:tcPr>
            <w:tcW w:w="612" w:type="pct"/>
            <w:tcBorders>
              <w:top w:val="nil"/>
              <w:left w:val="nil"/>
              <w:bottom w:val="nil"/>
              <w:right w:val="nil"/>
            </w:tcBorders>
            <w:shd w:val="clear" w:color="000000" w:fill="FFFFFF"/>
            <w:noWrap/>
            <w:vAlign w:val="center"/>
            <w:hideMark/>
          </w:tcPr>
          <w:p w14:paraId="11B57063"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-775.7</w:t>
            </w:r>
          </w:p>
        </w:tc>
        <w:tc>
          <w:tcPr>
            <w:tcW w:w="84" w:type="pct"/>
            <w:tcBorders>
              <w:top w:val="nil"/>
              <w:left w:val="nil"/>
              <w:bottom w:val="nil"/>
              <w:right w:val="nil"/>
            </w:tcBorders>
            <w:shd w:val="clear" w:color="000000" w:fill="FFFFFF"/>
            <w:noWrap/>
            <w:vAlign w:val="center"/>
            <w:hideMark/>
          </w:tcPr>
          <w:p w14:paraId="78A55250"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7953CAC9"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-761.1</w:t>
            </w:r>
          </w:p>
        </w:tc>
        <w:tc>
          <w:tcPr>
            <w:tcW w:w="604" w:type="pct"/>
            <w:tcBorders>
              <w:top w:val="nil"/>
              <w:left w:val="nil"/>
              <w:bottom w:val="nil"/>
              <w:right w:val="nil"/>
            </w:tcBorders>
            <w:shd w:val="clear" w:color="000000" w:fill="FFFFFF"/>
            <w:noWrap/>
            <w:vAlign w:val="center"/>
            <w:hideMark/>
          </w:tcPr>
          <w:p w14:paraId="1E976773"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-817.0</w:t>
            </w:r>
          </w:p>
        </w:tc>
        <w:tc>
          <w:tcPr>
            <w:tcW w:w="604" w:type="pct"/>
            <w:tcBorders>
              <w:top w:val="nil"/>
              <w:left w:val="nil"/>
              <w:bottom w:val="nil"/>
              <w:right w:val="nil"/>
            </w:tcBorders>
            <w:shd w:val="clear" w:color="000000" w:fill="FFFFFF"/>
            <w:noWrap/>
            <w:vAlign w:val="center"/>
            <w:hideMark/>
          </w:tcPr>
          <w:p w14:paraId="316865F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-888.3</w:t>
            </w:r>
          </w:p>
        </w:tc>
        <w:tc>
          <w:tcPr>
            <w:tcW w:w="604" w:type="pct"/>
            <w:tcBorders>
              <w:top w:val="nil"/>
              <w:left w:val="nil"/>
              <w:bottom w:val="nil"/>
              <w:right w:val="nil"/>
            </w:tcBorders>
            <w:shd w:val="clear" w:color="000000" w:fill="FFFFFF"/>
            <w:noWrap/>
            <w:vAlign w:val="center"/>
            <w:hideMark/>
          </w:tcPr>
          <w:p w14:paraId="0D1BAD1D"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-946.6</w:t>
            </w:r>
          </w:p>
        </w:tc>
      </w:tr>
      <w:tr w:rsidR="006F622A" w:rsidRPr="0093683C" w14:paraId="08CCC1FB"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45CDA680"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7D79625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-33.8</w:t>
            </w:r>
          </w:p>
        </w:tc>
        <w:tc>
          <w:tcPr>
            <w:tcW w:w="84" w:type="pct"/>
            <w:tcBorders>
              <w:top w:val="nil"/>
              <w:left w:val="nil"/>
              <w:bottom w:val="nil"/>
              <w:right w:val="nil"/>
            </w:tcBorders>
            <w:shd w:val="clear" w:color="000000" w:fill="FFFFFF"/>
            <w:noWrap/>
            <w:vAlign w:val="center"/>
            <w:hideMark/>
          </w:tcPr>
          <w:p w14:paraId="34BE0496"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78C2C0D6"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-30.7</w:t>
            </w:r>
          </w:p>
        </w:tc>
        <w:tc>
          <w:tcPr>
            <w:tcW w:w="604" w:type="pct"/>
            <w:tcBorders>
              <w:top w:val="nil"/>
              <w:left w:val="nil"/>
              <w:bottom w:val="nil"/>
              <w:right w:val="nil"/>
            </w:tcBorders>
            <w:shd w:val="clear" w:color="000000" w:fill="FFFFFF"/>
            <w:noWrap/>
            <w:vAlign w:val="center"/>
            <w:hideMark/>
          </w:tcPr>
          <w:p w14:paraId="626CC37B"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-33.2</w:t>
            </w:r>
          </w:p>
        </w:tc>
        <w:tc>
          <w:tcPr>
            <w:tcW w:w="604" w:type="pct"/>
            <w:tcBorders>
              <w:top w:val="nil"/>
              <w:left w:val="nil"/>
              <w:bottom w:val="nil"/>
              <w:right w:val="nil"/>
            </w:tcBorders>
            <w:shd w:val="clear" w:color="000000" w:fill="FFFFFF"/>
            <w:noWrap/>
            <w:vAlign w:val="center"/>
            <w:hideMark/>
          </w:tcPr>
          <w:p w14:paraId="01943BB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-34.6</w:t>
            </w:r>
          </w:p>
        </w:tc>
        <w:tc>
          <w:tcPr>
            <w:tcW w:w="604" w:type="pct"/>
            <w:tcBorders>
              <w:top w:val="nil"/>
              <w:left w:val="nil"/>
              <w:bottom w:val="nil"/>
              <w:right w:val="nil"/>
            </w:tcBorders>
            <w:shd w:val="clear" w:color="000000" w:fill="FFFFFF"/>
            <w:noWrap/>
            <w:vAlign w:val="center"/>
            <w:hideMark/>
          </w:tcPr>
          <w:p w14:paraId="2EC2F8B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-35.2</w:t>
            </w:r>
          </w:p>
        </w:tc>
      </w:tr>
      <w:tr w:rsidR="006F622A" w:rsidRPr="0093683C" w14:paraId="7A7F1C4A"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323A60F6"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w:t>
            </w:r>
          </w:p>
        </w:tc>
        <w:tc>
          <w:tcPr>
            <w:tcW w:w="612" w:type="pct"/>
            <w:tcBorders>
              <w:top w:val="nil"/>
              <w:left w:val="nil"/>
              <w:bottom w:val="nil"/>
              <w:right w:val="nil"/>
            </w:tcBorders>
            <w:shd w:val="clear" w:color="000000" w:fill="FFFFFF"/>
            <w:noWrap/>
            <w:vAlign w:val="center"/>
            <w:hideMark/>
          </w:tcPr>
          <w:p w14:paraId="04A683F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84" w:type="pct"/>
            <w:tcBorders>
              <w:top w:val="nil"/>
              <w:left w:val="nil"/>
              <w:bottom w:val="nil"/>
              <w:right w:val="nil"/>
            </w:tcBorders>
            <w:shd w:val="clear" w:color="000000" w:fill="FFFFFF"/>
            <w:noWrap/>
            <w:vAlign w:val="center"/>
            <w:hideMark/>
          </w:tcPr>
          <w:p w14:paraId="03224F1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56414D88"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22483BA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482460C9"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36A1DBE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r>
      <w:tr w:rsidR="006F622A" w:rsidRPr="0093683C" w14:paraId="6D32AA8B"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796D331F"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Gross debt(b)</w:t>
            </w:r>
          </w:p>
        </w:tc>
        <w:tc>
          <w:tcPr>
            <w:tcW w:w="612" w:type="pct"/>
            <w:tcBorders>
              <w:top w:val="nil"/>
              <w:left w:val="nil"/>
              <w:bottom w:val="nil"/>
              <w:right w:val="nil"/>
            </w:tcBorders>
            <w:shd w:val="clear" w:color="000000" w:fill="FFFFFF"/>
            <w:noWrap/>
            <w:vAlign w:val="center"/>
            <w:hideMark/>
          </w:tcPr>
          <w:p w14:paraId="6D4F305C"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895.3</w:t>
            </w:r>
          </w:p>
        </w:tc>
        <w:tc>
          <w:tcPr>
            <w:tcW w:w="84" w:type="pct"/>
            <w:tcBorders>
              <w:top w:val="nil"/>
              <w:left w:val="nil"/>
              <w:bottom w:val="nil"/>
              <w:right w:val="nil"/>
            </w:tcBorders>
            <w:shd w:val="clear" w:color="000000" w:fill="FFFFFF"/>
            <w:noWrap/>
            <w:vAlign w:val="center"/>
            <w:hideMark/>
          </w:tcPr>
          <w:p w14:paraId="11FF1C4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02EBB392"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927.0</w:t>
            </w:r>
          </w:p>
        </w:tc>
        <w:tc>
          <w:tcPr>
            <w:tcW w:w="604" w:type="pct"/>
            <w:tcBorders>
              <w:top w:val="nil"/>
              <w:left w:val="nil"/>
              <w:bottom w:val="nil"/>
              <w:right w:val="nil"/>
            </w:tcBorders>
            <w:shd w:val="clear" w:color="000000" w:fill="FFFFFF"/>
            <w:noWrap/>
            <w:vAlign w:val="center"/>
            <w:hideMark/>
          </w:tcPr>
          <w:p w14:paraId="2754A63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1,004.0</w:t>
            </w:r>
          </w:p>
        </w:tc>
        <w:tc>
          <w:tcPr>
            <w:tcW w:w="604" w:type="pct"/>
            <w:tcBorders>
              <w:top w:val="nil"/>
              <w:left w:val="nil"/>
              <w:bottom w:val="nil"/>
              <w:right w:val="nil"/>
            </w:tcBorders>
            <w:shd w:val="clear" w:color="000000" w:fill="FFFFFF"/>
            <w:noWrap/>
            <w:vAlign w:val="center"/>
            <w:hideMark/>
          </w:tcPr>
          <w:p w14:paraId="7579F62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1,091.0</w:t>
            </w:r>
          </w:p>
        </w:tc>
        <w:tc>
          <w:tcPr>
            <w:tcW w:w="604" w:type="pct"/>
            <w:tcBorders>
              <w:top w:val="nil"/>
              <w:left w:val="nil"/>
              <w:bottom w:val="nil"/>
              <w:right w:val="nil"/>
            </w:tcBorders>
            <w:shd w:val="clear" w:color="000000" w:fill="FFFFFF"/>
            <w:noWrap/>
            <w:vAlign w:val="center"/>
            <w:hideMark/>
          </w:tcPr>
          <w:p w14:paraId="62E458E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1,159.0</w:t>
            </w:r>
          </w:p>
        </w:tc>
      </w:tr>
      <w:tr w:rsidR="006F622A" w:rsidRPr="0093683C" w14:paraId="65BEA0CB"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4BC58B89"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7486D61E"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39.0</w:t>
            </w:r>
          </w:p>
        </w:tc>
        <w:tc>
          <w:tcPr>
            <w:tcW w:w="84" w:type="pct"/>
            <w:tcBorders>
              <w:top w:val="nil"/>
              <w:left w:val="nil"/>
              <w:bottom w:val="nil"/>
              <w:right w:val="nil"/>
            </w:tcBorders>
            <w:shd w:val="clear" w:color="000000" w:fill="FFFFFF"/>
            <w:noWrap/>
            <w:vAlign w:val="center"/>
            <w:hideMark/>
          </w:tcPr>
          <w:p w14:paraId="73D12472"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39702AD1"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37.3</w:t>
            </w:r>
          </w:p>
        </w:tc>
        <w:tc>
          <w:tcPr>
            <w:tcW w:w="604" w:type="pct"/>
            <w:tcBorders>
              <w:top w:val="nil"/>
              <w:left w:val="nil"/>
              <w:bottom w:val="nil"/>
              <w:right w:val="nil"/>
            </w:tcBorders>
            <w:shd w:val="clear" w:color="000000" w:fill="FFFFFF"/>
            <w:noWrap/>
            <w:vAlign w:val="center"/>
            <w:hideMark/>
          </w:tcPr>
          <w:p w14:paraId="1F276214"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40.8</w:t>
            </w:r>
          </w:p>
        </w:tc>
        <w:tc>
          <w:tcPr>
            <w:tcW w:w="604" w:type="pct"/>
            <w:tcBorders>
              <w:top w:val="nil"/>
              <w:left w:val="nil"/>
              <w:bottom w:val="nil"/>
              <w:right w:val="nil"/>
            </w:tcBorders>
            <w:shd w:val="clear" w:color="000000" w:fill="FFFFFF"/>
            <w:noWrap/>
            <w:vAlign w:val="center"/>
            <w:hideMark/>
          </w:tcPr>
          <w:p w14:paraId="44EA5E0D"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42.5</w:t>
            </w:r>
          </w:p>
        </w:tc>
        <w:tc>
          <w:tcPr>
            <w:tcW w:w="604" w:type="pct"/>
            <w:tcBorders>
              <w:top w:val="nil"/>
              <w:left w:val="nil"/>
              <w:bottom w:val="nil"/>
              <w:right w:val="nil"/>
            </w:tcBorders>
            <w:shd w:val="clear" w:color="000000" w:fill="FFFFFF"/>
            <w:noWrap/>
            <w:vAlign w:val="center"/>
            <w:hideMark/>
          </w:tcPr>
          <w:p w14:paraId="6E26E8D2"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43.1</w:t>
            </w:r>
          </w:p>
        </w:tc>
      </w:tr>
      <w:tr w:rsidR="006F622A" w:rsidRPr="0093683C" w14:paraId="49BA6F2F"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5D2B8A26"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 </w:t>
            </w:r>
          </w:p>
        </w:tc>
        <w:tc>
          <w:tcPr>
            <w:tcW w:w="612" w:type="pct"/>
            <w:tcBorders>
              <w:top w:val="nil"/>
              <w:left w:val="nil"/>
              <w:bottom w:val="nil"/>
              <w:right w:val="nil"/>
            </w:tcBorders>
            <w:shd w:val="clear" w:color="000000" w:fill="FFFFFF"/>
            <w:noWrap/>
            <w:vAlign w:val="center"/>
            <w:hideMark/>
          </w:tcPr>
          <w:p w14:paraId="6A5FBE0D"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84" w:type="pct"/>
            <w:tcBorders>
              <w:top w:val="nil"/>
              <w:left w:val="nil"/>
              <w:bottom w:val="nil"/>
              <w:right w:val="nil"/>
            </w:tcBorders>
            <w:shd w:val="clear" w:color="000000" w:fill="FFFFFF"/>
            <w:noWrap/>
            <w:vAlign w:val="center"/>
            <w:hideMark/>
          </w:tcPr>
          <w:p w14:paraId="760AE84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1B7E4A7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56FC243A"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2206B338"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FFFFFF"/>
            <w:noWrap/>
            <w:vAlign w:val="center"/>
            <w:hideMark/>
          </w:tcPr>
          <w:p w14:paraId="76161F4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r>
      <w:tr w:rsidR="006F622A" w:rsidRPr="0093683C" w14:paraId="02E4DC12"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1048451B"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Net debt(c)</w:t>
            </w:r>
          </w:p>
        </w:tc>
        <w:tc>
          <w:tcPr>
            <w:tcW w:w="612" w:type="pct"/>
            <w:tcBorders>
              <w:top w:val="nil"/>
              <w:left w:val="nil"/>
              <w:bottom w:val="nil"/>
              <w:right w:val="nil"/>
            </w:tcBorders>
            <w:shd w:val="clear" w:color="000000" w:fill="FFFFFF"/>
            <w:noWrap/>
            <w:vAlign w:val="center"/>
            <w:hideMark/>
          </w:tcPr>
          <w:p w14:paraId="3F8FC6E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515.6</w:t>
            </w:r>
          </w:p>
        </w:tc>
        <w:tc>
          <w:tcPr>
            <w:tcW w:w="84" w:type="pct"/>
            <w:tcBorders>
              <w:top w:val="nil"/>
              <w:left w:val="nil"/>
              <w:bottom w:val="nil"/>
              <w:right w:val="nil"/>
            </w:tcBorders>
            <w:shd w:val="clear" w:color="000000" w:fill="FFFFFF"/>
            <w:noWrap/>
            <w:vAlign w:val="center"/>
            <w:hideMark/>
          </w:tcPr>
          <w:p w14:paraId="09CF025C"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659A46D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572.2</w:t>
            </w:r>
          </w:p>
        </w:tc>
        <w:tc>
          <w:tcPr>
            <w:tcW w:w="604" w:type="pct"/>
            <w:tcBorders>
              <w:top w:val="nil"/>
              <w:left w:val="nil"/>
              <w:bottom w:val="nil"/>
              <w:right w:val="nil"/>
            </w:tcBorders>
            <w:shd w:val="clear" w:color="000000" w:fill="FFFFFF"/>
            <w:noWrap/>
            <w:vAlign w:val="center"/>
            <w:hideMark/>
          </w:tcPr>
          <w:p w14:paraId="6A9D2BAE"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634.1</w:t>
            </w:r>
          </w:p>
        </w:tc>
        <w:tc>
          <w:tcPr>
            <w:tcW w:w="604" w:type="pct"/>
            <w:tcBorders>
              <w:top w:val="nil"/>
              <w:left w:val="nil"/>
              <w:bottom w:val="nil"/>
              <w:right w:val="nil"/>
            </w:tcBorders>
            <w:shd w:val="clear" w:color="000000" w:fill="FFFFFF"/>
            <w:noWrap/>
            <w:vAlign w:val="center"/>
            <w:hideMark/>
          </w:tcPr>
          <w:p w14:paraId="2AA1902C"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702.8</w:t>
            </w:r>
          </w:p>
        </w:tc>
        <w:tc>
          <w:tcPr>
            <w:tcW w:w="604" w:type="pct"/>
            <w:tcBorders>
              <w:top w:val="nil"/>
              <w:left w:val="nil"/>
              <w:bottom w:val="nil"/>
              <w:right w:val="nil"/>
            </w:tcBorders>
            <w:shd w:val="clear" w:color="000000" w:fill="FFFFFF"/>
            <w:noWrap/>
            <w:vAlign w:val="center"/>
            <w:hideMark/>
          </w:tcPr>
          <w:p w14:paraId="1324B949"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766.8</w:t>
            </w:r>
          </w:p>
        </w:tc>
      </w:tr>
      <w:tr w:rsidR="006F622A" w:rsidRPr="0093683C" w14:paraId="62386EC8"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20DB5B02"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1A3F259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22.5</w:t>
            </w:r>
          </w:p>
        </w:tc>
        <w:tc>
          <w:tcPr>
            <w:tcW w:w="84" w:type="pct"/>
            <w:tcBorders>
              <w:top w:val="nil"/>
              <w:left w:val="nil"/>
              <w:bottom w:val="nil"/>
              <w:right w:val="nil"/>
            </w:tcBorders>
            <w:shd w:val="clear" w:color="000000" w:fill="FFFFFF"/>
            <w:noWrap/>
            <w:vAlign w:val="center"/>
            <w:hideMark/>
          </w:tcPr>
          <w:p w14:paraId="03929FE7"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2B0D064F"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23.0</w:t>
            </w:r>
          </w:p>
        </w:tc>
        <w:tc>
          <w:tcPr>
            <w:tcW w:w="604" w:type="pct"/>
            <w:tcBorders>
              <w:top w:val="nil"/>
              <w:left w:val="nil"/>
              <w:bottom w:val="nil"/>
              <w:right w:val="nil"/>
            </w:tcBorders>
            <w:shd w:val="clear" w:color="000000" w:fill="FFFFFF"/>
            <w:noWrap/>
            <w:vAlign w:val="center"/>
            <w:hideMark/>
          </w:tcPr>
          <w:p w14:paraId="2DB7D0AE"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25.8</w:t>
            </w:r>
          </w:p>
        </w:tc>
        <w:tc>
          <w:tcPr>
            <w:tcW w:w="604" w:type="pct"/>
            <w:tcBorders>
              <w:top w:val="nil"/>
              <w:left w:val="nil"/>
              <w:bottom w:val="nil"/>
              <w:right w:val="nil"/>
            </w:tcBorders>
            <w:shd w:val="clear" w:color="000000" w:fill="FFFFFF"/>
            <w:noWrap/>
            <w:vAlign w:val="center"/>
            <w:hideMark/>
          </w:tcPr>
          <w:p w14:paraId="7FCD5DB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27.4</w:t>
            </w:r>
          </w:p>
        </w:tc>
        <w:tc>
          <w:tcPr>
            <w:tcW w:w="604" w:type="pct"/>
            <w:tcBorders>
              <w:top w:val="nil"/>
              <w:left w:val="nil"/>
              <w:bottom w:val="nil"/>
              <w:right w:val="nil"/>
            </w:tcBorders>
            <w:shd w:val="clear" w:color="000000" w:fill="FFFFFF"/>
            <w:noWrap/>
            <w:vAlign w:val="center"/>
            <w:hideMark/>
          </w:tcPr>
          <w:p w14:paraId="0491A37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28.5</w:t>
            </w:r>
          </w:p>
        </w:tc>
      </w:tr>
      <w:tr w:rsidR="006F622A" w:rsidRPr="0093683C" w14:paraId="3B0C6B88"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29FEE019"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612" w:type="pct"/>
            <w:tcBorders>
              <w:top w:val="nil"/>
              <w:left w:val="nil"/>
              <w:bottom w:val="nil"/>
              <w:right w:val="nil"/>
            </w:tcBorders>
            <w:shd w:val="clear" w:color="000000" w:fill="FFFFFF"/>
            <w:noWrap/>
            <w:vAlign w:val="center"/>
            <w:hideMark/>
          </w:tcPr>
          <w:p w14:paraId="31E7F912"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84" w:type="pct"/>
            <w:tcBorders>
              <w:top w:val="nil"/>
              <w:left w:val="nil"/>
              <w:bottom w:val="nil"/>
              <w:right w:val="nil"/>
            </w:tcBorders>
            <w:shd w:val="clear" w:color="000000" w:fill="FFFFFF"/>
            <w:noWrap/>
            <w:vAlign w:val="center"/>
            <w:hideMark/>
          </w:tcPr>
          <w:p w14:paraId="2B4B0726"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785E0DF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4B4A189D"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749F2A41"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1924FD0C"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r>
      <w:tr w:rsidR="006F622A" w:rsidRPr="0093683C" w14:paraId="52C393BB"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668626C2"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Total interest payments</w:t>
            </w:r>
          </w:p>
        </w:tc>
        <w:tc>
          <w:tcPr>
            <w:tcW w:w="612" w:type="pct"/>
            <w:tcBorders>
              <w:top w:val="nil"/>
              <w:left w:val="nil"/>
              <w:bottom w:val="nil"/>
              <w:right w:val="nil"/>
            </w:tcBorders>
            <w:shd w:val="clear" w:color="000000" w:fill="FFFFFF"/>
            <w:noWrap/>
            <w:vAlign w:val="center"/>
            <w:hideMark/>
          </w:tcPr>
          <w:p w14:paraId="4389BEF6"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17.4</w:t>
            </w:r>
          </w:p>
        </w:tc>
        <w:tc>
          <w:tcPr>
            <w:tcW w:w="84" w:type="pct"/>
            <w:tcBorders>
              <w:top w:val="nil"/>
              <w:left w:val="nil"/>
              <w:bottom w:val="nil"/>
              <w:right w:val="nil"/>
            </w:tcBorders>
            <w:shd w:val="clear" w:color="000000" w:fill="FFFFFF"/>
            <w:noWrap/>
            <w:vAlign w:val="center"/>
            <w:hideMark/>
          </w:tcPr>
          <w:p w14:paraId="166FBF15"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580248B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18.9</w:t>
            </w:r>
          </w:p>
        </w:tc>
        <w:tc>
          <w:tcPr>
            <w:tcW w:w="604" w:type="pct"/>
            <w:tcBorders>
              <w:top w:val="nil"/>
              <w:left w:val="nil"/>
              <w:bottom w:val="nil"/>
              <w:right w:val="nil"/>
            </w:tcBorders>
            <w:shd w:val="clear" w:color="000000" w:fill="FFFFFF"/>
            <w:noWrap/>
            <w:vAlign w:val="center"/>
            <w:hideMark/>
          </w:tcPr>
          <w:p w14:paraId="6AAB93C0"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22.4</w:t>
            </w:r>
          </w:p>
        </w:tc>
        <w:tc>
          <w:tcPr>
            <w:tcW w:w="604" w:type="pct"/>
            <w:tcBorders>
              <w:top w:val="nil"/>
              <w:left w:val="nil"/>
              <w:bottom w:val="nil"/>
              <w:right w:val="nil"/>
            </w:tcBorders>
            <w:shd w:val="clear" w:color="000000" w:fill="FFFFFF"/>
            <w:noWrap/>
            <w:vAlign w:val="center"/>
            <w:hideMark/>
          </w:tcPr>
          <w:p w14:paraId="53502AB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25.4</w:t>
            </w:r>
          </w:p>
        </w:tc>
        <w:tc>
          <w:tcPr>
            <w:tcW w:w="604" w:type="pct"/>
            <w:tcBorders>
              <w:top w:val="nil"/>
              <w:left w:val="nil"/>
              <w:bottom w:val="nil"/>
              <w:right w:val="nil"/>
            </w:tcBorders>
            <w:shd w:val="clear" w:color="000000" w:fill="FFFFFF"/>
            <w:noWrap/>
            <w:vAlign w:val="center"/>
            <w:hideMark/>
          </w:tcPr>
          <w:p w14:paraId="45832231"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32.6</w:t>
            </w:r>
          </w:p>
        </w:tc>
      </w:tr>
      <w:tr w:rsidR="006F622A" w:rsidRPr="0093683C" w14:paraId="280CE8BB"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34075649"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nil"/>
              <w:right w:val="nil"/>
            </w:tcBorders>
            <w:shd w:val="clear" w:color="000000" w:fill="FFFFFF"/>
            <w:noWrap/>
            <w:vAlign w:val="center"/>
            <w:hideMark/>
          </w:tcPr>
          <w:p w14:paraId="1885F0D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0.8</w:t>
            </w:r>
          </w:p>
        </w:tc>
        <w:tc>
          <w:tcPr>
            <w:tcW w:w="84" w:type="pct"/>
            <w:tcBorders>
              <w:top w:val="nil"/>
              <w:left w:val="nil"/>
              <w:bottom w:val="nil"/>
              <w:right w:val="nil"/>
            </w:tcBorders>
            <w:shd w:val="clear" w:color="000000" w:fill="FFFFFF"/>
            <w:noWrap/>
            <w:vAlign w:val="center"/>
            <w:hideMark/>
          </w:tcPr>
          <w:p w14:paraId="6574EBB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51832770"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0.8</w:t>
            </w:r>
          </w:p>
        </w:tc>
        <w:tc>
          <w:tcPr>
            <w:tcW w:w="604" w:type="pct"/>
            <w:tcBorders>
              <w:top w:val="nil"/>
              <w:left w:val="nil"/>
              <w:bottom w:val="nil"/>
              <w:right w:val="nil"/>
            </w:tcBorders>
            <w:shd w:val="clear" w:color="000000" w:fill="FFFFFF"/>
            <w:noWrap/>
            <w:vAlign w:val="center"/>
            <w:hideMark/>
          </w:tcPr>
          <w:p w14:paraId="2F8CE5BB"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0.9</w:t>
            </w:r>
          </w:p>
        </w:tc>
        <w:tc>
          <w:tcPr>
            <w:tcW w:w="604" w:type="pct"/>
            <w:tcBorders>
              <w:top w:val="nil"/>
              <w:left w:val="nil"/>
              <w:bottom w:val="nil"/>
              <w:right w:val="nil"/>
            </w:tcBorders>
            <w:shd w:val="clear" w:color="000000" w:fill="FFFFFF"/>
            <w:noWrap/>
            <w:vAlign w:val="center"/>
            <w:hideMark/>
          </w:tcPr>
          <w:p w14:paraId="4B55FBF1"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1.0</w:t>
            </w:r>
          </w:p>
        </w:tc>
        <w:tc>
          <w:tcPr>
            <w:tcW w:w="604" w:type="pct"/>
            <w:tcBorders>
              <w:top w:val="nil"/>
              <w:left w:val="nil"/>
              <w:bottom w:val="nil"/>
              <w:right w:val="nil"/>
            </w:tcBorders>
            <w:shd w:val="clear" w:color="000000" w:fill="FFFFFF"/>
            <w:noWrap/>
            <w:vAlign w:val="center"/>
            <w:hideMark/>
          </w:tcPr>
          <w:p w14:paraId="3CAF318E"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1.2</w:t>
            </w:r>
          </w:p>
        </w:tc>
      </w:tr>
      <w:tr w:rsidR="006F622A" w:rsidRPr="0093683C" w14:paraId="62A97657" w14:textId="77777777" w:rsidTr="00543848">
        <w:trPr>
          <w:divId w:val="268857863"/>
          <w:trHeight w:hRule="exact" w:val="60"/>
        </w:trPr>
        <w:tc>
          <w:tcPr>
            <w:tcW w:w="1886" w:type="pct"/>
            <w:tcBorders>
              <w:top w:val="nil"/>
              <w:left w:val="nil"/>
              <w:bottom w:val="nil"/>
              <w:right w:val="nil"/>
            </w:tcBorders>
            <w:shd w:val="clear" w:color="000000" w:fill="FFFFFF"/>
            <w:noWrap/>
            <w:vAlign w:val="center"/>
            <w:hideMark/>
          </w:tcPr>
          <w:p w14:paraId="1249271A"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 </w:t>
            </w:r>
          </w:p>
        </w:tc>
        <w:tc>
          <w:tcPr>
            <w:tcW w:w="612" w:type="pct"/>
            <w:tcBorders>
              <w:top w:val="nil"/>
              <w:left w:val="nil"/>
              <w:bottom w:val="nil"/>
              <w:right w:val="nil"/>
            </w:tcBorders>
            <w:shd w:val="clear" w:color="000000" w:fill="FFFFFF"/>
            <w:noWrap/>
            <w:vAlign w:val="center"/>
            <w:hideMark/>
          </w:tcPr>
          <w:p w14:paraId="1B6DC9C5"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84" w:type="pct"/>
            <w:tcBorders>
              <w:top w:val="nil"/>
              <w:left w:val="nil"/>
              <w:bottom w:val="nil"/>
              <w:right w:val="nil"/>
            </w:tcBorders>
            <w:shd w:val="clear" w:color="000000" w:fill="FFFFFF"/>
            <w:noWrap/>
            <w:vAlign w:val="center"/>
            <w:hideMark/>
          </w:tcPr>
          <w:p w14:paraId="5DE23C51"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E6F2FF"/>
            <w:noWrap/>
            <w:vAlign w:val="center"/>
            <w:hideMark/>
          </w:tcPr>
          <w:p w14:paraId="4B30E0A4"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2D26DF07"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4746D527"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nil"/>
              <w:right w:val="nil"/>
            </w:tcBorders>
            <w:shd w:val="clear" w:color="000000" w:fill="FFFFFF"/>
            <w:noWrap/>
            <w:vAlign w:val="center"/>
            <w:hideMark/>
          </w:tcPr>
          <w:p w14:paraId="036C0932"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r>
      <w:tr w:rsidR="006F622A" w:rsidRPr="0093683C" w14:paraId="30492A60" w14:textId="77777777" w:rsidTr="00543848">
        <w:trPr>
          <w:divId w:val="268857863"/>
          <w:trHeight w:hRule="exact" w:val="225"/>
        </w:trPr>
        <w:tc>
          <w:tcPr>
            <w:tcW w:w="1886" w:type="pct"/>
            <w:tcBorders>
              <w:top w:val="nil"/>
              <w:left w:val="nil"/>
              <w:bottom w:val="nil"/>
              <w:right w:val="nil"/>
            </w:tcBorders>
            <w:shd w:val="clear" w:color="000000" w:fill="FFFFFF"/>
            <w:noWrap/>
            <w:vAlign w:val="center"/>
            <w:hideMark/>
          </w:tcPr>
          <w:p w14:paraId="1A2DC3C5" w14:textId="77777777" w:rsidR="006F622A" w:rsidRPr="0093683C" w:rsidRDefault="006F622A" w:rsidP="006F622A">
            <w:pPr>
              <w:spacing w:before="0" w:after="0" w:line="240" w:lineRule="auto"/>
              <w:rPr>
                <w:rFonts w:ascii="Arial" w:hAnsi="Arial" w:cs="Arial"/>
                <w:b/>
                <w:bCs/>
                <w:sz w:val="16"/>
                <w:szCs w:val="16"/>
              </w:rPr>
            </w:pPr>
            <w:r w:rsidRPr="0093683C">
              <w:rPr>
                <w:rFonts w:ascii="Arial" w:hAnsi="Arial" w:cs="Arial"/>
                <w:b/>
                <w:bCs/>
                <w:sz w:val="16"/>
                <w:szCs w:val="16"/>
              </w:rPr>
              <w:t>Net interest payments</w:t>
            </w:r>
            <w:r w:rsidRPr="0093683C">
              <w:rPr>
                <w:rFonts w:ascii="Arial" w:hAnsi="Arial" w:cs="Arial"/>
                <w:b/>
                <w:sz w:val="16"/>
                <w:szCs w:val="16"/>
              </w:rPr>
              <w:t>(d)</w:t>
            </w:r>
          </w:p>
        </w:tc>
        <w:tc>
          <w:tcPr>
            <w:tcW w:w="612" w:type="pct"/>
            <w:tcBorders>
              <w:top w:val="nil"/>
              <w:left w:val="nil"/>
              <w:bottom w:val="nil"/>
              <w:right w:val="nil"/>
            </w:tcBorders>
            <w:shd w:val="clear" w:color="000000" w:fill="FFFFFF"/>
            <w:noWrap/>
            <w:vAlign w:val="center"/>
            <w:hideMark/>
          </w:tcPr>
          <w:p w14:paraId="68BC2013"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15.0</w:t>
            </w:r>
          </w:p>
        </w:tc>
        <w:tc>
          <w:tcPr>
            <w:tcW w:w="84" w:type="pct"/>
            <w:tcBorders>
              <w:top w:val="nil"/>
              <w:left w:val="nil"/>
              <w:bottom w:val="nil"/>
              <w:right w:val="nil"/>
            </w:tcBorders>
            <w:shd w:val="clear" w:color="000000" w:fill="FFFFFF"/>
            <w:noWrap/>
            <w:vAlign w:val="center"/>
            <w:hideMark/>
          </w:tcPr>
          <w:p w14:paraId="14276BFF"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 </w:t>
            </w:r>
          </w:p>
        </w:tc>
        <w:tc>
          <w:tcPr>
            <w:tcW w:w="604" w:type="pct"/>
            <w:tcBorders>
              <w:top w:val="nil"/>
              <w:left w:val="nil"/>
              <w:bottom w:val="nil"/>
              <w:right w:val="nil"/>
            </w:tcBorders>
            <w:shd w:val="clear" w:color="000000" w:fill="E6F2FF"/>
            <w:noWrap/>
            <w:vAlign w:val="center"/>
            <w:hideMark/>
          </w:tcPr>
          <w:p w14:paraId="4766C91D"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13.6</w:t>
            </w:r>
          </w:p>
        </w:tc>
        <w:tc>
          <w:tcPr>
            <w:tcW w:w="604" w:type="pct"/>
            <w:tcBorders>
              <w:top w:val="nil"/>
              <w:left w:val="nil"/>
              <w:bottom w:val="nil"/>
              <w:right w:val="nil"/>
            </w:tcBorders>
            <w:shd w:val="clear" w:color="000000" w:fill="FFFFFF"/>
            <w:noWrap/>
            <w:vAlign w:val="center"/>
            <w:hideMark/>
          </w:tcPr>
          <w:p w14:paraId="4D3E2F35"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16.6</w:t>
            </w:r>
          </w:p>
        </w:tc>
        <w:tc>
          <w:tcPr>
            <w:tcW w:w="604" w:type="pct"/>
            <w:tcBorders>
              <w:top w:val="nil"/>
              <w:left w:val="nil"/>
              <w:bottom w:val="nil"/>
              <w:right w:val="nil"/>
            </w:tcBorders>
            <w:shd w:val="clear" w:color="000000" w:fill="FFFFFF"/>
            <w:noWrap/>
            <w:vAlign w:val="center"/>
            <w:hideMark/>
          </w:tcPr>
          <w:p w14:paraId="65A5DDA4"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19.4</w:t>
            </w:r>
          </w:p>
        </w:tc>
        <w:tc>
          <w:tcPr>
            <w:tcW w:w="604" w:type="pct"/>
            <w:tcBorders>
              <w:top w:val="nil"/>
              <w:left w:val="nil"/>
              <w:bottom w:val="nil"/>
              <w:right w:val="nil"/>
            </w:tcBorders>
            <w:shd w:val="clear" w:color="000000" w:fill="FFFFFF"/>
            <w:noWrap/>
            <w:vAlign w:val="center"/>
            <w:hideMark/>
          </w:tcPr>
          <w:p w14:paraId="2734D12B" w14:textId="77777777" w:rsidR="006F622A" w:rsidRPr="0093683C" w:rsidRDefault="006F622A" w:rsidP="006F622A">
            <w:pPr>
              <w:spacing w:before="0" w:after="0" w:line="240" w:lineRule="auto"/>
              <w:jc w:val="right"/>
              <w:rPr>
                <w:rFonts w:ascii="Arial" w:hAnsi="Arial" w:cs="Arial"/>
                <w:b/>
                <w:bCs/>
                <w:sz w:val="16"/>
                <w:szCs w:val="16"/>
              </w:rPr>
            </w:pPr>
            <w:r w:rsidRPr="0093683C">
              <w:rPr>
                <w:rFonts w:ascii="Arial" w:hAnsi="Arial" w:cs="Arial"/>
                <w:b/>
                <w:bCs/>
                <w:sz w:val="16"/>
                <w:szCs w:val="16"/>
              </w:rPr>
              <w:t>26.5</w:t>
            </w:r>
          </w:p>
        </w:tc>
      </w:tr>
      <w:tr w:rsidR="006F622A" w:rsidRPr="0093683C" w14:paraId="7BB0C4D0" w14:textId="77777777" w:rsidTr="00543848">
        <w:trPr>
          <w:divId w:val="268857863"/>
          <w:trHeight w:hRule="exact" w:val="225"/>
        </w:trPr>
        <w:tc>
          <w:tcPr>
            <w:tcW w:w="1886" w:type="pct"/>
            <w:tcBorders>
              <w:top w:val="nil"/>
              <w:left w:val="nil"/>
              <w:bottom w:val="single" w:sz="4" w:space="0" w:color="293F5B"/>
              <w:right w:val="nil"/>
            </w:tcBorders>
            <w:shd w:val="clear" w:color="000000" w:fill="FFFFFF"/>
            <w:noWrap/>
            <w:vAlign w:val="center"/>
            <w:hideMark/>
          </w:tcPr>
          <w:p w14:paraId="01EB70DB" w14:textId="77777777" w:rsidR="006F622A" w:rsidRPr="0093683C" w:rsidRDefault="006F622A" w:rsidP="006F622A">
            <w:pPr>
              <w:spacing w:before="0" w:after="0" w:line="240" w:lineRule="auto"/>
              <w:rPr>
                <w:rFonts w:ascii="Arial" w:hAnsi="Arial" w:cs="Arial"/>
                <w:sz w:val="16"/>
                <w:szCs w:val="16"/>
              </w:rPr>
            </w:pPr>
            <w:r w:rsidRPr="0093683C">
              <w:rPr>
                <w:rFonts w:ascii="Arial" w:hAnsi="Arial" w:cs="Arial"/>
                <w:sz w:val="16"/>
                <w:szCs w:val="16"/>
              </w:rPr>
              <w:t>Per cent of GDP</w:t>
            </w:r>
          </w:p>
        </w:tc>
        <w:tc>
          <w:tcPr>
            <w:tcW w:w="612" w:type="pct"/>
            <w:tcBorders>
              <w:top w:val="nil"/>
              <w:left w:val="nil"/>
              <w:bottom w:val="single" w:sz="4" w:space="0" w:color="293F5B"/>
              <w:right w:val="nil"/>
            </w:tcBorders>
            <w:shd w:val="clear" w:color="000000" w:fill="FFFFFF"/>
            <w:noWrap/>
            <w:vAlign w:val="center"/>
            <w:hideMark/>
          </w:tcPr>
          <w:p w14:paraId="40553C14"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0.7</w:t>
            </w:r>
          </w:p>
        </w:tc>
        <w:tc>
          <w:tcPr>
            <w:tcW w:w="84" w:type="pct"/>
            <w:tcBorders>
              <w:top w:val="nil"/>
              <w:left w:val="nil"/>
              <w:bottom w:val="single" w:sz="4" w:space="0" w:color="293F5B"/>
              <w:right w:val="nil"/>
            </w:tcBorders>
            <w:shd w:val="clear" w:color="000000" w:fill="FFFFFF"/>
            <w:noWrap/>
            <w:vAlign w:val="center"/>
            <w:hideMark/>
          </w:tcPr>
          <w:p w14:paraId="20EE9FC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 </w:t>
            </w:r>
          </w:p>
        </w:tc>
        <w:tc>
          <w:tcPr>
            <w:tcW w:w="604" w:type="pct"/>
            <w:tcBorders>
              <w:top w:val="nil"/>
              <w:left w:val="nil"/>
              <w:bottom w:val="single" w:sz="4" w:space="0" w:color="293F5B"/>
              <w:right w:val="nil"/>
            </w:tcBorders>
            <w:shd w:val="clear" w:color="000000" w:fill="E6F2FF"/>
            <w:noWrap/>
            <w:vAlign w:val="center"/>
            <w:hideMark/>
          </w:tcPr>
          <w:p w14:paraId="7D74CEAA"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0.5</w:t>
            </w:r>
          </w:p>
        </w:tc>
        <w:tc>
          <w:tcPr>
            <w:tcW w:w="604" w:type="pct"/>
            <w:tcBorders>
              <w:top w:val="nil"/>
              <w:left w:val="nil"/>
              <w:bottom w:val="single" w:sz="4" w:space="0" w:color="293F5B"/>
              <w:right w:val="nil"/>
            </w:tcBorders>
            <w:shd w:val="clear" w:color="000000" w:fill="FFFFFF"/>
            <w:noWrap/>
            <w:vAlign w:val="center"/>
            <w:hideMark/>
          </w:tcPr>
          <w:p w14:paraId="05293823"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0.7</w:t>
            </w:r>
          </w:p>
        </w:tc>
        <w:tc>
          <w:tcPr>
            <w:tcW w:w="604" w:type="pct"/>
            <w:tcBorders>
              <w:top w:val="nil"/>
              <w:left w:val="nil"/>
              <w:bottom w:val="single" w:sz="4" w:space="0" w:color="293F5B"/>
              <w:right w:val="nil"/>
            </w:tcBorders>
            <w:shd w:val="clear" w:color="000000" w:fill="FFFFFF"/>
            <w:noWrap/>
            <w:vAlign w:val="center"/>
            <w:hideMark/>
          </w:tcPr>
          <w:p w14:paraId="195B4B3E"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0.8</w:t>
            </w:r>
          </w:p>
        </w:tc>
        <w:tc>
          <w:tcPr>
            <w:tcW w:w="604" w:type="pct"/>
            <w:tcBorders>
              <w:top w:val="nil"/>
              <w:left w:val="nil"/>
              <w:bottom w:val="single" w:sz="4" w:space="0" w:color="293F5B"/>
              <w:right w:val="nil"/>
            </w:tcBorders>
            <w:shd w:val="clear" w:color="000000" w:fill="FFFFFF"/>
            <w:noWrap/>
            <w:vAlign w:val="center"/>
            <w:hideMark/>
          </w:tcPr>
          <w:p w14:paraId="5E6249A9" w14:textId="77777777" w:rsidR="006F622A" w:rsidRPr="0093683C" w:rsidRDefault="006F622A" w:rsidP="006F622A">
            <w:pPr>
              <w:spacing w:before="0" w:after="0" w:line="240" w:lineRule="auto"/>
              <w:jc w:val="right"/>
              <w:rPr>
                <w:rFonts w:ascii="Arial" w:hAnsi="Arial" w:cs="Arial"/>
                <w:sz w:val="16"/>
                <w:szCs w:val="16"/>
              </w:rPr>
            </w:pPr>
            <w:r w:rsidRPr="0093683C">
              <w:rPr>
                <w:rFonts w:ascii="Arial" w:hAnsi="Arial" w:cs="Arial"/>
                <w:sz w:val="16"/>
                <w:szCs w:val="16"/>
              </w:rPr>
              <w:t>1.0</w:t>
            </w:r>
          </w:p>
        </w:tc>
      </w:tr>
    </w:tbl>
    <w:p w14:paraId="477B5965" w14:textId="4A8BCBBC" w:rsidR="00A64D54" w:rsidRPr="0093683C" w:rsidRDefault="00A64D54" w:rsidP="006A39D0">
      <w:pPr>
        <w:pStyle w:val="ChartandTableFootnoteAlpha"/>
        <w:numPr>
          <w:ilvl w:val="0"/>
          <w:numId w:val="46"/>
        </w:numPr>
      </w:pPr>
      <w:r w:rsidRPr="0093683C">
        <w:t xml:space="preserve">Net financial worth equals total financial assets minus total liabilities. </w:t>
      </w:r>
    </w:p>
    <w:p w14:paraId="62215F04" w14:textId="77777777" w:rsidR="00A64D54" w:rsidRPr="0093683C" w:rsidRDefault="00A64D54" w:rsidP="00ED0041">
      <w:pPr>
        <w:pStyle w:val="ChartandTableFootnoteAlpha"/>
        <w:rPr>
          <w:color w:val="auto"/>
        </w:rPr>
      </w:pPr>
      <w:r w:rsidRPr="0093683C">
        <w:rPr>
          <w:color w:val="auto"/>
        </w:rPr>
        <w:t>Gross debt measures the face value of Australian Government Securities (AGS) on issue.</w:t>
      </w:r>
    </w:p>
    <w:p w14:paraId="354708CD" w14:textId="77777777" w:rsidR="00A64D54" w:rsidRPr="0093683C" w:rsidRDefault="00A64D54" w:rsidP="00ED0041">
      <w:pPr>
        <w:pStyle w:val="ChartandTableFootnoteAlpha"/>
        <w:rPr>
          <w:color w:val="auto"/>
        </w:rPr>
      </w:pPr>
      <w:r w:rsidRPr="0093683C">
        <w:rPr>
          <w:color w:val="auto"/>
        </w:rPr>
        <w:t xml:space="preserve">Net debt is the sum of </w:t>
      </w:r>
      <w:proofErr w:type="gramStart"/>
      <w:r w:rsidRPr="0093683C">
        <w:rPr>
          <w:color w:val="auto"/>
        </w:rPr>
        <w:t>interest bearing</w:t>
      </w:r>
      <w:proofErr w:type="gramEnd"/>
      <w:r w:rsidRPr="0093683C">
        <w:rPr>
          <w:color w:val="auto"/>
        </w:rPr>
        <w:t xml:space="preserve"> liabilities (which includes AGS on issue measured at market value) less the sum of selected financial assets (cash and deposits, advances paid and investments, loans and placements).</w:t>
      </w:r>
    </w:p>
    <w:p w14:paraId="01296CFB" w14:textId="258F2F71" w:rsidR="00B3694A" w:rsidRPr="0093683C" w:rsidRDefault="00A64D54" w:rsidP="00ED0041">
      <w:pPr>
        <w:pStyle w:val="ChartandTableFootnoteAlpha"/>
        <w:rPr>
          <w:color w:val="auto"/>
        </w:rPr>
      </w:pPr>
      <w:r w:rsidRPr="0093683C">
        <w:rPr>
          <w:color w:val="auto"/>
        </w:rPr>
        <w:t xml:space="preserve">Net interest payments are equal to the difference between interest payments and interest receipts. </w:t>
      </w:r>
    </w:p>
    <w:p w14:paraId="2D4677C1" w14:textId="77777777" w:rsidR="006F622A" w:rsidRPr="0093683C" w:rsidRDefault="006F622A" w:rsidP="006F622A">
      <w:pPr>
        <w:pStyle w:val="ChartLine"/>
      </w:pPr>
    </w:p>
    <w:p w14:paraId="036D0527" w14:textId="3170C9FD" w:rsidR="00A64D54" w:rsidRPr="00F36ADA" w:rsidRDefault="00A64D54" w:rsidP="00B3694A">
      <w:pPr>
        <w:rPr>
          <w:rFonts w:ascii="Symbol" w:hAnsi="Symbol"/>
          <w:b/>
          <w:color w:val="FF0000"/>
          <w:sz w:val="26"/>
        </w:rPr>
      </w:pPr>
      <w:r w:rsidRPr="00F36ADA">
        <w:rPr>
          <w:color w:val="FF0000"/>
        </w:rPr>
        <w:br w:type="page"/>
      </w:r>
    </w:p>
    <w:p w14:paraId="086B6693" w14:textId="00AABF12" w:rsidR="008B5236" w:rsidRPr="0093683C" w:rsidRDefault="008B5236" w:rsidP="008B5236">
      <w:pPr>
        <w:pStyle w:val="Heading2"/>
      </w:pPr>
      <w:bookmarkStart w:id="12" w:name="_Toc117356567"/>
      <w:r w:rsidRPr="0093683C">
        <w:lastRenderedPageBreak/>
        <w:t>Fiscal impacts of climate change</w:t>
      </w:r>
      <w:bookmarkEnd w:id="12"/>
    </w:p>
    <w:p w14:paraId="1B4AD67B" w14:textId="16F64466" w:rsidR="00B430BE" w:rsidRDefault="00B430BE" w:rsidP="00B430BE">
      <w:r w:rsidRPr="0093683C">
        <w:t xml:space="preserve">Climate change presents significant risks </w:t>
      </w:r>
      <w:r w:rsidR="00E648DD" w:rsidRPr="0093683C">
        <w:t xml:space="preserve">and opportunities for </w:t>
      </w:r>
      <w:r w:rsidRPr="0093683C">
        <w:t xml:space="preserve">Australia’s economy, its regions, industries, and communities. Achieving Australia’s emissions reduction commitments </w:t>
      </w:r>
      <w:r w:rsidR="004044EF" w:rsidRPr="0093683C">
        <w:t xml:space="preserve">and realising the opportunities that accompany the transition </w:t>
      </w:r>
      <w:r w:rsidRPr="0093683C">
        <w:t xml:space="preserve">will require significant investment by governments and the private sector. </w:t>
      </w:r>
      <w:r w:rsidR="005E3533" w:rsidRPr="0093683C">
        <w:t>U</w:t>
      </w:r>
      <w:r w:rsidRPr="0093683C">
        <w:t xml:space="preserve">ncertainty around the magnitude and timing of </w:t>
      </w:r>
      <w:r w:rsidR="002066B3" w:rsidRPr="0093683C">
        <w:t>the</w:t>
      </w:r>
      <w:r w:rsidRPr="0093683C">
        <w:t xml:space="preserve"> physical </w:t>
      </w:r>
      <w:r w:rsidR="00381B21" w:rsidRPr="0093683C">
        <w:t>impacts of climate change</w:t>
      </w:r>
      <w:r w:rsidR="00C314AC" w:rsidRPr="0093683C">
        <w:t xml:space="preserve"> and the global transition to net zero emissions translate</w:t>
      </w:r>
      <w:r w:rsidR="002066B3" w:rsidRPr="0093683C">
        <w:t>s</w:t>
      </w:r>
      <w:r w:rsidR="00C314AC" w:rsidRPr="0093683C">
        <w:t xml:space="preserve"> to </w:t>
      </w:r>
      <w:r w:rsidR="00AC34DB" w:rsidRPr="0093683C">
        <w:t xml:space="preserve">uncertainty </w:t>
      </w:r>
      <w:r w:rsidR="00064979" w:rsidRPr="0093683C">
        <w:t xml:space="preserve">about the fiscal impacts of climate change. </w:t>
      </w:r>
    </w:p>
    <w:p w14:paraId="2112E9F1" w14:textId="66D1BAC0" w:rsidR="00B430BE" w:rsidRPr="0093683C" w:rsidRDefault="00B430BE" w:rsidP="00B430BE">
      <w:r w:rsidRPr="0093683C">
        <w:t>The physical impacts of climate change, such as higher average temperatures and more extreme weather events</w:t>
      </w:r>
      <w:r w:rsidR="00BE624B" w:rsidRPr="0093683C">
        <w:t>,</w:t>
      </w:r>
      <w:r w:rsidRPr="0093683C">
        <w:t xml:space="preserve"> reduce economic activity by lowering productivity, damaging physical capital, and disrupting certain regions and industries. </w:t>
      </w:r>
      <w:r w:rsidR="00BE624B" w:rsidRPr="0093683C">
        <w:t>T</w:t>
      </w:r>
      <w:r w:rsidRPr="0093683C">
        <w:t xml:space="preserve">hese </w:t>
      </w:r>
      <w:r w:rsidR="00CE6B14" w:rsidRPr="0093683C">
        <w:t>impacts</w:t>
      </w:r>
      <w:r w:rsidRPr="0093683C">
        <w:t xml:space="preserve"> erode </w:t>
      </w:r>
      <w:r w:rsidR="005E78F5" w:rsidRPr="0093683C">
        <w:t xml:space="preserve">the </w:t>
      </w:r>
      <w:r w:rsidRPr="0093683C">
        <w:t xml:space="preserve">current tax base and put upward pressure on expenditure. </w:t>
      </w:r>
      <w:r w:rsidR="00281F04" w:rsidRPr="0093683C">
        <w:t>The transition to net</w:t>
      </w:r>
      <w:r w:rsidR="00524014" w:rsidRPr="0093683C">
        <w:t xml:space="preserve"> </w:t>
      </w:r>
      <w:r w:rsidR="00325354" w:rsidRPr="0093683C">
        <w:t xml:space="preserve">zero emissions </w:t>
      </w:r>
      <w:r w:rsidR="005E78F5" w:rsidRPr="0093683C">
        <w:t xml:space="preserve">is </w:t>
      </w:r>
      <w:r w:rsidR="00325354" w:rsidRPr="0093683C">
        <w:t>also chang</w:t>
      </w:r>
      <w:r w:rsidR="005E78F5" w:rsidRPr="0093683C">
        <w:t>ing</w:t>
      </w:r>
      <w:r w:rsidR="00325354" w:rsidRPr="0093683C">
        <w:t xml:space="preserve"> demand for certain goods and services, including commodities. </w:t>
      </w:r>
      <w:r w:rsidR="007C3C24" w:rsidRPr="0093683C">
        <w:t xml:space="preserve">New industries </w:t>
      </w:r>
      <w:r w:rsidR="006C3207" w:rsidRPr="0093683C">
        <w:t xml:space="preserve">are </w:t>
      </w:r>
      <w:r w:rsidR="007C3C24" w:rsidRPr="0093683C">
        <w:t>emerg</w:t>
      </w:r>
      <w:r w:rsidR="006C3207" w:rsidRPr="0093683C">
        <w:t>ing</w:t>
      </w:r>
      <w:r w:rsidR="007C3C24" w:rsidRPr="0093683C">
        <w:t xml:space="preserve">, creating </w:t>
      </w:r>
      <w:r w:rsidR="00075C06" w:rsidRPr="0093683C">
        <w:t>new jobs, which will</w:t>
      </w:r>
      <w:r w:rsidR="00325354" w:rsidRPr="0093683C">
        <w:t xml:space="preserve"> impact the structure of our economy and, in turn, our tax base.</w:t>
      </w:r>
    </w:p>
    <w:p w14:paraId="6DA575B0" w14:textId="2458340E" w:rsidR="00B430BE" w:rsidRPr="0093683C" w:rsidRDefault="00B430BE" w:rsidP="00B430BE">
      <w:r w:rsidRPr="0093683C">
        <w:t>Australia is well</w:t>
      </w:r>
      <w:r w:rsidR="00281F04" w:rsidRPr="0093683C">
        <w:t>-</w:t>
      </w:r>
      <w:r w:rsidRPr="0093683C">
        <w:t xml:space="preserve">placed to adapt and build resilience to the impacts of climate change and meet our emission reduction targets. </w:t>
      </w:r>
      <w:r w:rsidR="005209FE" w:rsidRPr="0093683C">
        <w:t xml:space="preserve">Reducing emissions and adapting to the physical impacts of climate change is a shared responsibility across all levels of </w:t>
      </w:r>
      <w:r w:rsidR="00E17D9A" w:rsidRPr="0093683C">
        <w:t>community, business</w:t>
      </w:r>
      <w:r w:rsidR="00281F04" w:rsidRPr="0093683C">
        <w:t>, and government.</w:t>
      </w:r>
      <w:r w:rsidR="00E17D9A" w:rsidRPr="0093683C">
        <w:t xml:space="preserve"> </w:t>
      </w:r>
      <w:r w:rsidRPr="0093683C">
        <w:t>The Government’s climate policies will ensure that Australia is well</w:t>
      </w:r>
      <w:r w:rsidR="007B4EBB" w:rsidRPr="0093683C">
        <w:t>-</w:t>
      </w:r>
      <w:r w:rsidRPr="0093683C">
        <w:t xml:space="preserve">placed to benefit from these new opportunities. </w:t>
      </w:r>
    </w:p>
    <w:p w14:paraId="7FA0CCCB" w14:textId="6C6AB578" w:rsidR="006F3AFF" w:rsidRPr="0093683C" w:rsidRDefault="00B430BE" w:rsidP="00B430BE">
      <w:pPr>
        <w:rPr>
          <w:szCs w:val="16"/>
        </w:rPr>
      </w:pPr>
      <w:r w:rsidRPr="0093683C">
        <w:rPr>
          <w:szCs w:val="16"/>
        </w:rPr>
        <w:t xml:space="preserve">The Government is </w:t>
      </w:r>
      <w:r w:rsidR="005209FE" w:rsidRPr="0093683C">
        <w:rPr>
          <w:szCs w:val="16"/>
        </w:rPr>
        <w:t>committed to</w:t>
      </w:r>
      <w:r w:rsidRPr="0093683C">
        <w:rPr>
          <w:szCs w:val="16"/>
        </w:rPr>
        <w:t xml:space="preserve"> improving climate transparency. This Budget reflects the first steps in efforts </w:t>
      </w:r>
      <w:r w:rsidR="00314DF2" w:rsidRPr="0093683C">
        <w:rPr>
          <w:szCs w:val="16"/>
        </w:rPr>
        <w:t xml:space="preserve">to improve </w:t>
      </w:r>
      <w:r w:rsidR="00F0492A" w:rsidRPr="0093683C">
        <w:rPr>
          <w:szCs w:val="16"/>
        </w:rPr>
        <w:t xml:space="preserve">Government </w:t>
      </w:r>
      <w:r w:rsidR="00314DF2" w:rsidRPr="0093683C">
        <w:rPr>
          <w:szCs w:val="16"/>
        </w:rPr>
        <w:t xml:space="preserve">climate transparency </w:t>
      </w:r>
      <w:r w:rsidRPr="0093683C">
        <w:rPr>
          <w:szCs w:val="16"/>
        </w:rPr>
        <w:t xml:space="preserve">by introducing analysis of the fiscal risks, outlining spending associated with climate change, and incorporating climate indicators into </w:t>
      </w:r>
      <w:r w:rsidR="000D4361" w:rsidRPr="0093683C">
        <w:rPr>
          <w:i/>
          <w:szCs w:val="16"/>
        </w:rPr>
        <w:t>Statement 4:</w:t>
      </w:r>
      <w:r w:rsidRPr="0093683C">
        <w:rPr>
          <w:i/>
          <w:szCs w:val="16"/>
        </w:rPr>
        <w:t xml:space="preserve"> Measuring What Matters</w:t>
      </w:r>
      <w:r w:rsidRPr="0093683C">
        <w:rPr>
          <w:szCs w:val="16"/>
        </w:rPr>
        <w:t xml:space="preserve">. Future budgets and Intergenerational Reports will continue to build on </w:t>
      </w:r>
      <w:r w:rsidR="00E13C51" w:rsidRPr="0093683C">
        <w:rPr>
          <w:szCs w:val="16"/>
        </w:rPr>
        <w:t>this</w:t>
      </w:r>
      <w:r w:rsidR="000460AE" w:rsidRPr="0093683C">
        <w:rPr>
          <w:szCs w:val="16"/>
        </w:rPr>
        <w:t xml:space="preserve">. </w:t>
      </w:r>
      <w:r w:rsidR="00FD6FD7" w:rsidRPr="0093683C">
        <w:rPr>
          <w:szCs w:val="16"/>
        </w:rPr>
        <w:t>This will com</w:t>
      </w:r>
      <w:r w:rsidR="00D41360" w:rsidRPr="0093683C">
        <w:rPr>
          <w:szCs w:val="16"/>
        </w:rPr>
        <w:t xml:space="preserve">plement </w:t>
      </w:r>
      <w:r w:rsidR="00CB0062" w:rsidRPr="0093683C">
        <w:rPr>
          <w:szCs w:val="16"/>
        </w:rPr>
        <w:t xml:space="preserve">the new </w:t>
      </w:r>
      <w:r w:rsidR="00722FFC" w:rsidRPr="0093683C">
        <w:rPr>
          <w:szCs w:val="16"/>
        </w:rPr>
        <w:t>Annual</w:t>
      </w:r>
      <w:r w:rsidR="00281F04" w:rsidRPr="0093683C">
        <w:rPr>
          <w:szCs w:val="16"/>
        </w:rPr>
        <w:t xml:space="preserve"> </w:t>
      </w:r>
      <w:r w:rsidR="00722FFC" w:rsidRPr="0093683C">
        <w:rPr>
          <w:szCs w:val="16"/>
        </w:rPr>
        <w:t>Climate Change S</w:t>
      </w:r>
      <w:r w:rsidR="005D50DB" w:rsidRPr="0093683C">
        <w:rPr>
          <w:szCs w:val="16"/>
        </w:rPr>
        <w:t xml:space="preserve">tatements to Parliament </w:t>
      </w:r>
      <w:r w:rsidR="00F62497" w:rsidRPr="0093683C">
        <w:rPr>
          <w:szCs w:val="16"/>
        </w:rPr>
        <w:t>and broader efforts to enhance transparency including th</w:t>
      </w:r>
      <w:r w:rsidR="00387289" w:rsidRPr="0093683C">
        <w:rPr>
          <w:szCs w:val="16"/>
        </w:rPr>
        <w:t xml:space="preserve">rough restoring reporting of </w:t>
      </w:r>
      <w:r w:rsidR="00704CC1" w:rsidRPr="0093683C">
        <w:rPr>
          <w:szCs w:val="16"/>
        </w:rPr>
        <w:t>public sector em</w:t>
      </w:r>
      <w:r w:rsidR="001D722A" w:rsidRPr="0093683C">
        <w:rPr>
          <w:szCs w:val="16"/>
        </w:rPr>
        <w:t xml:space="preserve">issions and introducing </w:t>
      </w:r>
      <w:r w:rsidR="006C7DA9" w:rsidRPr="0093683C">
        <w:rPr>
          <w:szCs w:val="16"/>
        </w:rPr>
        <w:t xml:space="preserve">mandatory climate reporting standards for </w:t>
      </w:r>
      <w:r w:rsidR="006B7BA8" w:rsidRPr="0093683C">
        <w:rPr>
          <w:szCs w:val="16"/>
        </w:rPr>
        <w:t>large businesses and financial institutions</w:t>
      </w:r>
      <w:r w:rsidR="006C7DA9" w:rsidRPr="0093683C">
        <w:rPr>
          <w:szCs w:val="16"/>
        </w:rPr>
        <w:t xml:space="preserve">. </w:t>
      </w:r>
      <w:r w:rsidR="00281F04" w:rsidRPr="0093683C">
        <w:rPr>
          <w:szCs w:val="16"/>
        </w:rPr>
        <w:t xml:space="preserve"> </w:t>
      </w:r>
    </w:p>
    <w:p w14:paraId="56DD86E6" w14:textId="29134DAC" w:rsidR="00281F04" w:rsidRPr="0093683C" w:rsidRDefault="00281F04" w:rsidP="00281F04">
      <w:r w:rsidRPr="0093683C">
        <w:t>The Government is also improving decision</w:t>
      </w:r>
      <w:r w:rsidR="005E512C" w:rsidRPr="0093683C">
        <w:t>-</w:t>
      </w:r>
      <w:r w:rsidRPr="0093683C">
        <w:t xml:space="preserve">making processes for policy development to ensure that climate considerations are incorporated from the outset. Investments in the Australian Public Service will equip it with the skills and tools to better integrate climate thinking into policies and operational decisions. </w:t>
      </w:r>
      <w:r w:rsidRPr="0013146C">
        <w:t xml:space="preserve"> </w:t>
      </w:r>
      <w:r w:rsidRPr="0093683C">
        <w:t>Rebuilding Treasury’s climate modelling capability</w:t>
      </w:r>
      <w:proofErr w:type="gramStart"/>
      <w:r w:rsidRPr="0093683C">
        <w:t>, in particular, will</w:t>
      </w:r>
      <w:proofErr w:type="gramEnd"/>
      <w:r w:rsidRPr="0093683C">
        <w:t xml:space="preserve"> guide economic policy decisions </w:t>
      </w:r>
      <w:r w:rsidR="008B5236" w:rsidRPr="0093683C">
        <w:t>and</w:t>
      </w:r>
      <w:r w:rsidRPr="0093683C">
        <w:t xml:space="preserve"> ensure these enable an efficient approach to reaching net zero. </w:t>
      </w:r>
    </w:p>
    <w:p w14:paraId="0B8D08D7" w14:textId="77777777" w:rsidR="00281F04" w:rsidRPr="0093683C" w:rsidRDefault="008B5236" w:rsidP="00281F04">
      <w:pPr>
        <w:pStyle w:val="Heading3"/>
      </w:pPr>
      <w:bookmarkStart w:id="13" w:name="_Toc117356568"/>
      <w:r w:rsidRPr="0093683C">
        <w:t>Fiscal risks associated with climate change</w:t>
      </w:r>
      <w:bookmarkEnd w:id="13"/>
    </w:p>
    <w:p w14:paraId="3C98C712" w14:textId="77777777" w:rsidR="008B5236" w:rsidRPr="0093683C" w:rsidRDefault="008B5236" w:rsidP="008B5236">
      <w:r w:rsidRPr="0093683C">
        <w:t xml:space="preserve">Climate change can impact government budgets through </w:t>
      </w:r>
      <w:proofErr w:type="gramStart"/>
      <w:r w:rsidRPr="0093683C">
        <w:t>a number of</w:t>
      </w:r>
      <w:proofErr w:type="gramEnd"/>
      <w:r w:rsidRPr="0093683C">
        <w:t xml:space="preserve"> avenues. These include </w:t>
      </w:r>
      <w:r w:rsidRPr="0093683C">
        <w:rPr>
          <w:rFonts w:ascii="Book Antiqua" w:hAnsi="Book Antiqua"/>
        </w:rPr>
        <w:t xml:space="preserve">the physical impacts of climate change, the impacts of policy responses to reduce emissions or adapt to climate impacts, and the resulting changes </w:t>
      </w:r>
      <w:r w:rsidR="00E95338" w:rsidRPr="0093683C">
        <w:rPr>
          <w:rFonts w:ascii="Book Antiqua" w:hAnsi="Book Antiqua"/>
        </w:rPr>
        <w:t>to</w:t>
      </w:r>
      <w:r w:rsidRPr="0093683C">
        <w:rPr>
          <w:rFonts w:ascii="Book Antiqua" w:hAnsi="Book Antiqua"/>
        </w:rPr>
        <w:t xml:space="preserve"> Australia’s industry mix. </w:t>
      </w:r>
      <w:r w:rsidRPr="0093683C">
        <w:t xml:space="preserve">Each of these has the potential to affect receipts, payments, and the Government’s </w:t>
      </w:r>
      <w:r w:rsidRPr="0093683C">
        <w:lastRenderedPageBreak/>
        <w:t>balance sheet. They also have the potential to influence general economic outcomes which may in turn impact the Budget.</w:t>
      </w:r>
    </w:p>
    <w:p w14:paraId="4C19C266" w14:textId="3E2276B8" w:rsidR="008B5236" w:rsidRPr="0093683C" w:rsidRDefault="008B5236" w:rsidP="008B5236">
      <w:r w:rsidRPr="0093683C">
        <w:t>There are fiscal risks associated with the direct physical impacts of climate change, such as the fiscal impact of responding to extreme weather events, which are likely to increase in severity and frequency. The fiscal risks associated with transitioning to a less emissions</w:t>
      </w:r>
      <w:r w:rsidR="005E3EBA">
        <w:noBreakHyphen/>
      </w:r>
      <w:r w:rsidRPr="0093683C">
        <w:t xml:space="preserve">intensive economy arise from uncertainty regarding changes in technology, preferences and global policy and their subsequent effects on the economy, and </w:t>
      </w:r>
      <w:r w:rsidR="003D4E9E" w:rsidRPr="0093683C">
        <w:t>g</w:t>
      </w:r>
      <w:r w:rsidRPr="0093683C">
        <w:t xml:space="preserve">overnment revenue and expenditure. </w:t>
      </w:r>
    </w:p>
    <w:p w14:paraId="13439A20" w14:textId="77777777" w:rsidR="000B1598" w:rsidRPr="00A2726D" w:rsidRDefault="00186F96" w:rsidP="00A2726D">
      <w:pPr>
        <w:pStyle w:val="Heading4"/>
      </w:pPr>
      <w:r w:rsidRPr="00A2726D">
        <w:t>Physical</w:t>
      </w:r>
      <w:r w:rsidR="000265FB" w:rsidRPr="00A2726D">
        <w:t xml:space="preserve"> impacts of climate change </w:t>
      </w:r>
    </w:p>
    <w:p w14:paraId="237C73A6" w14:textId="77777777" w:rsidR="00C059AD" w:rsidRPr="0093683C" w:rsidRDefault="00C059AD" w:rsidP="00C059AD">
      <w:r w:rsidRPr="0093683C">
        <w:t xml:space="preserve">Australia will be subject to a range of physical impacts stemming from climate change, which will affect different regions in different ways. Although there are significant global efforts to reduce emissions, the world will continue to warm this century in response to greenhouse gases that are already in the atmosphere. Commitments by Australia and other countries to reduce greenhouse gas emissions will contribute to reducing the likelihood and magnitude of climate-related impacts. However, Australia will need to adapt to the physical impacts of climate change associated with historical, </w:t>
      </w:r>
      <w:proofErr w:type="gramStart"/>
      <w:r w:rsidRPr="0093683C">
        <w:t>present</w:t>
      </w:r>
      <w:proofErr w:type="gramEnd"/>
      <w:r w:rsidRPr="0093683C">
        <w:t xml:space="preserve"> and future emissions.  </w:t>
      </w:r>
    </w:p>
    <w:p w14:paraId="786D7FB8" w14:textId="21D2EDE7" w:rsidR="008B5236" w:rsidRPr="0093683C" w:rsidRDefault="008B5236" w:rsidP="008B5236">
      <w:r w:rsidRPr="0093683C">
        <w:t>CSIRO and the Bureau of Meteorology have projected that even with a reduction in emissions, it is extremely likely that hot days will become more frequent and hotter</w:t>
      </w:r>
      <w:r w:rsidR="0063391C" w:rsidRPr="0093683C">
        <w:t xml:space="preserve"> (Chart 3.17)</w:t>
      </w:r>
      <w:r w:rsidRPr="0093683C">
        <w:t xml:space="preserve">, extreme rainfall events will become more intense, sea levels will rise, oceans will become more acidic, and snow depths will decline. These effects are not uniform across Australia. Rainfall across many regions of the south and east is projected to decline during the cooler months of the year, likely leading to more time spent in drought. Australia may see slightly fewer tropical cyclones in </w:t>
      </w:r>
      <w:r w:rsidR="002E227D" w:rsidRPr="0093683C">
        <w:t xml:space="preserve">the </w:t>
      </w:r>
      <w:r w:rsidRPr="0093683C">
        <w:t xml:space="preserve">future, but a greater proportion of those will be higher in intensity, with ongoing large variations from year to year. Sea level rise will lead to more frequent and severe coastal inundation from storm surges.  </w:t>
      </w:r>
    </w:p>
    <w:p w14:paraId="1BC99C93" w14:textId="5D788FC2" w:rsidR="008B5236" w:rsidRPr="0093683C" w:rsidRDefault="008B5236" w:rsidP="00A13C8C">
      <w:pPr>
        <w:pStyle w:val="ChartHeading"/>
      </w:pPr>
      <w:r w:rsidRPr="0093683C">
        <w:lastRenderedPageBreak/>
        <w:t>Chart 3.17: Number of days each year that Australian mean temperatures were in</w:t>
      </w:r>
      <w:r w:rsidR="00AA5F00" w:rsidRPr="0093683C">
        <w:t> </w:t>
      </w:r>
      <w:r w:rsidRPr="0093683C">
        <w:t>the warmest 1 per</w:t>
      </w:r>
      <w:r w:rsidR="002E7009" w:rsidRPr="0093683C">
        <w:t xml:space="preserve"> </w:t>
      </w:r>
      <w:r w:rsidRPr="0093683C">
        <w:t>cent of days for each month, calculated for the period 1910</w:t>
      </w:r>
      <w:r w:rsidR="00AA5F00" w:rsidRPr="0093683C">
        <w:t> </w:t>
      </w:r>
      <w:r w:rsidRPr="0093683C">
        <w:t>to</w:t>
      </w:r>
      <w:r w:rsidR="00AA5F00" w:rsidRPr="0093683C">
        <w:t> </w:t>
      </w:r>
      <w:r w:rsidRPr="0093683C">
        <w:t>2020</w:t>
      </w:r>
    </w:p>
    <w:p w14:paraId="20886814" w14:textId="251A10D7" w:rsidR="00A13C8C" w:rsidRPr="0093683C" w:rsidRDefault="005321C0" w:rsidP="00A13C8C">
      <w:pPr>
        <w:pStyle w:val="ChartGraphic"/>
      </w:pPr>
      <w:r>
        <w:rPr>
          <w:noProof/>
        </w:rPr>
        <w:drawing>
          <wp:inline distT="0" distB="0" distL="0" distR="0" wp14:anchorId="5E7B6046" wp14:editId="7A3A5422">
            <wp:extent cx="4674235" cy="2523490"/>
            <wp:effectExtent l="0" t="0" r="0" b="0"/>
            <wp:docPr id="18" name="Picture 18" descr="This chart shows the number of days each year where the Australian daily area-averaged mean temperature is rated as 'extreme'. Extreme days are those in the warmest 1 per cent of days for each month, calculated from the period 1910 to 20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his chart shows the number of days each year where the Australian daily area-averaged mean temperature is rated as 'extreme'. Extreme days are those in the warmest 1 per cent of days for each month, calculated from the period 1910 to 2020.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74235" cy="2523490"/>
                    </a:xfrm>
                    <a:prstGeom prst="rect">
                      <a:avLst/>
                    </a:prstGeom>
                    <a:noFill/>
                    <a:ln>
                      <a:noFill/>
                    </a:ln>
                  </pic:spPr>
                </pic:pic>
              </a:graphicData>
            </a:graphic>
          </wp:inline>
        </w:drawing>
      </w:r>
    </w:p>
    <w:p w14:paraId="2C0D9558" w14:textId="33FD7FFA" w:rsidR="0033299B" w:rsidRPr="0093683C" w:rsidRDefault="0033299B" w:rsidP="002F7DB2">
      <w:pPr>
        <w:pStyle w:val="ChartandTableFootnote"/>
        <w:rPr>
          <w:color w:val="auto"/>
          <w:lang w:eastAsia="en-US"/>
        </w:rPr>
      </w:pPr>
      <w:r w:rsidRPr="0093683C">
        <w:rPr>
          <w:color w:val="auto"/>
        </w:rPr>
        <w:t xml:space="preserve">Source: </w:t>
      </w:r>
      <w:r w:rsidRPr="0093683C">
        <w:rPr>
          <w:color w:val="auto"/>
        </w:rPr>
        <w:tab/>
        <w:t>Bureau of Meteorology.</w:t>
      </w:r>
      <w:r w:rsidRPr="0093683C">
        <w:rPr>
          <w:color w:val="auto"/>
          <w:lang w:eastAsia="en-US"/>
        </w:rPr>
        <w:t xml:space="preserve"> </w:t>
      </w:r>
    </w:p>
    <w:p w14:paraId="20270EC9" w14:textId="77777777" w:rsidR="002F7DB2" w:rsidRPr="0093683C" w:rsidRDefault="002F7DB2" w:rsidP="00CA3B26">
      <w:pPr>
        <w:pStyle w:val="ChartLine"/>
        <w:rPr>
          <w:lang w:eastAsia="en-US"/>
        </w:rPr>
      </w:pPr>
    </w:p>
    <w:p w14:paraId="156F093E" w14:textId="77777777" w:rsidR="00B37489" w:rsidRPr="0093683C" w:rsidRDefault="00B37489" w:rsidP="00B37489">
      <w:r w:rsidRPr="0093683C">
        <w:t xml:space="preserve">Higher average temperatures and an increasing number of very hot days could reduce the number of working days in some industries and increase the cost of business-as-usual work in others. It could also lead to a decrease in the productivity of land and labour and increase the rate of capital depreciation. This would result in a decrease in economic activity, reducing </w:t>
      </w:r>
      <w:r w:rsidR="003D4E9E" w:rsidRPr="0093683C">
        <w:t>g</w:t>
      </w:r>
      <w:r w:rsidRPr="0093683C">
        <w:t>overnment revenue.</w:t>
      </w:r>
      <w:r w:rsidRPr="0093683C" w:rsidDel="004175ED">
        <w:t xml:space="preserve"> </w:t>
      </w:r>
      <w:r w:rsidRPr="0093683C">
        <w:t xml:space="preserve">The IMF </w:t>
      </w:r>
      <w:r w:rsidR="008B5236" w:rsidRPr="0093683C">
        <w:t>estimate</w:t>
      </w:r>
      <w:r w:rsidRPr="0093683C">
        <w:t xml:space="preserve"> that if global temperatures increase by 3.4</w:t>
      </w:r>
      <w:r w:rsidRPr="0093683C">
        <w:rPr>
          <w:rFonts w:ascii="Times New Roman" w:hAnsi="Times New Roman"/>
        </w:rPr>
        <w:t>℃</w:t>
      </w:r>
      <w:r w:rsidRPr="0093683C">
        <w:t xml:space="preserve"> by 2100 (above 2014 temperatures), global GDP will be 7 per cent lower compared to a baseline scenario in which temperatures rise by 1.6</w:t>
      </w:r>
      <w:r w:rsidRPr="0093683C">
        <w:rPr>
          <w:rFonts w:ascii="Times New Roman" w:hAnsi="Times New Roman"/>
        </w:rPr>
        <w:t>℃</w:t>
      </w:r>
      <w:r w:rsidRPr="0093683C">
        <w:t xml:space="preserve"> (based on extrapolating historical global </w:t>
      </w:r>
      <w:r w:rsidR="008B5236" w:rsidRPr="0093683C">
        <w:t>temperature</w:t>
      </w:r>
      <w:r w:rsidRPr="0093683C">
        <w:t xml:space="preserve"> between 1960 and 2014)</w:t>
      </w:r>
      <w:r w:rsidR="00BF082B" w:rsidRPr="0093683C">
        <w:t>.</w:t>
      </w:r>
      <w:r w:rsidRPr="0093683C">
        <w:rPr>
          <w:rStyle w:val="FootnoteReference"/>
        </w:rPr>
        <w:footnoteReference w:id="5"/>
      </w:r>
      <w:r w:rsidRPr="0093683C">
        <w:t xml:space="preserve"> </w:t>
      </w:r>
    </w:p>
    <w:p w14:paraId="5FC2494B" w14:textId="41E32AD7" w:rsidR="008B5236" w:rsidRPr="0093683C" w:rsidRDefault="008B5236" w:rsidP="008B5236">
      <w:r w:rsidRPr="0093683C">
        <w:t xml:space="preserve">Extreme weather events </w:t>
      </w:r>
      <w:r w:rsidR="006D5159" w:rsidRPr="0093683C">
        <w:t>include heatwaves,</w:t>
      </w:r>
      <w:r w:rsidRPr="0093683C">
        <w:t xml:space="preserve"> floods, heavy </w:t>
      </w:r>
      <w:r w:rsidR="006D5159" w:rsidRPr="0093683C">
        <w:t xml:space="preserve">rainfalls, </w:t>
      </w:r>
      <w:proofErr w:type="gramStart"/>
      <w:r w:rsidR="006D5159" w:rsidRPr="0093683C">
        <w:t>storms</w:t>
      </w:r>
      <w:proofErr w:type="gramEnd"/>
      <w:r w:rsidR="006D5159" w:rsidRPr="0093683C">
        <w:t xml:space="preserve"> and drought.</w:t>
      </w:r>
      <w:r w:rsidRPr="0093683C">
        <w:t xml:space="preserve"> On impact, these events have the potential to cause severe damage to affected regions and disrupt economic activity. This will impact expenditure as the Government works with states and territories to repair and replace damaged infrastructure or provide disaster relief. The</w:t>
      </w:r>
      <w:r w:rsidRPr="0093683C" w:rsidDel="003F5BF0">
        <w:t xml:space="preserve"> </w:t>
      </w:r>
      <w:r w:rsidR="003F5BF0" w:rsidRPr="0093683C">
        <w:t xml:space="preserve">economic </w:t>
      </w:r>
      <w:r w:rsidR="00191B3A" w:rsidRPr="0093683C">
        <w:t>impacts</w:t>
      </w:r>
      <w:r w:rsidRPr="0093683C">
        <w:t xml:space="preserve"> </w:t>
      </w:r>
      <w:r w:rsidR="003F5BF0" w:rsidRPr="0093683C">
        <w:t>of</w:t>
      </w:r>
      <w:r w:rsidRPr="0093683C">
        <w:t xml:space="preserve"> the </w:t>
      </w:r>
      <w:r w:rsidR="00FB4B7B" w:rsidRPr="0093683C">
        <w:t>floods throughout</w:t>
      </w:r>
      <w:r w:rsidRPr="0093683C">
        <w:t xml:space="preserve"> 2022</w:t>
      </w:r>
      <w:r w:rsidR="00B022B2" w:rsidRPr="0093683C">
        <w:t xml:space="preserve">, outlined in Box </w:t>
      </w:r>
      <w:r w:rsidR="00B8768C" w:rsidRPr="0093683C">
        <w:t>3.6</w:t>
      </w:r>
      <w:r w:rsidR="00B022B2" w:rsidRPr="0093683C">
        <w:t>,</w:t>
      </w:r>
      <w:r w:rsidRPr="0093683C">
        <w:t xml:space="preserve"> provides a recent example of fiscal risks from extreme weather materialising. The Royal Commission into National Natural Disaster Arrangements found that Australia can expect more concurrent and consecutive natural disasters. As these events become more frequent, the direct economic costs will impact Australia’s fiscal position by putting downward pressure on tax revenue and upward pressure on expenditure. </w:t>
      </w: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8B5236" w:rsidRPr="00286258" w14:paraId="48B16A05" w14:textId="77777777" w:rsidTr="007B3A69">
        <w:trPr>
          <w:cantSplit/>
          <w:trHeight w:val="567"/>
        </w:trPr>
        <w:tc>
          <w:tcPr>
            <w:tcW w:w="5000" w:type="pct"/>
            <w:shd w:val="clear" w:color="auto" w:fill="E6F2FF"/>
            <w:tcMar>
              <w:top w:w="227" w:type="dxa"/>
              <w:left w:w="227" w:type="dxa"/>
              <w:bottom w:w="227" w:type="dxa"/>
              <w:right w:w="227" w:type="dxa"/>
            </w:tcMar>
          </w:tcPr>
          <w:p w14:paraId="3B829DCF" w14:textId="77777777" w:rsidR="008B5236" w:rsidRPr="0093683C" w:rsidRDefault="008B5236" w:rsidP="00263B8E">
            <w:pPr>
              <w:pStyle w:val="BoxHeading"/>
            </w:pPr>
            <w:r w:rsidRPr="0093683C">
              <w:lastRenderedPageBreak/>
              <w:t>Box 3.</w:t>
            </w:r>
            <w:r w:rsidR="00B8768C" w:rsidRPr="0093683C">
              <w:t>6</w:t>
            </w:r>
            <w:r w:rsidRPr="0093683C">
              <w:t xml:space="preserve"> The cost of the 2022 floods</w:t>
            </w:r>
          </w:p>
          <w:p w14:paraId="1CECE6B1" w14:textId="1780F4A2" w:rsidR="001C5167" w:rsidRPr="0093683C" w:rsidRDefault="00045D42" w:rsidP="00263B8E">
            <w:pPr>
              <w:pStyle w:val="BoxText"/>
            </w:pPr>
            <w:r w:rsidRPr="0093683C">
              <w:t>Throughout 2022 there has been severe flooding in many parts of Australia. The floods in February, March and July 2022 affected many parts of south-eastern Queensland and New South Wales. Intense rainfall during September and the first half of October has again led to flooding in these regions, along with large areas of Victoria and Tasmania.</w:t>
            </w:r>
            <w:r w:rsidR="008B5236" w:rsidRPr="0093683C">
              <w:t xml:space="preserve"> Many individuals and communities </w:t>
            </w:r>
            <w:r w:rsidR="001C5167" w:rsidRPr="0093683C">
              <w:t xml:space="preserve">impacted </w:t>
            </w:r>
            <w:r w:rsidR="008B5236" w:rsidRPr="0093683C">
              <w:t xml:space="preserve">by the floods faced temporary displacement, and property and vehicle losses, leading to a long road to recovery. </w:t>
            </w:r>
          </w:p>
          <w:p w14:paraId="475ADBA2" w14:textId="654B5ECE" w:rsidR="008B5236" w:rsidRPr="0093683C" w:rsidRDefault="00D83910" w:rsidP="00263B8E">
            <w:pPr>
              <w:pStyle w:val="BoxText"/>
            </w:pPr>
            <w:r w:rsidRPr="0093683C">
              <w:t xml:space="preserve">Preliminary estimates indicate the October floods will lead to a detraction of around a ¼ of a percentage point from GDP growth in the December quarter of 2022. The floods are also expected to add 0.1 percentage points to inflation in the December quarter 2022 and again in the March quarter 2023, mainly due to higher fruit and vegetable prices and supply chain disruptions. </w:t>
            </w:r>
            <w:r w:rsidR="00191B3A" w:rsidRPr="0093683C">
              <w:t>Further analysis o</w:t>
            </w:r>
            <w:r w:rsidR="0067759A" w:rsidRPr="0093683C">
              <w:t>f</w:t>
            </w:r>
            <w:r w:rsidR="00191B3A" w:rsidRPr="0093683C">
              <w:t xml:space="preserve"> recent floods affecting </w:t>
            </w:r>
            <w:r w:rsidR="00B869EA" w:rsidRPr="0093683C">
              <w:t>south</w:t>
            </w:r>
            <w:r w:rsidR="0048060A" w:rsidRPr="0093683C">
              <w:noBreakHyphen/>
            </w:r>
            <w:r w:rsidR="00B869EA" w:rsidRPr="0093683C">
              <w:t xml:space="preserve">eastern </w:t>
            </w:r>
            <w:r w:rsidR="00191B3A" w:rsidRPr="0093683C">
              <w:t xml:space="preserve">Australia is outlined in </w:t>
            </w:r>
            <w:r w:rsidR="00191B3A" w:rsidRPr="0093683C">
              <w:rPr>
                <w:i/>
              </w:rPr>
              <w:t>Statement 2</w:t>
            </w:r>
            <w:r w:rsidR="004D5FFF" w:rsidRPr="0093683C">
              <w:rPr>
                <w:i/>
              </w:rPr>
              <w:t>: Economic O</w:t>
            </w:r>
            <w:r w:rsidR="00AD3834" w:rsidRPr="0093683C">
              <w:rPr>
                <w:i/>
              </w:rPr>
              <w:t>utlook</w:t>
            </w:r>
            <w:r w:rsidR="00191B3A" w:rsidRPr="0093683C">
              <w:t>, Box 2.3</w:t>
            </w:r>
            <w:r w:rsidR="008B5236" w:rsidRPr="0093683C">
              <w:t xml:space="preserve">. </w:t>
            </w:r>
          </w:p>
          <w:p w14:paraId="03A8ACB3" w14:textId="0343142E" w:rsidR="008B5236" w:rsidRPr="0093683C" w:rsidRDefault="005A5380" w:rsidP="00263B8E">
            <w:pPr>
              <w:pStyle w:val="BoxText"/>
            </w:pPr>
            <w:r w:rsidRPr="0093683C">
              <w:t>T</w:t>
            </w:r>
            <w:r w:rsidR="008B5236" w:rsidRPr="0093683C">
              <w:t xml:space="preserve">he impacts </w:t>
            </w:r>
            <w:r w:rsidRPr="0093683C">
              <w:t>of natural disasters</w:t>
            </w:r>
            <w:r w:rsidR="008B5236" w:rsidRPr="0093683C">
              <w:t xml:space="preserve"> go beyond the direct effects on </w:t>
            </w:r>
            <w:r w:rsidR="000A4897" w:rsidRPr="0093683C">
              <w:t>economic activity</w:t>
            </w:r>
            <w:r w:rsidR="008B5236" w:rsidRPr="0093683C">
              <w:t>. There are also direct and indirect fiscal impacts. The Commonwealth provides direct support to states and territories following natural disasters. Additionally, the reduction in economic activity decrease</w:t>
            </w:r>
            <w:r w:rsidR="00370802" w:rsidRPr="0093683C">
              <w:t>s</w:t>
            </w:r>
            <w:r w:rsidR="008B5236" w:rsidRPr="0093683C">
              <w:t xml:space="preserve"> government revenue, </w:t>
            </w:r>
            <w:r w:rsidR="0067759A" w:rsidRPr="0093683C">
              <w:t>but this is likely at least partly offset by higher levels of activity and revenue during the recovery phase.</w:t>
            </w:r>
            <w:r w:rsidR="008B5236" w:rsidRPr="0093683C">
              <w:t xml:space="preserve">  </w:t>
            </w:r>
          </w:p>
          <w:p w14:paraId="78F5F024" w14:textId="77777777" w:rsidR="008B5236" w:rsidRPr="0093683C" w:rsidRDefault="008B5236" w:rsidP="006B127C">
            <w:pPr>
              <w:pStyle w:val="BoxText"/>
            </w:pPr>
            <w:r w:rsidRPr="0093683C">
              <w:t xml:space="preserve">Health, social and community impacts also need to be </w:t>
            </w:r>
            <w:proofErr w:type="gramStart"/>
            <w:r w:rsidRPr="0093683C">
              <w:t>taken into account</w:t>
            </w:r>
            <w:proofErr w:type="gramEnd"/>
            <w:r w:rsidRPr="0093683C">
              <w:t xml:space="preserve">. This includes the adverse impact natural disasters can have on mental health, education disruption and local ecosystems. A 2022 report by Deloitte Access Economics estimated that the </w:t>
            </w:r>
            <w:proofErr w:type="gramStart"/>
            <w:r w:rsidRPr="0093683C">
              <w:t>South East</w:t>
            </w:r>
            <w:proofErr w:type="gramEnd"/>
            <w:r w:rsidRPr="0093683C">
              <w:t xml:space="preserve"> Queensland floods between February and April cost $7.7 billion</w:t>
            </w:r>
            <w:r w:rsidR="005729BA" w:rsidRPr="0093683C">
              <w:t>,</w:t>
            </w:r>
            <w:r w:rsidRPr="0093683C">
              <w:t xml:space="preserve"> taking into account both direct financial and economic costs and the net present value of lifelong health and social costs</w:t>
            </w:r>
            <w:r w:rsidR="00B746BD" w:rsidRPr="0093683C">
              <w:t>.</w:t>
            </w:r>
            <w:r w:rsidR="007D605D" w:rsidRPr="0093683C">
              <w:rPr>
                <w:rStyle w:val="FootnoteReference"/>
              </w:rPr>
              <w:footnoteReference w:id="6"/>
            </w:r>
            <w:r w:rsidRPr="0093683C">
              <w:t xml:space="preserve">  </w:t>
            </w:r>
          </w:p>
          <w:p w14:paraId="0E0AA039" w14:textId="4D103EB9" w:rsidR="008B5236" w:rsidRPr="0093683C" w:rsidRDefault="006B127C" w:rsidP="007B3A69">
            <w:pPr>
              <w:pStyle w:val="Box-continuedon"/>
            </w:pPr>
            <w:proofErr w:type="gramStart"/>
            <w:r w:rsidRPr="0093683C">
              <w:t>continued on</w:t>
            </w:r>
            <w:proofErr w:type="gramEnd"/>
            <w:r w:rsidRPr="0093683C">
              <w:t xml:space="preserve"> next page</w:t>
            </w:r>
          </w:p>
        </w:tc>
      </w:tr>
      <w:tr w:rsidR="0004161F" w:rsidRPr="00EA29FB" w14:paraId="7EBA221C" w14:textId="77777777" w:rsidTr="00CA3B26">
        <w:trPr>
          <w:cantSplit/>
          <w:trHeight w:val="6861"/>
        </w:trPr>
        <w:tc>
          <w:tcPr>
            <w:tcW w:w="5000" w:type="pct"/>
            <w:shd w:val="clear" w:color="auto" w:fill="E6F2FF"/>
            <w:tcMar>
              <w:top w:w="227" w:type="dxa"/>
              <w:left w:w="227" w:type="dxa"/>
              <w:bottom w:w="227" w:type="dxa"/>
              <w:right w:w="227" w:type="dxa"/>
            </w:tcMar>
          </w:tcPr>
          <w:p w14:paraId="593D2E50" w14:textId="472E0F5D" w:rsidR="007B3A69" w:rsidRPr="0093683C" w:rsidRDefault="007B3A69" w:rsidP="005C43C9">
            <w:pPr>
              <w:pStyle w:val="BoxHeading"/>
            </w:pPr>
            <w:r w:rsidRPr="0093683C">
              <w:lastRenderedPageBreak/>
              <w:t>Box 3.6 The cost of the 2022 floods (continued)</w:t>
            </w:r>
          </w:p>
          <w:p w14:paraId="1B268D81" w14:textId="2E5B2F8D" w:rsidR="006B127C" w:rsidRPr="0093683C" w:rsidRDefault="006B127C" w:rsidP="006B127C">
            <w:pPr>
              <w:pStyle w:val="BoxText"/>
            </w:pPr>
            <w:r w:rsidRPr="0093683C">
              <w:t xml:space="preserve">The economic impacts of natural disasters are often localised and devastating for the affected communities and regions. As instances of these events become more frequent, they are also likely to have compounding effects. Australia, over the last 3 years, has experienced drought, heatwaves, bushfires, severe storms, </w:t>
            </w:r>
            <w:proofErr w:type="gramStart"/>
            <w:r w:rsidRPr="0093683C">
              <w:t>floods</w:t>
            </w:r>
            <w:proofErr w:type="gramEnd"/>
            <w:r w:rsidRPr="0093683C">
              <w:t xml:space="preserve"> and a pandemic. Consequently, many regions have been affected by multiple events over this period. Concurrent and consecutive natural disasters increase the pressure on affected and vulnerable communities and are expected to increase in cost over time.</w:t>
            </w:r>
          </w:p>
          <w:p w14:paraId="310F4A8E" w14:textId="6EE0F543" w:rsidR="006B127C" w:rsidRPr="0093683C" w:rsidRDefault="006B127C" w:rsidP="006B127C">
            <w:pPr>
              <w:pStyle w:val="ChartHeading"/>
            </w:pPr>
            <w:r w:rsidRPr="0093683C">
              <w:t xml:space="preserve">Chart 3.18: Non-life insurance claims over time </w:t>
            </w:r>
          </w:p>
          <w:p w14:paraId="32AC085F" w14:textId="518491F0" w:rsidR="006B127C" w:rsidRPr="0093683C" w:rsidRDefault="002D7FEA" w:rsidP="006B127C">
            <w:pPr>
              <w:pStyle w:val="ChartGraphic"/>
            </w:pPr>
            <w:r>
              <w:rPr>
                <w:noProof/>
              </w:rPr>
              <w:drawing>
                <wp:inline distT="0" distB="0" distL="0" distR="0" wp14:anchorId="061B62BE" wp14:editId="4D178001">
                  <wp:extent cx="4681855" cy="2508885"/>
                  <wp:effectExtent l="0" t="0" r="0" b="5715"/>
                  <wp:docPr id="19" name="Picture 19" descr="This chart shows non-life insurance claim data from the ABS' National Accounts data release. Data labels have been placed over relative peaks in the series noting the natural disaster that occurred at that time which contributed to the increase in clai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his chart shows non-life insurance claim data from the ABS' National Accounts data release. Data labels have been placed over relative peaks in the series noting the natural disaster that occurred at that time which contributed to the increase in claim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1855" cy="2508885"/>
                          </a:xfrm>
                          <a:prstGeom prst="rect">
                            <a:avLst/>
                          </a:prstGeom>
                          <a:noFill/>
                          <a:ln>
                            <a:noFill/>
                          </a:ln>
                        </pic:spPr>
                      </pic:pic>
                    </a:graphicData>
                  </a:graphic>
                </wp:inline>
              </w:drawing>
            </w:r>
          </w:p>
          <w:p w14:paraId="0CC9F5BD" w14:textId="553CF006" w:rsidR="0004161F" w:rsidRPr="0093683C" w:rsidRDefault="006B127C" w:rsidP="0016082F">
            <w:pPr>
              <w:pStyle w:val="ChartandTableFootnote"/>
              <w:rPr>
                <w:color w:val="auto"/>
              </w:rPr>
            </w:pPr>
            <w:r w:rsidRPr="0093683C">
              <w:t>Source:</w:t>
            </w:r>
            <w:r w:rsidR="00CA3B26" w:rsidRPr="0093683C">
              <w:t xml:space="preserve"> </w:t>
            </w:r>
            <w:r w:rsidR="00973817">
              <w:tab/>
            </w:r>
            <w:r w:rsidR="001E6E71" w:rsidRPr="0093683C">
              <w:rPr>
                <w:color w:val="auto"/>
              </w:rPr>
              <w:t>A</w:t>
            </w:r>
            <w:r w:rsidR="00F626D0" w:rsidRPr="0093683C">
              <w:rPr>
                <w:color w:val="auto"/>
              </w:rPr>
              <w:t>BS Australian National Accounts: National Income, Expenditure and Product</w:t>
            </w:r>
            <w:r w:rsidR="0016082F" w:rsidRPr="0093683C">
              <w:rPr>
                <w:color w:val="auto"/>
              </w:rPr>
              <w:t>.</w:t>
            </w:r>
          </w:p>
          <w:p w14:paraId="3AE5033E" w14:textId="3D5D5C69" w:rsidR="00CA3B26" w:rsidRPr="00CA3B26" w:rsidRDefault="00CA3B26" w:rsidP="00CA3B26">
            <w:pPr>
              <w:pStyle w:val="ChartLine"/>
            </w:pPr>
          </w:p>
        </w:tc>
      </w:tr>
    </w:tbl>
    <w:p w14:paraId="45BB7C0A" w14:textId="1DD0FFFB" w:rsidR="00676FF9" w:rsidRPr="00EA29FB" w:rsidRDefault="00676FF9" w:rsidP="005C43C9">
      <w:pPr>
        <w:pStyle w:val="SingleParagraph"/>
      </w:pPr>
    </w:p>
    <w:p w14:paraId="44926CD1" w14:textId="2F8C8880" w:rsidR="008B5236" w:rsidRPr="0093683C" w:rsidRDefault="00676FF9" w:rsidP="008B5236">
      <w:pPr>
        <w:pStyle w:val="Heading4"/>
      </w:pPr>
      <w:r w:rsidRPr="0093683C">
        <w:t>O</w:t>
      </w:r>
      <w:r w:rsidR="008B5236" w:rsidRPr="0093683C">
        <w:t>pportunities</w:t>
      </w:r>
      <w:r w:rsidRPr="0093683C">
        <w:t xml:space="preserve"> through economic transformation</w:t>
      </w:r>
    </w:p>
    <w:p w14:paraId="406557F5" w14:textId="77777777" w:rsidR="008B5236" w:rsidRPr="0093683C" w:rsidRDefault="008B5236" w:rsidP="008B5236">
      <w:r w:rsidRPr="0093683C">
        <w:t xml:space="preserve">The resilience and adaptability of the Australian economy </w:t>
      </w:r>
      <w:r w:rsidR="00B10918" w:rsidRPr="0093683C">
        <w:t>positions Australia well</w:t>
      </w:r>
      <w:r w:rsidRPr="0093683C">
        <w:t xml:space="preserve"> to manage the transition to net zero</w:t>
      </w:r>
      <w:r w:rsidR="00B10918" w:rsidRPr="0093683C">
        <w:t xml:space="preserve"> emission</w:t>
      </w:r>
      <w:r w:rsidR="009A0AED" w:rsidRPr="0093683C">
        <w:t>s</w:t>
      </w:r>
      <w:r w:rsidRPr="0093683C">
        <w:t xml:space="preserve">. </w:t>
      </w:r>
    </w:p>
    <w:p w14:paraId="0AEC172B" w14:textId="62AC6697" w:rsidR="008B5236" w:rsidRPr="0093683C" w:rsidRDefault="008B5236" w:rsidP="008B5236">
      <w:r w:rsidRPr="0093683C">
        <w:t>Some businesses could experience significant changes in the demand for their goods or services. For example, the electrification of vehicle</w:t>
      </w:r>
      <w:r w:rsidR="00136636" w:rsidRPr="0093683C">
        <w:t>s</w:t>
      </w:r>
      <w:r w:rsidRPr="0093683C">
        <w:t xml:space="preserve"> will boost demand for some Australian commodities, like lithium. However, emissions</w:t>
      </w:r>
      <w:r w:rsidR="009E3BA0" w:rsidRPr="0093683C">
        <w:t>-</w:t>
      </w:r>
      <w:r w:rsidRPr="0093683C">
        <w:t>intensive commodities, like coal, are expected to see a reduction in export volumes over</w:t>
      </w:r>
      <w:r w:rsidR="0022643A" w:rsidRPr="0093683C">
        <w:t xml:space="preserve"> </w:t>
      </w:r>
      <w:r w:rsidRPr="0093683C">
        <w:t xml:space="preserve">time as global demand declines. </w:t>
      </w:r>
    </w:p>
    <w:p w14:paraId="1E4172D6" w14:textId="0AE8930A" w:rsidR="005E065A" w:rsidRPr="0093683C" w:rsidRDefault="00C641AC" w:rsidP="008B5236">
      <w:r w:rsidRPr="0093683C">
        <w:t>Decarbonis</w:t>
      </w:r>
      <w:r w:rsidR="007856A1" w:rsidRPr="0093683C">
        <w:t>ation of</w:t>
      </w:r>
      <w:r w:rsidRPr="0093683C">
        <w:t xml:space="preserve"> the </w:t>
      </w:r>
      <w:r w:rsidR="007A700C" w:rsidRPr="0093683C">
        <w:t>global</w:t>
      </w:r>
      <w:r w:rsidRPr="0093683C">
        <w:t xml:space="preserve"> economy also presents opportunit</w:t>
      </w:r>
      <w:r w:rsidR="00706EFE" w:rsidRPr="0093683C">
        <w:t>ies</w:t>
      </w:r>
      <w:r w:rsidRPr="0093683C">
        <w:t xml:space="preserve"> for economic growth and </w:t>
      </w:r>
      <w:r w:rsidR="00B10918" w:rsidRPr="0093683C">
        <w:t>transformation</w:t>
      </w:r>
      <w:r w:rsidRPr="0093683C">
        <w:t xml:space="preserve">. For example, </w:t>
      </w:r>
      <w:r w:rsidR="007F18C8" w:rsidRPr="0093683C">
        <w:t>there is significant potential to</w:t>
      </w:r>
      <w:r w:rsidRPr="0093683C">
        <w:t xml:space="preserve"> </w:t>
      </w:r>
      <w:r w:rsidR="00F40B31" w:rsidRPr="0093683C">
        <w:t xml:space="preserve">expand </w:t>
      </w:r>
      <w:r w:rsidR="00554D8D" w:rsidRPr="0093683C">
        <w:t xml:space="preserve">onshore and offshore wind and </w:t>
      </w:r>
      <w:r w:rsidRPr="0093683C">
        <w:t>solar</w:t>
      </w:r>
      <w:r w:rsidR="00BE5973" w:rsidRPr="0093683C">
        <w:t xml:space="preserve"> </w:t>
      </w:r>
      <w:r w:rsidR="00F40B31" w:rsidRPr="0093683C">
        <w:t>electricity generation in Australia</w:t>
      </w:r>
      <w:r w:rsidR="005E065A" w:rsidRPr="0093683C">
        <w:t>. This</w:t>
      </w:r>
      <w:r w:rsidR="00F40B31" w:rsidRPr="0093683C" w:rsidDel="005E065A">
        <w:t xml:space="preserve"> </w:t>
      </w:r>
      <w:r w:rsidR="000033FC" w:rsidRPr="0093683C">
        <w:t>could</w:t>
      </w:r>
      <w:r w:rsidRPr="0093683C">
        <w:t xml:space="preserve"> help underpin a comparative advantage </w:t>
      </w:r>
      <w:r w:rsidR="0006773A" w:rsidRPr="0093683C">
        <w:t>in</w:t>
      </w:r>
      <w:r w:rsidRPr="0093683C">
        <w:t xml:space="preserve"> low emissions, energy</w:t>
      </w:r>
      <w:r w:rsidR="009E3BA0" w:rsidRPr="0093683C">
        <w:t>-</w:t>
      </w:r>
      <w:r w:rsidRPr="0093683C">
        <w:t>intensive manufacturing</w:t>
      </w:r>
      <w:r w:rsidR="0033517B" w:rsidRPr="0093683C">
        <w:t xml:space="preserve"> </w:t>
      </w:r>
      <w:r w:rsidR="00E61EA3" w:rsidRPr="0093683C">
        <w:t>such as</w:t>
      </w:r>
      <w:r w:rsidR="0006773A" w:rsidRPr="0093683C">
        <w:t xml:space="preserve"> the</w:t>
      </w:r>
      <w:r w:rsidR="0033517B" w:rsidRPr="0093683C">
        <w:t xml:space="preserve"> production of</w:t>
      </w:r>
      <w:r w:rsidR="00E61EA3" w:rsidRPr="0093683C">
        <w:t xml:space="preserve"> green hydrogen or green iron. </w:t>
      </w:r>
    </w:p>
    <w:p w14:paraId="4FDF47A5" w14:textId="61A43B80" w:rsidR="008B5236" w:rsidRPr="0093683C" w:rsidRDefault="008B5236" w:rsidP="008B5236">
      <w:r w:rsidRPr="0093683C">
        <w:lastRenderedPageBreak/>
        <w:t>The</w:t>
      </w:r>
      <w:r w:rsidR="00E15332" w:rsidRPr="0093683C">
        <w:t xml:space="preserve"> world’s</w:t>
      </w:r>
      <w:r w:rsidRPr="0093683C">
        <w:t xml:space="preserve"> net zero transition will</w:t>
      </w:r>
      <w:r w:rsidR="00A631B1" w:rsidRPr="0093683C">
        <w:t xml:space="preserve"> also</w:t>
      </w:r>
      <w:r w:rsidRPr="0093683C">
        <w:t xml:space="preserve"> affect the international competitiveness of some industries through changes in demand and costs of production. Expected changes in technology, demand and policy needs to be factored into businesses investment plans early to facilitate an efficient transition. Delayed action</w:t>
      </w:r>
      <w:r w:rsidR="000B328A" w:rsidRPr="0093683C" w:rsidDel="00B10918">
        <w:t xml:space="preserve"> </w:t>
      </w:r>
      <w:r w:rsidR="00B10918" w:rsidRPr="0093683C">
        <w:t xml:space="preserve">would </w:t>
      </w:r>
      <w:r w:rsidRPr="0093683C">
        <w:t>increase the cost of transitioning and could reduce the competitiveness of some of Australia’s industries.</w:t>
      </w:r>
      <w:r w:rsidR="00A66E1C" w:rsidRPr="0093683C">
        <w:t xml:space="preserve"> </w:t>
      </w:r>
    </w:p>
    <w:p w14:paraId="43CC5EDB" w14:textId="14CA4A2E" w:rsidR="008B5236" w:rsidRPr="0093683C" w:rsidRDefault="008B5236" w:rsidP="008B5236">
      <w:r w:rsidRPr="0093683C">
        <w:t>Improving how the private sector identifies, discloses</w:t>
      </w:r>
      <w:r w:rsidR="00965932" w:rsidRPr="0093683C">
        <w:t>,</w:t>
      </w:r>
      <w:r w:rsidRPr="0093683C">
        <w:t xml:space="preserve"> and manages climate-related risks and opportunities is crucial to encourage action to reduce emissions and facilitate private capital flows to support the transition. The Government is </w:t>
      </w:r>
      <w:r w:rsidR="00623FE1" w:rsidRPr="0093683C">
        <w:t>committed to introducing</w:t>
      </w:r>
      <w:r w:rsidRPr="0093683C">
        <w:t xml:space="preserve"> standardised, </w:t>
      </w:r>
      <w:proofErr w:type="gramStart"/>
      <w:r w:rsidRPr="0093683C">
        <w:t>internationally-aligned</w:t>
      </w:r>
      <w:proofErr w:type="gramEnd"/>
      <w:r w:rsidRPr="0093683C">
        <w:t xml:space="preserve"> requirement</w:t>
      </w:r>
      <w:r w:rsidR="00491C87" w:rsidRPr="0093683C">
        <w:t>s</w:t>
      </w:r>
      <w:r w:rsidRPr="0093683C">
        <w:t xml:space="preserve"> for large businesses and financial institutions to make clear, credible and globally comparable disclosures of their climate</w:t>
      </w:r>
      <w:r w:rsidR="005E3EBA">
        <w:noBreakHyphen/>
      </w:r>
      <w:r w:rsidRPr="0093683C">
        <w:t>related risks</w:t>
      </w:r>
      <w:r w:rsidR="00F03EFF" w:rsidRPr="0093683C">
        <w:t>,</w:t>
      </w:r>
      <w:r w:rsidRPr="0093683C">
        <w:t xml:space="preserve"> and opportunities</w:t>
      </w:r>
      <w:r w:rsidR="00F03EFF" w:rsidRPr="0093683C">
        <w:t xml:space="preserve"> and plans</w:t>
      </w:r>
      <w:r w:rsidRPr="0093683C">
        <w:t xml:space="preserve">. </w:t>
      </w:r>
    </w:p>
    <w:p w14:paraId="125FD034" w14:textId="5808A732" w:rsidR="004B690F" w:rsidRPr="0093683C" w:rsidRDefault="00D92DC3" w:rsidP="008B5236">
      <w:r w:rsidRPr="0093683C">
        <w:t>The physical</w:t>
      </w:r>
      <w:r w:rsidR="00A77B91" w:rsidRPr="0093683C">
        <w:t xml:space="preserve"> impacts of climate change will </w:t>
      </w:r>
      <w:r w:rsidR="00B773F4" w:rsidRPr="0093683C">
        <w:t xml:space="preserve">also </w:t>
      </w:r>
      <w:r w:rsidR="00923AED" w:rsidRPr="0093683C">
        <w:t>drive economic</w:t>
      </w:r>
      <w:r w:rsidR="00AC4284" w:rsidRPr="0093683C">
        <w:t xml:space="preserve"> </w:t>
      </w:r>
      <w:r w:rsidR="00E54A91" w:rsidRPr="0093683C">
        <w:t xml:space="preserve">transition </w:t>
      </w:r>
      <w:r w:rsidR="001C0922" w:rsidRPr="0093683C">
        <w:t>as</w:t>
      </w:r>
      <w:r w:rsidR="00AC4284" w:rsidRPr="0093683C">
        <w:t xml:space="preserve"> Australians </w:t>
      </w:r>
      <w:r w:rsidR="00117811" w:rsidRPr="0093683C">
        <w:t xml:space="preserve">adapt the ways they </w:t>
      </w:r>
      <w:r w:rsidR="00AC4284" w:rsidRPr="0093683C">
        <w:t>live and work.</w:t>
      </w:r>
      <w:r w:rsidR="00EC0056" w:rsidRPr="0093683C">
        <w:t xml:space="preserve"> </w:t>
      </w:r>
      <w:r w:rsidR="005D1534" w:rsidRPr="0093683C">
        <w:t xml:space="preserve">For example, </w:t>
      </w:r>
      <w:r w:rsidR="0075438A" w:rsidRPr="0093683C">
        <w:t xml:space="preserve">higher temperatures may </w:t>
      </w:r>
      <w:r w:rsidR="004B6A1C" w:rsidRPr="0093683C">
        <w:t>prompt</w:t>
      </w:r>
      <w:r w:rsidR="00EC0056" w:rsidRPr="0093683C">
        <w:t xml:space="preserve"> </w:t>
      </w:r>
      <w:r w:rsidR="00B11CCA" w:rsidRPr="0093683C">
        <w:t xml:space="preserve">businesses </w:t>
      </w:r>
      <w:r w:rsidR="00923AED" w:rsidRPr="0093683C">
        <w:t>to</w:t>
      </w:r>
      <w:r w:rsidR="00B11CCA" w:rsidRPr="0093683C">
        <w:t xml:space="preserve"> adjust</w:t>
      </w:r>
      <w:r w:rsidR="00EC0056" w:rsidRPr="0093683C">
        <w:t xml:space="preserve"> </w:t>
      </w:r>
      <w:r w:rsidR="00DD3317" w:rsidRPr="0093683C">
        <w:t xml:space="preserve">hours </w:t>
      </w:r>
      <w:r w:rsidR="00AC1698" w:rsidRPr="0093683C">
        <w:t xml:space="preserve">of work to </w:t>
      </w:r>
      <w:r w:rsidR="00166C2F" w:rsidRPr="0093683C">
        <w:t>take advantage of the</w:t>
      </w:r>
      <w:r w:rsidR="00AC1698" w:rsidRPr="0093683C">
        <w:t xml:space="preserve"> </w:t>
      </w:r>
      <w:r w:rsidR="00A2246E" w:rsidRPr="0093683C">
        <w:t>coolest times of day</w:t>
      </w:r>
      <w:r w:rsidR="00A27ED3" w:rsidRPr="0093683C">
        <w:t>.</w:t>
      </w:r>
      <w:r w:rsidR="004F2C67" w:rsidRPr="0093683C">
        <w:t xml:space="preserve"> </w:t>
      </w:r>
    </w:p>
    <w:p w14:paraId="00C309CD" w14:textId="175D947E" w:rsidR="008B5236" w:rsidRPr="0093683C" w:rsidRDefault="008B5236" w:rsidP="008B5236">
      <w:r w:rsidRPr="0093683C">
        <w:t>The impacts of this transition on the Government’s fiscal position are complex. Investments in the net</w:t>
      </w:r>
      <w:r w:rsidR="009F007C" w:rsidRPr="0093683C">
        <w:t xml:space="preserve"> </w:t>
      </w:r>
      <w:r w:rsidRPr="0093683C">
        <w:t>zero transition will impact government expenditure and its balance sheet position. Changing patterns of demand domestically and globally will affect Australia’s industry mix and therefore tax base. The extent to which we can capture the opportunities arising from the global transition to net</w:t>
      </w:r>
      <w:r w:rsidR="006463BE" w:rsidRPr="0093683C">
        <w:t xml:space="preserve"> </w:t>
      </w:r>
      <w:r w:rsidRPr="0093683C">
        <w:t>zero and implement efficient and low-cost emissions reductions policies will impact the pace of economic growth. The Government is supporting Australian industries and regions to capture these</w:t>
      </w:r>
      <w:r w:rsidR="00D34A96" w:rsidRPr="0093683C">
        <w:t xml:space="preserve"> new industrial</w:t>
      </w:r>
      <w:r w:rsidRPr="0093683C">
        <w:t xml:space="preserve"> opportunities. </w:t>
      </w:r>
    </w:p>
    <w:p w14:paraId="555BA5B5" w14:textId="68532BF9" w:rsidR="00A60F88" w:rsidRPr="0093683C" w:rsidRDefault="00A60F88" w:rsidP="005D253C">
      <w:pPr>
        <w:pStyle w:val="Heading4"/>
      </w:pPr>
      <w:r w:rsidRPr="0093683C">
        <w:t>The path</w:t>
      </w:r>
      <w:r w:rsidRPr="0093683C">
        <w:rPr>
          <w:b w:val="0"/>
        </w:rPr>
        <w:t xml:space="preserve">way forward </w:t>
      </w:r>
    </w:p>
    <w:p w14:paraId="37F0FF5A" w14:textId="491F9F17" w:rsidR="00495DC9" w:rsidRPr="0093683C" w:rsidRDefault="00A60F88" w:rsidP="006A4478">
      <w:r w:rsidRPr="0093683C">
        <w:t xml:space="preserve">Mitigation and </w:t>
      </w:r>
      <w:r w:rsidR="00A167E0" w:rsidRPr="0093683C">
        <w:t xml:space="preserve">transition </w:t>
      </w:r>
      <w:r w:rsidRPr="0093683C">
        <w:t>policies must reduce the harmful consequences of climate change while reducing budget pressures over</w:t>
      </w:r>
      <w:r w:rsidR="004A17E8" w:rsidRPr="0093683C">
        <w:t xml:space="preserve"> </w:t>
      </w:r>
      <w:r w:rsidRPr="0093683C">
        <w:t xml:space="preserve">time. </w:t>
      </w:r>
      <w:r w:rsidR="00351C1F" w:rsidRPr="0093683C">
        <w:t xml:space="preserve">The Government </w:t>
      </w:r>
      <w:r w:rsidR="009368C5" w:rsidRPr="0093683C">
        <w:t>ha</w:t>
      </w:r>
      <w:r w:rsidR="00983289" w:rsidRPr="0093683C">
        <w:t>s</w:t>
      </w:r>
      <w:r w:rsidR="009368C5" w:rsidRPr="0093683C">
        <w:t xml:space="preserve"> made a commitment to reduce </w:t>
      </w:r>
      <w:r w:rsidR="00491793" w:rsidRPr="0093683C">
        <w:t xml:space="preserve">emissions </w:t>
      </w:r>
      <w:r w:rsidR="00596321" w:rsidRPr="0093683C">
        <w:t>by</w:t>
      </w:r>
      <w:r w:rsidR="00491793" w:rsidRPr="0093683C">
        <w:t xml:space="preserve"> 43 per cent </w:t>
      </w:r>
      <w:r w:rsidR="00EE4A55" w:rsidRPr="0093683C">
        <w:t>below</w:t>
      </w:r>
      <w:r w:rsidR="00491793" w:rsidRPr="0093683C">
        <w:t xml:space="preserve"> 2005 levels by 2030 and reach net</w:t>
      </w:r>
      <w:r w:rsidR="007B05A2" w:rsidRPr="0093683C">
        <w:t xml:space="preserve"> </w:t>
      </w:r>
      <w:r w:rsidR="00491793" w:rsidRPr="0093683C">
        <w:t xml:space="preserve">zero emissions by 2050 </w:t>
      </w:r>
      <w:r w:rsidR="0099609F" w:rsidRPr="0093683C">
        <w:t>to</w:t>
      </w:r>
      <w:r w:rsidR="00491793" w:rsidRPr="0093683C">
        <w:t xml:space="preserve"> ensure the harmful impacts of climate change</w:t>
      </w:r>
      <w:r w:rsidRPr="0093683C">
        <w:t xml:space="preserve"> </w:t>
      </w:r>
      <w:r w:rsidR="00014228" w:rsidRPr="0093683C">
        <w:t xml:space="preserve">are reduced. </w:t>
      </w:r>
      <w:r w:rsidRPr="0093683C">
        <w:t>Investments in cleaner technology are</w:t>
      </w:r>
      <w:r w:rsidRPr="0093683C" w:rsidDel="00AD5239">
        <w:t xml:space="preserve"> </w:t>
      </w:r>
      <w:r w:rsidR="009E52F6" w:rsidRPr="0093683C">
        <w:t>pivotal</w:t>
      </w:r>
      <w:r w:rsidRPr="0093683C">
        <w:t xml:space="preserve"> to limiting temperature increases and the associated costs. </w:t>
      </w:r>
      <w:r w:rsidR="00AC547E" w:rsidRPr="0093683C">
        <w:t>The Government is undertaking the National Climate Risk Assessment in consultation with stakeholders and experts, which will inform climate adaptation priorities.</w:t>
      </w:r>
    </w:p>
    <w:p w14:paraId="3380E288" w14:textId="75F02AD6" w:rsidR="006A4478" w:rsidRPr="00EA29FB" w:rsidRDefault="00540E0F" w:rsidP="006A4478">
      <w:r w:rsidRPr="0093683C">
        <w:t xml:space="preserve">The Government is building the modelling and analytical capability required </w:t>
      </w:r>
      <w:r w:rsidR="004A5958" w:rsidRPr="0093683C">
        <w:t xml:space="preserve">to understand the </w:t>
      </w:r>
      <w:r w:rsidR="00A71EAC" w:rsidRPr="0093683C">
        <w:t>risk</w:t>
      </w:r>
      <w:r w:rsidR="00EA1728" w:rsidRPr="0093683C">
        <w:t>s</w:t>
      </w:r>
      <w:r w:rsidR="00A71EAC" w:rsidRPr="0093683C">
        <w:t xml:space="preserve"> </w:t>
      </w:r>
      <w:r w:rsidR="007A609F" w:rsidRPr="0093683C">
        <w:t>associated with</w:t>
      </w:r>
      <w:r w:rsidR="00A71EAC" w:rsidRPr="0093683C">
        <w:t xml:space="preserve"> </w:t>
      </w:r>
      <w:r w:rsidR="007B05A2" w:rsidRPr="0093683C">
        <w:t>climate</w:t>
      </w:r>
      <w:r w:rsidR="00A71EAC" w:rsidRPr="0093683C">
        <w:t xml:space="preserve"> </w:t>
      </w:r>
      <w:r w:rsidR="004A5958" w:rsidRPr="0093683C">
        <w:t>impacts</w:t>
      </w:r>
      <w:r w:rsidR="00667C89" w:rsidRPr="0093683C">
        <w:t>, which</w:t>
      </w:r>
      <w:r w:rsidR="004A5958" w:rsidRPr="0093683C">
        <w:t xml:space="preserve"> will enable informed estimates of the benefits and costs of different transition paths. </w:t>
      </w:r>
      <w:r w:rsidR="00DF4A23" w:rsidRPr="0093683C">
        <w:t xml:space="preserve">Further, improving </w:t>
      </w:r>
      <w:r w:rsidR="00DE65A0" w:rsidRPr="0093683C">
        <w:t>climate risk ma</w:t>
      </w:r>
      <w:r w:rsidR="0016515B" w:rsidRPr="0093683C">
        <w:t>n</w:t>
      </w:r>
      <w:r w:rsidR="00623914" w:rsidRPr="0093683C">
        <w:t xml:space="preserve">agement </w:t>
      </w:r>
      <w:r w:rsidR="00035B9E" w:rsidRPr="0093683C">
        <w:t xml:space="preserve">and disclosure </w:t>
      </w:r>
      <w:r w:rsidR="003B5935" w:rsidRPr="0093683C">
        <w:t xml:space="preserve">across </w:t>
      </w:r>
      <w:r w:rsidR="00FE3677" w:rsidRPr="0093683C">
        <w:t>Government</w:t>
      </w:r>
      <w:r w:rsidR="00653219" w:rsidRPr="0093683C">
        <w:t xml:space="preserve"> will </w:t>
      </w:r>
      <w:r w:rsidR="009155FD" w:rsidRPr="0093683C">
        <w:t>enabl</w:t>
      </w:r>
      <w:r w:rsidR="00653219" w:rsidRPr="0093683C">
        <w:t>e</w:t>
      </w:r>
      <w:r w:rsidR="009155FD" w:rsidRPr="0093683C">
        <w:t xml:space="preserve"> better fiscal management and outcomes</w:t>
      </w:r>
      <w:r w:rsidR="00A60F88" w:rsidRPr="0093683C">
        <w:t xml:space="preserve">. </w:t>
      </w:r>
      <w:r w:rsidR="00774CA3" w:rsidRPr="0093683C">
        <w:t xml:space="preserve">Assessments </w:t>
      </w:r>
      <w:r w:rsidR="00A60F88" w:rsidRPr="0093683C">
        <w:t xml:space="preserve">of </w:t>
      </w:r>
      <w:r w:rsidR="004A17E8" w:rsidRPr="0093683C">
        <w:t xml:space="preserve">fiscal risks associated with </w:t>
      </w:r>
      <w:r w:rsidR="00A60F88" w:rsidRPr="0093683C">
        <w:t>climate change will be undertaken in future budgets and within the 2023 Intergenerational Report.</w:t>
      </w:r>
      <w:r w:rsidR="003457C4" w:rsidRPr="0093683C">
        <w:t xml:space="preserve"> </w:t>
      </w:r>
    </w:p>
    <w:p w14:paraId="727F5624" w14:textId="09D61BAB" w:rsidR="006A4478" w:rsidRPr="00EA29FB" w:rsidRDefault="006A4478" w:rsidP="006A4478">
      <w:r w:rsidRPr="0093683C">
        <w:t xml:space="preserve">Many jurisdictions and sectors are beginning to quantify these risks, both domestically and overseas. </w:t>
      </w:r>
      <w:r w:rsidR="00351C1F" w:rsidRPr="0093683C">
        <w:t xml:space="preserve">The Australian Prudential Regulation Authority is working with Australia’s largest five banks to provide insights into the potential financial exposure of institutions, the financial system and economy to the physical and transition risks of climate change. The Reserve Bank of Australia has produced complementary work on these risks to banks. Further, an increasing number of Australian companies are adopting the Financial Stability </w:t>
      </w:r>
      <w:r w:rsidR="00351C1F" w:rsidRPr="0093683C">
        <w:lastRenderedPageBreak/>
        <w:t>Board’s Taskforce on Climate-</w:t>
      </w:r>
      <w:r w:rsidRPr="0093683C">
        <w:t xml:space="preserve">related Financial Disclosures recommendations on climate risk reporting. </w:t>
      </w:r>
    </w:p>
    <w:p w14:paraId="1A18A202" w14:textId="49F024DE" w:rsidR="006A4478" w:rsidRDefault="006A4478" w:rsidP="006A4478">
      <w:r w:rsidRPr="0093683C">
        <w:t>Internationally, the Office for Budget Responsibility in the United Kingdom estimate</w:t>
      </w:r>
      <w:r w:rsidR="000736D7" w:rsidRPr="0093683C">
        <w:t>s</w:t>
      </w:r>
      <w:r w:rsidRPr="0093683C">
        <w:t xml:space="preserve"> the impact of climate change on the long</w:t>
      </w:r>
      <w:r w:rsidR="00351C1F" w:rsidRPr="0093683C">
        <w:t>-</w:t>
      </w:r>
      <w:r w:rsidRPr="0093683C">
        <w:t xml:space="preserve">term sustainability of their public finances in their </w:t>
      </w:r>
      <w:r w:rsidRPr="0093683C">
        <w:rPr>
          <w:i/>
        </w:rPr>
        <w:t xml:space="preserve">Fiscal risks </w:t>
      </w:r>
      <w:r w:rsidR="003C2156" w:rsidRPr="0093683C">
        <w:rPr>
          <w:i/>
        </w:rPr>
        <w:t>and sustainability</w:t>
      </w:r>
      <w:r w:rsidRPr="0093683C">
        <w:rPr>
          <w:i/>
        </w:rPr>
        <w:t xml:space="preserve"> </w:t>
      </w:r>
      <w:r w:rsidRPr="0093683C">
        <w:t>report</w:t>
      </w:r>
      <w:r w:rsidRPr="0093683C">
        <w:rPr>
          <w:i/>
        </w:rPr>
        <w:t xml:space="preserve">. </w:t>
      </w:r>
      <w:r w:rsidRPr="0093683C">
        <w:t xml:space="preserve">In the United States, the Congressional Budget Office’s </w:t>
      </w:r>
      <w:r w:rsidRPr="0093683C">
        <w:rPr>
          <w:i/>
        </w:rPr>
        <w:t>Budgetary Effects of Climate Change and of Potential Legislative Responses to It</w:t>
      </w:r>
      <w:r w:rsidRPr="0093683C">
        <w:t xml:space="preserve"> outlines the primary channels by which climate change and policies to mitigate it affect the federal budget. Finally, the New Zealand Government has completed a climate change risk assessment and identified where it needs to prioritise action.</w:t>
      </w:r>
    </w:p>
    <w:p w14:paraId="3E0BF52D" w14:textId="29ACCB8F" w:rsidR="009F5821" w:rsidRPr="0093683C" w:rsidRDefault="009F5821" w:rsidP="009F5821">
      <w:pPr>
        <w:pStyle w:val="Heading3"/>
      </w:pPr>
      <w:bookmarkStart w:id="14" w:name="_Toc117356569"/>
      <w:r w:rsidRPr="0093683C">
        <w:t>Climate spending</w:t>
      </w:r>
      <w:bookmarkEnd w:id="14"/>
    </w:p>
    <w:p w14:paraId="6BC9A001" w14:textId="77777777" w:rsidR="0035704A" w:rsidRPr="0093683C" w:rsidRDefault="0035704A" w:rsidP="0035704A">
      <w:r w:rsidRPr="0093683C">
        <w:t xml:space="preserve">This Budget </w:t>
      </w:r>
      <w:r w:rsidR="007D41D5" w:rsidRPr="0093683C">
        <w:t>introduces transparency around</w:t>
      </w:r>
      <w:r w:rsidRPr="0093683C">
        <w:t xml:space="preserve"> climate</w:t>
      </w:r>
      <w:r w:rsidR="007D41D5" w:rsidRPr="0093683C">
        <w:t>-related</w:t>
      </w:r>
      <w:r w:rsidRPr="0093683C">
        <w:t xml:space="preserve"> spending</w:t>
      </w:r>
      <w:r w:rsidR="00415588" w:rsidRPr="0093683C">
        <w:t>.</w:t>
      </w:r>
      <w:r w:rsidRPr="0093683C" w:rsidDel="00415588">
        <w:t xml:space="preserve"> </w:t>
      </w:r>
      <w:r w:rsidR="00415588" w:rsidRPr="0093683C">
        <w:t xml:space="preserve">This </w:t>
      </w:r>
      <w:r w:rsidRPr="0093683C">
        <w:t xml:space="preserve">presents a first step to delivering greater transparency around how the Government is committing funds to climate action. </w:t>
      </w:r>
    </w:p>
    <w:p w14:paraId="310C2C58" w14:textId="5AF5F603" w:rsidR="002F738C" w:rsidRPr="0093683C" w:rsidRDefault="002F738C" w:rsidP="002F738C">
      <w:r w:rsidRPr="0093683C">
        <w:t xml:space="preserve">Summarising climate spending measures improves budget transparency but should not be mistaken for a holistic assessment of climate action. This summary does not include ongoing expenditure that was initiated in previous years, or new non-financial measures. It also doesn’t capture measures that reduce emissions but have a different primary objective. It does not consider the flow on impacts of the investments being made, or whether the measures will be sufficient to reach emission reduction and economic transition goals. </w:t>
      </w:r>
    </w:p>
    <w:p w14:paraId="3B0DE7B0" w14:textId="75638F09" w:rsidR="0035704A" w:rsidRPr="0093683C" w:rsidRDefault="0035704A" w:rsidP="0035704A">
      <w:r w:rsidRPr="0093683C">
        <w:t>The Government will</w:t>
      </w:r>
      <w:r w:rsidRPr="0093683C" w:rsidDel="00830A3B">
        <w:t xml:space="preserve"> </w:t>
      </w:r>
      <w:r w:rsidR="00830A3B" w:rsidRPr="0093683C">
        <w:t>build</w:t>
      </w:r>
      <w:r w:rsidRPr="0093683C">
        <w:t xml:space="preserve"> </w:t>
      </w:r>
      <w:r w:rsidR="00D27D6F" w:rsidRPr="0093683C">
        <w:t>on this</w:t>
      </w:r>
      <w:r w:rsidRPr="0093683C">
        <w:t xml:space="preserve"> approach to present a more complete picture of climate</w:t>
      </w:r>
      <w:r w:rsidR="00973817">
        <w:noBreakHyphen/>
      </w:r>
      <w:r w:rsidRPr="0093683C">
        <w:t>related expenditure going forward</w:t>
      </w:r>
      <w:r w:rsidR="00070A35" w:rsidRPr="0093683C">
        <w:t>, by including ongoing measures in addition to new commitments</w:t>
      </w:r>
      <w:r w:rsidRPr="0093683C" w:rsidDel="00070A35">
        <w:t>.</w:t>
      </w:r>
      <w:r w:rsidRPr="0093683C">
        <w:t xml:space="preserve"> </w:t>
      </w:r>
      <w:r w:rsidR="00070A35" w:rsidRPr="0093683C">
        <w:t>This will</w:t>
      </w:r>
      <w:r w:rsidRPr="0093683C">
        <w:t xml:space="preserve"> enable more systematic identification of climate-related expenditure and consistent categorisation.</w:t>
      </w: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8B5236" w:rsidRPr="00286258" w14:paraId="422D6545" w14:textId="77777777" w:rsidTr="00263B8E">
        <w:trPr>
          <w:cantSplit/>
        </w:trPr>
        <w:tc>
          <w:tcPr>
            <w:tcW w:w="5000" w:type="pct"/>
            <w:shd w:val="clear" w:color="auto" w:fill="E6F2FF"/>
          </w:tcPr>
          <w:p w14:paraId="1F7E1BDD" w14:textId="07733732" w:rsidR="008B5236" w:rsidRPr="0093683C" w:rsidRDefault="008B5236" w:rsidP="00263B8E">
            <w:pPr>
              <w:pStyle w:val="BoxHeadingNOTOC"/>
            </w:pPr>
            <w:r w:rsidRPr="0093683C">
              <w:lastRenderedPageBreak/>
              <w:t>Box 3.</w:t>
            </w:r>
            <w:r w:rsidR="00731C8E" w:rsidRPr="0093683C">
              <w:t>7</w:t>
            </w:r>
            <w:r w:rsidR="00973817">
              <w:t>:</w:t>
            </w:r>
            <w:r w:rsidRPr="0093683C">
              <w:t xml:space="preserve"> </w:t>
            </w:r>
            <w:r w:rsidRPr="0093683C">
              <w:rPr>
                <w:rStyle w:val="Heading4Char"/>
              </w:rPr>
              <w:t>Key definitions and cameo example to highlight the spectrum of spending that could be considered climate</w:t>
            </w:r>
            <w:r w:rsidR="009F4B13" w:rsidRPr="0093683C">
              <w:rPr>
                <w:rStyle w:val="Heading4Char"/>
              </w:rPr>
              <w:t>-</w:t>
            </w:r>
            <w:r w:rsidRPr="0093683C">
              <w:rPr>
                <w:rStyle w:val="Heading4Char"/>
              </w:rPr>
              <w:t>related</w:t>
            </w:r>
          </w:p>
          <w:p w14:paraId="43FFA75B" w14:textId="77777777" w:rsidR="008B5236" w:rsidRPr="0093683C" w:rsidRDefault="008B5236" w:rsidP="00263B8E">
            <w:pPr>
              <w:pStyle w:val="BoxText"/>
            </w:pPr>
            <w:r w:rsidRPr="0093683C">
              <w:t xml:space="preserve">Climate action is used as the broadest term to describe anything the Government does to address climate change. In this Budget, climate action has been disaggregated into </w:t>
            </w:r>
            <w:r w:rsidR="00D46CA7" w:rsidRPr="0093683C">
              <w:t>4</w:t>
            </w:r>
            <w:r w:rsidR="009F0F11" w:rsidRPr="0093683C">
              <w:t xml:space="preserve"> </w:t>
            </w:r>
            <w:r w:rsidRPr="0093683C">
              <w:t>sub-categories for spending that is contributing towards:</w:t>
            </w:r>
          </w:p>
          <w:p w14:paraId="41C41F22" w14:textId="77777777" w:rsidR="008B5236" w:rsidRPr="0093683C" w:rsidRDefault="008B5236" w:rsidP="00D35B72">
            <w:pPr>
              <w:pStyle w:val="BoxBullet"/>
            </w:pPr>
            <w:r w:rsidRPr="0093683C">
              <w:t xml:space="preserve">Supporting </w:t>
            </w:r>
            <w:r w:rsidR="00372955" w:rsidRPr="0093683C">
              <w:t>the net zero transformation, by reducing emissions and investing in the opportunities presented by a low-carbon</w:t>
            </w:r>
            <w:r w:rsidR="009F5725" w:rsidRPr="0093683C">
              <w:t xml:space="preserve"> economy</w:t>
            </w:r>
            <w:r w:rsidRPr="0093683C">
              <w:t>.</w:t>
            </w:r>
          </w:p>
          <w:p w14:paraId="1BEB235C" w14:textId="77777777" w:rsidR="00140FF1" w:rsidRPr="0093683C" w:rsidRDefault="00140FF1" w:rsidP="00140FF1">
            <w:pPr>
              <w:pStyle w:val="BoxBullet"/>
            </w:pPr>
            <w:r w:rsidRPr="0093683C">
              <w:t>Adapting to climate impacts and building climate resilience, spending to support Australia manage the physical impacts of climate change.</w:t>
            </w:r>
          </w:p>
          <w:p w14:paraId="26B84941" w14:textId="77777777" w:rsidR="008B5236" w:rsidRPr="0093683C" w:rsidRDefault="008B5236" w:rsidP="00D35B72">
            <w:pPr>
              <w:pStyle w:val="BoxBullet"/>
            </w:pPr>
            <w:r w:rsidRPr="0093683C">
              <w:t xml:space="preserve">International climate engagement, spending to support how we engage through international fora and with other jurisdictions. </w:t>
            </w:r>
          </w:p>
          <w:p w14:paraId="06DF0B5F" w14:textId="77777777" w:rsidR="008B5236" w:rsidRPr="0093683C" w:rsidRDefault="008B5236" w:rsidP="00D35B72">
            <w:pPr>
              <w:pStyle w:val="BoxBullet"/>
            </w:pPr>
            <w:r w:rsidRPr="0093683C">
              <w:t xml:space="preserve">Governance and institutions, investing in the capabilities of </w:t>
            </w:r>
            <w:r w:rsidR="00630E25" w:rsidRPr="0093683C">
              <w:t>G</w:t>
            </w:r>
            <w:r w:rsidRPr="0093683C">
              <w:t xml:space="preserve">overnment to ensure it effectively delivers on its objectives and enable a national approach on climate change. </w:t>
            </w:r>
          </w:p>
          <w:p w14:paraId="35C3FD4D" w14:textId="77777777" w:rsidR="008B5236" w:rsidRPr="0093683C" w:rsidRDefault="008B5236" w:rsidP="00263B8E">
            <w:pPr>
              <w:pStyle w:val="BoxText"/>
            </w:pPr>
            <w:r w:rsidRPr="0093683C">
              <w:t>These categories provide a simple to understand framework for why each measure has been included as contributing to climate action. However, many policies may contribute to multiple climate or non-climate objectives.</w:t>
            </w:r>
            <w:r w:rsidR="00095FCF" w:rsidRPr="0093683C">
              <w:t xml:space="preserve"> Additionally, some policies may contribute indirectly to climate objectives</w:t>
            </w:r>
            <w:r w:rsidR="00212613" w:rsidRPr="0093683C">
              <w:t xml:space="preserve">, these have not been included in the current approach as climate-related </w:t>
            </w:r>
            <w:r w:rsidR="00DE7D45" w:rsidRPr="0093683C">
              <w:t>spending</w:t>
            </w:r>
            <w:r w:rsidRPr="0093683C" w:rsidDel="00095FCF">
              <w:t>.</w:t>
            </w:r>
          </w:p>
          <w:p w14:paraId="3AD938E2" w14:textId="77777777" w:rsidR="008B5236" w:rsidRPr="0093683C" w:rsidRDefault="008B5236" w:rsidP="00973817">
            <w:pPr>
              <w:pStyle w:val="BoxSubHeading"/>
              <w:rPr>
                <w:rStyle w:val="BoxHeading-Continued"/>
                <w:sz w:val="19"/>
              </w:rPr>
            </w:pPr>
            <w:r w:rsidRPr="0093683C">
              <w:rPr>
                <w:rStyle w:val="BoxHeading-Continued"/>
                <w:sz w:val="19"/>
              </w:rPr>
              <w:t>Indirect benefit example</w:t>
            </w:r>
          </w:p>
          <w:p w14:paraId="3A67FBA3" w14:textId="748B930F" w:rsidR="008B5236" w:rsidRPr="0093683C" w:rsidRDefault="00BE2D4E" w:rsidP="00263B8E">
            <w:pPr>
              <w:pStyle w:val="BoxText"/>
            </w:pPr>
            <w:r w:rsidRPr="0093683C">
              <w:t xml:space="preserve">Health system funding supports responses to the health effects of climate change, such as more extreme heat days. It also supports services for existing health conditions. </w:t>
            </w:r>
            <w:r w:rsidR="008B5236" w:rsidRPr="0093683C">
              <w:t xml:space="preserve">There are different ways the spending could be classified, the whole </w:t>
            </w:r>
            <w:r w:rsidR="00A513A2" w:rsidRPr="0093683C">
              <w:t>amount</w:t>
            </w:r>
            <w:r w:rsidR="008B5236" w:rsidRPr="0093683C">
              <w:t>, none, or a proportion could be classified as climate</w:t>
            </w:r>
            <w:r w:rsidR="000566D7" w:rsidRPr="0093683C">
              <w:t>-</w:t>
            </w:r>
            <w:r w:rsidR="008B5236" w:rsidRPr="0093683C">
              <w:t>related expenditure.</w:t>
            </w:r>
            <w:r w:rsidR="00392E29" w:rsidRPr="0093683C">
              <w:t xml:space="preserve"> In this </w:t>
            </w:r>
            <w:r w:rsidR="00630E25" w:rsidRPr="0093683C">
              <w:t>B</w:t>
            </w:r>
            <w:r w:rsidR="00392E29" w:rsidRPr="0093683C">
              <w:t>udget, spending with only an indirect benefit is excluded.</w:t>
            </w:r>
          </w:p>
        </w:tc>
      </w:tr>
    </w:tbl>
    <w:p w14:paraId="6292E5BA" w14:textId="77777777" w:rsidR="00F3057D" w:rsidRPr="0093683C" w:rsidRDefault="00F3057D">
      <w:pPr>
        <w:spacing w:before="0" w:after="160" w:line="259" w:lineRule="auto"/>
      </w:pPr>
      <w:r w:rsidRPr="0093683C">
        <w:br w:type="page"/>
      </w:r>
    </w:p>
    <w:p w14:paraId="3883EC5C" w14:textId="77777777" w:rsidR="009F5821" w:rsidRPr="0093683C" w:rsidRDefault="009F5821" w:rsidP="008B5236">
      <w:pPr>
        <w:pStyle w:val="Heading3"/>
        <w:rPr>
          <w:b w:val="0"/>
        </w:rPr>
      </w:pPr>
      <w:bookmarkStart w:id="15" w:name="_Toc117356570"/>
      <w:r w:rsidRPr="0093683C">
        <w:lastRenderedPageBreak/>
        <w:t>Selected</w:t>
      </w:r>
      <w:r w:rsidRPr="0093683C">
        <w:rPr>
          <w:b w:val="0"/>
        </w:rPr>
        <w:t xml:space="preserve"> climate spending measures</w:t>
      </w:r>
      <w:bookmarkEnd w:id="15"/>
    </w:p>
    <w:p w14:paraId="380F4C74" w14:textId="77777777" w:rsidR="00644FF4" w:rsidRPr="00973817" w:rsidRDefault="00644FF4" w:rsidP="00973817">
      <w:r w:rsidRPr="00973817">
        <w:t>Table 3.</w:t>
      </w:r>
      <w:r w:rsidR="001B5E9D" w:rsidRPr="00973817">
        <w:t>7</w:t>
      </w:r>
      <w:r w:rsidRPr="00973817">
        <w:t xml:space="preserve"> sets out the Government’s total commitment to climate action </w:t>
      </w:r>
      <w:r w:rsidR="00561086" w:rsidRPr="00973817">
        <w:t>in this Budget</w:t>
      </w:r>
      <w:r w:rsidRPr="00973817">
        <w:t xml:space="preserve"> </w:t>
      </w:r>
      <w:r w:rsidR="0020276C" w:rsidRPr="00973817">
        <w:t xml:space="preserve">to </w:t>
      </w:r>
      <w:r w:rsidR="00561086" w:rsidRPr="00973817">
        <w:br/>
      </w:r>
      <w:r w:rsidR="0020276C" w:rsidRPr="00973817">
        <w:t>30 June 2030</w:t>
      </w:r>
      <w:r w:rsidRPr="00973817">
        <w:t xml:space="preserve">. This includes measures that will </w:t>
      </w:r>
      <w:r w:rsidR="00C93612" w:rsidRPr="00973817">
        <w:t>reduce</w:t>
      </w:r>
      <w:r w:rsidRPr="00973817">
        <w:t xml:space="preserve"> emissions</w:t>
      </w:r>
      <w:r w:rsidR="00AA6ACE" w:rsidRPr="00973817">
        <w:t xml:space="preserve"> and</w:t>
      </w:r>
      <w:r w:rsidRPr="00973817">
        <w:t xml:space="preserve"> support </w:t>
      </w:r>
      <w:r w:rsidR="00604B05" w:rsidRPr="00973817">
        <w:t>Australia’s transformation to a net-zero economy</w:t>
      </w:r>
      <w:r w:rsidRPr="00973817">
        <w:t xml:space="preserve">, adapt to the physical impacts of climate change, work with our international partners in addressing climate change and build the Australian Government’s climate capabilities. </w:t>
      </w:r>
    </w:p>
    <w:p w14:paraId="3DF4DF79" w14:textId="77DD7208" w:rsidR="009F1D89" w:rsidRPr="0093683C" w:rsidRDefault="008B5236" w:rsidP="008B5236">
      <w:pPr>
        <w:rPr>
          <w:szCs w:val="16"/>
        </w:rPr>
      </w:pPr>
      <w:r w:rsidRPr="0093683C">
        <w:rPr>
          <w:szCs w:val="16"/>
        </w:rPr>
        <w:t xml:space="preserve">This </w:t>
      </w:r>
      <w:r w:rsidR="00100470" w:rsidRPr="0093683C">
        <w:rPr>
          <w:szCs w:val="16"/>
        </w:rPr>
        <w:t xml:space="preserve">summary of key </w:t>
      </w:r>
      <w:r w:rsidR="009714E3" w:rsidRPr="0093683C">
        <w:rPr>
          <w:szCs w:val="16"/>
        </w:rPr>
        <w:t>measures in this Budget</w:t>
      </w:r>
      <w:r w:rsidR="00100470" w:rsidRPr="0093683C">
        <w:rPr>
          <w:szCs w:val="16"/>
        </w:rPr>
        <w:t xml:space="preserve"> </w:t>
      </w:r>
      <w:r w:rsidRPr="0093683C">
        <w:rPr>
          <w:szCs w:val="16"/>
        </w:rPr>
        <w:t>does not include existing funding provided through</w:t>
      </w:r>
      <w:r w:rsidR="00ED17ED" w:rsidRPr="0093683C">
        <w:rPr>
          <w:szCs w:val="16"/>
        </w:rPr>
        <w:t xml:space="preserve"> </w:t>
      </w:r>
      <w:r w:rsidR="00B943F5" w:rsidRPr="0093683C">
        <w:rPr>
          <w:szCs w:val="16"/>
        </w:rPr>
        <w:t>climate</w:t>
      </w:r>
      <w:r w:rsidR="0082410C" w:rsidRPr="0093683C">
        <w:rPr>
          <w:szCs w:val="16"/>
        </w:rPr>
        <w:t>-</w:t>
      </w:r>
      <w:r w:rsidR="00B943F5" w:rsidRPr="0093683C">
        <w:rPr>
          <w:szCs w:val="16"/>
        </w:rPr>
        <w:t>related entities</w:t>
      </w:r>
      <w:r w:rsidR="006729D0" w:rsidRPr="0093683C">
        <w:rPr>
          <w:szCs w:val="16"/>
        </w:rPr>
        <w:t xml:space="preserve"> such as</w:t>
      </w:r>
      <w:r w:rsidRPr="0093683C" w:rsidDel="009A7E5C">
        <w:rPr>
          <w:szCs w:val="16"/>
        </w:rPr>
        <w:t xml:space="preserve"> </w:t>
      </w:r>
      <w:r w:rsidRPr="0093683C">
        <w:rPr>
          <w:szCs w:val="16"/>
        </w:rPr>
        <w:t xml:space="preserve">the </w:t>
      </w:r>
      <w:r w:rsidR="00962EDD" w:rsidRPr="0093683C">
        <w:rPr>
          <w:szCs w:val="16"/>
        </w:rPr>
        <w:t>Clean Energy Finance Corporation</w:t>
      </w:r>
      <w:r w:rsidRPr="0093683C">
        <w:rPr>
          <w:szCs w:val="16"/>
        </w:rPr>
        <w:t xml:space="preserve">, </w:t>
      </w:r>
      <w:r w:rsidR="009A7E5C" w:rsidRPr="0093683C">
        <w:rPr>
          <w:szCs w:val="16"/>
        </w:rPr>
        <w:t>Australian Renewable Energy Agency</w:t>
      </w:r>
      <w:r w:rsidRPr="0093683C">
        <w:rPr>
          <w:szCs w:val="16"/>
        </w:rPr>
        <w:t xml:space="preserve">, </w:t>
      </w:r>
      <w:r w:rsidR="002A0830" w:rsidRPr="0093683C">
        <w:rPr>
          <w:szCs w:val="16"/>
        </w:rPr>
        <w:t>and</w:t>
      </w:r>
      <w:r w:rsidRPr="0093683C">
        <w:rPr>
          <w:szCs w:val="16"/>
        </w:rPr>
        <w:t xml:space="preserve"> C</w:t>
      </w:r>
      <w:r w:rsidR="009A7E5C" w:rsidRPr="0093683C">
        <w:rPr>
          <w:szCs w:val="16"/>
        </w:rPr>
        <w:t xml:space="preserve">lean </w:t>
      </w:r>
      <w:r w:rsidRPr="0093683C">
        <w:rPr>
          <w:szCs w:val="16"/>
        </w:rPr>
        <w:t>E</w:t>
      </w:r>
      <w:r w:rsidR="009A7E5C" w:rsidRPr="0093683C">
        <w:rPr>
          <w:szCs w:val="16"/>
        </w:rPr>
        <w:t xml:space="preserve">nergy </w:t>
      </w:r>
      <w:r w:rsidRPr="0093683C">
        <w:rPr>
          <w:szCs w:val="16"/>
        </w:rPr>
        <w:t>R</w:t>
      </w:r>
      <w:r w:rsidR="009A7E5C" w:rsidRPr="0093683C">
        <w:rPr>
          <w:szCs w:val="16"/>
        </w:rPr>
        <w:t>egulator</w:t>
      </w:r>
      <w:r w:rsidRPr="0093683C">
        <w:rPr>
          <w:szCs w:val="16"/>
        </w:rPr>
        <w:t xml:space="preserve"> to support the development of clean energy technologies and manufacturing capabilities, which will support the decarbonisation of Australian energy and industry. Portfolio Budget </w:t>
      </w:r>
      <w:r w:rsidR="00204E84" w:rsidRPr="0093683C">
        <w:rPr>
          <w:szCs w:val="16"/>
        </w:rPr>
        <w:t xml:space="preserve">Statements </w:t>
      </w:r>
      <w:r w:rsidR="00077D80" w:rsidRPr="0093683C">
        <w:rPr>
          <w:szCs w:val="16"/>
        </w:rPr>
        <w:t>include</w:t>
      </w:r>
      <w:r w:rsidRPr="0093683C">
        <w:rPr>
          <w:szCs w:val="16"/>
        </w:rPr>
        <w:t xml:space="preserve"> financial statements </w:t>
      </w:r>
      <w:r w:rsidR="002D7C92" w:rsidRPr="0093683C">
        <w:rPr>
          <w:szCs w:val="16"/>
        </w:rPr>
        <w:t xml:space="preserve">for </w:t>
      </w:r>
      <w:r w:rsidRPr="0093683C">
        <w:rPr>
          <w:szCs w:val="16"/>
        </w:rPr>
        <w:t>these entities.</w:t>
      </w:r>
      <w:r w:rsidR="00876A20" w:rsidRPr="0093683C">
        <w:rPr>
          <w:szCs w:val="16"/>
        </w:rPr>
        <w:t xml:space="preserve"> </w:t>
      </w:r>
    </w:p>
    <w:p w14:paraId="762DFCEB" w14:textId="5C043D34" w:rsidR="00110DA1" w:rsidRPr="0093683C" w:rsidRDefault="00B943F5" w:rsidP="008B5236">
      <w:r w:rsidRPr="0093683C">
        <w:t xml:space="preserve">Additionally, </w:t>
      </w:r>
      <w:r w:rsidR="009F1D89" w:rsidRPr="0093683C">
        <w:t xml:space="preserve">the </w:t>
      </w:r>
      <w:r w:rsidR="00077D80" w:rsidRPr="0093683C">
        <w:t xml:space="preserve">aggregate spending figure </w:t>
      </w:r>
      <w:r w:rsidR="009F1D89" w:rsidRPr="0093683C">
        <w:t>do</w:t>
      </w:r>
      <w:r w:rsidR="00D10678" w:rsidRPr="0093683C">
        <w:t>es</w:t>
      </w:r>
      <w:r w:rsidR="009F1D89" w:rsidRPr="0093683C">
        <w:t xml:space="preserve"> not</w:t>
      </w:r>
      <w:r w:rsidR="007F48F7" w:rsidRPr="0093683C">
        <w:t xml:space="preserve"> count existing Official Development Assistance</w:t>
      </w:r>
      <w:r w:rsidR="009F1D89" w:rsidRPr="0093683C">
        <w:t xml:space="preserve"> </w:t>
      </w:r>
      <w:r w:rsidR="0046097D" w:rsidRPr="0093683C">
        <w:t>or</w:t>
      </w:r>
      <w:r w:rsidRPr="0093683C">
        <w:t xml:space="preserve"> </w:t>
      </w:r>
      <w:r w:rsidR="009D4148" w:rsidRPr="0093683C">
        <w:t xml:space="preserve">standing </w:t>
      </w:r>
      <w:r w:rsidR="00295AF1" w:rsidRPr="0093683C">
        <w:t>natural disaster response funding</w:t>
      </w:r>
      <w:r w:rsidR="005A68E9" w:rsidRPr="0093683C">
        <w:t xml:space="preserve"> streams</w:t>
      </w:r>
      <w:r w:rsidR="00295AF1" w:rsidRPr="0093683C">
        <w:t xml:space="preserve">, such as </w:t>
      </w:r>
      <w:r w:rsidR="00B933EF" w:rsidRPr="0093683C">
        <w:t>Disaster Recovery Payment</w:t>
      </w:r>
      <w:r w:rsidR="00657C21" w:rsidRPr="0093683C">
        <w:t>s</w:t>
      </w:r>
      <w:r w:rsidR="007B4731" w:rsidRPr="0093683C">
        <w:t>,</w:t>
      </w:r>
      <w:r w:rsidR="0013072C" w:rsidRPr="0093683C">
        <w:t xml:space="preserve"> which cannot </w:t>
      </w:r>
      <w:r w:rsidR="00AB1222" w:rsidRPr="0093683C">
        <w:t>be directly tied to</w:t>
      </w:r>
      <w:r w:rsidR="00701481" w:rsidRPr="0093683C">
        <w:t xml:space="preserve"> </w:t>
      </w:r>
      <w:r w:rsidR="00AC6C52" w:rsidRPr="0093683C">
        <w:t>measures in this B</w:t>
      </w:r>
      <w:r w:rsidR="00F9636B" w:rsidRPr="0093683C">
        <w:t>udget</w:t>
      </w:r>
      <w:r w:rsidR="00701481" w:rsidRPr="0093683C">
        <w:t>.</w:t>
      </w:r>
      <w:r w:rsidR="00443D0F" w:rsidRPr="0093683C">
        <w:t xml:space="preserve"> </w:t>
      </w:r>
      <w:r w:rsidR="00454E11" w:rsidRPr="0093683C">
        <w:t xml:space="preserve">The aggregate figure also excludes </w:t>
      </w:r>
      <w:r w:rsidR="00D832E3" w:rsidRPr="0093683C">
        <w:t>revenue measures, such as the Electric Car Discount.</w:t>
      </w:r>
      <w:r w:rsidR="00F14C8C" w:rsidRPr="0093683C">
        <w:t xml:space="preserve"> </w:t>
      </w:r>
    </w:p>
    <w:p w14:paraId="5D4CCD03" w14:textId="2995A66E" w:rsidR="008E5C43" w:rsidRPr="0093683C" w:rsidRDefault="00CF1581" w:rsidP="008B5236">
      <w:pPr>
        <w:rPr>
          <w:szCs w:val="16"/>
        </w:rPr>
      </w:pPr>
      <w:r w:rsidRPr="0093683C">
        <w:t xml:space="preserve">The total commitment outlines </w:t>
      </w:r>
      <w:r w:rsidR="0020276C" w:rsidRPr="0093683C">
        <w:t xml:space="preserve">new spending and balance sheet measures and therefore presents a </w:t>
      </w:r>
      <w:r w:rsidRPr="0093683C">
        <w:t>broader</w:t>
      </w:r>
      <w:r w:rsidR="0020276C" w:rsidRPr="0093683C">
        <w:t xml:space="preserve"> view</w:t>
      </w:r>
      <w:r w:rsidRPr="0093683C">
        <w:t xml:space="preserve"> than the impact on the underlying cash balance</w:t>
      </w:r>
      <w:r w:rsidRPr="0093683C">
        <w:rPr>
          <w:szCs w:val="16"/>
        </w:rPr>
        <w:t>.</w:t>
      </w:r>
    </w:p>
    <w:p w14:paraId="6661DFDA" w14:textId="77777777" w:rsidR="005108C3" w:rsidRPr="0093683C" w:rsidRDefault="005108C3">
      <w:pPr>
        <w:spacing w:before="0" w:after="160" w:line="259" w:lineRule="auto"/>
        <w:rPr>
          <w:szCs w:val="16"/>
        </w:rPr>
      </w:pPr>
      <w:r w:rsidRPr="0093683C">
        <w:rPr>
          <w:szCs w:val="16"/>
        </w:rPr>
        <w:br w:type="page"/>
      </w:r>
    </w:p>
    <w:p w14:paraId="53D5A063" w14:textId="1EDECBFE" w:rsidR="008B5236" w:rsidRPr="0093683C" w:rsidRDefault="008B5236" w:rsidP="008B5236">
      <w:pPr>
        <w:pStyle w:val="TableHeading"/>
      </w:pPr>
      <w:r w:rsidRPr="0093683C">
        <w:lastRenderedPageBreak/>
        <w:t xml:space="preserve">Table </w:t>
      </w:r>
      <w:r w:rsidR="00572200" w:rsidRPr="0093683C">
        <w:t>3</w:t>
      </w:r>
      <w:r w:rsidRPr="0093683C">
        <w:t>.</w:t>
      </w:r>
      <w:r w:rsidR="001B5E9D" w:rsidRPr="0093683C">
        <w:t>7</w:t>
      </w:r>
      <w:r w:rsidRPr="0093683C">
        <w:t xml:space="preserve">: </w:t>
      </w:r>
      <w:r w:rsidR="003E6A62" w:rsidRPr="0093683C">
        <w:t xml:space="preserve">Value of key climate-related spending measures over </w:t>
      </w:r>
      <w:r w:rsidRPr="0093683C">
        <w:t>2</w:t>
      </w:r>
      <w:r w:rsidR="00A34503" w:rsidRPr="0093683C">
        <w:t>02</w:t>
      </w:r>
      <w:r w:rsidRPr="0093683C">
        <w:t>2</w:t>
      </w:r>
      <w:r w:rsidR="005E3EBA">
        <w:t>–</w:t>
      </w:r>
      <w:r w:rsidRPr="0093683C">
        <w:t>23</w:t>
      </w:r>
      <w:r w:rsidR="00431317" w:rsidRPr="0093683C">
        <w:t xml:space="preserve"> to </w:t>
      </w:r>
      <w:r w:rsidR="00A34503" w:rsidRPr="0093683C">
        <w:t>2029</w:t>
      </w:r>
      <w:r w:rsidR="005E3EBA">
        <w:t>–</w:t>
      </w:r>
      <w:r w:rsidR="00A34503" w:rsidRPr="0093683C">
        <w:t>30</w:t>
      </w:r>
    </w:p>
    <w:tbl>
      <w:tblPr>
        <w:tblW w:w="5000" w:type="pct"/>
        <w:tblLayout w:type="fixed"/>
        <w:tblCellMar>
          <w:left w:w="0" w:type="dxa"/>
          <w:right w:w="28" w:type="dxa"/>
        </w:tblCellMar>
        <w:tblLook w:val="04A0" w:firstRow="1" w:lastRow="0" w:firstColumn="1" w:lastColumn="0" w:noHBand="0" w:noVBand="1"/>
        <w:tblCaption w:val="Table"/>
      </w:tblPr>
      <w:tblGrid>
        <w:gridCol w:w="6324"/>
        <w:gridCol w:w="1386"/>
      </w:tblGrid>
      <w:tr w:rsidR="00942D26" w:rsidRPr="00286258" w14:paraId="06ECBDAE" w14:textId="77777777" w:rsidTr="00973817">
        <w:trPr>
          <w:trHeight w:val="57"/>
        </w:trPr>
        <w:tc>
          <w:tcPr>
            <w:tcW w:w="4101" w:type="pct"/>
            <w:tcBorders>
              <w:top w:val="single" w:sz="4" w:space="0" w:color="293F5B"/>
              <w:left w:val="nil"/>
              <w:right w:val="nil"/>
            </w:tcBorders>
            <w:shd w:val="clear" w:color="auto" w:fill="FFFFFF" w:themeFill="background1"/>
            <w:noWrap/>
            <w:vAlign w:val="bottom"/>
            <w:hideMark/>
          </w:tcPr>
          <w:p w14:paraId="4576C8E9" w14:textId="77777777" w:rsidR="008B5236" w:rsidRPr="0093683C" w:rsidRDefault="008B5236" w:rsidP="00263B8E">
            <w:pPr>
              <w:spacing w:before="0" w:after="0" w:line="240" w:lineRule="auto"/>
              <w:rPr>
                <w:rFonts w:ascii="Arial" w:hAnsi="Arial" w:cs="Arial"/>
                <w:b/>
                <w:sz w:val="16"/>
                <w:szCs w:val="16"/>
              </w:rPr>
            </w:pPr>
            <w:r w:rsidRPr="0093683C">
              <w:rPr>
                <w:rFonts w:ascii="Arial" w:hAnsi="Arial" w:cs="Arial"/>
                <w:sz w:val="16"/>
                <w:szCs w:val="16"/>
              </w:rPr>
              <w:t> </w:t>
            </w:r>
            <w:r w:rsidRPr="0093683C" w:rsidDel="00A05596">
              <w:rPr>
                <w:rFonts w:ascii="Arial" w:hAnsi="Arial" w:cs="Arial"/>
                <w:b/>
                <w:sz w:val="16"/>
                <w:szCs w:val="16"/>
              </w:rPr>
              <w:t>Climate</w:t>
            </w:r>
            <w:r w:rsidR="00D6480B" w:rsidRPr="0093683C">
              <w:rPr>
                <w:rFonts w:ascii="Arial" w:hAnsi="Arial" w:cs="Arial"/>
                <w:b/>
                <w:sz w:val="16"/>
                <w:szCs w:val="16"/>
              </w:rPr>
              <w:t>-related spending</w:t>
            </w:r>
            <w:r w:rsidRPr="0093683C">
              <w:rPr>
                <w:rFonts w:ascii="Arial" w:hAnsi="Arial" w:cs="Arial"/>
                <w:b/>
                <w:sz w:val="16"/>
                <w:szCs w:val="16"/>
              </w:rPr>
              <w:t xml:space="preserve"> </w:t>
            </w:r>
          </w:p>
        </w:tc>
        <w:tc>
          <w:tcPr>
            <w:tcW w:w="899" w:type="pct"/>
            <w:tcBorders>
              <w:top w:val="single" w:sz="4" w:space="0" w:color="293F5B"/>
              <w:left w:val="nil"/>
              <w:right w:val="nil"/>
            </w:tcBorders>
            <w:shd w:val="clear" w:color="auto" w:fill="FFFFFF" w:themeFill="background1"/>
            <w:noWrap/>
            <w:vAlign w:val="center"/>
            <w:hideMark/>
          </w:tcPr>
          <w:p w14:paraId="79066F67" w14:textId="056C8476" w:rsidR="008B5236" w:rsidRPr="0093683C" w:rsidRDefault="008B5236" w:rsidP="00263B8E">
            <w:pPr>
              <w:spacing w:before="0" w:after="0" w:line="240" w:lineRule="auto"/>
              <w:jc w:val="right"/>
              <w:rPr>
                <w:rFonts w:ascii="Arial" w:hAnsi="Arial" w:cs="Arial"/>
                <w:b/>
                <w:sz w:val="16"/>
                <w:szCs w:val="16"/>
              </w:rPr>
            </w:pPr>
            <w:r w:rsidRPr="0093683C">
              <w:rPr>
                <w:rFonts w:ascii="Arial" w:hAnsi="Arial" w:cs="Arial"/>
                <w:b/>
                <w:sz w:val="16"/>
                <w:szCs w:val="16"/>
              </w:rPr>
              <w:t xml:space="preserve">Committed Funding </w:t>
            </w:r>
          </w:p>
        </w:tc>
      </w:tr>
      <w:tr w:rsidR="00942D26" w:rsidRPr="00286258" w14:paraId="6321F56E" w14:textId="77777777" w:rsidTr="00973817">
        <w:trPr>
          <w:trHeight w:val="57"/>
        </w:trPr>
        <w:tc>
          <w:tcPr>
            <w:tcW w:w="4101" w:type="pct"/>
            <w:tcBorders>
              <w:top w:val="nil"/>
              <w:left w:val="nil"/>
              <w:bottom w:val="single" w:sz="4" w:space="0" w:color="293F5B"/>
              <w:right w:val="nil"/>
            </w:tcBorders>
            <w:shd w:val="clear" w:color="auto" w:fill="FFFFFF" w:themeFill="background1"/>
            <w:noWrap/>
            <w:vAlign w:val="center"/>
            <w:hideMark/>
          </w:tcPr>
          <w:p w14:paraId="4335680B"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sz w:val="16"/>
                <w:szCs w:val="16"/>
              </w:rPr>
              <w:t> </w:t>
            </w:r>
            <w:r w:rsidR="008E1C55" w:rsidRPr="0093683C">
              <w:rPr>
                <w:rFonts w:ascii="Arial" w:hAnsi="Arial" w:cs="Arial"/>
                <w:sz w:val="16"/>
                <w:szCs w:val="16"/>
              </w:rPr>
              <w:t>Total</w:t>
            </w:r>
            <w:r w:rsidR="00934E0C" w:rsidRPr="0093683C">
              <w:rPr>
                <w:rFonts w:ascii="Arial" w:hAnsi="Arial" w:cs="Arial"/>
                <w:sz w:val="16"/>
                <w:szCs w:val="16"/>
                <w:vertAlign w:val="superscript"/>
              </w:rPr>
              <w:t>(a)</w:t>
            </w:r>
          </w:p>
        </w:tc>
        <w:tc>
          <w:tcPr>
            <w:tcW w:w="899" w:type="pct"/>
            <w:tcBorders>
              <w:top w:val="nil"/>
              <w:left w:val="nil"/>
              <w:bottom w:val="single" w:sz="4" w:space="0" w:color="293F5B"/>
              <w:right w:val="nil"/>
            </w:tcBorders>
            <w:shd w:val="clear" w:color="auto" w:fill="FFFFFF" w:themeFill="background1"/>
            <w:noWrap/>
            <w:vAlign w:val="center"/>
            <w:hideMark/>
          </w:tcPr>
          <w:p w14:paraId="72E551CC"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$m</w:t>
            </w:r>
          </w:p>
          <w:p w14:paraId="627FFD36" w14:textId="77777777" w:rsidR="008B5236" w:rsidRPr="0093683C" w:rsidRDefault="008F77AA" w:rsidP="00263B8E">
            <w:pPr>
              <w:spacing w:before="0" w:after="0" w:line="240" w:lineRule="auto"/>
              <w:jc w:val="right"/>
              <w:rPr>
                <w:rFonts w:ascii="Arial" w:hAnsi="Arial" w:cs="Arial"/>
                <w:sz w:val="16"/>
                <w:szCs w:val="16"/>
              </w:rPr>
            </w:pPr>
            <w:r w:rsidRPr="0093683C">
              <w:rPr>
                <w:rFonts w:ascii="Arial" w:hAnsi="Arial" w:cs="Arial"/>
                <w:sz w:val="16"/>
                <w:szCs w:val="16"/>
              </w:rPr>
              <w:t>24,917</w:t>
            </w:r>
            <w:r w:rsidR="006151B4" w:rsidRPr="0093683C">
              <w:rPr>
                <w:rFonts w:ascii="Arial" w:hAnsi="Arial" w:cs="Arial"/>
                <w:sz w:val="16"/>
                <w:szCs w:val="16"/>
              </w:rPr>
              <w:t>.4</w:t>
            </w:r>
          </w:p>
        </w:tc>
      </w:tr>
      <w:tr w:rsidR="00942D26" w:rsidRPr="00286258" w14:paraId="6641B0E1" w14:textId="77777777" w:rsidTr="00973817">
        <w:trPr>
          <w:trHeight w:val="57"/>
        </w:trPr>
        <w:tc>
          <w:tcPr>
            <w:tcW w:w="4101" w:type="pct"/>
            <w:tcBorders>
              <w:top w:val="single" w:sz="4" w:space="0" w:color="293F5B"/>
              <w:left w:val="nil"/>
              <w:bottom w:val="nil"/>
              <w:right w:val="nil"/>
            </w:tcBorders>
            <w:shd w:val="clear" w:color="auto" w:fill="FFFFFF" w:themeFill="background1"/>
            <w:noWrap/>
            <w:vAlign w:val="center"/>
            <w:hideMark/>
          </w:tcPr>
          <w:p w14:paraId="28D15D9F" w14:textId="77777777" w:rsidR="008B5236" w:rsidRPr="0093683C" w:rsidRDefault="00D74381" w:rsidP="00263B8E">
            <w:pPr>
              <w:spacing w:before="0" w:after="0" w:line="240" w:lineRule="auto"/>
              <w:rPr>
                <w:rFonts w:ascii="Arial" w:hAnsi="Arial" w:cs="Arial"/>
                <w:b/>
                <w:sz w:val="16"/>
                <w:szCs w:val="16"/>
              </w:rPr>
            </w:pPr>
            <w:r w:rsidRPr="0093683C">
              <w:rPr>
                <w:rFonts w:ascii="Arial" w:hAnsi="Arial" w:cs="Arial"/>
                <w:b/>
                <w:sz w:val="16"/>
                <w:szCs w:val="16"/>
              </w:rPr>
              <w:t>Supporting the transformation to net zero</w:t>
            </w:r>
          </w:p>
        </w:tc>
        <w:tc>
          <w:tcPr>
            <w:tcW w:w="899" w:type="pct"/>
            <w:tcBorders>
              <w:top w:val="single" w:sz="4" w:space="0" w:color="293F5B"/>
              <w:left w:val="nil"/>
              <w:bottom w:val="nil"/>
              <w:right w:val="nil"/>
            </w:tcBorders>
            <w:shd w:val="clear" w:color="auto" w:fill="FFFFFF" w:themeFill="background1"/>
            <w:noWrap/>
            <w:vAlign w:val="center"/>
            <w:hideMark/>
          </w:tcPr>
          <w:p w14:paraId="03015C61" w14:textId="77777777" w:rsidR="008B5236" w:rsidRPr="0093683C" w:rsidRDefault="00E2221D" w:rsidP="00263B8E">
            <w:pPr>
              <w:spacing w:before="0" w:after="0" w:line="240" w:lineRule="auto"/>
              <w:jc w:val="right"/>
              <w:rPr>
                <w:rFonts w:ascii="Arial" w:hAnsi="Arial" w:cs="Arial"/>
                <w:sz w:val="16"/>
                <w:szCs w:val="16"/>
              </w:rPr>
            </w:pPr>
            <w:r w:rsidRPr="0093683C">
              <w:rPr>
                <w:rFonts w:ascii="Arial" w:hAnsi="Arial" w:cs="Arial"/>
                <w:b/>
                <w:sz w:val="16"/>
                <w:szCs w:val="16"/>
              </w:rPr>
              <w:t>23</w:t>
            </w:r>
            <w:r w:rsidR="002C6386" w:rsidRPr="0093683C">
              <w:rPr>
                <w:rFonts w:ascii="Arial" w:hAnsi="Arial" w:cs="Arial"/>
                <w:b/>
                <w:sz w:val="16"/>
                <w:szCs w:val="16"/>
              </w:rPr>
              <w:t>,478.7</w:t>
            </w:r>
          </w:p>
        </w:tc>
      </w:tr>
      <w:tr w:rsidR="00CB4D7E" w:rsidRPr="00286258" w14:paraId="2F0A1D93" w14:textId="77777777" w:rsidTr="00973817">
        <w:trPr>
          <w:trHeight w:val="57"/>
        </w:trPr>
        <w:tc>
          <w:tcPr>
            <w:tcW w:w="4101" w:type="pct"/>
            <w:tcBorders>
              <w:top w:val="nil"/>
              <w:left w:val="nil"/>
              <w:bottom w:val="nil"/>
              <w:right w:val="nil"/>
            </w:tcBorders>
            <w:shd w:val="clear" w:color="auto" w:fill="FFFFFF" w:themeFill="background1"/>
            <w:noWrap/>
          </w:tcPr>
          <w:p w14:paraId="012B9810" w14:textId="77777777" w:rsidR="008B5236" w:rsidRPr="0093683C" w:rsidRDefault="00602F22" w:rsidP="007923B6">
            <w:pPr>
              <w:spacing w:before="0" w:after="0" w:line="240" w:lineRule="auto"/>
              <w:rPr>
                <w:rStyle w:val="Emphasis"/>
                <w:rFonts w:ascii="Arial" w:hAnsi="Arial" w:cs="Arial"/>
                <w:sz w:val="16"/>
                <w:szCs w:val="16"/>
              </w:rPr>
            </w:pPr>
            <w:r w:rsidRPr="0093683C">
              <w:rPr>
                <w:rStyle w:val="Emphasis"/>
                <w:rFonts w:ascii="Arial" w:hAnsi="Arial" w:cs="Arial"/>
                <w:sz w:val="16"/>
                <w:szCs w:val="16"/>
              </w:rPr>
              <w:t>Payments</w:t>
            </w:r>
          </w:p>
        </w:tc>
        <w:tc>
          <w:tcPr>
            <w:tcW w:w="899" w:type="pct"/>
            <w:tcBorders>
              <w:top w:val="nil"/>
              <w:left w:val="nil"/>
              <w:bottom w:val="nil"/>
              <w:right w:val="nil"/>
            </w:tcBorders>
            <w:shd w:val="clear" w:color="auto" w:fill="FFFFFF" w:themeFill="background1"/>
            <w:noWrap/>
          </w:tcPr>
          <w:p w14:paraId="00754CA6" w14:textId="77777777" w:rsidR="008B5236" w:rsidRPr="0093683C" w:rsidRDefault="008B5236" w:rsidP="00263B8E">
            <w:pPr>
              <w:spacing w:before="0" w:after="0" w:line="240" w:lineRule="auto"/>
              <w:jc w:val="right"/>
              <w:rPr>
                <w:rFonts w:ascii="Arial" w:hAnsi="Arial" w:cs="Arial"/>
                <w:b/>
                <w:sz w:val="16"/>
                <w:szCs w:val="16"/>
              </w:rPr>
            </w:pPr>
          </w:p>
        </w:tc>
      </w:tr>
      <w:tr w:rsidR="00942D26" w:rsidRPr="00286258" w14:paraId="72E24F27" w14:textId="77777777" w:rsidTr="00973817">
        <w:trPr>
          <w:trHeight w:val="57"/>
        </w:trPr>
        <w:tc>
          <w:tcPr>
            <w:tcW w:w="4101" w:type="pct"/>
            <w:tcBorders>
              <w:top w:val="nil"/>
              <w:left w:val="nil"/>
              <w:bottom w:val="nil"/>
              <w:right w:val="nil"/>
            </w:tcBorders>
            <w:shd w:val="clear" w:color="auto" w:fill="FFFFFF" w:themeFill="background1"/>
            <w:noWrap/>
          </w:tcPr>
          <w:p w14:paraId="321D6841" w14:textId="77777777" w:rsidR="008B5236" w:rsidRPr="0093683C" w:rsidRDefault="00B638D1" w:rsidP="00263B8E">
            <w:pPr>
              <w:spacing w:before="0" w:after="0" w:line="240" w:lineRule="auto"/>
              <w:ind w:left="170"/>
              <w:rPr>
                <w:rFonts w:ascii="Arial" w:hAnsi="Arial" w:cs="Arial"/>
                <w:sz w:val="16"/>
                <w:szCs w:val="16"/>
              </w:rPr>
            </w:pPr>
            <w:r w:rsidRPr="0093683C">
              <w:rPr>
                <w:rFonts w:ascii="Arial" w:hAnsi="Arial" w:cs="Arial"/>
                <w:sz w:val="16"/>
                <w:szCs w:val="16"/>
              </w:rPr>
              <w:t>Powering Australia – Establishing the Powering the Regions Fund</w:t>
            </w:r>
          </w:p>
        </w:tc>
        <w:tc>
          <w:tcPr>
            <w:tcW w:w="899" w:type="pct"/>
            <w:tcBorders>
              <w:top w:val="nil"/>
              <w:left w:val="nil"/>
              <w:bottom w:val="nil"/>
              <w:right w:val="nil"/>
            </w:tcBorders>
            <w:shd w:val="clear" w:color="auto" w:fill="FFFFFF" w:themeFill="background1"/>
            <w:noWrap/>
          </w:tcPr>
          <w:p w14:paraId="2D355A9F" w14:textId="77777777" w:rsidR="008B5236" w:rsidRPr="0093683C" w:rsidRDefault="00B638D1" w:rsidP="00263B8E">
            <w:pPr>
              <w:spacing w:before="0" w:after="0" w:line="240" w:lineRule="auto"/>
              <w:jc w:val="right"/>
              <w:rPr>
                <w:rFonts w:ascii="Arial" w:hAnsi="Arial" w:cs="Arial"/>
                <w:sz w:val="16"/>
                <w:szCs w:val="16"/>
              </w:rPr>
            </w:pPr>
            <w:r w:rsidRPr="0093683C">
              <w:rPr>
                <w:rFonts w:ascii="Arial" w:hAnsi="Arial" w:cs="Arial"/>
                <w:sz w:val="16"/>
                <w:szCs w:val="16"/>
              </w:rPr>
              <w:t>1,900</w:t>
            </w:r>
          </w:p>
        </w:tc>
      </w:tr>
      <w:tr w:rsidR="00942D26" w:rsidRPr="00286258" w14:paraId="5F4CF4FB" w14:textId="77777777" w:rsidTr="00973817">
        <w:trPr>
          <w:trHeight w:val="57"/>
        </w:trPr>
        <w:tc>
          <w:tcPr>
            <w:tcW w:w="4101" w:type="pct"/>
            <w:tcBorders>
              <w:top w:val="nil"/>
              <w:left w:val="nil"/>
              <w:bottom w:val="nil"/>
              <w:right w:val="nil"/>
            </w:tcBorders>
            <w:shd w:val="clear" w:color="auto" w:fill="FFFFFF" w:themeFill="background1"/>
            <w:noWrap/>
          </w:tcPr>
          <w:p w14:paraId="6F037500" w14:textId="77777777" w:rsidR="008B5236" w:rsidRPr="0093683C" w:rsidRDefault="00B638D1" w:rsidP="00263B8E">
            <w:pPr>
              <w:spacing w:before="0" w:after="0" w:line="240" w:lineRule="auto"/>
              <w:ind w:left="170"/>
              <w:rPr>
                <w:rFonts w:ascii="Arial" w:hAnsi="Arial" w:cs="Arial"/>
                <w:sz w:val="16"/>
                <w:szCs w:val="16"/>
              </w:rPr>
            </w:pPr>
            <w:r w:rsidRPr="0093683C">
              <w:rPr>
                <w:rFonts w:ascii="Arial" w:hAnsi="Arial" w:cs="Arial"/>
                <w:sz w:val="16"/>
                <w:szCs w:val="16"/>
              </w:rPr>
              <w:t>Powering Australia – Driving the Nation Fund – establishment</w:t>
            </w:r>
          </w:p>
        </w:tc>
        <w:tc>
          <w:tcPr>
            <w:tcW w:w="899" w:type="pct"/>
            <w:tcBorders>
              <w:top w:val="nil"/>
              <w:left w:val="nil"/>
              <w:bottom w:val="nil"/>
              <w:right w:val="nil"/>
            </w:tcBorders>
            <w:shd w:val="clear" w:color="auto" w:fill="FFFFFF" w:themeFill="background1"/>
            <w:noWrap/>
          </w:tcPr>
          <w:p w14:paraId="72AC83E6" w14:textId="77777777" w:rsidR="008B5236" w:rsidRPr="0093683C" w:rsidRDefault="00B638D1" w:rsidP="00263B8E">
            <w:pPr>
              <w:spacing w:before="0" w:after="0" w:line="240" w:lineRule="auto"/>
              <w:jc w:val="right"/>
              <w:rPr>
                <w:rFonts w:ascii="Arial" w:hAnsi="Arial" w:cs="Arial"/>
                <w:sz w:val="16"/>
                <w:szCs w:val="16"/>
              </w:rPr>
            </w:pPr>
            <w:r w:rsidRPr="0093683C">
              <w:rPr>
                <w:rFonts w:ascii="Arial" w:hAnsi="Arial" w:cs="Arial"/>
                <w:sz w:val="16"/>
                <w:szCs w:val="16"/>
              </w:rPr>
              <w:t>275.4</w:t>
            </w:r>
          </w:p>
        </w:tc>
      </w:tr>
      <w:tr w:rsidR="00942D26" w:rsidRPr="00286258" w14:paraId="27D6B988" w14:textId="77777777" w:rsidTr="00973817">
        <w:trPr>
          <w:trHeight w:val="57"/>
        </w:trPr>
        <w:tc>
          <w:tcPr>
            <w:tcW w:w="4101" w:type="pct"/>
            <w:tcBorders>
              <w:top w:val="nil"/>
              <w:left w:val="nil"/>
              <w:right w:val="nil"/>
            </w:tcBorders>
            <w:shd w:val="clear" w:color="auto" w:fill="FFFFFF" w:themeFill="background1"/>
            <w:noWrap/>
          </w:tcPr>
          <w:p w14:paraId="265F26B7" w14:textId="77777777" w:rsidR="008B5236" w:rsidRPr="0093683C" w:rsidRDefault="00B638D1" w:rsidP="00263B8E">
            <w:pPr>
              <w:spacing w:before="0" w:after="0" w:line="240" w:lineRule="auto"/>
              <w:ind w:left="170"/>
              <w:rPr>
                <w:rFonts w:ascii="Arial" w:hAnsi="Arial" w:cs="Arial"/>
                <w:sz w:val="16"/>
                <w:szCs w:val="16"/>
              </w:rPr>
            </w:pPr>
            <w:r w:rsidRPr="0093683C">
              <w:rPr>
                <w:rFonts w:ascii="Arial" w:hAnsi="Arial" w:cs="Arial"/>
                <w:sz w:val="16"/>
                <w:szCs w:val="16"/>
              </w:rPr>
              <w:t>Powering Australia – Community Batteries for Household Solar</w:t>
            </w:r>
          </w:p>
        </w:tc>
        <w:tc>
          <w:tcPr>
            <w:tcW w:w="899" w:type="pct"/>
            <w:tcBorders>
              <w:top w:val="nil"/>
              <w:left w:val="nil"/>
              <w:right w:val="nil"/>
            </w:tcBorders>
            <w:shd w:val="clear" w:color="auto" w:fill="FFFFFF" w:themeFill="background1"/>
            <w:noWrap/>
          </w:tcPr>
          <w:p w14:paraId="2B5CF2AE" w14:textId="77777777" w:rsidR="008B5236" w:rsidRPr="0093683C" w:rsidRDefault="00B638D1" w:rsidP="00263B8E">
            <w:pPr>
              <w:spacing w:before="0" w:after="0" w:line="240" w:lineRule="auto"/>
              <w:jc w:val="right"/>
              <w:rPr>
                <w:rFonts w:ascii="Arial" w:hAnsi="Arial" w:cs="Arial"/>
                <w:sz w:val="16"/>
                <w:szCs w:val="16"/>
              </w:rPr>
            </w:pPr>
            <w:r w:rsidRPr="0093683C">
              <w:rPr>
                <w:rFonts w:ascii="Arial" w:hAnsi="Arial" w:cs="Arial"/>
                <w:sz w:val="16"/>
                <w:szCs w:val="16"/>
              </w:rPr>
              <w:t>224.3</w:t>
            </w:r>
          </w:p>
        </w:tc>
      </w:tr>
      <w:tr w:rsidR="00942D26" w:rsidRPr="00286258" w14:paraId="3DA5270A" w14:textId="77777777" w:rsidTr="00973817">
        <w:trPr>
          <w:trHeight w:val="57"/>
        </w:trPr>
        <w:tc>
          <w:tcPr>
            <w:tcW w:w="4101" w:type="pct"/>
            <w:tcBorders>
              <w:top w:val="nil"/>
              <w:left w:val="nil"/>
              <w:right w:val="nil"/>
            </w:tcBorders>
            <w:shd w:val="clear" w:color="auto" w:fill="FFFFFF" w:themeFill="background1"/>
            <w:noWrap/>
          </w:tcPr>
          <w:p w14:paraId="73985259" w14:textId="77777777" w:rsidR="00991BF1" w:rsidRPr="0093683C" w:rsidRDefault="002C0E8A" w:rsidP="00991BF1">
            <w:pPr>
              <w:spacing w:before="0" w:after="0" w:line="240" w:lineRule="auto"/>
              <w:ind w:left="170"/>
              <w:rPr>
                <w:rFonts w:ascii="Arial" w:hAnsi="Arial" w:cs="Arial"/>
                <w:sz w:val="16"/>
                <w:szCs w:val="16"/>
              </w:rPr>
            </w:pPr>
            <w:r w:rsidRPr="0093683C">
              <w:rPr>
                <w:rFonts w:ascii="Arial" w:hAnsi="Arial" w:cs="Arial"/>
                <w:sz w:val="16"/>
                <w:szCs w:val="16"/>
              </w:rPr>
              <w:t>Support for Energy Security and Reliability</w:t>
            </w:r>
            <w:r w:rsidR="001519F9" w:rsidRPr="0093683C">
              <w:rPr>
                <w:rFonts w:ascii="Arial" w:hAnsi="Arial" w:cs="Arial"/>
                <w:sz w:val="16"/>
                <w:szCs w:val="16"/>
                <w:vertAlign w:val="superscript"/>
              </w:rPr>
              <w:t>(</w:t>
            </w:r>
            <w:r w:rsidR="009A4DFE" w:rsidRPr="0093683C">
              <w:rPr>
                <w:rFonts w:ascii="Arial" w:hAnsi="Arial" w:cs="Arial"/>
                <w:sz w:val="16"/>
                <w:szCs w:val="16"/>
                <w:vertAlign w:val="superscript"/>
              </w:rPr>
              <w:t>b</w:t>
            </w:r>
            <w:r w:rsidR="001519F9" w:rsidRPr="0093683C">
              <w:rPr>
                <w:rFonts w:ascii="Arial" w:hAnsi="Arial" w:cs="Arial"/>
                <w:sz w:val="16"/>
                <w:szCs w:val="16"/>
                <w:vertAlign w:val="superscript"/>
              </w:rPr>
              <w:t>)</w:t>
            </w:r>
            <w:r w:rsidR="00991BF1" w:rsidRPr="0093683C">
              <w:rPr>
                <w:rFonts w:ascii="Arial" w:hAnsi="Arial" w:cs="Arial"/>
                <w:sz w:val="16"/>
                <w:szCs w:val="16"/>
              </w:rPr>
              <w:t xml:space="preserve"> </w:t>
            </w:r>
          </w:p>
        </w:tc>
        <w:tc>
          <w:tcPr>
            <w:tcW w:w="899" w:type="pct"/>
            <w:tcBorders>
              <w:top w:val="nil"/>
              <w:left w:val="nil"/>
              <w:right w:val="nil"/>
            </w:tcBorders>
            <w:shd w:val="clear" w:color="auto" w:fill="FFFFFF" w:themeFill="background1"/>
            <w:noWrap/>
          </w:tcPr>
          <w:p w14:paraId="359C0629" w14:textId="77777777" w:rsidR="00991BF1" w:rsidRPr="0093683C" w:rsidRDefault="00991BF1" w:rsidP="00991BF1">
            <w:pPr>
              <w:spacing w:before="0" w:after="0" w:line="240" w:lineRule="auto"/>
              <w:jc w:val="right"/>
              <w:rPr>
                <w:rFonts w:ascii="Arial" w:hAnsi="Arial" w:cs="Arial"/>
                <w:sz w:val="16"/>
                <w:szCs w:val="16"/>
              </w:rPr>
            </w:pPr>
            <w:r w:rsidRPr="0093683C">
              <w:rPr>
                <w:rFonts w:ascii="Arial" w:hAnsi="Arial" w:cs="Arial"/>
                <w:sz w:val="16"/>
                <w:szCs w:val="16"/>
              </w:rPr>
              <w:t>13</w:t>
            </w:r>
            <w:r w:rsidR="006C3DD8" w:rsidRPr="0093683C">
              <w:rPr>
                <w:rFonts w:ascii="Arial" w:hAnsi="Arial" w:cs="Arial"/>
                <w:sz w:val="16"/>
                <w:szCs w:val="16"/>
              </w:rPr>
              <w:t>7</w:t>
            </w:r>
            <w:r w:rsidRPr="0093683C">
              <w:rPr>
                <w:rFonts w:ascii="Arial" w:hAnsi="Arial" w:cs="Arial"/>
                <w:sz w:val="16"/>
                <w:szCs w:val="16"/>
              </w:rPr>
              <w:t>.</w:t>
            </w:r>
            <w:r w:rsidR="006C3DD8" w:rsidRPr="0093683C">
              <w:rPr>
                <w:rFonts w:ascii="Arial" w:hAnsi="Arial" w:cs="Arial"/>
                <w:sz w:val="16"/>
                <w:szCs w:val="16"/>
              </w:rPr>
              <w:t>1</w:t>
            </w:r>
          </w:p>
        </w:tc>
      </w:tr>
      <w:tr w:rsidR="00942D26" w:rsidRPr="00286258" w14:paraId="06ED8824" w14:textId="77777777" w:rsidTr="00973817">
        <w:trPr>
          <w:trHeight w:val="57"/>
        </w:trPr>
        <w:tc>
          <w:tcPr>
            <w:tcW w:w="4101" w:type="pct"/>
            <w:tcBorders>
              <w:top w:val="nil"/>
              <w:left w:val="nil"/>
              <w:right w:val="nil"/>
            </w:tcBorders>
            <w:shd w:val="clear" w:color="auto" w:fill="FFFFFF" w:themeFill="background1"/>
            <w:noWrap/>
          </w:tcPr>
          <w:p w14:paraId="03D783CD" w14:textId="77777777" w:rsidR="00B638D1" w:rsidRPr="0093683C" w:rsidRDefault="00B638D1" w:rsidP="00B638D1">
            <w:pPr>
              <w:spacing w:before="0" w:after="0" w:line="240" w:lineRule="auto"/>
              <w:ind w:left="170"/>
              <w:rPr>
                <w:rFonts w:ascii="Arial" w:hAnsi="Arial" w:cs="Arial"/>
                <w:sz w:val="16"/>
                <w:szCs w:val="16"/>
              </w:rPr>
            </w:pPr>
            <w:r w:rsidRPr="0093683C">
              <w:rPr>
                <w:rFonts w:ascii="Arial" w:hAnsi="Arial" w:cs="Arial"/>
                <w:sz w:val="16"/>
                <w:szCs w:val="16"/>
              </w:rPr>
              <w:t>Carbon Capture Technologies for Net Zero and Negative Emissions –</w:t>
            </w:r>
          </w:p>
          <w:p w14:paraId="7DE808CA" w14:textId="77777777"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establishment</w:t>
            </w:r>
          </w:p>
        </w:tc>
        <w:tc>
          <w:tcPr>
            <w:tcW w:w="899" w:type="pct"/>
            <w:tcBorders>
              <w:top w:val="nil"/>
              <w:left w:val="nil"/>
              <w:right w:val="nil"/>
            </w:tcBorders>
            <w:shd w:val="clear" w:color="auto" w:fill="FFFFFF" w:themeFill="background1"/>
            <w:noWrap/>
          </w:tcPr>
          <w:p w14:paraId="49A62BDD"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134.7</w:t>
            </w:r>
          </w:p>
        </w:tc>
      </w:tr>
      <w:tr w:rsidR="00942D26" w:rsidRPr="00286258" w14:paraId="12A386AD" w14:textId="77777777" w:rsidTr="00973817">
        <w:trPr>
          <w:trHeight w:val="57"/>
        </w:trPr>
        <w:tc>
          <w:tcPr>
            <w:tcW w:w="4101" w:type="pct"/>
            <w:tcBorders>
              <w:top w:val="nil"/>
              <w:left w:val="nil"/>
              <w:right w:val="nil"/>
            </w:tcBorders>
            <w:shd w:val="clear" w:color="auto" w:fill="FFFFFF" w:themeFill="background1"/>
            <w:noWrap/>
          </w:tcPr>
          <w:p w14:paraId="618C9229" w14:textId="2F22578B"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Building a Better Future through considered Infrastructure Investment</w:t>
            </w:r>
            <w:r w:rsidR="002B06DA" w:rsidRPr="0093683C">
              <w:rPr>
                <w:rFonts w:ascii="Arial" w:hAnsi="Arial" w:cs="Arial"/>
                <w:sz w:val="16"/>
                <w:szCs w:val="16"/>
              </w:rPr>
              <w:t xml:space="preserve"> </w:t>
            </w:r>
            <w:r w:rsidR="009F4B13" w:rsidRPr="0093683C">
              <w:rPr>
                <w:rFonts w:ascii="Arial" w:hAnsi="Arial" w:cs="Arial"/>
                <w:sz w:val="16"/>
                <w:szCs w:val="16"/>
              </w:rPr>
              <w:t>-</w:t>
            </w:r>
            <w:r w:rsidRPr="0093683C">
              <w:rPr>
                <w:rFonts w:ascii="Arial" w:hAnsi="Arial" w:cs="Arial"/>
                <w:sz w:val="16"/>
                <w:szCs w:val="16"/>
              </w:rPr>
              <w:t xml:space="preserve"> Electric Bus Charging Infrastructure in Perth</w:t>
            </w:r>
          </w:p>
        </w:tc>
        <w:tc>
          <w:tcPr>
            <w:tcW w:w="899" w:type="pct"/>
            <w:tcBorders>
              <w:top w:val="nil"/>
              <w:left w:val="nil"/>
              <w:right w:val="nil"/>
            </w:tcBorders>
            <w:shd w:val="clear" w:color="auto" w:fill="FFFFFF" w:themeFill="background1"/>
            <w:noWrap/>
          </w:tcPr>
          <w:p w14:paraId="68D01ADD"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125.0</w:t>
            </w:r>
          </w:p>
        </w:tc>
      </w:tr>
      <w:tr w:rsidR="00942D26" w:rsidRPr="00286258" w14:paraId="3F3AAB7B" w14:textId="77777777" w:rsidTr="00973817">
        <w:trPr>
          <w:trHeight w:val="57"/>
        </w:trPr>
        <w:tc>
          <w:tcPr>
            <w:tcW w:w="4101" w:type="pct"/>
            <w:tcBorders>
              <w:top w:val="nil"/>
              <w:left w:val="nil"/>
              <w:right w:val="nil"/>
            </w:tcBorders>
            <w:shd w:val="clear" w:color="auto" w:fill="FFFFFF" w:themeFill="background1"/>
            <w:noWrap/>
          </w:tcPr>
          <w:p w14:paraId="26724E07" w14:textId="77777777"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Powering Australia – Solar Banks</w:t>
            </w:r>
          </w:p>
        </w:tc>
        <w:tc>
          <w:tcPr>
            <w:tcW w:w="899" w:type="pct"/>
            <w:tcBorders>
              <w:top w:val="nil"/>
              <w:left w:val="nil"/>
              <w:right w:val="nil"/>
            </w:tcBorders>
            <w:shd w:val="clear" w:color="auto" w:fill="FFFFFF" w:themeFill="background1"/>
            <w:noWrap/>
          </w:tcPr>
          <w:p w14:paraId="0A281858"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102.2</w:t>
            </w:r>
          </w:p>
        </w:tc>
      </w:tr>
      <w:tr w:rsidR="00942D26" w:rsidRPr="00286258" w14:paraId="14846039" w14:textId="77777777" w:rsidTr="00973817">
        <w:trPr>
          <w:trHeight w:val="57"/>
        </w:trPr>
        <w:tc>
          <w:tcPr>
            <w:tcW w:w="4101" w:type="pct"/>
            <w:tcBorders>
              <w:top w:val="nil"/>
              <w:left w:val="nil"/>
              <w:right w:val="nil"/>
            </w:tcBorders>
            <w:shd w:val="clear" w:color="auto" w:fill="FFFFFF" w:themeFill="background1"/>
            <w:noWrap/>
          </w:tcPr>
          <w:p w14:paraId="48D15A69" w14:textId="77777777"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 xml:space="preserve">New Energy Apprenticeships </w:t>
            </w:r>
          </w:p>
        </w:tc>
        <w:tc>
          <w:tcPr>
            <w:tcW w:w="899" w:type="pct"/>
            <w:tcBorders>
              <w:top w:val="nil"/>
              <w:left w:val="nil"/>
              <w:right w:val="nil"/>
            </w:tcBorders>
            <w:shd w:val="clear" w:color="auto" w:fill="FFFFFF" w:themeFill="background1"/>
            <w:noWrap/>
          </w:tcPr>
          <w:p w14:paraId="228647FC"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94.8</w:t>
            </w:r>
          </w:p>
        </w:tc>
      </w:tr>
      <w:tr w:rsidR="00942D26" w:rsidRPr="00286258" w14:paraId="746B776E" w14:textId="77777777" w:rsidTr="00973817">
        <w:trPr>
          <w:trHeight w:val="57"/>
        </w:trPr>
        <w:tc>
          <w:tcPr>
            <w:tcW w:w="4101" w:type="pct"/>
            <w:tcBorders>
              <w:top w:val="nil"/>
              <w:left w:val="nil"/>
              <w:right w:val="nil"/>
            </w:tcBorders>
            <w:shd w:val="clear" w:color="auto" w:fill="FFFFFF" w:themeFill="background1"/>
            <w:noWrap/>
          </w:tcPr>
          <w:p w14:paraId="356C1DBC" w14:textId="77777777"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Powering Australia – Rewiring the Nation</w:t>
            </w:r>
            <w:r w:rsidRPr="0093683C">
              <w:rPr>
                <w:rFonts w:ascii="Arial" w:hAnsi="Arial" w:cs="Arial"/>
                <w:sz w:val="16"/>
                <w:szCs w:val="16"/>
                <w:vertAlign w:val="superscript"/>
              </w:rPr>
              <w:t>(b)</w:t>
            </w:r>
          </w:p>
        </w:tc>
        <w:tc>
          <w:tcPr>
            <w:tcW w:w="899" w:type="pct"/>
            <w:tcBorders>
              <w:top w:val="nil"/>
              <w:left w:val="nil"/>
              <w:right w:val="nil"/>
            </w:tcBorders>
            <w:shd w:val="clear" w:color="auto" w:fill="FFFFFF" w:themeFill="background1"/>
            <w:noWrap/>
          </w:tcPr>
          <w:p w14:paraId="0FBD8386"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90.5</w:t>
            </w:r>
          </w:p>
        </w:tc>
      </w:tr>
      <w:tr w:rsidR="00942D26" w:rsidRPr="00286258" w14:paraId="793098D1" w14:textId="77777777" w:rsidTr="00973817">
        <w:trPr>
          <w:trHeight w:val="57"/>
        </w:trPr>
        <w:tc>
          <w:tcPr>
            <w:tcW w:w="4101" w:type="pct"/>
            <w:tcBorders>
              <w:top w:val="nil"/>
              <w:left w:val="nil"/>
              <w:right w:val="nil"/>
            </w:tcBorders>
            <w:shd w:val="clear" w:color="auto" w:fill="FFFFFF" w:themeFill="background1"/>
            <w:noWrap/>
          </w:tcPr>
          <w:p w14:paraId="59D1A94D" w14:textId="77777777"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First Nations Community Microgrids Program</w:t>
            </w:r>
          </w:p>
        </w:tc>
        <w:tc>
          <w:tcPr>
            <w:tcW w:w="899" w:type="pct"/>
            <w:tcBorders>
              <w:top w:val="nil"/>
              <w:left w:val="nil"/>
              <w:right w:val="nil"/>
            </w:tcBorders>
            <w:shd w:val="clear" w:color="auto" w:fill="FFFFFF" w:themeFill="background1"/>
            <w:noWrap/>
          </w:tcPr>
          <w:p w14:paraId="5B58D001"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83.8</w:t>
            </w:r>
          </w:p>
        </w:tc>
      </w:tr>
      <w:tr w:rsidR="00942D26" w:rsidRPr="00286258" w14:paraId="6AEF93CD" w14:textId="77777777" w:rsidTr="00973817">
        <w:trPr>
          <w:trHeight w:val="57"/>
        </w:trPr>
        <w:tc>
          <w:tcPr>
            <w:tcW w:w="4101" w:type="pct"/>
            <w:tcBorders>
              <w:top w:val="nil"/>
              <w:left w:val="nil"/>
              <w:right w:val="nil"/>
            </w:tcBorders>
            <w:shd w:val="clear" w:color="auto" w:fill="FFFFFF" w:themeFill="background1"/>
            <w:noWrap/>
          </w:tcPr>
          <w:p w14:paraId="58637DB0" w14:textId="77777777" w:rsidR="00991BF1" w:rsidRPr="0093683C" w:rsidRDefault="00B638D1" w:rsidP="00991BF1">
            <w:pPr>
              <w:spacing w:before="0" w:after="0" w:line="240" w:lineRule="auto"/>
              <w:ind w:left="170"/>
              <w:rPr>
                <w:rFonts w:ascii="Arial" w:hAnsi="Arial" w:cs="Arial"/>
                <w:sz w:val="16"/>
                <w:szCs w:val="16"/>
              </w:rPr>
            </w:pPr>
            <w:r w:rsidRPr="0093683C">
              <w:rPr>
                <w:rFonts w:ascii="Arial" w:hAnsi="Arial" w:cs="Arial"/>
                <w:sz w:val="16"/>
                <w:szCs w:val="16"/>
              </w:rPr>
              <w:t xml:space="preserve">Townsville Hydrogen Hub </w:t>
            </w:r>
          </w:p>
        </w:tc>
        <w:tc>
          <w:tcPr>
            <w:tcW w:w="899" w:type="pct"/>
            <w:tcBorders>
              <w:top w:val="nil"/>
              <w:left w:val="nil"/>
              <w:right w:val="nil"/>
            </w:tcBorders>
            <w:shd w:val="clear" w:color="auto" w:fill="FFFFFF" w:themeFill="background1"/>
            <w:noWrap/>
          </w:tcPr>
          <w:p w14:paraId="7BD9BB33" w14:textId="77777777" w:rsidR="00991BF1" w:rsidRPr="0093683C" w:rsidRDefault="00B638D1" w:rsidP="00991BF1">
            <w:pPr>
              <w:spacing w:before="0" w:after="0" w:line="240" w:lineRule="auto"/>
              <w:jc w:val="right"/>
              <w:rPr>
                <w:rFonts w:ascii="Arial" w:hAnsi="Arial" w:cs="Arial"/>
                <w:sz w:val="16"/>
                <w:szCs w:val="16"/>
              </w:rPr>
            </w:pPr>
            <w:r w:rsidRPr="0093683C">
              <w:rPr>
                <w:rFonts w:ascii="Arial" w:hAnsi="Arial" w:cs="Arial"/>
                <w:sz w:val="16"/>
                <w:szCs w:val="16"/>
              </w:rPr>
              <w:t>71.9</w:t>
            </w:r>
          </w:p>
        </w:tc>
      </w:tr>
      <w:tr w:rsidR="00A75940" w:rsidRPr="00286258" w14:paraId="22B56654" w14:textId="77777777" w:rsidTr="00973817">
        <w:trPr>
          <w:trHeight w:val="57"/>
        </w:trPr>
        <w:tc>
          <w:tcPr>
            <w:tcW w:w="4101" w:type="pct"/>
            <w:tcBorders>
              <w:top w:val="nil"/>
              <w:left w:val="nil"/>
              <w:right w:val="nil"/>
            </w:tcBorders>
            <w:shd w:val="clear" w:color="auto" w:fill="FFFFFF" w:themeFill="background1"/>
            <w:noWrap/>
          </w:tcPr>
          <w:p w14:paraId="04061E7B" w14:textId="77777777" w:rsidR="00FD00FF"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Supporting Australian Industry (selected)</w:t>
            </w:r>
            <w:r w:rsidRPr="0093683C">
              <w:rPr>
                <w:rFonts w:ascii="Arial" w:hAnsi="Arial" w:cs="Arial"/>
                <w:sz w:val="16"/>
                <w:szCs w:val="16"/>
                <w:vertAlign w:val="superscript"/>
              </w:rPr>
              <w:t>(c)</w:t>
            </w:r>
          </w:p>
        </w:tc>
        <w:tc>
          <w:tcPr>
            <w:tcW w:w="899" w:type="pct"/>
            <w:tcBorders>
              <w:top w:val="nil"/>
              <w:left w:val="nil"/>
              <w:right w:val="nil"/>
            </w:tcBorders>
            <w:shd w:val="clear" w:color="auto" w:fill="FFFFFF" w:themeFill="background1"/>
            <w:noWrap/>
          </w:tcPr>
          <w:p w14:paraId="79CC03A9" w14:textId="77777777" w:rsidR="00FD00FF"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65.6</w:t>
            </w:r>
          </w:p>
        </w:tc>
      </w:tr>
      <w:tr w:rsidR="00A75940" w:rsidRPr="00286258" w14:paraId="67A9D0CF" w14:textId="77777777" w:rsidTr="00973817">
        <w:trPr>
          <w:trHeight w:val="57"/>
        </w:trPr>
        <w:tc>
          <w:tcPr>
            <w:tcW w:w="4101" w:type="pct"/>
            <w:tcBorders>
              <w:top w:val="nil"/>
              <w:left w:val="nil"/>
              <w:right w:val="nil"/>
            </w:tcBorders>
            <w:shd w:val="clear" w:color="auto" w:fill="FFFFFF" w:themeFill="background1"/>
            <w:noWrap/>
          </w:tcPr>
          <w:p w14:paraId="242368C7" w14:textId="77777777" w:rsidR="004D5978"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Energy Efficiency Grants for Small and Medium Sized Enterprises</w:t>
            </w:r>
          </w:p>
        </w:tc>
        <w:tc>
          <w:tcPr>
            <w:tcW w:w="899" w:type="pct"/>
            <w:tcBorders>
              <w:top w:val="nil"/>
              <w:left w:val="nil"/>
              <w:right w:val="nil"/>
            </w:tcBorders>
            <w:shd w:val="clear" w:color="auto" w:fill="FFFFFF" w:themeFill="background1"/>
            <w:noWrap/>
          </w:tcPr>
          <w:p w14:paraId="7D775FF9" w14:textId="77777777" w:rsidR="004D5978"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62.6</w:t>
            </w:r>
          </w:p>
        </w:tc>
      </w:tr>
      <w:tr w:rsidR="00A75940" w:rsidRPr="00286258" w14:paraId="5B17E816" w14:textId="77777777" w:rsidTr="00973817">
        <w:trPr>
          <w:trHeight w:val="57"/>
        </w:trPr>
        <w:tc>
          <w:tcPr>
            <w:tcW w:w="4101" w:type="pct"/>
            <w:tcBorders>
              <w:top w:val="nil"/>
              <w:left w:val="nil"/>
              <w:right w:val="nil"/>
            </w:tcBorders>
            <w:shd w:val="clear" w:color="auto" w:fill="FFFFFF" w:themeFill="background1"/>
            <w:noWrap/>
          </w:tcPr>
          <w:p w14:paraId="78BC910D" w14:textId="77777777" w:rsidR="004D5978"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Powering Australia – Commonwealth Fleet Leases</w:t>
            </w:r>
            <w:r w:rsidRPr="0093683C">
              <w:rPr>
                <w:rFonts w:ascii="Arial" w:hAnsi="Arial" w:cs="Arial"/>
                <w:sz w:val="16"/>
                <w:szCs w:val="16"/>
                <w:vertAlign w:val="superscript"/>
              </w:rPr>
              <w:t>(b)</w:t>
            </w:r>
          </w:p>
        </w:tc>
        <w:tc>
          <w:tcPr>
            <w:tcW w:w="899" w:type="pct"/>
            <w:tcBorders>
              <w:top w:val="nil"/>
              <w:left w:val="nil"/>
              <w:right w:val="nil"/>
            </w:tcBorders>
            <w:shd w:val="clear" w:color="auto" w:fill="FFFFFF" w:themeFill="background1"/>
            <w:noWrap/>
          </w:tcPr>
          <w:p w14:paraId="7515A996" w14:textId="77777777" w:rsidR="004D5978"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39.9</w:t>
            </w:r>
          </w:p>
        </w:tc>
      </w:tr>
      <w:tr w:rsidR="00A75940" w:rsidRPr="00286258" w14:paraId="5BC72AAD" w14:textId="77777777" w:rsidTr="00973817">
        <w:trPr>
          <w:trHeight w:val="57"/>
        </w:trPr>
        <w:tc>
          <w:tcPr>
            <w:tcW w:w="4101" w:type="pct"/>
            <w:tcBorders>
              <w:top w:val="nil"/>
              <w:left w:val="nil"/>
              <w:right w:val="nil"/>
            </w:tcBorders>
            <w:shd w:val="clear" w:color="auto" w:fill="FFFFFF" w:themeFill="background1"/>
            <w:noWrap/>
          </w:tcPr>
          <w:p w14:paraId="3F2F72ED" w14:textId="77777777" w:rsidR="004D5978"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Carbon Farming Outreach Program</w:t>
            </w:r>
          </w:p>
        </w:tc>
        <w:tc>
          <w:tcPr>
            <w:tcW w:w="899" w:type="pct"/>
            <w:tcBorders>
              <w:top w:val="nil"/>
              <w:left w:val="nil"/>
              <w:right w:val="nil"/>
            </w:tcBorders>
            <w:shd w:val="clear" w:color="auto" w:fill="FFFFFF" w:themeFill="background1"/>
            <w:noWrap/>
          </w:tcPr>
          <w:p w14:paraId="1A58CD42" w14:textId="77777777" w:rsidR="004D5978"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20.3</w:t>
            </w:r>
          </w:p>
        </w:tc>
      </w:tr>
      <w:tr w:rsidR="00A75940" w:rsidRPr="00286258" w14:paraId="27DCD4D7" w14:textId="77777777" w:rsidTr="00973817">
        <w:trPr>
          <w:trHeight w:val="57"/>
        </w:trPr>
        <w:tc>
          <w:tcPr>
            <w:tcW w:w="4101" w:type="pct"/>
            <w:tcBorders>
              <w:top w:val="nil"/>
              <w:left w:val="nil"/>
              <w:right w:val="nil"/>
            </w:tcBorders>
            <w:shd w:val="clear" w:color="auto" w:fill="FFFFFF" w:themeFill="background1"/>
            <w:noWrap/>
          </w:tcPr>
          <w:p w14:paraId="02BD168D" w14:textId="77777777" w:rsidR="004D5978"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Support for the Australian Energy Regulator to Implement Regulatory Changes – Energy Ministers Post 2025 Reforms</w:t>
            </w:r>
            <w:r w:rsidRPr="0093683C">
              <w:rPr>
                <w:rFonts w:ascii="Arial" w:hAnsi="Arial" w:cs="Arial"/>
                <w:sz w:val="16"/>
                <w:szCs w:val="16"/>
                <w:vertAlign w:val="superscript"/>
              </w:rPr>
              <w:t>(b)</w:t>
            </w:r>
            <w:r w:rsidRPr="0093683C">
              <w:rPr>
                <w:rFonts w:ascii="Arial" w:hAnsi="Arial" w:cs="Arial"/>
                <w:sz w:val="16"/>
                <w:szCs w:val="16"/>
              </w:rPr>
              <w:t xml:space="preserve"> </w:t>
            </w:r>
          </w:p>
        </w:tc>
        <w:tc>
          <w:tcPr>
            <w:tcW w:w="899" w:type="pct"/>
            <w:tcBorders>
              <w:top w:val="nil"/>
              <w:left w:val="nil"/>
              <w:right w:val="nil"/>
            </w:tcBorders>
            <w:shd w:val="clear" w:color="auto" w:fill="FFFFFF" w:themeFill="background1"/>
            <w:noWrap/>
          </w:tcPr>
          <w:p w14:paraId="2B16E1B0" w14:textId="77777777" w:rsidR="004D5978"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16.1</w:t>
            </w:r>
          </w:p>
        </w:tc>
      </w:tr>
      <w:tr w:rsidR="00A75940" w:rsidRPr="00286258" w14:paraId="60B59611" w14:textId="77777777" w:rsidTr="00973817">
        <w:trPr>
          <w:trHeight w:val="57"/>
        </w:trPr>
        <w:tc>
          <w:tcPr>
            <w:tcW w:w="4101" w:type="pct"/>
            <w:tcBorders>
              <w:top w:val="nil"/>
              <w:left w:val="nil"/>
              <w:right w:val="nil"/>
            </w:tcBorders>
            <w:shd w:val="clear" w:color="auto" w:fill="FFFFFF" w:themeFill="background1"/>
            <w:noWrap/>
          </w:tcPr>
          <w:p w14:paraId="5DDDF38D" w14:textId="332DB35D" w:rsidR="00F833CB" w:rsidRPr="0093683C" w:rsidRDefault="00F833CB" w:rsidP="00F833CB">
            <w:pPr>
              <w:spacing w:before="0" w:after="0" w:line="240" w:lineRule="auto"/>
              <w:ind w:left="170"/>
              <w:rPr>
                <w:rFonts w:ascii="Arial" w:hAnsi="Arial" w:cs="Arial"/>
                <w:sz w:val="16"/>
                <w:szCs w:val="16"/>
              </w:rPr>
            </w:pPr>
            <w:r w:rsidRPr="0093683C">
              <w:rPr>
                <w:rFonts w:ascii="Arial" w:hAnsi="Arial" w:cs="Arial"/>
                <w:sz w:val="16"/>
                <w:szCs w:val="16"/>
              </w:rPr>
              <w:t>Powering Australia – Driving the Nation Fund – establishment</w:t>
            </w:r>
            <w:r w:rsidR="0075366D" w:rsidRPr="0093683C">
              <w:rPr>
                <w:rFonts w:ascii="Arial" w:hAnsi="Arial" w:cs="Arial"/>
                <w:sz w:val="16"/>
                <w:szCs w:val="16"/>
              </w:rPr>
              <w:t xml:space="preserve"> </w:t>
            </w:r>
            <w:r w:rsidR="005E3EBA">
              <w:rPr>
                <w:rFonts w:ascii="Arial" w:hAnsi="Arial" w:cs="Arial"/>
                <w:sz w:val="16"/>
                <w:szCs w:val="16"/>
              </w:rPr>
              <w:t>–</w:t>
            </w:r>
            <w:r w:rsidRPr="0093683C">
              <w:rPr>
                <w:rFonts w:ascii="Arial" w:hAnsi="Arial" w:cs="Arial"/>
                <w:sz w:val="16"/>
                <w:szCs w:val="16"/>
              </w:rPr>
              <w:t xml:space="preserve"> On-road emissions and fuel consumption testing</w:t>
            </w:r>
          </w:p>
        </w:tc>
        <w:tc>
          <w:tcPr>
            <w:tcW w:w="899" w:type="pct"/>
            <w:tcBorders>
              <w:top w:val="nil"/>
              <w:left w:val="nil"/>
              <w:right w:val="nil"/>
            </w:tcBorders>
            <w:shd w:val="clear" w:color="auto" w:fill="FFFFFF" w:themeFill="background1"/>
            <w:noWrap/>
          </w:tcPr>
          <w:p w14:paraId="26D551F3" w14:textId="77777777" w:rsidR="00F833CB" w:rsidRPr="0093683C" w:rsidRDefault="00F833CB" w:rsidP="00F833CB">
            <w:pPr>
              <w:spacing w:before="0" w:after="0" w:line="240" w:lineRule="auto"/>
              <w:jc w:val="right"/>
              <w:rPr>
                <w:rFonts w:ascii="Arial" w:hAnsi="Arial" w:cs="Arial"/>
                <w:sz w:val="16"/>
                <w:szCs w:val="16"/>
              </w:rPr>
            </w:pPr>
            <w:r w:rsidRPr="0093683C">
              <w:rPr>
                <w:rFonts w:ascii="Arial" w:hAnsi="Arial" w:cs="Arial"/>
                <w:sz w:val="16"/>
                <w:szCs w:val="16"/>
              </w:rPr>
              <w:t>14.0</w:t>
            </w:r>
          </w:p>
        </w:tc>
      </w:tr>
      <w:tr w:rsidR="00A75940" w:rsidRPr="00286258" w14:paraId="693607FC" w14:textId="77777777" w:rsidTr="00973817">
        <w:trPr>
          <w:trHeight w:val="57"/>
        </w:trPr>
        <w:tc>
          <w:tcPr>
            <w:tcW w:w="4101" w:type="pct"/>
            <w:tcBorders>
              <w:top w:val="nil"/>
              <w:left w:val="nil"/>
              <w:right w:val="nil"/>
            </w:tcBorders>
            <w:shd w:val="clear" w:color="auto" w:fill="FFFFFF" w:themeFill="background1"/>
            <w:noWrap/>
          </w:tcPr>
          <w:p w14:paraId="314AEC42" w14:textId="77777777" w:rsidR="00F833CB" w:rsidRPr="0093683C" w:rsidRDefault="00F833CB" w:rsidP="00F833CB">
            <w:pPr>
              <w:spacing w:before="0" w:after="0" w:line="240" w:lineRule="auto"/>
              <w:ind w:left="170"/>
              <w:rPr>
                <w:rFonts w:ascii="Arial" w:hAnsi="Arial" w:cs="Arial"/>
                <w:sz w:val="16"/>
                <w:szCs w:val="16"/>
              </w:rPr>
            </w:pPr>
            <w:r w:rsidRPr="0093683C">
              <w:rPr>
                <w:rFonts w:ascii="Arial" w:hAnsi="Arial" w:cs="Arial"/>
                <w:sz w:val="16"/>
                <w:szCs w:val="16"/>
              </w:rPr>
              <w:t xml:space="preserve">New Energy Skills Program </w:t>
            </w:r>
          </w:p>
        </w:tc>
        <w:tc>
          <w:tcPr>
            <w:tcW w:w="899" w:type="pct"/>
            <w:tcBorders>
              <w:top w:val="nil"/>
              <w:left w:val="nil"/>
              <w:right w:val="nil"/>
            </w:tcBorders>
            <w:shd w:val="clear" w:color="auto" w:fill="FFFFFF" w:themeFill="background1"/>
            <w:noWrap/>
          </w:tcPr>
          <w:p w14:paraId="225670E7" w14:textId="77777777" w:rsidR="00F833CB" w:rsidRPr="0093683C" w:rsidRDefault="00F833CB" w:rsidP="00F833CB">
            <w:pPr>
              <w:spacing w:before="0" w:after="0" w:line="240" w:lineRule="auto"/>
              <w:jc w:val="right"/>
              <w:rPr>
                <w:rFonts w:ascii="Arial" w:hAnsi="Arial" w:cs="Arial"/>
                <w:sz w:val="16"/>
                <w:szCs w:val="16"/>
              </w:rPr>
            </w:pPr>
            <w:r w:rsidRPr="0093683C">
              <w:rPr>
                <w:rFonts w:ascii="Arial" w:hAnsi="Arial" w:cs="Arial"/>
                <w:sz w:val="16"/>
                <w:szCs w:val="16"/>
              </w:rPr>
              <w:t>9.6</w:t>
            </w:r>
          </w:p>
        </w:tc>
      </w:tr>
      <w:tr w:rsidR="00A75940" w:rsidRPr="00286258" w14:paraId="19CCBC6B" w14:textId="77777777" w:rsidTr="00973817">
        <w:trPr>
          <w:trHeight w:val="57"/>
        </w:trPr>
        <w:tc>
          <w:tcPr>
            <w:tcW w:w="4101" w:type="pct"/>
            <w:tcBorders>
              <w:top w:val="nil"/>
              <w:left w:val="nil"/>
              <w:right w:val="nil"/>
            </w:tcBorders>
            <w:shd w:val="clear" w:color="auto" w:fill="FFFFFF" w:themeFill="background1"/>
            <w:noWrap/>
          </w:tcPr>
          <w:p w14:paraId="58DD45FB" w14:textId="77777777" w:rsidR="00F833CB" w:rsidRPr="0093683C" w:rsidRDefault="00F833CB" w:rsidP="00F833CB">
            <w:pPr>
              <w:spacing w:before="0" w:after="0" w:line="240" w:lineRule="auto"/>
              <w:ind w:left="170"/>
              <w:rPr>
                <w:rFonts w:ascii="Arial" w:hAnsi="Arial" w:cs="Arial"/>
                <w:sz w:val="16"/>
                <w:szCs w:val="16"/>
              </w:rPr>
            </w:pPr>
            <w:r w:rsidRPr="0093683C">
              <w:rPr>
                <w:rFonts w:ascii="Arial" w:hAnsi="Arial" w:cs="Arial"/>
                <w:sz w:val="16"/>
                <w:szCs w:val="16"/>
              </w:rPr>
              <w:t>Powering Australia – Development of Australia’s Seaweed Farming</w:t>
            </w:r>
          </w:p>
        </w:tc>
        <w:tc>
          <w:tcPr>
            <w:tcW w:w="899" w:type="pct"/>
            <w:tcBorders>
              <w:top w:val="nil"/>
              <w:left w:val="nil"/>
              <w:right w:val="nil"/>
            </w:tcBorders>
            <w:shd w:val="clear" w:color="auto" w:fill="FFFFFF" w:themeFill="background1"/>
            <w:noWrap/>
          </w:tcPr>
          <w:p w14:paraId="3BD29C8E" w14:textId="77777777" w:rsidR="00F833CB" w:rsidRPr="0093683C" w:rsidRDefault="00F833CB" w:rsidP="00F833CB">
            <w:pPr>
              <w:spacing w:before="0" w:after="0" w:line="240" w:lineRule="auto"/>
              <w:jc w:val="right"/>
              <w:rPr>
                <w:rFonts w:ascii="Arial" w:hAnsi="Arial" w:cs="Arial"/>
                <w:sz w:val="16"/>
                <w:szCs w:val="16"/>
              </w:rPr>
            </w:pPr>
            <w:r w:rsidRPr="0093683C">
              <w:rPr>
                <w:rFonts w:ascii="Arial" w:hAnsi="Arial" w:cs="Arial"/>
                <w:sz w:val="16"/>
                <w:szCs w:val="16"/>
              </w:rPr>
              <w:t>8.1</w:t>
            </w:r>
          </w:p>
        </w:tc>
      </w:tr>
      <w:tr w:rsidR="00A75940" w:rsidRPr="00286258" w14:paraId="57D648B3" w14:textId="77777777" w:rsidTr="00973817">
        <w:trPr>
          <w:trHeight w:val="57"/>
        </w:trPr>
        <w:tc>
          <w:tcPr>
            <w:tcW w:w="4101" w:type="pct"/>
            <w:tcBorders>
              <w:top w:val="nil"/>
              <w:left w:val="nil"/>
              <w:right w:val="nil"/>
            </w:tcBorders>
            <w:shd w:val="clear" w:color="auto" w:fill="FFFFFF" w:themeFill="background1"/>
            <w:noWrap/>
          </w:tcPr>
          <w:p w14:paraId="5E651DA0" w14:textId="77777777" w:rsidR="004D5978"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Enabling a Low Emissions Future and Supporting Green Markets</w:t>
            </w:r>
          </w:p>
        </w:tc>
        <w:tc>
          <w:tcPr>
            <w:tcW w:w="899" w:type="pct"/>
            <w:tcBorders>
              <w:top w:val="nil"/>
              <w:left w:val="nil"/>
              <w:right w:val="nil"/>
            </w:tcBorders>
            <w:shd w:val="clear" w:color="auto" w:fill="FFFFFF" w:themeFill="background1"/>
            <w:noWrap/>
          </w:tcPr>
          <w:p w14:paraId="682E6B46" w14:textId="77777777" w:rsidR="004D5978"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2.2</w:t>
            </w:r>
          </w:p>
        </w:tc>
      </w:tr>
      <w:tr w:rsidR="00A75940" w:rsidRPr="00286258" w14:paraId="09F644D5" w14:textId="77777777" w:rsidTr="00973817">
        <w:trPr>
          <w:trHeight w:val="57"/>
        </w:trPr>
        <w:tc>
          <w:tcPr>
            <w:tcW w:w="4101" w:type="pct"/>
            <w:tcBorders>
              <w:top w:val="nil"/>
              <w:left w:val="nil"/>
              <w:right w:val="nil"/>
            </w:tcBorders>
            <w:shd w:val="clear" w:color="auto" w:fill="FFFFFF" w:themeFill="background1"/>
            <w:noWrap/>
          </w:tcPr>
          <w:p w14:paraId="52AFE6EC" w14:textId="77777777" w:rsidR="004D5978"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Establishing Offshore Renewables in Australia</w:t>
            </w:r>
          </w:p>
        </w:tc>
        <w:tc>
          <w:tcPr>
            <w:tcW w:w="899" w:type="pct"/>
            <w:tcBorders>
              <w:top w:val="nil"/>
              <w:left w:val="nil"/>
              <w:right w:val="nil"/>
            </w:tcBorders>
            <w:shd w:val="clear" w:color="auto" w:fill="FFFFFF" w:themeFill="background1"/>
            <w:noWrap/>
          </w:tcPr>
          <w:p w14:paraId="413ADB27" w14:textId="77777777" w:rsidR="004D5978"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0.5</w:t>
            </w:r>
          </w:p>
        </w:tc>
      </w:tr>
      <w:tr w:rsidR="00A75940" w:rsidRPr="00286258" w14:paraId="3FA00AFB" w14:textId="77777777" w:rsidTr="00973817">
        <w:trPr>
          <w:trHeight w:val="57"/>
        </w:trPr>
        <w:tc>
          <w:tcPr>
            <w:tcW w:w="4101" w:type="pct"/>
            <w:tcBorders>
              <w:top w:val="nil"/>
              <w:left w:val="nil"/>
              <w:right w:val="nil"/>
            </w:tcBorders>
            <w:shd w:val="clear" w:color="auto" w:fill="FFFFFF" w:themeFill="background1"/>
            <w:noWrap/>
          </w:tcPr>
          <w:p w14:paraId="47BB54CD" w14:textId="77777777" w:rsidR="00FD00FF" w:rsidRPr="0093683C" w:rsidRDefault="00FD00FF" w:rsidP="00723CD2">
            <w:pPr>
              <w:spacing w:before="0" w:after="0" w:line="240" w:lineRule="auto"/>
              <w:ind w:left="170"/>
              <w:rPr>
                <w:rFonts w:ascii="Arial" w:hAnsi="Arial" w:cs="Arial"/>
                <w:sz w:val="16"/>
                <w:szCs w:val="16"/>
              </w:rPr>
            </w:pPr>
          </w:p>
        </w:tc>
        <w:tc>
          <w:tcPr>
            <w:tcW w:w="899" w:type="pct"/>
            <w:tcBorders>
              <w:top w:val="nil"/>
              <w:left w:val="nil"/>
              <w:right w:val="nil"/>
            </w:tcBorders>
            <w:shd w:val="clear" w:color="auto" w:fill="FFFFFF" w:themeFill="background1"/>
            <w:noWrap/>
          </w:tcPr>
          <w:p w14:paraId="78B129DD" w14:textId="77777777" w:rsidR="00FD00FF" w:rsidRPr="0093683C" w:rsidRDefault="00FD00FF" w:rsidP="00723CD2">
            <w:pPr>
              <w:spacing w:before="0" w:after="0" w:line="240" w:lineRule="auto"/>
              <w:jc w:val="right"/>
              <w:rPr>
                <w:rFonts w:ascii="Arial" w:hAnsi="Arial" w:cs="Arial"/>
                <w:sz w:val="16"/>
                <w:szCs w:val="16"/>
              </w:rPr>
            </w:pPr>
          </w:p>
        </w:tc>
      </w:tr>
      <w:tr w:rsidR="00A75940" w:rsidRPr="00286258" w14:paraId="0B23B35D" w14:textId="77777777" w:rsidTr="00973817">
        <w:trPr>
          <w:trHeight w:val="57"/>
        </w:trPr>
        <w:tc>
          <w:tcPr>
            <w:tcW w:w="4101" w:type="pct"/>
            <w:tcBorders>
              <w:top w:val="nil"/>
              <w:left w:val="nil"/>
              <w:right w:val="nil"/>
            </w:tcBorders>
            <w:shd w:val="clear" w:color="auto" w:fill="FFFFFF" w:themeFill="background1"/>
            <w:noWrap/>
          </w:tcPr>
          <w:p w14:paraId="79D21739" w14:textId="77777777" w:rsidR="00FD00FF" w:rsidRPr="0093683C" w:rsidRDefault="00F833CB" w:rsidP="00723CD2">
            <w:pPr>
              <w:spacing w:before="0" w:after="0" w:line="240" w:lineRule="auto"/>
              <w:ind w:left="170"/>
              <w:rPr>
                <w:rFonts w:ascii="Arial" w:hAnsi="Arial" w:cs="Arial"/>
                <w:sz w:val="16"/>
                <w:szCs w:val="16"/>
              </w:rPr>
            </w:pPr>
            <w:r w:rsidRPr="0093683C">
              <w:rPr>
                <w:rStyle w:val="Emphasis"/>
                <w:rFonts w:ascii="Arial" w:hAnsi="Arial" w:cs="Arial"/>
                <w:sz w:val="16"/>
                <w:szCs w:val="16"/>
              </w:rPr>
              <w:t>Balance sheet investments</w:t>
            </w:r>
          </w:p>
        </w:tc>
        <w:tc>
          <w:tcPr>
            <w:tcW w:w="899" w:type="pct"/>
            <w:tcBorders>
              <w:top w:val="nil"/>
              <w:left w:val="nil"/>
              <w:right w:val="nil"/>
            </w:tcBorders>
            <w:shd w:val="clear" w:color="auto" w:fill="FFFFFF" w:themeFill="background1"/>
            <w:noWrap/>
          </w:tcPr>
          <w:p w14:paraId="0BD1CFF5" w14:textId="77777777" w:rsidR="00FD00FF" w:rsidRPr="0093683C" w:rsidRDefault="00FD00FF" w:rsidP="00723CD2">
            <w:pPr>
              <w:spacing w:before="0" w:after="0" w:line="240" w:lineRule="auto"/>
              <w:jc w:val="right"/>
              <w:rPr>
                <w:rFonts w:ascii="Arial" w:hAnsi="Arial" w:cs="Arial"/>
                <w:sz w:val="16"/>
                <w:szCs w:val="16"/>
              </w:rPr>
            </w:pPr>
          </w:p>
        </w:tc>
      </w:tr>
      <w:tr w:rsidR="00A75940" w:rsidRPr="00286258" w14:paraId="3453E249" w14:textId="77777777" w:rsidTr="00973817">
        <w:trPr>
          <w:trHeight w:val="57"/>
        </w:trPr>
        <w:tc>
          <w:tcPr>
            <w:tcW w:w="4101" w:type="pct"/>
            <w:tcBorders>
              <w:top w:val="nil"/>
              <w:left w:val="nil"/>
              <w:right w:val="nil"/>
            </w:tcBorders>
            <w:shd w:val="clear" w:color="auto" w:fill="FFFFFF" w:themeFill="background1"/>
            <w:noWrap/>
          </w:tcPr>
          <w:p w14:paraId="73A4A397" w14:textId="77777777" w:rsidR="00FD00FF" w:rsidRPr="0093683C" w:rsidRDefault="00F833CB" w:rsidP="00723CD2">
            <w:pPr>
              <w:spacing w:before="0" w:after="0" w:line="240" w:lineRule="auto"/>
              <w:ind w:left="170"/>
              <w:rPr>
                <w:rFonts w:ascii="Arial" w:hAnsi="Arial" w:cs="Arial"/>
                <w:sz w:val="16"/>
                <w:szCs w:val="16"/>
              </w:rPr>
            </w:pPr>
            <w:r w:rsidRPr="0093683C">
              <w:rPr>
                <w:rFonts w:ascii="Arial" w:hAnsi="Arial" w:cs="Arial"/>
                <w:sz w:val="16"/>
                <w:szCs w:val="16"/>
              </w:rPr>
              <w:t>Powering Australia – Rewiring the Nation</w:t>
            </w:r>
          </w:p>
        </w:tc>
        <w:tc>
          <w:tcPr>
            <w:tcW w:w="899" w:type="pct"/>
            <w:tcBorders>
              <w:top w:val="nil"/>
              <w:left w:val="nil"/>
              <w:right w:val="nil"/>
            </w:tcBorders>
            <w:shd w:val="clear" w:color="auto" w:fill="FFFFFF" w:themeFill="background1"/>
            <w:noWrap/>
          </w:tcPr>
          <w:p w14:paraId="0E24C986" w14:textId="77777777" w:rsidR="00FD00FF" w:rsidRPr="0093683C" w:rsidRDefault="00F833CB" w:rsidP="00723CD2">
            <w:pPr>
              <w:spacing w:before="0" w:after="0" w:line="240" w:lineRule="auto"/>
              <w:jc w:val="right"/>
              <w:rPr>
                <w:rFonts w:ascii="Arial" w:hAnsi="Arial" w:cs="Arial"/>
                <w:sz w:val="16"/>
                <w:szCs w:val="16"/>
              </w:rPr>
            </w:pPr>
            <w:r w:rsidRPr="0093683C">
              <w:rPr>
                <w:rFonts w:ascii="Arial" w:hAnsi="Arial" w:cs="Arial"/>
                <w:sz w:val="16"/>
                <w:szCs w:val="16"/>
              </w:rPr>
              <w:t>20,000.0</w:t>
            </w:r>
          </w:p>
        </w:tc>
      </w:tr>
      <w:tr w:rsidR="00942D26" w:rsidRPr="00286258" w14:paraId="6E1FD68F" w14:textId="77777777" w:rsidTr="00973817">
        <w:trPr>
          <w:trHeight w:val="57"/>
        </w:trPr>
        <w:tc>
          <w:tcPr>
            <w:tcW w:w="4101" w:type="pct"/>
            <w:tcBorders>
              <w:top w:val="nil"/>
              <w:left w:val="nil"/>
              <w:bottom w:val="single" w:sz="4" w:space="0" w:color="auto"/>
              <w:right w:val="nil"/>
            </w:tcBorders>
            <w:shd w:val="clear" w:color="auto" w:fill="FFFFFF" w:themeFill="background1"/>
            <w:noWrap/>
            <w:vAlign w:val="center"/>
          </w:tcPr>
          <w:p w14:paraId="111CE4BD" w14:textId="77777777" w:rsidR="008B5236" w:rsidRPr="0093683C" w:rsidRDefault="008B5236" w:rsidP="00263B8E">
            <w:pPr>
              <w:spacing w:before="0" w:after="0" w:line="240" w:lineRule="auto"/>
              <w:rPr>
                <w:rFonts w:ascii="Arial" w:hAnsi="Arial" w:cs="Arial"/>
                <w:sz w:val="16"/>
                <w:szCs w:val="16"/>
              </w:rPr>
            </w:pPr>
          </w:p>
        </w:tc>
        <w:tc>
          <w:tcPr>
            <w:tcW w:w="899" w:type="pct"/>
            <w:tcBorders>
              <w:top w:val="nil"/>
              <w:left w:val="nil"/>
              <w:bottom w:val="single" w:sz="4" w:space="0" w:color="auto"/>
              <w:right w:val="nil"/>
            </w:tcBorders>
            <w:shd w:val="clear" w:color="auto" w:fill="FFFFFF" w:themeFill="background1"/>
            <w:noWrap/>
            <w:vAlign w:val="center"/>
          </w:tcPr>
          <w:p w14:paraId="1C7FCE73" w14:textId="77777777" w:rsidR="008B5236" w:rsidRPr="0093683C" w:rsidRDefault="008B5236" w:rsidP="00263B8E">
            <w:pPr>
              <w:spacing w:before="0" w:after="0" w:line="240" w:lineRule="auto"/>
              <w:rPr>
                <w:rFonts w:ascii="Arial" w:hAnsi="Arial" w:cs="Arial"/>
                <w:sz w:val="16"/>
                <w:szCs w:val="16"/>
              </w:rPr>
            </w:pPr>
          </w:p>
        </w:tc>
      </w:tr>
      <w:tr w:rsidR="00942D26" w:rsidRPr="00286258" w14:paraId="69591C94" w14:textId="77777777" w:rsidTr="00973817">
        <w:trPr>
          <w:trHeight w:val="57"/>
        </w:trPr>
        <w:tc>
          <w:tcPr>
            <w:tcW w:w="4101" w:type="pct"/>
            <w:tcBorders>
              <w:top w:val="single" w:sz="4" w:space="0" w:color="auto"/>
              <w:left w:val="nil"/>
              <w:bottom w:val="nil"/>
              <w:right w:val="nil"/>
            </w:tcBorders>
            <w:shd w:val="clear" w:color="auto" w:fill="FFFFFF" w:themeFill="background1"/>
            <w:noWrap/>
            <w:vAlign w:val="center"/>
            <w:hideMark/>
          </w:tcPr>
          <w:p w14:paraId="56772269"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sz w:val="16"/>
                <w:szCs w:val="16"/>
              </w:rPr>
              <w:t> </w:t>
            </w:r>
          </w:p>
        </w:tc>
        <w:tc>
          <w:tcPr>
            <w:tcW w:w="899" w:type="pct"/>
            <w:tcBorders>
              <w:top w:val="single" w:sz="4" w:space="0" w:color="auto"/>
              <w:left w:val="nil"/>
              <w:bottom w:val="nil"/>
              <w:right w:val="nil"/>
            </w:tcBorders>
            <w:shd w:val="clear" w:color="auto" w:fill="FFFFFF" w:themeFill="background1"/>
            <w:noWrap/>
            <w:vAlign w:val="center"/>
            <w:hideMark/>
          </w:tcPr>
          <w:p w14:paraId="336FF6BA"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sz w:val="16"/>
                <w:szCs w:val="16"/>
              </w:rPr>
              <w:t> </w:t>
            </w:r>
          </w:p>
        </w:tc>
      </w:tr>
      <w:tr w:rsidR="00AF2A1B" w:rsidRPr="00286258" w14:paraId="1A5156A5" w14:textId="77777777" w:rsidTr="00973817">
        <w:trPr>
          <w:trHeight w:val="57"/>
        </w:trPr>
        <w:tc>
          <w:tcPr>
            <w:tcW w:w="4101" w:type="pct"/>
            <w:tcBorders>
              <w:top w:val="nil"/>
              <w:left w:val="nil"/>
              <w:bottom w:val="nil"/>
              <w:right w:val="nil"/>
            </w:tcBorders>
            <w:shd w:val="clear" w:color="auto" w:fill="FFFFFF" w:themeFill="background1"/>
            <w:noWrap/>
            <w:vAlign w:val="center"/>
          </w:tcPr>
          <w:p w14:paraId="1AAA3FE5" w14:textId="3997EE38" w:rsidR="008B5236" w:rsidRPr="0093683C" w:rsidRDefault="008B5236" w:rsidP="00263B8E">
            <w:pPr>
              <w:spacing w:before="0" w:after="0" w:line="240" w:lineRule="auto"/>
              <w:rPr>
                <w:rFonts w:ascii="Arial" w:hAnsi="Arial" w:cs="Arial"/>
                <w:b/>
                <w:sz w:val="16"/>
                <w:szCs w:val="16"/>
              </w:rPr>
            </w:pPr>
            <w:r w:rsidRPr="0093683C">
              <w:rPr>
                <w:rFonts w:ascii="Arial" w:hAnsi="Arial" w:cs="Arial"/>
                <w:b/>
                <w:sz w:val="16"/>
                <w:szCs w:val="16"/>
              </w:rPr>
              <w:t xml:space="preserve">Adapting to climate change and improving </w:t>
            </w:r>
            <w:r w:rsidR="00330BFF" w:rsidRPr="0093683C">
              <w:rPr>
                <w:rFonts w:ascii="Arial" w:hAnsi="Arial" w:cs="Arial"/>
                <w:b/>
                <w:sz w:val="16"/>
                <w:szCs w:val="16"/>
              </w:rPr>
              <w:t>c</w:t>
            </w:r>
            <w:r w:rsidR="00330BFF" w:rsidRPr="0093683C">
              <w:rPr>
                <w:rFonts w:ascii="Arial" w:hAnsi="Arial" w:cs="Arial"/>
                <w:b/>
                <w:bCs/>
                <w:sz w:val="16"/>
                <w:szCs w:val="16"/>
              </w:rPr>
              <w:t>limate</w:t>
            </w:r>
            <w:r w:rsidRPr="0093683C">
              <w:rPr>
                <w:rFonts w:ascii="Arial" w:hAnsi="Arial" w:cs="Arial"/>
                <w:b/>
                <w:sz w:val="16"/>
                <w:szCs w:val="16"/>
              </w:rPr>
              <w:t xml:space="preserve"> resilience</w:t>
            </w:r>
          </w:p>
        </w:tc>
        <w:tc>
          <w:tcPr>
            <w:tcW w:w="899" w:type="pct"/>
            <w:tcBorders>
              <w:top w:val="nil"/>
              <w:left w:val="nil"/>
              <w:bottom w:val="nil"/>
              <w:right w:val="nil"/>
            </w:tcBorders>
            <w:shd w:val="clear" w:color="auto" w:fill="FFFFFF" w:themeFill="background1"/>
            <w:noWrap/>
            <w:vAlign w:val="center"/>
            <w:hideMark/>
          </w:tcPr>
          <w:p w14:paraId="1061FDC6" w14:textId="77777777" w:rsidR="008B5236" w:rsidRPr="0093683C" w:rsidRDefault="00F833CB" w:rsidP="00263B8E">
            <w:pPr>
              <w:spacing w:before="0" w:after="0" w:line="240" w:lineRule="auto"/>
              <w:jc w:val="right"/>
              <w:rPr>
                <w:rFonts w:ascii="Arial" w:hAnsi="Arial" w:cs="Arial"/>
                <w:b/>
                <w:sz w:val="16"/>
                <w:szCs w:val="16"/>
              </w:rPr>
            </w:pPr>
            <w:r w:rsidRPr="0093683C">
              <w:rPr>
                <w:rFonts w:ascii="Arial" w:hAnsi="Arial" w:cs="Arial"/>
                <w:sz w:val="16"/>
                <w:szCs w:val="16"/>
              </w:rPr>
              <w:t> </w:t>
            </w:r>
            <w:r w:rsidR="008F49DA" w:rsidRPr="0093683C">
              <w:rPr>
                <w:rFonts w:ascii="Arial" w:hAnsi="Arial" w:cs="Arial"/>
                <w:b/>
                <w:sz w:val="16"/>
                <w:szCs w:val="16"/>
              </w:rPr>
              <w:t>948.3</w:t>
            </w:r>
          </w:p>
        </w:tc>
      </w:tr>
      <w:tr w:rsidR="00942D26" w:rsidRPr="00286258" w14:paraId="5AB06C28" w14:textId="77777777" w:rsidTr="00973817">
        <w:trPr>
          <w:trHeight w:val="57"/>
        </w:trPr>
        <w:tc>
          <w:tcPr>
            <w:tcW w:w="4101" w:type="pct"/>
            <w:tcBorders>
              <w:top w:val="nil"/>
              <w:left w:val="nil"/>
              <w:bottom w:val="nil"/>
              <w:right w:val="nil"/>
            </w:tcBorders>
            <w:shd w:val="clear" w:color="auto" w:fill="FFFFFF" w:themeFill="background1"/>
            <w:noWrap/>
          </w:tcPr>
          <w:p w14:paraId="3D75B6E2" w14:textId="77777777" w:rsidR="00165882" w:rsidRPr="0093683C" w:rsidRDefault="00602F22" w:rsidP="0081104F">
            <w:pPr>
              <w:spacing w:before="0" w:after="0" w:line="240" w:lineRule="auto"/>
              <w:rPr>
                <w:rFonts w:ascii="Arial" w:hAnsi="Arial" w:cs="Arial"/>
                <w:sz w:val="16"/>
                <w:szCs w:val="16"/>
              </w:rPr>
            </w:pPr>
            <w:r w:rsidRPr="0093683C">
              <w:rPr>
                <w:rStyle w:val="Emphasis"/>
                <w:rFonts w:ascii="Arial" w:hAnsi="Arial" w:cs="Arial"/>
                <w:sz w:val="16"/>
                <w:szCs w:val="16"/>
              </w:rPr>
              <w:t>Payments</w:t>
            </w:r>
          </w:p>
        </w:tc>
        <w:tc>
          <w:tcPr>
            <w:tcW w:w="899" w:type="pct"/>
            <w:tcBorders>
              <w:top w:val="nil"/>
              <w:left w:val="nil"/>
              <w:bottom w:val="nil"/>
              <w:right w:val="nil"/>
            </w:tcBorders>
            <w:shd w:val="clear" w:color="auto" w:fill="auto"/>
            <w:noWrap/>
          </w:tcPr>
          <w:p w14:paraId="67F5C5C1" w14:textId="77777777" w:rsidR="00165882" w:rsidRPr="0093683C" w:rsidRDefault="00165882" w:rsidP="00370C4E">
            <w:pPr>
              <w:spacing w:before="0" w:after="0" w:line="240" w:lineRule="auto"/>
              <w:jc w:val="right"/>
              <w:rPr>
                <w:rFonts w:ascii="Arial" w:hAnsi="Arial" w:cs="Arial"/>
                <w:sz w:val="16"/>
                <w:szCs w:val="16"/>
              </w:rPr>
            </w:pPr>
          </w:p>
        </w:tc>
      </w:tr>
      <w:tr w:rsidR="00942D26" w:rsidRPr="00286258" w14:paraId="200637C0" w14:textId="77777777" w:rsidTr="00973817">
        <w:trPr>
          <w:trHeight w:val="57"/>
        </w:trPr>
        <w:tc>
          <w:tcPr>
            <w:tcW w:w="4101" w:type="pct"/>
            <w:tcBorders>
              <w:top w:val="nil"/>
              <w:left w:val="nil"/>
              <w:bottom w:val="nil"/>
              <w:right w:val="nil"/>
            </w:tcBorders>
            <w:shd w:val="clear" w:color="auto" w:fill="FFFFFF" w:themeFill="background1"/>
            <w:noWrap/>
          </w:tcPr>
          <w:p w14:paraId="3D321BB7" w14:textId="77777777" w:rsidR="008B5236" w:rsidRPr="0093683C" w:rsidRDefault="008B5236" w:rsidP="00263B8E">
            <w:pPr>
              <w:spacing w:before="0" w:after="0" w:line="240" w:lineRule="auto"/>
              <w:ind w:left="170"/>
              <w:rPr>
                <w:rFonts w:ascii="Arial" w:hAnsi="Arial" w:cs="Arial"/>
                <w:sz w:val="16"/>
                <w:szCs w:val="16"/>
              </w:rPr>
            </w:pPr>
            <w:r w:rsidRPr="0093683C">
              <w:rPr>
                <w:rFonts w:ascii="Arial" w:hAnsi="Arial" w:cs="Arial"/>
                <w:sz w:val="16"/>
                <w:szCs w:val="16"/>
              </w:rPr>
              <w:t>Disaster Ready Fund</w:t>
            </w:r>
          </w:p>
        </w:tc>
        <w:tc>
          <w:tcPr>
            <w:tcW w:w="899" w:type="pct"/>
            <w:tcBorders>
              <w:top w:val="nil"/>
              <w:left w:val="nil"/>
              <w:bottom w:val="nil"/>
              <w:right w:val="nil"/>
            </w:tcBorders>
            <w:shd w:val="clear" w:color="auto" w:fill="auto"/>
            <w:noWrap/>
          </w:tcPr>
          <w:p w14:paraId="465E0582"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630.4</w:t>
            </w:r>
          </w:p>
        </w:tc>
      </w:tr>
      <w:tr w:rsidR="00A75940" w:rsidRPr="00286258" w14:paraId="7A6631C8" w14:textId="77777777" w:rsidTr="00973817">
        <w:trPr>
          <w:trHeight w:val="57"/>
        </w:trPr>
        <w:tc>
          <w:tcPr>
            <w:tcW w:w="4101" w:type="pct"/>
            <w:tcBorders>
              <w:top w:val="nil"/>
              <w:left w:val="nil"/>
              <w:bottom w:val="nil"/>
              <w:right w:val="nil"/>
            </w:tcBorders>
            <w:shd w:val="clear" w:color="auto" w:fill="FFFFFF" w:themeFill="background1"/>
            <w:noWrap/>
          </w:tcPr>
          <w:p w14:paraId="29958D54" w14:textId="77777777" w:rsidR="008B5236" w:rsidRPr="0093683C" w:rsidRDefault="006837CF" w:rsidP="00263B8E">
            <w:pPr>
              <w:spacing w:before="0" w:after="0" w:line="240" w:lineRule="auto"/>
              <w:ind w:left="170"/>
              <w:rPr>
                <w:rFonts w:ascii="Arial" w:hAnsi="Arial" w:cs="Arial"/>
                <w:sz w:val="16"/>
                <w:szCs w:val="16"/>
              </w:rPr>
            </w:pPr>
            <w:r w:rsidRPr="0093683C" w:rsidDel="006837CF">
              <w:rPr>
                <w:rFonts w:ascii="Arial" w:hAnsi="Arial" w:cs="Arial"/>
                <w:sz w:val="16"/>
                <w:szCs w:val="16"/>
              </w:rPr>
              <w:t>Reef 2050 Long-term Sustainability Plan –</w:t>
            </w:r>
            <w:r w:rsidR="00141133" w:rsidRPr="0093683C">
              <w:rPr>
                <w:rFonts w:ascii="Arial" w:hAnsi="Arial" w:cs="Arial"/>
                <w:sz w:val="16"/>
                <w:szCs w:val="16"/>
              </w:rPr>
              <w:t xml:space="preserve"> implementation</w:t>
            </w:r>
          </w:p>
        </w:tc>
        <w:tc>
          <w:tcPr>
            <w:tcW w:w="899" w:type="pct"/>
            <w:tcBorders>
              <w:top w:val="nil"/>
              <w:left w:val="nil"/>
              <w:right w:val="nil"/>
            </w:tcBorders>
            <w:shd w:val="clear" w:color="auto" w:fill="auto"/>
            <w:noWrap/>
          </w:tcPr>
          <w:p w14:paraId="695B9B6A"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96.9</w:t>
            </w:r>
          </w:p>
        </w:tc>
      </w:tr>
      <w:tr w:rsidR="00A75940" w:rsidRPr="00286258" w14:paraId="1553943B" w14:textId="77777777" w:rsidTr="00973817">
        <w:trPr>
          <w:trHeight w:val="57"/>
        </w:trPr>
        <w:tc>
          <w:tcPr>
            <w:tcW w:w="4101" w:type="pct"/>
            <w:tcBorders>
              <w:top w:val="nil"/>
              <w:left w:val="nil"/>
              <w:bottom w:val="nil"/>
              <w:right w:val="nil"/>
            </w:tcBorders>
            <w:shd w:val="clear" w:color="auto" w:fill="FFFFFF" w:themeFill="background1"/>
            <w:noWrap/>
          </w:tcPr>
          <w:p w14:paraId="3D90C4A9" w14:textId="77777777" w:rsidR="008B5236" w:rsidRPr="0093683C" w:rsidRDefault="00370C4E" w:rsidP="00263B8E">
            <w:pPr>
              <w:spacing w:before="0" w:after="0" w:line="240" w:lineRule="auto"/>
              <w:ind w:left="170"/>
              <w:rPr>
                <w:rFonts w:ascii="Arial" w:hAnsi="Arial" w:cs="Arial"/>
                <w:sz w:val="16"/>
                <w:szCs w:val="16"/>
              </w:rPr>
            </w:pPr>
            <w:r w:rsidRPr="0093683C">
              <w:rPr>
                <w:rFonts w:ascii="Arial" w:hAnsi="Arial" w:cs="Arial"/>
                <w:sz w:val="16"/>
                <w:szCs w:val="16"/>
              </w:rPr>
              <w:t xml:space="preserve">Shovel </w:t>
            </w:r>
            <w:r w:rsidR="0015367D" w:rsidRPr="0093683C">
              <w:rPr>
                <w:rFonts w:ascii="Arial" w:hAnsi="Arial" w:cs="Arial"/>
                <w:sz w:val="16"/>
                <w:szCs w:val="16"/>
              </w:rPr>
              <w:t>Ready Catchment and Reef Restoration Projects</w:t>
            </w:r>
          </w:p>
        </w:tc>
        <w:tc>
          <w:tcPr>
            <w:tcW w:w="899" w:type="pct"/>
            <w:tcBorders>
              <w:top w:val="nil"/>
              <w:left w:val="nil"/>
              <w:right w:val="nil"/>
            </w:tcBorders>
            <w:shd w:val="clear" w:color="auto" w:fill="auto"/>
            <w:noWrap/>
          </w:tcPr>
          <w:p w14:paraId="75D55CBC"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91.8</w:t>
            </w:r>
          </w:p>
        </w:tc>
      </w:tr>
      <w:tr w:rsidR="00A75940" w:rsidRPr="00286258" w14:paraId="62022E52" w14:textId="77777777" w:rsidTr="00973817">
        <w:trPr>
          <w:trHeight w:val="57"/>
        </w:trPr>
        <w:tc>
          <w:tcPr>
            <w:tcW w:w="4101" w:type="pct"/>
            <w:tcBorders>
              <w:top w:val="nil"/>
              <w:left w:val="nil"/>
              <w:bottom w:val="nil"/>
              <w:right w:val="nil"/>
            </w:tcBorders>
            <w:shd w:val="clear" w:color="auto" w:fill="FFFFFF" w:themeFill="background1"/>
            <w:noWrap/>
          </w:tcPr>
          <w:p w14:paraId="426A5FB2" w14:textId="77777777" w:rsidR="00451FEA" w:rsidRPr="0093683C" w:rsidRDefault="006837CF" w:rsidP="00451FEA">
            <w:pPr>
              <w:spacing w:before="0" w:after="0" w:line="240" w:lineRule="auto"/>
              <w:ind w:left="170"/>
              <w:rPr>
                <w:rFonts w:ascii="Arial" w:hAnsi="Arial" w:cs="Arial"/>
                <w:sz w:val="16"/>
                <w:szCs w:val="16"/>
              </w:rPr>
            </w:pPr>
            <w:r w:rsidRPr="0093683C" w:rsidDel="006837CF">
              <w:rPr>
                <w:rFonts w:ascii="Arial" w:hAnsi="Arial" w:cs="Arial"/>
                <w:sz w:val="16"/>
                <w:szCs w:val="16"/>
              </w:rPr>
              <w:t>Murray-Darling Basin –</w:t>
            </w:r>
            <w:r w:rsidR="00451FEA" w:rsidRPr="0093683C">
              <w:rPr>
                <w:rFonts w:ascii="Arial" w:hAnsi="Arial" w:cs="Arial"/>
                <w:sz w:val="16"/>
                <w:szCs w:val="16"/>
              </w:rPr>
              <w:t xml:space="preserve"> compliance and science</w:t>
            </w:r>
          </w:p>
        </w:tc>
        <w:tc>
          <w:tcPr>
            <w:tcW w:w="899" w:type="pct"/>
            <w:tcBorders>
              <w:top w:val="nil"/>
              <w:left w:val="nil"/>
              <w:right w:val="nil"/>
            </w:tcBorders>
            <w:shd w:val="clear" w:color="auto" w:fill="auto"/>
            <w:noWrap/>
          </w:tcPr>
          <w:p w14:paraId="05E5F55A" w14:textId="77777777" w:rsidR="00451FEA" w:rsidRPr="0093683C" w:rsidRDefault="00451FEA" w:rsidP="00451FEA">
            <w:pPr>
              <w:spacing w:before="0" w:after="0" w:line="240" w:lineRule="auto"/>
              <w:jc w:val="right"/>
              <w:rPr>
                <w:rFonts w:ascii="Arial" w:hAnsi="Arial" w:cs="Arial"/>
                <w:sz w:val="16"/>
                <w:szCs w:val="16"/>
              </w:rPr>
            </w:pPr>
            <w:r w:rsidRPr="0093683C">
              <w:rPr>
                <w:rFonts w:ascii="Arial" w:hAnsi="Arial" w:cs="Arial"/>
                <w:sz w:val="16"/>
                <w:szCs w:val="16"/>
              </w:rPr>
              <w:t>51.9</w:t>
            </w:r>
          </w:p>
        </w:tc>
      </w:tr>
      <w:tr w:rsidR="00A75940" w:rsidRPr="00286258" w14:paraId="1092A9C2" w14:textId="77777777" w:rsidTr="00973817">
        <w:trPr>
          <w:trHeight w:val="57"/>
        </w:trPr>
        <w:tc>
          <w:tcPr>
            <w:tcW w:w="4101" w:type="pct"/>
            <w:tcBorders>
              <w:top w:val="nil"/>
              <w:left w:val="nil"/>
              <w:bottom w:val="nil"/>
              <w:right w:val="nil"/>
            </w:tcBorders>
            <w:shd w:val="clear" w:color="auto" w:fill="FFFFFF" w:themeFill="background1"/>
            <w:noWrap/>
          </w:tcPr>
          <w:p w14:paraId="08B7FB93" w14:textId="77777777" w:rsidR="00522A68" w:rsidRPr="0093683C" w:rsidRDefault="006837CF" w:rsidP="003F4D58">
            <w:pPr>
              <w:spacing w:before="0" w:after="0" w:line="240" w:lineRule="auto"/>
              <w:ind w:left="170"/>
              <w:rPr>
                <w:rFonts w:ascii="Arial" w:hAnsi="Arial" w:cs="Arial"/>
                <w:sz w:val="16"/>
                <w:szCs w:val="16"/>
              </w:rPr>
            </w:pPr>
            <w:r w:rsidRPr="0093683C" w:rsidDel="006837CF">
              <w:rPr>
                <w:rFonts w:ascii="Arial" w:hAnsi="Arial" w:cs="Arial"/>
                <w:sz w:val="16"/>
                <w:szCs w:val="16"/>
              </w:rPr>
              <w:t>Plan for Disaster Readiness – rising insurance premiums</w:t>
            </w:r>
          </w:p>
        </w:tc>
        <w:tc>
          <w:tcPr>
            <w:tcW w:w="899" w:type="pct"/>
            <w:tcBorders>
              <w:top w:val="nil"/>
              <w:left w:val="nil"/>
              <w:right w:val="nil"/>
            </w:tcBorders>
            <w:shd w:val="clear" w:color="auto" w:fill="auto"/>
            <w:noWrap/>
          </w:tcPr>
          <w:p w14:paraId="153AEC94" w14:textId="77777777" w:rsidR="00522A68" w:rsidRPr="0093683C" w:rsidRDefault="00522A68" w:rsidP="00522A68">
            <w:pPr>
              <w:spacing w:before="0" w:after="0" w:line="240" w:lineRule="auto"/>
              <w:jc w:val="right"/>
              <w:rPr>
                <w:rFonts w:ascii="Arial" w:hAnsi="Arial" w:cs="Arial"/>
                <w:sz w:val="16"/>
                <w:szCs w:val="16"/>
              </w:rPr>
            </w:pPr>
            <w:r w:rsidRPr="0093683C">
              <w:rPr>
                <w:rFonts w:ascii="Arial" w:hAnsi="Arial" w:cs="Arial"/>
                <w:sz w:val="16"/>
                <w:szCs w:val="16"/>
              </w:rPr>
              <w:t>25.3</w:t>
            </w:r>
          </w:p>
        </w:tc>
      </w:tr>
      <w:tr w:rsidR="00A75940" w:rsidRPr="00286258" w14:paraId="5CC50FAC" w14:textId="77777777" w:rsidTr="00973817">
        <w:trPr>
          <w:trHeight w:val="57"/>
        </w:trPr>
        <w:tc>
          <w:tcPr>
            <w:tcW w:w="4101" w:type="pct"/>
            <w:tcBorders>
              <w:top w:val="nil"/>
              <w:left w:val="nil"/>
              <w:bottom w:val="nil"/>
              <w:right w:val="nil"/>
            </w:tcBorders>
            <w:shd w:val="clear" w:color="auto" w:fill="FFFFFF" w:themeFill="background1"/>
            <w:noWrap/>
          </w:tcPr>
          <w:p w14:paraId="65872F99" w14:textId="77777777" w:rsidR="00522A68" w:rsidRPr="0093683C" w:rsidRDefault="00944C59" w:rsidP="00515546">
            <w:pPr>
              <w:spacing w:before="0" w:after="0" w:line="240" w:lineRule="auto"/>
              <w:ind w:left="170"/>
              <w:rPr>
                <w:rFonts w:ascii="Arial" w:hAnsi="Arial" w:cs="Arial"/>
                <w:sz w:val="16"/>
                <w:szCs w:val="16"/>
              </w:rPr>
            </w:pPr>
            <w:r w:rsidRPr="0093683C">
              <w:rPr>
                <w:rFonts w:ascii="Arial" w:hAnsi="Arial" w:cs="Arial"/>
                <w:sz w:val="16"/>
                <w:szCs w:val="16"/>
              </w:rPr>
              <w:t>Improving Drought Readiness, Resilience and Preparedness</w:t>
            </w:r>
          </w:p>
        </w:tc>
        <w:tc>
          <w:tcPr>
            <w:tcW w:w="899" w:type="pct"/>
            <w:tcBorders>
              <w:top w:val="nil"/>
              <w:left w:val="nil"/>
              <w:right w:val="nil"/>
            </w:tcBorders>
            <w:shd w:val="clear" w:color="auto" w:fill="auto"/>
            <w:noWrap/>
          </w:tcPr>
          <w:p w14:paraId="0E39DC4C" w14:textId="77777777" w:rsidR="00522A68" w:rsidRPr="0093683C" w:rsidRDefault="006563CE" w:rsidP="00522A68">
            <w:pPr>
              <w:spacing w:before="0" w:after="0" w:line="240" w:lineRule="auto"/>
              <w:jc w:val="right"/>
              <w:rPr>
                <w:rFonts w:ascii="Arial" w:hAnsi="Arial" w:cs="Arial"/>
                <w:sz w:val="16"/>
                <w:szCs w:val="16"/>
              </w:rPr>
            </w:pPr>
            <w:r w:rsidRPr="0093683C">
              <w:rPr>
                <w:rFonts w:ascii="Arial" w:hAnsi="Arial" w:cs="Arial"/>
                <w:sz w:val="16"/>
                <w:szCs w:val="16"/>
              </w:rPr>
              <w:t>20.8</w:t>
            </w:r>
          </w:p>
        </w:tc>
      </w:tr>
      <w:tr w:rsidR="00A75940" w:rsidRPr="00286258" w14:paraId="4DA61D18" w14:textId="77777777" w:rsidTr="00973817">
        <w:trPr>
          <w:trHeight w:val="57"/>
        </w:trPr>
        <w:tc>
          <w:tcPr>
            <w:tcW w:w="4101" w:type="pct"/>
            <w:tcBorders>
              <w:top w:val="nil"/>
              <w:left w:val="nil"/>
              <w:bottom w:val="nil"/>
              <w:right w:val="nil"/>
            </w:tcBorders>
            <w:shd w:val="clear" w:color="auto" w:fill="FFFFFF" w:themeFill="background1"/>
            <w:noWrap/>
          </w:tcPr>
          <w:p w14:paraId="0EF71EF1" w14:textId="77777777" w:rsidR="00522A68" w:rsidRPr="0093683C" w:rsidRDefault="00522A68" w:rsidP="00515546">
            <w:pPr>
              <w:spacing w:before="0" w:after="0" w:line="240" w:lineRule="auto"/>
              <w:ind w:left="170"/>
              <w:rPr>
                <w:rFonts w:ascii="Arial" w:hAnsi="Arial" w:cs="Arial"/>
                <w:sz w:val="16"/>
                <w:szCs w:val="16"/>
              </w:rPr>
            </w:pPr>
            <w:r w:rsidRPr="0093683C">
              <w:rPr>
                <w:rFonts w:ascii="Arial" w:hAnsi="Arial" w:cs="Arial"/>
                <w:sz w:val="16"/>
                <w:szCs w:val="16"/>
              </w:rPr>
              <w:t xml:space="preserve">Engaging </w:t>
            </w:r>
            <w:r w:rsidR="0060539F" w:rsidRPr="0093683C">
              <w:rPr>
                <w:rFonts w:ascii="Arial" w:hAnsi="Arial" w:cs="Arial"/>
                <w:sz w:val="16"/>
                <w:szCs w:val="16"/>
              </w:rPr>
              <w:t xml:space="preserve">with </w:t>
            </w:r>
            <w:r w:rsidRPr="0093683C">
              <w:rPr>
                <w:rFonts w:ascii="Arial" w:hAnsi="Arial" w:cs="Arial"/>
                <w:sz w:val="16"/>
                <w:szCs w:val="16"/>
              </w:rPr>
              <w:t>First Nations Peoples on Climate Change</w:t>
            </w:r>
          </w:p>
        </w:tc>
        <w:tc>
          <w:tcPr>
            <w:tcW w:w="899" w:type="pct"/>
            <w:tcBorders>
              <w:top w:val="nil"/>
              <w:left w:val="nil"/>
              <w:right w:val="nil"/>
            </w:tcBorders>
            <w:shd w:val="clear" w:color="auto" w:fill="auto"/>
            <w:noWrap/>
          </w:tcPr>
          <w:p w14:paraId="396AB4C8" w14:textId="77777777" w:rsidR="00522A68" w:rsidRPr="0093683C" w:rsidRDefault="00522A68" w:rsidP="00522A68">
            <w:pPr>
              <w:spacing w:before="0" w:after="0" w:line="240" w:lineRule="auto"/>
              <w:jc w:val="right"/>
              <w:rPr>
                <w:rFonts w:ascii="Arial" w:hAnsi="Arial" w:cs="Arial"/>
                <w:sz w:val="16"/>
                <w:szCs w:val="16"/>
              </w:rPr>
            </w:pPr>
            <w:r w:rsidRPr="0093683C">
              <w:rPr>
                <w:rFonts w:ascii="Arial" w:hAnsi="Arial" w:cs="Arial"/>
                <w:sz w:val="16"/>
                <w:szCs w:val="16"/>
              </w:rPr>
              <w:t>15.9</w:t>
            </w:r>
          </w:p>
        </w:tc>
      </w:tr>
      <w:tr w:rsidR="00942D26" w:rsidRPr="00286258" w14:paraId="359E4F7E" w14:textId="77777777" w:rsidTr="00973817">
        <w:trPr>
          <w:trHeight w:val="57"/>
        </w:trPr>
        <w:tc>
          <w:tcPr>
            <w:tcW w:w="4101" w:type="pct"/>
            <w:tcBorders>
              <w:top w:val="nil"/>
              <w:left w:val="nil"/>
              <w:right w:val="nil"/>
            </w:tcBorders>
            <w:shd w:val="clear" w:color="auto" w:fill="FFFFFF" w:themeFill="background1"/>
            <w:noWrap/>
          </w:tcPr>
          <w:p w14:paraId="78B703A6" w14:textId="77777777" w:rsidR="00522A68" w:rsidRPr="0093683C" w:rsidRDefault="006837CF" w:rsidP="00515546">
            <w:pPr>
              <w:spacing w:before="0" w:after="0" w:line="240" w:lineRule="auto"/>
              <w:ind w:left="170"/>
              <w:rPr>
                <w:rFonts w:ascii="Arial" w:hAnsi="Arial" w:cs="Arial"/>
                <w:sz w:val="16"/>
                <w:szCs w:val="16"/>
              </w:rPr>
            </w:pPr>
            <w:r w:rsidRPr="0093683C" w:rsidDel="006837CF">
              <w:rPr>
                <w:rFonts w:ascii="Arial" w:hAnsi="Arial" w:cs="Arial"/>
                <w:sz w:val="16"/>
                <w:szCs w:val="16"/>
              </w:rPr>
              <w:t>Coastal Marine Ecosystems</w:t>
            </w:r>
            <w:r w:rsidR="00522A68" w:rsidRPr="0093683C">
              <w:rPr>
                <w:rFonts w:ascii="Arial" w:hAnsi="Arial" w:cs="Arial"/>
                <w:sz w:val="16"/>
                <w:szCs w:val="16"/>
              </w:rPr>
              <w:t xml:space="preserve"> Research Centre </w:t>
            </w:r>
            <w:r w:rsidR="00DD0896" w:rsidRPr="0093683C">
              <w:rPr>
                <w:rFonts w:ascii="Arial" w:hAnsi="Arial" w:cs="Arial"/>
                <w:sz w:val="16"/>
                <w:szCs w:val="16"/>
              </w:rPr>
              <w:t>(Central Queensland University)</w:t>
            </w:r>
          </w:p>
        </w:tc>
        <w:tc>
          <w:tcPr>
            <w:tcW w:w="899" w:type="pct"/>
            <w:tcBorders>
              <w:top w:val="nil"/>
              <w:left w:val="nil"/>
              <w:right w:val="nil"/>
            </w:tcBorders>
            <w:shd w:val="clear" w:color="auto" w:fill="auto"/>
            <w:noWrap/>
          </w:tcPr>
          <w:p w14:paraId="2013E0A8" w14:textId="77777777" w:rsidR="00522A68" w:rsidRPr="0093683C" w:rsidRDefault="00522A68" w:rsidP="00522A68">
            <w:pPr>
              <w:spacing w:before="0" w:after="0" w:line="240" w:lineRule="auto"/>
              <w:jc w:val="right"/>
              <w:rPr>
                <w:rFonts w:ascii="Arial" w:hAnsi="Arial" w:cs="Arial"/>
                <w:sz w:val="16"/>
                <w:szCs w:val="16"/>
              </w:rPr>
            </w:pPr>
            <w:r w:rsidRPr="0093683C">
              <w:rPr>
                <w:rFonts w:ascii="Arial" w:hAnsi="Arial" w:cs="Arial"/>
                <w:sz w:val="16"/>
                <w:szCs w:val="16"/>
              </w:rPr>
              <w:t>15.3</w:t>
            </w:r>
          </w:p>
        </w:tc>
      </w:tr>
      <w:tr w:rsidR="00942D26" w:rsidRPr="00286258" w14:paraId="5B6EB6B1" w14:textId="77777777" w:rsidTr="00973817">
        <w:trPr>
          <w:trHeight w:val="57"/>
        </w:trPr>
        <w:tc>
          <w:tcPr>
            <w:tcW w:w="4101" w:type="pct"/>
            <w:tcBorders>
              <w:top w:val="nil"/>
              <w:left w:val="nil"/>
              <w:bottom w:val="single" w:sz="4" w:space="0" w:color="auto"/>
              <w:right w:val="nil"/>
            </w:tcBorders>
            <w:shd w:val="clear" w:color="auto" w:fill="FFFFFF" w:themeFill="background1"/>
            <w:noWrap/>
            <w:vAlign w:val="center"/>
          </w:tcPr>
          <w:p w14:paraId="155C7309" w14:textId="77777777" w:rsidR="008B5236" w:rsidRPr="0093683C" w:rsidRDefault="008B5236" w:rsidP="00263B8E">
            <w:pPr>
              <w:spacing w:before="0" w:after="0" w:line="240" w:lineRule="auto"/>
              <w:rPr>
                <w:rFonts w:ascii="Arial" w:hAnsi="Arial" w:cs="Arial"/>
                <w:b/>
                <w:sz w:val="16"/>
                <w:szCs w:val="16"/>
              </w:rPr>
            </w:pPr>
          </w:p>
        </w:tc>
        <w:tc>
          <w:tcPr>
            <w:tcW w:w="899" w:type="pct"/>
            <w:tcBorders>
              <w:left w:val="nil"/>
              <w:bottom w:val="single" w:sz="4" w:space="0" w:color="auto"/>
              <w:right w:val="nil"/>
            </w:tcBorders>
            <w:shd w:val="clear" w:color="auto" w:fill="FFFFFF" w:themeFill="background1"/>
            <w:noWrap/>
            <w:vAlign w:val="center"/>
            <w:hideMark/>
          </w:tcPr>
          <w:p w14:paraId="16B5E714" w14:textId="77777777" w:rsidR="008B5236" w:rsidRPr="0093683C" w:rsidRDefault="008B5236" w:rsidP="00263B8E">
            <w:pPr>
              <w:spacing w:before="0" w:after="0" w:line="240" w:lineRule="auto"/>
              <w:jc w:val="right"/>
              <w:rPr>
                <w:rFonts w:ascii="Arial" w:hAnsi="Arial" w:cs="Arial"/>
                <w:b/>
                <w:sz w:val="16"/>
                <w:szCs w:val="16"/>
              </w:rPr>
            </w:pPr>
            <w:r w:rsidRPr="0093683C">
              <w:rPr>
                <w:rFonts w:ascii="Arial" w:hAnsi="Arial" w:cs="Arial"/>
                <w:b/>
                <w:sz w:val="16"/>
                <w:szCs w:val="16"/>
              </w:rPr>
              <w:t> </w:t>
            </w:r>
          </w:p>
        </w:tc>
      </w:tr>
    </w:tbl>
    <w:p w14:paraId="416388A1" w14:textId="0611C7AD" w:rsidR="00180BEB" w:rsidRPr="0093683C" w:rsidRDefault="00180BEB"/>
    <w:p w14:paraId="227D6AA5" w14:textId="77777777" w:rsidR="00180BEB" w:rsidRPr="0093683C" w:rsidRDefault="00180BEB">
      <w:pPr>
        <w:spacing w:before="0" w:after="160" w:line="259" w:lineRule="auto"/>
      </w:pPr>
      <w:r w:rsidRPr="0093683C">
        <w:br w:type="page"/>
      </w:r>
    </w:p>
    <w:p w14:paraId="407113D5" w14:textId="6152F507" w:rsidR="00180BEB" w:rsidRPr="0093683C" w:rsidRDefault="00180BEB" w:rsidP="00180BEB">
      <w:pPr>
        <w:pStyle w:val="TableHeadingcontinued"/>
      </w:pPr>
      <w:r w:rsidRPr="0093683C">
        <w:lastRenderedPageBreak/>
        <w:t>Table 3.7: Value of key climate-related spending measures over 2022</w:t>
      </w:r>
      <w:r w:rsidR="005E3EBA">
        <w:t>–</w:t>
      </w:r>
      <w:r w:rsidRPr="0093683C">
        <w:t>23 to 2029</w:t>
      </w:r>
      <w:r w:rsidR="005E3EBA">
        <w:t>–</w:t>
      </w:r>
      <w:r w:rsidRPr="0093683C">
        <w:t xml:space="preserve">30 (continued) </w:t>
      </w:r>
    </w:p>
    <w:tbl>
      <w:tblPr>
        <w:tblW w:w="5071" w:type="pct"/>
        <w:tblLayout w:type="fixed"/>
        <w:tblCellMar>
          <w:left w:w="0" w:type="dxa"/>
          <w:right w:w="28" w:type="dxa"/>
        </w:tblCellMar>
        <w:tblLook w:val="04A0" w:firstRow="1" w:lastRow="0" w:firstColumn="1" w:lastColumn="0" w:noHBand="0" w:noVBand="1"/>
        <w:tblCaption w:val="Table"/>
      </w:tblPr>
      <w:tblGrid>
        <w:gridCol w:w="6413"/>
        <w:gridCol w:w="1406"/>
      </w:tblGrid>
      <w:tr w:rsidR="00180BEB" w:rsidRPr="00286258" w14:paraId="4D9933AB" w14:textId="77777777" w:rsidTr="00C63AA8">
        <w:trPr>
          <w:trHeight w:val="57"/>
        </w:trPr>
        <w:tc>
          <w:tcPr>
            <w:tcW w:w="4101" w:type="pct"/>
            <w:tcBorders>
              <w:top w:val="single" w:sz="4" w:space="0" w:color="293F5B" w:themeColor="text2"/>
              <w:left w:val="nil"/>
              <w:bottom w:val="single" w:sz="4" w:space="0" w:color="293F5B" w:themeColor="text2"/>
              <w:right w:val="nil"/>
            </w:tcBorders>
            <w:shd w:val="clear" w:color="auto" w:fill="FFFFFF" w:themeFill="background1"/>
            <w:noWrap/>
            <w:vAlign w:val="bottom"/>
          </w:tcPr>
          <w:p w14:paraId="4D12AEB1" w14:textId="77777777" w:rsidR="00180BEB" w:rsidRPr="0093683C" w:rsidRDefault="00180BEB" w:rsidP="00180BEB">
            <w:pPr>
              <w:spacing w:before="0" w:after="0" w:line="240" w:lineRule="auto"/>
              <w:rPr>
                <w:rFonts w:ascii="Arial" w:hAnsi="Arial" w:cs="Arial"/>
                <w:b/>
                <w:sz w:val="16"/>
                <w:szCs w:val="16"/>
              </w:rPr>
            </w:pPr>
            <w:r w:rsidRPr="0093683C">
              <w:rPr>
                <w:rFonts w:ascii="Arial" w:hAnsi="Arial" w:cs="Arial"/>
                <w:sz w:val="16"/>
                <w:szCs w:val="16"/>
              </w:rPr>
              <w:t> </w:t>
            </w:r>
            <w:r w:rsidRPr="0093683C" w:rsidDel="00A05596">
              <w:rPr>
                <w:rFonts w:ascii="Arial" w:hAnsi="Arial" w:cs="Arial"/>
                <w:b/>
                <w:sz w:val="16"/>
                <w:szCs w:val="16"/>
              </w:rPr>
              <w:t>Climate</w:t>
            </w:r>
            <w:r w:rsidRPr="0093683C">
              <w:rPr>
                <w:rFonts w:ascii="Arial" w:hAnsi="Arial" w:cs="Arial"/>
                <w:b/>
                <w:sz w:val="16"/>
                <w:szCs w:val="16"/>
              </w:rPr>
              <w:t xml:space="preserve">-related spending </w:t>
            </w:r>
          </w:p>
          <w:p w14:paraId="60C48DBF" w14:textId="77777777" w:rsidR="00180BEB" w:rsidRPr="0093683C" w:rsidRDefault="00180BEB" w:rsidP="00180BEB">
            <w:pPr>
              <w:spacing w:before="0" w:after="0" w:line="240" w:lineRule="auto"/>
              <w:rPr>
                <w:rFonts w:ascii="Arial" w:hAnsi="Arial" w:cs="Arial"/>
                <w:sz w:val="16"/>
                <w:szCs w:val="16"/>
              </w:rPr>
            </w:pPr>
          </w:p>
        </w:tc>
        <w:tc>
          <w:tcPr>
            <w:tcW w:w="899" w:type="pct"/>
            <w:tcBorders>
              <w:top w:val="single" w:sz="4" w:space="0" w:color="293F5B" w:themeColor="text2"/>
              <w:left w:val="nil"/>
              <w:bottom w:val="single" w:sz="4" w:space="0" w:color="293F5B" w:themeColor="text2"/>
              <w:right w:val="nil"/>
            </w:tcBorders>
            <w:shd w:val="clear" w:color="auto" w:fill="FFFFFF" w:themeFill="background1"/>
            <w:noWrap/>
            <w:vAlign w:val="center"/>
          </w:tcPr>
          <w:p w14:paraId="6F7EC33B" w14:textId="149AAE91" w:rsidR="00180BEB" w:rsidRPr="0093683C" w:rsidRDefault="00180BEB" w:rsidP="00DA5342">
            <w:pPr>
              <w:spacing w:before="0" w:after="0" w:line="240" w:lineRule="auto"/>
              <w:jc w:val="right"/>
              <w:rPr>
                <w:rFonts w:ascii="Arial" w:hAnsi="Arial" w:cs="Arial"/>
                <w:b/>
                <w:sz w:val="16"/>
                <w:szCs w:val="16"/>
              </w:rPr>
            </w:pPr>
            <w:r w:rsidRPr="0093683C">
              <w:rPr>
                <w:rFonts w:ascii="Arial" w:hAnsi="Arial" w:cs="Arial"/>
                <w:b/>
                <w:sz w:val="16"/>
                <w:szCs w:val="16"/>
              </w:rPr>
              <w:t xml:space="preserve">Committed Funding </w:t>
            </w:r>
          </w:p>
          <w:p w14:paraId="6D14AF62" w14:textId="77777777" w:rsidR="00180BEB" w:rsidRPr="0093683C" w:rsidRDefault="00180BEB" w:rsidP="00180BEB">
            <w:pPr>
              <w:spacing w:before="0" w:after="0" w:line="240" w:lineRule="auto"/>
              <w:jc w:val="right"/>
              <w:rPr>
                <w:rFonts w:ascii="Arial" w:hAnsi="Arial" w:cs="Arial"/>
                <w:sz w:val="16"/>
                <w:szCs w:val="16"/>
              </w:rPr>
            </w:pPr>
            <w:r w:rsidRPr="0093683C">
              <w:rPr>
                <w:rFonts w:ascii="Arial" w:hAnsi="Arial" w:cs="Arial"/>
                <w:sz w:val="16"/>
                <w:szCs w:val="16"/>
              </w:rPr>
              <w:t>$m</w:t>
            </w:r>
          </w:p>
        </w:tc>
      </w:tr>
      <w:tr w:rsidR="00942D26" w:rsidRPr="00286258" w14:paraId="22359A8F" w14:textId="77777777" w:rsidTr="00C63AA8">
        <w:trPr>
          <w:trHeight w:val="57"/>
        </w:trPr>
        <w:tc>
          <w:tcPr>
            <w:tcW w:w="4101" w:type="pct"/>
            <w:tcBorders>
              <w:top w:val="single" w:sz="4" w:space="0" w:color="293F5B" w:themeColor="text2"/>
              <w:left w:val="nil"/>
              <w:bottom w:val="nil"/>
              <w:right w:val="nil"/>
            </w:tcBorders>
            <w:shd w:val="clear" w:color="auto" w:fill="FFFFFF" w:themeFill="background1"/>
            <w:noWrap/>
            <w:vAlign w:val="center"/>
          </w:tcPr>
          <w:p w14:paraId="096004B6" w14:textId="77777777" w:rsidR="008B5236" w:rsidRPr="0093683C" w:rsidRDefault="008B5236" w:rsidP="00263B8E">
            <w:pPr>
              <w:spacing w:before="0" w:after="0" w:line="240" w:lineRule="auto"/>
              <w:rPr>
                <w:rFonts w:ascii="Arial" w:hAnsi="Arial" w:cs="Arial"/>
                <w:sz w:val="16"/>
                <w:szCs w:val="16"/>
              </w:rPr>
            </w:pPr>
          </w:p>
        </w:tc>
        <w:tc>
          <w:tcPr>
            <w:tcW w:w="899" w:type="pct"/>
            <w:tcBorders>
              <w:top w:val="single" w:sz="4" w:space="0" w:color="293F5B" w:themeColor="text2"/>
              <w:left w:val="nil"/>
              <w:bottom w:val="nil"/>
              <w:right w:val="nil"/>
            </w:tcBorders>
            <w:shd w:val="clear" w:color="auto" w:fill="FFFFFF" w:themeFill="background1"/>
            <w:noWrap/>
            <w:vAlign w:val="center"/>
            <w:hideMark/>
          </w:tcPr>
          <w:p w14:paraId="43A16893"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sz w:val="16"/>
                <w:szCs w:val="16"/>
              </w:rPr>
              <w:t> </w:t>
            </w:r>
          </w:p>
        </w:tc>
      </w:tr>
      <w:tr w:rsidR="00AF2A1B" w:rsidRPr="00286258" w14:paraId="4D1E9225" w14:textId="77777777" w:rsidTr="00D54621">
        <w:trPr>
          <w:trHeight w:val="57"/>
        </w:trPr>
        <w:tc>
          <w:tcPr>
            <w:tcW w:w="4101" w:type="pct"/>
            <w:tcBorders>
              <w:top w:val="nil"/>
              <w:left w:val="nil"/>
              <w:bottom w:val="nil"/>
              <w:right w:val="nil"/>
            </w:tcBorders>
            <w:shd w:val="clear" w:color="auto" w:fill="FFFFFF" w:themeFill="background1"/>
            <w:noWrap/>
            <w:vAlign w:val="center"/>
          </w:tcPr>
          <w:p w14:paraId="7D771A8A" w14:textId="77777777" w:rsidR="008B5236" w:rsidRPr="0093683C" w:rsidRDefault="008B5236" w:rsidP="00263B8E">
            <w:pPr>
              <w:spacing w:before="0" w:after="0" w:line="240" w:lineRule="auto"/>
              <w:rPr>
                <w:rFonts w:ascii="Arial" w:hAnsi="Arial" w:cs="Arial"/>
                <w:b/>
                <w:sz w:val="16"/>
                <w:szCs w:val="16"/>
              </w:rPr>
            </w:pPr>
            <w:r w:rsidRPr="0093683C">
              <w:rPr>
                <w:rFonts w:ascii="Arial" w:hAnsi="Arial" w:cs="Arial"/>
                <w:b/>
                <w:sz w:val="16"/>
                <w:szCs w:val="16"/>
              </w:rPr>
              <w:t>Re-establishing our international climate leadership</w:t>
            </w:r>
          </w:p>
        </w:tc>
        <w:tc>
          <w:tcPr>
            <w:tcW w:w="899" w:type="pct"/>
            <w:tcBorders>
              <w:top w:val="nil"/>
              <w:left w:val="nil"/>
              <w:bottom w:val="nil"/>
              <w:right w:val="nil"/>
            </w:tcBorders>
            <w:shd w:val="clear" w:color="auto" w:fill="FFFFFF" w:themeFill="background1"/>
            <w:noWrap/>
            <w:vAlign w:val="center"/>
            <w:hideMark/>
          </w:tcPr>
          <w:p w14:paraId="5D4221FB" w14:textId="77777777" w:rsidR="008B5236" w:rsidRPr="0093683C" w:rsidRDefault="00FB72D2" w:rsidP="00263B8E">
            <w:pPr>
              <w:spacing w:before="0" w:after="0" w:line="240" w:lineRule="auto"/>
              <w:jc w:val="right"/>
              <w:rPr>
                <w:rFonts w:ascii="Arial" w:hAnsi="Arial" w:cs="Arial"/>
                <w:b/>
                <w:sz w:val="16"/>
                <w:szCs w:val="16"/>
              </w:rPr>
            </w:pPr>
            <w:r w:rsidRPr="0093683C">
              <w:rPr>
                <w:rFonts w:ascii="Arial" w:hAnsi="Arial" w:cs="Arial"/>
                <w:b/>
                <w:sz w:val="16"/>
                <w:szCs w:val="16"/>
              </w:rPr>
              <w:t>295.8</w:t>
            </w:r>
          </w:p>
        </w:tc>
      </w:tr>
      <w:tr w:rsidR="002D1CCA" w:rsidRPr="00286258" w14:paraId="3932213B" w14:textId="77777777" w:rsidTr="00D54621">
        <w:trPr>
          <w:trHeight w:val="57"/>
        </w:trPr>
        <w:tc>
          <w:tcPr>
            <w:tcW w:w="4101" w:type="pct"/>
            <w:tcBorders>
              <w:top w:val="nil"/>
              <w:left w:val="nil"/>
              <w:bottom w:val="nil"/>
              <w:right w:val="nil"/>
            </w:tcBorders>
            <w:shd w:val="clear" w:color="auto" w:fill="FFFFFF" w:themeFill="background1"/>
            <w:noWrap/>
          </w:tcPr>
          <w:p w14:paraId="28D967DD" w14:textId="77777777" w:rsidR="007F56F7" w:rsidRPr="0093683C" w:rsidRDefault="00602F22" w:rsidP="0081104F">
            <w:pPr>
              <w:spacing w:before="0" w:after="0" w:line="240" w:lineRule="auto"/>
              <w:rPr>
                <w:rFonts w:ascii="Arial" w:hAnsi="Arial" w:cs="Arial"/>
                <w:sz w:val="16"/>
                <w:szCs w:val="16"/>
              </w:rPr>
            </w:pPr>
            <w:r w:rsidRPr="0093683C">
              <w:rPr>
                <w:rStyle w:val="Emphasis"/>
                <w:rFonts w:ascii="Arial" w:hAnsi="Arial" w:cs="Arial"/>
                <w:sz w:val="16"/>
                <w:szCs w:val="16"/>
              </w:rPr>
              <w:t>Payments</w:t>
            </w:r>
          </w:p>
        </w:tc>
        <w:tc>
          <w:tcPr>
            <w:tcW w:w="899" w:type="pct"/>
            <w:tcBorders>
              <w:top w:val="nil"/>
              <w:left w:val="nil"/>
              <w:bottom w:val="nil"/>
              <w:right w:val="nil"/>
            </w:tcBorders>
            <w:shd w:val="clear" w:color="auto" w:fill="FFFFFF" w:themeFill="background1"/>
            <w:noWrap/>
          </w:tcPr>
          <w:p w14:paraId="37725BA2" w14:textId="77777777" w:rsidR="007F56F7" w:rsidRPr="0093683C" w:rsidRDefault="007F56F7" w:rsidP="007F56F7">
            <w:pPr>
              <w:spacing w:before="0" w:after="0" w:line="240" w:lineRule="auto"/>
              <w:jc w:val="right"/>
              <w:rPr>
                <w:rFonts w:ascii="Arial" w:hAnsi="Arial" w:cs="Arial"/>
                <w:sz w:val="16"/>
                <w:szCs w:val="16"/>
              </w:rPr>
            </w:pPr>
          </w:p>
        </w:tc>
      </w:tr>
      <w:tr w:rsidR="00EE3B5A" w:rsidRPr="00286258" w14:paraId="47C4FAEC" w14:textId="77777777" w:rsidTr="00D54621">
        <w:trPr>
          <w:trHeight w:val="57"/>
        </w:trPr>
        <w:tc>
          <w:tcPr>
            <w:tcW w:w="4101" w:type="pct"/>
            <w:tcBorders>
              <w:top w:val="nil"/>
              <w:left w:val="nil"/>
              <w:bottom w:val="nil"/>
              <w:right w:val="nil"/>
            </w:tcBorders>
            <w:shd w:val="clear" w:color="auto" w:fill="FFFFFF" w:themeFill="background1"/>
            <w:noWrap/>
          </w:tcPr>
          <w:p w14:paraId="5331A3EF" w14:textId="77777777" w:rsidR="008B5236" w:rsidRPr="0093683C" w:rsidRDefault="006837CF" w:rsidP="00263B8E">
            <w:pPr>
              <w:spacing w:before="0" w:after="0" w:line="240" w:lineRule="auto"/>
              <w:ind w:left="170"/>
              <w:rPr>
                <w:rFonts w:ascii="Arial" w:hAnsi="Arial" w:cs="Arial"/>
                <w:b/>
                <w:sz w:val="16"/>
                <w:szCs w:val="16"/>
              </w:rPr>
            </w:pPr>
            <w:r w:rsidRPr="0093683C">
              <w:rPr>
                <w:rFonts w:ascii="Arial" w:hAnsi="Arial" w:cs="Arial"/>
                <w:sz w:val="16"/>
                <w:szCs w:val="16"/>
              </w:rPr>
              <w:t xml:space="preserve">Additional Official Development Assistance – Indonesia climate and infrastructure </w:t>
            </w:r>
            <w:r w:rsidRPr="0093683C" w:rsidDel="00B030ED">
              <w:rPr>
                <w:rFonts w:ascii="Arial" w:hAnsi="Arial" w:cs="Arial"/>
                <w:sz w:val="16"/>
                <w:szCs w:val="16"/>
              </w:rPr>
              <w:t>partnership</w:t>
            </w:r>
          </w:p>
        </w:tc>
        <w:tc>
          <w:tcPr>
            <w:tcW w:w="899" w:type="pct"/>
            <w:tcBorders>
              <w:top w:val="nil"/>
              <w:left w:val="nil"/>
              <w:bottom w:val="nil"/>
              <w:right w:val="nil"/>
            </w:tcBorders>
            <w:shd w:val="clear" w:color="auto" w:fill="FFFFFF" w:themeFill="background1"/>
            <w:noWrap/>
            <w:hideMark/>
          </w:tcPr>
          <w:p w14:paraId="326AD6F3"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200.0</w:t>
            </w:r>
          </w:p>
        </w:tc>
      </w:tr>
      <w:tr w:rsidR="00EE3B5A" w:rsidRPr="00286258" w14:paraId="10C9A2CC" w14:textId="77777777" w:rsidTr="00D54621">
        <w:trPr>
          <w:trHeight w:val="57"/>
        </w:trPr>
        <w:tc>
          <w:tcPr>
            <w:tcW w:w="4101" w:type="pct"/>
            <w:tcBorders>
              <w:top w:val="nil"/>
              <w:left w:val="nil"/>
              <w:bottom w:val="nil"/>
              <w:right w:val="nil"/>
            </w:tcBorders>
            <w:shd w:val="clear" w:color="auto" w:fill="FFFFFF" w:themeFill="background1"/>
            <w:noWrap/>
          </w:tcPr>
          <w:p w14:paraId="6ADB16FC" w14:textId="77777777" w:rsidR="008B5236" w:rsidRPr="0093683C" w:rsidRDefault="006837CF" w:rsidP="00263B8E">
            <w:pPr>
              <w:spacing w:before="0" w:after="0" w:line="240" w:lineRule="auto"/>
              <w:ind w:left="170"/>
              <w:rPr>
                <w:rFonts w:ascii="Arial" w:hAnsi="Arial" w:cs="Arial"/>
                <w:sz w:val="16"/>
                <w:szCs w:val="16"/>
              </w:rPr>
            </w:pPr>
            <w:r w:rsidRPr="0093683C">
              <w:rPr>
                <w:rFonts w:ascii="Arial" w:hAnsi="Arial" w:cs="Arial"/>
                <w:sz w:val="16"/>
                <w:szCs w:val="16"/>
              </w:rPr>
              <w:t xml:space="preserve">Australian Infrastructure Financing Facility for the Pacific – expansion – Pacific Climate Infrastructure Financing </w:t>
            </w:r>
            <w:r w:rsidRPr="0093683C" w:rsidDel="00B030ED">
              <w:rPr>
                <w:rFonts w:ascii="Arial" w:hAnsi="Arial" w:cs="Arial"/>
                <w:sz w:val="16"/>
                <w:szCs w:val="16"/>
              </w:rPr>
              <w:t>Partnership</w:t>
            </w:r>
          </w:p>
        </w:tc>
        <w:tc>
          <w:tcPr>
            <w:tcW w:w="899" w:type="pct"/>
            <w:tcBorders>
              <w:top w:val="nil"/>
              <w:left w:val="nil"/>
              <w:bottom w:val="nil"/>
              <w:right w:val="nil"/>
            </w:tcBorders>
            <w:shd w:val="clear" w:color="auto" w:fill="FFFFFF" w:themeFill="background1"/>
            <w:noWrap/>
            <w:hideMark/>
          </w:tcPr>
          <w:p w14:paraId="720DA6EC"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50.0</w:t>
            </w:r>
          </w:p>
        </w:tc>
      </w:tr>
      <w:tr w:rsidR="00EE3B5A" w:rsidRPr="00286258" w14:paraId="0B294872" w14:textId="77777777" w:rsidTr="00D54621">
        <w:trPr>
          <w:trHeight w:val="57"/>
        </w:trPr>
        <w:tc>
          <w:tcPr>
            <w:tcW w:w="4101" w:type="pct"/>
            <w:tcBorders>
              <w:top w:val="nil"/>
              <w:left w:val="nil"/>
              <w:bottom w:val="nil"/>
              <w:right w:val="nil"/>
            </w:tcBorders>
            <w:shd w:val="clear" w:color="auto" w:fill="FFFFFF" w:themeFill="background1"/>
            <w:noWrap/>
          </w:tcPr>
          <w:p w14:paraId="227737B7" w14:textId="77777777" w:rsidR="008B5236" w:rsidRPr="0093683C" w:rsidRDefault="006837CF" w:rsidP="00263B8E">
            <w:pPr>
              <w:spacing w:before="0" w:after="0" w:line="240" w:lineRule="auto"/>
              <w:ind w:left="170"/>
              <w:rPr>
                <w:rFonts w:ascii="Arial" w:hAnsi="Arial" w:cs="Arial"/>
                <w:sz w:val="16"/>
                <w:szCs w:val="16"/>
              </w:rPr>
            </w:pPr>
            <w:r w:rsidRPr="0093683C">
              <w:rPr>
                <w:rFonts w:ascii="Arial" w:hAnsi="Arial" w:cs="Arial"/>
                <w:sz w:val="16"/>
                <w:szCs w:val="16"/>
              </w:rPr>
              <w:t>Australia’s International Climate Step-</w:t>
            </w:r>
            <w:r w:rsidR="008B5236" w:rsidRPr="0093683C">
              <w:rPr>
                <w:rFonts w:ascii="Arial" w:hAnsi="Arial" w:cs="Arial"/>
                <w:sz w:val="16"/>
                <w:szCs w:val="16"/>
              </w:rPr>
              <w:t>Up</w:t>
            </w:r>
          </w:p>
        </w:tc>
        <w:tc>
          <w:tcPr>
            <w:tcW w:w="899" w:type="pct"/>
            <w:tcBorders>
              <w:top w:val="nil"/>
              <w:left w:val="nil"/>
              <w:bottom w:val="nil"/>
              <w:right w:val="nil"/>
            </w:tcBorders>
            <w:shd w:val="clear" w:color="auto" w:fill="FFFFFF" w:themeFill="background1"/>
            <w:noWrap/>
          </w:tcPr>
          <w:p w14:paraId="52A12585" w14:textId="77777777" w:rsidR="008B5236" w:rsidRPr="0093683C" w:rsidRDefault="008B5236" w:rsidP="00263B8E">
            <w:pPr>
              <w:spacing w:before="0" w:after="0" w:line="240" w:lineRule="auto"/>
              <w:jc w:val="right"/>
              <w:rPr>
                <w:rFonts w:ascii="Arial" w:hAnsi="Arial" w:cs="Arial"/>
                <w:sz w:val="16"/>
                <w:szCs w:val="16"/>
              </w:rPr>
            </w:pPr>
            <w:r w:rsidRPr="0093683C">
              <w:rPr>
                <w:rFonts w:ascii="Arial" w:hAnsi="Arial" w:cs="Arial"/>
                <w:sz w:val="16"/>
                <w:szCs w:val="16"/>
              </w:rPr>
              <w:t>45.8</w:t>
            </w:r>
          </w:p>
        </w:tc>
      </w:tr>
      <w:tr w:rsidR="00942D26" w:rsidRPr="00286258" w14:paraId="5F6A82BF" w14:textId="77777777" w:rsidTr="00C63AA8">
        <w:trPr>
          <w:trHeight w:val="57"/>
        </w:trPr>
        <w:tc>
          <w:tcPr>
            <w:tcW w:w="4101" w:type="pct"/>
            <w:tcBorders>
              <w:top w:val="nil"/>
              <w:left w:val="nil"/>
              <w:bottom w:val="single" w:sz="4" w:space="0" w:color="293F5B" w:themeColor="text2"/>
              <w:right w:val="nil"/>
            </w:tcBorders>
            <w:shd w:val="clear" w:color="auto" w:fill="FFFFFF" w:themeFill="background1"/>
            <w:noWrap/>
            <w:vAlign w:val="center"/>
          </w:tcPr>
          <w:p w14:paraId="49CCEAD2" w14:textId="77777777" w:rsidR="008B5236" w:rsidRPr="0093683C" w:rsidRDefault="008B5236" w:rsidP="00263B8E">
            <w:pPr>
              <w:spacing w:before="0" w:after="0" w:line="240" w:lineRule="auto"/>
              <w:ind w:left="170"/>
              <w:rPr>
                <w:rFonts w:ascii="Arial" w:hAnsi="Arial" w:cs="Arial"/>
                <w:sz w:val="16"/>
                <w:szCs w:val="16"/>
              </w:rPr>
            </w:pPr>
          </w:p>
        </w:tc>
        <w:tc>
          <w:tcPr>
            <w:tcW w:w="899" w:type="pct"/>
            <w:tcBorders>
              <w:top w:val="nil"/>
              <w:left w:val="nil"/>
              <w:bottom w:val="single" w:sz="4" w:space="0" w:color="293F5B" w:themeColor="text2"/>
              <w:right w:val="nil"/>
            </w:tcBorders>
            <w:shd w:val="clear" w:color="auto" w:fill="FFFFFF" w:themeFill="background1"/>
            <w:vAlign w:val="center"/>
            <w:hideMark/>
          </w:tcPr>
          <w:p w14:paraId="555956F9"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sz w:val="16"/>
                <w:szCs w:val="16"/>
              </w:rPr>
              <w:t> </w:t>
            </w:r>
          </w:p>
        </w:tc>
      </w:tr>
      <w:tr w:rsidR="00942D26" w:rsidRPr="00286258" w14:paraId="679B3CA9" w14:textId="77777777" w:rsidTr="00C63AA8">
        <w:trPr>
          <w:trHeight w:val="57"/>
        </w:trPr>
        <w:tc>
          <w:tcPr>
            <w:tcW w:w="4101" w:type="pct"/>
            <w:tcBorders>
              <w:top w:val="single" w:sz="4" w:space="0" w:color="293F5B" w:themeColor="text2"/>
              <w:left w:val="nil"/>
              <w:bottom w:val="nil"/>
              <w:right w:val="nil"/>
            </w:tcBorders>
            <w:shd w:val="clear" w:color="auto" w:fill="FFFFFF" w:themeFill="background1"/>
            <w:noWrap/>
            <w:vAlign w:val="center"/>
          </w:tcPr>
          <w:p w14:paraId="1426AFA2" w14:textId="77777777" w:rsidR="008B5236" w:rsidRPr="0093683C" w:rsidRDefault="008B5236" w:rsidP="00263B8E">
            <w:pPr>
              <w:spacing w:before="0" w:after="0" w:line="240" w:lineRule="auto"/>
              <w:ind w:left="170"/>
              <w:rPr>
                <w:rFonts w:ascii="Arial" w:hAnsi="Arial" w:cs="Arial"/>
                <w:i/>
                <w:sz w:val="16"/>
                <w:szCs w:val="16"/>
              </w:rPr>
            </w:pPr>
          </w:p>
        </w:tc>
        <w:tc>
          <w:tcPr>
            <w:tcW w:w="899" w:type="pct"/>
            <w:tcBorders>
              <w:top w:val="single" w:sz="4" w:space="0" w:color="293F5B" w:themeColor="text2"/>
              <w:left w:val="nil"/>
              <w:bottom w:val="nil"/>
              <w:right w:val="nil"/>
            </w:tcBorders>
            <w:shd w:val="clear" w:color="auto" w:fill="FFFFFF" w:themeFill="background1"/>
            <w:noWrap/>
            <w:vAlign w:val="center"/>
            <w:hideMark/>
          </w:tcPr>
          <w:p w14:paraId="2B2C8FF4"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sz w:val="16"/>
                <w:szCs w:val="16"/>
              </w:rPr>
              <w:t> </w:t>
            </w:r>
          </w:p>
        </w:tc>
      </w:tr>
      <w:tr w:rsidR="00EE3B5A" w:rsidRPr="00286258" w14:paraId="690DEE30" w14:textId="77777777" w:rsidTr="00D54621">
        <w:trPr>
          <w:trHeight w:val="57"/>
        </w:trPr>
        <w:tc>
          <w:tcPr>
            <w:tcW w:w="4101" w:type="pct"/>
            <w:tcBorders>
              <w:top w:val="nil"/>
              <w:left w:val="nil"/>
              <w:bottom w:val="nil"/>
              <w:right w:val="nil"/>
            </w:tcBorders>
            <w:shd w:val="clear" w:color="auto" w:fill="FFFFFF" w:themeFill="background1"/>
            <w:noWrap/>
            <w:vAlign w:val="bottom"/>
          </w:tcPr>
          <w:p w14:paraId="49730200" w14:textId="77777777" w:rsidR="008B5236" w:rsidRPr="0093683C" w:rsidRDefault="008B5236" w:rsidP="00263B8E">
            <w:pPr>
              <w:spacing w:before="0" w:after="0" w:line="240" w:lineRule="auto"/>
              <w:rPr>
                <w:rFonts w:ascii="Arial" w:hAnsi="Arial" w:cs="Arial"/>
                <w:sz w:val="16"/>
                <w:szCs w:val="16"/>
              </w:rPr>
            </w:pPr>
            <w:r w:rsidRPr="0093683C">
              <w:rPr>
                <w:rFonts w:ascii="Arial" w:hAnsi="Arial" w:cs="Arial"/>
                <w:b/>
                <w:sz w:val="16"/>
                <w:szCs w:val="16"/>
              </w:rPr>
              <w:t>Building Australian Government climate capability</w:t>
            </w:r>
          </w:p>
        </w:tc>
        <w:tc>
          <w:tcPr>
            <w:tcW w:w="899" w:type="pct"/>
            <w:tcBorders>
              <w:top w:val="nil"/>
              <w:left w:val="nil"/>
              <w:bottom w:val="nil"/>
              <w:right w:val="nil"/>
            </w:tcBorders>
            <w:shd w:val="clear" w:color="auto" w:fill="FFFFFF" w:themeFill="background1"/>
            <w:noWrap/>
            <w:vAlign w:val="center"/>
            <w:hideMark/>
          </w:tcPr>
          <w:p w14:paraId="5C209556" w14:textId="77777777" w:rsidR="008B5236" w:rsidRPr="0093683C" w:rsidRDefault="006837CF" w:rsidP="00263B8E">
            <w:pPr>
              <w:spacing w:before="0" w:after="0" w:line="240" w:lineRule="auto"/>
              <w:jc w:val="right"/>
              <w:rPr>
                <w:rFonts w:ascii="Arial" w:hAnsi="Arial" w:cs="Arial"/>
                <w:b/>
                <w:sz w:val="16"/>
                <w:szCs w:val="16"/>
              </w:rPr>
            </w:pPr>
            <w:r w:rsidRPr="0093683C">
              <w:rPr>
                <w:rFonts w:ascii="Arial" w:hAnsi="Arial" w:cs="Arial"/>
                <w:b/>
                <w:sz w:val="16"/>
                <w:szCs w:val="16"/>
              </w:rPr>
              <w:t>194.6</w:t>
            </w:r>
          </w:p>
        </w:tc>
      </w:tr>
      <w:tr w:rsidR="00EE3B5A" w:rsidRPr="00286258" w14:paraId="0559559C" w14:textId="77777777" w:rsidTr="00D54621">
        <w:trPr>
          <w:trHeight w:val="57"/>
        </w:trPr>
        <w:tc>
          <w:tcPr>
            <w:tcW w:w="4101" w:type="pct"/>
            <w:tcBorders>
              <w:top w:val="nil"/>
              <w:left w:val="nil"/>
              <w:bottom w:val="nil"/>
              <w:right w:val="nil"/>
            </w:tcBorders>
            <w:shd w:val="clear" w:color="auto" w:fill="FFFFFF" w:themeFill="background1"/>
            <w:noWrap/>
          </w:tcPr>
          <w:p w14:paraId="5677A17F" w14:textId="77777777" w:rsidR="008B5236" w:rsidRPr="0093683C" w:rsidRDefault="00602F22" w:rsidP="0081104F">
            <w:pPr>
              <w:spacing w:before="0" w:after="0" w:line="240" w:lineRule="auto"/>
              <w:rPr>
                <w:rFonts w:ascii="Arial" w:hAnsi="Arial" w:cs="Arial"/>
                <w:i/>
                <w:sz w:val="16"/>
                <w:szCs w:val="16"/>
              </w:rPr>
            </w:pPr>
            <w:r w:rsidRPr="0093683C">
              <w:rPr>
                <w:rStyle w:val="Emphasis"/>
                <w:rFonts w:ascii="Arial" w:hAnsi="Arial" w:cs="Arial"/>
                <w:sz w:val="16"/>
                <w:szCs w:val="16"/>
              </w:rPr>
              <w:t>Payments</w:t>
            </w:r>
          </w:p>
        </w:tc>
        <w:tc>
          <w:tcPr>
            <w:tcW w:w="899" w:type="pct"/>
            <w:tcBorders>
              <w:top w:val="nil"/>
              <w:left w:val="nil"/>
              <w:right w:val="nil"/>
            </w:tcBorders>
            <w:shd w:val="clear" w:color="auto" w:fill="FFFFFF" w:themeFill="background1"/>
            <w:noWrap/>
            <w:hideMark/>
          </w:tcPr>
          <w:p w14:paraId="467B5ADB" w14:textId="77777777" w:rsidR="008B5236" w:rsidRPr="0093683C" w:rsidRDefault="008B5236" w:rsidP="00263B8E">
            <w:pPr>
              <w:spacing w:before="0" w:after="0" w:line="240" w:lineRule="auto"/>
              <w:jc w:val="right"/>
              <w:rPr>
                <w:rFonts w:ascii="Arial" w:hAnsi="Arial" w:cs="Arial"/>
                <w:i/>
                <w:sz w:val="16"/>
                <w:szCs w:val="16"/>
              </w:rPr>
            </w:pPr>
          </w:p>
        </w:tc>
      </w:tr>
      <w:tr w:rsidR="0031327A" w:rsidRPr="00286258" w14:paraId="2DF52982" w14:textId="77777777" w:rsidTr="00D54621">
        <w:trPr>
          <w:trHeight w:val="57"/>
        </w:trPr>
        <w:tc>
          <w:tcPr>
            <w:tcW w:w="4101" w:type="pct"/>
            <w:tcBorders>
              <w:top w:val="nil"/>
              <w:left w:val="nil"/>
              <w:bottom w:val="nil"/>
              <w:right w:val="nil"/>
            </w:tcBorders>
            <w:shd w:val="clear" w:color="auto" w:fill="FFFFFF" w:themeFill="background1"/>
            <w:noWrap/>
          </w:tcPr>
          <w:p w14:paraId="4F35F12D" w14:textId="77777777" w:rsidR="008B5236" w:rsidRPr="0093683C" w:rsidRDefault="008B5236" w:rsidP="00263B8E">
            <w:pPr>
              <w:spacing w:before="0" w:after="0" w:line="240" w:lineRule="auto"/>
              <w:ind w:left="170"/>
              <w:rPr>
                <w:rFonts w:ascii="Arial" w:hAnsi="Arial" w:cs="Arial"/>
                <w:i/>
                <w:sz w:val="16"/>
                <w:szCs w:val="16"/>
              </w:rPr>
            </w:pPr>
            <w:r w:rsidRPr="0093683C">
              <w:rPr>
                <w:rFonts w:ascii="Arial" w:hAnsi="Arial" w:cs="Arial"/>
                <w:sz w:val="16"/>
                <w:szCs w:val="16"/>
              </w:rPr>
              <w:t>Restoring the Climate Change Authority and Delivering Annual Climate Change Statements to Parliament</w:t>
            </w:r>
            <w:r w:rsidR="009A4DFE" w:rsidRPr="0093683C">
              <w:rPr>
                <w:rFonts w:ascii="Arial" w:hAnsi="Arial" w:cs="Arial"/>
                <w:sz w:val="16"/>
                <w:szCs w:val="16"/>
                <w:vertAlign w:val="superscript"/>
              </w:rPr>
              <w:t>(b)</w:t>
            </w:r>
          </w:p>
        </w:tc>
        <w:tc>
          <w:tcPr>
            <w:tcW w:w="899" w:type="pct"/>
            <w:tcBorders>
              <w:top w:val="nil"/>
              <w:left w:val="nil"/>
              <w:bottom w:val="nil"/>
              <w:right w:val="nil"/>
            </w:tcBorders>
            <w:shd w:val="clear" w:color="auto" w:fill="FFFFFF" w:themeFill="background1"/>
            <w:noWrap/>
            <w:hideMark/>
          </w:tcPr>
          <w:p w14:paraId="63722B54" w14:textId="77777777" w:rsidR="008B5236" w:rsidRPr="0093683C" w:rsidRDefault="00AD7E5F" w:rsidP="00263B8E">
            <w:pPr>
              <w:spacing w:before="0" w:after="0" w:line="240" w:lineRule="auto"/>
              <w:jc w:val="right"/>
              <w:rPr>
                <w:rFonts w:ascii="Arial" w:hAnsi="Arial" w:cs="Arial"/>
                <w:i/>
                <w:sz w:val="16"/>
                <w:szCs w:val="16"/>
              </w:rPr>
            </w:pPr>
            <w:r w:rsidRPr="0093683C">
              <w:rPr>
                <w:rFonts w:ascii="Arial" w:hAnsi="Arial" w:cs="Arial"/>
                <w:sz w:val="16"/>
                <w:szCs w:val="16"/>
              </w:rPr>
              <w:t>101</w:t>
            </w:r>
            <w:r w:rsidR="00A67811" w:rsidRPr="0093683C">
              <w:rPr>
                <w:rFonts w:ascii="Arial" w:hAnsi="Arial" w:cs="Arial"/>
                <w:sz w:val="16"/>
                <w:szCs w:val="16"/>
              </w:rPr>
              <w:t>.</w:t>
            </w:r>
            <w:r w:rsidRPr="0093683C">
              <w:rPr>
                <w:rFonts w:ascii="Arial" w:hAnsi="Arial" w:cs="Arial"/>
                <w:sz w:val="16"/>
                <w:szCs w:val="16"/>
              </w:rPr>
              <w:t>5</w:t>
            </w:r>
          </w:p>
        </w:tc>
      </w:tr>
      <w:tr w:rsidR="00CB4D7E" w:rsidRPr="00286258" w14:paraId="1AFFF725" w14:textId="77777777" w:rsidTr="00D54621">
        <w:trPr>
          <w:trHeight w:val="57"/>
        </w:trPr>
        <w:tc>
          <w:tcPr>
            <w:tcW w:w="4101" w:type="pct"/>
            <w:tcBorders>
              <w:top w:val="nil"/>
              <w:left w:val="nil"/>
              <w:bottom w:val="nil"/>
              <w:right w:val="nil"/>
            </w:tcBorders>
            <w:shd w:val="clear" w:color="auto" w:fill="FFFFFF" w:themeFill="background1"/>
            <w:noWrap/>
          </w:tcPr>
          <w:p w14:paraId="31461A99" w14:textId="77777777" w:rsidR="008B5236" w:rsidRPr="0093683C" w:rsidRDefault="006837CF" w:rsidP="00263B8E">
            <w:pPr>
              <w:spacing w:before="0" w:after="0" w:line="240" w:lineRule="auto"/>
              <w:ind w:left="170"/>
              <w:rPr>
                <w:rFonts w:ascii="Arial" w:hAnsi="Arial" w:cs="Arial"/>
                <w:i/>
                <w:sz w:val="16"/>
                <w:szCs w:val="16"/>
              </w:rPr>
            </w:pPr>
            <w:r w:rsidRPr="0093683C">
              <w:rPr>
                <w:rFonts w:ascii="Arial" w:hAnsi="Arial" w:cs="Arial"/>
                <w:sz w:val="16"/>
                <w:szCs w:val="16"/>
              </w:rPr>
              <w:t>Restoring Treasury’s Capability on Climate Risks and Opportunities – modelling and reporting standards</w:t>
            </w:r>
            <w:r w:rsidRPr="0093683C">
              <w:rPr>
                <w:rFonts w:ascii="Arial" w:hAnsi="Arial" w:cs="Arial"/>
                <w:sz w:val="16"/>
                <w:szCs w:val="16"/>
                <w:vertAlign w:val="superscript"/>
              </w:rPr>
              <w:t>(b)</w:t>
            </w:r>
          </w:p>
        </w:tc>
        <w:tc>
          <w:tcPr>
            <w:tcW w:w="899" w:type="pct"/>
            <w:tcBorders>
              <w:top w:val="nil"/>
              <w:left w:val="nil"/>
              <w:bottom w:val="nil"/>
              <w:right w:val="nil"/>
            </w:tcBorders>
            <w:shd w:val="clear" w:color="auto" w:fill="FFFFFF" w:themeFill="background1"/>
            <w:noWrap/>
          </w:tcPr>
          <w:p w14:paraId="6977262A" w14:textId="77777777" w:rsidR="008B5236" w:rsidRPr="0093683C" w:rsidRDefault="006837CF" w:rsidP="00263B8E">
            <w:pPr>
              <w:spacing w:before="0" w:after="0" w:line="240" w:lineRule="auto"/>
              <w:jc w:val="right"/>
              <w:rPr>
                <w:rFonts w:ascii="Arial" w:hAnsi="Arial" w:cs="Arial"/>
                <w:i/>
                <w:sz w:val="16"/>
                <w:szCs w:val="16"/>
              </w:rPr>
            </w:pPr>
            <w:r w:rsidRPr="0093683C">
              <w:rPr>
                <w:rFonts w:ascii="Arial" w:hAnsi="Arial" w:cs="Arial"/>
                <w:sz w:val="16"/>
                <w:szCs w:val="16"/>
              </w:rPr>
              <w:t>63.</w:t>
            </w:r>
            <w:r w:rsidR="00E220D9" w:rsidRPr="0093683C">
              <w:rPr>
                <w:rFonts w:ascii="Arial" w:hAnsi="Arial" w:cs="Arial"/>
                <w:sz w:val="16"/>
                <w:szCs w:val="16"/>
              </w:rPr>
              <w:t>6</w:t>
            </w:r>
          </w:p>
        </w:tc>
      </w:tr>
      <w:tr w:rsidR="00CB4D7E" w:rsidRPr="00286258" w14:paraId="0ECC6E0B" w14:textId="77777777" w:rsidTr="00D54621">
        <w:trPr>
          <w:trHeight w:val="57"/>
        </w:trPr>
        <w:tc>
          <w:tcPr>
            <w:tcW w:w="4101" w:type="pct"/>
            <w:tcBorders>
              <w:top w:val="nil"/>
              <w:left w:val="nil"/>
              <w:bottom w:val="nil"/>
              <w:right w:val="nil"/>
            </w:tcBorders>
            <w:shd w:val="clear" w:color="auto" w:fill="FFFFFF" w:themeFill="background1"/>
            <w:noWrap/>
          </w:tcPr>
          <w:p w14:paraId="68B910C5" w14:textId="77777777" w:rsidR="008B5236" w:rsidRPr="0093683C" w:rsidRDefault="008B5236" w:rsidP="00263B8E">
            <w:pPr>
              <w:spacing w:before="0" w:after="0" w:line="240" w:lineRule="auto"/>
              <w:ind w:left="170"/>
              <w:rPr>
                <w:rFonts w:ascii="Arial" w:hAnsi="Arial" w:cs="Arial"/>
                <w:i/>
                <w:sz w:val="16"/>
                <w:szCs w:val="16"/>
              </w:rPr>
            </w:pPr>
            <w:r w:rsidRPr="0093683C">
              <w:rPr>
                <w:rFonts w:ascii="Arial" w:hAnsi="Arial" w:cs="Arial"/>
                <w:sz w:val="16"/>
                <w:szCs w:val="16"/>
              </w:rPr>
              <w:t>Commonwealth Climate Risk and Opportunity Management Program</w:t>
            </w:r>
          </w:p>
        </w:tc>
        <w:tc>
          <w:tcPr>
            <w:tcW w:w="899" w:type="pct"/>
            <w:tcBorders>
              <w:top w:val="nil"/>
              <w:left w:val="nil"/>
              <w:bottom w:val="nil"/>
              <w:right w:val="nil"/>
            </w:tcBorders>
            <w:shd w:val="clear" w:color="auto" w:fill="FFFFFF" w:themeFill="background1"/>
            <w:noWrap/>
          </w:tcPr>
          <w:p w14:paraId="1EC5369A" w14:textId="77777777" w:rsidR="008B5236" w:rsidRPr="0093683C" w:rsidRDefault="008B5236" w:rsidP="00263B8E">
            <w:pPr>
              <w:spacing w:before="0" w:after="0" w:line="240" w:lineRule="auto"/>
              <w:jc w:val="right"/>
              <w:rPr>
                <w:rFonts w:ascii="Arial" w:hAnsi="Arial" w:cs="Arial"/>
                <w:i/>
                <w:sz w:val="16"/>
                <w:szCs w:val="16"/>
              </w:rPr>
            </w:pPr>
            <w:r w:rsidRPr="0093683C">
              <w:rPr>
                <w:rFonts w:ascii="Arial" w:hAnsi="Arial" w:cs="Arial"/>
                <w:sz w:val="16"/>
                <w:szCs w:val="16"/>
              </w:rPr>
              <w:t>9.3</w:t>
            </w:r>
          </w:p>
        </w:tc>
      </w:tr>
      <w:tr w:rsidR="00CB4D7E" w:rsidRPr="00286258" w14:paraId="72B39E06" w14:textId="77777777" w:rsidTr="00D54621">
        <w:trPr>
          <w:trHeight w:val="57"/>
        </w:trPr>
        <w:tc>
          <w:tcPr>
            <w:tcW w:w="4101" w:type="pct"/>
            <w:tcBorders>
              <w:top w:val="nil"/>
              <w:left w:val="nil"/>
              <w:bottom w:val="nil"/>
              <w:right w:val="nil"/>
            </w:tcBorders>
            <w:shd w:val="clear" w:color="auto" w:fill="FFFFFF" w:themeFill="background1"/>
            <w:noWrap/>
          </w:tcPr>
          <w:p w14:paraId="53A64308" w14:textId="77777777" w:rsidR="008B5236" w:rsidRPr="0093683C" w:rsidRDefault="006837CF" w:rsidP="00263B8E">
            <w:pPr>
              <w:spacing w:before="0" w:after="0" w:line="240" w:lineRule="auto"/>
              <w:ind w:left="170"/>
              <w:rPr>
                <w:rFonts w:ascii="Arial" w:hAnsi="Arial" w:cs="Arial"/>
                <w:i/>
                <w:sz w:val="16"/>
                <w:szCs w:val="16"/>
              </w:rPr>
            </w:pPr>
            <w:r w:rsidRPr="0093683C">
              <w:rPr>
                <w:rFonts w:ascii="Arial" w:hAnsi="Arial" w:cs="Arial"/>
                <w:sz w:val="16"/>
                <w:szCs w:val="16"/>
              </w:rPr>
              <w:t xml:space="preserve">An Ambitious and Enduring APS Reform Plan – APS Net </w:t>
            </w:r>
            <w:r w:rsidR="00370C4E" w:rsidRPr="0093683C">
              <w:rPr>
                <w:rFonts w:ascii="Arial" w:hAnsi="Arial" w:cs="Arial"/>
                <w:sz w:val="16"/>
                <w:szCs w:val="16"/>
              </w:rPr>
              <w:t>Zero</w:t>
            </w:r>
          </w:p>
        </w:tc>
        <w:tc>
          <w:tcPr>
            <w:tcW w:w="899" w:type="pct"/>
            <w:tcBorders>
              <w:top w:val="nil"/>
              <w:left w:val="nil"/>
              <w:bottom w:val="nil"/>
              <w:right w:val="nil"/>
            </w:tcBorders>
            <w:shd w:val="clear" w:color="auto" w:fill="FFFFFF" w:themeFill="background1"/>
            <w:noWrap/>
          </w:tcPr>
          <w:p w14:paraId="2C667C19" w14:textId="77777777" w:rsidR="008B5236" w:rsidRPr="0093683C" w:rsidRDefault="008B5236" w:rsidP="00263B8E">
            <w:pPr>
              <w:spacing w:before="0" w:after="0" w:line="240" w:lineRule="auto"/>
              <w:jc w:val="right"/>
              <w:rPr>
                <w:rFonts w:ascii="Arial" w:hAnsi="Arial" w:cs="Arial"/>
                <w:i/>
                <w:sz w:val="16"/>
                <w:szCs w:val="16"/>
              </w:rPr>
            </w:pPr>
            <w:r w:rsidRPr="0093683C">
              <w:rPr>
                <w:rFonts w:ascii="Arial" w:hAnsi="Arial" w:cs="Arial"/>
                <w:sz w:val="16"/>
                <w:szCs w:val="16"/>
              </w:rPr>
              <w:t>7.1</w:t>
            </w:r>
          </w:p>
        </w:tc>
      </w:tr>
      <w:tr w:rsidR="00CB4D7E" w:rsidRPr="00286258" w14:paraId="3BA4C15F" w14:textId="77777777" w:rsidTr="00D54621">
        <w:trPr>
          <w:trHeight w:val="57"/>
        </w:trPr>
        <w:tc>
          <w:tcPr>
            <w:tcW w:w="4101" w:type="pct"/>
            <w:tcBorders>
              <w:top w:val="nil"/>
              <w:left w:val="nil"/>
              <w:bottom w:val="nil"/>
              <w:right w:val="nil"/>
            </w:tcBorders>
            <w:shd w:val="clear" w:color="auto" w:fill="FFFFFF" w:themeFill="background1"/>
            <w:noWrap/>
          </w:tcPr>
          <w:p w14:paraId="6FC24F4D" w14:textId="77777777" w:rsidR="005539B4" w:rsidRPr="0093683C" w:rsidRDefault="006837CF" w:rsidP="005539B4">
            <w:pPr>
              <w:spacing w:before="0" w:after="0" w:line="240" w:lineRule="auto"/>
              <w:ind w:left="170"/>
              <w:rPr>
                <w:rFonts w:ascii="Arial" w:hAnsi="Arial" w:cs="Arial"/>
                <w:i/>
                <w:sz w:val="16"/>
                <w:szCs w:val="16"/>
              </w:rPr>
            </w:pPr>
            <w:r w:rsidRPr="0093683C">
              <w:rPr>
                <w:rFonts w:ascii="Arial" w:hAnsi="Arial" w:cs="Arial"/>
                <w:sz w:val="16"/>
                <w:szCs w:val="16"/>
              </w:rPr>
              <w:t xml:space="preserve">Prime Minister and Cabinet – additional resourcing – National Framework for Economic Transformation </w:t>
            </w:r>
          </w:p>
        </w:tc>
        <w:tc>
          <w:tcPr>
            <w:tcW w:w="899" w:type="pct"/>
            <w:tcBorders>
              <w:top w:val="nil"/>
              <w:left w:val="nil"/>
              <w:bottom w:val="nil"/>
              <w:right w:val="nil"/>
            </w:tcBorders>
            <w:shd w:val="clear" w:color="auto" w:fill="FFFFFF" w:themeFill="background1"/>
            <w:noWrap/>
          </w:tcPr>
          <w:p w14:paraId="0C693862" w14:textId="77777777" w:rsidR="005539B4" w:rsidRPr="0093683C" w:rsidRDefault="005539B4" w:rsidP="005539B4">
            <w:pPr>
              <w:spacing w:before="0" w:after="0" w:line="240" w:lineRule="auto"/>
              <w:jc w:val="right"/>
              <w:rPr>
                <w:rFonts w:ascii="Arial" w:hAnsi="Arial" w:cs="Arial"/>
                <w:i/>
                <w:sz w:val="16"/>
                <w:szCs w:val="16"/>
              </w:rPr>
            </w:pPr>
            <w:r w:rsidRPr="0093683C">
              <w:rPr>
                <w:rFonts w:ascii="Arial" w:hAnsi="Arial" w:cs="Arial"/>
                <w:sz w:val="16"/>
                <w:szCs w:val="16"/>
              </w:rPr>
              <w:t>6.9</w:t>
            </w:r>
          </w:p>
        </w:tc>
      </w:tr>
      <w:tr w:rsidR="0031327A" w:rsidRPr="00286258" w14:paraId="6912D405" w14:textId="77777777" w:rsidTr="00D54621">
        <w:trPr>
          <w:trHeight w:val="57"/>
        </w:trPr>
        <w:tc>
          <w:tcPr>
            <w:tcW w:w="4101" w:type="pct"/>
            <w:tcBorders>
              <w:top w:val="nil"/>
              <w:left w:val="nil"/>
              <w:bottom w:val="nil"/>
              <w:right w:val="nil"/>
            </w:tcBorders>
            <w:shd w:val="clear" w:color="auto" w:fill="FFFFFF" w:themeFill="background1"/>
            <w:noWrap/>
          </w:tcPr>
          <w:p w14:paraId="3A9B3513" w14:textId="77777777" w:rsidR="005539B4" w:rsidRPr="0093683C" w:rsidRDefault="006837CF" w:rsidP="005539B4">
            <w:pPr>
              <w:spacing w:before="0" w:after="0" w:line="240" w:lineRule="auto"/>
              <w:ind w:left="170"/>
              <w:rPr>
                <w:rFonts w:ascii="Arial" w:hAnsi="Arial" w:cs="Arial"/>
                <w:i/>
                <w:sz w:val="16"/>
                <w:szCs w:val="16"/>
              </w:rPr>
            </w:pPr>
            <w:r w:rsidRPr="0093683C">
              <w:rPr>
                <w:rFonts w:ascii="Arial" w:hAnsi="Arial" w:cs="Arial"/>
                <w:sz w:val="16"/>
                <w:szCs w:val="16"/>
              </w:rPr>
              <w:t xml:space="preserve">Establishing a National Health Sustainability and Climate Unit to Inform the National Health Response to Climate </w:t>
            </w:r>
            <w:r w:rsidR="00E220D9" w:rsidRPr="0093683C">
              <w:rPr>
                <w:rFonts w:ascii="Arial" w:hAnsi="Arial" w:cs="Arial"/>
                <w:sz w:val="16"/>
                <w:szCs w:val="16"/>
              </w:rPr>
              <w:t>Change</w:t>
            </w:r>
          </w:p>
        </w:tc>
        <w:tc>
          <w:tcPr>
            <w:tcW w:w="899" w:type="pct"/>
            <w:tcBorders>
              <w:top w:val="nil"/>
              <w:left w:val="nil"/>
              <w:bottom w:val="nil"/>
              <w:right w:val="nil"/>
            </w:tcBorders>
            <w:shd w:val="clear" w:color="auto" w:fill="FFFFFF" w:themeFill="background1"/>
            <w:noWrap/>
          </w:tcPr>
          <w:p w14:paraId="6F4FF264" w14:textId="77777777" w:rsidR="005539B4" w:rsidRPr="0093683C" w:rsidRDefault="005539B4" w:rsidP="005539B4">
            <w:pPr>
              <w:spacing w:before="0" w:after="0" w:line="240" w:lineRule="auto"/>
              <w:jc w:val="right"/>
              <w:rPr>
                <w:rFonts w:ascii="Arial" w:hAnsi="Arial" w:cs="Arial"/>
                <w:i/>
                <w:sz w:val="16"/>
                <w:szCs w:val="16"/>
              </w:rPr>
            </w:pPr>
            <w:r w:rsidRPr="0093683C">
              <w:rPr>
                <w:rFonts w:ascii="Arial" w:hAnsi="Arial" w:cs="Arial"/>
                <w:sz w:val="16"/>
                <w:szCs w:val="16"/>
              </w:rPr>
              <w:t>6.2</w:t>
            </w:r>
          </w:p>
        </w:tc>
      </w:tr>
      <w:tr w:rsidR="0031327A" w:rsidRPr="00286258" w14:paraId="5B1C9A2C" w14:textId="77777777" w:rsidTr="00C63AA8">
        <w:trPr>
          <w:trHeight w:val="57"/>
        </w:trPr>
        <w:tc>
          <w:tcPr>
            <w:tcW w:w="4101" w:type="pct"/>
            <w:tcBorders>
              <w:top w:val="nil"/>
              <w:left w:val="nil"/>
              <w:bottom w:val="single" w:sz="4" w:space="0" w:color="293F5B" w:themeColor="text2"/>
              <w:right w:val="nil"/>
            </w:tcBorders>
            <w:shd w:val="clear" w:color="auto" w:fill="FFFFFF" w:themeFill="background1"/>
            <w:noWrap/>
          </w:tcPr>
          <w:p w14:paraId="125CC106" w14:textId="7325ECAB" w:rsidR="005539B4" w:rsidRPr="0093683C" w:rsidRDefault="005539B4" w:rsidP="005539B4">
            <w:pPr>
              <w:spacing w:before="0" w:after="0" w:line="240" w:lineRule="auto"/>
              <w:ind w:left="170"/>
              <w:rPr>
                <w:rFonts w:ascii="Arial" w:hAnsi="Arial" w:cs="Arial"/>
                <w:i/>
                <w:sz w:val="16"/>
                <w:szCs w:val="16"/>
              </w:rPr>
            </w:pPr>
          </w:p>
        </w:tc>
        <w:tc>
          <w:tcPr>
            <w:tcW w:w="899" w:type="pct"/>
            <w:tcBorders>
              <w:top w:val="nil"/>
              <w:left w:val="nil"/>
              <w:bottom w:val="single" w:sz="4" w:space="0" w:color="293F5B" w:themeColor="text2"/>
              <w:right w:val="nil"/>
            </w:tcBorders>
            <w:shd w:val="clear" w:color="auto" w:fill="FFFFFF" w:themeFill="background1"/>
            <w:noWrap/>
          </w:tcPr>
          <w:p w14:paraId="0B65CAAA" w14:textId="77777777" w:rsidR="005539B4" w:rsidRPr="0093683C" w:rsidRDefault="005539B4" w:rsidP="005539B4">
            <w:pPr>
              <w:spacing w:before="0" w:after="0" w:line="240" w:lineRule="auto"/>
              <w:jc w:val="right"/>
              <w:rPr>
                <w:rFonts w:ascii="Arial" w:hAnsi="Arial" w:cs="Arial"/>
                <w:i/>
                <w:sz w:val="16"/>
                <w:szCs w:val="16"/>
              </w:rPr>
            </w:pPr>
          </w:p>
        </w:tc>
      </w:tr>
      <w:tr w:rsidR="000A6E2C" w:rsidRPr="00286258" w14:paraId="2D9CA574" w14:textId="77777777" w:rsidTr="00C63AA8">
        <w:trPr>
          <w:trHeight w:val="57"/>
        </w:trPr>
        <w:tc>
          <w:tcPr>
            <w:tcW w:w="4101" w:type="pct"/>
            <w:tcBorders>
              <w:top w:val="single" w:sz="4" w:space="0" w:color="293F5B" w:themeColor="text2"/>
              <w:left w:val="nil"/>
              <w:right w:val="nil"/>
            </w:tcBorders>
            <w:shd w:val="clear" w:color="auto" w:fill="FFFFFF" w:themeFill="background1"/>
            <w:noWrap/>
            <w:vAlign w:val="center"/>
          </w:tcPr>
          <w:p w14:paraId="73536F96" w14:textId="44A41169" w:rsidR="008B5236" w:rsidRPr="0093683C" w:rsidRDefault="008B5236" w:rsidP="00263B8E">
            <w:pPr>
              <w:spacing w:before="0" w:after="0" w:line="240" w:lineRule="auto"/>
              <w:rPr>
                <w:rFonts w:ascii="Arial" w:hAnsi="Arial" w:cs="Arial"/>
                <w:sz w:val="16"/>
                <w:szCs w:val="16"/>
              </w:rPr>
            </w:pPr>
          </w:p>
        </w:tc>
        <w:tc>
          <w:tcPr>
            <w:tcW w:w="899" w:type="pct"/>
            <w:tcBorders>
              <w:top w:val="single" w:sz="4" w:space="0" w:color="293F5B" w:themeColor="text2"/>
              <w:left w:val="nil"/>
              <w:right w:val="nil"/>
            </w:tcBorders>
            <w:shd w:val="clear" w:color="auto" w:fill="FFFFFF" w:themeFill="background1"/>
            <w:noWrap/>
            <w:vAlign w:val="center"/>
          </w:tcPr>
          <w:p w14:paraId="62ECB305" w14:textId="01DADEDA" w:rsidR="008B5236" w:rsidRPr="0093683C" w:rsidRDefault="008B5236" w:rsidP="00263B8E">
            <w:pPr>
              <w:spacing w:before="0" w:after="0" w:line="240" w:lineRule="auto"/>
              <w:jc w:val="right"/>
              <w:rPr>
                <w:rFonts w:ascii="Arial" w:hAnsi="Arial" w:cs="Arial"/>
                <w:sz w:val="16"/>
                <w:szCs w:val="16"/>
              </w:rPr>
            </w:pPr>
          </w:p>
        </w:tc>
      </w:tr>
      <w:tr w:rsidR="004061E6" w:rsidRPr="00286258" w14:paraId="330FC76B" w14:textId="77777777" w:rsidTr="00C63AA8">
        <w:trPr>
          <w:trHeight w:val="57"/>
        </w:trPr>
        <w:tc>
          <w:tcPr>
            <w:tcW w:w="4101" w:type="pct"/>
            <w:tcBorders>
              <w:top w:val="nil"/>
              <w:left w:val="nil"/>
              <w:bottom w:val="single" w:sz="4" w:space="0" w:color="293F5B" w:themeColor="text2"/>
              <w:right w:val="nil"/>
            </w:tcBorders>
            <w:shd w:val="clear" w:color="auto" w:fill="FFFFFF" w:themeFill="background1"/>
            <w:noWrap/>
            <w:vAlign w:val="center"/>
          </w:tcPr>
          <w:p w14:paraId="6D84166C" w14:textId="072F4546" w:rsidR="008B5236" w:rsidRPr="0093683C" w:rsidRDefault="008B5236" w:rsidP="00263B8E">
            <w:pPr>
              <w:spacing w:before="0" w:after="0" w:line="240" w:lineRule="auto"/>
              <w:rPr>
                <w:rFonts w:ascii="Arial" w:hAnsi="Arial" w:cs="Arial"/>
                <w:b/>
                <w:sz w:val="16"/>
                <w:szCs w:val="16"/>
              </w:rPr>
            </w:pPr>
            <w:r w:rsidRPr="0093683C">
              <w:rPr>
                <w:rFonts w:ascii="Arial" w:hAnsi="Arial" w:cs="Arial"/>
                <w:b/>
                <w:sz w:val="16"/>
                <w:szCs w:val="16"/>
              </w:rPr>
              <w:t>Total</w:t>
            </w:r>
            <w:r w:rsidR="00827A13" w:rsidRPr="0093683C">
              <w:rPr>
                <w:rFonts w:ascii="Arial" w:hAnsi="Arial" w:cs="Arial"/>
                <w:sz w:val="16"/>
                <w:szCs w:val="16"/>
                <w:vertAlign w:val="superscript"/>
              </w:rPr>
              <w:t>(a)</w:t>
            </w:r>
            <w:r w:rsidR="0083290C">
              <w:rPr>
                <w:rFonts w:ascii="Arial" w:hAnsi="Arial" w:cs="Arial"/>
                <w:sz w:val="16"/>
                <w:szCs w:val="16"/>
                <w:vertAlign w:val="superscript"/>
              </w:rPr>
              <w:t>(d)</w:t>
            </w:r>
          </w:p>
        </w:tc>
        <w:tc>
          <w:tcPr>
            <w:tcW w:w="899" w:type="pct"/>
            <w:tcBorders>
              <w:left w:val="nil"/>
              <w:bottom w:val="single" w:sz="4" w:space="0" w:color="293F5B" w:themeColor="text2"/>
              <w:right w:val="nil"/>
            </w:tcBorders>
            <w:shd w:val="clear" w:color="auto" w:fill="FFFFFF" w:themeFill="background1"/>
            <w:noWrap/>
            <w:vAlign w:val="center"/>
            <w:hideMark/>
          </w:tcPr>
          <w:p w14:paraId="354BABEF" w14:textId="00D45AB5" w:rsidR="008B5236" w:rsidRPr="0093683C" w:rsidRDefault="000F426C" w:rsidP="00C63AA8">
            <w:pPr>
              <w:spacing w:before="0" w:after="0" w:line="240" w:lineRule="auto"/>
              <w:jc w:val="right"/>
              <w:rPr>
                <w:rFonts w:ascii="Arial" w:hAnsi="Arial" w:cs="Arial"/>
                <w:b/>
                <w:sz w:val="16"/>
                <w:szCs w:val="16"/>
              </w:rPr>
            </w:pPr>
            <w:r w:rsidRPr="0093683C">
              <w:rPr>
                <w:rFonts w:ascii="Arial" w:hAnsi="Arial" w:cs="Arial"/>
                <w:b/>
                <w:sz w:val="16"/>
                <w:szCs w:val="16"/>
              </w:rPr>
              <w:t>24,917.4</w:t>
            </w:r>
            <w:r w:rsidR="008B5236" w:rsidRPr="0093683C">
              <w:rPr>
                <w:rFonts w:ascii="Arial" w:hAnsi="Arial" w:cs="Arial"/>
                <w:b/>
                <w:sz w:val="16"/>
                <w:szCs w:val="16"/>
              </w:rPr>
              <w:t> </w:t>
            </w:r>
          </w:p>
        </w:tc>
      </w:tr>
    </w:tbl>
    <w:p w14:paraId="7F62144E" w14:textId="41E23519" w:rsidR="00F541AE" w:rsidRPr="006A39D0" w:rsidRDefault="00F541AE" w:rsidP="006A39D0">
      <w:pPr>
        <w:pStyle w:val="ChartandTableFootnoteAlpha"/>
        <w:numPr>
          <w:ilvl w:val="0"/>
          <w:numId w:val="47"/>
        </w:numPr>
        <w:rPr>
          <w:color w:val="auto"/>
        </w:rPr>
      </w:pPr>
      <w:r w:rsidRPr="006A39D0">
        <w:rPr>
          <w:color w:val="auto"/>
        </w:rPr>
        <w:t xml:space="preserve">This table summarises the Government’s key climate-related spending commitments </w:t>
      </w:r>
      <w:r w:rsidR="003C6889" w:rsidRPr="006A39D0">
        <w:rPr>
          <w:color w:val="auto"/>
        </w:rPr>
        <w:t>in this Budget</w:t>
      </w:r>
      <w:r w:rsidRPr="006A39D0">
        <w:rPr>
          <w:color w:val="auto"/>
        </w:rPr>
        <w:t xml:space="preserve"> to 30</w:t>
      </w:r>
      <w:r w:rsidR="006A39D0">
        <w:rPr>
          <w:color w:val="auto"/>
        </w:rPr>
        <w:t> </w:t>
      </w:r>
      <w:r w:rsidRPr="006A39D0">
        <w:rPr>
          <w:color w:val="auto"/>
        </w:rPr>
        <w:t>June 2030. Some measures extend beyond 30 June 2030 – the total spending commitment covering the entire duration of these measures is set out in Budget Paper No. 2, Budget Measures 2022–23.</w:t>
      </w:r>
    </w:p>
    <w:p w14:paraId="70B1FCA1" w14:textId="77777777" w:rsidR="00F541AE" w:rsidRPr="0093683C" w:rsidRDefault="00F541AE" w:rsidP="005577AE">
      <w:pPr>
        <w:pStyle w:val="ChartandTableFootnoteAlpha"/>
        <w:rPr>
          <w:color w:val="auto"/>
        </w:rPr>
      </w:pPr>
      <w:r w:rsidRPr="0093683C">
        <w:rPr>
          <w:color w:val="auto"/>
        </w:rPr>
        <w:t xml:space="preserve">In this table, the spending commitment for this measure includes both initial and ongoing funding to </w:t>
      </w:r>
      <w:r w:rsidR="009B5980" w:rsidRPr="0093683C">
        <w:rPr>
          <w:color w:val="auto"/>
        </w:rPr>
        <w:br/>
      </w:r>
      <w:r w:rsidRPr="0093683C">
        <w:rPr>
          <w:color w:val="auto"/>
        </w:rPr>
        <w:t>30 June 2030. Due to the inclusion of ongoing funding to 30 June 2030, the spending commitment presented in this table may differ from the total spending commitment set out in Budget Paper No. 2, Budget Measures 2022–23.</w:t>
      </w:r>
    </w:p>
    <w:p w14:paraId="773595E9" w14:textId="4A8A4FDF" w:rsidR="00564D0E" w:rsidRPr="0093683C" w:rsidRDefault="00F541AE" w:rsidP="005577AE">
      <w:pPr>
        <w:pStyle w:val="ChartandTableFootnoteAlpha"/>
        <w:rPr>
          <w:color w:val="auto"/>
        </w:rPr>
      </w:pPr>
      <w:r w:rsidRPr="0093683C">
        <w:rPr>
          <w:color w:val="auto"/>
        </w:rPr>
        <w:t>This includes components for supporting the low emissions transition of the Nyrstar Hobart zinc smelter, Ingham’s Carbon Zero Certified Business Model, and feasibility studies for the creation of Whaleback Energy Park and upgrades at the Norske Skog Boyer mill.</w:t>
      </w:r>
    </w:p>
    <w:p w14:paraId="4B0B7A14" w14:textId="3BB14580" w:rsidR="003C6889" w:rsidRPr="0093683C" w:rsidRDefault="003C6889" w:rsidP="003C6889">
      <w:pPr>
        <w:pStyle w:val="ChartandTableFootnoteAlpha"/>
        <w:rPr>
          <w:color w:val="auto"/>
        </w:rPr>
      </w:pPr>
      <w:r w:rsidRPr="0093683C">
        <w:rPr>
          <w:color w:val="auto"/>
        </w:rPr>
        <w:t xml:space="preserve">Measures may not add due to rounding. </w:t>
      </w:r>
    </w:p>
    <w:p w14:paraId="5DC4FB5C" w14:textId="77777777" w:rsidR="00F541AE" w:rsidRPr="0093683C" w:rsidRDefault="00F541AE" w:rsidP="00F541AE">
      <w:pPr>
        <w:pStyle w:val="ChartLine"/>
      </w:pPr>
    </w:p>
    <w:p w14:paraId="68EBF207" w14:textId="77777777" w:rsidR="00100446" w:rsidRPr="0093683C" w:rsidRDefault="00100446">
      <w:pPr>
        <w:spacing w:before="0" w:after="160" w:line="259" w:lineRule="auto"/>
        <w:rPr>
          <w:szCs w:val="16"/>
        </w:rPr>
      </w:pPr>
      <w:r w:rsidRPr="0093683C">
        <w:rPr>
          <w:szCs w:val="16"/>
        </w:rPr>
        <w:br w:type="page"/>
      </w:r>
    </w:p>
    <w:p w14:paraId="3EB0EF2E" w14:textId="757576F6" w:rsidR="00100446" w:rsidRPr="0093683C" w:rsidRDefault="00100446" w:rsidP="00005CAE">
      <w:pPr>
        <w:pStyle w:val="Heading2"/>
      </w:pPr>
      <w:bookmarkStart w:id="16" w:name="_Toc117356571"/>
      <w:r w:rsidRPr="0093683C">
        <w:lastRenderedPageBreak/>
        <w:t>Appendix A</w:t>
      </w:r>
      <w:r w:rsidR="005B4DDB" w:rsidRPr="0093683C">
        <w:t xml:space="preserve">: </w:t>
      </w:r>
      <w:r w:rsidR="00EC0989" w:rsidRPr="0093683C">
        <w:t>Other fiscal</w:t>
      </w:r>
      <w:r w:rsidR="005B4DDB" w:rsidRPr="0093683C">
        <w:t xml:space="preserve"> aggregates</w:t>
      </w:r>
      <w:bookmarkEnd w:id="16"/>
    </w:p>
    <w:p w14:paraId="24D47C1F" w14:textId="77777777" w:rsidR="00EC0989" w:rsidRPr="0093683C" w:rsidRDefault="00EC0989" w:rsidP="008C23C1">
      <w:pPr>
        <w:pStyle w:val="Heading3"/>
      </w:pPr>
      <w:bookmarkStart w:id="17" w:name="_Toc117356572"/>
      <w:r w:rsidRPr="0093683C">
        <w:t>Accrual aggregates</w:t>
      </w:r>
      <w:bookmarkEnd w:id="17"/>
    </w:p>
    <w:p w14:paraId="06AA84E3" w14:textId="77777777" w:rsidR="00790FBA" w:rsidRPr="0093683C" w:rsidRDefault="00790FBA" w:rsidP="00790FBA">
      <w:r w:rsidRPr="0093683C">
        <w:t xml:space="preserve">Accrual accounting records income when it is earned, and records costs when they are incurred. Differences between accrual and cash estimates can in large part reflect timing differences between when activity occurs and when the associated payment is made. </w:t>
      </w:r>
    </w:p>
    <w:p w14:paraId="56B8A0DA" w14:textId="77777777" w:rsidR="00790FBA" w:rsidRPr="0093683C" w:rsidRDefault="00790FBA" w:rsidP="00790FBA">
      <w:pPr>
        <w:pStyle w:val="Heading4"/>
      </w:pPr>
      <w:r w:rsidRPr="0093683C">
        <w:t>Net operating balance estimates</w:t>
      </w:r>
    </w:p>
    <w:p w14:paraId="03FFA15E" w14:textId="77777777" w:rsidR="00790FBA" w:rsidRPr="0093683C" w:rsidRDefault="00790FBA" w:rsidP="00790FBA">
      <w:r w:rsidRPr="0093683C">
        <w:t>The net operating balance is an accrual measure, reflecting revenue minus expenses. It excludes the impact of the Commonwealth’s net new capital expenditure.</w:t>
      </w:r>
    </w:p>
    <w:p w14:paraId="00DE4248" w14:textId="3726F71A" w:rsidR="00790FBA" w:rsidRPr="0093683C" w:rsidRDefault="00790FBA" w:rsidP="00790FBA">
      <w:r w:rsidRPr="0093683C">
        <w:t>The net operating balance is expected to be a deficit of $</w:t>
      </w:r>
      <w:r w:rsidR="00D914C9" w:rsidRPr="0093683C">
        <w:t>2</w:t>
      </w:r>
      <w:r w:rsidR="00057F6E" w:rsidRPr="0093683C">
        <w:t>5</w:t>
      </w:r>
      <w:r w:rsidR="00D914C9" w:rsidRPr="0093683C">
        <w:t>.</w:t>
      </w:r>
      <w:r w:rsidR="00057F6E" w:rsidRPr="0093683C">
        <w:t>9</w:t>
      </w:r>
      <w:r w:rsidRPr="0093683C">
        <w:t> billion (</w:t>
      </w:r>
      <w:r w:rsidR="00475C1E" w:rsidRPr="0093683C">
        <w:t>1</w:t>
      </w:r>
      <w:r w:rsidR="00D9028B" w:rsidRPr="0093683C">
        <w:t>.</w:t>
      </w:r>
      <w:r w:rsidR="00DD1C46" w:rsidRPr="0093683C">
        <w:t>0</w:t>
      </w:r>
      <w:r w:rsidRPr="0093683C">
        <w:t> per cent of GDP) in 2022</w:t>
      </w:r>
      <w:r w:rsidR="00B9531B" w:rsidRPr="0093683C">
        <w:t>–</w:t>
      </w:r>
      <w:r w:rsidRPr="0093683C">
        <w:t>23 (Table 3.</w:t>
      </w:r>
      <w:r w:rsidR="00020000" w:rsidRPr="0093683C">
        <w:t>8</w:t>
      </w:r>
      <w:r w:rsidRPr="0093683C">
        <w:t>), compared to an expected deficit of $</w:t>
      </w:r>
      <w:r w:rsidR="00BD5574" w:rsidRPr="0093683C">
        <w:t>67.</w:t>
      </w:r>
      <w:r w:rsidR="00F26734" w:rsidRPr="0093683C">
        <w:t>2</w:t>
      </w:r>
      <w:r w:rsidRPr="0093683C">
        <w:t xml:space="preserve"> billion in PEFO. The </w:t>
      </w:r>
      <w:r w:rsidR="00C436C0" w:rsidRPr="0093683C">
        <w:t>net operating balance</w:t>
      </w:r>
      <w:r w:rsidRPr="0093683C">
        <w:t xml:space="preserve"> has improved by $</w:t>
      </w:r>
      <w:r w:rsidR="000A662E" w:rsidRPr="0093683C">
        <w:t>3</w:t>
      </w:r>
      <w:r w:rsidR="00E124E0" w:rsidRPr="0093683C">
        <w:t>8.</w:t>
      </w:r>
      <w:r w:rsidR="000A662E" w:rsidRPr="0093683C">
        <w:t>4</w:t>
      </w:r>
      <w:r w:rsidRPr="0093683C">
        <w:t xml:space="preserve"> billion over the 4 years to 2025</w:t>
      </w:r>
      <w:r w:rsidR="00EB073B" w:rsidRPr="0093683C">
        <w:t>–</w:t>
      </w:r>
      <w:r w:rsidRPr="0093683C">
        <w:t xml:space="preserve">26 since PEFO. </w:t>
      </w:r>
    </w:p>
    <w:p w14:paraId="69A1814C" w14:textId="77777777" w:rsidR="00790FBA" w:rsidRPr="0093683C" w:rsidRDefault="00790FBA" w:rsidP="00790FBA">
      <w:pPr>
        <w:pStyle w:val="Heading4"/>
      </w:pPr>
      <w:r w:rsidRPr="0093683C">
        <w:t>Fiscal balance</w:t>
      </w:r>
    </w:p>
    <w:p w14:paraId="73EA22D7" w14:textId="77777777" w:rsidR="00790FBA" w:rsidRPr="0093683C" w:rsidRDefault="00790FBA" w:rsidP="00790FBA">
      <w:r w:rsidRPr="0093683C">
        <w:t xml:space="preserve">The fiscal balance is the accrual equivalent of the underlying cash balance and equals the net operating balance plus net new capital expenditure. </w:t>
      </w:r>
    </w:p>
    <w:p w14:paraId="78477C6D" w14:textId="0407598C" w:rsidR="00790FBA" w:rsidRPr="00FD24B8" w:rsidRDefault="00790FBA" w:rsidP="00790FBA">
      <w:r w:rsidRPr="0093683C">
        <w:t>The fiscal balance is expected to be a deficit of $</w:t>
      </w:r>
      <w:r w:rsidR="001F32FE" w:rsidRPr="0093683C">
        <w:t>38</w:t>
      </w:r>
      <w:r w:rsidR="000D060F" w:rsidRPr="0093683C">
        <w:t>.</w:t>
      </w:r>
      <w:r w:rsidR="001F32FE" w:rsidRPr="0093683C">
        <w:t>7</w:t>
      </w:r>
      <w:r w:rsidRPr="0093683C">
        <w:t> billion (</w:t>
      </w:r>
      <w:r w:rsidR="000D060F" w:rsidRPr="0093683C">
        <w:t>1.6</w:t>
      </w:r>
      <w:r w:rsidRPr="0093683C">
        <w:t> per cent</w:t>
      </w:r>
      <w:r w:rsidR="00AB7868" w:rsidRPr="0093683C">
        <w:t xml:space="preserve"> </w:t>
      </w:r>
      <w:r w:rsidRPr="0093683C">
        <w:t>of</w:t>
      </w:r>
      <w:r w:rsidR="00AB7868" w:rsidRPr="0093683C">
        <w:t xml:space="preserve"> </w:t>
      </w:r>
      <w:r w:rsidRPr="0093683C">
        <w:t>GDP) in 2022</w:t>
      </w:r>
      <w:r w:rsidR="005E3EBA">
        <w:t>–</w:t>
      </w:r>
      <w:r w:rsidRPr="0093683C">
        <w:t>23 (Table 3.</w:t>
      </w:r>
      <w:r w:rsidR="008C23C1" w:rsidRPr="0093683C">
        <w:t>8</w:t>
      </w:r>
      <w:r w:rsidRPr="0093683C">
        <w:t>), compared to an expected deficit of $</w:t>
      </w:r>
      <w:r w:rsidR="000015BC" w:rsidRPr="0093683C">
        <w:t>78.</w:t>
      </w:r>
      <w:r w:rsidR="00563761" w:rsidRPr="0093683C">
        <w:t>6</w:t>
      </w:r>
      <w:r w:rsidRPr="0093683C">
        <w:t> billion in PEFO. The fiscal balance has improved by $</w:t>
      </w:r>
      <w:r w:rsidR="001246A6" w:rsidRPr="0093683C">
        <w:t>32</w:t>
      </w:r>
      <w:r w:rsidR="00536A69" w:rsidRPr="0093683C">
        <w:t>.</w:t>
      </w:r>
      <w:r w:rsidR="001246A6" w:rsidRPr="0093683C">
        <w:t>4</w:t>
      </w:r>
      <w:r w:rsidRPr="0093683C">
        <w:t xml:space="preserve"> billion over the 4 years to 2025</w:t>
      </w:r>
      <w:r w:rsidR="00B9531B" w:rsidRPr="0093683C">
        <w:t>–</w:t>
      </w:r>
      <w:r w:rsidRPr="0093683C">
        <w:t xml:space="preserve">26 since PEFO. </w:t>
      </w:r>
    </w:p>
    <w:p w14:paraId="697D5835" w14:textId="0A94A840" w:rsidR="0083769E" w:rsidRPr="0093683C" w:rsidRDefault="00790FBA" w:rsidP="0083769E">
      <w:pPr>
        <w:pStyle w:val="TableHeading"/>
        <w:rPr>
          <w:rFonts w:asciiTheme="minorHAnsi" w:eastAsiaTheme="minorHAnsi" w:hAnsiTheme="minorHAnsi" w:cstheme="minorBidi"/>
          <w:sz w:val="22"/>
          <w:szCs w:val="22"/>
          <w:lang w:eastAsia="en-US"/>
        </w:rPr>
      </w:pPr>
      <w:r w:rsidRPr="0093683C">
        <w:t>Table 3.</w:t>
      </w:r>
      <w:r w:rsidR="007C5491" w:rsidRPr="0093683C">
        <w:t>8</w:t>
      </w:r>
      <w:r w:rsidRPr="0093683C">
        <w:t>: Australian Government general government sector accrual aggregates</w:t>
      </w:r>
    </w:p>
    <w:tbl>
      <w:tblPr>
        <w:tblW w:w="5000" w:type="pct"/>
        <w:tblCellMar>
          <w:left w:w="0" w:type="dxa"/>
          <w:right w:w="28" w:type="dxa"/>
        </w:tblCellMar>
        <w:tblLook w:val="04A0" w:firstRow="1" w:lastRow="0" w:firstColumn="1" w:lastColumn="0" w:noHBand="0" w:noVBand="1"/>
        <w:tblCaption w:val="Table"/>
      </w:tblPr>
      <w:tblGrid>
        <w:gridCol w:w="2701"/>
        <w:gridCol w:w="805"/>
        <w:gridCol w:w="119"/>
        <w:gridCol w:w="791"/>
        <w:gridCol w:w="791"/>
        <w:gridCol w:w="791"/>
        <w:gridCol w:w="791"/>
        <w:gridCol w:w="119"/>
        <w:gridCol w:w="802"/>
      </w:tblGrid>
      <w:tr w:rsidR="0083769E" w:rsidRPr="0093683C" w14:paraId="6125C05E" w14:textId="77777777" w:rsidTr="0083769E">
        <w:trPr>
          <w:divId w:val="149055109"/>
          <w:trHeight w:hRule="exact" w:val="225"/>
        </w:trPr>
        <w:tc>
          <w:tcPr>
            <w:tcW w:w="1752" w:type="pct"/>
            <w:tcBorders>
              <w:top w:val="single" w:sz="4" w:space="0" w:color="293F5B"/>
              <w:left w:val="nil"/>
              <w:bottom w:val="nil"/>
              <w:right w:val="nil"/>
            </w:tcBorders>
            <w:shd w:val="clear" w:color="000000" w:fill="FFFFFF"/>
            <w:noWrap/>
            <w:vAlign w:val="center"/>
            <w:hideMark/>
          </w:tcPr>
          <w:p w14:paraId="08ADD7C7"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single" w:sz="4" w:space="0" w:color="293F5B"/>
              <w:left w:val="nil"/>
              <w:bottom w:val="single" w:sz="4" w:space="0" w:color="293F5B"/>
              <w:right w:val="nil"/>
            </w:tcBorders>
            <w:shd w:val="clear" w:color="000000" w:fill="FFFFFF"/>
            <w:noWrap/>
            <w:vAlign w:val="center"/>
            <w:hideMark/>
          </w:tcPr>
          <w:p w14:paraId="103B9DB3" w14:textId="77777777" w:rsidR="0083769E" w:rsidRPr="0093683C" w:rsidRDefault="0083769E" w:rsidP="0083769E">
            <w:pPr>
              <w:spacing w:before="0" w:after="0" w:line="240" w:lineRule="auto"/>
              <w:jc w:val="center"/>
              <w:rPr>
                <w:rFonts w:ascii="Arial" w:hAnsi="Arial" w:cs="Arial"/>
                <w:sz w:val="16"/>
                <w:szCs w:val="16"/>
              </w:rPr>
            </w:pPr>
            <w:r w:rsidRPr="0093683C">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5A1D9C8A" w14:textId="77777777" w:rsidR="0083769E" w:rsidRPr="0093683C" w:rsidRDefault="0083769E" w:rsidP="0083769E">
            <w:pPr>
              <w:spacing w:before="0" w:after="0" w:line="240" w:lineRule="auto"/>
              <w:jc w:val="center"/>
              <w:rPr>
                <w:rFonts w:ascii="Arial" w:hAnsi="Arial" w:cs="Arial"/>
                <w:sz w:val="16"/>
                <w:szCs w:val="16"/>
              </w:rPr>
            </w:pPr>
            <w:r w:rsidRPr="0093683C">
              <w:rPr>
                <w:rFonts w:ascii="Arial" w:hAnsi="Arial" w:cs="Arial"/>
                <w:sz w:val="16"/>
                <w:szCs w:val="16"/>
              </w:rPr>
              <w:t> </w:t>
            </w:r>
          </w:p>
        </w:tc>
        <w:tc>
          <w:tcPr>
            <w:tcW w:w="2052" w:type="pct"/>
            <w:gridSpan w:val="4"/>
            <w:tcBorders>
              <w:top w:val="single" w:sz="4" w:space="0" w:color="293F5B"/>
              <w:left w:val="nil"/>
              <w:bottom w:val="single" w:sz="4" w:space="0" w:color="auto"/>
              <w:right w:val="nil"/>
            </w:tcBorders>
            <w:shd w:val="clear" w:color="000000" w:fill="FFFFFF"/>
            <w:noWrap/>
            <w:vAlign w:val="center"/>
            <w:hideMark/>
          </w:tcPr>
          <w:p w14:paraId="3D0B4308" w14:textId="77777777" w:rsidR="0083769E" w:rsidRPr="0093683C" w:rsidRDefault="0083769E" w:rsidP="0083769E">
            <w:pPr>
              <w:spacing w:before="0" w:after="0" w:line="240" w:lineRule="auto"/>
              <w:jc w:val="center"/>
              <w:rPr>
                <w:rFonts w:ascii="Arial" w:hAnsi="Arial" w:cs="Arial"/>
                <w:sz w:val="16"/>
                <w:szCs w:val="16"/>
              </w:rPr>
            </w:pPr>
            <w:r w:rsidRPr="0093683C">
              <w:rPr>
                <w:rFonts w:ascii="Arial" w:hAnsi="Arial" w:cs="Arial"/>
                <w:sz w:val="16"/>
                <w:szCs w:val="16"/>
              </w:rPr>
              <w:t>Estimates</w:t>
            </w:r>
          </w:p>
        </w:tc>
        <w:tc>
          <w:tcPr>
            <w:tcW w:w="77" w:type="pct"/>
            <w:tcBorders>
              <w:top w:val="single" w:sz="4" w:space="0" w:color="293F5B"/>
              <w:left w:val="nil"/>
              <w:bottom w:val="nil"/>
              <w:right w:val="nil"/>
            </w:tcBorders>
            <w:shd w:val="clear" w:color="000000" w:fill="FFFFFF"/>
            <w:noWrap/>
            <w:vAlign w:val="center"/>
            <w:hideMark/>
          </w:tcPr>
          <w:p w14:paraId="74176F22"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0" w:type="pct"/>
            <w:tcBorders>
              <w:top w:val="single" w:sz="4" w:space="0" w:color="293F5B"/>
              <w:left w:val="nil"/>
              <w:bottom w:val="nil"/>
              <w:right w:val="nil"/>
            </w:tcBorders>
            <w:shd w:val="clear" w:color="000000" w:fill="FFFFFF"/>
            <w:noWrap/>
            <w:vAlign w:val="center"/>
            <w:hideMark/>
          </w:tcPr>
          <w:p w14:paraId="420F5467"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r>
      <w:tr w:rsidR="0083769E" w:rsidRPr="0093683C" w14:paraId="1D3A7182"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0051C4E6"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single" w:sz="4" w:space="0" w:color="293F5B"/>
              <w:left w:val="nil"/>
              <w:bottom w:val="nil"/>
              <w:right w:val="nil"/>
            </w:tcBorders>
            <w:shd w:val="clear" w:color="000000" w:fill="FFFFFF"/>
            <w:noWrap/>
            <w:vAlign w:val="center"/>
            <w:hideMark/>
          </w:tcPr>
          <w:p w14:paraId="5BFB4A80"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2021-22</w:t>
            </w:r>
          </w:p>
        </w:tc>
        <w:tc>
          <w:tcPr>
            <w:tcW w:w="77" w:type="pct"/>
            <w:tcBorders>
              <w:top w:val="nil"/>
              <w:left w:val="nil"/>
              <w:bottom w:val="nil"/>
              <w:right w:val="nil"/>
            </w:tcBorders>
            <w:shd w:val="clear" w:color="000000" w:fill="FFFFFF"/>
            <w:noWrap/>
            <w:vAlign w:val="center"/>
            <w:hideMark/>
          </w:tcPr>
          <w:p w14:paraId="5265EB0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single" w:sz="4" w:space="0" w:color="293F5B"/>
              <w:left w:val="nil"/>
              <w:bottom w:val="nil"/>
              <w:right w:val="nil"/>
            </w:tcBorders>
            <w:shd w:val="clear" w:color="000000" w:fill="E6F2FF"/>
            <w:noWrap/>
            <w:vAlign w:val="center"/>
            <w:hideMark/>
          </w:tcPr>
          <w:p w14:paraId="2AF5CA80"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2022-23</w:t>
            </w:r>
          </w:p>
        </w:tc>
        <w:tc>
          <w:tcPr>
            <w:tcW w:w="513" w:type="pct"/>
            <w:tcBorders>
              <w:top w:val="single" w:sz="4" w:space="0" w:color="293F5B"/>
              <w:left w:val="nil"/>
              <w:bottom w:val="nil"/>
              <w:right w:val="nil"/>
            </w:tcBorders>
            <w:shd w:val="clear" w:color="000000" w:fill="FFFFFF"/>
            <w:noWrap/>
            <w:vAlign w:val="center"/>
            <w:hideMark/>
          </w:tcPr>
          <w:p w14:paraId="3266665E"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2023-24</w:t>
            </w:r>
          </w:p>
        </w:tc>
        <w:tc>
          <w:tcPr>
            <w:tcW w:w="513" w:type="pct"/>
            <w:tcBorders>
              <w:top w:val="single" w:sz="4" w:space="0" w:color="293F5B"/>
              <w:left w:val="nil"/>
              <w:bottom w:val="nil"/>
              <w:right w:val="nil"/>
            </w:tcBorders>
            <w:shd w:val="clear" w:color="000000" w:fill="FFFFFF"/>
            <w:noWrap/>
            <w:vAlign w:val="center"/>
            <w:hideMark/>
          </w:tcPr>
          <w:p w14:paraId="1D720422"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2024-25</w:t>
            </w:r>
          </w:p>
        </w:tc>
        <w:tc>
          <w:tcPr>
            <w:tcW w:w="513" w:type="pct"/>
            <w:tcBorders>
              <w:top w:val="single" w:sz="4" w:space="0" w:color="293F5B"/>
              <w:left w:val="nil"/>
              <w:bottom w:val="nil"/>
              <w:right w:val="nil"/>
            </w:tcBorders>
            <w:shd w:val="clear" w:color="000000" w:fill="FFFFFF"/>
            <w:noWrap/>
            <w:vAlign w:val="center"/>
            <w:hideMark/>
          </w:tcPr>
          <w:p w14:paraId="3A1559FA"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2025-26</w:t>
            </w:r>
          </w:p>
        </w:tc>
        <w:tc>
          <w:tcPr>
            <w:tcW w:w="77" w:type="pct"/>
            <w:tcBorders>
              <w:top w:val="nil"/>
              <w:left w:val="nil"/>
              <w:bottom w:val="nil"/>
              <w:right w:val="nil"/>
            </w:tcBorders>
            <w:shd w:val="clear" w:color="000000" w:fill="FFFFFF"/>
            <w:noWrap/>
            <w:vAlign w:val="center"/>
            <w:hideMark/>
          </w:tcPr>
          <w:p w14:paraId="6029AC8D"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single" w:sz="4" w:space="0" w:color="293F5B"/>
              <w:left w:val="nil"/>
              <w:bottom w:val="nil"/>
              <w:right w:val="nil"/>
            </w:tcBorders>
            <w:shd w:val="clear" w:color="000000" w:fill="FFFFFF"/>
            <w:noWrap/>
            <w:vAlign w:val="center"/>
            <w:hideMark/>
          </w:tcPr>
          <w:p w14:paraId="39CD8A2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Total(a)</w:t>
            </w:r>
          </w:p>
        </w:tc>
      </w:tr>
      <w:tr w:rsidR="0083769E" w:rsidRPr="0093683C" w14:paraId="6853CF9D"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6621528E"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nil"/>
              <w:left w:val="nil"/>
              <w:bottom w:val="single" w:sz="4" w:space="0" w:color="293F5B"/>
              <w:right w:val="nil"/>
            </w:tcBorders>
            <w:shd w:val="clear" w:color="000000" w:fill="FFFFFF"/>
            <w:noWrap/>
            <w:vAlign w:val="center"/>
            <w:hideMark/>
          </w:tcPr>
          <w:p w14:paraId="2768F29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$b</w:t>
            </w:r>
          </w:p>
        </w:tc>
        <w:tc>
          <w:tcPr>
            <w:tcW w:w="77" w:type="pct"/>
            <w:tcBorders>
              <w:top w:val="nil"/>
              <w:left w:val="nil"/>
              <w:bottom w:val="nil"/>
              <w:right w:val="nil"/>
            </w:tcBorders>
            <w:shd w:val="clear" w:color="000000" w:fill="FFFFFF"/>
            <w:noWrap/>
            <w:vAlign w:val="center"/>
            <w:hideMark/>
          </w:tcPr>
          <w:p w14:paraId="003079DC"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single" w:sz="4" w:space="0" w:color="293F5B"/>
              <w:right w:val="nil"/>
            </w:tcBorders>
            <w:shd w:val="clear" w:color="000000" w:fill="E6F2FF"/>
            <w:noWrap/>
            <w:vAlign w:val="center"/>
            <w:hideMark/>
          </w:tcPr>
          <w:p w14:paraId="5EBF93F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$b</w:t>
            </w:r>
          </w:p>
        </w:tc>
        <w:tc>
          <w:tcPr>
            <w:tcW w:w="513" w:type="pct"/>
            <w:tcBorders>
              <w:top w:val="nil"/>
              <w:left w:val="nil"/>
              <w:bottom w:val="single" w:sz="4" w:space="0" w:color="293F5B"/>
              <w:right w:val="nil"/>
            </w:tcBorders>
            <w:shd w:val="clear" w:color="000000" w:fill="FFFFFF"/>
            <w:noWrap/>
            <w:vAlign w:val="center"/>
            <w:hideMark/>
          </w:tcPr>
          <w:p w14:paraId="769C1031"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$b</w:t>
            </w:r>
          </w:p>
        </w:tc>
        <w:tc>
          <w:tcPr>
            <w:tcW w:w="513" w:type="pct"/>
            <w:tcBorders>
              <w:top w:val="nil"/>
              <w:left w:val="nil"/>
              <w:bottom w:val="single" w:sz="4" w:space="0" w:color="293F5B"/>
              <w:right w:val="nil"/>
            </w:tcBorders>
            <w:shd w:val="clear" w:color="000000" w:fill="FFFFFF"/>
            <w:noWrap/>
            <w:vAlign w:val="center"/>
            <w:hideMark/>
          </w:tcPr>
          <w:p w14:paraId="5C262F7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$b</w:t>
            </w:r>
          </w:p>
        </w:tc>
        <w:tc>
          <w:tcPr>
            <w:tcW w:w="513" w:type="pct"/>
            <w:tcBorders>
              <w:top w:val="nil"/>
              <w:left w:val="nil"/>
              <w:bottom w:val="single" w:sz="4" w:space="0" w:color="293F5B"/>
              <w:right w:val="nil"/>
            </w:tcBorders>
            <w:shd w:val="clear" w:color="000000" w:fill="FFFFFF"/>
            <w:noWrap/>
            <w:vAlign w:val="center"/>
            <w:hideMark/>
          </w:tcPr>
          <w:p w14:paraId="3FF8F32E"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$b</w:t>
            </w:r>
          </w:p>
        </w:tc>
        <w:tc>
          <w:tcPr>
            <w:tcW w:w="77" w:type="pct"/>
            <w:tcBorders>
              <w:top w:val="nil"/>
              <w:left w:val="nil"/>
              <w:bottom w:val="nil"/>
              <w:right w:val="nil"/>
            </w:tcBorders>
            <w:shd w:val="clear" w:color="000000" w:fill="FFFFFF"/>
            <w:noWrap/>
            <w:vAlign w:val="center"/>
            <w:hideMark/>
          </w:tcPr>
          <w:p w14:paraId="4C95EF98"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single" w:sz="4" w:space="0" w:color="293F5B"/>
              <w:right w:val="nil"/>
            </w:tcBorders>
            <w:shd w:val="clear" w:color="000000" w:fill="FFFFFF"/>
            <w:noWrap/>
            <w:vAlign w:val="center"/>
            <w:hideMark/>
          </w:tcPr>
          <w:p w14:paraId="2F1589CA"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$b</w:t>
            </w:r>
          </w:p>
        </w:tc>
      </w:tr>
      <w:tr w:rsidR="0083769E" w:rsidRPr="0093683C" w14:paraId="03827E31" w14:textId="77777777" w:rsidTr="0083769E">
        <w:trPr>
          <w:divId w:val="149055109"/>
          <w:trHeight w:hRule="exact" w:val="60"/>
        </w:trPr>
        <w:tc>
          <w:tcPr>
            <w:tcW w:w="1752" w:type="pct"/>
            <w:tcBorders>
              <w:top w:val="nil"/>
              <w:left w:val="nil"/>
              <w:bottom w:val="nil"/>
              <w:right w:val="nil"/>
            </w:tcBorders>
            <w:shd w:val="clear" w:color="000000" w:fill="FFFFFF"/>
            <w:noWrap/>
            <w:vAlign w:val="center"/>
            <w:hideMark/>
          </w:tcPr>
          <w:p w14:paraId="7250B3F1"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nil"/>
              <w:left w:val="nil"/>
              <w:bottom w:val="nil"/>
              <w:right w:val="nil"/>
            </w:tcBorders>
            <w:shd w:val="clear" w:color="000000" w:fill="FFFFFF"/>
            <w:noWrap/>
            <w:vAlign w:val="center"/>
            <w:hideMark/>
          </w:tcPr>
          <w:p w14:paraId="1D1412B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261E111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6A82F580"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3D110E49"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525DD7BE"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752A69F7"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7300FAE"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nil"/>
              <w:right w:val="nil"/>
            </w:tcBorders>
            <w:shd w:val="clear" w:color="000000" w:fill="FFFFFF"/>
            <w:noWrap/>
            <w:vAlign w:val="center"/>
            <w:hideMark/>
          </w:tcPr>
          <w:p w14:paraId="09D6763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r w:rsidR="0083769E" w:rsidRPr="0093683C" w14:paraId="6D071B04"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402FDF97" w14:textId="77777777" w:rsidR="0083769E" w:rsidRPr="0093683C" w:rsidRDefault="0083769E" w:rsidP="0083769E">
            <w:pPr>
              <w:spacing w:before="0" w:after="0" w:line="240" w:lineRule="auto"/>
              <w:rPr>
                <w:rFonts w:ascii="Arial" w:hAnsi="Arial" w:cs="Arial"/>
                <w:b/>
                <w:sz w:val="16"/>
                <w:szCs w:val="16"/>
              </w:rPr>
            </w:pPr>
            <w:r w:rsidRPr="0093683C">
              <w:rPr>
                <w:rFonts w:ascii="Arial" w:hAnsi="Arial" w:cs="Arial"/>
                <w:b/>
                <w:sz w:val="16"/>
                <w:szCs w:val="16"/>
              </w:rPr>
              <w:t>Revenue</w:t>
            </w:r>
          </w:p>
        </w:tc>
        <w:tc>
          <w:tcPr>
            <w:tcW w:w="522" w:type="pct"/>
            <w:tcBorders>
              <w:top w:val="nil"/>
              <w:left w:val="nil"/>
              <w:bottom w:val="nil"/>
              <w:right w:val="nil"/>
            </w:tcBorders>
            <w:shd w:val="clear" w:color="000000" w:fill="FFFFFF"/>
            <w:noWrap/>
            <w:vAlign w:val="center"/>
            <w:hideMark/>
          </w:tcPr>
          <w:p w14:paraId="07A169C4"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596.4</w:t>
            </w:r>
          </w:p>
        </w:tc>
        <w:tc>
          <w:tcPr>
            <w:tcW w:w="77" w:type="pct"/>
            <w:tcBorders>
              <w:top w:val="nil"/>
              <w:left w:val="nil"/>
              <w:bottom w:val="nil"/>
              <w:right w:val="nil"/>
            </w:tcBorders>
            <w:shd w:val="clear" w:color="000000" w:fill="FFFFFF"/>
            <w:noWrap/>
            <w:vAlign w:val="center"/>
            <w:hideMark/>
          </w:tcPr>
          <w:p w14:paraId="566349BC"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E6F2FF"/>
            <w:noWrap/>
            <w:vAlign w:val="center"/>
            <w:hideMark/>
          </w:tcPr>
          <w:p w14:paraId="3A10A0B7"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625.0</w:t>
            </w:r>
          </w:p>
        </w:tc>
        <w:tc>
          <w:tcPr>
            <w:tcW w:w="513" w:type="pct"/>
            <w:tcBorders>
              <w:top w:val="nil"/>
              <w:left w:val="nil"/>
              <w:bottom w:val="nil"/>
              <w:right w:val="nil"/>
            </w:tcBorders>
            <w:shd w:val="clear" w:color="000000" w:fill="FFFFFF"/>
            <w:noWrap/>
            <w:vAlign w:val="center"/>
            <w:hideMark/>
          </w:tcPr>
          <w:p w14:paraId="2AF26A24"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633.4</w:t>
            </w:r>
          </w:p>
        </w:tc>
        <w:tc>
          <w:tcPr>
            <w:tcW w:w="513" w:type="pct"/>
            <w:tcBorders>
              <w:top w:val="nil"/>
              <w:left w:val="nil"/>
              <w:bottom w:val="nil"/>
              <w:right w:val="nil"/>
            </w:tcBorders>
            <w:shd w:val="clear" w:color="000000" w:fill="FFFFFF"/>
            <w:noWrap/>
            <w:vAlign w:val="center"/>
            <w:hideMark/>
          </w:tcPr>
          <w:p w14:paraId="30DEC2D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649.1</w:t>
            </w:r>
          </w:p>
        </w:tc>
        <w:tc>
          <w:tcPr>
            <w:tcW w:w="513" w:type="pct"/>
            <w:tcBorders>
              <w:top w:val="nil"/>
              <w:left w:val="nil"/>
              <w:bottom w:val="nil"/>
              <w:right w:val="nil"/>
            </w:tcBorders>
            <w:shd w:val="clear" w:color="000000" w:fill="FFFFFF"/>
            <w:noWrap/>
            <w:vAlign w:val="center"/>
            <w:hideMark/>
          </w:tcPr>
          <w:p w14:paraId="6CE685A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691.0</w:t>
            </w:r>
          </w:p>
        </w:tc>
        <w:tc>
          <w:tcPr>
            <w:tcW w:w="77" w:type="pct"/>
            <w:tcBorders>
              <w:top w:val="nil"/>
              <w:left w:val="nil"/>
              <w:bottom w:val="nil"/>
              <w:right w:val="nil"/>
            </w:tcBorders>
            <w:shd w:val="clear" w:color="000000" w:fill="FFFFFF"/>
            <w:noWrap/>
            <w:vAlign w:val="center"/>
            <w:hideMark/>
          </w:tcPr>
          <w:p w14:paraId="62A3458A"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2CAFBD8A"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2,598.6</w:t>
            </w:r>
          </w:p>
        </w:tc>
      </w:tr>
      <w:tr w:rsidR="0083769E" w:rsidRPr="0093683C" w14:paraId="3582C2F7"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44A45805"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Per cent of GDP</w:t>
            </w:r>
          </w:p>
        </w:tc>
        <w:tc>
          <w:tcPr>
            <w:tcW w:w="522" w:type="pct"/>
            <w:tcBorders>
              <w:top w:val="nil"/>
              <w:left w:val="nil"/>
              <w:bottom w:val="nil"/>
              <w:right w:val="nil"/>
            </w:tcBorders>
            <w:shd w:val="clear" w:color="000000" w:fill="FFFFFF"/>
            <w:noWrap/>
            <w:vAlign w:val="center"/>
            <w:hideMark/>
          </w:tcPr>
          <w:p w14:paraId="6FD1A37C"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26.0</w:t>
            </w:r>
          </w:p>
        </w:tc>
        <w:tc>
          <w:tcPr>
            <w:tcW w:w="77" w:type="pct"/>
            <w:tcBorders>
              <w:top w:val="nil"/>
              <w:left w:val="nil"/>
              <w:bottom w:val="nil"/>
              <w:right w:val="nil"/>
            </w:tcBorders>
            <w:shd w:val="clear" w:color="000000" w:fill="FFFFFF"/>
            <w:noWrap/>
            <w:vAlign w:val="center"/>
            <w:hideMark/>
          </w:tcPr>
          <w:p w14:paraId="5879CCEC"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53B763C2"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25.2</w:t>
            </w:r>
          </w:p>
        </w:tc>
        <w:tc>
          <w:tcPr>
            <w:tcW w:w="513" w:type="pct"/>
            <w:tcBorders>
              <w:top w:val="nil"/>
              <w:left w:val="nil"/>
              <w:bottom w:val="nil"/>
              <w:right w:val="nil"/>
            </w:tcBorders>
            <w:shd w:val="clear" w:color="000000" w:fill="FFFFFF"/>
            <w:noWrap/>
            <w:vAlign w:val="center"/>
            <w:hideMark/>
          </w:tcPr>
          <w:p w14:paraId="3D7AE42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25.7</w:t>
            </w:r>
          </w:p>
        </w:tc>
        <w:tc>
          <w:tcPr>
            <w:tcW w:w="513" w:type="pct"/>
            <w:tcBorders>
              <w:top w:val="nil"/>
              <w:left w:val="nil"/>
              <w:bottom w:val="nil"/>
              <w:right w:val="nil"/>
            </w:tcBorders>
            <w:shd w:val="clear" w:color="000000" w:fill="FFFFFF"/>
            <w:noWrap/>
            <w:vAlign w:val="center"/>
            <w:hideMark/>
          </w:tcPr>
          <w:p w14:paraId="2E8F0AAD"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25.3</w:t>
            </w:r>
          </w:p>
        </w:tc>
        <w:tc>
          <w:tcPr>
            <w:tcW w:w="513" w:type="pct"/>
            <w:tcBorders>
              <w:top w:val="nil"/>
              <w:left w:val="nil"/>
              <w:bottom w:val="nil"/>
              <w:right w:val="nil"/>
            </w:tcBorders>
            <w:shd w:val="clear" w:color="000000" w:fill="FFFFFF"/>
            <w:noWrap/>
            <w:vAlign w:val="center"/>
            <w:hideMark/>
          </w:tcPr>
          <w:p w14:paraId="4099614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25.7</w:t>
            </w:r>
          </w:p>
        </w:tc>
        <w:tc>
          <w:tcPr>
            <w:tcW w:w="77" w:type="pct"/>
            <w:tcBorders>
              <w:top w:val="nil"/>
              <w:left w:val="nil"/>
              <w:bottom w:val="nil"/>
              <w:right w:val="nil"/>
            </w:tcBorders>
            <w:shd w:val="clear" w:color="000000" w:fill="FFFFFF"/>
            <w:noWrap/>
            <w:vAlign w:val="center"/>
            <w:hideMark/>
          </w:tcPr>
          <w:p w14:paraId="57356669"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nil"/>
              <w:right w:val="nil"/>
            </w:tcBorders>
            <w:shd w:val="clear" w:color="000000" w:fill="FFFFFF"/>
            <w:noWrap/>
            <w:vAlign w:val="center"/>
            <w:hideMark/>
          </w:tcPr>
          <w:p w14:paraId="36A6BBE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r w:rsidR="0083769E" w:rsidRPr="0093683C" w14:paraId="507D1346" w14:textId="77777777" w:rsidTr="0083769E">
        <w:trPr>
          <w:divId w:val="149055109"/>
          <w:trHeight w:hRule="exact" w:val="60"/>
        </w:trPr>
        <w:tc>
          <w:tcPr>
            <w:tcW w:w="1752" w:type="pct"/>
            <w:tcBorders>
              <w:top w:val="nil"/>
              <w:left w:val="nil"/>
              <w:bottom w:val="nil"/>
              <w:right w:val="nil"/>
            </w:tcBorders>
            <w:shd w:val="clear" w:color="000000" w:fill="FFFFFF"/>
            <w:noWrap/>
            <w:vAlign w:val="center"/>
            <w:hideMark/>
          </w:tcPr>
          <w:p w14:paraId="747E4CDA"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nil"/>
              <w:left w:val="nil"/>
              <w:bottom w:val="nil"/>
              <w:right w:val="nil"/>
            </w:tcBorders>
            <w:shd w:val="clear" w:color="000000" w:fill="FFFFFF"/>
            <w:noWrap/>
            <w:vAlign w:val="center"/>
            <w:hideMark/>
          </w:tcPr>
          <w:p w14:paraId="2C57403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2A46F238"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7EC7145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3663A70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280B2FD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503696A8"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93E7F2D"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nil"/>
              <w:right w:val="nil"/>
            </w:tcBorders>
            <w:shd w:val="clear" w:color="000000" w:fill="FFFFFF"/>
            <w:noWrap/>
            <w:vAlign w:val="center"/>
            <w:hideMark/>
          </w:tcPr>
          <w:p w14:paraId="4DA1BA8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r w:rsidR="0083769E" w:rsidRPr="0093683C" w14:paraId="20A2556F"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69593C8B" w14:textId="77777777" w:rsidR="0083769E" w:rsidRPr="0093683C" w:rsidRDefault="0083769E" w:rsidP="0083769E">
            <w:pPr>
              <w:spacing w:before="0" w:after="0" w:line="240" w:lineRule="auto"/>
              <w:rPr>
                <w:rFonts w:ascii="Arial" w:hAnsi="Arial" w:cs="Arial"/>
                <w:b/>
                <w:sz w:val="16"/>
                <w:szCs w:val="16"/>
              </w:rPr>
            </w:pPr>
            <w:r w:rsidRPr="0093683C">
              <w:rPr>
                <w:rFonts w:ascii="Arial" w:hAnsi="Arial" w:cs="Arial"/>
                <w:b/>
                <w:sz w:val="16"/>
                <w:szCs w:val="16"/>
              </w:rPr>
              <w:t>Expenses</w:t>
            </w:r>
          </w:p>
        </w:tc>
        <w:tc>
          <w:tcPr>
            <w:tcW w:w="522" w:type="pct"/>
            <w:tcBorders>
              <w:top w:val="nil"/>
              <w:left w:val="nil"/>
              <w:bottom w:val="nil"/>
              <w:right w:val="nil"/>
            </w:tcBorders>
            <w:shd w:val="clear" w:color="000000" w:fill="FFFFFF"/>
            <w:noWrap/>
            <w:vAlign w:val="center"/>
            <w:hideMark/>
          </w:tcPr>
          <w:p w14:paraId="1F7491B7"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623.0</w:t>
            </w:r>
          </w:p>
        </w:tc>
        <w:tc>
          <w:tcPr>
            <w:tcW w:w="77" w:type="pct"/>
            <w:tcBorders>
              <w:top w:val="nil"/>
              <w:left w:val="nil"/>
              <w:bottom w:val="nil"/>
              <w:right w:val="nil"/>
            </w:tcBorders>
            <w:shd w:val="clear" w:color="000000" w:fill="FFFFFF"/>
            <w:noWrap/>
            <w:vAlign w:val="center"/>
            <w:hideMark/>
          </w:tcPr>
          <w:p w14:paraId="5606DE90"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E6F2FF"/>
            <w:noWrap/>
            <w:vAlign w:val="center"/>
            <w:hideMark/>
          </w:tcPr>
          <w:p w14:paraId="60952648"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650.9</w:t>
            </w:r>
          </w:p>
        </w:tc>
        <w:tc>
          <w:tcPr>
            <w:tcW w:w="513" w:type="pct"/>
            <w:tcBorders>
              <w:top w:val="nil"/>
              <w:left w:val="nil"/>
              <w:bottom w:val="nil"/>
              <w:right w:val="nil"/>
            </w:tcBorders>
            <w:shd w:val="clear" w:color="000000" w:fill="FFFFFF"/>
            <w:noWrap/>
            <w:vAlign w:val="center"/>
            <w:hideMark/>
          </w:tcPr>
          <w:p w14:paraId="54EA8E8B"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666.5</w:t>
            </w:r>
          </w:p>
        </w:tc>
        <w:tc>
          <w:tcPr>
            <w:tcW w:w="513" w:type="pct"/>
            <w:tcBorders>
              <w:top w:val="nil"/>
              <w:left w:val="nil"/>
              <w:bottom w:val="nil"/>
              <w:right w:val="nil"/>
            </w:tcBorders>
            <w:shd w:val="clear" w:color="000000" w:fill="FFFFFF"/>
            <w:noWrap/>
            <w:vAlign w:val="center"/>
            <w:hideMark/>
          </w:tcPr>
          <w:p w14:paraId="456B4409"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702.3</w:t>
            </w:r>
          </w:p>
        </w:tc>
        <w:tc>
          <w:tcPr>
            <w:tcW w:w="513" w:type="pct"/>
            <w:tcBorders>
              <w:top w:val="nil"/>
              <w:left w:val="nil"/>
              <w:bottom w:val="nil"/>
              <w:right w:val="nil"/>
            </w:tcBorders>
            <w:shd w:val="clear" w:color="000000" w:fill="FFFFFF"/>
            <w:noWrap/>
            <w:vAlign w:val="center"/>
            <w:hideMark/>
          </w:tcPr>
          <w:p w14:paraId="3F1DE96F"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731.0</w:t>
            </w:r>
          </w:p>
        </w:tc>
        <w:tc>
          <w:tcPr>
            <w:tcW w:w="77" w:type="pct"/>
            <w:tcBorders>
              <w:top w:val="nil"/>
              <w:left w:val="nil"/>
              <w:bottom w:val="nil"/>
              <w:right w:val="nil"/>
            </w:tcBorders>
            <w:shd w:val="clear" w:color="000000" w:fill="FFFFFF"/>
            <w:noWrap/>
            <w:vAlign w:val="center"/>
            <w:hideMark/>
          </w:tcPr>
          <w:p w14:paraId="79910AD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4C598078"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2,750.6</w:t>
            </w:r>
          </w:p>
        </w:tc>
      </w:tr>
      <w:tr w:rsidR="0083769E" w:rsidRPr="0093683C" w14:paraId="6938B25D"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0EB45500"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Per cent of GDP</w:t>
            </w:r>
          </w:p>
        </w:tc>
        <w:tc>
          <w:tcPr>
            <w:tcW w:w="522" w:type="pct"/>
            <w:tcBorders>
              <w:top w:val="nil"/>
              <w:left w:val="nil"/>
              <w:bottom w:val="nil"/>
              <w:right w:val="nil"/>
            </w:tcBorders>
            <w:shd w:val="clear" w:color="000000" w:fill="FFFFFF"/>
            <w:noWrap/>
            <w:vAlign w:val="center"/>
            <w:hideMark/>
          </w:tcPr>
          <w:p w14:paraId="372D9407"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27.1</w:t>
            </w:r>
          </w:p>
        </w:tc>
        <w:tc>
          <w:tcPr>
            <w:tcW w:w="77" w:type="pct"/>
            <w:tcBorders>
              <w:top w:val="nil"/>
              <w:left w:val="nil"/>
              <w:bottom w:val="nil"/>
              <w:right w:val="nil"/>
            </w:tcBorders>
            <w:shd w:val="clear" w:color="000000" w:fill="FFFFFF"/>
            <w:noWrap/>
            <w:vAlign w:val="center"/>
            <w:hideMark/>
          </w:tcPr>
          <w:p w14:paraId="6A949EC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629BB751"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26.2</w:t>
            </w:r>
          </w:p>
        </w:tc>
        <w:tc>
          <w:tcPr>
            <w:tcW w:w="513" w:type="pct"/>
            <w:tcBorders>
              <w:top w:val="nil"/>
              <w:left w:val="nil"/>
              <w:bottom w:val="nil"/>
              <w:right w:val="nil"/>
            </w:tcBorders>
            <w:shd w:val="clear" w:color="000000" w:fill="FFFFFF"/>
            <w:noWrap/>
            <w:vAlign w:val="center"/>
            <w:hideMark/>
          </w:tcPr>
          <w:p w14:paraId="0AD490C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27.1</w:t>
            </w:r>
          </w:p>
        </w:tc>
        <w:tc>
          <w:tcPr>
            <w:tcW w:w="513" w:type="pct"/>
            <w:tcBorders>
              <w:top w:val="nil"/>
              <w:left w:val="nil"/>
              <w:bottom w:val="nil"/>
              <w:right w:val="nil"/>
            </w:tcBorders>
            <w:shd w:val="clear" w:color="000000" w:fill="FFFFFF"/>
            <w:noWrap/>
            <w:vAlign w:val="center"/>
            <w:hideMark/>
          </w:tcPr>
          <w:p w14:paraId="17C29017"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27.4</w:t>
            </w:r>
          </w:p>
        </w:tc>
        <w:tc>
          <w:tcPr>
            <w:tcW w:w="513" w:type="pct"/>
            <w:tcBorders>
              <w:top w:val="nil"/>
              <w:left w:val="nil"/>
              <w:bottom w:val="nil"/>
              <w:right w:val="nil"/>
            </w:tcBorders>
            <w:shd w:val="clear" w:color="000000" w:fill="FFFFFF"/>
            <w:noWrap/>
            <w:vAlign w:val="center"/>
            <w:hideMark/>
          </w:tcPr>
          <w:p w14:paraId="1E1E708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27.2</w:t>
            </w:r>
          </w:p>
        </w:tc>
        <w:tc>
          <w:tcPr>
            <w:tcW w:w="77" w:type="pct"/>
            <w:tcBorders>
              <w:top w:val="nil"/>
              <w:left w:val="nil"/>
              <w:bottom w:val="nil"/>
              <w:right w:val="nil"/>
            </w:tcBorders>
            <w:shd w:val="clear" w:color="000000" w:fill="FFFFFF"/>
            <w:noWrap/>
            <w:vAlign w:val="center"/>
            <w:hideMark/>
          </w:tcPr>
          <w:p w14:paraId="10CF273C"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nil"/>
              <w:right w:val="nil"/>
            </w:tcBorders>
            <w:shd w:val="clear" w:color="000000" w:fill="FFFFFF"/>
            <w:noWrap/>
            <w:vAlign w:val="center"/>
            <w:hideMark/>
          </w:tcPr>
          <w:p w14:paraId="7620F3D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r w:rsidR="0083769E" w:rsidRPr="0093683C" w14:paraId="709CCE32" w14:textId="77777777" w:rsidTr="0083769E">
        <w:trPr>
          <w:divId w:val="149055109"/>
          <w:trHeight w:hRule="exact" w:val="60"/>
        </w:trPr>
        <w:tc>
          <w:tcPr>
            <w:tcW w:w="1752" w:type="pct"/>
            <w:tcBorders>
              <w:top w:val="nil"/>
              <w:left w:val="nil"/>
              <w:bottom w:val="nil"/>
              <w:right w:val="nil"/>
            </w:tcBorders>
            <w:shd w:val="clear" w:color="000000" w:fill="FFFFFF"/>
            <w:noWrap/>
            <w:vAlign w:val="center"/>
            <w:hideMark/>
          </w:tcPr>
          <w:p w14:paraId="3F1F7978"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nil"/>
              <w:left w:val="nil"/>
              <w:bottom w:val="nil"/>
              <w:right w:val="nil"/>
            </w:tcBorders>
            <w:shd w:val="clear" w:color="000000" w:fill="FFFFFF"/>
            <w:noWrap/>
            <w:vAlign w:val="center"/>
            <w:hideMark/>
          </w:tcPr>
          <w:p w14:paraId="3583C8B6"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1BB7B8F9"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723FED8A"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1988B31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2C4BE2E9"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764CBEC9"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940236C"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nil"/>
              <w:right w:val="nil"/>
            </w:tcBorders>
            <w:shd w:val="clear" w:color="000000" w:fill="FFFFFF"/>
            <w:noWrap/>
            <w:vAlign w:val="center"/>
            <w:hideMark/>
          </w:tcPr>
          <w:p w14:paraId="2C9BD08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r w:rsidR="0083769E" w:rsidRPr="0093683C" w14:paraId="0AC9D580"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4A9F429C" w14:textId="77777777" w:rsidR="0083769E" w:rsidRPr="0093683C" w:rsidRDefault="0083769E" w:rsidP="0083769E">
            <w:pPr>
              <w:spacing w:before="0" w:after="0" w:line="240" w:lineRule="auto"/>
              <w:rPr>
                <w:rFonts w:ascii="Arial" w:hAnsi="Arial" w:cs="Arial"/>
                <w:b/>
                <w:sz w:val="16"/>
                <w:szCs w:val="16"/>
              </w:rPr>
            </w:pPr>
            <w:r w:rsidRPr="0093683C">
              <w:rPr>
                <w:rFonts w:ascii="Arial" w:hAnsi="Arial" w:cs="Arial"/>
                <w:b/>
                <w:sz w:val="16"/>
                <w:szCs w:val="16"/>
              </w:rPr>
              <w:t>Net operating balance</w:t>
            </w:r>
          </w:p>
        </w:tc>
        <w:tc>
          <w:tcPr>
            <w:tcW w:w="522" w:type="pct"/>
            <w:tcBorders>
              <w:top w:val="nil"/>
              <w:left w:val="nil"/>
              <w:bottom w:val="nil"/>
              <w:right w:val="nil"/>
            </w:tcBorders>
            <w:shd w:val="clear" w:color="000000" w:fill="FFFFFF"/>
            <w:noWrap/>
            <w:vAlign w:val="center"/>
            <w:hideMark/>
          </w:tcPr>
          <w:p w14:paraId="5ACB2A9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-26.6</w:t>
            </w:r>
          </w:p>
        </w:tc>
        <w:tc>
          <w:tcPr>
            <w:tcW w:w="77" w:type="pct"/>
            <w:tcBorders>
              <w:top w:val="nil"/>
              <w:left w:val="nil"/>
              <w:bottom w:val="nil"/>
              <w:right w:val="nil"/>
            </w:tcBorders>
            <w:shd w:val="clear" w:color="000000" w:fill="FFFFFF"/>
            <w:noWrap/>
            <w:vAlign w:val="center"/>
            <w:hideMark/>
          </w:tcPr>
          <w:p w14:paraId="3F2EE85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E6F2FF"/>
            <w:noWrap/>
            <w:vAlign w:val="center"/>
            <w:hideMark/>
          </w:tcPr>
          <w:p w14:paraId="0593E52A"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-25.9</w:t>
            </w:r>
          </w:p>
        </w:tc>
        <w:tc>
          <w:tcPr>
            <w:tcW w:w="513" w:type="pct"/>
            <w:tcBorders>
              <w:top w:val="nil"/>
              <w:left w:val="nil"/>
              <w:bottom w:val="nil"/>
              <w:right w:val="nil"/>
            </w:tcBorders>
            <w:shd w:val="clear" w:color="000000" w:fill="FFFFFF"/>
            <w:noWrap/>
            <w:vAlign w:val="center"/>
            <w:hideMark/>
          </w:tcPr>
          <w:p w14:paraId="15CB3F6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-33.0</w:t>
            </w:r>
          </w:p>
        </w:tc>
        <w:tc>
          <w:tcPr>
            <w:tcW w:w="513" w:type="pct"/>
            <w:tcBorders>
              <w:top w:val="nil"/>
              <w:left w:val="nil"/>
              <w:bottom w:val="nil"/>
              <w:right w:val="nil"/>
            </w:tcBorders>
            <w:shd w:val="clear" w:color="000000" w:fill="FFFFFF"/>
            <w:noWrap/>
            <w:vAlign w:val="center"/>
            <w:hideMark/>
          </w:tcPr>
          <w:p w14:paraId="314BD5F1"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-53.2</w:t>
            </w:r>
          </w:p>
        </w:tc>
        <w:tc>
          <w:tcPr>
            <w:tcW w:w="513" w:type="pct"/>
            <w:tcBorders>
              <w:top w:val="nil"/>
              <w:left w:val="nil"/>
              <w:bottom w:val="nil"/>
              <w:right w:val="nil"/>
            </w:tcBorders>
            <w:shd w:val="clear" w:color="000000" w:fill="FFFFFF"/>
            <w:noWrap/>
            <w:vAlign w:val="center"/>
            <w:hideMark/>
          </w:tcPr>
          <w:p w14:paraId="455B46A2"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-40.0</w:t>
            </w:r>
          </w:p>
        </w:tc>
        <w:tc>
          <w:tcPr>
            <w:tcW w:w="77" w:type="pct"/>
            <w:tcBorders>
              <w:top w:val="nil"/>
              <w:left w:val="nil"/>
              <w:bottom w:val="nil"/>
              <w:right w:val="nil"/>
            </w:tcBorders>
            <w:shd w:val="clear" w:color="000000" w:fill="FFFFFF"/>
            <w:noWrap/>
            <w:vAlign w:val="center"/>
            <w:hideMark/>
          </w:tcPr>
          <w:p w14:paraId="59B184A6"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0A3ABF4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-152.0</w:t>
            </w:r>
          </w:p>
        </w:tc>
      </w:tr>
      <w:tr w:rsidR="0083769E" w:rsidRPr="0093683C" w14:paraId="3E2AC36D"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7C1051E2"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Per cent of GDP</w:t>
            </w:r>
          </w:p>
        </w:tc>
        <w:tc>
          <w:tcPr>
            <w:tcW w:w="522" w:type="pct"/>
            <w:tcBorders>
              <w:top w:val="nil"/>
              <w:left w:val="nil"/>
              <w:bottom w:val="nil"/>
              <w:right w:val="nil"/>
            </w:tcBorders>
            <w:shd w:val="clear" w:color="000000" w:fill="FFFFFF"/>
            <w:noWrap/>
            <w:vAlign w:val="center"/>
            <w:hideMark/>
          </w:tcPr>
          <w:p w14:paraId="192248C2"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-1.2</w:t>
            </w:r>
          </w:p>
        </w:tc>
        <w:tc>
          <w:tcPr>
            <w:tcW w:w="77" w:type="pct"/>
            <w:tcBorders>
              <w:top w:val="nil"/>
              <w:left w:val="nil"/>
              <w:bottom w:val="nil"/>
              <w:right w:val="nil"/>
            </w:tcBorders>
            <w:shd w:val="clear" w:color="000000" w:fill="FFFFFF"/>
            <w:noWrap/>
            <w:vAlign w:val="center"/>
            <w:hideMark/>
          </w:tcPr>
          <w:p w14:paraId="534E057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733512B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-1.0</w:t>
            </w:r>
          </w:p>
        </w:tc>
        <w:tc>
          <w:tcPr>
            <w:tcW w:w="513" w:type="pct"/>
            <w:tcBorders>
              <w:top w:val="nil"/>
              <w:left w:val="nil"/>
              <w:bottom w:val="nil"/>
              <w:right w:val="nil"/>
            </w:tcBorders>
            <w:shd w:val="clear" w:color="000000" w:fill="FFFFFF"/>
            <w:noWrap/>
            <w:vAlign w:val="center"/>
            <w:hideMark/>
          </w:tcPr>
          <w:p w14:paraId="561B671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-1.3</w:t>
            </w:r>
          </w:p>
        </w:tc>
        <w:tc>
          <w:tcPr>
            <w:tcW w:w="513" w:type="pct"/>
            <w:tcBorders>
              <w:top w:val="nil"/>
              <w:left w:val="nil"/>
              <w:bottom w:val="nil"/>
              <w:right w:val="nil"/>
            </w:tcBorders>
            <w:shd w:val="clear" w:color="000000" w:fill="FFFFFF"/>
            <w:noWrap/>
            <w:vAlign w:val="center"/>
            <w:hideMark/>
          </w:tcPr>
          <w:p w14:paraId="744FE11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-2.1</w:t>
            </w:r>
          </w:p>
        </w:tc>
        <w:tc>
          <w:tcPr>
            <w:tcW w:w="513" w:type="pct"/>
            <w:tcBorders>
              <w:top w:val="nil"/>
              <w:left w:val="nil"/>
              <w:bottom w:val="nil"/>
              <w:right w:val="nil"/>
            </w:tcBorders>
            <w:shd w:val="clear" w:color="000000" w:fill="FFFFFF"/>
            <w:noWrap/>
            <w:vAlign w:val="center"/>
            <w:hideMark/>
          </w:tcPr>
          <w:p w14:paraId="377BC8A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-1.5</w:t>
            </w:r>
          </w:p>
        </w:tc>
        <w:tc>
          <w:tcPr>
            <w:tcW w:w="77" w:type="pct"/>
            <w:tcBorders>
              <w:top w:val="nil"/>
              <w:left w:val="nil"/>
              <w:bottom w:val="nil"/>
              <w:right w:val="nil"/>
            </w:tcBorders>
            <w:shd w:val="clear" w:color="000000" w:fill="FFFFFF"/>
            <w:noWrap/>
            <w:vAlign w:val="center"/>
            <w:hideMark/>
          </w:tcPr>
          <w:p w14:paraId="22CCEA8F"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2A4F458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r>
      <w:tr w:rsidR="0083769E" w:rsidRPr="0093683C" w14:paraId="27EC8077" w14:textId="77777777" w:rsidTr="0083769E">
        <w:trPr>
          <w:divId w:val="149055109"/>
          <w:trHeight w:hRule="exact" w:val="60"/>
        </w:trPr>
        <w:tc>
          <w:tcPr>
            <w:tcW w:w="1752" w:type="pct"/>
            <w:tcBorders>
              <w:top w:val="nil"/>
              <w:left w:val="nil"/>
              <w:bottom w:val="nil"/>
              <w:right w:val="nil"/>
            </w:tcBorders>
            <w:shd w:val="clear" w:color="000000" w:fill="FFFFFF"/>
            <w:noWrap/>
            <w:vAlign w:val="center"/>
            <w:hideMark/>
          </w:tcPr>
          <w:p w14:paraId="09980AB6"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nil"/>
              <w:left w:val="nil"/>
              <w:bottom w:val="nil"/>
              <w:right w:val="nil"/>
            </w:tcBorders>
            <w:shd w:val="clear" w:color="000000" w:fill="FFFFFF"/>
            <w:noWrap/>
            <w:vAlign w:val="center"/>
            <w:hideMark/>
          </w:tcPr>
          <w:p w14:paraId="28DFA0FD"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77" w:type="pct"/>
            <w:tcBorders>
              <w:top w:val="nil"/>
              <w:left w:val="nil"/>
              <w:bottom w:val="nil"/>
              <w:right w:val="nil"/>
            </w:tcBorders>
            <w:shd w:val="clear" w:color="000000" w:fill="FFFFFF"/>
            <w:noWrap/>
            <w:vAlign w:val="center"/>
            <w:hideMark/>
          </w:tcPr>
          <w:p w14:paraId="262FDE9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E6F2FF"/>
            <w:noWrap/>
            <w:vAlign w:val="center"/>
            <w:hideMark/>
          </w:tcPr>
          <w:p w14:paraId="157AB759"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FFFFFF"/>
            <w:noWrap/>
            <w:vAlign w:val="center"/>
            <w:hideMark/>
          </w:tcPr>
          <w:p w14:paraId="1FD8942C"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FFFFFF"/>
            <w:noWrap/>
            <w:vAlign w:val="center"/>
            <w:hideMark/>
          </w:tcPr>
          <w:p w14:paraId="52B9105C"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FFFFFF"/>
            <w:noWrap/>
            <w:vAlign w:val="center"/>
            <w:hideMark/>
          </w:tcPr>
          <w:p w14:paraId="20B571FD"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77" w:type="pct"/>
            <w:tcBorders>
              <w:top w:val="nil"/>
              <w:left w:val="nil"/>
              <w:bottom w:val="nil"/>
              <w:right w:val="nil"/>
            </w:tcBorders>
            <w:shd w:val="clear" w:color="000000" w:fill="FFFFFF"/>
            <w:noWrap/>
            <w:vAlign w:val="center"/>
            <w:hideMark/>
          </w:tcPr>
          <w:p w14:paraId="6BE2C53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75B47B56"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r>
      <w:tr w:rsidR="0083769E" w:rsidRPr="0093683C" w14:paraId="1C2AACC1"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37091033" w14:textId="77777777" w:rsidR="0083769E" w:rsidRPr="0093683C" w:rsidRDefault="0083769E" w:rsidP="0083769E">
            <w:pPr>
              <w:spacing w:before="0" w:after="0" w:line="240" w:lineRule="auto"/>
              <w:rPr>
                <w:rFonts w:ascii="Arial" w:hAnsi="Arial" w:cs="Arial"/>
                <w:b/>
                <w:sz w:val="16"/>
                <w:szCs w:val="16"/>
              </w:rPr>
            </w:pPr>
            <w:r w:rsidRPr="0093683C">
              <w:rPr>
                <w:rFonts w:ascii="Arial" w:hAnsi="Arial" w:cs="Arial"/>
                <w:b/>
                <w:sz w:val="16"/>
                <w:szCs w:val="16"/>
              </w:rPr>
              <w:t>Net capital investment</w:t>
            </w:r>
          </w:p>
        </w:tc>
        <w:tc>
          <w:tcPr>
            <w:tcW w:w="522" w:type="pct"/>
            <w:tcBorders>
              <w:top w:val="nil"/>
              <w:left w:val="nil"/>
              <w:bottom w:val="nil"/>
              <w:right w:val="nil"/>
            </w:tcBorders>
            <w:shd w:val="clear" w:color="000000" w:fill="FFFFFF"/>
            <w:noWrap/>
            <w:vAlign w:val="center"/>
            <w:hideMark/>
          </w:tcPr>
          <w:p w14:paraId="71BF4C7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8.4</w:t>
            </w:r>
          </w:p>
        </w:tc>
        <w:tc>
          <w:tcPr>
            <w:tcW w:w="77" w:type="pct"/>
            <w:tcBorders>
              <w:top w:val="nil"/>
              <w:left w:val="nil"/>
              <w:bottom w:val="nil"/>
              <w:right w:val="nil"/>
            </w:tcBorders>
            <w:shd w:val="clear" w:color="000000" w:fill="FFFFFF"/>
            <w:noWrap/>
            <w:vAlign w:val="center"/>
            <w:hideMark/>
          </w:tcPr>
          <w:p w14:paraId="52E6610D"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E6F2FF"/>
            <w:noWrap/>
            <w:vAlign w:val="center"/>
            <w:hideMark/>
          </w:tcPr>
          <w:p w14:paraId="6B26237C"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12.8</w:t>
            </w:r>
          </w:p>
        </w:tc>
        <w:tc>
          <w:tcPr>
            <w:tcW w:w="513" w:type="pct"/>
            <w:tcBorders>
              <w:top w:val="nil"/>
              <w:left w:val="nil"/>
              <w:bottom w:val="nil"/>
              <w:right w:val="nil"/>
            </w:tcBorders>
            <w:shd w:val="clear" w:color="000000" w:fill="FFFFFF"/>
            <w:noWrap/>
            <w:vAlign w:val="center"/>
            <w:hideMark/>
          </w:tcPr>
          <w:p w14:paraId="312C3E3D"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11.9</w:t>
            </w:r>
          </w:p>
        </w:tc>
        <w:tc>
          <w:tcPr>
            <w:tcW w:w="513" w:type="pct"/>
            <w:tcBorders>
              <w:top w:val="nil"/>
              <w:left w:val="nil"/>
              <w:bottom w:val="nil"/>
              <w:right w:val="nil"/>
            </w:tcBorders>
            <w:shd w:val="clear" w:color="000000" w:fill="FFFFFF"/>
            <w:noWrap/>
            <w:vAlign w:val="center"/>
            <w:hideMark/>
          </w:tcPr>
          <w:p w14:paraId="095C7D1C"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9.0</w:t>
            </w:r>
          </w:p>
        </w:tc>
        <w:tc>
          <w:tcPr>
            <w:tcW w:w="513" w:type="pct"/>
            <w:tcBorders>
              <w:top w:val="nil"/>
              <w:left w:val="nil"/>
              <w:bottom w:val="nil"/>
              <w:right w:val="nil"/>
            </w:tcBorders>
            <w:shd w:val="clear" w:color="000000" w:fill="FFFFFF"/>
            <w:noWrap/>
            <w:vAlign w:val="center"/>
            <w:hideMark/>
          </w:tcPr>
          <w:p w14:paraId="3C385192"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9.9</w:t>
            </w:r>
          </w:p>
        </w:tc>
        <w:tc>
          <w:tcPr>
            <w:tcW w:w="77" w:type="pct"/>
            <w:tcBorders>
              <w:top w:val="nil"/>
              <w:left w:val="nil"/>
              <w:bottom w:val="nil"/>
              <w:right w:val="nil"/>
            </w:tcBorders>
            <w:shd w:val="clear" w:color="000000" w:fill="FFFFFF"/>
            <w:noWrap/>
            <w:vAlign w:val="center"/>
            <w:hideMark/>
          </w:tcPr>
          <w:p w14:paraId="579E22EF"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68AEFCF2"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43.6</w:t>
            </w:r>
          </w:p>
        </w:tc>
      </w:tr>
      <w:tr w:rsidR="0083769E" w:rsidRPr="0093683C" w14:paraId="3F67347E"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2C321D9D"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Per cent of GDP</w:t>
            </w:r>
          </w:p>
        </w:tc>
        <w:tc>
          <w:tcPr>
            <w:tcW w:w="522" w:type="pct"/>
            <w:tcBorders>
              <w:top w:val="nil"/>
              <w:left w:val="nil"/>
              <w:bottom w:val="nil"/>
              <w:right w:val="nil"/>
            </w:tcBorders>
            <w:shd w:val="clear" w:color="000000" w:fill="FFFFFF"/>
            <w:noWrap/>
            <w:vAlign w:val="center"/>
            <w:hideMark/>
          </w:tcPr>
          <w:p w14:paraId="19A6DE0A"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0.4</w:t>
            </w:r>
          </w:p>
        </w:tc>
        <w:tc>
          <w:tcPr>
            <w:tcW w:w="77" w:type="pct"/>
            <w:tcBorders>
              <w:top w:val="nil"/>
              <w:left w:val="nil"/>
              <w:bottom w:val="nil"/>
              <w:right w:val="nil"/>
            </w:tcBorders>
            <w:shd w:val="clear" w:color="000000" w:fill="FFFFFF"/>
            <w:noWrap/>
            <w:vAlign w:val="center"/>
            <w:hideMark/>
          </w:tcPr>
          <w:p w14:paraId="31A0DC7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03373307"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0.5</w:t>
            </w:r>
          </w:p>
        </w:tc>
        <w:tc>
          <w:tcPr>
            <w:tcW w:w="513" w:type="pct"/>
            <w:tcBorders>
              <w:top w:val="nil"/>
              <w:left w:val="nil"/>
              <w:bottom w:val="nil"/>
              <w:right w:val="nil"/>
            </w:tcBorders>
            <w:shd w:val="clear" w:color="000000" w:fill="FFFFFF"/>
            <w:noWrap/>
            <w:vAlign w:val="center"/>
            <w:hideMark/>
          </w:tcPr>
          <w:p w14:paraId="77AD4CE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0.5</w:t>
            </w:r>
          </w:p>
        </w:tc>
        <w:tc>
          <w:tcPr>
            <w:tcW w:w="513" w:type="pct"/>
            <w:tcBorders>
              <w:top w:val="nil"/>
              <w:left w:val="nil"/>
              <w:bottom w:val="nil"/>
              <w:right w:val="nil"/>
            </w:tcBorders>
            <w:shd w:val="clear" w:color="000000" w:fill="FFFFFF"/>
            <w:noWrap/>
            <w:vAlign w:val="center"/>
            <w:hideMark/>
          </w:tcPr>
          <w:p w14:paraId="4E6D7246"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0.4</w:t>
            </w:r>
          </w:p>
        </w:tc>
        <w:tc>
          <w:tcPr>
            <w:tcW w:w="513" w:type="pct"/>
            <w:tcBorders>
              <w:top w:val="nil"/>
              <w:left w:val="nil"/>
              <w:bottom w:val="nil"/>
              <w:right w:val="nil"/>
            </w:tcBorders>
            <w:shd w:val="clear" w:color="000000" w:fill="FFFFFF"/>
            <w:noWrap/>
            <w:vAlign w:val="center"/>
            <w:hideMark/>
          </w:tcPr>
          <w:p w14:paraId="57C5C52A"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0.4</w:t>
            </w:r>
          </w:p>
        </w:tc>
        <w:tc>
          <w:tcPr>
            <w:tcW w:w="77" w:type="pct"/>
            <w:tcBorders>
              <w:top w:val="nil"/>
              <w:left w:val="nil"/>
              <w:bottom w:val="nil"/>
              <w:right w:val="nil"/>
            </w:tcBorders>
            <w:shd w:val="clear" w:color="000000" w:fill="FFFFFF"/>
            <w:noWrap/>
            <w:vAlign w:val="center"/>
            <w:hideMark/>
          </w:tcPr>
          <w:p w14:paraId="5929BF03"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3191BF5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r>
      <w:tr w:rsidR="0083769E" w:rsidRPr="0093683C" w14:paraId="4618425B" w14:textId="77777777" w:rsidTr="0083769E">
        <w:trPr>
          <w:divId w:val="149055109"/>
          <w:trHeight w:hRule="exact" w:val="60"/>
        </w:trPr>
        <w:tc>
          <w:tcPr>
            <w:tcW w:w="1752" w:type="pct"/>
            <w:tcBorders>
              <w:top w:val="nil"/>
              <w:left w:val="nil"/>
              <w:bottom w:val="nil"/>
              <w:right w:val="nil"/>
            </w:tcBorders>
            <w:shd w:val="clear" w:color="000000" w:fill="FFFFFF"/>
            <w:noWrap/>
            <w:vAlign w:val="center"/>
            <w:hideMark/>
          </w:tcPr>
          <w:p w14:paraId="75559A37"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 </w:t>
            </w:r>
          </w:p>
        </w:tc>
        <w:tc>
          <w:tcPr>
            <w:tcW w:w="522" w:type="pct"/>
            <w:tcBorders>
              <w:top w:val="nil"/>
              <w:left w:val="nil"/>
              <w:bottom w:val="nil"/>
              <w:right w:val="nil"/>
            </w:tcBorders>
            <w:shd w:val="clear" w:color="000000" w:fill="FFFFFF"/>
            <w:noWrap/>
            <w:vAlign w:val="center"/>
            <w:hideMark/>
          </w:tcPr>
          <w:p w14:paraId="700A250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03B002A"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E6F2FF"/>
            <w:noWrap/>
            <w:vAlign w:val="center"/>
            <w:hideMark/>
          </w:tcPr>
          <w:p w14:paraId="028232E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57E6E9F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50AA3E63"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nil"/>
              <w:right w:val="nil"/>
            </w:tcBorders>
            <w:shd w:val="clear" w:color="000000" w:fill="FFFFFF"/>
            <w:noWrap/>
            <w:vAlign w:val="center"/>
            <w:hideMark/>
          </w:tcPr>
          <w:p w14:paraId="2E283967"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82EEB4D"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nil"/>
              <w:right w:val="nil"/>
            </w:tcBorders>
            <w:shd w:val="clear" w:color="000000" w:fill="FFFFFF"/>
            <w:noWrap/>
            <w:vAlign w:val="center"/>
            <w:hideMark/>
          </w:tcPr>
          <w:p w14:paraId="1B05BC5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r w:rsidR="0083769E" w:rsidRPr="0093683C" w14:paraId="1AC99A21" w14:textId="77777777" w:rsidTr="0083769E">
        <w:trPr>
          <w:divId w:val="149055109"/>
          <w:trHeight w:hRule="exact" w:val="225"/>
        </w:trPr>
        <w:tc>
          <w:tcPr>
            <w:tcW w:w="1752" w:type="pct"/>
            <w:tcBorders>
              <w:top w:val="nil"/>
              <w:left w:val="nil"/>
              <w:bottom w:val="nil"/>
              <w:right w:val="nil"/>
            </w:tcBorders>
            <w:shd w:val="clear" w:color="000000" w:fill="FFFFFF"/>
            <w:noWrap/>
            <w:vAlign w:val="center"/>
            <w:hideMark/>
          </w:tcPr>
          <w:p w14:paraId="2BB67F97" w14:textId="77777777" w:rsidR="0083769E" w:rsidRPr="0093683C" w:rsidRDefault="0083769E" w:rsidP="0083769E">
            <w:pPr>
              <w:spacing w:before="0" w:after="0" w:line="240" w:lineRule="auto"/>
              <w:rPr>
                <w:rFonts w:ascii="Arial" w:hAnsi="Arial" w:cs="Arial"/>
                <w:b/>
                <w:sz w:val="16"/>
                <w:szCs w:val="16"/>
              </w:rPr>
            </w:pPr>
            <w:r w:rsidRPr="0093683C">
              <w:rPr>
                <w:rFonts w:ascii="Arial" w:hAnsi="Arial" w:cs="Arial"/>
                <w:b/>
                <w:sz w:val="16"/>
                <w:szCs w:val="16"/>
              </w:rPr>
              <w:t>Fiscal balance</w:t>
            </w:r>
          </w:p>
        </w:tc>
        <w:tc>
          <w:tcPr>
            <w:tcW w:w="522" w:type="pct"/>
            <w:tcBorders>
              <w:top w:val="nil"/>
              <w:left w:val="nil"/>
              <w:bottom w:val="nil"/>
              <w:right w:val="nil"/>
            </w:tcBorders>
            <w:shd w:val="clear" w:color="000000" w:fill="FFFFFF"/>
            <w:noWrap/>
            <w:vAlign w:val="center"/>
            <w:hideMark/>
          </w:tcPr>
          <w:p w14:paraId="1349983A"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-35.1</w:t>
            </w:r>
          </w:p>
        </w:tc>
        <w:tc>
          <w:tcPr>
            <w:tcW w:w="77" w:type="pct"/>
            <w:tcBorders>
              <w:top w:val="nil"/>
              <w:left w:val="nil"/>
              <w:bottom w:val="nil"/>
              <w:right w:val="nil"/>
            </w:tcBorders>
            <w:shd w:val="clear" w:color="000000" w:fill="FFFFFF"/>
            <w:noWrap/>
            <w:vAlign w:val="center"/>
            <w:hideMark/>
          </w:tcPr>
          <w:p w14:paraId="0961B0C8"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13" w:type="pct"/>
            <w:tcBorders>
              <w:top w:val="nil"/>
              <w:left w:val="nil"/>
              <w:bottom w:val="nil"/>
              <w:right w:val="nil"/>
            </w:tcBorders>
            <w:shd w:val="clear" w:color="000000" w:fill="E6F2FF"/>
            <w:noWrap/>
            <w:vAlign w:val="center"/>
            <w:hideMark/>
          </w:tcPr>
          <w:p w14:paraId="03C7959E"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-38.7</w:t>
            </w:r>
          </w:p>
        </w:tc>
        <w:tc>
          <w:tcPr>
            <w:tcW w:w="513" w:type="pct"/>
            <w:tcBorders>
              <w:top w:val="nil"/>
              <w:left w:val="nil"/>
              <w:bottom w:val="nil"/>
              <w:right w:val="nil"/>
            </w:tcBorders>
            <w:shd w:val="clear" w:color="000000" w:fill="FFFFFF"/>
            <w:noWrap/>
            <w:vAlign w:val="center"/>
            <w:hideMark/>
          </w:tcPr>
          <w:p w14:paraId="1AC38147"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-44.9</w:t>
            </w:r>
          </w:p>
        </w:tc>
        <w:tc>
          <w:tcPr>
            <w:tcW w:w="513" w:type="pct"/>
            <w:tcBorders>
              <w:top w:val="nil"/>
              <w:left w:val="nil"/>
              <w:bottom w:val="nil"/>
              <w:right w:val="nil"/>
            </w:tcBorders>
            <w:shd w:val="clear" w:color="000000" w:fill="FFFFFF"/>
            <w:noWrap/>
            <w:vAlign w:val="center"/>
            <w:hideMark/>
          </w:tcPr>
          <w:p w14:paraId="59434115"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-62.1</w:t>
            </w:r>
          </w:p>
        </w:tc>
        <w:tc>
          <w:tcPr>
            <w:tcW w:w="513" w:type="pct"/>
            <w:tcBorders>
              <w:top w:val="nil"/>
              <w:left w:val="nil"/>
              <w:bottom w:val="nil"/>
              <w:right w:val="nil"/>
            </w:tcBorders>
            <w:shd w:val="clear" w:color="000000" w:fill="FFFFFF"/>
            <w:noWrap/>
            <w:vAlign w:val="center"/>
            <w:hideMark/>
          </w:tcPr>
          <w:p w14:paraId="042496A1"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-49.9</w:t>
            </w:r>
          </w:p>
        </w:tc>
        <w:tc>
          <w:tcPr>
            <w:tcW w:w="77" w:type="pct"/>
            <w:tcBorders>
              <w:top w:val="nil"/>
              <w:left w:val="nil"/>
              <w:bottom w:val="nil"/>
              <w:right w:val="nil"/>
            </w:tcBorders>
            <w:shd w:val="clear" w:color="000000" w:fill="FFFFFF"/>
            <w:noWrap/>
            <w:vAlign w:val="center"/>
            <w:hideMark/>
          </w:tcPr>
          <w:p w14:paraId="0AB3435B"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 </w:t>
            </w:r>
          </w:p>
        </w:tc>
        <w:tc>
          <w:tcPr>
            <w:tcW w:w="520" w:type="pct"/>
            <w:tcBorders>
              <w:top w:val="nil"/>
              <w:left w:val="nil"/>
              <w:bottom w:val="nil"/>
              <w:right w:val="nil"/>
            </w:tcBorders>
            <w:shd w:val="clear" w:color="000000" w:fill="FFFFFF"/>
            <w:noWrap/>
            <w:vAlign w:val="center"/>
            <w:hideMark/>
          </w:tcPr>
          <w:p w14:paraId="1A2BBBA0" w14:textId="77777777" w:rsidR="0083769E" w:rsidRPr="0093683C" w:rsidRDefault="0083769E" w:rsidP="0083769E">
            <w:pPr>
              <w:spacing w:before="0" w:after="0" w:line="240" w:lineRule="auto"/>
              <w:jc w:val="right"/>
              <w:rPr>
                <w:rFonts w:ascii="Arial" w:hAnsi="Arial" w:cs="Arial"/>
                <w:b/>
                <w:sz w:val="16"/>
                <w:szCs w:val="16"/>
              </w:rPr>
            </w:pPr>
            <w:r w:rsidRPr="0093683C">
              <w:rPr>
                <w:rFonts w:ascii="Arial" w:hAnsi="Arial" w:cs="Arial"/>
                <w:b/>
                <w:sz w:val="16"/>
                <w:szCs w:val="16"/>
              </w:rPr>
              <w:t>-195.6</w:t>
            </w:r>
          </w:p>
        </w:tc>
      </w:tr>
      <w:tr w:rsidR="0083769E" w:rsidRPr="0093683C" w14:paraId="3CCC3ACC" w14:textId="77777777" w:rsidTr="0083769E">
        <w:trPr>
          <w:divId w:val="149055109"/>
          <w:trHeight w:hRule="exact" w:val="225"/>
        </w:trPr>
        <w:tc>
          <w:tcPr>
            <w:tcW w:w="1752" w:type="pct"/>
            <w:tcBorders>
              <w:top w:val="nil"/>
              <w:left w:val="nil"/>
              <w:bottom w:val="single" w:sz="4" w:space="0" w:color="293F5B"/>
              <w:right w:val="nil"/>
            </w:tcBorders>
            <w:shd w:val="clear" w:color="000000" w:fill="FFFFFF"/>
            <w:noWrap/>
            <w:vAlign w:val="center"/>
            <w:hideMark/>
          </w:tcPr>
          <w:p w14:paraId="432AB5E3" w14:textId="77777777" w:rsidR="0083769E" w:rsidRPr="0093683C" w:rsidRDefault="0083769E" w:rsidP="0083769E">
            <w:pPr>
              <w:spacing w:before="0" w:after="0" w:line="240" w:lineRule="auto"/>
              <w:rPr>
                <w:rFonts w:ascii="Arial" w:hAnsi="Arial" w:cs="Arial"/>
                <w:sz w:val="16"/>
                <w:szCs w:val="16"/>
              </w:rPr>
            </w:pPr>
            <w:r w:rsidRPr="0093683C">
              <w:rPr>
                <w:rFonts w:ascii="Arial" w:hAnsi="Arial" w:cs="Arial"/>
                <w:sz w:val="16"/>
                <w:szCs w:val="16"/>
              </w:rPr>
              <w:t>Per cent of GDP</w:t>
            </w:r>
          </w:p>
        </w:tc>
        <w:tc>
          <w:tcPr>
            <w:tcW w:w="522" w:type="pct"/>
            <w:tcBorders>
              <w:top w:val="nil"/>
              <w:left w:val="nil"/>
              <w:bottom w:val="single" w:sz="4" w:space="0" w:color="293F5B"/>
              <w:right w:val="nil"/>
            </w:tcBorders>
            <w:shd w:val="clear" w:color="000000" w:fill="FFFFFF"/>
            <w:noWrap/>
            <w:vAlign w:val="center"/>
            <w:hideMark/>
          </w:tcPr>
          <w:p w14:paraId="58908D65"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-1.5</w:t>
            </w:r>
          </w:p>
        </w:tc>
        <w:tc>
          <w:tcPr>
            <w:tcW w:w="77" w:type="pct"/>
            <w:tcBorders>
              <w:top w:val="nil"/>
              <w:left w:val="nil"/>
              <w:bottom w:val="single" w:sz="4" w:space="0" w:color="293F5B"/>
              <w:right w:val="nil"/>
            </w:tcBorders>
            <w:shd w:val="clear" w:color="000000" w:fill="FFFFFF"/>
            <w:noWrap/>
            <w:vAlign w:val="center"/>
            <w:hideMark/>
          </w:tcPr>
          <w:p w14:paraId="3C8D43EB"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13" w:type="pct"/>
            <w:tcBorders>
              <w:top w:val="nil"/>
              <w:left w:val="nil"/>
              <w:bottom w:val="single" w:sz="4" w:space="0" w:color="293F5B"/>
              <w:right w:val="nil"/>
            </w:tcBorders>
            <w:shd w:val="clear" w:color="000000" w:fill="E6F2FF"/>
            <w:noWrap/>
            <w:vAlign w:val="center"/>
            <w:hideMark/>
          </w:tcPr>
          <w:p w14:paraId="12735B40"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-1.6</w:t>
            </w:r>
          </w:p>
        </w:tc>
        <w:tc>
          <w:tcPr>
            <w:tcW w:w="513" w:type="pct"/>
            <w:tcBorders>
              <w:top w:val="nil"/>
              <w:left w:val="nil"/>
              <w:bottom w:val="single" w:sz="4" w:space="0" w:color="293F5B"/>
              <w:right w:val="nil"/>
            </w:tcBorders>
            <w:shd w:val="clear" w:color="000000" w:fill="FFFFFF"/>
            <w:noWrap/>
            <w:vAlign w:val="center"/>
            <w:hideMark/>
          </w:tcPr>
          <w:p w14:paraId="6E8067A9"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-1.8</w:t>
            </w:r>
          </w:p>
        </w:tc>
        <w:tc>
          <w:tcPr>
            <w:tcW w:w="513" w:type="pct"/>
            <w:tcBorders>
              <w:top w:val="nil"/>
              <w:left w:val="nil"/>
              <w:bottom w:val="single" w:sz="4" w:space="0" w:color="293F5B"/>
              <w:right w:val="nil"/>
            </w:tcBorders>
            <w:shd w:val="clear" w:color="000000" w:fill="FFFFFF"/>
            <w:noWrap/>
            <w:vAlign w:val="center"/>
            <w:hideMark/>
          </w:tcPr>
          <w:p w14:paraId="4F15AE30"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-2.4</w:t>
            </w:r>
          </w:p>
        </w:tc>
        <w:tc>
          <w:tcPr>
            <w:tcW w:w="513" w:type="pct"/>
            <w:tcBorders>
              <w:top w:val="nil"/>
              <w:left w:val="nil"/>
              <w:bottom w:val="single" w:sz="4" w:space="0" w:color="293F5B"/>
              <w:right w:val="nil"/>
            </w:tcBorders>
            <w:shd w:val="clear" w:color="000000" w:fill="FFFFFF"/>
            <w:noWrap/>
            <w:vAlign w:val="center"/>
            <w:hideMark/>
          </w:tcPr>
          <w:p w14:paraId="0DC84194"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-1.9</w:t>
            </w:r>
          </w:p>
        </w:tc>
        <w:tc>
          <w:tcPr>
            <w:tcW w:w="77" w:type="pct"/>
            <w:tcBorders>
              <w:top w:val="nil"/>
              <w:left w:val="nil"/>
              <w:bottom w:val="single" w:sz="4" w:space="0" w:color="293F5B"/>
              <w:right w:val="nil"/>
            </w:tcBorders>
            <w:shd w:val="clear" w:color="000000" w:fill="FFFFFF"/>
            <w:noWrap/>
            <w:vAlign w:val="center"/>
            <w:hideMark/>
          </w:tcPr>
          <w:p w14:paraId="568891F2"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c>
          <w:tcPr>
            <w:tcW w:w="520" w:type="pct"/>
            <w:tcBorders>
              <w:top w:val="nil"/>
              <w:left w:val="nil"/>
              <w:bottom w:val="single" w:sz="4" w:space="0" w:color="293F5B"/>
              <w:right w:val="nil"/>
            </w:tcBorders>
            <w:shd w:val="clear" w:color="000000" w:fill="FFFFFF"/>
            <w:noWrap/>
            <w:vAlign w:val="center"/>
            <w:hideMark/>
          </w:tcPr>
          <w:p w14:paraId="5053E02F" w14:textId="77777777" w:rsidR="0083769E" w:rsidRPr="0093683C" w:rsidRDefault="0083769E" w:rsidP="0083769E">
            <w:pPr>
              <w:spacing w:before="0" w:after="0" w:line="240" w:lineRule="auto"/>
              <w:jc w:val="right"/>
              <w:rPr>
                <w:rFonts w:ascii="Arial" w:hAnsi="Arial" w:cs="Arial"/>
                <w:sz w:val="16"/>
                <w:szCs w:val="16"/>
              </w:rPr>
            </w:pPr>
            <w:r w:rsidRPr="0093683C">
              <w:rPr>
                <w:rFonts w:ascii="Arial" w:hAnsi="Arial" w:cs="Arial"/>
                <w:sz w:val="16"/>
                <w:szCs w:val="16"/>
              </w:rPr>
              <w:t> </w:t>
            </w:r>
          </w:p>
        </w:tc>
      </w:tr>
    </w:tbl>
    <w:p w14:paraId="01F88825" w14:textId="4077568F" w:rsidR="00790FBA" w:rsidRPr="0093683C" w:rsidRDefault="00790FBA" w:rsidP="00ED0041">
      <w:pPr>
        <w:pStyle w:val="ChartandTableFootnoteAlpha"/>
        <w:numPr>
          <w:ilvl w:val="0"/>
          <w:numId w:val="6"/>
        </w:numPr>
        <w:rPr>
          <w:rFonts w:asciiTheme="majorHAnsi" w:hAnsiTheme="majorHAnsi" w:cstheme="majorHAnsi"/>
          <w:color w:val="auto"/>
          <w:szCs w:val="16"/>
        </w:rPr>
      </w:pPr>
      <w:r w:rsidRPr="0093683C">
        <w:rPr>
          <w:color w:val="auto"/>
        </w:rPr>
        <w:t>Total is equal to the sum of amounts from 2022</w:t>
      </w:r>
      <w:r w:rsidR="00B9531B" w:rsidRPr="0093683C">
        <w:rPr>
          <w:color w:val="auto"/>
        </w:rPr>
        <w:t>–</w:t>
      </w:r>
      <w:r w:rsidRPr="0093683C">
        <w:rPr>
          <w:color w:val="auto"/>
        </w:rPr>
        <w:t>23 to 2025</w:t>
      </w:r>
      <w:r w:rsidR="00B9531B" w:rsidRPr="0093683C">
        <w:rPr>
          <w:color w:val="auto"/>
        </w:rPr>
        <w:t>–</w:t>
      </w:r>
      <w:r w:rsidRPr="0093683C">
        <w:rPr>
          <w:color w:val="auto"/>
        </w:rPr>
        <w:t>26.</w:t>
      </w:r>
    </w:p>
    <w:p w14:paraId="368B935D" w14:textId="14548C3C" w:rsidR="00852ED5" w:rsidRPr="00F36ADA" w:rsidRDefault="00852ED5" w:rsidP="00852ED5">
      <w:pPr>
        <w:pStyle w:val="ChartLine"/>
        <w:rPr>
          <w:color w:val="FF0000"/>
        </w:rPr>
      </w:pPr>
    </w:p>
    <w:p w14:paraId="23A118CD" w14:textId="18587386" w:rsidR="00790FBA" w:rsidRPr="0093683C" w:rsidRDefault="00790FBA" w:rsidP="00852ED5">
      <w:r w:rsidRPr="0093683C">
        <w:t>Table 3.</w:t>
      </w:r>
      <w:r w:rsidR="00020000" w:rsidRPr="0093683C">
        <w:t>9</w:t>
      </w:r>
      <w:r w:rsidRPr="0093683C">
        <w:t xml:space="preserve"> provides a reconciliation of fiscal balance estimates, including the impact of policy decisions and parameter and other variations on revenue and expenses since PEFO. The drivers of movements in the fiscal balance estimates are largely the same as for the underlying cash balance.</w:t>
      </w:r>
    </w:p>
    <w:p w14:paraId="76413BEC" w14:textId="466B2ADE" w:rsidR="007204BB" w:rsidRPr="000D21DA" w:rsidRDefault="00790FBA" w:rsidP="007204BB">
      <w:pPr>
        <w:pStyle w:val="TableHeading"/>
        <w:rPr>
          <w:rFonts w:eastAsiaTheme="minorHAnsi"/>
          <w:sz w:val="16"/>
        </w:rPr>
      </w:pPr>
      <w:r w:rsidRPr="0093683C">
        <w:lastRenderedPageBreak/>
        <w:t>Table 3.</w:t>
      </w:r>
      <w:r w:rsidR="00935174" w:rsidRPr="0093683C">
        <w:t>9</w:t>
      </w:r>
      <w:r w:rsidRPr="0093683C">
        <w:t>: Reconciliation of fiscal balance estimates</w:t>
      </w:r>
    </w:p>
    <w:tbl>
      <w:tblPr>
        <w:tblW w:w="5000" w:type="pct"/>
        <w:tblCellMar>
          <w:left w:w="0" w:type="dxa"/>
          <w:right w:w="28" w:type="dxa"/>
        </w:tblCellMar>
        <w:tblLook w:val="04A0" w:firstRow="1" w:lastRow="0" w:firstColumn="1" w:lastColumn="0" w:noHBand="0" w:noVBand="1"/>
        <w:tblCaption w:val="Table"/>
      </w:tblPr>
      <w:tblGrid>
        <w:gridCol w:w="3741"/>
        <w:gridCol w:w="691"/>
        <w:gridCol w:w="691"/>
        <w:gridCol w:w="691"/>
        <w:gridCol w:w="691"/>
        <w:gridCol w:w="93"/>
        <w:gridCol w:w="1112"/>
      </w:tblGrid>
      <w:tr w:rsidR="007204BB" w:rsidRPr="0093683C" w14:paraId="56A6F36F" w14:textId="77777777" w:rsidTr="007204BB">
        <w:trPr>
          <w:trHeight w:hRule="exact" w:val="225"/>
        </w:trPr>
        <w:tc>
          <w:tcPr>
            <w:tcW w:w="2427" w:type="pct"/>
            <w:tcBorders>
              <w:top w:val="single" w:sz="4" w:space="0" w:color="293F5B"/>
              <w:left w:val="nil"/>
              <w:bottom w:val="nil"/>
              <w:right w:val="nil"/>
            </w:tcBorders>
            <w:shd w:val="clear" w:color="000000" w:fill="FFFFFF"/>
            <w:noWrap/>
            <w:vAlign w:val="center"/>
            <w:hideMark/>
          </w:tcPr>
          <w:p w14:paraId="3FA4C991"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1791" w:type="pct"/>
            <w:gridSpan w:val="4"/>
            <w:tcBorders>
              <w:top w:val="single" w:sz="4" w:space="0" w:color="293F5B"/>
              <w:left w:val="nil"/>
              <w:bottom w:val="single" w:sz="4" w:space="0" w:color="000000"/>
              <w:right w:val="nil"/>
            </w:tcBorders>
            <w:shd w:val="clear" w:color="000000" w:fill="FFFFFF"/>
            <w:noWrap/>
            <w:vAlign w:val="center"/>
            <w:hideMark/>
          </w:tcPr>
          <w:p w14:paraId="2FD58AD5" w14:textId="77777777" w:rsidR="007204BB" w:rsidRPr="00286258" w:rsidRDefault="007204BB" w:rsidP="007204BB">
            <w:pPr>
              <w:spacing w:before="0" w:after="0" w:line="240" w:lineRule="auto"/>
              <w:jc w:val="center"/>
              <w:rPr>
                <w:rFonts w:ascii="Arial" w:hAnsi="Arial" w:cs="Arial"/>
                <w:sz w:val="16"/>
                <w:szCs w:val="16"/>
                <w:highlight w:val="darkCyan"/>
              </w:rPr>
            </w:pPr>
            <w:r w:rsidRPr="000D21DA">
              <w:rPr>
                <w:rFonts w:ascii="Arial" w:hAnsi="Arial" w:cs="Arial"/>
                <w:sz w:val="16"/>
                <w:szCs w:val="16"/>
              </w:rPr>
              <w:t>Estimates</w:t>
            </w:r>
          </w:p>
        </w:tc>
        <w:tc>
          <w:tcPr>
            <w:tcW w:w="60" w:type="pct"/>
            <w:tcBorders>
              <w:top w:val="single" w:sz="4" w:space="0" w:color="293F5B"/>
              <w:left w:val="nil"/>
              <w:bottom w:val="nil"/>
              <w:right w:val="nil"/>
            </w:tcBorders>
            <w:shd w:val="clear" w:color="000000" w:fill="FFFFFF"/>
            <w:noWrap/>
            <w:vAlign w:val="center"/>
            <w:hideMark/>
          </w:tcPr>
          <w:p w14:paraId="2E3BC7F9"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722" w:type="pct"/>
            <w:tcBorders>
              <w:top w:val="single" w:sz="4" w:space="0" w:color="293F5B"/>
              <w:left w:val="nil"/>
              <w:bottom w:val="single" w:sz="4" w:space="0" w:color="000000"/>
              <w:right w:val="nil"/>
            </w:tcBorders>
            <w:shd w:val="clear" w:color="000000" w:fill="FFFFFF"/>
            <w:noWrap/>
            <w:vAlign w:val="center"/>
            <w:hideMark/>
          </w:tcPr>
          <w:p w14:paraId="467376F2" w14:textId="77777777" w:rsidR="007204BB" w:rsidRPr="000D21DA" w:rsidRDefault="007204BB" w:rsidP="007204BB">
            <w:pPr>
              <w:spacing w:before="0" w:after="0" w:line="240" w:lineRule="auto"/>
              <w:rPr>
                <w:rFonts w:ascii="Arial" w:hAnsi="Arial" w:cs="Arial"/>
                <w:sz w:val="16"/>
                <w:szCs w:val="16"/>
              </w:rPr>
            </w:pPr>
            <w:r w:rsidRPr="000D21DA">
              <w:rPr>
                <w:rFonts w:ascii="Arial" w:hAnsi="Arial" w:cs="Arial"/>
                <w:sz w:val="16"/>
                <w:szCs w:val="16"/>
              </w:rPr>
              <w:t> </w:t>
            </w:r>
          </w:p>
        </w:tc>
      </w:tr>
      <w:tr w:rsidR="007204BB" w:rsidRPr="0093683C" w14:paraId="2CEF048F" w14:textId="77777777" w:rsidTr="007204BB">
        <w:trPr>
          <w:trHeight w:hRule="exact" w:val="225"/>
        </w:trPr>
        <w:tc>
          <w:tcPr>
            <w:tcW w:w="2427" w:type="pct"/>
            <w:tcBorders>
              <w:top w:val="nil"/>
              <w:left w:val="nil"/>
              <w:bottom w:val="nil"/>
              <w:right w:val="nil"/>
            </w:tcBorders>
            <w:shd w:val="clear" w:color="000000" w:fill="FFFFFF"/>
            <w:noWrap/>
            <w:vAlign w:val="bottom"/>
            <w:hideMark/>
          </w:tcPr>
          <w:p w14:paraId="5DD5DB24"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48" w:type="pct"/>
            <w:tcBorders>
              <w:top w:val="single" w:sz="4" w:space="0" w:color="auto"/>
              <w:left w:val="nil"/>
              <w:bottom w:val="nil"/>
              <w:right w:val="nil"/>
            </w:tcBorders>
            <w:shd w:val="clear" w:color="000000" w:fill="E6F2FF"/>
            <w:noWrap/>
            <w:vAlign w:val="center"/>
            <w:hideMark/>
          </w:tcPr>
          <w:p w14:paraId="7044CA8B"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2022-23</w:t>
            </w:r>
          </w:p>
        </w:tc>
        <w:tc>
          <w:tcPr>
            <w:tcW w:w="448" w:type="pct"/>
            <w:tcBorders>
              <w:top w:val="single" w:sz="4" w:space="0" w:color="auto"/>
              <w:left w:val="nil"/>
              <w:bottom w:val="nil"/>
              <w:right w:val="nil"/>
            </w:tcBorders>
            <w:shd w:val="clear" w:color="000000" w:fill="FFFFFF"/>
            <w:noWrap/>
            <w:vAlign w:val="center"/>
            <w:hideMark/>
          </w:tcPr>
          <w:p w14:paraId="1A1B27DE"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2023-24</w:t>
            </w:r>
          </w:p>
        </w:tc>
        <w:tc>
          <w:tcPr>
            <w:tcW w:w="448" w:type="pct"/>
            <w:tcBorders>
              <w:top w:val="single" w:sz="4" w:space="0" w:color="auto"/>
              <w:left w:val="nil"/>
              <w:bottom w:val="nil"/>
              <w:right w:val="nil"/>
            </w:tcBorders>
            <w:shd w:val="clear" w:color="000000" w:fill="FFFFFF"/>
            <w:noWrap/>
            <w:vAlign w:val="center"/>
            <w:hideMark/>
          </w:tcPr>
          <w:p w14:paraId="1ED51C6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2024-25</w:t>
            </w:r>
          </w:p>
        </w:tc>
        <w:tc>
          <w:tcPr>
            <w:tcW w:w="448" w:type="pct"/>
            <w:tcBorders>
              <w:top w:val="single" w:sz="4" w:space="0" w:color="auto"/>
              <w:left w:val="nil"/>
              <w:bottom w:val="nil"/>
              <w:right w:val="nil"/>
            </w:tcBorders>
            <w:shd w:val="clear" w:color="000000" w:fill="FFFFFF"/>
            <w:noWrap/>
            <w:vAlign w:val="center"/>
            <w:hideMark/>
          </w:tcPr>
          <w:p w14:paraId="70AE9FEF"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2025-26</w:t>
            </w:r>
          </w:p>
        </w:tc>
        <w:tc>
          <w:tcPr>
            <w:tcW w:w="60" w:type="pct"/>
            <w:tcBorders>
              <w:top w:val="nil"/>
              <w:left w:val="nil"/>
              <w:bottom w:val="nil"/>
              <w:right w:val="nil"/>
            </w:tcBorders>
            <w:shd w:val="clear" w:color="000000" w:fill="FFFFFF"/>
            <w:noWrap/>
            <w:vAlign w:val="center"/>
            <w:hideMark/>
          </w:tcPr>
          <w:p w14:paraId="763A86D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single" w:sz="4" w:space="0" w:color="auto"/>
              <w:left w:val="nil"/>
              <w:bottom w:val="nil"/>
              <w:right w:val="nil"/>
            </w:tcBorders>
            <w:shd w:val="clear" w:color="000000" w:fill="FFFFFF"/>
            <w:noWrap/>
            <w:vAlign w:val="center"/>
            <w:hideMark/>
          </w:tcPr>
          <w:p w14:paraId="3E53B90D"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Total</w:t>
            </w:r>
          </w:p>
        </w:tc>
      </w:tr>
      <w:tr w:rsidR="007204BB" w:rsidRPr="0093683C" w14:paraId="14D5C1DE"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688EBDCF"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single" w:sz="4" w:space="0" w:color="000000"/>
              <w:right w:val="nil"/>
            </w:tcBorders>
            <w:shd w:val="clear" w:color="000000" w:fill="E6F2FF"/>
            <w:noWrap/>
            <w:vAlign w:val="center"/>
            <w:hideMark/>
          </w:tcPr>
          <w:p w14:paraId="4714A29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48" w:type="pct"/>
            <w:tcBorders>
              <w:top w:val="nil"/>
              <w:left w:val="nil"/>
              <w:bottom w:val="single" w:sz="4" w:space="0" w:color="000000"/>
              <w:right w:val="nil"/>
            </w:tcBorders>
            <w:shd w:val="clear" w:color="000000" w:fill="FFFFFF"/>
            <w:noWrap/>
            <w:vAlign w:val="center"/>
            <w:hideMark/>
          </w:tcPr>
          <w:p w14:paraId="7DAD4B8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48" w:type="pct"/>
            <w:tcBorders>
              <w:top w:val="nil"/>
              <w:left w:val="nil"/>
              <w:bottom w:val="single" w:sz="4" w:space="0" w:color="000000"/>
              <w:right w:val="nil"/>
            </w:tcBorders>
            <w:shd w:val="clear" w:color="000000" w:fill="FFFFFF"/>
            <w:noWrap/>
            <w:vAlign w:val="center"/>
            <w:hideMark/>
          </w:tcPr>
          <w:p w14:paraId="7C372C04"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448" w:type="pct"/>
            <w:tcBorders>
              <w:top w:val="nil"/>
              <w:left w:val="nil"/>
              <w:bottom w:val="single" w:sz="4" w:space="0" w:color="000000"/>
              <w:right w:val="nil"/>
            </w:tcBorders>
            <w:shd w:val="clear" w:color="000000" w:fill="FFFFFF"/>
            <w:noWrap/>
            <w:vAlign w:val="center"/>
            <w:hideMark/>
          </w:tcPr>
          <w:p w14:paraId="6BA09BA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$m</w:t>
            </w:r>
          </w:p>
        </w:tc>
        <w:tc>
          <w:tcPr>
            <w:tcW w:w="60" w:type="pct"/>
            <w:tcBorders>
              <w:top w:val="nil"/>
              <w:left w:val="nil"/>
              <w:bottom w:val="nil"/>
              <w:right w:val="nil"/>
            </w:tcBorders>
            <w:shd w:val="clear" w:color="000000" w:fill="FFFFFF"/>
            <w:noWrap/>
            <w:vAlign w:val="center"/>
            <w:hideMark/>
          </w:tcPr>
          <w:p w14:paraId="0B80156F"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single" w:sz="4" w:space="0" w:color="000000"/>
              <w:right w:val="nil"/>
            </w:tcBorders>
            <w:shd w:val="clear" w:color="000000" w:fill="FFFFFF"/>
            <w:noWrap/>
            <w:vAlign w:val="center"/>
            <w:hideMark/>
          </w:tcPr>
          <w:p w14:paraId="4BC30CFA"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$m</w:t>
            </w:r>
          </w:p>
        </w:tc>
      </w:tr>
      <w:tr w:rsidR="007204BB" w:rsidRPr="0093683C" w14:paraId="452ED2DD"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677B1C77"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2022-23 March Budget fiscal balance</w:t>
            </w:r>
          </w:p>
        </w:tc>
        <w:tc>
          <w:tcPr>
            <w:tcW w:w="448" w:type="pct"/>
            <w:tcBorders>
              <w:top w:val="nil"/>
              <w:left w:val="nil"/>
              <w:bottom w:val="nil"/>
              <w:right w:val="nil"/>
            </w:tcBorders>
            <w:shd w:val="clear" w:color="000000" w:fill="E6F2FF"/>
            <w:noWrap/>
            <w:vAlign w:val="center"/>
            <w:hideMark/>
          </w:tcPr>
          <w:p w14:paraId="78FFF19F"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-78,841</w:t>
            </w:r>
          </w:p>
        </w:tc>
        <w:tc>
          <w:tcPr>
            <w:tcW w:w="448" w:type="pct"/>
            <w:tcBorders>
              <w:top w:val="nil"/>
              <w:left w:val="nil"/>
              <w:bottom w:val="nil"/>
              <w:right w:val="nil"/>
            </w:tcBorders>
            <w:shd w:val="clear" w:color="000000" w:fill="FFFFFF"/>
            <w:noWrap/>
            <w:vAlign w:val="center"/>
            <w:hideMark/>
          </w:tcPr>
          <w:p w14:paraId="0DE54C4A"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-58,754</w:t>
            </w:r>
          </w:p>
        </w:tc>
        <w:tc>
          <w:tcPr>
            <w:tcW w:w="448" w:type="pct"/>
            <w:tcBorders>
              <w:top w:val="nil"/>
              <w:left w:val="nil"/>
              <w:bottom w:val="nil"/>
              <w:right w:val="nil"/>
            </w:tcBorders>
            <w:shd w:val="clear" w:color="000000" w:fill="FFFFFF"/>
            <w:noWrap/>
            <w:vAlign w:val="center"/>
            <w:hideMark/>
          </w:tcPr>
          <w:p w14:paraId="30AC592C"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-51,072</w:t>
            </w:r>
          </w:p>
        </w:tc>
        <w:tc>
          <w:tcPr>
            <w:tcW w:w="448" w:type="pct"/>
            <w:tcBorders>
              <w:top w:val="nil"/>
              <w:left w:val="nil"/>
              <w:bottom w:val="nil"/>
              <w:right w:val="nil"/>
            </w:tcBorders>
            <w:shd w:val="clear" w:color="000000" w:fill="FFFFFF"/>
            <w:noWrap/>
            <w:vAlign w:val="center"/>
            <w:hideMark/>
          </w:tcPr>
          <w:p w14:paraId="5EE5BFDA"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-39,779</w:t>
            </w:r>
          </w:p>
        </w:tc>
        <w:tc>
          <w:tcPr>
            <w:tcW w:w="60" w:type="pct"/>
            <w:tcBorders>
              <w:top w:val="nil"/>
              <w:left w:val="nil"/>
              <w:bottom w:val="nil"/>
              <w:right w:val="nil"/>
            </w:tcBorders>
            <w:shd w:val="clear" w:color="000000" w:fill="FFFFFF"/>
            <w:noWrap/>
            <w:vAlign w:val="center"/>
            <w:hideMark/>
          </w:tcPr>
          <w:p w14:paraId="2EFE0A5A"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 </w:t>
            </w:r>
          </w:p>
        </w:tc>
        <w:tc>
          <w:tcPr>
            <w:tcW w:w="722" w:type="pct"/>
            <w:tcBorders>
              <w:top w:val="nil"/>
              <w:left w:val="nil"/>
              <w:bottom w:val="nil"/>
              <w:right w:val="nil"/>
            </w:tcBorders>
            <w:shd w:val="clear" w:color="000000" w:fill="FFFFFF"/>
            <w:vAlign w:val="center"/>
            <w:hideMark/>
          </w:tcPr>
          <w:p w14:paraId="62DFF7B5" w14:textId="77777777" w:rsidR="007204BB" w:rsidRPr="000D21DA" w:rsidRDefault="007204BB" w:rsidP="007204BB">
            <w:pPr>
              <w:spacing w:before="0" w:after="0" w:line="240" w:lineRule="auto"/>
              <w:jc w:val="right"/>
              <w:rPr>
                <w:rFonts w:ascii="Arial" w:hAnsi="Arial" w:cs="Arial"/>
                <w:b/>
                <w:sz w:val="16"/>
                <w:szCs w:val="16"/>
              </w:rPr>
            </w:pPr>
            <w:r w:rsidRPr="000D21DA">
              <w:rPr>
                <w:rFonts w:ascii="Arial" w:hAnsi="Arial" w:cs="Arial"/>
                <w:b/>
                <w:sz w:val="16"/>
                <w:szCs w:val="16"/>
              </w:rPr>
              <w:t>-228,447</w:t>
            </w:r>
          </w:p>
        </w:tc>
      </w:tr>
      <w:tr w:rsidR="007204BB" w:rsidRPr="0093683C" w14:paraId="58CA121F"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305C48A5"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Per cent of GDP</w:t>
            </w:r>
          </w:p>
        </w:tc>
        <w:tc>
          <w:tcPr>
            <w:tcW w:w="448" w:type="pct"/>
            <w:tcBorders>
              <w:top w:val="nil"/>
              <w:left w:val="nil"/>
              <w:bottom w:val="nil"/>
              <w:right w:val="nil"/>
            </w:tcBorders>
            <w:shd w:val="clear" w:color="000000" w:fill="E6F2FF"/>
            <w:noWrap/>
            <w:vAlign w:val="center"/>
            <w:hideMark/>
          </w:tcPr>
          <w:p w14:paraId="5F5BAC0B"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-3.4</w:t>
            </w:r>
          </w:p>
        </w:tc>
        <w:tc>
          <w:tcPr>
            <w:tcW w:w="448" w:type="pct"/>
            <w:tcBorders>
              <w:top w:val="nil"/>
              <w:left w:val="nil"/>
              <w:bottom w:val="nil"/>
              <w:right w:val="nil"/>
            </w:tcBorders>
            <w:shd w:val="clear" w:color="000000" w:fill="FFFFFF"/>
            <w:noWrap/>
            <w:vAlign w:val="center"/>
            <w:hideMark/>
          </w:tcPr>
          <w:p w14:paraId="5AE4147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-2.5</w:t>
            </w:r>
          </w:p>
        </w:tc>
        <w:tc>
          <w:tcPr>
            <w:tcW w:w="448" w:type="pct"/>
            <w:tcBorders>
              <w:top w:val="nil"/>
              <w:left w:val="nil"/>
              <w:bottom w:val="nil"/>
              <w:right w:val="nil"/>
            </w:tcBorders>
            <w:shd w:val="clear" w:color="000000" w:fill="FFFFFF"/>
            <w:noWrap/>
            <w:vAlign w:val="center"/>
            <w:hideMark/>
          </w:tcPr>
          <w:p w14:paraId="7AF2C7DD"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-2.1</w:t>
            </w:r>
          </w:p>
        </w:tc>
        <w:tc>
          <w:tcPr>
            <w:tcW w:w="448" w:type="pct"/>
            <w:tcBorders>
              <w:top w:val="nil"/>
              <w:left w:val="nil"/>
              <w:bottom w:val="nil"/>
              <w:right w:val="nil"/>
            </w:tcBorders>
            <w:shd w:val="clear" w:color="000000" w:fill="FFFFFF"/>
            <w:noWrap/>
            <w:vAlign w:val="center"/>
            <w:hideMark/>
          </w:tcPr>
          <w:p w14:paraId="4EEA5BED"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-1.5</w:t>
            </w:r>
          </w:p>
        </w:tc>
        <w:tc>
          <w:tcPr>
            <w:tcW w:w="60" w:type="pct"/>
            <w:tcBorders>
              <w:top w:val="nil"/>
              <w:left w:val="nil"/>
              <w:bottom w:val="nil"/>
              <w:right w:val="nil"/>
            </w:tcBorders>
            <w:shd w:val="clear" w:color="000000" w:fill="FFFFFF"/>
            <w:noWrap/>
            <w:vAlign w:val="center"/>
            <w:hideMark/>
          </w:tcPr>
          <w:p w14:paraId="0FD569A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09428A8E"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73417D00" w14:textId="77777777" w:rsidTr="007204BB">
        <w:trPr>
          <w:trHeight w:hRule="exact" w:val="60"/>
        </w:trPr>
        <w:tc>
          <w:tcPr>
            <w:tcW w:w="2427" w:type="pct"/>
            <w:tcBorders>
              <w:top w:val="nil"/>
              <w:left w:val="nil"/>
              <w:bottom w:val="nil"/>
              <w:right w:val="nil"/>
            </w:tcBorders>
            <w:shd w:val="clear" w:color="000000" w:fill="FFFFFF"/>
            <w:noWrap/>
            <w:vAlign w:val="center"/>
            <w:hideMark/>
          </w:tcPr>
          <w:p w14:paraId="5B26135D"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E6F2FF"/>
            <w:noWrap/>
            <w:vAlign w:val="center"/>
            <w:hideMark/>
          </w:tcPr>
          <w:p w14:paraId="5EC1CA6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B7E8F4F"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14CA4E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045E747B"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36A7484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4A8BE0F2"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5EC733C6"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32656814"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 xml:space="preserve">Changes from 2022-23 March Budget to </w:t>
            </w:r>
          </w:p>
        </w:tc>
        <w:tc>
          <w:tcPr>
            <w:tcW w:w="448" w:type="pct"/>
            <w:tcBorders>
              <w:top w:val="nil"/>
              <w:left w:val="nil"/>
              <w:bottom w:val="nil"/>
              <w:right w:val="nil"/>
            </w:tcBorders>
            <w:shd w:val="clear" w:color="000000" w:fill="E6F2FF"/>
            <w:noWrap/>
            <w:vAlign w:val="center"/>
            <w:hideMark/>
          </w:tcPr>
          <w:p w14:paraId="7756A38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1CB5657"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00BC36BA"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F8C3F5B"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5267725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6599F7E0"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3D5B6E3D"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1B1A263F" w14:textId="77777777" w:rsidR="007204BB" w:rsidRPr="00286258" w:rsidRDefault="007204BB" w:rsidP="007204BB">
            <w:pPr>
              <w:spacing w:before="0" w:after="0" w:line="240" w:lineRule="auto"/>
              <w:ind w:left="170"/>
              <w:rPr>
                <w:rFonts w:ascii="Arial" w:hAnsi="Arial" w:cs="Arial"/>
                <w:b/>
                <w:sz w:val="16"/>
                <w:szCs w:val="16"/>
                <w:highlight w:val="darkCyan"/>
              </w:rPr>
            </w:pPr>
            <w:r w:rsidRPr="000D21DA">
              <w:rPr>
                <w:rFonts w:ascii="Arial" w:hAnsi="Arial" w:cs="Arial"/>
                <w:b/>
                <w:sz w:val="16"/>
                <w:szCs w:val="16"/>
              </w:rPr>
              <w:t>2022 PEFO</w:t>
            </w:r>
          </w:p>
        </w:tc>
        <w:tc>
          <w:tcPr>
            <w:tcW w:w="448" w:type="pct"/>
            <w:tcBorders>
              <w:top w:val="nil"/>
              <w:left w:val="nil"/>
              <w:bottom w:val="nil"/>
              <w:right w:val="nil"/>
            </w:tcBorders>
            <w:shd w:val="clear" w:color="000000" w:fill="E6F2FF"/>
            <w:noWrap/>
            <w:vAlign w:val="center"/>
            <w:hideMark/>
          </w:tcPr>
          <w:p w14:paraId="553A0744"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2E35A76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B62E86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7C7A07F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70914F9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11A68C27"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5650238C"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77A0EB3B"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Effect of policy decisions(a)</w:t>
            </w:r>
          </w:p>
        </w:tc>
        <w:tc>
          <w:tcPr>
            <w:tcW w:w="448" w:type="pct"/>
            <w:tcBorders>
              <w:top w:val="nil"/>
              <w:left w:val="nil"/>
              <w:bottom w:val="nil"/>
              <w:right w:val="nil"/>
            </w:tcBorders>
            <w:shd w:val="clear" w:color="000000" w:fill="E6F2FF"/>
            <w:noWrap/>
            <w:vAlign w:val="center"/>
            <w:hideMark/>
          </w:tcPr>
          <w:p w14:paraId="736D24CD"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-26</w:t>
            </w:r>
          </w:p>
        </w:tc>
        <w:tc>
          <w:tcPr>
            <w:tcW w:w="448" w:type="pct"/>
            <w:tcBorders>
              <w:top w:val="nil"/>
              <w:left w:val="nil"/>
              <w:bottom w:val="nil"/>
              <w:right w:val="nil"/>
            </w:tcBorders>
            <w:shd w:val="clear" w:color="000000" w:fill="FFFFFF"/>
            <w:noWrap/>
            <w:vAlign w:val="center"/>
            <w:hideMark/>
          </w:tcPr>
          <w:p w14:paraId="3D29BBBE"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-66</w:t>
            </w:r>
          </w:p>
        </w:tc>
        <w:tc>
          <w:tcPr>
            <w:tcW w:w="448" w:type="pct"/>
            <w:tcBorders>
              <w:top w:val="nil"/>
              <w:left w:val="nil"/>
              <w:bottom w:val="nil"/>
              <w:right w:val="nil"/>
            </w:tcBorders>
            <w:shd w:val="clear" w:color="000000" w:fill="FFFFFF"/>
            <w:noWrap/>
            <w:vAlign w:val="center"/>
            <w:hideMark/>
          </w:tcPr>
          <w:p w14:paraId="051437D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-72</w:t>
            </w:r>
          </w:p>
        </w:tc>
        <w:tc>
          <w:tcPr>
            <w:tcW w:w="448" w:type="pct"/>
            <w:tcBorders>
              <w:top w:val="nil"/>
              <w:left w:val="nil"/>
              <w:bottom w:val="nil"/>
              <w:right w:val="nil"/>
            </w:tcBorders>
            <w:shd w:val="clear" w:color="000000" w:fill="FFFFFF"/>
            <w:noWrap/>
            <w:vAlign w:val="center"/>
            <w:hideMark/>
          </w:tcPr>
          <w:p w14:paraId="73AE5E4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-46</w:t>
            </w:r>
          </w:p>
        </w:tc>
        <w:tc>
          <w:tcPr>
            <w:tcW w:w="60" w:type="pct"/>
            <w:tcBorders>
              <w:top w:val="nil"/>
              <w:left w:val="nil"/>
              <w:bottom w:val="nil"/>
              <w:right w:val="nil"/>
            </w:tcBorders>
            <w:shd w:val="clear" w:color="000000" w:fill="FFFFFF"/>
            <w:noWrap/>
            <w:vAlign w:val="center"/>
            <w:hideMark/>
          </w:tcPr>
          <w:p w14:paraId="0363FF0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2E3C31D2"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-209</w:t>
            </w:r>
          </w:p>
        </w:tc>
      </w:tr>
      <w:tr w:rsidR="007204BB" w:rsidRPr="0093683C" w14:paraId="3F942640"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5B709F07"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Effect of parameter and other variations</w:t>
            </w:r>
          </w:p>
        </w:tc>
        <w:tc>
          <w:tcPr>
            <w:tcW w:w="448" w:type="pct"/>
            <w:tcBorders>
              <w:top w:val="nil"/>
              <w:left w:val="nil"/>
              <w:bottom w:val="single" w:sz="4" w:space="0" w:color="000000"/>
              <w:right w:val="nil"/>
            </w:tcBorders>
            <w:shd w:val="clear" w:color="000000" w:fill="E6F2FF"/>
            <w:noWrap/>
            <w:vAlign w:val="center"/>
            <w:hideMark/>
          </w:tcPr>
          <w:p w14:paraId="0A91C25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307</w:t>
            </w:r>
          </w:p>
        </w:tc>
        <w:tc>
          <w:tcPr>
            <w:tcW w:w="448" w:type="pct"/>
            <w:tcBorders>
              <w:top w:val="nil"/>
              <w:left w:val="nil"/>
              <w:bottom w:val="single" w:sz="4" w:space="0" w:color="000000"/>
              <w:right w:val="nil"/>
            </w:tcBorders>
            <w:shd w:val="clear" w:color="000000" w:fill="FFFFFF"/>
            <w:noWrap/>
            <w:vAlign w:val="center"/>
            <w:hideMark/>
          </w:tcPr>
          <w:p w14:paraId="14D91B3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85</w:t>
            </w:r>
          </w:p>
        </w:tc>
        <w:tc>
          <w:tcPr>
            <w:tcW w:w="448" w:type="pct"/>
            <w:tcBorders>
              <w:top w:val="nil"/>
              <w:left w:val="nil"/>
              <w:bottom w:val="single" w:sz="4" w:space="0" w:color="000000"/>
              <w:right w:val="nil"/>
            </w:tcBorders>
            <w:shd w:val="clear" w:color="000000" w:fill="FFFFFF"/>
            <w:noWrap/>
            <w:vAlign w:val="center"/>
            <w:hideMark/>
          </w:tcPr>
          <w:p w14:paraId="67F5A26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82</w:t>
            </w:r>
          </w:p>
        </w:tc>
        <w:tc>
          <w:tcPr>
            <w:tcW w:w="448" w:type="pct"/>
            <w:tcBorders>
              <w:top w:val="nil"/>
              <w:left w:val="nil"/>
              <w:bottom w:val="single" w:sz="4" w:space="0" w:color="000000"/>
              <w:right w:val="nil"/>
            </w:tcBorders>
            <w:shd w:val="clear" w:color="000000" w:fill="FFFFFF"/>
            <w:noWrap/>
            <w:vAlign w:val="center"/>
            <w:hideMark/>
          </w:tcPr>
          <w:p w14:paraId="55646E0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176</w:t>
            </w:r>
          </w:p>
        </w:tc>
        <w:tc>
          <w:tcPr>
            <w:tcW w:w="60" w:type="pct"/>
            <w:tcBorders>
              <w:top w:val="nil"/>
              <w:left w:val="nil"/>
              <w:bottom w:val="nil"/>
              <w:right w:val="nil"/>
            </w:tcBorders>
            <w:shd w:val="clear" w:color="000000" w:fill="FFFFFF"/>
            <w:noWrap/>
            <w:vAlign w:val="center"/>
            <w:hideMark/>
          </w:tcPr>
          <w:p w14:paraId="08DE2B9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4E3AC493"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649</w:t>
            </w:r>
          </w:p>
        </w:tc>
      </w:tr>
      <w:tr w:rsidR="007204BB" w:rsidRPr="0093683C" w14:paraId="61A70BE4"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318C3FD7"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Total variations</w:t>
            </w:r>
          </w:p>
        </w:tc>
        <w:tc>
          <w:tcPr>
            <w:tcW w:w="448" w:type="pct"/>
            <w:tcBorders>
              <w:top w:val="nil"/>
              <w:left w:val="nil"/>
              <w:bottom w:val="single" w:sz="4" w:space="0" w:color="000000"/>
              <w:right w:val="nil"/>
            </w:tcBorders>
            <w:shd w:val="clear" w:color="000000" w:fill="E6F2FF"/>
            <w:noWrap/>
            <w:vAlign w:val="center"/>
            <w:hideMark/>
          </w:tcPr>
          <w:p w14:paraId="6C79E5BB"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281</w:t>
            </w:r>
          </w:p>
        </w:tc>
        <w:tc>
          <w:tcPr>
            <w:tcW w:w="448" w:type="pct"/>
            <w:tcBorders>
              <w:top w:val="nil"/>
              <w:left w:val="nil"/>
              <w:bottom w:val="single" w:sz="4" w:space="0" w:color="000000"/>
              <w:right w:val="nil"/>
            </w:tcBorders>
            <w:shd w:val="clear" w:color="000000" w:fill="FFFFFF"/>
            <w:noWrap/>
            <w:vAlign w:val="center"/>
            <w:hideMark/>
          </w:tcPr>
          <w:p w14:paraId="1B6F33D7"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19</w:t>
            </w:r>
          </w:p>
        </w:tc>
        <w:tc>
          <w:tcPr>
            <w:tcW w:w="448" w:type="pct"/>
            <w:tcBorders>
              <w:top w:val="nil"/>
              <w:left w:val="nil"/>
              <w:bottom w:val="single" w:sz="4" w:space="0" w:color="000000"/>
              <w:right w:val="nil"/>
            </w:tcBorders>
            <w:shd w:val="clear" w:color="000000" w:fill="FFFFFF"/>
            <w:noWrap/>
            <w:vAlign w:val="center"/>
            <w:hideMark/>
          </w:tcPr>
          <w:p w14:paraId="14249128"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10</w:t>
            </w:r>
          </w:p>
        </w:tc>
        <w:tc>
          <w:tcPr>
            <w:tcW w:w="448" w:type="pct"/>
            <w:tcBorders>
              <w:top w:val="nil"/>
              <w:left w:val="nil"/>
              <w:bottom w:val="single" w:sz="4" w:space="0" w:color="000000"/>
              <w:right w:val="nil"/>
            </w:tcBorders>
            <w:shd w:val="clear" w:color="000000" w:fill="FFFFFF"/>
            <w:noWrap/>
            <w:vAlign w:val="center"/>
            <w:hideMark/>
          </w:tcPr>
          <w:p w14:paraId="59E15B09"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130</w:t>
            </w:r>
          </w:p>
        </w:tc>
        <w:tc>
          <w:tcPr>
            <w:tcW w:w="60" w:type="pct"/>
            <w:tcBorders>
              <w:top w:val="nil"/>
              <w:left w:val="nil"/>
              <w:bottom w:val="nil"/>
              <w:right w:val="nil"/>
            </w:tcBorders>
            <w:shd w:val="clear" w:color="000000" w:fill="FFFFFF"/>
            <w:noWrap/>
            <w:vAlign w:val="center"/>
            <w:hideMark/>
          </w:tcPr>
          <w:p w14:paraId="356E4841"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 </w:t>
            </w:r>
          </w:p>
        </w:tc>
        <w:tc>
          <w:tcPr>
            <w:tcW w:w="722" w:type="pct"/>
            <w:tcBorders>
              <w:top w:val="single" w:sz="4" w:space="0" w:color="auto"/>
              <w:left w:val="nil"/>
              <w:bottom w:val="single" w:sz="4" w:space="0" w:color="auto"/>
              <w:right w:val="nil"/>
            </w:tcBorders>
            <w:shd w:val="clear" w:color="000000" w:fill="FFFFFF"/>
            <w:noWrap/>
            <w:vAlign w:val="center"/>
            <w:hideMark/>
          </w:tcPr>
          <w:p w14:paraId="62D6B33D" w14:textId="77777777" w:rsidR="007204BB" w:rsidRPr="000D21DA" w:rsidRDefault="007204BB" w:rsidP="007204BB">
            <w:pPr>
              <w:spacing w:before="0" w:after="0" w:line="240" w:lineRule="auto"/>
              <w:jc w:val="right"/>
              <w:rPr>
                <w:rFonts w:ascii="Arial" w:hAnsi="Arial" w:cs="Arial"/>
                <w:b/>
                <w:sz w:val="16"/>
                <w:szCs w:val="16"/>
              </w:rPr>
            </w:pPr>
            <w:r w:rsidRPr="000D21DA">
              <w:rPr>
                <w:rFonts w:ascii="Arial" w:hAnsi="Arial" w:cs="Arial"/>
                <w:b/>
                <w:sz w:val="16"/>
                <w:szCs w:val="16"/>
              </w:rPr>
              <w:t>440</w:t>
            </w:r>
          </w:p>
        </w:tc>
      </w:tr>
      <w:tr w:rsidR="007204BB" w:rsidRPr="0093683C" w14:paraId="42AF7ED3" w14:textId="77777777" w:rsidTr="007204BB">
        <w:trPr>
          <w:trHeight w:hRule="exact" w:val="60"/>
        </w:trPr>
        <w:tc>
          <w:tcPr>
            <w:tcW w:w="2427" w:type="pct"/>
            <w:tcBorders>
              <w:top w:val="nil"/>
              <w:left w:val="nil"/>
              <w:bottom w:val="nil"/>
              <w:right w:val="nil"/>
            </w:tcBorders>
            <w:shd w:val="clear" w:color="000000" w:fill="FFFFFF"/>
            <w:noWrap/>
            <w:vAlign w:val="center"/>
            <w:hideMark/>
          </w:tcPr>
          <w:p w14:paraId="608016C6"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 </w:t>
            </w:r>
          </w:p>
        </w:tc>
        <w:tc>
          <w:tcPr>
            <w:tcW w:w="448" w:type="pct"/>
            <w:tcBorders>
              <w:top w:val="nil"/>
              <w:left w:val="nil"/>
              <w:bottom w:val="nil"/>
              <w:right w:val="nil"/>
            </w:tcBorders>
            <w:shd w:val="clear" w:color="000000" w:fill="E6F2FF"/>
            <w:noWrap/>
            <w:vAlign w:val="center"/>
            <w:hideMark/>
          </w:tcPr>
          <w:p w14:paraId="2CF687D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08C5274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0E7FC9A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767A16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3DA7937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60D0BB54"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6F5AB5FD"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61A14169"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2022 PEFO fiscal balance</w:t>
            </w:r>
          </w:p>
        </w:tc>
        <w:tc>
          <w:tcPr>
            <w:tcW w:w="448" w:type="pct"/>
            <w:tcBorders>
              <w:top w:val="nil"/>
              <w:left w:val="nil"/>
              <w:bottom w:val="nil"/>
              <w:right w:val="nil"/>
            </w:tcBorders>
            <w:shd w:val="clear" w:color="000000" w:fill="E6F2FF"/>
            <w:noWrap/>
            <w:vAlign w:val="center"/>
            <w:hideMark/>
          </w:tcPr>
          <w:p w14:paraId="02575468"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-78,560</w:t>
            </w:r>
          </w:p>
        </w:tc>
        <w:tc>
          <w:tcPr>
            <w:tcW w:w="448" w:type="pct"/>
            <w:tcBorders>
              <w:top w:val="nil"/>
              <w:left w:val="nil"/>
              <w:bottom w:val="nil"/>
              <w:right w:val="nil"/>
            </w:tcBorders>
            <w:shd w:val="clear" w:color="000000" w:fill="FFFFFF"/>
            <w:noWrap/>
            <w:vAlign w:val="center"/>
            <w:hideMark/>
          </w:tcPr>
          <w:p w14:paraId="6B4DC589"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-58,735</w:t>
            </w:r>
          </w:p>
        </w:tc>
        <w:tc>
          <w:tcPr>
            <w:tcW w:w="448" w:type="pct"/>
            <w:tcBorders>
              <w:top w:val="nil"/>
              <w:left w:val="nil"/>
              <w:bottom w:val="nil"/>
              <w:right w:val="nil"/>
            </w:tcBorders>
            <w:shd w:val="clear" w:color="000000" w:fill="FFFFFF"/>
            <w:noWrap/>
            <w:vAlign w:val="center"/>
            <w:hideMark/>
          </w:tcPr>
          <w:p w14:paraId="21A01BF9"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-51,062</w:t>
            </w:r>
          </w:p>
        </w:tc>
        <w:tc>
          <w:tcPr>
            <w:tcW w:w="448" w:type="pct"/>
            <w:tcBorders>
              <w:top w:val="nil"/>
              <w:left w:val="nil"/>
              <w:bottom w:val="nil"/>
              <w:right w:val="nil"/>
            </w:tcBorders>
            <w:shd w:val="clear" w:color="000000" w:fill="FFFFFF"/>
            <w:noWrap/>
            <w:vAlign w:val="center"/>
            <w:hideMark/>
          </w:tcPr>
          <w:p w14:paraId="165DEBF6"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-39,649</w:t>
            </w:r>
          </w:p>
        </w:tc>
        <w:tc>
          <w:tcPr>
            <w:tcW w:w="60" w:type="pct"/>
            <w:tcBorders>
              <w:top w:val="nil"/>
              <w:left w:val="nil"/>
              <w:bottom w:val="nil"/>
              <w:right w:val="nil"/>
            </w:tcBorders>
            <w:shd w:val="clear" w:color="000000" w:fill="FFFFFF"/>
            <w:noWrap/>
            <w:vAlign w:val="center"/>
            <w:hideMark/>
          </w:tcPr>
          <w:p w14:paraId="2C32014E"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 </w:t>
            </w:r>
          </w:p>
        </w:tc>
        <w:tc>
          <w:tcPr>
            <w:tcW w:w="722" w:type="pct"/>
            <w:tcBorders>
              <w:top w:val="nil"/>
              <w:left w:val="nil"/>
              <w:bottom w:val="nil"/>
              <w:right w:val="nil"/>
            </w:tcBorders>
            <w:shd w:val="clear" w:color="000000" w:fill="FFFFFF"/>
            <w:noWrap/>
            <w:vAlign w:val="center"/>
            <w:hideMark/>
          </w:tcPr>
          <w:p w14:paraId="1568C503" w14:textId="77777777" w:rsidR="007204BB" w:rsidRPr="000D21DA" w:rsidRDefault="007204BB" w:rsidP="007204BB">
            <w:pPr>
              <w:spacing w:before="0" w:after="0" w:line="240" w:lineRule="auto"/>
              <w:jc w:val="right"/>
              <w:rPr>
                <w:rFonts w:ascii="Arial" w:hAnsi="Arial" w:cs="Arial"/>
                <w:b/>
                <w:sz w:val="16"/>
                <w:szCs w:val="16"/>
              </w:rPr>
            </w:pPr>
            <w:r w:rsidRPr="000D21DA">
              <w:rPr>
                <w:rFonts w:ascii="Arial" w:hAnsi="Arial" w:cs="Arial"/>
                <w:b/>
                <w:sz w:val="16"/>
                <w:szCs w:val="16"/>
              </w:rPr>
              <w:t>-228,007</w:t>
            </w:r>
          </w:p>
        </w:tc>
      </w:tr>
      <w:tr w:rsidR="007204BB" w:rsidRPr="0093683C" w14:paraId="5CD97504"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0604AA11"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Per cent of GDP</w:t>
            </w:r>
          </w:p>
        </w:tc>
        <w:tc>
          <w:tcPr>
            <w:tcW w:w="448" w:type="pct"/>
            <w:tcBorders>
              <w:top w:val="nil"/>
              <w:left w:val="nil"/>
              <w:bottom w:val="nil"/>
              <w:right w:val="nil"/>
            </w:tcBorders>
            <w:shd w:val="clear" w:color="000000" w:fill="E6F2FF"/>
            <w:noWrap/>
            <w:vAlign w:val="center"/>
            <w:hideMark/>
          </w:tcPr>
          <w:p w14:paraId="7BFD0B17"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-3.4</w:t>
            </w:r>
          </w:p>
        </w:tc>
        <w:tc>
          <w:tcPr>
            <w:tcW w:w="448" w:type="pct"/>
            <w:tcBorders>
              <w:top w:val="nil"/>
              <w:left w:val="nil"/>
              <w:bottom w:val="nil"/>
              <w:right w:val="nil"/>
            </w:tcBorders>
            <w:shd w:val="clear" w:color="000000" w:fill="FFFFFF"/>
            <w:noWrap/>
            <w:vAlign w:val="center"/>
            <w:hideMark/>
          </w:tcPr>
          <w:p w14:paraId="359F650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-2.5</w:t>
            </w:r>
          </w:p>
        </w:tc>
        <w:tc>
          <w:tcPr>
            <w:tcW w:w="448" w:type="pct"/>
            <w:tcBorders>
              <w:top w:val="nil"/>
              <w:left w:val="nil"/>
              <w:bottom w:val="nil"/>
              <w:right w:val="nil"/>
            </w:tcBorders>
            <w:shd w:val="clear" w:color="000000" w:fill="FFFFFF"/>
            <w:noWrap/>
            <w:vAlign w:val="center"/>
            <w:hideMark/>
          </w:tcPr>
          <w:p w14:paraId="3EF4423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-2.1</w:t>
            </w:r>
          </w:p>
        </w:tc>
        <w:tc>
          <w:tcPr>
            <w:tcW w:w="448" w:type="pct"/>
            <w:tcBorders>
              <w:top w:val="nil"/>
              <w:left w:val="nil"/>
              <w:bottom w:val="nil"/>
              <w:right w:val="nil"/>
            </w:tcBorders>
            <w:shd w:val="clear" w:color="000000" w:fill="FFFFFF"/>
            <w:noWrap/>
            <w:vAlign w:val="center"/>
            <w:hideMark/>
          </w:tcPr>
          <w:p w14:paraId="3B9D356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-1.5</w:t>
            </w:r>
          </w:p>
        </w:tc>
        <w:tc>
          <w:tcPr>
            <w:tcW w:w="60" w:type="pct"/>
            <w:tcBorders>
              <w:top w:val="nil"/>
              <w:left w:val="nil"/>
              <w:bottom w:val="nil"/>
              <w:right w:val="nil"/>
            </w:tcBorders>
            <w:shd w:val="clear" w:color="000000" w:fill="FFFFFF"/>
            <w:noWrap/>
            <w:vAlign w:val="center"/>
            <w:hideMark/>
          </w:tcPr>
          <w:p w14:paraId="1916D98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1CA40ED3"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53847E67" w14:textId="77777777" w:rsidTr="007204BB">
        <w:trPr>
          <w:trHeight w:hRule="exact" w:val="60"/>
        </w:trPr>
        <w:tc>
          <w:tcPr>
            <w:tcW w:w="2427" w:type="pct"/>
            <w:tcBorders>
              <w:top w:val="nil"/>
              <w:left w:val="nil"/>
              <w:bottom w:val="nil"/>
              <w:right w:val="nil"/>
            </w:tcBorders>
            <w:shd w:val="clear" w:color="000000" w:fill="FFFFFF"/>
            <w:noWrap/>
            <w:vAlign w:val="center"/>
            <w:hideMark/>
          </w:tcPr>
          <w:p w14:paraId="1D6AF56B"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E6F2FF"/>
            <w:noWrap/>
            <w:vAlign w:val="center"/>
            <w:hideMark/>
          </w:tcPr>
          <w:p w14:paraId="2B55D0FB"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163EEF2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07684C1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73C8B77"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78BF1E0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56F015E3"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4F8EBEC7"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1CF22690"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 xml:space="preserve">Changes from 2022 PEFO to </w:t>
            </w:r>
          </w:p>
        </w:tc>
        <w:tc>
          <w:tcPr>
            <w:tcW w:w="448" w:type="pct"/>
            <w:tcBorders>
              <w:top w:val="nil"/>
              <w:left w:val="nil"/>
              <w:bottom w:val="nil"/>
              <w:right w:val="nil"/>
            </w:tcBorders>
            <w:shd w:val="clear" w:color="000000" w:fill="E6F2FF"/>
            <w:noWrap/>
            <w:vAlign w:val="center"/>
            <w:hideMark/>
          </w:tcPr>
          <w:p w14:paraId="10BE206E"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68EEE5B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2FEE86F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6CBBF55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01BFD50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375B95CE"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54C393FA"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3239B8F4" w14:textId="77777777" w:rsidR="007204BB" w:rsidRPr="00286258" w:rsidRDefault="007204BB" w:rsidP="007204BB">
            <w:pPr>
              <w:spacing w:before="0" w:after="0" w:line="240" w:lineRule="auto"/>
              <w:ind w:left="170"/>
              <w:rPr>
                <w:rFonts w:ascii="Arial" w:hAnsi="Arial" w:cs="Arial"/>
                <w:b/>
                <w:sz w:val="16"/>
                <w:szCs w:val="16"/>
                <w:highlight w:val="darkCyan"/>
              </w:rPr>
            </w:pPr>
            <w:r w:rsidRPr="000D21DA">
              <w:rPr>
                <w:rFonts w:ascii="Arial" w:hAnsi="Arial" w:cs="Arial"/>
                <w:b/>
                <w:sz w:val="16"/>
                <w:szCs w:val="16"/>
              </w:rPr>
              <w:t>2022-23 October Budget</w:t>
            </w:r>
          </w:p>
        </w:tc>
        <w:tc>
          <w:tcPr>
            <w:tcW w:w="448" w:type="pct"/>
            <w:tcBorders>
              <w:top w:val="nil"/>
              <w:left w:val="nil"/>
              <w:bottom w:val="nil"/>
              <w:right w:val="nil"/>
            </w:tcBorders>
            <w:shd w:val="clear" w:color="000000" w:fill="E6F2FF"/>
            <w:noWrap/>
            <w:vAlign w:val="center"/>
            <w:hideMark/>
          </w:tcPr>
          <w:p w14:paraId="6B79284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220A279F"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7A9EC8B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3886F90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2D0C9F1E"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58411B5D"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175B5C7E"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6E10CBD0"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Effect of policy decisions(a)(b)</w:t>
            </w:r>
          </w:p>
        </w:tc>
        <w:tc>
          <w:tcPr>
            <w:tcW w:w="448" w:type="pct"/>
            <w:tcBorders>
              <w:top w:val="nil"/>
              <w:left w:val="nil"/>
              <w:bottom w:val="nil"/>
              <w:right w:val="nil"/>
            </w:tcBorders>
            <w:shd w:val="clear" w:color="000000" w:fill="E6F2FF"/>
            <w:noWrap/>
            <w:vAlign w:val="center"/>
            <w:hideMark/>
          </w:tcPr>
          <w:p w14:paraId="1567DD4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CA0CA3A"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F7B005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3CC7F6D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5E54B67F"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72EA08AA"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3552C2BE"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26F815A2" w14:textId="77777777" w:rsidR="007204BB" w:rsidRPr="00286258" w:rsidRDefault="007204BB" w:rsidP="007204BB">
            <w:pPr>
              <w:spacing w:before="0" w:after="0" w:line="240" w:lineRule="auto"/>
              <w:ind w:left="170"/>
              <w:rPr>
                <w:rFonts w:ascii="Arial" w:hAnsi="Arial" w:cs="Arial"/>
                <w:i/>
                <w:sz w:val="16"/>
                <w:szCs w:val="16"/>
                <w:highlight w:val="darkCyan"/>
              </w:rPr>
            </w:pPr>
            <w:r w:rsidRPr="000D21DA">
              <w:rPr>
                <w:rFonts w:ascii="Arial" w:hAnsi="Arial" w:cs="Arial"/>
                <w:i/>
                <w:sz w:val="16"/>
                <w:szCs w:val="16"/>
              </w:rPr>
              <w:t>Revenue</w:t>
            </w:r>
          </w:p>
        </w:tc>
        <w:tc>
          <w:tcPr>
            <w:tcW w:w="448" w:type="pct"/>
            <w:tcBorders>
              <w:top w:val="nil"/>
              <w:left w:val="nil"/>
              <w:bottom w:val="nil"/>
              <w:right w:val="nil"/>
            </w:tcBorders>
            <w:shd w:val="clear" w:color="000000" w:fill="E6F2FF"/>
            <w:noWrap/>
            <w:vAlign w:val="center"/>
            <w:hideMark/>
          </w:tcPr>
          <w:p w14:paraId="1662A2C0"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1,766</w:t>
            </w:r>
          </w:p>
        </w:tc>
        <w:tc>
          <w:tcPr>
            <w:tcW w:w="448" w:type="pct"/>
            <w:tcBorders>
              <w:top w:val="nil"/>
              <w:left w:val="nil"/>
              <w:bottom w:val="nil"/>
              <w:right w:val="nil"/>
            </w:tcBorders>
            <w:shd w:val="clear" w:color="000000" w:fill="FFFFFF"/>
            <w:noWrap/>
            <w:vAlign w:val="center"/>
            <w:hideMark/>
          </w:tcPr>
          <w:p w14:paraId="610A4A62"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3,156</w:t>
            </w:r>
          </w:p>
        </w:tc>
        <w:tc>
          <w:tcPr>
            <w:tcW w:w="448" w:type="pct"/>
            <w:tcBorders>
              <w:top w:val="nil"/>
              <w:left w:val="nil"/>
              <w:bottom w:val="nil"/>
              <w:right w:val="nil"/>
            </w:tcBorders>
            <w:shd w:val="clear" w:color="000000" w:fill="FFFFFF"/>
            <w:noWrap/>
            <w:vAlign w:val="center"/>
            <w:hideMark/>
          </w:tcPr>
          <w:p w14:paraId="62D47900"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4,364</w:t>
            </w:r>
          </w:p>
        </w:tc>
        <w:tc>
          <w:tcPr>
            <w:tcW w:w="448" w:type="pct"/>
            <w:tcBorders>
              <w:top w:val="nil"/>
              <w:left w:val="nil"/>
              <w:bottom w:val="nil"/>
              <w:right w:val="nil"/>
            </w:tcBorders>
            <w:shd w:val="clear" w:color="000000" w:fill="FFFFFF"/>
            <w:noWrap/>
            <w:vAlign w:val="center"/>
            <w:hideMark/>
          </w:tcPr>
          <w:p w14:paraId="0C32E851"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6,065</w:t>
            </w:r>
          </w:p>
        </w:tc>
        <w:tc>
          <w:tcPr>
            <w:tcW w:w="60" w:type="pct"/>
            <w:tcBorders>
              <w:top w:val="nil"/>
              <w:left w:val="nil"/>
              <w:bottom w:val="nil"/>
              <w:right w:val="nil"/>
            </w:tcBorders>
            <w:shd w:val="clear" w:color="000000" w:fill="FFFFFF"/>
            <w:noWrap/>
            <w:vAlign w:val="center"/>
            <w:hideMark/>
          </w:tcPr>
          <w:p w14:paraId="180733CF"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 </w:t>
            </w:r>
          </w:p>
        </w:tc>
        <w:tc>
          <w:tcPr>
            <w:tcW w:w="722" w:type="pct"/>
            <w:tcBorders>
              <w:top w:val="nil"/>
              <w:left w:val="nil"/>
              <w:bottom w:val="nil"/>
              <w:right w:val="nil"/>
            </w:tcBorders>
            <w:shd w:val="clear" w:color="000000" w:fill="FFFFFF"/>
            <w:noWrap/>
            <w:vAlign w:val="center"/>
            <w:hideMark/>
          </w:tcPr>
          <w:p w14:paraId="675B5181" w14:textId="77777777" w:rsidR="007204BB" w:rsidRPr="000D21DA" w:rsidRDefault="007204BB" w:rsidP="007204BB">
            <w:pPr>
              <w:spacing w:before="0" w:after="0" w:line="240" w:lineRule="auto"/>
              <w:jc w:val="right"/>
              <w:rPr>
                <w:rFonts w:ascii="Arial" w:hAnsi="Arial" w:cs="Arial"/>
                <w:i/>
                <w:sz w:val="16"/>
                <w:szCs w:val="16"/>
              </w:rPr>
            </w:pPr>
            <w:r w:rsidRPr="000D21DA">
              <w:rPr>
                <w:rFonts w:ascii="Arial" w:hAnsi="Arial" w:cs="Arial"/>
                <w:i/>
                <w:sz w:val="16"/>
                <w:szCs w:val="16"/>
              </w:rPr>
              <w:t>15,351</w:t>
            </w:r>
          </w:p>
        </w:tc>
      </w:tr>
      <w:tr w:rsidR="007204BB" w:rsidRPr="0093683C" w14:paraId="2D023D4C"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4305B6AF" w14:textId="77777777" w:rsidR="007204BB" w:rsidRPr="00286258" w:rsidRDefault="007204BB" w:rsidP="007204BB">
            <w:pPr>
              <w:spacing w:before="0" w:after="0" w:line="240" w:lineRule="auto"/>
              <w:ind w:left="170"/>
              <w:rPr>
                <w:rFonts w:ascii="Arial" w:hAnsi="Arial" w:cs="Arial"/>
                <w:i/>
                <w:sz w:val="16"/>
                <w:szCs w:val="16"/>
                <w:highlight w:val="darkCyan"/>
              </w:rPr>
            </w:pPr>
            <w:r w:rsidRPr="000D21DA">
              <w:rPr>
                <w:rFonts w:ascii="Arial" w:hAnsi="Arial" w:cs="Arial"/>
                <w:i/>
                <w:sz w:val="16"/>
                <w:szCs w:val="16"/>
              </w:rPr>
              <w:t xml:space="preserve">Expenses </w:t>
            </w:r>
          </w:p>
        </w:tc>
        <w:tc>
          <w:tcPr>
            <w:tcW w:w="448" w:type="pct"/>
            <w:tcBorders>
              <w:top w:val="nil"/>
              <w:left w:val="nil"/>
              <w:bottom w:val="nil"/>
              <w:right w:val="nil"/>
            </w:tcBorders>
            <w:shd w:val="clear" w:color="000000" w:fill="E6F2FF"/>
            <w:noWrap/>
            <w:vAlign w:val="center"/>
            <w:hideMark/>
          </w:tcPr>
          <w:p w14:paraId="4D3E323D"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2,420</w:t>
            </w:r>
          </w:p>
        </w:tc>
        <w:tc>
          <w:tcPr>
            <w:tcW w:w="448" w:type="pct"/>
            <w:tcBorders>
              <w:top w:val="nil"/>
              <w:left w:val="nil"/>
              <w:bottom w:val="nil"/>
              <w:right w:val="nil"/>
            </w:tcBorders>
            <w:shd w:val="clear" w:color="000000" w:fill="FFFFFF"/>
            <w:noWrap/>
            <w:vAlign w:val="center"/>
            <w:hideMark/>
          </w:tcPr>
          <w:p w14:paraId="661A1FC1"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1,815</w:t>
            </w:r>
          </w:p>
        </w:tc>
        <w:tc>
          <w:tcPr>
            <w:tcW w:w="448" w:type="pct"/>
            <w:tcBorders>
              <w:top w:val="nil"/>
              <w:left w:val="nil"/>
              <w:bottom w:val="nil"/>
              <w:right w:val="nil"/>
            </w:tcBorders>
            <w:shd w:val="clear" w:color="000000" w:fill="FFFFFF"/>
            <w:noWrap/>
            <w:vAlign w:val="center"/>
            <w:hideMark/>
          </w:tcPr>
          <w:p w14:paraId="134127E7"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9,802</w:t>
            </w:r>
          </w:p>
        </w:tc>
        <w:tc>
          <w:tcPr>
            <w:tcW w:w="448" w:type="pct"/>
            <w:tcBorders>
              <w:top w:val="nil"/>
              <w:left w:val="nil"/>
              <w:bottom w:val="nil"/>
              <w:right w:val="nil"/>
            </w:tcBorders>
            <w:shd w:val="clear" w:color="000000" w:fill="FFFFFF"/>
            <w:noWrap/>
            <w:vAlign w:val="center"/>
            <w:hideMark/>
          </w:tcPr>
          <w:p w14:paraId="45A474E7"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13,174</w:t>
            </w:r>
          </w:p>
        </w:tc>
        <w:tc>
          <w:tcPr>
            <w:tcW w:w="60" w:type="pct"/>
            <w:tcBorders>
              <w:top w:val="nil"/>
              <w:left w:val="nil"/>
              <w:bottom w:val="nil"/>
              <w:right w:val="nil"/>
            </w:tcBorders>
            <w:shd w:val="clear" w:color="000000" w:fill="FFFFFF"/>
            <w:noWrap/>
            <w:vAlign w:val="center"/>
            <w:hideMark/>
          </w:tcPr>
          <w:p w14:paraId="51258D4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28AA6C1C" w14:textId="77777777" w:rsidR="007204BB" w:rsidRPr="000D21DA" w:rsidRDefault="007204BB" w:rsidP="007204BB">
            <w:pPr>
              <w:spacing w:before="0" w:after="0" w:line="240" w:lineRule="auto"/>
              <w:jc w:val="right"/>
              <w:rPr>
                <w:rFonts w:ascii="Arial" w:hAnsi="Arial" w:cs="Arial"/>
                <w:i/>
                <w:sz w:val="16"/>
                <w:szCs w:val="16"/>
              </w:rPr>
            </w:pPr>
            <w:r w:rsidRPr="000D21DA">
              <w:rPr>
                <w:rFonts w:ascii="Arial" w:hAnsi="Arial" w:cs="Arial"/>
                <w:i/>
                <w:sz w:val="16"/>
                <w:szCs w:val="16"/>
              </w:rPr>
              <w:t>27,211</w:t>
            </w:r>
          </w:p>
        </w:tc>
      </w:tr>
      <w:tr w:rsidR="007204BB" w:rsidRPr="0093683C" w14:paraId="7368F909"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49F65F41" w14:textId="77777777" w:rsidR="007204BB" w:rsidRPr="00286258" w:rsidRDefault="007204BB" w:rsidP="007204BB">
            <w:pPr>
              <w:spacing w:before="0" w:after="0" w:line="240" w:lineRule="auto"/>
              <w:ind w:left="170"/>
              <w:rPr>
                <w:rFonts w:ascii="Arial" w:hAnsi="Arial" w:cs="Arial"/>
                <w:i/>
                <w:sz w:val="16"/>
                <w:szCs w:val="16"/>
                <w:highlight w:val="darkCyan"/>
              </w:rPr>
            </w:pPr>
            <w:r w:rsidRPr="000D21DA">
              <w:rPr>
                <w:rFonts w:ascii="Arial" w:hAnsi="Arial" w:cs="Arial"/>
                <w:i/>
                <w:sz w:val="16"/>
                <w:szCs w:val="16"/>
              </w:rPr>
              <w:t>Net capital investment</w:t>
            </w:r>
          </w:p>
        </w:tc>
        <w:tc>
          <w:tcPr>
            <w:tcW w:w="448" w:type="pct"/>
            <w:tcBorders>
              <w:top w:val="nil"/>
              <w:left w:val="nil"/>
              <w:bottom w:val="single" w:sz="4" w:space="0" w:color="000000"/>
              <w:right w:val="nil"/>
            </w:tcBorders>
            <w:shd w:val="clear" w:color="000000" w:fill="E6F2FF"/>
            <w:noWrap/>
            <w:vAlign w:val="center"/>
            <w:hideMark/>
          </w:tcPr>
          <w:p w14:paraId="0BB127DE"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121</w:t>
            </w:r>
          </w:p>
        </w:tc>
        <w:tc>
          <w:tcPr>
            <w:tcW w:w="448" w:type="pct"/>
            <w:tcBorders>
              <w:top w:val="nil"/>
              <w:left w:val="nil"/>
              <w:bottom w:val="single" w:sz="4" w:space="0" w:color="000000"/>
              <w:right w:val="nil"/>
            </w:tcBorders>
            <w:shd w:val="clear" w:color="000000" w:fill="FFFFFF"/>
            <w:noWrap/>
            <w:vAlign w:val="center"/>
            <w:hideMark/>
          </w:tcPr>
          <w:p w14:paraId="26532EAA"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213</w:t>
            </w:r>
          </w:p>
        </w:tc>
        <w:tc>
          <w:tcPr>
            <w:tcW w:w="448" w:type="pct"/>
            <w:tcBorders>
              <w:top w:val="nil"/>
              <w:left w:val="nil"/>
              <w:bottom w:val="single" w:sz="4" w:space="0" w:color="000000"/>
              <w:right w:val="nil"/>
            </w:tcBorders>
            <w:shd w:val="clear" w:color="000000" w:fill="FFFFFF"/>
            <w:noWrap/>
            <w:vAlign w:val="center"/>
            <w:hideMark/>
          </w:tcPr>
          <w:p w14:paraId="60320061"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268</w:t>
            </w:r>
          </w:p>
        </w:tc>
        <w:tc>
          <w:tcPr>
            <w:tcW w:w="448" w:type="pct"/>
            <w:tcBorders>
              <w:top w:val="nil"/>
              <w:left w:val="nil"/>
              <w:bottom w:val="single" w:sz="4" w:space="0" w:color="000000"/>
              <w:right w:val="nil"/>
            </w:tcBorders>
            <w:shd w:val="clear" w:color="000000" w:fill="FFFFFF"/>
            <w:noWrap/>
            <w:vAlign w:val="center"/>
            <w:hideMark/>
          </w:tcPr>
          <w:p w14:paraId="79457428"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380</w:t>
            </w:r>
          </w:p>
        </w:tc>
        <w:tc>
          <w:tcPr>
            <w:tcW w:w="60" w:type="pct"/>
            <w:tcBorders>
              <w:top w:val="nil"/>
              <w:left w:val="nil"/>
              <w:bottom w:val="single" w:sz="4" w:space="0" w:color="000000"/>
              <w:right w:val="nil"/>
            </w:tcBorders>
            <w:shd w:val="clear" w:color="000000" w:fill="FFFFFF"/>
            <w:noWrap/>
            <w:vAlign w:val="center"/>
            <w:hideMark/>
          </w:tcPr>
          <w:p w14:paraId="78862A73"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 </w:t>
            </w:r>
          </w:p>
        </w:tc>
        <w:tc>
          <w:tcPr>
            <w:tcW w:w="722" w:type="pct"/>
            <w:tcBorders>
              <w:top w:val="nil"/>
              <w:left w:val="nil"/>
              <w:bottom w:val="single" w:sz="4" w:space="0" w:color="000000"/>
              <w:right w:val="nil"/>
            </w:tcBorders>
            <w:shd w:val="clear" w:color="000000" w:fill="FFFFFF"/>
            <w:noWrap/>
            <w:vAlign w:val="center"/>
            <w:hideMark/>
          </w:tcPr>
          <w:p w14:paraId="4E176ACC" w14:textId="77777777" w:rsidR="007204BB" w:rsidRPr="000D21DA" w:rsidRDefault="007204BB" w:rsidP="007204BB">
            <w:pPr>
              <w:spacing w:before="0" w:after="0" w:line="240" w:lineRule="auto"/>
              <w:jc w:val="right"/>
              <w:rPr>
                <w:rFonts w:ascii="Arial" w:hAnsi="Arial" w:cs="Arial"/>
                <w:i/>
                <w:sz w:val="16"/>
                <w:szCs w:val="16"/>
              </w:rPr>
            </w:pPr>
            <w:r w:rsidRPr="000D21DA">
              <w:rPr>
                <w:rFonts w:ascii="Arial" w:hAnsi="Arial" w:cs="Arial"/>
                <w:i/>
                <w:sz w:val="16"/>
                <w:szCs w:val="16"/>
              </w:rPr>
              <w:t>982</w:t>
            </w:r>
          </w:p>
        </w:tc>
      </w:tr>
      <w:tr w:rsidR="007204BB" w:rsidRPr="0093683C" w14:paraId="4EB4CB94" w14:textId="77777777" w:rsidTr="007204BB">
        <w:trPr>
          <w:trHeight w:hRule="exact" w:val="225"/>
        </w:trPr>
        <w:tc>
          <w:tcPr>
            <w:tcW w:w="2427" w:type="pct"/>
            <w:tcBorders>
              <w:top w:val="nil"/>
              <w:left w:val="nil"/>
              <w:bottom w:val="nil"/>
              <w:right w:val="nil"/>
            </w:tcBorders>
            <w:shd w:val="clear" w:color="000000" w:fill="FFFFFF"/>
            <w:noWrap/>
            <w:vAlign w:val="bottom"/>
            <w:hideMark/>
          </w:tcPr>
          <w:p w14:paraId="1D26C1D0"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Total policy decisions impact on fiscal balance</w:t>
            </w:r>
          </w:p>
        </w:tc>
        <w:tc>
          <w:tcPr>
            <w:tcW w:w="448" w:type="pct"/>
            <w:tcBorders>
              <w:top w:val="nil"/>
              <w:left w:val="nil"/>
              <w:bottom w:val="single" w:sz="4" w:space="0" w:color="000000"/>
              <w:right w:val="nil"/>
            </w:tcBorders>
            <w:shd w:val="clear" w:color="000000" w:fill="E6F2FF"/>
            <w:vAlign w:val="center"/>
            <w:hideMark/>
          </w:tcPr>
          <w:p w14:paraId="72E5FFA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-775</w:t>
            </w:r>
          </w:p>
        </w:tc>
        <w:tc>
          <w:tcPr>
            <w:tcW w:w="448" w:type="pct"/>
            <w:tcBorders>
              <w:top w:val="nil"/>
              <w:left w:val="nil"/>
              <w:bottom w:val="single" w:sz="4" w:space="0" w:color="000000"/>
              <w:right w:val="nil"/>
            </w:tcBorders>
            <w:shd w:val="clear" w:color="000000" w:fill="FFFFFF"/>
            <w:vAlign w:val="center"/>
            <w:hideMark/>
          </w:tcPr>
          <w:p w14:paraId="7C8CD71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1,128</w:t>
            </w:r>
          </w:p>
        </w:tc>
        <w:tc>
          <w:tcPr>
            <w:tcW w:w="448" w:type="pct"/>
            <w:tcBorders>
              <w:top w:val="nil"/>
              <w:left w:val="nil"/>
              <w:bottom w:val="single" w:sz="4" w:space="0" w:color="000000"/>
              <w:right w:val="nil"/>
            </w:tcBorders>
            <w:shd w:val="clear" w:color="000000" w:fill="FFFFFF"/>
            <w:vAlign w:val="center"/>
            <w:hideMark/>
          </w:tcPr>
          <w:p w14:paraId="4224ADA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-5,706</w:t>
            </w:r>
          </w:p>
        </w:tc>
        <w:tc>
          <w:tcPr>
            <w:tcW w:w="448" w:type="pct"/>
            <w:tcBorders>
              <w:top w:val="nil"/>
              <w:left w:val="nil"/>
              <w:bottom w:val="single" w:sz="4" w:space="0" w:color="000000"/>
              <w:right w:val="nil"/>
            </w:tcBorders>
            <w:shd w:val="clear" w:color="000000" w:fill="FFFFFF"/>
            <w:vAlign w:val="center"/>
            <w:hideMark/>
          </w:tcPr>
          <w:p w14:paraId="1425C15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-7,489</w:t>
            </w:r>
          </w:p>
        </w:tc>
        <w:tc>
          <w:tcPr>
            <w:tcW w:w="60" w:type="pct"/>
            <w:tcBorders>
              <w:top w:val="nil"/>
              <w:left w:val="nil"/>
              <w:bottom w:val="nil"/>
              <w:right w:val="nil"/>
            </w:tcBorders>
            <w:shd w:val="clear" w:color="000000" w:fill="FFFFFF"/>
            <w:vAlign w:val="center"/>
            <w:hideMark/>
          </w:tcPr>
          <w:p w14:paraId="07772E3B"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722" w:type="pct"/>
            <w:tcBorders>
              <w:top w:val="single" w:sz="4" w:space="0" w:color="auto"/>
              <w:left w:val="nil"/>
              <w:bottom w:val="single" w:sz="4" w:space="0" w:color="auto"/>
              <w:right w:val="nil"/>
            </w:tcBorders>
            <w:shd w:val="clear" w:color="000000" w:fill="FFFFFF"/>
            <w:noWrap/>
            <w:vAlign w:val="center"/>
            <w:hideMark/>
          </w:tcPr>
          <w:p w14:paraId="02353812"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-12,842</w:t>
            </w:r>
          </w:p>
        </w:tc>
      </w:tr>
      <w:tr w:rsidR="007204BB" w:rsidRPr="0093683C" w14:paraId="4CFE8DC4" w14:textId="77777777" w:rsidTr="007204BB">
        <w:trPr>
          <w:trHeight w:hRule="exact" w:val="60"/>
        </w:trPr>
        <w:tc>
          <w:tcPr>
            <w:tcW w:w="2427" w:type="pct"/>
            <w:tcBorders>
              <w:top w:val="nil"/>
              <w:left w:val="nil"/>
              <w:bottom w:val="nil"/>
              <w:right w:val="nil"/>
            </w:tcBorders>
            <w:shd w:val="clear" w:color="000000" w:fill="FFFFFF"/>
            <w:noWrap/>
            <w:vAlign w:val="center"/>
            <w:hideMark/>
          </w:tcPr>
          <w:p w14:paraId="08F2B9B9"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E6F2FF"/>
            <w:noWrap/>
            <w:vAlign w:val="center"/>
            <w:hideMark/>
          </w:tcPr>
          <w:p w14:paraId="62CBA73A"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39DB3EAD"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2B004E3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5C44B0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167EF8E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201E7F18"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12512063"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5C916E12"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Effect of parameter and other variations(b)</w:t>
            </w:r>
          </w:p>
        </w:tc>
        <w:tc>
          <w:tcPr>
            <w:tcW w:w="448" w:type="pct"/>
            <w:tcBorders>
              <w:top w:val="nil"/>
              <w:left w:val="nil"/>
              <w:bottom w:val="nil"/>
              <w:right w:val="nil"/>
            </w:tcBorders>
            <w:shd w:val="clear" w:color="000000" w:fill="E6F2FF"/>
            <w:noWrap/>
            <w:vAlign w:val="center"/>
            <w:hideMark/>
          </w:tcPr>
          <w:p w14:paraId="5238888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DDA4A4E"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1A617312"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2788402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3110C32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6B1B5322"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7F3BCDD4"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4D543222" w14:textId="77777777" w:rsidR="007204BB" w:rsidRPr="00286258" w:rsidRDefault="007204BB" w:rsidP="007204BB">
            <w:pPr>
              <w:spacing w:before="0" w:after="0" w:line="240" w:lineRule="auto"/>
              <w:ind w:left="170"/>
              <w:rPr>
                <w:rFonts w:ascii="Arial" w:hAnsi="Arial" w:cs="Arial"/>
                <w:i/>
                <w:sz w:val="16"/>
                <w:szCs w:val="16"/>
                <w:highlight w:val="darkCyan"/>
              </w:rPr>
            </w:pPr>
            <w:r w:rsidRPr="000D21DA">
              <w:rPr>
                <w:rFonts w:ascii="Arial" w:hAnsi="Arial" w:cs="Arial"/>
                <w:i/>
                <w:sz w:val="16"/>
                <w:szCs w:val="16"/>
              </w:rPr>
              <w:t>Revenue</w:t>
            </w:r>
          </w:p>
        </w:tc>
        <w:tc>
          <w:tcPr>
            <w:tcW w:w="448" w:type="pct"/>
            <w:tcBorders>
              <w:top w:val="nil"/>
              <w:left w:val="nil"/>
              <w:bottom w:val="nil"/>
              <w:right w:val="nil"/>
            </w:tcBorders>
            <w:shd w:val="clear" w:color="000000" w:fill="E6F2FF"/>
            <w:noWrap/>
            <w:vAlign w:val="center"/>
            <w:hideMark/>
          </w:tcPr>
          <w:p w14:paraId="321416B9"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61,403</w:t>
            </w:r>
          </w:p>
        </w:tc>
        <w:tc>
          <w:tcPr>
            <w:tcW w:w="448" w:type="pct"/>
            <w:tcBorders>
              <w:top w:val="nil"/>
              <w:left w:val="nil"/>
              <w:bottom w:val="nil"/>
              <w:right w:val="nil"/>
            </w:tcBorders>
            <w:shd w:val="clear" w:color="000000" w:fill="FFFFFF"/>
            <w:noWrap/>
            <w:vAlign w:val="center"/>
            <w:hideMark/>
          </w:tcPr>
          <w:p w14:paraId="47B87EEA"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34,642</w:t>
            </w:r>
          </w:p>
        </w:tc>
        <w:tc>
          <w:tcPr>
            <w:tcW w:w="448" w:type="pct"/>
            <w:tcBorders>
              <w:top w:val="nil"/>
              <w:left w:val="nil"/>
              <w:bottom w:val="nil"/>
              <w:right w:val="nil"/>
            </w:tcBorders>
            <w:shd w:val="clear" w:color="000000" w:fill="FFFFFF"/>
            <w:noWrap/>
            <w:vAlign w:val="center"/>
            <w:hideMark/>
          </w:tcPr>
          <w:p w14:paraId="0BE9AA55"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23,040</w:t>
            </w:r>
          </w:p>
        </w:tc>
        <w:tc>
          <w:tcPr>
            <w:tcW w:w="448" w:type="pct"/>
            <w:tcBorders>
              <w:top w:val="nil"/>
              <w:left w:val="nil"/>
              <w:bottom w:val="nil"/>
              <w:right w:val="nil"/>
            </w:tcBorders>
            <w:shd w:val="clear" w:color="000000" w:fill="FFFFFF"/>
            <w:noWrap/>
            <w:vAlign w:val="center"/>
            <w:hideMark/>
          </w:tcPr>
          <w:p w14:paraId="1E3831C2"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29,707</w:t>
            </w:r>
          </w:p>
        </w:tc>
        <w:tc>
          <w:tcPr>
            <w:tcW w:w="60" w:type="pct"/>
            <w:tcBorders>
              <w:top w:val="nil"/>
              <w:left w:val="nil"/>
              <w:bottom w:val="nil"/>
              <w:right w:val="nil"/>
            </w:tcBorders>
            <w:shd w:val="clear" w:color="000000" w:fill="FFFFFF"/>
            <w:noWrap/>
            <w:vAlign w:val="center"/>
            <w:hideMark/>
          </w:tcPr>
          <w:p w14:paraId="6CD99FC3"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 </w:t>
            </w:r>
          </w:p>
        </w:tc>
        <w:tc>
          <w:tcPr>
            <w:tcW w:w="722" w:type="pct"/>
            <w:tcBorders>
              <w:top w:val="nil"/>
              <w:left w:val="nil"/>
              <w:bottom w:val="nil"/>
              <w:right w:val="nil"/>
            </w:tcBorders>
            <w:shd w:val="clear" w:color="000000" w:fill="FFFFFF"/>
            <w:noWrap/>
            <w:vAlign w:val="center"/>
            <w:hideMark/>
          </w:tcPr>
          <w:p w14:paraId="73D2F632" w14:textId="77777777" w:rsidR="007204BB" w:rsidRPr="000D21DA" w:rsidRDefault="007204BB" w:rsidP="007204BB">
            <w:pPr>
              <w:spacing w:before="0" w:after="0" w:line="240" w:lineRule="auto"/>
              <w:jc w:val="right"/>
              <w:rPr>
                <w:rFonts w:ascii="Arial" w:hAnsi="Arial" w:cs="Arial"/>
                <w:i/>
                <w:sz w:val="16"/>
                <w:szCs w:val="16"/>
              </w:rPr>
            </w:pPr>
            <w:r w:rsidRPr="000D21DA">
              <w:rPr>
                <w:rFonts w:ascii="Arial" w:hAnsi="Arial" w:cs="Arial"/>
                <w:i/>
                <w:sz w:val="16"/>
                <w:szCs w:val="16"/>
              </w:rPr>
              <w:t>148,791</w:t>
            </w:r>
          </w:p>
        </w:tc>
      </w:tr>
      <w:tr w:rsidR="007204BB" w:rsidRPr="0093683C" w14:paraId="430ED3B6"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34542CFC" w14:textId="77777777" w:rsidR="007204BB" w:rsidRPr="00286258" w:rsidRDefault="007204BB" w:rsidP="007204BB">
            <w:pPr>
              <w:spacing w:before="0" w:after="0" w:line="240" w:lineRule="auto"/>
              <w:ind w:left="170"/>
              <w:rPr>
                <w:rFonts w:ascii="Arial" w:hAnsi="Arial" w:cs="Arial"/>
                <w:i/>
                <w:sz w:val="16"/>
                <w:szCs w:val="16"/>
                <w:highlight w:val="darkCyan"/>
              </w:rPr>
            </w:pPr>
            <w:r w:rsidRPr="000D21DA">
              <w:rPr>
                <w:rFonts w:ascii="Arial" w:hAnsi="Arial" w:cs="Arial"/>
                <w:i/>
                <w:sz w:val="16"/>
                <w:szCs w:val="16"/>
              </w:rPr>
              <w:t xml:space="preserve">Expenses </w:t>
            </w:r>
          </w:p>
        </w:tc>
        <w:tc>
          <w:tcPr>
            <w:tcW w:w="448" w:type="pct"/>
            <w:tcBorders>
              <w:top w:val="nil"/>
              <w:left w:val="nil"/>
              <w:bottom w:val="nil"/>
              <w:right w:val="nil"/>
            </w:tcBorders>
            <w:shd w:val="clear" w:color="000000" w:fill="E6F2FF"/>
            <w:noWrap/>
            <w:vAlign w:val="center"/>
            <w:hideMark/>
          </w:tcPr>
          <w:p w14:paraId="1C4E99D7"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19,424</w:t>
            </w:r>
          </w:p>
        </w:tc>
        <w:tc>
          <w:tcPr>
            <w:tcW w:w="448" w:type="pct"/>
            <w:tcBorders>
              <w:top w:val="nil"/>
              <w:left w:val="nil"/>
              <w:bottom w:val="nil"/>
              <w:right w:val="nil"/>
            </w:tcBorders>
            <w:shd w:val="clear" w:color="000000" w:fill="FFFFFF"/>
            <w:noWrap/>
            <w:vAlign w:val="center"/>
            <w:hideMark/>
          </w:tcPr>
          <w:p w14:paraId="0E707BDD"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20,855</w:t>
            </w:r>
          </w:p>
        </w:tc>
        <w:tc>
          <w:tcPr>
            <w:tcW w:w="448" w:type="pct"/>
            <w:tcBorders>
              <w:top w:val="nil"/>
              <w:left w:val="nil"/>
              <w:bottom w:val="nil"/>
              <w:right w:val="nil"/>
            </w:tcBorders>
            <w:shd w:val="clear" w:color="000000" w:fill="FFFFFF"/>
            <w:noWrap/>
            <w:vAlign w:val="center"/>
            <w:hideMark/>
          </w:tcPr>
          <w:p w14:paraId="0C4C8DF4"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27,145</w:t>
            </w:r>
          </w:p>
        </w:tc>
        <w:tc>
          <w:tcPr>
            <w:tcW w:w="448" w:type="pct"/>
            <w:tcBorders>
              <w:top w:val="nil"/>
              <w:left w:val="nil"/>
              <w:bottom w:val="nil"/>
              <w:right w:val="nil"/>
            </w:tcBorders>
            <w:shd w:val="clear" w:color="000000" w:fill="FFFFFF"/>
            <w:noWrap/>
            <w:vAlign w:val="center"/>
            <w:hideMark/>
          </w:tcPr>
          <w:p w14:paraId="6FEE73BF"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31,077</w:t>
            </w:r>
          </w:p>
        </w:tc>
        <w:tc>
          <w:tcPr>
            <w:tcW w:w="60" w:type="pct"/>
            <w:tcBorders>
              <w:top w:val="nil"/>
              <w:left w:val="nil"/>
              <w:bottom w:val="nil"/>
              <w:right w:val="nil"/>
            </w:tcBorders>
            <w:shd w:val="clear" w:color="000000" w:fill="FFFFFF"/>
            <w:noWrap/>
            <w:vAlign w:val="center"/>
            <w:hideMark/>
          </w:tcPr>
          <w:p w14:paraId="29DB69BD"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 </w:t>
            </w:r>
          </w:p>
        </w:tc>
        <w:tc>
          <w:tcPr>
            <w:tcW w:w="722" w:type="pct"/>
            <w:tcBorders>
              <w:top w:val="nil"/>
              <w:left w:val="nil"/>
              <w:bottom w:val="nil"/>
              <w:right w:val="nil"/>
            </w:tcBorders>
            <w:shd w:val="clear" w:color="000000" w:fill="FFFFFF"/>
            <w:noWrap/>
            <w:vAlign w:val="center"/>
            <w:hideMark/>
          </w:tcPr>
          <w:p w14:paraId="61743B2B" w14:textId="77777777" w:rsidR="007204BB" w:rsidRPr="000D21DA" w:rsidRDefault="007204BB" w:rsidP="007204BB">
            <w:pPr>
              <w:spacing w:before="0" w:after="0" w:line="240" w:lineRule="auto"/>
              <w:jc w:val="right"/>
              <w:rPr>
                <w:rFonts w:ascii="Arial" w:hAnsi="Arial" w:cs="Arial"/>
                <w:i/>
                <w:sz w:val="16"/>
                <w:szCs w:val="16"/>
              </w:rPr>
            </w:pPr>
            <w:r w:rsidRPr="000D21DA">
              <w:rPr>
                <w:rFonts w:ascii="Arial" w:hAnsi="Arial" w:cs="Arial"/>
                <w:i/>
                <w:sz w:val="16"/>
                <w:szCs w:val="16"/>
              </w:rPr>
              <w:t>98,500</w:t>
            </w:r>
          </w:p>
        </w:tc>
      </w:tr>
      <w:tr w:rsidR="007204BB" w:rsidRPr="0093683C" w14:paraId="3D92F1DF"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2ADCC6F5" w14:textId="77777777" w:rsidR="007204BB" w:rsidRPr="00286258" w:rsidRDefault="007204BB" w:rsidP="007204BB">
            <w:pPr>
              <w:spacing w:before="0" w:after="0" w:line="240" w:lineRule="auto"/>
              <w:ind w:left="170"/>
              <w:rPr>
                <w:rFonts w:ascii="Arial" w:hAnsi="Arial" w:cs="Arial"/>
                <w:i/>
                <w:sz w:val="16"/>
                <w:szCs w:val="16"/>
                <w:highlight w:val="darkCyan"/>
              </w:rPr>
            </w:pPr>
            <w:r w:rsidRPr="000D21DA">
              <w:rPr>
                <w:rFonts w:ascii="Arial" w:hAnsi="Arial" w:cs="Arial"/>
                <w:i/>
                <w:sz w:val="16"/>
                <w:szCs w:val="16"/>
              </w:rPr>
              <w:t>Net capital investment</w:t>
            </w:r>
          </w:p>
        </w:tc>
        <w:tc>
          <w:tcPr>
            <w:tcW w:w="448" w:type="pct"/>
            <w:tcBorders>
              <w:top w:val="nil"/>
              <w:left w:val="nil"/>
              <w:bottom w:val="single" w:sz="4" w:space="0" w:color="000000"/>
              <w:right w:val="nil"/>
            </w:tcBorders>
            <w:shd w:val="clear" w:color="000000" w:fill="E6F2FF"/>
            <w:noWrap/>
            <w:vAlign w:val="center"/>
            <w:hideMark/>
          </w:tcPr>
          <w:p w14:paraId="72C976AC"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1,329</w:t>
            </w:r>
          </w:p>
        </w:tc>
        <w:tc>
          <w:tcPr>
            <w:tcW w:w="448" w:type="pct"/>
            <w:tcBorders>
              <w:top w:val="nil"/>
              <w:left w:val="nil"/>
              <w:bottom w:val="single" w:sz="4" w:space="0" w:color="000000"/>
              <w:right w:val="nil"/>
            </w:tcBorders>
            <w:shd w:val="clear" w:color="000000" w:fill="FFFFFF"/>
            <w:noWrap/>
            <w:vAlign w:val="center"/>
            <w:hideMark/>
          </w:tcPr>
          <w:p w14:paraId="35DAA43D"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1,089</w:t>
            </w:r>
          </w:p>
        </w:tc>
        <w:tc>
          <w:tcPr>
            <w:tcW w:w="448" w:type="pct"/>
            <w:tcBorders>
              <w:top w:val="nil"/>
              <w:left w:val="nil"/>
              <w:bottom w:val="single" w:sz="4" w:space="0" w:color="000000"/>
              <w:right w:val="nil"/>
            </w:tcBorders>
            <w:shd w:val="clear" w:color="000000" w:fill="FFFFFF"/>
            <w:noWrap/>
            <w:vAlign w:val="center"/>
            <w:hideMark/>
          </w:tcPr>
          <w:p w14:paraId="1FDB8676"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1,265</w:t>
            </w:r>
          </w:p>
        </w:tc>
        <w:tc>
          <w:tcPr>
            <w:tcW w:w="448" w:type="pct"/>
            <w:tcBorders>
              <w:top w:val="nil"/>
              <w:left w:val="nil"/>
              <w:bottom w:val="single" w:sz="4" w:space="0" w:color="000000"/>
              <w:right w:val="nil"/>
            </w:tcBorders>
            <w:shd w:val="clear" w:color="000000" w:fill="FFFFFF"/>
            <w:noWrap/>
            <w:vAlign w:val="center"/>
            <w:hideMark/>
          </w:tcPr>
          <w:p w14:paraId="43C22F97"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1,386</w:t>
            </w:r>
          </w:p>
        </w:tc>
        <w:tc>
          <w:tcPr>
            <w:tcW w:w="60" w:type="pct"/>
            <w:tcBorders>
              <w:top w:val="nil"/>
              <w:left w:val="nil"/>
              <w:bottom w:val="nil"/>
              <w:right w:val="nil"/>
            </w:tcBorders>
            <w:shd w:val="clear" w:color="000000" w:fill="FFFFFF"/>
            <w:noWrap/>
            <w:vAlign w:val="center"/>
            <w:hideMark/>
          </w:tcPr>
          <w:p w14:paraId="0BA87BB7" w14:textId="77777777" w:rsidR="007204BB" w:rsidRPr="00286258" w:rsidRDefault="007204BB" w:rsidP="007204BB">
            <w:pPr>
              <w:spacing w:before="0" w:after="0" w:line="240" w:lineRule="auto"/>
              <w:jc w:val="right"/>
              <w:rPr>
                <w:rFonts w:ascii="Arial" w:hAnsi="Arial" w:cs="Arial"/>
                <w:i/>
                <w:sz w:val="16"/>
                <w:szCs w:val="16"/>
                <w:highlight w:val="darkCyan"/>
              </w:rPr>
            </w:pPr>
            <w:r w:rsidRPr="000D21DA">
              <w:rPr>
                <w:rFonts w:ascii="Arial" w:hAnsi="Arial" w:cs="Arial"/>
                <w:i/>
                <w:sz w:val="16"/>
                <w:szCs w:val="16"/>
              </w:rPr>
              <w:t> </w:t>
            </w:r>
          </w:p>
        </w:tc>
        <w:tc>
          <w:tcPr>
            <w:tcW w:w="722" w:type="pct"/>
            <w:tcBorders>
              <w:top w:val="nil"/>
              <w:left w:val="nil"/>
              <w:bottom w:val="single" w:sz="4" w:space="0" w:color="auto"/>
              <w:right w:val="nil"/>
            </w:tcBorders>
            <w:shd w:val="clear" w:color="000000" w:fill="FFFFFF"/>
            <w:noWrap/>
            <w:vAlign w:val="center"/>
            <w:hideMark/>
          </w:tcPr>
          <w:p w14:paraId="599ED65F" w14:textId="77777777" w:rsidR="007204BB" w:rsidRPr="000D21DA" w:rsidRDefault="007204BB" w:rsidP="007204BB">
            <w:pPr>
              <w:spacing w:before="0" w:after="0" w:line="240" w:lineRule="auto"/>
              <w:jc w:val="right"/>
              <w:rPr>
                <w:rFonts w:ascii="Arial" w:hAnsi="Arial" w:cs="Arial"/>
                <w:i/>
                <w:sz w:val="16"/>
                <w:szCs w:val="16"/>
              </w:rPr>
            </w:pPr>
            <w:r w:rsidRPr="000D21DA">
              <w:rPr>
                <w:rFonts w:ascii="Arial" w:hAnsi="Arial" w:cs="Arial"/>
                <w:i/>
                <w:sz w:val="16"/>
                <w:szCs w:val="16"/>
              </w:rPr>
              <w:t>5,069</w:t>
            </w:r>
          </w:p>
        </w:tc>
      </w:tr>
      <w:tr w:rsidR="007204BB" w:rsidRPr="0093683C" w14:paraId="50139C1C" w14:textId="77777777" w:rsidTr="007204BB">
        <w:trPr>
          <w:trHeight w:hRule="exact" w:val="240"/>
        </w:trPr>
        <w:tc>
          <w:tcPr>
            <w:tcW w:w="2427" w:type="pct"/>
            <w:tcBorders>
              <w:top w:val="nil"/>
              <w:left w:val="nil"/>
              <w:bottom w:val="nil"/>
              <w:right w:val="nil"/>
            </w:tcBorders>
            <w:shd w:val="clear" w:color="000000" w:fill="FFFFFF"/>
            <w:noWrap/>
            <w:vAlign w:val="bottom"/>
            <w:hideMark/>
          </w:tcPr>
          <w:p w14:paraId="4955DF6A"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xml:space="preserve">Total parameter and other variations impact on </w:t>
            </w:r>
          </w:p>
        </w:tc>
        <w:tc>
          <w:tcPr>
            <w:tcW w:w="448" w:type="pct"/>
            <w:tcBorders>
              <w:top w:val="nil"/>
              <w:left w:val="nil"/>
              <w:bottom w:val="nil"/>
              <w:right w:val="nil"/>
            </w:tcBorders>
            <w:shd w:val="clear" w:color="000000" w:fill="E6F2FF"/>
            <w:noWrap/>
            <w:vAlign w:val="center"/>
            <w:hideMark/>
          </w:tcPr>
          <w:p w14:paraId="7E68B27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11932140"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46F59B5"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4ED15D34"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50F175AC"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5A3C22E5"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4A1CA830" w14:textId="77777777" w:rsidTr="007204BB">
        <w:trPr>
          <w:trHeight w:hRule="exact" w:val="225"/>
        </w:trPr>
        <w:tc>
          <w:tcPr>
            <w:tcW w:w="2427" w:type="pct"/>
            <w:tcBorders>
              <w:top w:val="nil"/>
              <w:left w:val="nil"/>
              <w:bottom w:val="nil"/>
              <w:right w:val="nil"/>
            </w:tcBorders>
            <w:shd w:val="clear" w:color="000000" w:fill="FFFFFF"/>
            <w:noWrap/>
            <w:vAlign w:val="bottom"/>
            <w:hideMark/>
          </w:tcPr>
          <w:p w14:paraId="1B58ADC0" w14:textId="77777777" w:rsidR="007204BB" w:rsidRPr="00286258" w:rsidRDefault="007204BB" w:rsidP="007204BB">
            <w:pPr>
              <w:spacing w:before="0" w:after="0" w:line="240" w:lineRule="auto"/>
              <w:ind w:left="170"/>
              <w:rPr>
                <w:rFonts w:ascii="Arial" w:hAnsi="Arial" w:cs="Arial"/>
                <w:sz w:val="16"/>
                <w:szCs w:val="16"/>
                <w:highlight w:val="darkCyan"/>
              </w:rPr>
            </w:pPr>
            <w:r w:rsidRPr="000D21DA">
              <w:rPr>
                <w:rFonts w:ascii="Arial" w:hAnsi="Arial" w:cs="Arial"/>
                <w:sz w:val="16"/>
                <w:szCs w:val="16"/>
              </w:rPr>
              <w:t>fiscal balance</w:t>
            </w:r>
          </w:p>
        </w:tc>
        <w:tc>
          <w:tcPr>
            <w:tcW w:w="448" w:type="pct"/>
            <w:tcBorders>
              <w:top w:val="nil"/>
              <w:left w:val="nil"/>
              <w:bottom w:val="single" w:sz="4" w:space="0" w:color="000000"/>
              <w:right w:val="nil"/>
            </w:tcBorders>
            <w:shd w:val="clear" w:color="000000" w:fill="E6F2FF"/>
            <w:noWrap/>
            <w:vAlign w:val="center"/>
            <w:hideMark/>
          </w:tcPr>
          <w:p w14:paraId="340E4E7B"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40,649</w:t>
            </w:r>
          </w:p>
        </w:tc>
        <w:tc>
          <w:tcPr>
            <w:tcW w:w="448" w:type="pct"/>
            <w:tcBorders>
              <w:top w:val="nil"/>
              <w:left w:val="nil"/>
              <w:bottom w:val="single" w:sz="4" w:space="0" w:color="000000"/>
              <w:right w:val="nil"/>
            </w:tcBorders>
            <w:shd w:val="clear" w:color="000000" w:fill="FFFFFF"/>
            <w:noWrap/>
            <w:vAlign w:val="center"/>
            <w:hideMark/>
          </w:tcPr>
          <w:p w14:paraId="23E5933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12,698</w:t>
            </w:r>
          </w:p>
        </w:tc>
        <w:tc>
          <w:tcPr>
            <w:tcW w:w="448" w:type="pct"/>
            <w:tcBorders>
              <w:top w:val="nil"/>
              <w:left w:val="nil"/>
              <w:bottom w:val="single" w:sz="4" w:space="0" w:color="000000"/>
              <w:right w:val="nil"/>
            </w:tcBorders>
            <w:shd w:val="clear" w:color="000000" w:fill="FFFFFF"/>
            <w:noWrap/>
            <w:vAlign w:val="center"/>
            <w:hideMark/>
          </w:tcPr>
          <w:p w14:paraId="394D3FE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-5,370</w:t>
            </w:r>
          </w:p>
        </w:tc>
        <w:tc>
          <w:tcPr>
            <w:tcW w:w="448" w:type="pct"/>
            <w:tcBorders>
              <w:top w:val="nil"/>
              <w:left w:val="nil"/>
              <w:bottom w:val="single" w:sz="4" w:space="0" w:color="000000"/>
              <w:right w:val="nil"/>
            </w:tcBorders>
            <w:shd w:val="clear" w:color="000000" w:fill="FFFFFF"/>
            <w:noWrap/>
            <w:vAlign w:val="center"/>
            <w:hideMark/>
          </w:tcPr>
          <w:p w14:paraId="63987C9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-2,756</w:t>
            </w:r>
          </w:p>
        </w:tc>
        <w:tc>
          <w:tcPr>
            <w:tcW w:w="60" w:type="pct"/>
            <w:tcBorders>
              <w:top w:val="nil"/>
              <w:left w:val="nil"/>
              <w:bottom w:val="nil"/>
              <w:right w:val="nil"/>
            </w:tcBorders>
            <w:shd w:val="clear" w:color="000000" w:fill="FFFFFF"/>
            <w:noWrap/>
            <w:vAlign w:val="center"/>
            <w:hideMark/>
          </w:tcPr>
          <w:p w14:paraId="6BF0B59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single" w:sz="4" w:space="0" w:color="auto"/>
              <w:right w:val="nil"/>
            </w:tcBorders>
            <w:shd w:val="clear" w:color="000000" w:fill="FFFFFF"/>
            <w:noWrap/>
            <w:vAlign w:val="center"/>
            <w:hideMark/>
          </w:tcPr>
          <w:p w14:paraId="0C739B62"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45,222</w:t>
            </w:r>
          </w:p>
        </w:tc>
      </w:tr>
      <w:tr w:rsidR="007204BB" w:rsidRPr="0093683C" w14:paraId="61F1F978" w14:textId="77777777" w:rsidTr="007204BB">
        <w:trPr>
          <w:trHeight w:hRule="exact" w:val="60"/>
        </w:trPr>
        <w:tc>
          <w:tcPr>
            <w:tcW w:w="2427" w:type="pct"/>
            <w:tcBorders>
              <w:top w:val="nil"/>
              <w:left w:val="nil"/>
              <w:bottom w:val="nil"/>
              <w:right w:val="nil"/>
            </w:tcBorders>
            <w:shd w:val="clear" w:color="000000" w:fill="FFFFFF"/>
            <w:noWrap/>
            <w:vAlign w:val="center"/>
            <w:hideMark/>
          </w:tcPr>
          <w:p w14:paraId="486D0C02"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E6F2FF"/>
            <w:noWrap/>
            <w:vAlign w:val="center"/>
            <w:hideMark/>
          </w:tcPr>
          <w:p w14:paraId="1A72890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36FEFB3A"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6EF8B05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448" w:type="pct"/>
            <w:tcBorders>
              <w:top w:val="nil"/>
              <w:left w:val="nil"/>
              <w:bottom w:val="nil"/>
              <w:right w:val="nil"/>
            </w:tcBorders>
            <w:shd w:val="clear" w:color="000000" w:fill="FFFFFF"/>
            <w:noWrap/>
            <w:vAlign w:val="center"/>
            <w:hideMark/>
          </w:tcPr>
          <w:p w14:paraId="559101DE"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60" w:type="pct"/>
            <w:tcBorders>
              <w:top w:val="nil"/>
              <w:left w:val="nil"/>
              <w:bottom w:val="nil"/>
              <w:right w:val="nil"/>
            </w:tcBorders>
            <w:shd w:val="clear" w:color="000000" w:fill="FFFFFF"/>
            <w:noWrap/>
            <w:vAlign w:val="center"/>
            <w:hideMark/>
          </w:tcPr>
          <w:p w14:paraId="370197F6"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nil"/>
              <w:right w:val="nil"/>
            </w:tcBorders>
            <w:shd w:val="clear" w:color="000000" w:fill="FFFFFF"/>
            <w:noWrap/>
            <w:vAlign w:val="center"/>
            <w:hideMark/>
          </w:tcPr>
          <w:p w14:paraId="532F8AF0"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r w:rsidR="007204BB" w:rsidRPr="0093683C" w14:paraId="31E6C1F1" w14:textId="77777777" w:rsidTr="007204BB">
        <w:trPr>
          <w:trHeight w:hRule="exact" w:val="225"/>
        </w:trPr>
        <w:tc>
          <w:tcPr>
            <w:tcW w:w="2427" w:type="pct"/>
            <w:tcBorders>
              <w:top w:val="nil"/>
              <w:left w:val="nil"/>
              <w:bottom w:val="nil"/>
              <w:right w:val="nil"/>
            </w:tcBorders>
            <w:shd w:val="clear" w:color="000000" w:fill="FFFFFF"/>
            <w:noWrap/>
            <w:vAlign w:val="center"/>
            <w:hideMark/>
          </w:tcPr>
          <w:p w14:paraId="1AFC5A18" w14:textId="77777777" w:rsidR="007204BB" w:rsidRPr="00286258" w:rsidRDefault="007204BB" w:rsidP="007204BB">
            <w:pPr>
              <w:spacing w:before="0" w:after="0" w:line="240" w:lineRule="auto"/>
              <w:rPr>
                <w:rFonts w:ascii="Arial" w:hAnsi="Arial" w:cs="Arial"/>
                <w:b/>
                <w:sz w:val="16"/>
                <w:szCs w:val="16"/>
                <w:highlight w:val="darkCyan"/>
              </w:rPr>
            </w:pPr>
            <w:r w:rsidRPr="000D21DA">
              <w:rPr>
                <w:rFonts w:ascii="Arial" w:hAnsi="Arial" w:cs="Arial"/>
                <w:b/>
                <w:sz w:val="16"/>
                <w:szCs w:val="16"/>
              </w:rPr>
              <w:t>2022-23 October Budget fiscal balance</w:t>
            </w:r>
          </w:p>
        </w:tc>
        <w:tc>
          <w:tcPr>
            <w:tcW w:w="448" w:type="pct"/>
            <w:tcBorders>
              <w:top w:val="nil"/>
              <w:left w:val="nil"/>
              <w:bottom w:val="nil"/>
              <w:right w:val="nil"/>
            </w:tcBorders>
            <w:shd w:val="clear" w:color="000000" w:fill="E6F2FF"/>
            <w:noWrap/>
            <w:vAlign w:val="center"/>
            <w:hideMark/>
          </w:tcPr>
          <w:p w14:paraId="5E191AF7"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-38,686</w:t>
            </w:r>
          </w:p>
        </w:tc>
        <w:tc>
          <w:tcPr>
            <w:tcW w:w="448" w:type="pct"/>
            <w:tcBorders>
              <w:top w:val="nil"/>
              <w:left w:val="nil"/>
              <w:bottom w:val="nil"/>
              <w:right w:val="nil"/>
            </w:tcBorders>
            <w:shd w:val="clear" w:color="000000" w:fill="FFFFFF"/>
            <w:noWrap/>
            <w:vAlign w:val="center"/>
            <w:hideMark/>
          </w:tcPr>
          <w:p w14:paraId="042C642E"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-44,909</w:t>
            </w:r>
          </w:p>
        </w:tc>
        <w:tc>
          <w:tcPr>
            <w:tcW w:w="448" w:type="pct"/>
            <w:tcBorders>
              <w:top w:val="nil"/>
              <w:left w:val="nil"/>
              <w:bottom w:val="nil"/>
              <w:right w:val="nil"/>
            </w:tcBorders>
            <w:shd w:val="clear" w:color="000000" w:fill="FFFFFF"/>
            <w:noWrap/>
            <w:vAlign w:val="center"/>
            <w:hideMark/>
          </w:tcPr>
          <w:p w14:paraId="360BE226"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-62,138</w:t>
            </w:r>
          </w:p>
        </w:tc>
        <w:tc>
          <w:tcPr>
            <w:tcW w:w="448" w:type="pct"/>
            <w:tcBorders>
              <w:top w:val="nil"/>
              <w:left w:val="nil"/>
              <w:bottom w:val="nil"/>
              <w:right w:val="nil"/>
            </w:tcBorders>
            <w:shd w:val="clear" w:color="000000" w:fill="FFFFFF"/>
            <w:noWrap/>
            <w:vAlign w:val="center"/>
            <w:hideMark/>
          </w:tcPr>
          <w:p w14:paraId="00EF9071"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-49,895</w:t>
            </w:r>
          </w:p>
        </w:tc>
        <w:tc>
          <w:tcPr>
            <w:tcW w:w="60" w:type="pct"/>
            <w:tcBorders>
              <w:top w:val="nil"/>
              <w:left w:val="nil"/>
              <w:bottom w:val="nil"/>
              <w:right w:val="nil"/>
            </w:tcBorders>
            <w:shd w:val="clear" w:color="000000" w:fill="FFFFFF"/>
            <w:noWrap/>
            <w:vAlign w:val="center"/>
            <w:hideMark/>
          </w:tcPr>
          <w:p w14:paraId="01850137" w14:textId="77777777" w:rsidR="007204BB" w:rsidRPr="00286258" w:rsidRDefault="007204BB" w:rsidP="007204BB">
            <w:pPr>
              <w:spacing w:before="0" w:after="0" w:line="240" w:lineRule="auto"/>
              <w:jc w:val="right"/>
              <w:rPr>
                <w:rFonts w:ascii="Arial" w:hAnsi="Arial" w:cs="Arial"/>
                <w:b/>
                <w:sz w:val="16"/>
                <w:szCs w:val="16"/>
                <w:highlight w:val="darkCyan"/>
              </w:rPr>
            </w:pPr>
            <w:r w:rsidRPr="000D21DA">
              <w:rPr>
                <w:rFonts w:ascii="Arial" w:hAnsi="Arial" w:cs="Arial"/>
                <w:b/>
                <w:sz w:val="16"/>
                <w:szCs w:val="16"/>
              </w:rPr>
              <w:t> </w:t>
            </w:r>
          </w:p>
        </w:tc>
        <w:tc>
          <w:tcPr>
            <w:tcW w:w="722" w:type="pct"/>
            <w:tcBorders>
              <w:top w:val="nil"/>
              <w:left w:val="nil"/>
              <w:bottom w:val="nil"/>
              <w:right w:val="nil"/>
            </w:tcBorders>
            <w:shd w:val="clear" w:color="000000" w:fill="FFFFFF"/>
            <w:noWrap/>
            <w:vAlign w:val="center"/>
            <w:hideMark/>
          </w:tcPr>
          <w:p w14:paraId="668C5D5E" w14:textId="77777777" w:rsidR="007204BB" w:rsidRPr="000D21DA" w:rsidRDefault="007204BB" w:rsidP="007204BB">
            <w:pPr>
              <w:spacing w:before="0" w:after="0" w:line="240" w:lineRule="auto"/>
              <w:jc w:val="right"/>
              <w:rPr>
                <w:rFonts w:ascii="Arial" w:hAnsi="Arial" w:cs="Arial"/>
                <w:b/>
                <w:sz w:val="16"/>
                <w:szCs w:val="16"/>
              </w:rPr>
            </w:pPr>
            <w:r w:rsidRPr="000D21DA">
              <w:rPr>
                <w:rFonts w:ascii="Arial" w:hAnsi="Arial" w:cs="Arial"/>
                <w:b/>
                <w:sz w:val="16"/>
                <w:szCs w:val="16"/>
              </w:rPr>
              <w:t>-195,627</w:t>
            </w:r>
          </w:p>
        </w:tc>
      </w:tr>
      <w:tr w:rsidR="007204BB" w:rsidRPr="0093683C" w14:paraId="1E8EB957" w14:textId="77777777" w:rsidTr="007204BB">
        <w:trPr>
          <w:trHeight w:hRule="exact" w:val="225"/>
        </w:trPr>
        <w:tc>
          <w:tcPr>
            <w:tcW w:w="2427" w:type="pct"/>
            <w:tcBorders>
              <w:top w:val="nil"/>
              <w:left w:val="nil"/>
              <w:bottom w:val="single" w:sz="4" w:space="0" w:color="293F5B"/>
              <w:right w:val="nil"/>
            </w:tcBorders>
            <w:shd w:val="clear" w:color="000000" w:fill="FFFFFF"/>
            <w:noWrap/>
            <w:vAlign w:val="center"/>
            <w:hideMark/>
          </w:tcPr>
          <w:p w14:paraId="7CAAFD29" w14:textId="77777777" w:rsidR="007204BB" w:rsidRPr="00286258" w:rsidRDefault="007204BB" w:rsidP="007204BB">
            <w:pPr>
              <w:spacing w:before="0" w:after="0" w:line="240" w:lineRule="auto"/>
              <w:rPr>
                <w:rFonts w:ascii="Arial" w:hAnsi="Arial" w:cs="Arial"/>
                <w:sz w:val="16"/>
                <w:szCs w:val="16"/>
                <w:highlight w:val="darkCyan"/>
              </w:rPr>
            </w:pPr>
            <w:r w:rsidRPr="000D21DA">
              <w:rPr>
                <w:rFonts w:ascii="Arial" w:hAnsi="Arial" w:cs="Arial"/>
                <w:sz w:val="16"/>
                <w:szCs w:val="16"/>
              </w:rPr>
              <w:t>Per cent of GDP</w:t>
            </w:r>
          </w:p>
        </w:tc>
        <w:tc>
          <w:tcPr>
            <w:tcW w:w="448" w:type="pct"/>
            <w:tcBorders>
              <w:top w:val="nil"/>
              <w:left w:val="nil"/>
              <w:bottom w:val="single" w:sz="4" w:space="0" w:color="293F5B"/>
              <w:right w:val="nil"/>
            </w:tcBorders>
            <w:shd w:val="clear" w:color="000000" w:fill="E6F2FF"/>
            <w:noWrap/>
            <w:vAlign w:val="center"/>
            <w:hideMark/>
          </w:tcPr>
          <w:p w14:paraId="46BEFA17"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-1.6</w:t>
            </w:r>
          </w:p>
        </w:tc>
        <w:tc>
          <w:tcPr>
            <w:tcW w:w="448" w:type="pct"/>
            <w:tcBorders>
              <w:top w:val="nil"/>
              <w:left w:val="nil"/>
              <w:bottom w:val="single" w:sz="4" w:space="0" w:color="293F5B"/>
              <w:right w:val="nil"/>
            </w:tcBorders>
            <w:shd w:val="clear" w:color="000000" w:fill="FFFFFF"/>
            <w:noWrap/>
            <w:vAlign w:val="center"/>
            <w:hideMark/>
          </w:tcPr>
          <w:p w14:paraId="278D2949"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-1.8</w:t>
            </w:r>
          </w:p>
        </w:tc>
        <w:tc>
          <w:tcPr>
            <w:tcW w:w="448" w:type="pct"/>
            <w:tcBorders>
              <w:top w:val="nil"/>
              <w:left w:val="nil"/>
              <w:bottom w:val="single" w:sz="4" w:space="0" w:color="293F5B"/>
              <w:right w:val="nil"/>
            </w:tcBorders>
            <w:shd w:val="clear" w:color="000000" w:fill="FFFFFF"/>
            <w:noWrap/>
            <w:vAlign w:val="center"/>
            <w:hideMark/>
          </w:tcPr>
          <w:p w14:paraId="6D75A2B1"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-2.4</w:t>
            </w:r>
          </w:p>
        </w:tc>
        <w:tc>
          <w:tcPr>
            <w:tcW w:w="448" w:type="pct"/>
            <w:tcBorders>
              <w:top w:val="nil"/>
              <w:left w:val="nil"/>
              <w:bottom w:val="single" w:sz="4" w:space="0" w:color="293F5B"/>
              <w:right w:val="nil"/>
            </w:tcBorders>
            <w:shd w:val="clear" w:color="000000" w:fill="FFFFFF"/>
            <w:noWrap/>
            <w:vAlign w:val="center"/>
            <w:hideMark/>
          </w:tcPr>
          <w:p w14:paraId="54EF63F3"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-1.9</w:t>
            </w:r>
          </w:p>
        </w:tc>
        <w:tc>
          <w:tcPr>
            <w:tcW w:w="60" w:type="pct"/>
            <w:tcBorders>
              <w:top w:val="nil"/>
              <w:left w:val="nil"/>
              <w:bottom w:val="single" w:sz="4" w:space="0" w:color="293F5B"/>
              <w:right w:val="nil"/>
            </w:tcBorders>
            <w:shd w:val="clear" w:color="000000" w:fill="FFFFFF"/>
            <w:noWrap/>
            <w:vAlign w:val="center"/>
            <w:hideMark/>
          </w:tcPr>
          <w:p w14:paraId="7EDA40A8" w14:textId="77777777" w:rsidR="007204BB" w:rsidRPr="00286258" w:rsidRDefault="007204BB" w:rsidP="007204BB">
            <w:pPr>
              <w:spacing w:before="0" w:after="0" w:line="240" w:lineRule="auto"/>
              <w:jc w:val="right"/>
              <w:rPr>
                <w:rFonts w:ascii="Arial" w:hAnsi="Arial" w:cs="Arial"/>
                <w:sz w:val="16"/>
                <w:szCs w:val="16"/>
                <w:highlight w:val="darkCyan"/>
              </w:rPr>
            </w:pPr>
            <w:r w:rsidRPr="000D21DA">
              <w:rPr>
                <w:rFonts w:ascii="Arial" w:hAnsi="Arial" w:cs="Arial"/>
                <w:sz w:val="16"/>
                <w:szCs w:val="16"/>
              </w:rPr>
              <w:t> </w:t>
            </w:r>
          </w:p>
        </w:tc>
        <w:tc>
          <w:tcPr>
            <w:tcW w:w="722" w:type="pct"/>
            <w:tcBorders>
              <w:top w:val="nil"/>
              <w:left w:val="nil"/>
              <w:bottom w:val="single" w:sz="4" w:space="0" w:color="293F5B"/>
              <w:right w:val="nil"/>
            </w:tcBorders>
            <w:shd w:val="clear" w:color="000000" w:fill="FFFFFF"/>
            <w:noWrap/>
            <w:vAlign w:val="center"/>
            <w:hideMark/>
          </w:tcPr>
          <w:p w14:paraId="15EF7601" w14:textId="77777777" w:rsidR="007204BB" w:rsidRPr="000D21DA" w:rsidRDefault="007204BB" w:rsidP="007204BB">
            <w:pPr>
              <w:spacing w:before="0" w:after="0" w:line="240" w:lineRule="auto"/>
              <w:jc w:val="right"/>
              <w:rPr>
                <w:rFonts w:ascii="Arial" w:hAnsi="Arial" w:cs="Arial"/>
                <w:sz w:val="16"/>
                <w:szCs w:val="16"/>
              </w:rPr>
            </w:pPr>
            <w:r w:rsidRPr="000D21DA">
              <w:rPr>
                <w:rFonts w:ascii="Arial" w:hAnsi="Arial" w:cs="Arial"/>
                <w:sz w:val="16"/>
                <w:szCs w:val="16"/>
              </w:rPr>
              <w:t> </w:t>
            </w:r>
          </w:p>
        </w:tc>
      </w:tr>
    </w:tbl>
    <w:p w14:paraId="64690230" w14:textId="7B2B0935" w:rsidR="00790FBA" w:rsidRPr="0093683C" w:rsidRDefault="00790FBA" w:rsidP="006A39D0">
      <w:pPr>
        <w:pStyle w:val="ChartandTableFootnoteAlpha"/>
        <w:numPr>
          <w:ilvl w:val="0"/>
          <w:numId w:val="48"/>
        </w:numPr>
        <w:rPr>
          <w:rFonts w:eastAsiaTheme="minorHAnsi"/>
        </w:rPr>
      </w:pPr>
      <w:r w:rsidRPr="0093683C">
        <w:t>Excludes secondary impacts on public debt interest of policy decisions and offsets from the Contingency Reserve for decisions taken.</w:t>
      </w:r>
    </w:p>
    <w:p w14:paraId="2B85E57F" w14:textId="77777777" w:rsidR="00790FBA" w:rsidRPr="0093683C" w:rsidRDefault="00790FBA" w:rsidP="00ED0041">
      <w:pPr>
        <w:pStyle w:val="ChartandTableFootnoteAlpha"/>
        <w:rPr>
          <w:rFonts w:asciiTheme="majorHAnsi" w:eastAsiaTheme="minorHAnsi" w:hAnsiTheme="majorHAnsi" w:cstheme="majorHAnsi"/>
          <w:color w:val="auto"/>
          <w:szCs w:val="16"/>
        </w:rPr>
      </w:pPr>
      <w:r w:rsidRPr="0093683C">
        <w:rPr>
          <w:color w:val="auto"/>
        </w:rPr>
        <w:t xml:space="preserve">A positive number for revenue improves the fiscal balance, while a positive number for expenses or and net capital investment worsens the </w:t>
      </w:r>
      <w:r w:rsidRPr="0093683C">
        <w:rPr>
          <w:rFonts w:asciiTheme="majorHAnsi" w:hAnsiTheme="majorHAnsi" w:cstheme="majorHAnsi"/>
          <w:color w:val="auto"/>
          <w:szCs w:val="16"/>
        </w:rPr>
        <w:t xml:space="preserve">fiscal balance. </w:t>
      </w:r>
    </w:p>
    <w:p w14:paraId="4AC20EDB" w14:textId="05AFD6F5" w:rsidR="00790FBA" w:rsidRPr="00F36ADA" w:rsidRDefault="00790FBA" w:rsidP="00852ED5">
      <w:pPr>
        <w:pStyle w:val="ChartLine"/>
        <w:rPr>
          <w:color w:val="FF0000"/>
        </w:rPr>
      </w:pPr>
    </w:p>
    <w:p w14:paraId="11C0B99C" w14:textId="6A317058" w:rsidR="00790FBA" w:rsidRPr="0093683C" w:rsidRDefault="00790FBA" w:rsidP="00790FBA">
      <w:pPr>
        <w:pStyle w:val="Heading4"/>
      </w:pPr>
      <w:r w:rsidRPr="0093683C">
        <w:t>Revenue estimates</w:t>
      </w:r>
    </w:p>
    <w:p w14:paraId="299D452E" w14:textId="77777777" w:rsidR="00790FBA" w:rsidRPr="0093683C" w:rsidRDefault="00790FBA" w:rsidP="00790FBA">
      <w:r w:rsidRPr="0093683C">
        <w:t>Total revenue has been revised up by $</w:t>
      </w:r>
      <w:r w:rsidR="00910244" w:rsidRPr="0093683C">
        <w:t>6</w:t>
      </w:r>
      <w:r w:rsidR="009757F7" w:rsidRPr="0093683C">
        <w:t>3</w:t>
      </w:r>
      <w:r w:rsidR="00910244" w:rsidRPr="0093683C">
        <w:t>.</w:t>
      </w:r>
      <w:r w:rsidR="009757F7" w:rsidRPr="0093683C">
        <w:t>2</w:t>
      </w:r>
      <w:r w:rsidRPr="0093683C">
        <w:t xml:space="preserve"> billion in 2022</w:t>
      </w:r>
      <w:r w:rsidR="00B9531B" w:rsidRPr="0093683C">
        <w:t>–</w:t>
      </w:r>
      <w:r w:rsidRPr="0093683C">
        <w:t>23 and by $</w:t>
      </w:r>
      <w:r w:rsidR="003C6107" w:rsidRPr="0093683C">
        <w:t>1</w:t>
      </w:r>
      <w:r w:rsidR="00C66990" w:rsidRPr="0093683C">
        <w:t>64</w:t>
      </w:r>
      <w:r w:rsidR="00B23E42" w:rsidRPr="0093683C">
        <w:t>.</w:t>
      </w:r>
      <w:r w:rsidR="00C66990" w:rsidRPr="0093683C">
        <w:t>1</w:t>
      </w:r>
      <w:r w:rsidRPr="0093683C">
        <w:t> billion over the 4 years to 2025</w:t>
      </w:r>
      <w:r w:rsidR="00B9531B" w:rsidRPr="0093683C">
        <w:t>–</w:t>
      </w:r>
      <w:r w:rsidRPr="0093683C">
        <w:t>26 since PEFO. The revenue estimates are the accrual accounting equivalent of the cash</w:t>
      </w:r>
      <w:r w:rsidRPr="0093683C">
        <w:noBreakHyphen/>
        <w:t xml:space="preserve">based receipts estimates. Changes in revenue are generally driven by the same factors as receipts. </w:t>
      </w:r>
    </w:p>
    <w:p w14:paraId="1173AF55" w14:textId="55E91758" w:rsidR="00790FBA" w:rsidRPr="00EA29FB" w:rsidRDefault="00790FBA" w:rsidP="00790FBA">
      <w:r w:rsidRPr="0093683C">
        <w:t>Revenue amounts can be higher or lower than the cash equivalents as they include amounts that a taxpayer is liable to pay but has not paid. The differences between the accrual and cash amounts generally reflect timing differences.</w:t>
      </w:r>
      <w:r w:rsidR="004C2AF0" w:rsidRPr="0093683C">
        <w:t xml:space="preserve"> </w:t>
      </w:r>
    </w:p>
    <w:p w14:paraId="1E1A1D82" w14:textId="4C0AD062" w:rsidR="00790FBA" w:rsidRPr="0093683C" w:rsidRDefault="00790FBA" w:rsidP="00790FBA">
      <w:pPr>
        <w:pStyle w:val="Heading4"/>
      </w:pPr>
      <w:r w:rsidRPr="0093683C">
        <w:lastRenderedPageBreak/>
        <w:t>Expense estimates</w:t>
      </w:r>
    </w:p>
    <w:p w14:paraId="6AEABE98" w14:textId="4178206E" w:rsidR="00E43CB3" w:rsidRPr="0093683C" w:rsidRDefault="00E43CB3" w:rsidP="00E43CB3">
      <w:r w:rsidRPr="0093683C">
        <w:t>Total expenses have been revised up by $22.5 billion in 2022</w:t>
      </w:r>
      <w:r w:rsidR="005E3EBA">
        <w:t>–</w:t>
      </w:r>
      <w:r w:rsidRPr="0093683C">
        <w:t>23 and by $126.1 billion over 4</w:t>
      </w:r>
      <w:r w:rsidR="003013A1" w:rsidRPr="0093683C">
        <w:t> </w:t>
      </w:r>
      <w:r w:rsidRPr="0093683C">
        <w:t>years to 2025</w:t>
      </w:r>
      <w:r w:rsidR="005E3EBA">
        <w:t>–</w:t>
      </w:r>
      <w:r w:rsidRPr="0093683C">
        <w:t xml:space="preserve">26 since the </w:t>
      </w:r>
      <w:r w:rsidR="008B7286" w:rsidRPr="0093683C">
        <w:t>2022</w:t>
      </w:r>
      <w:r w:rsidR="005E3EBA">
        <w:t>–</w:t>
      </w:r>
      <w:r w:rsidR="008B7286" w:rsidRPr="0093683C">
        <w:t xml:space="preserve">23 </w:t>
      </w:r>
      <w:r w:rsidRPr="0093683C">
        <w:t>March Budget. The expenses estimates are the accrual accounting equivalent of the cash</w:t>
      </w:r>
      <w:r w:rsidRPr="0093683C">
        <w:noBreakHyphen/>
        <w:t>based payments estimates.</w:t>
      </w:r>
    </w:p>
    <w:p w14:paraId="4A9EBA2A" w14:textId="77777777" w:rsidR="00E43CB3" w:rsidRPr="0093683C" w:rsidRDefault="00E43CB3" w:rsidP="00E43CB3">
      <w:r w:rsidRPr="0093683C">
        <w:t>Movements in expenses over the forward estimates are broadly consistent with movements in cash payments. The key exceptions include:</w:t>
      </w:r>
    </w:p>
    <w:p w14:paraId="4658BB4B" w14:textId="77777777" w:rsidR="00E43CB3" w:rsidRPr="0093683C" w:rsidRDefault="00DF3290" w:rsidP="00E43CB3">
      <w:pPr>
        <w:pStyle w:val="Bullet"/>
        <w:numPr>
          <w:ilvl w:val="0"/>
          <w:numId w:val="5"/>
        </w:numPr>
        <w:spacing w:before="0" w:after="240" w:line="260" w:lineRule="exact"/>
        <w:jc w:val="both"/>
      </w:pPr>
      <w:r w:rsidRPr="0093683C">
        <w:t xml:space="preserve">The </w:t>
      </w:r>
      <w:r w:rsidR="00E43CB3" w:rsidRPr="0093683C">
        <w:t>N</w:t>
      </w:r>
      <w:r w:rsidRPr="0093683C">
        <w:t>DIS</w:t>
      </w:r>
      <w:r w:rsidR="00E43CB3" w:rsidRPr="0093683C">
        <w:t xml:space="preserve"> program, where there is an expected time lag between the receipt of reasonable and necessary support services and the lodgement of claims relating to those services.  </w:t>
      </w:r>
    </w:p>
    <w:p w14:paraId="55160483" w14:textId="77777777" w:rsidR="00E43CB3" w:rsidRPr="0093683C" w:rsidRDefault="00E43CB3" w:rsidP="00E43CB3">
      <w:pPr>
        <w:pStyle w:val="Bullet"/>
        <w:numPr>
          <w:ilvl w:val="0"/>
          <w:numId w:val="5"/>
        </w:numPr>
        <w:spacing w:before="0" w:after="240" w:line="260" w:lineRule="exact"/>
        <w:jc w:val="both"/>
      </w:pPr>
      <w:r w:rsidRPr="0093683C">
        <w:t xml:space="preserve">Superannuation benefits programs (civilian and military), where there is a timing difference with the expense accruing during employment and cash payments occurring during retirement. </w:t>
      </w:r>
    </w:p>
    <w:p w14:paraId="48B7EE61" w14:textId="77777777" w:rsidR="00E43CB3" w:rsidRPr="0093683C" w:rsidRDefault="00E43CB3" w:rsidP="00E43CB3">
      <w:pPr>
        <w:pStyle w:val="Bullet"/>
        <w:numPr>
          <w:ilvl w:val="0"/>
          <w:numId w:val="5"/>
        </w:numPr>
        <w:spacing w:before="0" w:after="240" w:line="260" w:lineRule="exact"/>
        <w:jc w:val="both"/>
      </w:pPr>
      <w:r w:rsidRPr="0093683C">
        <w:t>Purchases of non-financial assets, which are included in cash payments but not in accrual expenses. The expense estimates include depreciation of non-financial assets rather than recognising the impact at the time of purchase.</w:t>
      </w:r>
    </w:p>
    <w:p w14:paraId="5340E271" w14:textId="77777777" w:rsidR="00677C85" w:rsidRPr="0093683C" w:rsidRDefault="00E43CB3" w:rsidP="00790FBA">
      <w:r w:rsidRPr="0093683C">
        <w:t xml:space="preserve">Detailed information on expenses can be found in </w:t>
      </w:r>
      <w:r w:rsidRPr="0093683C">
        <w:rPr>
          <w:i/>
        </w:rPr>
        <w:t>Statement 6:</w:t>
      </w:r>
      <w:r w:rsidRPr="0093683C">
        <w:t xml:space="preserve"> </w:t>
      </w:r>
      <w:r w:rsidRPr="0093683C">
        <w:rPr>
          <w:i/>
        </w:rPr>
        <w:t>Expenses and Net Capital Investment.</w:t>
      </w:r>
    </w:p>
    <w:p w14:paraId="7B3BF5C5" w14:textId="02532DA5" w:rsidR="0059532E" w:rsidRPr="0093683C" w:rsidRDefault="0059532E" w:rsidP="00EC0989">
      <w:pPr>
        <w:pStyle w:val="Heading3"/>
      </w:pPr>
      <w:bookmarkStart w:id="18" w:name="_Toc117356573"/>
      <w:r w:rsidRPr="0093683C">
        <w:t>Primary balance estimates and projections</w:t>
      </w:r>
      <w:bookmarkEnd w:id="18"/>
    </w:p>
    <w:p w14:paraId="465075E9" w14:textId="77777777" w:rsidR="0059532E" w:rsidRPr="0093683C" w:rsidRDefault="0059532E" w:rsidP="0059532E">
      <w:r w:rsidRPr="0093683C">
        <w:t xml:space="preserve">The primary </w:t>
      </w:r>
      <w:r w:rsidR="001C0515" w:rsidRPr="0093683C">
        <w:t>cash</w:t>
      </w:r>
      <w:r w:rsidRPr="0093683C">
        <w:t xml:space="preserve"> balance adjusts the underlying cash balance to exclude interest payments and interest receipts that are largely</w:t>
      </w:r>
      <w:r w:rsidRPr="0093683C" w:rsidDel="004D0EB0">
        <w:t xml:space="preserve"> </w:t>
      </w:r>
      <w:r w:rsidRPr="0093683C">
        <w:t xml:space="preserve">outside of government control in the short term. </w:t>
      </w:r>
    </w:p>
    <w:p w14:paraId="17C8427D" w14:textId="63F5D1A7" w:rsidR="0059532E" w:rsidRPr="00DA5342" w:rsidRDefault="0059532E" w:rsidP="00DA5342">
      <w:r w:rsidRPr="00DA5342">
        <w:t xml:space="preserve">The primary balance is expected to be a deficit of </w:t>
      </w:r>
      <w:r w:rsidR="00833B48" w:rsidRPr="00DA5342">
        <w:t>0.9</w:t>
      </w:r>
      <w:r w:rsidRPr="00DA5342">
        <w:t xml:space="preserve"> per cent of GDP ($</w:t>
      </w:r>
      <w:r w:rsidR="00833B48" w:rsidRPr="00DA5342">
        <w:t>23.2</w:t>
      </w:r>
      <w:r w:rsidRPr="00DA5342">
        <w:t xml:space="preserve"> billion) in </w:t>
      </w:r>
      <w:r w:rsidR="005E3EBA">
        <w:br/>
      </w:r>
      <w:r w:rsidRPr="00DA5342">
        <w:t>2022</w:t>
      </w:r>
      <w:r w:rsidR="005E3EBA">
        <w:t>–</w:t>
      </w:r>
      <w:r w:rsidRPr="00DA5342">
        <w:t xml:space="preserve">23 and </w:t>
      </w:r>
      <w:r w:rsidR="00076839" w:rsidRPr="00DA5342">
        <w:t xml:space="preserve">remain at </w:t>
      </w:r>
      <w:r w:rsidRPr="00DA5342">
        <w:t xml:space="preserve">a deficit of </w:t>
      </w:r>
      <w:r w:rsidR="00C56AA2" w:rsidRPr="00DA5342">
        <w:t>0</w:t>
      </w:r>
      <w:r w:rsidR="00B57E1A" w:rsidRPr="00DA5342">
        <w:t>.9</w:t>
      </w:r>
      <w:r w:rsidRPr="00DA5342">
        <w:t xml:space="preserve"> per cent of GDP ($2</w:t>
      </w:r>
      <w:r w:rsidR="003F5EAD" w:rsidRPr="00DA5342">
        <w:t>3</w:t>
      </w:r>
      <w:r w:rsidRPr="00DA5342">
        <w:t>.</w:t>
      </w:r>
      <w:r w:rsidR="003F5EAD" w:rsidRPr="00DA5342">
        <w:t>1</w:t>
      </w:r>
      <w:r w:rsidR="00DA5342">
        <w:t xml:space="preserve"> </w:t>
      </w:r>
      <w:r w:rsidRPr="00DA5342">
        <w:t>billion) in 2025</w:t>
      </w:r>
      <w:r w:rsidR="00B9531B" w:rsidRPr="00DA5342">
        <w:t>–</w:t>
      </w:r>
      <w:r w:rsidRPr="00DA5342">
        <w:t xml:space="preserve">26. The primary balance is projected to further improve to a deficit of </w:t>
      </w:r>
      <w:r w:rsidR="00AC0498" w:rsidRPr="00DA5342">
        <w:t>0.</w:t>
      </w:r>
      <w:r w:rsidR="00EE058D" w:rsidRPr="00DA5342">
        <w:t>4</w:t>
      </w:r>
      <w:r w:rsidRPr="00DA5342">
        <w:t xml:space="preserve"> per cent of GDP by the end of the medium term (Chart</w:t>
      </w:r>
      <w:r w:rsidR="00DA5342">
        <w:t xml:space="preserve"> </w:t>
      </w:r>
      <w:r w:rsidRPr="00DA5342">
        <w:t>3.</w:t>
      </w:r>
      <w:r w:rsidR="003A77EA" w:rsidRPr="00DA5342">
        <w:t>19</w:t>
      </w:r>
      <w:r w:rsidRPr="00DA5342">
        <w:t xml:space="preserve">), </w:t>
      </w:r>
      <w:r w:rsidR="001C0515" w:rsidRPr="00DA5342">
        <w:t>0.</w:t>
      </w:r>
      <w:r w:rsidR="00D84736" w:rsidRPr="00DA5342">
        <w:t>6</w:t>
      </w:r>
      <w:r w:rsidRPr="00DA5342">
        <w:t xml:space="preserve"> percentage points worse than PEFO. The relative smaller deterioration in the primary balance </w:t>
      </w:r>
      <w:r w:rsidR="001C0515" w:rsidRPr="00DA5342">
        <w:t xml:space="preserve">compared to the underlying cash balance </w:t>
      </w:r>
      <w:r w:rsidRPr="00DA5342">
        <w:t>reflects the significant impact increased debt servicing costs have had on the fiscal outlook.</w:t>
      </w:r>
      <w:r w:rsidR="004C0A9B" w:rsidRPr="00DA5342">
        <w:t xml:space="preserve"> </w:t>
      </w:r>
    </w:p>
    <w:p w14:paraId="78AB7CE3" w14:textId="506F4905" w:rsidR="0059532E" w:rsidRPr="0093683C" w:rsidRDefault="0059532E" w:rsidP="00030FD0">
      <w:pPr>
        <w:pStyle w:val="ChartHeading"/>
      </w:pPr>
      <w:r w:rsidRPr="0093683C">
        <w:lastRenderedPageBreak/>
        <w:t>Chart 3.</w:t>
      </w:r>
      <w:r w:rsidR="003A77EA" w:rsidRPr="0093683C">
        <w:t>19</w:t>
      </w:r>
      <w:r w:rsidRPr="0093683C">
        <w:t xml:space="preserve"> </w:t>
      </w:r>
      <w:r w:rsidR="00427968" w:rsidRPr="0093683C">
        <w:t>P</w:t>
      </w:r>
      <w:r w:rsidRPr="0093683C">
        <w:t xml:space="preserve">rimary </w:t>
      </w:r>
      <w:r w:rsidR="001C0515" w:rsidRPr="0093683C">
        <w:t xml:space="preserve">cash </w:t>
      </w:r>
      <w:r w:rsidRPr="0093683C">
        <w:t>balance</w:t>
      </w:r>
    </w:p>
    <w:p w14:paraId="65E31B9B" w14:textId="50C1EB4A" w:rsidR="00170BA2" w:rsidRPr="0093683C" w:rsidRDefault="00445267" w:rsidP="00852ED5">
      <w:pPr>
        <w:pStyle w:val="ChartGraphic"/>
      </w:pPr>
      <w:r>
        <w:rPr>
          <w:noProof/>
        </w:rPr>
        <w:drawing>
          <wp:inline distT="0" distB="0" distL="0" distR="0" wp14:anchorId="1AB58217" wp14:editId="68803AC6">
            <wp:extent cx="4674235" cy="2538095"/>
            <wp:effectExtent l="0" t="0" r="0" b="0"/>
            <wp:docPr id="20" name="Picture 20" descr="This chart shows the primary cash balance as at the 2022-23 October Budget and 2022 PEFO. At the 2022-23 October Budget the primary balance is expected to be a deficit of 0.9 per cent of GDP in 2022-23 and improve to a deficit of 0.4 per cent of GDP by the end of the medium term. This compares to a deficit of 2.7 per cent of GDP in 2022-23 and a surplus of 0.1 per cent by the end of the medium term at PE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is chart shows the primary cash balance as at the 2022-23 October Budget and 2022 PEFO. At the 2022-23 October Budget the primary balance is expected to be a deficit of 0.9 per cent of GDP in 2022-23 and improve to a deficit of 0.4 per cent of GDP by the end of the medium term. This compares to a deficit of 2.7 per cent of GDP in 2022-23 and a surplus of 0.1 per cent by the end of the medium term at PEF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74235" cy="2538095"/>
                    </a:xfrm>
                    <a:prstGeom prst="rect">
                      <a:avLst/>
                    </a:prstGeom>
                    <a:noFill/>
                    <a:ln>
                      <a:noFill/>
                    </a:ln>
                  </pic:spPr>
                </pic:pic>
              </a:graphicData>
            </a:graphic>
          </wp:inline>
        </w:drawing>
      </w:r>
    </w:p>
    <w:p w14:paraId="54A6EEFC" w14:textId="77777777" w:rsidR="0059532E" w:rsidRPr="0093683C" w:rsidRDefault="009D5585" w:rsidP="009D5585">
      <w:pPr>
        <w:pStyle w:val="ChartandTableFootnote"/>
        <w:rPr>
          <w:color w:val="auto"/>
        </w:rPr>
      </w:pPr>
      <w:r w:rsidRPr="0093683C">
        <w:rPr>
          <w:color w:val="auto"/>
        </w:rPr>
        <w:t xml:space="preserve">Source: </w:t>
      </w:r>
      <w:r w:rsidR="00D4799D" w:rsidRPr="0093683C">
        <w:rPr>
          <w:color w:val="auto"/>
        </w:rPr>
        <w:tab/>
      </w:r>
      <w:r w:rsidRPr="0093683C">
        <w:rPr>
          <w:color w:val="auto"/>
        </w:rPr>
        <w:t>Treasury.</w:t>
      </w:r>
    </w:p>
    <w:p w14:paraId="232B260C" w14:textId="68C12B44" w:rsidR="00D4799D" w:rsidRPr="0093683C" w:rsidRDefault="00D4799D" w:rsidP="00D4799D">
      <w:pPr>
        <w:pStyle w:val="ChartLine"/>
      </w:pPr>
    </w:p>
    <w:p w14:paraId="495F4E6F" w14:textId="3C1D802C" w:rsidR="00EC0989" w:rsidRPr="0093683C" w:rsidRDefault="00EC0989" w:rsidP="00EC0989">
      <w:pPr>
        <w:pStyle w:val="Heading3"/>
      </w:pPr>
      <w:bookmarkStart w:id="19" w:name="_Toc117356574"/>
      <w:r w:rsidRPr="0093683C">
        <w:t>Structural budget balance estimates</w:t>
      </w:r>
      <w:bookmarkEnd w:id="19"/>
    </w:p>
    <w:p w14:paraId="6850DB61" w14:textId="77777777" w:rsidR="00EC0989" w:rsidRPr="0093683C" w:rsidRDefault="00EC0989" w:rsidP="00EC0989">
      <w:r w:rsidRPr="0093683C">
        <w:t>The structural budget balance estimate adjusts the underlying cash balance to remove the effects of temporary factors. These factors include deviations in commodity prices and economic activity from their long</w:t>
      </w:r>
      <w:r w:rsidR="008C6DA9" w:rsidRPr="0093683C">
        <w:noBreakHyphen/>
      </w:r>
      <w:r w:rsidRPr="0093683C">
        <w:t>run levels. By removing these factors, the structural budget balance can provide broad insights into the sustainability of fiscal settings.</w:t>
      </w:r>
    </w:p>
    <w:p w14:paraId="00FCF707" w14:textId="77777777" w:rsidR="008707EC" w:rsidRPr="0093683C" w:rsidRDefault="00EC0989" w:rsidP="00EC0989">
      <w:r w:rsidRPr="0093683C">
        <w:t>As it is estimated rather than observed, the structural budget balance is sensitive to the assumptions and parameters that underpin it. The pandemic and recent commodity price volatility has increased the uncertainty around the estimate.</w:t>
      </w:r>
      <w:r w:rsidR="006C4D83" w:rsidRPr="0093683C">
        <w:t xml:space="preserve"> </w:t>
      </w:r>
    </w:p>
    <w:p w14:paraId="039D7268" w14:textId="77777777" w:rsidR="00EC0989" w:rsidRPr="0093683C" w:rsidRDefault="00EC0989" w:rsidP="00EC0989">
      <w:pPr>
        <w:rPr>
          <w:sz w:val="22"/>
          <w:szCs w:val="22"/>
        </w:rPr>
      </w:pPr>
      <w:r w:rsidRPr="0093683C">
        <w:t>Compared with the 2022</w:t>
      </w:r>
      <w:r w:rsidR="00B9531B" w:rsidRPr="0093683C">
        <w:t>–</w:t>
      </w:r>
      <w:r w:rsidRPr="0093683C">
        <w:t xml:space="preserve">23 </w:t>
      </w:r>
      <w:r w:rsidR="009D5585" w:rsidRPr="0093683C">
        <w:t>March</w:t>
      </w:r>
      <w:r w:rsidRPr="0093683C">
        <w:t xml:space="preserve"> Budget, </w:t>
      </w:r>
      <w:r w:rsidR="004E5ADA" w:rsidRPr="0093683C">
        <w:t xml:space="preserve">the </w:t>
      </w:r>
      <w:r w:rsidRPr="0093683C">
        <w:t xml:space="preserve">estimates imply </w:t>
      </w:r>
      <w:r w:rsidR="00AD6B31" w:rsidRPr="0093683C">
        <w:t>improvements in the</w:t>
      </w:r>
      <w:r w:rsidR="006B6CAB" w:rsidRPr="0093683C">
        <w:t xml:space="preserve"> </w:t>
      </w:r>
      <w:r w:rsidRPr="0093683C">
        <w:t xml:space="preserve">structural </w:t>
      </w:r>
      <w:r w:rsidR="00AD6B31" w:rsidRPr="0093683C">
        <w:t>budget balance</w:t>
      </w:r>
      <w:r w:rsidR="006B6CAB" w:rsidRPr="0093683C">
        <w:t xml:space="preserve"> </w:t>
      </w:r>
      <w:r w:rsidRPr="0093683C">
        <w:t>in the near term</w:t>
      </w:r>
      <w:r w:rsidR="004D1352" w:rsidRPr="0093683C">
        <w:t xml:space="preserve"> </w:t>
      </w:r>
      <w:r w:rsidR="00645C3F" w:rsidRPr="0093683C">
        <w:t xml:space="preserve">and over most of the forward estimates </w:t>
      </w:r>
      <w:r w:rsidR="004D1352" w:rsidRPr="0093683C">
        <w:t>(Chart</w:t>
      </w:r>
      <w:r w:rsidR="00401FF8" w:rsidRPr="0093683C">
        <w:t> </w:t>
      </w:r>
      <w:r w:rsidR="004D1352" w:rsidRPr="0093683C">
        <w:t>3.</w:t>
      </w:r>
      <w:r w:rsidR="009D5585" w:rsidRPr="0093683C">
        <w:t>20</w:t>
      </w:r>
      <w:r w:rsidR="004D1352" w:rsidRPr="0093683C">
        <w:t>)</w:t>
      </w:r>
      <w:r w:rsidR="00CA49D9" w:rsidRPr="0093683C">
        <w:t xml:space="preserve">. </w:t>
      </w:r>
      <w:r w:rsidR="00575395" w:rsidRPr="0093683C">
        <w:t>Over the medium term, the</w:t>
      </w:r>
      <w:r w:rsidR="00CA49D9" w:rsidRPr="0093683C">
        <w:t xml:space="preserve"> </w:t>
      </w:r>
      <w:r w:rsidR="00BD5CD7" w:rsidRPr="0093683C">
        <w:t xml:space="preserve">structural </w:t>
      </w:r>
      <w:r w:rsidR="00CA49D9" w:rsidRPr="0093683C">
        <w:t>deficit is project</w:t>
      </w:r>
      <w:r w:rsidR="00A25E7C" w:rsidRPr="0093683C">
        <w:t>ed</w:t>
      </w:r>
      <w:r w:rsidRPr="0093683C">
        <w:t xml:space="preserve"> </w:t>
      </w:r>
      <w:r w:rsidR="002D507F" w:rsidRPr="0093683C">
        <w:t>to be</w:t>
      </w:r>
      <w:r w:rsidRPr="0093683C" w:rsidDel="00CA49D9">
        <w:t xml:space="preserve"> </w:t>
      </w:r>
      <w:r w:rsidRPr="0093683C">
        <w:t xml:space="preserve">larger </w:t>
      </w:r>
      <w:r w:rsidR="00E60BFB" w:rsidRPr="0093683C">
        <w:t xml:space="preserve">and </w:t>
      </w:r>
      <w:r w:rsidR="000B054D" w:rsidRPr="0093683C">
        <w:t>more</w:t>
      </w:r>
      <w:r w:rsidR="00E60BFB" w:rsidRPr="0093683C">
        <w:t xml:space="preserve"> persistent</w:t>
      </w:r>
      <w:r w:rsidRPr="0093683C">
        <w:t>.</w:t>
      </w:r>
      <w:r w:rsidRPr="0093683C">
        <w:rPr>
          <w:rStyle w:val="FootnoteReference"/>
        </w:rPr>
        <w:footnoteReference w:id="7"/>
      </w:r>
      <w:r w:rsidR="002141C3" w:rsidRPr="0093683C">
        <w:t xml:space="preserve"> </w:t>
      </w:r>
      <w:r w:rsidRPr="0093683C">
        <w:t>This is consistent with forecast revisions to the underlying cash balance</w:t>
      </w:r>
      <w:r w:rsidR="00103118" w:rsidRPr="0093683C">
        <w:t xml:space="preserve">, </w:t>
      </w:r>
      <w:r w:rsidR="00D63563" w:rsidRPr="0093683C">
        <w:t xml:space="preserve">which </w:t>
      </w:r>
      <w:r w:rsidR="00103118" w:rsidRPr="0093683C">
        <w:t xml:space="preserve">reflect </w:t>
      </w:r>
      <w:r w:rsidR="00507782" w:rsidRPr="0093683C">
        <w:t>higher payment</w:t>
      </w:r>
      <w:r w:rsidR="00A92973" w:rsidRPr="0093683C">
        <w:t>s</w:t>
      </w:r>
      <w:r w:rsidR="00507782" w:rsidRPr="0093683C">
        <w:t xml:space="preserve"> and </w:t>
      </w:r>
      <w:r w:rsidR="00103118" w:rsidRPr="0093683C">
        <w:t xml:space="preserve">the lower productivity </w:t>
      </w:r>
      <w:r w:rsidR="00B45527" w:rsidRPr="0093683C">
        <w:t xml:space="preserve">growth </w:t>
      </w:r>
      <w:r w:rsidR="00103118" w:rsidRPr="0093683C">
        <w:t>assumption</w:t>
      </w:r>
      <w:r w:rsidRPr="0093683C">
        <w:t xml:space="preserve">. </w:t>
      </w:r>
    </w:p>
    <w:p w14:paraId="4A3AAF5D" w14:textId="7B81B1DC" w:rsidR="00AD0F04" w:rsidRPr="0093683C" w:rsidRDefault="00EC0989" w:rsidP="00AD0F04">
      <w:r w:rsidRPr="0093683C">
        <w:t>Cyclical factors are estimated to positively contribute to the underlying cash balance in the near term, due to elevated commodity prices. This will recede as commodity prices return to their assumed long</w:t>
      </w:r>
      <w:r w:rsidR="008C6DA9" w:rsidRPr="0093683C">
        <w:noBreakHyphen/>
      </w:r>
      <w:r w:rsidRPr="0093683C">
        <w:t>run levels and economic activity returns to its potential level.</w:t>
      </w:r>
    </w:p>
    <w:p w14:paraId="48664EDF" w14:textId="77777777" w:rsidR="00EC0989" w:rsidRPr="0093683C" w:rsidRDefault="00EC0989" w:rsidP="00401FF8">
      <w:pPr>
        <w:pStyle w:val="ChartHeading"/>
      </w:pPr>
      <w:r w:rsidRPr="0093683C">
        <w:lastRenderedPageBreak/>
        <w:t>Chart 3.</w:t>
      </w:r>
      <w:r w:rsidR="009D5585" w:rsidRPr="0093683C">
        <w:t>20</w:t>
      </w:r>
      <w:r w:rsidRPr="0093683C">
        <w:t>: Structural budget balance</w:t>
      </w:r>
    </w:p>
    <w:p w14:paraId="17EC9190" w14:textId="12C41D54" w:rsidR="00EC0989" w:rsidRPr="0093683C" w:rsidRDefault="00C513D2" w:rsidP="00A7407D">
      <w:pPr>
        <w:pStyle w:val="ChartGraphic"/>
        <w:rPr>
          <w:rFonts w:eastAsia="Calibri"/>
        </w:rPr>
      </w:pPr>
      <w:r>
        <w:rPr>
          <w:rFonts w:eastAsia="Calibri"/>
          <w:noProof/>
        </w:rPr>
        <w:drawing>
          <wp:inline distT="0" distB="0" distL="0" distR="0" wp14:anchorId="035BD57D" wp14:editId="5DE99CF1">
            <wp:extent cx="4674235" cy="2889250"/>
            <wp:effectExtent l="0" t="0" r="0" b="6350"/>
            <wp:docPr id="21" name="Picture 21" descr="This chart shows the structural budget balance as at the 2022-23 October Budget. The structural budget deficit is projected to deteriorate in the near term. In the medium term, the deficit is projected to stabilise around 2 per cent of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is chart shows the structural budget balance as at the 2022-23 October Budget. The structural budget deficit is projected to deteriorate in the near term. In the medium term, the deficit is projected to stabilise around 2 per cent of GD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74235" cy="2889250"/>
                    </a:xfrm>
                    <a:prstGeom prst="rect">
                      <a:avLst/>
                    </a:prstGeom>
                    <a:noFill/>
                    <a:ln>
                      <a:noFill/>
                    </a:ln>
                  </pic:spPr>
                </pic:pic>
              </a:graphicData>
            </a:graphic>
          </wp:inline>
        </w:drawing>
      </w:r>
    </w:p>
    <w:p w14:paraId="6998FEE7" w14:textId="6F25DE0D" w:rsidR="00EC0989" w:rsidRPr="0093683C" w:rsidRDefault="00EC0989" w:rsidP="00EC0989">
      <w:pPr>
        <w:pStyle w:val="ChartandTableFootnote"/>
        <w:rPr>
          <w:color w:val="auto"/>
        </w:rPr>
      </w:pPr>
      <w:r w:rsidRPr="0093683C">
        <w:rPr>
          <w:color w:val="auto"/>
        </w:rPr>
        <w:t xml:space="preserve">Note: </w:t>
      </w:r>
      <w:r w:rsidRPr="0093683C">
        <w:rPr>
          <w:color w:val="auto"/>
        </w:rPr>
        <w:tab/>
      </w:r>
      <w:r w:rsidR="006C4CBB" w:rsidRPr="0093683C">
        <w:rPr>
          <w:color w:val="auto"/>
        </w:rPr>
        <w:t>The structural budget balance chart separates out the budgetary impact of temporary measures from structural measures. This approach follows the methodology detailed in Treasury Working Paper 2013-01. Cyclical factors measure the estimated impact on the underlying cash balance from automatic stabilisers and cyclical movements in asset and commodity prices. Temporary fiscal measures comprise direct economic and health support measures implemented following the onset of the COVID-19 pandemic. Underspends in these direct economic and health support measures in the 2020</w:t>
      </w:r>
      <w:r w:rsidR="005E3EBA">
        <w:rPr>
          <w:color w:val="auto"/>
        </w:rPr>
        <w:t>–</w:t>
      </w:r>
      <w:r w:rsidR="006C4CBB" w:rsidRPr="0093683C">
        <w:rPr>
          <w:color w:val="auto"/>
        </w:rPr>
        <w:t>21 and 2021</w:t>
      </w:r>
      <w:r w:rsidR="005E3EBA">
        <w:rPr>
          <w:color w:val="auto"/>
        </w:rPr>
        <w:t>–</w:t>
      </w:r>
      <w:r w:rsidR="006C4CBB" w:rsidRPr="0093683C">
        <w:rPr>
          <w:color w:val="auto"/>
        </w:rPr>
        <w:t xml:space="preserve">22 Budget years are not captured in the derivation of the structural budget balance, which may result in an improved structural budget balance estimate. </w:t>
      </w:r>
    </w:p>
    <w:p w14:paraId="2D77C999" w14:textId="3991420E" w:rsidR="00EC0989" w:rsidRPr="0093683C" w:rsidRDefault="00EC0989" w:rsidP="00852ED5">
      <w:pPr>
        <w:pStyle w:val="ChartandTableFootnote"/>
        <w:rPr>
          <w:color w:val="auto"/>
        </w:rPr>
      </w:pPr>
      <w:r w:rsidRPr="0093683C">
        <w:rPr>
          <w:color w:val="auto"/>
        </w:rPr>
        <w:t>Source:</w:t>
      </w:r>
      <w:r w:rsidRPr="0093683C">
        <w:rPr>
          <w:color w:val="auto"/>
        </w:rPr>
        <w:tab/>
        <w:t>Treasury.</w:t>
      </w:r>
    </w:p>
    <w:p w14:paraId="677DB8B6" w14:textId="77777777" w:rsidR="00852ED5" w:rsidRPr="0093683C" w:rsidRDefault="00852ED5" w:rsidP="00852ED5">
      <w:pPr>
        <w:pStyle w:val="ChartLine"/>
      </w:pPr>
    </w:p>
    <w:p w14:paraId="4D600BF3" w14:textId="1BD17706" w:rsidR="00B149C4" w:rsidRPr="00F36ADA" w:rsidRDefault="00B149C4" w:rsidP="009F5821">
      <w:pPr>
        <w:rPr>
          <w:color w:val="FF0000"/>
        </w:rPr>
      </w:pPr>
    </w:p>
    <w:sectPr w:rsidR="00B149C4" w:rsidRPr="00F36ADA" w:rsidSect="00AB5E51">
      <w:headerReference w:type="even" r:id="rId38"/>
      <w:headerReference w:type="default" r:id="rId39"/>
      <w:footerReference w:type="even" r:id="rId40"/>
      <w:footerReference w:type="default" r:id="rId41"/>
      <w:headerReference w:type="first" r:id="rId42"/>
      <w:footerReference w:type="first" r:id="rId43"/>
      <w:footnotePr>
        <w:numStart w:val="2"/>
      </w:footnotePr>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67F97" w14:textId="77777777" w:rsidR="00912089" w:rsidRDefault="00912089" w:rsidP="00E40261">
      <w:r>
        <w:separator/>
      </w:r>
    </w:p>
  </w:endnote>
  <w:endnote w:type="continuationSeparator" w:id="0">
    <w:p w14:paraId="190BB50D" w14:textId="77777777" w:rsidR="00912089" w:rsidRDefault="00912089" w:rsidP="00E40261">
      <w:r>
        <w:continuationSeparator/>
      </w:r>
    </w:p>
  </w:endnote>
  <w:endnote w:type="continuationNotice" w:id="1">
    <w:p w14:paraId="75615242" w14:textId="77777777" w:rsidR="00912089" w:rsidRDefault="009120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Mincho Light">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D90FC" w14:textId="6E396651" w:rsidR="00AE0F12" w:rsidRPr="00CD5DAE" w:rsidRDefault="00CD5DAE" w:rsidP="00CD5DAE">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1E7851">
      <w:fldChar w:fldCharType="begin"/>
    </w:r>
    <w:r w:rsidR="001E7851">
      <w:instrText>SUBJECT   \* MERGEFORMAT</w:instrText>
    </w:r>
    <w:r w:rsidR="001E7851">
      <w:fldChar w:fldCharType="separate"/>
    </w:r>
    <w:r w:rsidR="00550217">
      <w:t>Statement 3: Fiscal Strategy and Outlook</w:t>
    </w:r>
    <w:r w:rsidR="001E785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570"/>
      <w:gridCol w:w="2570"/>
      <w:gridCol w:w="2570"/>
    </w:tblGrid>
    <w:tr w:rsidR="483AF3D9" w14:paraId="0C824C80" w14:textId="77777777" w:rsidTr="00E228FF">
      <w:tc>
        <w:tcPr>
          <w:tcW w:w="2570" w:type="dxa"/>
        </w:tcPr>
        <w:p w14:paraId="3B79A5E5" w14:textId="103FD794" w:rsidR="483AF3D9" w:rsidRDefault="483AF3D9" w:rsidP="00E228FF">
          <w:pPr>
            <w:pStyle w:val="Header"/>
            <w:ind w:left="-115"/>
          </w:pPr>
        </w:p>
      </w:tc>
      <w:tc>
        <w:tcPr>
          <w:tcW w:w="2570" w:type="dxa"/>
        </w:tcPr>
        <w:p w14:paraId="7B3B617D" w14:textId="315C2040" w:rsidR="483AF3D9" w:rsidRDefault="483AF3D9" w:rsidP="00E228FF">
          <w:pPr>
            <w:pStyle w:val="Header"/>
            <w:jc w:val="center"/>
          </w:pPr>
        </w:p>
      </w:tc>
      <w:tc>
        <w:tcPr>
          <w:tcW w:w="2570" w:type="dxa"/>
        </w:tcPr>
        <w:p w14:paraId="4264FB65" w14:textId="75CF39EC" w:rsidR="483AF3D9" w:rsidRDefault="483AF3D9" w:rsidP="00E228FF">
          <w:pPr>
            <w:pStyle w:val="Header"/>
            <w:ind w:right="-115"/>
            <w:jc w:val="right"/>
          </w:pPr>
        </w:p>
      </w:tc>
    </w:tr>
  </w:tbl>
  <w:p w14:paraId="73D52A3E" w14:textId="23614E94" w:rsidR="00AE0F12" w:rsidRDefault="00AE0F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34591957" w:rsidR="00D81A31" w:rsidRPr="00B34A54" w:rsidRDefault="001E7851" w:rsidP="00FA2C19">
    <w:pPr>
      <w:pStyle w:val="FooterOddWHITE"/>
    </w:pPr>
    <w:r>
      <w:fldChar w:fldCharType="begin"/>
    </w:r>
    <w:r>
      <w:instrText>SUBJECT   \* MERGEFORMAT</w:instrText>
    </w:r>
    <w:r>
      <w:fldChar w:fldCharType="separate"/>
    </w:r>
    <w:r w:rsidR="00550217">
      <w:t>Statement 3: Fiscal Strategy and Outlook</w:t>
    </w:r>
    <w:r>
      <w:fldChar w:fldCharType="end"/>
    </w:r>
    <w:r w:rsidR="00D81A31" w:rsidRPr="00B34A54">
      <w:t xml:space="preserve">  |  </w:t>
    </w:r>
    <w:r w:rsidR="00D81A31" w:rsidRPr="00B34A54">
      <w:rPr>
        <w:b/>
      </w:rPr>
      <w:t xml:space="preserve">Page </w:t>
    </w:r>
    <w:r w:rsidR="00D81A31" w:rsidRPr="00B34A54">
      <w:rPr>
        <w:b/>
      </w:rPr>
      <w:fldChar w:fldCharType="begin"/>
    </w:r>
    <w:r w:rsidR="00D81A31" w:rsidRPr="00B34A54">
      <w:rPr>
        <w:b/>
      </w:rPr>
      <w:instrText xml:space="preserve"> PAGE  \* Arabic  \* MERGEFORMAT </w:instrText>
    </w:r>
    <w:r w:rsidR="00D81A31" w:rsidRPr="00B34A54">
      <w:rPr>
        <w:b/>
      </w:rPr>
      <w:fldChar w:fldCharType="separate"/>
    </w:r>
    <w:r w:rsidR="00D81A31" w:rsidRPr="00B34A54">
      <w:rPr>
        <w:b/>
      </w:rPr>
      <w:t>7</w:t>
    </w:r>
    <w:r w:rsidR="00D81A31" w:rsidRPr="00B34A54">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2F4F" w14:textId="548414DE" w:rsidR="00FA2C19" w:rsidRPr="00B34A54" w:rsidRDefault="001E7851" w:rsidP="00DE504B">
    <w:pPr>
      <w:pStyle w:val="FooterOdd"/>
    </w:pPr>
    <w:r>
      <w:fldChar w:fldCharType="begin"/>
    </w:r>
    <w:r>
      <w:instrText>SUBJECT   \* MERGEFORMAT</w:instrText>
    </w:r>
    <w:r>
      <w:fldChar w:fldCharType="separate"/>
    </w:r>
    <w:r w:rsidR="00550217">
      <w:t>Statement 3: Fiscal Strategy and Outlook</w:t>
    </w:r>
    <w:r>
      <w:fldChar w:fldCharType="end"/>
    </w:r>
    <w:r w:rsidR="00FA2C19" w:rsidRPr="00B34A54">
      <w:t xml:space="preserve">  |  </w:t>
    </w:r>
    <w:r w:rsidR="00FA2C19" w:rsidRPr="00B34A54">
      <w:rPr>
        <w:b/>
      </w:rPr>
      <w:t xml:space="preserve">Page </w:t>
    </w:r>
    <w:r w:rsidR="00FA2C19" w:rsidRPr="00B34A54">
      <w:rPr>
        <w:b/>
      </w:rPr>
      <w:fldChar w:fldCharType="begin"/>
    </w:r>
    <w:r w:rsidR="00FA2C19" w:rsidRPr="00B34A54">
      <w:rPr>
        <w:b/>
      </w:rPr>
      <w:instrText xml:space="preserve"> PAGE  \* Arabic  \* MERGEFORMAT </w:instrText>
    </w:r>
    <w:r w:rsidR="00FA2C19" w:rsidRPr="00B34A54">
      <w:rPr>
        <w:b/>
      </w:rPr>
      <w:fldChar w:fldCharType="separate"/>
    </w:r>
    <w:r w:rsidR="00FA2C19" w:rsidRPr="00B34A54">
      <w:rPr>
        <w:b/>
      </w:rPr>
      <w:t>7</w:t>
    </w:r>
    <w:r w:rsidR="00FA2C19" w:rsidRPr="00B34A54">
      <w:rPr>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0D43" w14:textId="7F39F98D" w:rsidR="00D47C6E" w:rsidRDefault="00D47C6E"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fldSimple w:instr="SUBJECT   \* MERGEFORMAT">
      <w:r w:rsidR="00550217">
        <w:t>Statement 3: Fiscal Strategy and Outlook</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2DA48" w14:textId="7D9ABE2C" w:rsidR="00D47C6E" w:rsidRDefault="00912089" w:rsidP="002A6A16">
    <w:pPr>
      <w:pStyle w:val="FooterOdd"/>
    </w:pPr>
    <w:fldSimple w:instr="SUBJECT   \* MERGEFORMAT">
      <w:r w:rsidR="00550217">
        <w:t>Statement 3: Fiscal Strategy and Outlook</w:t>
      </w:r>
    </w:fldSimple>
    <w:r w:rsidR="00D47C6E" w:rsidRPr="00B3705D">
      <w:t xml:space="preserve">  |  </w:t>
    </w:r>
    <w:r w:rsidR="00D47C6E" w:rsidRPr="00B3705D">
      <w:rPr>
        <w:b/>
        <w:bCs/>
      </w:rPr>
      <w:t xml:space="preserve">Page </w:t>
    </w:r>
    <w:r w:rsidR="00D47C6E" w:rsidRPr="00B3705D">
      <w:rPr>
        <w:b/>
        <w:bCs/>
      </w:rPr>
      <w:fldChar w:fldCharType="begin"/>
    </w:r>
    <w:r w:rsidR="00D47C6E" w:rsidRPr="00B3705D">
      <w:rPr>
        <w:b/>
        <w:bCs/>
      </w:rPr>
      <w:instrText xml:space="preserve"> PAGE  \* Arabic  \* MERGEFORMAT </w:instrText>
    </w:r>
    <w:r w:rsidR="00D47C6E" w:rsidRPr="00B3705D">
      <w:rPr>
        <w:b/>
        <w:bCs/>
      </w:rPr>
      <w:fldChar w:fldCharType="separate"/>
    </w:r>
    <w:r w:rsidR="00D47C6E">
      <w:rPr>
        <w:b/>
        <w:bCs/>
      </w:rPr>
      <w:t>1</w:t>
    </w:r>
    <w:r w:rsidR="00D47C6E"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9B8A" w14:textId="775C76A2" w:rsidR="0046391C" w:rsidRPr="005B2F30" w:rsidRDefault="00912089" w:rsidP="002C596C">
    <w:pPr>
      <w:pStyle w:val="FooterOdd"/>
    </w:pPr>
    <w:fldSimple w:instr="SUBJECT   \* MERGEFORMAT">
      <w:r w:rsidR="00550217">
        <w:t>Statement 3: Fiscal Strategy and Outlook</w:t>
      </w:r>
    </w:fldSimple>
    <w:r w:rsidR="002C596C" w:rsidRPr="00B3705D">
      <w:t xml:space="preserve">  |  </w:t>
    </w:r>
    <w:r w:rsidR="002C596C" w:rsidRPr="00B3705D">
      <w:rPr>
        <w:b/>
        <w:bCs/>
      </w:rPr>
      <w:t xml:space="preserve">Page </w:t>
    </w:r>
    <w:r w:rsidR="002C596C" w:rsidRPr="00B3705D">
      <w:rPr>
        <w:b/>
        <w:bCs/>
      </w:rPr>
      <w:fldChar w:fldCharType="begin"/>
    </w:r>
    <w:r w:rsidR="002C596C" w:rsidRPr="00B3705D">
      <w:rPr>
        <w:b/>
        <w:bCs/>
      </w:rPr>
      <w:instrText xml:space="preserve"> PAGE  \* Arabic  \* MERGEFORMAT </w:instrText>
    </w:r>
    <w:r w:rsidR="002C596C" w:rsidRPr="00B3705D">
      <w:rPr>
        <w:b/>
        <w:bCs/>
      </w:rPr>
      <w:fldChar w:fldCharType="separate"/>
    </w:r>
    <w:r w:rsidR="002C596C">
      <w:rPr>
        <w:b/>
        <w:bCs/>
      </w:rPr>
      <w:t>1</w:t>
    </w:r>
    <w:r w:rsidR="002C596C"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5F928" w14:textId="77777777" w:rsidR="00912089" w:rsidRPr="003C1CA4" w:rsidRDefault="00912089" w:rsidP="00EB6597">
      <w:pPr>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69441F2A" w14:textId="77777777" w:rsidR="00912089" w:rsidRDefault="00912089" w:rsidP="00E40261">
      <w:r>
        <w:continuationSeparator/>
      </w:r>
    </w:p>
  </w:footnote>
  <w:footnote w:type="continuationNotice" w:id="1">
    <w:p w14:paraId="5FE18AAB" w14:textId="77777777" w:rsidR="00912089" w:rsidRDefault="00912089"/>
  </w:footnote>
  <w:footnote w:id="2">
    <w:p w14:paraId="0DC36CB1" w14:textId="34A9CD88" w:rsidR="005769EA" w:rsidRDefault="00EC5211" w:rsidP="005769EA">
      <w:pPr>
        <w:pStyle w:val="FootnoteText"/>
      </w:pPr>
      <w:r w:rsidRPr="00EC5211">
        <w:rPr>
          <w:rStyle w:val="FootnoteReference"/>
          <w:vertAlign w:val="baseline"/>
        </w:rPr>
        <w:footnoteRef/>
      </w:r>
      <w:r w:rsidR="005769EA">
        <w:t xml:space="preserve"> </w:t>
      </w:r>
      <w:r w:rsidR="00791199" w:rsidRPr="0093683C">
        <w:tab/>
      </w:r>
      <w:r w:rsidR="005769EA" w:rsidRPr="0093683C">
        <w:t>Real payments are calculated by deflating payments by the consumer price index.</w:t>
      </w:r>
      <w:r w:rsidR="002A6F71" w:rsidRPr="0093683C">
        <w:t xml:space="preserve"> A</w:t>
      </w:r>
      <w:r w:rsidR="000432FB" w:rsidRPr="0093683C">
        <w:t xml:space="preserve">verages over periods </w:t>
      </w:r>
      <w:r w:rsidR="00FC029E" w:rsidRPr="0093683C">
        <w:t xml:space="preserve">of time </w:t>
      </w:r>
      <w:r w:rsidR="000432FB" w:rsidRPr="0093683C">
        <w:t>are calculated by averaging annual growth rates</w:t>
      </w:r>
      <w:r w:rsidR="006A55F4" w:rsidRPr="0093683C">
        <w:t xml:space="preserve"> </w:t>
      </w:r>
      <w:r w:rsidR="00517F7D" w:rsidRPr="0093683C">
        <w:t>across</w:t>
      </w:r>
      <w:r w:rsidR="006A55F4" w:rsidRPr="0093683C">
        <w:t xml:space="preserve"> the years</w:t>
      </w:r>
      <w:r w:rsidR="000432FB" w:rsidRPr="0093683C">
        <w:t>.</w:t>
      </w:r>
    </w:p>
  </w:footnote>
  <w:footnote w:id="3">
    <w:p w14:paraId="1D2D6F09" w14:textId="42E3852E" w:rsidR="009D6C6D" w:rsidRDefault="00EC5211" w:rsidP="009D6C6D">
      <w:pPr>
        <w:pStyle w:val="FootnoteText"/>
      </w:pPr>
      <w:r w:rsidRPr="00EC5211">
        <w:rPr>
          <w:rStyle w:val="FootnoteReference"/>
          <w:vertAlign w:val="baseline"/>
        </w:rPr>
        <w:footnoteRef/>
      </w:r>
      <w:r w:rsidR="009D6C6D">
        <w:t xml:space="preserve"> </w:t>
      </w:r>
      <w:r>
        <w:tab/>
      </w:r>
      <w:r w:rsidR="009D6C6D" w:rsidRPr="0093683C">
        <w:t xml:space="preserve">Based on the analysis in Box 4.2 of the </w:t>
      </w:r>
      <w:r w:rsidR="009D6C6D" w:rsidRPr="0093683C">
        <w:rPr>
          <w:i/>
        </w:rPr>
        <w:t>2021 Intergenerational Report</w:t>
      </w:r>
      <w:r w:rsidR="009D6C6D" w:rsidRPr="0093683C">
        <w:t>.</w:t>
      </w:r>
    </w:p>
  </w:footnote>
  <w:footnote w:id="4">
    <w:p w14:paraId="7309709A" w14:textId="5936BB16" w:rsidR="00687238" w:rsidRDefault="00EC5211" w:rsidP="00687238">
      <w:pPr>
        <w:pStyle w:val="FootnoteText"/>
      </w:pPr>
      <w:r w:rsidRPr="00EC5211">
        <w:rPr>
          <w:rStyle w:val="FootnoteReference"/>
          <w:vertAlign w:val="baseline"/>
        </w:rPr>
        <w:footnoteRef/>
      </w:r>
      <w:r w:rsidR="00687238">
        <w:t xml:space="preserve"> </w:t>
      </w:r>
      <w:r w:rsidR="00687238" w:rsidRPr="0093683C">
        <w:tab/>
        <w:t>Balance sheet assets that are considered debt</w:t>
      </w:r>
      <w:r w:rsidR="00687238" w:rsidRPr="0093683C">
        <w:noBreakHyphen/>
        <w:t>like are cash and deposits, advances paid, and investments loans and placements.</w:t>
      </w:r>
    </w:p>
  </w:footnote>
  <w:footnote w:id="5">
    <w:p w14:paraId="4C31B6F6" w14:textId="35990CA0" w:rsidR="00B37489" w:rsidRDefault="00EC5211" w:rsidP="00B37489">
      <w:pPr>
        <w:pStyle w:val="FootnoteText"/>
      </w:pPr>
      <w:r w:rsidRPr="00EC5211">
        <w:rPr>
          <w:rStyle w:val="FootnoteReference"/>
          <w:vertAlign w:val="baseline"/>
        </w:rPr>
        <w:footnoteRef/>
      </w:r>
      <w:r w:rsidR="00B37489">
        <w:t xml:space="preserve"> </w:t>
      </w:r>
      <w:r w:rsidR="005D2546" w:rsidRPr="0093683C">
        <w:tab/>
      </w:r>
      <w:r w:rsidR="00B37489" w:rsidRPr="0093683C">
        <w:t>Kahn, M.E., Mohaddes, K., Ng, R.N., Pesaran, M.H., Raissi, M. and Yang, J.C. (2019) ‘Long</w:t>
      </w:r>
      <w:r w:rsidR="000C0ECF">
        <w:noBreakHyphen/>
      </w:r>
      <w:r w:rsidR="00B37489" w:rsidRPr="0093683C">
        <w:t xml:space="preserve">term macroeconomic effects of climate change: A cross-country analysis’, </w:t>
      </w:r>
      <w:r w:rsidR="002F24A4">
        <w:t>International Monetary Fund</w:t>
      </w:r>
      <w:r w:rsidR="002F24A4" w:rsidRPr="0093683C" w:rsidDel="002F24A4">
        <w:t xml:space="preserve"> </w:t>
      </w:r>
      <w:r w:rsidR="00B37489" w:rsidRPr="0093683C">
        <w:t>.</w:t>
      </w:r>
    </w:p>
  </w:footnote>
  <w:footnote w:id="6">
    <w:p w14:paraId="2CABAFD3" w14:textId="64BDF8F5" w:rsidR="007D605D" w:rsidRPr="0093683C" w:rsidRDefault="00EC5211" w:rsidP="000D7A0C">
      <w:pPr>
        <w:pStyle w:val="FootnoteText"/>
      </w:pPr>
      <w:r w:rsidRPr="00EC5211">
        <w:rPr>
          <w:rStyle w:val="FootnoteReference"/>
          <w:vertAlign w:val="baseline"/>
        </w:rPr>
        <w:footnoteRef/>
      </w:r>
      <w:r w:rsidR="007D605D" w:rsidRPr="0093683C">
        <w:t xml:space="preserve"> </w:t>
      </w:r>
      <w:r w:rsidR="00DE6750" w:rsidRPr="0093683C">
        <w:tab/>
      </w:r>
      <w:r w:rsidR="00C34261" w:rsidRPr="0093683C">
        <w:t xml:space="preserve">Deloitte </w:t>
      </w:r>
      <w:r w:rsidR="002A5324" w:rsidRPr="0093683C">
        <w:t xml:space="preserve">(June 2022) ‘The social, financial and economic costs of the 2022 South East Queensland Rainfall and Flooding Event’ </w:t>
      </w:r>
    </w:p>
  </w:footnote>
  <w:footnote w:id="7">
    <w:p w14:paraId="5185068C" w14:textId="33402DF1" w:rsidR="00EC0989" w:rsidRDefault="00EC5211" w:rsidP="00EC0989">
      <w:pPr>
        <w:pStyle w:val="FootnoteText"/>
        <w:ind w:left="0" w:firstLine="0"/>
      </w:pPr>
      <w:r w:rsidRPr="00EC5211">
        <w:rPr>
          <w:rStyle w:val="FootnoteReference"/>
          <w:vertAlign w:val="baseline"/>
        </w:rPr>
        <w:footnoteRef/>
      </w:r>
      <w:r w:rsidR="00EC0989">
        <w:t xml:space="preserve"> </w:t>
      </w:r>
      <w:r w:rsidR="009319BE" w:rsidRPr="0093683C">
        <w:tab/>
      </w:r>
      <w:r w:rsidR="00EC0989" w:rsidRPr="0093683C">
        <w:t xml:space="preserve">Structural budget balance estimates were last updated in the </w:t>
      </w:r>
      <w:r w:rsidR="009D5585" w:rsidRPr="0093683C">
        <w:t xml:space="preserve">2022-23 </w:t>
      </w:r>
      <w:r w:rsidR="00EC0989" w:rsidRPr="0093683C">
        <w:t>March Budget.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570"/>
      <w:gridCol w:w="2570"/>
      <w:gridCol w:w="2570"/>
    </w:tblGrid>
    <w:tr w:rsidR="483AF3D9" w14:paraId="1F494447" w14:textId="77777777" w:rsidTr="00E228FF">
      <w:tc>
        <w:tcPr>
          <w:tcW w:w="2570" w:type="dxa"/>
        </w:tcPr>
        <w:p w14:paraId="327EC568" w14:textId="43C481DE" w:rsidR="483AF3D9" w:rsidRDefault="483AF3D9" w:rsidP="00E228FF">
          <w:pPr>
            <w:pStyle w:val="Header"/>
            <w:ind w:left="-115"/>
          </w:pPr>
        </w:p>
      </w:tc>
      <w:tc>
        <w:tcPr>
          <w:tcW w:w="2570" w:type="dxa"/>
        </w:tcPr>
        <w:p w14:paraId="0A70A522" w14:textId="6FA8B47A" w:rsidR="483AF3D9" w:rsidRDefault="483AF3D9" w:rsidP="00E228FF">
          <w:pPr>
            <w:pStyle w:val="Header"/>
            <w:jc w:val="center"/>
          </w:pPr>
        </w:p>
      </w:tc>
      <w:tc>
        <w:tcPr>
          <w:tcW w:w="2570" w:type="dxa"/>
        </w:tcPr>
        <w:p w14:paraId="6298F054" w14:textId="6CD77855" w:rsidR="483AF3D9" w:rsidRDefault="483AF3D9" w:rsidP="00E228FF">
          <w:pPr>
            <w:pStyle w:val="Header"/>
            <w:ind w:right="-115"/>
            <w:jc w:val="right"/>
          </w:pPr>
        </w:p>
      </w:tc>
    </w:tr>
  </w:tbl>
  <w:p w14:paraId="36D1DDBE" w14:textId="43EC56E0" w:rsidR="00AE0F12" w:rsidRDefault="00AE0F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35E93" w14:textId="671FB6B9" w:rsidR="003B6F31" w:rsidRDefault="00FA2C19">
    <w:pPr>
      <w:pStyle w:val="Header"/>
    </w:pPr>
    <w:r>
      <w:rPr>
        <w:noProof/>
      </w:rPr>
      <mc:AlternateContent>
        <mc:Choice Requires="wps">
          <w:drawing>
            <wp:anchor distT="0" distB="0" distL="114300" distR="114300" simplePos="0" relativeHeight="251658240" behindDoc="1" locked="0" layoutInCell="1" allowOverlap="1" wp14:anchorId="46B1CCEB" wp14:editId="452A2B36">
              <wp:simplePos x="0" y="0"/>
              <wp:positionH relativeFrom="page">
                <wp:align>center</wp:align>
              </wp:positionH>
              <wp:positionV relativeFrom="page">
                <wp:align>top</wp:align>
              </wp:positionV>
              <wp:extent cx="7560000" cy="10692000"/>
              <wp:effectExtent l="0" t="0" r="3175"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5583D" id="Rectangle 13" o:spid="_x0000_s1026" alt="&quot;&quot;"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" fillcolor="#293f5b [3215]" stroked="f" strokeweight="1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15D84" w14:textId="77777777" w:rsidR="00FA2C19" w:rsidRDefault="00FA2C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AC295" w14:textId="4E545BF1" w:rsidR="00D47C6E" w:rsidRPr="00AA5439" w:rsidRDefault="00D47C6E"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D47C6E" w14:paraId="2A5955F4" w14:textId="77777777" w:rsidTr="002A6A16">
      <w:trPr>
        <w:trHeight w:hRule="exact" w:val="340"/>
      </w:trPr>
      <w:tc>
        <w:tcPr>
          <w:tcW w:w="7797" w:type="dxa"/>
        </w:tcPr>
        <w:p w14:paraId="46A7B1B5" w14:textId="20AEE5D9" w:rsidR="00D47C6E" w:rsidRDefault="00D47C6E" w:rsidP="008F55F8">
          <w:pPr>
            <w:pStyle w:val="HeaderEven"/>
            <w:ind w:left="-113"/>
          </w:pPr>
          <w:r w:rsidRPr="00D47C6E">
            <w:rPr>
              <w:noProof/>
              <w:position w:val="-6"/>
            </w:rPr>
            <w:drawing>
              <wp:inline distT="0" distB="0" distL="0" distR="0" wp14:anchorId="2D5E1415" wp14:editId="7DC87EB2">
                <wp:extent cx="1350000" cy="126000"/>
                <wp:effectExtent l="0" t="0" r="3175" b="7620"/>
                <wp:docPr id="17"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fldSimple w:instr="TITLE   \* MERGEFORMAT">
            <w:r w:rsidR="00550217">
              <w:t>Budget Paper No. 1</w:t>
            </w:r>
          </w:fldSimple>
        </w:p>
      </w:tc>
    </w:tr>
  </w:tbl>
  <w:p w14:paraId="40434C61" w14:textId="77777777" w:rsidR="00D47C6E" w:rsidRPr="00AA5439" w:rsidRDefault="00D47C6E" w:rsidP="00AA5439">
    <w:pPr>
      <w:pStyle w:val="HeaderEven"/>
      <w:rPr>
        <w:sz w:val="2"/>
        <w:szCs w:val="4"/>
      </w:rPr>
    </w:pPr>
  </w:p>
  <w:p w14:paraId="70D5FDCD" w14:textId="77777777" w:rsidR="00D47C6E" w:rsidRPr="007703C7" w:rsidRDefault="00D47C6E" w:rsidP="007703C7">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2D72C593" w:rsidR="00D47C6E" w:rsidRPr="000635BE" w:rsidRDefault="00D47C6E"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D47C6E" w14:paraId="22C2B6A5" w14:textId="77777777" w:rsidTr="002A6A16">
      <w:trPr>
        <w:trHeight w:hRule="exact" w:val="340"/>
      </w:trPr>
      <w:tc>
        <w:tcPr>
          <w:tcW w:w="7797" w:type="dxa"/>
        </w:tcPr>
        <w:p w14:paraId="2F10636A" w14:textId="56695427" w:rsidR="00D47C6E" w:rsidRDefault="00912089" w:rsidP="000635BE">
          <w:pPr>
            <w:pStyle w:val="HeaderOdd"/>
          </w:pPr>
          <w:fldSimple w:instr="TITLE   \* MERGEFORMAT">
            <w:r w:rsidR="00550217">
              <w:t>Budget Paper No. 1</w:t>
            </w:r>
          </w:fldSimple>
          <w:r w:rsidR="00D47C6E">
            <w:t xml:space="preserve">  |  </w:t>
          </w:r>
          <w:r w:rsidR="00D47C6E" w:rsidRPr="00D47C6E">
            <w:rPr>
              <w:noProof/>
              <w:position w:val="-6"/>
            </w:rPr>
            <w:drawing>
              <wp:inline distT="0" distB="0" distL="0" distR="0" wp14:anchorId="41687A4A" wp14:editId="0FB168D4">
                <wp:extent cx="1350000" cy="126000"/>
                <wp:effectExtent l="0" t="0" r="3175" b="7620"/>
                <wp:docPr id="1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22E5A951" w14:textId="77777777" w:rsidR="00D47C6E" w:rsidRPr="00AA5439" w:rsidRDefault="00D47C6E" w:rsidP="00AA5439">
    <w:pPr>
      <w:pStyle w:val="Head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50810943" w:rsidR="00D47C6E" w:rsidRPr="005B2F30" w:rsidRDefault="00D47C6E">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DBF"/>
    <w:multiLevelType w:val="multilevel"/>
    <w:tmpl w:val="1DF20D6C"/>
    <w:lvl w:ilvl="0">
      <w:start w:val="1"/>
      <w:numFmt w:val="bullet"/>
      <w:lvlText w:val="•"/>
      <w:lvlJc w:val="left"/>
      <w:pPr>
        <w:tabs>
          <w:tab w:val="num" w:pos="449"/>
        </w:tabs>
        <w:ind w:left="449" w:hanging="449"/>
      </w:pPr>
      <w:rPr>
        <w:rFonts w:ascii="Times New Roman" w:hAnsi="Times New Roman" w:cs="Times New Roman"/>
      </w:rPr>
    </w:lvl>
    <w:lvl w:ilvl="1">
      <w:start w:val="1"/>
      <w:numFmt w:val="bullet"/>
      <w:lvlText w:val="–"/>
      <w:lvlJc w:val="left"/>
      <w:pPr>
        <w:tabs>
          <w:tab w:val="num" w:pos="898"/>
        </w:tabs>
        <w:ind w:left="898" w:hanging="449"/>
      </w:pPr>
      <w:rPr>
        <w:rFonts w:ascii="Times New Roman" w:hAnsi="Times New Roman" w:cs="Times New Roman"/>
      </w:rPr>
    </w:lvl>
    <w:lvl w:ilvl="2">
      <w:start w:val="1"/>
      <w:numFmt w:val="bullet"/>
      <w:lvlText w:val=":"/>
      <w:lvlJc w:val="left"/>
      <w:pPr>
        <w:tabs>
          <w:tab w:val="num" w:pos="1347"/>
        </w:tabs>
        <w:ind w:left="1347" w:hanging="449"/>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595AB9"/>
    <w:multiLevelType w:val="multilevel"/>
    <w:tmpl w:val="9828D65A"/>
    <w:lvl w:ilvl="0">
      <w:numFmt w:val="decimal"/>
      <w:lvlText w:val="•"/>
      <w:lvlJc w:val="left"/>
      <w:pPr>
        <w:tabs>
          <w:tab w:val="num" w:pos="283"/>
        </w:tabs>
        <w:ind w:left="283" w:hanging="283"/>
      </w:pPr>
      <w:rPr>
        <w:rFonts w:ascii="Times New Roman" w:hAnsi="Times New Roman" w:cs="Times New Roman"/>
        <w:b w:val="0"/>
        <w:i w:val="0"/>
      </w:rPr>
    </w:lvl>
    <w:lvl w:ilvl="1">
      <w:numFmt w:val="decimal"/>
      <w:pStyle w:val="SecurityClassificationHeader"/>
      <w:lvlText w:val="–"/>
      <w:lvlJc w:val="left"/>
      <w:pPr>
        <w:tabs>
          <w:tab w:val="num" w:pos="567"/>
        </w:tabs>
        <w:ind w:left="567" w:hanging="284"/>
      </w:pPr>
      <w:rPr>
        <w:rFonts w:ascii="Times New Roman" w:hAnsi="Times New Roman" w:cs="Times New Roman"/>
        <w:b w:val="0"/>
        <w:i w:val="0"/>
      </w:rPr>
    </w:lvl>
    <w:lvl w:ilvl="2">
      <w:numFmt w:val="decimal"/>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2"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3"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4" w15:restartNumberingAfterBreak="0">
    <w:nsid w:val="24D24BD5"/>
    <w:multiLevelType w:val="hybridMultilevel"/>
    <w:tmpl w:val="08DADA10"/>
    <w:name w:val="Box Bullet List2"/>
    <w:lvl w:ilvl="0" w:tplc="0F84863C">
      <w:start w:val="1"/>
      <w:numFmt w:val="bullet"/>
      <w:pStyle w:val="BoxDash"/>
      <w:lvlText w:val="‒"/>
      <w:lvlJc w:val="left"/>
      <w:pPr>
        <w:ind w:left="643" w:hanging="360"/>
      </w:pPr>
      <w:rPr>
        <w:rFonts w:ascii="Book Antiqua" w:hAnsi="Book Antiqua" w:cs="Book Antiqua" w:hint="default"/>
        <w:b w:val="0"/>
        <w:i w:val="0"/>
      </w:rPr>
    </w:lvl>
    <w:lvl w:ilvl="1" w:tplc="0C090003" w:tentative="1">
      <w:start w:val="1"/>
      <w:numFmt w:val="bullet"/>
      <w:lvlText w:val="o"/>
      <w:lvlJc w:val="left"/>
      <w:pPr>
        <w:ind w:left="1363" w:hanging="360"/>
      </w:pPr>
      <w:rPr>
        <w:rFonts w:ascii="Yu Mincho Light" w:hAnsi="Yu Mincho Light" w:cs="Yu Mincho Light" w:hint="default"/>
      </w:rPr>
    </w:lvl>
    <w:lvl w:ilvl="2" w:tplc="0C090005" w:tentative="1">
      <w:start w:val="1"/>
      <w:numFmt w:val="bullet"/>
      <w:lvlText w:val=""/>
      <w:lvlJc w:val="left"/>
      <w:pPr>
        <w:ind w:left="2083" w:hanging="360"/>
      </w:pPr>
      <w:rPr>
        <w:rFonts w:ascii="Calibri" w:hAnsi="Calibri" w:hint="default"/>
      </w:rPr>
    </w:lvl>
    <w:lvl w:ilvl="3" w:tplc="0C090001" w:tentative="1">
      <w:start w:val="1"/>
      <w:numFmt w:val="bullet"/>
      <w:lvlText w:val=""/>
      <w:lvlJc w:val="left"/>
      <w:pPr>
        <w:ind w:left="2803" w:hanging="360"/>
      </w:pPr>
      <w:rPr>
        <w:rFonts w:ascii="Courier New" w:hAnsi="Courier New" w:hint="default"/>
      </w:rPr>
    </w:lvl>
    <w:lvl w:ilvl="4" w:tplc="0C090003" w:tentative="1">
      <w:start w:val="1"/>
      <w:numFmt w:val="bullet"/>
      <w:lvlText w:val="o"/>
      <w:lvlJc w:val="left"/>
      <w:pPr>
        <w:ind w:left="3523" w:hanging="360"/>
      </w:pPr>
      <w:rPr>
        <w:rFonts w:ascii="Yu Mincho Light" w:hAnsi="Yu Mincho Light" w:cs="Yu Mincho Light" w:hint="default"/>
      </w:rPr>
    </w:lvl>
    <w:lvl w:ilvl="5" w:tplc="0C090005" w:tentative="1">
      <w:start w:val="1"/>
      <w:numFmt w:val="bullet"/>
      <w:lvlText w:val=""/>
      <w:lvlJc w:val="left"/>
      <w:pPr>
        <w:ind w:left="4243" w:hanging="360"/>
      </w:pPr>
      <w:rPr>
        <w:rFonts w:ascii="Calibri" w:hAnsi="Calibri" w:hint="default"/>
      </w:rPr>
    </w:lvl>
    <w:lvl w:ilvl="6" w:tplc="0C090001" w:tentative="1">
      <w:start w:val="1"/>
      <w:numFmt w:val="bullet"/>
      <w:lvlText w:val=""/>
      <w:lvlJc w:val="left"/>
      <w:pPr>
        <w:ind w:left="4963" w:hanging="360"/>
      </w:pPr>
      <w:rPr>
        <w:rFonts w:ascii="Courier New" w:hAnsi="Courier New" w:hint="default"/>
      </w:rPr>
    </w:lvl>
    <w:lvl w:ilvl="7" w:tplc="0C090003" w:tentative="1">
      <w:start w:val="1"/>
      <w:numFmt w:val="bullet"/>
      <w:lvlText w:val="o"/>
      <w:lvlJc w:val="left"/>
      <w:pPr>
        <w:ind w:left="5683" w:hanging="360"/>
      </w:pPr>
      <w:rPr>
        <w:rFonts w:ascii="Yu Mincho Light" w:hAnsi="Yu Mincho Light" w:cs="Yu Mincho Light" w:hint="default"/>
      </w:rPr>
    </w:lvl>
    <w:lvl w:ilvl="8" w:tplc="0C090005" w:tentative="1">
      <w:start w:val="1"/>
      <w:numFmt w:val="bullet"/>
      <w:lvlText w:val=""/>
      <w:lvlJc w:val="left"/>
      <w:pPr>
        <w:ind w:left="6403" w:hanging="360"/>
      </w:pPr>
      <w:rPr>
        <w:rFonts w:ascii="Calibri" w:hAnsi="Calibri" w:hint="default"/>
      </w:rPr>
    </w:lvl>
  </w:abstractNum>
  <w:abstractNum w:abstractNumId="5" w15:restartNumberingAfterBreak="0">
    <w:nsid w:val="2BFF030D"/>
    <w:multiLevelType w:val="multilevel"/>
    <w:tmpl w:val="45065B90"/>
    <w:name w:val="StandardBulletedList"/>
    <w:lvl w:ilvl="0">
      <w:start w:val="1"/>
      <w:numFmt w:val="bullet"/>
      <w:lvlText w:val="•"/>
      <w:lvlJc w:val="left"/>
      <w:pPr>
        <w:tabs>
          <w:tab w:val="num" w:pos="520"/>
        </w:tabs>
        <w:ind w:left="520" w:hanging="520"/>
      </w:pPr>
      <w:rPr>
        <w:rFonts w:ascii="Times New Roman" w:hAnsi="Times New Roman" w:cs="Times New Roman"/>
      </w:rPr>
    </w:lvl>
    <w:lvl w:ilvl="1">
      <w:start w:val="1"/>
      <w:numFmt w:val="bullet"/>
      <w:lvlText w:val="–"/>
      <w:lvlJc w:val="left"/>
      <w:pPr>
        <w:tabs>
          <w:tab w:val="num" w:pos="1040"/>
        </w:tabs>
        <w:ind w:left="1040" w:hanging="520"/>
      </w:pPr>
      <w:rPr>
        <w:rFonts w:ascii="Times New Roman" w:hAnsi="Times New Roman" w:cs="Times New Roman"/>
      </w:rPr>
    </w:lvl>
    <w:lvl w:ilvl="2">
      <w:start w:val="1"/>
      <w:numFmt w:val="bullet"/>
      <w:lvlText w:val=":"/>
      <w:lvlJc w:val="left"/>
      <w:pPr>
        <w:tabs>
          <w:tab w:val="num" w:pos="1560"/>
        </w:tabs>
        <w:ind w:left="1560" w:hanging="520"/>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7" w15:restartNumberingAfterBreak="0">
    <w:nsid w:val="58947E46"/>
    <w:multiLevelType w:val="multilevel"/>
    <w:tmpl w:val="9828D65A"/>
    <w:lvl w:ilvl="0">
      <w:numFmt w:val="decimal"/>
      <w:lvlText w:val="•"/>
      <w:lvlJc w:val="left"/>
      <w:pPr>
        <w:tabs>
          <w:tab w:val="num" w:pos="283"/>
        </w:tabs>
        <w:ind w:left="283" w:hanging="283"/>
      </w:pPr>
      <w:rPr>
        <w:rFonts w:ascii="Times New Roman" w:hAnsi="Times New Roman" w:cs="Times New Roman"/>
        <w:b w:val="0"/>
        <w:i w:val="0"/>
      </w:rPr>
    </w:lvl>
    <w:lvl w:ilvl="1">
      <w:numFmt w:val="decimal"/>
      <w:pStyle w:val="Footer"/>
      <w:lvlText w:val="–"/>
      <w:lvlJc w:val="left"/>
      <w:pPr>
        <w:tabs>
          <w:tab w:val="num" w:pos="567"/>
        </w:tabs>
        <w:ind w:left="567" w:hanging="284"/>
      </w:pPr>
      <w:rPr>
        <w:rFonts w:ascii="Times New Roman" w:hAnsi="Times New Roman" w:cs="Times New Roman"/>
        <w:b w:val="0"/>
        <w:i w:val="0"/>
      </w:rPr>
    </w:lvl>
    <w:lvl w:ilvl="2">
      <w:numFmt w:val="decimal"/>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8" w15:restartNumberingAfterBreak="0">
    <w:nsid w:val="5B871F1B"/>
    <w:multiLevelType w:val="multilevel"/>
    <w:tmpl w:val="5F3CF51C"/>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9" w15:restartNumberingAfterBreak="0">
    <w:nsid w:val="61454E76"/>
    <w:multiLevelType w:val="multilevel"/>
    <w:tmpl w:val="B41C11F0"/>
    <w:name w:val="StandardNumberedList"/>
    <w:lvl w:ilvl="0">
      <w:start w:val="1"/>
      <w:numFmt w:val="decimal"/>
      <w:pStyle w:val="OutlineNumbered1"/>
      <w:lvlText w:val="%1."/>
      <w:lvlJc w:val="left"/>
      <w:pPr>
        <w:tabs>
          <w:tab w:val="num" w:pos="520"/>
        </w:tabs>
        <w:ind w:left="520" w:hanging="520"/>
      </w:pPr>
    </w:lvl>
    <w:lvl w:ilvl="1">
      <w:start w:val="1"/>
      <w:numFmt w:val="decimal"/>
      <w:pStyle w:val="OutlineNumbered2"/>
      <w:lvlText w:val="%1.%2."/>
      <w:lvlJc w:val="left"/>
      <w:pPr>
        <w:tabs>
          <w:tab w:val="num" w:pos="945"/>
        </w:tabs>
        <w:ind w:left="945" w:hanging="425"/>
      </w:pPr>
    </w:lvl>
    <w:lvl w:ilvl="2">
      <w:start w:val="1"/>
      <w:numFmt w:val="decimal"/>
      <w:pStyle w:val="OutlineNumbered3"/>
      <w:lvlText w:val="%1.%2.%3."/>
      <w:lvlJc w:val="left"/>
      <w:pPr>
        <w:tabs>
          <w:tab w:val="num" w:pos="1370"/>
        </w:tabs>
        <w:ind w:left="1370" w:hanging="425"/>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E31191B"/>
    <w:multiLevelType w:val="multilevel"/>
    <w:tmpl w:val="9828D65A"/>
    <w:lvl w:ilvl="0">
      <w:numFmt w:val="decimal"/>
      <w:lvlText w:val="•"/>
      <w:lvlJc w:val="left"/>
      <w:pPr>
        <w:tabs>
          <w:tab w:val="num" w:pos="283"/>
        </w:tabs>
        <w:ind w:left="283" w:hanging="283"/>
      </w:pPr>
      <w:rPr>
        <w:rFonts w:ascii="Times New Roman" w:hAnsi="Times New Roman" w:cs="Times New Roman"/>
        <w:b w:val="0"/>
        <w:i w:val="0"/>
      </w:rPr>
    </w:lvl>
    <w:lvl w:ilvl="1">
      <w:numFmt w:val="decimal"/>
      <w:lvlText w:val="–"/>
      <w:lvlJc w:val="left"/>
      <w:pPr>
        <w:tabs>
          <w:tab w:val="num" w:pos="567"/>
        </w:tabs>
        <w:ind w:left="567" w:hanging="284"/>
      </w:pPr>
      <w:rPr>
        <w:rFonts w:ascii="Times New Roman" w:hAnsi="Times New Roman" w:cs="Times New Roman"/>
        <w:b w:val="0"/>
        <w:i w:val="0"/>
      </w:rPr>
    </w:lvl>
    <w:lvl w:ilvl="2">
      <w:numFmt w:val="decimal"/>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793A6A00"/>
    <w:multiLevelType w:val="multilevel"/>
    <w:tmpl w:val="8D1004A8"/>
    <w:lvl w:ilvl="0">
      <w:start w:val="1"/>
      <w:numFmt w:val="lowerLetter"/>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num w:numId="1">
    <w:abstractNumId w:val="6"/>
  </w:num>
  <w:num w:numId="2">
    <w:abstractNumId w:val="3"/>
  </w:num>
  <w:num w:numId="3">
    <w:abstractNumId w:val="2"/>
  </w:num>
  <w:num w:numId="4">
    <w:abstractNumId w:val="4"/>
  </w:num>
  <w:num w:numId="5">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num>
  <w:num w:numId="7">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8"/>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1"/>
  </w:num>
  <w:num w:numId="15">
    <w:abstractNumId w:val="9"/>
  </w:num>
  <w:num w:numId="16">
    <w:abstractNumId w:val="10"/>
  </w:num>
  <w:num w:numId="17">
    <w:abstractNumId w:val="7"/>
  </w:num>
  <w:num w:numId="18">
    <w:abstractNumId w:val="8"/>
    <w:lvlOverride w:ilvl="0">
      <w:startOverride w:val="1"/>
    </w:lvlOverride>
  </w:num>
  <w:num w:numId="19">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8"/>
    <w:lvlOverride w:ilvl="0">
      <w:startOverride w:val="1"/>
    </w:lvlOverride>
  </w:num>
  <w:num w:numId="32">
    <w:abstractNumId w:val="8"/>
    <w:lvlOverride w:ilvl="0">
      <w:startOverride w:val="1"/>
    </w:lvlOverride>
  </w:num>
  <w:num w:numId="33">
    <w:abstractNumId w:val="8"/>
    <w:lvlOverride w:ilvl="0">
      <w:startOverride w:val="1"/>
    </w:lvlOverride>
  </w:num>
  <w:num w:numId="34">
    <w:abstractNumId w:val="8"/>
    <w:lvlOverride w:ilvl="0">
      <w:startOverride w:val="1"/>
    </w:lvlOverride>
  </w:num>
  <w:num w:numId="35">
    <w:abstractNumId w:val="8"/>
    <w:lvlOverride w:ilvl="0">
      <w:startOverride w:val="1"/>
    </w:lvlOverride>
  </w:num>
  <w:num w:numId="36">
    <w:abstractNumId w:val="8"/>
    <w:lvlOverride w:ilvl="0">
      <w:startOverride w:val="1"/>
    </w:lvlOverride>
  </w:num>
  <w:num w:numId="37">
    <w:abstractNumId w:val="8"/>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num>
  <w:num w:numId="44">
    <w:abstractNumId w:val="8"/>
    <w:lvlOverride w:ilvl="0">
      <w:startOverride w:val="1"/>
    </w:lvlOverride>
  </w:num>
  <w:num w:numId="45">
    <w:abstractNumId w:val="8"/>
    <w:lvlOverride w:ilvl="0">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mirrorMargins/>
  <w:proofState w:spelling="clean" w:grammar="clean"/>
  <w:attachedTemplate r:id="rId1"/>
  <w:documentProtection w:edit="comments" w:enforcement="0"/>
  <w:defaultTabStop w:val="720"/>
  <w:evenAndOddHeaders/>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F32B106-7C10-47DB-B8E2-482FA21D55FB}"/>
    <w:docVar w:name="dgnword-eventsink" w:val="1931252631840"/>
    <w:docVar w:name="SecurityClassificationInHeader" w:val="False"/>
  </w:docVars>
  <w:rsids>
    <w:rsidRoot w:val="00632D71"/>
    <w:rsid w:val="00000024"/>
    <w:rsid w:val="0000005D"/>
    <w:rsid w:val="000000DE"/>
    <w:rsid w:val="00000265"/>
    <w:rsid w:val="00000312"/>
    <w:rsid w:val="00000366"/>
    <w:rsid w:val="000003C8"/>
    <w:rsid w:val="00000447"/>
    <w:rsid w:val="000004EA"/>
    <w:rsid w:val="00000627"/>
    <w:rsid w:val="00000647"/>
    <w:rsid w:val="000006F3"/>
    <w:rsid w:val="00000720"/>
    <w:rsid w:val="00000844"/>
    <w:rsid w:val="00000882"/>
    <w:rsid w:val="00000A4B"/>
    <w:rsid w:val="00000BB7"/>
    <w:rsid w:val="00000C2F"/>
    <w:rsid w:val="00000C9E"/>
    <w:rsid w:val="00000CB6"/>
    <w:rsid w:val="00000CDB"/>
    <w:rsid w:val="00000D05"/>
    <w:rsid w:val="00000EB3"/>
    <w:rsid w:val="00000EF1"/>
    <w:rsid w:val="00000F6F"/>
    <w:rsid w:val="00000F95"/>
    <w:rsid w:val="00001028"/>
    <w:rsid w:val="000011FF"/>
    <w:rsid w:val="0000123C"/>
    <w:rsid w:val="000012AA"/>
    <w:rsid w:val="0000132A"/>
    <w:rsid w:val="00001385"/>
    <w:rsid w:val="0000144E"/>
    <w:rsid w:val="0000148D"/>
    <w:rsid w:val="00001528"/>
    <w:rsid w:val="0000159F"/>
    <w:rsid w:val="000015B5"/>
    <w:rsid w:val="000015BC"/>
    <w:rsid w:val="000016B0"/>
    <w:rsid w:val="00001839"/>
    <w:rsid w:val="00001845"/>
    <w:rsid w:val="00001852"/>
    <w:rsid w:val="00001891"/>
    <w:rsid w:val="000018A3"/>
    <w:rsid w:val="000018AA"/>
    <w:rsid w:val="000018F7"/>
    <w:rsid w:val="00001A27"/>
    <w:rsid w:val="00001A89"/>
    <w:rsid w:val="00001C83"/>
    <w:rsid w:val="00001CED"/>
    <w:rsid w:val="00001D68"/>
    <w:rsid w:val="00001D92"/>
    <w:rsid w:val="00001E38"/>
    <w:rsid w:val="00001ED6"/>
    <w:rsid w:val="00001F8B"/>
    <w:rsid w:val="00001FC9"/>
    <w:rsid w:val="00002049"/>
    <w:rsid w:val="000020BF"/>
    <w:rsid w:val="00002185"/>
    <w:rsid w:val="000022DA"/>
    <w:rsid w:val="000022F6"/>
    <w:rsid w:val="00002312"/>
    <w:rsid w:val="00002349"/>
    <w:rsid w:val="000023AB"/>
    <w:rsid w:val="0000250A"/>
    <w:rsid w:val="000025D3"/>
    <w:rsid w:val="0000269C"/>
    <w:rsid w:val="00002764"/>
    <w:rsid w:val="000027A3"/>
    <w:rsid w:val="000027F1"/>
    <w:rsid w:val="000027FD"/>
    <w:rsid w:val="0000284C"/>
    <w:rsid w:val="0000288B"/>
    <w:rsid w:val="00002899"/>
    <w:rsid w:val="000028E8"/>
    <w:rsid w:val="00002904"/>
    <w:rsid w:val="00002995"/>
    <w:rsid w:val="000029F8"/>
    <w:rsid w:val="00002A03"/>
    <w:rsid w:val="00002A04"/>
    <w:rsid w:val="00002A11"/>
    <w:rsid w:val="00002A9F"/>
    <w:rsid w:val="00002B0A"/>
    <w:rsid w:val="00002B1A"/>
    <w:rsid w:val="00002B37"/>
    <w:rsid w:val="00002B6D"/>
    <w:rsid w:val="00002D49"/>
    <w:rsid w:val="00002D4D"/>
    <w:rsid w:val="00002D9D"/>
    <w:rsid w:val="00002DB1"/>
    <w:rsid w:val="00003015"/>
    <w:rsid w:val="000030B5"/>
    <w:rsid w:val="00003169"/>
    <w:rsid w:val="00003252"/>
    <w:rsid w:val="000032ED"/>
    <w:rsid w:val="000033FC"/>
    <w:rsid w:val="0000343A"/>
    <w:rsid w:val="00003481"/>
    <w:rsid w:val="000034ED"/>
    <w:rsid w:val="0000357B"/>
    <w:rsid w:val="000035E6"/>
    <w:rsid w:val="000035EB"/>
    <w:rsid w:val="0000362D"/>
    <w:rsid w:val="0000366C"/>
    <w:rsid w:val="00003698"/>
    <w:rsid w:val="000036F4"/>
    <w:rsid w:val="0000380A"/>
    <w:rsid w:val="000038EB"/>
    <w:rsid w:val="000039EC"/>
    <w:rsid w:val="00003B35"/>
    <w:rsid w:val="00003CEC"/>
    <w:rsid w:val="00003CF3"/>
    <w:rsid w:val="00003D27"/>
    <w:rsid w:val="00003E13"/>
    <w:rsid w:val="00003E34"/>
    <w:rsid w:val="00003E72"/>
    <w:rsid w:val="00003F1C"/>
    <w:rsid w:val="00003F3A"/>
    <w:rsid w:val="00003F42"/>
    <w:rsid w:val="00003F84"/>
    <w:rsid w:val="00003FAB"/>
    <w:rsid w:val="00003FD7"/>
    <w:rsid w:val="000040A0"/>
    <w:rsid w:val="000040BF"/>
    <w:rsid w:val="00004122"/>
    <w:rsid w:val="00004152"/>
    <w:rsid w:val="0000429A"/>
    <w:rsid w:val="00004361"/>
    <w:rsid w:val="00004370"/>
    <w:rsid w:val="000043AA"/>
    <w:rsid w:val="000043E0"/>
    <w:rsid w:val="00004429"/>
    <w:rsid w:val="00004516"/>
    <w:rsid w:val="00004573"/>
    <w:rsid w:val="000045F5"/>
    <w:rsid w:val="00004670"/>
    <w:rsid w:val="00004745"/>
    <w:rsid w:val="0000487F"/>
    <w:rsid w:val="000048A4"/>
    <w:rsid w:val="00004A46"/>
    <w:rsid w:val="00004B24"/>
    <w:rsid w:val="00004C3F"/>
    <w:rsid w:val="00004C51"/>
    <w:rsid w:val="00004CD8"/>
    <w:rsid w:val="00004D5D"/>
    <w:rsid w:val="00004D5F"/>
    <w:rsid w:val="00004DB6"/>
    <w:rsid w:val="00004DC2"/>
    <w:rsid w:val="00004E08"/>
    <w:rsid w:val="00004E7B"/>
    <w:rsid w:val="00004ECF"/>
    <w:rsid w:val="00004F1C"/>
    <w:rsid w:val="00004F65"/>
    <w:rsid w:val="00004F92"/>
    <w:rsid w:val="00004FBF"/>
    <w:rsid w:val="00004FFD"/>
    <w:rsid w:val="00005004"/>
    <w:rsid w:val="00005089"/>
    <w:rsid w:val="00005180"/>
    <w:rsid w:val="00005189"/>
    <w:rsid w:val="00005237"/>
    <w:rsid w:val="0000525E"/>
    <w:rsid w:val="00005426"/>
    <w:rsid w:val="0000548D"/>
    <w:rsid w:val="000054FC"/>
    <w:rsid w:val="00005519"/>
    <w:rsid w:val="000055FD"/>
    <w:rsid w:val="00005663"/>
    <w:rsid w:val="000057AA"/>
    <w:rsid w:val="000057DA"/>
    <w:rsid w:val="00005932"/>
    <w:rsid w:val="00005940"/>
    <w:rsid w:val="00005976"/>
    <w:rsid w:val="0000598A"/>
    <w:rsid w:val="0000598D"/>
    <w:rsid w:val="00005A0F"/>
    <w:rsid w:val="00005B36"/>
    <w:rsid w:val="00005BEF"/>
    <w:rsid w:val="00005C05"/>
    <w:rsid w:val="00005C31"/>
    <w:rsid w:val="00005CAE"/>
    <w:rsid w:val="00005DA2"/>
    <w:rsid w:val="00005E22"/>
    <w:rsid w:val="00005E3D"/>
    <w:rsid w:val="00005E66"/>
    <w:rsid w:val="00005E67"/>
    <w:rsid w:val="00005EBF"/>
    <w:rsid w:val="00005F1D"/>
    <w:rsid w:val="00005F28"/>
    <w:rsid w:val="00005F4E"/>
    <w:rsid w:val="00005F60"/>
    <w:rsid w:val="00005F82"/>
    <w:rsid w:val="00005FD7"/>
    <w:rsid w:val="00006003"/>
    <w:rsid w:val="0000613D"/>
    <w:rsid w:val="00006199"/>
    <w:rsid w:val="00006235"/>
    <w:rsid w:val="0000632D"/>
    <w:rsid w:val="00006331"/>
    <w:rsid w:val="0000635A"/>
    <w:rsid w:val="000064AE"/>
    <w:rsid w:val="00006512"/>
    <w:rsid w:val="0000658B"/>
    <w:rsid w:val="00006596"/>
    <w:rsid w:val="000065D1"/>
    <w:rsid w:val="000067D8"/>
    <w:rsid w:val="000067EB"/>
    <w:rsid w:val="00006A05"/>
    <w:rsid w:val="00006A39"/>
    <w:rsid w:val="00006BA4"/>
    <w:rsid w:val="00006CFA"/>
    <w:rsid w:val="00006D55"/>
    <w:rsid w:val="00006D95"/>
    <w:rsid w:val="00006DA6"/>
    <w:rsid w:val="00006DCC"/>
    <w:rsid w:val="00006E62"/>
    <w:rsid w:val="00006E81"/>
    <w:rsid w:val="00006EB9"/>
    <w:rsid w:val="00006F97"/>
    <w:rsid w:val="00006FE7"/>
    <w:rsid w:val="00007067"/>
    <w:rsid w:val="0000715F"/>
    <w:rsid w:val="000071B0"/>
    <w:rsid w:val="000071DA"/>
    <w:rsid w:val="00007203"/>
    <w:rsid w:val="00007229"/>
    <w:rsid w:val="0000727F"/>
    <w:rsid w:val="000072D8"/>
    <w:rsid w:val="000073AB"/>
    <w:rsid w:val="000073DC"/>
    <w:rsid w:val="00007513"/>
    <w:rsid w:val="0000754F"/>
    <w:rsid w:val="00007581"/>
    <w:rsid w:val="0000758D"/>
    <w:rsid w:val="000076F8"/>
    <w:rsid w:val="00007718"/>
    <w:rsid w:val="00007B26"/>
    <w:rsid w:val="00007B63"/>
    <w:rsid w:val="00007CB2"/>
    <w:rsid w:val="00007CE6"/>
    <w:rsid w:val="00007D8B"/>
    <w:rsid w:val="00007E2A"/>
    <w:rsid w:val="00007F6B"/>
    <w:rsid w:val="00007FC3"/>
    <w:rsid w:val="00010027"/>
    <w:rsid w:val="0001012D"/>
    <w:rsid w:val="0001015B"/>
    <w:rsid w:val="0001015C"/>
    <w:rsid w:val="0001028C"/>
    <w:rsid w:val="00010296"/>
    <w:rsid w:val="000102E2"/>
    <w:rsid w:val="000104A7"/>
    <w:rsid w:val="00010501"/>
    <w:rsid w:val="0001050B"/>
    <w:rsid w:val="00010538"/>
    <w:rsid w:val="00010555"/>
    <w:rsid w:val="0001065B"/>
    <w:rsid w:val="000106B2"/>
    <w:rsid w:val="000106B5"/>
    <w:rsid w:val="0001072C"/>
    <w:rsid w:val="000108E9"/>
    <w:rsid w:val="00010A78"/>
    <w:rsid w:val="00010A86"/>
    <w:rsid w:val="00010AD6"/>
    <w:rsid w:val="00010AFE"/>
    <w:rsid w:val="00010C29"/>
    <w:rsid w:val="00010D38"/>
    <w:rsid w:val="00010E93"/>
    <w:rsid w:val="00010F03"/>
    <w:rsid w:val="00010F68"/>
    <w:rsid w:val="00010F70"/>
    <w:rsid w:val="00010FBB"/>
    <w:rsid w:val="00010FE7"/>
    <w:rsid w:val="0001100D"/>
    <w:rsid w:val="0001111F"/>
    <w:rsid w:val="00011164"/>
    <w:rsid w:val="00011171"/>
    <w:rsid w:val="000112BA"/>
    <w:rsid w:val="000112BC"/>
    <w:rsid w:val="0001132C"/>
    <w:rsid w:val="000113B1"/>
    <w:rsid w:val="0001141D"/>
    <w:rsid w:val="00011425"/>
    <w:rsid w:val="0001145D"/>
    <w:rsid w:val="00011539"/>
    <w:rsid w:val="00011565"/>
    <w:rsid w:val="00011582"/>
    <w:rsid w:val="00011609"/>
    <w:rsid w:val="00011751"/>
    <w:rsid w:val="00011804"/>
    <w:rsid w:val="0001197C"/>
    <w:rsid w:val="00011984"/>
    <w:rsid w:val="000119E8"/>
    <w:rsid w:val="00011A9B"/>
    <w:rsid w:val="00011AD1"/>
    <w:rsid w:val="00011CE2"/>
    <w:rsid w:val="00011CEA"/>
    <w:rsid w:val="00011DBB"/>
    <w:rsid w:val="00011EE4"/>
    <w:rsid w:val="00011F33"/>
    <w:rsid w:val="00011FEC"/>
    <w:rsid w:val="00012045"/>
    <w:rsid w:val="000120D7"/>
    <w:rsid w:val="00012185"/>
    <w:rsid w:val="000121B2"/>
    <w:rsid w:val="00012226"/>
    <w:rsid w:val="0001223A"/>
    <w:rsid w:val="00012249"/>
    <w:rsid w:val="000122D0"/>
    <w:rsid w:val="000122FE"/>
    <w:rsid w:val="00012350"/>
    <w:rsid w:val="0001247B"/>
    <w:rsid w:val="000124FF"/>
    <w:rsid w:val="0001255D"/>
    <w:rsid w:val="00012576"/>
    <w:rsid w:val="000125CE"/>
    <w:rsid w:val="0001265C"/>
    <w:rsid w:val="000126CC"/>
    <w:rsid w:val="0001282F"/>
    <w:rsid w:val="0001293B"/>
    <w:rsid w:val="00012B0B"/>
    <w:rsid w:val="00012BE5"/>
    <w:rsid w:val="00012C7E"/>
    <w:rsid w:val="00012D42"/>
    <w:rsid w:val="00012D76"/>
    <w:rsid w:val="00012DFD"/>
    <w:rsid w:val="00012E17"/>
    <w:rsid w:val="00012F3D"/>
    <w:rsid w:val="00012F41"/>
    <w:rsid w:val="00012F91"/>
    <w:rsid w:val="0001309A"/>
    <w:rsid w:val="00013102"/>
    <w:rsid w:val="00013126"/>
    <w:rsid w:val="0001318A"/>
    <w:rsid w:val="000131FE"/>
    <w:rsid w:val="00013209"/>
    <w:rsid w:val="0001339A"/>
    <w:rsid w:val="000133DC"/>
    <w:rsid w:val="000133F5"/>
    <w:rsid w:val="00013403"/>
    <w:rsid w:val="00013517"/>
    <w:rsid w:val="000135B8"/>
    <w:rsid w:val="000136CC"/>
    <w:rsid w:val="000137AB"/>
    <w:rsid w:val="0001389F"/>
    <w:rsid w:val="0001395B"/>
    <w:rsid w:val="00013A53"/>
    <w:rsid w:val="00013B17"/>
    <w:rsid w:val="00013B5C"/>
    <w:rsid w:val="00013BB3"/>
    <w:rsid w:val="00013C6A"/>
    <w:rsid w:val="00013C86"/>
    <w:rsid w:val="00013CAA"/>
    <w:rsid w:val="00013DF8"/>
    <w:rsid w:val="00013E08"/>
    <w:rsid w:val="00013E37"/>
    <w:rsid w:val="00013E5E"/>
    <w:rsid w:val="00013EA8"/>
    <w:rsid w:val="00013EB5"/>
    <w:rsid w:val="00013ECB"/>
    <w:rsid w:val="00013FFC"/>
    <w:rsid w:val="0001404E"/>
    <w:rsid w:val="00014052"/>
    <w:rsid w:val="0001407D"/>
    <w:rsid w:val="0001409E"/>
    <w:rsid w:val="000140B7"/>
    <w:rsid w:val="000140CA"/>
    <w:rsid w:val="00014139"/>
    <w:rsid w:val="0001416A"/>
    <w:rsid w:val="000141E8"/>
    <w:rsid w:val="00014228"/>
    <w:rsid w:val="00014269"/>
    <w:rsid w:val="000142B4"/>
    <w:rsid w:val="000144D5"/>
    <w:rsid w:val="00014624"/>
    <w:rsid w:val="00014775"/>
    <w:rsid w:val="000148FB"/>
    <w:rsid w:val="00014910"/>
    <w:rsid w:val="0001491D"/>
    <w:rsid w:val="0001499D"/>
    <w:rsid w:val="00014C04"/>
    <w:rsid w:val="00014C32"/>
    <w:rsid w:val="00014C50"/>
    <w:rsid w:val="00014C8B"/>
    <w:rsid w:val="00014D3F"/>
    <w:rsid w:val="00014D59"/>
    <w:rsid w:val="00014D8B"/>
    <w:rsid w:val="00014FBD"/>
    <w:rsid w:val="00014FC9"/>
    <w:rsid w:val="0001511E"/>
    <w:rsid w:val="00015134"/>
    <w:rsid w:val="000151AD"/>
    <w:rsid w:val="000151C4"/>
    <w:rsid w:val="000151E3"/>
    <w:rsid w:val="000151EC"/>
    <w:rsid w:val="000151F7"/>
    <w:rsid w:val="00015231"/>
    <w:rsid w:val="00015237"/>
    <w:rsid w:val="00015262"/>
    <w:rsid w:val="000152AC"/>
    <w:rsid w:val="000152E1"/>
    <w:rsid w:val="0001532C"/>
    <w:rsid w:val="0001536B"/>
    <w:rsid w:val="000153C5"/>
    <w:rsid w:val="000153D9"/>
    <w:rsid w:val="000153F9"/>
    <w:rsid w:val="00015448"/>
    <w:rsid w:val="000154C7"/>
    <w:rsid w:val="0001559B"/>
    <w:rsid w:val="00015763"/>
    <w:rsid w:val="00015838"/>
    <w:rsid w:val="000158D4"/>
    <w:rsid w:val="000158FD"/>
    <w:rsid w:val="000159F5"/>
    <w:rsid w:val="000159F7"/>
    <w:rsid w:val="00015AB0"/>
    <w:rsid w:val="00015AB6"/>
    <w:rsid w:val="00015B1D"/>
    <w:rsid w:val="00015B75"/>
    <w:rsid w:val="00015CCC"/>
    <w:rsid w:val="00015D33"/>
    <w:rsid w:val="00015D7E"/>
    <w:rsid w:val="00015DD7"/>
    <w:rsid w:val="00015DEC"/>
    <w:rsid w:val="00016095"/>
    <w:rsid w:val="00016116"/>
    <w:rsid w:val="0001617E"/>
    <w:rsid w:val="00016227"/>
    <w:rsid w:val="00016281"/>
    <w:rsid w:val="000162AC"/>
    <w:rsid w:val="00016354"/>
    <w:rsid w:val="0001636A"/>
    <w:rsid w:val="000164A0"/>
    <w:rsid w:val="000164FA"/>
    <w:rsid w:val="000166F9"/>
    <w:rsid w:val="0001670D"/>
    <w:rsid w:val="00016797"/>
    <w:rsid w:val="000167A1"/>
    <w:rsid w:val="00016895"/>
    <w:rsid w:val="000168AF"/>
    <w:rsid w:val="000169BB"/>
    <w:rsid w:val="00016AA1"/>
    <w:rsid w:val="00016CAF"/>
    <w:rsid w:val="00016CE9"/>
    <w:rsid w:val="00016D20"/>
    <w:rsid w:val="00016D89"/>
    <w:rsid w:val="00016E96"/>
    <w:rsid w:val="00016EE9"/>
    <w:rsid w:val="00017053"/>
    <w:rsid w:val="0001710C"/>
    <w:rsid w:val="000171E5"/>
    <w:rsid w:val="0001735D"/>
    <w:rsid w:val="0001738D"/>
    <w:rsid w:val="00017496"/>
    <w:rsid w:val="000174A3"/>
    <w:rsid w:val="0001752D"/>
    <w:rsid w:val="00017582"/>
    <w:rsid w:val="00017603"/>
    <w:rsid w:val="00017652"/>
    <w:rsid w:val="000176AC"/>
    <w:rsid w:val="00017750"/>
    <w:rsid w:val="0001776C"/>
    <w:rsid w:val="00017856"/>
    <w:rsid w:val="000178FB"/>
    <w:rsid w:val="00017A90"/>
    <w:rsid w:val="00017A9F"/>
    <w:rsid w:val="00017B28"/>
    <w:rsid w:val="00017B7E"/>
    <w:rsid w:val="00017C0C"/>
    <w:rsid w:val="00017DA5"/>
    <w:rsid w:val="00017F49"/>
    <w:rsid w:val="00017F54"/>
    <w:rsid w:val="00020000"/>
    <w:rsid w:val="00020255"/>
    <w:rsid w:val="00020269"/>
    <w:rsid w:val="000202EA"/>
    <w:rsid w:val="0002030E"/>
    <w:rsid w:val="00020378"/>
    <w:rsid w:val="000204C0"/>
    <w:rsid w:val="000204F5"/>
    <w:rsid w:val="00020555"/>
    <w:rsid w:val="00020556"/>
    <w:rsid w:val="0002055F"/>
    <w:rsid w:val="00020573"/>
    <w:rsid w:val="00020589"/>
    <w:rsid w:val="00020768"/>
    <w:rsid w:val="0002079D"/>
    <w:rsid w:val="000207DF"/>
    <w:rsid w:val="000207EA"/>
    <w:rsid w:val="00020822"/>
    <w:rsid w:val="000208A4"/>
    <w:rsid w:val="00020997"/>
    <w:rsid w:val="000209CF"/>
    <w:rsid w:val="00020A07"/>
    <w:rsid w:val="00020A22"/>
    <w:rsid w:val="00020ABF"/>
    <w:rsid w:val="00020AFD"/>
    <w:rsid w:val="00020BFC"/>
    <w:rsid w:val="00020C4C"/>
    <w:rsid w:val="00020C7D"/>
    <w:rsid w:val="00020C86"/>
    <w:rsid w:val="00020DAD"/>
    <w:rsid w:val="00020DED"/>
    <w:rsid w:val="00020EC1"/>
    <w:rsid w:val="00020EEB"/>
    <w:rsid w:val="00020FA7"/>
    <w:rsid w:val="0002106B"/>
    <w:rsid w:val="000210BB"/>
    <w:rsid w:val="00021184"/>
    <w:rsid w:val="00021198"/>
    <w:rsid w:val="000213B3"/>
    <w:rsid w:val="00021525"/>
    <w:rsid w:val="0002155D"/>
    <w:rsid w:val="00021585"/>
    <w:rsid w:val="000215A0"/>
    <w:rsid w:val="00021734"/>
    <w:rsid w:val="0002176F"/>
    <w:rsid w:val="00021882"/>
    <w:rsid w:val="000218B2"/>
    <w:rsid w:val="000218E0"/>
    <w:rsid w:val="0002196F"/>
    <w:rsid w:val="00021A0B"/>
    <w:rsid w:val="00021A44"/>
    <w:rsid w:val="00021B3B"/>
    <w:rsid w:val="00021B7C"/>
    <w:rsid w:val="00021C09"/>
    <w:rsid w:val="00021C17"/>
    <w:rsid w:val="00021C4D"/>
    <w:rsid w:val="00021C99"/>
    <w:rsid w:val="00021CC7"/>
    <w:rsid w:val="00021D51"/>
    <w:rsid w:val="00021D8A"/>
    <w:rsid w:val="00021EA4"/>
    <w:rsid w:val="00021EF0"/>
    <w:rsid w:val="000220D3"/>
    <w:rsid w:val="000220FE"/>
    <w:rsid w:val="00022116"/>
    <w:rsid w:val="00022194"/>
    <w:rsid w:val="0002222D"/>
    <w:rsid w:val="000222DE"/>
    <w:rsid w:val="00022365"/>
    <w:rsid w:val="0002237B"/>
    <w:rsid w:val="000223E6"/>
    <w:rsid w:val="000223F7"/>
    <w:rsid w:val="00022407"/>
    <w:rsid w:val="0002241C"/>
    <w:rsid w:val="0002248A"/>
    <w:rsid w:val="000224C7"/>
    <w:rsid w:val="00022530"/>
    <w:rsid w:val="00022547"/>
    <w:rsid w:val="0002257A"/>
    <w:rsid w:val="000225BB"/>
    <w:rsid w:val="000225F4"/>
    <w:rsid w:val="000226B5"/>
    <w:rsid w:val="000226CE"/>
    <w:rsid w:val="00022831"/>
    <w:rsid w:val="00022944"/>
    <w:rsid w:val="000229B1"/>
    <w:rsid w:val="000229CC"/>
    <w:rsid w:val="00022A4C"/>
    <w:rsid w:val="00022A8E"/>
    <w:rsid w:val="00022B22"/>
    <w:rsid w:val="00022B43"/>
    <w:rsid w:val="00022B52"/>
    <w:rsid w:val="00022B63"/>
    <w:rsid w:val="00022C28"/>
    <w:rsid w:val="00022CB5"/>
    <w:rsid w:val="00022CB8"/>
    <w:rsid w:val="00022CC7"/>
    <w:rsid w:val="00022DB5"/>
    <w:rsid w:val="00022DE7"/>
    <w:rsid w:val="00022E3F"/>
    <w:rsid w:val="00022F38"/>
    <w:rsid w:val="00023035"/>
    <w:rsid w:val="00023061"/>
    <w:rsid w:val="0002307B"/>
    <w:rsid w:val="0002309B"/>
    <w:rsid w:val="000230D3"/>
    <w:rsid w:val="00023106"/>
    <w:rsid w:val="00023176"/>
    <w:rsid w:val="0002317D"/>
    <w:rsid w:val="000231FF"/>
    <w:rsid w:val="00023257"/>
    <w:rsid w:val="0002337E"/>
    <w:rsid w:val="000233FA"/>
    <w:rsid w:val="0002348A"/>
    <w:rsid w:val="000234F4"/>
    <w:rsid w:val="00023599"/>
    <w:rsid w:val="00023765"/>
    <w:rsid w:val="00023784"/>
    <w:rsid w:val="000237C8"/>
    <w:rsid w:val="00023898"/>
    <w:rsid w:val="00023931"/>
    <w:rsid w:val="00023A1D"/>
    <w:rsid w:val="00023A97"/>
    <w:rsid w:val="00023B02"/>
    <w:rsid w:val="00023B53"/>
    <w:rsid w:val="00023BB5"/>
    <w:rsid w:val="00023C16"/>
    <w:rsid w:val="00023D36"/>
    <w:rsid w:val="00023D9C"/>
    <w:rsid w:val="00023DE1"/>
    <w:rsid w:val="00023DE4"/>
    <w:rsid w:val="00023E89"/>
    <w:rsid w:val="00023F21"/>
    <w:rsid w:val="000242C4"/>
    <w:rsid w:val="000244CB"/>
    <w:rsid w:val="000244D9"/>
    <w:rsid w:val="0002475A"/>
    <w:rsid w:val="00024904"/>
    <w:rsid w:val="00024920"/>
    <w:rsid w:val="000249D7"/>
    <w:rsid w:val="00024B54"/>
    <w:rsid w:val="00024B80"/>
    <w:rsid w:val="00024BA6"/>
    <w:rsid w:val="00024D8C"/>
    <w:rsid w:val="00024F9C"/>
    <w:rsid w:val="00024FD6"/>
    <w:rsid w:val="00024FE7"/>
    <w:rsid w:val="000250FE"/>
    <w:rsid w:val="00025159"/>
    <w:rsid w:val="00025185"/>
    <w:rsid w:val="0002526D"/>
    <w:rsid w:val="000252C0"/>
    <w:rsid w:val="000252C2"/>
    <w:rsid w:val="00025344"/>
    <w:rsid w:val="00025420"/>
    <w:rsid w:val="00025492"/>
    <w:rsid w:val="000254A8"/>
    <w:rsid w:val="000254FA"/>
    <w:rsid w:val="00025502"/>
    <w:rsid w:val="0002552C"/>
    <w:rsid w:val="00025536"/>
    <w:rsid w:val="000255E4"/>
    <w:rsid w:val="0002567E"/>
    <w:rsid w:val="000256DB"/>
    <w:rsid w:val="00025765"/>
    <w:rsid w:val="000258DE"/>
    <w:rsid w:val="00025C43"/>
    <w:rsid w:val="00025C94"/>
    <w:rsid w:val="00025D7D"/>
    <w:rsid w:val="00025EB7"/>
    <w:rsid w:val="00025ECE"/>
    <w:rsid w:val="00025EE8"/>
    <w:rsid w:val="00025EFF"/>
    <w:rsid w:val="00025F1F"/>
    <w:rsid w:val="00025F72"/>
    <w:rsid w:val="00025FB0"/>
    <w:rsid w:val="00025FDE"/>
    <w:rsid w:val="000260DA"/>
    <w:rsid w:val="0002614D"/>
    <w:rsid w:val="00026304"/>
    <w:rsid w:val="0002635A"/>
    <w:rsid w:val="0002640D"/>
    <w:rsid w:val="00026499"/>
    <w:rsid w:val="000264AD"/>
    <w:rsid w:val="00026595"/>
    <w:rsid w:val="000265FB"/>
    <w:rsid w:val="00026607"/>
    <w:rsid w:val="000266E0"/>
    <w:rsid w:val="0002671C"/>
    <w:rsid w:val="0002673B"/>
    <w:rsid w:val="0002678F"/>
    <w:rsid w:val="000267D5"/>
    <w:rsid w:val="0002695E"/>
    <w:rsid w:val="00026979"/>
    <w:rsid w:val="00026AD2"/>
    <w:rsid w:val="00026B00"/>
    <w:rsid w:val="00026B1E"/>
    <w:rsid w:val="00026B28"/>
    <w:rsid w:val="00026C73"/>
    <w:rsid w:val="00026C76"/>
    <w:rsid w:val="00026CBB"/>
    <w:rsid w:val="00026D70"/>
    <w:rsid w:val="00027038"/>
    <w:rsid w:val="000270A0"/>
    <w:rsid w:val="000271F2"/>
    <w:rsid w:val="00027226"/>
    <w:rsid w:val="00027278"/>
    <w:rsid w:val="0002729A"/>
    <w:rsid w:val="000272A0"/>
    <w:rsid w:val="00027390"/>
    <w:rsid w:val="00027449"/>
    <w:rsid w:val="000274C1"/>
    <w:rsid w:val="000274CD"/>
    <w:rsid w:val="000274F2"/>
    <w:rsid w:val="00027570"/>
    <w:rsid w:val="0002757F"/>
    <w:rsid w:val="000275BF"/>
    <w:rsid w:val="0002761D"/>
    <w:rsid w:val="00027857"/>
    <w:rsid w:val="0002787B"/>
    <w:rsid w:val="00027895"/>
    <w:rsid w:val="000278ED"/>
    <w:rsid w:val="00027993"/>
    <w:rsid w:val="000279BA"/>
    <w:rsid w:val="000279CF"/>
    <w:rsid w:val="00027AB2"/>
    <w:rsid w:val="00027B0A"/>
    <w:rsid w:val="00027B34"/>
    <w:rsid w:val="00027B56"/>
    <w:rsid w:val="00027BD1"/>
    <w:rsid w:val="00027C02"/>
    <w:rsid w:val="00027C13"/>
    <w:rsid w:val="00027CF3"/>
    <w:rsid w:val="00027CF6"/>
    <w:rsid w:val="00027D83"/>
    <w:rsid w:val="00027EFB"/>
    <w:rsid w:val="00030099"/>
    <w:rsid w:val="000300BA"/>
    <w:rsid w:val="000300DF"/>
    <w:rsid w:val="00030287"/>
    <w:rsid w:val="00030500"/>
    <w:rsid w:val="00030524"/>
    <w:rsid w:val="00030581"/>
    <w:rsid w:val="0003067C"/>
    <w:rsid w:val="0003067E"/>
    <w:rsid w:val="000306E2"/>
    <w:rsid w:val="000307B1"/>
    <w:rsid w:val="00030838"/>
    <w:rsid w:val="000308E0"/>
    <w:rsid w:val="00030939"/>
    <w:rsid w:val="00030964"/>
    <w:rsid w:val="00030996"/>
    <w:rsid w:val="000309BE"/>
    <w:rsid w:val="000309CF"/>
    <w:rsid w:val="00030B84"/>
    <w:rsid w:val="00030C01"/>
    <w:rsid w:val="00030CDF"/>
    <w:rsid w:val="00030E1C"/>
    <w:rsid w:val="00030E4B"/>
    <w:rsid w:val="00030E88"/>
    <w:rsid w:val="00030EF9"/>
    <w:rsid w:val="00030F18"/>
    <w:rsid w:val="00030F45"/>
    <w:rsid w:val="00030FD0"/>
    <w:rsid w:val="00030FDF"/>
    <w:rsid w:val="00030FF3"/>
    <w:rsid w:val="00031054"/>
    <w:rsid w:val="00031088"/>
    <w:rsid w:val="000310A0"/>
    <w:rsid w:val="00031106"/>
    <w:rsid w:val="0003115A"/>
    <w:rsid w:val="0003118D"/>
    <w:rsid w:val="0003133A"/>
    <w:rsid w:val="0003133D"/>
    <w:rsid w:val="0003134C"/>
    <w:rsid w:val="0003139A"/>
    <w:rsid w:val="000313E5"/>
    <w:rsid w:val="000313FA"/>
    <w:rsid w:val="00031466"/>
    <w:rsid w:val="000314A6"/>
    <w:rsid w:val="000314D0"/>
    <w:rsid w:val="00031590"/>
    <w:rsid w:val="00031608"/>
    <w:rsid w:val="0003160B"/>
    <w:rsid w:val="0003166A"/>
    <w:rsid w:val="0003166D"/>
    <w:rsid w:val="0003172D"/>
    <w:rsid w:val="00031857"/>
    <w:rsid w:val="0003191E"/>
    <w:rsid w:val="000319E7"/>
    <w:rsid w:val="00031A9B"/>
    <w:rsid w:val="00031B31"/>
    <w:rsid w:val="00031CA9"/>
    <w:rsid w:val="00031CB1"/>
    <w:rsid w:val="00031D20"/>
    <w:rsid w:val="00031D8B"/>
    <w:rsid w:val="00031DB7"/>
    <w:rsid w:val="00031DC4"/>
    <w:rsid w:val="00031E42"/>
    <w:rsid w:val="00031EAB"/>
    <w:rsid w:val="00031F5A"/>
    <w:rsid w:val="00031F67"/>
    <w:rsid w:val="00032180"/>
    <w:rsid w:val="00032196"/>
    <w:rsid w:val="000321DE"/>
    <w:rsid w:val="0003230F"/>
    <w:rsid w:val="00032352"/>
    <w:rsid w:val="000323A6"/>
    <w:rsid w:val="000323EE"/>
    <w:rsid w:val="00032437"/>
    <w:rsid w:val="00032457"/>
    <w:rsid w:val="00032483"/>
    <w:rsid w:val="00032491"/>
    <w:rsid w:val="00032536"/>
    <w:rsid w:val="00032566"/>
    <w:rsid w:val="00032677"/>
    <w:rsid w:val="000326D7"/>
    <w:rsid w:val="0003270A"/>
    <w:rsid w:val="00032802"/>
    <w:rsid w:val="00032A06"/>
    <w:rsid w:val="00032A6D"/>
    <w:rsid w:val="00032AAF"/>
    <w:rsid w:val="00032DED"/>
    <w:rsid w:val="00032E44"/>
    <w:rsid w:val="00032E64"/>
    <w:rsid w:val="00032FA4"/>
    <w:rsid w:val="000330AE"/>
    <w:rsid w:val="00033199"/>
    <w:rsid w:val="000331B2"/>
    <w:rsid w:val="0003320E"/>
    <w:rsid w:val="00033256"/>
    <w:rsid w:val="0003327E"/>
    <w:rsid w:val="00033393"/>
    <w:rsid w:val="000333FC"/>
    <w:rsid w:val="00033458"/>
    <w:rsid w:val="00033540"/>
    <w:rsid w:val="00033603"/>
    <w:rsid w:val="00033670"/>
    <w:rsid w:val="00033724"/>
    <w:rsid w:val="0003375C"/>
    <w:rsid w:val="000337C9"/>
    <w:rsid w:val="00033813"/>
    <w:rsid w:val="000339AF"/>
    <w:rsid w:val="00033A4B"/>
    <w:rsid w:val="00033A57"/>
    <w:rsid w:val="00033A97"/>
    <w:rsid w:val="00033AD6"/>
    <w:rsid w:val="00033B0E"/>
    <w:rsid w:val="00033B42"/>
    <w:rsid w:val="00033B9B"/>
    <w:rsid w:val="00033BE1"/>
    <w:rsid w:val="00033F5E"/>
    <w:rsid w:val="00033F94"/>
    <w:rsid w:val="00033FFF"/>
    <w:rsid w:val="00034021"/>
    <w:rsid w:val="00034059"/>
    <w:rsid w:val="00034110"/>
    <w:rsid w:val="000343A5"/>
    <w:rsid w:val="00034470"/>
    <w:rsid w:val="00034471"/>
    <w:rsid w:val="000344C9"/>
    <w:rsid w:val="00034502"/>
    <w:rsid w:val="000345BD"/>
    <w:rsid w:val="0003463B"/>
    <w:rsid w:val="00034655"/>
    <w:rsid w:val="00034848"/>
    <w:rsid w:val="00034917"/>
    <w:rsid w:val="00034B42"/>
    <w:rsid w:val="00034C12"/>
    <w:rsid w:val="00034C36"/>
    <w:rsid w:val="00034C88"/>
    <w:rsid w:val="00034DDB"/>
    <w:rsid w:val="00034E38"/>
    <w:rsid w:val="00034E91"/>
    <w:rsid w:val="00034E9F"/>
    <w:rsid w:val="00034F25"/>
    <w:rsid w:val="00034F2F"/>
    <w:rsid w:val="00034F9C"/>
    <w:rsid w:val="000350D0"/>
    <w:rsid w:val="000352B4"/>
    <w:rsid w:val="000352DA"/>
    <w:rsid w:val="000352E2"/>
    <w:rsid w:val="0003533B"/>
    <w:rsid w:val="00035459"/>
    <w:rsid w:val="00035461"/>
    <w:rsid w:val="0003548B"/>
    <w:rsid w:val="00035492"/>
    <w:rsid w:val="000354C1"/>
    <w:rsid w:val="000354C4"/>
    <w:rsid w:val="000354EB"/>
    <w:rsid w:val="0003568F"/>
    <w:rsid w:val="00035726"/>
    <w:rsid w:val="00035746"/>
    <w:rsid w:val="0003579B"/>
    <w:rsid w:val="000357D0"/>
    <w:rsid w:val="0003583B"/>
    <w:rsid w:val="0003585F"/>
    <w:rsid w:val="0003589A"/>
    <w:rsid w:val="000358FF"/>
    <w:rsid w:val="00035904"/>
    <w:rsid w:val="00035A90"/>
    <w:rsid w:val="00035A9E"/>
    <w:rsid w:val="00035B86"/>
    <w:rsid w:val="00035B9E"/>
    <w:rsid w:val="00035C6F"/>
    <w:rsid w:val="00035CBA"/>
    <w:rsid w:val="00035CC6"/>
    <w:rsid w:val="00035CD5"/>
    <w:rsid w:val="00035CD9"/>
    <w:rsid w:val="00035D8D"/>
    <w:rsid w:val="00035E64"/>
    <w:rsid w:val="00035E9A"/>
    <w:rsid w:val="00035ECC"/>
    <w:rsid w:val="00035EE1"/>
    <w:rsid w:val="00035F94"/>
    <w:rsid w:val="0003606A"/>
    <w:rsid w:val="000360CB"/>
    <w:rsid w:val="000360E1"/>
    <w:rsid w:val="0003616A"/>
    <w:rsid w:val="000362FF"/>
    <w:rsid w:val="000363A2"/>
    <w:rsid w:val="000363D6"/>
    <w:rsid w:val="000363E6"/>
    <w:rsid w:val="0003642F"/>
    <w:rsid w:val="00036465"/>
    <w:rsid w:val="0003646C"/>
    <w:rsid w:val="000364AD"/>
    <w:rsid w:val="000365AD"/>
    <w:rsid w:val="00036693"/>
    <w:rsid w:val="000366DC"/>
    <w:rsid w:val="00036708"/>
    <w:rsid w:val="00036796"/>
    <w:rsid w:val="000367AA"/>
    <w:rsid w:val="00036881"/>
    <w:rsid w:val="000368D4"/>
    <w:rsid w:val="000368EA"/>
    <w:rsid w:val="00036928"/>
    <w:rsid w:val="000369A8"/>
    <w:rsid w:val="000369AB"/>
    <w:rsid w:val="000369F9"/>
    <w:rsid w:val="00036A6F"/>
    <w:rsid w:val="00036AA3"/>
    <w:rsid w:val="00036B49"/>
    <w:rsid w:val="00036B64"/>
    <w:rsid w:val="00036BA4"/>
    <w:rsid w:val="00036C21"/>
    <w:rsid w:val="00036ED4"/>
    <w:rsid w:val="00036F66"/>
    <w:rsid w:val="00036F8D"/>
    <w:rsid w:val="000371B4"/>
    <w:rsid w:val="00037220"/>
    <w:rsid w:val="0003722B"/>
    <w:rsid w:val="00037259"/>
    <w:rsid w:val="00037263"/>
    <w:rsid w:val="00037277"/>
    <w:rsid w:val="000373FB"/>
    <w:rsid w:val="0003746A"/>
    <w:rsid w:val="000374EE"/>
    <w:rsid w:val="0003753B"/>
    <w:rsid w:val="00037591"/>
    <w:rsid w:val="0003770C"/>
    <w:rsid w:val="00037744"/>
    <w:rsid w:val="00037787"/>
    <w:rsid w:val="00037844"/>
    <w:rsid w:val="00037865"/>
    <w:rsid w:val="000378A7"/>
    <w:rsid w:val="00037956"/>
    <w:rsid w:val="000379F6"/>
    <w:rsid w:val="00037A1A"/>
    <w:rsid w:val="00037B0C"/>
    <w:rsid w:val="00037B22"/>
    <w:rsid w:val="00037B78"/>
    <w:rsid w:val="00037B8B"/>
    <w:rsid w:val="00037C70"/>
    <w:rsid w:val="00037C76"/>
    <w:rsid w:val="00037C95"/>
    <w:rsid w:val="00037DB4"/>
    <w:rsid w:val="00037E96"/>
    <w:rsid w:val="00037F16"/>
    <w:rsid w:val="00037FF0"/>
    <w:rsid w:val="00040059"/>
    <w:rsid w:val="00040081"/>
    <w:rsid w:val="0004009E"/>
    <w:rsid w:val="000400A8"/>
    <w:rsid w:val="0004010A"/>
    <w:rsid w:val="0004013C"/>
    <w:rsid w:val="0004017D"/>
    <w:rsid w:val="0004021D"/>
    <w:rsid w:val="0004024B"/>
    <w:rsid w:val="0004032C"/>
    <w:rsid w:val="00040495"/>
    <w:rsid w:val="00040542"/>
    <w:rsid w:val="00040615"/>
    <w:rsid w:val="0004065B"/>
    <w:rsid w:val="000406A6"/>
    <w:rsid w:val="000406AF"/>
    <w:rsid w:val="000406B3"/>
    <w:rsid w:val="0004075A"/>
    <w:rsid w:val="000407A9"/>
    <w:rsid w:val="000407FA"/>
    <w:rsid w:val="00040898"/>
    <w:rsid w:val="000409DB"/>
    <w:rsid w:val="00040AEC"/>
    <w:rsid w:val="00040B5D"/>
    <w:rsid w:val="00040C4A"/>
    <w:rsid w:val="00040C9B"/>
    <w:rsid w:val="00040DD4"/>
    <w:rsid w:val="00040E3A"/>
    <w:rsid w:val="00040F16"/>
    <w:rsid w:val="00040FBA"/>
    <w:rsid w:val="0004110B"/>
    <w:rsid w:val="00041156"/>
    <w:rsid w:val="0004118A"/>
    <w:rsid w:val="000411EF"/>
    <w:rsid w:val="00041286"/>
    <w:rsid w:val="0004128B"/>
    <w:rsid w:val="00041347"/>
    <w:rsid w:val="000414D6"/>
    <w:rsid w:val="000414FB"/>
    <w:rsid w:val="0004161F"/>
    <w:rsid w:val="00041697"/>
    <w:rsid w:val="0004169D"/>
    <w:rsid w:val="000416A2"/>
    <w:rsid w:val="00041734"/>
    <w:rsid w:val="00041760"/>
    <w:rsid w:val="00041789"/>
    <w:rsid w:val="00041838"/>
    <w:rsid w:val="00041A11"/>
    <w:rsid w:val="00041A9F"/>
    <w:rsid w:val="00041B32"/>
    <w:rsid w:val="00041B50"/>
    <w:rsid w:val="00041D76"/>
    <w:rsid w:val="00041DA4"/>
    <w:rsid w:val="00041E1D"/>
    <w:rsid w:val="00041E7C"/>
    <w:rsid w:val="00041E87"/>
    <w:rsid w:val="00041E8D"/>
    <w:rsid w:val="00041EA6"/>
    <w:rsid w:val="00041FC7"/>
    <w:rsid w:val="0004204A"/>
    <w:rsid w:val="000420AB"/>
    <w:rsid w:val="00042103"/>
    <w:rsid w:val="000421D3"/>
    <w:rsid w:val="00042270"/>
    <w:rsid w:val="000422AE"/>
    <w:rsid w:val="00042320"/>
    <w:rsid w:val="0004233C"/>
    <w:rsid w:val="00042348"/>
    <w:rsid w:val="0004248F"/>
    <w:rsid w:val="00042498"/>
    <w:rsid w:val="00042617"/>
    <w:rsid w:val="000427C6"/>
    <w:rsid w:val="000427D3"/>
    <w:rsid w:val="00042944"/>
    <w:rsid w:val="00042BAE"/>
    <w:rsid w:val="00042BED"/>
    <w:rsid w:val="00042C52"/>
    <w:rsid w:val="00042DCE"/>
    <w:rsid w:val="00042E7A"/>
    <w:rsid w:val="00042F20"/>
    <w:rsid w:val="00043014"/>
    <w:rsid w:val="0004309C"/>
    <w:rsid w:val="000430F6"/>
    <w:rsid w:val="000431CA"/>
    <w:rsid w:val="000432FB"/>
    <w:rsid w:val="00043351"/>
    <w:rsid w:val="00043355"/>
    <w:rsid w:val="0004349B"/>
    <w:rsid w:val="00043554"/>
    <w:rsid w:val="000435B2"/>
    <w:rsid w:val="000435EC"/>
    <w:rsid w:val="0004360B"/>
    <w:rsid w:val="00043660"/>
    <w:rsid w:val="00043687"/>
    <w:rsid w:val="00043845"/>
    <w:rsid w:val="00043860"/>
    <w:rsid w:val="000438CE"/>
    <w:rsid w:val="00043A6D"/>
    <w:rsid w:val="00043ABD"/>
    <w:rsid w:val="00043B27"/>
    <w:rsid w:val="00043B64"/>
    <w:rsid w:val="00043B69"/>
    <w:rsid w:val="00043C00"/>
    <w:rsid w:val="00043C26"/>
    <w:rsid w:val="00043CAD"/>
    <w:rsid w:val="00043CD3"/>
    <w:rsid w:val="00043DC8"/>
    <w:rsid w:val="00043DD4"/>
    <w:rsid w:val="00043E3E"/>
    <w:rsid w:val="00043EB4"/>
    <w:rsid w:val="00043EB5"/>
    <w:rsid w:val="00043F24"/>
    <w:rsid w:val="00043FAB"/>
    <w:rsid w:val="00044015"/>
    <w:rsid w:val="0004408F"/>
    <w:rsid w:val="000440A5"/>
    <w:rsid w:val="000440D6"/>
    <w:rsid w:val="000441A3"/>
    <w:rsid w:val="00044212"/>
    <w:rsid w:val="00044242"/>
    <w:rsid w:val="00044295"/>
    <w:rsid w:val="000442B3"/>
    <w:rsid w:val="000442B9"/>
    <w:rsid w:val="000442DD"/>
    <w:rsid w:val="000442FA"/>
    <w:rsid w:val="00044336"/>
    <w:rsid w:val="00044357"/>
    <w:rsid w:val="0004439F"/>
    <w:rsid w:val="0004441D"/>
    <w:rsid w:val="00044530"/>
    <w:rsid w:val="00044589"/>
    <w:rsid w:val="0004458C"/>
    <w:rsid w:val="00044592"/>
    <w:rsid w:val="00044614"/>
    <w:rsid w:val="000446EF"/>
    <w:rsid w:val="000448BF"/>
    <w:rsid w:val="00044953"/>
    <w:rsid w:val="000449B3"/>
    <w:rsid w:val="000449F6"/>
    <w:rsid w:val="00044AF7"/>
    <w:rsid w:val="00044B76"/>
    <w:rsid w:val="00044BC0"/>
    <w:rsid w:val="00044BC1"/>
    <w:rsid w:val="00044C30"/>
    <w:rsid w:val="00044DB2"/>
    <w:rsid w:val="00044DB4"/>
    <w:rsid w:val="00044DDD"/>
    <w:rsid w:val="00044E30"/>
    <w:rsid w:val="00044E34"/>
    <w:rsid w:val="00044E60"/>
    <w:rsid w:val="00044EE1"/>
    <w:rsid w:val="00044FCE"/>
    <w:rsid w:val="00045055"/>
    <w:rsid w:val="000451FE"/>
    <w:rsid w:val="00045273"/>
    <w:rsid w:val="000452EA"/>
    <w:rsid w:val="0004537C"/>
    <w:rsid w:val="00045401"/>
    <w:rsid w:val="000454FD"/>
    <w:rsid w:val="00045540"/>
    <w:rsid w:val="00045634"/>
    <w:rsid w:val="00045672"/>
    <w:rsid w:val="00045694"/>
    <w:rsid w:val="00045870"/>
    <w:rsid w:val="00045919"/>
    <w:rsid w:val="00045941"/>
    <w:rsid w:val="0004597F"/>
    <w:rsid w:val="00045A00"/>
    <w:rsid w:val="00045A3C"/>
    <w:rsid w:val="00045ABE"/>
    <w:rsid w:val="00045AD6"/>
    <w:rsid w:val="00045CDC"/>
    <w:rsid w:val="00045D42"/>
    <w:rsid w:val="00045EBC"/>
    <w:rsid w:val="00046016"/>
    <w:rsid w:val="00046027"/>
    <w:rsid w:val="00046059"/>
    <w:rsid w:val="000460AE"/>
    <w:rsid w:val="000460C0"/>
    <w:rsid w:val="000461C6"/>
    <w:rsid w:val="000461CB"/>
    <w:rsid w:val="000461CE"/>
    <w:rsid w:val="000461E6"/>
    <w:rsid w:val="000461F8"/>
    <w:rsid w:val="00046280"/>
    <w:rsid w:val="0004630A"/>
    <w:rsid w:val="00046320"/>
    <w:rsid w:val="00046354"/>
    <w:rsid w:val="00046399"/>
    <w:rsid w:val="00046414"/>
    <w:rsid w:val="0004642C"/>
    <w:rsid w:val="000464E9"/>
    <w:rsid w:val="000464EE"/>
    <w:rsid w:val="0004654F"/>
    <w:rsid w:val="00046650"/>
    <w:rsid w:val="00046658"/>
    <w:rsid w:val="00046669"/>
    <w:rsid w:val="000466BF"/>
    <w:rsid w:val="00046751"/>
    <w:rsid w:val="000468B7"/>
    <w:rsid w:val="000468D7"/>
    <w:rsid w:val="00046949"/>
    <w:rsid w:val="000469C6"/>
    <w:rsid w:val="000469FF"/>
    <w:rsid w:val="00046A1C"/>
    <w:rsid w:val="00046A35"/>
    <w:rsid w:val="00046B94"/>
    <w:rsid w:val="00046BC1"/>
    <w:rsid w:val="00046BF7"/>
    <w:rsid w:val="00046C10"/>
    <w:rsid w:val="00046CFD"/>
    <w:rsid w:val="00046D52"/>
    <w:rsid w:val="00046E3B"/>
    <w:rsid w:val="00046F20"/>
    <w:rsid w:val="00046F3C"/>
    <w:rsid w:val="00047049"/>
    <w:rsid w:val="000471AC"/>
    <w:rsid w:val="0004738D"/>
    <w:rsid w:val="000474E4"/>
    <w:rsid w:val="0004755E"/>
    <w:rsid w:val="00047715"/>
    <w:rsid w:val="00047824"/>
    <w:rsid w:val="0004796B"/>
    <w:rsid w:val="00047989"/>
    <w:rsid w:val="00047ACA"/>
    <w:rsid w:val="00047B0A"/>
    <w:rsid w:val="00047D08"/>
    <w:rsid w:val="00047D25"/>
    <w:rsid w:val="00047D40"/>
    <w:rsid w:val="00047DD2"/>
    <w:rsid w:val="00047E44"/>
    <w:rsid w:val="00047E62"/>
    <w:rsid w:val="00047E95"/>
    <w:rsid w:val="00050233"/>
    <w:rsid w:val="00050388"/>
    <w:rsid w:val="000503AE"/>
    <w:rsid w:val="000503C6"/>
    <w:rsid w:val="0005042A"/>
    <w:rsid w:val="00050436"/>
    <w:rsid w:val="0005052C"/>
    <w:rsid w:val="0005058B"/>
    <w:rsid w:val="000505D2"/>
    <w:rsid w:val="00050620"/>
    <w:rsid w:val="00050623"/>
    <w:rsid w:val="000506E7"/>
    <w:rsid w:val="000506FC"/>
    <w:rsid w:val="0005071C"/>
    <w:rsid w:val="0005072B"/>
    <w:rsid w:val="0005073F"/>
    <w:rsid w:val="000507FA"/>
    <w:rsid w:val="00050811"/>
    <w:rsid w:val="000508C9"/>
    <w:rsid w:val="00050920"/>
    <w:rsid w:val="000509DA"/>
    <w:rsid w:val="00050A91"/>
    <w:rsid w:val="00050AA0"/>
    <w:rsid w:val="00050AAE"/>
    <w:rsid w:val="00050BA6"/>
    <w:rsid w:val="00050BAB"/>
    <w:rsid w:val="00050BAC"/>
    <w:rsid w:val="00050BB8"/>
    <w:rsid w:val="00050BE9"/>
    <w:rsid w:val="00050CF9"/>
    <w:rsid w:val="00050CFC"/>
    <w:rsid w:val="00050D26"/>
    <w:rsid w:val="00050E51"/>
    <w:rsid w:val="00050E6C"/>
    <w:rsid w:val="00050F55"/>
    <w:rsid w:val="00051070"/>
    <w:rsid w:val="0005117F"/>
    <w:rsid w:val="00051289"/>
    <w:rsid w:val="00051297"/>
    <w:rsid w:val="000512D9"/>
    <w:rsid w:val="000512F8"/>
    <w:rsid w:val="000513E8"/>
    <w:rsid w:val="00051455"/>
    <w:rsid w:val="00051572"/>
    <w:rsid w:val="000516D0"/>
    <w:rsid w:val="00051701"/>
    <w:rsid w:val="000518A9"/>
    <w:rsid w:val="00051A09"/>
    <w:rsid w:val="00051A8C"/>
    <w:rsid w:val="00051A9D"/>
    <w:rsid w:val="00051ADA"/>
    <w:rsid w:val="00051B4A"/>
    <w:rsid w:val="00051B89"/>
    <w:rsid w:val="00051BEE"/>
    <w:rsid w:val="00051C5C"/>
    <w:rsid w:val="00051D1B"/>
    <w:rsid w:val="00051D47"/>
    <w:rsid w:val="00051DCF"/>
    <w:rsid w:val="00051DEA"/>
    <w:rsid w:val="0005209B"/>
    <w:rsid w:val="000520A3"/>
    <w:rsid w:val="000521CA"/>
    <w:rsid w:val="000522C9"/>
    <w:rsid w:val="000522CF"/>
    <w:rsid w:val="000522E2"/>
    <w:rsid w:val="0005233E"/>
    <w:rsid w:val="0005236C"/>
    <w:rsid w:val="00052375"/>
    <w:rsid w:val="000523EA"/>
    <w:rsid w:val="000523FF"/>
    <w:rsid w:val="0005248B"/>
    <w:rsid w:val="00052580"/>
    <w:rsid w:val="000525FF"/>
    <w:rsid w:val="000526FC"/>
    <w:rsid w:val="0005274B"/>
    <w:rsid w:val="00052781"/>
    <w:rsid w:val="000527D1"/>
    <w:rsid w:val="000527DF"/>
    <w:rsid w:val="000528CD"/>
    <w:rsid w:val="0005291A"/>
    <w:rsid w:val="00052971"/>
    <w:rsid w:val="00052A11"/>
    <w:rsid w:val="00052A4F"/>
    <w:rsid w:val="00052AA2"/>
    <w:rsid w:val="00052AAE"/>
    <w:rsid w:val="00052B23"/>
    <w:rsid w:val="00052B45"/>
    <w:rsid w:val="00052B63"/>
    <w:rsid w:val="00052C07"/>
    <w:rsid w:val="00052C15"/>
    <w:rsid w:val="00052C23"/>
    <w:rsid w:val="00052D2E"/>
    <w:rsid w:val="00052E0B"/>
    <w:rsid w:val="00052E42"/>
    <w:rsid w:val="00052E82"/>
    <w:rsid w:val="00052EDD"/>
    <w:rsid w:val="00052F0A"/>
    <w:rsid w:val="00052F51"/>
    <w:rsid w:val="00052F7F"/>
    <w:rsid w:val="00053020"/>
    <w:rsid w:val="00053069"/>
    <w:rsid w:val="000530C8"/>
    <w:rsid w:val="00053107"/>
    <w:rsid w:val="0005316D"/>
    <w:rsid w:val="000531B2"/>
    <w:rsid w:val="000532AD"/>
    <w:rsid w:val="000532FE"/>
    <w:rsid w:val="00053439"/>
    <w:rsid w:val="000534C2"/>
    <w:rsid w:val="00053569"/>
    <w:rsid w:val="0005357A"/>
    <w:rsid w:val="00053611"/>
    <w:rsid w:val="00053657"/>
    <w:rsid w:val="000537B6"/>
    <w:rsid w:val="00053825"/>
    <w:rsid w:val="00053AD1"/>
    <w:rsid w:val="00053BB9"/>
    <w:rsid w:val="00053CC8"/>
    <w:rsid w:val="00053CEB"/>
    <w:rsid w:val="00053D43"/>
    <w:rsid w:val="00053DA7"/>
    <w:rsid w:val="00053DC3"/>
    <w:rsid w:val="00053E99"/>
    <w:rsid w:val="00053FA0"/>
    <w:rsid w:val="00054061"/>
    <w:rsid w:val="0005413D"/>
    <w:rsid w:val="0005417A"/>
    <w:rsid w:val="00054189"/>
    <w:rsid w:val="000541A5"/>
    <w:rsid w:val="000542D3"/>
    <w:rsid w:val="000543A5"/>
    <w:rsid w:val="000545DD"/>
    <w:rsid w:val="00054640"/>
    <w:rsid w:val="00054676"/>
    <w:rsid w:val="000546E0"/>
    <w:rsid w:val="0005473E"/>
    <w:rsid w:val="0005475E"/>
    <w:rsid w:val="00054765"/>
    <w:rsid w:val="0005495D"/>
    <w:rsid w:val="00054A47"/>
    <w:rsid w:val="00054ADD"/>
    <w:rsid w:val="00054CA8"/>
    <w:rsid w:val="00054CE7"/>
    <w:rsid w:val="00054DB1"/>
    <w:rsid w:val="00054DBC"/>
    <w:rsid w:val="00054ED7"/>
    <w:rsid w:val="00054FAE"/>
    <w:rsid w:val="00054FD3"/>
    <w:rsid w:val="00054FF7"/>
    <w:rsid w:val="000550B0"/>
    <w:rsid w:val="00055134"/>
    <w:rsid w:val="00055249"/>
    <w:rsid w:val="0005525F"/>
    <w:rsid w:val="000552C0"/>
    <w:rsid w:val="000552D1"/>
    <w:rsid w:val="000554F6"/>
    <w:rsid w:val="00055506"/>
    <w:rsid w:val="000555AA"/>
    <w:rsid w:val="000555B0"/>
    <w:rsid w:val="000555D4"/>
    <w:rsid w:val="00055634"/>
    <w:rsid w:val="000559BC"/>
    <w:rsid w:val="00055A55"/>
    <w:rsid w:val="00055B2B"/>
    <w:rsid w:val="00055B86"/>
    <w:rsid w:val="00055BA0"/>
    <w:rsid w:val="00055BA7"/>
    <w:rsid w:val="00055CCF"/>
    <w:rsid w:val="00055D05"/>
    <w:rsid w:val="00055D15"/>
    <w:rsid w:val="00055D39"/>
    <w:rsid w:val="00055D93"/>
    <w:rsid w:val="00055DF8"/>
    <w:rsid w:val="00055EF7"/>
    <w:rsid w:val="00055FD3"/>
    <w:rsid w:val="00055FDA"/>
    <w:rsid w:val="00056068"/>
    <w:rsid w:val="00056070"/>
    <w:rsid w:val="000561B2"/>
    <w:rsid w:val="000561EC"/>
    <w:rsid w:val="000561EF"/>
    <w:rsid w:val="000562E2"/>
    <w:rsid w:val="000562FE"/>
    <w:rsid w:val="00056306"/>
    <w:rsid w:val="000563EA"/>
    <w:rsid w:val="0005640B"/>
    <w:rsid w:val="0005645E"/>
    <w:rsid w:val="00056473"/>
    <w:rsid w:val="000564C0"/>
    <w:rsid w:val="00056503"/>
    <w:rsid w:val="0005655C"/>
    <w:rsid w:val="0005665F"/>
    <w:rsid w:val="0005666F"/>
    <w:rsid w:val="000566D7"/>
    <w:rsid w:val="00056725"/>
    <w:rsid w:val="0005678A"/>
    <w:rsid w:val="000567CF"/>
    <w:rsid w:val="00056835"/>
    <w:rsid w:val="00056852"/>
    <w:rsid w:val="0005689F"/>
    <w:rsid w:val="00056913"/>
    <w:rsid w:val="00056990"/>
    <w:rsid w:val="000569E7"/>
    <w:rsid w:val="00056A41"/>
    <w:rsid w:val="00056A66"/>
    <w:rsid w:val="00056A81"/>
    <w:rsid w:val="00056A91"/>
    <w:rsid w:val="00056A96"/>
    <w:rsid w:val="00056B1C"/>
    <w:rsid w:val="00056C01"/>
    <w:rsid w:val="00056C02"/>
    <w:rsid w:val="00056C06"/>
    <w:rsid w:val="00056C3E"/>
    <w:rsid w:val="00056C53"/>
    <w:rsid w:val="00056C91"/>
    <w:rsid w:val="00056CD9"/>
    <w:rsid w:val="00056D1E"/>
    <w:rsid w:val="00056DE4"/>
    <w:rsid w:val="00056DFA"/>
    <w:rsid w:val="00056E59"/>
    <w:rsid w:val="00056ECF"/>
    <w:rsid w:val="00057249"/>
    <w:rsid w:val="00057381"/>
    <w:rsid w:val="000575E3"/>
    <w:rsid w:val="0005761A"/>
    <w:rsid w:val="0005764E"/>
    <w:rsid w:val="00057673"/>
    <w:rsid w:val="00057687"/>
    <w:rsid w:val="00057740"/>
    <w:rsid w:val="00057771"/>
    <w:rsid w:val="00057874"/>
    <w:rsid w:val="00057942"/>
    <w:rsid w:val="00057AAA"/>
    <w:rsid w:val="00057B3D"/>
    <w:rsid w:val="00057D57"/>
    <w:rsid w:val="00057D5C"/>
    <w:rsid w:val="00057DDD"/>
    <w:rsid w:val="00057DFD"/>
    <w:rsid w:val="00057E5B"/>
    <w:rsid w:val="00057ED2"/>
    <w:rsid w:val="00057F6E"/>
    <w:rsid w:val="00057FBD"/>
    <w:rsid w:val="00057FCB"/>
    <w:rsid w:val="00060099"/>
    <w:rsid w:val="00060132"/>
    <w:rsid w:val="00060177"/>
    <w:rsid w:val="00060223"/>
    <w:rsid w:val="0006029A"/>
    <w:rsid w:val="000602C8"/>
    <w:rsid w:val="000602CB"/>
    <w:rsid w:val="000602EC"/>
    <w:rsid w:val="000602F8"/>
    <w:rsid w:val="00060341"/>
    <w:rsid w:val="00060349"/>
    <w:rsid w:val="000604C4"/>
    <w:rsid w:val="0006050B"/>
    <w:rsid w:val="00060520"/>
    <w:rsid w:val="000605B7"/>
    <w:rsid w:val="0006069E"/>
    <w:rsid w:val="000606B8"/>
    <w:rsid w:val="000606F9"/>
    <w:rsid w:val="0006070F"/>
    <w:rsid w:val="00060952"/>
    <w:rsid w:val="00060A9B"/>
    <w:rsid w:val="00060AD4"/>
    <w:rsid w:val="00060AD8"/>
    <w:rsid w:val="00060D48"/>
    <w:rsid w:val="00060D7A"/>
    <w:rsid w:val="00060D8C"/>
    <w:rsid w:val="00060DFF"/>
    <w:rsid w:val="00060E07"/>
    <w:rsid w:val="00060E6A"/>
    <w:rsid w:val="00060F69"/>
    <w:rsid w:val="00060FB4"/>
    <w:rsid w:val="00060FF5"/>
    <w:rsid w:val="000610CF"/>
    <w:rsid w:val="0006120B"/>
    <w:rsid w:val="00061219"/>
    <w:rsid w:val="00061277"/>
    <w:rsid w:val="000612AA"/>
    <w:rsid w:val="000613AF"/>
    <w:rsid w:val="000613C7"/>
    <w:rsid w:val="00061469"/>
    <w:rsid w:val="000614A1"/>
    <w:rsid w:val="00061562"/>
    <w:rsid w:val="000615E5"/>
    <w:rsid w:val="000616AF"/>
    <w:rsid w:val="000616F4"/>
    <w:rsid w:val="00061715"/>
    <w:rsid w:val="000617A6"/>
    <w:rsid w:val="000617DD"/>
    <w:rsid w:val="00061800"/>
    <w:rsid w:val="0006193F"/>
    <w:rsid w:val="00061956"/>
    <w:rsid w:val="000619C3"/>
    <w:rsid w:val="00061A97"/>
    <w:rsid w:val="00061AF4"/>
    <w:rsid w:val="00061B57"/>
    <w:rsid w:val="00061B71"/>
    <w:rsid w:val="00061B77"/>
    <w:rsid w:val="00061B81"/>
    <w:rsid w:val="00061B89"/>
    <w:rsid w:val="00061B8A"/>
    <w:rsid w:val="00061D73"/>
    <w:rsid w:val="00061EF6"/>
    <w:rsid w:val="00061F8C"/>
    <w:rsid w:val="00061F8E"/>
    <w:rsid w:val="00062046"/>
    <w:rsid w:val="0006204F"/>
    <w:rsid w:val="00062077"/>
    <w:rsid w:val="00062079"/>
    <w:rsid w:val="0006209C"/>
    <w:rsid w:val="00062111"/>
    <w:rsid w:val="0006217A"/>
    <w:rsid w:val="000621D8"/>
    <w:rsid w:val="00062267"/>
    <w:rsid w:val="00062271"/>
    <w:rsid w:val="000622DA"/>
    <w:rsid w:val="00062324"/>
    <w:rsid w:val="000623E7"/>
    <w:rsid w:val="0006241F"/>
    <w:rsid w:val="0006252B"/>
    <w:rsid w:val="000627F3"/>
    <w:rsid w:val="00062884"/>
    <w:rsid w:val="0006289B"/>
    <w:rsid w:val="00062953"/>
    <w:rsid w:val="0006297F"/>
    <w:rsid w:val="00062BF5"/>
    <w:rsid w:val="00062C03"/>
    <w:rsid w:val="00062C0B"/>
    <w:rsid w:val="00062C67"/>
    <w:rsid w:val="00062D05"/>
    <w:rsid w:val="00062DFC"/>
    <w:rsid w:val="00062E14"/>
    <w:rsid w:val="00062F81"/>
    <w:rsid w:val="00063061"/>
    <w:rsid w:val="00063124"/>
    <w:rsid w:val="0006324F"/>
    <w:rsid w:val="000632B1"/>
    <w:rsid w:val="00063314"/>
    <w:rsid w:val="000633C6"/>
    <w:rsid w:val="0006348A"/>
    <w:rsid w:val="000634EE"/>
    <w:rsid w:val="00063530"/>
    <w:rsid w:val="000635B5"/>
    <w:rsid w:val="000635BE"/>
    <w:rsid w:val="0006364E"/>
    <w:rsid w:val="00063665"/>
    <w:rsid w:val="0006373A"/>
    <w:rsid w:val="0006375C"/>
    <w:rsid w:val="00063774"/>
    <w:rsid w:val="0006377F"/>
    <w:rsid w:val="000637FE"/>
    <w:rsid w:val="0006386E"/>
    <w:rsid w:val="00063905"/>
    <w:rsid w:val="0006390C"/>
    <w:rsid w:val="00063939"/>
    <w:rsid w:val="0006397E"/>
    <w:rsid w:val="00063993"/>
    <w:rsid w:val="00063A9A"/>
    <w:rsid w:val="00063B63"/>
    <w:rsid w:val="00063B6E"/>
    <w:rsid w:val="00063BA1"/>
    <w:rsid w:val="00063BC4"/>
    <w:rsid w:val="00063BFA"/>
    <w:rsid w:val="00063C44"/>
    <w:rsid w:val="00063E57"/>
    <w:rsid w:val="00063ED5"/>
    <w:rsid w:val="00063ED8"/>
    <w:rsid w:val="00063F03"/>
    <w:rsid w:val="00063FEE"/>
    <w:rsid w:val="000641A4"/>
    <w:rsid w:val="00064295"/>
    <w:rsid w:val="000642B2"/>
    <w:rsid w:val="000642CE"/>
    <w:rsid w:val="00064321"/>
    <w:rsid w:val="00064443"/>
    <w:rsid w:val="0006447A"/>
    <w:rsid w:val="00064560"/>
    <w:rsid w:val="000645A0"/>
    <w:rsid w:val="0006473B"/>
    <w:rsid w:val="00064753"/>
    <w:rsid w:val="0006490E"/>
    <w:rsid w:val="00064935"/>
    <w:rsid w:val="00064979"/>
    <w:rsid w:val="00064AC6"/>
    <w:rsid w:val="00064CC9"/>
    <w:rsid w:val="00064D2B"/>
    <w:rsid w:val="00064F27"/>
    <w:rsid w:val="00065060"/>
    <w:rsid w:val="0006506E"/>
    <w:rsid w:val="00065141"/>
    <w:rsid w:val="00065160"/>
    <w:rsid w:val="00065227"/>
    <w:rsid w:val="000652AA"/>
    <w:rsid w:val="000652B5"/>
    <w:rsid w:val="000652E5"/>
    <w:rsid w:val="000652ED"/>
    <w:rsid w:val="000653ED"/>
    <w:rsid w:val="000654B5"/>
    <w:rsid w:val="000654F7"/>
    <w:rsid w:val="0006555D"/>
    <w:rsid w:val="00065604"/>
    <w:rsid w:val="00065815"/>
    <w:rsid w:val="000659AA"/>
    <w:rsid w:val="00065A83"/>
    <w:rsid w:val="00065AEB"/>
    <w:rsid w:val="00065B90"/>
    <w:rsid w:val="00065CB7"/>
    <w:rsid w:val="00065DA9"/>
    <w:rsid w:val="00065DC5"/>
    <w:rsid w:val="00065DD1"/>
    <w:rsid w:val="00065E9E"/>
    <w:rsid w:val="00065F2B"/>
    <w:rsid w:val="00065F45"/>
    <w:rsid w:val="00065FBF"/>
    <w:rsid w:val="0006608B"/>
    <w:rsid w:val="00066141"/>
    <w:rsid w:val="0006614C"/>
    <w:rsid w:val="00066165"/>
    <w:rsid w:val="00066198"/>
    <w:rsid w:val="00066261"/>
    <w:rsid w:val="0006628D"/>
    <w:rsid w:val="000662D8"/>
    <w:rsid w:val="000662F2"/>
    <w:rsid w:val="00066359"/>
    <w:rsid w:val="00066411"/>
    <w:rsid w:val="0006645F"/>
    <w:rsid w:val="000664A3"/>
    <w:rsid w:val="00066513"/>
    <w:rsid w:val="00066546"/>
    <w:rsid w:val="00066587"/>
    <w:rsid w:val="000665FE"/>
    <w:rsid w:val="00066747"/>
    <w:rsid w:val="00066A53"/>
    <w:rsid w:val="00066AF3"/>
    <w:rsid w:val="00066AF9"/>
    <w:rsid w:val="00066B21"/>
    <w:rsid w:val="00066B3D"/>
    <w:rsid w:val="00066B47"/>
    <w:rsid w:val="00066D2B"/>
    <w:rsid w:val="00066D91"/>
    <w:rsid w:val="00066E19"/>
    <w:rsid w:val="00066F00"/>
    <w:rsid w:val="00066F38"/>
    <w:rsid w:val="00066FA6"/>
    <w:rsid w:val="00066FBE"/>
    <w:rsid w:val="0006700F"/>
    <w:rsid w:val="00067063"/>
    <w:rsid w:val="00067134"/>
    <w:rsid w:val="00067163"/>
    <w:rsid w:val="00067186"/>
    <w:rsid w:val="00067356"/>
    <w:rsid w:val="00067363"/>
    <w:rsid w:val="00067397"/>
    <w:rsid w:val="000673A4"/>
    <w:rsid w:val="000673D2"/>
    <w:rsid w:val="000674B9"/>
    <w:rsid w:val="00067548"/>
    <w:rsid w:val="000675C7"/>
    <w:rsid w:val="000675D3"/>
    <w:rsid w:val="0006760F"/>
    <w:rsid w:val="00067612"/>
    <w:rsid w:val="0006761A"/>
    <w:rsid w:val="0006764B"/>
    <w:rsid w:val="0006773A"/>
    <w:rsid w:val="0006794F"/>
    <w:rsid w:val="000679D3"/>
    <w:rsid w:val="00067A29"/>
    <w:rsid w:val="00067A9B"/>
    <w:rsid w:val="00067AA8"/>
    <w:rsid w:val="00067BBD"/>
    <w:rsid w:val="00067D15"/>
    <w:rsid w:val="00067D6D"/>
    <w:rsid w:val="00067D73"/>
    <w:rsid w:val="00067DD2"/>
    <w:rsid w:val="00067E2D"/>
    <w:rsid w:val="00067ED8"/>
    <w:rsid w:val="00067F33"/>
    <w:rsid w:val="00067F82"/>
    <w:rsid w:val="00067FDA"/>
    <w:rsid w:val="00070009"/>
    <w:rsid w:val="00070057"/>
    <w:rsid w:val="000700A0"/>
    <w:rsid w:val="00070156"/>
    <w:rsid w:val="0007016A"/>
    <w:rsid w:val="00070289"/>
    <w:rsid w:val="000702DE"/>
    <w:rsid w:val="00070357"/>
    <w:rsid w:val="00070367"/>
    <w:rsid w:val="00070436"/>
    <w:rsid w:val="00070494"/>
    <w:rsid w:val="00070507"/>
    <w:rsid w:val="000706BE"/>
    <w:rsid w:val="000708F4"/>
    <w:rsid w:val="0007093B"/>
    <w:rsid w:val="00070987"/>
    <w:rsid w:val="000709B7"/>
    <w:rsid w:val="00070A26"/>
    <w:rsid w:val="00070A35"/>
    <w:rsid w:val="00070A8F"/>
    <w:rsid w:val="00070AE1"/>
    <w:rsid w:val="00070B98"/>
    <w:rsid w:val="00070BD9"/>
    <w:rsid w:val="00070C41"/>
    <w:rsid w:val="00070C9C"/>
    <w:rsid w:val="00070DBC"/>
    <w:rsid w:val="00070DDB"/>
    <w:rsid w:val="00070DEF"/>
    <w:rsid w:val="00070E22"/>
    <w:rsid w:val="00070ECC"/>
    <w:rsid w:val="00070F01"/>
    <w:rsid w:val="00070F2A"/>
    <w:rsid w:val="00070F49"/>
    <w:rsid w:val="00070F57"/>
    <w:rsid w:val="00070FB1"/>
    <w:rsid w:val="00070FEB"/>
    <w:rsid w:val="00071017"/>
    <w:rsid w:val="0007105E"/>
    <w:rsid w:val="0007119D"/>
    <w:rsid w:val="00071279"/>
    <w:rsid w:val="00071355"/>
    <w:rsid w:val="00071364"/>
    <w:rsid w:val="000714BC"/>
    <w:rsid w:val="0007151E"/>
    <w:rsid w:val="0007169A"/>
    <w:rsid w:val="00071708"/>
    <w:rsid w:val="0007171F"/>
    <w:rsid w:val="00071791"/>
    <w:rsid w:val="00071798"/>
    <w:rsid w:val="0007186D"/>
    <w:rsid w:val="00071963"/>
    <w:rsid w:val="00071974"/>
    <w:rsid w:val="00071B83"/>
    <w:rsid w:val="00071B85"/>
    <w:rsid w:val="00071BDF"/>
    <w:rsid w:val="00071C6C"/>
    <w:rsid w:val="00071C78"/>
    <w:rsid w:val="00071C9B"/>
    <w:rsid w:val="00071D24"/>
    <w:rsid w:val="00071D97"/>
    <w:rsid w:val="00071E75"/>
    <w:rsid w:val="00072069"/>
    <w:rsid w:val="00072087"/>
    <w:rsid w:val="000720BA"/>
    <w:rsid w:val="000720F6"/>
    <w:rsid w:val="0007216F"/>
    <w:rsid w:val="00072222"/>
    <w:rsid w:val="00072232"/>
    <w:rsid w:val="0007236E"/>
    <w:rsid w:val="0007248E"/>
    <w:rsid w:val="000724E8"/>
    <w:rsid w:val="00072521"/>
    <w:rsid w:val="000725E6"/>
    <w:rsid w:val="000725FC"/>
    <w:rsid w:val="00072618"/>
    <w:rsid w:val="00072659"/>
    <w:rsid w:val="00072660"/>
    <w:rsid w:val="00072856"/>
    <w:rsid w:val="00072881"/>
    <w:rsid w:val="00072935"/>
    <w:rsid w:val="00072939"/>
    <w:rsid w:val="000729B9"/>
    <w:rsid w:val="000729E5"/>
    <w:rsid w:val="000729F4"/>
    <w:rsid w:val="00072A4B"/>
    <w:rsid w:val="00072B68"/>
    <w:rsid w:val="00072C36"/>
    <w:rsid w:val="00072C91"/>
    <w:rsid w:val="00072CD2"/>
    <w:rsid w:val="00072D0B"/>
    <w:rsid w:val="00072DC3"/>
    <w:rsid w:val="00072DDA"/>
    <w:rsid w:val="00072E2A"/>
    <w:rsid w:val="00072ECE"/>
    <w:rsid w:val="00072EFE"/>
    <w:rsid w:val="00072F7A"/>
    <w:rsid w:val="00072FA4"/>
    <w:rsid w:val="0007302C"/>
    <w:rsid w:val="00073059"/>
    <w:rsid w:val="00073070"/>
    <w:rsid w:val="000730DB"/>
    <w:rsid w:val="000731AC"/>
    <w:rsid w:val="00073269"/>
    <w:rsid w:val="00073278"/>
    <w:rsid w:val="000732F4"/>
    <w:rsid w:val="0007336C"/>
    <w:rsid w:val="00073397"/>
    <w:rsid w:val="00073400"/>
    <w:rsid w:val="00073414"/>
    <w:rsid w:val="0007342C"/>
    <w:rsid w:val="00073465"/>
    <w:rsid w:val="00073552"/>
    <w:rsid w:val="000736D3"/>
    <w:rsid w:val="000736D7"/>
    <w:rsid w:val="00073731"/>
    <w:rsid w:val="0007376F"/>
    <w:rsid w:val="00073775"/>
    <w:rsid w:val="00073787"/>
    <w:rsid w:val="00073835"/>
    <w:rsid w:val="0007392F"/>
    <w:rsid w:val="000739B5"/>
    <w:rsid w:val="00073A8B"/>
    <w:rsid w:val="00073ABA"/>
    <w:rsid w:val="00073BE1"/>
    <w:rsid w:val="00073C58"/>
    <w:rsid w:val="00073C7C"/>
    <w:rsid w:val="00073C91"/>
    <w:rsid w:val="00073CDA"/>
    <w:rsid w:val="00073DDD"/>
    <w:rsid w:val="00073E73"/>
    <w:rsid w:val="00074002"/>
    <w:rsid w:val="000740D3"/>
    <w:rsid w:val="000740F1"/>
    <w:rsid w:val="0007415B"/>
    <w:rsid w:val="00074165"/>
    <w:rsid w:val="00074168"/>
    <w:rsid w:val="000741C9"/>
    <w:rsid w:val="000742A1"/>
    <w:rsid w:val="000742CB"/>
    <w:rsid w:val="000742E7"/>
    <w:rsid w:val="00074473"/>
    <w:rsid w:val="000745E5"/>
    <w:rsid w:val="00074743"/>
    <w:rsid w:val="00074787"/>
    <w:rsid w:val="000747A0"/>
    <w:rsid w:val="000747AE"/>
    <w:rsid w:val="00074890"/>
    <w:rsid w:val="00074894"/>
    <w:rsid w:val="0007496E"/>
    <w:rsid w:val="00074997"/>
    <w:rsid w:val="000749E7"/>
    <w:rsid w:val="00074B9E"/>
    <w:rsid w:val="00074C85"/>
    <w:rsid w:val="00074C91"/>
    <w:rsid w:val="00074CE2"/>
    <w:rsid w:val="00074D00"/>
    <w:rsid w:val="00074D80"/>
    <w:rsid w:val="00074E21"/>
    <w:rsid w:val="00074E82"/>
    <w:rsid w:val="00074FE5"/>
    <w:rsid w:val="00075079"/>
    <w:rsid w:val="00075160"/>
    <w:rsid w:val="000751B7"/>
    <w:rsid w:val="00075316"/>
    <w:rsid w:val="00075354"/>
    <w:rsid w:val="000753E2"/>
    <w:rsid w:val="00075421"/>
    <w:rsid w:val="000754C6"/>
    <w:rsid w:val="00075603"/>
    <w:rsid w:val="0007564B"/>
    <w:rsid w:val="00075798"/>
    <w:rsid w:val="000757DB"/>
    <w:rsid w:val="000758FA"/>
    <w:rsid w:val="000759E5"/>
    <w:rsid w:val="000759E9"/>
    <w:rsid w:val="00075A27"/>
    <w:rsid w:val="00075B4C"/>
    <w:rsid w:val="00075B8A"/>
    <w:rsid w:val="00075BE5"/>
    <w:rsid w:val="00075BF4"/>
    <w:rsid w:val="00075C06"/>
    <w:rsid w:val="00075C1D"/>
    <w:rsid w:val="00075C32"/>
    <w:rsid w:val="00075C7F"/>
    <w:rsid w:val="00075D0B"/>
    <w:rsid w:val="00075D77"/>
    <w:rsid w:val="00075DC2"/>
    <w:rsid w:val="00075E7D"/>
    <w:rsid w:val="00075F73"/>
    <w:rsid w:val="00075F9B"/>
    <w:rsid w:val="00075FA0"/>
    <w:rsid w:val="00076087"/>
    <w:rsid w:val="00076141"/>
    <w:rsid w:val="00076210"/>
    <w:rsid w:val="00076350"/>
    <w:rsid w:val="00076392"/>
    <w:rsid w:val="000763F9"/>
    <w:rsid w:val="00076499"/>
    <w:rsid w:val="000764D3"/>
    <w:rsid w:val="000764F3"/>
    <w:rsid w:val="00076549"/>
    <w:rsid w:val="00076652"/>
    <w:rsid w:val="000766E8"/>
    <w:rsid w:val="0007670D"/>
    <w:rsid w:val="0007674E"/>
    <w:rsid w:val="00076839"/>
    <w:rsid w:val="00076863"/>
    <w:rsid w:val="000768AC"/>
    <w:rsid w:val="00076A4E"/>
    <w:rsid w:val="00076B6F"/>
    <w:rsid w:val="00076CA8"/>
    <w:rsid w:val="00076D82"/>
    <w:rsid w:val="00076E64"/>
    <w:rsid w:val="00076EEE"/>
    <w:rsid w:val="00076F73"/>
    <w:rsid w:val="00077061"/>
    <w:rsid w:val="0007706E"/>
    <w:rsid w:val="00077183"/>
    <w:rsid w:val="0007731E"/>
    <w:rsid w:val="00077385"/>
    <w:rsid w:val="0007741F"/>
    <w:rsid w:val="00077472"/>
    <w:rsid w:val="00077489"/>
    <w:rsid w:val="000774A2"/>
    <w:rsid w:val="000774A6"/>
    <w:rsid w:val="00077528"/>
    <w:rsid w:val="0007757C"/>
    <w:rsid w:val="000775DA"/>
    <w:rsid w:val="00077625"/>
    <w:rsid w:val="000776A3"/>
    <w:rsid w:val="000776FA"/>
    <w:rsid w:val="00077722"/>
    <w:rsid w:val="000778B1"/>
    <w:rsid w:val="00077A81"/>
    <w:rsid w:val="00077A94"/>
    <w:rsid w:val="00077B9E"/>
    <w:rsid w:val="00077C83"/>
    <w:rsid w:val="00077CB9"/>
    <w:rsid w:val="00077CFC"/>
    <w:rsid w:val="00077D80"/>
    <w:rsid w:val="00077E1F"/>
    <w:rsid w:val="00077E84"/>
    <w:rsid w:val="00077EA5"/>
    <w:rsid w:val="00077F1C"/>
    <w:rsid w:val="00077F3B"/>
    <w:rsid w:val="00077FEC"/>
    <w:rsid w:val="0008008F"/>
    <w:rsid w:val="000800B6"/>
    <w:rsid w:val="000800F8"/>
    <w:rsid w:val="000801B5"/>
    <w:rsid w:val="000802FD"/>
    <w:rsid w:val="00080335"/>
    <w:rsid w:val="0008040B"/>
    <w:rsid w:val="0008040C"/>
    <w:rsid w:val="00080417"/>
    <w:rsid w:val="000804BA"/>
    <w:rsid w:val="0008051E"/>
    <w:rsid w:val="00080582"/>
    <w:rsid w:val="00080591"/>
    <w:rsid w:val="00080638"/>
    <w:rsid w:val="00080784"/>
    <w:rsid w:val="0008082D"/>
    <w:rsid w:val="000808BE"/>
    <w:rsid w:val="0008092C"/>
    <w:rsid w:val="000809E0"/>
    <w:rsid w:val="00080A01"/>
    <w:rsid w:val="00080AD9"/>
    <w:rsid w:val="00080AEF"/>
    <w:rsid w:val="00080C23"/>
    <w:rsid w:val="00080C2D"/>
    <w:rsid w:val="00080C6F"/>
    <w:rsid w:val="00080CA1"/>
    <w:rsid w:val="00080D3F"/>
    <w:rsid w:val="00080D70"/>
    <w:rsid w:val="00080DE7"/>
    <w:rsid w:val="00080E3E"/>
    <w:rsid w:val="00080EA5"/>
    <w:rsid w:val="00080F89"/>
    <w:rsid w:val="00081013"/>
    <w:rsid w:val="0008101F"/>
    <w:rsid w:val="0008111A"/>
    <w:rsid w:val="00081131"/>
    <w:rsid w:val="00081173"/>
    <w:rsid w:val="00081258"/>
    <w:rsid w:val="000812A3"/>
    <w:rsid w:val="000812BC"/>
    <w:rsid w:val="000812FB"/>
    <w:rsid w:val="00081335"/>
    <w:rsid w:val="00081373"/>
    <w:rsid w:val="00081506"/>
    <w:rsid w:val="000816D0"/>
    <w:rsid w:val="00081811"/>
    <w:rsid w:val="00081851"/>
    <w:rsid w:val="00081860"/>
    <w:rsid w:val="0008190C"/>
    <w:rsid w:val="000819A0"/>
    <w:rsid w:val="000819F7"/>
    <w:rsid w:val="00081A40"/>
    <w:rsid w:val="00081A56"/>
    <w:rsid w:val="00081A57"/>
    <w:rsid w:val="00081AD7"/>
    <w:rsid w:val="00081B59"/>
    <w:rsid w:val="00081B5F"/>
    <w:rsid w:val="00081CB8"/>
    <w:rsid w:val="00081D03"/>
    <w:rsid w:val="00081D83"/>
    <w:rsid w:val="00081DF4"/>
    <w:rsid w:val="00081DFD"/>
    <w:rsid w:val="00081EC4"/>
    <w:rsid w:val="00081FB8"/>
    <w:rsid w:val="00081FFC"/>
    <w:rsid w:val="00082057"/>
    <w:rsid w:val="0008209B"/>
    <w:rsid w:val="000820BD"/>
    <w:rsid w:val="00082105"/>
    <w:rsid w:val="00082134"/>
    <w:rsid w:val="0008216E"/>
    <w:rsid w:val="000821EA"/>
    <w:rsid w:val="00082214"/>
    <w:rsid w:val="00082248"/>
    <w:rsid w:val="000822C2"/>
    <w:rsid w:val="000824A8"/>
    <w:rsid w:val="00082521"/>
    <w:rsid w:val="0008259E"/>
    <w:rsid w:val="0008263E"/>
    <w:rsid w:val="00082642"/>
    <w:rsid w:val="00082659"/>
    <w:rsid w:val="0008281E"/>
    <w:rsid w:val="00082823"/>
    <w:rsid w:val="000828BE"/>
    <w:rsid w:val="00082942"/>
    <w:rsid w:val="00082949"/>
    <w:rsid w:val="000829DC"/>
    <w:rsid w:val="00082AC6"/>
    <w:rsid w:val="00082B0D"/>
    <w:rsid w:val="00082B60"/>
    <w:rsid w:val="00082C23"/>
    <w:rsid w:val="00082C76"/>
    <w:rsid w:val="00082C96"/>
    <w:rsid w:val="00082D42"/>
    <w:rsid w:val="00082D94"/>
    <w:rsid w:val="00082E0B"/>
    <w:rsid w:val="00082EC2"/>
    <w:rsid w:val="00082ED1"/>
    <w:rsid w:val="00082F43"/>
    <w:rsid w:val="00082F69"/>
    <w:rsid w:val="0008300A"/>
    <w:rsid w:val="0008302C"/>
    <w:rsid w:val="00083047"/>
    <w:rsid w:val="000830A0"/>
    <w:rsid w:val="0008317A"/>
    <w:rsid w:val="00083234"/>
    <w:rsid w:val="000832A4"/>
    <w:rsid w:val="00083317"/>
    <w:rsid w:val="0008332F"/>
    <w:rsid w:val="0008338B"/>
    <w:rsid w:val="00083431"/>
    <w:rsid w:val="000834A6"/>
    <w:rsid w:val="00083628"/>
    <w:rsid w:val="000836DA"/>
    <w:rsid w:val="000836F5"/>
    <w:rsid w:val="00083802"/>
    <w:rsid w:val="00083900"/>
    <w:rsid w:val="0008396C"/>
    <w:rsid w:val="00083995"/>
    <w:rsid w:val="000839E2"/>
    <w:rsid w:val="00083A82"/>
    <w:rsid w:val="00083AD3"/>
    <w:rsid w:val="00083B88"/>
    <w:rsid w:val="00083BB5"/>
    <w:rsid w:val="00083BD4"/>
    <w:rsid w:val="00083D40"/>
    <w:rsid w:val="00083E21"/>
    <w:rsid w:val="00083EF1"/>
    <w:rsid w:val="00084035"/>
    <w:rsid w:val="000841C1"/>
    <w:rsid w:val="00084261"/>
    <w:rsid w:val="000842DC"/>
    <w:rsid w:val="00084328"/>
    <w:rsid w:val="0008433B"/>
    <w:rsid w:val="0008434D"/>
    <w:rsid w:val="00084464"/>
    <w:rsid w:val="000844AD"/>
    <w:rsid w:val="00084550"/>
    <w:rsid w:val="00084591"/>
    <w:rsid w:val="00084593"/>
    <w:rsid w:val="00084664"/>
    <w:rsid w:val="00084705"/>
    <w:rsid w:val="00084832"/>
    <w:rsid w:val="0008489A"/>
    <w:rsid w:val="000848BA"/>
    <w:rsid w:val="0008494B"/>
    <w:rsid w:val="000849E0"/>
    <w:rsid w:val="00084A05"/>
    <w:rsid w:val="00084A4A"/>
    <w:rsid w:val="00084A77"/>
    <w:rsid w:val="00084A7A"/>
    <w:rsid w:val="00084AF5"/>
    <w:rsid w:val="00084B13"/>
    <w:rsid w:val="00084B24"/>
    <w:rsid w:val="00084B88"/>
    <w:rsid w:val="00084BC4"/>
    <w:rsid w:val="00084BF2"/>
    <w:rsid w:val="00084CC7"/>
    <w:rsid w:val="00084D1B"/>
    <w:rsid w:val="00084DA6"/>
    <w:rsid w:val="00084E9A"/>
    <w:rsid w:val="00084EA9"/>
    <w:rsid w:val="00084EBE"/>
    <w:rsid w:val="00084EC6"/>
    <w:rsid w:val="00084F2E"/>
    <w:rsid w:val="00084FE3"/>
    <w:rsid w:val="00085004"/>
    <w:rsid w:val="00085041"/>
    <w:rsid w:val="00085046"/>
    <w:rsid w:val="00085064"/>
    <w:rsid w:val="0008506B"/>
    <w:rsid w:val="00085113"/>
    <w:rsid w:val="00085169"/>
    <w:rsid w:val="000851D1"/>
    <w:rsid w:val="00085250"/>
    <w:rsid w:val="000852A3"/>
    <w:rsid w:val="000852B7"/>
    <w:rsid w:val="000853AF"/>
    <w:rsid w:val="000853F2"/>
    <w:rsid w:val="0008547F"/>
    <w:rsid w:val="000854C9"/>
    <w:rsid w:val="000854F4"/>
    <w:rsid w:val="000855C5"/>
    <w:rsid w:val="0008569B"/>
    <w:rsid w:val="00085799"/>
    <w:rsid w:val="000858DA"/>
    <w:rsid w:val="00085951"/>
    <w:rsid w:val="0008599C"/>
    <w:rsid w:val="00085B3D"/>
    <w:rsid w:val="00085B86"/>
    <w:rsid w:val="00085CFF"/>
    <w:rsid w:val="00085D14"/>
    <w:rsid w:val="00085E3C"/>
    <w:rsid w:val="00085F59"/>
    <w:rsid w:val="00085F8B"/>
    <w:rsid w:val="00086072"/>
    <w:rsid w:val="000860B7"/>
    <w:rsid w:val="000860FE"/>
    <w:rsid w:val="00086187"/>
    <w:rsid w:val="0008618F"/>
    <w:rsid w:val="00086190"/>
    <w:rsid w:val="00086221"/>
    <w:rsid w:val="000863F9"/>
    <w:rsid w:val="00086503"/>
    <w:rsid w:val="000865F9"/>
    <w:rsid w:val="00086665"/>
    <w:rsid w:val="000867AD"/>
    <w:rsid w:val="000867CC"/>
    <w:rsid w:val="0008693F"/>
    <w:rsid w:val="00086990"/>
    <w:rsid w:val="00086A13"/>
    <w:rsid w:val="00086A7F"/>
    <w:rsid w:val="00086C45"/>
    <w:rsid w:val="00086D13"/>
    <w:rsid w:val="00086DDD"/>
    <w:rsid w:val="00086E19"/>
    <w:rsid w:val="00086F3C"/>
    <w:rsid w:val="00086F72"/>
    <w:rsid w:val="000870EE"/>
    <w:rsid w:val="0008710D"/>
    <w:rsid w:val="00087138"/>
    <w:rsid w:val="00087148"/>
    <w:rsid w:val="00087173"/>
    <w:rsid w:val="000871DA"/>
    <w:rsid w:val="00087264"/>
    <w:rsid w:val="00087285"/>
    <w:rsid w:val="000872E4"/>
    <w:rsid w:val="00087323"/>
    <w:rsid w:val="000873A6"/>
    <w:rsid w:val="000874A3"/>
    <w:rsid w:val="00087682"/>
    <w:rsid w:val="000876BC"/>
    <w:rsid w:val="0008772D"/>
    <w:rsid w:val="00087816"/>
    <w:rsid w:val="0008782B"/>
    <w:rsid w:val="000878B3"/>
    <w:rsid w:val="000878BE"/>
    <w:rsid w:val="000878D2"/>
    <w:rsid w:val="00087950"/>
    <w:rsid w:val="00087955"/>
    <w:rsid w:val="00087994"/>
    <w:rsid w:val="00087AB9"/>
    <w:rsid w:val="00087B45"/>
    <w:rsid w:val="00087B6C"/>
    <w:rsid w:val="00087B71"/>
    <w:rsid w:val="00087B9E"/>
    <w:rsid w:val="00087BAB"/>
    <w:rsid w:val="00087BB8"/>
    <w:rsid w:val="00087BD6"/>
    <w:rsid w:val="00087C47"/>
    <w:rsid w:val="00087CBA"/>
    <w:rsid w:val="00087E2B"/>
    <w:rsid w:val="00087F33"/>
    <w:rsid w:val="00087FB8"/>
    <w:rsid w:val="0009009D"/>
    <w:rsid w:val="00090201"/>
    <w:rsid w:val="00090222"/>
    <w:rsid w:val="000903CE"/>
    <w:rsid w:val="000903E2"/>
    <w:rsid w:val="00090456"/>
    <w:rsid w:val="0009048F"/>
    <w:rsid w:val="000904E5"/>
    <w:rsid w:val="0009058A"/>
    <w:rsid w:val="0009061B"/>
    <w:rsid w:val="000906BD"/>
    <w:rsid w:val="0009081D"/>
    <w:rsid w:val="000908E5"/>
    <w:rsid w:val="00090931"/>
    <w:rsid w:val="000909EC"/>
    <w:rsid w:val="00090A24"/>
    <w:rsid w:val="00090B80"/>
    <w:rsid w:val="00090B86"/>
    <w:rsid w:val="00090B8C"/>
    <w:rsid w:val="00090C08"/>
    <w:rsid w:val="00090C69"/>
    <w:rsid w:val="00090CBB"/>
    <w:rsid w:val="00090DC5"/>
    <w:rsid w:val="00090EA4"/>
    <w:rsid w:val="00090F03"/>
    <w:rsid w:val="00090FB8"/>
    <w:rsid w:val="00090FE3"/>
    <w:rsid w:val="0009114D"/>
    <w:rsid w:val="000913B3"/>
    <w:rsid w:val="000914BE"/>
    <w:rsid w:val="0009151F"/>
    <w:rsid w:val="000915B4"/>
    <w:rsid w:val="00091643"/>
    <w:rsid w:val="00091794"/>
    <w:rsid w:val="000917BB"/>
    <w:rsid w:val="00091873"/>
    <w:rsid w:val="00091882"/>
    <w:rsid w:val="0009199B"/>
    <w:rsid w:val="000919F0"/>
    <w:rsid w:val="000919F2"/>
    <w:rsid w:val="00091A6C"/>
    <w:rsid w:val="00091A6F"/>
    <w:rsid w:val="00091B87"/>
    <w:rsid w:val="00091B8F"/>
    <w:rsid w:val="00091C2A"/>
    <w:rsid w:val="00091C35"/>
    <w:rsid w:val="00091C63"/>
    <w:rsid w:val="00091CAA"/>
    <w:rsid w:val="00091E2F"/>
    <w:rsid w:val="00091F55"/>
    <w:rsid w:val="00092095"/>
    <w:rsid w:val="000921D9"/>
    <w:rsid w:val="00092223"/>
    <w:rsid w:val="00092332"/>
    <w:rsid w:val="000923BC"/>
    <w:rsid w:val="000923BE"/>
    <w:rsid w:val="000923CE"/>
    <w:rsid w:val="00092441"/>
    <w:rsid w:val="000924B5"/>
    <w:rsid w:val="000924F4"/>
    <w:rsid w:val="00092560"/>
    <w:rsid w:val="0009257E"/>
    <w:rsid w:val="000925AA"/>
    <w:rsid w:val="000925AE"/>
    <w:rsid w:val="000925E9"/>
    <w:rsid w:val="00092646"/>
    <w:rsid w:val="0009268B"/>
    <w:rsid w:val="00092696"/>
    <w:rsid w:val="000926A5"/>
    <w:rsid w:val="0009290D"/>
    <w:rsid w:val="000929E9"/>
    <w:rsid w:val="00092B63"/>
    <w:rsid w:val="00092CD7"/>
    <w:rsid w:val="00092D8B"/>
    <w:rsid w:val="00092E51"/>
    <w:rsid w:val="00092E67"/>
    <w:rsid w:val="00092EB9"/>
    <w:rsid w:val="00092F5C"/>
    <w:rsid w:val="00092FB8"/>
    <w:rsid w:val="00092FFE"/>
    <w:rsid w:val="000930D6"/>
    <w:rsid w:val="00093114"/>
    <w:rsid w:val="0009315D"/>
    <w:rsid w:val="00093224"/>
    <w:rsid w:val="0009323E"/>
    <w:rsid w:val="0009326F"/>
    <w:rsid w:val="000933E2"/>
    <w:rsid w:val="00093403"/>
    <w:rsid w:val="0009346E"/>
    <w:rsid w:val="00093486"/>
    <w:rsid w:val="00093590"/>
    <w:rsid w:val="000935C0"/>
    <w:rsid w:val="0009380E"/>
    <w:rsid w:val="000938F6"/>
    <w:rsid w:val="00093B78"/>
    <w:rsid w:val="00093C47"/>
    <w:rsid w:val="00093C6F"/>
    <w:rsid w:val="00093C9F"/>
    <w:rsid w:val="00093D86"/>
    <w:rsid w:val="00093D88"/>
    <w:rsid w:val="00093DE9"/>
    <w:rsid w:val="00093DF7"/>
    <w:rsid w:val="00093EC1"/>
    <w:rsid w:val="0009408A"/>
    <w:rsid w:val="0009413A"/>
    <w:rsid w:val="00094273"/>
    <w:rsid w:val="000942BF"/>
    <w:rsid w:val="000942F8"/>
    <w:rsid w:val="000943E4"/>
    <w:rsid w:val="00094407"/>
    <w:rsid w:val="0009445C"/>
    <w:rsid w:val="0009445E"/>
    <w:rsid w:val="0009448F"/>
    <w:rsid w:val="0009450A"/>
    <w:rsid w:val="0009452B"/>
    <w:rsid w:val="0009454F"/>
    <w:rsid w:val="000946DB"/>
    <w:rsid w:val="000946EE"/>
    <w:rsid w:val="000947B4"/>
    <w:rsid w:val="0009485E"/>
    <w:rsid w:val="00094A7C"/>
    <w:rsid w:val="00094AB5"/>
    <w:rsid w:val="00094AD9"/>
    <w:rsid w:val="00094B37"/>
    <w:rsid w:val="00094C11"/>
    <w:rsid w:val="00094C5B"/>
    <w:rsid w:val="00094E39"/>
    <w:rsid w:val="00094E5F"/>
    <w:rsid w:val="00094EC3"/>
    <w:rsid w:val="00094F49"/>
    <w:rsid w:val="00094F8B"/>
    <w:rsid w:val="00095012"/>
    <w:rsid w:val="0009503B"/>
    <w:rsid w:val="00095079"/>
    <w:rsid w:val="00095116"/>
    <w:rsid w:val="000951BC"/>
    <w:rsid w:val="0009520A"/>
    <w:rsid w:val="00095303"/>
    <w:rsid w:val="00095307"/>
    <w:rsid w:val="000954CC"/>
    <w:rsid w:val="00095554"/>
    <w:rsid w:val="00095694"/>
    <w:rsid w:val="000956C2"/>
    <w:rsid w:val="000956E0"/>
    <w:rsid w:val="0009577D"/>
    <w:rsid w:val="000957AA"/>
    <w:rsid w:val="0009589A"/>
    <w:rsid w:val="000958E7"/>
    <w:rsid w:val="0009592B"/>
    <w:rsid w:val="0009595A"/>
    <w:rsid w:val="000959C3"/>
    <w:rsid w:val="00095A41"/>
    <w:rsid w:val="00095B5D"/>
    <w:rsid w:val="00095B86"/>
    <w:rsid w:val="00095BBF"/>
    <w:rsid w:val="00095BC3"/>
    <w:rsid w:val="00095BD1"/>
    <w:rsid w:val="00095CE2"/>
    <w:rsid w:val="00095E92"/>
    <w:rsid w:val="00095F6E"/>
    <w:rsid w:val="00095F87"/>
    <w:rsid w:val="00095FCF"/>
    <w:rsid w:val="00096099"/>
    <w:rsid w:val="000960AB"/>
    <w:rsid w:val="000960F8"/>
    <w:rsid w:val="0009621C"/>
    <w:rsid w:val="0009623D"/>
    <w:rsid w:val="00096363"/>
    <w:rsid w:val="000965FA"/>
    <w:rsid w:val="00096611"/>
    <w:rsid w:val="00096717"/>
    <w:rsid w:val="00096740"/>
    <w:rsid w:val="00096775"/>
    <w:rsid w:val="000967B7"/>
    <w:rsid w:val="000967FE"/>
    <w:rsid w:val="0009680E"/>
    <w:rsid w:val="00096825"/>
    <w:rsid w:val="00096892"/>
    <w:rsid w:val="000968B7"/>
    <w:rsid w:val="00096911"/>
    <w:rsid w:val="00096919"/>
    <w:rsid w:val="00096934"/>
    <w:rsid w:val="00096987"/>
    <w:rsid w:val="00096A1E"/>
    <w:rsid w:val="00096A39"/>
    <w:rsid w:val="00096A57"/>
    <w:rsid w:val="00096AC3"/>
    <w:rsid w:val="00096ACE"/>
    <w:rsid w:val="00096B22"/>
    <w:rsid w:val="00096CA8"/>
    <w:rsid w:val="00096DEC"/>
    <w:rsid w:val="00096EBC"/>
    <w:rsid w:val="00096F5E"/>
    <w:rsid w:val="00096F69"/>
    <w:rsid w:val="00096FF8"/>
    <w:rsid w:val="00097088"/>
    <w:rsid w:val="00097098"/>
    <w:rsid w:val="000970EA"/>
    <w:rsid w:val="000970F1"/>
    <w:rsid w:val="00097189"/>
    <w:rsid w:val="00097191"/>
    <w:rsid w:val="000971FB"/>
    <w:rsid w:val="0009724F"/>
    <w:rsid w:val="000973BE"/>
    <w:rsid w:val="00097437"/>
    <w:rsid w:val="0009745B"/>
    <w:rsid w:val="00097535"/>
    <w:rsid w:val="0009754D"/>
    <w:rsid w:val="0009759B"/>
    <w:rsid w:val="000975A2"/>
    <w:rsid w:val="000975CF"/>
    <w:rsid w:val="00097718"/>
    <w:rsid w:val="000977F6"/>
    <w:rsid w:val="000977FA"/>
    <w:rsid w:val="0009786B"/>
    <w:rsid w:val="0009786E"/>
    <w:rsid w:val="00097871"/>
    <w:rsid w:val="000978AD"/>
    <w:rsid w:val="000978B9"/>
    <w:rsid w:val="000979AA"/>
    <w:rsid w:val="000979DA"/>
    <w:rsid w:val="000979F9"/>
    <w:rsid w:val="00097BE9"/>
    <w:rsid w:val="00097C6B"/>
    <w:rsid w:val="00097CB8"/>
    <w:rsid w:val="00097D54"/>
    <w:rsid w:val="00097D75"/>
    <w:rsid w:val="00097DBA"/>
    <w:rsid w:val="00097E85"/>
    <w:rsid w:val="00097FCE"/>
    <w:rsid w:val="000A009F"/>
    <w:rsid w:val="000A00A9"/>
    <w:rsid w:val="000A0118"/>
    <w:rsid w:val="000A0138"/>
    <w:rsid w:val="000A01BF"/>
    <w:rsid w:val="000A03A6"/>
    <w:rsid w:val="000A043D"/>
    <w:rsid w:val="000A0499"/>
    <w:rsid w:val="000A04E7"/>
    <w:rsid w:val="000A069E"/>
    <w:rsid w:val="000A0730"/>
    <w:rsid w:val="000A0783"/>
    <w:rsid w:val="000A0862"/>
    <w:rsid w:val="000A0865"/>
    <w:rsid w:val="000A096B"/>
    <w:rsid w:val="000A0A77"/>
    <w:rsid w:val="000A0AC5"/>
    <w:rsid w:val="000A0BC5"/>
    <w:rsid w:val="000A0BDE"/>
    <w:rsid w:val="000A0CB1"/>
    <w:rsid w:val="000A0CB4"/>
    <w:rsid w:val="000A0CFC"/>
    <w:rsid w:val="000A0D5E"/>
    <w:rsid w:val="000A0D86"/>
    <w:rsid w:val="000A0E07"/>
    <w:rsid w:val="000A0E24"/>
    <w:rsid w:val="000A0EA0"/>
    <w:rsid w:val="000A0F5C"/>
    <w:rsid w:val="000A0F7C"/>
    <w:rsid w:val="000A0FD3"/>
    <w:rsid w:val="000A10AA"/>
    <w:rsid w:val="000A10F1"/>
    <w:rsid w:val="000A1278"/>
    <w:rsid w:val="000A12F4"/>
    <w:rsid w:val="000A1331"/>
    <w:rsid w:val="000A1394"/>
    <w:rsid w:val="000A139A"/>
    <w:rsid w:val="000A13C8"/>
    <w:rsid w:val="000A14B3"/>
    <w:rsid w:val="000A1532"/>
    <w:rsid w:val="000A1551"/>
    <w:rsid w:val="000A1577"/>
    <w:rsid w:val="000A15F7"/>
    <w:rsid w:val="000A1744"/>
    <w:rsid w:val="000A17BC"/>
    <w:rsid w:val="000A17C8"/>
    <w:rsid w:val="000A1825"/>
    <w:rsid w:val="000A18B1"/>
    <w:rsid w:val="000A18CA"/>
    <w:rsid w:val="000A1933"/>
    <w:rsid w:val="000A1973"/>
    <w:rsid w:val="000A19B2"/>
    <w:rsid w:val="000A19D3"/>
    <w:rsid w:val="000A1A88"/>
    <w:rsid w:val="000A1DAD"/>
    <w:rsid w:val="000A1DBF"/>
    <w:rsid w:val="000A1DE3"/>
    <w:rsid w:val="000A1E31"/>
    <w:rsid w:val="000A1E52"/>
    <w:rsid w:val="000A1E60"/>
    <w:rsid w:val="000A1E70"/>
    <w:rsid w:val="000A1EAB"/>
    <w:rsid w:val="000A1EAE"/>
    <w:rsid w:val="000A1EF1"/>
    <w:rsid w:val="000A1F2D"/>
    <w:rsid w:val="000A20AA"/>
    <w:rsid w:val="000A2136"/>
    <w:rsid w:val="000A22EE"/>
    <w:rsid w:val="000A2375"/>
    <w:rsid w:val="000A23BE"/>
    <w:rsid w:val="000A2444"/>
    <w:rsid w:val="000A259A"/>
    <w:rsid w:val="000A25B3"/>
    <w:rsid w:val="000A2605"/>
    <w:rsid w:val="000A26C7"/>
    <w:rsid w:val="000A26DE"/>
    <w:rsid w:val="000A26E4"/>
    <w:rsid w:val="000A2708"/>
    <w:rsid w:val="000A2749"/>
    <w:rsid w:val="000A276A"/>
    <w:rsid w:val="000A27EA"/>
    <w:rsid w:val="000A2834"/>
    <w:rsid w:val="000A2896"/>
    <w:rsid w:val="000A2939"/>
    <w:rsid w:val="000A29B7"/>
    <w:rsid w:val="000A29C5"/>
    <w:rsid w:val="000A2A98"/>
    <w:rsid w:val="000A2B63"/>
    <w:rsid w:val="000A2B96"/>
    <w:rsid w:val="000A2C81"/>
    <w:rsid w:val="000A2C89"/>
    <w:rsid w:val="000A2DDC"/>
    <w:rsid w:val="000A2DFB"/>
    <w:rsid w:val="000A2E02"/>
    <w:rsid w:val="000A2F0A"/>
    <w:rsid w:val="000A2FB3"/>
    <w:rsid w:val="000A2FD6"/>
    <w:rsid w:val="000A2FDC"/>
    <w:rsid w:val="000A2FED"/>
    <w:rsid w:val="000A3020"/>
    <w:rsid w:val="000A316C"/>
    <w:rsid w:val="000A329F"/>
    <w:rsid w:val="000A331B"/>
    <w:rsid w:val="000A343A"/>
    <w:rsid w:val="000A34A9"/>
    <w:rsid w:val="000A34D0"/>
    <w:rsid w:val="000A3525"/>
    <w:rsid w:val="000A356A"/>
    <w:rsid w:val="000A358D"/>
    <w:rsid w:val="000A3650"/>
    <w:rsid w:val="000A3679"/>
    <w:rsid w:val="000A36E4"/>
    <w:rsid w:val="000A374E"/>
    <w:rsid w:val="000A3755"/>
    <w:rsid w:val="000A3760"/>
    <w:rsid w:val="000A39E0"/>
    <w:rsid w:val="000A3B5E"/>
    <w:rsid w:val="000A3BBF"/>
    <w:rsid w:val="000A3C31"/>
    <w:rsid w:val="000A3D2C"/>
    <w:rsid w:val="000A3D54"/>
    <w:rsid w:val="000A3DBB"/>
    <w:rsid w:val="000A3E12"/>
    <w:rsid w:val="000A3EB1"/>
    <w:rsid w:val="000A3EFA"/>
    <w:rsid w:val="000A3F0F"/>
    <w:rsid w:val="000A3F77"/>
    <w:rsid w:val="000A3FB4"/>
    <w:rsid w:val="000A4002"/>
    <w:rsid w:val="000A414B"/>
    <w:rsid w:val="000A416E"/>
    <w:rsid w:val="000A41B1"/>
    <w:rsid w:val="000A42A1"/>
    <w:rsid w:val="000A4307"/>
    <w:rsid w:val="000A4330"/>
    <w:rsid w:val="000A4359"/>
    <w:rsid w:val="000A4375"/>
    <w:rsid w:val="000A4384"/>
    <w:rsid w:val="000A44E0"/>
    <w:rsid w:val="000A451C"/>
    <w:rsid w:val="000A453F"/>
    <w:rsid w:val="000A4562"/>
    <w:rsid w:val="000A45CF"/>
    <w:rsid w:val="000A45D5"/>
    <w:rsid w:val="000A4619"/>
    <w:rsid w:val="000A4897"/>
    <w:rsid w:val="000A4918"/>
    <w:rsid w:val="000A4A65"/>
    <w:rsid w:val="000A4AB0"/>
    <w:rsid w:val="000A4B2F"/>
    <w:rsid w:val="000A4BA7"/>
    <w:rsid w:val="000A4BC3"/>
    <w:rsid w:val="000A4C26"/>
    <w:rsid w:val="000A4CB1"/>
    <w:rsid w:val="000A4CDB"/>
    <w:rsid w:val="000A4E0E"/>
    <w:rsid w:val="000A4EE1"/>
    <w:rsid w:val="000A5015"/>
    <w:rsid w:val="000A5051"/>
    <w:rsid w:val="000A506E"/>
    <w:rsid w:val="000A507C"/>
    <w:rsid w:val="000A511F"/>
    <w:rsid w:val="000A534B"/>
    <w:rsid w:val="000A54A3"/>
    <w:rsid w:val="000A5552"/>
    <w:rsid w:val="000A5673"/>
    <w:rsid w:val="000A56B6"/>
    <w:rsid w:val="000A571B"/>
    <w:rsid w:val="000A5735"/>
    <w:rsid w:val="000A58BF"/>
    <w:rsid w:val="000A58DA"/>
    <w:rsid w:val="000A591D"/>
    <w:rsid w:val="000A59F3"/>
    <w:rsid w:val="000A5C30"/>
    <w:rsid w:val="000A5DD7"/>
    <w:rsid w:val="000A5DED"/>
    <w:rsid w:val="000A5E07"/>
    <w:rsid w:val="000A5E0D"/>
    <w:rsid w:val="000A5E29"/>
    <w:rsid w:val="000A5E43"/>
    <w:rsid w:val="000A5EA4"/>
    <w:rsid w:val="000A5F09"/>
    <w:rsid w:val="000A5F2A"/>
    <w:rsid w:val="000A5FA1"/>
    <w:rsid w:val="000A604D"/>
    <w:rsid w:val="000A608D"/>
    <w:rsid w:val="000A60C7"/>
    <w:rsid w:val="000A60E4"/>
    <w:rsid w:val="000A61A0"/>
    <w:rsid w:val="000A61BB"/>
    <w:rsid w:val="000A61E8"/>
    <w:rsid w:val="000A6207"/>
    <w:rsid w:val="000A6222"/>
    <w:rsid w:val="000A62D3"/>
    <w:rsid w:val="000A6332"/>
    <w:rsid w:val="000A637C"/>
    <w:rsid w:val="000A63C2"/>
    <w:rsid w:val="000A6430"/>
    <w:rsid w:val="000A64FA"/>
    <w:rsid w:val="000A6520"/>
    <w:rsid w:val="000A652A"/>
    <w:rsid w:val="000A6549"/>
    <w:rsid w:val="000A65E9"/>
    <w:rsid w:val="000A662E"/>
    <w:rsid w:val="000A6698"/>
    <w:rsid w:val="000A6776"/>
    <w:rsid w:val="000A6778"/>
    <w:rsid w:val="000A67E0"/>
    <w:rsid w:val="000A67EF"/>
    <w:rsid w:val="000A6866"/>
    <w:rsid w:val="000A68CA"/>
    <w:rsid w:val="000A693A"/>
    <w:rsid w:val="000A6AC7"/>
    <w:rsid w:val="000A6B0A"/>
    <w:rsid w:val="000A6BC9"/>
    <w:rsid w:val="000A6CD5"/>
    <w:rsid w:val="000A6D16"/>
    <w:rsid w:val="000A6D38"/>
    <w:rsid w:val="000A6E2C"/>
    <w:rsid w:val="000A6F78"/>
    <w:rsid w:val="000A702B"/>
    <w:rsid w:val="000A70B6"/>
    <w:rsid w:val="000A711F"/>
    <w:rsid w:val="000A7130"/>
    <w:rsid w:val="000A717E"/>
    <w:rsid w:val="000A71B9"/>
    <w:rsid w:val="000A7210"/>
    <w:rsid w:val="000A729D"/>
    <w:rsid w:val="000A7477"/>
    <w:rsid w:val="000A7595"/>
    <w:rsid w:val="000A7660"/>
    <w:rsid w:val="000A76B6"/>
    <w:rsid w:val="000A7709"/>
    <w:rsid w:val="000A779B"/>
    <w:rsid w:val="000A77BD"/>
    <w:rsid w:val="000A7810"/>
    <w:rsid w:val="000A79A0"/>
    <w:rsid w:val="000A79E0"/>
    <w:rsid w:val="000A7AB0"/>
    <w:rsid w:val="000A7B97"/>
    <w:rsid w:val="000A7BEC"/>
    <w:rsid w:val="000A7C5C"/>
    <w:rsid w:val="000A7CC2"/>
    <w:rsid w:val="000A7D1A"/>
    <w:rsid w:val="000A7E7E"/>
    <w:rsid w:val="000A7E83"/>
    <w:rsid w:val="000A7FBA"/>
    <w:rsid w:val="000B001D"/>
    <w:rsid w:val="000B005F"/>
    <w:rsid w:val="000B00AC"/>
    <w:rsid w:val="000B02B1"/>
    <w:rsid w:val="000B02C5"/>
    <w:rsid w:val="000B054D"/>
    <w:rsid w:val="000B05F0"/>
    <w:rsid w:val="000B0614"/>
    <w:rsid w:val="000B0647"/>
    <w:rsid w:val="000B06DC"/>
    <w:rsid w:val="000B0745"/>
    <w:rsid w:val="000B09B4"/>
    <w:rsid w:val="000B09F2"/>
    <w:rsid w:val="000B0A21"/>
    <w:rsid w:val="000B0A2F"/>
    <w:rsid w:val="000B0AAA"/>
    <w:rsid w:val="000B0E54"/>
    <w:rsid w:val="000B0E61"/>
    <w:rsid w:val="000B0E95"/>
    <w:rsid w:val="000B0FDE"/>
    <w:rsid w:val="000B1048"/>
    <w:rsid w:val="000B1056"/>
    <w:rsid w:val="000B1154"/>
    <w:rsid w:val="000B11A5"/>
    <w:rsid w:val="000B1294"/>
    <w:rsid w:val="000B1338"/>
    <w:rsid w:val="000B133C"/>
    <w:rsid w:val="000B1348"/>
    <w:rsid w:val="000B1389"/>
    <w:rsid w:val="000B13D4"/>
    <w:rsid w:val="000B14F2"/>
    <w:rsid w:val="000B1527"/>
    <w:rsid w:val="000B1548"/>
    <w:rsid w:val="000B1587"/>
    <w:rsid w:val="000B1598"/>
    <w:rsid w:val="000B1653"/>
    <w:rsid w:val="000B1675"/>
    <w:rsid w:val="000B168C"/>
    <w:rsid w:val="000B177D"/>
    <w:rsid w:val="000B1826"/>
    <w:rsid w:val="000B185D"/>
    <w:rsid w:val="000B188B"/>
    <w:rsid w:val="000B1953"/>
    <w:rsid w:val="000B198C"/>
    <w:rsid w:val="000B1A27"/>
    <w:rsid w:val="000B1BBD"/>
    <w:rsid w:val="000B1BF1"/>
    <w:rsid w:val="000B1C60"/>
    <w:rsid w:val="000B1C6D"/>
    <w:rsid w:val="000B1C8E"/>
    <w:rsid w:val="000B1C99"/>
    <w:rsid w:val="000B1D70"/>
    <w:rsid w:val="000B1F33"/>
    <w:rsid w:val="000B1F7A"/>
    <w:rsid w:val="000B1FBF"/>
    <w:rsid w:val="000B2108"/>
    <w:rsid w:val="000B21DA"/>
    <w:rsid w:val="000B2423"/>
    <w:rsid w:val="000B24F7"/>
    <w:rsid w:val="000B2616"/>
    <w:rsid w:val="000B26A9"/>
    <w:rsid w:val="000B26C7"/>
    <w:rsid w:val="000B2710"/>
    <w:rsid w:val="000B2758"/>
    <w:rsid w:val="000B2779"/>
    <w:rsid w:val="000B27A3"/>
    <w:rsid w:val="000B299E"/>
    <w:rsid w:val="000B29C4"/>
    <w:rsid w:val="000B2A35"/>
    <w:rsid w:val="000B2B51"/>
    <w:rsid w:val="000B2C34"/>
    <w:rsid w:val="000B2C4B"/>
    <w:rsid w:val="000B2CF4"/>
    <w:rsid w:val="000B2DB5"/>
    <w:rsid w:val="000B2DFA"/>
    <w:rsid w:val="000B2E05"/>
    <w:rsid w:val="000B2E67"/>
    <w:rsid w:val="000B2EA4"/>
    <w:rsid w:val="000B2F6C"/>
    <w:rsid w:val="000B2F78"/>
    <w:rsid w:val="000B30D5"/>
    <w:rsid w:val="000B31CE"/>
    <w:rsid w:val="000B31ED"/>
    <w:rsid w:val="000B328A"/>
    <w:rsid w:val="000B3357"/>
    <w:rsid w:val="000B344E"/>
    <w:rsid w:val="000B345C"/>
    <w:rsid w:val="000B349A"/>
    <w:rsid w:val="000B358E"/>
    <w:rsid w:val="000B358F"/>
    <w:rsid w:val="000B363B"/>
    <w:rsid w:val="000B3706"/>
    <w:rsid w:val="000B371F"/>
    <w:rsid w:val="000B3759"/>
    <w:rsid w:val="000B380E"/>
    <w:rsid w:val="000B383A"/>
    <w:rsid w:val="000B3848"/>
    <w:rsid w:val="000B38FC"/>
    <w:rsid w:val="000B390A"/>
    <w:rsid w:val="000B3A16"/>
    <w:rsid w:val="000B3AD6"/>
    <w:rsid w:val="000B3B45"/>
    <w:rsid w:val="000B3BE8"/>
    <w:rsid w:val="000B3C2B"/>
    <w:rsid w:val="000B3C84"/>
    <w:rsid w:val="000B3D5A"/>
    <w:rsid w:val="000B3D5F"/>
    <w:rsid w:val="000B3D8E"/>
    <w:rsid w:val="000B3DB4"/>
    <w:rsid w:val="000B3DBE"/>
    <w:rsid w:val="000B3F46"/>
    <w:rsid w:val="000B3FE7"/>
    <w:rsid w:val="000B4033"/>
    <w:rsid w:val="000B412F"/>
    <w:rsid w:val="000B42A9"/>
    <w:rsid w:val="000B4326"/>
    <w:rsid w:val="000B438E"/>
    <w:rsid w:val="000B43D2"/>
    <w:rsid w:val="000B43F3"/>
    <w:rsid w:val="000B447D"/>
    <w:rsid w:val="000B44CA"/>
    <w:rsid w:val="000B44FE"/>
    <w:rsid w:val="000B4583"/>
    <w:rsid w:val="000B4592"/>
    <w:rsid w:val="000B46EB"/>
    <w:rsid w:val="000B47A9"/>
    <w:rsid w:val="000B486C"/>
    <w:rsid w:val="000B48EA"/>
    <w:rsid w:val="000B4A48"/>
    <w:rsid w:val="000B4C90"/>
    <w:rsid w:val="000B4CEC"/>
    <w:rsid w:val="000B4DBD"/>
    <w:rsid w:val="000B4ECB"/>
    <w:rsid w:val="000B4F4C"/>
    <w:rsid w:val="000B4F68"/>
    <w:rsid w:val="000B4F7F"/>
    <w:rsid w:val="000B4FCD"/>
    <w:rsid w:val="000B4FEF"/>
    <w:rsid w:val="000B508C"/>
    <w:rsid w:val="000B535C"/>
    <w:rsid w:val="000B5381"/>
    <w:rsid w:val="000B53C0"/>
    <w:rsid w:val="000B53FE"/>
    <w:rsid w:val="000B540F"/>
    <w:rsid w:val="000B546B"/>
    <w:rsid w:val="000B5474"/>
    <w:rsid w:val="000B54C0"/>
    <w:rsid w:val="000B5508"/>
    <w:rsid w:val="000B5542"/>
    <w:rsid w:val="000B5557"/>
    <w:rsid w:val="000B555F"/>
    <w:rsid w:val="000B556B"/>
    <w:rsid w:val="000B55A1"/>
    <w:rsid w:val="000B5633"/>
    <w:rsid w:val="000B563D"/>
    <w:rsid w:val="000B5685"/>
    <w:rsid w:val="000B56A7"/>
    <w:rsid w:val="000B589D"/>
    <w:rsid w:val="000B58BA"/>
    <w:rsid w:val="000B58CD"/>
    <w:rsid w:val="000B58F2"/>
    <w:rsid w:val="000B592D"/>
    <w:rsid w:val="000B59FF"/>
    <w:rsid w:val="000B5B8D"/>
    <w:rsid w:val="000B5BB5"/>
    <w:rsid w:val="000B5BC0"/>
    <w:rsid w:val="000B5DE7"/>
    <w:rsid w:val="000B5E64"/>
    <w:rsid w:val="000B5F3E"/>
    <w:rsid w:val="000B5F83"/>
    <w:rsid w:val="000B606E"/>
    <w:rsid w:val="000B60AB"/>
    <w:rsid w:val="000B60BC"/>
    <w:rsid w:val="000B60F2"/>
    <w:rsid w:val="000B61A1"/>
    <w:rsid w:val="000B61FE"/>
    <w:rsid w:val="000B6436"/>
    <w:rsid w:val="000B6629"/>
    <w:rsid w:val="000B6668"/>
    <w:rsid w:val="000B668D"/>
    <w:rsid w:val="000B6725"/>
    <w:rsid w:val="000B6896"/>
    <w:rsid w:val="000B6A2A"/>
    <w:rsid w:val="000B6A5C"/>
    <w:rsid w:val="000B6B1A"/>
    <w:rsid w:val="000B6C96"/>
    <w:rsid w:val="000B6CAC"/>
    <w:rsid w:val="000B6D1E"/>
    <w:rsid w:val="000B6D97"/>
    <w:rsid w:val="000B6DCE"/>
    <w:rsid w:val="000B6E4B"/>
    <w:rsid w:val="000B6F71"/>
    <w:rsid w:val="000B6F85"/>
    <w:rsid w:val="000B7096"/>
    <w:rsid w:val="000B70FA"/>
    <w:rsid w:val="000B71A0"/>
    <w:rsid w:val="000B7213"/>
    <w:rsid w:val="000B72B2"/>
    <w:rsid w:val="000B72E7"/>
    <w:rsid w:val="000B72FB"/>
    <w:rsid w:val="000B73D2"/>
    <w:rsid w:val="000B746B"/>
    <w:rsid w:val="000B7498"/>
    <w:rsid w:val="000B7575"/>
    <w:rsid w:val="000B75C1"/>
    <w:rsid w:val="000B75CA"/>
    <w:rsid w:val="000B7651"/>
    <w:rsid w:val="000B76D0"/>
    <w:rsid w:val="000B7706"/>
    <w:rsid w:val="000B7856"/>
    <w:rsid w:val="000B786C"/>
    <w:rsid w:val="000B789B"/>
    <w:rsid w:val="000B7904"/>
    <w:rsid w:val="000B7928"/>
    <w:rsid w:val="000B79D9"/>
    <w:rsid w:val="000B7CD3"/>
    <w:rsid w:val="000B7D28"/>
    <w:rsid w:val="000B7D89"/>
    <w:rsid w:val="000B7E27"/>
    <w:rsid w:val="000B7F68"/>
    <w:rsid w:val="000C0162"/>
    <w:rsid w:val="000C01B5"/>
    <w:rsid w:val="000C01ED"/>
    <w:rsid w:val="000C0361"/>
    <w:rsid w:val="000C0403"/>
    <w:rsid w:val="000C0433"/>
    <w:rsid w:val="000C04B7"/>
    <w:rsid w:val="000C04D6"/>
    <w:rsid w:val="000C0505"/>
    <w:rsid w:val="000C058B"/>
    <w:rsid w:val="000C05AC"/>
    <w:rsid w:val="000C05D4"/>
    <w:rsid w:val="000C0641"/>
    <w:rsid w:val="000C06E9"/>
    <w:rsid w:val="000C0726"/>
    <w:rsid w:val="000C07B6"/>
    <w:rsid w:val="000C0826"/>
    <w:rsid w:val="000C09A9"/>
    <w:rsid w:val="000C0A44"/>
    <w:rsid w:val="000C0B00"/>
    <w:rsid w:val="000C0BEA"/>
    <w:rsid w:val="000C0C27"/>
    <w:rsid w:val="000C0C56"/>
    <w:rsid w:val="000C0C6F"/>
    <w:rsid w:val="000C0C76"/>
    <w:rsid w:val="000C0D72"/>
    <w:rsid w:val="000C0D78"/>
    <w:rsid w:val="000C0DF5"/>
    <w:rsid w:val="000C0E04"/>
    <w:rsid w:val="000C0E89"/>
    <w:rsid w:val="000C0ECF"/>
    <w:rsid w:val="000C0F27"/>
    <w:rsid w:val="000C0FB9"/>
    <w:rsid w:val="000C102E"/>
    <w:rsid w:val="000C1080"/>
    <w:rsid w:val="000C10D1"/>
    <w:rsid w:val="000C1126"/>
    <w:rsid w:val="000C11AD"/>
    <w:rsid w:val="000C11DE"/>
    <w:rsid w:val="000C11E4"/>
    <w:rsid w:val="000C11F5"/>
    <w:rsid w:val="000C124F"/>
    <w:rsid w:val="000C13C9"/>
    <w:rsid w:val="000C145E"/>
    <w:rsid w:val="000C14F7"/>
    <w:rsid w:val="000C1576"/>
    <w:rsid w:val="000C15B6"/>
    <w:rsid w:val="000C15B9"/>
    <w:rsid w:val="000C1833"/>
    <w:rsid w:val="000C1912"/>
    <w:rsid w:val="000C191D"/>
    <w:rsid w:val="000C1981"/>
    <w:rsid w:val="000C1A0B"/>
    <w:rsid w:val="000C1A85"/>
    <w:rsid w:val="000C1AA2"/>
    <w:rsid w:val="000C1AE9"/>
    <w:rsid w:val="000C1B2D"/>
    <w:rsid w:val="000C1B6D"/>
    <w:rsid w:val="000C1C08"/>
    <w:rsid w:val="000C1CD8"/>
    <w:rsid w:val="000C1D9F"/>
    <w:rsid w:val="000C1EB1"/>
    <w:rsid w:val="000C1EF6"/>
    <w:rsid w:val="000C200A"/>
    <w:rsid w:val="000C2072"/>
    <w:rsid w:val="000C20D9"/>
    <w:rsid w:val="000C217F"/>
    <w:rsid w:val="000C220D"/>
    <w:rsid w:val="000C2296"/>
    <w:rsid w:val="000C2309"/>
    <w:rsid w:val="000C23C3"/>
    <w:rsid w:val="000C23D4"/>
    <w:rsid w:val="000C23E6"/>
    <w:rsid w:val="000C23FB"/>
    <w:rsid w:val="000C2438"/>
    <w:rsid w:val="000C25C8"/>
    <w:rsid w:val="000C2618"/>
    <w:rsid w:val="000C26AF"/>
    <w:rsid w:val="000C270D"/>
    <w:rsid w:val="000C27C8"/>
    <w:rsid w:val="000C27FC"/>
    <w:rsid w:val="000C2852"/>
    <w:rsid w:val="000C288B"/>
    <w:rsid w:val="000C288D"/>
    <w:rsid w:val="000C2923"/>
    <w:rsid w:val="000C2942"/>
    <w:rsid w:val="000C2A89"/>
    <w:rsid w:val="000C2AC3"/>
    <w:rsid w:val="000C2BED"/>
    <w:rsid w:val="000C2C39"/>
    <w:rsid w:val="000C2CE9"/>
    <w:rsid w:val="000C2D6B"/>
    <w:rsid w:val="000C2E18"/>
    <w:rsid w:val="000C2E62"/>
    <w:rsid w:val="000C3050"/>
    <w:rsid w:val="000C3147"/>
    <w:rsid w:val="000C3206"/>
    <w:rsid w:val="000C32A6"/>
    <w:rsid w:val="000C331C"/>
    <w:rsid w:val="000C3327"/>
    <w:rsid w:val="000C3339"/>
    <w:rsid w:val="000C3381"/>
    <w:rsid w:val="000C3591"/>
    <w:rsid w:val="000C361A"/>
    <w:rsid w:val="000C377A"/>
    <w:rsid w:val="000C377F"/>
    <w:rsid w:val="000C3784"/>
    <w:rsid w:val="000C39AB"/>
    <w:rsid w:val="000C39E9"/>
    <w:rsid w:val="000C3B40"/>
    <w:rsid w:val="000C3C60"/>
    <w:rsid w:val="000C3CA6"/>
    <w:rsid w:val="000C3CFD"/>
    <w:rsid w:val="000C3D5B"/>
    <w:rsid w:val="000C3D93"/>
    <w:rsid w:val="000C3DC0"/>
    <w:rsid w:val="000C3E12"/>
    <w:rsid w:val="000C3EC6"/>
    <w:rsid w:val="000C3F42"/>
    <w:rsid w:val="000C3F96"/>
    <w:rsid w:val="000C3FE7"/>
    <w:rsid w:val="000C4079"/>
    <w:rsid w:val="000C40D2"/>
    <w:rsid w:val="000C40D4"/>
    <w:rsid w:val="000C414E"/>
    <w:rsid w:val="000C4158"/>
    <w:rsid w:val="000C4186"/>
    <w:rsid w:val="000C41B0"/>
    <w:rsid w:val="000C420B"/>
    <w:rsid w:val="000C423E"/>
    <w:rsid w:val="000C4511"/>
    <w:rsid w:val="000C4570"/>
    <w:rsid w:val="000C46D5"/>
    <w:rsid w:val="000C472E"/>
    <w:rsid w:val="000C474B"/>
    <w:rsid w:val="000C477C"/>
    <w:rsid w:val="000C49C6"/>
    <w:rsid w:val="000C49D4"/>
    <w:rsid w:val="000C4A73"/>
    <w:rsid w:val="000C4ACB"/>
    <w:rsid w:val="000C4AD3"/>
    <w:rsid w:val="000C4AF5"/>
    <w:rsid w:val="000C4DA4"/>
    <w:rsid w:val="000C4E34"/>
    <w:rsid w:val="000C4F18"/>
    <w:rsid w:val="000C4F2F"/>
    <w:rsid w:val="000C4F4B"/>
    <w:rsid w:val="000C5000"/>
    <w:rsid w:val="000C5002"/>
    <w:rsid w:val="000C50EF"/>
    <w:rsid w:val="000C523A"/>
    <w:rsid w:val="000C5402"/>
    <w:rsid w:val="000C5461"/>
    <w:rsid w:val="000C5573"/>
    <w:rsid w:val="000C5589"/>
    <w:rsid w:val="000C5688"/>
    <w:rsid w:val="000C577E"/>
    <w:rsid w:val="000C5818"/>
    <w:rsid w:val="000C584C"/>
    <w:rsid w:val="000C585A"/>
    <w:rsid w:val="000C599F"/>
    <w:rsid w:val="000C5B1C"/>
    <w:rsid w:val="000C5B45"/>
    <w:rsid w:val="000C5B8A"/>
    <w:rsid w:val="000C5BE2"/>
    <w:rsid w:val="000C5C82"/>
    <w:rsid w:val="000C5CBC"/>
    <w:rsid w:val="000C5D0B"/>
    <w:rsid w:val="000C5D12"/>
    <w:rsid w:val="000C5D2B"/>
    <w:rsid w:val="000C5E3B"/>
    <w:rsid w:val="000C5E99"/>
    <w:rsid w:val="000C5FEA"/>
    <w:rsid w:val="000C6072"/>
    <w:rsid w:val="000C6170"/>
    <w:rsid w:val="000C623B"/>
    <w:rsid w:val="000C625A"/>
    <w:rsid w:val="000C6515"/>
    <w:rsid w:val="000C65DE"/>
    <w:rsid w:val="000C6621"/>
    <w:rsid w:val="000C6692"/>
    <w:rsid w:val="000C66C4"/>
    <w:rsid w:val="000C66CF"/>
    <w:rsid w:val="000C6712"/>
    <w:rsid w:val="000C68B2"/>
    <w:rsid w:val="000C68FE"/>
    <w:rsid w:val="000C6939"/>
    <w:rsid w:val="000C697E"/>
    <w:rsid w:val="000C69C5"/>
    <w:rsid w:val="000C6A03"/>
    <w:rsid w:val="000C6A66"/>
    <w:rsid w:val="000C6B61"/>
    <w:rsid w:val="000C6BB0"/>
    <w:rsid w:val="000C6CB5"/>
    <w:rsid w:val="000C6CD9"/>
    <w:rsid w:val="000C6CFC"/>
    <w:rsid w:val="000C6D67"/>
    <w:rsid w:val="000C6D8A"/>
    <w:rsid w:val="000C70AD"/>
    <w:rsid w:val="000C7206"/>
    <w:rsid w:val="000C7313"/>
    <w:rsid w:val="000C74AE"/>
    <w:rsid w:val="000C7502"/>
    <w:rsid w:val="000C7512"/>
    <w:rsid w:val="000C7528"/>
    <w:rsid w:val="000C7567"/>
    <w:rsid w:val="000C75E2"/>
    <w:rsid w:val="000C7709"/>
    <w:rsid w:val="000C7750"/>
    <w:rsid w:val="000C7769"/>
    <w:rsid w:val="000C7814"/>
    <w:rsid w:val="000C78E3"/>
    <w:rsid w:val="000C78EA"/>
    <w:rsid w:val="000C78F4"/>
    <w:rsid w:val="000C7956"/>
    <w:rsid w:val="000C7A36"/>
    <w:rsid w:val="000C7A3C"/>
    <w:rsid w:val="000C7A62"/>
    <w:rsid w:val="000C7BB6"/>
    <w:rsid w:val="000C7DC8"/>
    <w:rsid w:val="000C7DDA"/>
    <w:rsid w:val="000C7E54"/>
    <w:rsid w:val="000C7E83"/>
    <w:rsid w:val="000C7F2B"/>
    <w:rsid w:val="000C7F44"/>
    <w:rsid w:val="000C7FB1"/>
    <w:rsid w:val="000D0007"/>
    <w:rsid w:val="000D00D1"/>
    <w:rsid w:val="000D0105"/>
    <w:rsid w:val="000D0111"/>
    <w:rsid w:val="000D0191"/>
    <w:rsid w:val="000D01F3"/>
    <w:rsid w:val="000D0304"/>
    <w:rsid w:val="000D03F2"/>
    <w:rsid w:val="000D04F1"/>
    <w:rsid w:val="000D052C"/>
    <w:rsid w:val="000D052F"/>
    <w:rsid w:val="000D0581"/>
    <w:rsid w:val="000D05C4"/>
    <w:rsid w:val="000D060F"/>
    <w:rsid w:val="000D0810"/>
    <w:rsid w:val="000D0961"/>
    <w:rsid w:val="000D09CD"/>
    <w:rsid w:val="000D0A15"/>
    <w:rsid w:val="000D0A7E"/>
    <w:rsid w:val="000D0ABF"/>
    <w:rsid w:val="000D0AC2"/>
    <w:rsid w:val="000D0B8D"/>
    <w:rsid w:val="000D0C21"/>
    <w:rsid w:val="000D0C95"/>
    <w:rsid w:val="000D0CC2"/>
    <w:rsid w:val="000D0CE5"/>
    <w:rsid w:val="000D0D0C"/>
    <w:rsid w:val="000D0E07"/>
    <w:rsid w:val="000D0E18"/>
    <w:rsid w:val="000D0E38"/>
    <w:rsid w:val="000D0E8F"/>
    <w:rsid w:val="000D0EDD"/>
    <w:rsid w:val="000D0F17"/>
    <w:rsid w:val="000D0F2C"/>
    <w:rsid w:val="000D0F89"/>
    <w:rsid w:val="000D0FE6"/>
    <w:rsid w:val="000D1065"/>
    <w:rsid w:val="000D10B4"/>
    <w:rsid w:val="000D10CF"/>
    <w:rsid w:val="000D10D9"/>
    <w:rsid w:val="000D1112"/>
    <w:rsid w:val="000D1171"/>
    <w:rsid w:val="000D12DC"/>
    <w:rsid w:val="000D133C"/>
    <w:rsid w:val="000D135F"/>
    <w:rsid w:val="000D1377"/>
    <w:rsid w:val="000D13A9"/>
    <w:rsid w:val="000D1709"/>
    <w:rsid w:val="000D1811"/>
    <w:rsid w:val="000D1887"/>
    <w:rsid w:val="000D194F"/>
    <w:rsid w:val="000D1984"/>
    <w:rsid w:val="000D19C3"/>
    <w:rsid w:val="000D1A07"/>
    <w:rsid w:val="000D1ACF"/>
    <w:rsid w:val="000D1B1F"/>
    <w:rsid w:val="000D1B21"/>
    <w:rsid w:val="000D1DB0"/>
    <w:rsid w:val="000D1DC7"/>
    <w:rsid w:val="000D1E67"/>
    <w:rsid w:val="000D1E78"/>
    <w:rsid w:val="000D1EE3"/>
    <w:rsid w:val="000D1F7E"/>
    <w:rsid w:val="000D20DA"/>
    <w:rsid w:val="000D212C"/>
    <w:rsid w:val="000D2152"/>
    <w:rsid w:val="000D219F"/>
    <w:rsid w:val="000D21CC"/>
    <w:rsid w:val="000D21DA"/>
    <w:rsid w:val="000D23E2"/>
    <w:rsid w:val="000D2444"/>
    <w:rsid w:val="000D24E9"/>
    <w:rsid w:val="000D2501"/>
    <w:rsid w:val="000D2520"/>
    <w:rsid w:val="000D274F"/>
    <w:rsid w:val="000D27D8"/>
    <w:rsid w:val="000D28B5"/>
    <w:rsid w:val="000D28FE"/>
    <w:rsid w:val="000D2924"/>
    <w:rsid w:val="000D29BE"/>
    <w:rsid w:val="000D2BFD"/>
    <w:rsid w:val="000D2DB0"/>
    <w:rsid w:val="000D2E30"/>
    <w:rsid w:val="000D2E52"/>
    <w:rsid w:val="000D2FCF"/>
    <w:rsid w:val="000D3051"/>
    <w:rsid w:val="000D3069"/>
    <w:rsid w:val="000D3118"/>
    <w:rsid w:val="000D3155"/>
    <w:rsid w:val="000D31BE"/>
    <w:rsid w:val="000D3256"/>
    <w:rsid w:val="000D32D4"/>
    <w:rsid w:val="000D33AD"/>
    <w:rsid w:val="000D33BA"/>
    <w:rsid w:val="000D33CC"/>
    <w:rsid w:val="000D33D6"/>
    <w:rsid w:val="000D3428"/>
    <w:rsid w:val="000D3440"/>
    <w:rsid w:val="000D34FA"/>
    <w:rsid w:val="000D356C"/>
    <w:rsid w:val="000D35FF"/>
    <w:rsid w:val="000D3606"/>
    <w:rsid w:val="000D3683"/>
    <w:rsid w:val="000D36D4"/>
    <w:rsid w:val="000D373F"/>
    <w:rsid w:val="000D395B"/>
    <w:rsid w:val="000D3A39"/>
    <w:rsid w:val="000D3A4C"/>
    <w:rsid w:val="000D3AA2"/>
    <w:rsid w:val="000D3B08"/>
    <w:rsid w:val="000D3B0E"/>
    <w:rsid w:val="000D3B9D"/>
    <w:rsid w:val="000D3BDC"/>
    <w:rsid w:val="000D3C01"/>
    <w:rsid w:val="000D3DBC"/>
    <w:rsid w:val="000D3DC3"/>
    <w:rsid w:val="000D3DCA"/>
    <w:rsid w:val="000D3F01"/>
    <w:rsid w:val="000D3F77"/>
    <w:rsid w:val="000D3FCF"/>
    <w:rsid w:val="000D4007"/>
    <w:rsid w:val="000D40B8"/>
    <w:rsid w:val="000D4103"/>
    <w:rsid w:val="000D41C0"/>
    <w:rsid w:val="000D4335"/>
    <w:rsid w:val="000D4338"/>
    <w:rsid w:val="000D4360"/>
    <w:rsid w:val="000D4361"/>
    <w:rsid w:val="000D43AE"/>
    <w:rsid w:val="000D43C5"/>
    <w:rsid w:val="000D444E"/>
    <w:rsid w:val="000D454F"/>
    <w:rsid w:val="000D45CD"/>
    <w:rsid w:val="000D4608"/>
    <w:rsid w:val="000D46BB"/>
    <w:rsid w:val="000D46FE"/>
    <w:rsid w:val="000D4729"/>
    <w:rsid w:val="000D4736"/>
    <w:rsid w:val="000D474D"/>
    <w:rsid w:val="000D4777"/>
    <w:rsid w:val="000D47A9"/>
    <w:rsid w:val="000D47B0"/>
    <w:rsid w:val="000D47BC"/>
    <w:rsid w:val="000D4821"/>
    <w:rsid w:val="000D4865"/>
    <w:rsid w:val="000D4998"/>
    <w:rsid w:val="000D4AB5"/>
    <w:rsid w:val="000D4C7A"/>
    <w:rsid w:val="000D4D4A"/>
    <w:rsid w:val="000D4E23"/>
    <w:rsid w:val="000D4EC9"/>
    <w:rsid w:val="000D4F94"/>
    <w:rsid w:val="000D4FB0"/>
    <w:rsid w:val="000D4FE5"/>
    <w:rsid w:val="000D501B"/>
    <w:rsid w:val="000D5148"/>
    <w:rsid w:val="000D51B8"/>
    <w:rsid w:val="000D5301"/>
    <w:rsid w:val="000D5318"/>
    <w:rsid w:val="000D534E"/>
    <w:rsid w:val="000D549C"/>
    <w:rsid w:val="000D55FA"/>
    <w:rsid w:val="000D561D"/>
    <w:rsid w:val="000D5730"/>
    <w:rsid w:val="000D5795"/>
    <w:rsid w:val="000D582F"/>
    <w:rsid w:val="000D58D8"/>
    <w:rsid w:val="000D58DA"/>
    <w:rsid w:val="000D5999"/>
    <w:rsid w:val="000D599C"/>
    <w:rsid w:val="000D59C0"/>
    <w:rsid w:val="000D5A44"/>
    <w:rsid w:val="000D5ABD"/>
    <w:rsid w:val="000D5AF1"/>
    <w:rsid w:val="000D5B41"/>
    <w:rsid w:val="000D5C8B"/>
    <w:rsid w:val="000D5D2E"/>
    <w:rsid w:val="000D5D8B"/>
    <w:rsid w:val="000D5E17"/>
    <w:rsid w:val="000D5E20"/>
    <w:rsid w:val="000D5E3E"/>
    <w:rsid w:val="000D5E97"/>
    <w:rsid w:val="000D5F2E"/>
    <w:rsid w:val="000D5F95"/>
    <w:rsid w:val="000D6012"/>
    <w:rsid w:val="000D61D3"/>
    <w:rsid w:val="000D61DA"/>
    <w:rsid w:val="000D639D"/>
    <w:rsid w:val="000D63A2"/>
    <w:rsid w:val="000D650F"/>
    <w:rsid w:val="000D656F"/>
    <w:rsid w:val="000D6637"/>
    <w:rsid w:val="000D665B"/>
    <w:rsid w:val="000D66D6"/>
    <w:rsid w:val="000D66F0"/>
    <w:rsid w:val="000D6701"/>
    <w:rsid w:val="000D6721"/>
    <w:rsid w:val="000D674B"/>
    <w:rsid w:val="000D6778"/>
    <w:rsid w:val="000D6812"/>
    <w:rsid w:val="000D6864"/>
    <w:rsid w:val="000D68CC"/>
    <w:rsid w:val="000D69BF"/>
    <w:rsid w:val="000D6A1F"/>
    <w:rsid w:val="000D6A82"/>
    <w:rsid w:val="000D6AD0"/>
    <w:rsid w:val="000D6C3C"/>
    <w:rsid w:val="000D6D4C"/>
    <w:rsid w:val="000D6D80"/>
    <w:rsid w:val="000D6E76"/>
    <w:rsid w:val="000D6E84"/>
    <w:rsid w:val="000D6EFE"/>
    <w:rsid w:val="000D6F8B"/>
    <w:rsid w:val="000D7163"/>
    <w:rsid w:val="000D71AE"/>
    <w:rsid w:val="000D71F5"/>
    <w:rsid w:val="000D722C"/>
    <w:rsid w:val="000D735C"/>
    <w:rsid w:val="000D73DC"/>
    <w:rsid w:val="000D745A"/>
    <w:rsid w:val="000D7517"/>
    <w:rsid w:val="000D7551"/>
    <w:rsid w:val="000D768D"/>
    <w:rsid w:val="000D7703"/>
    <w:rsid w:val="000D772E"/>
    <w:rsid w:val="000D773B"/>
    <w:rsid w:val="000D77B9"/>
    <w:rsid w:val="000D77F5"/>
    <w:rsid w:val="000D786E"/>
    <w:rsid w:val="000D78A6"/>
    <w:rsid w:val="000D78E3"/>
    <w:rsid w:val="000D7A0C"/>
    <w:rsid w:val="000D7AA8"/>
    <w:rsid w:val="000D7AFE"/>
    <w:rsid w:val="000D7B2D"/>
    <w:rsid w:val="000D7B68"/>
    <w:rsid w:val="000D7BBA"/>
    <w:rsid w:val="000D7C40"/>
    <w:rsid w:val="000D7CD8"/>
    <w:rsid w:val="000D7D67"/>
    <w:rsid w:val="000D7E8F"/>
    <w:rsid w:val="000D7EF2"/>
    <w:rsid w:val="000D7F34"/>
    <w:rsid w:val="000D7FD4"/>
    <w:rsid w:val="000E005A"/>
    <w:rsid w:val="000E0070"/>
    <w:rsid w:val="000E0179"/>
    <w:rsid w:val="000E0217"/>
    <w:rsid w:val="000E022D"/>
    <w:rsid w:val="000E024B"/>
    <w:rsid w:val="000E0321"/>
    <w:rsid w:val="000E03B9"/>
    <w:rsid w:val="000E049B"/>
    <w:rsid w:val="000E04A6"/>
    <w:rsid w:val="000E04F9"/>
    <w:rsid w:val="000E057E"/>
    <w:rsid w:val="000E0763"/>
    <w:rsid w:val="000E07C4"/>
    <w:rsid w:val="000E08D3"/>
    <w:rsid w:val="000E0945"/>
    <w:rsid w:val="000E096E"/>
    <w:rsid w:val="000E09AE"/>
    <w:rsid w:val="000E09B5"/>
    <w:rsid w:val="000E0B1C"/>
    <w:rsid w:val="000E0B5C"/>
    <w:rsid w:val="000E0D62"/>
    <w:rsid w:val="000E0D82"/>
    <w:rsid w:val="000E0D8B"/>
    <w:rsid w:val="000E0E1D"/>
    <w:rsid w:val="000E0E8B"/>
    <w:rsid w:val="000E0F4F"/>
    <w:rsid w:val="000E0F84"/>
    <w:rsid w:val="000E0FB6"/>
    <w:rsid w:val="000E105B"/>
    <w:rsid w:val="000E106E"/>
    <w:rsid w:val="000E10FF"/>
    <w:rsid w:val="000E111B"/>
    <w:rsid w:val="000E11FE"/>
    <w:rsid w:val="000E12A4"/>
    <w:rsid w:val="000E142E"/>
    <w:rsid w:val="000E1452"/>
    <w:rsid w:val="000E149B"/>
    <w:rsid w:val="000E15A4"/>
    <w:rsid w:val="000E15A8"/>
    <w:rsid w:val="000E1726"/>
    <w:rsid w:val="000E1764"/>
    <w:rsid w:val="000E176C"/>
    <w:rsid w:val="000E18F7"/>
    <w:rsid w:val="000E1971"/>
    <w:rsid w:val="000E1A19"/>
    <w:rsid w:val="000E1A9A"/>
    <w:rsid w:val="000E1AAC"/>
    <w:rsid w:val="000E1B13"/>
    <w:rsid w:val="000E1B16"/>
    <w:rsid w:val="000E1BC2"/>
    <w:rsid w:val="000E1BEB"/>
    <w:rsid w:val="000E1BFF"/>
    <w:rsid w:val="000E1D73"/>
    <w:rsid w:val="000E1DE7"/>
    <w:rsid w:val="000E1FFF"/>
    <w:rsid w:val="000E2075"/>
    <w:rsid w:val="000E2116"/>
    <w:rsid w:val="000E2181"/>
    <w:rsid w:val="000E21C0"/>
    <w:rsid w:val="000E2207"/>
    <w:rsid w:val="000E22E1"/>
    <w:rsid w:val="000E22FD"/>
    <w:rsid w:val="000E23BE"/>
    <w:rsid w:val="000E241D"/>
    <w:rsid w:val="000E2424"/>
    <w:rsid w:val="000E24C7"/>
    <w:rsid w:val="000E2535"/>
    <w:rsid w:val="000E254C"/>
    <w:rsid w:val="000E254D"/>
    <w:rsid w:val="000E25BF"/>
    <w:rsid w:val="000E25ED"/>
    <w:rsid w:val="000E25F1"/>
    <w:rsid w:val="000E2686"/>
    <w:rsid w:val="000E2693"/>
    <w:rsid w:val="000E26A5"/>
    <w:rsid w:val="000E272C"/>
    <w:rsid w:val="000E27E1"/>
    <w:rsid w:val="000E281E"/>
    <w:rsid w:val="000E2864"/>
    <w:rsid w:val="000E2876"/>
    <w:rsid w:val="000E2918"/>
    <w:rsid w:val="000E2987"/>
    <w:rsid w:val="000E29AD"/>
    <w:rsid w:val="000E2B36"/>
    <w:rsid w:val="000E2B3C"/>
    <w:rsid w:val="000E2C05"/>
    <w:rsid w:val="000E2E84"/>
    <w:rsid w:val="000E2F58"/>
    <w:rsid w:val="000E2FA9"/>
    <w:rsid w:val="000E2FB8"/>
    <w:rsid w:val="000E30B7"/>
    <w:rsid w:val="000E321D"/>
    <w:rsid w:val="000E32DF"/>
    <w:rsid w:val="000E3334"/>
    <w:rsid w:val="000E337A"/>
    <w:rsid w:val="000E3408"/>
    <w:rsid w:val="000E3490"/>
    <w:rsid w:val="000E3538"/>
    <w:rsid w:val="000E357D"/>
    <w:rsid w:val="000E3606"/>
    <w:rsid w:val="000E363E"/>
    <w:rsid w:val="000E365E"/>
    <w:rsid w:val="000E366A"/>
    <w:rsid w:val="000E36B9"/>
    <w:rsid w:val="000E3701"/>
    <w:rsid w:val="000E375E"/>
    <w:rsid w:val="000E3767"/>
    <w:rsid w:val="000E378B"/>
    <w:rsid w:val="000E3834"/>
    <w:rsid w:val="000E3868"/>
    <w:rsid w:val="000E3927"/>
    <w:rsid w:val="000E3A24"/>
    <w:rsid w:val="000E3A3B"/>
    <w:rsid w:val="000E3B6D"/>
    <w:rsid w:val="000E3B6E"/>
    <w:rsid w:val="000E3B89"/>
    <w:rsid w:val="000E3BC0"/>
    <w:rsid w:val="000E3BE8"/>
    <w:rsid w:val="000E3CAA"/>
    <w:rsid w:val="000E3D76"/>
    <w:rsid w:val="000E3E16"/>
    <w:rsid w:val="000E3E70"/>
    <w:rsid w:val="000E3EA3"/>
    <w:rsid w:val="000E3ECE"/>
    <w:rsid w:val="000E3FCB"/>
    <w:rsid w:val="000E40B5"/>
    <w:rsid w:val="000E41D2"/>
    <w:rsid w:val="000E4237"/>
    <w:rsid w:val="000E4260"/>
    <w:rsid w:val="000E42DC"/>
    <w:rsid w:val="000E42F2"/>
    <w:rsid w:val="000E4362"/>
    <w:rsid w:val="000E436B"/>
    <w:rsid w:val="000E4375"/>
    <w:rsid w:val="000E43B8"/>
    <w:rsid w:val="000E44C8"/>
    <w:rsid w:val="000E4518"/>
    <w:rsid w:val="000E4540"/>
    <w:rsid w:val="000E457A"/>
    <w:rsid w:val="000E4603"/>
    <w:rsid w:val="000E469C"/>
    <w:rsid w:val="000E4769"/>
    <w:rsid w:val="000E4790"/>
    <w:rsid w:val="000E482B"/>
    <w:rsid w:val="000E4881"/>
    <w:rsid w:val="000E489C"/>
    <w:rsid w:val="000E4910"/>
    <w:rsid w:val="000E49E4"/>
    <w:rsid w:val="000E4A59"/>
    <w:rsid w:val="000E4A9C"/>
    <w:rsid w:val="000E4BB9"/>
    <w:rsid w:val="000E4C8B"/>
    <w:rsid w:val="000E4CDC"/>
    <w:rsid w:val="000E4D19"/>
    <w:rsid w:val="000E4E15"/>
    <w:rsid w:val="000E4E42"/>
    <w:rsid w:val="000E4F02"/>
    <w:rsid w:val="000E4F65"/>
    <w:rsid w:val="000E4F6B"/>
    <w:rsid w:val="000E4F98"/>
    <w:rsid w:val="000E510A"/>
    <w:rsid w:val="000E512B"/>
    <w:rsid w:val="000E516F"/>
    <w:rsid w:val="000E51C3"/>
    <w:rsid w:val="000E51F6"/>
    <w:rsid w:val="000E54B3"/>
    <w:rsid w:val="000E54F8"/>
    <w:rsid w:val="000E55C5"/>
    <w:rsid w:val="000E5616"/>
    <w:rsid w:val="000E5668"/>
    <w:rsid w:val="000E5675"/>
    <w:rsid w:val="000E5677"/>
    <w:rsid w:val="000E5687"/>
    <w:rsid w:val="000E5789"/>
    <w:rsid w:val="000E57D6"/>
    <w:rsid w:val="000E587B"/>
    <w:rsid w:val="000E58B9"/>
    <w:rsid w:val="000E58EB"/>
    <w:rsid w:val="000E5919"/>
    <w:rsid w:val="000E5A38"/>
    <w:rsid w:val="000E5A5A"/>
    <w:rsid w:val="000E5B5B"/>
    <w:rsid w:val="000E5C07"/>
    <w:rsid w:val="000E5E04"/>
    <w:rsid w:val="000E5EA1"/>
    <w:rsid w:val="000E5ECF"/>
    <w:rsid w:val="000E5F0E"/>
    <w:rsid w:val="000E5F85"/>
    <w:rsid w:val="000E6055"/>
    <w:rsid w:val="000E625D"/>
    <w:rsid w:val="000E646F"/>
    <w:rsid w:val="000E650B"/>
    <w:rsid w:val="000E6643"/>
    <w:rsid w:val="000E666C"/>
    <w:rsid w:val="000E66BA"/>
    <w:rsid w:val="000E671D"/>
    <w:rsid w:val="000E6733"/>
    <w:rsid w:val="000E683D"/>
    <w:rsid w:val="000E6A1F"/>
    <w:rsid w:val="000E6B97"/>
    <w:rsid w:val="000E6C7E"/>
    <w:rsid w:val="000E6D61"/>
    <w:rsid w:val="000E6D64"/>
    <w:rsid w:val="000E6E55"/>
    <w:rsid w:val="000E6F7F"/>
    <w:rsid w:val="000E700C"/>
    <w:rsid w:val="000E710A"/>
    <w:rsid w:val="000E7125"/>
    <w:rsid w:val="000E7177"/>
    <w:rsid w:val="000E71CA"/>
    <w:rsid w:val="000E7235"/>
    <w:rsid w:val="000E726B"/>
    <w:rsid w:val="000E7307"/>
    <w:rsid w:val="000E735D"/>
    <w:rsid w:val="000E749D"/>
    <w:rsid w:val="000E75E8"/>
    <w:rsid w:val="000E765C"/>
    <w:rsid w:val="000E7790"/>
    <w:rsid w:val="000E77B4"/>
    <w:rsid w:val="000E78C3"/>
    <w:rsid w:val="000E7962"/>
    <w:rsid w:val="000E797D"/>
    <w:rsid w:val="000E7A0A"/>
    <w:rsid w:val="000E7ABE"/>
    <w:rsid w:val="000E7B3B"/>
    <w:rsid w:val="000E7B47"/>
    <w:rsid w:val="000E7BCD"/>
    <w:rsid w:val="000E7BEB"/>
    <w:rsid w:val="000E7C7E"/>
    <w:rsid w:val="000E7CF7"/>
    <w:rsid w:val="000E7D40"/>
    <w:rsid w:val="000E7DCF"/>
    <w:rsid w:val="000E7E28"/>
    <w:rsid w:val="000E7E64"/>
    <w:rsid w:val="000E7E72"/>
    <w:rsid w:val="000E7E86"/>
    <w:rsid w:val="000E7F02"/>
    <w:rsid w:val="000E7F33"/>
    <w:rsid w:val="000E7FE9"/>
    <w:rsid w:val="000F007C"/>
    <w:rsid w:val="000F00B1"/>
    <w:rsid w:val="000F024C"/>
    <w:rsid w:val="000F040C"/>
    <w:rsid w:val="000F044D"/>
    <w:rsid w:val="000F04BB"/>
    <w:rsid w:val="000F05FC"/>
    <w:rsid w:val="000F06BB"/>
    <w:rsid w:val="000F06D9"/>
    <w:rsid w:val="000F07EA"/>
    <w:rsid w:val="000F0884"/>
    <w:rsid w:val="000F08D0"/>
    <w:rsid w:val="000F0912"/>
    <w:rsid w:val="000F0956"/>
    <w:rsid w:val="000F0976"/>
    <w:rsid w:val="000F09EE"/>
    <w:rsid w:val="000F0A5D"/>
    <w:rsid w:val="000F0AD9"/>
    <w:rsid w:val="000F0B42"/>
    <w:rsid w:val="000F0BEF"/>
    <w:rsid w:val="000F0CB0"/>
    <w:rsid w:val="000F0D06"/>
    <w:rsid w:val="000F0D8E"/>
    <w:rsid w:val="000F0EE0"/>
    <w:rsid w:val="000F0FAB"/>
    <w:rsid w:val="000F1019"/>
    <w:rsid w:val="000F1046"/>
    <w:rsid w:val="000F10C0"/>
    <w:rsid w:val="000F10D1"/>
    <w:rsid w:val="000F10D4"/>
    <w:rsid w:val="000F1143"/>
    <w:rsid w:val="000F129B"/>
    <w:rsid w:val="000F129E"/>
    <w:rsid w:val="000F1369"/>
    <w:rsid w:val="000F13D3"/>
    <w:rsid w:val="000F14E3"/>
    <w:rsid w:val="000F154A"/>
    <w:rsid w:val="000F160F"/>
    <w:rsid w:val="000F1623"/>
    <w:rsid w:val="000F1630"/>
    <w:rsid w:val="000F1670"/>
    <w:rsid w:val="000F17AF"/>
    <w:rsid w:val="000F188D"/>
    <w:rsid w:val="000F18E5"/>
    <w:rsid w:val="000F1B13"/>
    <w:rsid w:val="000F1C33"/>
    <w:rsid w:val="000F1C70"/>
    <w:rsid w:val="000F1F81"/>
    <w:rsid w:val="000F1FD3"/>
    <w:rsid w:val="000F2012"/>
    <w:rsid w:val="000F2112"/>
    <w:rsid w:val="000F2113"/>
    <w:rsid w:val="000F21C6"/>
    <w:rsid w:val="000F21FF"/>
    <w:rsid w:val="000F22B9"/>
    <w:rsid w:val="000F2346"/>
    <w:rsid w:val="000F2375"/>
    <w:rsid w:val="000F2426"/>
    <w:rsid w:val="000F2527"/>
    <w:rsid w:val="000F2541"/>
    <w:rsid w:val="000F2564"/>
    <w:rsid w:val="000F2567"/>
    <w:rsid w:val="000F256B"/>
    <w:rsid w:val="000F25F5"/>
    <w:rsid w:val="000F260B"/>
    <w:rsid w:val="000F264E"/>
    <w:rsid w:val="000F267B"/>
    <w:rsid w:val="000F2701"/>
    <w:rsid w:val="000F2708"/>
    <w:rsid w:val="000F28C4"/>
    <w:rsid w:val="000F2981"/>
    <w:rsid w:val="000F2A1A"/>
    <w:rsid w:val="000F2A49"/>
    <w:rsid w:val="000F2AEB"/>
    <w:rsid w:val="000F2C5E"/>
    <w:rsid w:val="000F2D90"/>
    <w:rsid w:val="000F2D92"/>
    <w:rsid w:val="000F2DE6"/>
    <w:rsid w:val="000F2E5F"/>
    <w:rsid w:val="000F2E8D"/>
    <w:rsid w:val="000F2F62"/>
    <w:rsid w:val="000F2FA8"/>
    <w:rsid w:val="000F2FE6"/>
    <w:rsid w:val="000F3068"/>
    <w:rsid w:val="000F313B"/>
    <w:rsid w:val="000F3257"/>
    <w:rsid w:val="000F338E"/>
    <w:rsid w:val="000F3431"/>
    <w:rsid w:val="000F3485"/>
    <w:rsid w:val="000F3587"/>
    <w:rsid w:val="000F36D5"/>
    <w:rsid w:val="000F37A0"/>
    <w:rsid w:val="000F37DC"/>
    <w:rsid w:val="000F3849"/>
    <w:rsid w:val="000F399B"/>
    <w:rsid w:val="000F39F6"/>
    <w:rsid w:val="000F3B2F"/>
    <w:rsid w:val="000F3B9E"/>
    <w:rsid w:val="000F3C00"/>
    <w:rsid w:val="000F3D30"/>
    <w:rsid w:val="000F3DC7"/>
    <w:rsid w:val="000F3E5D"/>
    <w:rsid w:val="000F3EED"/>
    <w:rsid w:val="000F3F01"/>
    <w:rsid w:val="000F3F49"/>
    <w:rsid w:val="000F3F55"/>
    <w:rsid w:val="000F400B"/>
    <w:rsid w:val="000F4031"/>
    <w:rsid w:val="000F41A2"/>
    <w:rsid w:val="000F41E2"/>
    <w:rsid w:val="000F4207"/>
    <w:rsid w:val="000F4250"/>
    <w:rsid w:val="000F426C"/>
    <w:rsid w:val="000F431B"/>
    <w:rsid w:val="000F4372"/>
    <w:rsid w:val="000F44E5"/>
    <w:rsid w:val="000F44FA"/>
    <w:rsid w:val="000F4507"/>
    <w:rsid w:val="000F4540"/>
    <w:rsid w:val="000F45A1"/>
    <w:rsid w:val="000F45D4"/>
    <w:rsid w:val="000F45F6"/>
    <w:rsid w:val="000F465A"/>
    <w:rsid w:val="000F4660"/>
    <w:rsid w:val="000F46AE"/>
    <w:rsid w:val="000F46D4"/>
    <w:rsid w:val="000F475F"/>
    <w:rsid w:val="000F4849"/>
    <w:rsid w:val="000F48B6"/>
    <w:rsid w:val="000F4A28"/>
    <w:rsid w:val="000F4A63"/>
    <w:rsid w:val="000F4A6F"/>
    <w:rsid w:val="000F4A8C"/>
    <w:rsid w:val="000F4AC6"/>
    <w:rsid w:val="000F4ADE"/>
    <w:rsid w:val="000F4D29"/>
    <w:rsid w:val="000F4D7B"/>
    <w:rsid w:val="000F4D98"/>
    <w:rsid w:val="000F4DDB"/>
    <w:rsid w:val="000F4DFF"/>
    <w:rsid w:val="000F4EE5"/>
    <w:rsid w:val="000F4F5D"/>
    <w:rsid w:val="000F4FB6"/>
    <w:rsid w:val="000F503D"/>
    <w:rsid w:val="000F5131"/>
    <w:rsid w:val="000F514B"/>
    <w:rsid w:val="000F5201"/>
    <w:rsid w:val="000F526D"/>
    <w:rsid w:val="000F5337"/>
    <w:rsid w:val="000F53AB"/>
    <w:rsid w:val="000F53D1"/>
    <w:rsid w:val="000F540B"/>
    <w:rsid w:val="000F5445"/>
    <w:rsid w:val="000F546B"/>
    <w:rsid w:val="000F5549"/>
    <w:rsid w:val="000F55DC"/>
    <w:rsid w:val="000F580B"/>
    <w:rsid w:val="000F58A3"/>
    <w:rsid w:val="000F5985"/>
    <w:rsid w:val="000F5A50"/>
    <w:rsid w:val="000F5AD1"/>
    <w:rsid w:val="000F5B48"/>
    <w:rsid w:val="000F5BD0"/>
    <w:rsid w:val="000F5C12"/>
    <w:rsid w:val="000F5C64"/>
    <w:rsid w:val="000F5CA6"/>
    <w:rsid w:val="000F5D62"/>
    <w:rsid w:val="000F5D81"/>
    <w:rsid w:val="000F5E24"/>
    <w:rsid w:val="000F5E33"/>
    <w:rsid w:val="000F5EE4"/>
    <w:rsid w:val="000F5F09"/>
    <w:rsid w:val="000F5FBF"/>
    <w:rsid w:val="000F6017"/>
    <w:rsid w:val="000F60ED"/>
    <w:rsid w:val="000F61A1"/>
    <w:rsid w:val="000F6224"/>
    <w:rsid w:val="000F6262"/>
    <w:rsid w:val="000F6299"/>
    <w:rsid w:val="000F62A3"/>
    <w:rsid w:val="000F6352"/>
    <w:rsid w:val="000F6375"/>
    <w:rsid w:val="000F65DF"/>
    <w:rsid w:val="000F667A"/>
    <w:rsid w:val="000F6684"/>
    <w:rsid w:val="000F66FE"/>
    <w:rsid w:val="000F6725"/>
    <w:rsid w:val="000F673D"/>
    <w:rsid w:val="000F674F"/>
    <w:rsid w:val="000F67CE"/>
    <w:rsid w:val="000F6949"/>
    <w:rsid w:val="000F699C"/>
    <w:rsid w:val="000F69FB"/>
    <w:rsid w:val="000F6A1C"/>
    <w:rsid w:val="000F6A28"/>
    <w:rsid w:val="000F6A73"/>
    <w:rsid w:val="000F6B02"/>
    <w:rsid w:val="000F6BA3"/>
    <w:rsid w:val="000F6C82"/>
    <w:rsid w:val="000F6DC0"/>
    <w:rsid w:val="000F6FD7"/>
    <w:rsid w:val="000F6FFF"/>
    <w:rsid w:val="000F70FE"/>
    <w:rsid w:val="000F710D"/>
    <w:rsid w:val="000F71A3"/>
    <w:rsid w:val="000F739F"/>
    <w:rsid w:val="000F73DA"/>
    <w:rsid w:val="000F744D"/>
    <w:rsid w:val="000F74F3"/>
    <w:rsid w:val="000F752B"/>
    <w:rsid w:val="000F7605"/>
    <w:rsid w:val="000F7614"/>
    <w:rsid w:val="000F76F8"/>
    <w:rsid w:val="000F77A8"/>
    <w:rsid w:val="000F77CC"/>
    <w:rsid w:val="000F77E3"/>
    <w:rsid w:val="000F79E2"/>
    <w:rsid w:val="000F7B0E"/>
    <w:rsid w:val="000F7BDC"/>
    <w:rsid w:val="000F7BF1"/>
    <w:rsid w:val="000F7D58"/>
    <w:rsid w:val="000F7D87"/>
    <w:rsid w:val="000F7E3D"/>
    <w:rsid w:val="000F7E6F"/>
    <w:rsid w:val="000F7EE1"/>
    <w:rsid w:val="000F7F07"/>
    <w:rsid w:val="000F7F65"/>
    <w:rsid w:val="0010006A"/>
    <w:rsid w:val="00100099"/>
    <w:rsid w:val="001000AA"/>
    <w:rsid w:val="001000DE"/>
    <w:rsid w:val="0010021B"/>
    <w:rsid w:val="0010025F"/>
    <w:rsid w:val="00100261"/>
    <w:rsid w:val="001002DC"/>
    <w:rsid w:val="00100343"/>
    <w:rsid w:val="001003E2"/>
    <w:rsid w:val="00100446"/>
    <w:rsid w:val="00100470"/>
    <w:rsid w:val="001004FA"/>
    <w:rsid w:val="001005B0"/>
    <w:rsid w:val="001005E8"/>
    <w:rsid w:val="001006E1"/>
    <w:rsid w:val="0010074B"/>
    <w:rsid w:val="00100AF8"/>
    <w:rsid w:val="00100B62"/>
    <w:rsid w:val="00100D73"/>
    <w:rsid w:val="00100D7E"/>
    <w:rsid w:val="00100D92"/>
    <w:rsid w:val="00100DBE"/>
    <w:rsid w:val="00100DD5"/>
    <w:rsid w:val="00100E12"/>
    <w:rsid w:val="00100E91"/>
    <w:rsid w:val="00100EB2"/>
    <w:rsid w:val="00100EB8"/>
    <w:rsid w:val="00100EE9"/>
    <w:rsid w:val="00100EF3"/>
    <w:rsid w:val="00100EF5"/>
    <w:rsid w:val="00100F47"/>
    <w:rsid w:val="00100FBA"/>
    <w:rsid w:val="00101066"/>
    <w:rsid w:val="0010106D"/>
    <w:rsid w:val="001010A9"/>
    <w:rsid w:val="0010115C"/>
    <w:rsid w:val="001011BA"/>
    <w:rsid w:val="001011E3"/>
    <w:rsid w:val="00101282"/>
    <w:rsid w:val="00101291"/>
    <w:rsid w:val="001012B9"/>
    <w:rsid w:val="001012F0"/>
    <w:rsid w:val="001012F5"/>
    <w:rsid w:val="00101348"/>
    <w:rsid w:val="00101407"/>
    <w:rsid w:val="00101538"/>
    <w:rsid w:val="001015C6"/>
    <w:rsid w:val="00101618"/>
    <w:rsid w:val="0010165E"/>
    <w:rsid w:val="00101771"/>
    <w:rsid w:val="0010183F"/>
    <w:rsid w:val="0010185C"/>
    <w:rsid w:val="00101938"/>
    <w:rsid w:val="00101980"/>
    <w:rsid w:val="0010199A"/>
    <w:rsid w:val="00101AA3"/>
    <w:rsid w:val="00101AB4"/>
    <w:rsid w:val="00101B4F"/>
    <w:rsid w:val="00101B74"/>
    <w:rsid w:val="00101BAB"/>
    <w:rsid w:val="00101BCC"/>
    <w:rsid w:val="00101BDC"/>
    <w:rsid w:val="00101D9C"/>
    <w:rsid w:val="00101E42"/>
    <w:rsid w:val="00101EA7"/>
    <w:rsid w:val="00101F30"/>
    <w:rsid w:val="00101F57"/>
    <w:rsid w:val="00101F5C"/>
    <w:rsid w:val="00101FE9"/>
    <w:rsid w:val="0010203E"/>
    <w:rsid w:val="0010209D"/>
    <w:rsid w:val="001020C8"/>
    <w:rsid w:val="00102204"/>
    <w:rsid w:val="0010220D"/>
    <w:rsid w:val="00102238"/>
    <w:rsid w:val="00102286"/>
    <w:rsid w:val="001022C3"/>
    <w:rsid w:val="00102309"/>
    <w:rsid w:val="001023CD"/>
    <w:rsid w:val="0010242D"/>
    <w:rsid w:val="00102490"/>
    <w:rsid w:val="001024AF"/>
    <w:rsid w:val="001025A3"/>
    <w:rsid w:val="001025B6"/>
    <w:rsid w:val="00102663"/>
    <w:rsid w:val="00102675"/>
    <w:rsid w:val="001027C6"/>
    <w:rsid w:val="0010290E"/>
    <w:rsid w:val="00102930"/>
    <w:rsid w:val="001029CD"/>
    <w:rsid w:val="001029FD"/>
    <w:rsid w:val="00102A23"/>
    <w:rsid w:val="00102A27"/>
    <w:rsid w:val="00102ACA"/>
    <w:rsid w:val="00102AE1"/>
    <w:rsid w:val="00102B03"/>
    <w:rsid w:val="00102B23"/>
    <w:rsid w:val="00102B25"/>
    <w:rsid w:val="00102BDF"/>
    <w:rsid w:val="00102C00"/>
    <w:rsid w:val="00102C87"/>
    <w:rsid w:val="00102D1A"/>
    <w:rsid w:val="00102D8F"/>
    <w:rsid w:val="00102DEE"/>
    <w:rsid w:val="00102E3F"/>
    <w:rsid w:val="00102E42"/>
    <w:rsid w:val="00102EBA"/>
    <w:rsid w:val="00102F14"/>
    <w:rsid w:val="00102FBF"/>
    <w:rsid w:val="00103118"/>
    <w:rsid w:val="001031AA"/>
    <w:rsid w:val="00103246"/>
    <w:rsid w:val="001032B2"/>
    <w:rsid w:val="0010332D"/>
    <w:rsid w:val="00103383"/>
    <w:rsid w:val="00103584"/>
    <w:rsid w:val="001035B3"/>
    <w:rsid w:val="0010376D"/>
    <w:rsid w:val="001037C2"/>
    <w:rsid w:val="0010380D"/>
    <w:rsid w:val="00103826"/>
    <w:rsid w:val="00103846"/>
    <w:rsid w:val="00103863"/>
    <w:rsid w:val="0010387A"/>
    <w:rsid w:val="001038C4"/>
    <w:rsid w:val="001038E7"/>
    <w:rsid w:val="00103A4C"/>
    <w:rsid w:val="00103A6E"/>
    <w:rsid w:val="00103A75"/>
    <w:rsid w:val="00103AD0"/>
    <w:rsid w:val="00103C2E"/>
    <w:rsid w:val="00103C3D"/>
    <w:rsid w:val="00103C9A"/>
    <w:rsid w:val="00103D90"/>
    <w:rsid w:val="00103DFA"/>
    <w:rsid w:val="00103E13"/>
    <w:rsid w:val="00103E4B"/>
    <w:rsid w:val="00103E86"/>
    <w:rsid w:val="00103F4D"/>
    <w:rsid w:val="00103F65"/>
    <w:rsid w:val="00103FF0"/>
    <w:rsid w:val="001040E9"/>
    <w:rsid w:val="0010419E"/>
    <w:rsid w:val="001041B3"/>
    <w:rsid w:val="0010423F"/>
    <w:rsid w:val="00104270"/>
    <w:rsid w:val="001044D7"/>
    <w:rsid w:val="001044DB"/>
    <w:rsid w:val="001044DC"/>
    <w:rsid w:val="0010455E"/>
    <w:rsid w:val="0010456A"/>
    <w:rsid w:val="001046B6"/>
    <w:rsid w:val="001047AD"/>
    <w:rsid w:val="001047E2"/>
    <w:rsid w:val="00104832"/>
    <w:rsid w:val="00104854"/>
    <w:rsid w:val="0010486E"/>
    <w:rsid w:val="001048D2"/>
    <w:rsid w:val="0010493A"/>
    <w:rsid w:val="00104957"/>
    <w:rsid w:val="00104A21"/>
    <w:rsid w:val="00104A82"/>
    <w:rsid w:val="00104B26"/>
    <w:rsid w:val="00104BA7"/>
    <w:rsid w:val="00104C0E"/>
    <w:rsid w:val="00104D51"/>
    <w:rsid w:val="00104D53"/>
    <w:rsid w:val="00104D79"/>
    <w:rsid w:val="00104E29"/>
    <w:rsid w:val="00104EB0"/>
    <w:rsid w:val="00104EC3"/>
    <w:rsid w:val="00104FEE"/>
    <w:rsid w:val="00105017"/>
    <w:rsid w:val="00105108"/>
    <w:rsid w:val="0010514D"/>
    <w:rsid w:val="00105197"/>
    <w:rsid w:val="00105277"/>
    <w:rsid w:val="001052DA"/>
    <w:rsid w:val="00105365"/>
    <w:rsid w:val="001053B8"/>
    <w:rsid w:val="001054D3"/>
    <w:rsid w:val="001054ED"/>
    <w:rsid w:val="0010552C"/>
    <w:rsid w:val="0010557A"/>
    <w:rsid w:val="00105585"/>
    <w:rsid w:val="001055B8"/>
    <w:rsid w:val="0010560A"/>
    <w:rsid w:val="001057B1"/>
    <w:rsid w:val="001057E2"/>
    <w:rsid w:val="00105841"/>
    <w:rsid w:val="0010595C"/>
    <w:rsid w:val="00105976"/>
    <w:rsid w:val="0010598C"/>
    <w:rsid w:val="00105BF1"/>
    <w:rsid w:val="00105C00"/>
    <w:rsid w:val="00105C0B"/>
    <w:rsid w:val="00105C47"/>
    <w:rsid w:val="00105D3A"/>
    <w:rsid w:val="00105D3C"/>
    <w:rsid w:val="00105E68"/>
    <w:rsid w:val="00105EED"/>
    <w:rsid w:val="00106003"/>
    <w:rsid w:val="00106060"/>
    <w:rsid w:val="00106091"/>
    <w:rsid w:val="0010609E"/>
    <w:rsid w:val="001060B8"/>
    <w:rsid w:val="001061BC"/>
    <w:rsid w:val="0010621D"/>
    <w:rsid w:val="0010621E"/>
    <w:rsid w:val="00106252"/>
    <w:rsid w:val="001062E1"/>
    <w:rsid w:val="00106358"/>
    <w:rsid w:val="00106442"/>
    <w:rsid w:val="0010644E"/>
    <w:rsid w:val="00106521"/>
    <w:rsid w:val="0010657B"/>
    <w:rsid w:val="0010664C"/>
    <w:rsid w:val="00106686"/>
    <w:rsid w:val="00106765"/>
    <w:rsid w:val="001068F5"/>
    <w:rsid w:val="0010691B"/>
    <w:rsid w:val="001069A4"/>
    <w:rsid w:val="00106A22"/>
    <w:rsid w:val="00106A49"/>
    <w:rsid w:val="00106B59"/>
    <w:rsid w:val="00106B91"/>
    <w:rsid w:val="00106C3B"/>
    <w:rsid w:val="00106CAD"/>
    <w:rsid w:val="00106D36"/>
    <w:rsid w:val="00106DCB"/>
    <w:rsid w:val="00106F00"/>
    <w:rsid w:val="00106F76"/>
    <w:rsid w:val="00106F9A"/>
    <w:rsid w:val="00106FA5"/>
    <w:rsid w:val="00107088"/>
    <w:rsid w:val="0010719A"/>
    <w:rsid w:val="001071F7"/>
    <w:rsid w:val="0010739E"/>
    <w:rsid w:val="00107408"/>
    <w:rsid w:val="00107712"/>
    <w:rsid w:val="00107756"/>
    <w:rsid w:val="001077A6"/>
    <w:rsid w:val="001077AD"/>
    <w:rsid w:val="001077FF"/>
    <w:rsid w:val="00107822"/>
    <w:rsid w:val="001078C4"/>
    <w:rsid w:val="00107918"/>
    <w:rsid w:val="00107A09"/>
    <w:rsid w:val="00107AA0"/>
    <w:rsid w:val="00107BF8"/>
    <w:rsid w:val="00107C2C"/>
    <w:rsid w:val="00107C5E"/>
    <w:rsid w:val="00107CFE"/>
    <w:rsid w:val="00107D36"/>
    <w:rsid w:val="00107D85"/>
    <w:rsid w:val="00107D93"/>
    <w:rsid w:val="00107E05"/>
    <w:rsid w:val="00107E55"/>
    <w:rsid w:val="00107E7C"/>
    <w:rsid w:val="00107F35"/>
    <w:rsid w:val="00107F7B"/>
    <w:rsid w:val="00107FC0"/>
    <w:rsid w:val="00110041"/>
    <w:rsid w:val="00110323"/>
    <w:rsid w:val="001103B3"/>
    <w:rsid w:val="0011042A"/>
    <w:rsid w:val="001104A7"/>
    <w:rsid w:val="00110508"/>
    <w:rsid w:val="001105E5"/>
    <w:rsid w:val="00110654"/>
    <w:rsid w:val="0011068D"/>
    <w:rsid w:val="0011070B"/>
    <w:rsid w:val="0011071E"/>
    <w:rsid w:val="00110753"/>
    <w:rsid w:val="001107B2"/>
    <w:rsid w:val="00110A01"/>
    <w:rsid w:val="00110A2B"/>
    <w:rsid w:val="00110BAB"/>
    <w:rsid w:val="00110C4B"/>
    <w:rsid w:val="00110D23"/>
    <w:rsid w:val="00110D26"/>
    <w:rsid w:val="00110D2A"/>
    <w:rsid w:val="00110D5C"/>
    <w:rsid w:val="00110D8B"/>
    <w:rsid w:val="00110DA1"/>
    <w:rsid w:val="00110DAC"/>
    <w:rsid w:val="00110EB6"/>
    <w:rsid w:val="00110EFD"/>
    <w:rsid w:val="00110F1D"/>
    <w:rsid w:val="00110F2B"/>
    <w:rsid w:val="00110F59"/>
    <w:rsid w:val="00110FAD"/>
    <w:rsid w:val="00110FBA"/>
    <w:rsid w:val="00111087"/>
    <w:rsid w:val="0011114C"/>
    <w:rsid w:val="001111A4"/>
    <w:rsid w:val="001111AD"/>
    <w:rsid w:val="001111F5"/>
    <w:rsid w:val="00111215"/>
    <w:rsid w:val="0011129F"/>
    <w:rsid w:val="0011130B"/>
    <w:rsid w:val="00111364"/>
    <w:rsid w:val="00111486"/>
    <w:rsid w:val="00111498"/>
    <w:rsid w:val="001114BA"/>
    <w:rsid w:val="001114F7"/>
    <w:rsid w:val="0011175D"/>
    <w:rsid w:val="00111780"/>
    <w:rsid w:val="0011179E"/>
    <w:rsid w:val="001117CD"/>
    <w:rsid w:val="001117F0"/>
    <w:rsid w:val="0011196F"/>
    <w:rsid w:val="00111983"/>
    <w:rsid w:val="00111A25"/>
    <w:rsid w:val="00111A44"/>
    <w:rsid w:val="00111B29"/>
    <w:rsid w:val="00111B73"/>
    <w:rsid w:val="00111BE7"/>
    <w:rsid w:val="00111BF3"/>
    <w:rsid w:val="00111C5E"/>
    <w:rsid w:val="00111EAA"/>
    <w:rsid w:val="00111F8D"/>
    <w:rsid w:val="001120E1"/>
    <w:rsid w:val="001123A5"/>
    <w:rsid w:val="00112427"/>
    <w:rsid w:val="001124A9"/>
    <w:rsid w:val="0011258C"/>
    <w:rsid w:val="0011268F"/>
    <w:rsid w:val="00112921"/>
    <w:rsid w:val="00112922"/>
    <w:rsid w:val="001129BA"/>
    <w:rsid w:val="001129FE"/>
    <w:rsid w:val="00112B1C"/>
    <w:rsid w:val="00112BD7"/>
    <w:rsid w:val="00112C3D"/>
    <w:rsid w:val="00112C68"/>
    <w:rsid w:val="00112D1F"/>
    <w:rsid w:val="00112D76"/>
    <w:rsid w:val="00112DDC"/>
    <w:rsid w:val="00112E61"/>
    <w:rsid w:val="00112E63"/>
    <w:rsid w:val="00112E77"/>
    <w:rsid w:val="00112E94"/>
    <w:rsid w:val="001130C8"/>
    <w:rsid w:val="001131CA"/>
    <w:rsid w:val="001133B9"/>
    <w:rsid w:val="0011353C"/>
    <w:rsid w:val="0011358A"/>
    <w:rsid w:val="00113597"/>
    <w:rsid w:val="0011359C"/>
    <w:rsid w:val="001135CD"/>
    <w:rsid w:val="001135E5"/>
    <w:rsid w:val="001136B9"/>
    <w:rsid w:val="0011371D"/>
    <w:rsid w:val="0011380A"/>
    <w:rsid w:val="00113896"/>
    <w:rsid w:val="00113997"/>
    <w:rsid w:val="001139DA"/>
    <w:rsid w:val="00113B4B"/>
    <w:rsid w:val="00113C2B"/>
    <w:rsid w:val="00113C70"/>
    <w:rsid w:val="00113D64"/>
    <w:rsid w:val="00113DC8"/>
    <w:rsid w:val="00113E1D"/>
    <w:rsid w:val="00113E95"/>
    <w:rsid w:val="00113EA4"/>
    <w:rsid w:val="00113F1A"/>
    <w:rsid w:val="00113F9A"/>
    <w:rsid w:val="00113FDF"/>
    <w:rsid w:val="00113FE6"/>
    <w:rsid w:val="00114028"/>
    <w:rsid w:val="0011406F"/>
    <w:rsid w:val="001141A6"/>
    <w:rsid w:val="001142BA"/>
    <w:rsid w:val="001142EB"/>
    <w:rsid w:val="00114476"/>
    <w:rsid w:val="001144C0"/>
    <w:rsid w:val="00114539"/>
    <w:rsid w:val="001146BA"/>
    <w:rsid w:val="0011486B"/>
    <w:rsid w:val="00114906"/>
    <w:rsid w:val="001149A2"/>
    <w:rsid w:val="00114A05"/>
    <w:rsid w:val="00114B04"/>
    <w:rsid w:val="00114D9A"/>
    <w:rsid w:val="00114EA0"/>
    <w:rsid w:val="00114EBC"/>
    <w:rsid w:val="00114FCC"/>
    <w:rsid w:val="00114FD8"/>
    <w:rsid w:val="00115085"/>
    <w:rsid w:val="0011510A"/>
    <w:rsid w:val="0011516B"/>
    <w:rsid w:val="0011519C"/>
    <w:rsid w:val="0011519F"/>
    <w:rsid w:val="0011520C"/>
    <w:rsid w:val="00115242"/>
    <w:rsid w:val="00115244"/>
    <w:rsid w:val="0011527D"/>
    <w:rsid w:val="00115414"/>
    <w:rsid w:val="001154D0"/>
    <w:rsid w:val="0011558F"/>
    <w:rsid w:val="0011566C"/>
    <w:rsid w:val="001156BF"/>
    <w:rsid w:val="00115746"/>
    <w:rsid w:val="0011587D"/>
    <w:rsid w:val="00115953"/>
    <w:rsid w:val="00115A23"/>
    <w:rsid w:val="00115A82"/>
    <w:rsid w:val="00115A96"/>
    <w:rsid w:val="00115AB2"/>
    <w:rsid w:val="00115AF1"/>
    <w:rsid w:val="00115B15"/>
    <w:rsid w:val="00115C1B"/>
    <w:rsid w:val="00115CE4"/>
    <w:rsid w:val="0011618F"/>
    <w:rsid w:val="001161CE"/>
    <w:rsid w:val="00116226"/>
    <w:rsid w:val="00116279"/>
    <w:rsid w:val="001162C6"/>
    <w:rsid w:val="0011631C"/>
    <w:rsid w:val="001163C0"/>
    <w:rsid w:val="00116402"/>
    <w:rsid w:val="001164A2"/>
    <w:rsid w:val="0011650B"/>
    <w:rsid w:val="00116547"/>
    <w:rsid w:val="0011659B"/>
    <w:rsid w:val="00116747"/>
    <w:rsid w:val="00116759"/>
    <w:rsid w:val="0011675B"/>
    <w:rsid w:val="00116969"/>
    <w:rsid w:val="00116980"/>
    <w:rsid w:val="001169B0"/>
    <w:rsid w:val="001169CB"/>
    <w:rsid w:val="00116A3A"/>
    <w:rsid w:val="00116AA4"/>
    <w:rsid w:val="00116AE8"/>
    <w:rsid w:val="00116B84"/>
    <w:rsid w:val="00116C32"/>
    <w:rsid w:val="00116C37"/>
    <w:rsid w:val="00116C79"/>
    <w:rsid w:val="00116CD1"/>
    <w:rsid w:val="00116D3E"/>
    <w:rsid w:val="00116D82"/>
    <w:rsid w:val="00116E1C"/>
    <w:rsid w:val="00116E4B"/>
    <w:rsid w:val="00116F1F"/>
    <w:rsid w:val="00116FCE"/>
    <w:rsid w:val="00116FDF"/>
    <w:rsid w:val="00117002"/>
    <w:rsid w:val="00117053"/>
    <w:rsid w:val="001170AF"/>
    <w:rsid w:val="001170DE"/>
    <w:rsid w:val="001171CE"/>
    <w:rsid w:val="00117202"/>
    <w:rsid w:val="0011729E"/>
    <w:rsid w:val="0011743E"/>
    <w:rsid w:val="00117515"/>
    <w:rsid w:val="0011752F"/>
    <w:rsid w:val="001175B6"/>
    <w:rsid w:val="00117635"/>
    <w:rsid w:val="0011768C"/>
    <w:rsid w:val="00117754"/>
    <w:rsid w:val="001177B8"/>
    <w:rsid w:val="00117811"/>
    <w:rsid w:val="0011784D"/>
    <w:rsid w:val="00117858"/>
    <w:rsid w:val="001178C4"/>
    <w:rsid w:val="001178DF"/>
    <w:rsid w:val="00117950"/>
    <w:rsid w:val="001179B4"/>
    <w:rsid w:val="00117A3B"/>
    <w:rsid w:val="00117C81"/>
    <w:rsid w:val="00117CA1"/>
    <w:rsid w:val="00117CE6"/>
    <w:rsid w:val="00117D02"/>
    <w:rsid w:val="00117D2B"/>
    <w:rsid w:val="00117E66"/>
    <w:rsid w:val="00117F18"/>
    <w:rsid w:val="00117F37"/>
    <w:rsid w:val="00117F6C"/>
    <w:rsid w:val="00120176"/>
    <w:rsid w:val="001201FB"/>
    <w:rsid w:val="0012023F"/>
    <w:rsid w:val="0012029F"/>
    <w:rsid w:val="001202F0"/>
    <w:rsid w:val="00120346"/>
    <w:rsid w:val="001203DD"/>
    <w:rsid w:val="00120401"/>
    <w:rsid w:val="0012048A"/>
    <w:rsid w:val="00120506"/>
    <w:rsid w:val="00120748"/>
    <w:rsid w:val="001208F8"/>
    <w:rsid w:val="00120903"/>
    <w:rsid w:val="00120AC3"/>
    <w:rsid w:val="00120B68"/>
    <w:rsid w:val="00120B7B"/>
    <w:rsid w:val="00120CDB"/>
    <w:rsid w:val="00120D64"/>
    <w:rsid w:val="00120DBB"/>
    <w:rsid w:val="00120E10"/>
    <w:rsid w:val="00120E74"/>
    <w:rsid w:val="00120F08"/>
    <w:rsid w:val="00120F2A"/>
    <w:rsid w:val="0012104D"/>
    <w:rsid w:val="001210B4"/>
    <w:rsid w:val="00121280"/>
    <w:rsid w:val="00121556"/>
    <w:rsid w:val="00121639"/>
    <w:rsid w:val="00121669"/>
    <w:rsid w:val="00121683"/>
    <w:rsid w:val="001216B1"/>
    <w:rsid w:val="001217F1"/>
    <w:rsid w:val="00121895"/>
    <w:rsid w:val="001219EC"/>
    <w:rsid w:val="00121A0E"/>
    <w:rsid w:val="00121B8C"/>
    <w:rsid w:val="00121BBB"/>
    <w:rsid w:val="00121C34"/>
    <w:rsid w:val="00121CD4"/>
    <w:rsid w:val="00121CE7"/>
    <w:rsid w:val="00121D0E"/>
    <w:rsid w:val="00121D6C"/>
    <w:rsid w:val="00121DB9"/>
    <w:rsid w:val="00121EA7"/>
    <w:rsid w:val="00122005"/>
    <w:rsid w:val="00122056"/>
    <w:rsid w:val="0012242A"/>
    <w:rsid w:val="0012250C"/>
    <w:rsid w:val="001227A4"/>
    <w:rsid w:val="0012286D"/>
    <w:rsid w:val="0012292D"/>
    <w:rsid w:val="0012299E"/>
    <w:rsid w:val="001229CA"/>
    <w:rsid w:val="001229EA"/>
    <w:rsid w:val="00122A1C"/>
    <w:rsid w:val="00122A21"/>
    <w:rsid w:val="00122B24"/>
    <w:rsid w:val="00122B9A"/>
    <w:rsid w:val="00122BC3"/>
    <w:rsid w:val="00122BEE"/>
    <w:rsid w:val="00122C20"/>
    <w:rsid w:val="00122D3C"/>
    <w:rsid w:val="00122DC2"/>
    <w:rsid w:val="00122E76"/>
    <w:rsid w:val="00122EE7"/>
    <w:rsid w:val="00122F57"/>
    <w:rsid w:val="001230D2"/>
    <w:rsid w:val="00123158"/>
    <w:rsid w:val="001232E0"/>
    <w:rsid w:val="0012332E"/>
    <w:rsid w:val="00123332"/>
    <w:rsid w:val="00123378"/>
    <w:rsid w:val="001233C3"/>
    <w:rsid w:val="00123526"/>
    <w:rsid w:val="00123529"/>
    <w:rsid w:val="0012370B"/>
    <w:rsid w:val="00123747"/>
    <w:rsid w:val="001238BA"/>
    <w:rsid w:val="001239A0"/>
    <w:rsid w:val="00123ACE"/>
    <w:rsid w:val="00123AE3"/>
    <w:rsid w:val="00123B59"/>
    <w:rsid w:val="00123C10"/>
    <w:rsid w:val="00123C79"/>
    <w:rsid w:val="00123EE3"/>
    <w:rsid w:val="00123EFC"/>
    <w:rsid w:val="00123F36"/>
    <w:rsid w:val="00123FF7"/>
    <w:rsid w:val="00123FFF"/>
    <w:rsid w:val="0012405C"/>
    <w:rsid w:val="001240BA"/>
    <w:rsid w:val="001240F5"/>
    <w:rsid w:val="00124135"/>
    <w:rsid w:val="001241A8"/>
    <w:rsid w:val="001243B2"/>
    <w:rsid w:val="00124462"/>
    <w:rsid w:val="00124500"/>
    <w:rsid w:val="001245D5"/>
    <w:rsid w:val="0012463F"/>
    <w:rsid w:val="001246A6"/>
    <w:rsid w:val="001246CC"/>
    <w:rsid w:val="00124867"/>
    <w:rsid w:val="00124874"/>
    <w:rsid w:val="00124897"/>
    <w:rsid w:val="00124899"/>
    <w:rsid w:val="001248A9"/>
    <w:rsid w:val="001248F9"/>
    <w:rsid w:val="0012495C"/>
    <w:rsid w:val="001249A1"/>
    <w:rsid w:val="00124A62"/>
    <w:rsid w:val="00124A98"/>
    <w:rsid w:val="00124A9F"/>
    <w:rsid w:val="00124BA6"/>
    <w:rsid w:val="00124D1D"/>
    <w:rsid w:val="00124DAC"/>
    <w:rsid w:val="00124EB7"/>
    <w:rsid w:val="00124FCE"/>
    <w:rsid w:val="00125043"/>
    <w:rsid w:val="001251BD"/>
    <w:rsid w:val="001251C5"/>
    <w:rsid w:val="001251F3"/>
    <w:rsid w:val="001252FA"/>
    <w:rsid w:val="00125318"/>
    <w:rsid w:val="00125386"/>
    <w:rsid w:val="001253D9"/>
    <w:rsid w:val="00125413"/>
    <w:rsid w:val="00125448"/>
    <w:rsid w:val="001254FD"/>
    <w:rsid w:val="00125536"/>
    <w:rsid w:val="001256E5"/>
    <w:rsid w:val="0012570B"/>
    <w:rsid w:val="001257B0"/>
    <w:rsid w:val="00125818"/>
    <w:rsid w:val="00125848"/>
    <w:rsid w:val="00125895"/>
    <w:rsid w:val="0012594D"/>
    <w:rsid w:val="00125A18"/>
    <w:rsid w:val="00125A6D"/>
    <w:rsid w:val="00125AA6"/>
    <w:rsid w:val="00125AFE"/>
    <w:rsid w:val="00125C9D"/>
    <w:rsid w:val="00125CAC"/>
    <w:rsid w:val="00125D03"/>
    <w:rsid w:val="00125E2E"/>
    <w:rsid w:val="00125ECE"/>
    <w:rsid w:val="00125FC8"/>
    <w:rsid w:val="0012603F"/>
    <w:rsid w:val="00126048"/>
    <w:rsid w:val="0012625E"/>
    <w:rsid w:val="00126272"/>
    <w:rsid w:val="0012630F"/>
    <w:rsid w:val="001263E9"/>
    <w:rsid w:val="0012640A"/>
    <w:rsid w:val="0012642B"/>
    <w:rsid w:val="00126430"/>
    <w:rsid w:val="00126463"/>
    <w:rsid w:val="00126471"/>
    <w:rsid w:val="001264FC"/>
    <w:rsid w:val="00126637"/>
    <w:rsid w:val="00126696"/>
    <w:rsid w:val="001266D7"/>
    <w:rsid w:val="001266EB"/>
    <w:rsid w:val="00126732"/>
    <w:rsid w:val="00126911"/>
    <w:rsid w:val="00126953"/>
    <w:rsid w:val="00126993"/>
    <w:rsid w:val="00126A59"/>
    <w:rsid w:val="00126B23"/>
    <w:rsid w:val="00126BB1"/>
    <w:rsid w:val="00126C0D"/>
    <w:rsid w:val="00126C3D"/>
    <w:rsid w:val="00126CE2"/>
    <w:rsid w:val="00126D62"/>
    <w:rsid w:val="00126D6C"/>
    <w:rsid w:val="00126EA3"/>
    <w:rsid w:val="00126EA7"/>
    <w:rsid w:val="00126F79"/>
    <w:rsid w:val="001270E4"/>
    <w:rsid w:val="001271A9"/>
    <w:rsid w:val="0012733A"/>
    <w:rsid w:val="00127413"/>
    <w:rsid w:val="0012744F"/>
    <w:rsid w:val="0012756C"/>
    <w:rsid w:val="00127588"/>
    <w:rsid w:val="001275BF"/>
    <w:rsid w:val="00127679"/>
    <w:rsid w:val="0012768E"/>
    <w:rsid w:val="001277C2"/>
    <w:rsid w:val="00127844"/>
    <w:rsid w:val="001278E4"/>
    <w:rsid w:val="00127970"/>
    <w:rsid w:val="001279A5"/>
    <w:rsid w:val="00127AF9"/>
    <w:rsid w:val="00127B2C"/>
    <w:rsid w:val="00127B4F"/>
    <w:rsid w:val="00127C8D"/>
    <w:rsid w:val="00127D51"/>
    <w:rsid w:val="00127F0B"/>
    <w:rsid w:val="00127F78"/>
    <w:rsid w:val="00127FD2"/>
    <w:rsid w:val="00130011"/>
    <w:rsid w:val="00130026"/>
    <w:rsid w:val="00130143"/>
    <w:rsid w:val="001302F1"/>
    <w:rsid w:val="00130304"/>
    <w:rsid w:val="0013034E"/>
    <w:rsid w:val="001303C4"/>
    <w:rsid w:val="00130452"/>
    <w:rsid w:val="001304DA"/>
    <w:rsid w:val="00130593"/>
    <w:rsid w:val="00130706"/>
    <w:rsid w:val="0013071A"/>
    <w:rsid w:val="0013072C"/>
    <w:rsid w:val="0013075A"/>
    <w:rsid w:val="0013079F"/>
    <w:rsid w:val="001307BF"/>
    <w:rsid w:val="001307E7"/>
    <w:rsid w:val="00130841"/>
    <w:rsid w:val="00130848"/>
    <w:rsid w:val="00130893"/>
    <w:rsid w:val="00130929"/>
    <w:rsid w:val="00130B16"/>
    <w:rsid w:val="00130B5C"/>
    <w:rsid w:val="00130C82"/>
    <w:rsid w:val="00130D65"/>
    <w:rsid w:val="00130DE1"/>
    <w:rsid w:val="00130DE9"/>
    <w:rsid w:val="00130DF7"/>
    <w:rsid w:val="00130E88"/>
    <w:rsid w:val="00130EEE"/>
    <w:rsid w:val="00130F92"/>
    <w:rsid w:val="00130FB6"/>
    <w:rsid w:val="00131009"/>
    <w:rsid w:val="00131188"/>
    <w:rsid w:val="001311F2"/>
    <w:rsid w:val="001312B8"/>
    <w:rsid w:val="00131346"/>
    <w:rsid w:val="0013136D"/>
    <w:rsid w:val="001313B8"/>
    <w:rsid w:val="0013141C"/>
    <w:rsid w:val="00131423"/>
    <w:rsid w:val="0013146C"/>
    <w:rsid w:val="0013147F"/>
    <w:rsid w:val="0013156D"/>
    <w:rsid w:val="00131609"/>
    <w:rsid w:val="00131637"/>
    <w:rsid w:val="001316B2"/>
    <w:rsid w:val="00131824"/>
    <w:rsid w:val="00131837"/>
    <w:rsid w:val="001318E5"/>
    <w:rsid w:val="00131A27"/>
    <w:rsid w:val="00131A53"/>
    <w:rsid w:val="00131AE2"/>
    <w:rsid w:val="00131B12"/>
    <w:rsid w:val="00131B41"/>
    <w:rsid w:val="00131B9C"/>
    <w:rsid w:val="00131BFF"/>
    <w:rsid w:val="00131C5A"/>
    <w:rsid w:val="00131CEA"/>
    <w:rsid w:val="00131D85"/>
    <w:rsid w:val="00131DCF"/>
    <w:rsid w:val="00131E3B"/>
    <w:rsid w:val="00131E86"/>
    <w:rsid w:val="00131EE8"/>
    <w:rsid w:val="00131EF8"/>
    <w:rsid w:val="00132001"/>
    <w:rsid w:val="0013202F"/>
    <w:rsid w:val="00132060"/>
    <w:rsid w:val="0013220C"/>
    <w:rsid w:val="001322C6"/>
    <w:rsid w:val="00132348"/>
    <w:rsid w:val="001323F1"/>
    <w:rsid w:val="001323FC"/>
    <w:rsid w:val="00132415"/>
    <w:rsid w:val="0013241C"/>
    <w:rsid w:val="0013243B"/>
    <w:rsid w:val="001324B6"/>
    <w:rsid w:val="001324B8"/>
    <w:rsid w:val="0013256D"/>
    <w:rsid w:val="00132588"/>
    <w:rsid w:val="00132704"/>
    <w:rsid w:val="00132802"/>
    <w:rsid w:val="00132983"/>
    <w:rsid w:val="00132991"/>
    <w:rsid w:val="001329F2"/>
    <w:rsid w:val="00132BCE"/>
    <w:rsid w:val="00132BEF"/>
    <w:rsid w:val="00132C05"/>
    <w:rsid w:val="00132CA7"/>
    <w:rsid w:val="00132EB7"/>
    <w:rsid w:val="00133195"/>
    <w:rsid w:val="00133334"/>
    <w:rsid w:val="0013338D"/>
    <w:rsid w:val="0013346A"/>
    <w:rsid w:val="001334FB"/>
    <w:rsid w:val="00133595"/>
    <w:rsid w:val="001335BA"/>
    <w:rsid w:val="001335C2"/>
    <w:rsid w:val="001337BC"/>
    <w:rsid w:val="0013389B"/>
    <w:rsid w:val="001338A8"/>
    <w:rsid w:val="00133ABD"/>
    <w:rsid w:val="00133B46"/>
    <w:rsid w:val="00133B8B"/>
    <w:rsid w:val="00133C53"/>
    <w:rsid w:val="00133C66"/>
    <w:rsid w:val="00133CFC"/>
    <w:rsid w:val="00133D5F"/>
    <w:rsid w:val="00133DF1"/>
    <w:rsid w:val="00133E46"/>
    <w:rsid w:val="00133E47"/>
    <w:rsid w:val="00133E74"/>
    <w:rsid w:val="00133F25"/>
    <w:rsid w:val="00133F76"/>
    <w:rsid w:val="00133FF6"/>
    <w:rsid w:val="00134039"/>
    <w:rsid w:val="00134058"/>
    <w:rsid w:val="001341D8"/>
    <w:rsid w:val="0013430D"/>
    <w:rsid w:val="0013434C"/>
    <w:rsid w:val="001343EA"/>
    <w:rsid w:val="0013440B"/>
    <w:rsid w:val="001345C5"/>
    <w:rsid w:val="00134620"/>
    <w:rsid w:val="001346BD"/>
    <w:rsid w:val="00134789"/>
    <w:rsid w:val="001347D0"/>
    <w:rsid w:val="001347E9"/>
    <w:rsid w:val="00134A06"/>
    <w:rsid w:val="00134A29"/>
    <w:rsid w:val="00134A9E"/>
    <w:rsid w:val="00134C62"/>
    <w:rsid w:val="00134DEC"/>
    <w:rsid w:val="00134E66"/>
    <w:rsid w:val="00134E83"/>
    <w:rsid w:val="00134ED2"/>
    <w:rsid w:val="00134F0C"/>
    <w:rsid w:val="0013508A"/>
    <w:rsid w:val="00135092"/>
    <w:rsid w:val="001350CD"/>
    <w:rsid w:val="001351DB"/>
    <w:rsid w:val="00135317"/>
    <w:rsid w:val="001353E5"/>
    <w:rsid w:val="001353FD"/>
    <w:rsid w:val="00135458"/>
    <w:rsid w:val="00135470"/>
    <w:rsid w:val="001354A4"/>
    <w:rsid w:val="001355BB"/>
    <w:rsid w:val="001355C0"/>
    <w:rsid w:val="00135689"/>
    <w:rsid w:val="001356A9"/>
    <w:rsid w:val="001357BF"/>
    <w:rsid w:val="001359E7"/>
    <w:rsid w:val="00135ADD"/>
    <w:rsid w:val="00135AFE"/>
    <w:rsid w:val="00135D26"/>
    <w:rsid w:val="00135D78"/>
    <w:rsid w:val="00135EA4"/>
    <w:rsid w:val="00136077"/>
    <w:rsid w:val="001361F4"/>
    <w:rsid w:val="00136217"/>
    <w:rsid w:val="0013628C"/>
    <w:rsid w:val="0013632A"/>
    <w:rsid w:val="001364E7"/>
    <w:rsid w:val="0013656B"/>
    <w:rsid w:val="00136636"/>
    <w:rsid w:val="001366B0"/>
    <w:rsid w:val="001366C8"/>
    <w:rsid w:val="00136949"/>
    <w:rsid w:val="001369B8"/>
    <w:rsid w:val="001369E3"/>
    <w:rsid w:val="00136A57"/>
    <w:rsid w:val="00136B27"/>
    <w:rsid w:val="00136B31"/>
    <w:rsid w:val="00136B7E"/>
    <w:rsid w:val="00136D29"/>
    <w:rsid w:val="00136D3D"/>
    <w:rsid w:val="00136DBB"/>
    <w:rsid w:val="00136ED0"/>
    <w:rsid w:val="0013701F"/>
    <w:rsid w:val="00137059"/>
    <w:rsid w:val="001370A7"/>
    <w:rsid w:val="001370BE"/>
    <w:rsid w:val="0013714F"/>
    <w:rsid w:val="00137152"/>
    <w:rsid w:val="001372D4"/>
    <w:rsid w:val="001372FC"/>
    <w:rsid w:val="00137401"/>
    <w:rsid w:val="00137424"/>
    <w:rsid w:val="00137463"/>
    <w:rsid w:val="00137524"/>
    <w:rsid w:val="001375D9"/>
    <w:rsid w:val="0013766B"/>
    <w:rsid w:val="001376D1"/>
    <w:rsid w:val="001376E8"/>
    <w:rsid w:val="0013779F"/>
    <w:rsid w:val="001377D4"/>
    <w:rsid w:val="00137868"/>
    <w:rsid w:val="00137889"/>
    <w:rsid w:val="001378D8"/>
    <w:rsid w:val="001378F9"/>
    <w:rsid w:val="00137900"/>
    <w:rsid w:val="0013797A"/>
    <w:rsid w:val="0013798E"/>
    <w:rsid w:val="00137A31"/>
    <w:rsid w:val="00137AA0"/>
    <w:rsid w:val="00137C04"/>
    <w:rsid w:val="00137CA6"/>
    <w:rsid w:val="00137E0E"/>
    <w:rsid w:val="00137E22"/>
    <w:rsid w:val="00137E63"/>
    <w:rsid w:val="00137E68"/>
    <w:rsid w:val="00137F2F"/>
    <w:rsid w:val="00137F45"/>
    <w:rsid w:val="00137F5B"/>
    <w:rsid w:val="001400B0"/>
    <w:rsid w:val="00140175"/>
    <w:rsid w:val="0014019B"/>
    <w:rsid w:val="001401BA"/>
    <w:rsid w:val="001402E9"/>
    <w:rsid w:val="00140356"/>
    <w:rsid w:val="0014036A"/>
    <w:rsid w:val="00140378"/>
    <w:rsid w:val="001404B5"/>
    <w:rsid w:val="00140508"/>
    <w:rsid w:val="0014054D"/>
    <w:rsid w:val="00140558"/>
    <w:rsid w:val="001405B4"/>
    <w:rsid w:val="0014064C"/>
    <w:rsid w:val="001406F0"/>
    <w:rsid w:val="00140729"/>
    <w:rsid w:val="001407A5"/>
    <w:rsid w:val="001407EE"/>
    <w:rsid w:val="00140814"/>
    <w:rsid w:val="00140871"/>
    <w:rsid w:val="001408BF"/>
    <w:rsid w:val="00140948"/>
    <w:rsid w:val="00140A04"/>
    <w:rsid w:val="00140A26"/>
    <w:rsid w:val="00140A2C"/>
    <w:rsid w:val="00140A41"/>
    <w:rsid w:val="00140AA8"/>
    <w:rsid w:val="00140AB2"/>
    <w:rsid w:val="00140AC7"/>
    <w:rsid w:val="00140ADB"/>
    <w:rsid w:val="00140B76"/>
    <w:rsid w:val="00140C07"/>
    <w:rsid w:val="00140C74"/>
    <w:rsid w:val="00140CCC"/>
    <w:rsid w:val="00140D9E"/>
    <w:rsid w:val="00140E3E"/>
    <w:rsid w:val="00140EDA"/>
    <w:rsid w:val="00140F13"/>
    <w:rsid w:val="00140FDB"/>
    <w:rsid w:val="00140FF1"/>
    <w:rsid w:val="0014101E"/>
    <w:rsid w:val="00141047"/>
    <w:rsid w:val="00141066"/>
    <w:rsid w:val="00141095"/>
    <w:rsid w:val="00141108"/>
    <w:rsid w:val="00141133"/>
    <w:rsid w:val="001411BF"/>
    <w:rsid w:val="00141213"/>
    <w:rsid w:val="0014122F"/>
    <w:rsid w:val="001412E5"/>
    <w:rsid w:val="00141343"/>
    <w:rsid w:val="00141403"/>
    <w:rsid w:val="00141420"/>
    <w:rsid w:val="0014145A"/>
    <w:rsid w:val="001414B2"/>
    <w:rsid w:val="001414EB"/>
    <w:rsid w:val="0014155E"/>
    <w:rsid w:val="001415B0"/>
    <w:rsid w:val="001415BE"/>
    <w:rsid w:val="00141618"/>
    <w:rsid w:val="0014169C"/>
    <w:rsid w:val="001416C1"/>
    <w:rsid w:val="001416C6"/>
    <w:rsid w:val="00141788"/>
    <w:rsid w:val="00141848"/>
    <w:rsid w:val="00141850"/>
    <w:rsid w:val="0014188B"/>
    <w:rsid w:val="0014188D"/>
    <w:rsid w:val="0014196A"/>
    <w:rsid w:val="00141A4D"/>
    <w:rsid w:val="00141AAB"/>
    <w:rsid w:val="00141AFC"/>
    <w:rsid w:val="00141CFD"/>
    <w:rsid w:val="00141D05"/>
    <w:rsid w:val="00141D26"/>
    <w:rsid w:val="00141D7C"/>
    <w:rsid w:val="00141DAA"/>
    <w:rsid w:val="00141E37"/>
    <w:rsid w:val="00141EEB"/>
    <w:rsid w:val="00141FB7"/>
    <w:rsid w:val="001420B2"/>
    <w:rsid w:val="00142124"/>
    <w:rsid w:val="00142133"/>
    <w:rsid w:val="001421B3"/>
    <w:rsid w:val="001421CE"/>
    <w:rsid w:val="001421EF"/>
    <w:rsid w:val="001421F5"/>
    <w:rsid w:val="0014223C"/>
    <w:rsid w:val="00142280"/>
    <w:rsid w:val="0014228F"/>
    <w:rsid w:val="001422B0"/>
    <w:rsid w:val="00142308"/>
    <w:rsid w:val="00142448"/>
    <w:rsid w:val="0014248B"/>
    <w:rsid w:val="00142574"/>
    <w:rsid w:val="0014259B"/>
    <w:rsid w:val="0014260B"/>
    <w:rsid w:val="00142639"/>
    <w:rsid w:val="00142706"/>
    <w:rsid w:val="00142756"/>
    <w:rsid w:val="00142759"/>
    <w:rsid w:val="00142797"/>
    <w:rsid w:val="00142837"/>
    <w:rsid w:val="00142841"/>
    <w:rsid w:val="001428B7"/>
    <w:rsid w:val="001428DD"/>
    <w:rsid w:val="0014296B"/>
    <w:rsid w:val="001429D6"/>
    <w:rsid w:val="00142A32"/>
    <w:rsid w:val="00142A51"/>
    <w:rsid w:val="00142A81"/>
    <w:rsid w:val="00142AEE"/>
    <w:rsid w:val="00142B6E"/>
    <w:rsid w:val="00142BC1"/>
    <w:rsid w:val="00142BD4"/>
    <w:rsid w:val="00142C1B"/>
    <w:rsid w:val="00142C6E"/>
    <w:rsid w:val="00142D26"/>
    <w:rsid w:val="00142D43"/>
    <w:rsid w:val="00142E59"/>
    <w:rsid w:val="00142E7C"/>
    <w:rsid w:val="00142E8D"/>
    <w:rsid w:val="00142F08"/>
    <w:rsid w:val="00142F7A"/>
    <w:rsid w:val="001430E3"/>
    <w:rsid w:val="00143118"/>
    <w:rsid w:val="00143134"/>
    <w:rsid w:val="0014319B"/>
    <w:rsid w:val="0014334B"/>
    <w:rsid w:val="00143357"/>
    <w:rsid w:val="0014336A"/>
    <w:rsid w:val="001433A2"/>
    <w:rsid w:val="0014342A"/>
    <w:rsid w:val="00143497"/>
    <w:rsid w:val="0014354B"/>
    <w:rsid w:val="0014356B"/>
    <w:rsid w:val="001435F3"/>
    <w:rsid w:val="0014373A"/>
    <w:rsid w:val="00143741"/>
    <w:rsid w:val="00143756"/>
    <w:rsid w:val="001437B5"/>
    <w:rsid w:val="001437CC"/>
    <w:rsid w:val="0014383D"/>
    <w:rsid w:val="00143890"/>
    <w:rsid w:val="001438CD"/>
    <w:rsid w:val="001439E7"/>
    <w:rsid w:val="00143A13"/>
    <w:rsid w:val="00143ADC"/>
    <w:rsid w:val="00143C04"/>
    <w:rsid w:val="00143C75"/>
    <w:rsid w:val="00143D5D"/>
    <w:rsid w:val="00143D8E"/>
    <w:rsid w:val="00143E10"/>
    <w:rsid w:val="00143E88"/>
    <w:rsid w:val="00143F6E"/>
    <w:rsid w:val="00143FBB"/>
    <w:rsid w:val="00144171"/>
    <w:rsid w:val="00144214"/>
    <w:rsid w:val="001442A3"/>
    <w:rsid w:val="00144356"/>
    <w:rsid w:val="00144383"/>
    <w:rsid w:val="001444B2"/>
    <w:rsid w:val="0014453F"/>
    <w:rsid w:val="00144613"/>
    <w:rsid w:val="00144633"/>
    <w:rsid w:val="00144864"/>
    <w:rsid w:val="001448D0"/>
    <w:rsid w:val="001448F7"/>
    <w:rsid w:val="00144A89"/>
    <w:rsid w:val="00144C3D"/>
    <w:rsid w:val="00144C74"/>
    <w:rsid w:val="00144CF3"/>
    <w:rsid w:val="00144D0B"/>
    <w:rsid w:val="00144DDC"/>
    <w:rsid w:val="00144E5A"/>
    <w:rsid w:val="00145045"/>
    <w:rsid w:val="0014515D"/>
    <w:rsid w:val="00145233"/>
    <w:rsid w:val="0014527E"/>
    <w:rsid w:val="001453D5"/>
    <w:rsid w:val="001453EA"/>
    <w:rsid w:val="001454A1"/>
    <w:rsid w:val="001454EE"/>
    <w:rsid w:val="0014552F"/>
    <w:rsid w:val="00145588"/>
    <w:rsid w:val="00145656"/>
    <w:rsid w:val="00145699"/>
    <w:rsid w:val="0014584F"/>
    <w:rsid w:val="00145909"/>
    <w:rsid w:val="00145A4D"/>
    <w:rsid w:val="00145A75"/>
    <w:rsid w:val="00145A7A"/>
    <w:rsid w:val="00145A9A"/>
    <w:rsid w:val="00145ABE"/>
    <w:rsid w:val="00145B93"/>
    <w:rsid w:val="00145C05"/>
    <w:rsid w:val="00145C31"/>
    <w:rsid w:val="00145E24"/>
    <w:rsid w:val="00145F7B"/>
    <w:rsid w:val="00145F89"/>
    <w:rsid w:val="00145F9C"/>
    <w:rsid w:val="00145FA5"/>
    <w:rsid w:val="0014604A"/>
    <w:rsid w:val="00146092"/>
    <w:rsid w:val="00146102"/>
    <w:rsid w:val="001461F8"/>
    <w:rsid w:val="001462F7"/>
    <w:rsid w:val="00146318"/>
    <w:rsid w:val="0014638F"/>
    <w:rsid w:val="001463A1"/>
    <w:rsid w:val="00146424"/>
    <w:rsid w:val="001464B9"/>
    <w:rsid w:val="00146531"/>
    <w:rsid w:val="001465A5"/>
    <w:rsid w:val="001465B8"/>
    <w:rsid w:val="001465CE"/>
    <w:rsid w:val="00146608"/>
    <w:rsid w:val="0014664B"/>
    <w:rsid w:val="00146723"/>
    <w:rsid w:val="0014672C"/>
    <w:rsid w:val="0014674E"/>
    <w:rsid w:val="00146767"/>
    <w:rsid w:val="00146810"/>
    <w:rsid w:val="00146877"/>
    <w:rsid w:val="001468CF"/>
    <w:rsid w:val="001468EB"/>
    <w:rsid w:val="001469B7"/>
    <w:rsid w:val="001469B9"/>
    <w:rsid w:val="001469FB"/>
    <w:rsid w:val="00146A44"/>
    <w:rsid w:val="00146AD5"/>
    <w:rsid w:val="00146B08"/>
    <w:rsid w:val="00146B25"/>
    <w:rsid w:val="00146B68"/>
    <w:rsid w:val="00146BBB"/>
    <w:rsid w:val="00146C4A"/>
    <w:rsid w:val="00146D40"/>
    <w:rsid w:val="00146FEF"/>
    <w:rsid w:val="0014707A"/>
    <w:rsid w:val="001470F1"/>
    <w:rsid w:val="0014715B"/>
    <w:rsid w:val="00147199"/>
    <w:rsid w:val="00147220"/>
    <w:rsid w:val="0014724F"/>
    <w:rsid w:val="001472C7"/>
    <w:rsid w:val="00147351"/>
    <w:rsid w:val="001473DA"/>
    <w:rsid w:val="00147559"/>
    <w:rsid w:val="0014759F"/>
    <w:rsid w:val="001475B9"/>
    <w:rsid w:val="001475F7"/>
    <w:rsid w:val="0014766A"/>
    <w:rsid w:val="001476C2"/>
    <w:rsid w:val="001476C9"/>
    <w:rsid w:val="0014771B"/>
    <w:rsid w:val="00147777"/>
    <w:rsid w:val="001478B1"/>
    <w:rsid w:val="001478E4"/>
    <w:rsid w:val="00147A18"/>
    <w:rsid w:val="00147A2E"/>
    <w:rsid w:val="00147ACF"/>
    <w:rsid w:val="00147BE2"/>
    <w:rsid w:val="00147C78"/>
    <w:rsid w:val="00147C83"/>
    <w:rsid w:val="00147CA1"/>
    <w:rsid w:val="00147D2C"/>
    <w:rsid w:val="00147E7D"/>
    <w:rsid w:val="00147E8C"/>
    <w:rsid w:val="00147EFC"/>
    <w:rsid w:val="00150014"/>
    <w:rsid w:val="00150029"/>
    <w:rsid w:val="0015004F"/>
    <w:rsid w:val="001500B9"/>
    <w:rsid w:val="001502AE"/>
    <w:rsid w:val="001502E6"/>
    <w:rsid w:val="00150352"/>
    <w:rsid w:val="00150403"/>
    <w:rsid w:val="00150419"/>
    <w:rsid w:val="00150443"/>
    <w:rsid w:val="00150444"/>
    <w:rsid w:val="00150536"/>
    <w:rsid w:val="00150625"/>
    <w:rsid w:val="0015063A"/>
    <w:rsid w:val="00150777"/>
    <w:rsid w:val="00150901"/>
    <w:rsid w:val="0015090A"/>
    <w:rsid w:val="001509E6"/>
    <w:rsid w:val="001509F1"/>
    <w:rsid w:val="00150A54"/>
    <w:rsid w:val="00150A55"/>
    <w:rsid w:val="00150A78"/>
    <w:rsid w:val="00150C5C"/>
    <w:rsid w:val="00150C5F"/>
    <w:rsid w:val="00150CF1"/>
    <w:rsid w:val="00150DD2"/>
    <w:rsid w:val="00150DE2"/>
    <w:rsid w:val="00150DFD"/>
    <w:rsid w:val="00150ED4"/>
    <w:rsid w:val="00150EE4"/>
    <w:rsid w:val="00150F47"/>
    <w:rsid w:val="00150FAF"/>
    <w:rsid w:val="00150FD3"/>
    <w:rsid w:val="00151062"/>
    <w:rsid w:val="00151099"/>
    <w:rsid w:val="0015110F"/>
    <w:rsid w:val="001511BF"/>
    <w:rsid w:val="001511CF"/>
    <w:rsid w:val="0015124B"/>
    <w:rsid w:val="0015124E"/>
    <w:rsid w:val="0015144E"/>
    <w:rsid w:val="00151493"/>
    <w:rsid w:val="001514BA"/>
    <w:rsid w:val="001514FD"/>
    <w:rsid w:val="0015150D"/>
    <w:rsid w:val="0015150E"/>
    <w:rsid w:val="0015154C"/>
    <w:rsid w:val="0015157A"/>
    <w:rsid w:val="00151581"/>
    <w:rsid w:val="001515D5"/>
    <w:rsid w:val="0015167D"/>
    <w:rsid w:val="001516F2"/>
    <w:rsid w:val="00151711"/>
    <w:rsid w:val="00151768"/>
    <w:rsid w:val="001517C1"/>
    <w:rsid w:val="001517C6"/>
    <w:rsid w:val="001517EB"/>
    <w:rsid w:val="001518A2"/>
    <w:rsid w:val="001518F5"/>
    <w:rsid w:val="00151965"/>
    <w:rsid w:val="001519F9"/>
    <w:rsid w:val="00151A36"/>
    <w:rsid w:val="00151A47"/>
    <w:rsid w:val="00151B22"/>
    <w:rsid w:val="00151C17"/>
    <w:rsid w:val="00151C37"/>
    <w:rsid w:val="00151C7B"/>
    <w:rsid w:val="00151C8E"/>
    <w:rsid w:val="00151C8F"/>
    <w:rsid w:val="00151EC2"/>
    <w:rsid w:val="00151F5B"/>
    <w:rsid w:val="00152026"/>
    <w:rsid w:val="00152042"/>
    <w:rsid w:val="001520BC"/>
    <w:rsid w:val="00152135"/>
    <w:rsid w:val="0015236F"/>
    <w:rsid w:val="0015267C"/>
    <w:rsid w:val="0015271A"/>
    <w:rsid w:val="00152728"/>
    <w:rsid w:val="001527CA"/>
    <w:rsid w:val="00152837"/>
    <w:rsid w:val="001528E7"/>
    <w:rsid w:val="00152D51"/>
    <w:rsid w:val="00152D66"/>
    <w:rsid w:val="00152D8C"/>
    <w:rsid w:val="00152E44"/>
    <w:rsid w:val="00153291"/>
    <w:rsid w:val="001532FC"/>
    <w:rsid w:val="001533F3"/>
    <w:rsid w:val="001534F9"/>
    <w:rsid w:val="001534FC"/>
    <w:rsid w:val="001535A8"/>
    <w:rsid w:val="001535AA"/>
    <w:rsid w:val="00153620"/>
    <w:rsid w:val="0015367D"/>
    <w:rsid w:val="001536F1"/>
    <w:rsid w:val="0015370C"/>
    <w:rsid w:val="00153796"/>
    <w:rsid w:val="001537BB"/>
    <w:rsid w:val="00153817"/>
    <w:rsid w:val="00153955"/>
    <w:rsid w:val="00153AF7"/>
    <w:rsid w:val="00153C0B"/>
    <w:rsid w:val="00153C14"/>
    <w:rsid w:val="00153C40"/>
    <w:rsid w:val="00153D2F"/>
    <w:rsid w:val="00153DCE"/>
    <w:rsid w:val="0015405C"/>
    <w:rsid w:val="001540AE"/>
    <w:rsid w:val="00154190"/>
    <w:rsid w:val="001542B2"/>
    <w:rsid w:val="001542B4"/>
    <w:rsid w:val="001542EB"/>
    <w:rsid w:val="00154363"/>
    <w:rsid w:val="00154373"/>
    <w:rsid w:val="001543B8"/>
    <w:rsid w:val="001543C5"/>
    <w:rsid w:val="001543CB"/>
    <w:rsid w:val="00154423"/>
    <w:rsid w:val="001544AA"/>
    <w:rsid w:val="00154551"/>
    <w:rsid w:val="001545EF"/>
    <w:rsid w:val="001546C7"/>
    <w:rsid w:val="00154747"/>
    <w:rsid w:val="0015490F"/>
    <w:rsid w:val="00154A3D"/>
    <w:rsid w:val="00154A64"/>
    <w:rsid w:val="00154AC9"/>
    <w:rsid w:val="00154B1B"/>
    <w:rsid w:val="00154CAA"/>
    <w:rsid w:val="00154D46"/>
    <w:rsid w:val="00154D6B"/>
    <w:rsid w:val="00154E0A"/>
    <w:rsid w:val="00154ED1"/>
    <w:rsid w:val="00154F28"/>
    <w:rsid w:val="00154FBE"/>
    <w:rsid w:val="00155049"/>
    <w:rsid w:val="0015507E"/>
    <w:rsid w:val="001550C9"/>
    <w:rsid w:val="001551EE"/>
    <w:rsid w:val="00155298"/>
    <w:rsid w:val="00155317"/>
    <w:rsid w:val="001553DD"/>
    <w:rsid w:val="001553F4"/>
    <w:rsid w:val="00155456"/>
    <w:rsid w:val="0015546F"/>
    <w:rsid w:val="00155492"/>
    <w:rsid w:val="001554A4"/>
    <w:rsid w:val="0015552E"/>
    <w:rsid w:val="001555E9"/>
    <w:rsid w:val="0015560B"/>
    <w:rsid w:val="001556C9"/>
    <w:rsid w:val="0015573F"/>
    <w:rsid w:val="0015579E"/>
    <w:rsid w:val="001557D4"/>
    <w:rsid w:val="0015583D"/>
    <w:rsid w:val="00155930"/>
    <w:rsid w:val="001559E2"/>
    <w:rsid w:val="00155B0B"/>
    <w:rsid w:val="00155BA2"/>
    <w:rsid w:val="00155BD3"/>
    <w:rsid w:val="00155C74"/>
    <w:rsid w:val="00155DB2"/>
    <w:rsid w:val="00155DF6"/>
    <w:rsid w:val="00155E9A"/>
    <w:rsid w:val="00155EBA"/>
    <w:rsid w:val="00155EDF"/>
    <w:rsid w:val="00155F00"/>
    <w:rsid w:val="00155F17"/>
    <w:rsid w:val="00155F74"/>
    <w:rsid w:val="00155F9F"/>
    <w:rsid w:val="00156004"/>
    <w:rsid w:val="0015602E"/>
    <w:rsid w:val="0015622F"/>
    <w:rsid w:val="00156267"/>
    <w:rsid w:val="001563A3"/>
    <w:rsid w:val="001563A5"/>
    <w:rsid w:val="00156466"/>
    <w:rsid w:val="001564CD"/>
    <w:rsid w:val="001564D6"/>
    <w:rsid w:val="00156603"/>
    <w:rsid w:val="0015667E"/>
    <w:rsid w:val="00156777"/>
    <w:rsid w:val="001567FD"/>
    <w:rsid w:val="00156AAF"/>
    <w:rsid w:val="00156B1A"/>
    <w:rsid w:val="00156B37"/>
    <w:rsid w:val="00156B48"/>
    <w:rsid w:val="00156CF4"/>
    <w:rsid w:val="00156D94"/>
    <w:rsid w:val="00156D96"/>
    <w:rsid w:val="00156D9F"/>
    <w:rsid w:val="00156DF4"/>
    <w:rsid w:val="00156E52"/>
    <w:rsid w:val="00156F7D"/>
    <w:rsid w:val="00156FE2"/>
    <w:rsid w:val="00157000"/>
    <w:rsid w:val="0015704D"/>
    <w:rsid w:val="001570D7"/>
    <w:rsid w:val="001571C4"/>
    <w:rsid w:val="0015726F"/>
    <w:rsid w:val="00157275"/>
    <w:rsid w:val="00157347"/>
    <w:rsid w:val="0015734A"/>
    <w:rsid w:val="00157447"/>
    <w:rsid w:val="001574CC"/>
    <w:rsid w:val="001574CE"/>
    <w:rsid w:val="00157668"/>
    <w:rsid w:val="001576D6"/>
    <w:rsid w:val="001577B9"/>
    <w:rsid w:val="00157828"/>
    <w:rsid w:val="00157837"/>
    <w:rsid w:val="00157839"/>
    <w:rsid w:val="0015791A"/>
    <w:rsid w:val="0015793C"/>
    <w:rsid w:val="00157AAC"/>
    <w:rsid w:val="00157AB6"/>
    <w:rsid w:val="00157B1E"/>
    <w:rsid w:val="00157B97"/>
    <w:rsid w:val="00157BC6"/>
    <w:rsid w:val="00157C03"/>
    <w:rsid w:val="00157C4B"/>
    <w:rsid w:val="00157C72"/>
    <w:rsid w:val="00157D34"/>
    <w:rsid w:val="00157DE8"/>
    <w:rsid w:val="00157E4B"/>
    <w:rsid w:val="00157E89"/>
    <w:rsid w:val="00160020"/>
    <w:rsid w:val="00160152"/>
    <w:rsid w:val="00160154"/>
    <w:rsid w:val="001601E6"/>
    <w:rsid w:val="0016023B"/>
    <w:rsid w:val="0016032B"/>
    <w:rsid w:val="001603C8"/>
    <w:rsid w:val="00160453"/>
    <w:rsid w:val="0016050E"/>
    <w:rsid w:val="0016053B"/>
    <w:rsid w:val="00160546"/>
    <w:rsid w:val="0016054E"/>
    <w:rsid w:val="00160551"/>
    <w:rsid w:val="00160594"/>
    <w:rsid w:val="001605A4"/>
    <w:rsid w:val="001605DE"/>
    <w:rsid w:val="001606CE"/>
    <w:rsid w:val="0016072F"/>
    <w:rsid w:val="001607BA"/>
    <w:rsid w:val="0016082F"/>
    <w:rsid w:val="00160869"/>
    <w:rsid w:val="001609C5"/>
    <w:rsid w:val="00160B34"/>
    <w:rsid w:val="00160BCD"/>
    <w:rsid w:val="00160C88"/>
    <w:rsid w:val="00160D3A"/>
    <w:rsid w:val="00160E98"/>
    <w:rsid w:val="00160F53"/>
    <w:rsid w:val="00161067"/>
    <w:rsid w:val="00161081"/>
    <w:rsid w:val="001610EF"/>
    <w:rsid w:val="00161146"/>
    <w:rsid w:val="001611AE"/>
    <w:rsid w:val="001611E0"/>
    <w:rsid w:val="00161229"/>
    <w:rsid w:val="00161318"/>
    <w:rsid w:val="0016133B"/>
    <w:rsid w:val="00161473"/>
    <w:rsid w:val="00161515"/>
    <w:rsid w:val="00161584"/>
    <w:rsid w:val="00161605"/>
    <w:rsid w:val="00161633"/>
    <w:rsid w:val="00161637"/>
    <w:rsid w:val="00161642"/>
    <w:rsid w:val="00161777"/>
    <w:rsid w:val="00161824"/>
    <w:rsid w:val="00161836"/>
    <w:rsid w:val="00161858"/>
    <w:rsid w:val="001619EF"/>
    <w:rsid w:val="00161A4A"/>
    <w:rsid w:val="00161B32"/>
    <w:rsid w:val="00161BEC"/>
    <w:rsid w:val="00161CDC"/>
    <w:rsid w:val="00161CE6"/>
    <w:rsid w:val="00161D4F"/>
    <w:rsid w:val="0016203B"/>
    <w:rsid w:val="00162064"/>
    <w:rsid w:val="00162070"/>
    <w:rsid w:val="001620F5"/>
    <w:rsid w:val="0016211B"/>
    <w:rsid w:val="0016226B"/>
    <w:rsid w:val="001622DA"/>
    <w:rsid w:val="001623A6"/>
    <w:rsid w:val="00162473"/>
    <w:rsid w:val="0016254A"/>
    <w:rsid w:val="00162557"/>
    <w:rsid w:val="001625C2"/>
    <w:rsid w:val="00162637"/>
    <w:rsid w:val="0016264C"/>
    <w:rsid w:val="001626C3"/>
    <w:rsid w:val="0016271B"/>
    <w:rsid w:val="00162750"/>
    <w:rsid w:val="001628EB"/>
    <w:rsid w:val="00162968"/>
    <w:rsid w:val="00162A6D"/>
    <w:rsid w:val="00162AD0"/>
    <w:rsid w:val="00162AE5"/>
    <w:rsid w:val="00162AE8"/>
    <w:rsid w:val="00162BCC"/>
    <w:rsid w:val="00162ED4"/>
    <w:rsid w:val="00162F6F"/>
    <w:rsid w:val="00162FFF"/>
    <w:rsid w:val="00163016"/>
    <w:rsid w:val="00163045"/>
    <w:rsid w:val="00163075"/>
    <w:rsid w:val="00163131"/>
    <w:rsid w:val="001631F1"/>
    <w:rsid w:val="001632F3"/>
    <w:rsid w:val="0016332B"/>
    <w:rsid w:val="00163375"/>
    <w:rsid w:val="001634AE"/>
    <w:rsid w:val="00163506"/>
    <w:rsid w:val="00163560"/>
    <w:rsid w:val="00163564"/>
    <w:rsid w:val="001635AE"/>
    <w:rsid w:val="00163736"/>
    <w:rsid w:val="00163837"/>
    <w:rsid w:val="0016385F"/>
    <w:rsid w:val="00163882"/>
    <w:rsid w:val="0016394D"/>
    <w:rsid w:val="00163A07"/>
    <w:rsid w:val="00163AB4"/>
    <w:rsid w:val="00163B2F"/>
    <w:rsid w:val="00163B98"/>
    <w:rsid w:val="00163BF9"/>
    <w:rsid w:val="00163C0F"/>
    <w:rsid w:val="00163D02"/>
    <w:rsid w:val="00163F31"/>
    <w:rsid w:val="00163F66"/>
    <w:rsid w:val="00163FC3"/>
    <w:rsid w:val="00164084"/>
    <w:rsid w:val="00164184"/>
    <w:rsid w:val="001641DC"/>
    <w:rsid w:val="00164277"/>
    <w:rsid w:val="00164281"/>
    <w:rsid w:val="001642BC"/>
    <w:rsid w:val="001644AF"/>
    <w:rsid w:val="001644C7"/>
    <w:rsid w:val="001646B1"/>
    <w:rsid w:val="001646B4"/>
    <w:rsid w:val="001647BE"/>
    <w:rsid w:val="001647E3"/>
    <w:rsid w:val="00164879"/>
    <w:rsid w:val="00164895"/>
    <w:rsid w:val="001648B5"/>
    <w:rsid w:val="00164924"/>
    <w:rsid w:val="00164932"/>
    <w:rsid w:val="00164A02"/>
    <w:rsid w:val="00164A1E"/>
    <w:rsid w:val="00164A30"/>
    <w:rsid w:val="00164AD1"/>
    <w:rsid w:val="00164BD0"/>
    <w:rsid w:val="00164CCF"/>
    <w:rsid w:val="00164DF6"/>
    <w:rsid w:val="00164E8B"/>
    <w:rsid w:val="00164E9F"/>
    <w:rsid w:val="00164EA4"/>
    <w:rsid w:val="00164F7B"/>
    <w:rsid w:val="00164F85"/>
    <w:rsid w:val="00165004"/>
    <w:rsid w:val="0016504C"/>
    <w:rsid w:val="0016509D"/>
    <w:rsid w:val="0016515B"/>
    <w:rsid w:val="00165165"/>
    <w:rsid w:val="0016524B"/>
    <w:rsid w:val="00165381"/>
    <w:rsid w:val="0016540C"/>
    <w:rsid w:val="00165444"/>
    <w:rsid w:val="001654EF"/>
    <w:rsid w:val="001655EF"/>
    <w:rsid w:val="00165636"/>
    <w:rsid w:val="00165659"/>
    <w:rsid w:val="00165660"/>
    <w:rsid w:val="0016566B"/>
    <w:rsid w:val="001656A2"/>
    <w:rsid w:val="00165882"/>
    <w:rsid w:val="00165922"/>
    <w:rsid w:val="001659C6"/>
    <w:rsid w:val="001659FE"/>
    <w:rsid w:val="00165A88"/>
    <w:rsid w:val="00165AD7"/>
    <w:rsid w:val="00165B46"/>
    <w:rsid w:val="00165B49"/>
    <w:rsid w:val="00165B98"/>
    <w:rsid w:val="00165BB4"/>
    <w:rsid w:val="00165C80"/>
    <w:rsid w:val="00165C85"/>
    <w:rsid w:val="00165D50"/>
    <w:rsid w:val="00165DB9"/>
    <w:rsid w:val="00165E69"/>
    <w:rsid w:val="00165E87"/>
    <w:rsid w:val="00165FE9"/>
    <w:rsid w:val="00166040"/>
    <w:rsid w:val="00166131"/>
    <w:rsid w:val="001661B3"/>
    <w:rsid w:val="00166206"/>
    <w:rsid w:val="00166223"/>
    <w:rsid w:val="001662E0"/>
    <w:rsid w:val="001662F2"/>
    <w:rsid w:val="001663AC"/>
    <w:rsid w:val="001664BC"/>
    <w:rsid w:val="001664FD"/>
    <w:rsid w:val="00166515"/>
    <w:rsid w:val="00166567"/>
    <w:rsid w:val="00166585"/>
    <w:rsid w:val="001665EE"/>
    <w:rsid w:val="00166608"/>
    <w:rsid w:val="001668CE"/>
    <w:rsid w:val="001669F1"/>
    <w:rsid w:val="00166A36"/>
    <w:rsid w:val="00166A3A"/>
    <w:rsid w:val="00166A63"/>
    <w:rsid w:val="00166AF3"/>
    <w:rsid w:val="00166B0C"/>
    <w:rsid w:val="00166B81"/>
    <w:rsid w:val="00166C2F"/>
    <w:rsid w:val="00166C39"/>
    <w:rsid w:val="00166C5E"/>
    <w:rsid w:val="00166DBE"/>
    <w:rsid w:val="00166DC8"/>
    <w:rsid w:val="00166F71"/>
    <w:rsid w:val="00166FCC"/>
    <w:rsid w:val="00167178"/>
    <w:rsid w:val="0016727A"/>
    <w:rsid w:val="001672E7"/>
    <w:rsid w:val="001673B0"/>
    <w:rsid w:val="001673B1"/>
    <w:rsid w:val="00167472"/>
    <w:rsid w:val="001675BB"/>
    <w:rsid w:val="00167601"/>
    <w:rsid w:val="00167737"/>
    <w:rsid w:val="0016783B"/>
    <w:rsid w:val="001678CF"/>
    <w:rsid w:val="001679A8"/>
    <w:rsid w:val="00167A69"/>
    <w:rsid w:val="00167AE7"/>
    <w:rsid w:val="00167BA2"/>
    <w:rsid w:val="00167D73"/>
    <w:rsid w:val="00167E4E"/>
    <w:rsid w:val="00167E80"/>
    <w:rsid w:val="00167EFE"/>
    <w:rsid w:val="00167F05"/>
    <w:rsid w:val="00167F21"/>
    <w:rsid w:val="00170056"/>
    <w:rsid w:val="00170246"/>
    <w:rsid w:val="00170261"/>
    <w:rsid w:val="0017030F"/>
    <w:rsid w:val="00170441"/>
    <w:rsid w:val="001704AB"/>
    <w:rsid w:val="001704D6"/>
    <w:rsid w:val="00170515"/>
    <w:rsid w:val="0017055F"/>
    <w:rsid w:val="001705CE"/>
    <w:rsid w:val="00170677"/>
    <w:rsid w:val="001706F0"/>
    <w:rsid w:val="00170703"/>
    <w:rsid w:val="001707C4"/>
    <w:rsid w:val="001708AB"/>
    <w:rsid w:val="001708E6"/>
    <w:rsid w:val="00170A3E"/>
    <w:rsid w:val="00170B2E"/>
    <w:rsid w:val="00170BA2"/>
    <w:rsid w:val="00170C2C"/>
    <w:rsid w:val="00170CB4"/>
    <w:rsid w:val="00170D8A"/>
    <w:rsid w:val="00170DA4"/>
    <w:rsid w:val="00170E52"/>
    <w:rsid w:val="00170E71"/>
    <w:rsid w:val="00170ED5"/>
    <w:rsid w:val="001710D5"/>
    <w:rsid w:val="00171187"/>
    <w:rsid w:val="001711A8"/>
    <w:rsid w:val="001711C3"/>
    <w:rsid w:val="00171304"/>
    <w:rsid w:val="0017148E"/>
    <w:rsid w:val="00171544"/>
    <w:rsid w:val="00171545"/>
    <w:rsid w:val="001716D7"/>
    <w:rsid w:val="0017179B"/>
    <w:rsid w:val="0017179F"/>
    <w:rsid w:val="00171821"/>
    <w:rsid w:val="00171A18"/>
    <w:rsid w:val="00171AF8"/>
    <w:rsid w:val="00171B8B"/>
    <w:rsid w:val="00171C23"/>
    <w:rsid w:val="00171C65"/>
    <w:rsid w:val="00171CE3"/>
    <w:rsid w:val="00171F08"/>
    <w:rsid w:val="00171F8A"/>
    <w:rsid w:val="00172103"/>
    <w:rsid w:val="0017211A"/>
    <w:rsid w:val="00172161"/>
    <w:rsid w:val="00172206"/>
    <w:rsid w:val="00172226"/>
    <w:rsid w:val="00172248"/>
    <w:rsid w:val="00172271"/>
    <w:rsid w:val="001722CE"/>
    <w:rsid w:val="00172676"/>
    <w:rsid w:val="0017274E"/>
    <w:rsid w:val="00172820"/>
    <w:rsid w:val="00172842"/>
    <w:rsid w:val="0017287E"/>
    <w:rsid w:val="00172A3A"/>
    <w:rsid w:val="00172B1E"/>
    <w:rsid w:val="00172C4E"/>
    <w:rsid w:val="00172CFE"/>
    <w:rsid w:val="00172D0C"/>
    <w:rsid w:val="00172E93"/>
    <w:rsid w:val="00172F06"/>
    <w:rsid w:val="00172FA1"/>
    <w:rsid w:val="00172FDE"/>
    <w:rsid w:val="001730EA"/>
    <w:rsid w:val="0017311D"/>
    <w:rsid w:val="00173153"/>
    <w:rsid w:val="001731FC"/>
    <w:rsid w:val="00173371"/>
    <w:rsid w:val="0017345F"/>
    <w:rsid w:val="00173625"/>
    <w:rsid w:val="0017362E"/>
    <w:rsid w:val="001736B7"/>
    <w:rsid w:val="001736ED"/>
    <w:rsid w:val="00173781"/>
    <w:rsid w:val="00173806"/>
    <w:rsid w:val="00173989"/>
    <w:rsid w:val="00173A35"/>
    <w:rsid w:val="00173A39"/>
    <w:rsid w:val="00173AE6"/>
    <w:rsid w:val="00173B0F"/>
    <w:rsid w:val="00173B74"/>
    <w:rsid w:val="00173B97"/>
    <w:rsid w:val="00173CE0"/>
    <w:rsid w:val="00173CE1"/>
    <w:rsid w:val="00173D9E"/>
    <w:rsid w:val="00173DAF"/>
    <w:rsid w:val="00173EA1"/>
    <w:rsid w:val="00173EA2"/>
    <w:rsid w:val="00174018"/>
    <w:rsid w:val="0017403A"/>
    <w:rsid w:val="001740A2"/>
    <w:rsid w:val="001740DF"/>
    <w:rsid w:val="0017411C"/>
    <w:rsid w:val="0017411D"/>
    <w:rsid w:val="00174137"/>
    <w:rsid w:val="0017425B"/>
    <w:rsid w:val="001742DD"/>
    <w:rsid w:val="0017430C"/>
    <w:rsid w:val="00174401"/>
    <w:rsid w:val="00174572"/>
    <w:rsid w:val="0017467A"/>
    <w:rsid w:val="001746B6"/>
    <w:rsid w:val="0017470E"/>
    <w:rsid w:val="001747CF"/>
    <w:rsid w:val="001747F9"/>
    <w:rsid w:val="0017487F"/>
    <w:rsid w:val="00174952"/>
    <w:rsid w:val="0017496C"/>
    <w:rsid w:val="001749E5"/>
    <w:rsid w:val="001749E9"/>
    <w:rsid w:val="00174A38"/>
    <w:rsid w:val="00174BE2"/>
    <w:rsid w:val="00174CC0"/>
    <w:rsid w:val="00174CF4"/>
    <w:rsid w:val="00174DD1"/>
    <w:rsid w:val="00174E65"/>
    <w:rsid w:val="00174E9F"/>
    <w:rsid w:val="00174F67"/>
    <w:rsid w:val="0017500A"/>
    <w:rsid w:val="00175017"/>
    <w:rsid w:val="00175056"/>
    <w:rsid w:val="0017509F"/>
    <w:rsid w:val="0017519F"/>
    <w:rsid w:val="001751AE"/>
    <w:rsid w:val="001751BC"/>
    <w:rsid w:val="0017522D"/>
    <w:rsid w:val="00175291"/>
    <w:rsid w:val="001752A7"/>
    <w:rsid w:val="001754C7"/>
    <w:rsid w:val="001755CD"/>
    <w:rsid w:val="0017570A"/>
    <w:rsid w:val="00175893"/>
    <w:rsid w:val="00175968"/>
    <w:rsid w:val="001759ED"/>
    <w:rsid w:val="00175B59"/>
    <w:rsid w:val="00175D80"/>
    <w:rsid w:val="00175DFA"/>
    <w:rsid w:val="00175E04"/>
    <w:rsid w:val="00175E63"/>
    <w:rsid w:val="00175E7E"/>
    <w:rsid w:val="00175EAD"/>
    <w:rsid w:val="00175EB2"/>
    <w:rsid w:val="00175ED6"/>
    <w:rsid w:val="00175F61"/>
    <w:rsid w:val="00175F87"/>
    <w:rsid w:val="00175F96"/>
    <w:rsid w:val="00175FF0"/>
    <w:rsid w:val="0017605B"/>
    <w:rsid w:val="00176064"/>
    <w:rsid w:val="0017611D"/>
    <w:rsid w:val="00176131"/>
    <w:rsid w:val="00176175"/>
    <w:rsid w:val="001761A4"/>
    <w:rsid w:val="001762A5"/>
    <w:rsid w:val="001762C7"/>
    <w:rsid w:val="001762E8"/>
    <w:rsid w:val="0017647C"/>
    <w:rsid w:val="00176489"/>
    <w:rsid w:val="001764B5"/>
    <w:rsid w:val="001765FB"/>
    <w:rsid w:val="00176630"/>
    <w:rsid w:val="00176731"/>
    <w:rsid w:val="00176766"/>
    <w:rsid w:val="00176784"/>
    <w:rsid w:val="001767C9"/>
    <w:rsid w:val="001767F1"/>
    <w:rsid w:val="00176867"/>
    <w:rsid w:val="001768A3"/>
    <w:rsid w:val="001768D2"/>
    <w:rsid w:val="001769B3"/>
    <w:rsid w:val="00176A3E"/>
    <w:rsid w:val="00176A81"/>
    <w:rsid w:val="00176AB7"/>
    <w:rsid w:val="00176B53"/>
    <w:rsid w:val="00176B72"/>
    <w:rsid w:val="00176BF2"/>
    <w:rsid w:val="00176C44"/>
    <w:rsid w:val="00176C8A"/>
    <w:rsid w:val="00176C8D"/>
    <w:rsid w:val="00176E6D"/>
    <w:rsid w:val="00176EAF"/>
    <w:rsid w:val="00176F10"/>
    <w:rsid w:val="00176F57"/>
    <w:rsid w:val="00176F5A"/>
    <w:rsid w:val="00177048"/>
    <w:rsid w:val="00177159"/>
    <w:rsid w:val="00177194"/>
    <w:rsid w:val="0017734E"/>
    <w:rsid w:val="00177356"/>
    <w:rsid w:val="001773B0"/>
    <w:rsid w:val="001773CF"/>
    <w:rsid w:val="001773FC"/>
    <w:rsid w:val="001774A5"/>
    <w:rsid w:val="00177597"/>
    <w:rsid w:val="00177793"/>
    <w:rsid w:val="0017787A"/>
    <w:rsid w:val="0017791C"/>
    <w:rsid w:val="00177936"/>
    <w:rsid w:val="0017796E"/>
    <w:rsid w:val="00177991"/>
    <w:rsid w:val="001779F7"/>
    <w:rsid w:val="001779F9"/>
    <w:rsid w:val="00177A0D"/>
    <w:rsid w:val="00177A30"/>
    <w:rsid w:val="00177BA8"/>
    <w:rsid w:val="00177C57"/>
    <w:rsid w:val="00177CBB"/>
    <w:rsid w:val="00177D6D"/>
    <w:rsid w:val="00177FC8"/>
    <w:rsid w:val="00180110"/>
    <w:rsid w:val="0018021A"/>
    <w:rsid w:val="0018025E"/>
    <w:rsid w:val="0018026E"/>
    <w:rsid w:val="00180278"/>
    <w:rsid w:val="00180424"/>
    <w:rsid w:val="0018045C"/>
    <w:rsid w:val="001804D8"/>
    <w:rsid w:val="00180526"/>
    <w:rsid w:val="001805A4"/>
    <w:rsid w:val="001805D1"/>
    <w:rsid w:val="0018062D"/>
    <w:rsid w:val="00180641"/>
    <w:rsid w:val="00180753"/>
    <w:rsid w:val="0018085C"/>
    <w:rsid w:val="001808DA"/>
    <w:rsid w:val="001808DE"/>
    <w:rsid w:val="00180976"/>
    <w:rsid w:val="00180ADA"/>
    <w:rsid w:val="00180BEB"/>
    <w:rsid w:val="00180C35"/>
    <w:rsid w:val="00180C55"/>
    <w:rsid w:val="00180CA5"/>
    <w:rsid w:val="00180D5A"/>
    <w:rsid w:val="00180D8F"/>
    <w:rsid w:val="00180E2E"/>
    <w:rsid w:val="00180EB0"/>
    <w:rsid w:val="00180F0F"/>
    <w:rsid w:val="00180F7F"/>
    <w:rsid w:val="00181086"/>
    <w:rsid w:val="001810C1"/>
    <w:rsid w:val="0018141A"/>
    <w:rsid w:val="001814F8"/>
    <w:rsid w:val="00181555"/>
    <w:rsid w:val="0018157E"/>
    <w:rsid w:val="001815E1"/>
    <w:rsid w:val="00181660"/>
    <w:rsid w:val="0018168C"/>
    <w:rsid w:val="0018171C"/>
    <w:rsid w:val="0018193E"/>
    <w:rsid w:val="00181A12"/>
    <w:rsid w:val="00181A79"/>
    <w:rsid w:val="00181AB9"/>
    <w:rsid w:val="00181B5E"/>
    <w:rsid w:val="00181C2A"/>
    <w:rsid w:val="00181CCB"/>
    <w:rsid w:val="00181D27"/>
    <w:rsid w:val="00181DD4"/>
    <w:rsid w:val="00181E8A"/>
    <w:rsid w:val="00181E99"/>
    <w:rsid w:val="00181F23"/>
    <w:rsid w:val="00181FD7"/>
    <w:rsid w:val="00182078"/>
    <w:rsid w:val="0018216C"/>
    <w:rsid w:val="00182199"/>
    <w:rsid w:val="00182291"/>
    <w:rsid w:val="0018229A"/>
    <w:rsid w:val="001822B2"/>
    <w:rsid w:val="001822E5"/>
    <w:rsid w:val="001823F0"/>
    <w:rsid w:val="00182495"/>
    <w:rsid w:val="00182569"/>
    <w:rsid w:val="0018264F"/>
    <w:rsid w:val="0018268B"/>
    <w:rsid w:val="001826E2"/>
    <w:rsid w:val="001826FF"/>
    <w:rsid w:val="001827B5"/>
    <w:rsid w:val="00182905"/>
    <w:rsid w:val="0018292A"/>
    <w:rsid w:val="00182983"/>
    <w:rsid w:val="00182A7C"/>
    <w:rsid w:val="00182BF3"/>
    <w:rsid w:val="00182CA0"/>
    <w:rsid w:val="00182D25"/>
    <w:rsid w:val="00182D73"/>
    <w:rsid w:val="00182E10"/>
    <w:rsid w:val="00182FC2"/>
    <w:rsid w:val="001830E2"/>
    <w:rsid w:val="0018325C"/>
    <w:rsid w:val="0018331F"/>
    <w:rsid w:val="001833B5"/>
    <w:rsid w:val="001833FB"/>
    <w:rsid w:val="00183406"/>
    <w:rsid w:val="00183496"/>
    <w:rsid w:val="00183567"/>
    <w:rsid w:val="00183588"/>
    <w:rsid w:val="001835AD"/>
    <w:rsid w:val="001835C7"/>
    <w:rsid w:val="001835D4"/>
    <w:rsid w:val="001835DE"/>
    <w:rsid w:val="001835E7"/>
    <w:rsid w:val="00183615"/>
    <w:rsid w:val="00183629"/>
    <w:rsid w:val="00183639"/>
    <w:rsid w:val="00183729"/>
    <w:rsid w:val="00183839"/>
    <w:rsid w:val="00183880"/>
    <w:rsid w:val="00183893"/>
    <w:rsid w:val="001838E2"/>
    <w:rsid w:val="00183951"/>
    <w:rsid w:val="0018398A"/>
    <w:rsid w:val="0018399B"/>
    <w:rsid w:val="00183AFD"/>
    <w:rsid w:val="00183BD5"/>
    <w:rsid w:val="00183CFE"/>
    <w:rsid w:val="00183E0A"/>
    <w:rsid w:val="0018405D"/>
    <w:rsid w:val="001841AC"/>
    <w:rsid w:val="001841E4"/>
    <w:rsid w:val="00184241"/>
    <w:rsid w:val="0018427D"/>
    <w:rsid w:val="00184397"/>
    <w:rsid w:val="00184399"/>
    <w:rsid w:val="00184432"/>
    <w:rsid w:val="0018444B"/>
    <w:rsid w:val="0018445A"/>
    <w:rsid w:val="0018448B"/>
    <w:rsid w:val="001845AD"/>
    <w:rsid w:val="001845BC"/>
    <w:rsid w:val="0018475B"/>
    <w:rsid w:val="001847C2"/>
    <w:rsid w:val="00184870"/>
    <w:rsid w:val="00184873"/>
    <w:rsid w:val="00184881"/>
    <w:rsid w:val="00184897"/>
    <w:rsid w:val="001848FB"/>
    <w:rsid w:val="0018492D"/>
    <w:rsid w:val="001849E7"/>
    <w:rsid w:val="00184A0C"/>
    <w:rsid w:val="00184BDF"/>
    <w:rsid w:val="00184CBA"/>
    <w:rsid w:val="00184CC7"/>
    <w:rsid w:val="00184CE3"/>
    <w:rsid w:val="00184D88"/>
    <w:rsid w:val="00184D8F"/>
    <w:rsid w:val="00184E7C"/>
    <w:rsid w:val="00184EA6"/>
    <w:rsid w:val="00184F96"/>
    <w:rsid w:val="001850CF"/>
    <w:rsid w:val="00185236"/>
    <w:rsid w:val="0018526D"/>
    <w:rsid w:val="00185313"/>
    <w:rsid w:val="00185315"/>
    <w:rsid w:val="00185316"/>
    <w:rsid w:val="00185490"/>
    <w:rsid w:val="001854A6"/>
    <w:rsid w:val="001854A8"/>
    <w:rsid w:val="00185549"/>
    <w:rsid w:val="0018558E"/>
    <w:rsid w:val="00185641"/>
    <w:rsid w:val="00185723"/>
    <w:rsid w:val="00185880"/>
    <w:rsid w:val="00185957"/>
    <w:rsid w:val="00185A71"/>
    <w:rsid w:val="00185A85"/>
    <w:rsid w:val="00185AA2"/>
    <w:rsid w:val="00185B27"/>
    <w:rsid w:val="00185B9C"/>
    <w:rsid w:val="00185BA5"/>
    <w:rsid w:val="00185C02"/>
    <w:rsid w:val="00185C15"/>
    <w:rsid w:val="00185C6C"/>
    <w:rsid w:val="00185C80"/>
    <w:rsid w:val="00185C83"/>
    <w:rsid w:val="00185CF8"/>
    <w:rsid w:val="00185CFA"/>
    <w:rsid w:val="00185D73"/>
    <w:rsid w:val="00185E03"/>
    <w:rsid w:val="00185E8C"/>
    <w:rsid w:val="00185EC6"/>
    <w:rsid w:val="00185F35"/>
    <w:rsid w:val="00186010"/>
    <w:rsid w:val="00186025"/>
    <w:rsid w:val="001860EA"/>
    <w:rsid w:val="0018614E"/>
    <w:rsid w:val="0018617D"/>
    <w:rsid w:val="00186288"/>
    <w:rsid w:val="001862C9"/>
    <w:rsid w:val="001862ED"/>
    <w:rsid w:val="00186330"/>
    <w:rsid w:val="00186333"/>
    <w:rsid w:val="00186351"/>
    <w:rsid w:val="0018649C"/>
    <w:rsid w:val="001864A6"/>
    <w:rsid w:val="00186538"/>
    <w:rsid w:val="001865EA"/>
    <w:rsid w:val="00186855"/>
    <w:rsid w:val="0018685A"/>
    <w:rsid w:val="0018687D"/>
    <w:rsid w:val="00186972"/>
    <w:rsid w:val="00186980"/>
    <w:rsid w:val="00186AEF"/>
    <w:rsid w:val="00186B0B"/>
    <w:rsid w:val="00186B1D"/>
    <w:rsid w:val="00186BFC"/>
    <w:rsid w:val="00186C0C"/>
    <w:rsid w:val="00186D18"/>
    <w:rsid w:val="00186DF7"/>
    <w:rsid w:val="00186E12"/>
    <w:rsid w:val="00186E3B"/>
    <w:rsid w:val="00186F05"/>
    <w:rsid w:val="00186F62"/>
    <w:rsid w:val="00186F96"/>
    <w:rsid w:val="00186FE4"/>
    <w:rsid w:val="0018700C"/>
    <w:rsid w:val="001870CE"/>
    <w:rsid w:val="001870EB"/>
    <w:rsid w:val="001871D2"/>
    <w:rsid w:val="00187211"/>
    <w:rsid w:val="001872BC"/>
    <w:rsid w:val="001872D4"/>
    <w:rsid w:val="00187326"/>
    <w:rsid w:val="00187330"/>
    <w:rsid w:val="00187365"/>
    <w:rsid w:val="00187381"/>
    <w:rsid w:val="00187409"/>
    <w:rsid w:val="00187425"/>
    <w:rsid w:val="001874E7"/>
    <w:rsid w:val="001874EE"/>
    <w:rsid w:val="00187578"/>
    <w:rsid w:val="0018757D"/>
    <w:rsid w:val="0018761C"/>
    <w:rsid w:val="001876CB"/>
    <w:rsid w:val="00187900"/>
    <w:rsid w:val="00187A4B"/>
    <w:rsid w:val="00187A4F"/>
    <w:rsid w:val="00187BB2"/>
    <w:rsid w:val="00187CD6"/>
    <w:rsid w:val="00187CE6"/>
    <w:rsid w:val="00187D2C"/>
    <w:rsid w:val="00187D3A"/>
    <w:rsid w:val="00187D7F"/>
    <w:rsid w:val="00187D86"/>
    <w:rsid w:val="00187D91"/>
    <w:rsid w:val="00187E76"/>
    <w:rsid w:val="00187E9A"/>
    <w:rsid w:val="00187F14"/>
    <w:rsid w:val="00187F1D"/>
    <w:rsid w:val="00187FD1"/>
    <w:rsid w:val="0019007B"/>
    <w:rsid w:val="001900FF"/>
    <w:rsid w:val="0019015C"/>
    <w:rsid w:val="00190189"/>
    <w:rsid w:val="00190194"/>
    <w:rsid w:val="001901DA"/>
    <w:rsid w:val="00190210"/>
    <w:rsid w:val="0019035D"/>
    <w:rsid w:val="001903AF"/>
    <w:rsid w:val="00190540"/>
    <w:rsid w:val="00190551"/>
    <w:rsid w:val="001905F0"/>
    <w:rsid w:val="001906D1"/>
    <w:rsid w:val="0019072B"/>
    <w:rsid w:val="001907C1"/>
    <w:rsid w:val="001907F5"/>
    <w:rsid w:val="0019091C"/>
    <w:rsid w:val="00190956"/>
    <w:rsid w:val="00190A0C"/>
    <w:rsid w:val="00190A62"/>
    <w:rsid w:val="00190A98"/>
    <w:rsid w:val="00190AA0"/>
    <w:rsid w:val="00190B29"/>
    <w:rsid w:val="00190C39"/>
    <w:rsid w:val="00190C93"/>
    <w:rsid w:val="00190CB3"/>
    <w:rsid w:val="00190D1A"/>
    <w:rsid w:val="00190E67"/>
    <w:rsid w:val="00190E7D"/>
    <w:rsid w:val="00190F1C"/>
    <w:rsid w:val="00190F2C"/>
    <w:rsid w:val="00190F31"/>
    <w:rsid w:val="00191045"/>
    <w:rsid w:val="0019112E"/>
    <w:rsid w:val="0019115B"/>
    <w:rsid w:val="0019120E"/>
    <w:rsid w:val="0019126F"/>
    <w:rsid w:val="0019137C"/>
    <w:rsid w:val="00191403"/>
    <w:rsid w:val="001914E2"/>
    <w:rsid w:val="00191543"/>
    <w:rsid w:val="00191561"/>
    <w:rsid w:val="00191599"/>
    <w:rsid w:val="001915E3"/>
    <w:rsid w:val="0019171A"/>
    <w:rsid w:val="0019178F"/>
    <w:rsid w:val="0019185F"/>
    <w:rsid w:val="00191863"/>
    <w:rsid w:val="00191893"/>
    <w:rsid w:val="00191916"/>
    <w:rsid w:val="00191AD7"/>
    <w:rsid w:val="00191B3A"/>
    <w:rsid w:val="00191BE3"/>
    <w:rsid w:val="00191C5A"/>
    <w:rsid w:val="00191C85"/>
    <w:rsid w:val="00191D06"/>
    <w:rsid w:val="00191D57"/>
    <w:rsid w:val="00191DD7"/>
    <w:rsid w:val="00191E83"/>
    <w:rsid w:val="00192172"/>
    <w:rsid w:val="00192279"/>
    <w:rsid w:val="001922EF"/>
    <w:rsid w:val="001923A0"/>
    <w:rsid w:val="0019242A"/>
    <w:rsid w:val="001924D8"/>
    <w:rsid w:val="001925DB"/>
    <w:rsid w:val="0019267F"/>
    <w:rsid w:val="001926EC"/>
    <w:rsid w:val="00192741"/>
    <w:rsid w:val="0019275A"/>
    <w:rsid w:val="001927AA"/>
    <w:rsid w:val="001927C4"/>
    <w:rsid w:val="001928DD"/>
    <w:rsid w:val="00192927"/>
    <w:rsid w:val="0019292C"/>
    <w:rsid w:val="00192945"/>
    <w:rsid w:val="00192989"/>
    <w:rsid w:val="001929D3"/>
    <w:rsid w:val="001929E8"/>
    <w:rsid w:val="00192A3D"/>
    <w:rsid w:val="00192A98"/>
    <w:rsid w:val="00192B0A"/>
    <w:rsid w:val="00192C4D"/>
    <w:rsid w:val="00192CDF"/>
    <w:rsid w:val="00192D58"/>
    <w:rsid w:val="00192DC6"/>
    <w:rsid w:val="00192E24"/>
    <w:rsid w:val="00192E40"/>
    <w:rsid w:val="00192E47"/>
    <w:rsid w:val="00192FAA"/>
    <w:rsid w:val="0019300F"/>
    <w:rsid w:val="0019302E"/>
    <w:rsid w:val="00193041"/>
    <w:rsid w:val="0019308D"/>
    <w:rsid w:val="00193175"/>
    <w:rsid w:val="001931DB"/>
    <w:rsid w:val="001934B3"/>
    <w:rsid w:val="001936B5"/>
    <w:rsid w:val="001936F3"/>
    <w:rsid w:val="0019389C"/>
    <w:rsid w:val="001938A6"/>
    <w:rsid w:val="001938C4"/>
    <w:rsid w:val="001939B4"/>
    <w:rsid w:val="00193A15"/>
    <w:rsid w:val="00193B96"/>
    <w:rsid w:val="00193BD0"/>
    <w:rsid w:val="00193C7C"/>
    <w:rsid w:val="00193CD3"/>
    <w:rsid w:val="00193D2B"/>
    <w:rsid w:val="00193D8D"/>
    <w:rsid w:val="00193DB6"/>
    <w:rsid w:val="00193DCC"/>
    <w:rsid w:val="00193E12"/>
    <w:rsid w:val="00193E31"/>
    <w:rsid w:val="00194033"/>
    <w:rsid w:val="001940A3"/>
    <w:rsid w:val="001940D1"/>
    <w:rsid w:val="0019412B"/>
    <w:rsid w:val="001941F1"/>
    <w:rsid w:val="0019424C"/>
    <w:rsid w:val="001942F8"/>
    <w:rsid w:val="00194333"/>
    <w:rsid w:val="001943E9"/>
    <w:rsid w:val="001943EE"/>
    <w:rsid w:val="001944F7"/>
    <w:rsid w:val="00194560"/>
    <w:rsid w:val="001945AE"/>
    <w:rsid w:val="001945F7"/>
    <w:rsid w:val="001946BD"/>
    <w:rsid w:val="00194768"/>
    <w:rsid w:val="0019476F"/>
    <w:rsid w:val="001948AD"/>
    <w:rsid w:val="0019492F"/>
    <w:rsid w:val="00194998"/>
    <w:rsid w:val="00194B90"/>
    <w:rsid w:val="00194BBB"/>
    <w:rsid w:val="00194C26"/>
    <w:rsid w:val="00194C74"/>
    <w:rsid w:val="00194CCC"/>
    <w:rsid w:val="00194D6B"/>
    <w:rsid w:val="00194D83"/>
    <w:rsid w:val="00194DC0"/>
    <w:rsid w:val="00194DC1"/>
    <w:rsid w:val="00194DC6"/>
    <w:rsid w:val="00194DFB"/>
    <w:rsid w:val="0019501A"/>
    <w:rsid w:val="001950D8"/>
    <w:rsid w:val="001950E6"/>
    <w:rsid w:val="00195103"/>
    <w:rsid w:val="00195180"/>
    <w:rsid w:val="0019542E"/>
    <w:rsid w:val="00195494"/>
    <w:rsid w:val="001955CE"/>
    <w:rsid w:val="00195642"/>
    <w:rsid w:val="00195650"/>
    <w:rsid w:val="001956F2"/>
    <w:rsid w:val="0019580A"/>
    <w:rsid w:val="00195842"/>
    <w:rsid w:val="00195860"/>
    <w:rsid w:val="00195879"/>
    <w:rsid w:val="00195A57"/>
    <w:rsid w:val="00195AD5"/>
    <w:rsid w:val="00195BDB"/>
    <w:rsid w:val="00195CBB"/>
    <w:rsid w:val="00195D72"/>
    <w:rsid w:val="00195DC9"/>
    <w:rsid w:val="00195DF4"/>
    <w:rsid w:val="00195EA4"/>
    <w:rsid w:val="00195FDA"/>
    <w:rsid w:val="00196048"/>
    <w:rsid w:val="00196067"/>
    <w:rsid w:val="001960BA"/>
    <w:rsid w:val="001960BB"/>
    <w:rsid w:val="001961AA"/>
    <w:rsid w:val="001961D6"/>
    <w:rsid w:val="0019637E"/>
    <w:rsid w:val="00196438"/>
    <w:rsid w:val="00196481"/>
    <w:rsid w:val="0019661A"/>
    <w:rsid w:val="001966DF"/>
    <w:rsid w:val="0019677D"/>
    <w:rsid w:val="00196794"/>
    <w:rsid w:val="0019685E"/>
    <w:rsid w:val="00196911"/>
    <w:rsid w:val="00196946"/>
    <w:rsid w:val="001969AB"/>
    <w:rsid w:val="00196A7E"/>
    <w:rsid w:val="00196AA3"/>
    <w:rsid w:val="00196AED"/>
    <w:rsid w:val="00196C01"/>
    <w:rsid w:val="00196C5B"/>
    <w:rsid w:val="00196C90"/>
    <w:rsid w:val="00196DC5"/>
    <w:rsid w:val="00196DF8"/>
    <w:rsid w:val="00196E7E"/>
    <w:rsid w:val="0019707B"/>
    <w:rsid w:val="001970E6"/>
    <w:rsid w:val="00197123"/>
    <w:rsid w:val="00197153"/>
    <w:rsid w:val="001971BF"/>
    <w:rsid w:val="001971CE"/>
    <w:rsid w:val="001971F4"/>
    <w:rsid w:val="001972EF"/>
    <w:rsid w:val="001972F0"/>
    <w:rsid w:val="00197319"/>
    <w:rsid w:val="00197348"/>
    <w:rsid w:val="0019745A"/>
    <w:rsid w:val="00197494"/>
    <w:rsid w:val="0019749E"/>
    <w:rsid w:val="001974C9"/>
    <w:rsid w:val="001975CE"/>
    <w:rsid w:val="00197611"/>
    <w:rsid w:val="0019764D"/>
    <w:rsid w:val="001976A0"/>
    <w:rsid w:val="00197784"/>
    <w:rsid w:val="00197788"/>
    <w:rsid w:val="001977A0"/>
    <w:rsid w:val="00197801"/>
    <w:rsid w:val="00197865"/>
    <w:rsid w:val="00197988"/>
    <w:rsid w:val="001979C1"/>
    <w:rsid w:val="00197A60"/>
    <w:rsid w:val="00197A9A"/>
    <w:rsid w:val="00197ADA"/>
    <w:rsid w:val="00197AE2"/>
    <w:rsid w:val="00197C01"/>
    <w:rsid w:val="00197C44"/>
    <w:rsid w:val="00197C4A"/>
    <w:rsid w:val="00197CD4"/>
    <w:rsid w:val="00197D78"/>
    <w:rsid w:val="00197D7E"/>
    <w:rsid w:val="00197DA0"/>
    <w:rsid w:val="00197DA6"/>
    <w:rsid w:val="00197DA7"/>
    <w:rsid w:val="00197DE5"/>
    <w:rsid w:val="00197F04"/>
    <w:rsid w:val="00197FAF"/>
    <w:rsid w:val="001A002B"/>
    <w:rsid w:val="001A0033"/>
    <w:rsid w:val="001A00C8"/>
    <w:rsid w:val="001A01EB"/>
    <w:rsid w:val="001A0262"/>
    <w:rsid w:val="001A02A8"/>
    <w:rsid w:val="001A03D6"/>
    <w:rsid w:val="001A046B"/>
    <w:rsid w:val="001A053B"/>
    <w:rsid w:val="001A05DF"/>
    <w:rsid w:val="001A061C"/>
    <w:rsid w:val="001A06CB"/>
    <w:rsid w:val="001A0754"/>
    <w:rsid w:val="001A0820"/>
    <w:rsid w:val="001A082C"/>
    <w:rsid w:val="001A0924"/>
    <w:rsid w:val="001A0944"/>
    <w:rsid w:val="001A0A9A"/>
    <w:rsid w:val="001A0C10"/>
    <w:rsid w:val="001A0C77"/>
    <w:rsid w:val="001A0E63"/>
    <w:rsid w:val="001A0E8E"/>
    <w:rsid w:val="001A0F0F"/>
    <w:rsid w:val="001A0F1C"/>
    <w:rsid w:val="001A0F29"/>
    <w:rsid w:val="001A0F8D"/>
    <w:rsid w:val="001A0FFB"/>
    <w:rsid w:val="001A1051"/>
    <w:rsid w:val="001A1123"/>
    <w:rsid w:val="001A1176"/>
    <w:rsid w:val="001A11AB"/>
    <w:rsid w:val="001A1243"/>
    <w:rsid w:val="001A12C1"/>
    <w:rsid w:val="001A12D2"/>
    <w:rsid w:val="001A134B"/>
    <w:rsid w:val="001A13CA"/>
    <w:rsid w:val="001A1435"/>
    <w:rsid w:val="001A1437"/>
    <w:rsid w:val="001A15C1"/>
    <w:rsid w:val="001A15E1"/>
    <w:rsid w:val="001A1631"/>
    <w:rsid w:val="001A1697"/>
    <w:rsid w:val="001A173A"/>
    <w:rsid w:val="001A176B"/>
    <w:rsid w:val="001A17E5"/>
    <w:rsid w:val="001A1843"/>
    <w:rsid w:val="001A18BF"/>
    <w:rsid w:val="001A1993"/>
    <w:rsid w:val="001A1A3E"/>
    <w:rsid w:val="001A1B00"/>
    <w:rsid w:val="001A1BB0"/>
    <w:rsid w:val="001A1BF1"/>
    <w:rsid w:val="001A1CF7"/>
    <w:rsid w:val="001A1D90"/>
    <w:rsid w:val="001A1DE0"/>
    <w:rsid w:val="001A1FB4"/>
    <w:rsid w:val="001A2019"/>
    <w:rsid w:val="001A20BB"/>
    <w:rsid w:val="001A214E"/>
    <w:rsid w:val="001A21DD"/>
    <w:rsid w:val="001A2236"/>
    <w:rsid w:val="001A2253"/>
    <w:rsid w:val="001A22B9"/>
    <w:rsid w:val="001A2418"/>
    <w:rsid w:val="001A243D"/>
    <w:rsid w:val="001A2450"/>
    <w:rsid w:val="001A246E"/>
    <w:rsid w:val="001A250B"/>
    <w:rsid w:val="001A2537"/>
    <w:rsid w:val="001A2541"/>
    <w:rsid w:val="001A2662"/>
    <w:rsid w:val="001A26AC"/>
    <w:rsid w:val="001A2796"/>
    <w:rsid w:val="001A27F4"/>
    <w:rsid w:val="001A2850"/>
    <w:rsid w:val="001A2917"/>
    <w:rsid w:val="001A2A4D"/>
    <w:rsid w:val="001A2BC9"/>
    <w:rsid w:val="001A2C37"/>
    <w:rsid w:val="001A2C63"/>
    <w:rsid w:val="001A2CED"/>
    <w:rsid w:val="001A2DA9"/>
    <w:rsid w:val="001A2ED5"/>
    <w:rsid w:val="001A2F55"/>
    <w:rsid w:val="001A3017"/>
    <w:rsid w:val="001A309D"/>
    <w:rsid w:val="001A3218"/>
    <w:rsid w:val="001A32A0"/>
    <w:rsid w:val="001A32DF"/>
    <w:rsid w:val="001A3323"/>
    <w:rsid w:val="001A332D"/>
    <w:rsid w:val="001A33E6"/>
    <w:rsid w:val="001A3400"/>
    <w:rsid w:val="001A37C2"/>
    <w:rsid w:val="001A38F0"/>
    <w:rsid w:val="001A3A41"/>
    <w:rsid w:val="001A3B8B"/>
    <w:rsid w:val="001A3BF4"/>
    <w:rsid w:val="001A3C42"/>
    <w:rsid w:val="001A3C89"/>
    <w:rsid w:val="001A3D0B"/>
    <w:rsid w:val="001A3D79"/>
    <w:rsid w:val="001A3E1F"/>
    <w:rsid w:val="001A3E73"/>
    <w:rsid w:val="001A3F27"/>
    <w:rsid w:val="001A3FFE"/>
    <w:rsid w:val="001A4097"/>
    <w:rsid w:val="001A40AD"/>
    <w:rsid w:val="001A4142"/>
    <w:rsid w:val="001A41C8"/>
    <w:rsid w:val="001A4282"/>
    <w:rsid w:val="001A4288"/>
    <w:rsid w:val="001A42B7"/>
    <w:rsid w:val="001A42C1"/>
    <w:rsid w:val="001A42C7"/>
    <w:rsid w:val="001A42FD"/>
    <w:rsid w:val="001A43FC"/>
    <w:rsid w:val="001A4450"/>
    <w:rsid w:val="001A44C0"/>
    <w:rsid w:val="001A44C1"/>
    <w:rsid w:val="001A453B"/>
    <w:rsid w:val="001A4587"/>
    <w:rsid w:val="001A4671"/>
    <w:rsid w:val="001A46BD"/>
    <w:rsid w:val="001A46CF"/>
    <w:rsid w:val="001A46EE"/>
    <w:rsid w:val="001A46F1"/>
    <w:rsid w:val="001A478F"/>
    <w:rsid w:val="001A4871"/>
    <w:rsid w:val="001A4AC4"/>
    <w:rsid w:val="001A4C62"/>
    <w:rsid w:val="001A4C64"/>
    <w:rsid w:val="001A4EBC"/>
    <w:rsid w:val="001A4EE5"/>
    <w:rsid w:val="001A4F26"/>
    <w:rsid w:val="001A4F38"/>
    <w:rsid w:val="001A508C"/>
    <w:rsid w:val="001A51C6"/>
    <w:rsid w:val="001A521D"/>
    <w:rsid w:val="001A52B4"/>
    <w:rsid w:val="001A5306"/>
    <w:rsid w:val="001A541C"/>
    <w:rsid w:val="001A541E"/>
    <w:rsid w:val="001A544A"/>
    <w:rsid w:val="001A5469"/>
    <w:rsid w:val="001A5480"/>
    <w:rsid w:val="001A54BE"/>
    <w:rsid w:val="001A5557"/>
    <w:rsid w:val="001A55A9"/>
    <w:rsid w:val="001A55B9"/>
    <w:rsid w:val="001A5714"/>
    <w:rsid w:val="001A575E"/>
    <w:rsid w:val="001A57DF"/>
    <w:rsid w:val="001A5963"/>
    <w:rsid w:val="001A59C2"/>
    <w:rsid w:val="001A5C89"/>
    <w:rsid w:val="001A5CA3"/>
    <w:rsid w:val="001A5D09"/>
    <w:rsid w:val="001A5D14"/>
    <w:rsid w:val="001A5D2D"/>
    <w:rsid w:val="001A5D97"/>
    <w:rsid w:val="001A5DE1"/>
    <w:rsid w:val="001A5E72"/>
    <w:rsid w:val="001A5E7E"/>
    <w:rsid w:val="001A5F1E"/>
    <w:rsid w:val="001A5F8E"/>
    <w:rsid w:val="001A62D9"/>
    <w:rsid w:val="001A6311"/>
    <w:rsid w:val="001A6394"/>
    <w:rsid w:val="001A639E"/>
    <w:rsid w:val="001A64AD"/>
    <w:rsid w:val="001A64E6"/>
    <w:rsid w:val="001A657A"/>
    <w:rsid w:val="001A66EA"/>
    <w:rsid w:val="001A6733"/>
    <w:rsid w:val="001A678B"/>
    <w:rsid w:val="001A6793"/>
    <w:rsid w:val="001A6796"/>
    <w:rsid w:val="001A67A7"/>
    <w:rsid w:val="001A67F5"/>
    <w:rsid w:val="001A6897"/>
    <w:rsid w:val="001A68A1"/>
    <w:rsid w:val="001A690D"/>
    <w:rsid w:val="001A695A"/>
    <w:rsid w:val="001A6A08"/>
    <w:rsid w:val="001A6A98"/>
    <w:rsid w:val="001A6B96"/>
    <w:rsid w:val="001A6BE6"/>
    <w:rsid w:val="001A6C3F"/>
    <w:rsid w:val="001A6C45"/>
    <w:rsid w:val="001A6C96"/>
    <w:rsid w:val="001A6D11"/>
    <w:rsid w:val="001A6D7C"/>
    <w:rsid w:val="001A6E83"/>
    <w:rsid w:val="001A6F72"/>
    <w:rsid w:val="001A6F8A"/>
    <w:rsid w:val="001A6F94"/>
    <w:rsid w:val="001A6FBD"/>
    <w:rsid w:val="001A6FFC"/>
    <w:rsid w:val="001A7078"/>
    <w:rsid w:val="001A70D3"/>
    <w:rsid w:val="001A70F5"/>
    <w:rsid w:val="001A71D6"/>
    <w:rsid w:val="001A72DB"/>
    <w:rsid w:val="001A72F1"/>
    <w:rsid w:val="001A73AE"/>
    <w:rsid w:val="001A73CD"/>
    <w:rsid w:val="001A753F"/>
    <w:rsid w:val="001A7551"/>
    <w:rsid w:val="001A762B"/>
    <w:rsid w:val="001A7636"/>
    <w:rsid w:val="001A76CF"/>
    <w:rsid w:val="001A7712"/>
    <w:rsid w:val="001A7748"/>
    <w:rsid w:val="001A778F"/>
    <w:rsid w:val="001A7797"/>
    <w:rsid w:val="001A77D5"/>
    <w:rsid w:val="001A7892"/>
    <w:rsid w:val="001A78B4"/>
    <w:rsid w:val="001A7950"/>
    <w:rsid w:val="001A79FE"/>
    <w:rsid w:val="001A7A49"/>
    <w:rsid w:val="001A7A72"/>
    <w:rsid w:val="001A7AFA"/>
    <w:rsid w:val="001A7B17"/>
    <w:rsid w:val="001A7B1D"/>
    <w:rsid w:val="001A7BEF"/>
    <w:rsid w:val="001A7C01"/>
    <w:rsid w:val="001A7C7F"/>
    <w:rsid w:val="001A7CAF"/>
    <w:rsid w:val="001A7CEC"/>
    <w:rsid w:val="001A7D0B"/>
    <w:rsid w:val="001A7DCD"/>
    <w:rsid w:val="001A7E1D"/>
    <w:rsid w:val="001A7E63"/>
    <w:rsid w:val="001A7E7B"/>
    <w:rsid w:val="001A7F7F"/>
    <w:rsid w:val="001A7FB5"/>
    <w:rsid w:val="001B001C"/>
    <w:rsid w:val="001B005B"/>
    <w:rsid w:val="001B00FD"/>
    <w:rsid w:val="001B0189"/>
    <w:rsid w:val="001B01C5"/>
    <w:rsid w:val="001B023E"/>
    <w:rsid w:val="001B0262"/>
    <w:rsid w:val="001B0268"/>
    <w:rsid w:val="001B0308"/>
    <w:rsid w:val="001B0309"/>
    <w:rsid w:val="001B03BA"/>
    <w:rsid w:val="001B03D0"/>
    <w:rsid w:val="001B03F3"/>
    <w:rsid w:val="001B0475"/>
    <w:rsid w:val="001B04BA"/>
    <w:rsid w:val="001B04FC"/>
    <w:rsid w:val="001B0507"/>
    <w:rsid w:val="001B0548"/>
    <w:rsid w:val="001B0651"/>
    <w:rsid w:val="001B0780"/>
    <w:rsid w:val="001B07FE"/>
    <w:rsid w:val="001B081B"/>
    <w:rsid w:val="001B088B"/>
    <w:rsid w:val="001B0932"/>
    <w:rsid w:val="001B094E"/>
    <w:rsid w:val="001B09D5"/>
    <w:rsid w:val="001B0A6D"/>
    <w:rsid w:val="001B0B9D"/>
    <w:rsid w:val="001B0C09"/>
    <w:rsid w:val="001B0C3B"/>
    <w:rsid w:val="001B0C3F"/>
    <w:rsid w:val="001B0CA7"/>
    <w:rsid w:val="001B0CC7"/>
    <w:rsid w:val="001B0D99"/>
    <w:rsid w:val="001B0DF4"/>
    <w:rsid w:val="001B0E16"/>
    <w:rsid w:val="001B0E27"/>
    <w:rsid w:val="001B0E34"/>
    <w:rsid w:val="001B0E74"/>
    <w:rsid w:val="001B0E79"/>
    <w:rsid w:val="001B0E8A"/>
    <w:rsid w:val="001B0F3D"/>
    <w:rsid w:val="001B0F74"/>
    <w:rsid w:val="001B0FE1"/>
    <w:rsid w:val="001B100F"/>
    <w:rsid w:val="001B102C"/>
    <w:rsid w:val="001B1071"/>
    <w:rsid w:val="001B10A2"/>
    <w:rsid w:val="001B116F"/>
    <w:rsid w:val="001B1190"/>
    <w:rsid w:val="001B11A2"/>
    <w:rsid w:val="001B11CD"/>
    <w:rsid w:val="001B13B6"/>
    <w:rsid w:val="001B1405"/>
    <w:rsid w:val="001B150A"/>
    <w:rsid w:val="001B15B6"/>
    <w:rsid w:val="001B17A7"/>
    <w:rsid w:val="001B18B6"/>
    <w:rsid w:val="001B1916"/>
    <w:rsid w:val="001B1ADD"/>
    <w:rsid w:val="001B1B81"/>
    <w:rsid w:val="001B1B8F"/>
    <w:rsid w:val="001B1E1C"/>
    <w:rsid w:val="001B1EA1"/>
    <w:rsid w:val="001B1F06"/>
    <w:rsid w:val="001B1F31"/>
    <w:rsid w:val="001B1F50"/>
    <w:rsid w:val="001B2004"/>
    <w:rsid w:val="001B206F"/>
    <w:rsid w:val="001B20B9"/>
    <w:rsid w:val="001B212E"/>
    <w:rsid w:val="001B2252"/>
    <w:rsid w:val="001B22DD"/>
    <w:rsid w:val="001B2313"/>
    <w:rsid w:val="001B2381"/>
    <w:rsid w:val="001B239B"/>
    <w:rsid w:val="001B248B"/>
    <w:rsid w:val="001B24F8"/>
    <w:rsid w:val="001B2542"/>
    <w:rsid w:val="001B2551"/>
    <w:rsid w:val="001B2662"/>
    <w:rsid w:val="001B26E8"/>
    <w:rsid w:val="001B2912"/>
    <w:rsid w:val="001B292D"/>
    <w:rsid w:val="001B298A"/>
    <w:rsid w:val="001B2994"/>
    <w:rsid w:val="001B29DA"/>
    <w:rsid w:val="001B2A13"/>
    <w:rsid w:val="001B2A4E"/>
    <w:rsid w:val="001B2A6B"/>
    <w:rsid w:val="001B2AEA"/>
    <w:rsid w:val="001B2D3A"/>
    <w:rsid w:val="001B2E4F"/>
    <w:rsid w:val="001B2E67"/>
    <w:rsid w:val="001B2E78"/>
    <w:rsid w:val="001B2EA6"/>
    <w:rsid w:val="001B2F71"/>
    <w:rsid w:val="001B2F9B"/>
    <w:rsid w:val="001B3048"/>
    <w:rsid w:val="001B3063"/>
    <w:rsid w:val="001B309C"/>
    <w:rsid w:val="001B30D7"/>
    <w:rsid w:val="001B3103"/>
    <w:rsid w:val="001B31DF"/>
    <w:rsid w:val="001B3246"/>
    <w:rsid w:val="001B3273"/>
    <w:rsid w:val="001B33C8"/>
    <w:rsid w:val="001B33E2"/>
    <w:rsid w:val="001B352A"/>
    <w:rsid w:val="001B3559"/>
    <w:rsid w:val="001B355D"/>
    <w:rsid w:val="001B3577"/>
    <w:rsid w:val="001B3609"/>
    <w:rsid w:val="001B376A"/>
    <w:rsid w:val="001B382E"/>
    <w:rsid w:val="001B390D"/>
    <w:rsid w:val="001B398B"/>
    <w:rsid w:val="001B3A30"/>
    <w:rsid w:val="001B3A38"/>
    <w:rsid w:val="001B3A87"/>
    <w:rsid w:val="001B3B2C"/>
    <w:rsid w:val="001B3BCB"/>
    <w:rsid w:val="001B3D16"/>
    <w:rsid w:val="001B3D64"/>
    <w:rsid w:val="001B3DF7"/>
    <w:rsid w:val="001B3E1A"/>
    <w:rsid w:val="001B3E3D"/>
    <w:rsid w:val="001B3E7C"/>
    <w:rsid w:val="001B3ECC"/>
    <w:rsid w:val="001B3F38"/>
    <w:rsid w:val="001B4021"/>
    <w:rsid w:val="001B40B8"/>
    <w:rsid w:val="001B41ED"/>
    <w:rsid w:val="001B4265"/>
    <w:rsid w:val="001B427A"/>
    <w:rsid w:val="001B428C"/>
    <w:rsid w:val="001B42C4"/>
    <w:rsid w:val="001B4490"/>
    <w:rsid w:val="001B44F2"/>
    <w:rsid w:val="001B456C"/>
    <w:rsid w:val="001B4597"/>
    <w:rsid w:val="001B45C3"/>
    <w:rsid w:val="001B45E7"/>
    <w:rsid w:val="001B4621"/>
    <w:rsid w:val="001B4627"/>
    <w:rsid w:val="001B4661"/>
    <w:rsid w:val="001B468D"/>
    <w:rsid w:val="001B4693"/>
    <w:rsid w:val="001B4801"/>
    <w:rsid w:val="001B4838"/>
    <w:rsid w:val="001B4858"/>
    <w:rsid w:val="001B49A6"/>
    <w:rsid w:val="001B49C6"/>
    <w:rsid w:val="001B4A7C"/>
    <w:rsid w:val="001B4AD6"/>
    <w:rsid w:val="001B4DAD"/>
    <w:rsid w:val="001B4DD4"/>
    <w:rsid w:val="001B4DD6"/>
    <w:rsid w:val="001B4E53"/>
    <w:rsid w:val="001B4E88"/>
    <w:rsid w:val="001B4EFD"/>
    <w:rsid w:val="001B4F53"/>
    <w:rsid w:val="001B50EE"/>
    <w:rsid w:val="001B5116"/>
    <w:rsid w:val="001B51B8"/>
    <w:rsid w:val="001B5246"/>
    <w:rsid w:val="001B555E"/>
    <w:rsid w:val="001B55A4"/>
    <w:rsid w:val="001B55D6"/>
    <w:rsid w:val="001B565E"/>
    <w:rsid w:val="001B566A"/>
    <w:rsid w:val="001B5688"/>
    <w:rsid w:val="001B56A1"/>
    <w:rsid w:val="001B579D"/>
    <w:rsid w:val="001B5811"/>
    <w:rsid w:val="001B582F"/>
    <w:rsid w:val="001B588C"/>
    <w:rsid w:val="001B590D"/>
    <w:rsid w:val="001B5961"/>
    <w:rsid w:val="001B59C5"/>
    <w:rsid w:val="001B5A04"/>
    <w:rsid w:val="001B5AC5"/>
    <w:rsid w:val="001B5C25"/>
    <w:rsid w:val="001B5CFE"/>
    <w:rsid w:val="001B5D0A"/>
    <w:rsid w:val="001B5E3A"/>
    <w:rsid w:val="001B5E9D"/>
    <w:rsid w:val="001B5EDA"/>
    <w:rsid w:val="001B5EE6"/>
    <w:rsid w:val="001B5F27"/>
    <w:rsid w:val="001B5F8C"/>
    <w:rsid w:val="001B6017"/>
    <w:rsid w:val="001B60C0"/>
    <w:rsid w:val="001B60C1"/>
    <w:rsid w:val="001B60DD"/>
    <w:rsid w:val="001B60EE"/>
    <w:rsid w:val="001B612C"/>
    <w:rsid w:val="001B61A0"/>
    <w:rsid w:val="001B625C"/>
    <w:rsid w:val="001B626F"/>
    <w:rsid w:val="001B6323"/>
    <w:rsid w:val="001B6361"/>
    <w:rsid w:val="001B63E2"/>
    <w:rsid w:val="001B6523"/>
    <w:rsid w:val="001B6534"/>
    <w:rsid w:val="001B658D"/>
    <w:rsid w:val="001B65D6"/>
    <w:rsid w:val="001B67EF"/>
    <w:rsid w:val="001B694A"/>
    <w:rsid w:val="001B695A"/>
    <w:rsid w:val="001B69F4"/>
    <w:rsid w:val="001B6AED"/>
    <w:rsid w:val="001B6B10"/>
    <w:rsid w:val="001B6B6C"/>
    <w:rsid w:val="001B6C02"/>
    <w:rsid w:val="001B6C3A"/>
    <w:rsid w:val="001B6C6A"/>
    <w:rsid w:val="001B6C72"/>
    <w:rsid w:val="001B6CD6"/>
    <w:rsid w:val="001B6E07"/>
    <w:rsid w:val="001B6ED0"/>
    <w:rsid w:val="001B6F01"/>
    <w:rsid w:val="001B6F5E"/>
    <w:rsid w:val="001B7026"/>
    <w:rsid w:val="001B70F7"/>
    <w:rsid w:val="001B71AE"/>
    <w:rsid w:val="001B72AB"/>
    <w:rsid w:val="001B7366"/>
    <w:rsid w:val="001B73E2"/>
    <w:rsid w:val="001B744D"/>
    <w:rsid w:val="001B7457"/>
    <w:rsid w:val="001B745C"/>
    <w:rsid w:val="001B747D"/>
    <w:rsid w:val="001B75F8"/>
    <w:rsid w:val="001B7626"/>
    <w:rsid w:val="001B7635"/>
    <w:rsid w:val="001B7684"/>
    <w:rsid w:val="001B771F"/>
    <w:rsid w:val="001B773A"/>
    <w:rsid w:val="001B773D"/>
    <w:rsid w:val="001B77C8"/>
    <w:rsid w:val="001B7884"/>
    <w:rsid w:val="001B78D8"/>
    <w:rsid w:val="001B794E"/>
    <w:rsid w:val="001B7AF1"/>
    <w:rsid w:val="001B7B3A"/>
    <w:rsid w:val="001B7CBE"/>
    <w:rsid w:val="001B7CEE"/>
    <w:rsid w:val="001B7D0B"/>
    <w:rsid w:val="001B7E9B"/>
    <w:rsid w:val="001B7F72"/>
    <w:rsid w:val="001B7FBA"/>
    <w:rsid w:val="001B7FE6"/>
    <w:rsid w:val="001C000B"/>
    <w:rsid w:val="001C00C6"/>
    <w:rsid w:val="001C00DA"/>
    <w:rsid w:val="001C01A8"/>
    <w:rsid w:val="001C01C7"/>
    <w:rsid w:val="001C02EF"/>
    <w:rsid w:val="001C034A"/>
    <w:rsid w:val="001C0353"/>
    <w:rsid w:val="001C04A4"/>
    <w:rsid w:val="001C0515"/>
    <w:rsid w:val="001C0680"/>
    <w:rsid w:val="001C0698"/>
    <w:rsid w:val="001C0755"/>
    <w:rsid w:val="001C07B1"/>
    <w:rsid w:val="001C07F2"/>
    <w:rsid w:val="001C0836"/>
    <w:rsid w:val="001C0922"/>
    <w:rsid w:val="001C0AD0"/>
    <w:rsid w:val="001C0AF8"/>
    <w:rsid w:val="001C0B04"/>
    <w:rsid w:val="001C0B93"/>
    <w:rsid w:val="001C0CC2"/>
    <w:rsid w:val="001C0DDE"/>
    <w:rsid w:val="001C0DF5"/>
    <w:rsid w:val="001C0EC7"/>
    <w:rsid w:val="001C0F11"/>
    <w:rsid w:val="001C0F35"/>
    <w:rsid w:val="001C0F5A"/>
    <w:rsid w:val="001C0FA7"/>
    <w:rsid w:val="001C106B"/>
    <w:rsid w:val="001C10BB"/>
    <w:rsid w:val="001C10D0"/>
    <w:rsid w:val="001C113D"/>
    <w:rsid w:val="001C11C2"/>
    <w:rsid w:val="001C1211"/>
    <w:rsid w:val="001C1224"/>
    <w:rsid w:val="001C123F"/>
    <w:rsid w:val="001C1332"/>
    <w:rsid w:val="001C1515"/>
    <w:rsid w:val="001C15C0"/>
    <w:rsid w:val="001C15D2"/>
    <w:rsid w:val="001C1633"/>
    <w:rsid w:val="001C1668"/>
    <w:rsid w:val="001C1739"/>
    <w:rsid w:val="001C1766"/>
    <w:rsid w:val="001C17A5"/>
    <w:rsid w:val="001C1819"/>
    <w:rsid w:val="001C1920"/>
    <w:rsid w:val="001C1975"/>
    <w:rsid w:val="001C19EC"/>
    <w:rsid w:val="001C1A23"/>
    <w:rsid w:val="001C1B0B"/>
    <w:rsid w:val="001C1BB1"/>
    <w:rsid w:val="001C1C70"/>
    <w:rsid w:val="001C1C9B"/>
    <w:rsid w:val="001C1D1E"/>
    <w:rsid w:val="001C1DE8"/>
    <w:rsid w:val="001C1E63"/>
    <w:rsid w:val="001C1F53"/>
    <w:rsid w:val="001C1F6F"/>
    <w:rsid w:val="001C1F86"/>
    <w:rsid w:val="001C1FCD"/>
    <w:rsid w:val="001C1FDF"/>
    <w:rsid w:val="001C200A"/>
    <w:rsid w:val="001C208F"/>
    <w:rsid w:val="001C20F4"/>
    <w:rsid w:val="001C2123"/>
    <w:rsid w:val="001C2126"/>
    <w:rsid w:val="001C212C"/>
    <w:rsid w:val="001C21A1"/>
    <w:rsid w:val="001C225D"/>
    <w:rsid w:val="001C2266"/>
    <w:rsid w:val="001C22CE"/>
    <w:rsid w:val="001C238F"/>
    <w:rsid w:val="001C241D"/>
    <w:rsid w:val="001C245F"/>
    <w:rsid w:val="001C248A"/>
    <w:rsid w:val="001C251A"/>
    <w:rsid w:val="001C25E5"/>
    <w:rsid w:val="001C2603"/>
    <w:rsid w:val="001C2686"/>
    <w:rsid w:val="001C269C"/>
    <w:rsid w:val="001C26B3"/>
    <w:rsid w:val="001C271B"/>
    <w:rsid w:val="001C274B"/>
    <w:rsid w:val="001C27BD"/>
    <w:rsid w:val="001C27C1"/>
    <w:rsid w:val="001C2805"/>
    <w:rsid w:val="001C282A"/>
    <w:rsid w:val="001C285C"/>
    <w:rsid w:val="001C2948"/>
    <w:rsid w:val="001C2965"/>
    <w:rsid w:val="001C29BA"/>
    <w:rsid w:val="001C2C80"/>
    <w:rsid w:val="001C2CF4"/>
    <w:rsid w:val="001C2E93"/>
    <w:rsid w:val="001C2F18"/>
    <w:rsid w:val="001C2F91"/>
    <w:rsid w:val="001C303D"/>
    <w:rsid w:val="001C31C2"/>
    <w:rsid w:val="001C31D0"/>
    <w:rsid w:val="001C321A"/>
    <w:rsid w:val="001C3275"/>
    <w:rsid w:val="001C3301"/>
    <w:rsid w:val="001C3472"/>
    <w:rsid w:val="001C3568"/>
    <w:rsid w:val="001C3694"/>
    <w:rsid w:val="001C36B1"/>
    <w:rsid w:val="001C3784"/>
    <w:rsid w:val="001C38A7"/>
    <w:rsid w:val="001C3A2B"/>
    <w:rsid w:val="001C3A5C"/>
    <w:rsid w:val="001C3A95"/>
    <w:rsid w:val="001C3B33"/>
    <w:rsid w:val="001C3BC7"/>
    <w:rsid w:val="001C3C04"/>
    <w:rsid w:val="001C3C07"/>
    <w:rsid w:val="001C3CBE"/>
    <w:rsid w:val="001C3CED"/>
    <w:rsid w:val="001C3D2A"/>
    <w:rsid w:val="001C3D42"/>
    <w:rsid w:val="001C3E03"/>
    <w:rsid w:val="001C3E10"/>
    <w:rsid w:val="001C3EFB"/>
    <w:rsid w:val="001C3F39"/>
    <w:rsid w:val="001C3FE5"/>
    <w:rsid w:val="001C400D"/>
    <w:rsid w:val="001C4090"/>
    <w:rsid w:val="001C40A6"/>
    <w:rsid w:val="001C40CB"/>
    <w:rsid w:val="001C4160"/>
    <w:rsid w:val="001C41B4"/>
    <w:rsid w:val="001C4200"/>
    <w:rsid w:val="001C427C"/>
    <w:rsid w:val="001C427E"/>
    <w:rsid w:val="001C4283"/>
    <w:rsid w:val="001C43BB"/>
    <w:rsid w:val="001C456C"/>
    <w:rsid w:val="001C4593"/>
    <w:rsid w:val="001C45E9"/>
    <w:rsid w:val="001C4618"/>
    <w:rsid w:val="001C4626"/>
    <w:rsid w:val="001C4678"/>
    <w:rsid w:val="001C469F"/>
    <w:rsid w:val="001C47F4"/>
    <w:rsid w:val="001C4950"/>
    <w:rsid w:val="001C4A47"/>
    <w:rsid w:val="001C4A4F"/>
    <w:rsid w:val="001C4A8B"/>
    <w:rsid w:val="001C4BBC"/>
    <w:rsid w:val="001C4BE0"/>
    <w:rsid w:val="001C4C4E"/>
    <w:rsid w:val="001C4D3E"/>
    <w:rsid w:val="001C4D61"/>
    <w:rsid w:val="001C4DA5"/>
    <w:rsid w:val="001C4F1E"/>
    <w:rsid w:val="001C4FC2"/>
    <w:rsid w:val="001C4FE8"/>
    <w:rsid w:val="001C5081"/>
    <w:rsid w:val="001C5099"/>
    <w:rsid w:val="001C50BA"/>
    <w:rsid w:val="001C50D2"/>
    <w:rsid w:val="001C510E"/>
    <w:rsid w:val="001C5139"/>
    <w:rsid w:val="001C5167"/>
    <w:rsid w:val="001C5173"/>
    <w:rsid w:val="001C5175"/>
    <w:rsid w:val="001C524A"/>
    <w:rsid w:val="001C536A"/>
    <w:rsid w:val="001C53C1"/>
    <w:rsid w:val="001C5422"/>
    <w:rsid w:val="001C5435"/>
    <w:rsid w:val="001C54DA"/>
    <w:rsid w:val="001C554C"/>
    <w:rsid w:val="001C5569"/>
    <w:rsid w:val="001C55EC"/>
    <w:rsid w:val="001C5606"/>
    <w:rsid w:val="001C5689"/>
    <w:rsid w:val="001C56A5"/>
    <w:rsid w:val="001C56CF"/>
    <w:rsid w:val="001C57B8"/>
    <w:rsid w:val="001C57E8"/>
    <w:rsid w:val="001C5899"/>
    <w:rsid w:val="001C5A65"/>
    <w:rsid w:val="001C5BA1"/>
    <w:rsid w:val="001C5BBE"/>
    <w:rsid w:val="001C5C15"/>
    <w:rsid w:val="001C5C32"/>
    <w:rsid w:val="001C5C3F"/>
    <w:rsid w:val="001C5C56"/>
    <w:rsid w:val="001C5DE7"/>
    <w:rsid w:val="001C5E39"/>
    <w:rsid w:val="001C5E78"/>
    <w:rsid w:val="001C5E90"/>
    <w:rsid w:val="001C5EF5"/>
    <w:rsid w:val="001C5F13"/>
    <w:rsid w:val="001C5F65"/>
    <w:rsid w:val="001C5F85"/>
    <w:rsid w:val="001C6007"/>
    <w:rsid w:val="001C6017"/>
    <w:rsid w:val="001C6368"/>
    <w:rsid w:val="001C6451"/>
    <w:rsid w:val="001C6456"/>
    <w:rsid w:val="001C64F6"/>
    <w:rsid w:val="001C6730"/>
    <w:rsid w:val="001C67C8"/>
    <w:rsid w:val="001C67D0"/>
    <w:rsid w:val="001C683F"/>
    <w:rsid w:val="001C688D"/>
    <w:rsid w:val="001C68C1"/>
    <w:rsid w:val="001C69B6"/>
    <w:rsid w:val="001C6A2D"/>
    <w:rsid w:val="001C6A9F"/>
    <w:rsid w:val="001C6B3E"/>
    <w:rsid w:val="001C6B82"/>
    <w:rsid w:val="001C6B87"/>
    <w:rsid w:val="001C6BAA"/>
    <w:rsid w:val="001C6BB2"/>
    <w:rsid w:val="001C6C3C"/>
    <w:rsid w:val="001C6CE9"/>
    <w:rsid w:val="001C6EB5"/>
    <w:rsid w:val="001C6EE5"/>
    <w:rsid w:val="001C6F7A"/>
    <w:rsid w:val="001C6F9D"/>
    <w:rsid w:val="001C7031"/>
    <w:rsid w:val="001C7184"/>
    <w:rsid w:val="001C71A6"/>
    <w:rsid w:val="001C71D5"/>
    <w:rsid w:val="001C71EE"/>
    <w:rsid w:val="001C7217"/>
    <w:rsid w:val="001C729E"/>
    <w:rsid w:val="001C72E0"/>
    <w:rsid w:val="001C7312"/>
    <w:rsid w:val="001C742C"/>
    <w:rsid w:val="001C7432"/>
    <w:rsid w:val="001C7493"/>
    <w:rsid w:val="001C75C9"/>
    <w:rsid w:val="001C75FE"/>
    <w:rsid w:val="001C760F"/>
    <w:rsid w:val="001C76C0"/>
    <w:rsid w:val="001C7720"/>
    <w:rsid w:val="001C7756"/>
    <w:rsid w:val="001C7786"/>
    <w:rsid w:val="001C7904"/>
    <w:rsid w:val="001C7913"/>
    <w:rsid w:val="001C79EB"/>
    <w:rsid w:val="001C7A1E"/>
    <w:rsid w:val="001C7AE6"/>
    <w:rsid w:val="001C7B38"/>
    <w:rsid w:val="001C7B5F"/>
    <w:rsid w:val="001C7C8D"/>
    <w:rsid w:val="001C7CFA"/>
    <w:rsid w:val="001C7D9F"/>
    <w:rsid w:val="001C7DC0"/>
    <w:rsid w:val="001C7E38"/>
    <w:rsid w:val="001C7EB1"/>
    <w:rsid w:val="001C7F51"/>
    <w:rsid w:val="001C7F74"/>
    <w:rsid w:val="001C7FEE"/>
    <w:rsid w:val="001D000D"/>
    <w:rsid w:val="001D01A1"/>
    <w:rsid w:val="001D0335"/>
    <w:rsid w:val="001D03B7"/>
    <w:rsid w:val="001D050C"/>
    <w:rsid w:val="001D0591"/>
    <w:rsid w:val="001D05A8"/>
    <w:rsid w:val="001D05C9"/>
    <w:rsid w:val="001D05E1"/>
    <w:rsid w:val="001D05F7"/>
    <w:rsid w:val="001D0643"/>
    <w:rsid w:val="001D0704"/>
    <w:rsid w:val="001D072C"/>
    <w:rsid w:val="001D076C"/>
    <w:rsid w:val="001D078E"/>
    <w:rsid w:val="001D07A3"/>
    <w:rsid w:val="001D07A5"/>
    <w:rsid w:val="001D07A9"/>
    <w:rsid w:val="001D07AF"/>
    <w:rsid w:val="001D07D4"/>
    <w:rsid w:val="001D0845"/>
    <w:rsid w:val="001D094D"/>
    <w:rsid w:val="001D0988"/>
    <w:rsid w:val="001D0A2A"/>
    <w:rsid w:val="001D0AFF"/>
    <w:rsid w:val="001D0B90"/>
    <w:rsid w:val="001D0C3C"/>
    <w:rsid w:val="001D0C66"/>
    <w:rsid w:val="001D0E0C"/>
    <w:rsid w:val="001D0EBD"/>
    <w:rsid w:val="001D0F9B"/>
    <w:rsid w:val="001D1091"/>
    <w:rsid w:val="001D109B"/>
    <w:rsid w:val="001D111F"/>
    <w:rsid w:val="001D112E"/>
    <w:rsid w:val="001D118D"/>
    <w:rsid w:val="001D134F"/>
    <w:rsid w:val="001D1421"/>
    <w:rsid w:val="001D143D"/>
    <w:rsid w:val="001D148C"/>
    <w:rsid w:val="001D1829"/>
    <w:rsid w:val="001D1B9B"/>
    <w:rsid w:val="001D1BAA"/>
    <w:rsid w:val="001D1CAF"/>
    <w:rsid w:val="001D1CB7"/>
    <w:rsid w:val="001D1D92"/>
    <w:rsid w:val="001D1E7A"/>
    <w:rsid w:val="001D1F5B"/>
    <w:rsid w:val="001D207F"/>
    <w:rsid w:val="001D20F8"/>
    <w:rsid w:val="001D2112"/>
    <w:rsid w:val="001D2152"/>
    <w:rsid w:val="001D2216"/>
    <w:rsid w:val="001D235A"/>
    <w:rsid w:val="001D24E3"/>
    <w:rsid w:val="001D261D"/>
    <w:rsid w:val="001D26D9"/>
    <w:rsid w:val="001D2733"/>
    <w:rsid w:val="001D27E8"/>
    <w:rsid w:val="001D28B5"/>
    <w:rsid w:val="001D2A86"/>
    <w:rsid w:val="001D2AD8"/>
    <w:rsid w:val="001D2B01"/>
    <w:rsid w:val="001D2D93"/>
    <w:rsid w:val="001D2E2C"/>
    <w:rsid w:val="001D2EF8"/>
    <w:rsid w:val="001D2F6D"/>
    <w:rsid w:val="001D2FA6"/>
    <w:rsid w:val="001D311E"/>
    <w:rsid w:val="001D3259"/>
    <w:rsid w:val="001D3372"/>
    <w:rsid w:val="001D33D6"/>
    <w:rsid w:val="001D3427"/>
    <w:rsid w:val="001D3473"/>
    <w:rsid w:val="001D3489"/>
    <w:rsid w:val="001D3495"/>
    <w:rsid w:val="001D34B4"/>
    <w:rsid w:val="001D34C7"/>
    <w:rsid w:val="001D34CC"/>
    <w:rsid w:val="001D354F"/>
    <w:rsid w:val="001D35D7"/>
    <w:rsid w:val="001D35F7"/>
    <w:rsid w:val="001D3669"/>
    <w:rsid w:val="001D36C1"/>
    <w:rsid w:val="001D36E0"/>
    <w:rsid w:val="001D36E2"/>
    <w:rsid w:val="001D3744"/>
    <w:rsid w:val="001D378A"/>
    <w:rsid w:val="001D37CD"/>
    <w:rsid w:val="001D37EE"/>
    <w:rsid w:val="001D3802"/>
    <w:rsid w:val="001D3829"/>
    <w:rsid w:val="001D392B"/>
    <w:rsid w:val="001D39C2"/>
    <w:rsid w:val="001D3AAE"/>
    <w:rsid w:val="001D3AF7"/>
    <w:rsid w:val="001D3B22"/>
    <w:rsid w:val="001D3B35"/>
    <w:rsid w:val="001D3CA7"/>
    <w:rsid w:val="001D3DF5"/>
    <w:rsid w:val="001D3E1F"/>
    <w:rsid w:val="001D3E23"/>
    <w:rsid w:val="001D3EBE"/>
    <w:rsid w:val="001D3F5E"/>
    <w:rsid w:val="001D3F61"/>
    <w:rsid w:val="001D40B5"/>
    <w:rsid w:val="001D4167"/>
    <w:rsid w:val="001D4187"/>
    <w:rsid w:val="001D41D6"/>
    <w:rsid w:val="001D426C"/>
    <w:rsid w:val="001D4405"/>
    <w:rsid w:val="001D4406"/>
    <w:rsid w:val="001D44F7"/>
    <w:rsid w:val="001D458A"/>
    <w:rsid w:val="001D460C"/>
    <w:rsid w:val="001D4727"/>
    <w:rsid w:val="001D4928"/>
    <w:rsid w:val="001D49AB"/>
    <w:rsid w:val="001D49C2"/>
    <w:rsid w:val="001D49C6"/>
    <w:rsid w:val="001D49DC"/>
    <w:rsid w:val="001D4A39"/>
    <w:rsid w:val="001D4A43"/>
    <w:rsid w:val="001D4A83"/>
    <w:rsid w:val="001D4A96"/>
    <w:rsid w:val="001D4B97"/>
    <w:rsid w:val="001D4BCC"/>
    <w:rsid w:val="001D4C28"/>
    <w:rsid w:val="001D4E0E"/>
    <w:rsid w:val="001D4E13"/>
    <w:rsid w:val="001D4E40"/>
    <w:rsid w:val="001D4E8C"/>
    <w:rsid w:val="001D503C"/>
    <w:rsid w:val="001D507F"/>
    <w:rsid w:val="001D5183"/>
    <w:rsid w:val="001D540D"/>
    <w:rsid w:val="001D55DA"/>
    <w:rsid w:val="001D5718"/>
    <w:rsid w:val="001D5844"/>
    <w:rsid w:val="001D58C6"/>
    <w:rsid w:val="001D5A9C"/>
    <w:rsid w:val="001D5ADD"/>
    <w:rsid w:val="001D5B72"/>
    <w:rsid w:val="001D5B77"/>
    <w:rsid w:val="001D5C4D"/>
    <w:rsid w:val="001D5C55"/>
    <w:rsid w:val="001D5C61"/>
    <w:rsid w:val="001D5C85"/>
    <w:rsid w:val="001D5D53"/>
    <w:rsid w:val="001D5D77"/>
    <w:rsid w:val="001D5E04"/>
    <w:rsid w:val="001D5EA9"/>
    <w:rsid w:val="001D5F26"/>
    <w:rsid w:val="001D5F6B"/>
    <w:rsid w:val="001D5FB0"/>
    <w:rsid w:val="001D6173"/>
    <w:rsid w:val="001D62F3"/>
    <w:rsid w:val="001D62F5"/>
    <w:rsid w:val="001D632E"/>
    <w:rsid w:val="001D637C"/>
    <w:rsid w:val="001D63F9"/>
    <w:rsid w:val="001D64F8"/>
    <w:rsid w:val="001D659A"/>
    <w:rsid w:val="001D65C4"/>
    <w:rsid w:val="001D65F1"/>
    <w:rsid w:val="001D6676"/>
    <w:rsid w:val="001D671B"/>
    <w:rsid w:val="001D6793"/>
    <w:rsid w:val="001D67C3"/>
    <w:rsid w:val="001D682E"/>
    <w:rsid w:val="001D682F"/>
    <w:rsid w:val="001D6B92"/>
    <w:rsid w:val="001D6B93"/>
    <w:rsid w:val="001D6BDD"/>
    <w:rsid w:val="001D6C99"/>
    <w:rsid w:val="001D6D20"/>
    <w:rsid w:val="001D6D58"/>
    <w:rsid w:val="001D7035"/>
    <w:rsid w:val="001D7069"/>
    <w:rsid w:val="001D70F6"/>
    <w:rsid w:val="001D7141"/>
    <w:rsid w:val="001D722A"/>
    <w:rsid w:val="001D7338"/>
    <w:rsid w:val="001D742D"/>
    <w:rsid w:val="001D7433"/>
    <w:rsid w:val="001D7459"/>
    <w:rsid w:val="001D7722"/>
    <w:rsid w:val="001D7742"/>
    <w:rsid w:val="001D7759"/>
    <w:rsid w:val="001D77A9"/>
    <w:rsid w:val="001D783A"/>
    <w:rsid w:val="001D7A4C"/>
    <w:rsid w:val="001D7A73"/>
    <w:rsid w:val="001D7A8C"/>
    <w:rsid w:val="001D7B7B"/>
    <w:rsid w:val="001D7BE9"/>
    <w:rsid w:val="001D7BFF"/>
    <w:rsid w:val="001D7C4D"/>
    <w:rsid w:val="001D7C61"/>
    <w:rsid w:val="001D7C6D"/>
    <w:rsid w:val="001D7C7A"/>
    <w:rsid w:val="001D7CC4"/>
    <w:rsid w:val="001D7D57"/>
    <w:rsid w:val="001D7E0F"/>
    <w:rsid w:val="001E0054"/>
    <w:rsid w:val="001E00A8"/>
    <w:rsid w:val="001E0237"/>
    <w:rsid w:val="001E0263"/>
    <w:rsid w:val="001E02C1"/>
    <w:rsid w:val="001E02C4"/>
    <w:rsid w:val="001E02CE"/>
    <w:rsid w:val="001E0565"/>
    <w:rsid w:val="001E05A1"/>
    <w:rsid w:val="001E05BD"/>
    <w:rsid w:val="001E05BF"/>
    <w:rsid w:val="001E05D9"/>
    <w:rsid w:val="001E07D2"/>
    <w:rsid w:val="001E08EC"/>
    <w:rsid w:val="001E0A01"/>
    <w:rsid w:val="001E0A26"/>
    <w:rsid w:val="001E0AC1"/>
    <w:rsid w:val="001E0B83"/>
    <w:rsid w:val="001E0B9F"/>
    <w:rsid w:val="001E0BED"/>
    <w:rsid w:val="001E0C1B"/>
    <w:rsid w:val="001E0C82"/>
    <w:rsid w:val="001E0CB5"/>
    <w:rsid w:val="001E0E97"/>
    <w:rsid w:val="001E0F8E"/>
    <w:rsid w:val="001E0F99"/>
    <w:rsid w:val="001E1054"/>
    <w:rsid w:val="001E10D1"/>
    <w:rsid w:val="001E112E"/>
    <w:rsid w:val="001E11FE"/>
    <w:rsid w:val="001E12ED"/>
    <w:rsid w:val="001E144C"/>
    <w:rsid w:val="001E1489"/>
    <w:rsid w:val="001E15B2"/>
    <w:rsid w:val="001E15D7"/>
    <w:rsid w:val="001E15DC"/>
    <w:rsid w:val="001E1694"/>
    <w:rsid w:val="001E1818"/>
    <w:rsid w:val="001E1985"/>
    <w:rsid w:val="001E1A78"/>
    <w:rsid w:val="001E1B1E"/>
    <w:rsid w:val="001E1BCD"/>
    <w:rsid w:val="001E1BF2"/>
    <w:rsid w:val="001E1C13"/>
    <w:rsid w:val="001E1ECE"/>
    <w:rsid w:val="001E1F7D"/>
    <w:rsid w:val="001E1FFE"/>
    <w:rsid w:val="001E2099"/>
    <w:rsid w:val="001E20AD"/>
    <w:rsid w:val="001E2143"/>
    <w:rsid w:val="001E226A"/>
    <w:rsid w:val="001E2277"/>
    <w:rsid w:val="001E227A"/>
    <w:rsid w:val="001E22CF"/>
    <w:rsid w:val="001E22EF"/>
    <w:rsid w:val="001E2316"/>
    <w:rsid w:val="001E235E"/>
    <w:rsid w:val="001E2485"/>
    <w:rsid w:val="001E25BF"/>
    <w:rsid w:val="001E2696"/>
    <w:rsid w:val="001E28BF"/>
    <w:rsid w:val="001E28ED"/>
    <w:rsid w:val="001E29B7"/>
    <w:rsid w:val="001E2A6F"/>
    <w:rsid w:val="001E2B61"/>
    <w:rsid w:val="001E2C59"/>
    <w:rsid w:val="001E2CE2"/>
    <w:rsid w:val="001E2D70"/>
    <w:rsid w:val="001E2DA5"/>
    <w:rsid w:val="001E2F70"/>
    <w:rsid w:val="001E2F90"/>
    <w:rsid w:val="001E3046"/>
    <w:rsid w:val="001E3066"/>
    <w:rsid w:val="001E30A6"/>
    <w:rsid w:val="001E32FD"/>
    <w:rsid w:val="001E330F"/>
    <w:rsid w:val="001E3340"/>
    <w:rsid w:val="001E33BD"/>
    <w:rsid w:val="001E33E6"/>
    <w:rsid w:val="001E3416"/>
    <w:rsid w:val="001E342A"/>
    <w:rsid w:val="001E3508"/>
    <w:rsid w:val="001E3603"/>
    <w:rsid w:val="001E3645"/>
    <w:rsid w:val="001E3649"/>
    <w:rsid w:val="001E3708"/>
    <w:rsid w:val="001E3721"/>
    <w:rsid w:val="001E37DE"/>
    <w:rsid w:val="001E3820"/>
    <w:rsid w:val="001E3A1A"/>
    <w:rsid w:val="001E3A39"/>
    <w:rsid w:val="001E3A86"/>
    <w:rsid w:val="001E3AE1"/>
    <w:rsid w:val="001E3B14"/>
    <w:rsid w:val="001E3B4A"/>
    <w:rsid w:val="001E3B57"/>
    <w:rsid w:val="001E3C75"/>
    <w:rsid w:val="001E3CC5"/>
    <w:rsid w:val="001E3CE5"/>
    <w:rsid w:val="001E3D02"/>
    <w:rsid w:val="001E3DDB"/>
    <w:rsid w:val="001E3DED"/>
    <w:rsid w:val="001E3E72"/>
    <w:rsid w:val="001E3F05"/>
    <w:rsid w:val="001E3F6B"/>
    <w:rsid w:val="001E3F84"/>
    <w:rsid w:val="001E3FCD"/>
    <w:rsid w:val="001E407E"/>
    <w:rsid w:val="001E40A2"/>
    <w:rsid w:val="001E413A"/>
    <w:rsid w:val="001E41B2"/>
    <w:rsid w:val="001E4207"/>
    <w:rsid w:val="001E432A"/>
    <w:rsid w:val="001E433C"/>
    <w:rsid w:val="001E43CE"/>
    <w:rsid w:val="001E4415"/>
    <w:rsid w:val="001E44F7"/>
    <w:rsid w:val="001E45C9"/>
    <w:rsid w:val="001E46A5"/>
    <w:rsid w:val="001E46A9"/>
    <w:rsid w:val="001E46DF"/>
    <w:rsid w:val="001E4779"/>
    <w:rsid w:val="001E47D8"/>
    <w:rsid w:val="001E47FC"/>
    <w:rsid w:val="001E486E"/>
    <w:rsid w:val="001E489D"/>
    <w:rsid w:val="001E48C7"/>
    <w:rsid w:val="001E492B"/>
    <w:rsid w:val="001E496A"/>
    <w:rsid w:val="001E4B74"/>
    <w:rsid w:val="001E4BEC"/>
    <w:rsid w:val="001E4C24"/>
    <w:rsid w:val="001E4CB3"/>
    <w:rsid w:val="001E4CF0"/>
    <w:rsid w:val="001E4D97"/>
    <w:rsid w:val="001E4DCD"/>
    <w:rsid w:val="001E4E03"/>
    <w:rsid w:val="001E4E52"/>
    <w:rsid w:val="001E4F14"/>
    <w:rsid w:val="001E4FA5"/>
    <w:rsid w:val="001E4FD4"/>
    <w:rsid w:val="001E4FD7"/>
    <w:rsid w:val="001E4FFA"/>
    <w:rsid w:val="001E4FFE"/>
    <w:rsid w:val="001E503E"/>
    <w:rsid w:val="001E504F"/>
    <w:rsid w:val="001E53E9"/>
    <w:rsid w:val="001E53EC"/>
    <w:rsid w:val="001E5458"/>
    <w:rsid w:val="001E5484"/>
    <w:rsid w:val="001E548F"/>
    <w:rsid w:val="001E54A1"/>
    <w:rsid w:val="001E5542"/>
    <w:rsid w:val="001E5545"/>
    <w:rsid w:val="001E5553"/>
    <w:rsid w:val="001E55A4"/>
    <w:rsid w:val="001E5623"/>
    <w:rsid w:val="001E566F"/>
    <w:rsid w:val="001E5687"/>
    <w:rsid w:val="001E56F8"/>
    <w:rsid w:val="001E5764"/>
    <w:rsid w:val="001E58C6"/>
    <w:rsid w:val="001E5985"/>
    <w:rsid w:val="001E5A67"/>
    <w:rsid w:val="001E5A6F"/>
    <w:rsid w:val="001E5A9B"/>
    <w:rsid w:val="001E5ACA"/>
    <w:rsid w:val="001E5BC7"/>
    <w:rsid w:val="001E5C05"/>
    <w:rsid w:val="001E5C12"/>
    <w:rsid w:val="001E5C7E"/>
    <w:rsid w:val="001E5C8C"/>
    <w:rsid w:val="001E5C95"/>
    <w:rsid w:val="001E5CDB"/>
    <w:rsid w:val="001E5D20"/>
    <w:rsid w:val="001E5D8F"/>
    <w:rsid w:val="001E5DFF"/>
    <w:rsid w:val="001E5E2B"/>
    <w:rsid w:val="001E5E4B"/>
    <w:rsid w:val="001E5EFF"/>
    <w:rsid w:val="001E5F01"/>
    <w:rsid w:val="001E5F9C"/>
    <w:rsid w:val="001E6039"/>
    <w:rsid w:val="001E60AD"/>
    <w:rsid w:val="001E611B"/>
    <w:rsid w:val="001E613D"/>
    <w:rsid w:val="001E61AD"/>
    <w:rsid w:val="001E61D7"/>
    <w:rsid w:val="001E6311"/>
    <w:rsid w:val="001E6406"/>
    <w:rsid w:val="001E6434"/>
    <w:rsid w:val="001E6659"/>
    <w:rsid w:val="001E6695"/>
    <w:rsid w:val="001E68AB"/>
    <w:rsid w:val="001E69D1"/>
    <w:rsid w:val="001E6A97"/>
    <w:rsid w:val="001E6B83"/>
    <w:rsid w:val="001E6E71"/>
    <w:rsid w:val="001E6FD3"/>
    <w:rsid w:val="001E7014"/>
    <w:rsid w:val="001E70C0"/>
    <w:rsid w:val="001E70D1"/>
    <w:rsid w:val="001E70D3"/>
    <w:rsid w:val="001E70DF"/>
    <w:rsid w:val="001E71E3"/>
    <w:rsid w:val="001E71FC"/>
    <w:rsid w:val="001E73B3"/>
    <w:rsid w:val="001E73D6"/>
    <w:rsid w:val="001E73E6"/>
    <w:rsid w:val="001E7453"/>
    <w:rsid w:val="001E750B"/>
    <w:rsid w:val="001E75AD"/>
    <w:rsid w:val="001E75E0"/>
    <w:rsid w:val="001E76D2"/>
    <w:rsid w:val="001E7781"/>
    <w:rsid w:val="001E77AC"/>
    <w:rsid w:val="001E77DD"/>
    <w:rsid w:val="001E7837"/>
    <w:rsid w:val="001E7851"/>
    <w:rsid w:val="001E785C"/>
    <w:rsid w:val="001E78A7"/>
    <w:rsid w:val="001E78C5"/>
    <w:rsid w:val="001E78EE"/>
    <w:rsid w:val="001E7ACD"/>
    <w:rsid w:val="001E7AD9"/>
    <w:rsid w:val="001E7AF3"/>
    <w:rsid w:val="001E7B11"/>
    <w:rsid w:val="001E7BB9"/>
    <w:rsid w:val="001E7BBF"/>
    <w:rsid w:val="001E7C57"/>
    <w:rsid w:val="001E7C5C"/>
    <w:rsid w:val="001E7C95"/>
    <w:rsid w:val="001E7CC4"/>
    <w:rsid w:val="001E7D65"/>
    <w:rsid w:val="001E7DC5"/>
    <w:rsid w:val="001E7DDC"/>
    <w:rsid w:val="001E7E82"/>
    <w:rsid w:val="001E7F6C"/>
    <w:rsid w:val="001E7F85"/>
    <w:rsid w:val="001F0006"/>
    <w:rsid w:val="001F0061"/>
    <w:rsid w:val="001F013C"/>
    <w:rsid w:val="001F0157"/>
    <w:rsid w:val="001F01B0"/>
    <w:rsid w:val="001F0222"/>
    <w:rsid w:val="001F02A6"/>
    <w:rsid w:val="001F031A"/>
    <w:rsid w:val="001F04FB"/>
    <w:rsid w:val="001F05EC"/>
    <w:rsid w:val="001F05FB"/>
    <w:rsid w:val="001F07B1"/>
    <w:rsid w:val="001F07ED"/>
    <w:rsid w:val="001F086A"/>
    <w:rsid w:val="001F08DB"/>
    <w:rsid w:val="001F08E1"/>
    <w:rsid w:val="001F095C"/>
    <w:rsid w:val="001F0A7E"/>
    <w:rsid w:val="001F0A84"/>
    <w:rsid w:val="001F0AA5"/>
    <w:rsid w:val="001F0AD7"/>
    <w:rsid w:val="001F0BC4"/>
    <w:rsid w:val="001F0BC7"/>
    <w:rsid w:val="001F0C93"/>
    <w:rsid w:val="001F0CD9"/>
    <w:rsid w:val="001F0CF5"/>
    <w:rsid w:val="001F0DA8"/>
    <w:rsid w:val="001F0E16"/>
    <w:rsid w:val="001F0E1A"/>
    <w:rsid w:val="001F0E6E"/>
    <w:rsid w:val="001F0F5D"/>
    <w:rsid w:val="001F0F92"/>
    <w:rsid w:val="001F0FB2"/>
    <w:rsid w:val="001F10A3"/>
    <w:rsid w:val="001F110D"/>
    <w:rsid w:val="001F125B"/>
    <w:rsid w:val="001F1280"/>
    <w:rsid w:val="001F1300"/>
    <w:rsid w:val="001F1302"/>
    <w:rsid w:val="001F130F"/>
    <w:rsid w:val="001F1343"/>
    <w:rsid w:val="001F1356"/>
    <w:rsid w:val="001F1392"/>
    <w:rsid w:val="001F1475"/>
    <w:rsid w:val="001F157B"/>
    <w:rsid w:val="001F15E1"/>
    <w:rsid w:val="001F179E"/>
    <w:rsid w:val="001F180B"/>
    <w:rsid w:val="001F18AD"/>
    <w:rsid w:val="001F18DC"/>
    <w:rsid w:val="001F1B27"/>
    <w:rsid w:val="001F1B34"/>
    <w:rsid w:val="001F1B43"/>
    <w:rsid w:val="001F1B80"/>
    <w:rsid w:val="001F1BF4"/>
    <w:rsid w:val="001F1CCA"/>
    <w:rsid w:val="001F1D24"/>
    <w:rsid w:val="001F1DD6"/>
    <w:rsid w:val="001F1DF6"/>
    <w:rsid w:val="001F1E2C"/>
    <w:rsid w:val="001F1E9A"/>
    <w:rsid w:val="001F1EAB"/>
    <w:rsid w:val="001F1F97"/>
    <w:rsid w:val="001F1FB5"/>
    <w:rsid w:val="001F1FFA"/>
    <w:rsid w:val="001F20C3"/>
    <w:rsid w:val="001F20E1"/>
    <w:rsid w:val="001F2139"/>
    <w:rsid w:val="001F213F"/>
    <w:rsid w:val="001F21B7"/>
    <w:rsid w:val="001F2263"/>
    <w:rsid w:val="001F2311"/>
    <w:rsid w:val="001F239C"/>
    <w:rsid w:val="001F23EC"/>
    <w:rsid w:val="001F2404"/>
    <w:rsid w:val="001F24B1"/>
    <w:rsid w:val="001F24FA"/>
    <w:rsid w:val="001F2546"/>
    <w:rsid w:val="001F2662"/>
    <w:rsid w:val="001F27A8"/>
    <w:rsid w:val="001F295A"/>
    <w:rsid w:val="001F29ED"/>
    <w:rsid w:val="001F2A50"/>
    <w:rsid w:val="001F2AED"/>
    <w:rsid w:val="001F2B7E"/>
    <w:rsid w:val="001F2C9F"/>
    <w:rsid w:val="001F2CC9"/>
    <w:rsid w:val="001F2DC0"/>
    <w:rsid w:val="001F2E4A"/>
    <w:rsid w:val="001F2EF0"/>
    <w:rsid w:val="001F2F6B"/>
    <w:rsid w:val="001F2FB0"/>
    <w:rsid w:val="001F2FB7"/>
    <w:rsid w:val="001F30A3"/>
    <w:rsid w:val="001F315C"/>
    <w:rsid w:val="001F3255"/>
    <w:rsid w:val="001F3299"/>
    <w:rsid w:val="001F32FE"/>
    <w:rsid w:val="001F3312"/>
    <w:rsid w:val="001F3365"/>
    <w:rsid w:val="001F34E5"/>
    <w:rsid w:val="001F35A0"/>
    <w:rsid w:val="001F35CD"/>
    <w:rsid w:val="001F3741"/>
    <w:rsid w:val="001F37DE"/>
    <w:rsid w:val="001F39A5"/>
    <w:rsid w:val="001F3A55"/>
    <w:rsid w:val="001F3A57"/>
    <w:rsid w:val="001F3AAD"/>
    <w:rsid w:val="001F3AC1"/>
    <w:rsid w:val="001F3C77"/>
    <w:rsid w:val="001F3C8C"/>
    <w:rsid w:val="001F3CCE"/>
    <w:rsid w:val="001F3D4C"/>
    <w:rsid w:val="001F3D9A"/>
    <w:rsid w:val="001F3E59"/>
    <w:rsid w:val="001F4054"/>
    <w:rsid w:val="001F4086"/>
    <w:rsid w:val="001F40C6"/>
    <w:rsid w:val="001F40D7"/>
    <w:rsid w:val="001F40E4"/>
    <w:rsid w:val="001F41D8"/>
    <w:rsid w:val="001F41E5"/>
    <w:rsid w:val="001F4208"/>
    <w:rsid w:val="001F4209"/>
    <w:rsid w:val="001F4222"/>
    <w:rsid w:val="001F4267"/>
    <w:rsid w:val="001F42E4"/>
    <w:rsid w:val="001F4396"/>
    <w:rsid w:val="001F445B"/>
    <w:rsid w:val="001F44A8"/>
    <w:rsid w:val="001F44C2"/>
    <w:rsid w:val="001F451E"/>
    <w:rsid w:val="001F454F"/>
    <w:rsid w:val="001F456C"/>
    <w:rsid w:val="001F4669"/>
    <w:rsid w:val="001F474E"/>
    <w:rsid w:val="001F47EA"/>
    <w:rsid w:val="001F47F5"/>
    <w:rsid w:val="001F484F"/>
    <w:rsid w:val="001F48A2"/>
    <w:rsid w:val="001F496B"/>
    <w:rsid w:val="001F4986"/>
    <w:rsid w:val="001F4994"/>
    <w:rsid w:val="001F4AA6"/>
    <w:rsid w:val="001F4AD3"/>
    <w:rsid w:val="001F4B26"/>
    <w:rsid w:val="001F4BA7"/>
    <w:rsid w:val="001F4BF2"/>
    <w:rsid w:val="001F4C45"/>
    <w:rsid w:val="001F4D5A"/>
    <w:rsid w:val="001F4EAF"/>
    <w:rsid w:val="001F4EFA"/>
    <w:rsid w:val="001F4F62"/>
    <w:rsid w:val="001F4FF0"/>
    <w:rsid w:val="001F5074"/>
    <w:rsid w:val="001F5086"/>
    <w:rsid w:val="001F5106"/>
    <w:rsid w:val="001F5113"/>
    <w:rsid w:val="001F519C"/>
    <w:rsid w:val="001F51AC"/>
    <w:rsid w:val="001F51CA"/>
    <w:rsid w:val="001F5575"/>
    <w:rsid w:val="001F55F6"/>
    <w:rsid w:val="001F5627"/>
    <w:rsid w:val="001F5701"/>
    <w:rsid w:val="001F5774"/>
    <w:rsid w:val="001F57A5"/>
    <w:rsid w:val="001F580C"/>
    <w:rsid w:val="001F581D"/>
    <w:rsid w:val="001F5872"/>
    <w:rsid w:val="001F5977"/>
    <w:rsid w:val="001F599B"/>
    <w:rsid w:val="001F59AC"/>
    <w:rsid w:val="001F59D3"/>
    <w:rsid w:val="001F59D6"/>
    <w:rsid w:val="001F59F3"/>
    <w:rsid w:val="001F5A45"/>
    <w:rsid w:val="001F5B3A"/>
    <w:rsid w:val="001F5B5C"/>
    <w:rsid w:val="001F5BB0"/>
    <w:rsid w:val="001F5C24"/>
    <w:rsid w:val="001F5C31"/>
    <w:rsid w:val="001F5C77"/>
    <w:rsid w:val="001F5CE6"/>
    <w:rsid w:val="001F5CEC"/>
    <w:rsid w:val="001F5D1C"/>
    <w:rsid w:val="001F5D54"/>
    <w:rsid w:val="001F5E0A"/>
    <w:rsid w:val="001F5EBD"/>
    <w:rsid w:val="001F5FDA"/>
    <w:rsid w:val="001F5FEB"/>
    <w:rsid w:val="001F6069"/>
    <w:rsid w:val="001F6074"/>
    <w:rsid w:val="001F6077"/>
    <w:rsid w:val="001F60AE"/>
    <w:rsid w:val="001F6128"/>
    <w:rsid w:val="001F6179"/>
    <w:rsid w:val="001F61B9"/>
    <w:rsid w:val="001F61C9"/>
    <w:rsid w:val="001F62D1"/>
    <w:rsid w:val="001F6321"/>
    <w:rsid w:val="001F6389"/>
    <w:rsid w:val="001F63A8"/>
    <w:rsid w:val="001F63E8"/>
    <w:rsid w:val="001F6480"/>
    <w:rsid w:val="001F64E9"/>
    <w:rsid w:val="001F6575"/>
    <w:rsid w:val="001F6726"/>
    <w:rsid w:val="001F6733"/>
    <w:rsid w:val="001F6747"/>
    <w:rsid w:val="001F67C2"/>
    <w:rsid w:val="001F68B0"/>
    <w:rsid w:val="001F68FB"/>
    <w:rsid w:val="001F69A2"/>
    <w:rsid w:val="001F6AE9"/>
    <w:rsid w:val="001F6AEC"/>
    <w:rsid w:val="001F6B58"/>
    <w:rsid w:val="001F6B5A"/>
    <w:rsid w:val="001F6B95"/>
    <w:rsid w:val="001F6C04"/>
    <w:rsid w:val="001F6C9C"/>
    <w:rsid w:val="001F6CD1"/>
    <w:rsid w:val="001F6CF3"/>
    <w:rsid w:val="001F6D13"/>
    <w:rsid w:val="001F6E78"/>
    <w:rsid w:val="001F706D"/>
    <w:rsid w:val="001F710A"/>
    <w:rsid w:val="001F7120"/>
    <w:rsid w:val="001F7239"/>
    <w:rsid w:val="001F73DF"/>
    <w:rsid w:val="001F74D1"/>
    <w:rsid w:val="001F763E"/>
    <w:rsid w:val="001F7762"/>
    <w:rsid w:val="001F7851"/>
    <w:rsid w:val="001F78DF"/>
    <w:rsid w:val="001F7904"/>
    <w:rsid w:val="001F7917"/>
    <w:rsid w:val="001F79C6"/>
    <w:rsid w:val="001F79EF"/>
    <w:rsid w:val="001F7A5A"/>
    <w:rsid w:val="001F7A84"/>
    <w:rsid w:val="001F7B82"/>
    <w:rsid w:val="001F7B84"/>
    <w:rsid w:val="001F7C0B"/>
    <w:rsid w:val="001F7C4C"/>
    <w:rsid w:val="001F7CE1"/>
    <w:rsid w:val="001F7E01"/>
    <w:rsid w:val="001F7E1E"/>
    <w:rsid w:val="001F7EB9"/>
    <w:rsid w:val="001F7F28"/>
    <w:rsid w:val="001F7F61"/>
    <w:rsid w:val="0020002F"/>
    <w:rsid w:val="0020005B"/>
    <w:rsid w:val="002000AB"/>
    <w:rsid w:val="002000B5"/>
    <w:rsid w:val="0020011D"/>
    <w:rsid w:val="00200207"/>
    <w:rsid w:val="00200265"/>
    <w:rsid w:val="00200282"/>
    <w:rsid w:val="002002A2"/>
    <w:rsid w:val="00200333"/>
    <w:rsid w:val="002003A0"/>
    <w:rsid w:val="002004A1"/>
    <w:rsid w:val="00200500"/>
    <w:rsid w:val="00200540"/>
    <w:rsid w:val="002005CD"/>
    <w:rsid w:val="002006FA"/>
    <w:rsid w:val="002007F0"/>
    <w:rsid w:val="00200990"/>
    <w:rsid w:val="002009C8"/>
    <w:rsid w:val="002009EC"/>
    <w:rsid w:val="00200A21"/>
    <w:rsid w:val="00200A92"/>
    <w:rsid w:val="00200AA9"/>
    <w:rsid w:val="00200ABB"/>
    <w:rsid w:val="00200ABC"/>
    <w:rsid w:val="00200AD5"/>
    <w:rsid w:val="00200B11"/>
    <w:rsid w:val="00200C1A"/>
    <w:rsid w:val="00200C1F"/>
    <w:rsid w:val="00200C4D"/>
    <w:rsid w:val="00200D88"/>
    <w:rsid w:val="00200DA0"/>
    <w:rsid w:val="00200DCD"/>
    <w:rsid w:val="00200DD5"/>
    <w:rsid w:val="00200F22"/>
    <w:rsid w:val="00200F8F"/>
    <w:rsid w:val="00201088"/>
    <w:rsid w:val="00201107"/>
    <w:rsid w:val="0020114D"/>
    <w:rsid w:val="00201172"/>
    <w:rsid w:val="0020119B"/>
    <w:rsid w:val="002011C2"/>
    <w:rsid w:val="00201365"/>
    <w:rsid w:val="002013D8"/>
    <w:rsid w:val="00201403"/>
    <w:rsid w:val="00201505"/>
    <w:rsid w:val="00201519"/>
    <w:rsid w:val="002015D2"/>
    <w:rsid w:val="00201644"/>
    <w:rsid w:val="00201658"/>
    <w:rsid w:val="00201730"/>
    <w:rsid w:val="002017DF"/>
    <w:rsid w:val="002018A5"/>
    <w:rsid w:val="002018ED"/>
    <w:rsid w:val="002019F9"/>
    <w:rsid w:val="00201ADB"/>
    <w:rsid w:val="00201B72"/>
    <w:rsid w:val="00201BE2"/>
    <w:rsid w:val="00201C05"/>
    <w:rsid w:val="00201C27"/>
    <w:rsid w:val="00201C82"/>
    <w:rsid w:val="00201CCC"/>
    <w:rsid w:val="00201D1E"/>
    <w:rsid w:val="00201E8E"/>
    <w:rsid w:val="00201EDA"/>
    <w:rsid w:val="00201F16"/>
    <w:rsid w:val="00201F98"/>
    <w:rsid w:val="0020208D"/>
    <w:rsid w:val="002020BA"/>
    <w:rsid w:val="002020DC"/>
    <w:rsid w:val="002021EB"/>
    <w:rsid w:val="00202293"/>
    <w:rsid w:val="00202319"/>
    <w:rsid w:val="00202340"/>
    <w:rsid w:val="00202491"/>
    <w:rsid w:val="002024CE"/>
    <w:rsid w:val="002024D1"/>
    <w:rsid w:val="0020252A"/>
    <w:rsid w:val="002026A3"/>
    <w:rsid w:val="002026AE"/>
    <w:rsid w:val="0020276C"/>
    <w:rsid w:val="0020286D"/>
    <w:rsid w:val="002029C6"/>
    <w:rsid w:val="00202B2D"/>
    <w:rsid w:val="00202C59"/>
    <w:rsid w:val="00202C61"/>
    <w:rsid w:val="00202C7E"/>
    <w:rsid w:val="00202D07"/>
    <w:rsid w:val="00202EAF"/>
    <w:rsid w:val="00202F05"/>
    <w:rsid w:val="00202FB2"/>
    <w:rsid w:val="00203168"/>
    <w:rsid w:val="002031C7"/>
    <w:rsid w:val="002031D0"/>
    <w:rsid w:val="00203205"/>
    <w:rsid w:val="0020322F"/>
    <w:rsid w:val="00203293"/>
    <w:rsid w:val="002032F7"/>
    <w:rsid w:val="00203350"/>
    <w:rsid w:val="00203383"/>
    <w:rsid w:val="0020346F"/>
    <w:rsid w:val="0020349A"/>
    <w:rsid w:val="0020359B"/>
    <w:rsid w:val="002035E3"/>
    <w:rsid w:val="002035EF"/>
    <w:rsid w:val="002035FB"/>
    <w:rsid w:val="00203634"/>
    <w:rsid w:val="002036D4"/>
    <w:rsid w:val="00203700"/>
    <w:rsid w:val="00203749"/>
    <w:rsid w:val="0020374B"/>
    <w:rsid w:val="0020376F"/>
    <w:rsid w:val="00203804"/>
    <w:rsid w:val="0020384F"/>
    <w:rsid w:val="002038AC"/>
    <w:rsid w:val="0020392A"/>
    <w:rsid w:val="002039F5"/>
    <w:rsid w:val="00203A83"/>
    <w:rsid w:val="00203BDE"/>
    <w:rsid w:val="00203C0A"/>
    <w:rsid w:val="00203C58"/>
    <w:rsid w:val="00203C89"/>
    <w:rsid w:val="00203DA5"/>
    <w:rsid w:val="00203DF7"/>
    <w:rsid w:val="00203E2C"/>
    <w:rsid w:val="00203E5F"/>
    <w:rsid w:val="00203E9D"/>
    <w:rsid w:val="00203EC7"/>
    <w:rsid w:val="00203F08"/>
    <w:rsid w:val="00203FD6"/>
    <w:rsid w:val="00204051"/>
    <w:rsid w:val="0020411F"/>
    <w:rsid w:val="002041F5"/>
    <w:rsid w:val="00204206"/>
    <w:rsid w:val="00204217"/>
    <w:rsid w:val="002042D5"/>
    <w:rsid w:val="00204326"/>
    <w:rsid w:val="0020452E"/>
    <w:rsid w:val="0020488B"/>
    <w:rsid w:val="00204971"/>
    <w:rsid w:val="002049A3"/>
    <w:rsid w:val="00204A23"/>
    <w:rsid w:val="00204A32"/>
    <w:rsid w:val="00204C0C"/>
    <w:rsid w:val="00204C6C"/>
    <w:rsid w:val="00204C81"/>
    <w:rsid w:val="00204CA1"/>
    <w:rsid w:val="00204D77"/>
    <w:rsid w:val="00204DD0"/>
    <w:rsid w:val="00204DD8"/>
    <w:rsid w:val="00204E4F"/>
    <w:rsid w:val="00204E84"/>
    <w:rsid w:val="00204F09"/>
    <w:rsid w:val="00204F0A"/>
    <w:rsid w:val="00204F2C"/>
    <w:rsid w:val="00205066"/>
    <w:rsid w:val="0020508D"/>
    <w:rsid w:val="00205223"/>
    <w:rsid w:val="00205275"/>
    <w:rsid w:val="00205287"/>
    <w:rsid w:val="002052FC"/>
    <w:rsid w:val="00205343"/>
    <w:rsid w:val="0020548A"/>
    <w:rsid w:val="0020548D"/>
    <w:rsid w:val="002054AB"/>
    <w:rsid w:val="0020556A"/>
    <w:rsid w:val="00205635"/>
    <w:rsid w:val="00205641"/>
    <w:rsid w:val="0020568C"/>
    <w:rsid w:val="00205865"/>
    <w:rsid w:val="0020589B"/>
    <w:rsid w:val="0020594A"/>
    <w:rsid w:val="00205980"/>
    <w:rsid w:val="002059BE"/>
    <w:rsid w:val="00205C0D"/>
    <w:rsid w:val="00205C18"/>
    <w:rsid w:val="00205D99"/>
    <w:rsid w:val="00205DB2"/>
    <w:rsid w:val="00205DB4"/>
    <w:rsid w:val="00205F03"/>
    <w:rsid w:val="00205F1C"/>
    <w:rsid w:val="00205F4D"/>
    <w:rsid w:val="0020601A"/>
    <w:rsid w:val="00206142"/>
    <w:rsid w:val="002063E9"/>
    <w:rsid w:val="00206429"/>
    <w:rsid w:val="0020663C"/>
    <w:rsid w:val="00206699"/>
    <w:rsid w:val="002066B3"/>
    <w:rsid w:val="002067EB"/>
    <w:rsid w:val="00206818"/>
    <w:rsid w:val="0020684E"/>
    <w:rsid w:val="002068F0"/>
    <w:rsid w:val="002068FD"/>
    <w:rsid w:val="00206A16"/>
    <w:rsid w:val="00206A3B"/>
    <w:rsid w:val="00206AEF"/>
    <w:rsid w:val="00206B79"/>
    <w:rsid w:val="00206D86"/>
    <w:rsid w:val="00206D9C"/>
    <w:rsid w:val="00206E5F"/>
    <w:rsid w:val="00206FC7"/>
    <w:rsid w:val="00207043"/>
    <w:rsid w:val="0020711B"/>
    <w:rsid w:val="0020727A"/>
    <w:rsid w:val="002072DB"/>
    <w:rsid w:val="00207360"/>
    <w:rsid w:val="0020736A"/>
    <w:rsid w:val="0020737C"/>
    <w:rsid w:val="0020747E"/>
    <w:rsid w:val="002074BD"/>
    <w:rsid w:val="0020751A"/>
    <w:rsid w:val="00207567"/>
    <w:rsid w:val="00207579"/>
    <w:rsid w:val="002075F1"/>
    <w:rsid w:val="00207623"/>
    <w:rsid w:val="0020767B"/>
    <w:rsid w:val="002076A4"/>
    <w:rsid w:val="0020772F"/>
    <w:rsid w:val="00207797"/>
    <w:rsid w:val="00207812"/>
    <w:rsid w:val="00207817"/>
    <w:rsid w:val="00207830"/>
    <w:rsid w:val="0020785F"/>
    <w:rsid w:val="002078A9"/>
    <w:rsid w:val="00207905"/>
    <w:rsid w:val="00207AA6"/>
    <w:rsid w:val="00207B27"/>
    <w:rsid w:val="00207B4E"/>
    <w:rsid w:val="00207B6F"/>
    <w:rsid w:val="00207CFE"/>
    <w:rsid w:val="00207DFD"/>
    <w:rsid w:val="00207E27"/>
    <w:rsid w:val="00207E7D"/>
    <w:rsid w:val="00207EF9"/>
    <w:rsid w:val="00207EFC"/>
    <w:rsid w:val="00207F67"/>
    <w:rsid w:val="00207F9D"/>
    <w:rsid w:val="00210019"/>
    <w:rsid w:val="00210120"/>
    <w:rsid w:val="0021020E"/>
    <w:rsid w:val="0021021E"/>
    <w:rsid w:val="002102CD"/>
    <w:rsid w:val="00210425"/>
    <w:rsid w:val="00210457"/>
    <w:rsid w:val="002104FA"/>
    <w:rsid w:val="00210519"/>
    <w:rsid w:val="002105B4"/>
    <w:rsid w:val="002105CF"/>
    <w:rsid w:val="00210698"/>
    <w:rsid w:val="002106EB"/>
    <w:rsid w:val="00210718"/>
    <w:rsid w:val="00210740"/>
    <w:rsid w:val="00210766"/>
    <w:rsid w:val="002107D1"/>
    <w:rsid w:val="002107E1"/>
    <w:rsid w:val="0021081A"/>
    <w:rsid w:val="0021087C"/>
    <w:rsid w:val="002108A2"/>
    <w:rsid w:val="00210948"/>
    <w:rsid w:val="0021099A"/>
    <w:rsid w:val="002109B9"/>
    <w:rsid w:val="002109C4"/>
    <w:rsid w:val="002109D4"/>
    <w:rsid w:val="002109E3"/>
    <w:rsid w:val="00210B37"/>
    <w:rsid w:val="00210DD1"/>
    <w:rsid w:val="00210DF2"/>
    <w:rsid w:val="00210E93"/>
    <w:rsid w:val="00210EB6"/>
    <w:rsid w:val="00210EE4"/>
    <w:rsid w:val="00210F0B"/>
    <w:rsid w:val="00210FBF"/>
    <w:rsid w:val="00210FCE"/>
    <w:rsid w:val="00211087"/>
    <w:rsid w:val="002110E9"/>
    <w:rsid w:val="00211135"/>
    <w:rsid w:val="00211318"/>
    <w:rsid w:val="00211362"/>
    <w:rsid w:val="0021136F"/>
    <w:rsid w:val="00211516"/>
    <w:rsid w:val="00211554"/>
    <w:rsid w:val="0021158D"/>
    <w:rsid w:val="002115DF"/>
    <w:rsid w:val="002115E3"/>
    <w:rsid w:val="0021161B"/>
    <w:rsid w:val="00211641"/>
    <w:rsid w:val="00211657"/>
    <w:rsid w:val="00211671"/>
    <w:rsid w:val="0021167C"/>
    <w:rsid w:val="0021177A"/>
    <w:rsid w:val="002117A9"/>
    <w:rsid w:val="0021192C"/>
    <w:rsid w:val="00211932"/>
    <w:rsid w:val="00211A63"/>
    <w:rsid w:val="00211A66"/>
    <w:rsid w:val="00211B08"/>
    <w:rsid w:val="00211B43"/>
    <w:rsid w:val="00211BAE"/>
    <w:rsid w:val="00211D10"/>
    <w:rsid w:val="00211D70"/>
    <w:rsid w:val="00211D82"/>
    <w:rsid w:val="00211F96"/>
    <w:rsid w:val="00212013"/>
    <w:rsid w:val="0021205C"/>
    <w:rsid w:val="0021205F"/>
    <w:rsid w:val="00212174"/>
    <w:rsid w:val="00212199"/>
    <w:rsid w:val="0021243F"/>
    <w:rsid w:val="00212613"/>
    <w:rsid w:val="00212635"/>
    <w:rsid w:val="0021271C"/>
    <w:rsid w:val="00212720"/>
    <w:rsid w:val="0021272B"/>
    <w:rsid w:val="0021274A"/>
    <w:rsid w:val="0021280C"/>
    <w:rsid w:val="00212A1E"/>
    <w:rsid w:val="00212A9D"/>
    <w:rsid w:val="00212ABB"/>
    <w:rsid w:val="00212B54"/>
    <w:rsid w:val="00212B6A"/>
    <w:rsid w:val="00212C3E"/>
    <w:rsid w:val="00212D21"/>
    <w:rsid w:val="00212DC7"/>
    <w:rsid w:val="00212EEF"/>
    <w:rsid w:val="00212F17"/>
    <w:rsid w:val="00212F82"/>
    <w:rsid w:val="00213060"/>
    <w:rsid w:val="002130C7"/>
    <w:rsid w:val="00213205"/>
    <w:rsid w:val="0021322D"/>
    <w:rsid w:val="0021329D"/>
    <w:rsid w:val="0021332B"/>
    <w:rsid w:val="0021333F"/>
    <w:rsid w:val="00213345"/>
    <w:rsid w:val="00213395"/>
    <w:rsid w:val="002133D1"/>
    <w:rsid w:val="0021341C"/>
    <w:rsid w:val="00213478"/>
    <w:rsid w:val="0021354E"/>
    <w:rsid w:val="002135E4"/>
    <w:rsid w:val="00213730"/>
    <w:rsid w:val="00213782"/>
    <w:rsid w:val="00213795"/>
    <w:rsid w:val="002137BE"/>
    <w:rsid w:val="002137C5"/>
    <w:rsid w:val="00213899"/>
    <w:rsid w:val="002139A2"/>
    <w:rsid w:val="002139AF"/>
    <w:rsid w:val="002139EF"/>
    <w:rsid w:val="00213A33"/>
    <w:rsid w:val="00213A41"/>
    <w:rsid w:val="00213B8A"/>
    <w:rsid w:val="00213B99"/>
    <w:rsid w:val="00213CC7"/>
    <w:rsid w:val="00213D3D"/>
    <w:rsid w:val="00213DB8"/>
    <w:rsid w:val="00213E55"/>
    <w:rsid w:val="0021401A"/>
    <w:rsid w:val="00214176"/>
    <w:rsid w:val="002141C3"/>
    <w:rsid w:val="0021424C"/>
    <w:rsid w:val="0021427A"/>
    <w:rsid w:val="002142F5"/>
    <w:rsid w:val="002144E0"/>
    <w:rsid w:val="00214571"/>
    <w:rsid w:val="002145A1"/>
    <w:rsid w:val="002145A3"/>
    <w:rsid w:val="00214647"/>
    <w:rsid w:val="002146A6"/>
    <w:rsid w:val="002146C4"/>
    <w:rsid w:val="00214785"/>
    <w:rsid w:val="0021496D"/>
    <w:rsid w:val="0021497C"/>
    <w:rsid w:val="002149F0"/>
    <w:rsid w:val="00214A60"/>
    <w:rsid w:val="00214A94"/>
    <w:rsid w:val="00214B4D"/>
    <w:rsid w:val="00214BAC"/>
    <w:rsid w:val="00214C1A"/>
    <w:rsid w:val="00214C98"/>
    <w:rsid w:val="00214D0A"/>
    <w:rsid w:val="00214F2B"/>
    <w:rsid w:val="00214FCF"/>
    <w:rsid w:val="00215062"/>
    <w:rsid w:val="002150C9"/>
    <w:rsid w:val="002150EC"/>
    <w:rsid w:val="00215145"/>
    <w:rsid w:val="00215205"/>
    <w:rsid w:val="0021525E"/>
    <w:rsid w:val="00215268"/>
    <w:rsid w:val="0021528E"/>
    <w:rsid w:val="00215300"/>
    <w:rsid w:val="0021530F"/>
    <w:rsid w:val="0021535D"/>
    <w:rsid w:val="002153B2"/>
    <w:rsid w:val="0021540B"/>
    <w:rsid w:val="002154FD"/>
    <w:rsid w:val="00215535"/>
    <w:rsid w:val="00215548"/>
    <w:rsid w:val="002155AB"/>
    <w:rsid w:val="002155BF"/>
    <w:rsid w:val="00215647"/>
    <w:rsid w:val="0021564E"/>
    <w:rsid w:val="0021570B"/>
    <w:rsid w:val="002157DB"/>
    <w:rsid w:val="0021590A"/>
    <w:rsid w:val="0021590E"/>
    <w:rsid w:val="002159D7"/>
    <w:rsid w:val="00215BB8"/>
    <w:rsid w:val="00215BFD"/>
    <w:rsid w:val="00215C12"/>
    <w:rsid w:val="00215C18"/>
    <w:rsid w:val="00215C6B"/>
    <w:rsid w:val="00215C76"/>
    <w:rsid w:val="00215D00"/>
    <w:rsid w:val="00215D87"/>
    <w:rsid w:val="00215D98"/>
    <w:rsid w:val="00215DC2"/>
    <w:rsid w:val="00215E8F"/>
    <w:rsid w:val="00215ECC"/>
    <w:rsid w:val="00215F35"/>
    <w:rsid w:val="00215FC1"/>
    <w:rsid w:val="0021610F"/>
    <w:rsid w:val="002161A1"/>
    <w:rsid w:val="00216266"/>
    <w:rsid w:val="002162A4"/>
    <w:rsid w:val="002162EA"/>
    <w:rsid w:val="0021635B"/>
    <w:rsid w:val="00216566"/>
    <w:rsid w:val="00216706"/>
    <w:rsid w:val="00216727"/>
    <w:rsid w:val="00216840"/>
    <w:rsid w:val="00216848"/>
    <w:rsid w:val="0021684E"/>
    <w:rsid w:val="002168D6"/>
    <w:rsid w:val="00216936"/>
    <w:rsid w:val="0021694D"/>
    <w:rsid w:val="0021697A"/>
    <w:rsid w:val="00216983"/>
    <w:rsid w:val="00216A1D"/>
    <w:rsid w:val="00216A27"/>
    <w:rsid w:val="00216A2E"/>
    <w:rsid w:val="00216A6D"/>
    <w:rsid w:val="00216A6F"/>
    <w:rsid w:val="00216AB4"/>
    <w:rsid w:val="00216BB6"/>
    <w:rsid w:val="00216C5D"/>
    <w:rsid w:val="00216C66"/>
    <w:rsid w:val="00216D0B"/>
    <w:rsid w:val="00216D1D"/>
    <w:rsid w:val="00216D99"/>
    <w:rsid w:val="00216E32"/>
    <w:rsid w:val="00216FE0"/>
    <w:rsid w:val="00217026"/>
    <w:rsid w:val="0021709A"/>
    <w:rsid w:val="00217160"/>
    <w:rsid w:val="00217163"/>
    <w:rsid w:val="0021739B"/>
    <w:rsid w:val="00217401"/>
    <w:rsid w:val="00217500"/>
    <w:rsid w:val="0021753B"/>
    <w:rsid w:val="002175A4"/>
    <w:rsid w:val="002175C2"/>
    <w:rsid w:val="00217637"/>
    <w:rsid w:val="00217659"/>
    <w:rsid w:val="0021773C"/>
    <w:rsid w:val="0021773E"/>
    <w:rsid w:val="0021781F"/>
    <w:rsid w:val="0021785C"/>
    <w:rsid w:val="00217A14"/>
    <w:rsid w:val="00217A3C"/>
    <w:rsid w:val="00217B52"/>
    <w:rsid w:val="00217C21"/>
    <w:rsid w:val="00217C85"/>
    <w:rsid w:val="00217D62"/>
    <w:rsid w:val="00217D81"/>
    <w:rsid w:val="00217D94"/>
    <w:rsid w:val="00217E75"/>
    <w:rsid w:val="00217FA7"/>
    <w:rsid w:val="00220279"/>
    <w:rsid w:val="002202A0"/>
    <w:rsid w:val="0022031C"/>
    <w:rsid w:val="00220420"/>
    <w:rsid w:val="00220690"/>
    <w:rsid w:val="00220768"/>
    <w:rsid w:val="002207BA"/>
    <w:rsid w:val="002207DB"/>
    <w:rsid w:val="002207E5"/>
    <w:rsid w:val="00220A59"/>
    <w:rsid w:val="00220A5E"/>
    <w:rsid w:val="00220AAC"/>
    <w:rsid w:val="00220B86"/>
    <w:rsid w:val="00220C0A"/>
    <w:rsid w:val="00220C59"/>
    <w:rsid w:val="00220C6D"/>
    <w:rsid w:val="00220C80"/>
    <w:rsid w:val="00220D33"/>
    <w:rsid w:val="00220DA6"/>
    <w:rsid w:val="00220E41"/>
    <w:rsid w:val="00220E99"/>
    <w:rsid w:val="00220FD4"/>
    <w:rsid w:val="00220FE7"/>
    <w:rsid w:val="0022102A"/>
    <w:rsid w:val="00221052"/>
    <w:rsid w:val="0022107A"/>
    <w:rsid w:val="0022108F"/>
    <w:rsid w:val="00221151"/>
    <w:rsid w:val="002211C1"/>
    <w:rsid w:val="002212D7"/>
    <w:rsid w:val="00221316"/>
    <w:rsid w:val="0022136C"/>
    <w:rsid w:val="002213BC"/>
    <w:rsid w:val="00221569"/>
    <w:rsid w:val="00221582"/>
    <w:rsid w:val="002215CD"/>
    <w:rsid w:val="002215D5"/>
    <w:rsid w:val="00221783"/>
    <w:rsid w:val="00221865"/>
    <w:rsid w:val="0022191D"/>
    <w:rsid w:val="00221937"/>
    <w:rsid w:val="00221A60"/>
    <w:rsid w:val="00221A65"/>
    <w:rsid w:val="00221AF2"/>
    <w:rsid w:val="00221B4E"/>
    <w:rsid w:val="00221B5A"/>
    <w:rsid w:val="00221C10"/>
    <w:rsid w:val="00221D04"/>
    <w:rsid w:val="00221D09"/>
    <w:rsid w:val="00221E17"/>
    <w:rsid w:val="00221F2C"/>
    <w:rsid w:val="00221F70"/>
    <w:rsid w:val="00221FAA"/>
    <w:rsid w:val="0022200E"/>
    <w:rsid w:val="00222026"/>
    <w:rsid w:val="002220B3"/>
    <w:rsid w:val="00222182"/>
    <w:rsid w:val="002222EC"/>
    <w:rsid w:val="00222366"/>
    <w:rsid w:val="002223B8"/>
    <w:rsid w:val="002223FB"/>
    <w:rsid w:val="0022245F"/>
    <w:rsid w:val="0022251A"/>
    <w:rsid w:val="002226B5"/>
    <w:rsid w:val="0022276E"/>
    <w:rsid w:val="002227C3"/>
    <w:rsid w:val="00222837"/>
    <w:rsid w:val="0022285F"/>
    <w:rsid w:val="00222898"/>
    <w:rsid w:val="002228FD"/>
    <w:rsid w:val="0022298A"/>
    <w:rsid w:val="00222A09"/>
    <w:rsid w:val="00222A19"/>
    <w:rsid w:val="00222A6F"/>
    <w:rsid w:val="00222AEA"/>
    <w:rsid w:val="00222AFB"/>
    <w:rsid w:val="00222C2F"/>
    <w:rsid w:val="00222C58"/>
    <w:rsid w:val="00222C62"/>
    <w:rsid w:val="00222C82"/>
    <w:rsid w:val="00222C94"/>
    <w:rsid w:val="00222D3E"/>
    <w:rsid w:val="00222D8B"/>
    <w:rsid w:val="00222DCE"/>
    <w:rsid w:val="00222E14"/>
    <w:rsid w:val="00222E98"/>
    <w:rsid w:val="00222ECD"/>
    <w:rsid w:val="00222EF7"/>
    <w:rsid w:val="00222F7D"/>
    <w:rsid w:val="00223033"/>
    <w:rsid w:val="00223146"/>
    <w:rsid w:val="00223179"/>
    <w:rsid w:val="002232EC"/>
    <w:rsid w:val="00223300"/>
    <w:rsid w:val="002233D0"/>
    <w:rsid w:val="0022344A"/>
    <w:rsid w:val="002234ED"/>
    <w:rsid w:val="0022354D"/>
    <w:rsid w:val="00223565"/>
    <w:rsid w:val="002235C9"/>
    <w:rsid w:val="0022365D"/>
    <w:rsid w:val="002236D7"/>
    <w:rsid w:val="00223726"/>
    <w:rsid w:val="002237D1"/>
    <w:rsid w:val="00223827"/>
    <w:rsid w:val="002238C9"/>
    <w:rsid w:val="002238EE"/>
    <w:rsid w:val="00223933"/>
    <w:rsid w:val="0022394D"/>
    <w:rsid w:val="00223993"/>
    <w:rsid w:val="00223BBD"/>
    <w:rsid w:val="00223BE3"/>
    <w:rsid w:val="00223C20"/>
    <w:rsid w:val="00223C92"/>
    <w:rsid w:val="00223CFA"/>
    <w:rsid w:val="00223D10"/>
    <w:rsid w:val="00223D8F"/>
    <w:rsid w:val="00223F7E"/>
    <w:rsid w:val="00223FEF"/>
    <w:rsid w:val="002240CB"/>
    <w:rsid w:val="00224112"/>
    <w:rsid w:val="0022417F"/>
    <w:rsid w:val="002241DE"/>
    <w:rsid w:val="00224225"/>
    <w:rsid w:val="0022428D"/>
    <w:rsid w:val="0022436A"/>
    <w:rsid w:val="00224391"/>
    <w:rsid w:val="00224499"/>
    <w:rsid w:val="002244DB"/>
    <w:rsid w:val="00224509"/>
    <w:rsid w:val="0022454F"/>
    <w:rsid w:val="00224565"/>
    <w:rsid w:val="0022458E"/>
    <w:rsid w:val="002245B9"/>
    <w:rsid w:val="0022466E"/>
    <w:rsid w:val="002246DD"/>
    <w:rsid w:val="002247A6"/>
    <w:rsid w:val="002247E8"/>
    <w:rsid w:val="0022488C"/>
    <w:rsid w:val="002248D8"/>
    <w:rsid w:val="002248E5"/>
    <w:rsid w:val="002248E9"/>
    <w:rsid w:val="002248F6"/>
    <w:rsid w:val="00224947"/>
    <w:rsid w:val="0022498B"/>
    <w:rsid w:val="002249E9"/>
    <w:rsid w:val="00224A95"/>
    <w:rsid w:val="00224A97"/>
    <w:rsid w:val="00224ACB"/>
    <w:rsid w:val="00224AD4"/>
    <w:rsid w:val="00224B52"/>
    <w:rsid w:val="00224C83"/>
    <w:rsid w:val="00224CA6"/>
    <w:rsid w:val="00224CB5"/>
    <w:rsid w:val="00224D41"/>
    <w:rsid w:val="00224D48"/>
    <w:rsid w:val="00224E48"/>
    <w:rsid w:val="00224EAF"/>
    <w:rsid w:val="00224F97"/>
    <w:rsid w:val="00224FA8"/>
    <w:rsid w:val="00224FAD"/>
    <w:rsid w:val="002250C3"/>
    <w:rsid w:val="002250CE"/>
    <w:rsid w:val="00225192"/>
    <w:rsid w:val="002251F9"/>
    <w:rsid w:val="002253AA"/>
    <w:rsid w:val="00225447"/>
    <w:rsid w:val="0022549A"/>
    <w:rsid w:val="002254B7"/>
    <w:rsid w:val="002254CA"/>
    <w:rsid w:val="0022551F"/>
    <w:rsid w:val="0022564D"/>
    <w:rsid w:val="00225804"/>
    <w:rsid w:val="00225820"/>
    <w:rsid w:val="00225957"/>
    <w:rsid w:val="00225981"/>
    <w:rsid w:val="002259BC"/>
    <w:rsid w:val="00225A2C"/>
    <w:rsid w:val="00225B81"/>
    <w:rsid w:val="00225BEE"/>
    <w:rsid w:val="00225C2D"/>
    <w:rsid w:val="00225C7F"/>
    <w:rsid w:val="00225CAC"/>
    <w:rsid w:val="00225E5A"/>
    <w:rsid w:val="00225E84"/>
    <w:rsid w:val="00225E85"/>
    <w:rsid w:val="00225ECD"/>
    <w:rsid w:val="00225F72"/>
    <w:rsid w:val="00225FFB"/>
    <w:rsid w:val="00225FFF"/>
    <w:rsid w:val="0022601E"/>
    <w:rsid w:val="00226046"/>
    <w:rsid w:val="00226052"/>
    <w:rsid w:val="00226121"/>
    <w:rsid w:val="00226169"/>
    <w:rsid w:val="00226223"/>
    <w:rsid w:val="00226365"/>
    <w:rsid w:val="00226379"/>
    <w:rsid w:val="00226436"/>
    <w:rsid w:val="0022643A"/>
    <w:rsid w:val="0022649C"/>
    <w:rsid w:val="002264AF"/>
    <w:rsid w:val="002264DE"/>
    <w:rsid w:val="00226530"/>
    <w:rsid w:val="002266C5"/>
    <w:rsid w:val="00226764"/>
    <w:rsid w:val="002267CB"/>
    <w:rsid w:val="0022684E"/>
    <w:rsid w:val="0022689B"/>
    <w:rsid w:val="002268FA"/>
    <w:rsid w:val="00226A63"/>
    <w:rsid w:val="00226A84"/>
    <w:rsid w:val="00226A90"/>
    <w:rsid w:val="00226C61"/>
    <w:rsid w:val="00226D0F"/>
    <w:rsid w:val="00226E2B"/>
    <w:rsid w:val="00226E7F"/>
    <w:rsid w:val="00226E9B"/>
    <w:rsid w:val="00226EA0"/>
    <w:rsid w:val="00226EAA"/>
    <w:rsid w:val="00226FD8"/>
    <w:rsid w:val="002270AD"/>
    <w:rsid w:val="002270C2"/>
    <w:rsid w:val="002272E9"/>
    <w:rsid w:val="002272EB"/>
    <w:rsid w:val="0022731D"/>
    <w:rsid w:val="00227320"/>
    <w:rsid w:val="00227361"/>
    <w:rsid w:val="0022751F"/>
    <w:rsid w:val="00227529"/>
    <w:rsid w:val="002275FA"/>
    <w:rsid w:val="0022775B"/>
    <w:rsid w:val="0022780C"/>
    <w:rsid w:val="0022785E"/>
    <w:rsid w:val="00227862"/>
    <w:rsid w:val="002278CC"/>
    <w:rsid w:val="002278D3"/>
    <w:rsid w:val="00227914"/>
    <w:rsid w:val="0022792E"/>
    <w:rsid w:val="002279B6"/>
    <w:rsid w:val="002279C9"/>
    <w:rsid w:val="00227B7B"/>
    <w:rsid w:val="00227BAA"/>
    <w:rsid w:val="00227BD0"/>
    <w:rsid w:val="00227BE7"/>
    <w:rsid w:val="00227C0B"/>
    <w:rsid w:val="00227C9C"/>
    <w:rsid w:val="00227CEB"/>
    <w:rsid w:val="00227DE5"/>
    <w:rsid w:val="00227E2F"/>
    <w:rsid w:val="00227E84"/>
    <w:rsid w:val="00227EA6"/>
    <w:rsid w:val="00227EAE"/>
    <w:rsid w:val="00227EB0"/>
    <w:rsid w:val="00227F02"/>
    <w:rsid w:val="00227F69"/>
    <w:rsid w:val="00227FEF"/>
    <w:rsid w:val="002303CB"/>
    <w:rsid w:val="002304C8"/>
    <w:rsid w:val="00230529"/>
    <w:rsid w:val="00230665"/>
    <w:rsid w:val="00230751"/>
    <w:rsid w:val="00230787"/>
    <w:rsid w:val="0023078E"/>
    <w:rsid w:val="002307A5"/>
    <w:rsid w:val="00230804"/>
    <w:rsid w:val="0023088B"/>
    <w:rsid w:val="002308CE"/>
    <w:rsid w:val="0023091B"/>
    <w:rsid w:val="00230AAA"/>
    <w:rsid w:val="00230AEB"/>
    <w:rsid w:val="00230C0F"/>
    <w:rsid w:val="00230CF5"/>
    <w:rsid w:val="00230DD5"/>
    <w:rsid w:val="00230E47"/>
    <w:rsid w:val="00230EFC"/>
    <w:rsid w:val="00230F65"/>
    <w:rsid w:val="00230FF5"/>
    <w:rsid w:val="002310F7"/>
    <w:rsid w:val="00231252"/>
    <w:rsid w:val="00231277"/>
    <w:rsid w:val="002312FF"/>
    <w:rsid w:val="0023130C"/>
    <w:rsid w:val="00231340"/>
    <w:rsid w:val="002314C9"/>
    <w:rsid w:val="00231631"/>
    <w:rsid w:val="00231702"/>
    <w:rsid w:val="00231745"/>
    <w:rsid w:val="002318A8"/>
    <w:rsid w:val="002318F2"/>
    <w:rsid w:val="002318F5"/>
    <w:rsid w:val="002318FF"/>
    <w:rsid w:val="00231905"/>
    <w:rsid w:val="0023195A"/>
    <w:rsid w:val="00231A93"/>
    <w:rsid w:val="00231B04"/>
    <w:rsid w:val="00231B1C"/>
    <w:rsid w:val="00231B1D"/>
    <w:rsid w:val="00231B93"/>
    <w:rsid w:val="00231B9E"/>
    <w:rsid w:val="00231C5E"/>
    <w:rsid w:val="00231DC9"/>
    <w:rsid w:val="00231DF9"/>
    <w:rsid w:val="00231F1A"/>
    <w:rsid w:val="0023204A"/>
    <w:rsid w:val="00232095"/>
    <w:rsid w:val="002320FC"/>
    <w:rsid w:val="00232139"/>
    <w:rsid w:val="0023217A"/>
    <w:rsid w:val="00232270"/>
    <w:rsid w:val="002322D5"/>
    <w:rsid w:val="00232425"/>
    <w:rsid w:val="0023249A"/>
    <w:rsid w:val="00232544"/>
    <w:rsid w:val="00232570"/>
    <w:rsid w:val="00232574"/>
    <w:rsid w:val="002325FC"/>
    <w:rsid w:val="00232608"/>
    <w:rsid w:val="002326D2"/>
    <w:rsid w:val="00232727"/>
    <w:rsid w:val="0023276D"/>
    <w:rsid w:val="00232795"/>
    <w:rsid w:val="00232827"/>
    <w:rsid w:val="00232828"/>
    <w:rsid w:val="00232909"/>
    <w:rsid w:val="00232A24"/>
    <w:rsid w:val="00232AAC"/>
    <w:rsid w:val="00232AF0"/>
    <w:rsid w:val="00232B27"/>
    <w:rsid w:val="00232BD3"/>
    <w:rsid w:val="00232BE7"/>
    <w:rsid w:val="00232C7A"/>
    <w:rsid w:val="00232C9B"/>
    <w:rsid w:val="00232CF8"/>
    <w:rsid w:val="00232D4E"/>
    <w:rsid w:val="00232E25"/>
    <w:rsid w:val="00232E47"/>
    <w:rsid w:val="00232EB0"/>
    <w:rsid w:val="00232FAF"/>
    <w:rsid w:val="00233248"/>
    <w:rsid w:val="0023335B"/>
    <w:rsid w:val="002333EF"/>
    <w:rsid w:val="00233466"/>
    <w:rsid w:val="00233475"/>
    <w:rsid w:val="0023353F"/>
    <w:rsid w:val="00233562"/>
    <w:rsid w:val="002335EC"/>
    <w:rsid w:val="00233618"/>
    <w:rsid w:val="002336D8"/>
    <w:rsid w:val="00233729"/>
    <w:rsid w:val="0023372A"/>
    <w:rsid w:val="00233751"/>
    <w:rsid w:val="002337B7"/>
    <w:rsid w:val="002337C9"/>
    <w:rsid w:val="00233814"/>
    <w:rsid w:val="00233A1C"/>
    <w:rsid w:val="00233AAE"/>
    <w:rsid w:val="00233B0B"/>
    <w:rsid w:val="00233C49"/>
    <w:rsid w:val="00233C65"/>
    <w:rsid w:val="00233D26"/>
    <w:rsid w:val="00233DD0"/>
    <w:rsid w:val="00233DE7"/>
    <w:rsid w:val="00233E1E"/>
    <w:rsid w:val="00233E68"/>
    <w:rsid w:val="00233EED"/>
    <w:rsid w:val="00233EFE"/>
    <w:rsid w:val="00233F02"/>
    <w:rsid w:val="00233F35"/>
    <w:rsid w:val="00233FD0"/>
    <w:rsid w:val="0023400E"/>
    <w:rsid w:val="00234052"/>
    <w:rsid w:val="0023408F"/>
    <w:rsid w:val="002340ED"/>
    <w:rsid w:val="00234251"/>
    <w:rsid w:val="00234446"/>
    <w:rsid w:val="0023444B"/>
    <w:rsid w:val="00234495"/>
    <w:rsid w:val="002344AA"/>
    <w:rsid w:val="0023455F"/>
    <w:rsid w:val="00234673"/>
    <w:rsid w:val="0023469D"/>
    <w:rsid w:val="00234880"/>
    <w:rsid w:val="002348BC"/>
    <w:rsid w:val="002348C5"/>
    <w:rsid w:val="002349E3"/>
    <w:rsid w:val="00234A8D"/>
    <w:rsid w:val="00234BC7"/>
    <w:rsid w:val="00234C3F"/>
    <w:rsid w:val="00234C5E"/>
    <w:rsid w:val="00234E98"/>
    <w:rsid w:val="00234F2B"/>
    <w:rsid w:val="0023501F"/>
    <w:rsid w:val="0023505E"/>
    <w:rsid w:val="00235088"/>
    <w:rsid w:val="002350DE"/>
    <w:rsid w:val="0023519C"/>
    <w:rsid w:val="002351C9"/>
    <w:rsid w:val="002352AD"/>
    <w:rsid w:val="00235608"/>
    <w:rsid w:val="002358C8"/>
    <w:rsid w:val="002358DD"/>
    <w:rsid w:val="00235912"/>
    <w:rsid w:val="0023591C"/>
    <w:rsid w:val="00235942"/>
    <w:rsid w:val="002359E5"/>
    <w:rsid w:val="00235A09"/>
    <w:rsid w:val="00235AC7"/>
    <w:rsid w:val="00235AD4"/>
    <w:rsid w:val="00235BD1"/>
    <w:rsid w:val="00235BF6"/>
    <w:rsid w:val="00235C42"/>
    <w:rsid w:val="00235C90"/>
    <w:rsid w:val="00235CCF"/>
    <w:rsid w:val="00235D4F"/>
    <w:rsid w:val="00235D75"/>
    <w:rsid w:val="00235D7C"/>
    <w:rsid w:val="00235F3B"/>
    <w:rsid w:val="00236142"/>
    <w:rsid w:val="002361B4"/>
    <w:rsid w:val="002361BF"/>
    <w:rsid w:val="00236358"/>
    <w:rsid w:val="00236409"/>
    <w:rsid w:val="0023644C"/>
    <w:rsid w:val="002364D5"/>
    <w:rsid w:val="0023657E"/>
    <w:rsid w:val="002365DD"/>
    <w:rsid w:val="00236737"/>
    <w:rsid w:val="002367F0"/>
    <w:rsid w:val="00236831"/>
    <w:rsid w:val="002368B5"/>
    <w:rsid w:val="0023698E"/>
    <w:rsid w:val="00236A02"/>
    <w:rsid w:val="00236A0D"/>
    <w:rsid w:val="00236A87"/>
    <w:rsid w:val="00236BB3"/>
    <w:rsid w:val="00236BCB"/>
    <w:rsid w:val="00236C7C"/>
    <w:rsid w:val="00236D59"/>
    <w:rsid w:val="00236E55"/>
    <w:rsid w:val="00236E5A"/>
    <w:rsid w:val="00236F02"/>
    <w:rsid w:val="00236FB8"/>
    <w:rsid w:val="00236FEF"/>
    <w:rsid w:val="0023703E"/>
    <w:rsid w:val="002370B8"/>
    <w:rsid w:val="00237125"/>
    <w:rsid w:val="00237188"/>
    <w:rsid w:val="002371BD"/>
    <w:rsid w:val="0023720C"/>
    <w:rsid w:val="00237231"/>
    <w:rsid w:val="00237238"/>
    <w:rsid w:val="00237333"/>
    <w:rsid w:val="00237352"/>
    <w:rsid w:val="002373E6"/>
    <w:rsid w:val="00237434"/>
    <w:rsid w:val="00237576"/>
    <w:rsid w:val="0023757E"/>
    <w:rsid w:val="00237657"/>
    <w:rsid w:val="002376FE"/>
    <w:rsid w:val="0023774F"/>
    <w:rsid w:val="002377BF"/>
    <w:rsid w:val="0023780A"/>
    <w:rsid w:val="00237845"/>
    <w:rsid w:val="002378C2"/>
    <w:rsid w:val="0023796E"/>
    <w:rsid w:val="002379A7"/>
    <w:rsid w:val="00237A0D"/>
    <w:rsid w:val="00237A5C"/>
    <w:rsid w:val="00237AC4"/>
    <w:rsid w:val="00237AC8"/>
    <w:rsid w:val="00237B63"/>
    <w:rsid w:val="00237B7E"/>
    <w:rsid w:val="00237BAC"/>
    <w:rsid w:val="00237C30"/>
    <w:rsid w:val="00237C37"/>
    <w:rsid w:val="00237C76"/>
    <w:rsid w:val="00237CF5"/>
    <w:rsid w:val="00237CFA"/>
    <w:rsid w:val="00237D3D"/>
    <w:rsid w:val="00237DAB"/>
    <w:rsid w:val="00237DBD"/>
    <w:rsid w:val="00237E4D"/>
    <w:rsid w:val="00237ED6"/>
    <w:rsid w:val="00237F04"/>
    <w:rsid w:val="00237F25"/>
    <w:rsid w:val="00237F9D"/>
    <w:rsid w:val="00240036"/>
    <w:rsid w:val="002400FE"/>
    <w:rsid w:val="002401E3"/>
    <w:rsid w:val="002401E8"/>
    <w:rsid w:val="0024020F"/>
    <w:rsid w:val="00240316"/>
    <w:rsid w:val="00240385"/>
    <w:rsid w:val="002403FF"/>
    <w:rsid w:val="00240444"/>
    <w:rsid w:val="002404B1"/>
    <w:rsid w:val="002404DD"/>
    <w:rsid w:val="0024057E"/>
    <w:rsid w:val="002405A2"/>
    <w:rsid w:val="002405B8"/>
    <w:rsid w:val="00240701"/>
    <w:rsid w:val="002407BD"/>
    <w:rsid w:val="002407D1"/>
    <w:rsid w:val="002408A2"/>
    <w:rsid w:val="002408AF"/>
    <w:rsid w:val="002408DE"/>
    <w:rsid w:val="0024092F"/>
    <w:rsid w:val="00240933"/>
    <w:rsid w:val="00240989"/>
    <w:rsid w:val="00240A6E"/>
    <w:rsid w:val="00240A73"/>
    <w:rsid w:val="00240C45"/>
    <w:rsid w:val="00240C79"/>
    <w:rsid w:val="00240C92"/>
    <w:rsid w:val="00240CB9"/>
    <w:rsid w:val="00240CEF"/>
    <w:rsid w:val="00240E57"/>
    <w:rsid w:val="00240E5F"/>
    <w:rsid w:val="00240E9D"/>
    <w:rsid w:val="00240FF7"/>
    <w:rsid w:val="00241031"/>
    <w:rsid w:val="00241158"/>
    <w:rsid w:val="00241321"/>
    <w:rsid w:val="002413D1"/>
    <w:rsid w:val="00241510"/>
    <w:rsid w:val="0024155D"/>
    <w:rsid w:val="002415B8"/>
    <w:rsid w:val="002415C5"/>
    <w:rsid w:val="002415F0"/>
    <w:rsid w:val="00241749"/>
    <w:rsid w:val="002417BE"/>
    <w:rsid w:val="0024197E"/>
    <w:rsid w:val="00241A3F"/>
    <w:rsid w:val="00241A69"/>
    <w:rsid w:val="00241A6D"/>
    <w:rsid w:val="00241B22"/>
    <w:rsid w:val="00241C1E"/>
    <w:rsid w:val="00241C60"/>
    <w:rsid w:val="00241C82"/>
    <w:rsid w:val="00241D4B"/>
    <w:rsid w:val="00241D87"/>
    <w:rsid w:val="00241DA9"/>
    <w:rsid w:val="00241EF2"/>
    <w:rsid w:val="00241F9E"/>
    <w:rsid w:val="00242106"/>
    <w:rsid w:val="00242115"/>
    <w:rsid w:val="00242190"/>
    <w:rsid w:val="002422D2"/>
    <w:rsid w:val="00242372"/>
    <w:rsid w:val="00242381"/>
    <w:rsid w:val="002423F5"/>
    <w:rsid w:val="00242442"/>
    <w:rsid w:val="0024250F"/>
    <w:rsid w:val="00242597"/>
    <w:rsid w:val="0024261E"/>
    <w:rsid w:val="00242639"/>
    <w:rsid w:val="00242689"/>
    <w:rsid w:val="002426D0"/>
    <w:rsid w:val="00242727"/>
    <w:rsid w:val="00242729"/>
    <w:rsid w:val="0024275A"/>
    <w:rsid w:val="00242A57"/>
    <w:rsid w:val="00242B46"/>
    <w:rsid w:val="00242B5C"/>
    <w:rsid w:val="00242B7D"/>
    <w:rsid w:val="00242C94"/>
    <w:rsid w:val="00242CAC"/>
    <w:rsid w:val="00242CC4"/>
    <w:rsid w:val="00242E44"/>
    <w:rsid w:val="00242E6D"/>
    <w:rsid w:val="00242E92"/>
    <w:rsid w:val="00242F19"/>
    <w:rsid w:val="0024301B"/>
    <w:rsid w:val="0024319B"/>
    <w:rsid w:val="0024329A"/>
    <w:rsid w:val="0024329C"/>
    <w:rsid w:val="002432EA"/>
    <w:rsid w:val="00243329"/>
    <w:rsid w:val="002433C2"/>
    <w:rsid w:val="0024343B"/>
    <w:rsid w:val="00243469"/>
    <w:rsid w:val="0024352A"/>
    <w:rsid w:val="0024353A"/>
    <w:rsid w:val="00243580"/>
    <w:rsid w:val="00243665"/>
    <w:rsid w:val="002436D4"/>
    <w:rsid w:val="002436EA"/>
    <w:rsid w:val="002437C1"/>
    <w:rsid w:val="002438AC"/>
    <w:rsid w:val="002438E7"/>
    <w:rsid w:val="0024391B"/>
    <w:rsid w:val="00243937"/>
    <w:rsid w:val="0024393B"/>
    <w:rsid w:val="00243A26"/>
    <w:rsid w:val="00243B2E"/>
    <w:rsid w:val="00243B66"/>
    <w:rsid w:val="00243C88"/>
    <w:rsid w:val="00243E74"/>
    <w:rsid w:val="00243EC5"/>
    <w:rsid w:val="00243EEC"/>
    <w:rsid w:val="00243F82"/>
    <w:rsid w:val="0024402E"/>
    <w:rsid w:val="002440A3"/>
    <w:rsid w:val="002440BD"/>
    <w:rsid w:val="00244117"/>
    <w:rsid w:val="0024411C"/>
    <w:rsid w:val="00244159"/>
    <w:rsid w:val="002441A6"/>
    <w:rsid w:val="002441CD"/>
    <w:rsid w:val="002441FB"/>
    <w:rsid w:val="00244286"/>
    <w:rsid w:val="00244374"/>
    <w:rsid w:val="002443A0"/>
    <w:rsid w:val="002443BE"/>
    <w:rsid w:val="00244467"/>
    <w:rsid w:val="002444C6"/>
    <w:rsid w:val="00244564"/>
    <w:rsid w:val="002448FC"/>
    <w:rsid w:val="0024490A"/>
    <w:rsid w:val="00244932"/>
    <w:rsid w:val="00244957"/>
    <w:rsid w:val="002449A0"/>
    <w:rsid w:val="00244A15"/>
    <w:rsid w:val="00244BAC"/>
    <w:rsid w:val="00244D9E"/>
    <w:rsid w:val="00244E1C"/>
    <w:rsid w:val="00244E76"/>
    <w:rsid w:val="00244ECE"/>
    <w:rsid w:val="00244EDD"/>
    <w:rsid w:val="00245023"/>
    <w:rsid w:val="0024503F"/>
    <w:rsid w:val="002450BC"/>
    <w:rsid w:val="00245125"/>
    <w:rsid w:val="002451F3"/>
    <w:rsid w:val="0024520B"/>
    <w:rsid w:val="002452DF"/>
    <w:rsid w:val="00245366"/>
    <w:rsid w:val="0024543B"/>
    <w:rsid w:val="0024548E"/>
    <w:rsid w:val="00245569"/>
    <w:rsid w:val="00245625"/>
    <w:rsid w:val="00245729"/>
    <w:rsid w:val="002457FD"/>
    <w:rsid w:val="002458FE"/>
    <w:rsid w:val="002459E8"/>
    <w:rsid w:val="00245A18"/>
    <w:rsid w:val="00245A66"/>
    <w:rsid w:val="00245A79"/>
    <w:rsid w:val="00245AD9"/>
    <w:rsid w:val="00245B34"/>
    <w:rsid w:val="00245C51"/>
    <w:rsid w:val="00245D6A"/>
    <w:rsid w:val="00245E04"/>
    <w:rsid w:val="00245E14"/>
    <w:rsid w:val="00245EC8"/>
    <w:rsid w:val="00245FEB"/>
    <w:rsid w:val="00246030"/>
    <w:rsid w:val="00246150"/>
    <w:rsid w:val="0024616D"/>
    <w:rsid w:val="0024617D"/>
    <w:rsid w:val="002461B8"/>
    <w:rsid w:val="00246293"/>
    <w:rsid w:val="002462CA"/>
    <w:rsid w:val="0024630D"/>
    <w:rsid w:val="0024635E"/>
    <w:rsid w:val="00246429"/>
    <w:rsid w:val="002465AC"/>
    <w:rsid w:val="00246649"/>
    <w:rsid w:val="00246650"/>
    <w:rsid w:val="0024667E"/>
    <w:rsid w:val="0024674B"/>
    <w:rsid w:val="00246845"/>
    <w:rsid w:val="00246885"/>
    <w:rsid w:val="00246944"/>
    <w:rsid w:val="00246A3F"/>
    <w:rsid w:val="00246B0F"/>
    <w:rsid w:val="00246BC1"/>
    <w:rsid w:val="00246BE4"/>
    <w:rsid w:val="00246C2E"/>
    <w:rsid w:val="00246C4E"/>
    <w:rsid w:val="00246CC6"/>
    <w:rsid w:val="00246EAE"/>
    <w:rsid w:val="00246FC9"/>
    <w:rsid w:val="00246FDC"/>
    <w:rsid w:val="0024714F"/>
    <w:rsid w:val="00247170"/>
    <w:rsid w:val="00247173"/>
    <w:rsid w:val="002471F1"/>
    <w:rsid w:val="00247206"/>
    <w:rsid w:val="00247228"/>
    <w:rsid w:val="002472C4"/>
    <w:rsid w:val="002473E9"/>
    <w:rsid w:val="002473F3"/>
    <w:rsid w:val="00247411"/>
    <w:rsid w:val="002475B5"/>
    <w:rsid w:val="002475FE"/>
    <w:rsid w:val="00247608"/>
    <w:rsid w:val="0024767F"/>
    <w:rsid w:val="002476D6"/>
    <w:rsid w:val="002477CA"/>
    <w:rsid w:val="002478A5"/>
    <w:rsid w:val="002478B3"/>
    <w:rsid w:val="002478C6"/>
    <w:rsid w:val="002478D2"/>
    <w:rsid w:val="00247906"/>
    <w:rsid w:val="00247A21"/>
    <w:rsid w:val="00247B6A"/>
    <w:rsid w:val="00247BD8"/>
    <w:rsid w:val="00247E3D"/>
    <w:rsid w:val="00247EDB"/>
    <w:rsid w:val="00250156"/>
    <w:rsid w:val="00250370"/>
    <w:rsid w:val="00250438"/>
    <w:rsid w:val="0025043A"/>
    <w:rsid w:val="0025044D"/>
    <w:rsid w:val="0025053E"/>
    <w:rsid w:val="00250547"/>
    <w:rsid w:val="0025064F"/>
    <w:rsid w:val="00250687"/>
    <w:rsid w:val="002506F4"/>
    <w:rsid w:val="00250729"/>
    <w:rsid w:val="0025079E"/>
    <w:rsid w:val="00250868"/>
    <w:rsid w:val="00250935"/>
    <w:rsid w:val="0025095E"/>
    <w:rsid w:val="002509D7"/>
    <w:rsid w:val="00250A78"/>
    <w:rsid w:val="00250A82"/>
    <w:rsid w:val="00250AD6"/>
    <w:rsid w:val="00250BB2"/>
    <w:rsid w:val="00250C91"/>
    <w:rsid w:val="00250CBE"/>
    <w:rsid w:val="00250DF0"/>
    <w:rsid w:val="00250E2A"/>
    <w:rsid w:val="00250F4E"/>
    <w:rsid w:val="00251066"/>
    <w:rsid w:val="002510A7"/>
    <w:rsid w:val="00251168"/>
    <w:rsid w:val="00251211"/>
    <w:rsid w:val="00251232"/>
    <w:rsid w:val="00251308"/>
    <w:rsid w:val="0025132D"/>
    <w:rsid w:val="002513A1"/>
    <w:rsid w:val="00251401"/>
    <w:rsid w:val="0025146C"/>
    <w:rsid w:val="0025151A"/>
    <w:rsid w:val="00251544"/>
    <w:rsid w:val="0025154C"/>
    <w:rsid w:val="0025157A"/>
    <w:rsid w:val="00251631"/>
    <w:rsid w:val="002516B9"/>
    <w:rsid w:val="002516FC"/>
    <w:rsid w:val="0025193E"/>
    <w:rsid w:val="002519C5"/>
    <w:rsid w:val="00251B0A"/>
    <w:rsid w:val="00251B33"/>
    <w:rsid w:val="00251B56"/>
    <w:rsid w:val="00251DBC"/>
    <w:rsid w:val="00251E17"/>
    <w:rsid w:val="00251E29"/>
    <w:rsid w:val="00251E45"/>
    <w:rsid w:val="00251E56"/>
    <w:rsid w:val="00251F51"/>
    <w:rsid w:val="00251F62"/>
    <w:rsid w:val="00252083"/>
    <w:rsid w:val="002521F0"/>
    <w:rsid w:val="00252240"/>
    <w:rsid w:val="00252304"/>
    <w:rsid w:val="00252307"/>
    <w:rsid w:val="0025236A"/>
    <w:rsid w:val="00252406"/>
    <w:rsid w:val="002525D2"/>
    <w:rsid w:val="002525E6"/>
    <w:rsid w:val="002526A7"/>
    <w:rsid w:val="002526D2"/>
    <w:rsid w:val="00252711"/>
    <w:rsid w:val="00252822"/>
    <w:rsid w:val="002529A2"/>
    <w:rsid w:val="00252A0E"/>
    <w:rsid w:val="00252A1F"/>
    <w:rsid w:val="00252AC3"/>
    <w:rsid w:val="00252AEA"/>
    <w:rsid w:val="00252B11"/>
    <w:rsid w:val="00252B2F"/>
    <w:rsid w:val="00252B5A"/>
    <w:rsid w:val="00252BE7"/>
    <w:rsid w:val="00252BEE"/>
    <w:rsid w:val="00252C15"/>
    <w:rsid w:val="00252CB1"/>
    <w:rsid w:val="00252D80"/>
    <w:rsid w:val="00252E6C"/>
    <w:rsid w:val="002530B4"/>
    <w:rsid w:val="00253113"/>
    <w:rsid w:val="00253141"/>
    <w:rsid w:val="002532DE"/>
    <w:rsid w:val="00253336"/>
    <w:rsid w:val="002533F4"/>
    <w:rsid w:val="0025347D"/>
    <w:rsid w:val="0025366B"/>
    <w:rsid w:val="0025367C"/>
    <w:rsid w:val="002536BE"/>
    <w:rsid w:val="00253784"/>
    <w:rsid w:val="002537A7"/>
    <w:rsid w:val="002537FF"/>
    <w:rsid w:val="00253801"/>
    <w:rsid w:val="002538AA"/>
    <w:rsid w:val="002539B9"/>
    <w:rsid w:val="002539D7"/>
    <w:rsid w:val="00253B35"/>
    <w:rsid w:val="00253B5D"/>
    <w:rsid w:val="00253BB2"/>
    <w:rsid w:val="00253BE3"/>
    <w:rsid w:val="00253D43"/>
    <w:rsid w:val="00253D90"/>
    <w:rsid w:val="00253DC2"/>
    <w:rsid w:val="00253E79"/>
    <w:rsid w:val="00253F17"/>
    <w:rsid w:val="00253FFE"/>
    <w:rsid w:val="002540B8"/>
    <w:rsid w:val="0025412E"/>
    <w:rsid w:val="00254162"/>
    <w:rsid w:val="00254172"/>
    <w:rsid w:val="00254207"/>
    <w:rsid w:val="002543B9"/>
    <w:rsid w:val="0025448B"/>
    <w:rsid w:val="002545F7"/>
    <w:rsid w:val="002546D8"/>
    <w:rsid w:val="002547DD"/>
    <w:rsid w:val="00254866"/>
    <w:rsid w:val="002548B6"/>
    <w:rsid w:val="002548B8"/>
    <w:rsid w:val="002548DD"/>
    <w:rsid w:val="002548FB"/>
    <w:rsid w:val="00254909"/>
    <w:rsid w:val="00254947"/>
    <w:rsid w:val="00254BC4"/>
    <w:rsid w:val="00254BE6"/>
    <w:rsid w:val="00254C0E"/>
    <w:rsid w:val="00254CD6"/>
    <w:rsid w:val="00254D36"/>
    <w:rsid w:val="00254D88"/>
    <w:rsid w:val="00255066"/>
    <w:rsid w:val="00255068"/>
    <w:rsid w:val="00255136"/>
    <w:rsid w:val="0025516F"/>
    <w:rsid w:val="00255295"/>
    <w:rsid w:val="002552E5"/>
    <w:rsid w:val="0025551D"/>
    <w:rsid w:val="00255539"/>
    <w:rsid w:val="00255610"/>
    <w:rsid w:val="00255664"/>
    <w:rsid w:val="002556A7"/>
    <w:rsid w:val="00255760"/>
    <w:rsid w:val="00255771"/>
    <w:rsid w:val="00255854"/>
    <w:rsid w:val="00255859"/>
    <w:rsid w:val="00255873"/>
    <w:rsid w:val="002558D0"/>
    <w:rsid w:val="00255964"/>
    <w:rsid w:val="00255A9F"/>
    <w:rsid w:val="00255AB7"/>
    <w:rsid w:val="00255B22"/>
    <w:rsid w:val="00255BE8"/>
    <w:rsid w:val="00255BE9"/>
    <w:rsid w:val="00255CC8"/>
    <w:rsid w:val="00255D07"/>
    <w:rsid w:val="00255D5F"/>
    <w:rsid w:val="00255DCD"/>
    <w:rsid w:val="00255DFF"/>
    <w:rsid w:val="00255FA7"/>
    <w:rsid w:val="0025601C"/>
    <w:rsid w:val="002560B2"/>
    <w:rsid w:val="0025615D"/>
    <w:rsid w:val="002561CD"/>
    <w:rsid w:val="002561D5"/>
    <w:rsid w:val="002561F8"/>
    <w:rsid w:val="0025625D"/>
    <w:rsid w:val="00256282"/>
    <w:rsid w:val="002564DB"/>
    <w:rsid w:val="002564E6"/>
    <w:rsid w:val="0025657D"/>
    <w:rsid w:val="0025658D"/>
    <w:rsid w:val="00256596"/>
    <w:rsid w:val="002565EF"/>
    <w:rsid w:val="00256605"/>
    <w:rsid w:val="00256759"/>
    <w:rsid w:val="0025679B"/>
    <w:rsid w:val="00256911"/>
    <w:rsid w:val="0025694F"/>
    <w:rsid w:val="00256998"/>
    <w:rsid w:val="002569CD"/>
    <w:rsid w:val="00256A69"/>
    <w:rsid w:val="00256AF9"/>
    <w:rsid w:val="00256B1E"/>
    <w:rsid w:val="00256B29"/>
    <w:rsid w:val="00256B53"/>
    <w:rsid w:val="00256CC5"/>
    <w:rsid w:val="00256CF4"/>
    <w:rsid w:val="00256CFC"/>
    <w:rsid w:val="00256EA7"/>
    <w:rsid w:val="00256EDC"/>
    <w:rsid w:val="00257008"/>
    <w:rsid w:val="00257074"/>
    <w:rsid w:val="0025708F"/>
    <w:rsid w:val="00257101"/>
    <w:rsid w:val="0025713D"/>
    <w:rsid w:val="0025713E"/>
    <w:rsid w:val="0025719E"/>
    <w:rsid w:val="00257245"/>
    <w:rsid w:val="00257253"/>
    <w:rsid w:val="0025729D"/>
    <w:rsid w:val="002572AB"/>
    <w:rsid w:val="002573E2"/>
    <w:rsid w:val="00257485"/>
    <w:rsid w:val="002575C3"/>
    <w:rsid w:val="002575EB"/>
    <w:rsid w:val="002575FE"/>
    <w:rsid w:val="0025769C"/>
    <w:rsid w:val="002576B8"/>
    <w:rsid w:val="002576E1"/>
    <w:rsid w:val="002576E2"/>
    <w:rsid w:val="00257717"/>
    <w:rsid w:val="0025781D"/>
    <w:rsid w:val="0025785A"/>
    <w:rsid w:val="002578D1"/>
    <w:rsid w:val="00257910"/>
    <w:rsid w:val="002579B1"/>
    <w:rsid w:val="00257AFC"/>
    <w:rsid w:val="00257B9F"/>
    <w:rsid w:val="00257BFB"/>
    <w:rsid w:val="00257C66"/>
    <w:rsid w:val="00257CDE"/>
    <w:rsid w:val="00257D46"/>
    <w:rsid w:val="00257DB4"/>
    <w:rsid w:val="00257F00"/>
    <w:rsid w:val="00257F22"/>
    <w:rsid w:val="00257FEB"/>
    <w:rsid w:val="00260124"/>
    <w:rsid w:val="002602D1"/>
    <w:rsid w:val="0026034C"/>
    <w:rsid w:val="002603A5"/>
    <w:rsid w:val="002603E1"/>
    <w:rsid w:val="00260411"/>
    <w:rsid w:val="00260421"/>
    <w:rsid w:val="0026058F"/>
    <w:rsid w:val="00260590"/>
    <w:rsid w:val="002605A5"/>
    <w:rsid w:val="002605AA"/>
    <w:rsid w:val="002605EC"/>
    <w:rsid w:val="002606B1"/>
    <w:rsid w:val="002606D8"/>
    <w:rsid w:val="002606FF"/>
    <w:rsid w:val="002607A5"/>
    <w:rsid w:val="00260838"/>
    <w:rsid w:val="002608F8"/>
    <w:rsid w:val="002609A5"/>
    <w:rsid w:val="002609F9"/>
    <w:rsid w:val="00260A52"/>
    <w:rsid w:val="00260ABA"/>
    <w:rsid w:val="00260AC9"/>
    <w:rsid w:val="00260B1D"/>
    <w:rsid w:val="00260D1B"/>
    <w:rsid w:val="00260D7E"/>
    <w:rsid w:val="00260DEB"/>
    <w:rsid w:val="00260ED0"/>
    <w:rsid w:val="00260EFE"/>
    <w:rsid w:val="00260F50"/>
    <w:rsid w:val="00260FA2"/>
    <w:rsid w:val="00260FFB"/>
    <w:rsid w:val="00261098"/>
    <w:rsid w:val="0026111B"/>
    <w:rsid w:val="00261262"/>
    <w:rsid w:val="00261271"/>
    <w:rsid w:val="00261273"/>
    <w:rsid w:val="0026127D"/>
    <w:rsid w:val="002612FD"/>
    <w:rsid w:val="0026130B"/>
    <w:rsid w:val="00261363"/>
    <w:rsid w:val="0026139A"/>
    <w:rsid w:val="002613D6"/>
    <w:rsid w:val="002613E8"/>
    <w:rsid w:val="002614F3"/>
    <w:rsid w:val="00261603"/>
    <w:rsid w:val="00261704"/>
    <w:rsid w:val="002617A7"/>
    <w:rsid w:val="002617A8"/>
    <w:rsid w:val="0026190D"/>
    <w:rsid w:val="00261945"/>
    <w:rsid w:val="002619DD"/>
    <w:rsid w:val="002619FA"/>
    <w:rsid w:val="00261A5D"/>
    <w:rsid w:val="00261ABD"/>
    <w:rsid w:val="00261BB1"/>
    <w:rsid w:val="00261C37"/>
    <w:rsid w:val="00261D5C"/>
    <w:rsid w:val="00261DC4"/>
    <w:rsid w:val="00261E17"/>
    <w:rsid w:val="00261EFC"/>
    <w:rsid w:val="00261F72"/>
    <w:rsid w:val="00261FE6"/>
    <w:rsid w:val="00262095"/>
    <w:rsid w:val="00262193"/>
    <w:rsid w:val="0026224F"/>
    <w:rsid w:val="00262256"/>
    <w:rsid w:val="002622C4"/>
    <w:rsid w:val="002623B8"/>
    <w:rsid w:val="00262539"/>
    <w:rsid w:val="002625E0"/>
    <w:rsid w:val="002625F6"/>
    <w:rsid w:val="002626DF"/>
    <w:rsid w:val="0026285D"/>
    <w:rsid w:val="0026293E"/>
    <w:rsid w:val="002629B0"/>
    <w:rsid w:val="002629C3"/>
    <w:rsid w:val="00262A53"/>
    <w:rsid w:val="00262AEC"/>
    <w:rsid w:val="00262AF8"/>
    <w:rsid w:val="00262B7E"/>
    <w:rsid w:val="00262C65"/>
    <w:rsid w:val="00262D2C"/>
    <w:rsid w:val="00262E4C"/>
    <w:rsid w:val="00262E6E"/>
    <w:rsid w:val="00262E7C"/>
    <w:rsid w:val="00262EE8"/>
    <w:rsid w:val="00262F69"/>
    <w:rsid w:val="00262FB4"/>
    <w:rsid w:val="0026315E"/>
    <w:rsid w:val="0026318A"/>
    <w:rsid w:val="002631AC"/>
    <w:rsid w:val="00263221"/>
    <w:rsid w:val="00263430"/>
    <w:rsid w:val="00263658"/>
    <w:rsid w:val="0026378D"/>
    <w:rsid w:val="002637D7"/>
    <w:rsid w:val="002637FB"/>
    <w:rsid w:val="00263838"/>
    <w:rsid w:val="002638CE"/>
    <w:rsid w:val="002639A5"/>
    <w:rsid w:val="00263A28"/>
    <w:rsid w:val="00263AC5"/>
    <w:rsid w:val="00263B8E"/>
    <w:rsid w:val="00263B91"/>
    <w:rsid w:val="00263C85"/>
    <w:rsid w:val="00263C88"/>
    <w:rsid w:val="00263DCF"/>
    <w:rsid w:val="00263E26"/>
    <w:rsid w:val="00263E70"/>
    <w:rsid w:val="00263F74"/>
    <w:rsid w:val="00264108"/>
    <w:rsid w:val="002641AD"/>
    <w:rsid w:val="002641DB"/>
    <w:rsid w:val="00264331"/>
    <w:rsid w:val="0026433E"/>
    <w:rsid w:val="0026436E"/>
    <w:rsid w:val="002643FB"/>
    <w:rsid w:val="00264471"/>
    <w:rsid w:val="002644C3"/>
    <w:rsid w:val="002644E4"/>
    <w:rsid w:val="0026458E"/>
    <w:rsid w:val="002645DC"/>
    <w:rsid w:val="002646BC"/>
    <w:rsid w:val="00264732"/>
    <w:rsid w:val="002648A8"/>
    <w:rsid w:val="002648EE"/>
    <w:rsid w:val="002649BF"/>
    <w:rsid w:val="00264AC6"/>
    <w:rsid w:val="00264AF2"/>
    <w:rsid w:val="00264C07"/>
    <w:rsid w:val="00264C0D"/>
    <w:rsid w:val="00264C39"/>
    <w:rsid w:val="00264CF8"/>
    <w:rsid w:val="00264E79"/>
    <w:rsid w:val="00265026"/>
    <w:rsid w:val="0026502C"/>
    <w:rsid w:val="00265253"/>
    <w:rsid w:val="002652BC"/>
    <w:rsid w:val="00265406"/>
    <w:rsid w:val="00265424"/>
    <w:rsid w:val="0026545B"/>
    <w:rsid w:val="0026558B"/>
    <w:rsid w:val="0026580D"/>
    <w:rsid w:val="0026584F"/>
    <w:rsid w:val="0026586E"/>
    <w:rsid w:val="002658D9"/>
    <w:rsid w:val="002658DE"/>
    <w:rsid w:val="00265A11"/>
    <w:rsid w:val="00265A5A"/>
    <w:rsid w:val="00265A96"/>
    <w:rsid w:val="00265AEB"/>
    <w:rsid w:val="00265B9D"/>
    <w:rsid w:val="00265C0E"/>
    <w:rsid w:val="00265C68"/>
    <w:rsid w:val="00265EC6"/>
    <w:rsid w:val="00265F41"/>
    <w:rsid w:val="00266019"/>
    <w:rsid w:val="00266074"/>
    <w:rsid w:val="0026609A"/>
    <w:rsid w:val="002661B9"/>
    <w:rsid w:val="00266253"/>
    <w:rsid w:val="00266264"/>
    <w:rsid w:val="002662A9"/>
    <w:rsid w:val="00266303"/>
    <w:rsid w:val="00266329"/>
    <w:rsid w:val="002663F4"/>
    <w:rsid w:val="00266509"/>
    <w:rsid w:val="00266593"/>
    <w:rsid w:val="002665E9"/>
    <w:rsid w:val="0026661C"/>
    <w:rsid w:val="00266786"/>
    <w:rsid w:val="002668D3"/>
    <w:rsid w:val="002668D6"/>
    <w:rsid w:val="0026696C"/>
    <w:rsid w:val="00266999"/>
    <w:rsid w:val="00266A63"/>
    <w:rsid w:val="00266AB7"/>
    <w:rsid w:val="00266B3E"/>
    <w:rsid w:val="00266C04"/>
    <w:rsid w:val="00266D97"/>
    <w:rsid w:val="00266F63"/>
    <w:rsid w:val="00266F9F"/>
    <w:rsid w:val="00267035"/>
    <w:rsid w:val="002670BD"/>
    <w:rsid w:val="0026716C"/>
    <w:rsid w:val="002671E7"/>
    <w:rsid w:val="00267200"/>
    <w:rsid w:val="00267402"/>
    <w:rsid w:val="00267405"/>
    <w:rsid w:val="00267437"/>
    <w:rsid w:val="00267462"/>
    <w:rsid w:val="002674A1"/>
    <w:rsid w:val="0026763B"/>
    <w:rsid w:val="002676AA"/>
    <w:rsid w:val="002676AE"/>
    <w:rsid w:val="002676E7"/>
    <w:rsid w:val="0026770D"/>
    <w:rsid w:val="00267781"/>
    <w:rsid w:val="00267799"/>
    <w:rsid w:val="00267848"/>
    <w:rsid w:val="00267869"/>
    <w:rsid w:val="0026796F"/>
    <w:rsid w:val="00267B3E"/>
    <w:rsid w:val="00267C8C"/>
    <w:rsid w:val="00267EC5"/>
    <w:rsid w:val="00267F5B"/>
    <w:rsid w:val="00267FB1"/>
    <w:rsid w:val="0027004F"/>
    <w:rsid w:val="002700B1"/>
    <w:rsid w:val="0027011C"/>
    <w:rsid w:val="0027014F"/>
    <w:rsid w:val="00270179"/>
    <w:rsid w:val="0027019C"/>
    <w:rsid w:val="00270223"/>
    <w:rsid w:val="0027023B"/>
    <w:rsid w:val="00270288"/>
    <w:rsid w:val="002704E6"/>
    <w:rsid w:val="00270548"/>
    <w:rsid w:val="002705C9"/>
    <w:rsid w:val="002706ED"/>
    <w:rsid w:val="00270703"/>
    <w:rsid w:val="00270769"/>
    <w:rsid w:val="0027079D"/>
    <w:rsid w:val="0027083C"/>
    <w:rsid w:val="00270902"/>
    <w:rsid w:val="002709C7"/>
    <w:rsid w:val="002709E7"/>
    <w:rsid w:val="002709FA"/>
    <w:rsid w:val="00270BFA"/>
    <w:rsid w:val="00270C37"/>
    <w:rsid w:val="00270C85"/>
    <w:rsid w:val="00270CD8"/>
    <w:rsid w:val="00270D95"/>
    <w:rsid w:val="00270DD4"/>
    <w:rsid w:val="00270EA8"/>
    <w:rsid w:val="002711E1"/>
    <w:rsid w:val="00271209"/>
    <w:rsid w:val="0027142F"/>
    <w:rsid w:val="00271501"/>
    <w:rsid w:val="002715F3"/>
    <w:rsid w:val="00271621"/>
    <w:rsid w:val="00271653"/>
    <w:rsid w:val="0027170E"/>
    <w:rsid w:val="0027199F"/>
    <w:rsid w:val="002719A6"/>
    <w:rsid w:val="00271A0E"/>
    <w:rsid w:val="00271AB4"/>
    <w:rsid w:val="00271AB5"/>
    <w:rsid w:val="00271ABB"/>
    <w:rsid w:val="00271B09"/>
    <w:rsid w:val="00271BB1"/>
    <w:rsid w:val="00271CCF"/>
    <w:rsid w:val="00271D21"/>
    <w:rsid w:val="00271E46"/>
    <w:rsid w:val="00271E61"/>
    <w:rsid w:val="00271E85"/>
    <w:rsid w:val="00271EF1"/>
    <w:rsid w:val="00271F8B"/>
    <w:rsid w:val="0027201C"/>
    <w:rsid w:val="0027205C"/>
    <w:rsid w:val="0027209C"/>
    <w:rsid w:val="002720F9"/>
    <w:rsid w:val="0027214D"/>
    <w:rsid w:val="0027224C"/>
    <w:rsid w:val="002722C9"/>
    <w:rsid w:val="00272332"/>
    <w:rsid w:val="00272351"/>
    <w:rsid w:val="002724B0"/>
    <w:rsid w:val="002724F7"/>
    <w:rsid w:val="002725A1"/>
    <w:rsid w:val="00272618"/>
    <w:rsid w:val="00272641"/>
    <w:rsid w:val="00272745"/>
    <w:rsid w:val="0027274E"/>
    <w:rsid w:val="0027276B"/>
    <w:rsid w:val="002727B5"/>
    <w:rsid w:val="002727EA"/>
    <w:rsid w:val="00272812"/>
    <w:rsid w:val="00272851"/>
    <w:rsid w:val="00272928"/>
    <w:rsid w:val="00272944"/>
    <w:rsid w:val="002729AC"/>
    <w:rsid w:val="002729CC"/>
    <w:rsid w:val="00272BCC"/>
    <w:rsid w:val="00272CC5"/>
    <w:rsid w:val="00272DA3"/>
    <w:rsid w:val="00272DA7"/>
    <w:rsid w:val="00272DD1"/>
    <w:rsid w:val="00272E25"/>
    <w:rsid w:val="00272E40"/>
    <w:rsid w:val="00272E50"/>
    <w:rsid w:val="00272E80"/>
    <w:rsid w:val="00272E9C"/>
    <w:rsid w:val="00272F23"/>
    <w:rsid w:val="00272F3A"/>
    <w:rsid w:val="00272F47"/>
    <w:rsid w:val="00272F5A"/>
    <w:rsid w:val="00272F9F"/>
    <w:rsid w:val="00273096"/>
    <w:rsid w:val="002730BE"/>
    <w:rsid w:val="0027318C"/>
    <w:rsid w:val="002731CE"/>
    <w:rsid w:val="002731D0"/>
    <w:rsid w:val="002731D8"/>
    <w:rsid w:val="002733A9"/>
    <w:rsid w:val="00273413"/>
    <w:rsid w:val="002734D2"/>
    <w:rsid w:val="002734E6"/>
    <w:rsid w:val="002734FE"/>
    <w:rsid w:val="0027360D"/>
    <w:rsid w:val="00273722"/>
    <w:rsid w:val="00273791"/>
    <w:rsid w:val="00273839"/>
    <w:rsid w:val="0027387C"/>
    <w:rsid w:val="00273BAD"/>
    <w:rsid w:val="00273BE6"/>
    <w:rsid w:val="00273D09"/>
    <w:rsid w:val="00273DCD"/>
    <w:rsid w:val="00273ED1"/>
    <w:rsid w:val="00274022"/>
    <w:rsid w:val="00274040"/>
    <w:rsid w:val="002740A6"/>
    <w:rsid w:val="002740C8"/>
    <w:rsid w:val="00274166"/>
    <w:rsid w:val="002742CB"/>
    <w:rsid w:val="00274493"/>
    <w:rsid w:val="00274624"/>
    <w:rsid w:val="0027465C"/>
    <w:rsid w:val="0027467B"/>
    <w:rsid w:val="0027487A"/>
    <w:rsid w:val="0027487D"/>
    <w:rsid w:val="0027491B"/>
    <w:rsid w:val="002749F4"/>
    <w:rsid w:val="00274A00"/>
    <w:rsid w:val="00274A2C"/>
    <w:rsid w:val="00274ABF"/>
    <w:rsid w:val="00274ADA"/>
    <w:rsid w:val="00274B12"/>
    <w:rsid w:val="00274DE2"/>
    <w:rsid w:val="00274F01"/>
    <w:rsid w:val="00275002"/>
    <w:rsid w:val="00275063"/>
    <w:rsid w:val="002750B3"/>
    <w:rsid w:val="002750FD"/>
    <w:rsid w:val="0027511C"/>
    <w:rsid w:val="00275141"/>
    <w:rsid w:val="00275150"/>
    <w:rsid w:val="002751DD"/>
    <w:rsid w:val="00275366"/>
    <w:rsid w:val="00275399"/>
    <w:rsid w:val="002753A1"/>
    <w:rsid w:val="00275413"/>
    <w:rsid w:val="00275532"/>
    <w:rsid w:val="0027555F"/>
    <w:rsid w:val="002755C2"/>
    <w:rsid w:val="00275621"/>
    <w:rsid w:val="0027568D"/>
    <w:rsid w:val="002757DC"/>
    <w:rsid w:val="0027581C"/>
    <w:rsid w:val="00275890"/>
    <w:rsid w:val="002758BC"/>
    <w:rsid w:val="002758CF"/>
    <w:rsid w:val="0027594E"/>
    <w:rsid w:val="00275958"/>
    <w:rsid w:val="002759A5"/>
    <w:rsid w:val="002759FB"/>
    <w:rsid w:val="00275B58"/>
    <w:rsid w:val="00275BD9"/>
    <w:rsid w:val="00275C0E"/>
    <w:rsid w:val="00275CB9"/>
    <w:rsid w:val="00275CCB"/>
    <w:rsid w:val="00275DD7"/>
    <w:rsid w:val="00275E1D"/>
    <w:rsid w:val="00275E25"/>
    <w:rsid w:val="00275E47"/>
    <w:rsid w:val="00275F38"/>
    <w:rsid w:val="00275FD7"/>
    <w:rsid w:val="00276043"/>
    <w:rsid w:val="00276116"/>
    <w:rsid w:val="00276164"/>
    <w:rsid w:val="002761D3"/>
    <w:rsid w:val="0027626C"/>
    <w:rsid w:val="0027626E"/>
    <w:rsid w:val="002762B8"/>
    <w:rsid w:val="00276481"/>
    <w:rsid w:val="00276528"/>
    <w:rsid w:val="0027653B"/>
    <w:rsid w:val="0027657F"/>
    <w:rsid w:val="002765E9"/>
    <w:rsid w:val="00276623"/>
    <w:rsid w:val="0027662F"/>
    <w:rsid w:val="0027666B"/>
    <w:rsid w:val="0027667F"/>
    <w:rsid w:val="002766F8"/>
    <w:rsid w:val="00276765"/>
    <w:rsid w:val="0027688B"/>
    <w:rsid w:val="00276890"/>
    <w:rsid w:val="00276B98"/>
    <w:rsid w:val="00276B9C"/>
    <w:rsid w:val="00276BC3"/>
    <w:rsid w:val="00276BD5"/>
    <w:rsid w:val="00276C46"/>
    <w:rsid w:val="00276C66"/>
    <w:rsid w:val="00276C70"/>
    <w:rsid w:val="00276C72"/>
    <w:rsid w:val="00276D43"/>
    <w:rsid w:val="00276D5A"/>
    <w:rsid w:val="00276DEC"/>
    <w:rsid w:val="00276DF4"/>
    <w:rsid w:val="00276E5B"/>
    <w:rsid w:val="00276E99"/>
    <w:rsid w:val="00276EEA"/>
    <w:rsid w:val="00276FEB"/>
    <w:rsid w:val="002770DB"/>
    <w:rsid w:val="0027712B"/>
    <w:rsid w:val="00277142"/>
    <w:rsid w:val="002771AA"/>
    <w:rsid w:val="00277248"/>
    <w:rsid w:val="002772DF"/>
    <w:rsid w:val="00277342"/>
    <w:rsid w:val="002774A2"/>
    <w:rsid w:val="00277594"/>
    <w:rsid w:val="002775A4"/>
    <w:rsid w:val="00277655"/>
    <w:rsid w:val="00277657"/>
    <w:rsid w:val="002776F4"/>
    <w:rsid w:val="00277751"/>
    <w:rsid w:val="002777DB"/>
    <w:rsid w:val="00277839"/>
    <w:rsid w:val="0027785E"/>
    <w:rsid w:val="0027788D"/>
    <w:rsid w:val="002778DF"/>
    <w:rsid w:val="002778F3"/>
    <w:rsid w:val="0027791E"/>
    <w:rsid w:val="00277920"/>
    <w:rsid w:val="00277939"/>
    <w:rsid w:val="00277963"/>
    <w:rsid w:val="002779E4"/>
    <w:rsid w:val="00277BB6"/>
    <w:rsid w:val="00277BC4"/>
    <w:rsid w:val="00277C8D"/>
    <w:rsid w:val="00277D55"/>
    <w:rsid w:val="00280015"/>
    <w:rsid w:val="00280016"/>
    <w:rsid w:val="00280024"/>
    <w:rsid w:val="0028003D"/>
    <w:rsid w:val="002801C0"/>
    <w:rsid w:val="002802E5"/>
    <w:rsid w:val="002802EB"/>
    <w:rsid w:val="00280355"/>
    <w:rsid w:val="002803BE"/>
    <w:rsid w:val="0028041C"/>
    <w:rsid w:val="002804F7"/>
    <w:rsid w:val="002806A8"/>
    <w:rsid w:val="002806C6"/>
    <w:rsid w:val="002806FB"/>
    <w:rsid w:val="00280863"/>
    <w:rsid w:val="00280978"/>
    <w:rsid w:val="00280A2C"/>
    <w:rsid w:val="00280AB7"/>
    <w:rsid w:val="00280B76"/>
    <w:rsid w:val="00280BA9"/>
    <w:rsid w:val="00280D9B"/>
    <w:rsid w:val="00280DBB"/>
    <w:rsid w:val="00280E04"/>
    <w:rsid w:val="00280F06"/>
    <w:rsid w:val="00280F1F"/>
    <w:rsid w:val="00280F39"/>
    <w:rsid w:val="00280F9A"/>
    <w:rsid w:val="00281046"/>
    <w:rsid w:val="002810D5"/>
    <w:rsid w:val="002810FA"/>
    <w:rsid w:val="0028112A"/>
    <w:rsid w:val="002811C8"/>
    <w:rsid w:val="0028131F"/>
    <w:rsid w:val="00281364"/>
    <w:rsid w:val="002813B0"/>
    <w:rsid w:val="002813FF"/>
    <w:rsid w:val="00281414"/>
    <w:rsid w:val="00281481"/>
    <w:rsid w:val="0028162B"/>
    <w:rsid w:val="0028163F"/>
    <w:rsid w:val="00281716"/>
    <w:rsid w:val="00281831"/>
    <w:rsid w:val="00281932"/>
    <w:rsid w:val="0028193C"/>
    <w:rsid w:val="002819E2"/>
    <w:rsid w:val="002819F9"/>
    <w:rsid w:val="002819FE"/>
    <w:rsid w:val="00281AB9"/>
    <w:rsid w:val="00281B9E"/>
    <w:rsid w:val="00281BC4"/>
    <w:rsid w:val="00281CBE"/>
    <w:rsid w:val="00281D08"/>
    <w:rsid w:val="00281D8E"/>
    <w:rsid w:val="00281DB3"/>
    <w:rsid w:val="00281E0D"/>
    <w:rsid w:val="00281F04"/>
    <w:rsid w:val="00282139"/>
    <w:rsid w:val="002821BE"/>
    <w:rsid w:val="002822BE"/>
    <w:rsid w:val="002822D7"/>
    <w:rsid w:val="0028232D"/>
    <w:rsid w:val="00282348"/>
    <w:rsid w:val="00282398"/>
    <w:rsid w:val="0028239B"/>
    <w:rsid w:val="0028239F"/>
    <w:rsid w:val="002823FB"/>
    <w:rsid w:val="0028241B"/>
    <w:rsid w:val="002824F0"/>
    <w:rsid w:val="0028253F"/>
    <w:rsid w:val="0028262E"/>
    <w:rsid w:val="002826CD"/>
    <w:rsid w:val="002826F3"/>
    <w:rsid w:val="0028272C"/>
    <w:rsid w:val="00282933"/>
    <w:rsid w:val="00282993"/>
    <w:rsid w:val="00282AA3"/>
    <w:rsid w:val="00282B15"/>
    <w:rsid w:val="00282B3C"/>
    <w:rsid w:val="00282B8B"/>
    <w:rsid w:val="00282C68"/>
    <w:rsid w:val="00282D33"/>
    <w:rsid w:val="00282D3D"/>
    <w:rsid w:val="00282D46"/>
    <w:rsid w:val="00282EE5"/>
    <w:rsid w:val="00282EF0"/>
    <w:rsid w:val="00282F82"/>
    <w:rsid w:val="00282F9B"/>
    <w:rsid w:val="00283000"/>
    <w:rsid w:val="00283058"/>
    <w:rsid w:val="00283344"/>
    <w:rsid w:val="00283351"/>
    <w:rsid w:val="0028341A"/>
    <w:rsid w:val="002834CD"/>
    <w:rsid w:val="00283538"/>
    <w:rsid w:val="00283592"/>
    <w:rsid w:val="002835E8"/>
    <w:rsid w:val="00283709"/>
    <w:rsid w:val="00283768"/>
    <w:rsid w:val="00283794"/>
    <w:rsid w:val="00283838"/>
    <w:rsid w:val="0028384D"/>
    <w:rsid w:val="00283A0D"/>
    <w:rsid w:val="00283A7C"/>
    <w:rsid w:val="00283BDB"/>
    <w:rsid w:val="00283C0A"/>
    <w:rsid w:val="00283CB6"/>
    <w:rsid w:val="00283DBF"/>
    <w:rsid w:val="00283FD3"/>
    <w:rsid w:val="00284010"/>
    <w:rsid w:val="0028407E"/>
    <w:rsid w:val="002840B1"/>
    <w:rsid w:val="002840DA"/>
    <w:rsid w:val="00284121"/>
    <w:rsid w:val="0028419C"/>
    <w:rsid w:val="00284205"/>
    <w:rsid w:val="00284273"/>
    <w:rsid w:val="0028436B"/>
    <w:rsid w:val="0028441D"/>
    <w:rsid w:val="002844F7"/>
    <w:rsid w:val="0028457B"/>
    <w:rsid w:val="002845A6"/>
    <w:rsid w:val="002846C0"/>
    <w:rsid w:val="0028470A"/>
    <w:rsid w:val="002849C6"/>
    <w:rsid w:val="002849EC"/>
    <w:rsid w:val="00284A86"/>
    <w:rsid w:val="00284B05"/>
    <w:rsid w:val="00284B09"/>
    <w:rsid w:val="00284B34"/>
    <w:rsid w:val="00284C4E"/>
    <w:rsid w:val="00284CFB"/>
    <w:rsid w:val="00284D15"/>
    <w:rsid w:val="00284D49"/>
    <w:rsid w:val="00284DEE"/>
    <w:rsid w:val="00284E09"/>
    <w:rsid w:val="00284E35"/>
    <w:rsid w:val="00284EAA"/>
    <w:rsid w:val="00284F97"/>
    <w:rsid w:val="00284FB1"/>
    <w:rsid w:val="00284FEB"/>
    <w:rsid w:val="002850F5"/>
    <w:rsid w:val="002851DB"/>
    <w:rsid w:val="00285214"/>
    <w:rsid w:val="002852B4"/>
    <w:rsid w:val="0028531F"/>
    <w:rsid w:val="002853CA"/>
    <w:rsid w:val="00285515"/>
    <w:rsid w:val="00285520"/>
    <w:rsid w:val="0028554B"/>
    <w:rsid w:val="00285643"/>
    <w:rsid w:val="00285674"/>
    <w:rsid w:val="002856CB"/>
    <w:rsid w:val="00285817"/>
    <w:rsid w:val="00285831"/>
    <w:rsid w:val="0028587C"/>
    <w:rsid w:val="0028588C"/>
    <w:rsid w:val="00285980"/>
    <w:rsid w:val="00285983"/>
    <w:rsid w:val="00285A08"/>
    <w:rsid w:val="00285AEC"/>
    <w:rsid w:val="00285B60"/>
    <w:rsid w:val="00285BA4"/>
    <w:rsid w:val="00285C48"/>
    <w:rsid w:val="00285D06"/>
    <w:rsid w:val="00285ECA"/>
    <w:rsid w:val="00285ECD"/>
    <w:rsid w:val="00286137"/>
    <w:rsid w:val="00286258"/>
    <w:rsid w:val="0028637E"/>
    <w:rsid w:val="00286393"/>
    <w:rsid w:val="002863BE"/>
    <w:rsid w:val="002863C5"/>
    <w:rsid w:val="00286593"/>
    <w:rsid w:val="0028661F"/>
    <w:rsid w:val="0028665F"/>
    <w:rsid w:val="002866A8"/>
    <w:rsid w:val="0028677E"/>
    <w:rsid w:val="002868D3"/>
    <w:rsid w:val="002868D6"/>
    <w:rsid w:val="002868EE"/>
    <w:rsid w:val="00286913"/>
    <w:rsid w:val="00286947"/>
    <w:rsid w:val="00286A80"/>
    <w:rsid w:val="00286ACF"/>
    <w:rsid w:val="00286B00"/>
    <w:rsid w:val="00286BB4"/>
    <w:rsid w:val="00286C54"/>
    <w:rsid w:val="00286DB6"/>
    <w:rsid w:val="00286DE3"/>
    <w:rsid w:val="00286E03"/>
    <w:rsid w:val="00286E4D"/>
    <w:rsid w:val="0028704C"/>
    <w:rsid w:val="00287168"/>
    <w:rsid w:val="002871B8"/>
    <w:rsid w:val="00287262"/>
    <w:rsid w:val="00287263"/>
    <w:rsid w:val="0028735E"/>
    <w:rsid w:val="002873C4"/>
    <w:rsid w:val="00287446"/>
    <w:rsid w:val="00287497"/>
    <w:rsid w:val="002874AA"/>
    <w:rsid w:val="00287598"/>
    <w:rsid w:val="002875DA"/>
    <w:rsid w:val="002875F4"/>
    <w:rsid w:val="00287692"/>
    <w:rsid w:val="002876D7"/>
    <w:rsid w:val="0028772F"/>
    <w:rsid w:val="002877DB"/>
    <w:rsid w:val="00287832"/>
    <w:rsid w:val="0028790A"/>
    <w:rsid w:val="00287979"/>
    <w:rsid w:val="002879C9"/>
    <w:rsid w:val="002879E1"/>
    <w:rsid w:val="002879FB"/>
    <w:rsid w:val="00287A2A"/>
    <w:rsid w:val="00287B28"/>
    <w:rsid w:val="00287B51"/>
    <w:rsid w:val="00287BCA"/>
    <w:rsid w:val="00287C2D"/>
    <w:rsid w:val="00287C30"/>
    <w:rsid w:val="00287DC4"/>
    <w:rsid w:val="00287E25"/>
    <w:rsid w:val="00287F0C"/>
    <w:rsid w:val="00287F63"/>
    <w:rsid w:val="00287FB1"/>
    <w:rsid w:val="00287FD3"/>
    <w:rsid w:val="00290016"/>
    <w:rsid w:val="00290095"/>
    <w:rsid w:val="002900E4"/>
    <w:rsid w:val="00290251"/>
    <w:rsid w:val="00290291"/>
    <w:rsid w:val="002902A8"/>
    <w:rsid w:val="00290331"/>
    <w:rsid w:val="00290348"/>
    <w:rsid w:val="0029034E"/>
    <w:rsid w:val="00290494"/>
    <w:rsid w:val="002904CB"/>
    <w:rsid w:val="0029057A"/>
    <w:rsid w:val="00290685"/>
    <w:rsid w:val="00290695"/>
    <w:rsid w:val="0029072A"/>
    <w:rsid w:val="0029077F"/>
    <w:rsid w:val="002907BE"/>
    <w:rsid w:val="0029080D"/>
    <w:rsid w:val="00290817"/>
    <w:rsid w:val="0029084B"/>
    <w:rsid w:val="00290896"/>
    <w:rsid w:val="00290898"/>
    <w:rsid w:val="002908C8"/>
    <w:rsid w:val="00290962"/>
    <w:rsid w:val="00290ACC"/>
    <w:rsid w:val="00290ADF"/>
    <w:rsid w:val="00290AFD"/>
    <w:rsid w:val="00290B8C"/>
    <w:rsid w:val="00290C54"/>
    <w:rsid w:val="00290CCD"/>
    <w:rsid w:val="00290D25"/>
    <w:rsid w:val="00290D2E"/>
    <w:rsid w:val="00290E89"/>
    <w:rsid w:val="00290EC6"/>
    <w:rsid w:val="00290FA3"/>
    <w:rsid w:val="00290FC5"/>
    <w:rsid w:val="00290FDD"/>
    <w:rsid w:val="00291205"/>
    <w:rsid w:val="00291246"/>
    <w:rsid w:val="002912CB"/>
    <w:rsid w:val="00291404"/>
    <w:rsid w:val="0029146B"/>
    <w:rsid w:val="0029169C"/>
    <w:rsid w:val="00291799"/>
    <w:rsid w:val="00291854"/>
    <w:rsid w:val="0029185F"/>
    <w:rsid w:val="0029188D"/>
    <w:rsid w:val="002918C9"/>
    <w:rsid w:val="00291961"/>
    <w:rsid w:val="00291981"/>
    <w:rsid w:val="00291A81"/>
    <w:rsid w:val="00291ACC"/>
    <w:rsid w:val="00291BF6"/>
    <w:rsid w:val="00291C55"/>
    <w:rsid w:val="00291DAC"/>
    <w:rsid w:val="00291EB1"/>
    <w:rsid w:val="00292019"/>
    <w:rsid w:val="00292060"/>
    <w:rsid w:val="0029206E"/>
    <w:rsid w:val="0029210E"/>
    <w:rsid w:val="00292130"/>
    <w:rsid w:val="0029227D"/>
    <w:rsid w:val="00292294"/>
    <w:rsid w:val="002923DB"/>
    <w:rsid w:val="002924C3"/>
    <w:rsid w:val="00292530"/>
    <w:rsid w:val="0029278A"/>
    <w:rsid w:val="002927DF"/>
    <w:rsid w:val="0029283F"/>
    <w:rsid w:val="00292893"/>
    <w:rsid w:val="002928EC"/>
    <w:rsid w:val="0029299C"/>
    <w:rsid w:val="002929BF"/>
    <w:rsid w:val="002929E4"/>
    <w:rsid w:val="00292A14"/>
    <w:rsid w:val="00292A1D"/>
    <w:rsid w:val="00292BBB"/>
    <w:rsid w:val="00292BF0"/>
    <w:rsid w:val="00292C44"/>
    <w:rsid w:val="00292C54"/>
    <w:rsid w:val="00292D70"/>
    <w:rsid w:val="00292D81"/>
    <w:rsid w:val="00292DE2"/>
    <w:rsid w:val="00292E1E"/>
    <w:rsid w:val="00292E8E"/>
    <w:rsid w:val="00292EAE"/>
    <w:rsid w:val="0029303E"/>
    <w:rsid w:val="002930E3"/>
    <w:rsid w:val="00293198"/>
    <w:rsid w:val="002931C9"/>
    <w:rsid w:val="002931CA"/>
    <w:rsid w:val="002931E0"/>
    <w:rsid w:val="002932DB"/>
    <w:rsid w:val="002932E4"/>
    <w:rsid w:val="00293319"/>
    <w:rsid w:val="0029331E"/>
    <w:rsid w:val="002933A8"/>
    <w:rsid w:val="002933B3"/>
    <w:rsid w:val="002934A7"/>
    <w:rsid w:val="002934F2"/>
    <w:rsid w:val="00293554"/>
    <w:rsid w:val="002935AD"/>
    <w:rsid w:val="00293603"/>
    <w:rsid w:val="00293765"/>
    <w:rsid w:val="0029377B"/>
    <w:rsid w:val="002937C7"/>
    <w:rsid w:val="002937EA"/>
    <w:rsid w:val="00293A93"/>
    <w:rsid w:val="00293AED"/>
    <w:rsid w:val="00293B0A"/>
    <w:rsid w:val="00293C29"/>
    <w:rsid w:val="00293C30"/>
    <w:rsid w:val="00293C68"/>
    <w:rsid w:val="00293D96"/>
    <w:rsid w:val="00293FF1"/>
    <w:rsid w:val="002940DF"/>
    <w:rsid w:val="00294296"/>
    <w:rsid w:val="0029433E"/>
    <w:rsid w:val="00294406"/>
    <w:rsid w:val="0029447B"/>
    <w:rsid w:val="002944DC"/>
    <w:rsid w:val="00294517"/>
    <w:rsid w:val="0029461C"/>
    <w:rsid w:val="0029466F"/>
    <w:rsid w:val="002946CC"/>
    <w:rsid w:val="002946E3"/>
    <w:rsid w:val="0029474E"/>
    <w:rsid w:val="00294780"/>
    <w:rsid w:val="002947B1"/>
    <w:rsid w:val="00294900"/>
    <w:rsid w:val="00294A32"/>
    <w:rsid w:val="00294AAB"/>
    <w:rsid w:val="00294B6E"/>
    <w:rsid w:val="00294BB2"/>
    <w:rsid w:val="00294BEE"/>
    <w:rsid w:val="00294C2C"/>
    <w:rsid w:val="00294F3B"/>
    <w:rsid w:val="002950D9"/>
    <w:rsid w:val="00295284"/>
    <w:rsid w:val="002952C6"/>
    <w:rsid w:val="00295310"/>
    <w:rsid w:val="00295343"/>
    <w:rsid w:val="002953EF"/>
    <w:rsid w:val="0029547C"/>
    <w:rsid w:val="002954F6"/>
    <w:rsid w:val="0029588A"/>
    <w:rsid w:val="00295970"/>
    <w:rsid w:val="0029598B"/>
    <w:rsid w:val="00295A48"/>
    <w:rsid w:val="00295AE4"/>
    <w:rsid w:val="00295AED"/>
    <w:rsid w:val="00295AF1"/>
    <w:rsid w:val="00295B12"/>
    <w:rsid w:val="00295C0F"/>
    <w:rsid w:val="00295CD9"/>
    <w:rsid w:val="00295D68"/>
    <w:rsid w:val="00295DB0"/>
    <w:rsid w:val="00295DEB"/>
    <w:rsid w:val="00295E99"/>
    <w:rsid w:val="00295EFA"/>
    <w:rsid w:val="00295FC0"/>
    <w:rsid w:val="00295FE5"/>
    <w:rsid w:val="00296050"/>
    <w:rsid w:val="002960E0"/>
    <w:rsid w:val="002960E6"/>
    <w:rsid w:val="00296100"/>
    <w:rsid w:val="002961C7"/>
    <w:rsid w:val="0029621B"/>
    <w:rsid w:val="00296261"/>
    <w:rsid w:val="00296276"/>
    <w:rsid w:val="002962A7"/>
    <w:rsid w:val="00296378"/>
    <w:rsid w:val="0029648D"/>
    <w:rsid w:val="00296490"/>
    <w:rsid w:val="00296507"/>
    <w:rsid w:val="00296566"/>
    <w:rsid w:val="0029657E"/>
    <w:rsid w:val="00296580"/>
    <w:rsid w:val="002965BA"/>
    <w:rsid w:val="002965D2"/>
    <w:rsid w:val="00296761"/>
    <w:rsid w:val="00296777"/>
    <w:rsid w:val="002967AF"/>
    <w:rsid w:val="002967B2"/>
    <w:rsid w:val="002967CE"/>
    <w:rsid w:val="0029683C"/>
    <w:rsid w:val="002968AD"/>
    <w:rsid w:val="002968FE"/>
    <w:rsid w:val="00296923"/>
    <w:rsid w:val="0029692D"/>
    <w:rsid w:val="00296965"/>
    <w:rsid w:val="00296993"/>
    <w:rsid w:val="00296A46"/>
    <w:rsid w:val="00296A73"/>
    <w:rsid w:val="00296AB1"/>
    <w:rsid w:val="00296B32"/>
    <w:rsid w:val="00296B78"/>
    <w:rsid w:val="00296C83"/>
    <w:rsid w:val="00296DB3"/>
    <w:rsid w:val="00296DC6"/>
    <w:rsid w:val="00296F6F"/>
    <w:rsid w:val="00297021"/>
    <w:rsid w:val="0029705B"/>
    <w:rsid w:val="00297101"/>
    <w:rsid w:val="00297102"/>
    <w:rsid w:val="0029714A"/>
    <w:rsid w:val="002973E4"/>
    <w:rsid w:val="002974FD"/>
    <w:rsid w:val="0029760E"/>
    <w:rsid w:val="00297613"/>
    <w:rsid w:val="0029769F"/>
    <w:rsid w:val="00297745"/>
    <w:rsid w:val="00297763"/>
    <w:rsid w:val="00297802"/>
    <w:rsid w:val="0029783A"/>
    <w:rsid w:val="00297849"/>
    <w:rsid w:val="0029792F"/>
    <w:rsid w:val="00297B29"/>
    <w:rsid w:val="00297B96"/>
    <w:rsid w:val="00297C13"/>
    <w:rsid w:val="00297CE2"/>
    <w:rsid w:val="00297D46"/>
    <w:rsid w:val="00297D91"/>
    <w:rsid w:val="002A00D1"/>
    <w:rsid w:val="002A016B"/>
    <w:rsid w:val="002A01DB"/>
    <w:rsid w:val="002A027C"/>
    <w:rsid w:val="002A02BC"/>
    <w:rsid w:val="002A02E5"/>
    <w:rsid w:val="002A03BA"/>
    <w:rsid w:val="002A0414"/>
    <w:rsid w:val="002A047A"/>
    <w:rsid w:val="002A0482"/>
    <w:rsid w:val="002A05A4"/>
    <w:rsid w:val="002A05D6"/>
    <w:rsid w:val="002A0759"/>
    <w:rsid w:val="002A0770"/>
    <w:rsid w:val="002A0785"/>
    <w:rsid w:val="002A07BC"/>
    <w:rsid w:val="002A0830"/>
    <w:rsid w:val="002A083E"/>
    <w:rsid w:val="002A0870"/>
    <w:rsid w:val="002A08C5"/>
    <w:rsid w:val="002A0977"/>
    <w:rsid w:val="002A0B2E"/>
    <w:rsid w:val="002A0BAD"/>
    <w:rsid w:val="002A0BEF"/>
    <w:rsid w:val="002A0BF5"/>
    <w:rsid w:val="002A0C33"/>
    <w:rsid w:val="002A0C73"/>
    <w:rsid w:val="002A0CD6"/>
    <w:rsid w:val="002A0DE0"/>
    <w:rsid w:val="002A0E1A"/>
    <w:rsid w:val="002A0E21"/>
    <w:rsid w:val="002A1097"/>
    <w:rsid w:val="002A1150"/>
    <w:rsid w:val="002A13D6"/>
    <w:rsid w:val="002A1491"/>
    <w:rsid w:val="002A149A"/>
    <w:rsid w:val="002A1507"/>
    <w:rsid w:val="002A1510"/>
    <w:rsid w:val="002A1598"/>
    <w:rsid w:val="002A15DA"/>
    <w:rsid w:val="002A1698"/>
    <w:rsid w:val="002A16B0"/>
    <w:rsid w:val="002A1702"/>
    <w:rsid w:val="002A17C0"/>
    <w:rsid w:val="002A1926"/>
    <w:rsid w:val="002A193D"/>
    <w:rsid w:val="002A197C"/>
    <w:rsid w:val="002A19B6"/>
    <w:rsid w:val="002A1B98"/>
    <w:rsid w:val="002A1BD2"/>
    <w:rsid w:val="002A1C0E"/>
    <w:rsid w:val="002A1CAB"/>
    <w:rsid w:val="002A1CEA"/>
    <w:rsid w:val="002A1E6F"/>
    <w:rsid w:val="002A1E90"/>
    <w:rsid w:val="002A1EDF"/>
    <w:rsid w:val="002A1F0B"/>
    <w:rsid w:val="002A1FB1"/>
    <w:rsid w:val="002A2031"/>
    <w:rsid w:val="002A204E"/>
    <w:rsid w:val="002A206F"/>
    <w:rsid w:val="002A20C1"/>
    <w:rsid w:val="002A20F3"/>
    <w:rsid w:val="002A2118"/>
    <w:rsid w:val="002A2184"/>
    <w:rsid w:val="002A2222"/>
    <w:rsid w:val="002A2454"/>
    <w:rsid w:val="002A2481"/>
    <w:rsid w:val="002A250A"/>
    <w:rsid w:val="002A26B3"/>
    <w:rsid w:val="002A2773"/>
    <w:rsid w:val="002A27EA"/>
    <w:rsid w:val="002A2853"/>
    <w:rsid w:val="002A286F"/>
    <w:rsid w:val="002A2895"/>
    <w:rsid w:val="002A2927"/>
    <w:rsid w:val="002A2935"/>
    <w:rsid w:val="002A294B"/>
    <w:rsid w:val="002A29A9"/>
    <w:rsid w:val="002A29F9"/>
    <w:rsid w:val="002A2D65"/>
    <w:rsid w:val="002A2EEF"/>
    <w:rsid w:val="002A2F82"/>
    <w:rsid w:val="002A2F95"/>
    <w:rsid w:val="002A3008"/>
    <w:rsid w:val="002A3040"/>
    <w:rsid w:val="002A3078"/>
    <w:rsid w:val="002A307A"/>
    <w:rsid w:val="002A30CB"/>
    <w:rsid w:val="002A30EC"/>
    <w:rsid w:val="002A32D2"/>
    <w:rsid w:val="002A3305"/>
    <w:rsid w:val="002A3333"/>
    <w:rsid w:val="002A34E6"/>
    <w:rsid w:val="002A34E9"/>
    <w:rsid w:val="002A3532"/>
    <w:rsid w:val="002A35CB"/>
    <w:rsid w:val="002A366A"/>
    <w:rsid w:val="002A38D2"/>
    <w:rsid w:val="002A390D"/>
    <w:rsid w:val="002A39C2"/>
    <w:rsid w:val="002A39DB"/>
    <w:rsid w:val="002A3A40"/>
    <w:rsid w:val="002A3B15"/>
    <w:rsid w:val="002A3B52"/>
    <w:rsid w:val="002A3B7C"/>
    <w:rsid w:val="002A3C68"/>
    <w:rsid w:val="002A3DAA"/>
    <w:rsid w:val="002A3E3D"/>
    <w:rsid w:val="002A3F13"/>
    <w:rsid w:val="002A3F80"/>
    <w:rsid w:val="002A3FBD"/>
    <w:rsid w:val="002A4177"/>
    <w:rsid w:val="002A41EE"/>
    <w:rsid w:val="002A4203"/>
    <w:rsid w:val="002A42E9"/>
    <w:rsid w:val="002A432A"/>
    <w:rsid w:val="002A4389"/>
    <w:rsid w:val="002A4391"/>
    <w:rsid w:val="002A43C2"/>
    <w:rsid w:val="002A43CD"/>
    <w:rsid w:val="002A440D"/>
    <w:rsid w:val="002A441C"/>
    <w:rsid w:val="002A44C6"/>
    <w:rsid w:val="002A4542"/>
    <w:rsid w:val="002A457D"/>
    <w:rsid w:val="002A458B"/>
    <w:rsid w:val="002A45CE"/>
    <w:rsid w:val="002A45FF"/>
    <w:rsid w:val="002A4741"/>
    <w:rsid w:val="002A48D9"/>
    <w:rsid w:val="002A4987"/>
    <w:rsid w:val="002A4991"/>
    <w:rsid w:val="002A4AC6"/>
    <w:rsid w:val="002A4B61"/>
    <w:rsid w:val="002A4D9E"/>
    <w:rsid w:val="002A4DB7"/>
    <w:rsid w:val="002A4EA5"/>
    <w:rsid w:val="002A4FFA"/>
    <w:rsid w:val="002A5010"/>
    <w:rsid w:val="002A50D8"/>
    <w:rsid w:val="002A5101"/>
    <w:rsid w:val="002A520C"/>
    <w:rsid w:val="002A52C7"/>
    <w:rsid w:val="002A5324"/>
    <w:rsid w:val="002A5356"/>
    <w:rsid w:val="002A5366"/>
    <w:rsid w:val="002A53BA"/>
    <w:rsid w:val="002A53C9"/>
    <w:rsid w:val="002A5438"/>
    <w:rsid w:val="002A545A"/>
    <w:rsid w:val="002A556E"/>
    <w:rsid w:val="002A55FF"/>
    <w:rsid w:val="002A564A"/>
    <w:rsid w:val="002A565E"/>
    <w:rsid w:val="002A56D0"/>
    <w:rsid w:val="002A570E"/>
    <w:rsid w:val="002A586D"/>
    <w:rsid w:val="002A5913"/>
    <w:rsid w:val="002A598D"/>
    <w:rsid w:val="002A59C7"/>
    <w:rsid w:val="002A59F9"/>
    <w:rsid w:val="002A5AA9"/>
    <w:rsid w:val="002A5B1D"/>
    <w:rsid w:val="002A5BBD"/>
    <w:rsid w:val="002A5D77"/>
    <w:rsid w:val="002A5D7F"/>
    <w:rsid w:val="002A5E33"/>
    <w:rsid w:val="002A5E5D"/>
    <w:rsid w:val="002A5EB8"/>
    <w:rsid w:val="002A5EE5"/>
    <w:rsid w:val="002A5F35"/>
    <w:rsid w:val="002A61BA"/>
    <w:rsid w:val="002A6253"/>
    <w:rsid w:val="002A6343"/>
    <w:rsid w:val="002A634E"/>
    <w:rsid w:val="002A6386"/>
    <w:rsid w:val="002A6404"/>
    <w:rsid w:val="002A649D"/>
    <w:rsid w:val="002A6500"/>
    <w:rsid w:val="002A6632"/>
    <w:rsid w:val="002A6643"/>
    <w:rsid w:val="002A66D6"/>
    <w:rsid w:val="002A66FA"/>
    <w:rsid w:val="002A676B"/>
    <w:rsid w:val="002A6872"/>
    <w:rsid w:val="002A6879"/>
    <w:rsid w:val="002A6A16"/>
    <w:rsid w:val="002A6B88"/>
    <w:rsid w:val="002A6B8A"/>
    <w:rsid w:val="002A6C77"/>
    <w:rsid w:val="002A6C94"/>
    <w:rsid w:val="002A6CBD"/>
    <w:rsid w:val="002A6D24"/>
    <w:rsid w:val="002A6D3F"/>
    <w:rsid w:val="002A6DFA"/>
    <w:rsid w:val="002A6E18"/>
    <w:rsid w:val="002A6E6B"/>
    <w:rsid w:val="002A6EFF"/>
    <w:rsid w:val="002A6F04"/>
    <w:rsid w:val="002A6F71"/>
    <w:rsid w:val="002A6FC2"/>
    <w:rsid w:val="002A6FE1"/>
    <w:rsid w:val="002A70D6"/>
    <w:rsid w:val="002A723D"/>
    <w:rsid w:val="002A72C7"/>
    <w:rsid w:val="002A737A"/>
    <w:rsid w:val="002A73AA"/>
    <w:rsid w:val="002A73C2"/>
    <w:rsid w:val="002A73D6"/>
    <w:rsid w:val="002A73DB"/>
    <w:rsid w:val="002A7400"/>
    <w:rsid w:val="002A740D"/>
    <w:rsid w:val="002A7439"/>
    <w:rsid w:val="002A7486"/>
    <w:rsid w:val="002A75BB"/>
    <w:rsid w:val="002A7656"/>
    <w:rsid w:val="002A77F3"/>
    <w:rsid w:val="002A782E"/>
    <w:rsid w:val="002A7837"/>
    <w:rsid w:val="002A786D"/>
    <w:rsid w:val="002A794F"/>
    <w:rsid w:val="002A7970"/>
    <w:rsid w:val="002A7A96"/>
    <w:rsid w:val="002A7AC4"/>
    <w:rsid w:val="002A7B61"/>
    <w:rsid w:val="002A7BB5"/>
    <w:rsid w:val="002A7C33"/>
    <w:rsid w:val="002A7CCC"/>
    <w:rsid w:val="002A7E7B"/>
    <w:rsid w:val="002A7ECF"/>
    <w:rsid w:val="002A7F03"/>
    <w:rsid w:val="002A7F9A"/>
    <w:rsid w:val="002A7FB0"/>
    <w:rsid w:val="002A7FC2"/>
    <w:rsid w:val="002B000C"/>
    <w:rsid w:val="002B0032"/>
    <w:rsid w:val="002B0041"/>
    <w:rsid w:val="002B0099"/>
    <w:rsid w:val="002B00FC"/>
    <w:rsid w:val="002B0173"/>
    <w:rsid w:val="002B019A"/>
    <w:rsid w:val="002B0230"/>
    <w:rsid w:val="002B0374"/>
    <w:rsid w:val="002B038D"/>
    <w:rsid w:val="002B0424"/>
    <w:rsid w:val="002B0566"/>
    <w:rsid w:val="002B0573"/>
    <w:rsid w:val="002B058E"/>
    <w:rsid w:val="002B0656"/>
    <w:rsid w:val="002B06DA"/>
    <w:rsid w:val="002B07BA"/>
    <w:rsid w:val="002B07BC"/>
    <w:rsid w:val="002B07D3"/>
    <w:rsid w:val="002B0880"/>
    <w:rsid w:val="002B09E7"/>
    <w:rsid w:val="002B09F5"/>
    <w:rsid w:val="002B0AEA"/>
    <w:rsid w:val="002B0B28"/>
    <w:rsid w:val="002B0B3A"/>
    <w:rsid w:val="002B0B4D"/>
    <w:rsid w:val="002B0C8A"/>
    <w:rsid w:val="002B0C9E"/>
    <w:rsid w:val="002B0DC5"/>
    <w:rsid w:val="002B0EC1"/>
    <w:rsid w:val="002B104C"/>
    <w:rsid w:val="002B1060"/>
    <w:rsid w:val="002B115C"/>
    <w:rsid w:val="002B118A"/>
    <w:rsid w:val="002B11BD"/>
    <w:rsid w:val="002B11E1"/>
    <w:rsid w:val="002B1262"/>
    <w:rsid w:val="002B1288"/>
    <w:rsid w:val="002B12B6"/>
    <w:rsid w:val="002B12CC"/>
    <w:rsid w:val="002B1321"/>
    <w:rsid w:val="002B1347"/>
    <w:rsid w:val="002B13C5"/>
    <w:rsid w:val="002B1405"/>
    <w:rsid w:val="002B140C"/>
    <w:rsid w:val="002B1479"/>
    <w:rsid w:val="002B1508"/>
    <w:rsid w:val="002B1514"/>
    <w:rsid w:val="002B1632"/>
    <w:rsid w:val="002B164C"/>
    <w:rsid w:val="002B17C4"/>
    <w:rsid w:val="002B18A0"/>
    <w:rsid w:val="002B190E"/>
    <w:rsid w:val="002B1928"/>
    <w:rsid w:val="002B1A77"/>
    <w:rsid w:val="002B1A88"/>
    <w:rsid w:val="002B1B80"/>
    <w:rsid w:val="002B1C3C"/>
    <w:rsid w:val="002B1C3F"/>
    <w:rsid w:val="002B1CC1"/>
    <w:rsid w:val="002B1CD9"/>
    <w:rsid w:val="002B1E56"/>
    <w:rsid w:val="002B1E97"/>
    <w:rsid w:val="002B1EAF"/>
    <w:rsid w:val="002B1EC5"/>
    <w:rsid w:val="002B1F3C"/>
    <w:rsid w:val="002B1F7D"/>
    <w:rsid w:val="002B1FED"/>
    <w:rsid w:val="002B215E"/>
    <w:rsid w:val="002B2171"/>
    <w:rsid w:val="002B21C3"/>
    <w:rsid w:val="002B21FA"/>
    <w:rsid w:val="002B2300"/>
    <w:rsid w:val="002B23BA"/>
    <w:rsid w:val="002B24CF"/>
    <w:rsid w:val="002B2506"/>
    <w:rsid w:val="002B26BE"/>
    <w:rsid w:val="002B26F7"/>
    <w:rsid w:val="002B279F"/>
    <w:rsid w:val="002B28EB"/>
    <w:rsid w:val="002B29D0"/>
    <w:rsid w:val="002B2A87"/>
    <w:rsid w:val="002B2AC2"/>
    <w:rsid w:val="002B2ADF"/>
    <w:rsid w:val="002B2B83"/>
    <w:rsid w:val="002B2BBE"/>
    <w:rsid w:val="002B2D18"/>
    <w:rsid w:val="002B2F2A"/>
    <w:rsid w:val="002B2F6D"/>
    <w:rsid w:val="002B2FD8"/>
    <w:rsid w:val="002B305A"/>
    <w:rsid w:val="002B3161"/>
    <w:rsid w:val="002B32FE"/>
    <w:rsid w:val="002B330E"/>
    <w:rsid w:val="002B33E1"/>
    <w:rsid w:val="002B33ED"/>
    <w:rsid w:val="002B33F8"/>
    <w:rsid w:val="002B3513"/>
    <w:rsid w:val="002B3736"/>
    <w:rsid w:val="002B376C"/>
    <w:rsid w:val="002B37D6"/>
    <w:rsid w:val="002B384B"/>
    <w:rsid w:val="002B38A2"/>
    <w:rsid w:val="002B39FD"/>
    <w:rsid w:val="002B3A1D"/>
    <w:rsid w:val="002B3A1F"/>
    <w:rsid w:val="002B3A3C"/>
    <w:rsid w:val="002B3A47"/>
    <w:rsid w:val="002B3B37"/>
    <w:rsid w:val="002B3B84"/>
    <w:rsid w:val="002B3C10"/>
    <w:rsid w:val="002B3C29"/>
    <w:rsid w:val="002B3C32"/>
    <w:rsid w:val="002B3C42"/>
    <w:rsid w:val="002B3C8A"/>
    <w:rsid w:val="002B3D27"/>
    <w:rsid w:val="002B3E6B"/>
    <w:rsid w:val="002B3E70"/>
    <w:rsid w:val="002B3FDF"/>
    <w:rsid w:val="002B405F"/>
    <w:rsid w:val="002B40BB"/>
    <w:rsid w:val="002B40CB"/>
    <w:rsid w:val="002B40FD"/>
    <w:rsid w:val="002B4103"/>
    <w:rsid w:val="002B412C"/>
    <w:rsid w:val="002B41AA"/>
    <w:rsid w:val="002B42D9"/>
    <w:rsid w:val="002B4355"/>
    <w:rsid w:val="002B437C"/>
    <w:rsid w:val="002B43E2"/>
    <w:rsid w:val="002B448A"/>
    <w:rsid w:val="002B448F"/>
    <w:rsid w:val="002B44A2"/>
    <w:rsid w:val="002B44C6"/>
    <w:rsid w:val="002B4630"/>
    <w:rsid w:val="002B463D"/>
    <w:rsid w:val="002B4644"/>
    <w:rsid w:val="002B4686"/>
    <w:rsid w:val="002B46E3"/>
    <w:rsid w:val="002B4708"/>
    <w:rsid w:val="002B481C"/>
    <w:rsid w:val="002B484E"/>
    <w:rsid w:val="002B4891"/>
    <w:rsid w:val="002B491E"/>
    <w:rsid w:val="002B4975"/>
    <w:rsid w:val="002B4A60"/>
    <w:rsid w:val="002B4BA4"/>
    <w:rsid w:val="002B4BB9"/>
    <w:rsid w:val="002B4C34"/>
    <w:rsid w:val="002B4CC2"/>
    <w:rsid w:val="002B4D69"/>
    <w:rsid w:val="002B4D6B"/>
    <w:rsid w:val="002B4D78"/>
    <w:rsid w:val="002B4F25"/>
    <w:rsid w:val="002B4F4A"/>
    <w:rsid w:val="002B4FD5"/>
    <w:rsid w:val="002B5014"/>
    <w:rsid w:val="002B501A"/>
    <w:rsid w:val="002B50B3"/>
    <w:rsid w:val="002B51A9"/>
    <w:rsid w:val="002B51AD"/>
    <w:rsid w:val="002B51AE"/>
    <w:rsid w:val="002B51CD"/>
    <w:rsid w:val="002B51DC"/>
    <w:rsid w:val="002B5339"/>
    <w:rsid w:val="002B53EE"/>
    <w:rsid w:val="002B5481"/>
    <w:rsid w:val="002B54BD"/>
    <w:rsid w:val="002B5516"/>
    <w:rsid w:val="002B555D"/>
    <w:rsid w:val="002B55C1"/>
    <w:rsid w:val="002B55CB"/>
    <w:rsid w:val="002B572A"/>
    <w:rsid w:val="002B576F"/>
    <w:rsid w:val="002B57DA"/>
    <w:rsid w:val="002B590D"/>
    <w:rsid w:val="002B5993"/>
    <w:rsid w:val="002B59ED"/>
    <w:rsid w:val="002B5A77"/>
    <w:rsid w:val="002B5ABA"/>
    <w:rsid w:val="002B5B1A"/>
    <w:rsid w:val="002B5B8F"/>
    <w:rsid w:val="002B5BAF"/>
    <w:rsid w:val="002B5C00"/>
    <w:rsid w:val="002B5CF5"/>
    <w:rsid w:val="002B5DE2"/>
    <w:rsid w:val="002B5EA8"/>
    <w:rsid w:val="002B5F2E"/>
    <w:rsid w:val="002B5F94"/>
    <w:rsid w:val="002B6106"/>
    <w:rsid w:val="002B625A"/>
    <w:rsid w:val="002B6261"/>
    <w:rsid w:val="002B6298"/>
    <w:rsid w:val="002B633F"/>
    <w:rsid w:val="002B636E"/>
    <w:rsid w:val="002B63E0"/>
    <w:rsid w:val="002B63F0"/>
    <w:rsid w:val="002B6400"/>
    <w:rsid w:val="002B6414"/>
    <w:rsid w:val="002B65B0"/>
    <w:rsid w:val="002B6630"/>
    <w:rsid w:val="002B6645"/>
    <w:rsid w:val="002B664D"/>
    <w:rsid w:val="002B6651"/>
    <w:rsid w:val="002B66CC"/>
    <w:rsid w:val="002B674D"/>
    <w:rsid w:val="002B68E0"/>
    <w:rsid w:val="002B69E4"/>
    <w:rsid w:val="002B6A18"/>
    <w:rsid w:val="002B6B0A"/>
    <w:rsid w:val="002B6C0A"/>
    <w:rsid w:val="002B6C17"/>
    <w:rsid w:val="002B6C3F"/>
    <w:rsid w:val="002B6D42"/>
    <w:rsid w:val="002B6D47"/>
    <w:rsid w:val="002B6EB0"/>
    <w:rsid w:val="002B70A8"/>
    <w:rsid w:val="002B7138"/>
    <w:rsid w:val="002B718C"/>
    <w:rsid w:val="002B71B6"/>
    <w:rsid w:val="002B725D"/>
    <w:rsid w:val="002B743F"/>
    <w:rsid w:val="002B7460"/>
    <w:rsid w:val="002B7579"/>
    <w:rsid w:val="002B7601"/>
    <w:rsid w:val="002B76B0"/>
    <w:rsid w:val="002B777C"/>
    <w:rsid w:val="002B779B"/>
    <w:rsid w:val="002B780A"/>
    <w:rsid w:val="002B780F"/>
    <w:rsid w:val="002B7867"/>
    <w:rsid w:val="002B7874"/>
    <w:rsid w:val="002B788E"/>
    <w:rsid w:val="002B78B1"/>
    <w:rsid w:val="002B78F4"/>
    <w:rsid w:val="002B797B"/>
    <w:rsid w:val="002B797D"/>
    <w:rsid w:val="002B79A7"/>
    <w:rsid w:val="002B79FD"/>
    <w:rsid w:val="002B7A30"/>
    <w:rsid w:val="002B7A53"/>
    <w:rsid w:val="002B7ACB"/>
    <w:rsid w:val="002B7AF0"/>
    <w:rsid w:val="002B7B61"/>
    <w:rsid w:val="002B7C13"/>
    <w:rsid w:val="002B7C37"/>
    <w:rsid w:val="002B7C3A"/>
    <w:rsid w:val="002B7D41"/>
    <w:rsid w:val="002B7D8B"/>
    <w:rsid w:val="002B7EC2"/>
    <w:rsid w:val="002B7EF5"/>
    <w:rsid w:val="002B7F30"/>
    <w:rsid w:val="002B7F77"/>
    <w:rsid w:val="002B7F9A"/>
    <w:rsid w:val="002B7FA4"/>
    <w:rsid w:val="002B7FF4"/>
    <w:rsid w:val="002BC0B8"/>
    <w:rsid w:val="002C007C"/>
    <w:rsid w:val="002C0083"/>
    <w:rsid w:val="002C022D"/>
    <w:rsid w:val="002C0340"/>
    <w:rsid w:val="002C03BB"/>
    <w:rsid w:val="002C0414"/>
    <w:rsid w:val="002C0462"/>
    <w:rsid w:val="002C05D7"/>
    <w:rsid w:val="002C05DB"/>
    <w:rsid w:val="002C0676"/>
    <w:rsid w:val="002C074A"/>
    <w:rsid w:val="002C0797"/>
    <w:rsid w:val="002C082C"/>
    <w:rsid w:val="002C0874"/>
    <w:rsid w:val="002C0885"/>
    <w:rsid w:val="002C08B1"/>
    <w:rsid w:val="002C08F8"/>
    <w:rsid w:val="002C0AE6"/>
    <w:rsid w:val="002C0BB8"/>
    <w:rsid w:val="002C0BCC"/>
    <w:rsid w:val="002C0BE4"/>
    <w:rsid w:val="002C0C8F"/>
    <w:rsid w:val="002C0C98"/>
    <w:rsid w:val="002C0D17"/>
    <w:rsid w:val="002C0D58"/>
    <w:rsid w:val="002C0D83"/>
    <w:rsid w:val="002C0E80"/>
    <w:rsid w:val="002C0E8A"/>
    <w:rsid w:val="002C0E9A"/>
    <w:rsid w:val="002C0EF8"/>
    <w:rsid w:val="002C0F22"/>
    <w:rsid w:val="002C0F39"/>
    <w:rsid w:val="002C0F65"/>
    <w:rsid w:val="002C0F6D"/>
    <w:rsid w:val="002C108F"/>
    <w:rsid w:val="002C10E0"/>
    <w:rsid w:val="002C117B"/>
    <w:rsid w:val="002C11F9"/>
    <w:rsid w:val="002C125F"/>
    <w:rsid w:val="002C1402"/>
    <w:rsid w:val="002C14A6"/>
    <w:rsid w:val="002C14D5"/>
    <w:rsid w:val="002C14DB"/>
    <w:rsid w:val="002C1533"/>
    <w:rsid w:val="002C1570"/>
    <w:rsid w:val="002C15E4"/>
    <w:rsid w:val="002C1680"/>
    <w:rsid w:val="002C16A4"/>
    <w:rsid w:val="002C16B0"/>
    <w:rsid w:val="002C16E4"/>
    <w:rsid w:val="002C1702"/>
    <w:rsid w:val="002C17D4"/>
    <w:rsid w:val="002C18A5"/>
    <w:rsid w:val="002C194E"/>
    <w:rsid w:val="002C19E8"/>
    <w:rsid w:val="002C1B42"/>
    <w:rsid w:val="002C1B5D"/>
    <w:rsid w:val="002C1B70"/>
    <w:rsid w:val="002C1C03"/>
    <w:rsid w:val="002C1D1A"/>
    <w:rsid w:val="002C1D28"/>
    <w:rsid w:val="002C1DE1"/>
    <w:rsid w:val="002C1E5D"/>
    <w:rsid w:val="002C1E8E"/>
    <w:rsid w:val="002C1F29"/>
    <w:rsid w:val="002C1F54"/>
    <w:rsid w:val="002C1F58"/>
    <w:rsid w:val="002C201C"/>
    <w:rsid w:val="002C2142"/>
    <w:rsid w:val="002C215C"/>
    <w:rsid w:val="002C2173"/>
    <w:rsid w:val="002C218E"/>
    <w:rsid w:val="002C21AF"/>
    <w:rsid w:val="002C22B7"/>
    <w:rsid w:val="002C2321"/>
    <w:rsid w:val="002C2339"/>
    <w:rsid w:val="002C23EE"/>
    <w:rsid w:val="002C241A"/>
    <w:rsid w:val="002C251A"/>
    <w:rsid w:val="002C26BC"/>
    <w:rsid w:val="002C26F4"/>
    <w:rsid w:val="002C2785"/>
    <w:rsid w:val="002C2805"/>
    <w:rsid w:val="002C281A"/>
    <w:rsid w:val="002C2867"/>
    <w:rsid w:val="002C28F8"/>
    <w:rsid w:val="002C29D3"/>
    <w:rsid w:val="002C29DE"/>
    <w:rsid w:val="002C29E0"/>
    <w:rsid w:val="002C2B39"/>
    <w:rsid w:val="002C2B42"/>
    <w:rsid w:val="002C2C1C"/>
    <w:rsid w:val="002C2CF8"/>
    <w:rsid w:val="002C2D31"/>
    <w:rsid w:val="002C2D6B"/>
    <w:rsid w:val="002C2D96"/>
    <w:rsid w:val="002C2DC4"/>
    <w:rsid w:val="002C2EA6"/>
    <w:rsid w:val="002C2EB3"/>
    <w:rsid w:val="002C2F66"/>
    <w:rsid w:val="002C3118"/>
    <w:rsid w:val="002C3197"/>
    <w:rsid w:val="002C3211"/>
    <w:rsid w:val="002C32AC"/>
    <w:rsid w:val="002C335D"/>
    <w:rsid w:val="002C336E"/>
    <w:rsid w:val="002C33A6"/>
    <w:rsid w:val="002C3452"/>
    <w:rsid w:val="002C3578"/>
    <w:rsid w:val="002C363D"/>
    <w:rsid w:val="002C36E0"/>
    <w:rsid w:val="002C372F"/>
    <w:rsid w:val="002C37D4"/>
    <w:rsid w:val="002C39A3"/>
    <w:rsid w:val="002C39B6"/>
    <w:rsid w:val="002C3A91"/>
    <w:rsid w:val="002C3C17"/>
    <w:rsid w:val="002C3C2C"/>
    <w:rsid w:val="002C3D10"/>
    <w:rsid w:val="002C3D9F"/>
    <w:rsid w:val="002C3DEB"/>
    <w:rsid w:val="002C3E32"/>
    <w:rsid w:val="002C3FE7"/>
    <w:rsid w:val="002C416F"/>
    <w:rsid w:val="002C417A"/>
    <w:rsid w:val="002C4185"/>
    <w:rsid w:val="002C4209"/>
    <w:rsid w:val="002C4236"/>
    <w:rsid w:val="002C4334"/>
    <w:rsid w:val="002C43BB"/>
    <w:rsid w:val="002C43DA"/>
    <w:rsid w:val="002C44CB"/>
    <w:rsid w:val="002C44D1"/>
    <w:rsid w:val="002C45B2"/>
    <w:rsid w:val="002C45C1"/>
    <w:rsid w:val="002C46A0"/>
    <w:rsid w:val="002C4733"/>
    <w:rsid w:val="002C4A12"/>
    <w:rsid w:val="002C4B1C"/>
    <w:rsid w:val="002C4B63"/>
    <w:rsid w:val="002C4D1A"/>
    <w:rsid w:val="002C4D6A"/>
    <w:rsid w:val="002C4E93"/>
    <w:rsid w:val="002C4F72"/>
    <w:rsid w:val="002C4F96"/>
    <w:rsid w:val="002C5038"/>
    <w:rsid w:val="002C503A"/>
    <w:rsid w:val="002C5087"/>
    <w:rsid w:val="002C509D"/>
    <w:rsid w:val="002C50E8"/>
    <w:rsid w:val="002C512C"/>
    <w:rsid w:val="002C51C9"/>
    <w:rsid w:val="002C51EB"/>
    <w:rsid w:val="002C5267"/>
    <w:rsid w:val="002C535A"/>
    <w:rsid w:val="002C53C3"/>
    <w:rsid w:val="002C540E"/>
    <w:rsid w:val="002C5411"/>
    <w:rsid w:val="002C5479"/>
    <w:rsid w:val="002C54CE"/>
    <w:rsid w:val="002C5576"/>
    <w:rsid w:val="002C5587"/>
    <w:rsid w:val="002C559C"/>
    <w:rsid w:val="002C570A"/>
    <w:rsid w:val="002C5810"/>
    <w:rsid w:val="002C582E"/>
    <w:rsid w:val="002C582F"/>
    <w:rsid w:val="002C5840"/>
    <w:rsid w:val="002C58AA"/>
    <w:rsid w:val="002C58B0"/>
    <w:rsid w:val="002C5912"/>
    <w:rsid w:val="002C5958"/>
    <w:rsid w:val="002C596C"/>
    <w:rsid w:val="002C59CC"/>
    <w:rsid w:val="002C5B70"/>
    <w:rsid w:val="002C5C44"/>
    <w:rsid w:val="002C5DA2"/>
    <w:rsid w:val="002C5DFE"/>
    <w:rsid w:val="002C5E0C"/>
    <w:rsid w:val="002C5E29"/>
    <w:rsid w:val="002C5EA8"/>
    <w:rsid w:val="002C5EF0"/>
    <w:rsid w:val="002C60B0"/>
    <w:rsid w:val="002C60F7"/>
    <w:rsid w:val="002C6119"/>
    <w:rsid w:val="002C621C"/>
    <w:rsid w:val="002C6386"/>
    <w:rsid w:val="002C6391"/>
    <w:rsid w:val="002C64A7"/>
    <w:rsid w:val="002C650B"/>
    <w:rsid w:val="002C65D6"/>
    <w:rsid w:val="002C66EF"/>
    <w:rsid w:val="002C6749"/>
    <w:rsid w:val="002C6770"/>
    <w:rsid w:val="002C695D"/>
    <w:rsid w:val="002C6AF6"/>
    <w:rsid w:val="002C6B1D"/>
    <w:rsid w:val="002C6D6A"/>
    <w:rsid w:val="002C6EE3"/>
    <w:rsid w:val="002C6F81"/>
    <w:rsid w:val="002C700D"/>
    <w:rsid w:val="002C70A5"/>
    <w:rsid w:val="002C70C7"/>
    <w:rsid w:val="002C70E3"/>
    <w:rsid w:val="002C7106"/>
    <w:rsid w:val="002C7199"/>
    <w:rsid w:val="002C71E6"/>
    <w:rsid w:val="002C7226"/>
    <w:rsid w:val="002C7248"/>
    <w:rsid w:val="002C7252"/>
    <w:rsid w:val="002C728F"/>
    <w:rsid w:val="002C7423"/>
    <w:rsid w:val="002C743F"/>
    <w:rsid w:val="002C7447"/>
    <w:rsid w:val="002C75A0"/>
    <w:rsid w:val="002C7605"/>
    <w:rsid w:val="002C7635"/>
    <w:rsid w:val="002C764C"/>
    <w:rsid w:val="002C76DC"/>
    <w:rsid w:val="002C78EA"/>
    <w:rsid w:val="002C7975"/>
    <w:rsid w:val="002C7A1F"/>
    <w:rsid w:val="002C7AB9"/>
    <w:rsid w:val="002C7B82"/>
    <w:rsid w:val="002C7B83"/>
    <w:rsid w:val="002C7B89"/>
    <w:rsid w:val="002C7C24"/>
    <w:rsid w:val="002C7CCD"/>
    <w:rsid w:val="002C7E08"/>
    <w:rsid w:val="002C7EA8"/>
    <w:rsid w:val="002C7FE4"/>
    <w:rsid w:val="002C7FE9"/>
    <w:rsid w:val="002D0027"/>
    <w:rsid w:val="002D0221"/>
    <w:rsid w:val="002D026E"/>
    <w:rsid w:val="002D02C3"/>
    <w:rsid w:val="002D02ED"/>
    <w:rsid w:val="002D0309"/>
    <w:rsid w:val="002D0327"/>
    <w:rsid w:val="002D0382"/>
    <w:rsid w:val="002D0385"/>
    <w:rsid w:val="002D04D9"/>
    <w:rsid w:val="002D06B0"/>
    <w:rsid w:val="002D071D"/>
    <w:rsid w:val="002D07C2"/>
    <w:rsid w:val="002D07DB"/>
    <w:rsid w:val="002D07F3"/>
    <w:rsid w:val="002D07FE"/>
    <w:rsid w:val="002D0805"/>
    <w:rsid w:val="002D081A"/>
    <w:rsid w:val="002D0860"/>
    <w:rsid w:val="002D0A91"/>
    <w:rsid w:val="002D0B38"/>
    <w:rsid w:val="002D0C07"/>
    <w:rsid w:val="002D0C3D"/>
    <w:rsid w:val="002D0CC3"/>
    <w:rsid w:val="002D0D11"/>
    <w:rsid w:val="002D0DBC"/>
    <w:rsid w:val="002D0E79"/>
    <w:rsid w:val="002D0EBC"/>
    <w:rsid w:val="002D0EF0"/>
    <w:rsid w:val="002D0F3A"/>
    <w:rsid w:val="002D1039"/>
    <w:rsid w:val="002D1054"/>
    <w:rsid w:val="002D107B"/>
    <w:rsid w:val="002D1104"/>
    <w:rsid w:val="002D11A2"/>
    <w:rsid w:val="002D1340"/>
    <w:rsid w:val="002D13DC"/>
    <w:rsid w:val="002D148A"/>
    <w:rsid w:val="002D14B6"/>
    <w:rsid w:val="002D1528"/>
    <w:rsid w:val="002D1707"/>
    <w:rsid w:val="002D177D"/>
    <w:rsid w:val="002D17F0"/>
    <w:rsid w:val="002D1842"/>
    <w:rsid w:val="002D1965"/>
    <w:rsid w:val="002D1B73"/>
    <w:rsid w:val="002D1BB0"/>
    <w:rsid w:val="002D1BFF"/>
    <w:rsid w:val="002D1C09"/>
    <w:rsid w:val="002D1C7A"/>
    <w:rsid w:val="002D1CCA"/>
    <w:rsid w:val="002D1D22"/>
    <w:rsid w:val="002D1D3B"/>
    <w:rsid w:val="002D1D80"/>
    <w:rsid w:val="002D1DF3"/>
    <w:rsid w:val="002D1EDA"/>
    <w:rsid w:val="002D1F07"/>
    <w:rsid w:val="002D2069"/>
    <w:rsid w:val="002D206A"/>
    <w:rsid w:val="002D206C"/>
    <w:rsid w:val="002D20B6"/>
    <w:rsid w:val="002D212A"/>
    <w:rsid w:val="002D2193"/>
    <w:rsid w:val="002D21C5"/>
    <w:rsid w:val="002D21CF"/>
    <w:rsid w:val="002D21E1"/>
    <w:rsid w:val="002D2271"/>
    <w:rsid w:val="002D22D9"/>
    <w:rsid w:val="002D2301"/>
    <w:rsid w:val="002D2329"/>
    <w:rsid w:val="002D232C"/>
    <w:rsid w:val="002D2342"/>
    <w:rsid w:val="002D2585"/>
    <w:rsid w:val="002D2645"/>
    <w:rsid w:val="002D26F3"/>
    <w:rsid w:val="002D26F8"/>
    <w:rsid w:val="002D2725"/>
    <w:rsid w:val="002D2799"/>
    <w:rsid w:val="002D28D1"/>
    <w:rsid w:val="002D28F1"/>
    <w:rsid w:val="002D2968"/>
    <w:rsid w:val="002D2988"/>
    <w:rsid w:val="002D29EB"/>
    <w:rsid w:val="002D2A19"/>
    <w:rsid w:val="002D2AB2"/>
    <w:rsid w:val="002D2B1E"/>
    <w:rsid w:val="002D2B85"/>
    <w:rsid w:val="002D2D31"/>
    <w:rsid w:val="002D2D55"/>
    <w:rsid w:val="002D2D69"/>
    <w:rsid w:val="002D2DE7"/>
    <w:rsid w:val="002D2E06"/>
    <w:rsid w:val="002D2E78"/>
    <w:rsid w:val="002D2E9C"/>
    <w:rsid w:val="002D3135"/>
    <w:rsid w:val="002D3293"/>
    <w:rsid w:val="002D33C3"/>
    <w:rsid w:val="002D3420"/>
    <w:rsid w:val="002D3507"/>
    <w:rsid w:val="002D3589"/>
    <w:rsid w:val="002D35D4"/>
    <w:rsid w:val="002D35E2"/>
    <w:rsid w:val="002D35E6"/>
    <w:rsid w:val="002D366C"/>
    <w:rsid w:val="002D37B3"/>
    <w:rsid w:val="002D3809"/>
    <w:rsid w:val="002D3827"/>
    <w:rsid w:val="002D396D"/>
    <w:rsid w:val="002D398E"/>
    <w:rsid w:val="002D3AA6"/>
    <w:rsid w:val="002D3AFC"/>
    <w:rsid w:val="002D3BBC"/>
    <w:rsid w:val="002D3BDB"/>
    <w:rsid w:val="002D3BFD"/>
    <w:rsid w:val="002D3D6C"/>
    <w:rsid w:val="002D3DB7"/>
    <w:rsid w:val="002D3DC2"/>
    <w:rsid w:val="002D3EFE"/>
    <w:rsid w:val="002D3FBD"/>
    <w:rsid w:val="002D3FFC"/>
    <w:rsid w:val="002D4077"/>
    <w:rsid w:val="002D40BA"/>
    <w:rsid w:val="002D4179"/>
    <w:rsid w:val="002D41B8"/>
    <w:rsid w:val="002D41BF"/>
    <w:rsid w:val="002D4235"/>
    <w:rsid w:val="002D4360"/>
    <w:rsid w:val="002D4363"/>
    <w:rsid w:val="002D437C"/>
    <w:rsid w:val="002D437F"/>
    <w:rsid w:val="002D4461"/>
    <w:rsid w:val="002D44BA"/>
    <w:rsid w:val="002D4587"/>
    <w:rsid w:val="002D45BF"/>
    <w:rsid w:val="002D4683"/>
    <w:rsid w:val="002D46B9"/>
    <w:rsid w:val="002D47B2"/>
    <w:rsid w:val="002D481B"/>
    <w:rsid w:val="002D493F"/>
    <w:rsid w:val="002D4980"/>
    <w:rsid w:val="002D499F"/>
    <w:rsid w:val="002D49AA"/>
    <w:rsid w:val="002D49C2"/>
    <w:rsid w:val="002D49E4"/>
    <w:rsid w:val="002D4B2C"/>
    <w:rsid w:val="002D4B91"/>
    <w:rsid w:val="002D4BED"/>
    <w:rsid w:val="002D4C48"/>
    <w:rsid w:val="002D4C6A"/>
    <w:rsid w:val="002D4CE4"/>
    <w:rsid w:val="002D4CFB"/>
    <w:rsid w:val="002D4E07"/>
    <w:rsid w:val="002D4F09"/>
    <w:rsid w:val="002D4FA3"/>
    <w:rsid w:val="002D4FDE"/>
    <w:rsid w:val="002D5021"/>
    <w:rsid w:val="002D507F"/>
    <w:rsid w:val="002D509E"/>
    <w:rsid w:val="002D5136"/>
    <w:rsid w:val="002D51CA"/>
    <w:rsid w:val="002D51F1"/>
    <w:rsid w:val="002D51F9"/>
    <w:rsid w:val="002D51FE"/>
    <w:rsid w:val="002D5231"/>
    <w:rsid w:val="002D5407"/>
    <w:rsid w:val="002D54A6"/>
    <w:rsid w:val="002D54D4"/>
    <w:rsid w:val="002D5514"/>
    <w:rsid w:val="002D55D3"/>
    <w:rsid w:val="002D55D4"/>
    <w:rsid w:val="002D5691"/>
    <w:rsid w:val="002D5899"/>
    <w:rsid w:val="002D5981"/>
    <w:rsid w:val="002D5A8A"/>
    <w:rsid w:val="002D5ABA"/>
    <w:rsid w:val="002D5AFB"/>
    <w:rsid w:val="002D5B07"/>
    <w:rsid w:val="002D5BB0"/>
    <w:rsid w:val="002D5DC5"/>
    <w:rsid w:val="002D5FD0"/>
    <w:rsid w:val="002D5FD4"/>
    <w:rsid w:val="002D6091"/>
    <w:rsid w:val="002D6132"/>
    <w:rsid w:val="002D613A"/>
    <w:rsid w:val="002D6182"/>
    <w:rsid w:val="002D62BB"/>
    <w:rsid w:val="002D62D5"/>
    <w:rsid w:val="002D6331"/>
    <w:rsid w:val="002D6491"/>
    <w:rsid w:val="002D64F9"/>
    <w:rsid w:val="002D650A"/>
    <w:rsid w:val="002D6521"/>
    <w:rsid w:val="002D665A"/>
    <w:rsid w:val="002D665D"/>
    <w:rsid w:val="002D67D1"/>
    <w:rsid w:val="002D69A1"/>
    <w:rsid w:val="002D69B0"/>
    <w:rsid w:val="002D69EE"/>
    <w:rsid w:val="002D6B53"/>
    <w:rsid w:val="002D6B5D"/>
    <w:rsid w:val="002D6B7C"/>
    <w:rsid w:val="002D6C08"/>
    <w:rsid w:val="002D6C3C"/>
    <w:rsid w:val="002D6C86"/>
    <w:rsid w:val="002D6CD8"/>
    <w:rsid w:val="002D6E4D"/>
    <w:rsid w:val="002D6EFE"/>
    <w:rsid w:val="002D6F08"/>
    <w:rsid w:val="002D6F3E"/>
    <w:rsid w:val="002D6FDF"/>
    <w:rsid w:val="002D7085"/>
    <w:rsid w:val="002D7095"/>
    <w:rsid w:val="002D70A0"/>
    <w:rsid w:val="002D70B8"/>
    <w:rsid w:val="002D711B"/>
    <w:rsid w:val="002D715D"/>
    <w:rsid w:val="002D7206"/>
    <w:rsid w:val="002D72AF"/>
    <w:rsid w:val="002D72E1"/>
    <w:rsid w:val="002D7523"/>
    <w:rsid w:val="002D753D"/>
    <w:rsid w:val="002D75DA"/>
    <w:rsid w:val="002D7606"/>
    <w:rsid w:val="002D7642"/>
    <w:rsid w:val="002D7648"/>
    <w:rsid w:val="002D7652"/>
    <w:rsid w:val="002D770E"/>
    <w:rsid w:val="002D779D"/>
    <w:rsid w:val="002D7997"/>
    <w:rsid w:val="002D79CF"/>
    <w:rsid w:val="002D7B78"/>
    <w:rsid w:val="002D7B7D"/>
    <w:rsid w:val="002D7BFB"/>
    <w:rsid w:val="002D7C92"/>
    <w:rsid w:val="002D7C9B"/>
    <w:rsid w:val="002D7E32"/>
    <w:rsid w:val="002D7E3B"/>
    <w:rsid w:val="002D7FEA"/>
    <w:rsid w:val="002E000E"/>
    <w:rsid w:val="002E0018"/>
    <w:rsid w:val="002E0025"/>
    <w:rsid w:val="002E0052"/>
    <w:rsid w:val="002E011B"/>
    <w:rsid w:val="002E027F"/>
    <w:rsid w:val="002E0292"/>
    <w:rsid w:val="002E0313"/>
    <w:rsid w:val="002E036D"/>
    <w:rsid w:val="002E0448"/>
    <w:rsid w:val="002E0460"/>
    <w:rsid w:val="002E047D"/>
    <w:rsid w:val="002E047F"/>
    <w:rsid w:val="002E04AB"/>
    <w:rsid w:val="002E055F"/>
    <w:rsid w:val="002E056C"/>
    <w:rsid w:val="002E0577"/>
    <w:rsid w:val="002E063D"/>
    <w:rsid w:val="002E0663"/>
    <w:rsid w:val="002E06F1"/>
    <w:rsid w:val="002E0745"/>
    <w:rsid w:val="002E0880"/>
    <w:rsid w:val="002E091D"/>
    <w:rsid w:val="002E09F5"/>
    <w:rsid w:val="002E0A0B"/>
    <w:rsid w:val="002E0A4E"/>
    <w:rsid w:val="002E0B35"/>
    <w:rsid w:val="002E0B38"/>
    <w:rsid w:val="002E0D44"/>
    <w:rsid w:val="002E0D64"/>
    <w:rsid w:val="002E0DC7"/>
    <w:rsid w:val="002E0DCF"/>
    <w:rsid w:val="002E103A"/>
    <w:rsid w:val="002E10F1"/>
    <w:rsid w:val="002E117A"/>
    <w:rsid w:val="002E11A8"/>
    <w:rsid w:val="002E11C6"/>
    <w:rsid w:val="002E12AA"/>
    <w:rsid w:val="002E1643"/>
    <w:rsid w:val="002E1651"/>
    <w:rsid w:val="002E1671"/>
    <w:rsid w:val="002E176E"/>
    <w:rsid w:val="002E1794"/>
    <w:rsid w:val="002E1797"/>
    <w:rsid w:val="002E17D9"/>
    <w:rsid w:val="002E1885"/>
    <w:rsid w:val="002E1897"/>
    <w:rsid w:val="002E189B"/>
    <w:rsid w:val="002E18B7"/>
    <w:rsid w:val="002E1907"/>
    <w:rsid w:val="002E1925"/>
    <w:rsid w:val="002E1927"/>
    <w:rsid w:val="002E19A5"/>
    <w:rsid w:val="002E19B9"/>
    <w:rsid w:val="002E19D5"/>
    <w:rsid w:val="002E1A24"/>
    <w:rsid w:val="002E1B40"/>
    <w:rsid w:val="002E1BA7"/>
    <w:rsid w:val="002E1BBA"/>
    <w:rsid w:val="002E1C04"/>
    <w:rsid w:val="002E1C50"/>
    <w:rsid w:val="002E1CB1"/>
    <w:rsid w:val="002E1CBE"/>
    <w:rsid w:val="002E1CE3"/>
    <w:rsid w:val="002E1D63"/>
    <w:rsid w:val="002E1DAA"/>
    <w:rsid w:val="002E1EAB"/>
    <w:rsid w:val="002E1EB9"/>
    <w:rsid w:val="002E1F03"/>
    <w:rsid w:val="002E1F43"/>
    <w:rsid w:val="002E1F99"/>
    <w:rsid w:val="002E1FEF"/>
    <w:rsid w:val="002E2078"/>
    <w:rsid w:val="002E208A"/>
    <w:rsid w:val="002E2136"/>
    <w:rsid w:val="002E215C"/>
    <w:rsid w:val="002E2175"/>
    <w:rsid w:val="002E21D1"/>
    <w:rsid w:val="002E21FE"/>
    <w:rsid w:val="002E2265"/>
    <w:rsid w:val="002E227D"/>
    <w:rsid w:val="002E227F"/>
    <w:rsid w:val="002E2347"/>
    <w:rsid w:val="002E236E"/>
    <w:rsid w:val="002E23ED"/>
    <w:rsid w:val="002E2419"/>
    <w:rsid w:val="002E24DB"/>
    <w:rsid w:val="002E25B3"/>
    <w:rsid w:val="002E25C2"/>
    <w:rsid w:val="002E25CA"/>
    <w:rsid w:val="002E2793"/>
    <w:rsid w:val="002E2900"/>
    <w:rsid w:val="002E293E"/>
    <w:rsid w:val="002E296F"/>
    <w:rsid w:val="002E29D5"/>
    <w:rsid w:val="002E2C32"/>
    <w:rsid w:val="002E2CBB"/>
    <w:rsid w:val="002E2D1E"/>
    <w:rsid w:val="002E2D78"/>
    <w:rsid w:val="002E2DE5"/>
    <w:rsid w:val="002E2DF0"/>
    <w:rsid w:val="002E2DF4"/>
    <w:rsid w:val="002E2EF7"/>
    <w:rsid w:val="002E3012"/>
    <w:rsid w:val="002E3031"/>
    <w:rsid w:val="002E30A5"/>
    <w:rsid w:val="002E30B8"/>
    <w:rsid w:val="002E3135"/>
    <w:rsid w:val="002E32A0"/>
    <w:rsid w:val="002E33D8"/>
    <w:rsid w:val="002E3404"/>
    <w:rsid w:val="002E3503"/>
    <w:rsid w:val="002E3517"/>
    <w:rsid w:val="002E351D"/>
    <w:rsid w:val="002E3580"/>
    <w:rsid w:val="002E3583"/>
    <w:rsid w:val="002E35A4"/>
    <w:rsid w:val="002E35B9"/>
    <w:rsid w:val="002E35C1"/>
    <w:rsid w:val="002E3638"/>
    <w:rsid w:val="002E365A"/>
    <w:rsid w:val="002E3735"/>
    <w:rsid w:val="002E3756"/>
    <w:rsid w:val="002E3882"/>
    <w:rsid w:val="002E3932"/>
    <w:rsid w:val="002E396F"/>
    <w:rsid w:val="002E3A05"/>
    <w:rsid w:val="002E3ABC"/>
    <w:rsid w:val="002E3BED"/>
    <w:rsid w:val="002E3BF8"/>
    <w:rsid w:val="002E3D76"/>
    <w:rsid w:val="002E3E44"/>
    <w:rsid w:val="002E3EB5"/>
    <w:rsid w:val="002E3EE8"/>
    <w:rsid w:val="002E3F1F"/>
    <w:rsid w:val="002E4007"/>
    <w:rsid w:val="002E4116"/>
    <w:rsid w:val="002E41BE"/>
    <w:rsid w:val="002E4244"/>
    <w:rsid w:val="002E4358"/>
    <w:rsid w:val="002E43C5"/>
    <w:rsid w:val="002E446D"/>
    <w:rsid w:val="002E4470"/>
    <w:rsid w:val="002E44A6"/>
    <w:rsid w:val="002E456C"/>
    <w:rsid w:val="002E4672"/>
    <w:rsid w:val="002E46B8"/>
    <w:rsid w:val="002E476B"/>
    <w:rsid w:val="002E4845"/>
    <w:rsid w:val="002E4AA8"/>
    <w:rsid w:val="002E4C3D"/>
    <w:rsid w:val="002E4C6B"/>
    <w:rsid w:val="002E4CF5"/>
    <w:rsid w:val="002E4DBC"/>
    <w:rsid w:val="002E4E0B"/>
    <w:rsid w:val="002E4E3D"/>
    <w:rsid w:val="002E4E52"/>
    <w:rsid w:val="002E4E98"/>
    <w:rsid w:val="002E4F3D"/>
    <w:rsid w:val="002E5028"/>
    <w:rsid w:val="002E504A"/>
    <w:rsid w:val="002E5111"/>
    <w:rsid w:val="002E5141"/>
    <w:rsid w:val="002E5143"/>
    <w:rsid w:val="002E518D"/>
    <w:rsid w:val="002E5557"/>
    <w:rsid w:val="002E5576"/>
    <w:rsid w:val="002E5704"/>
    <w:rsid w:val="002E577A"/>
    <w:rsid w:val="002E57E7"/>
    <w:rsid w:val="002E582F"/>
    <w:rsid w:val="002E59D4"/>
    <w:rsid w:val="002E59EA"/>
    <w:rsid w:val="002E5AB9"/>
    <w:rsid w:val="002E5B0A"/>
    <w:rsid w:val="002E5B8E"/>
    <w:rsid w:val="002E5BBA"/>
    <w:rsid w:val="002E5C6C"/>
    <w:rsid w:val="002E5CCE"/>
    <w:rsid w:val="002E5E00"/>
    <w:rsid w:val="002E5E3C"/>
    <w:rsid w:val="002E5EEB"/>
    <w:rsid w:val="002E6179"/>
    <w:rsid w:val="002E61A9"/>
    <w:rsid w:val="002E61B5"/>
    <w:rsid w:val="002E61D0"/>
    <w:rsid w:val="002E62D1"/>
    <w:rsid w:val="002E6305"/>
    <w:rsid w:val="002E637C"/>
    <w:rsid w:val="002E638A"/>
    <w:rsid w:val="002E64A3"/>
    <w:rsid w:val="002E6543"/>
    <w:rsid w:val="002E6597"/>
    <w:rsid w:val="002E669B"/>
    <w:rsid w:val="002E66D9"/>
    <w:rsid w:val="002E67A5"/>
    <w:rsid w:val="002E67BA"/>
    <w:rsid w:val="002E6893"/>
    <w:rsid w:val="002E6940"/>
    <w:rsid w:val="002E6966"/>
    <w:rsid w:val="002E69FF"/>
    <w:rsid w:val="002E6A8D"/>
    <w:rsid w:val="002E6AB9"/>
    <w:rsid w:val="002E6B19"/>
    <w:rsid w:val="002E6CA4"/>
    <w:rsid w:val="002E6CE9"/>
    <w:rsid w:val="002E6D01"/>
    <w:rsid w:val="002E6D94"/>
    <w:rsid w:val="002E6DA8"/>
    <w:rsid w:val="002E6E31"/>
    <w:rsid w:val="002E6E57"/>
    <w:rsid w:val="002E6E86"/>
    <w:rsid w:val="002E6F1B"/>
    <w:rsid w:val="002E6F42"/>
    <w:rsid w:val="002E6F8F"/>
    <w:rsid w:val="002E6F98"/>
    <w:rsid w:val="002E6FD3"/>
    <w:rsid w:val="002E7009"/>
    <w:rsid w:val="002E70BA"/>
    <w:rsid w:val="002E7104"/>
    <w:rsid w:val="002E717A"/>
    <w:rsid w:val="002E725E"/>
    <w:rsid w:val="002E7294"/>
    <w:rsid w:val="002E739C"/>
    <w:rsid w:val="002E743F"/>
    <w:rsid w:val="002E7462"/>
    <w:rsid w:val="002E7494"/>
    <w:rsid w:val="002E7516"/>
    <w:rsid w:val="002E7545"/>
    <w:rsid w:val="002E75DB"/>
    <w:rsid w:val="002E7679"/>
    <w:rsid w:val="002E779A"/>
    <w:rsid w:val="002E77B3"/>
    <w:rsid w:val="002E77CF"/>
    <w:rsid w:val="002E78A4"/>
    <w:rsid w:val="002E7920"/>
    <w:rsid w:val="002E796D"/>
    <w:rsid w:val="002E7A6F"/>
    <w:rsid w:val="002E7ACE"/>
    <w:rsid w:val="002E7AD1"/>
    <w:rsid w:val="002E7B71"/>
    <w:rsid w:val="002E7BFD"/>
    <w:rsid w:val="002E7C1D"/>
    <w:rsid w:val="002E7C91"/>
    <w:rsid w:val="002E7C9B"/>
    <w:rsid w:val="002E7D09"/>
    <w:rsid w:val="002E7D58"/>
    <w:rsid w:val="002E7E1E"/>
    <w:rsid w:val="002E7E3E"/>
    <w:rsid w:val="002E7E40"/>
    <w:rsid w:val="002F0031"/>
    <w:rsid w:val="002F01E1"/>
    <w:rsid w:val="002F0202"/>
    <w:rsid w:val="002F0316"/>
    <w:rsid w:val="002F042B"/>
    <w:rsid w:val="002F048D"/>
    <w:rsid w:val="002F049F"/>
    <w:rsid w:val="002F0500"/>
    <w:rsid w:val="002F05AC"/>
    <w:rsid w:val="002F05D2"/>
    <w:rsid w:val="002F06D4"/>
    <w:rsid w:val="002F071B"/>
    <w:rsid w:val="002F0745"/>
    <w:rsid w:val="002F085E"/>
    <w:rsid w:val="002F08C9"/>
    <w:rsid w:val="002F08E3"/>
    <w:rsid w:val="002F0953"/>
    <w:rsid w:val="002F096A"/>
    <w:rsid w:val="002F09F4"/>
    <w:rsid w:val="002F0BDD"/>
    <w:rsid w:val="002F0CB5"/>
    <w:rsid w:val="002F0D93"/>
    <w:rsid w:val="002F0DF2"/>
    <w:rsid w:val="002F0F48"/>
    <w:rsid w:val="002F1064"/>
    <w:rsid w:val="002F10EB"/>
    <w:rsid w:val="002F116A"/>
    <w:rsid w:val="002F1197"/>
    <w:rsid w:val="002F127A"/>
    <w:rsid w:val="002F129E"/>
    <w:rsid w:val="002F133D"/>
    <w:rsid w:val="002F13EE"/>
    <w:rsid w:val="002F145F"/>
    <w:rsid w:val="002F1481"/>
    <w:rsid w:val="002F14AF"/>
    <w:rsid w:val="002F14F5"/>
    <w:rsid w:val="002F15F0"/>
    <w:rsid w:val="002F1637"/>
    <w:rsid w:val="002F166B"/>
    <w:rsid w:val="002F170D"/>
    <w:rsid w:val="002F178B"/>
    <w:rsid w:val="002F17E7"/>
    <w:rsid w:val="002F17EC"/>
    <w:rsid w:val="002F1840"/>
    <w:rsid w:val="002F18C8"/>
    <w:rsid w:val="002F18D4"/>
    <w:rsid w:val="002F192E"/>
    <w:rsid w:val="002F19B6"/>
    <w:rsid w:val="002F1A5B"/>
    <w:rsid w:val="002F1AFD"/>
    <w:rsid w:val="002F1CE9"/>
    <w:rsid w:val="002F1D2B"/>
    <w:rsid w:val="002F1D89"/>
    <w:rsid w:val="002F1DA4"/>
    <w:rsid w:val="002F1DBE"/>
    <w:rsid w:val="002F1E74"/>
    <w:rsid w:val="002F1E8A"/>
    <w:rsid w:val="002F1F8A"/>
    <w:rsid w:val="002F1FD9"/>
    <w:rsid w:val="002F2096"/>
    <w:rsid w:val="002F209A"/>
    <w:rsid w:val="002F20E5"/>
    <w:rsid w:val="002F2127"/>
    <w:rsid w:val="002F2262"/>
    <w:rsid w:val="002F22A0"/>
    <w:rsid w:val="002F22CE"/>
    <w:rsid w:val="002F23A0"/>
    <w:rsid w:val="002F23C8"/>
    <w:rsid w:val="002F241D"/>
    <w:rsid w:val="002F242F"/>
    <w:rsid w:val="002F24A4"/>
    <w:rsid w:val="002F25DA"/>
    <w:rsid w:val="002F260B"/>
    <w:rsid w:val="002F264B"/>
    <w:rsid w:val="002F27D8"/>
    <w:rsid w:val="002F28E6"/>
    <w:rsid w:val="002F290F"/>
    <w:rsid w:val="002F2910"/>
    <w:rsid w:val="002F292F"/>
    <w:rsid w:val="002F2AF7"/>
    <w:rsid w:val="002F2B08"/>
    <w:rsid w:val="002F2B41"/>
    <w:rsid w:val="002F2C24"/>
    <w:rsid w:val="002F2D0C"/>
    <w:rsid w:val="002F2D59"/>
    <w:rsid w:val="002F2E7B"/>
    <w:rsid w:val="002F2F7D"/>
    <w:rsid w:val="002F2FEA"/>
    <w:rsid w:val="002F3035"/>
    <w:rsid w:val="002F30AE"/>
    <w:rsid w:val="002F30D2"/>
    <w:rsid w:val="002F30E5"/>
    <w:rsid w:val="002F3129"/>
    <w:rsid w:val="002F312A"/>
    <w:rsid w:val="002F317D"/>
    <w:rsid w:val="002F320B"/>
    <w:rsid w:val="002F3290"/>
    <w:rsid w:val="002F3345"/>
    <w:rsid w:val="002F336B"/>
    <w:rsid w:val="002F342B"/>
    <w:rsid w:val="002F34A4"/>
    <w:rsid w:val="002F34EA"/>
    <w:rsid w:val="002F350E"/>
    <w:rsid w:val="002F3584"/>
    <w:rsid w:val="002F35AC"/>
    <w:rsid w:val="002F368F"/>
    <w:rsid w:val="002F388F"/>
    <w:rsid w:val="002F3910"/>
    <w:rsid w:val="002F3C0E"/>
    <w:rsid w:val="002F3C87"/>
    <w:rsid w:val="002F3CF9"/>
    <w:rsid w:val="002F3D20"/>
    <w:rsid w:val="002F3F48"/>
    <w:rsid w:val="002F3F8A"/>
    <w:rsid w:val="002F3FE8"/>
    <w:rsid w:val="002F408E"/>
    <w:rsid w:val="002F40AD"/>
    <w:rsid w:val="002F40FF"/>
    <w:rsid w:val="002F4169"/>
    <w:rsid w:val="002F417B"/>
    <w:rsid w:val="002F422B"/>
    <w:rsid w:val="002F4269"/>
    <w:rsid w:val="002F428E"/>
    <w:rsid w:val="002F4371"/>
    <w:rsid w:val="002F43C5"/>
    <w:rsid w:val="002F43D6"/>
    <w:rsid w:val="002F43DF"/>
    <w:rsid w:val="002F43F3"/>
    <w:rsid w:val="002F4443"/>
    <w:rsid w:val="002F4446"/>
    <w:rsid w:val="002F44A2"/>
    <w:rsid w:val="002F44C4"/>
    <w:rsid w:val="002F4532"/>
    <w:rsid w:val="002F4595"/>
    <w:rsid w:val="002F459C"/>
    <w:rsid w:val="002F459E"/>
    <w:rsid w:val="002F4787"/>
    <w:rsid w:val="002F4A0A"/>
    <w:rsid w:val="002F4BD6"/>
    <w:rsid w:val="002F4BEE"/>
    <w:rsid w:val="002F4C55"/>
    <w:rsid w:val="002F4CCC"/>
    <w:rsid w:val="002F4CF3"/>
    <w:rsid w:val="002F4D97"/>
    <w:rsid w:val="002F4E22"/>
    <w:rsid w:val="002F4E6C"/>
    <w:rsid w:val="002F4F9B"/>
    <w:rsid w:val="002F4FC5"/>
    <w:rsid w:val="002F4FD8"/>
    <w:rsid w:val="002F5042"/>
    <w:rsid w:val="002F5057"/>
    <w:rsid w:val="002F507F"/>
    <w:rsid w:val="002F5137"/>
    <w:rsid w:val="002F51EB"/>
    <w:rsid w:val="002F532F"/>
    <w:rsid w:val="002F54C7"/>
    <w:rsid w:val="002F5558"/>
    <w:rsid w:val="002F5591"/>
    <w:rsid w:val="002F559F"/>
    <w:rsid w:val="002F55DC"/>
    <w:rsid w:val="002F568F"/>
    <w:rsid w:val="002F5693"/>
    <w:rsid w:val="002F56D2"/>
    <w:rsid w:val="002F5720"/>
    <w:rsid w:val="002F5855"/>
    <w:rsid w:val="002F58E4"/>
    <w:rsid w:val="002F5A93"/>
    <w:rsid w:val="002F5AE6"/>
    <w:rsid w:val="002F5B78"/>
    <w:rsid w:val="002F5BD0"/>
    <w:rsid w:val="002F5C9E"/>
    <w:rsid w:val="002F5CC5"/>
    <w:rsid w:val="002F5CFF"/>
    <w:rsid w:val="002F5D35"/>
    <w:rsid w:val="002F5D6F"/>
    <w:rsid w:val="002F5E0E"/>
    <w:rsid w:val="002F5F12"/>
    <w:rsid w:val="002F5F65"/>
    <w:rsid w:val="002F60BA"/>
    <w:rsid w:val="002F612E"/>
    <w:rsid w:val="002F6179"/>
    <w:rsid w:val="002F61C8"/>
    <w:rsid w:val="002F61D5"/>
    <w:rsid w:val="002F621B"/>
    <w:rsid w:val="002F6231"/>
    <w:rsid w:val="002F62FF"/>
    <w:rsid w:val="002F635F"/>
    <w:rsid w:val="002F6360"/>
    <w:rsid w:val="002F6391"/>
    <w:rsid w:val="002F6399"/>
    <w:rsid w:val="002F6473"/>
    <w:rsid w:val="002F6516"/>
    <w:rsid w:val="002F6541"/>
    <w:rsid w:val="002F6565"/>
    <w:rsid w:val="002F6568"/>
    <w:rsid w:val="002F6574"/>
    <w:rsid w:val="002F65BC"/>
    <w:rsid w:val="002F663C"/>
    <w:rsid w:val="002F6691"/>
    <w:rsid w:val="002F673D"/>
    <w:rsid w:val="002F6773"/>
    <w:rsid w:val="002F6797"/>
    <w:rsid w:val="002F6806"/>
    <w:rsid w:val="002F686E"/>
    <w:rsid w:val="002F68A4"/>
    <w:rsid w:val="002F68EB"/>
    <w:rsid w:val="002F6A3A"/>
    <w:rsid w:val="002F6A62"/>
    <w:rsid w:val="002F6A78"/>
    <w:rsid w:val="002F6AD3"/>
    <w:rsid w:val="002F6AE4"/>
    <w:rsid w:val="002F6B19"/>
    <w:rsid w:val="002F6B7F"/>
    <w:rsid w:val="002F6C43"/>
    <w:rsid w:val="002F6C54"/>
    <w:rsid w:val="002F6C56"/>
    <w:rsid w:val="002F6C64"/>
    <w:rsid w:val="002F6C91"/>
    <w:rsid w:val="002F6DD9"/>
    <w:rsid w:val="002F6E13"/>
    <w:rsid w:val="002F6FE6"/>
    <w:rsid w:val="002F709C"/>
    <w:rsid w:val="002F714C"/>
    <w:rsid w:val="002F71EE"/>
    <w:rsid w:val="002F7205"/>
    <w:rsid w:val="002F72D2"/>
    <w:rsid w:val="002F7343"/>
    <w:rsid w:val="002F738B"/>
    <w:rsid w:val="002F738C"/>
    <w:rsid w:val="002F73C5"/>
    <w:rsid w:val="002F74D7"/>
    <w:rsid w:val="002F75C6"/>
    <w:rsid w:val="002F7640"/>
    <w:rsid w:val="002F770B"/>
    <w:rsid w:val="002F77C9"/>
    <w:rsid w:val="002F78C0"/>
    <w:rsid w:val="002F7996"/>
    <w:rsid w:val="002F7A16"/>
    <w:rsid w:val="002F7AEF"/>
    <w:rsid w:val="002F7BA0"/>
    <w:rsid w:val="002F7BB1"/>
    <w:rsid w:val="002F7C93"/>
    <w:rsid w:val="002F7D25"/>
    <w:rsid w:val="002F7D6E"/>
    <w:rsid w:val="002F7DB2"/>
    <w:rsid w:val="002F7DF1"/>
    <w:rsid w:val="002F7E46"/>
    <w:rsid w:val="002F7EFC"/>
    <w:rsid w:val="002F7F0B"/>
    <w:rsid w:val="002F7FEE"/>
    <w:rsid w:val="00300061"/>
    <w:rsid w:val="00300068"/>
    <w:rsid w:val="003001A9"/>
    <w:rsid w:val="0030024F"/>
    <w:rsid w:val="003002EC"/>
    <w:rsid w:val="003002EE"/>
    <w:rsid w:val="00300368"/>
    <w:rsid w:val="00300455"/>
    <w:rsid w:val="00300473"/>
    <w:rsid w:val="0030060A"/>
    <w:rsid w:val="0030067E"/>
    <w:rsid w:val="003006A6"/>
    <w:rsid w:val="00300701"/>
    <w:rsid w:val="00300759"/>
    <w:rsid w:val="003007BA"/>
    <w:rsid w:val="003008E7"/>
    <w:rsid w:val="003008F7"/>
    <w:rsid w:val="00300921"/>
    <w:rsid w:val="0030098C"/>
    <w:rsid w:val="00300C91"/>
    <w:rsid w:val="00300CCD"/>
    <w:rsid w:val="00300D38"/>
    <w:rsid w:val="00300D66"/>
    <w:rsid w:val="00300E6C"/>
    <w:rsid w:val="00300F42"/>
    <w:rsid w:val="00300F5F"/>
    <w:rsid w:val="00300FA1"/>
    <w:rsid w:val="00301095"/>
    <w:rsid w:val="0030109E"/>
    <w:rsid w:val="00301190"/>
    <w:rsid w:val="00301221"/>
    <w:rsid w:val="003013A1"/>
    <w:rsid w:val="003013A2"/>
    <w:rsid w:val="00301572"/>
    <w:rsid w:val="00301668"/>
    <w:rsid w:val="00301675"/>
    <w:rsid w:val="003016D0"/>
    <w:rsid w:val="0030173C"/>
    <w:rsid w:val="003017AB"/>
    <w:rsid w:val="003017CE"/>
    <w:rsid w:val="0030185F"/>
    <w:rsid w:val="00301892"/>
    <w:rsid w:val="00301931"/>
    <w:rsid w:val="0030193A"/>
    <w:rsid w:val="00301B87"/>
    <w:rsid w:val="00301D14"/>
    <w:rsid w:val="00301D3E"/>
    <w:rsid w:val="00301D81"/>
    <w:rsid w:val="00301FB5"/>
    <w:rsid w:val="00302052"/>
    <w:rsid w:val="003022A8"/>
    <w:rsid w:val="0030238F"/>
    <w:rsid w:val="00302451"/>
    <w:rsid w:val="003026B2"/>
    <w:rsid w:val="00302768"/>
    <w:rsid w:val="00302793"/>
    <w:rsid w:val="003027D4"/>
    <w:rsid w:val="003027F4"/>
    <w:rsid w:val="00302888"/>
    <w:rsid w:val="003028EB"/>
    <w:rsid w:val="0030294E"/>
    <w:rsid w:val="00302A23"/>
    <w:rsid w:val="00302B8C"/>
    <w:rsid w:val="00302BA2"/>
    <w:rsid w:val="00302CFE"/>
    <w:rsid w:val="00302D68"/>
    <w:rsid w:val="00302D6B"/>
    <w:rsid w:val="00302EB7"/>
    <w:rsid w:val="00302EF9"/>
    <w:rsid w:val="00302F0D"/>
    <w:rsid w:val="00302F9F"/>
    <w:rsid w:val="0030312D"/>
    <w:rsid w:val="003031A6"/>
    <w:rsid w:val="003031B8"/>
    <w:rsid w:val="003033C1"/>
    <w:rsid w:val="003034DE"/>
    <w:rsid w:val="00303812"/>
    <w:rsid w:val="0030387F"/>
    <w:rsid w:val="003038EA"/>
    <w:rsid w:val="003038F7"/>
    <w:rsid w:val="00303951"/>
    <w:rsid w:val="003039D5"/>
    <w:rsid w:val="00303A78"/>
    <w:rsid w:val="00303AEE"/>
    <w:rsid w:val="00303B6C"/>
    <w:rsid w:val="00303B8E"/>
    <w:rsid w:val="00303BAF"/>
    <w:rsid w:val="00303BD3"/>
    <w:rsid w:val="00303DD2"/>
    <w:rsid w:val="00303E2F"/>
    <w:rsid w:val="00303E3F"/>
    <w:rsid w:val="00303F44"/>
    <w:rsid w:val="00303F83"/>
    <w:rsid w:val="00303F9C"/>
    <w:rsid w:val="003040F7"/>
    <w:rsid w:val="00304179"/>
    <w:rsid w:val="00304263"/>
    <w:rsid w:val="00304280"/>
    <w:rsid w:val="00304311"/>
    <w:rsid w:val="00304449"/>
    <w:rsid w:val="0030448C"/>
    <w:rsid w:val="00304593"/>
    <w:rsid w:val="0030460F"/>
    <w:rsid w:val="00304612"/>
    <w:rsid w:val="0030462B"/>
    <w:rsid w:val="003047F6"/>
    <w:rsid w:val="00304862"/>
    <w:rsid w:val="00304871"/>
    <w:rsid w:val="0030488D"/>
    <w:rsid w:val="00304B66"/>
    <w:rsid w:val="00304C35"/>
    <w:rsid w:val="00304C76"/>
    <w:rsid w:val="00304CF1"/>
    <w:rsid w:val="00304CF5"/>
    <w:rsid w:val="00304D2B"/>
    <w:rsid w:val="00304E1C"/>
    <w:rsid w:val="00304E28"/>
    <w:rsid w:val="00304E80"/>
    <w:rsid w:val="00304EE9"/>
    <w:rsid w:val="00305046"/>
    <w:rsid w:val="003050A5"/>
    <w:rsid w:val="003050BA"/>
    <w:rsid w:val="00305105"/>
    <w:rsid w:val="00305120"/>
    <w:rsid w:val="00305163"/>
    <w:rsid w:val="00305170"/>
    <w:rsid w:val="003051A5"/>
    <w:rsid w:val="0030525F"/>
    <w:rsid w:val="00305267"/>
    <w:rsid w:val="003052A9"/>
    <w:rsid w:val="003052BE"/>
    <w:rsid w:val="003052E6"/>
    <w:rsid w:val="00305415"/>
    <w:rsid w:val="00305465"/>
    <w:rsid w:val="00305499"/>
    <w:rsid w:val="003054BC"/>
    <w:rsid w:val="003055F6"/>
    <w:rsid w:val="00305615"/>
    <w:rsid w:val="00305744"/>
    <w:rsid w:val="003057E5"/>
    <w:rsid w:val="0030586D"/>
    <w:rsid w:val="003058CA"/>
    <w:rsid w:val="00305A0F"/>
    <w:rsid w:val="00305A47"/>
    <w:rsid w:val="00305A76"/>
    <w:rsid w:val="00305B4C"/>
    <w:rsid w:val="00305C7A"/>
    <w:rsid w:val="00305CE8"/>
    <w:rsid w:val="00305EED"/>
    <w:rsid w:val="00305F84"/>
    <w:rsid w:val="00305FB5"/>
    <w:rsid w:val="00305FBD"/>
    <w:rsid w:val="00306036"/>
    <w:rsid w:val="0030603B"/>
    <w:rsid w:val="00306052"/>
    <w:rsid w:val="00306201"/>
    <w:rsid w:val="00306218"/>
    <w:rsid w:val="0030627F"/>
    <w:rsid w:val="003062F5"/>
    <w:rsid w:val="003063C0"/>
    <w:rsid w:val="0030661B"/>
    <w:rsid w:val="0030662C"/>
    <w:rsid w:val="00306630"/>
    <w:rsid w:val="00306695"/>
    <w:rsid w:val="00306697"/>
    <w:rsid w:val="003066BE"/>
    <w:rsid w:val="00306798"/>
    <w:rsid w:val="00306856"/>
    <w:rsid w:val="003068CA"/>
    <w:rsid w:val="003069DF"/>
    <w:rsid w:val="00306A36"/>
    <w:rsid w:val="00306A91"/>
    <w:rsid w:val="00306BD3"/>
    <w:rsid w:val="00306C23"/>
    <w:rsid w:val="00306C80"/>
    <w:rsid w:val="00306CEC"/>
    <w:rsid w:val="00306D48"/>
    <w:rsid w:val="00306D60"/>
    <w:rsid w:val="00306D71"/>
    <w:rsid w:val="00306DA9"/>
    <w:rsid w:val="00306DB6"/>
    <w:rsid w:val="00306E1B"/>
    <w:rsid w:val="00306E8E"/>
    <w:rsid w:val="00306E9D"/>
    <w:rsid w:val="00306F1F"/>
    <w:rsid w:val="00306FA5"/>
    <w:rsid w:val="00306FB6"/>
    <w:rsid w:val="00306FE3"/>
    <w:rsid w:val="00307000"/>
    <w:rsid w:val="0030701A"/>
    <w:rsid w:val="00307050"/>
    <w:rsid w:val="00307189"/>
    <w:rsid w:val="003071C1"/>
    <w:rsid w:val="003071D2"/>
    <w:rsid w:val="00307213"/>
    <w:rsid w:val="0030721E"/>
    <w:rsid w:val="0030725F"/>
    <w:rsid w:val="0030738C"/>
    <w:rsid w:val="003074CA"/>
    <w:rsid w:val="003074F8"/>
    <w:rsid w:val="0030752F"/>
    <w:rsid w:val="00307546"/>
    <w:rsid w:val="003075C2"/>
    <w:rsid w:val="00307654"/>
    <w:rsid w:val="00307660"/>
    <w:rsid w:val="00307705"/>
    <w:rsid w:val="00307781"/>
    <w:rsid w:val="00307843"/>
    <w:rsid w:val="00307899"/>
    <w:rsid w:val="003078B2"/>
    <w:rsid w:val="0030795C"/>
    <w:rsid w:val="003079BB"/>
    <w:rsid w:val="00307A89"/>
    <w:rsid w:val="00307A9F"/>
    <w:rsid w:val="00307AC8"/>
    <w:rsid w:val="00307AE7"/>
    <w:rsid w:val="00307C43"/>
    <w:rsid w:val="00307D85"/>
    <w:rsid w:val="00307FC0"/>
    <w:rsid w:val="00307FDF"/>
    <w:rsid w:val="0031000D"/>
    <w:rsid w:val="00310039"/>
    <w:rsid w:val="003100B9"/>
    <w:rsid w:val="00310151"/>
    <w:rsid w:val="00310343"/>
    <w:rsid w:val="0031040F"/>
    <w:rsid w:val="00310460"/>
    <w:rsid w:val="0031048A"/>
    <w:rsid w:val="003104C1"/>
    <w:rsid w:val="003104CF"/>
    <w:rsid w:val="003104EB"/>
    <w:rsid w:val="00310500"/>
    <w:rsid w:val="00310508"/>
    <w:rsid w:val="003105CF"/>
    <w:rsid w:val="00310600"/>
    <w:rsid w:val="00310711"/>
    <w:rsid w:val="00310768"/>
    <w:rsid w:val="003107A4"/>
    <w:rsid w:val="003107AB"/>
    <w:rsid w:val="003107ED"/>
    <w:rsid w:val="00310833"/>
    <w:rsid w:val="00310853"/>
    <w:rsid w:val="00310A0A"/>
    <w:rsid w:val="00310B4D"/>
    <w:rsid w:val="00310B91"/>
    <w:rsid w:val="00310BB1"/>
    <w:rsid w:val="00310C52"/>
    <w:rsid w:val="00310CD2"/>
    <w:rsid w:val="00310CE3"/>
    <w:rsid w:val="00310E81"/>
    <w:rsid w:val="00310EE6"/>
    <w:rsid w:val="00310F0F"/>
    <w:rsid w:val="00310F8B"/>
    <w:rsid w:val="00311054"/>
    <w:rsid w:val="0031107E"/>
    <w:rsid w:val="003110CE"/>
    <w:rsid w:val="0031114C"/>
    <w:rsid w:val="00311162"/>
    <w:rsid w:val="003112E6"/>
    <w:rsid w:val="00311305"/>
    <w:rsid w:val="003113AE"/>
    <w:rsid w:val="00311453"/>
    <w:rsid w:val="003115C2"/>
    <w:rsid w:val="003115D1"/>
    <w:rsid w:val="003115DC"/>
    <w:rsid w:val="003117BE"/>
    <w:rsid w:val="00311880"/>
    <w:rsid w:val="003118F8"/>
    <w:rsid w:val="0031190B"/>
    <w:rsid w:val="00311961"/>
    <w:rsid w:val="0031199C"/>
    <w:rsid w:val="003119B6"/>
    <w:rsid w:val="00311A01"/>
    <w:rsid w:val="00311ACA"/>
    <w:rsid w:val="00311C6B"/>
    <w:rsid w:val="00311D35"/>
    <w:rsid w:val="00311D7A"/>
    <w:rsid w:val="00311DE5"/>
    <w:rsid w:val="00311EDA"/>
    <w:rsid w:val="0031216E"/>
    <w:rsid w:val="0031225D"/>
    <w:rsid w:val="00312273"/>
    <w:rsid w:val="003122CE"/>
    <w:rsid w:val="003122DA"/>
    <w:rsid w:val="0031248B"/>
    <w:rsid w:val="003124E4"/>
    <w:rsid w:val="00312640"/>
    <w:rsid w:val="003126CE"/>
    <w:rsid w:val="0031275B"/>
    <w:rsid w:val="0031279F"/>
    <w:rsid w:val="003127B0"/>
    <w:rsid w:val="003127EB"/>
    <w:rsid w:val="003129D4"/>
    <w:rsid w:val="00312A26"/>
    <w:rsid w:val="00312B3A"/>
    <w:rsid w:val="00312B4C"/>
    <w:rsid w:val="00312BC0"/>
    <w:rsid w:val="00312BC8"/>
    <w:rsid w:val="00312BE4"/>
    <w:rsid w:val="00312C8E"/>
    <w:rsid w:val="00312C96"/>
    <w:rsid w:val="00312E87"/>
    <w:rsid w:val="00312F36"/>
    <w:rsid w:val="00313032"/>
    <w:rsid w:val="00313198"/>
    <w:rsid w:val="003131D4"/>
    <w:rsid w:val="00313204"/>
    <w:rsid w:val="0031324E"/>
    <w:rsid w:val="0031327A"/>
    <w:rsid w:val="003132CA"/>
    <w:rsid w:val="003133A0"/>
    <w:rsid w:val="00313412"/>
    <w:rsid w:val="00313417"/>
    <w:rsid w:val="00313418"/>
    <w:rsid w:val="003134CB"/>
    <w:rsid w:val="003134D5"/>
    <w:rsid w:val="0031353A"/>
    <w:rsid w:val="00313611"/>
    <w:rsid w:val="00313616"/>
    <w:rsid w:val="00313636"/>
    <w:rsid w:val="0031367B"/>
    <w:rsid w:val="0031378D"/>
    <w:rsid w:val="0031378E"/>
    <w:rsid w:val="0031390E"/>
    <w:rsid w:val="003139EA"/>
    <w:rsid w:val="00313AD8"/>
    <w:rsid w:val="00313BFD"/>
    <w:rsid w:val="00313C02"/>
    <w:rsid w:val="00313C45"/>
    <w:rsid w:val="00313C9C"/>
    <w:rsid w:val="00313CD7"/>
    <w:rsid w:val="00313D3D"/>
    <w:rsid w:val="00313D61"/>
    <w:rsid w:val="00313DEB"/>
    <w:rsid w:val="00313DFE"/>
    <w:rsid w:val="00313E6F"/>
    <w:rsid w:val="00313ED8"/>
    <w:rsid w:val="00313FB0"/>
    <w:rsid w:val="0031403A"/>
    <w:rsid w:val="003140CB"/>
    <w:rsid w:val="003140FE"/>
    <w:rsid w:val="003141BD"/>
    <w:rsid w:val="0031428E"/>
    <w:rsid w:val="003142C1"/>
    <w:rsid w:val="00314336"/>
    <w:rsid w:val="00314373"/>
    <w:rsid w:val="0031440D"/>
    <w:rsid w:val="00314452"/>
    <w:rsid w:val="00314463"/>
    <w:rsid w:val="0031446F"/>
    <w:rsid w:val="003144B8"/>
    <w:rsid w:val="003145FF"/>
    <w:rsid w:val="00314759"/>
    <w:rsid w:val="0031476A"/>
    <w:rsid w:val="00314814"/>
    <w:rsid w:val="003148B2"/>
    <w:rsid w:val="003148B5"/>
    <w:rsid w:val="003148F4"/>
    <w:rsid w:val="00314960"/>
    <w:rsid w:val="00314B8A"/>
    <w:rsid w:val="00314BF1"/>
    <w:rsid w:val="00314D13"/>
    <w:rsid w:val="00314D41"/>
    <w:rsid w:val="00314DA8"/>
    <w:rsid w:val="00314DC6"/>
    <w:rsid w:val="00314DF2"/>
    <w:rsid w:val="00314ED2"/>
    <w:rsid w:val="00314EFA"/>
    <w:rsid w:val="0031502F"/>
    <w:rsid w:val="0031507A"/>
    <w:rsid w:val="00315127"/>
    <w:rsid w:val="00315234"/>
    <w:rsid w:val="00315334"/>
    <w:rsid w:val="00315354"/>
    <w:rsid w:val="0031543A"/>
    <w:rsid w:val="0031545A"/>
    <w:rsid w:val="0031547D"/>
    <w:rsid w:val="0031555C"/>
    <w:rsid w:val="0031560B"/>
    <w:rsid w:val="003156DC"/>
    <w:rsid w:val="003157C2"/>
    <w:rsid w:val="003157CC"/>
    <w:rsid w:val="00315867"/>
    <w:rsid w:val="00315911"/>
    <w:rsid w:val="0031596B"/>
    <w:rsid w:val="0031596C"/>
    <w:rsid w:val="00315A1B"/>
    <w:rsid w:val="00315AD3"/>
    <w:rsid w:val="00315E61"/>
    <w:rsid w:val="00315EEE"/>
    <w:rsid w:val="00315F05"/>
    <w:rsid w:val="00315F12"/>
    <w:rsid w:val="00315F21"/>
    <w:rsid w:val="00315F36"/>
    <w:rsid w:val="00316041"/>
    <w:rsid w:val="003160C9"/>
    <w:rsid w:val="003160D8"/>
    <w:rsid w:val="00316180"/>
    <w:rsid w:val="0031619E"/>
    <w:rsid w:val="0031629A"/>
    <w:rsid w:val="003162A2"/>
    <w:rsid w:val="003162D3"/>
    <w:rsid w:val="003162FA"/>
    <w:rsid w:val="00316418"/>
    <w:rsid w:val="00316425"/>
    <w:rsid w:val="0031642C"/>
    <w:rsid w:val="003165C0"/>
    <w:rsid w:val="003165D4"/>
    <w:rsid w:val="0031670B"/>
    <w:rsid w:val="00316767"/>
    <w:rsid w:val="003167B4"/>
    <w:rsid w:val="003167B5"/>
    <w:rsid w:val="00316854"/>
    <w:rsid w:val="00316877"/>
    <w:rsid w:val="003168CE"/>
    <w:rsid w:val="00316996"/>
    <w:rsid w:val="00316A6A"/>
    <w:rsid w:val="00316B22"/>
    <w:rsid w:val="00316B81"/>
    <w:rsid w:val="00316BF3"/>
    <w:rsid w:val="00316CDF"/>
    <w:rsid w:val="00316CE8"/>
    <w:rsid w:val="00316CF2"/>
    <w:rsid w:val="00316CFE"/>
    <w:rsid w:val="00316D75"/>
    <w:rsid w:val="00316E55"/>
    <w:rsid w:val="00316F89"/>
    <w:rsid w:val="00317050"/>
    <w:rsid w:val="0031706B"/>
    <w:rsid w:val="00317120"/>
    <w:rsid w:val="0031714B"/>
    <w:rsid w:val="00317164"/>
    <w:rsid w:val="0031718F"/>
    <w:rsid w:val="003171A9"/>
    <w:rsid w:val="00317249"/>
    <w:rsid w:val="003172B6"/>
    <w:rsid w:val="0031759A"/>
    <w:rsid w:val="003175FF"/>
    <w:rsid w:val="0031761E"/>
    <w:rsid w:val="003176EC"/>
    <w:rsid w:val="003176EE"/>
    <w:rsid w:val="00317775"/>
    <w:rsid w:val="003177C5"/>
    <w:rsid w:val="00317800"/>
    <w:rsid w:val="003178F4"/>
    <w:rsid w:val="00317AF9"/>
    <w:rsid w:val="00317B82"/>
    <w:rsid w:val="00317C4F"/>
    <w:rsid w:val="00317D00"/>
    <w:rsid w:val="00317DE2"/>
    <w:rsid w:val="00317E12"/>
    <w:rsid w:val="00317EB9"/>
    <w:rsid w:val="00317F3D"/>
    <w:rsid w:val="00317F53"/>
    <w:rsid w:val="00317FCD"/>
    <w:rsid w:val="00317FDB"/>
    <w:rsid w:val="00320098"/>
    <w:rsid w:val="003200EE"/>
    <w:rsid w:val="0032013D"/>
    <w:rsid w:val="00320182"/>
    <w:rsid w:val="003201B0"/>
    <w:rsid w:val="00320350"/>
    <w:rsid w:val="00320391"/>
    <w:rsid w:val="003203A4"/>
    <w:rsid w:val="00320434"/>
    <w:rsid w:val="00320498"/>
    <w:rsid w:val="003204E9"/>
    <w:rsid w:val="0032051E"/>
    <w:rsid w:val="003205BF"/>
    <w:rsid w:val="00320711"/>
    <w:rsid w:val="00320781"/>
    <w:rsid w:val="003207B1"/>
    <w:rsid w:val="00320894"/>
    <w:rsid w:val="003209B9"/>
    <w:rsid w:val="00320A19"/>
    <w:rsid w:val="00320C76"/>
    <w:rsid w:val="00320C8E"/>
    <w:rsid w:val="00320D0A"/>
    <w:rsid w:val="00320D3D"/>
    <w:rsid w:val="00320DC7"/>
    <w:rsid w:val="00320E33"/>
    <w:rsid w:val="00320E4F"/>
    <w:rsid w:val="00320ECF"/>
    <w:rsid w:val="00320EF8"/>
    <w:rsid w:val="00320F86"/>
    <w:rsid w:val="00320FB0"/>
    <w:rsid w:val="003210FC"/>
    <w:rsid w:val="00321159"/>
    <w:rsid w:val="003211CF"/>
    <w:rsid w:val="003211E1"/>
    <w:rsid w:val="00321215"/>
    <w:rsid w:val="0032123C"/>
    <w:rsid w:val="0032127F"/>
    <w:rsid w:val="0032145C"/>
    <w:rsid w:val="00321481"/>
    <w:rsid w:val="00321540"/>
    <w:rsid w:val="003216CE"/>
    <w:rsid w:val="003217B9"/>
    <w:rsid w:val="003218B8"/>
    <w:rsid w:val="003218D1"/>
    <w:rsid w:val="00321911"/>
    <w:rsid w:val="003219A0"/>
    <w:rsid w:val="003219BE"/>
    <w:rsid w:val="003219D7"/>
    <w:rsid w:val="00321A51"/>
    <w:rsid w:val="00321AE1"/>
    <w:rsid w:val="00321D1C"/>
    <w:rsid w:val="00321DEA"/>
    <w:rsid w:val="00321EBE"/>
    <w:rsid w:val="00321F43"/>
    <w:rsid w:val="00321F87"/>
    <w:rsid w:val="00321FE0"/>
    <w:rsid w:val="00322220"/>
    <w:rsid w:val="00322242"/>
    <w:rsid w:val="00322248"/>
    <w:rsid w:val="0032228A"/>
    <w:rsid w:val="0032234A"/>
    <w:rsid w:val="0032234F"/>
    <w:rsid w:val="00322382"/>
    <w:rsid w:val="003223A3"/>
    <w:rsid w:val="00322427"/>
    <w:rsid w:val="0032249C"/>
    <w:rsid w:val="003224F4"/>
    <w:rsid w:val="00322503"/>
    <w:rsid w:val="0032253C"/>
    <w:rsid w:val="0032265A"/>
    <w:rsid w:val="003226DA"/>
    <w:rsid w:val="003227F3"/>
    <w:rsid w:val="00322832"/>
    <w:rsid w:val="0032285A"/>
    <w:rsid w:val="00322875"/>
    <w:rsid w:val="003228B0"/>
    <w:rsid w:val="00322999"/>
    <w:rsid w:val="0032299E"/>
    <w:rsid w:val="003229FF"/>
    <w:rsid w:val="00322B6B"/>
    <w:rsid w:val="00322BD7"/>
    <w:rsid w:val="00322CA1"/>
    <w:rsid w:val="00322D80"/>
    <w:rsid w:val="00322DBF"/>
    <w:rsid w:val="00322DFF"/>
    <w:rsid w:val="00322E6A"/>
    <w:rsid w:val="0032331F"/>
    <w:rsid w:val="00323369"/>
    <w:rsid w:val="003233FB"/>
    <w:rsid w:val="0032350F"/>
    <w:rsid w:val="0032352E"/>
    <w:rsid w:val="00323539"/>
    <w:rsid w:val="00323570"/>
    <w:rsid w:val="00323647"/>
    <w:rsid w:val="00323694"/>
    <w:rsid w:val="003236EC"/>
    <w:rsid w:val="0032373D"/>
    <w:rsid w:val="00323798"/>
    <w:rsid w:val="003239FE"/>
    <w:rsid w:val="00323C08"/>
    <w:rsid w:val="00323CB7"/>
    <w:rsid w:val="00323D68"/>
    <w:rsid w:val="00323DA1"/>
    <w:rsid w:val="00323E20"/>
    <w:rsid w:val="00323EC0"/>
    <w:rsid w:val="00323ED8"/>
    <w:rsid w:val="00323F91"/>
    <w:rsid w:val="00323F9D"/>
    <w:rsid w:val="00324054"/>
    <w:rsid w:val="003240B6"/>
    <w:rsid w:val="00324108"/>
    <w:rsid w:val="00324141"/>
    <w:rsid w:val="00324378"/>
    <w:rsid w:val="003243AE"/>
    <w:rsid w:val="00324438"/>
    <w:rsid w:val="00324452"/>
    <w:rsid w:val="003244F4"/>
    <w:rsid w:val="0032459D"/>
    <w:rsid w:val="0032480D"/>
    <w:rsid w:val="00324963"/>
    <w:rsid w:val="00324A06"/>
    <w:rsid w:val="00324A5F"/>
    <w:rsid w:val="00324B45"/>
    <w:rsid w:val="00324B8E"/>
    <w:rsid w:val="00324B93"/>
    <w:rsid w:val="00324C49"/>
    <w:rsid w:val="00324D36"/>
    <w:rsid w:val="00324E9D"/>
    <w:rsid w:val="00324F3D"/>
    <w:rsid w:val="00324FD4"/>
    <w:rsid w:val="00325054"/>
    <w:rsid w:val="003250BD"/>
    <w:rsid w:val="0032510A"/>
    <w:rsid w:val="00325230"/>
    <w:rsid w:val="003252E4"/>
    <w:rsid w:val="00325303"/>
    <w:rsid w:val="0032531F"/>
    <w:rsid w:val="00325354"/>
    <w:rsid w:val="003253A6"/>
    <w:rsid w:val="003254A0"/>
    <w:rsid w:val="003254AB"/>
    <w:rsid w:val="00325535"/>
    <w:rsid w:val="00325559"/>
    <w:rsid w:val="0032557F"/>
    <w:rsid w:val="00325586"/>
    <w:rsid w:val="003255D2"/>
    <w:rsid w:val="00325605"/>
    <w:rsid w:val="0032561F"/>
    <w:rsid w:val="0032566A"/>
    <w:rsid w:val="00325674"/>
    <w:rsid w:val="00325721"/>
    <w:rsid w:val="00325769"/>
    <w:rsid w:val="00325858"/>
    <w:rsid w:val="003258A3"/>
    <w:rsid w:val="00325919"/>
    <w:rsid w:val="00325A20"/>
    <w:rsid w:val="00325AA9"/>
    <w:rsid w:val="00325AEF"/>
    <w:rsid w:val="00325B2C"/>
    <w:rsid w:val="00325B34"/>
    <w:rsid w:val="00325B45"/>
    <w:rsid w:val="00325BAA"/>
    <w:rsid w:val="00325C3A"/>
    <w:rsid w:val="00325C56"/>
    <w:rsid w:val="00325D23"/>
    <w:rsid w:val="00325D56"/>
    <w:rsid w:val="00325D91"/>
    <w:rsid w:val="00325F05"/>
    <w:rsid w:val="00325F22"/>
    <w:rsid w:val="00325FAC"/>
    <w:rsid w:val="00325FF3"/>
    <w:rsid w:val="00325FFB"/>
    <w:rsid w:val="003260AB"/>
    <w:rsid w:val="003260FD"/>
    <w:rsid w:val="00326222"/>
    <w:rsid w:val="00326292"/>
    <w:rsid w:val="003262EE"/>
    <w:rsid w:val="0032635D"/>
    <w:rsid w:val="00326486"/>
    <w:rsid w:val="00326493"/>
    <w:rsid w:val="00326563"/>
    <w:rsid w:val="0032658D"/>
    <w:rsid w:val="003266FC"/>
    <w:rsid w:val="00326768"/>
    <w:rsid w:val="003267A2"/>
    <w:rsid w:val="0032687E"/>
    <w:rsid w:val="00326929"/>
    <w:rsid w:val="003269C1"/>
    <w:rsid w:val="003269D5"/>
    <w:rsid w:val="00326A09"/>
    <w:rsid w:val="00326ADC"/>
    <w:rsid w:val="00326B6D"/>
    <w:rsid w:val="00326BDD"/>
    <w:rsid w:val="00326BEE"/>
    <w:rsid w:val="00326C66"/>
    <w:rsid w:val="00326CA0"/>
    <w:rsid w:val="00326CEF"/>
    <w:rsid w:val="00326D13"/>
    <w:rsid w:val="00326D3E"/>
    <w:rsid w:val="00326DAB"/>
    <w:rsid w:val="00326E73"/>
    <w:rsid w:val="00326E85"/>
    <w:rsid w:val="00326FA6"/>
    <w:rsid w:val="00326FB9"/>
    <w:rsid w:val="00326FC7"/>
    <w:rsid w:val="0032705B"/>
    <w:rsid w:val="0032730F"/>
    <w:rsid w:val="003273B7"/>
    <w:rsid w:val="003273C7"/>
    <w:rsid w:val="003274C8"/>
    <w:rsid w:val="003276D0"/>
    <w:rsid w:val="0032778C"/>
    <w:rsid w:val="003278D1"/>
    <w:rsid w:val="00327911"/>
    <w:rsid w:val="003279A4"/>
    <w:rsid w:val="00327A00"/>
    <w:rsid w:val="00327A18"/>
    <w:rsid w:val="00327B2B"/>
    <w:rsid w:val="00327B81"/>
    <w:rsid w:val="00327D65"/>
    <w:rsid w:val="00327D68"/>
    <w:rsid w:val="00327FC0"/>
    <w:rsid w:val="0033008E"/>
    <w:rsid w:val="00330091"/>
    <w:rsid w:val="003300B0"/>
    <w:rsid w:val="003300BB"/>
    <w:rsid w:val="003300E7"/>
    <w:rsid w:val="0033013E"/>
    <w:rsid w:val="003302E0"/>
    <w:rsid w:val="00330331"/>
    <w:rsid w:val="00330377"/>
    <w:rsid w:val="003303B0"/>
    <w:rsid w:val="003304EA"/>
    <w:rsid w:val="00330509"/>
    <w:rsid w:val="00330815"/>
    <w:rsid w:val="00330967"/>
    <w:rsid w:val="00330A3B"/>
    <w:rsid w:val="00330B5A"/>
    <w:rsid w:val="00330BA6"/>
    <w:rsid w:val="00330BE5"/>
    <w:rsid w:val="00330BFF"/>
    <w:rsid w:val="00330C1E"/>
    <w:rsid w:val="00330D73"/>
    <w:rsid w:val="00330D8A"/>
    <w:rsid w:val="00330E29"/>
    <w:rsid w:val="00330E48"/>
    <w:rsid w:val="00330F15"/>
    <w:rsid w:val="0033104B"/>
    <w:rsid w:val="00331076"/>
    <w:rsid w:val="003310BD"/>
    <w:rsid w:val="0033110C"/>
    <w:rsid w:val="003311FF"/>
    <w:rsid w:val="003313CB"/>
    <w:rsid w:val="00331463"/>
    <w:rsid w:val="00331530"/>
    <w:rsid w:val="0033156A"/>
    <w:rsid w:val="0033157B"/>
    <w:rsid w:val="00331662"/>
    <w:rsid w:val="0033169E"/>
    <w:rsid w:val="00331743"/>
    <w:rsid w:val="0033178A"/>
    <w:rsid w:val="003317A6"/>
    <w:rsid w:val="003317F6"/>
    <w:rsid w:val="00331945"/>
    <w:rsid w:val="003319C7"/>
    <w:rsid w:val="00331A16"/>
    <w:rsid w:val="00331A62"/>
    <w:rsid w:val="00331BF2"/>
    <w:rsid w:val="00331C54"/>
    <w:rsid w:val="00331C74"/>
    <w:rsid w:val="00331D28"/>
    <w:rsid w:val="00331E07"/>
    <w:rsid w:val="00331E28"/>
    <w:rsid w:val="00331E2F"/>
    <w:rsid w:val="00331E80"/>
    <w:rsid w:val="00331EB7"/>
    <w:rsid w:val="00331F1C"/>
    <w:rsid w:val="0033206F"/>
    <w:rsid w:val="003320C1"/>
    <w:rsid w:val="003320C4"/>
    <w:rsid w:val="0033210D"/>
    <w:rsid w:val="00332120"/>
    <w:rsid w:val="0033212C"/>
    <w:rsid w:val="00332136"/>
    <w:rsid w:val="00332183"/>
    <w:rsid w:val="0033223B"/>
    <w:rsid w:val="00332348"/>
    <w:rsid w:val="00332378"/>
    <w:rsid w:val="003323C9"/>
    <w:rsid w:val="00332454"/>
    <w:rsid w:val="003324C3"/>
    <w:rsid w:val="00332535"/>
    <w:rsid w:val="0033262F"/>
    <w:rsid w:val="003326E4"/>
    <w:rsid w:val="00332896"/>
    <w:rsid w:val="003328ED"/>
    <w:rsid w:val="0033297B"/>
    <w:rsid w:val="0033299B"/>
    <w:rsid w:val="003329A5"/>
    <w:rsid w:val="003329A9"/>
    <w:rsid w:val="003329C5"/>
    <w:rsid w:val="00332A3E"/>
    <w:rsid w:val="00332A9F"/>
    <w:rsid w:val="00332AB7"/>
    <w:rsid w:val="00332B25"/>
    <w:rsid w:val="00332B7C"/>
    <w:rsid w:val="00332BD2"/>
    <w:rsid w:val="00332C63"/>
    <w:rsid w:val="00332EBC"/>
    <w:rsid w:val="00332EFC"/>
    <w:rsid w:val="0033311B"/>
    <w:rsid w:val="0033313D"/>
    <w:rsid w:val="003331E0"/>
    <w:rsid w:val="003331E8"/>
    <w:rsid w:val="0033336C"/>
    <w:rsid w:val="0033338F"/>
    <w:rsid w:val="0033340F"/>
    <w:rsid w:val="0033343D"/>
    <w:rsid w:val="003335E7"/>
    <w:rsid w:val="003335E9"/>
    <w:rsid w:val="00333624"/>
    <w:rsid w:val="0033365A"/>
    <w:rsid w:val="003336D3"/>
    <w:rsid w:val="0033376E"/>
    <w:rsid w:val="003337F1"/>
    <w:rsid w:val="003339FF"/>
    <w:rsid w:val="00333AF5"/>
    <w:rsid w:val="00333B77"/>
    <w:rsid w:val="00333BD2"/>
    <w:rsid w:val="00333BE4"/>
    <w:rsid w:val="00333C51"/>
    <w:rsid w:val="00333D02"/>
    <w:rsid w:val="00333D20"/>
    <w:rsid w:val="00333D49"/>
    <w:rsid w:val="00333D68"/>
    <w:rsid w:val="00333D94"/>
    <w:rsid w:val="00333DFF"/>
    <w:rsid w:val="00333E86"/>
    <w:rsid w:val="00333F4B"/>
    <w:rsid w:val="00333FA1"/>
    <w:rsid w:val="00333FCC"/>
    <w:rsid w:val="00334028"/>
    <w:rsid w:val="00334203"/>
    <w:rsid w:val="00334204"/>
    <w:rsid w:val="0033425F"/>
    <w:rsid w:val="00334275"/>
    <w:rsid w:val="0033436E"/>
    <w:rsid w:val="00334387"/>
    <w:rsid w:val="00334396"/>
    <w:rsid w:val="00334474"/>
    <w:rsid w:val="0033469D"/>
    <w:rsid w:val="003346CA"/>
    <w:rsid w:val="00334723"/>
    <w:rsid w:val="0033477F"/>
    <w:rsid w:val="0033478B"/>
    <w:rsid w:val="00334790"/>
    <w:rsid w:val="00334876"/>
    <w:rsid w:val="003349BE"/>
    <w:rsid w:val="00334A78"/>
    <w:rsid w:val="00334A95"/>
    <w:rsid w:val="00334B06"/>
    <w:rsid w:val="00334BE4"/>
    <w:rsid w:val="00334BEB"/>
    <w:rsid w:val="00334BEF"/>
    <w:rsid w:val="00334DBA"/>
    <w:rsid w:val="00335042"/>
    <w:rsid w:val="00335068"/>
    <w:rsid w:val="00335080"/>
    <w:rsid w:val="00335114"/>
    <w:rsid w:val="00335132"/>
    <w:rsid w:val="0033516B"/>
    <w:rsid w:val="0033517B"/>
    <w:rsid w:val="003351A2"/>
    <w:rsid w:val="003351DE"/>
    <w:rsid w:val="00335433"/>
    <w:rsid w:val="00335561"/>
    <w:rsid w:val="00335772"/>
    <w:rsid w:val="00335778"/>
    <w:rsid w:val="003357A3"/>
    <w:rsid w:val="0033585D"/>
    <w:rsid w:val="00335A18"/>
    <w:rsid w:val="00335A1B"/>
    <w:rsid w:val="00335A7B"/>
    <w:rsid w:val="00335ADC"/>
    <w:rsid w:val="00335B14"/>
    <w:rsid w:val="00335B61"/>
    <w:rsid w:val="00335B9F"/>
    <w:rsid w:val="00335C1C"/>
    <w:rsid w:val="00335C4D"/>
    <w:rsid w:val="00335D92"/>
    <w:rsid w:val="00335D9C"/>
    <w:rsid w:val="00335E58"/>
    <w:rsid w:val="00335EEC"/>
    <w:rsid w:val="00335F26"/>
    <w:rsid w:val="00335F3A"/>
    <w:rsid w:val="00336063"/>
    <w:rsid w:val="003360CC"/>
    <w:rsid w:val="0033625E"/>
    <w:rsid w:val="0033634A"/>
    <w:rsid w:val="00336428"/>
    <w:rsid w:val="00336436"/>
    <w:rsid w:val="003364D8"/>
    <w:rsid w:val="00336704"/>
    <w:rsid w:val="00336722"/>
    <w:rsid w:val="00336747"/>
    <w:rsid w:val="00336793"/>
    <w:rsid w:val="003367D6"/>
    <w:rsid w:val="00336918"/>
    <w:rsid w:val="0033694B"/>
    <w:rsid w:val="0033699B"/>
    <w:rsid w:val="00336A99"/>
    <w:rsid w:val="00336D00"/>
    <w:rsid w:val="00336E77"/>
    <w:rsid w:val="00336EC4"/>
    <w:rsid w:val="00336F2D"/>
    <w:rsid w:val="00336F38"/>
    <w:rsid w:val="00336F42"/>
    <w:rsid w:val="00336F95"/>
    <w:rsid w:val="003370C7"/>
    <w:rsid w:val="00337125"/>
    <w:rsid w:val="00337127"/>
    <w:rsid w:val="00337133"/>
    <w:rsid w:val="0033720B"/>
    <w:rsid w:val="00337297"/>
    <w:rsid w:val="0033729D"/>
    <w:rsid w:val="003372A5"/>
    <w:rsid w:val="0033730B"/>
    <w:rsid w:val="00337359"/>
    <w:rsid w:val="0033740B"/>
    <w:rsid w:val="00337445"/>
    <w:rsid w:val="00337631"/>
    <w:rsid w:val="00337710"/>
    <w:rsid w:val="0033775B"/>
    <w:rsid w:val="00337882"/>
    <w:rsid w:val="00337889"/>
    <w:rsid w:val="0033790A"/>
    <w:rsid w:val="0033792B"/>
    <w:rsid w:val="00337948"/>
    <w:rsid w:val="00337A15"/>
    <w:rsid w:val="00337AB1"/>
    <w:rsid w:val="00337BE2"/>
    <w:rsid w:val="00337BEF"/>
    <w:rsid w:val="00337C11"/>
    <w:rsid w:val="00337CF2"/>
    <w:rsid w:val="00337DA7"/>
    <w:rsid w:val="00337E5D"/>
    <w:rsid w:val="00337EE3"/>
    <w:rsid w:val="00337EED"/>
    <w:rsid w:val="0034027F"/>
    <w:rsid w:val="003402CB"/>
    <w:rsid w:val="00340437"/>
    <w:rsid w:val="0034044C"/>
    <w:rsid w:val="00340549"/>
    <w:rsid w:val="0034066F"/>
    <w:rsid w:val="00340729"/>
    <w:rsid w:val="003407CE"/>
    <w:rsid w:val="003408D3"/>
    <w:rsid w:val="00340955"/>
    <w:rsid w:val="00340AC3"/>
    <w:rsid w:val="00340B1C"/>
    <w:rsid w:val="00340C2F"/>
    <w:rsid w:val="00340C30"/>
    <w:rsid w:val="00340CA6"/>
    <w:rsid w:val="00340CBF"/>
    <w:rsid w:val="00340DF6"/>
    <w:rsid w:val="00340E5A"/>
    <w:rsid w:val="00340E8D"/>
    <w:rsid w:val="00340E9D"/>
    <w:rsid w:val="00340F63"/>
    <w:rsid w:val="00340F7C"/>
    <w:rsid w:val="00340FBC"/>
    <w:rsid w:val="0034109A"/>
    <w:rsid w:val="003410C1"/>
    <w:rsid w:val="003411EE"/>
    <w:rsid w:val="00341206"/>
    <w:rsid w:val="0034121C"/>
    <w:rsid w:val="00341288"/>
    <w:rsid w:val="003412C2"/>
    <w:rsid w:val="00341381"/>
    <w:rsid w:val="0034142E"/>
    <w:rsid w:val="00341445"/>
    <w:rsid w:val="003414D8"/>
    <w:rsid w:val="003416D7"/>
    <w:rsid w:val="00341724"/>
    <w:rsid w:val="00341746"/>
    <w:rsid w:val="00341829"/>
    <w:rsid w:val="0034184A"/>
    <w:rsid w:val="00341853"/>
    <w:rsid w:val="003418A5"/>
    <w:rsid w:val="0034197D"/>
    <w:rsid w:val="0034198D"/>
    <w:rsid w:val="00341AB6"/>
    <w:rsid w:val="00341B26"/>
    <w:rsid w:val="00341C61"/>
    <w:rsid w:val="00341D54"/>
    <w:rsid w:val="00341DE9"/>
    <w:rsid w:val="00341DEB"/>
    <w:rsid w:val="00341ED0"/>
    <w:rsid w:val="00341FBE"/>
    <w:rsid w:val="0034202A"/>
    <w:rsid w:val="00342104"/>
    <w:rsid w:val="00342152"/>
    <w:rsid w:val="003421AE"/>
    <w:rsid w:val="003421CD"/>
    <w:rsid w:val="003421ED"/>
    <w:rsid w:val="0034229B"/>
    <w:rsid w:val="003422BD"/>
    <w:rsid w:val="00342352"/>
    <w:rsid w:val="0034238E"/>
    <w:rsid w:val="00342399"/>
    <w:rsid w:val="003423FF"/>
    <w:rsid w:val="00342429"/>
    <w:rsid w:val="00342448"/>
    <w:rsid w:val="0034248B"/>
    <w:rsid w:val="00342543"/>
    <w:rsid w:val="00342593"/>
    <w:rsid w:val="0034259F"/>
    <w:rsid w:val="003425F1"/>
    <w:rsid w:val="003427DC"/>
    <w:rsid w:val="003429BE"/>
    <w:rsid w:val="00342AD0"/>
    <w:rsid w:val="00342CA3"/>
    <w:rsid w:val="00342E04"/>
    <w:rsid w:val="00342E33"/>
    <w:rsid w:val="00342E3B"/>
    <w:rsid w:val="00342E6D"/>
    <w:rsid w:val="00342E93"/>
    <w:rsid w:val="00342EB7"/>
    <w:rsid w:val="00342EE1"/>
    <w:rsid w:val="00342F14"/>
    <w:rsid w:val="00342F6A"/>
    <w:rsid w:val="00343137"/>
    <w:rsid w:val="0034315F"/>
    <w:rsid w:val="003431BB"/>
    <w:rsid w:val="00343211"/>
    <w:rsid w:val="0034327A"/>
    <w:rsid w:val="00343283"/>
    <w:rsid w:val="0034342B"/>
    <w:rsid w:val="0034347A"/>
    <w:rsid w:val="00343600"/>
    <w:rsid w:val="00343605"/>
    <w:rsid w:val="003437A3"/>
    <w:rsid w:val="00343937"/>
    <w:rsid w:val="003439A0"/>
    <w:rsid w:val="003439D9"/>
    <w:rsid w:val="003439F0"/>
    <w:rsid w:val="00343A86"/>
    <w:rsid w:val="00343C63"/>
    <w:rsid w:val="00343C9B"/>
    <w:rsid w:val="00343CD5"/>
    <w:rsid w:val="00343E98"/>
    <w:rsid w:val="00343F19"/>
    <w:rsid w:val="00343FA6"/>
    <w:rsid w:val="0034404C"/>
    <w:rsid w:val="003440ED"/>
    <w:rsid w:val="00344251"/>
    <w:rsid w:val="0034429D"/>
    <w:rsid w:val="00344326"/>
    <w:rsid w:val="003443A5"/>
    <w:rsid w:val="0034449D"/>
    <w:rsid w:val="00344574"/>
    <w:rsid w:val="00344597"/>
    <w:rsid w:val="00344675"/>
    <w:rsid w:val="0034469A"/>
    <w:rsid w:val="0034472B"/>
    <w:rsid w:val="0034473C"/>
    <w:rsid w:val="0034476F"/>
    <w:rsid w:val="00344806"/>
    <w:rsid w:val="003448D5"/>
    <w:rsid w:val="003448F4"/>
    <w:rsid w:val="0034490B"/>
    <w:rsid w:val="0034490D"/>
    <w:rsid w:val="00344A04"/>
    <w:rsid w:val="00344A63"/>
    <w:rsid w:val="00344A8F"/>
    <w:rsid w:val="00344B01"/>
    <w:rsid w:val="00344B4D"/>
    <w:rsid w:val="00344BBE"/>
    <w:rsid w:val="00344C6C"/>
    <w:rsid w:val="00344D7E"/>
    <w:rsid w:val="00344DB1"/>
    <w:rsid w:val="00344E38"/>
    <w:rsid w:val="00344E61"/>
    <w:rsid w:val="00344E91"/>
    <w:rsid w:val="00344E95"/>
    <w:rsid w:val="00344FBF"/>
    <w:rsid w:val="00344FEA"/>
    <w:rsid w:val="0034511B"/>
    <w:rsid w:val="003451F5"/>
    <w:rsid w:val="0034520C"/>
    <w:rsid w:val="0034526E"/>
    <w:rsid w:val="003452A1"/>
    <w:rsid w:val="0034534B"/>
    <w:rsid w:val="003453B5"/>
    <w:rsid w:val="00345426"/>
    <w:rsid w:val="003454D9"/>
    <w:rsid w:val="003454E2"/>
    <w:rsid w:val="003454EF"/>
    <w:rsid w:val="00345641"/>
    <w:rsid w:val="003456D0"/>
    <w:rsid w:val="003456F0"/>
    <w:rsid w:val="00345722"/>
    <w:rsid w:val="003457C1"/>
    <w:rsid w:val="003457C4"/>
    <w:rsid w:val="003458EE"/>
    <w:rsid w:val="00345AAA"/>
    <w:rsid w:val="00345ACD"/>
    <w:rsid w:val="00345B34"/>
    <w:rsid w:val="00345B4C"/>
    <w:rsid w:val="00345C0A"/>
    <w:rsid w:val="00345C0C"/>
    <w:rsid w:val="00345D5E"/>
    <w:rsid w:val="00345E16"/>
    <w:rsid w:val="00345E28"/>
    <w:rsid w:val="00345E3C"/>
    <w:rsid w:val="00345E8E"/>
    <w:rsid w:val="00345ED4"/>
    <w:rsid w:val="00345FC3"/>
    <w:rsid w:val="0034606F"/>
    <w:rsid w:val="003460E4"/>
    <w:rsid w:val="00346209"/>
    <w:rsid w:val="00346528"/>
    <w:rsid w:val="003466B3"/>
    <w:rsid w:val="00346846"/>
    <w:rsid w:val="00346855"/>
    <w:rsid w:val="00346AE7"/>
    <w:rsid w:val="00346AF4"/>
    <w:rsid w:val="00346B29"/>
    <w:rsid w:val="00346B6B"/>
    <w:rsid w:val="00346BC5"/>
    <w:rsid w:val="00346D6C"/>
    <w:rsid w:val="00346D99"/>
    <w:rsid w:val="00346DF8"/>
    <w:rsid w:val="00346EE6"/>
    <w:rsid w:val="00346FE2"/>
    <w:rsid w:val="00347041"/>
    <w:rsid w:val="0034705E"/>
    <w:rsid w:val="00347063"/>
    <w:rsid w:val="003470C1"/>
    <w:rsid w:val="00347158"/>
    <w:rsid w:val="00347230"/>
    <w:rsid w:val="00347269"/>
    <w:rsid w:val="00347296"/>
    <w:rsid w:val="003472AC"/>
    <w:rsid w:val="003472E2"/>
    <w:rsid w:val="003472F0"/>
    <w:rsid w:val="00347370"/>
    <w:rsid w:val="003474A3"/>
    <w:rsid w:val="003474E8"/>
    <w:rsid w:val="0034754E"/>
    <w:rsid w:val="00347574"/>
    <w:rsid w:val="00347576"/>
    <w:rsid w:val="00347583"/>
    <w:rsid w:val="003475D3"/>
    <w:rsid w:val="003475EF"/>
    <w:rsid w:val="0034765F"/>
    <w:rsid w:val="00347677"/>
    <w:rsid w:val="00347691"/>
    <w:rsid w:val="00347776"/>
    <w:rsid w:val="00347829"/>
    <w:rsid w:val="0034787A"/>
    <w:rsid w:val="003478ED"/>
    <w:rsid w:val="00347907"/>
    <w:rsid w:val="00347929"/>
    <w:rsid w:val="00347939"/>
    <w:rsid w:val="003479A4"/>
    <w:rsid w:val="00347A17"/>
    <w:rsid w:val="00347A28"/>
    <w:rsid w:val="00347AF6"/>
    <w:rsid w:val="00347BD7"/>
    <w:rsid w:val="00347C60"/>
    <w:rsid w:val="00347C8E"/>
    <w:rsid w:val="00347D12"/>
    <w:rsid w:val="00347D49"/>
    <w:rsid w:val="00347D8D"/>
    <w:rsid w:val="00347E1E"/>
    <w:rsid w:val="00347E76"/>
    <w:rsid w:val="00347EAA"/>
    <w:rsid w:val="00347EAF"/>
    <w:rsid w:val="00350003"/>
    <w:rsid w:val="00350104"/>
    <w:rsid w:val="003501BA"/>
    <w:rsid w:val="003501C1"/>
    <w:rsid w:val="0035021C"/>
    <w:rsid w:val="003502D7"/>
    <w:rsid w:val="00350341"/>
    <w:rsid w:val="00350368"/>
    <w:rsid w:val="0035038E"/>
    <w:rsid w:val="00350417"/>
    <w:rsid w:val="00350499"/>
    <w:rsid w:val="003504A2"/>
    <w:rsid w:val="00350573"/>
    <w:rsid w:val="003505FD"/>
    <w:rsid w:val="00350610"/>
    <w:rsid w:val="0035064F"/>
    <w:rsid w:val="003506C0"/>
    <w:rsid w:val="0035077D"/>
    <w:rsid w:val="00350785"/>
    <w:rsid w:val="0035084F"/>
    <w:rsid w:val="003508D1"/>
    <w:rsid w:val="0035090F"/>
    <w:rsid w:val="00350984"/>
    <w:rsid w:val="003509EA"/>
    <w:rsid w:val="00350B25"/>
    <w:rsid w:val="00350B70"/>
    <w:rsid w:val="00350BBE"/>
    <w:rsid w:val="00350CD8"/>
    <w:rsid w:val="00350D17"/>
    <w:rsid w:val="00350D22"/>
    <w:rsid w:val="00350DA0"/>
    <w:rsid w:val="00350E88"/>
    <w:rsid w:val="00350EDE"/>
    <w:rsid w:val="00350F3F"/>
    <w:rsid w:val="0035104D"/>
    <w:rsid w:val="00351300"/>
    <w:rsid w:val="0035130A"/>
    <w:rsid w:val="0035139E"/>
    <w:rsid w:val="003513CB"/>
    <w:rsid w:val="003513F7"/>
    <w:rsid w:val="0035148F"/>
    <w:rsid w:val="0035157E"/>
    <w:rsid w:val="0035163F"/>
    <w:rsid w:val="00351765"/>
    <w:rsid w:val="00351782"/>
    <w:rsid w:val="003517D8"/>
    <w:rsid w:val="00351936"/>
    <w:rsid w:val="003519BF"/>
    <w:rsid w:val="003519D3"/>
    <w:rsid w:val="00351A57"/>
    <w:rsid w:val="00351B50"/>
    <w:rsid w:val="00351BD9"/>
    <w:rsid w:val="00351C01"/>
    <w:rsid w:val="00351C1F"/>
    <w:rsid w:val="00351C23"/>
    <w:rsid w:val="00351D65"/>
    <w:rsid w:val="00351DD5"/>
    <w:rsid w:val="00351E42"/>
    <w:rsid w:val="00351E51"/>
    <w:rsid w:val="00351EC7"/>
    <w:rsid w:val="00351F11"/>
    <w:rsid w:val="00351F7D"/>
    <w:rsid w:val="00351F87"/>
    <w:rsid w:val="00352081"/>
    <w:rsid w:val="00352163"/>
    <w:rsid w:val="003521BE"/>
    <w:rsid w:val="003521CD"/>
    <w:rsid w:val="003521EC"/>
    <w:rsid w:val="00352306"/>
    <w:rsid w:val="003524B1"/>
    <w:rsid w:val="003524DE"/>
    <w:rsid w:val="00352586"/>
    <w:rsid w:val="003526C4"/>
    <w:rsid w:val="003526F6"/>
    <w:rsid w:val="003527D7"/>
    <w:rsid w:val="00352813"/>
    <w:rsid w:val="0035283F"/>
    <w:rsid w:val="003528E6"/>
    <w:rsid w:val="003529D5"/>
    <w:rsid w:val="00352B34"/>
    <w:rsid w:val="00352B3F"/>
    <w:rsid w:val="00352CC1"/>
    <w:rsid w:val="00352D2E"/>
    <w:rsid w:val="00352DD6"/>
    <w:rsid w:val="00352E1D"/>
    <w:rsid w:val="00352EFF"/>
    <w:rsid w:val="00352F9B"/>
    <w:rsid w:val="00353067"/>
    <w:rsid w:val="003530C3"/>
    <w:rsid w:val="003531DF"/>
    <w:rsid w:val="00353279"/>
    <w:rsid w:val="003532BE"/>
    <w:rsid w:val="00353332"/>
    <w:rsid w:val="00353432"/>
    <w:rsid w:val="0035347D"/>
    <w:rsid w:val="003534CA"/>
    <w:rsid w:val="00353530"/>
    <w:rsid w:val="0035359D"/>
    <w:rsid w:val="003535BC"/>
    <w:rsid w:val="003536CB"/>
    <w:rsid w:val="00353814"/>
    <w:rsid w:val="0035386C"/>
    <w:rsid w:val="00353885"/>
    <w:rsid w:val="00353891"/>
    <w:rsid w:val="0035389E"/>
    <w:rsid w:val="0035395A"/>
    <w:rsid w:val="00353ADE"/>
    <w:rsid w:val="00353BFF"/>
    <w:rsid w:val="00353CBD"/>
    <w:rsid w:val="00353CDF"/>
    <w:rsid w:val="00353D87"/>
    <w:rsid w:val="00353DA2"/>
    <w:rsid w:val="00353DAF"/>
    <w:rsid w:val="00353DC1"/>
    <w:rsid w:val="00353DCD"/>
    <w:rsid w:val="00353E57"/>
    <w:rsid w:val="00353E72"/>
    <w:rsid w:val="00353E97"/>
    <w:rsid w:val="0035401E"/>
    <w:rsid w:val="00354027"/>
    <w:rsid w:val="003541CC"/>
    <w:rsid w:val="0035428D"/>
    <w:rsid w:val="00354436"/>
    <w:rsid w:val="00354459"/>
    <w:rsid w:val="00354483"/>
    <w:rsid w:val="00354502"/>
    <w:rsid w:val="0035453A"/>
    <w:rsid w:val="003545F4"/>
    <w:rsid w:val="00354629"/>
    <w:rsid w:val="003546B3"/>
    <w:rsid w:val="003547E3"/>
    <w:rsid w:val="003547E4"/>
    <w:rsid w:val="0035487F"/>
    <w:rsid w:val="003548A9"/>
    <w:rsid w:val="00354904"/>
    <w:rsid w:val="00354973"/>
    <w:rsid w:val="003549D9"/>
    <w:rsid w:val="00354B23"/>
    <w:rsid w:val="00354B7C"/>
    <w:rsid w:val="00354C19"/>
    <w:rsid w:val="00354CA5"/>
    <w:rsid w:val="00354D22"/>
    <w:rsid w:val="00354F15"/>
    <w:rsid w:val="00354F90"/>
    <w:rsid w:val="00354FCD"/>
    <w:rsid w:val="003550B3"/>
    <w:rsid w:val="003550D3"/>
    <w:rsid w:val="00355129"/>
    <w:rsid w:val="00355151"/>
    <w:rsid w:val="0035519D"/>
    <w:rsid w:val="003551EC"/>
    <w:rsid w:val="0035529D"/>
    <w:rsid w:val="003552E3"/>
    <w:rsid w:val="0035533F"/>
    <w:rsid w:val="00355370"/>
    <w:rsid w:val="003553C2"/>
    <w:rsid w:val="00355458"/>
    <w:rsid w:val="0035566A"/>
    <w:rsid w:val="003557CE"/>
    <w:rsid w:val="00355806"/>
    <w:rsid w:val="00355867"/>
    <w:rsid w:val="0035591C"/>
    <w:rsid w:val="0035593D"/>
    <w:rsid w:val="0035599C"/>
    <w:rsid w:val="003559A7"/>
    <w:rsid w:val="003559E0"/>
    <w:rsid w:val="003559FD"/>
    <w:rsid w:val="00355A7A"/>
    <w:rsid w:val="00355B00"/>
    <w:rsid w:val="00355C66"/>
    <w:rsid w:val="00355CB2"/>
    <w:rsid w:val="00355CE0"/>
    <w:rsid w:val="00355D10"/>
    <w:rsid w:val="00355D91"/>
    <w:rsid w:val="00355DE3"/>
    <w:rsid w:val="00355EE6"/>
    <w:rsid w:val="00355F47"/>
    <w:rsid w:val="00355FDF"/>
    <w:rsid w:val="00356093"/>
    <w:rsid w:val="00356095"/>
    <w:rsid w:val="0035610B"/>
    <w:rsid w:val="0035613C"/>
    <w:rsid w:val="003561DC"/>
    <w:rsid w:val="00356208"/>
    <w:rsid w:val="00356211"/>
    <w:rsid w:val="003562BE"/>
    <w:rsid w:val="003562D7"/>
    <w:rsid w:val="00356527"/>
    <w:rsid w:val="003565D7"/>
    <w:rsid w:val="003565D9"/>
    <w:rsid w:val="00356623"/>
    <w:rsid w:val="00356660"/>
    <w:rsid w:val="0035679C"/>
    <w:rsid w:val="003567AC"/>
    <w:rsid w:val="00356883"/>
    <w:rsid w:val="00356928"/>
    <w:rsid w:val="00356990"/>
    <w:rsid w:val="003569EB"/>
    <w:rsid w:val="00356A34"/>
    <w:rsid w:val="00356A9E"/>
    <w:rsid w:val="00356ACA"/>
    <w:rsid w:val="00356B68"/>
    <w:rsid w:val="00356B81"/>
    <w:rsid w:val="00356BB1"/>
    <w:rsid w:val="00356CBC"/>
    <w:rsid w:val="00356D64"/>
    <w:rsid w:val="00356DB9"/>
    <w:rsid w:val="00356EEB"/>
    <w:rsid w:val="00356F4B"/>
    <w:rsid w:val="00356F51"/>
    <w:rsid w:val="00357002"/>
    <w:rsid w:val="0035704A"/>
    <w:rsid w:val="003570F4"/>
    <w:rsid w:val="003571CC"/>
    <w:rsid w:val="00357294"/>
    <w:rsid w:val="003572F9"/>
    <w:rsid w:val="00357368"/>
    <w:rsid w:val="0035737E"/>
    <w:rsid w:val="0035744B"/>
    <w:rsid w:val="003574A9"/>
    <w:rsid w:val="00357519"/>
    <w:rsid w:val="003575EA"/>
    <w:rsid w:val="0035761E"/>
    <w:rsid w:val="003576E2"/>
    <w:rsid w:val="0035780B"/>
    <w:rsid w:val="00357813"/>
    <w:rsid w:val="003578BA"/>
    <w:rsid w:val="00357931"/>
    <w:rsid w:val="00357B0E"/>
    <w:rsid w:val="00357B81"/>
    <w:rsid w:val="00357C02"/>
    <w:rsid w:val="00357C44"/>
    <w:rsid w:val="00357C5E"/>
    <w:rsid w:val="00357C74"/>
    <w:rsid w:val="00357D59"/>
    <w:rsid w:val="00357E59"/>
    <w:rsid w:val="00357E66"/>
    <w:rsid w:val="00360023"/>
    <w:rsid w:val="003601AF"/>
    <w:rsid w:val="0036029C"/>
    <w:rsid w:val="003603A1"/>
    <w:rsid w:val="003603F6"/>
    <w:rsid w:val="00360432"/>
    <w:rsid w:val="00360578"/>
    <w:rsid w:val="0036066E"/>
    <w:rsid w:val="003606DA"/>
    <w:rsid w:val="00360730"/>
    <w:rsid w:val="00360733"/>
    <w:rsid w:val="00360851"/>
    <w:rsid w:val="00360947"/>
    <w:rsid w:val="0036094D"/>
    <w:rsid w:val="00360954"/>
    <w:rsid w:val="0036097C"/>
    <w:rsid w:val="00360AEA"/>
    <w:rsid w:val="00360B82"/>
    <w:rsid w:val="00360BBF"/>
    <w:rsid w:val="00360BC4"/>
    <w:rsid w:val="00360BE3"/>
    <w:rsid w:val="00360C65"/>
    <w:rsid w:val="00360C84"/>
    <w:rsid w:val="00360D3F"/>
    <w:rsid w:val="00360DF9"/>
    <w:rsid w:val="00360EF5"/>
    <w:rsid w:val="00361085"/>
    <w:rsid w:val="00361105"/>
    <w:rsid w:val="00361109"/>
    <w:rsid w:val="0036119F"/>
    <w:rsid w:val="00361219"/>
    <w:rsid w:val="00361310"/>
    <w:rsid w:val="0036136F"/>
    <w:rsid w:val="003613F4"/>
    <w:rsid w:val="003613FB"/>
    <w:rsid w:val="003614AC"/>
    <w:rsid w:val="0036155F"/>
    <w:rsid w:val="0036156F"/>
    <w:rsid w:val="003615F2"/>
    <w:rsid w:val="00361615"/>
    <w:rsid w:val="00361698"/>
    <w:rsid w:val="003616C8"/>
    <w:rsid w:val="00361773"/>
    <w:rsid w:val="00361815"/>
    <w:rsid w:val="00361A3B"/>
    <w:rsid w:val="00361A50"/>
    <w:rsid w:val="00361AF2"/>
    <w:rsid w:val="00361B16"/>
    <w:rsid w:val="00361CDB"/>
    <w:rsid w:val="00361DC7"/>
    <w:rsid w:val="00361E3F"/>
    <w:rsid w:val="00361EAD"/>
    <w:rsid w:val="00361F03"/>
    <w:rsid w:val="00361F73"/>
    <w:rsid w:val="00362042"/>
    <w:rsid w:val="0036206A"/>
    <w:rsid w:val="003620F3"/>
    <w:rsid w:val="003621B6"/>
    <w:rsid w:val="00362206"/>
    <w:rsid w:val="00362238"/>
    <w:rsid w:val="0036226A"/>
    <w:rsid w:val="003622FC"/>
    <w:rsid w:val="0036235A"/>
    <w:rsid w:val="003623A5"/>
    <w:rsid w:val="0036246E"/>
    <w:rsid w:val="003624C0"/>
    <w:rsid w:val="003624E8"/>
    <w:rsid w:val="00362505"/>
    <w:rsid w:val="00362542"/>
    <w:rsid w:val="0036267B"/>
    <w:rsid w:val="0036268D"/>
    <w:rsid w:val="003626A6"/>
    <w:rsid w:val="003626F2"/>
    <w:rsid w:val="00362819"/>
    <w:rsid w:val="00362A36"/>
    <w:rsid w:val="00362A8B"/>
    <w:rsid w:val="00362B36"/>
    <w:rsid w:val="00362BD2"/>
    <w:rsid w:val="00362C84"/>
    <w:rsid w:val="00362D1F"/>
    <w:rsid w:val="00362DC8"/>
    <w:rsid w:val="00362DDA"/>
    <w:rsid w:val="00362E4C"/>
    <w:rsid w:val="00362E7F"/>
    <w:rsid w:val="00362EC2"/>
    <w:rsid w:val="00362ED2"/>
    <w:rsid w:val="00362F53"/>
    <w:rsid w:val="0036303B"/>
    <w:rsid w:val="00363042"/>
    <w:rsid w:val="003630AE"/>
    <w:rsid w:val="00363141"/>
    <w:rsid w:val="0036322D"/>
    <w:rsid w:val="0036338E"/>
    <w:rsid w:val="0036339C"/>
    <w:rsid w:val="003633F5"/>
    <w:rsid w:val="00363437"/>
    <w:rsid w:val="003634F7"/>
    <w:rsid w:val="00363524"/>
    <w:rsid w:val="003635C1"/>
    <w:rsid w:val="003635D9"/>
    <w:rsid w:val="003636CB"/>
    <w:rsid w:val="00363823"/>
    <w:rsid w:val="00363849"/>
    <w:rsid w:val="003639A4"/>
    <w:rsid w:val="00363A3D"/>
    <w:rsid w:val="00363A92"/>
    <w:rsid w:val="00363AF1"/>
    <w:rsid w:val="00363AF6"/>
    <w:rsid w:val="00363C12"/>
    <w:rsid w:val="00363CA8"/>
    <w:rsid w:val="00363D11"/>
    <w:rsid w:val="00363D25"/>
    <w:rsid w:val="00363DBB"/>
    <w:rsid w:val="00363DDE"/>
    <w:rsid w:val="00363E4E"/>
    <w:rsid w:val="00363F09"/>
    <w:rsid w:val="00363FBA"/>
    <w:rsid w:val="0036412E"/>
    <w:rsid w:val="0036422D"/>
    <w:rsid w:val="00364270"/>
    <w:rsid w:val="00364358"/>
    <w:rsid w:val="003643B2"/>
    <w:rsid w:val="003643DA"/>
    <w:rsid w:val="00364452"/>
    <w:rsid w:val="00364508"/>
    <w:rsid w:val="003646CA"/>
    <w:rsid w:val="003646E7"/>
    <w:rsid w:val="003647CB"/>
    <w:rsid w:val="003647FD"/>
    <w:rsid w:val="0036488E"/>
    <w:rsid w:val="00364927"/>
    <w:rsid w:val="00364973"/>
    <w:rsid w:val="003649CF"/>
    <w:rsid w:val="00364A1B"/>
    <w:rsid w:val="00364A46"/>
    <w:rsid w:val="00364ABC"/>
    <w:rsid w:val="00364AC1"/>
    <w:rsid w:val="00364AC2"/>
    <w:rsid w:val="00364B1D"/>
    <w:rsid w:val="00364B83"/>
    <w:rsid w:val="00364BD4"/>
    <w:rsid w:val="00364C98"/>
    <w:rsid w:val="00364DF0"/>
    <w:rsid w:val="00364F0E"/>
    <w:rsid w:val="00364FF9"/>
    <w:rsid w:val="00365041"/>
    <w:rsid w:val="003650D7"/>
    <w:rsid w:val="003650DB"/>
    <w:rsid w:val="0036510B"/>
    <w:rsid w:val="0036521E"/>
    <w:rsid w:val="003652F3"/>
    <w:rsid w:val="00365331"/>
    <w:rsid w:val="00365373"/>
    <w:rsid w:val="00365448"/>
    <w:rsid w:val="0036545C"/>
    <w:rsid w:val="0036547E"/>
    <w:rsid w:val="003655E3"/>
    <w:rsid w:val="003655EF"/>
    <w:rsid w:val="003655F5"/>
    <w:rsid w:val="003656D6"/>
    <w:rsid w:val="003656D7"/>
    <w:rsid w:val="00365912"/>
    <w:rsid w:val="0036593C"/>
    <w:rsid w:val="00365A02"/>
    <w:rsid w:val="00365A2D"/>
    <w:rsid w:val="00365AC8"/>
    <w:rsid w:val="00365AEE"/>
    <w:rsid w:val="00365AF6"/>
    <w:rsid w:val="00365B91"/>
    <w:rsid w:val="00365BDF"/>
    <w:rsid w:val="00365C25"/>
    <w:rsid w:val="00365CEB"/>
    <w:rsid w:val="00365DBB"/>
    <w:rsid w:val="00365DDE"/>
    <w:rsid w:val="00365E47"/>
    <w:rsid w:val="00365E95"/>
    <w:rsid w:val="00365E9C"/>
    <w:rsid w:val="00365EDD"/>
    <w:rsid w:val="00365F8B"/>
    <w:rsid w:val="00365FB2"/>
    <w:rsid w:val="00365FEA"/>
    <w:rsid w:val="00365FF8"/>
    <w:rsid w:val="00366022"/>
    <w:rsid w:val="00366025"/>
    <w:rsid w:val="0036606F"/>
    <w:rsid w:val="00366090"/>
    <w:rsid w:val="00366194"/>
    <w:rsid w:val="00366227"/>
    <w:rsid w:val="00366255"/>
    <w:rsid w:val="0036628A"/>
    <w:rsid w:val="003662EE"/>
    <w:rsid w:val="00366312"/>
    <w:rsid w:val="00366368"/>
    <w:rsid w:val="003663E7"/>
    <w:rsid w:val="0036646D"/>
    <w:rsid w:val="003664B7"/>
    <w:rsid w:val="00366780"/>
    <w:rsid w:val="003667B5"/>
    <w:rsid w:val="003667CA"/>
    <w:rsid w:val="003667CB"/>
    <w:rsid w:val="0036686F"/>
    <w:rsid w:val="003668B0"/>
    <w:rsid w:val="0036697A"/>
    <w:rsid w:val="003669A7"/>
    <w:rsid w:val="00366B02"/>
    <w:rsid w:val="00366B51"/>
    <w:rsid w:val="00366B9A"/>
    <w:rsid w:val="00366B9D"/>
    <w:rsid w:val="00366D10"/>
    <w:rsid w:val="00366D87"/>
    <w:rsid w:val="00366EC8"/>
    <w:rsid w:val="00366F2D"/>
    <w:rsid w:val="00366FE3"/>
    <w:rsid w:val="00367035"/>
    <w:rsid w:val="00367048"/>
    <w:rsid w:val="003670C8"/>
    <w:rsid w:val="00367176"/>
    <w:rsid w:val="0036731A"/>
    <w:rsid w:val="003673A1"/>
    <w:rsid w:val="003673C8"/>
    <w:rsid w:val="00367478"/>
    <w:rsid w:val="00367582"/>
    <w:rsid w:val="003676AB"/>
    <w:rsid w:val="003676BF"/>
    <w:rsid w:val="003676D2"/>
    <w:rsid w:val="003678D7"/>
    <w:rsid w:val="0036790C"/>
    <w:rsid w:val="003679CA"/>
    <w:rsid w:val="00367A00"/>
    <w:rsid w:val="00367A1A"/>
    <w:rsid w:val="00367A1B"/>
    <w:rsid w:val="00367A49"/>
    <w:rsid w:val="00367ACE"/>
    <w:rsid w:val="00367BC2"/>
    <w:rsid w:val="00367BD8"/>
    <w:rsid w:val="00367C65"/>
    <w:rsid w:val="00367C8F"/>
    <w:rsid w:val="00367D5A"/>
    <w:rsid w:val="00367DA7"/>
    <w:rsid w:val="00367DEA"/>
    <w:rsid w:val="00367E48"/>
    <w:rsid w:val="00367E9A"/>
    <w:rsid w:val="00367F36"/>
    <w:rsid w:val="00367F78"/>
    <w:rsid w:val="00367F9E"/>
    <w:rsid w:val="003700A2"/>
    <w:rsid w:val="003701B0"/>
    <w:rsid w:val="003701B5"/>
    <w:rsid w:val="003702F9"/>
    <w:rsid w:val="00370301"/>
    <w:rsid w:val="00370346"/>
    <w:rsid w:val="0037036F"/>
    <w:rsid w:val="00370473"/>
    <w:rsid w:val="003704A6"/>
    <w:rsid w:val="003704C7"/>
    <w:rsid w:val="003707E2"/>
    <w:rsid w:val="00370802"/>
    <w:rsid w:val="00370845"/>
    <w:rsid w:val="00370894"/>
    <w:rsid w:val="003708BB"/>
    <w:rsid w:val="003708D2"/>
    <w:rsid w:val="00370937"/>
    <w:rsid w:val="0037096C"/>
    <w:rsid w:val="00370A74"/>
    <w:rsid w:val="00370B7C"/>
    <w:rsid w:val="00370BB9"/>
    <w:rsid w:val="00370BC4"/>
    <w:rsid w:val="00370BE7"/>
    <w:rsid w:val="00370C4E"/>
    <w:rsid w:val="00370C65"/>
    <w:rsid w:val="00370DA9"/>
    <w:rsid w:val="00370E1A"/>
    <w:rsid w:val="00370F48"/>
    <w:rsid w:val="00370F6C"/>
    <w:rsid w:val="0037103C"/>
    <w:rsid w:val="00371251"/>
    <w:rsid w:val="003712B5"/>
    <w:rsid w:val="003713BC"/>
    <w:rsid w:val="00371485"/>
    <w:rsid w:val="00371531"/>
    <w:rsid w:val="00371556"/>
    <w:rsid w:val="003715D4"/>
    <w:rsid w:val="003716DE"/>
    <w:rsid w:val="003717E8"/>
    <w:rsid w:val="003717F6"/>
    <w:rsid w:val="00371823"/>
    <w:rsid w:val="0037186D"/>
    <w:rsid w:val="00371952"/>
    <w:rsid w:val="00371979"/>
    <w:rsid w:val="003719EB"/>
    <w:rsid w:val="00371ADA"/>
    <w:rsid w:val="00371B2E"/>
    <w:rsid w:val="00371B89"/>
    <w:rsid w:val="00371C52"/>
    <w:rsid w:val="00371C86"/>
    <w:rsid w:val="00371C94"/>
    <w:rsid w:val="00371C9F"/>
    <w:rsid w:val="00371D32"/>
    <w:rsid w:val="00371DEE"/>
    <w:rsid w:val="00371EB8"/>
    <w:rsid w:val="00371FC8"/>
    <w:rsid w:val="003720A1"/>
    <w:rsid w:val="0037211D"/>
    <w:rsid w:val="00372178"/>
    <w:rsid w:val="003721C1"/>
    <w:rsid w:val="003721D4"/>
    <w:rsid w:val="0037220A"/>
    <w:rsid w:val="003722B9"/>
    <w:rsid w:val="00372350"/>
    <w:rsid w:val="00372353"/>
    <w:rsid w:val="00372378"/>
    <w:rsid w:val="0037238B"/>
    <w:rsid w:val="0037243F"/>
    <w:rsid w:val="003724E2"/>
    <w:rsid w:val="003725EA"/>
    <w:rsid w:val="0037268B"/>
    <w:rsid w:val="003727F4"/>
    <w:rsid w:val="00372873"/>
    <w:rsid w:val="003728B6"/>
    <w:rsid w:val="00372955"/>
    <w:rsid w:val="00372A42"/>
    <w:rsid w:val="00372A51"/>
    <w:rsid w:val="00372A86"/>
    <w:rsid w:val="00372BD3"/>
    <w:rsid w:val="00372C8E"/>
    <w:rsid w:val="00372DD0"/>
    <w:rsid w:val="00372E1A"/>
    <w:rsid w:val="00372F0D"/>
    <w:rsid w:val="00372F40"/>
    <w:rsid w:val="00372FBF"/>
    <w:rsid w:val="00372FCE"/>
    <w:rsid w:val="00372FF4"/>
    <w:rsid w:val="00373001"/>
    <w:rsid w:val="0037304D"/>
    <w:rsid w:val="003730BA"/>
    <w:rsid w:val="003730C2"/>
    <w:rsid w:val="003730FF"/>
    <w:rsid w:val="003731B7"/>
    <w:rsid w:val="00373200"/>
    <w:rsid w:val="00373208"/>
    <w:rsid w:val="00373251"/>
    <w:rsid w:val="003732BE"/>
    <w:rsid w:val="003733B8"/>
    <w:rsid w:val="003733E3"/>
    <w:rsid w:val="00373411"/>
    <w:rsid w:val="0037341D"/>
    <w:rsid w:val="00373466"/>
    <w:rsid w:val="00373516"/>
    <w:rsid w:val="00373528"/>
    <w:rsid w:val="003735B0"/>
    <w:rsid w:val="003735B7"/>
    <w:rsid w:val="003735D6"/>
    <w:rsid w:val="00373652"/>
    <w:rsid w:val="0037368C"/>
    <w:rsid w:val="003736A6"/>
    <w:rsid w:val="003737ED"/>
    <w:rsid w:val="0037389C"/>
    <w:rsid w:val="00373912"/>
    <w:rsid w:val="00373936"/>
    <w:rsid w:val="003739A2"/>
    <w:rsid w:val="003739C0"/>
    <w:rsid w:val="00373A5F"/>
    <w:rsid w:val="00373A7C"/>
    <w:rsid w:val="00373B76"/>
    <w:rsid w:val="00373C9C"/>
    <w:rsid w:val="00373CE2"/>
    <w:rsid w:val="00373D08"/>
    <w:rsid w:val="00373D12"/>
    <w:rsid w:val="00373D17"/>
    <w:rsid w:val="00373DD3"/>
    <w:rsid w:val="00373E26"/>
    <w:rsid w:val="00373E6E"/>
    <w:rsid w:val="00373E8C"/>
    <w:rsid w:val="00373F27"/>
    <w:rsid w:val="00374111"/>
    <w:rsid w:val="0037417D"/>
    <w:rsid w:val="00374183"/>
    <w:rsid w:val="003741C2"/>
    <w:rsid w:val="003742A5"/>
    <w:rsid w:val="003742B7"/>
    <w:rsid w:val="00374313"/>
    <w:rsid w:val="00374331"/>
    <w:rsid w:val="00374386"/>
    <w:rsid w:val="003743E6"/>
    <w:rsid w:val="003744AB"/>
    <w:rsid w:val="003744B2"/>
    <w:rsid w:val="003744D8"/>
    <w:rsid w:val="003744F5"/>
    <w:rsid w:val="00374508"/>
    <w:rsid w:val="00374593"/>
    <w:rsid w:val="003745A2"/>
    <w:rsid w:val="003745E3"/>
    <w:rsid w:val="003745EF"/>
    <w:rsid w:val="00374642"/>
    <w:rsid w:val="00374692"/>
    <w:rsid w:val="003746E4"/>
    <w:rsid w:val="0037472C"/>
    <w:rsid w:val="00374760"/>
    <w:rsid w:val="003747D0"/>
    <w:rsid w:val="003747DA"/>
    <w:rsid w:val="003748DC"/>
    <w:rsid w:val="0037496F"/>
    <w:rsid w:val="00374971"/>
    <w:rsid w:val="0037497F"/>
    <w:rsid w:val="00374AE3"/>
    <w:rsid w:val="00374B40"/>
    <w:rsid w:val="00374B4D"/>
    <w:rsid w:val="00374DA1"/>
    <w:rsid w:val="00374DF5"/>
    <w:rsid w:val="00374EEA"/>
    <w:rsid w:val="00374EEE"/>
    <w:rsid w:val="00374F73"/>
    <w:rsid w:val="00375152"/>
    <w:rsid w:val="00375190"/>
    <w:rsid w:val="00375199"/>
    <w:rsid w:val="003751D0"/>
    <w:rsid w:val="00375318"/>
    <w:rsid w:val="0037538C"/>
    <w:rsid w:val="0037539B"/>
    <w:rsid w:val="003753BE"/>
    <w:rsid w:val="0037548D"/>
    <w:rsid w:val="003754A5"/>
    <w:rsid w:val="0037557E"/>
    <w:rsid w:val="003756AC"/>
    <w:rsid w:val="0037578B"/>
    <w:rsid w:val="0037580C"/>
    <w:rsid w:val="00375812"/>
    <w:rsid w:val="003758D3"/>
    <w:rsid w:val="0037590E"/>
    <w:rsid w:val="00375B5D"/>
    <w:rsid w:val="00375BAD"/>
    <w:rsid w:val="00375CBF"/>
    <w:rsid w:val="00375DBC"/>
    <w:rsid w:val="00375E1C"/>
    <w:rsid w:val="00375E94"/>
    <w:rsid w:val="00375EAF"/>
    <w:rsid w:val="00376018"/>
    <w:rsid w:val="00376098"/>
    <w:rsid w:val="00376113"/>
    <w:rsid w:val="003761DB"/>
    <w:rsid w:val="003763EC"/>
    <w:rsid w:val="00376400"/>
    <w:rsid w:val="003765FE"/>
    <w:rsid w:val="00376630"/>
    <w:rsid w:val="003766A0"/>
    <w:rsid w:val="00376842"/>
    <w:rsid w:val="00376875"/>
    <w:rsid w:val="003768BF"/>
    <w:rsid w:val="003769A1"/>
    <w:rsid w:val="003769AD"/>
    <w:rsid w:val="00376A67"/>
    <w:rsid w:val="00376A6A"/>
    <w:rsid w:val="00376A95"/>
    <w:rsid w:val="00376ABD"/>
    <w:rsid w:val="00376AD7"/>
    <w:rsid w:val="00376BE2"/>
    <w:rsid w:val="00376CA5"/>
    <w:rsid w:val="00376CC9"/>
    <w:rsid w:val="00376D6A"/>
    <w:rsid w:val="00376D90"/>
    <w:rsid w:val="00376DFC"/>
    <w:rsid w:val="00376E84"/>
    <w:rsid w:val="00376E96"/>
    <w:rsid w:val="00376F4B"/>
    <w:rsid w:val="00376F53"/>
    <w:rsid w:val="00376FB4"/>
    <w:rsid w:val="00377092"/>
    <w:rsid w:val="003770DC"/>
    <w:rsid w:val="00377179"/>
    <w:rsid w:val="003771A7"/>
    <w:rsid w:val="003772AE"/>
    <w:rsid w:val="00377335"/>
    <w:rsid w:val="00377399"/>
    <w:rsid w:val="0037748E"/>
    <w:rsid w:val="003774B1"/>
    <w:rsid w:val="003775BB"/>
    <w:rsid w:val="003776BA"/>
    <w:rsid w:val="0037775A"/>
    <w:rsid w:val="00377883"/>
    <w:rsid w:val="003778DA"/>
    <w:rsid w:val="0037790A"/>
    <w:rsid w:val="00377927"/>
    <w:rsid w:val="0037792A"/>
    <w:rsid w:val="0037798F"/>
    <w:rsid w:val="00377AD9"/>
    <w:rsid w:val="00377ADF"/>
    <w:rsid w:val="00377B16"/>
    <w:rsid w:val="00377B30"/>
    <w:rsid w:val="00377C7B"/>
    <w:rsid w:val="00377DC5"/>
    <w:rsid w:val="00377E5E"/>
    <w:rsid w:val="00377EC8"/>
    <w:rsid w:val="00377FE0"/>
    <w:rsid w:val="00380000"/>
    <w:rsid w:val="0038007F"/>
    <w:rsid w:val="003800DF"/>
    <w:rsid w:val="0038012D"/>
    <w:rsid w:val="00380207"/>
    <w:rsid w:val="003802CC"/>
    <w:rsid w:val="003802E8"/>
    <w:rsid w:val="00380310"/>
    <w:rsid w:val="00380339"/>
    <w:rsid w:val="003803D8"/>
    <w:rsid w:val="00380422"/>
    <w:rsid w:val="00380442"/>
    <w:rsid w:val="00380461"/>
    <w:rsid w:val="00380482"/>
    <w:rsid w:val="003807D1"/>
    <w:rsid w:val="00380996"/>
    <w:rsid w:val="00380A34"/>
    <w:rsid w:val="00380A70"/>
    <w:rsid w:val="00380B1D"/>
    <w:rsid w:val="00380BDF"/>
    <w:rsid w:val="00380BFB"/>
    <w:rsid w:val="00380C0A"/>
    <w:rsid w:val="00380C6D"/>
    <w:rsid w:val="00380D1A"/>
    <w:rsid w:val="00380D1F"/>
    <w:rsid w:val="00380DD0"/>
    <w:rsid w:val="00380F2F"/>
    <w:rsid w:val="00380FA3"/>
    <w:rsid w:val="00380FAE"/>
    <w:rsid w:val="00381014"/>
    <w:rsid w:val="00381077"/>
    <w:rsid w:val="003810B6"/>
    <w:rsid w:val="00381108"/>
    <w:rsid w:val="00381186"/>
    <w:rsid w:val="0038130E"/>
    <w:rsid w:val="003814DE"/>
    <w:rsid w:val="003815F2"/>
    <w:rsid w:val="00381611"/>
    <w:rsid w:val="0038164E"/>
    <w:rsid w:val="00381656"/>
    <w:rsid w:val="0038170E"/>
    <w:rsid w:val="00381779"/>
    <w:rsid w:val="0038177F"/>
    <w:rsid w:val="00381788"/>
    <w:rsid w:val="003817DA"/>
    <w:rsid w:val="00381830"/>
    <w:rsid w:val="003819B2"/>
    <w:rsid w:val="00381A40"/>
    <w:rsid w:val="00381AF1"/>
    <w:rsid w:val="00381AFD"/>
    <w:rsid w:val="00381B0C"/>
    <w:rsid w:val="00381B21"/>
    <w:rsid w:val="00381B24"/>
    <w:rsid w:val="00381B36"/>
    <w:rsid w:val="00381CD3"/>
    <w:rsid w:val="00381CD5"/>
    <w:rsid w:val="00381D29"/>
    <w:rsid w:val="00381F29"/>
    <w:rsid w:val="00382063"/>
    <w:rsid w:val="00382149"/>
    <w:rsid w:val="003821F6"/>
    <w:rsid w:val="00382237"/>
    <w:rsid w:val="003823F4"/>
    <w:rsid w:val="00382436"/>
    <w:rsid w:val="003824AF"/>
    <w:rsid w:val="003824FB"/>
    <w:rsid w:val="00382500"/>
    <w:rsid w:val="00382501"/>
    <w:rsid w:val="0038260F"/>
    <w:rsid w:val="00382616"/>
    <w:rsid w:val="0038262B"/>
    <w:rsid w:val="00382644"/>
    <w:rsid w:val="00382662"/>
    <w:rsid w:val="00382692"/>
    <w:rsid w:val="003826A1"/>
    <w:rsid w:val="00382718"/>
    <w:rsid w:val="0038276A"/>
    <w:rsid w:val="003828F7"/>
    <w:rsid w:val="0038293B"/>
    <w:rsid w:val="00382A45"/>
    <w:rsid w:val="00382B7C"/>
    <w:rsid w:val="00382C2A"/>
    <w:rsid w:val="00382C9A"/>
    <w:rsid w:val="00382C9E"/>
    <w:rsid w:val="00382CB8"/>
    <w:rsid w:val="00382DB6"/>
    <w:rsid w:val="00382E3D"/>
    <w:rsid w:val="00382EAB"/>
    <w:rsid w:val="00382EFC"/>
    <w:rsid w:val="00382F56"/>
    <w:rsid w:val="00383030"/>
    <w:rsid w:val="003830A5"/>
    <w:rsid w:val="003830B1"/>
    <w:rsid w:val="0038318F"/>
    <w:rsid w:val="003831DE"/>
    <w:rsid w:val="003831FE"/>
    <w:rsid w:val="00383235"/>
    <w:rsid w:val="003832C1"/>
    <w:rsid w:val="0038335F"/>
    <w:rsid w:val="00383362"/>
    <w:rsid w:val="003833B3"/>
    <w:rsid w:val="003833E3"/>
    <w:rsid w:val="003834E5"/>
    <w:rsid w:val="00383623"/>
    <w:rsid w:val="00383743"/>
    <w:rsid w:val="00383810"/>
    <w:rsid w:val="00383845"/>
    <w:rsid w:val="003838B3"/>
    <w:rsid w:val="00383A3D"/>
    <w:rsid w:val="00383BE0"/>
    <w:rsid w:val="00383CE1"/>
    <w:rsid w:val="00383D48"/>
    <w:rsid w:val="00383EA8"/>
    <w:rsid w:val="00383FAB"/>
    <w:rsid w:val="00383FCA"/>
    <w:rsid w:val="00384022"/>
    <w:rsid w:val="00384115"/>
    <w:rsid w:val="0038412D"/>
    <w:rsid w:val="00384162"/>
    <w:rsid w:val="0038417C"/>
    <w:rsid w:val="003841F3"/>
    <w:rsid w:val="00384332"/>
    <w:rsid w:val="0038433B"/>
    <w:rsid w:val="003843A9"/>
    <w:rsid w:val="003843D8"/>
    <w:rsid w:val="003843FD"/>
    <w:rsid w:val="00384438"/>
    <w:rsid w:val="00384464"/>
    <w:rsid w:val="00384486"/>
    <w:rsid w:val="003844D1"/>
    <w:rsid w:val="00384596"/>
    <w:rsid w:val="003846C6"/>
    <w:rsid w:val="00384723"/>
    <w:rsid w:val="00384753"/>
    <w:rsid w:val="0038483C"/>
    <w:rsid w:val="003848D2"/>
    <w:rsid w:val="00384A3F"/>
    <w:rsid w:val="00384AC4"/>
    <w:rsid w:val="00384B3A"/>
    <w:rsid w:val="00384C1A"/>
    <w:rsid w:val="00384C30"/>
    <w:rsid w:val="00384C38"/>
    <w:rsid w:val="00384C89"/>
    <w:rsid w:val="00384D68"/>
    <w:rsid w:val="00384DE0"/>
    <w:rsid w:val="00384E9A"/>
    <w:rsid w:val="00384EC4"/>
    <w:rsid w:val="0038502E"/>
    <w:rsid w:val="0038506D"/>
    <w:rsid w:val="00385100"/>
    <w:rsid w:val="00385193"/>
    <w:rsid w:val="003851BE"/>
    <w:rsid w:val="0038526D"/>
    <w:rsid w:val="003852A8"/>
    <w:rsid w:val="003852C0"/>
    <w:rsid w:val="00385333"/>
    <w:rsid w:val="0038535D"/>
    <w:rsid w:val="0038542E"/>
    <w:rsid w:val="003854D9"/>
    <w:rsid w:val="00385569"/>
    <w:rsid w:val="00385597"/>
    <w:rsid w:val="003855D4"/>
    <w:rsid w:val="00385697"/>
    <w:rsid w:val="003856C3"/>
    <w:rsid w:val="003856C8"/>
    <w:rsid w:val="00385809"/>
    <w:rsid w:val="00385918"/>
    <w:rsid w:val="00385976"/>
    <w:rsid w:val="003859C2"/>
    <w:rsid w:val="003859CA"/>
    <w:rsid w:val="003859E6"/>
    <w:rsid w:val="00385C47"/>
    <w:rsid w:val="00385C6A"/>
    <w:rsid w:val="00385D1F"/>
    <w:rsid w:val="00385D6C"/>
    <w:rsid w:val="00385DA0"/>
    <w:rsid w:val="00385DD1"/>
    <w:rsid w:val="00385E20"/>
    <w:rsid w:val="00385F42"/>
    <w:rsid w:val="00385F54"/>
    <w:rsid w:val="00386048"/>
    <w:rsid w:val="00386121"/>
    <w:rsid w:val="00386169"/>
    <w:rsid w:val="003862C9"/>
    <w:rsid w:val="003862F3"/>
    <w:rsid w:val="00386305"/>
    <w:rsid w:val="00386393"/>
    <w:rsid w:val="003863CF"/>
    <w:rsid w:val="00386459"/>
    <w:rsid w:val="003864A6"/>
    <w:rsid w:val="00386534"/>
    <w:rsid w:val="0038653A"/>
    <w:rsid w:val="0038658F"/>
    <w:rsid w:val="003865BF"/>
    <w:rsid w:val="003865E2"/>
    <w:rsid w:val="00386603"/>
    <w:rsid w:val="00386641"/>
    <w:rsid w:val="00386676"/>
    <w:rsid w:val="0038671A"/>
    <w:rsid w:val="0038677C"/>
    <w:rsid w:val="00386785"/>
    <w:rsid w:val="00386787"/>
    <w:rsid w:val="00386845"/>
    <w:rsid w:val="00386899"/>
    <w:rsid w:val="003868DD"/>
    <w:rsid w:val="00386915"/>
    <w:rsid w:val="003869A1"/>
    <w:rsid w:val="003869D0"/>
    <w:rsid w:val="00386A18"/>
    <w:rsid w:val="00386B0A"/>
    <w:rsid w:val="00386B44"/>
    <w:rsid w:val="00386CD4"/>
    <w:rsid w:val="00386D18"/>
    <w:rsid w:val="00386E7B"/>
    <w:rsid w:val="00386F5A"/>
    <w:rsid w:val="00386FF8"/>
    <w:rsid w:val="0038727D"/>
    <w:rsid w:val="00387289"/>
    <w:rsid w:val="003872BE"/>
    <w:rsid w:val="003872E4"/>
    <w:rsid w:val="0038737C"/>
    <w:rsid w:val="003874C2"/>
    <w:rsid w:val="003874E3"/>
    <w:rsid w:val="00387539"/>
    <w:rsid w:val="0038763A"/>
    <w:rsid w:val="003876F9"/>
    <w:rsid w:val="00387704"/>
    <w:rsid w:val="00387709"/>
    <w:rsid w:val="00387735"/>
    <w:rsid w:val="0038782C"/>
    <w:rsid w:val="0038782F"/>
    <w:rsid w:val="00387866"/>
    <w:rsid w:val="0038794D"/>
    <w:rsid w:val="003879E6"/>
    <w:rsid w:val="003879F9"/>
    <w:rsid w:val="00387A26"/>
    <w:rsid w:val="00387A37"/>
    <w:rsid w:val="00387B1B"/>
    <w:rsid w:val="00387CEA"/>
    <w:rsid w:val="00387CEF"/>
    <w:rsid w:val="00387D0B"/>
    <w:rsid w:val="00387D12"/>
    <w:rsid w:val="00387D3E"/>
    <w:rsid w:val="00387D4A"/>
    <w:rsid w:val="00387DE4"/>
    <w:rsid w:val="00387EED"/>
    <w:rsid w:val="00387FDE"/>
    <w:rsid w:val="00390098"/>
    <w:rsid w:val="003900A6"/>
    <w:rsid w:val="00390187"/>
    <w:rsid w:val="00390202"/>
    <w:rsid w:val="00390293"/>
    <w:rsid w:val="003902A9"/>
    <w:rsid w:val="003902B0"/>
    <w:rsid w:val="003902F5"/>
    <w:rsid w:val="00390332"/>
    <w:rsid w:val="00390372"/>
    <w:rsid w:val="003903BB"/>
    <w:rsid w:val="0039044B"/>
    <w:rsid w:val="0039051B"/>
    <w:rsid w:val="00390528"/>
    <w:rsid w:val="0039053A"/>
    <w:rsid w:val="003905B0"/>
    <w:rsid w:val="003905F9"/>
    <w:rsid w:val="00390604"/>
    <w:rsid w:val="00390628"/>
    <w:rsid w:val="003906A3"/>
    <w:rsid w:val="003906DF"/>
    <w:rsid w:val="0039077D"/>
    <w:rsid w:val="0039081D"/>
    <w:rsid w:val="00390820"/>
    <w:rsid w:val="00390828"/>
    <w:rsid w:val="0039084B"/>
    <w:rsid w:val="003908A6"/>
    <w:rsid w:val="003908E9"/>
    <w:rsid w:val="00390A8A"/>
    <w:rsid w:val="00390B22"/>
    <w:rsid w:val="00390B6D"/>
    <w:rsid w:val="00390B87"/>
    <w:rsid w:val="00390B93"/>
    <w:rsid w:val="00390D64"/>
    <w:rsid w:val="00390D9F"/>
    <w:rsid w:val="00390DAB"/>
    <w:rsid w:val="00390E05"/>
    <w:rsid w:val="00390EEC"/>
    <w:rsid w:val="00390FB3"/>
    <w:rsid w:val="00391197"/>
    <w:rsid w:val="003911E7"/>
    <w:rsid w:val="0039126B"/>
    <w:rsid w:val="0039127C"/>
    <w:rsid w:val="0039134B"/>
    <w:rsid w:val="003913C3"/>
    <w:rsid w:val="00391413"/>
    <w:rsid w:val="003914BD"/>
    <w:rsid w:val="003914F2"/>
    <w:rsid w:val="003915EA"/>
    <w:rsid w:val="00391604"/>
    <w:rsid w:val="003916C1"/>
    <w:rsid w:val="003916E9"/>
    <w:rsid w:val="00391700"/>
    <w:rsid w:val="00391725"/>
    <w:rsid w:val="00391744"/>
    <w:rsid w:val="0039174C"/>
    <w:rsid w:val="00391778"/>
    <w:rsid w:val="003919C8"/>
    <w:rsid w:val="003919FD"/>
    <w:rsid w:val="00391A65"/>
    <w:rsid w:val="00391BA4"/>
    <w:rsid w:val="00391C99"/>
    <w:rsid w:val="00391CC7"/>
    <w:rsid w:val="00391D28"/>
    <w:rsid w:val="00391D7E"/>
    <w:rsid w:val="00391D8E"/>
    <w:rsid w:val="00391DE9"/>
    <w:rsid w:val="00391EB3"/>
    <w:rsid w:val="00391FB2"/>
    <w:rsid w:val="00391FE5"/>
    <w:rsid w:val="003920E1"/>
    <w:rsid w:val="00392199"/>
    <w:rsid w:val="003922C0"/>
    <w:rsid w:val="0039238E"/>
    <w:rsid w:val="003923EC"/>
    <w:rsid w:val="00392436"/>
    <w:rsid w:val="0039243E"/>
    <w:rsid w:val="0039245A"/>
    <w:rsid w:val="0039255A"/>
    <w:rsid w:val="003925C2"/>
    <w:rsid w:val="003926F3"/>
    <w:rsid w:val="00392800"/>
    <w:rsid w:val="00392831"/>
    <w:rsid w:val="00392871"/>
    <w:rsid w:val="003928B0"/>
    <w:rsid w:val="00392915"/>
    <w:rsid w:val="003929C6"/>
    <w:rsid w:val="00392B42"/>
    <w:rsid w:val="00392B4A"/>
    <w:rsid w:val="00392C65"/>
    <w:rsid w:val="00392C90"/>
    <w:rsid w:val="00392D18"/>
    <w:rsid w:val="00392E29"/>
    <w:rsid w:val="00392EEF"/>
    <w:rsid w:val="00392F1F"/>
    <w:rsid w:val="00392F36"/>
    <w:rsid w:val="00392F40"/>
    <w:rsid w:val="00392FDC"/>
    <w:rsid w:val="00393034"/>
    <w:rsid w:val="00393050"/>
    <w:rsid w:val="0039312C"/>
    <w:rsid w:val="00393170"/>
    <w:rsid w:val="003931B9"/>
    <w:rsid w:val="00393391"/>
    <w:rsid w:val="003933A7"/>
    <w:rsid w:val="00393421"/>
    <w:rsid w:val="0039349C"/>
    <w:rsid w:val="00393531"/>
    <w:rsid w:val="0039358A"/>
    <w:rsid w:val="003935F1"/>
    <w:rsid w:val="003935F6"/>
    <w:rsid w:val="00393671"/>
    <w:rsid w:val="003936CA"/>
    <w:rsid w:val="00393779"/>
    <w:rsid w:val="003938CA"/>
    <w:rsid w:val="00393917"/>
    <w:rsid w:val="0039396E"/>
    <w:rsid w:val="00393ADA"/>
    <w:rsid w:val="00393B21"/>
    <w:rsid w:val="00393C56"/>
    <w:rsid w:val="00393C7E"/>
    <w:rsid w:val="00393D9C"/>
    <w:rsid w:val="00393DAD"/>
    <w:rsid w:val="00393E24"/>
    <w:rsid w:val="00393FD3"/>
    <w:rsid w:val="00393FEC"/>
    <w:rsid w:val="003940D2"/>
    <w:rsid w:val="003940F8"/>
    <w:rsid w:val="003940FC"/>
    <w:rsid w:val="0039418D"/>
    <w:rsid w:val="003941C2"/>
    <w:rsid w:val="00394327"/>
    <w:rsid w:val="003943D9"/>
    <w:rsid w:val="003943E8"/>
    <w:rsid w:val="0039444F"/>
    <w:rsid w:val="00394454"/>
    <w:rsid w:val="003945DC"/>
    <w:rsid w:val="00394669"/>
    <w:rsid w:val="003946D2"/>
    <w:rsid w:val="003946D6"/>
    <w:rsid w:val="0039480C"/>
    <w:rsid w:val="003948D1"/>
    <w:rsid w:val="0039495F"/>
    <w:rsid w:val="003949CA"/>
    <w:rsid w:val="003949EC"/>
    <w:rsid w:val="00394A0C"/>
    <w:rsid w:val="00394A2B"/>
    <w:rsid w:val="00394A7B"/>
    <w:rsid w:val="00394ABD"/>
    <w:rsid w:val="00394AC3"/>
    <w:rsid w:val="00394B18"/>
    <w:rsid w:val="00394BDD"/>
    <w:rsid w:val="00394BDF"/>
    <w:rsid w:val="00394CB3"/>
    <w:rsid w:val="00394E12"/>
    <w:rsid w:val="00394EA3"/>
    <w:rsid w:val="00394EC8"/>
    <w:rsid w:val="00394F27"/>
    <w:rsid w:val="00394F2B"/>
    <w:rsid w:val="00395351"/>
    <w:rsid w:val="003953DA"/>
    <w:rsid w:val="003953E2"/>
    <w:rsid w:val="0039561D"/>
    <w:rsid w:val="00395634"/>
    <w:rsid w:val="00395758"/>
    <w:rsid w:val="00395867"/>
    <w:rsid w:val="003958B8"/>
    <w:rsid w:val="003958CC"/>
    <w:rsid w:val="003958F6"/>
    <w:rsid w:val="00395968"/>
    <w:rsid w:val="00395989"/>
    <w:rsid w:val="003959C8"/>
    <w:rsid w:val="00395A40"/>
    <w:rsid w:val="00395A58"/>
    <w:rsid w:val="00395A62"/>
    <w:rsid w:val="00395A94"/>
    <w:rsid w:val="00395BEF"/>
    <w:rsid w:val="00395BFB"/>
    <w:rsid w:val="00395CF5"/>
    <w:rsid w:val="00395CFF"/>
    <w:rsid w:val="00395D3D"/>
    <w:rsid w:val="00395D4A"/>
    <w:rsid w:val="00395E24"/>
    <w:rsid w:val="00396088"/>
    <w:rsid w:val="003960F8"/>
    <w:rsid w:val="0039627B"/>
    <w:rsid w:val="003962AC"/>
    <w:rsid w:val="003962C5"/>
    <w:rsid w:val="003962D8"/>
    <w:rsid w:val="003962DE"/>
    <w:rsid w:val="00396352"/>
    <w:rsid w:val="003963B5"/>
    <w:rsid w:val="0039640E"/>
    <w:rsid w:val="003965DE"/>
    <w:rsid w:val="00396653"/>
    <w:rsid w:val="003967CD"/>
    <w:rsid w:val="003967EE"/>
    <w:rsid w:val="00396825"/>
    <w:rsid w:val="0039691C"/>
    <w:rsid w:val="003969F1"/>
    <w:rsid w:val="00396A55"/>
    <w:rsid w:val="00396AB4"/>
    <w:rsid w:val="00396B94"/>
    <w:rsid w:val="00396C7B"/>
    <w:rsid w:val="00396CDB"/>
    <w:rsid w:val="00396CE4"/>
    <w:rsid w:val="00396E83"/>
    <w:rsid w:val="0039703D"/>
    <w:rsid w:val="0039709D"/>
    <w:rsid w:val="0039727C"/>
    <w:rsid w:val="003972BD"/>
    <w:rsid w:val="003972D5"/>
    <w:rsid w:val="0039736E"/>
    <w:rsid w:val="00397398"/>
    <w:rsid w:val="003973CF"/>
    <w:rsid w:val="00397412"/>
    <w:rsid w:val="00397432"/>
    <w:rsid w:val="0039746D"/>
    <w:rsid w:val="00397675"/>
    <w:rsid w:val="00397787"/>
    <w:rsid w:val="00397A57"/>
    <w:rsid w:val="00397AE1"/>
    <w:rsid w:val="00397AE3"/>
    <w:rsid w:val="00397AED"/>
    <w:rsid w:val="00397C49"/>
    <w:rsid w:val="00397C7E"/>
    <w:rsid w:val="00397D10"/>
    <w:rsid w:val="00397D3D"/>
    <w:rsid w:val="00397D4D"/>
    <w:rsid w:val="00397DBB"/>
    <w:rsid w:val="00397DF7"/>
    <w:rsid w:val="00397F4F"/>
    <w:rsid w:val="003A01C8"/>
    <w:rsid w:val="003A01E3"/>
    <w:rsid w:val="003A021D"/>
    <w:rsid w:val="003A0282"/>
    <w:rsid w:val="003A02A8"/>
    <w:rsid w:val="003A0418"/>
    <w:rsid w:val="003A044B"/>
    <w:rsid w:val="003A0463"/>
    <w:rsid w:val="003A04E2"/>
    <w:rsid w:val="003A0518"/>
    <w:rsid w:val="003A0664"/>
    <w:rsid w:val="003A06F4"/>
    <w:rsid w:val="003A0768"/>
    <w:rsid w:val="003A0771"/>
    <w:rsid w:val="003A083B"/>
    <w:rsid w:val="003A0862"/>
    <w:rsid w:val="003A0890"/>
    <w:rsid w:val="003A0A36"/>
    <w:rsid w:val="003A0A7D"/>
    <w:rsid w:val="003A0ABA"/>
    <w:rsid w:val="003A0AC3"/>
    <w:rsid w:val="003A0AFD"/>
    <w:rsid w:val="003A0B02"/>
    <w:rsid w:val="003A0B87"/>
    <w:rsid w:val="003A0BB8"/>
    <w:rsid w:val="003A0BE1"/>
    <w:rsid w:val="003A0BFF"/>
    <w:rsid w:val="003A0C4D"/>
    <w:rsid w:val="003A0C9A"/>
    <w:rsid w:val="003A0CEC"/>
    <w:rsid w:val="003A100F"/>
    <w:rsid w:val="003A1016"/>
    <w:rsid w:val="003A1167"/>
    <w:rsid w:val="003A12E1"/>
    <w:rsid w:val="003A1321"/>
    <w:rsid w:val="003A132E"/>
    <w:rsid w:val="003A13E8"/>
    <w:rsid w:val="003A13F0"/>
    <w:rsid w:val="003A14BC"/>
    <w:rsid w:val="003A1502"/>
    <w:rsid w:val="003A150F"/>
    <w:rsid w:val="003A1576"/>
    <w:rsid w:val="003A1620"/>
    <w:rsid w:val="003A1664"/>
    <w:rsid w:val="003A16B5"/>
    <w:rsid w:val="003A1754"/>
    <w:rsid w:val="003A1875"/>
    <w:rsid w:val="003A18C0"/>
    <w:rsid w:val="003A193F"/>
    <w:rsid w:val="003A1C7B"/>
    <w:rsid w:val="003A1DB6"/>
    <w:rsid w:val="003A1DD5"/>
    <w:rsid w:val="003A1E71"/>
    <w:rsid w:val="003A1F2B"/>
    <w:rsid w:val="003A1FC6"/>
    <w:rsid w:val="003A20A1"/>
    <w:rsid w:val="003A2123"/>
    <w:rsid w:val="003A2153"/>
    <w:rsid w:val="003A21AF"/>
    <w:rsid w:val="003A2371"/>
    <w:rsid w:val="003A2525"/>
    <w:rsid w:val="003A2574"/>
    <w:rsid w:val="003A25D4"/>
    <w:rsid w:val="003A26F5"/>
    <w:rsid w:val="003A26FB"/>
    <w:rsid w:val="003A2710"/>
    <w:rsid w:val="003A273B"/>
    <w:rsid w:val="003A2777"/>
    <w:rsid w:val="003A2789"/>
    <w:rsid w:val="003A278D"/>
    <w:rsid w:val="003A27DD"/>
    <w:rsid w:val="003A287E"/>
    <w:rsid w:val="003A2A1A"/>
    <w:rsid w:val="003A2A83"/>
    <w:rsid w:val="003A2A96"/>
    <w:rsid w:val="003A2AA1"/>
    <w:rsid w:val="003A2C7D"/>
    <w:rsid w:val="003A2E4E"/>
    <w:rsid w:val="003A2E70"/>
    <w:rsid w:val="003A2FE7"/>
    <w:rsid w:val="003A2FF0"/>
    <w:rsid w:val="003A3014"/>
    <w:rsid w:val="003A3024"/>
    <w:rsid w:val="003A308A"/>
    <w:rsid w:val="003A30A2"/>
    <w:rsid w:val="003A3155"/>
    <w:rsid w:val="003A3173"/>
    <w:rsid w:val="003A31CF"/>
    <w:rsid w:val="003A326A"/>
    <w:rsid w:val="003A326D"/>
    <w:rsid w:val="003A328B"/>
    <w:rsid w:val="003A33B6"/>
    <w:rsid w:val="003A345B"/>
    <w:rsid w:val="003A34E0"/>
    <w:rsid w:val="003A3500"/>
    <w:rsid w:val="003A3596"/>
    <w:rsid w:val="003A35FA"/>
    <w:rsid w:val="003A3617"/>
    <w:rsid w:val="003A3638"/>
    <w:rsid w:val="003A3671"/>
    <w:rsid w:val="003A36DE"/>
    <w:rsid w:val="003A373A"/>
    <w:rsid w:val="003A37C3"/>
    <w:rsid w:val="003A3957"/>
    <w:rsid w:val="003A3AC2"/>
    <w:rsid w:val="003A3B1D"/>
    <w:rsid w:val="003A3B51"/>
    <w:rsid w:val="003A3B9C"/>
    <w:rsid w:val="003A3BAB"/>
    <w:rsid w:val="003A3C25"/>
    <w:rsid w:val="003A3C70"/>
    <w:rsid w:val="003A3C78"/>
    <w:rsid w:val="003A3CBC"/>
    <w:rsid w:val="003A3CDE"/>
    <w:rsid w:val="003A3D3C"/>
    <w:rsid w:val="003A3D45"/>
    <w:rsid w:val="003A3D9B"/>
    <w:rsid w:val="003A3F15"/>
    <w:rsid w:val="003A3F8D"/>
    <w:rsid w:val="003A407A"/>
    <w:rsid w:val="003A4150"/>
    <w:rsid w:val="003A416A"/>
    <w:rsid w:val="003A41C1"/>
    <w:rsid w:val="003A42BC"/>
    <w:rsid w:val="003A4396"/>
    <w:rsid w:val="003A43A9"/>
    <w:rsid w:val="003A43D1"/>
    <w:rsid w:val="003A449A"/>
    <w:rsid w:val="003A44AA"/>
    <w:rsid w:val="003A44E5"/>
    <w:rsid w:val="003A454C"/>
    <w:rsid w:val="003A45D1"/>
    <w:rsid w:val="003A45D6"/>
    <w:rsid w:val="003A45F0"/>
    <w:rsid w:val="003A469B"/>
    <w:rsid w:val="003A47DA"/>
    <w:rsid w:val="003A482E"/>
    <w:rsid w:val="003A4954"/>
    <w:rsid w:val="003A49EB"/>
    <w:rsid w:val="003A4AC0"/>
    <w:rsid w:val="003A4AE9"/>
    <w:rsid w:val="003A4C25"/>
    <w:rsid w:val="003A4CBA"/>
    <w:rsid w:val="003A4DAD"/>
    <w:rsid w:val="003A4EA4"/>
    <w:rsid w:val="003A4EFD"/>
    <w:rsid w:val="003A4F1D"/>
    <w:rsid w:val="003A4FAE"/>
    <w:rsid w:val="003A5049"/>
    <w:rsid w:val="003A5098"/>
    <w:rsid w:val="003A5176"/>
    <w:rsid w:val="003A5199"/>
    <w:rsid w:val="003A5305"/>
    <w:rsid w:val="003A537F"/>
    <w:rsid w:val="003A53C9"/>
    <w:rsid w:val="003A5411"/>
    <w:rsid w:val="003A5429"/>
    <w:rsid w:val="003A544C"/>
    <w:rsid w:val="003A553B"/>
    <w:rsid w:val="003A55C0"/>
    <w:rsid w:val="003A5612"/>
    <w:rsid w:val="003A58A0"/>
    <w:rsid w:val="003A58D0"/>
    <w:rsid w:val="003A5906"/>
    <w:rsid w:val="003A5A44"/>
    <w:rsid w:val="003A5AD1"/>
    <w:rsid w:val="003A5AE2"/>
    <w:rsid w:val="003A5B57"/>
    <w:rsid w:val="003A5B9E"/>
    <w:rsid w:val="003A5C27"/>
    <w:rsid w:val="003A5D0B"/>
    <w:rsid w:val="003A5D97"/>
    <w:rsid w:val="003A5E5B"/>
    <w:rsid w:val="003A5F19"/>
    <w:rsid w:val="003A5F5F"/>
    <w:rsid w:val="003A5FB3"/>
    <w:rsid w:val="003A5FFD"/>
    <w:rsid w:val="003A6077"/>
    <w:rsid w:val="003A6135"/>
    <w:rsid w:val="003A625E"/>
    <w:rsid w:val="003A6274"/>
    <w:rsid w:val="003A62C2"/>
    <w:rsid w:val="003A62E3"/>
    <w:rsid w:val="003A634C"/>
    <w:rsid w:val="003A63BA"/>
    <w:rsid w:val="003A63E3"/>
    <w:rsid w:val="003A6503"/>
    <w:rsid w:val="003A650B"/>
    <w:rsid w:val="003A6728"/>
    <w:rsid w:val="003A6757"/>
    <w:rsid w:val="003A67EC"/>
    <w:rsid w:val="003A68C9"/>
    <w:rsid w:val="003A68EB"/>
    <w:rsid w:val="003A6925"/>
    <w:rsid w:val="003A6A54"/>
    <w:rsid w:val="003A6AC2"/>
    <w:rsid w:val="003A6AE2"/>
    <w:rsid w:val="003A6C8E"/>
    <w:rsid w:val="003A6CF5"/>
    <w:rsid w:val="003A6CF9"/>
    <w:rsid w:val="003A6D9B"/>
    <w:rsid w:val="003A6E5C"/>
    <w:rsid w:val="003A6F65"/>
    <w:rsid w:val="003A6F72"/>
    <w:rsid w:val="003A70B5"/>
    <w:rsid w:val="003A7118"/>
    <w:rsid w:val="003A718C"/>
    <w:rsid w:val="003A72CB"/>
    <w:rsid w:val="003A7325"/>
    <w:rsid w:val="003A7369"/>
    <w:rsid w:val="003A736B"/>
    <w:rsid w:val="003A73B9"/>
    <w:rsid w:val="003A74EC"/>
    <w:rsid w:val="003A753D"/>
    <w:rsid w:val="003A7569"/>
    <w:rsid w:val="003A7584"/>
    <w:rsid w:val="003A75A4"/>
    <w:rsid w:val="003A766F"/>
    <w:rsid w:val="003A7791"/>
    <w:rsid w:val="003A77EA"/>
    <w:rsid w:val="003A7818"/>
    <w:rsid w:val="003A787D"/>
    <w:rsid w:val="003A7897"/>
    <w:rsid w:val="003A78B3"/>
    <w:rsid w:val="003A78D0"/>
    <w:rsid w:val="003A792D"/>
    <w:rsid w:val="003A79E9"/>
    <w:rsid w:val="003A7A34"/>
    <w:rsid w:val="003A7A65"/>
    <w:rsid w:val="003A7A8D"/>
    <w:rsid w:val="003A7C83"/>
    <w:rsid w:val="003A7CFE"/>
    <w:rsid w:val="003A7DD5"/>
    <w:rsid w:val="003A7DE5"/>
    <w:rsid w:val="003A7F0A"/>
    <w:rsid w:val="003A7FAE"/>
    <w:rsid w:val="003B00C4"/>
    <w:rsid w:val="003B013A"/>
    <w:rsid w:val="003B027C"/>
    <w:rsid w:val="003B02C4"/>
    <w:rsid w:val="003B037F"/>
    <w:rsid w:val="003B0399"/>
    <w:rsid w:val="003B03E6"/>
    <w:rsid w:val="003B041F"/>
    <w:rsid w:val="003B043C"/>
    <w:rsid w:val="003B0456"/>
    <w:rsid w:val="003B04D2"/>
    <w:rsid w:val="003B04D3"/>
    <w:rsid w:val="003B04F5"/>
    <w:rsid w:val="003B0650"/>
    <w:rsid w:val="003B0752"/>
    <w:rsid w:val="003B07A3"/>
    <w:rsid w:val="003B086B"/>
    <w:rsid w:val="003B099D"/>
    <w:rsid w:val="003B0A5D"/>
    <w:rsid w:val="003B0C30"/>
    <w:rsid w:val="003B0CB5"/>
    <w:rsid w:val="003B0D8C"/>
    <w:rsid w:val="003B0DC2"/>
    <w:rsid w:val="003B0E2D"/>
    <w:rsid w:val="003B0EDE"/>
    <w:rsid w:val="003B0FAD"/>
    <w:rsid w:val="003B0FCD"/>
    <w:rsid w:val="003B107F"/>
    <w:rsid w:val="003B10EF"/>
    <w:rsid w:val="003B112F"/>
    <w:rsid w:val="003B116B"/>
    <w:rsid w:val="003B1260"/>
    <w:rsid w:val="003B1395"/>
    <w:rsid w:val="003B145C"/>
    <w:rsid w:val="003B148F"/>
    <w:rsid w:val="003B1638"/>
    <w:rsid w:val="003B1678"/>
    <w:rsid w:val="003B16A8"/>
    <w:rsid w:val="003B16B9"/>
    <w:rsid w:val="003B1700"/>
    <w:rsid w:val="003B197E"/>
    <w:rsid w:val="003B1992"/>
    <w:rsid w:val="003B1B6C"/>
    <w:rsid w:val="003B1B97"/>
    <w:rsid w:val="003B1C5B"/>
    <w:rsid w:val="003B1C75"/>
    <w:rsid w:val="003B1CA6"/>
    <w:rsid w:val="003B1D66"/>
    <w:rsid w:val="003B1DCF"/>
    <w:rsid w:val="003B1E66"/>
    <w:rsid w:val="003B1F13"/>
    <w:rsid w:val="003B1F82"/>
    <w:rsid w:val="003B1FCA"/>
    <w:rsid w:val="003B1FEE"/>
    <w:rsid w:val="003B21A8"/>
    <w:rsid w:val="003B21BC"/>
    <w:rsid w:val="003B221C"/>
    <w:rsid w:val="003B2278"/>
    <w:rsid w:val="003B22C2"/>
    <w:rsid w:val="003B22CE"/>
    <w:rsid w:val="003B22F3"/>
    <w:rsid w:val="003B235E"/>
    <w:rsid w:val="003B24ED"/>
    <w:rsid w:val="003B252E"/>
    <w:rsid w:val="003B25FF"/>
    <w:rsid w:val="003B263E"/>
    <w:rsid w:val="003B26D7"/>
    <w:rsid w:val="003B2788"/>
    <w:rsid w:val="003B2833"/>
    <w:rsid w:val="003B2947"/>
    <w:rsid w:val="003B2B82"/>
    <w:rsid w:val="003B2C9A"/>
    <w:rsid w:val="003B2CAB"/>
    <w:rsid w:val="003B2D10"/>
    <w:rsid w:val="003B2D91"/>
    <w:rsid w:val="003B2F14"/>
    <w:rsid w:val="003B2F2B"/>
    <w:rsid w:val="003B2FDF"/>
    <w:rsid w:val="003B2FF8"/>
    <w:rsid w:val="003B30A5"/>
    <w:rsid w:val="003B30EC"/>
    <w:rsid w:val="003B3173"/>
    <w:rsid w:val="003B318A"/>
    <w:rsid w:val="003B323A"/>
    <w:rsid w:val="003B32F1"/>
    <w:rsid w:val="003B3502"/>
    <w:rsid w:val="003B3543"/>
    <w:rsid w:val="003B35FF"/>
    <w:rsid w:val="003B366D"/>
    <w:rsid w:val="003B3670"/>
    <w:rsid w:val="003B37D2"/>
    <w:rsid w:val="003B3828"/>
    <w:rsid w:val="003B3841"/>
    <w:rsid w:val="003B3876"/>
    <w:rsid w:val="003B38B3"/>
    <w:rsid w:val="003B38F6"/>
    <w:rsid w:val="003B3924"/>
    <w:rsid w:val="003B392A"/>
    <w:rsid w:val="003B399B"/>
    <w:rsid w:val="003B3B59"/>
    <w:rsid w:val="003B3B6A"/>
    <w:rsid w:val="003B3CBD"/>
    <w:rsid w:val="003B3CFA"/>
    <w:rsid w:val="003B3D65"/>
    <w:rsid w:val="003B3E1A"/>
    <w:rsid w:val="003B3E4B"/>
    <w:rsid w:val="003B3F2E"/>
    <w:rsid w:val="003B400E"/>
    <w:rsid w:val="003B401F"/>
    <w:rsid w:val="003B40B1"/>
    <w:rsid w:val="003B4116"/>
    <w:rsid w:val="003B41B4"/>
    <w:rsid w:val="003B421D"/>
    <w:rsid w:val="003B4303"/>
    <w:rsid w:val="003B430D"/>
    <w:rsid w:val="003B43D6"/>
    <w:rsid w:val="003B43F7"/>
    <w:rsid w:val="003B4460"/>
    <w:rsid w:val="003B4482"/>
    <w:rsid w:val="003B4488"/>
    <w:rsid w:val="003B455F"/>
    <w:rsid w:val="003B45AA"/>
    <w:rsid w:val="003B47F4"/>
    <w:rsid w:val="003B4809"/>
    <w:rsid w:val="003B4994"/>
    <w:rsid w:val="003B49FC"/>
    <w:rsid w:val="003B4A09"/>
    <w:rsid w:val="003B4A19"/>
    <w:rsid w:val="003B4AC9"/>
    <w:rsid w:val="003B4B3A"/>
    <w:rsid w:val="003B4C2F"/>
    <w:rsid w:val="003B4CB6"/>
    <w:rsid w:val="003B4CE3"/>
    <w:rsid w:val="003B4D25"/>
    <w:rsid w:val="003B4DA5"/>
    <w:rsid w:val="003B4DE1"/>
    <w:rsid w:val="003B4E2D"/>
    <w:rsid w:val="003B4F5B"/>
    <w:rsid w:val="003B4F5E"/>
    <w:rsid w:val="003B4FD6"/>
    <w:rsid w:val="003B5102"/>
    <w:rsid w:val="003B5129"/>
    <w:rsid w:val="003B513A"/>
    <w:rsid w:val="003B5195"/>
    <w:rsid w:val="003B5368"/>
    <w:rsid w:val="003B53B0"/>
    <w:rsid w:val="003B53DB"/>
    <w:rsid w:val="003B53F1"/>
    <w:rsid w:val="003B544B"/>
    <w:rsid w:val="003B5495"/>
    <w:rsid w:val="003B5532"/>
    <w:rsid w:val="003B55CE"/>
    <w:rsid w:val="003B5607"/>
    <w:rsid w:val="003B561F"/>
    <w:rsid w:val="003B573D"/>
    <w:rsid w:val="003B5772"/>
    <w:rsid w:val="003B5848"/>
    <w:rsid w:val="003B5881"/>
    <w:rsid w:val="003B58DB"/>
    <w:rsid w:val="003B5935"/>
    <w:rsid w:val="003B598A"/>
    <w:rsid w:val="003B59B8"/>
    <w:rsid w:val="003B59D9"/>
    <w:rsid w:val="003B5A84"/>
    <w:rsid w:val="003B5AD1"/>
    <w:rsid w:val="003B5B01"/>
    <w:rsid w:val="003B5B7B"/>
    <w:rsid w:val="003B5B9B"/>
    <w:rsid w:val="003B5BD8"/>
    <w:rsid w:val="003B5CF0"/>
    <w:rsid w:val="003B5D7D"/>
    <w:rsid w:val="003B6022"/>
    <w:rsid w:val="003B605C"/>
    <w:rsid w:val="003B6080"/>
    <w:rsid w:val="003B6087"/>
    <w:rsid w:val="003B6097"/>
    <w:rsid w:val="003B60D3"/>
    <w:rsid w:val="003B614B"/>
    <w:rsid w:val="003B6259"/>
    <w:rsid w:val="003B631E"/>
    <w:rsid w:val="003B6342"/>
    <w:rsid w:val="003B638E"/>
    <w:rsid w:val="003B6407"/>
    <w:rsid w:val="003B6416"/>
    <w:rsid w:val="003B64DB"/>
    <w:rsid w:val="003B6543"/>
    <w:rsid w:val="003B65F6"/>
    <w:rsid w:val="003B6641"/>
    <w:rsid w:val="003B66E1"/>
    <w:rsid w:val="003B66FA"/>
    <w:rsid w:val="003B675B"/>
    <w:rsid w:val="003B679A"/>
    <w:rsid w:val="003B682A"/>
    <w:rsid w:val="003B688A"/>
    <w:rsid w:val="003B68D8"/>
    <w:rsid w:val="003B6AFD"/>
    <w:rsid w:val="003B6B40"/>
    <w:rsid w:val="003B6B9E"/>
    <w:rsid w:val="003B6BBD"/>
    <w:rsid w:val="003B6BC4"/>
    <w:rsid w:val="003B6E53"/>
    <w:rsid w:val="003B6E77"/>
    <w:rsid w:val="003B6F23"/>
    <w:rsid w:val="003B6F31"/>
    <w:rsid w:val="003B6F78"/>
    <w:rsid w:val="003B7001"/>
    <w:rsid w:val="003B7175"/>
    <w:rsid w:val="003B7179"/>
    <w:rsid w:val="003B720D"/>
    <w:rsid w:val="003B7225"/>
    <w:rsid w:val="003B7250"/>
    <w:rsid w:val="003B7251"/>
    <w:rsid w:val="003B72EC"/>
    <w:rsid w:val="003B739A"/>
    <w:rsid w:val="003B7444"/>
    <w:rsid w:val="003B7473"/>
    <w:rsid w:val="003B7677"/>
    <w:rsid w:val="003B7797"/>
    <w:rsid w:val="003B77B3"/>
    <w:rsid w:val="003B7859"/>
    <w:rsid w:val="003B78BF"/>
    <w:rsid w:val="003B793D"/>
    <w:rsid w:val="003B7ACD"/>
    <w:rsid w:val="003B7AEB"/>
    <w:rsid w:val="003B7B4D"/>
    <w:rsid w:val="003B7B6E"/>
    <w:rsid w:val="003B7BC0"/>
    <w:rsid w:val="003B7D3A"/>
    <w:rsid w:val="003B7D53"/>
    <w:rsid w:val="003B7D75"/>
    <w:rsid w:val="003B7D9C"/>
    <w:rsid w:val="003B7DB1"/>
    <w:rsid w:val="003B7E88"/>
    <w:rsid w:val="003B7EB7"/>
    <w:rsid w:val="003B7EFF"/>
    <w:rsid w:val="003B7F5A"/>
    <w:rsid w:val="003B7F75"/>
    <w:rsid w:val="003B7FCE"/>
    <w:rsid w:val="003C0248"/>
    <w:rsid w:val="003C027B"/>
    <w:rsid w:val="003C02F7"/>
    <w:rsid w:val="003C0480"/>
    <w:rsid w:val="003C04DA"/>
    <w:rsid w:val="003C051C"/>
    <w:rsid w:val="003C0574"/>
    <w:rsid w:val="003C0606"/>
    <w:rsid w:val="003C06F3"/>
    <w:rsid w:val="003C0708"/>
    <w:rsid w:val="003C0972"/>
    <w:rsid w:val="003C0984"/>
    <w:rsid w:val="003C09B3"/>
    <w:rsid w:val="003C0B2E"/>
    <w:rsid w:val="003C0B3D"/>
    <w:rsid w:val="003C0B75"/>
    <w:rsid w:val="003C0BDF"/>
    <w:rsid w:val="003C0BF5"/>
    <w:rsid w:val="003C0F37"/>
    <w:rsid w:val="003C0FDF"/>
    <w:rsid w:val="003C1033"/>
    <w:rsid w:val="003C1106"/>
    <w:rsid w:val="003C112D"/>
    <w:rsid w:val="003C12B9"/>
    <w:rsid w:val="003C1372"/>
    <w:rsid w:val="003C13B9"/>
    <w:rsid w:val="003C13C0"/>
    <w:rsid w:val="003C145D"/>
    <w:rsid w:val="003C14C1"/>
    <w:rsid w:val="003C14E5"/>
    <w:rsid w:val="003C17A7"/>
    <w:rsid w:val="003C1846"/>
    <w:rsid w:val="003C1860"/>
    <w:rsid w:val="003C1863"/>
    <w:rsid w:val="003C1977"/>
    <w:rsid w:val="003C19E0"/>
    <w:rsid w:val="003C1AF8"/>
    <w:rsid w:val="003C1B2A"/>
    <w:rsid w:val="003C1C72"/>
    <w:rsid w:val="003C1CA4"/>
    <w:rsid w:val="003C1D1D"/>
    <w:rsid w:val="003C1DA3"/>
    <w:rsid w:val="003C1DA7"/>
    <w:rsid w:val="003C1E7F"/>
    <w:rsid w:val="003C1E92"/>
    <w:rsid w:val="003C2049"/>
    <w:rsid w:val="003C2066"/>
    <w:rsid w:val="003C20D3"/>
    <w:rsid w:val="003C20EA"/>
    <w:rsid w:val="003C20EF"/>
    <w:rsid w:val="003C2156"/>
    <w:rsid w:val="003C21AB"/>
    <w:rsid w:val="003C21D8"/>
    <w:rsid w:val="003C2441"/>
    <w:rsid w:val="003C2471"/>
    <w:rsid w:val="003C24DA"/>
    <w:rsid w:val="003C253C"/>
    <w:rsid w:val="003C26A6"/>
    <w:rsid w:val="003C26D2"/>
    <w:rsid w:val="003C2722"/>
    <w:rsid w:val="003C272A"/>
    <w:rsid w:val="003C2828"/>
    <w:rsid w:val="003C2898"/>
    <w:rsid w:val="003C28C8"/>
    <w:rsid w:val="003C28F7"/>
    <w:rsid w:val="003C293E"/>
    <w:rsid w:val="003C2B65"/>
    <w:rsid w:val="003C2B8F"/>
    <w:rsid w:val="003C2BAB"/>
    <w:rsid w:val="003C2BF4"/>
    <w:rsid w:val="003C2C1F"/>
    <w:rsid w:val="003C2D25"/>
    <w:rsid w:val="003C2D32"/>
    <w:rsid w:val="003C2EE5"/>
    <w:rsid w:val="003C2F6A"/>
    <w:rsid w:val="003C3005"/>
    <w:rsid w:val="003C30FB"/>
    <w:rsid w:val="003C3109"/>
    <w:rsid w:val="003C313C"/>
    <w:rsid w:val="003C31E5"/>
    <w:rsid w:val="003C3339"/>
    <w:rsid w:val="003C3340"/>
    <w:rsid w:val="003C338B"/>
    <w:rsid w:val="003C3400"/>
    <w:rsid w:val="003C3410"/>
    <w:rsid w:val="003C3414"/>
    <w:rsid w:val="003C3423"/>
    <w:rsid w:val="003C342F"/>
    <w:rsid w:val="003C3437"/>
    <w:rsid w:val="003C34C6"/>
    <w:rsid w:val="003C3509"/>
    <w:rsid w:val="003C368D"/>
    <w:rsid w:val="003C377D"/>
    <w:rsid w:val="003C3808"/>
    <w:rsid w:val="003C38AE"/>
    <w:rsid w:val="003C38E8"/>
    <w:rsid w:val="003C3907"/>
    <w:rsid w:val="003C39BA"/>
    <w:rsid w:val="003C39D3"/>
    <w:rsid w:val="003C39DC"/>
    <w:rsid w:val="003C3A0D"/>
    <w:rsid w:val="003C3BED"/>
    <w:rsid w:val="003C3C20"/>
    <w:rsid w:val="003C3C9B"/>
    <w:rsid w:val="003C3CA2"/>
    <w:rsid w:val="003C3CD3"/>
    <w:rsid w:val="003C3D96"/>
    <w:rsid w:val="003C3DD5"/>
    <w:rsid w:val="003C3E24"/>
    <w:rsid w:val="003C3E30"/>
    <w:rsid w:val="003C3E95"/>
    <w:rsid w:val="003C3F61"/>
    <w:rsid w:val="003C3F78"/>
    <w:rsid w:val="003C4021"/>
    <w:rsid w:val="003C4028"/>
    <w:rsid w:val="003C4098"/>
    <w:rsid w:val="003C4355"/>
    <w:rsid w:val="003C438F"/>
    <w:rsid w:val="003C4399"/>
    <w:rsid w:val="003C43E5"/>
    <w:rsid w:val="003C44B4"/>
    <w:rsid w:val="003C4566"/>
    <w:rsid w:val="003C4591"/>
    <w:rsid w:val="003C4621"/>
    <w:rsid w:val="003C478D"/>
    <w:rsid w:val="003C4806"/>
    <w:rsid w:val="003C4813"/>
    <w:rsid w:val="003C4838"/>
    <w:rsid w:val="003C48C5"/>
    <w:rsid w:val="003C48E7"/>
    <w:rsid w:val="003C496D"/>
    <w:rsid w:val="003C49AD"/>
    <w:rsid w:val="003C4A12"/>
    <w:rsid w:val="003C4AD1"/>
    <w:rsid w:val="003C4B3E"/>
    <w:rsid w:val="003C4BE3"/>
    <w:rsid w:val="003C4C3F"/>
    <w:rsid w:val="003C4D8A"/>
    <w:rsid w:val="003C4ED2"/>
    <w:rsid w:val="003C4F0A"/>
    <w:rsid w:val="003C4F3C"/>
    <w:rsid w:val="003C5072"/>
    <w:rsid w:val="003C5080"/>
    <w:rsid w:val="003C5115"/>
    <w:rsid w:val="003C512E"/>
    <w:rsid w:val="003C5149"/>
    <w:rsid w:val="003C5219"/>
    <w:rsid w:val="003C5310"/>
    <w:rsid w:val="003C536B"/>
    <w:rsid w:val="003C5391"/>
    <w:rsid w:val="003C53D0"/>
    <w:rsid w:val="003C552A"/>
    <w:rsid w:val="003C55C6"/>
    <w:rsid w:val="003C55D0"/>
    <w:rsid w:val="003C55EF"/>
    <w:rsid w:val="003C5621"/>
    <w:rsid w:val="003C5675"/>
    <w:rsid w:val="003C56DF"/>
    <w:rsid w:val="003C578E"/>
    <w:rsid w:val="003C584F"/>
    <w:rsid w:val="003C5925"/>
    <w:rsid w:val="003C594B"/>
    <w:rsid w:val="003C5AFB"/>
    <w:rsid w:val="003C5D01"/>
    <w:rsid w:val="003C5D66"/>
    <w:rsid w:val="003C5DDD"/>
    <w:rsid w:val="003C5DED"/>
    <w:rsid w:val="003C5E3D"/>
    <w:rsid w:val="003C5E45"/>
    <w:rsid w:val="003C5EA8"/>
    <w:rsid w:val="003C60A6"/>
    <w:rsid w:val="003C60C5"/>
    <w:rsid w:val="003C60DB"/>
    <w:rsid w:val="003C6107"/>
    <w:rsid w:val="003C6122"/>
    <w:rsid w:val="003C619F"/>
    <w:rsid w:val="003C61F2"/>
    <w:rsid w:val="003C6245"/>
    <w:rsid w:val="003C6296"/>
    <w:rsid w:val="003C6333"/>
    <w:rsid w:val="003C6374"/>
    <w:rsid w:val="003C63B2"/>
    <w:rsid w:val="003C64C1"/>
    <w:rsid w:val="003C6506"/>
    <w:rsid w:val="003C652D"/>
    <w:rsid w:val="003C65E4"/>
    <w:rsid w:val="003C65F4"/>
    <w:rsid w:val="003C6754"/>
    <w:rsid w:val="003C6825"/>
    <w:rsid w:val="003C682F"/>
    <w:rsid w:val="003C6889"/>
    <w:rsid w:val="003C6910"/>
    <w:rsid w:val="003C6938"/>
    <w:rsid w:val="003C69CC"/>
    <w:rsid w:val="003C6A21"/>
    <w:rsid w:val="003C6AF8"/>
    <w:rsid w:val="003C6BC2"/>
    <w:rsid w:val="003C6C08"/>
    <w:rsid w:val="003C6E0B"/>
    <w:rsid w:val="003C6E80"/>
    <w:rsid w:val="003C6E9A"/>
    <w:rsid w:val="003C6FA2"/>
    <w:rsid w:val="003C6FBE"/>
    <w:rsid w:val="003C711B"/>
    <w:rsid w:val="003C713B"/>
    <w:rsid w:val="003C7172"/>
    <w:rsid w:val="003C7232"/>
    <w:rsid w:val="003C7268"/>
    <w:rsid w:val="003C7426"/>
    <w:rsid w:val="003C74AC"/>
    <w:rsid w:val="003C74D2"/>
    <w:rsid w:val="003C75BD"/>
    <w:rsid w:val="003C7619"/>
    <w:rsid w:val="003C7625"/>
    <w:rsid w:val="003C779C"/>
    <w:rsid w:val="003C77CD"/>
    <w:rsid w:val="003C77D8"/>
    <w:rsid w:val="003C77F6"/>
    <w:rsid w:val="003C7860"/>
    <w:rsid w:val="003C7875"/>
    <w:rsid w:val="003C78B1"/>
    <w:rsid w:val="003C78B7"/>
    <w:rsid w:val="003C7A30"/>
    <w:rsid w:val="003C7A61"/>
    <w:rsid w:val="003C7CBC"/>
    <w:rsid w:val="003C7CE1"/>
    <w:rsid w:val="003C7D17"/>
    <w:rsid w:val="003C7D20"/>
    <w:rsid w:val="003C7D95"/>
    <w:rsid w:val="003C7DDD"/>
    <w:rsid w:val="003C7DE4"/>
    <w:rsid w:val="003C7DF4"/>
    <w:rsid w:val="003C7E1E"/>
    <w:rsid w:val="003C7E74"/>
    <w:rsid w:val="003C7F7F"/>
    <w:rsid w:val="003C7FAF"/>
    <w:rsid w:val="003D000F"/>
    <w:rsid w:val="003D0053"/>
    <w:rsid w:val="003D008C"/>
    <w:rsid w:val="003D015D"/>
    <w:rsid w:val="003D017F"/>
    <w:rsid w:val="003D01C6"/>
    <w:rsid w:val="003D01D1"/>
    <w:rsid w:val="003D0259"/>
    <w:rsid w:val="003D0317"/>
    <w:rsid w:val="003D036E"/>
    <w:rsid w:val="003D037E"/>
    <w:rsid w:val="003D044B"/>
    <w:rsid w:val="003D058A"/>
    <w:rsid w:val="003D05B0"/>
    <w:rsid w:val="003D05E4"/>
    <w:rsid w:val="003D06A1"/>
    <w:rsid w:val="003D0795"/>
    <w:rsid w:val="003D0832"/>
    <w:rsid w:val="003D088A"/>
    <w:rsid w:val="003D0985"/>
    <w:rsid w:val="003D09AF"/>
    <w:rsid w:val="003D09D8"/>
    <w:rsid w:val="003D0A9C"/>
    <w:rsid w:val="003D0B3B"/>
    <w:rsid w:val="003D0CFE"/>
    <w:rsid w:val="003D0D1F"/>
    <w:rsid w:val="003D0D5D"/>
    <w:rsid w:val="003D0DE7"/>
    <w:rsid w:val="003D0E8D"/>
    <w:rsid w:val="003D0ED1"/>
    <w:rsid w:val="003D0FD5"/>
    <w:rsid w:val="003D0FE5"/>
    <w:rsid w:val="003D1019"/>
    <w:rsid w:val="003D1055"/>
    <w:rsid w:val="003D105A"/>
    <w:rsid w:val="003D1081"/>
    <w:rsid w:val="003D10A3"/>
    <w:rsid w:val="003D1112"/>
    <w:rsid w:val="003D1192"/>
    <w:rsid w:val="003D11E0"/>
    <w:rsid w:val="003D11FF"/>
    <w:rsid w:val="003D135C"/>
    <w:rsid w:val="003D138C"/>
    <w:rsid w:val="003D13A4"/>
    <w:rsid w:val="003D15A0"/>
    <w:rsid w:val="003D1646"/>
    <w:rsid w:val="003D16FE"/>
    <w:rsid w:val="003D1778"/>
    <w:rsid w:val="003D17EA"/>
    <w:rsid w:val="003D1891"/>
    <w:rsid w:val="003D1947"/>
    <w:rsid w:val="003D1973"/>
    <w:rsid w:val="003D19FB"/>
    <w:rsid w:val="003D1A63"/>
    <w:rsid w:val="003D1A6A"/>
    <w:rsid w:val="003D1C5B"/>
    <w:rsid w:val="003D1CCF"/>
    <w:rsid w:val="003D1CF1"/>
    <w:rsid w:val="003D1D29"/>
    <w:rsid w:val="003D1D3C"/>
    <w:rsid w:val="003D1D4E"/>
    <w:rsid w:val="003D1D8B"/>
    <w:rsid w:val="003D1DF4"/>
    <w:rsid w:val="003D1E84"/>
    <w:rsid w:val="003D1EB8"/>
    <w:rsid w:val="003D1FB4"/>
    <w:rsid w:val="003D1FF5"/>
    <w:rsid w:val="003D2083"/>
    <w:rsid w:val="003D20A1"/>
    <w:rsid w:val="003D20AE"/>
    <w:rsid w:val="003D20C8"/>
    <w:rsid w:val="003D2110"/>
    <w:rsid w:val="003D216A"/>
    <w:rsid w:val="003D2189"/>
    <w:rsid w:val="003D218D"/>
    <w:rsid w:val="003D2280"/>
    <w:rsid w:val="003D22DE"/>
    <w:rsid w:val="003D2329"/>
    <w:rsid w:val="003D2421"/>
    <w:rsid w:val="003D24DB"/>
    <w:rsid w:val="003D24DE"/>
    <w:rsid w:val="003D26BA"/>
    <w:rsid w:val="003D287C"/>
    <w:rsid w:val="003D28BF"/>
    <w:rsid w:val="003D2A6E"/>
    <w:rsid w:val="003D2A7F"/>
    <w:rsid w:val="003D2B39"/>
    <w:rsid w:val="003D2BD6"/>
    <w:rsid w:val="003D2C63"/>
    <w:rsid w:val="003D2D2B"/>
    <w:rsid w:val="003D2DBD"/>
    <w:rsid w:val="003D2E16"/>
    <w:rsid w:val="003D2E9C"/>
    <w:rsid w:val="003D2F7A"/>
    <w:rsid w:val="003D2FC7"/>
    <w:rsid w:val="003D3039"/>
    <w:rsid w:val="003D315A"/>
    <w:rsid w:val="003D3181"/>
    <w:rsid w:val="003D31CE"/>
    <w:rsid w:val="003D31D6"/>
    <w:rsid w:val="003D324A"/>
    <w:rsid w:val="003D3250"/>
    <w:rsid w:val="003D331F"/>
    <w:rsid w:val="003D334B"/>
    <w:rsid w:val="003D3375"/>
    <w:rsid w:val="003D338D"/>
    <w:rsid w:val="003D3409"/>
    <w:rsid w:val="003D349D"/>
    <w:rsid w:val="003D35F9"/>
    <w:rsid w:val="003D3641"/>
    <w:rsid w:val="003D3673"/>
    <w:rsid w:val="003D36F5"/>
    <w:rsid w:val="003D378F"/>
    <w:rsid w:val="003D3833"/>
    <w:rsid w:val="003D38BD"/>
    <w:rsid w:val="003D38D9"/>
    <w:rsid w:val="003D3917"/>
    <w:rsid w:val="003D3960"/>
    <w:rsid w:val="003D39B6"/>
    <w:rsid w:val="003D3AE6"/>
    <w:rsid w:val="003D3EAC"/>
    <w:rsid w:val="003D3F5B"/>
    <w:rsid w:val="003D4053"/>
    <w:rsid w:val="003D417D"/>
    <w:rsid w:val="003D41D9"/>
    <w:rsid w:val="003D432C"/>
    <w:rsid w:val="003D4345"/>
    <w:rsid w:val="003D43D1"/>
    <w:rsid w:val="003D4433"/>
    <w:rsid w:val="003D445A"/>
    <w:rsid w:val="003D4461"/>
    <w:rsid w:val="003D4470"/>
    <w:rsid w:val="003D448C"/>
    <w:rsid w:val="003D44CB"/>
    <w:rsid w:val="003D4629"/>
    <w:rsid w:val="003D4659"/>
    <w:rsid w:val="003D46F4"/>
    <w:rsid w:val="003D482E"/>
    <w:rsid w:val="003D483D"/>
    <w:rsid w:val="003D4892"/>
    <w:rsid w:val="003D4923"/>
    <w:rsid w:val="003D4959"/>
    <w:rsid w:val="003D49F5"/>
    <w:rsid w:val="003D4BA7"/>
    <w:rsid w:val="003D4BAE"/>
    <w:rsid w:val="003D4C9C"/>
    <w:rsid w:val="003D4C9F"/>
    <w:rsid w:val="003D4D15"/>
    <w:rsid w:val="003D4D56"/>
    <w:rsid w:val="003D4E8B"/>
    <w:rsid w:val="003D4E9E"/>
    <w:rsid w:val="003D4EFB"/>
    <w:rsid w:val="003D4F6D"/>
    <w:rsid w:val="003D4F7A"/>
    <w:rsid w:val="003D4F7C"/>
    <w:rsid w:val="003D50DF"/>
    <w:rsid w:val="003D5170"/>
    <w:rsid w:val="003D51E7"/>
    <w:rsid w:val="003D5257"/>
    <w:rsid w:val="003D532A"/>
    <w:rsid w:val="003D5355"/>
    <w:rsid w:val="003D5403"/>
    <w:rsid w:val="003D5430"/>
    <w:rsid w:val="003D5482"/>
    <w:rsid w:val="003D54F1"/>
    <w:rsid w:val="003D550F"/>
    <w:rsid w:val="003D551F"/>
    <w:rsid w:val="003D5613"/>
    <w:rsid w:val="003D561A"/>
    <w:rsid w:val="003D5698"/>
    <w:rsid w:val="003D56F6"/>
    <w:rsid w:val="003D57C9"/>
    <w:rsid w:val="003D57EB"/>
    <w:rsid w:val="003D5816"/>
    <w:rsid w:val="003D592C"/>
    <w:rsid w:val="003D5989"/>
    <w:rsid w:val="003D59B9"/>
    <w:rsid w:val="003D59F4"/>
    <w:rsid w:val="003D59FC"/>
    <w:rsid w:val="003D5B07"/>
    <w:rsid w:val="003D5B85"/>
    <w:rsid w:val="003D5BC6"/>
    <w:rsid w:val="003D5CB9"/>
    <w:rsid w:val="003D5CD6"/>
    <w:rsid w:val="003D5E6B"/>
    <w:rsid w:val="003D5E7A"/>
    <w:rsid w:val="003D5E7D"/>
    <w:rsid w:val="003D5EFF"/>
    <w:rsid w:val="003D5F2F"/>
    <w:rsid w:val="003D5F3C"/>
    <w:rsid w:val="003D6006"/>
    <w:rsid w:val="003D6025"/>
    <w:rsid w:val="003D610C"/>
    <w:rsid w:val="003D619B"/>
    <w:rsid w:val="003D61E4"/>
    <w:rsid w:val="003D6282"/>
    <w:rsid w:val="003D634A"/>
    <w:rsid w:val="003D6419"/>
    <w:rsid w:val="003D6495"/>
    <w:rsid w:val="003D6498"/>
    <w:rsid w:val="003D650A"/>
    <w:rsid w:val="003D6550"/>
    <w:rsid w:val="003D6561"/>
    <w:rsid w:val="003D6722"/>
    <w:rsid w:val="003D675D"/>
    <w:rsid w:val="003D67EA"/>
    <w:rsid w:val="003D68C8"/>
    <w:rsid w:val="003D6929"/>
    <w:rsid w:val="003D6A0D"/>
    <w:rsid w:val="003D6A28"/>
    <w:rsid w:val="003D6AA9"/>
    <w:rsid w:val="003D6BAE"/>
    <w:rsid w:val="003D6C86"/>
    <w:rsid w:val="003D6D15"/>
    <w:rsid w:val="003D6E08"/>
    <w:rsid w:val="003D6F22"/>
    <w:rsid w:val="003D6F26"/>
    <w:rsid w:val="003D6F9E"/>
    <w:rsid w:val="003D70A1"/>
    <w:rsid w:val="003D70D5"/>
    <w:rsid w:val="003D71CE"/>
    <w:rsid w:val="003D71E9"/>
    <w:rsid w:val="003D727C"/>
    <w:rsid w:val="003D7294"/>
    <w:rsid w:val="003D72F5"/>
    <w:rsid w:val="003D7318"/>
    <w:rsid w:val="003D7330"/>
    <w:rsid w:val="003D73CC"/>
    <w:rsid w:val="003D7409"/>
    <w:rsid w:val="003D7565"/>
    <w:rsid w:val="003D7585"/>
    <w:rsid w:val="003D75EE"/>
    <w:rsid w:val="003D7681"/>
    <w:rsid w:val="003D76AE"/>
    <w:rsid w:val="003D76E0"/>
    <w:rsid w:val="003D780D"/>
    <w:rsid w:val="003D78E3"/>
    <w:rsid w:val="003D7928"/>
    <w:rsid w:val="003D796F"/>
    <w:rsid w:val="003D7AA7"/>
    <w:rsid w:val="003D7B7F"/>
    <w:rsid w:val="003D7D04"/>
    <w:rsid w:val="003D7D06"/>
    <w:rsid w:val="003D7F63"/>
    <w:rsid w:val="003D7F8C"/>
    <w:rsid w:val="003D7F91"/>
    <w:rsid w:val="003D7FC3"/>
    <w:rsid w:val="003E00C1"/>
    <w:rsid w:val="003E00C3"/>
    <w:rsid w:val="003E013B"/>
    <w:rsid w:val="003E014C"/>
    <w:rsid w:val="003E01B6"/>
    <w:rsid w:val="003E020D"/>
    <w:rsid w:val="003E028F"/>
    <w:rsid w:val="003E029F"/>
    <w:rsid w:val="003E030D"/>
    <w:rsid w:val="003E0402"/>
    <w:rsid w:val="003E0494"/>
    <w:rsid w:val="003E04E7"/>
    <w:rsid w:val="003E0511"/>
    <w:rsid w:val="003E068D"/>
    <w:rsid w:val="003E0754"/>
    <w:rsid w:val="003E0822"/>
    <w:rsid w:val="003E0869"/>
    <w:rsid w:val="003E0900"/>
    <w:rsid w:val="003E0999"/>
    <w:rsid w:val="003E09AA"/>
    <w:rsid w:val="003E09D9"/>
    <w:rsid w:val="003E0AA8"/>
    <w:rsid w:val="003E0B6C"/>
    <w:rsid w:val="003E0BBB"/>
    <w:rsid w:val="003E0C09"/>
    <w:rsid w:val="003E0CAC"/>
    <w:rsid w:val="003E0D80"/>
    <w:rsid w:val="003E0DF4"/>
    <w:rsid w:val="003E0E3E"/>
    <w:rsid w:val="003E0E56"/>
    <w:rsid w:val="003E0EE7"/>
    <w:rsid w:val="003E0F5C"/>
    <w:rsid w:val="003E100E"/>
    <w:rsid w:val="003E10F9"/>
    <w:rsid w:val="003E1151"/>
    <w:rsid w:val="003E1187"/>
    <w:rsid w:val="003E11F8"/>
    <w:rsid w:val="003E12B7"/>
    <w:rsid w:val="003E1331"/>
    <w:rsid w:val="003E13D6"/>
    <w:rsid w:val="003E1427"/>
    <w:rsid w:val="003E1513"/>
    <w:rsid w:val="003E153B"/>
    <w:rsid w:val="003E1541"/>
    <w:rsid w:val="003E156F"/>
    <w:rsid w:val="003E158C"/>
    <w:rsid w:val="003E15A5"/>
    <w:rsid w:val="003E1614"/>
    <w:rsid w:val="003E16C7"/>
    <w:rsid w:val="003E1890"/>
    <w:rsid w:val="003E1AB2"/>
    <w:rsid w:val="003E1AE2"/>
    <w:rsid w:val="003E1B12"/>
    <w:rsid w:val="003E1BEA"/>
    <w:rsid w:val="003E1CBC"/>
    <w:rsid w:val="003E1CD3"/>
    <w:rsid w:val="003E1D62"/>
    <w:rsid w:val="003E1D7B"/>
    <w:rsid w:val="003E1DFA"/>
    <w:rsid w:val="003E1E6C"/>
    <w:rsid w:val="003E1F2D"/>
    <w:rsid w:val="003E1FDF"/>
    <w:rsid w:val="003E2044"/>
    <w:rsid w:val="003E2059"/>
    <w:rsid w:val="003E20F4"/>
    <w:rsid w:val="003E210F"/>
    <w:rsid w:val="003E211A"/>
    <w:rsid w:val="003E22C0"/>
    <w:rsid w:val="003E22D4"/>
    <w:rsid w:val="003E2307"/>
    <w:rsid w:val="003E2407"/>
    <w:rsid w:val="003E2457"/>
    <w:rsid w:val="003E254F"/>
    <w:rsid w:val="003E25A4"/>
    <w:rsid w:val="003E25B1"/>
    <w:rsid w:val="003E25D0"/>
    <w:rsid w:val="003E2615"/>
    <w:rsid w:val="003E266F"/>
    <w:rsid w:val="003E26CF"/>
    <w:rsid w:val="003E26F2"/>
    <w:rsid w:val="003E2702"/>
    <w:rsid w:val="003E27A0"/>
    <w:rsid w:val="003E27A7"/>
    <w:rsid w:val="003E27B3"/>
    <w:rsid w:val="003E27EA"/>
    <w:rsid w:val="003E2823"/>
    <w:rsid w:val="003E28FA"/>
    <w:rsid w:val="003E2A0B"/>
    <w:rsid w:val="003E2A2C"/>
    <w:rsid w:val="003E2A95"/>
    <w:rsid w:val="003E2B17"/>
    <w:rsid w:val="003E2C17"/>
    <w:rsid w:val="003E2C3B"/>
    <w:rsid w:val="003E2C7E"/>
    <w:rsid w:val="003E2CDE"/>
    <w:rsid w:val="003E2D0A"/>
    <w:rsid w:val="003E2E22"/>
    <w:rsid w:val="003E2EA3"/>
    <w:rsid w:val="003E2F1A"/>
    <w:rsid w:val="003E2FF8"/>
    <w:rsid w:val="003E311A"/>
    <w:rsid w:val="003E3301"/>
    <w:rsid w:val="003E3340"/>
    <w:rsid w:val="003E3497"/>
    <w:rsid w:val="003E34AF"/>
    <w:rsid w:val="003E34C3"/>
    <w:rsid w:val="003E35FC"/>
    <w:rsid w:val="003E3695"/>
    <w:rsid w:val="003E3739"/>
    <w:rsid w:val="003E3761"/>
    <w:rsid w:val="003E3772"/>
    <w:rsid w:val="003E37A4"/>
    <w:rsid w:val="003E382F"/>
    <w:rsid w:val="003E384B"/>
    <w:rsid w:val="003E3916"/>
    <w:rsid w:val="003E3977"/>
    <w:rsid w:val="003E39BC"/>
    <w:rsid w:val="003E39D3"/>
    <w:rsid w:val="003E39D8"/>
    <w:rsid w:val="003E39DD"/>
    <w:rsid w:val="003E3A7D"/>
    <w:rsid w:val="003E3A99"/>
    <w:rsid w:val="003E3AE6"/>
    <w:rsid w:val="003E3AF2"/>
    <w:rsid w:val="003E3B25"/>
    <w:rsid w:val="003E3B29"/>
    <w:rsid w:val="003E3B2E"/>
    <w:rsid w:val="003E3B93"/>
    <w:rsid w:val="003E3B9A"/>
    <w:rsid w:val="003E3C84"/>
    <w:rsid w:val="003E3C94"/>
    <w:rsid w:val="003E3CDB"/>
    <w:rsid w:val="003E3CDF"/>
    <w:rsid w:val="003E3DA4"/>
    <w:rsid w:val="003E3E8B"/>
    <w:rsid w:val="003E3F5A"/>
    <w:rsid w:val="003E3FE7"/>
    <w:rsid w:val="003E4044"/>
    <w:rsid w:val="003E40BB"/>
    <w:rsid w:val="003E418E"/>
    <w:rsid w:val="003E421C"/>
    <w:rsid w:val="003E4225"/>
    <w:rsid w:val="003E42B1"/>
    <w:rsid w:val="003E42BF"/>
    <w:rsid w:val="003E44A6"/>
    <w:rsid w:val="003E44B8"/>
    <w:rsid w:val="003E44D1"/>
    <w:rsid w:val="003E4520"/>
    <w:rsid w:val="003E452F"/>
    <w:rsid w:val="003E45A9"/>
    <w:rsid w:val="003E4659"/>
    <w:rsid w:val="003E4852"/>
    <w:rsid w:val="003E489E"/>
    <w:rsid w:val="003E48DF"/>
    <w:rsid w:val="003E4A3E"/>
    <w:rsid w:val="003E4A40"/>
    <w:rsid w:val="003E4A9C"/>
    <w:rsid w:val="003E4AE0"/>
    <w:rsid w:val="003E4C8F"/>
    <w:rsid w:val="003E4CF7"/>
    <w:rsid w:val="003E4D25"/>
    <w:rsid w:val="003E4D2B"/>
    <w:rsid w:val="003E4DC4"/>
    <w:rsid w:val="003E4DDB"/>
    <w:rsid w:val="003E4DF4"/>
    <w:rsid w:val="003E4E28"/>
    <w:rsid w:val="003E4EFE"/>
    <w:rsid w:val="003E4F0D"/>
    <w:rsid w:val="003E502F"/>
    <w:rsid w:val="003E511E"/>
    <w:rsid w:val="003E5220"/>
    <w:rsid w:val="003E52A1"/>
    <w:rsid w:val="003E5317"/>
    <w:rsid w:val="003E53A3"/>
    <w:rsid w:val="003E53F9"/>
    <w:rsid w:val="003E54F7"/>
    <w:rsid w:val="003E54F8"/>
    <w:rsid w:val="003E5567"/>
    <w:rsid w:val="003E56C7"/>
    <w:rsid w:val="003E56CE"/>
    <w:rsid w:val="003E57CD"/>
    <w:rsid w:val="003E58AC"/>
    <w:rsid w:val="003E58BC"/>
    <w:rsid w:val="003E59E0"/>
    <w:rsid w:val="003E5A70"/>
    <w:rsid w:val="003E5A83"/>
    <w:rsid w:val="003E5ACF"/>
    <w:rsid w:val="003E5AFB"/>
    <w:rsid w:val="003E5B2D"/>
    <w:rsid w:val="003E5B41"/>
    <w:rsid w:val="003E5D33"/>
    <w:rsid w:val="003E5D78"/>
    <w:rsid w:val="003E5D92"/>
    <w:rsid w:val="003E5E2E"/>
    <w:rsid w:val="003E5E5F"/>
    <w:rsid w:val="003E5E8B"/>
    <w:rsid w:val="003E5F18"/>
    <w:rsid w:val="003E5F34"/>
    <w:rsid w:val="003E5F45"/>
    <w:rsid w:val="003E601F"/>
    <w:rsid w:val="003E6027"/>
    <w:rsid w:val="003E60FB"/>
    <w:rsid w:val="003E616A"/>
    <w:rsid w:val="003E6185"/>
    <w:rsid w:val="003E6228"/>
    <w:rsid w:val="003E624A"/>
    <w:rsid w:val="003E62C3"/>
    <w:rsid w:val="003E6356"/>
    <w:rsid w:val="003E63F9"/>
    <w:rsid w:val="003E6457"/>
    <w:rsid w:val="003E6558"/>
    <w:rsid w:val="003E65EE"/>
    <w:rsid w:val="003E6642"/>
    <w:rsid w:val="003E6674"/>
    <w:rsid w:val="003E66C6"/>
    <w:rsid w:val="003E66E7"/>
    <w:rsid w:val="003E6763"/>
    <w:rsid w:val="003E67D6"/>
    <w:rsid w:val="003E67F5"/>
    <w:rsid w:val="003E681B"/>
    <w:rsid w:val="003E6824"/>
    <w:rsid w:val="003E6834"/>
    <w:rsid w:val="003E68B5"/>
    <w:rsid w:val="003E6915"/>
    <w:rsid w:val="003E6958"/>
    <w:rsid w:val="003E6998"/>
    <w:rsid w:val="003E69A2"/>
    <w:rsid w:val="003E6A62"/>
    <w:rsid w:val="003E6AB4"/>
    <w:rsid w:val="003E6AC5"/>
    <w:rsid w:val="003E6C6A"/>
    <w:rsid w:val="003E6D1A"/>
    <w:rsid w:val="003E6DA7"/>
    <w:rsid w:val="003E6E42"/>
    <w:rsid w:val="003E6E73"/>
    <w:rsid w:val="003E6E77"/>
    <w:rsid w:val="003E6F1A"/>
    <w:rsid w:val="003E6FB4"/>
    <w:rsid w:val="003E6FD3"/>
    <w:rsid w:val="003E705D"/>
    <w:rsid w:val="003E70EF"/>
    <w:rsid w:val="003E71B7"/>
    <w:rsid w:val="003E72EE"/>
    <w:rsid w:val="003E7301"/>
    <w:rsid w:val="003E737A"/>
    <w:rsid w:val="003E74AC"/>
    <w:rsid w:val="003E7519"/>
    <w:rsid w:val="003E7587"/>
    <w:rsid w:val="003E75B3"/>
    <w:rsid w:val="003E75F2"/>
    <w:rsid w:val="003E765D"/>
    <w:rsid w:val="003E767F"/>
    <w:rsid w:val="003E769A"/>
    <w:rsid w:val="003E771D"/>
    <w:rsid w:val="003E77B5"/>
    <w:rsid w:val="003E7869"/>
    <w:rsid w:val="003E79D3"/>
    <w:rsid w:val="003E79F4"/>
    <w:rsid w:val="003E7A7D"/>
    <w:rsid w:val="003E7B04"/>
    <w:rsid w:val="003E7B06"/>
    <w:rsid w:val="003E7C3F"/>
    <w:rsid w:val="003E7C72"/>
    <w:rsid w:val="003E7EB1"/>
    <w:rsid w:val="003E7FD1"/>
    <w:rsid w:val="003E7FE4"/>
    <w:rsid w:val="003F009B"/>
    <w:rsid w:val="003F018D"/>
    <w:rsid w:val="003F01D4"/>
    <w:rsid w:val="003F020D"/>
    <w:rsid w:val="003F02A2"/>
    <w:rsid w:val="003F0489"/>
    <w:rsid w:val="003F0526"/>
    <w:rsid w:val="003F052F"/>
    <w:rsid w:val="003F057B"/>
    <w:rsid w:val="003F05E9"/>
    <w:rsid w:val="003F0630"/>
    <w:rsid w:val="003F0640"/>
    <w:rsid w:val="003F0661"/>
    <w:rsid w:val="003F068E"/>
    <w:rsid w:val="003F0697"/>
    <w:rsid w:val="003F06B4"/>
    <w:rsid w:val="003F0788"/>
    <w:rsid w:val="003F07DF"/>
    <w:rsid w:val="003F085F"/>
    <w:rsid w:val="003F08F2"/>
    <w:rsid w:val="003F0913"/>
    <w:rsid w:val="003F09FE"/>
    <w:rsid w:val="003F0A07"/>
    <w:rsid w:val="003F0BC1"/>
    <w:rsid w:val="003F0C10"/>
    <w:rsid w:val="003F0C2D"/>
    <w:rsid w:val="003F0CCA"/>
    <w:rsid w:val="003F0D21"/>
    <w:rsid w:val="003F0D55"/>
    <w:rsid w:val="003F0DCC"/>
    <w:rsid w:val="003F0EB8"/>
    <w:rsid w:val="003F0EC0"/>
    <w:rsid w:val="003F0EF6"/>
    <w:rsid w:val="003F101B"/>
    <w:rsid w:val="003F1268"/>
    <w:rsid w:val="003F143A"/>
    <w:rsid w:val="003F14C4"/>
    <w:rsid w:val="003F14C5"/>
    <w:rsid w:val="003F1506"/>
    <w:rsid w:val="003F1529"/>
    <w:rsid w:val="003F155E"/>
    <w:rsid w:val="003F1632"/>
    <w:rsid w:val="003F16C0"/>
    <w:rsid w:val="003F1864"/>
    <w:rsid w:val="003F1984"/>
    <w:rsid w:val="003F19E1"/>
    <w:rsid w:val="003F19EB"/>
    <w:rsid w:val="003F1A69"/>
    <w:rsid w:val="003F1A94"/>
    <w:rsid w:val="003F1B56"/>
    <w:rsid w:val="003F1B9B"/>
    <w:rsid w:val="003F1BCB"/>
    <w:rsid w:val="003F1BD4"/>
    <w:rsid w:val="003F1C4B"/>
    <w:rsid w:val="003F1DD8"/>
    <w:rsid w:val="003F1DFA"/>
    <w:rsid w:val="003F1E04"/>
    <w:rsid w:val="003F1EA7"/>
    <w:rsid w:val="003F1F96"/>
    <w:rsid w:val="003F1F9E"/>
    <w:rsid w:val="003F1FEB"/>
    <w:rsid w:val="003F209C"/>
    <w:rsid w:val="003F20A3"/>
    <w:rsid w:val="003F20C1"/>
    <w:rsid w:val="003F20DB"/>
    <w:rsid w:val="003F21CD"/>
    <w:rsid w:val="003F2324"/>
    <w:rsid w:val="003F23A3"/>
    <w:rsid w:val="003F2423"/>
    <w:rsid w:val="003F24DA"/>
    <w:rsid w:val="003F24F3"/>
    <w:rsid w:val="003F2575"/>
    <w:rsid w:val="003F262F"/>
    <w:rsid w:val="003F2670"/>
    <w:rsid w:val="003F26BB"/>
    <w:rsid w:val="003F26DE"/>
    <w:rsid w:val="003F284E"/>
    <w:rsid w:val="003F2991"/>
    <w:rsid w:val="003F2A3A"/>
    <w:rsid w:val="003F2B1F"/>
    <w:rsid w:val="003F2BEE"/>
    <w:rsid w:val="003F2C1D"/>
    <w:rsid w:val="003F2C93"/>
    <w:rsid w:val="003F2DAD"/>
    <w:rsid w:val="003F2E3C"/>
    <w:rsid w:val="003F2F39"/>
    <w:rsid w:val="003F312D"/>
    <w:rsid w:val="003F31A0"/>
    <w:rsid w:val="003F32B4"/>
    <w:rsid w:val="003F3317"/>
    <w:rsid w:val="003F349F"/>
    <w:rsid w:val="003F36A3"/>
    <w:rsid w:val="003F36D5"/>
    <w:rsid w:val="003F377E"/>
    <w:rsid w:val="003F37D5"/>
    <w:rsid w:val="003F37F7"/>
    <w:rsid w:val="003F3A46"/>
    <w:rsid w:val="003F3ABD"/>
    <w:rsid w:val="003F3B85"/>
    <w:rsid w:val="003F3C0B"/>
    <w:rsid w:val="003F3C13"/>
    <w:rsid w:val="003F3C34"/>
    <w:rsid w:val="003F3CC2"/>
    <w:rsid w:val="003F3D42"/>
    <w:rsid w:val="003F3F1C"/>
    <w:rsid w:val="003F409C"/>
    <w:rsid w:val="003F40B7"/>
    <w:rsid w:val="003F40DA"/>
    <w:rsid w:val="003F40DB"/>
    <w:rsid w:val="003F40FD"/>
    <w:rsid w:val="003F41C6"/>
    <w:rsid w:val="003F42F4"/>
    <w:rsid w:val="003F42FC"/>
    <w:rsid w:val="003F439A"/>
    <w:rsid w:val="003F43A5"/>
    <w:rsid w:val="003F4519"/>
    <w:rsid w:val="003F4529"/>
    <w:rsid w:val="003F4531"/>
    <w:rsid w:val="003F47B1"/>
    <w:rsid w:val="003F47E7"/>
    <w:rsid w:val="003F47E9"/>
    <w:rsid w:val="003F4843"/>
    <w:rsid w:val="003F49E7"/>
    <w:rsid w:val="003F4B71"/>
    <w:rsid w:val="003F4BF1"/>
    <w:rsid w:val="003F4D58"/>
    <w:rsid w:val="003F4E2A"/>
    <w:rsid w:val="003F4E4E"/>
    <w:rsid w:val="003F4EC7"/>
    <w:rsid w:val="003F4ED4"/>
    <w:rsid w:val="003F4F2A"/>
    <w:rsid w:val="003F4FDA"/>
    <w:rsid w:val="003F5073"/>
    <w:rsid w:val="003F508E"/>
    <w:rsid w:val="003F5153"/>
    <w:rsid w:val="003F528C"/>
    <w:rsid w:val="003F52CD"/>
    <w:rsid w:val="003F52DC"/>
    <w:rsid w:val="003F5301"/>
    <w:rsid w:val="003F5361"/>
    <w:rsid w:val="003F53B6"/>
    <w:rsid w:val="003F5423"/>
    <w:rsid w:val="003F54CE"/>
    <w:rsid w:val="003F54F6"/>
    <w:rsid w:val="003F5523"/>
    <w:rsid w:val="003F55C6"/>
    <w:rsid w:val="003F55CB"/>
    <w:rsid w:val="003F5628"/>
    <w:rsid w:val="003F5667"/>
    <w:rsid w:val="003F56DD"/>
    <w:rsid w:val="003F5744"/>
    <w:rsid w:val="003F575E"/>
    <w:rsid w:val="003F578B"/>
    <w:rsid w:val="003F57E5"/>
    <w:rsid w:val="003F5855"/>
    <w:rsid w:val="003F589D"/>
    <w:rsid w:val="003F58DC"/>
    <w:rsid w:val="003F5949"/>
    <w:rsid w:val="003F59DA"/>
    <w:rsid w:val="003F5A02"/>
    <w:rsid w:val="003F5A1B"/>
    <w:rsid w:val="003F5A2B"/>
    <w:rsid w:val="003F5A39"/>
    <w:rsid w:val="003F5A47"/>
    <w:rsid w:val="003F5A63"/>
    <w:rsid w:val="003F5B38"/>
    <w:rsid w:val="003F5B94"/>
    <w:rsid w:val="003F5B9A"/>
    <w:rsid w:val="003F5BF0"/>
    <w:rsid w:val="003F5C13"/>
    <w:rsid w:val="003F5C67"/>
    <w:rsid w:val="003F5DEF"/>
    <w:rsid w:val="003F5E3F"/>
    <w:rsid w:val="003F5EAD"/>
    <w:rsid w:val="003F6006"/>
    <w:rsid w:val="003F600B"/>
    <w:rsid w:val="003F605B"/>
    <w:rsid w:val="003F6082"/>
    <w:rsid w:val="003F626F"/>
    <w:rsid w:val="003F62D1"/>
    <w:rsid w:val="003F6310"/>
    <w:rsid w:val="003F6358"/>
    <w:rsid w:val="003F636D"/>
    <w:rsid w:val="003F63AC"/>
    <w:rsid w:val="003F6493"/>
    <w:rsid w:val="003F64E1"/>
    <w:rsid w:val="003F6541"/>
    <w:rsid w:val="003F657E"/>
    <w:rsid w:val="003F65B6"/>
    <w:rsid w:val="003F6666"/>
    <w:rsid w:val="003F6817"/>
    <w:rsid w:val="003F683D"/>
    <w:rsid w:val="003F6844"/>
    <w:rsid w:val="003F686C"/>
    <w:rsid w:val="003F68D6"/>
    <w:rsid w:val="003F693D"/>
    <w:rsid w:val="003F6A19"/>
    <w:rsid w:val="003F6A39"/>
    <w:rsid w:val="003F6A64"/>
    <w:rsid w:val="003F6B99"/>
    <w:rsid w:val="003F6B9C"/>
    <w:rsid w:val="003F6BBD"/>
    <w:rsid w:val="003F6DFB"/>
    <w:rsid w:val="003F6F63"/>
    <w:rsid w:val="003F6F6C"/>
    <w:rsid w:val="003F70B5"/>
    <w:rsid w:val="003F7137"/>
    <w:rsid w:val="003F7188"/>
    <w:rsid w:val="003F71D1"/>
    <w:rsid w:val="003F71E7"/>
    <w:rsid w:val="003F7259"/>
    <w:rsid w:val="003F72A8"/>
    <w:rsid w:val="003F7376"/>
    <w:rsid w:val="003F73B8"/>
    <w:rsid w:val="003F7408"/>
    <w:rsid w:val="003F745D"/>
    <w:rsid w:val="003F748D"/>
    <w:rsid w:val="003F752F"/>
    <w:rsid w:val="003F75AF"/>
    <w:rsid w:val="003F75EF"/>
    <w:rsid w:val="003F7636"/>
    <w:rsid w:val="003F7767"/>
    <w:rsid w:val="003F777D"/>
    <w:rsid w:val="003F7AD6"/>
    <w:rsid w:val="003F7AF5"/>
    <w:rsid w:val="003F7B0B"/>
    <w:rsid w:val="003F7C8C"/>
    <w:rsid w:val="003F7C9F"/>
    <w:rsid w:val="003F7CF4"/>
    <w:rsid w:val="003F7D54"/>
    <w:rsid w:val="003F7EA3"/>
    <w:rsid w:val="003F7F79"/>
    <w:rsid w:val="004000DC"/>
    <w:rsid w:val="004001F5"/>
    <w:rsid w:val="0040024D"/>
    <w:rsid w:val="00400380"/>
    <w:rsid w:val="004003A8"/>
    <w:rsid w:val="004003D7"/>
    <w:rsid w:val="00400453"/>
    <w:rsid w:val="0040045D"/>
    <w:rsid w:val="00400504"/>
    <w:rsid w:val="004005A8"/>
    <w:rsid w:val="00400632"/>
    <w:rsid w:val="00400790"/>
    <w:rsid w:val="004007B0"/>
    <w:rsid w:val="004007D0"/>
    <w:rsid w:val="004007F3"/>
    <w:rsid w:val="00400801"/>
    <w:rsid w:val="004008A7"/>
    <w:rsid w:val="004008BC"/>
    <w:rsid w:val="004008E4"/>
    <w:rsid w:val="0040091B"/>
    <w:rsid w:val="00400A3C"/>
    <w:rsid w:val="00400A71"/>
    <w:rsid w:val="00400B0E"/>
    <w:rsid w:val="00400B52"/>
    <w:rsid w:val="00400C8D"/>
    <w:rsid w:val="00400CBD"/>
    <w:rsid w:val="00400D5B"/>
    <w:rsid w:val="00400DAF"/>
    <w:rsid w:val="00400DBB"/>
    <w:rsid w:val="00400EB9"/>
    <w:rsid w:val="00400EC8"/>
    <w:rsid w:val="00400F13"/>
    <w:rsid w:val="00400F6D"/>
    <w:rsid w:val="00400F93"/>
    <w:rsid w:val="00400FAC"/>
    <w:rsid w:val="00401077"/>
    <w:rsid w:val="004011DF"/>
    <w:rsid w:val="0040122D"/>
    <w:rsid w:val="00401259"/>
    <w:rsid w:val="0040125E"/>
    <w:rsid w:val="0040128D"/>
    <w:rsid w:val="004013BE"/>
    <w:rsid w:val="00401488"/>
    <w:rsid w:val="00401524"/>
    <w:rsid w:val="004015DF"/>
    <w:rsid w:val="004016EE"/>
    <w:rsid w:val="0040198D"/>
    <w:rsid w:val="00401994"/>
    <w:rsid w:val="00401A38"/>
    <w:rsid w:val="00401AC7"/>
    <w:rsid w:val="00401B1F"/>
    <w:rsid w:val="00401C10"/>
    <w:rsid w:val="00401C6D"/>
    <w:rsid w:val="00401CB3"/>
    <w:rsid w:val="00401DD4"/>
    <w:rsid w:val="00401DD6"/>
    <w:rsid w:val="00401DF0"/>
    <w:rsid w:val="00401E13"/>
    <w:rsid w:val="00401FF8"/>
    <w:rsid w:val="0040203F"/>
    <w:rsid w:val="00402082"/>
    <w:rsid w:val="0040212F"/>
    <w:rsid w:val="004021B0"/>
    <w:rsid w:val="00402254"/>
    <w:rsid w:val="00402362"/>
    <w:rsid w:val="00402399"/>
    <w:rsid w:val="00402488"/>
    <w:rsid w:val="0040248F"/>
    <w:rsid w:val="00402614"/>
    <w:rsid w:val="00402720"/>
    <w:rsid w:val="0040274A"/>
    <w:rsid w:val="00402829"/>
    <w:rsid w:val="004028EC"/>
    <w:rsid w:val="00402941"/>
    <w:rsid w:val="00402987"/>
    <w:rsid w:val="00402A74"/>
    <w:rsid w:val="00402B01"/>
    <w:rsid w:val="00402B7A"/>
    <w:rsid w:val="00402BA0"/>
    <w:rsid w:val="00402CC2"/>
    <w:rsid w:val="00402D1C"/>
    <w:rsid w:val="00402D6B"/>
    <w:rsid w:val="00402DAE"/>
    <w:rsid w:val="00402DC8"/>
    <w:rsid w:val="00402E23"/>
    <w:rsid w:val="00402EB5"/>
    <w:rsid w:val="00402EF5"/>
    <w:rsid w:val="0040304F"/>
    <w:rsid w:val="004030E7"/>
    <w:rsid w:val="004031F5"/>
    <w:rsid w:val="0040330D"/>
    <w:rsid w:val="0040333D"/>
    <w:rsid w:val="004033FB"/>
    <w:rsid w:val="00403553"/>
    <w:rsid w:val="0040357E"/>
    <w:rsid w:val="004035D4"/>
    <w:rsid w:val="0040364C"/>
    <w:rsid w:val="004036B9"/>
    <w:rsid w:val="00403763"/>
    <w:rsid w:val="00403790"/>
    <w:rsid w:val="004037C2"/>
    <w:rsid w:val="004037D8"/>
    <w:rsid w:val="004039AD"/>
    <w:rsid w:val="00403A33"/>
    <w:rsid w:val="00403A66"/>
    <w:rsid w:val="00403B9C"/>
    <w:rsid w:val="00403BE6"/>
    <w:rsid w:val="00403D26"/>
    <w:rsid w:val="00403D3B"/>
    <w:rsid w:val="00403D58"/>
    <w:rsid w:val="00403DBC"/>
    <w:rsid w:val="00403DF9"/>
    <w:rsid w:val="00403EAC"/>
    <w:rsid w:val="00403EDF"/>
    <w:rsid w:val="00403F7C"/>
    <w:rsid w:val="0040409C"/>
    <w:rsid w:val="004040A7"/>
    <w:rsid w:val="004040E6"/>
    <w:rsid w:val="00404111"/>
    <w:rsid w:val="00404115"/>
    <w:rsid w:val="004042AB"/>
    <w:rsid w:val="004042EC"/>
    <w:rsid w:val="00404410"/>
    <w:rsid w:val="0040447B"/>
    <w:rsid w:val="004044EF"/>
    <w:rsid w:val="0040456E"/>
    <w:rsid w:val="00404612"/>
    <w:rsid w:val="00404639"/>
    <w:rsid w:val="00404675"/>
    <w:rsid w:val="00404734"/>
    <w:rsid w:val="0040474C"/>
    <w:rsid w:val="0040475C"/>
    <w:rsid w:val="0040484C"/>
    <w:rsid w:val="0040486B"/>
    <w:rsid w:val="004048D9"/>
    <w:rsid w:val="0040496A"/>
    <w:rsid w:val="00404A6B"/>
    <w:rsid w:val="00404A7B"/>
    <w:rsid w:val="00404AC0"/>
    <w:rsid w:val="00404B84"/>
    <w:rsid w:val="00404BBE"/>
    <w:rsid w:val="00404BCD"/>
    <w:rsid w:val="00404CFC"/>
    <w:rsid w:val="00404D8F"/>
    <w:rsid w:val="00404DE2"/>
    <w:rsid w:val="00404ECA"/>
    <w:rsid w:val="00404F7F"/>
    <w:rsid w:val="00404FE0"/>
    <w:rsid w:val="00404FE4"/>
    <w:rsid w:val="00404FEF"/>
    <w:rsid w:val="004050F0"/>
    <w:rsid w:val="0040523D"/>
    <w:rsid w:val="0040531A"/>
    <w:rsid w:val="004053BC"/>
    <w:rsid w:val="004053CC"/>
    <w:rsid w:val="004053F4"/>
    <w:rsid w:val="0040540E"/>
    <w:rsid w:val="00405494"/>
    <w:rsid w:val="00405549"/>
    <w:rsid w:val="004055EF"/>
    <w:rsid w:val="004056EA"/>
    <w:rsid w:val="004056F9"/>
    <w:rsid w:val="0040575D"/>
    <w:rsid w:val="004057CA"/>
    <w:rsid w:val="00405810"/>
    <w:rsid w:val="00405836"/>
    <w:rsid w:val="004059C7"/>
    <w:rsid w:val="00405A60"/>
    <w:rsid w:val="00405B33"/>
    <w:rsid w:val="00405B34"/>
    <w:rsid w:val="00405B8C"/>
    <w:rsid w:val="00405BFB"/>
    <w:rsid w:val="00405C3E"/>
    <w:rsid w:val="00405CD7"/>
    <w:rsid w:val="00405D87"/>
    <w:rsid w:val="00405DFC"/>
    <w:rsid w:val="00405E1F"/>
    <w:rsid w:val="00405ED5"/>
    <w:rsid w:val="00405F1F"/>
    <w:rsid w:val="00405FDE"/>
    <w:rsid w:val="004060D3"/>
    <w:rsid w:val="0040611F"/>
    <w:rsid w:val="0040617F"/>
    <w:rsid w:val="004061E5"/>
    <w:rsid w:val="004061E6"/>
    <w:rsid w:val="00406330"/>
    <w:rsid w:val="00406380"/>
    <w:rsid w:val="004064C3"/>
    <w:rsid w:val="004064CE"/>
    <w:rsid w:val="0040673D"/>
    <w:rsid w:val="0040676A"/>
    <w:rsid w:val="004067E3"/>
    <w:rsid w:val="00406955"/>
    <w:rsid w:val="004069AB"/>
    <w:rsid w:val="004069F3"/>
    <w:rsid w:val="00406B43"/>
    <w:rsid w:val="00406B70"/>
    <w:rsid w:val="00406B83"/>
    <w:rsid w:val="00406C5D"/>
    <w:rsid w:val="00406C9B"/>
    <w:rsid w:val="00406E45"/>
    <w:rsid w:val="00406E5D"/>
    <w:rsid w:val="00406E7A"/>
    <w:rsid w:val="00406F30"/>
    <w:rsid w:val="00406F44"/>
    <w:rsid w:val="004070EA"/>
    <w:rsid w:val="00407136"/>
    <w:rsid w:val="0040719A"/>
    <w:rsid w:val="0040744C"/>
    <w:rsid w:val="004074C2"/>
    <w:rsid w:val="0040761C"/>
    <w:rsid w:val="004077FA"/>
    <w:rsid w:val="004078C2"/>
    <w:rsid w:val="00407906"/>
    <w:rsid w:val="004079AC"/>
    <w:rsid w:val="004079B7"/>
    <w:rsid w:val="00407A6F"/>
    <w:rsid w:val="00407AE0"/>
    <w:rsid w:val="00407B26"/>
    <w:rsid w:val="00407B5D"/>
    <w:rsid w:val="00407B80"/>
    <w:rsid w:val="00407B96"/>
    <w:rsid w:val="00407C41"/>
    <w:rsid w:val="00407C46"/>
    <w:rsid w:val="00407C49"/>
    <w:rsid w:val="00407C62"/>
    <w:rsid w:val="00407C82"/>
    <w:rsid w:val="00407CB5"/>
    <w:rsid w:val="00407EA7"/>
    <w:rsid w:val="00407EB4"/>
    <w:rsid w:val="00410045"/>
    <w:rsid w:val="0041012C"/>
    <w:rsid w:val="004101A9"/>
    <w:rsid w:val="004101D0"/>
    <w:rsid w:val="00410458"/>
    <w:rsid w:val="00410472"/>
    <w:rsid w:val="00410550"/>
    <w:rsid w:val="0041056B"/>
    <w:rsid w:val="00410602"/>
    <w:rsid w:val="0041063B"/>
    <w:rsid w:val="00410769"/>
    <w:rsid w:val="00410780"/>
    <w:rsid w:val="0041079A"/>
    <w:rsid w:val="0041079E"/>
    <w:rsid w:val="004107F2"/>
    <w:rsid w:val="004108BD"/>
    <w:rsid w:val="0041094B"/>
    <w:rsid w:val="00410A2C"/>
    <w:rsid w:val="00410A30"/>
    <w:rsid w:val="00410A8A"/>
    <w:rsid w:val="00410AA2"/>
    <w:rsid w:val="00410B09"/>
    <w:rsid w:val="00410B4D"/>
    <w:rsid w:val="00410BDD"/>
    <w:rsid w:val="00410C74"/>
    <w:rsid w:val="00410C77"/>
    <w:rsid w:val="00410CCD"/>
    <w:rsid w:val="00410CF4"/>
    <w:rsid w:val="00410D43"/>
    <w:rsid w:val="00410DAD"/>
    <w:rsid w:val="00410DDE"/>
    <w:rsid w:val="00410EBB"/>
    <w:rsid w:val="00410F25"/>
    <w:rsid w:val="00410F5D"/>
    <w:rsid w:val="00410F71"/>
    <w:rsid w:val="00410FF9"/>
    <w:rsid w:val="004110B8"/>
    <w:rsid w:val="00411103"/>
    <w:rsid w:val="00411170"/>
    <w:rsid w:val="00411171"/>
    <w:rsid w:val="0041123D"/>
    <w:rsid w:val="00411286"/>
    <w:rsid w:val="00411338"/>
    <w:rsid w:val="0041136D"/>
    <w:rsid w:val="00411671"/>
    <w:rsid w:val="00411692"/>
    <w:rsid w:val="004116B9"/>
    <w:rsid w:val="0041173C"/>
    <w:rsid w:val="00411770"/>
    <w:rsid w:val="0041178D"/>
    <w:rsid w:val="004117C4"/>
    <w:rsid w:val="004117FF"/>
    <w:rsid w:val="0041184C"/>
    <w:rsid w:val="00411850"/>
    <w:rsid w:val="00411857"/>
    <w:rsid w:val="00411879"/>
    <w:rsid w:val="00411880"/>
    <w:rsid w:val="00411883"/>
    <w:rsid w:val="00411965"/>
    <w:rsid w:val="0041197A"/>
    <w:rsid w:val="00411A7B"/>
    <w:rsid w:val="00411BC9"/>
    <w:rsid w:val="00411BE7"/>
    <w:rsid w:val="00411BED"/>
    <w:rsid w:val="00411C67"/>
    <w:rsid w:val="00411D3C"/>
    <w:rsid w:val="00411EEE"/>
    <w:rsid w:val="00411F0A"/>
    <w:rsid w:val="00411F76"/>
    <w:rsid w:val="00411FF6"/>
    <w:rsid w:val="0041201E"/>
    <w:rsid w:val="0041203C"/>
    <w:rsid w:val="004120DE"/>
    <w:rsid w:val="0041219B"/>
    <w:rsid w:val="004121E0"/>
    <w:rsid w:val="00412201"/>
    <w:rsid w:val="0041229C"/>
    <w:rsid w:val="0041231B"/>
    <w:rsid w:val="004123ED"/>
    <w:rsid w:val="0041241A"/>
    <w:rsid w:val="00412428"/>
    <w:rsid w:val="004124F8"/>
    <w:rsid w:val="004124F9"/>
    <w:rsid w:val="00412505"/>
    <w:rsid w:val="0041271A"/>
    <w:rsid w:val="00412789"/>
    <w:rsid w:val="004128FB"/>
    <w:rsid w:val="00412902"/>
    <w:rsid w:val="004129D7"/>
    <w:rsid w:val="00412A41"/>
    <w:rsid w:val="00412C5C"/>
    <w:rsid w:val="00412D59"/>
    <w:rsid w:val="00412EE0"/>
    <w:rsid w:val="0041303F"/>
    <w:rsid w:val="00413083"/>
    <w:rsid w:val="0041316D"/>
    <w:rsid w:val="004131B8"/>
    <w:rsid w:val="0041332D"/>
    <w:rsid w:val="0041336B"/>
    <w:rsid w:val="00413371"/>
    <w:rsid w:val="004133D7"/>
    <w:rsid w:val="004133EA"/>
    <w:rsid w:val="0041340F"/>
    <w:rsid w:val="004134CC"/>
    <w:rsid w:val="0041355A"/>
    <w:rsid w:val="00413567"/>
    <w:rsid w:val="0041360D"/>
    <w:rsid w:val="00413614"/>
    <w:rsid w:val="0041366F"/>
    <w:rsid w:val="00413703"/>
    <w:rsid w:val="00413705"/>
    <w:rsid w:val="0041378A"/>
    <w:rsid w:val="004138A5"/>
    <w:rsid w:val="004139A7"/>
    <w:rsid w:val="004139DA"/>
    <w:rsid w:val="00413A01"/>
    <w:rsid w:val="00413A08"/>
    <w:rsid w:val="00413A50"/>
    <w:rsid w:val="00413AC1"/>
    <w:rsid w:val="00413AF4"/>
    <w:rsid w:val="00413BD5"/>
    <w:rsid w:val="00413C08"/>
    <w:rsid w:val="00413C9C"/>
    <w:rsid w:val="00413CE7"/>
    <w:rsid w:val="00413CF6"/>
    <w:rsid w:val="00413D6A"/>
    <w:rsid w:val="00413D90"/>
    <w:rsid w:val="00413E0F"/>
    <w:rsid w:val="00413E48"/>
    <w:rsid w:val="00413E7C"/>
    <w:rsid w:val="00413E9C"/>
    <w:rsid w:val="00413EA0"/>
    <w:rsid w:val="00414045"/>
    <w:rsid w:val="0041413B"/>
    <w:rsid w:val="004144B2"/>
    <w:rsid w:val="004144D7"/>
    <w:rsid w:val="004145C5"/>
    <w:rsid w:val="0041477B"/>
    <w:rsid w:val="0041478F"/>
    <w:rsid w:val="004148FF"/>
    <w:rsid w:val="0041493A"/>
    <w:rsid w:val="00414958"/>
    <w:rsid w:val="00414977"/>
    <w:rsid w:val="00414AB3"/>
    <w:rsid w:val="00414BD8"/>
    <w:rsid w:val="00414BF8"/>
    <w:rsid w:val="00414CA3"/>
    <w:rsid w:val="00414D61"/>
    <w:rsid w:val="00414D8D"/>
    <w:rsid w:val="00414DC1"/>
    <w:rsid w:val="00414F72"/>
    <w:rsid w:val="00414F8D"/>
    <w:rsid w:val="00414FB0"/>
    <w:rsid w:val="00414FEF"/>
    <w:rsid w:val="00415014"/>
    <w:rsid w:val="0041506E"/>
    <w:rsid w:val="004150F0"/>
    <w:rsid w:val="00415158"/>
    <w:rsid w:val="00415271"/>
    <w:rsid w:val="004152AD"/>
    <w:rsid w:val="004152DA"/>
    <w:rsid w:val="004152DE"/>
    <w:rsid w:val="004154C5"/>
    <w:rsid w:val="00415524"/>
    <w:rsid w:val="00415588"/>
    <w:rsid w:val="00415683"/>
    <w:rsid w:val="00415686"/>
    <w:rsid w:val="004157E7"/>
    <w:rsid w:val="004158BD"/>
    <w:rsid w:val="004158FC"/>
    <w:rsid w:val="004159C0"/>
    <w:rsid w:val="00415AFA"/>
    <w:rsid w:val="00415BC1"/>
    <w:rsid w:val="00415BCC"/>
    <w:rsid w:val="00415DAA"/>
    <w:rsid w:val="00415DB6"/>
    <w:rsid w:val="00415DF6"/>
    <w:rsid w:val="00415E54"/>
    <w:rsid w:val="00415F08"/>
    <w:rsid w:val="00415F15"/>
    <w:rsid w:val="00415F17"/>
    <w:rsid w:val="00415F1A"/>
    <w:rsid w:val="00415F8E"/>
    <w:rsid w:val="00415FC9"/>
    <w:rsid w:val="00416005"/>
    <w:rsid w:val="0041606A"/>
    <w:rsid w:val="004160F2"/>
    <w:rsid w:val="00416110"/>
    <w:rsid w:val="00416274"/>
    <w:rsid w:val="004162AA"/>
    <w:rsid w:val="004162F4"/>
    <w:rsid w:val="00416395"/>
    <w:rsid w:val="00416546"/>
    <w:rsid w:val="0041658A"/>
    <w:rsid w:val="004165AC"/>
    <w:rsid w:val="004166BF"/>
    <w:rsid w:val="0041676A"/>
    <w:rsid w:val="0041676C"/>
    <w:rsid w:val="0041682E"/>
    <w:rsid w:val="00416855"/>
    <w:rsid w:val="004168DB"/>
    <w:rsid w:val="0041699A"/>
    <w:rsid w:val="00416A3F"/>
    <w:rsid w:val="00416BDD"/>
    <w:rsid w:val="00416C23"/>
    <w:rsid w:val="00416C31"/>
    <w:rsid w:val="00416D1C"/>
    <w:rsid w:val="00416DCB"/>
    <w:rsid w:val="00416E17"/>
    <w:rsid w:val="00416EB6"/>
    <w:rsid w:val="00416F5B"/>
    <w:rsid w:val="00416FC6"/>
    <w:rsid w:val="00416FFE"/>
    <w:rsid w:val="00417080"/>
    <w:rsid w:val="004170E8"/>
    <w:rsid w:val="004170FD"/>
    <w:rsid w:val="00417178"/>
    <w:rsid w:val="0041733F"/>
    <w:rsid w:val="00417358"/>
    <w:rsid w:val="0041737E"/>
    <w:rsid w:val="004173DB"/>
    <w:rsid w:val="004173E2"/>
    <w:rsid w:val="00417402"/>
    <w:rsid w:val="0041747E"/>
    <w:rsid w:val="00417487"/>
    <w:rsid w:val="004174A0"/>
    <w:rsid w:val="0041752D"/>
    <w:rsid w:val="0041753E"/>
    <w:rsid w:val="004175C0"/>
    <w:rsid w:val="004175ED"/>
    <w:rsid w:val="00417624"/>
    <w:rsid w:val="00417648"/>
    <w:rsid w:val="004176AD"/>
    <w:rsid w:val="004177CB"/>
    <w:rsid w:val="004178C1"/>
    <w:rsid w:val="0041790D"/>
    <w:rsid w:val="00417922"/>
    <w:rsid w:val="00417A6B"/>
    <w:rsid w:val="00417A7A"/>
    <w:rsid w:val="00417B06"/>
    <w:rsid w:val="00417B67"/>
    <w:rsid w:val="00417BEB"/>
    <w:rsid w:val="00417F2F"/>
    <w:rsid w:val="00417FD0"/>
    <w:rsid w:val="004201E5"/>
    <w:rsid w:val="004201EB"/>
    <w:rsid w:val="0042033C"/>
    <w:rsid w:val="00420346"/>
    <w:rsid w:val="00420405"/>
    <w:rsid w:val="0042043A"/>
    <w:rsid w:val="00420686"/>
    <w:rsid w:val="0042068A"/>
    <w:rsid w:val="00420729"/>
    <w:rsid w:val="00420765"/>
    <w:rsid w:val="00420793"/>
    <w:rsid w:val="004207B4"/>
    <w:rsid w:val="0042080D"/>
    <w:rsid w:val="00420861"/>
    <w:rsid w:val="00420A1F"/>
    <w:rsid w:val="00420B22"/>
    <w:rsid w:val="00420BE0"/>
    <w:rsid w:val="00420C01"/>
    <w:rsid w:val="00420C5C"/>
    <w:rsid w:val="00420D5A"/>
    <w:rsid w:val="00420E6F"/>
    <w:rsid w:val="00420F11"/>
    <w:rsid w:val="00420F45"/>
    <w:rsid w:val="00420F51"/>
    <w:rsid w:val="00420F8D"/>
    <w:rsid w:val="00420F9C"/>
    <w:rsid w:val="0042101D"/>
    <w:rsid w:val="0042102E"/>
    <w:rsid w:val="00421213"/>
    <w:rsid w:val="0042123E"/>
    <w:rsid w:val="0042129C"/>
    <w:rsid w:val="0042158A"/>
    <w:rsid w:val="0042167E"/>
    <w:rsid w:val="004216A1"/>
    <w:rsid w:val="0042176E"/>
    <w:rsid w:val="0042185D"/>
    <w:rsid w:val="0042187B"/>
    <w:rsid w:val="004218DA"/>
    <w:rsid w:val="00421A07"/>
    <w:rsid w:val="00421A12"/>
    <w:rsid w:val="00421A4F"/>
    <w:rsid w:val="00421BE6"/>
    <w:rsid w:val="00421C85"/>
    <w:rsid w:val="00421DBE"/>
    <w:rsid w:val="00421E09"/>
    <w:rsid w:val="00421E70"/>
    <w:rsid w:val="00421F34"/>
    <w:rsid w:val="00421F3B"/>
    <w:rsid w:val="004220A3"/>
    <w:rsid w:val="004220A5"/>
    <w:rsid w:val="004220C8"/>
    <w:rsid w:val="00422152"/>
    <w:rsid w:val="004221D9"/>
    <w:rsid w:val="00422206"/>
    <w:rsid w:val="0042234B"/>
    <w:rsid w:val="0042239D"/>
    <w:rsid w:val="0042244A"/>
    <w:rsid w:val="00422508"/>
    <w:rsid w:val="0042256E"/>
    <w:rsid w:val="004226E2"/>
    <w:rsid w:val="00422726"/>
    <w:rsid w:val="004227B0"/>
    <w:rsid w:val="00422962"/>
    <w:rsid w:val="00422A1D"/>
    <w:rsid w:val="00422A9C"/>
    <w:rsid w:val="00422B0A"/>
    <w:rsid w:val="00422C0C"/>
    <w:rsid w:val="00422C48"/>
    <w:rsid w:val="00422C5E"/>
    <w:rsid w:val="00422C6B"/>
    <w:rsid w:val="00422CB1"/>
    <w:rsid w:val="00422D81"/>
    <w:rsid w:val="00422D9E"/>
    <w:rsid w:val="00422F04"/>
    <w:rsid w:val="00422F3C"/>
    <w:rsid w:val="0042303B"/>
    <w:rsid w:val="004230BC"/>
    <w:rsid w:val="00423220"/>
    <w:rsid w:val="00423275"/>
    <w:rsid w:val="004232A8"/>
    <w:rsid w:val="004232D0"/>
    <w:rsid w:val="004232DB"/>
    <w:rsid w:val="004232F7"/>
    <w:rsid w:val="0042331C"/>
    <w:rsid w:val="004233DE"/>
    <w:rsid w:val="00423442"/>
    <w:rsid w:val="0042358F"/>
    <w:rsid w:val="004235B1"/>
    <w:rsid w:val="00423767"/>
    <w:rsid w:val="0042376D"/>
    <w:rsid w:val="00423792"/>
    <w:rsid w:val="00423886"/>
    <w:rsid w:val="00423888"/>
    <w:rsid w:val="004239FA"/>
    <w:rsid w:val="00423B72"/>
    <w:rsid w:val="00423C07"/>
    <w:rsid w:val="00423CD1"/>
    <w:rsid w:val="00423D92"/>
    <w:rsid w:val="00423E27"/>
    <w:rsid w:val="00423E8C"/>
    <w:rsid w:val="00423F1B"/>
    <w:rsid w:val="00423F60"/>
    <w:rsid w:val="00423FC2"/>
    <w:rsid w:val="00423FE5"/>
    <w:rsid w:val="0042405C"/>
    <w:rsid w:val="00424079"/>
    <w:rsid w:val="004241DD"/>
    <w:rsid w:val="00424226"/>
    <w:rsid w:val="004243C9"/>
    <w:rsid w:val="0042441C"/>
    <w:rsid w:val="00424549"/>
    <w:rsid w:val="004245A3"/>
    <w:rsid w:val="0042469A"/>
    <w:rsid w:val="0042478E"/>
    <w:rsid w:val="004247B4"/>
    <w:rsid w:val="00424930"/>
    <w:rsid w:val="00424AE0"/>
    <w:rsid w:val="00424BDD"/>
    <w:rsid w:val="00424C1C"/>
    <w:rsid w:val="00424D0B"/>
    <w:rsid w:val="00424D9E"/>
    <w:rsid w:val="00424E5C"/>
    <w:rsid w:val="00424EE8"/>
    <w:rsid w:val="00424F83"/>
    <w:rsid w:val="00424F8A"/>
    <w:rsid w:val="0042503B"/>
    <w:rsid w:val="00425068"/>
    <w:rsid w:val="004250CD"/>
    <w:rsid w:val="004250E5"/>
    <w:rsid w:val="0042512A"/>
    <w:rsid w:val="00425217"/>
    <w:rsid w:val="00425239"/>
    <w:rsid w:val="00425258"/>
    <w:rsid w:val="00425324"/>
    <w:rsid w:val="00425343"/>
    <w:rsid w:val="004253B4"/>
    <w:rsid w:val="004253DF"/>
    <w:rsid w:val="00425491"/>
    <w:rsid w:val="00425531"/>
    <w:rsid w:val="004255FB"/>
    <w:rsid w:val="00425608"/>
    <w:rsid w:val="004256D3"/>
    <w:rsid w:val="004256E1"/>
    <w:rsid w:val="00425772"/>
    <w:rsid w:val="004257E6"/>
    <w:rsid w:val="00425802"/>
    <w:rsid w:val="004258F2"/>
    <w:rsid w:val="00425904"/>
    <w:rsid w:val="00425A96"/>
    <w:rsid w:val="00425B38"/>
    <w:rsid w:val="00425B88"/>
    <w:rsid w:val="00425B8D"/>
    <w:rsid w:val="00425C79"/>
    <w:rsid w:val="00425D3C"/>
    <w:rsid w:val="00425D93"/>
    <w:rsid w:val="00425DD9"/>
    <w:rsid w:val="00425DEF"/>
    <w:rsid w:val="00425E31"/>
    <w:rsid w:val="00425E4A"/>
    <w:rsid w:val="00425E64"/>
    <w:rsid w:val="00425F95"/>
    <w:rsid w:val="00425FC2"/>
    <w:rsid w:val="00426055"/>
    <w:rsid w:val="0042608C"/>
    <w:rsid w:val="00426194"/>
    <w:rsid w:val="004261B3"/>
    <w:rsid w:val="00426299"/>
    <w:rsid w:val="00426325"/>
    <w:rsid w:val="00426376"/>
    <w:rsid w:val="00426458"/>
    <w:rsid w:val="004264B1"/>
    <w:rsid w:val="004264F0"/>
    <w:rsid w:val="00426503"/>
    <w:rsid w:val="00426539"/>
    <w:rsid w:val="00426587"/>
    <w:rsid w:val="004265CB"/>
    <w:rsid w:val="004267BF"/>
    <w:rsid w:val="004268BC"/>
    <w:rsid w:val="00426988"/>
    <w:rsid w:val="00426A36"/>
    <w:rsid w:val="00426A65"/>
    <w:rsid w:val="00426B19"/>
    <w:rsid w:val="00426BA8"/>
    <w:rsid w:val="00426D09"/>
    <w:rsid w:val="00426E0D"/>
    <w:rsid w:val="00426F06"/>
    <w:rsid w:val="00426F0D"/>
    <w:rsid w:val="00426F11"/>
    <w:rsid w:val="00426FF1"/>
    <w:rsid w:val="00427020"/>
    <w:rsid w:val="00427177"/>
    <w:rsid w:val="004271D7"/>
    <w:rsid w:val="00427214"/>
    <w:rsid w:val="0042722A"/>
    <w:rsid w:val="004272CF"/>
    <w:rsid w:val="004272FB"/>
    <w:rsid w:val="00427315"/>
    <w:rsid w:val="00427397"/>
    <w:rsid w:val="004273AE"/>
    <w:rsid w:val="004273E5"/>
    <w:rsid w:val="00427423"/>
    <w:rsid w:val="00427670"/>
    <w:rsid w:val="004276A8"/>
    <w:rsid w:val="004276A9"/>
    <w:rsid w:val="00427788"/>
    <w:rsid w:val="004277DB"/>
    <w:rsid w:val="004278DF"/>
    <w:rsid w:val="00427968"/>
    <w:rsid w:val="004279D1"/>
    <w:rsid w:val="00427A29"/>
    <w:rsid w:val="00427B0F"/>
    <w:rsid w:val="00427B88"/>
    <w:rsid w:val="00427BF8"/>
    <w:rsid w:val="00427C11"/>
    <w:rsid w:val="00427C43"/>
    <w:rsid w:val="00427CDB"/>
    <w:rsid w:val="00427F04"/>
    <w:rsid w:val="00427F72"/>
    <w:rsid w:val="00427FCA"/>
    <w:rsid w:val="00427FFA"/>
    <w:rsid w:val="00430002"/>
    <w:rsid w:val="0043003A"/>
    <w:rsid w:val="0043029F"/>
    <w:rsid w:val="00430373"/>
    <w:rsid w:val="00430474"/>
    <w:rsid w:val="004304D6"/>
    <w:rsid w:val="004305F1"/>
    <w:rsid w:val="00430618"/>
    <w:rsid w:val="00430625"/>
    <w:rsid w:val="00430673"/>
    <w:rsid w:val="00430695"/>
    <w:rsid w:val="0043073D"/>
    <w:rsid w:val="00430760"/>
    <w:rsid w:val="0043078F"/>
    <w:rsid w:val="004307AC"/>
    <w:rsid w:val="00430816"/>
    <w:rsid w:val="0043086A"/>
    <w:rsid w:val="00430895"/>
    <w:rsid w:val="0043095A"/>
    <w:rsid w:val="00430964"/>
    <w:rsid w:val="00430AF9"/>
    <w:rsid w:val="00430B12"/>
    <w:rsid w:val="00430B46"/>
    <w:rsid w:val="00430C16"/>
    <w:rsid w:val="00430D47"/>
    <w:rsid w:val="00430E16"/>
    <w:rsid w:val="00430E4F"/>
    <w:rsid w:val="00430F5D"/>
    <w:rsid w:val="00430F74"/>
    <w:rsid w:val="00430F9A"/>
    <w:rsid w:val="00430FF2"/>
    <w:rsid w:val="00431004"/>
    <w:rsid w:val="00431060"/>
    <w:rsid w:val="004311B0"/>
    <w:rsid w:val="004311EF"/>
    <w:rsid w:val="004311FD"/>
    <w:rsid w:val="0043121F"/>
    <w:rsid w:val="0043124E"/>
    <w:rsid w:val="00431291"/>
    <w:rsid w:val="00431297"/>
    <w:rsid w:val="00431317"/>
    <w:rsid w:val="00431319"/>
    <w:rsid w:val="004313A7"/>
    <w:rsid w:val="00431440"/>
    <w:rsid w:val="0043148C"/>
    <w:rsid w:val="004314B2"/>
    <w:rsid w:val="004314F4"/>
    <w:rsid w:val="004315AE"/>
    <w:rsid w:val="004315C2"/>
    <w:rsid w:val="0043167A"/>
    <w:rsid w:val="0043174F"/>
    <w:rsid w:val="004317C7"/>
    <w:rsid w:val="00431911"/>
    <w:rsid w:val="00431953"/>
    <w:rsid w:val="004319F9"/>
    <w:rsid w:val="00431AB8"/>
    <w:rsid w:val="00431B5B"/>
    <w:rsid w:val="00431BFE"/>
    <w:rsid w:val="00431C49"/>
    <w:rsid w:val="00431C79"/>
    <w:rsid w:val="00431C9A"/>
    <w:rsid w:val="00431E44"/>
    <w:rsid w:val="00431E4D"/>
    <w:rsid w:val="00431EC9"/>
    <w:rsid w:val="00431F4D"/>
    <w:rsid w:val="00431FC4"/>
    <w:rsid w:val="00431FF7"/>
    <w:rsid w:val="004320C1"/>
    <w:rsid w:val="00432163"/>
    <w:rsid w:val="00432167"/>
    <w:rsid w:val="00432184"/>
    <w:rsid w:val="004321BB"/>
    <w:rsid w:val="004321F9"/>
    <w:rsid w:val="0043220E"/>
    <w:rsid w:val="00432219"/>
    <w:rsid w:val="00432224"/>
    <w:rsid w:val="00432343"/>
    <w:rsid w:val="004323DC"/>
    <w:rsid w:val="004324D5"/>
    <w:rsid w:val="00432548"/>
    <w:rsid w:val="00432558"/>
    <w:rsid w:val="0043255B"/>
    <w:rsid w:val="004326F0"/>
    <w:rsid w:val="0043274D"/>
    <w:rsid w:val="00432807"/>
    <w:rsid w:val="004328D1"/>
    <w:rsid w:val="004328DA"/>
    <w:rsid w:val="00432972"/>
    <w:rsid w:val="004329CF"/>
    <w:rsid w:val="00432A3A"/>
    <w:rsid w:val="00432A66"/>
    <w:rsid w:val="00432B07"/>
    <w:rsid w:val="00432B41"/>
    <w:rsid w:val="00432C43"/>
    <w:rsid w:val="00432CAA"/>
    <w:rsid w:val="00432CB2"/>
    <w:rsid w:val="00432D05"/>
    <w:rsid w:val="00432E58"/>
    <w:rsid w:val="00432EC6"/>
    <w:rsid w:val="00432F49"/>
    <w:rsid w:val="00432FB2"/>
    <w:rsid w:val="00432FCF"/>
    <w:rsid w:val="00432FF8"/>
    <w:rsid w:val="0043312B"/>
    <w:rsid w:val="0043316F"/>
    <w:rsid w:val="00433308"/>
    <w:rsid w:val="00433429"/>
    <w:rsid w:val="004335F4"/>
    <w:rsid w:val="00433697"/>
    <w:rsid w:val="004337C4"/>
    <w:rsid w:val="00433824"/>
    <w:rsid w:val="004338E1"/>
    <w:rsid w:val="00433935"/>
    <w:rsid w:val="00433AD4"/>
    <w:rsid w:val="00433BB2"/>
    <w:rsid w:val="00433BF5"/>
    <w:rsid w:val="00433CEC"/>
    <w:rsid w:val="00433CED"/>
    <w:rsid w:val="00433D46"/>
    <w:rsid w:val="00433D99"/>
    <w:rsid w:val="00433E3E"/>
    <w:rsid w:val="00433EA0"/>
    <w:rsid w:val="00433F6A"/>
    <w:rsid w:val="004340CD"/>
    <w:rsid w:val="004340E8"/>
    <w:rsid w:val="004340F2"/>
    <w:rsid w:val="004340F3"/>
    <w:rsid w:val="00434150"/>
    <w:rsid w:val="004342DD"/>
    <w:rsid w:val="00434439"/>
    <w:rsid w:val="00434463"/>
    <w:rsid w:val="004346DA"/>
    <w:rsid w:val="0043475F"/>
    <w:rsid w:val="004347C7"/>
    <w:rsid w:val="0043488E"/>
    <w:rsid w:val="00434B63"/>
    <w:rsid w:val="00434BA9"/>
    <w:rsid w:val="00434BC0"/>
    <w:rsid w:val="00434BFE"/>
    <w:rsid w:val="00434C11"/>
    <w:rsid w:val="00434CAB"/>
    <w:rsid w:val="00434DEC"/>
    <w:rsid w:val="00434F1F"/>
    <w:rsid w:val="00434F71"/>
    <w:rsid w:val="00434FEE"/>
    <w:rsid w:val="00435077"/>
    <w:rsid w:val="00435091"/>
    <w:rsid w:val="004350D4"/>
    <w:rsid w:val="004350E2"/>
    <w:rsid w:val="00435186"/>
    <w:rsid w:val="00435227"/>
    <w:rsid w:val="00435262"/>
    <w:rsid w:val="004352A8"/>
    <w:rsid w:val="00435359"/>
    <w:rsid w:val="00435385"/>
    <w:rsid w:val="00435445"/>
    <w:rsid w:val="0043551F"/>
    <w:rsid w:val="00435745"/>
    <w:rsid w:val="00435885"/>
    <w:rsid w:val="004358AE"/>
    <w:rsid w:val="0043593F"/>
    <w:rsid w:val="00435983"/>
    <w:rsid w:val="00435B04"/>
    <w:rsid w:val="00435B8D"/>
    <w:rsid w:val="00435C07"/>
    <w:rsid w:val="00435CB4"/>
    <w:rsid w:val="00435CE6"/>
    <w:rsid w:val="00435DC0"/>
    <w:rsid w:val="00435DD7"/>
    <w:rsid w:val="00435DE1"/>
    <w:rsid w:val="00435E6E"/>
    <w:rsid w:val="00435F0D"/>
    <w:rsid w:val="00436072"/>
    <w:rsid w:val="004360EA"/>
    <w:rsid w:val="00436151"/>
    <w:rsid w:val="0043615D"/>
    <w:rsid w:val="00436198"/>
    <w:rsid w:val="00436283"/>
    <w:rsid w:val="00436308"/>
    <w:rsid w:val="00436404"/>
    <w:rsid w:val="00436418"/>
    <w:rsid w:val="0043655D"/>
    <w:rsid w:val="004365E8"/>
    <w:rsid w:val="004365F4"/>
    <w:rsid w:val="0043660B"/>
    <w:rsid w:val="004366D3"/>
    <w:rsid w:val="0043692B"/>
    <w:rsid w:val="00436979"/>
    <w:rsid w:val="00436A80"/>
    <w:rsid w:val="00436A95"/>
    <w:rsid w:val="00436AE7"/>
    <w:rsid w:val="00436B0F"/>
    <w:rsid w:val="00436B62"/>
    <w:rsid w:val="00436BF9"/>
    <w:rsid w:val="00436D43"/>
    <w:rsid w:val="00436D94"/>
    <w:rsid w:val="00436E08"/>
    <w:rsid w:val="00436E8F"/>
    <w:rsid w:val="00436FB3"/>
    <w:rsid w:val="004370A0"/>
    <w:rsid w:val="004370ED"/>
    <w:rsid w:val="00437141"/>
    <w:rsid w:val="00437265"/>
    <w:rsid w:val="004372DD"/>
    <w:rsid w:val="004372ED"/>
    <w:rsid w:val="0043730A"/>
    <w:rsid w:val="004373DF"/>
    <w:rsid w:val="00437787"/>
    <w:rsid w:val="0043779D"/>
    <w:rsid w:val="00437858"/>
    <w:rsid w:val="00437873"/>
    <w:rsid w:val="00437904"/>
    <w:rsid w:val="004379A3"/>
    <w:rsid w:val="004379B4"/>
    <w:rsid w:val="00437B03"/>
    <w:rsid w:val="00437B4D"/>
    <w:rsid w:val="00437B9A"/>
    <w:rsid w:val="00437C46"/>
    <w:rsid w:val="00437E09"/>
    <w:rsid w:val="00437EEC"/>
    <w:rsid w:val="00437EF1"/>
    <w:rsid w:val="00437FCD"/>
    <w:rsid w:val="00437FD4"/>
    <w:rsid w:val="0044000D"/>
    <w:rsid w:val="0044000E"/>
    <w:rsid w:val="0044013E"/>
    <w:rsid w:val="00440175"/>
    <w:rsid w:val="004401B3"/>
    <w:rsid w:val="004402BB"/>
    <w:rsid w:val="004403E2"/>
    <w:rsid w:val="0044044E"/>
    <w:rsid w:val="004404FD"/>
    <w:rsid w:val="0044050A"/>
    <w:rsid w:val="0044056D"/>
    <w:rsid w:val="00440623"/>
    <w:rsid w:val="0044064D"/>
    <w:rsid w:val="004406C4"/>
    <w:rsid w:val="004406F0"/>
    <w:rsid w:val="004407EF"/>
    <w:rsid w:val="00440880"/>
    <w:rsid w:val="0044090D"/>
    <w:rsid w:val="0044097D"/>
    <w:rsid w:val="004409AE"/>
    <w:rsid w:val="004409E6"/>
    <w:rsid w:val="004409FE"/>
    <w:rsid w:val="00440A4D"/>
    <w:rsid w:val="00440A7D"/>
    <w:rsid w:val="00440A96"/>
    <w:rsid w:val="00440C1F"/>
    <w:rsid w:val="00440CC4"/>
    <w:rsid w:val="00440CF7"/>
    <w:rsid w:val="00440E72"/>
    <w:rsid w:val="00440EC6"/>
    <w:rsid w:val="00440F25"/>
    <w:rsid w:val="00440FA7"/>
    <w:rsid w:val="00441000"/>
    <w:rsid w:val="0044102D"/>
    <w:rsid w:val="0044104C"/>
    <w:rsid w:val="004410C8"/>
    <w:rsid w:val="00441154"/>
    <w:rsid w:val="004411EA"/>
    <w:rsid w:val="0044122E"/>
    <w:rsid w:val="0044128D"/>
    <w:rsid w:val="004412CE"/>
    <w:rsid w:val="004413AE"/>
    <w:rsid w:val="00441507"/>
    <w:rsid w:val="004415D8"/>
    <w:rsid w:val="0044162C"/>
    <w:rsid w:val="00441666"/>
    <w:rsid w:val="004416DB"/>
    <w:rsid w:val="00441883"/>
    <w:rsid w:val="0044196D"/>
    <w:rsid w:val="004419F7"/>
    <w:rsid w:val="00441AE9"/>
    <w:rsid w:val="00441B1A"/>
    <w:rsid w:val="00441CD9"/>
    <w:rsid w:val="00441E25"/>
    <w:rsid w:val="00441E2D"/>
    <w:rsid w:val="00441E75"/>
    <w:rsid w:val="00441E7D"/>
    <w:rsid w:val="00441F52"/>
    <w:rsid w:val="00442010"/>
    <w:rsid w:val="0044202A"/>
    <w:rsid w:val="0044206D"/>
    <w:rsid w:val="0044207A"/>
    <w:rsid w:val="004421F2"/>
    <w:rsid w:val="00442222"/>
    <w:rsid w:val="00442278"/>
    <w:rsid w:val="004422A2"/>
    <w:rsid w:val="004422B8"/>
    <w:rsid w:val="00442376"/>
    <w:rsid w:val="0044254E"/>
    <w:rsid w:val="00442575"/>
    <w:rsid w:val="0044268A"/>
    <w:rsid w:val="004426A9"/>
    <w:rsid w:val="00442785"/>
    <w:rsid w:val="004427D1"/>
    <w:rsid w:val="004427FA"/>
    <w:rsid w:val="00442817"/>
    <w:rsid w:val="00442825"/>
    <w:rsid w:val="00442849"/>
    <w:rsid w:val="00442911"/>
    <w:rsid w:val="004429F0"/>
    <w:rsid w:val="00442AB2"/>
    <w:rsid w:val="00442BCD"/>
    <w:rsid w:val="00442C29"/>
    <w:rsid w:val="00442C6A"/>
    <w:rsid w:val="00442CA7"/>
    <w:rsid w:val="00442D36"/>
    <w:rsid w:val="00442D7D"/>
    <w:rsid w:val="00442E7C"/>
    <w:rsid w:val="00442EDA"/>
    <w:rsid w:val="00442F80"/>
    <w:rsid w:val="00443119"/>
    <w:rsid w:val="004431A8"/>
    <w:rsid w:val="004432D7"/>
    <w:rsid w:val="0044340E"/>
    <w:rsid w:val="00443453"/>
    <w:rsid w:val="0044348B"/>
    <w:rsid w:val="004434DA"/>
    <w:rsid w:val="00443597"/>
    <w:rsid w:val="00443599"/>
    <w:rsid w:val="004435A3"/>
    <w:rsid w:val="004435C7"/>
    <w:rsid w:val="00443628"/>
    <w:rsid w:val="004436CA"/>
    <w:rsid w:val="004436DD"/>
    <w:rsid w:val="00443761"/>
    <w:rsid w:val="0044380F"/>
    <w:rsid w:val="00443811"/>
    <w:rsid w:val="00443891"/>
    <w:rsid w:val="00443A75"/>
    <w:rsid w:val="00443AD3"/>
    <w:rsid w:val="00443AFF"/>
    <w:rsid w:val="00443B86"/>
    <w:rsid w:val="00443BEC"/>
    <w:rsid w:val="00443C43"/>
    <w:rsid w:val="00443C9C"/>
    <w:rsid w:val="00443CB4"/>
    <w:rsid w:val="00443CD8"/>
    <w:rsid w:val="00443D0F"/>
    <w:rsid w:val="00443DB1"/>
    <w:rsid w:val="00443ED4"/>
    <w:rsid w:val="00443F17"/>
    <w:rsid w:val="00443F1E"/>
    <w:rsid w:val="00444031"/>
    <w:rsid w:val="00444066"/>
    <w:rsid w:val="00444117"/>
    <w:rsid w:val="0044415E"/>
    <w:rsid w:val="004441F4"/>
    <w:rsid w:val="00444254"/>
    <w:rsid w:val="0044435F"/>
    <w:rsid w:val="0044447B"/>
    <w:rsid w:val="0044460E"/>
    <w:rsid w:val="00444664"/>
    <w:rsid w:val="0044485B"/>
    <w:rsid w:val="004448ED"/>
    <w:rsid w:val="0044494F"/>
    <w:rsid w:val="0044495C"/>
    <w:rsid w:val="004449B1"/>
    <w:rsid w:val="00444A0C"/>
    <w:rsid w:val="00444A15"/>
    <w:rsid w:val="00444A29"/>
    <w:rsid w:val="00444A52"/>
    <w:rsid w:val="00444AA7"/>
    <w:rsid w:val="00444B24"/>
    <w:rsid w:val="00444BB4"/>
    <w:rsid w:val="00444BD1"/>
    <w:rsid w:val="00444C1D"/>
    <w:rsid w:val="00444C4D"/>
    <w:rsid w:val="00444D60"/>
    <w:rsid w:val="00444D7F"/>
    <w:rsid w:val="00444DBE"/>
    <w:rsid w:val="00444EA3"/>
    <w:rsid w:val="00445030"/>
    <w:rsid w:val="00445058"/>
    <w:rsid w:val="0044505C"/>
    <w:rsid w:val="0044519A"/>
    <w:rsid w:val="00445213"/>
    <w:rsid w:val="00445267"/>
    <w:rsid w:val="004452F9"/>
    <w:rsid w:val="0044531E"/>
    <w:rsid w:val="0044533D"/>
    <w:rsid w:val="00445474"/>
    <w:rsid w:val="00445496"/>
    <w:rsid w:val="004454C5"/>
    <w:rsid w:val="00445587"/>
    <w:rsid w:val="004455A9"/>
    <w:rsid w:val="0044562D"/>
    <w:rsid w:val="004457DB"/>
    <w:rsid w:val="0044583D"/>
    <w:rsid w:val="0044585C"/>
    <w:rsid w:val="0044588F"/>
    <w:rsid w:val="00445897"/>
    <w:rsid w:val="00445947"/>
    <w:rsid w:val="0044594D"/>
    <w:rsid w:val="00445973"/>
    <w:rsid w:val="004459B4"/>
    <w:rsid w:val="004459EC"/>
    <w:rsid w:val="00445AB3"/>
    <w:rsid w:val="00445BA9"/>
    <w:rsid w:val="00445BCE"/>
    <w:rsid w:val="00445D61"/>
    <w:rsid w:val="00445E93"/>
    <w:rsid w:val="00445EB4"/>
    <w:rsid w:val="00446063"/>
    <w:rsid w:val="0044608C"/>
    <w:rsid w:val="004460D7"/>
    <w:rsid w:val="00446161"/>
    <w:rsid w:val="004461EA"/>
    <w:rsid w:val="0044627D"/>
    <w:rsid w:val="004462A0"/>
    <w:rsid w:val="004462C9"/>
    <w:rsid w:val="004462E2"/>
    <w:rsid w:val="00446619"/>
    <w:rsid w:val="004466BB"/>
    <w:rsid w:val="004466C7"/>
    <w:rsid w:val="0044675E"/>
    <w:rsid w:val="00446841"/>
    <w:rsid w:val="00446945"/>
    <w:rsid w:val="00446A31"/>
    <w:rsid w:val="00446C29"/>
    <w:rsid w:val="00446CA7"/>
    <w:rsid w:val="00446CCE"/>
    <w:rsid w:val="00446E29"/>
    <w:rsid w:val="00446E37"/>
    <w:rsid w:val="00446E4D"/>
    <w:rsid w:val="00446E5B"/>
    <w:rsid w:val="00446E5E"/>
    <w:rsid w:val="00446EEE"/>
    <w:rsid w:val="0044712B"/>
    <w:rsid w:val="004471AB"/>
    <w:rsid w:val="00447209"/>
    <w:rsid w:val="0044725C"/>
    <w:rsid w:val="00447261"/>
    <w:rsid w:val="004472F9"/>
    <w:rsid w:val="00447347"/>
    <w:rsid w:val="0044739F"/>
    <w:rsid w:val="0044740B"/>
    <w:rsid w:val="00447425"/>
    <w:rsid w:val="004474D1"/>
    <w:rsid w:val="0044753F"/>
    <w:rsid w:val="0044757B"/>
    <w:rsid w:val="004475BC"/>
    <w:rsid w:val="00447667"/>
    <w:rsid w:val="00447686"/>
    <w:rsid w:val="00447756"/>
    <w:rsid w:val="004477A9"/>
    <w:rsid w:val="00447868"/>
    <w:rsid w:val="00447889"/>
    <w:rsid w:val="0044790E"/>
    <w:rsid w:val="00447970"/>
    <w:rsid w:val="004479F1"/>
    <w:rsid w:val="00447AF6"/>
    <w:rsid w:val="00447C5C"/>
    <w:rsid w:val="00447CFD"/>
    <w:rsid w:val="00447D2F"/>
    <w:rsid w:val="00447DEB"/>
    <w:rsid w:val="00447E2C"/>
    <w:rsid w:val="00447EF7"/>
    <w:rsid w:val="00447F14"/>
    <w:rsid w:val="00447FC5"/>
    <w:rsid w:val="0045005C"/>
    <w:rsid w:val="00450085"/>
    <w:rsid w:val="004500F7"/>
    <w:rsid w:val="004501C3"/>
    <w:rsid w:val="00450308"/>
    <w:rsid w:val="00450322"/>
    <w:rsid w:val="00450363"/>
    <w:rsid w:val="0045038E"/>
    <w:rsid w:val="00450397"/>
    <w:rsid w:val="0045047E"/>
    <w:rsid w:val="00450507"/>
    <w:rsid w:val="004505AE"/>
    <w:rsid w:val="004505C3"/>
    <w:rsid w:val="0045063F"/>
    <w:rsid w:val="00450641"/>
    <w:rsid w:val="0045064C"/>
    <w:rsid w:val="004506EB"/>
    <w:rsid w:val="00450843"/>
    <w:rsid w:val="004508B1"/>
    <w:rsid w:val="0045099B"/>
    <w:rsid w:val="004509DD"/>
    <w:rsid w:val="00450A44"/>
    <w:rsid w:val="00450A4B"/>
    <w:rsid w:val="00450A7F"/>
    <w:rsid w:val="00450AEE"/>
    <w:rsid w:val="00450BAE"/>
    <w:rsid w:val="00450C17"/>
    <w:rsid w:val="00450C26"/>
    <w:rsid w:val="00450C78"/>
    <w:rsid w:val="00450C7E"/>
    <w:rsid w:val="00450CB5"/>
    <w:rsid w:val="00450D7D"/>
    <w:rsid w:val="00450E77"/>
    <w:rsid w:val="00450ECD"/>
    <w:rsid w:val="00450EEB"/>
    <w:rsid w:val="00450F94"/>
    <w:rsid w:val="00450FD4"/>
    <w:rsid w:val="00451092"/>
    <w:rsid w:val="004511D8"/>
    <w:rsid w:val="004512B0"/>
    <w:rsid w:val="004513CC"/>
    <w:rsid w:val="004513D4"/>
    <w:rsid w:val="004514A8"/>
    <w:rsid w:val="00451533"/>
    <w:rsid w:val="00451550"/>
    <w:rsid w:val="00451573"/>
    <w:rsid w:val="004516E3"/>
    <w:rsid w:val="00451759"/>
    <w:rsid w:val="004517BD"/>
    <w:rsid w:val="00451805"/>
    <w:rsid w:val="004519E7"/>
    <w:rsid w:val="00451A91"/>
    <w:rsid w:val="00451B2B"/>
    <w:rsid w:val="00451C25"/>
    <w:rsid w:val="00451D0B"/>
    <w:rsid w:val="00451E47"/>
    <w:rsid w:val="00451F6F"/>
    <w:rsid w:val="00451FDA"/>
    <w:rsid w:val="00451FEA"/>
    <w:rsid w:val="00451FF7"/>
    <w:rsid w:val="00452069"/>
    <w:rsid w:val="004520E6"/>
    <w:rsid w:val="004521AA"/>
    <w:rsid w:val="00452380"/>
    <w:rsid w:val="004523A4"/>
    <w:rsid w:val="004523B0"/>
    <w:rsid w:val="00452461"/>
    <w:rsid w:val="0045257D"/>
    <w:rsid w:val="004525FF"/>
    <w:rsid w:val="00452747"/>
    <w:rsid w:val="00452777"/>
    <w:rsid w:val="0045279C"/>
    <w:rsid w:val="00452913"/>
    <w:rsid w:val="0045292F"/>
    <w:rsid w:val="00452941"/>
    <w:rsid w:val="004529CB"/>
    <w:rsid w:val="00452A43"/>
    <w:rsid w:val="00452A80"/>
    <w:rsid w:val="00452ABA"/>
    <w:rsid w:val="00452B23"/>
    <w:rsid w:val="00452B47"/>
    <w:rsid w:val="00452B7C"/>
    <w:rsid w:val="00452B8A"/>
    <w:rsid w:val="00452BA6"/>
    <w:rsid w:val="00452BB6"/>
    <w:rsid w:val="00452BBB"/>
    <w:rsid w:val="00452C65"/>
    <w:rsid w:val="00452DFB"/>
    <w:rsid w:val="00452E39"/>
    <w:rsid w:val="00452E3F"/>
    <w:rsid w:val="00452E49"/>
    <w:rsid w:val="00452E4E"/>
    <w:rsid w:val="00452EE2"/>
    <w:rsid w:val="00452FF7"/>
    <w:rsid w:val="00453051"/>
    <w:rsid w:val="00453063"/>
    <w:rsid w:val="00453094"/>
    <w:rsid w:val="0045313A"/>
    <w:rsid w:val="004531FF"/>
    <w:rsid w:val="0045323A"/>
    <w:rsid w:val="00453460"/>
    <w:rsid w:val="00453465"/>
    <w:rsid w:val="004534A8"/>
    <w:rsid w:val="0045352E"/>
    <w:rsid w:val="0045359D"/>
    <w:rsid w:val="00453693"/>
    <w:rsid w:val="004536A2"/>
    <w:rsid w:val="00453771"/>
    <w:rsid w:val="00453816"/>
    <w:rsid w:val="0045381F"/>
    <w:rsid w:val="00453978"/>
    <w:rsid w:val="00453981"/>
    <w:rsid w:val="00453B70"/>
    <w:rsid w:val="00453BB9"/>
    <w:rsid w:val="00453C4D"/>
    <w:rsid w:val="00453D0D"/>
    <w:rsid w:val="00453DC1"/>
    <w:rsid w:val="00453EAF"/>
    <w:rsid w:val="00453ECA"/>
    <w:rsid w:val="00453F15"/>
    <w:rsid w:val="00453FE4"/>
    <w:rsid w:val="00453FF7"/>
    <w:rsid w:val="00454002"/>
    <w:rsid w:val="0045414E"/>
    <w:rsid w:val="00454172"/>
    <w:rsid w:val="004541C7"/>
    <w:rsid w:val="004541EB"/>
    <w:rsid w:val="00454240"/>
    <w:rsid w:val="00454290"/>
    <w:rsid w:val="00454347"/>
    <w:rsid w:val="004543F5"/>
    <w:rsid w:val="00454410"/>
    <w:rsid w:val="00454433"/>
    <w:rsid w:val="00454437"/>
    <w:rsid w:val="004544FA"/>
    <w:rsid w:val="004545A7"/>
    <w:rsid w:val="004545F3"/>
    <w:rsid w:val="0045467F"/>
    <w:rsid w:val="00454692"/>
    <w:rsid w:val="004547D0"/>
    <w:rsid w:val="004547E3"/>
    <w:rsid w:val="0045481A"/>
    <w:rsid w:val="0045486A"/>
    <w:rsid w:val="00454947"/>
    <w:rsid w:val="004549ED"/>
    <w:rsid w:val="00454AA4"/>
    <w:rsid w:val="00454B55"/>
    <w:rsid w:val="00454B7A"/>
    <w:rsid w:val="00454C89"/>
    <w:rsid w:val="00454CDE"/>
    <w:rsid w:val="00454E11"/>
    <w:rsid w:val="00454F63"/>
    <w:rsid w:val="00454FC2"/>
    <w:rsid w:val="00454FD6"/>
    <w:rsid w:val="00455001"/>
    <w:rsid w:val="00455020"/>
    <w:rsid w:val="0045505A"/>
    <w:rsid w:val="0045509A"/>
    <w:rsid w:val="0045512F"/>
    <w:rsid w:val="004551B5"/>
    <w:rsid w:val="0045521D"/>
    <w:rsid w:val="0045523D"/>
    <w:rsid w:val="004552B5"/>
    <w:rsid w:val="004552E2"/>
    <w:rsid w:val="004552FB"/>
    <w:rsid w:val="00455357"/>
    <w:rsid w:val="00455495"/>
    <w:rsid w:val="004555B3"/>
    <w:rsid w:val="00455620"/>
    <w:rsid w:val="00455684"/>
    <w:rsid w:val="00455783"/>
    <w:rsid w:val="004557DD"/>
    <w:rsid w:val="00455811"/>
    <w:rsid w:val="00455875"/>
    <w:rsid w:val="00455894"/>
    <w:rsid w:val="00455971"/>
    <w:rsid w:val="00455986"/>
    <w:rsid w:val="00455A2F"/>
    <w:rsid w:val="00455A3B"/>
    <w:rsid w:val="00455A71"/>
    <w:rsid w:val="00455AA0"/>
    <w:rsid w:val="00455AF3"/>
    <w:rsid w:val="00455C51"/>
    <w:rsid w:val="00455D39"/>
    <w:rsid w:val="00455D53"/>
    <w:rsid w:val="00455D6D"/>
    <w:rsid w:val="00455DCF"/>
    <w:rsid w:val="00455ECF"/>
    <w:rsid w:val="00455F6B"/>
    <w:rsid w:val="00456043"/>
    <w:rsid w:val="004560E0"/>
    <w:rsid w:val="004560F1"/>
    <w:rsid w:val="00456113"/>
    <w:rsid w:val="004561CA"/>
    <w:rsid w:val="00456411"/>
    <w:rsid w:val="0045645A"/>
    <w:rsid w:val="00456576"/>
    <w:rsid w:val="00456650"/>
    <w:rsid w:val="004566A9"/>
    <w:rsid w:val="00456738"/>
    <w:rsid w:val="0045675F"/>
    <w:rsid w:val="0045678F"/>
    <w:rsid w:val="00456873"/>
    <w:rsid w:val="00456961"/>
    <w:rsid w:val="00456974"/>
    <w:rsid w:val="00456A19"/>
    <w:rsid w:val="00456AD6"/>
    <w:rsid w:val="00456B0C"/>
    <w:rsid w:val="00456B10"/>
    <w:rsid w:val="00456B2A"/>
    <w:rsid w:val="00456C28"/>
    <w:rsid w:val="00456CFD"/>
    <w:rsid w:val="00456D88"/>
    <w:rsid w:val="00456DC7"/>
    <w:rsid w:val="00456E1F"/>
    <w:rsid w:val="00456EAC"/>
    <w:rsid w:val="00456F1C"/>
    <w:rsid w:val="00456F25"/>
    <w:rsid w:val="00456F7A"/>
    <w:rsid w:val="00457088"/>
    <w:rsid w:val="004570C7"/>
    <w:rsid w:val="00457193"/>
    <w:rsid w:val="00457210"/>
    <w:rsid w:val="00457498"/>
    <w:rsid w:val="0045757B"/>
    <w:rsid w:val="004575BD"/>
    <w:rsid w:val="004575F3"/>
    <w:rsid w:val="00457658"/>
    <w:rsid w:val="004576BF"/>
    <w:rsid w:val="004576F5"/>
    <w:rsid w:val="004576FD"/>
    <w:rsid w:val="00457750"/>
    <w:rsid w:val="00457847"/>
    <w:rsid w:val="0045787F"/>
    <w:rsid w:val="00457933"/>
    <w:rsid w:val="00457A1C"/>
    <w:rsid w:val="00457AC0"/>
    <w:rsid w:val="00457BB4"/>
    <w:rsid w:val="00457BBD"/>
    <w:rsid w:val="00457C41"/>
    <w:rsid w:val="00457C4F"/>
    <w:rsid w:val="00457C86"/>
    <w:rsid w:val="00457C99"/>
    <w:rsid w:val="00457E01"/>
    <w:rsid w:val="00457E7E"/>
    <w:rsid w:val="00457FCA"/>
    <w:rsid w:val="0046004B"/>
    <w:rsid w:val="0046006C"/>
    <w:rsid w:val="0046006D"/>
    <w:rsid w:val="004600CB"/>
    <w:rsid w:val="00460105"/>
    <w:rsid w:val="004602BC"/>
    <w:rsid w:val="0046036F"/>
    <w:rsid w:val="004604A1"/>
    <w:rsid w:val="004604A6"/>
    <w:rsid w:val="004604D9"/>
    <w:rsid w:val="004606DA"/>
    <w:rsid w:val="00460729"/>
    <w:rsid w:val="004607A5"/>
    <w:rsid w:val="00460839"/>
    <w:rsid w:val="00460898"/>
    <w:rsid w:val="004608FF"/>
    <w:rsid w:val="00460945"/>
    <w:rsid w:val="00460957"/>
    <w:rsid w:val="0046097D"/>
    <w:rsid w:val="0046097E"/>
    <w:rsid w:val="004609E8"/>
    <w:rsid w:val="004609EA"/>
    <w:rsid w:val="004609EE"/>
    <w:rsid w:val="00460A37"/>
    <w:rsid w:val="00460A5F"/>
    <w:rsid w:val="00460D49"/>
    <w:rsid w:val="00460D85"/>
    <w:rsid w:val="00460DBF"/>
    <w:rsid w:val="00460E57"/>
    <w:rsid w:val="00460E71"/>
    <w:rsid w:val="00460EC6"/>
    <w:rsid w:val="00460F6C"/>
    <w:rsid w:val="00460FAC"/>
    <w:rsid w:val="00460FC6"/>
    <w:rsid w:val="004610D4"/>
    <w:rsid w:val="0046110B"/>
    <w:rsid w:val="00461116"/>
    <w:rsid w:val="0046116A"/>
    <w:rsid w:val="0046118C"/>
    <w:rsid w:val="004611F4"/>
    <w:rsid w:val="004611F8"/>
    <w:rsid w:val="004613AE"/>
    <w:rsid w:val="0046142D"/>
    <w:rsid w:val="00461516"/>
    <w:rsid w:val="00461627"/>
    <w:rsid w:val="0046164D"/>
    <w:rsid w:val="00461823"/>
    <w:rsid w:val="00461828"/>
    <w:rsid w:val="00461841"/>
    <w:rsid w:val="00461935"/>
    <w:rsid w:val="004619D8"/>
    <w:rsid w:val="00461A2E"/>
    <w:rsid w:val="00461A93"/>
    <w:rsid w:val="00461AE7"/>
    <w:rsid w:val="00461B76"/>
    <w:rsid w:val="00461BC4"/>
    <w:rsid w:val="00461C4C"/>
    <w:rsid w:val="00461C7E"/>
    <w:rsid w:val="00461E9C"/>
    <w:rsid w:val="00461F83"/>
    <w:rsid w:val="00462054"/>
    <w:rsid w:val="004620A4"/>
    <w:rsid w:val="004620CC"/>
    <w:rsid w:val="004620FB"/>
    <w:rsid w:val="0046219A"/>
    <w:rsid w:val="004621E2"/>
    <w:rsid w:val="004622A9"/>
    <w:rsid w:val="004622F3"/>
    <w:rsid w:val="004624FD"/>
    <w:rsid w:val="0046250B"/>
    <w:rsid w:val="00462580"/>
    <w:rsid w:val="0046259E"/>
    <w:rsid w:val="00462633"/>
    <w:rsid w:val="00462650"/>
    <w:rsid w:val="00462669"/>
    <w:rsid w:val="0046275E"/>
    <w:rsid w:val="0046280A"/>
    <w:rsid w:val="0046280D"/>
    <w:rsid w:val="00462838"/>
    <w:rsid w:val="004628DB"/>
    <w:rsid w:val="0046297D"/>
    <w:rsid w:val="004629C1"/>
    <w:rsid w:val="00462AEE"/>
    <w:rsid w:val="00462B62"/>
    <w:rsid w:val="00462BAC"/>
    <w:rsid w:val="00462BC0"/>
    <w:rsid w:val="00462CB4"/>
    <w:rsid w:val="00462D69"/>
    <w:rsid w:val="00462DF8"/>
    <w:rsid w:val="00462E42"/>
    <w:rsid w:val="00462F47"/>
    <w:rsid w:val="00462F79"/>
    <w:rsid w:val="00462F90"/>
    <w:rsid w:val="00462F97"/>
    <w:rsid w:val="00462FC4"/>
    <w:rsid w:val="00463074"/>
    <w:rsid w:val="00463075"/>
    <w:rsid w:val="0046316B"/>
    <w:rsid w:val="00463223"/>
    <w:rsid w:val="004632BD"/>
    <w:rsid w:val="004632E9"/>
    <w:rsid w:val="004633DD"/>
    <w:rsid w:val="00463493"/>
    <w:rsid w:val="00463674"/>
    <w:rsid w:val="004636CC"/>
    <w:rsid w:val="00463729"/>
    <w:rsid w:val="0046391C"/>
    <w:rsid w:val="0046392B"/>
    <w:rsid w:val="00463944"/>
    <w:rsid w:val="004639AD"/>
    <w:rsid w:val="00463A05"/>
    <w:rsid w:val="00463A87"/>
    <w:rsid w:val="00463B3F"/>
    <w:rsid w:val="00463BCE"/>
    <w:rsid w:val="00463C53"/>
    <w:rsid w:val="00463C68"/>
    <w:rsid w:val="00463C71"/>
    <w:rsid w:val="00463C93"/>
    <w:rsid w:val="00463D28"/>
    <w:rsid w:val="00463D5D"/>
    <w:rsid w:val="00463DEE"/>
    <w:rsid w:val="00463E25"/>
    <w:rsid w:val="00463EA8"/>
    <w:rsid w:val="00463EEF"/>
    <w:rsid w:val="00463F49"/>
    <w:rsid w:val="00463F56"/>
    <w:rsid w:val="0046411C"/>
    <w:rsid w:val="00464199"/>
    <w:rsid w:val="004641CB"/>
    <w:rsid w:val="004641D2"/>
    <w:rsid w:val="00464221"/>
    <w:rsid w:val="004642F1"/>
    <w:rsid w:val="004643AF"/>
    <w:rsid w:val="00464489"/>
    <w:rsid w:val="00464515"/>
    <w:rsid w:val="00464641"/>
    <w:rsid w:val="004646A8"/>
    <w:rsid w:val="004646D1"/>
    <w:rsid w:val="00464708"/>
    <w:rsid w:val="0046479B"/>
    <w:rsid w:val="00464841"/>
    <w:rsid w:val="0046486A"/>
    <w:rsid w:val="004648A8"/>
    <w:rsid w:val="004648FD"/>
    <w:rsid w:val="0046494A"/>
    <w:rsid w:val="00464A38"/>
    <w:rsid w:val="00464A78"/>
    <w:rsid w:val="00464A8B"/>
    <w:rsid w:val="00464AE1"/>
    <w:rsid w:val="00464B37"/>
    <w:rsid w:val="00464B52"/>
    <w:rsid w:val="00464BFB"/>
    <w:rsid w:val="00464D63"/>
    <w:rsid w:val="00464DB4"/>
    <w:rsid w:val="00464ED0"/>
    <w:rsid w:val="00464F0F"/>
    <w:rsid w:val="00464F35"/>
    <w:rsid w:val="00464FD8"/>
    <w:rsid w:val="0046508D"/>
    <w:rsid w:val="004651A3"/>
    <w:rsid w:val="0046521B"/>
    <w:rsid w:val="00465220"/>
    <w:rsid w:val="004652E8"/>
    <w:rsid w:val="00465377"/>
    <w:rsid w:val="004653A0"/>
    <w:rsid w:val="004653F9"/>
    <w:rsid w:val="00465427"/>
    <w:rsid w:val="0046548F"/>
    <w:rsid w:val="004654CC"/>
    <w:rsid w:val="004655EB"/>
    <w:rsid w:val="0046565D"/>
    <w:rsid w:val="00465671"/>
    <w:rsid w:val="004656C2"/>
    <w:rsid w:val="004656FB"/>
    <w:rsid w:val="0046585E"/>
    <w:rsid w:val="004658A0"/>
    <w:rsid w:val="00465972"/>
    <w:rsid w:val="00465981"/>
    <w:rsid w:val="004659D3"/>
    <w:rsid w:val="00465B11"/>
    <w:rsid w:val="00465B37"/>
    <w:rsid w:val="00465B5B"/>
    <w:rsid w:val="00465B7B"/>
    <w:rsid w:val="00465CDC"/>
    <w:rsid w:val="00465CE5"/>
    <w:rsid w:val="00465D5C"/>
    <w:rsid w:val="00465DEE"/>
    <w:rsid w:val="00465FF6"/>
    <w:rsid w:val="00466125"/>
    <w:rsid w:val="0046617E"/>
    <w:rsid w:val="004661BA"/>
    <w:rsid w:val="004661CA"/>
    <w:rsid w:val="0046620D"/>
    <w:rsid w:val="00466306"/>
    <w:rsid w:val="00466500"/>
    <w:rsid w:val="0046650D"/>
    <w:rsid w:val="00466543"/>
    <w:rsid w:val="0046666C"/>
    <w:rsid w:val="00466703"/>
    <w:rsid w:val="0046670E"/>
    <w:rsid w:val="004667C5"/>
    <w:rsid w:val="004667F6"/>
    <w:rsid w:val="00466882"/>
    <w:rsid w:val="00466985"/>
    <w:rsid w:val="00466ABD"/>
    <w:rsid w:val="00466B24"/>
    <w:rsid w:val="00466B81"/>
    <w:rsid w:val="00466B83"/>
    <w:rsid w:val="00466BBB"/>
    <w:rsid w:val="00466BD5"/>
    <w:rsid w:val="00466CE0"/>
    <w:rsid w:val="00466D05"/>
    <w:rsid w:val="00466D07"/>
    <w:rsid w:val="00466DD8"/>
    <w:rsid w:val="00466E05"/>
    <w:rsid w:val="00466E31"/>
    <w:rsid w:val="00466E76"/>
    <w:rsid w:val="00466EE1"/>
    <w:rsid w:val="00466F79"/>
    <w:rsid w:val="00466FC5"/>
    <w:rsid w:val="0046701D"/>
    <w:rsid w:val="00467097"/>
    <w:rsid w:val="004670FE"/>
    <w:rsid w:val="00467103"/>
    <w:rsid w:val="004671B6"/>
    <w:rsid w:val="00467212"/>
    <w:rsid w:val="0046725B"/>
    <w:rsid w:val="004672F9"/>
    <w:rsid w:val="004672FD"/>
    <w:rsid w:val="0046738B"/>
    <w:rsid w:val="004673B2"/>
    <w:rsid w:val="0046752B"/>
    <w:rsid w:val="00467643"/>
    <w:rsid w:val="004676C1"/>
    <w:rsid w:val="0046770E"/>
    <w:rsid w:val="00467751"/>
    <w:rsid w:val="004677BB"/>
    <w:rsid w:val="00467963"/>
    <w:rsid w:val="00467995"/>
    <w:rsid w:val="004679A6"/>
    <w:rsid w:val="004679B7"/>
    <w:rsid w:val="004679E7"/>
    <w:rsid w:val="00467A89"/>
    <w:rsid w:val="00467A8B"/>
    <w:rsid w:val="00467AF5"/>
    <w:rsid w:val="00467B97"/>
    <w:rsid w:val="00467BCD"/>
    <w:rsid w:val="00467CA0"/>
    <w:rsid w:val="00467CCF"/>
    <w:rsid w:val="00467D1A"/>
    <w:rsid w:val="00467D2F"/>
    <w:rsid w:val="00467D95"/>
    <w:rsid w:val="00467E08"/>
    <w:rsid w:val="00467F9E"/>
    <w:rsid w:val="00467FF0"/>
    <w:rsid w:val="00470024"/>
    <w:rsid w:val="004700B5"/>
    <w:rsid w:val="00470102"/>
    <w:rsid w:val="00470107"/>
    <w:rsid w:val="004701F5"/>
    <w:rsid w:val="00470250"/>
    <w:rsid w:val="00470322"/>
    <w:rsid w:val="00470366"/>
    <w:rsid w:val="004703E7"/>
    <w:rsid w:val="0047040A"/>
    <w:rsid w:val="004704DB"/>
    <w:rsid w:val="00470506"/>
    <w:rsid w:val="0047056A"/>
    <w:rsid w:val="004705D0"/>
    <w:rsid w:val="0047060F"/>
    <w:rsid w:val="00470639"/>
    <w:rsid w:val="004706ED"/>
    <w:rsid w:val="00470795"/>
    <w:rsid w:val="004707B1"/>
    <w:rsid w:val="004707BC"/>
    <w:rsid w:val="004708EA"/>
    <w:rsid w:val="00470950"/>
    <w:rsid w:val="004709A9"/>
    <w:rsid w:val="004709EF"/>
    <w:rsid w:val="00470ACE"/>
    <w:rsid w:val="00470B4B"/>
    <w:rsid w:val="00470BF8"/>
    <w:rsid w:val="00470CD3"/>
    <w:rsid w:val="00470D1B"/>
    <w:rsid w:val="00470D20"/>
    <w:rsid w:val="00470E8B"/>
    <w:rsid w:val="00470EC2"/>
    <w:rsid w:val="00470EF9"/>
    <w:rsid w:val="00470F3B"/>
    <w:rsid w:val="00470F6D"/>
    <w:rsid w:val="00470FBD"/>
    <w:rsid w:val="004710EC"/>
    <w:rsid w:val="0047111B"/>
    <w:rsid w:val="00471194"/>
    <w:rsid w:val="00471269"/>
    <w:rsid w:val="004712A9"/>
    <w:rsid w:val="004712D3"/>
    <w:rsid w:val="004712FB"/>
    <w:rsid w:val="00471463"/>
    <w:rsid w:val="00471599"/>
    <w:rsid w:val="00471677"/>
    <w:rsid w:val="00471835"/>
    <w:rsid w:val="00471B0C"/>
    <w:rsid w:val="00471B2F"/>
    <w:rsid w:val="00471BAA"/>
    <w:rsid w:val="00471BED"/>
    <w:rsid w:val="00471BFC"/>
    <w:rsid w:val="00471CBC"/>
    <w:rsid w:val="00471CC2"/>
    <w:rsid w:val="00471CFD"/>
    <w:rsid w:val="00471D0F"/>
    <w:rsid w:val="00471DA7"/>
    <w:rsid w:val="00471E0E"/>
    <w:rsid w:val="00472183"/>
    <w:rsid w:val="0047224A"/>
    <w:rsid w:val="00472394"/>
    <w:rsid w:val="004723C7"/>
    <w:rsid w:val="00472445"/>
    <w:rsid w:val="00472512"/>
    <w:rsid w:val="00472544"/>
    <w:rsid w:val="0047255E"/>
    <w:rsid w:val="004725AC"/>
    <w:rsid w:val="004725DE"/>
    <w:rsid w:val="004725EB"/>
    <w:rsid w:val="004726AD"/>
    <w:rsid w:val="004726E1"/>
    <w:rsid w:val="004727E3"/>
    <w:rsid w:val="0047283C"/>
    <w:rsid w:val="004728F4"/>
    <w:rsid w:val="00472938"/>
    <w:rsid w:val="00472A04"/>
    <w:rsid w:val="00472A07"/>
    <w:rsid w:val="00472ABA"/>
    <w:rsid w:val="00472C1B"/>
    <w:rsid w:val="00472CE4"/>
    <w:rsid w:val="00472D10"/>
    <w:rsid w:val="00472DC5"/>
    <w:rsid w:val="0047315C"/>
    <w:rsid w:val="00473174"/>
    <w:rsid w:val="004731F8"/>
    <w:rsid w:val="00473279"/>
    <w:rsid w:val="00473283"/>
    <w:rsid w:val="004732A1"/>
    <w:rsid w:val="00473399"/>
    <w:rsid w:val="004733D4"/>
    <w:rsid w:val="004733F8"/>
    <w:rsid w:val="0047340E"/>
    <w:rsid w:val="00473463"/>
    <w:rsid w:val="00473554"/>
    <w:rsid w:val="00473635"/>
    <w:rsid w:val="00473647"/>
    <w:rsid w:val="004736DC"/>
    <w:rsid w:val="004737A1"/>
    <w:rsid w:val="00473939"/>
    <w:rsid w:val="00473966"/>
    <w:rsid w:val="004739E7"/>
    <w:rsid w:val="00473B26"/>
    <w:rsid w:val="00473B96"/>
    <w:rsid w:val="00473BAB"/>
    <w:rsid w:val="00473C03"/>
    <w:rsid w:val="00473C72"/>
    <w:rsid w:val="00473CA7"/>
    <w:rsid w:val="00473CB6"/>
    <w:rsid w:val="00473D75"/>
    <w:rsid w:val="00473DB1"/>
    <w:rsid w:val="00473DF3"/>
    <w:rsid w:val="00473E49"/>
    <w:rsid w:val="00473E5B"/>
    <w:rsid w:val="00473F09"/>
    <w:rsid w:val="00473F50"/>
    <w:rsid w:val="00473F61"/>
    <w:rsid w:val="004740B8"/>
    <w:rsid w:val="004740CE"/>
    <w:rsid w:val="004740E3"/>
    <w:rsid w:val="00474210"/>
    <w:rsid w:val="00474411"/>
    <w:rsid w:val="00474458"/>
    <w:rsid w:val="00474566"/>
    <w:rsid w:val="004745F4"/>
    <w:rsid w:val="00474648"/>
    <w:rsid w:val="00474657"/>
    <w:rsid w:val="004746FB"/>
    <w:rsid w:val="00474755"/>
    <w:rsid w:val="004747D3"/>
    <w:rsid w:val="00474925"/>
    <w:rsid w:val="004749B1"/>
    <w:rsid w:val="00474A35"/>
    <w:rsid w:val="00474C5A"/>
    <w:rsid w:val="00474DC8"/>
    <w:rsid w:val="00474E01"/>
    <w:rsid w:val="00474E7E"/>
    <w:rsid w:val="00474EAD"/>
    <w:rsid w:val="00474F2E"/>
    <w:rsid w:val="00474F9A"/>
    <w:rsid w:val="00474FA7"/>
    <w:rsid w:val="00475023"/>
    <w:rsid w:val="00475064"/>
    <w:rsid w:val="004750C2"/>
    <w:rsid w:val="0047535C"/>
    <w:rsid w:val="004753D1"/>
    <w:rsid w:val="004753F4"/>
    <w:rsid w:val="004753F5"/>
    <w:rsid w:val="0047547B"/>
    <w:rsid w:val="004754BA"/>
    <w:rsid w:val="00475579"/>
    <w:rsid w:val="00475590"/>
    <w:rsid w:val="00475598"/>
    <w:rsid w:val="004756EB"/>
    <w:rsid w:val="00475794"/>
    <w:rsid w:val="00475795"/>
    <w:rsid w:val="004757EF"/>
    <w:rsid w:val="00475881"/>
    <w:rsid w:val="00475897"/>
    <w:rsid w:val="004758DC"/>
    <w:rsid w:val="00475909"/>
    <w:rsid w:val="00475932"/>
    <w:rsid w:val="004759C4"/>
    <w:rsid w:val="004759D3"/>
    <w:rsid w:val="00475A41"/>
    <w:rsid w:val="00475AAE"/>
    <w:rsid w:val="00475BD3"/>
    <w:rsid w:val="00475C1E"/>
    <w:rsid w:val="00475C51"/>
    <w:rsid w:val="00475C96"/>
    <w:rsid w:val="00475CF2"/>
    <w:rsid w:val="00475D0B"/>
    <w:rsid w:val="00475D6B"/>
    <w:rsid w:val="00475DA5"/>
    <w:rsid w:val="00475E0D"/>
    <w:rsid w:val="00475E12"/>
    <w:rsid w:val="00475ED5"/>
    <w:rsid w:val="00476093"/>
    <w:rsid w:val="0047610C"/>
    <w:rsid w:val="004761E8"/>
    <w:rsid w:val="00476253"/>
    <w:rsid w:val="00476257"/>
    <w:rsid w:val="004762C9"/>
    <w:rsid w:val="00476360"/>
    <w:rsid w:val="004763C5"/>
    <w:rsid w:val="00476400"/>
    <w:rsid w:val="00476721"/>
    <w:rsid w:val="0047672D"/>
    <w:rsid w:val="0047674C"/>
    <w:rsid w:val="004767B8"/>
    <w:rsid w:val="00476830"/>
    <w:rsid w:val="00476867"/>
    <w:rsid w:val="00476897"/>
    <w:rsid w:val="004769B4"/>
    <w:rsid w:val="004769CD"/>
    <w:rsid w:val="004769E2"/>
    <w:rsid w:val="00476A48"/>
    <w:rsid w:val="00476A84"/>
    <w:rsid w:val="00476A8F"/>
    <w:rsid w:val="00476A9F"/>
    <w:rsid w:val="00476B4E"/>
    <w:rsid w:val="00476C29"/>
    <w:rsid w:val="00476C5A"/>
    <w:rsid w:val="00476DDA"/>
    <w:rsid w:val="00476ECE"/>
    <w:rsid w:val="00476EEB"/>
    <w:rsid w:val="00476FC2"/>
    <w:rsid w:val="00477101"/>
    <w:rsid w:val="004771AB"/>
    <w:rsid w:val="0047724B"/>
    <w:rsid w:val="00477260"/>
    <w:rsid w:val="00477267"/>
    <w:rsid w:val="00477332"/>
    <w:rsid w:val="00477455"/>
    <w:rsid w:val="004775A7"/>
    <w:rsid w:val="00477666"/>
    <w:rsid w:val="0047768D"/>
    <w:rsid w:val="00477721"/>
    <w:rsid w:val="00477778"/>
    <w:rsid w:val="0047792A"/>
    <w:rsid w:val="00477993"/>
    <w:rsid w:val="004779AE"/>
    <w:rsid w:val="00477A71"/>
    <w:rsid w:val="00477A9C"/>
    <w:rsid w:val="00477B91"/>
    <w:rsid w:val="00477BE3"/>
    <w:rsid w:val="00477C55"/>
    <w:rsid w:val="00477CD7"/>
    <w:rsid w:val="00477DA5"/>
    <w:rsid w:val="00477DE1"/>
    <w:rsid w:val="00477E23"/>
    <w:rsid w:val="00477E8F"/>
    <w:rsid w:val="00477F7C"/>
    <w:rsid w:val="0048006A"/>
    <w:rsid w:val="0048008B"/>
    <w:rsid w:val="0048008D"/>
    <w:rsid w:val="0048019B"/>
    <w:rsid w:val="004801DC"/>
    <w:rsid w:val="004801FA"/>
    <w:rsid w:val="0048021F"/>
    <w:rsid w:val="00480255"/>
    <w:rsid w:val="004802AE"/>
    <w:rsid w:val="004802B9"/>
    <w:rsid w:val="00480398"/>
    <w:rsid w:val="004803DD"/>
    <w:rsid w:val="004804AE"/>
    <w:rsid w:val="00480503"/>
    <w:rsid w:val="00480558"/>
    <w:rsid w:val="0048055F"/>
    <w:rsid w:val="0048057C"/>
    <w:rsid w:val="004805AC"/>
    <w:rsid w:val="0048060A"/>
    <w:rsid w:val="00480745"/>
    <w:rsid w:val="00480866"/>
    <w:rsid w:val="0048088E"/>
    <w:rsid w:val="0048089C"/>
    <w:rsid w:val="004808E9"/>
    <w:rsid w:val="004809EC"/>
    <w:rsid w:val="00480B0F"/>
    <w:rsid w:val="00480B2C"/>
    <w:rsid w:val="00480B39"/>
    <w:rsid w:val="00480BA2"/>
    <w:rsid w:val="00480C02"/>
    <w:rsid w:val="00480C1E"/>
    <w:rsid w:val="00480C9D"/>
    <w:rsid w:val="00480CBE"/>
    <w:rsid w:val="00480D6F"/>
    <w:rsid w:val="00480FE9"/>
    <w:rsid w:val="00481024"/>
    <w:rsid w:val="00481046"/>
    <w:rsid w:val="0048110A"/>
    <w:rsid w:val="004811A7"/>
    <w:rsid w:val="00481209"/>
    <w:rsid w:val="004813AA"/>
    <w:rsid w:val="004813BA"/>
    <w:rsid w:val="00481451"/>
    <w:rsid w:val="004814D9"/>
    <w:rsid w:val="004814FE"/>
    <w:rsid w:val="00481590"/>
    <w:rsid w:val="004815AA"/>
    <w:rsid w:val="004815F2"/>
    <w:rsid w:val="004816C0"/>
    <w:rsid w:val="004816C8"/>
    <w:rsid w:val="004816E8"/>
    <w:rsid w:val="00481879"/>
    <w:rsid w:val="004818B7"/>
    <w:rsid w:val="004818C5"/>
    <w:rsid w:val="004818E5"/>
    <w:rsid w:val="00481A88"/>
    <w:rsid w:val="00481AEE"/>
    <w:rsid w:val="00481B2E"/>
    <w:rsid w:val="00481C3A"/>
    <w:rsid w:val="00481C52"/>
    <w:rsid w:val="00481E41"/>
    <w:rsid w:val="0048200F"/>
    <w:rsid w:val="00482184"/>
    <w:rsid w:val="004821DB"/>
    <w:rsid w:val="00482214"/>
    <w:rsid w:val="00482244"/>
    <w:rsid w:val="0048226B"/>
    <w:rsid w:val="0048238C"/>
    <w:rsid w:val="00482412"/>
    <w:rsid w:val="0048245A"/>
    <w:rsid w:val="0048246A"/>
    <w:rsid w:val="0048251B"/>
    <w:rsid w:val="0048251D"/>
    <w:rsid w:val="004825A7"/>
    <w:rsid w:val="00482623"/>
    <w:rsid w:val="0048282F"/>
    <w:rsid w:val="0048284C"/>
    <w:rsid w:val="004828CA"/>
    <w:rsid w:val="0048298C"/>
    <w:rsid w:val="00482A53"/>
    <w:rsid w:val="00482B0A"/>
    <w:rsid w:val="00482C7C"/>
    <w:rsid w:val="00482CB9"/>
    <w:rsid w:val="00482CDC"/>
    <w:rsid w:val="00482DD2"/>
    <w:rsid w:val="00482EB3"/>
    <w:rsid w:val="00483158"/>
    <w:rsid w:val="0048317C"/>
    <w:rsid w:val="0048338D"/>
    <w:rsid w:val="004833AE"/>
    <w:rsid w:val="004835EE"/>
    <w:rsid w:val="004836A5"/>
    <w:rsid w:val="004836BC"/>
    <w:rsid w:val="0048374F"/>
    <w:rsid w:val="00483755"/>
    <w:rsid w:val="00483769"/>
    <w:rsid w:val="004837B4"/>
    <w:rsid w:val="004837D1"/>
    <w:rsid w:val="00483883"/>
    <w:rsid w:val="004838AA"/>
    <w:rsid w:val="004838C1"/>
    <w:rsid w:val="00483989"/>
    <w:rsid w:val="00483BA1"/>
    <w:rsid w:val="00483C7D"/>
    <w:rsid w:val="00483D45"/>
    <w:rsid w:val="00483D7D"/>
    <w:rsid w:val="00483DAE"/>
    <w:rsid w:val="00483DC5"/>
    <w:rsid w:val="00483F43"/>
    <w:rsid w:val="00483F73"/>
    <w:rsid w:val="00483F81"/>
    <w:rsid w:val="00483FA3"/>
    <w:rsid w:val="00483FBE"/>
    <w:rsid w:val="004841D5"/>
    <w:rsid w:val="00484328"/>
    <w:rsid w:val="004843A7"/>
    <w:rsid w:val="00484432"/>
    <w:rsid w:val="004844AD"/>
    <w:rsid w:val="00484583"/>
    <w:rsid w:val="00484624"/>
    <w:rsid w:val="004846D4"/>
    <w:rsid w:val="004846EF"/>
    <w:rsid w:val="00484768"/>
    <w:rsid w:val="00484775"/>
    <w:rsid w:val="00484872"/>
    <w:rsid w:val="004848C0"/>
    <w:rsid w:val="004849CC"/>
    <w:rsid w:val="004849EB"/>
    <w:rsid w:val="00484AB1"/>
    <w:rsid w:val="00484B2B"/>
    <w:rsid w:val="00484B5D"/>
    <w:rsid w:val="00484C80"/>
    <w:rsid w:val="00484D43"/>
    <w:rsid w:val="00484E30"/>
    <w:rsid w:val="00484E95"/>
    <w:rsid w:val="00484EB7"/>
    <w:rsid w:val="00484EE4"/>
    <w:rsid w:val="0048503B"/>
    <w:rsid w:val="0048503F"/>
    <w:rsid w:val="0048505F"/>
    <w:rsid w:val="004850C4"/>
    <w:rsid w:val="004850DA"/>
    <w:rsid w:val="00485113"/>
    <w:rsid w:val="00485143"/>
    <w:rsid w:val="00485185"/>
    <w:rsid w:val="00485202"/>
    <w:rsid w:val="0048522E"/>
    <w:rsid w:val="0048522F"/>
    <w:rsid w:val="00485309"/>
    <w:rsid w:val="0048537D"/>
    <w:rsid w:val="0048543A"/>
    <w:rsid w:val="00485478"/>
    <w:rsid w:val="00485491"/>
    <w:rsid w:val="0048549C"/>
    <w:rsid w:val="004854FE"/>
    <w:rsid w:val="00485503"/>
    <w:rsid w:val="004855E4"/>
    <w:rsid w:val="0048563A"/>
    <w:rsid w:val="0048565C"/>
    <w:rsid w:val="004856D0"/>
    <w:rsid w:val="004856DE"/>
    <w:rsid w:val="00485728"/>
    <w:rsid w:val="00485888"/>
    <w:rsid w:val="00485904"/>
    <w:rsid w:val="00485913"/>
    <w:rsid w:val="00485966"/>
    <w:rsid w:val="004859A5"/>
    <w:rsid w:val="00485A96"/>
    <w:rsid w:val="00485AB1"/>
    <w:rsid w:val="00485AFC"/>
    <w:rsid w:val="00485B2F"/>
    <w:rsid w:val="00485B38"/>
    <w:rsid w:val="00485B53"/>
    <w:rsid w:val="00485E5B"/>
    <w:rsid w:val="00486019"/>
    <w:rsid w:val="00486071"/>
    <w:rsid w:val="004860A5"/>
    <w:rsid w:val="0048617C"/>
    <w:rsid w:val="004862F4"/>
    <w:rsid w:val="0048633D"/>
    <w:rsid w:val="0048636F"/>
    <w:rsid w:val="00486396"/>
    <w:rsid w:val="004863BB"/>
    <w:rsid w:val="004863FF"/>
    <w:rsid w:val="00486420"/>
    <w:rsid w:val="0048644D"/>
    <w:rsid w:val="00486457"/>
    <w:rsid w:val="004864B4"/>
    <w:rsid w:val="004864D4"/>
    <w:rsid w:val="0048652F"/>
    <w:rsid w:val="004865CE"/>
    <w:rsid w:val="004865F9"/>
    <w:rsid w:val="0048661A"/>
    <w:rsid w:val="00486659"/>
    <w:rsid w:val="004867A8"/>
    <w:rsid w:val="0048682A"/>
    <w:rsid w:val="004868B4"/>
    <w:rsid w:val="004869C6"/>
    <w:rsid w:val="004869D9"/>
    <w:rsid w:val="004869E8"/>
    <w:rsid w:val="00486A9C"/>
    <w:rsid w:val="00486AAA"/>
    <w:rsid w:val="00486B8C"/>
    <w:rsid w:val="00486C55"/>
    <w:rsid w:val="00486C99"/>
    <w:rsid w:val="00486DF6"/>
    <w:rsid w:val="00486E0A"/>
    <w:rsid w:val="00486E33"/>
    <w:rsid w:val="004870EC"/>
    <w:rsid w:val="004870FB"/>
    <w:rsid w:val="004871FA"/>
    <w:rsid w:val="00487212"/>
    <w:rsid w:val="004872EF"/>
    <w:rsid w:val="00487341"/>
    <w:rsid w:val="00487437"/>
    <w:rsid w:val="004874AE"/>
    <w:rsid w:val="00487578"/>
    <w:rsid w:val="0048763A"/>
    <w:rsid w:val="004876BC"/>
    <w:rsid w:val="00487782"/>
    <w:rsid w:val="00487915"/>
    <w:rsid w:val="00487A0D"/>
    <w:rsid w:val="00487AB6"/>
    <w:rsid w:val="00487B61"/>
    <w:rsid w:val="00487DDD"/>
    <w:rsid w:val="00487E6F"/>
    <w:rsid w:val="00487E71"/>
    <w:rsid w:val="00487F63"/>
    <w:rsid w:val="00487F69"/>
    <w:rsid w:val="004900EE"/>
    <w:rsid w:val="00490100"/>
    <w:rsid w:val="00490140"/>
    <w:rsid w:val="00490173"/>
    <w:rsid w:val="004901B2"/>
    <w:rsid w:val="004902B4"/>
    <w:rsid w:val="00490317"/>
    <w:rsid w:val="00490384"/>
    <w:rsid w:val="004903DC"/>
    <w:rsid w:val="00490456"/>
    <w:rsid w:val="004905B2"/>
    <w:rsid w:val="00490614"/>
    <w:rsid w:val="0049064F"/>
    <w:rsid w:val="004906B2"/>
    <w:rsid w:val="004906CD"/>
    <w:rsid w:val="00490753"/>
    <w:rsid w:val="00490769"/>
    <w:rsid w:val="004908C1"/>
    <w:rsid w:val="00490987"/>
    <w:rsid w:val="004909C0"/>
    <w:rsid w:val="00490A75"/>
    <w:rsid w:val="00490A86"/>
    <w:rsid w:val="00490AA2"/>
    <w:rsid w:val="00490AB9"/>
    <w:rsid w:val="00490B39"/>
    <w:rsid w:val="00490B70"/>
    <w:rsid w:val="00490B81"/>
    <w:rsid w:val="00490C4E"/>
    <w:rsid w:val="00490CA3"/>
    <w:rsid w:val="00490CC2"/>
    <w:rsid w:val="00490D9F"/>
    <w:rsid w:val="00490E6E"/>
    <w:rsid w:val="00490E83"/>
    <w:rsid w:val="00490ED2"/>
    <w:rsid w:val="00491109"/>
    <w:rsid w:val="00491125"/>
    <w:rsid w:val="00491154"/>
    <w:rsid w:val="004912B3"/>
    <w:rsid w:val="004912E3"/>
    <w:rsid w:val="0049134B"/>
    <w:rsid w:val="00491369"/>
    <w:rsid w:val="0049142E"/>
    <w:rsid w:val="00491452"/>
    <w:rsid w:val="0049149A"/>
    <w:rsid w:val="004914EC"/>
    <w:rsid w:val="004914F6"/>
    <w:rsid w:val="00491558"/>
    <w:rsid w:val="00491596"/>
    <w:rsid w:val="00491660"/>
    <w:rsid w:val="0049170A"/>
    <w:rsid w:val="00491793"/>
    <w:rsid w:val="00491798"/>
    <w:rsid w:val="00491823"/>
    <w:rsid w:val="00491A57"/>
    <w:rsid w:val="00491AA7"/>
    <w:rsid w:val="00491BA3"/>
    <w:rsid w:val="00491C87"/>
    <w:rsid w:val="00491C9B"/>
    <w:rsid w:val="00491E9B"/>
    <w:rsid w:val="00491F6D"/>
    <w:rsid w:val="00491F7B"/>
    <w:rsid w:val="004920C8"/>
    <w:rsid w:val="0049218F"/>
    <w:rsid w:val="0049222A"/>
    <w:rsid w:val="0049245D"/>
    <w:rsid w:val="00492591"/>
    <w:rsid w:val="004925FC"/>
    <w:rsid w:val="00492630"/>
    <w:rsid w:val="00492687"/>
    <w:rsid w:val="00492778"/>
    <w:rsid w:val="00492814"/>
    <w:rsid w:val="0049299E"/>
    <w:rsid w:val="00492A9A"/>
    <w:rsid w:val="00492B26"/>
    <w:rsid w:val="00492B92"/>
    <w:rsid w:val="00492BC1"/>
    <w:rsid w:val="00492C0B"/>
    <w:rsid w:val="00492C30"/>
    <w:rsid w:val="00492C72"/>
    <w:rsid w:val="00492CA4"/>
    <w:rsid w:val="00492CF6"/>
    <w:rsid w:val="00492CFD"/>
    <w:rsid w:val="00492DC6"/>
    <w:rsid w:val="00492F06"/>
    <w:rsid w:val="00492F39"/>
    <w:rsid w:val="00493023"/>
    <w:rsid w:val="0049304F"/>
    <w:rsid w:val="004930CF"/>
    <w:rsid w:val="004930ED"/>
    <w:rsid w:val="0049315A"/>
    <w:rsid w:val="004931E8"/>
    <w:rsid w:val="0049323A"/>
    <w:rsid w:val="00493260"/>
    <w:rsid w:val="00493264"/>
    <w:rsid w:val="004932E6"/>
    <w:rsid w:val="0049333F"/>
    <w:rsid w:val="00493472"/>
    <w:rsid w:val="0049358B"/>
    <w:rsid w:val="00493590"/>
    <w:rsid w:val="0049360D"/>
    <w:rsid w:val="00493634"/>
    <w:rsid w:val="00493660"/>
    <w:rsid w:val="00493909"/>
    <w:rsid w:val="00493B50"/>
    <w:rsid w:val="00493B63"/>
    <w:rsid w:val="00493B9D"/>
    <w:rsid w:val="00493BC9"/>
    <w:rsid w:val="00493C00"/>
    <w:rsid w:val="00493C5D"/>
    <w:rsid w:val="00493C7E"/>
    <w:rsid w:val="00493C84"/>
    <w:rsid w:val="00493CFB"/>
    <w:rsid w:val="00493D00"/>
    <w:rsid w:val="00493E63"/>
    <w:rsid w:val="00493F16"/>
    <w:rsid w:val="00493F22"/>
    <w:rsid w:val="00494031"/>
    <w:rsid w:val="00494058"/>
    <w:rsid w:val="00494062"/>
    <w:rsid w:val="004941F3"/>
    <w:rsid w:val="00494275"/>
    <w:rsid w:val="004942F8"/>
    <w:rsid w:val="00494344"/>
    <w:rsid w:val="00494400"/>
    <w:rsid w:val="00494433"/>
    <w:rsid w:val="00494440"/>
    <w:rsid w:val="0049446E"/>
    <w:rsid w:val="0049451B"/>
    <w:rsid w:val="0049457A"/>
    <w:rsid w:val="004945E8"/>
    <w:rsid w:val="004945EE"/>
    <w:rsid w:val="0049461B"/>
    <w:rsid w:val="004946E3"/>
    <w:rsid w:val="00494755"/>
    <w:rsid w:val="004947DC"/>
    <w:rsid w:val="00494817"/>
    <w:rsid w:val="0049488B"/>
    <w:rsid w:val="004948EE"/>
    <w:rsid w:val="0049495E"/>
    <w:rsid w:val="004949AF"/>
    <w:rsid w:val="004949FD"/>
    <w:rsid w:val="00494A11"/>
    <w:rsid w:val="00494A4A"/>
    <w:rsid w:val="00494AE8"/>
    <w:rsid w:val="00494B21"/>
    <w:rsid w:val="00494BA4"/>
    <w:rsid w:val="00494BE6"/>
    <w:rsid w:val="00494C2C"/>
    <w:rsid w:val="00494C43"/>
    <w:rsid w:val="00494D01"/>
    <w:rsid w:val="00494DCC"/>
    <w:rsid w:val="00494EF3"/>
    <w:rsid w:val="00494FD4"/>
    <w:rsid w:val="004950B9"/>
    <w:rsid w:val="00495145"/>
    <w:rsid w:val="0049514D"/>
    <w:rsid w:val="00495158"/>
    <w:rsid w:val="00495281"/>
    <w:rsid w:val="004952AD"/>
    <w:rsid w:val="004952C9"/>
    <w:rsid w:val="004952CA"/>
    <w:rsid w:val="0049533C"/>
    <w:rsid w:val="00495386"/>
    <w:rsid w:val="0049541D"/>
    <w:rsid w:val="00495432"/>
    <w:rsid w:val="00495463"/>
    <w:rsid w:val="0049566E"/>
    <w:rsid w:val="004956C1"/>
    <w:rsid w:val="0049575D"/>
    <w:rsid w:val="00495815"/>
    <w:rsid w:val="0049594F"/>
    <w:rsid w:val="00495976"/>
    <w:rsid w:val="004959B6"/>
    <w:rsid w:val="00495AD0"/>
    <w:rsid w:val="00495B75"/>
    <w:rsid w:val="00495C3A"/>
    <w:rsid w:val="00495CBB"/>
    <w:rsid w:val="00495CE3"/>
    <w:rsid w:val="00495D8A"/>
    <w:rsid w:val="00495DC9"/>
    <w:rsid w:val="00495E06"/>
    <w:rsid w:val="00495E5A"/>
    <w:rsid w:val="00495E5E"/>
    <w:rsid w:val="00495EE7"/>
    <w:rsid w:val="004960D9"/>
    <w:rsid w:val="0049610E"/>
    <w:rsid w:val="004961AE"/>
    <w:rsid w:val="004962B2"/>
    <w:rsid w:val="004962C9"/>
    <w:rsid w:val="0049633C"/>
    <w:rsid w:val="0049635E"/>
    <w:rsid w:val="004963A6"/>
    <w:rsid w:val="004963AC"/>
    <w:rsid w:val="00496486"/>
    <w:rsid w:val="0049648D"/>
    <w:rsid w:val="004964F5"/>
    <w:rsid w:val="00496582"/>
    <w:rsid w:val="00496696"/>
    <w:rsid w:val="004966D1"/>
    <w:rsid w:val="00496707"/>
    <w:rsid w:val="00496714"/>
    <w:rsid w:val="004967D0"/>
    <w:rsid w:val="00496844"/>
    <w:rsid w:val="00496A06"/>
    <w:rsid w:val="00496AAD"/>
    <w:rsid w:val="00496B29"/>
    <w:rsid w:val="00496C5C"/>
    <w:rsid w:val="00496D05"/>
    <w:rsid w:val="00496D57"/>
    <w:rsid w:val="00496E6B"/>
    <w:rsid w:val="00496EFB"/>
    <w:rsid w:val="00496F4A"/>
    <w:rsid w:val="0049701A"/>
    <w:rsid w:val="0049725B"/>
    <w:rsid w:val="00497392"/>
    <w:rsid w:val="004973CC"/>
    <w:rsid w:val="004973E2"/>
    <w:rsid w:val="00497409"/>
    <w:rsid w:val="00497439"/>
    <w:rsid w:val="0049743C"/>
    <w:rsid w:val="00497496"/>
    <w:rsid w:val="0049751D"/>
    <w:rsid w:val="00497536"/>
    <w:rsid w:val="00497678"/>
    <w:rsid w:val="004978AB"/>
    <w:rsid w:val="004978C8"/>
    <w:rsid w:val="00497A24"/>
    <w:rsid w:val="00497A78"/>
    <w:rsid w:val="00497A97"/>
    <w:rsid w:val="00497AE3"/>
    <w:rsid w:val="00497C79"/>
    <w:rsid w:val="00497D42"/>
    <w:rsid w:val="00497D8E"/>
    <w:rsid w:val="00497E07"/>
    <w:rsid w:val="00497F30"/>
    <w:rsid w:val="00497FD2"/>
    <w:rsid w:val="004A006D"/>
    <w:rsid w:val="004A01E4"/>
    <w:rsid w:val="004A01FC"/>
    <w:rsid w:val="004A03C1"/>
    <w:rsid w:val="004A041A"/>
    <w:rsid w:val="004A049D"/>
    <w:rsid w:val="004A055A"/>
    <w:rsid w:val="004A082E"/>
    <w:rsid w:val="004A08FE"/>
    <w:rsid w:val="004A0964"/>
    <w:rsid w:val="004A0983"/>
    <w:rsid w:val="004A09EE"/>
    <w:rsid w:val="004A0A26"/>
    <w:rsid w:val="004A0B32"/>
    <w:rsid w:val="004A0B67"/>
    <w:rsid w:val="004A0CD1"/>
    <w:rsid w:val="004A0DCE"/>
    <w:rsid w:val="004A0DD5"/>
    <w:rsid w:val="004A0E37"/>
    <w:rsid w:val="004A0EAE"/>
    <w:rsid w:val="004A0EB4"/>
    <w:rsid w:val="004A0F8A"/>
    <w:rsid w:val="004A100C"/>
    <w:rsid w:val="004A106E"/>
    <w:rsid w:val="004A10B1"/>
    <w:rsid w:val="004A10F2"/>
    <w:rsid w:val="004A12F4"/>
    <w:rsid w:val="004A1398"/>
    <w:rsid w:val="004A1408"/>
    <w:rsid w:val="004A145B"/>
    <w:rsid w:val="004A1501"/>
    <w:rsid w:val="004A1592"/>
    <w:rsid w:val="004A15B8"/>
    <w:rsid w:val="004A15BF"/>
    <w:rsid w:val="004A1674"/>
    <w:rsid w:val="004A1719"/>
    <w:rsid w:val="004A1740"/>
    <w:rsid w:val="004A1777"/>
    <w:rsid w:val="004A17E3"/>
    <w:rsid w:val="004A17E8"/>
    <w:rsid w:val="004A18C3"/>
    <w:rsid w:val="004A190D"/>
    <w:rsid w:val="004A1955"/>
    <w:rsid w:val="004A1987"/>
    <w:rsid w:val="004A1A05"/>
    <w:rsid w:val="004A1ABC"/>
    <w:rsid w:val="004A1AC1"/>
    <w:rsid w:val="004A1B0A"/>
    <w:rsid w:val="004A1B13"/>
    <w:rsid w:val="004A1B31"/>
    <w:rsid w:val="004A1BA0"/>
    <w:rsid w:val="004A1C24"/>
    <w:rsid w:val="004A1C32"/>
    <w:rsid w:val="004A1C6F"/>
    <w:rsid w:val="004A1C9F"/>
    <w:rsid w:val="004A1CD9"/>
    <w:rsid w:val="004A1D43"/>
    <w:rsid w:val="004A1E27"/>
    <w:rsid w:val="004A2024"/>
    <w:rsid w:val="004A2084"/>
    <w:rsid w:val="004A20F0"/>
    <w:rsid w:val="004A2186"/>
    <w:rsid w:val="004A21C8"/>
    <w:rsid w:val="004A21DC"/>
    <w:rsid w:val="004A2218"/>
    <w:rsid w:val="004A22F0"/>
    <w:rsid w:val="004A2381"/>
    <w:rsid w:val="004A23DC"/>
    <w:rsid w:val="004A2436"/>
    <w:rsid w:val="004A2700"/>
    <w:rsid w:val="004A275E"/>
    <w:rsid w:val="004A27ED"/>
    <w:rsid w:val="004A2814"/>
    <w:rsid w:val="004A281B"/>
    <w:rsid w:val="004A283C"/>
    <w:rsid w:val="004A28D7"/>
    <w:rsid w:val="004A296A"/>
    <w:rsid w:val="004A2987"/>
    <w:rsid w:val="004A2AE4"/>
    <w:rsid w:val="004A2BD4"/>
    <w:rsid w:val="004A2C1A"/>
    <w:rsid w:val="004A2C2F"/>
    <w:rsid w:val="004A2C56"/>
    <w:rsid w:val="004A2CF3"/>
    <w:rsid w:val="004A2D27"/>
    <w:rsid w:val="004A2E1B"/>
    <w:rsid w:val="004A2E70"/>
    <w:rsid w:val="004A2E9D"/>
    <w:rsid w:val="004A2EB4"/>
    <w:rsid w:val="004A2ECC"/>
    <w:rsid w:val="004A2F2F"/>
    <w:rsid w:val="004A3091"/>
    <w:rsid w:val="004A315C"/>
    <w:rsid w:val="004A327C"/>
    <w:rsid w:val="004A32A4"/>
    <w:rsid w:val="004A3333"/>
    <w:rsid w:val="004A3380"/>
    <w:rsid w:val="004A33E1"/>
    <w:rsid w:val="004A342A"/>
    <w:rsid w:val="004A3470"/>
    <w:rsid w:val="004A352E"/>
    <w:rsid w:val="004A3568"/>
    <w:rsid w:val="004A3576"/>
    <w:rsid w:val="004A3588"/>
    <w:rsid w:val="004A3670"/>
    <w:rsid w:val="004A386F"/>
    <w:rsid w:val="004A3885"/>
    <w:rsid w:val="004A3922"/>
    <w:rsid w:val="004A398E"/>
    <w:rsid w:val="004A39D9"/>
    <w:rsid w:val="004A3A0C"/>
    <w:rsid w:val="004A3AF3"/>
    <w:rsid w:val="004A3C04"/>
    <w:rsid w:val="004A3C4F"/>
    <w:rsid w:val="004A3C56"/>
    <w:rsid w:val="004A3D7B"/>
    <w:rsid w:val="004A3DFB"/>
    <w:rsid w:val="004A3E51"/>
    <w:rsid w:val="004A3EEB"/>
    <w:rsid w:val="004A3F62"/>
    <w:rsid w:val="004A3F8D"/>
    <w:rsid w:val="004A3FB1"/>
    <w:rsid w:val="004A4011"/>
    <w:rsid w:val="004A4080"/>
    <w:rsid w:val="004A4265"/>
    <w:rsid w:val="004A426D"/>
    <w:rsid w:val="004A42D3"/>
    <w:rsid w:val="004A432C"/>
    <w:rsid w:val="004A43A8"/>
    <w:rsid w:val="004A43F2"/>
    <w:rsid w:val="004A4403"/>
    <w:rsid w:val="004A44D3"/>
    <w:rsid w:val="004A4536"/>
    <w:rsid w:val="004A459E"/>
    <w:rsid w:val="004A4638"/>
    <w:rsid w:val="004A467D"/>
    <w:rsid w:val="004A4763"/>
    <w:rsid w:val="004A4767"/>
    <w:rsid w:val="004A47B0"/>
    <w:rsid w:val="004A48D9"/>
    <w:rsid w:val="004A48DD"/>
    <w:rsid w:val="004A4932"/>
    <w:rsid w:val="004A49D4"/>
    <w:rsid w:val="004A4B2C"/>
    <w:rsid w:val="004A4D38"/>
    <w:rsid w:val="004A4DC4"/>
    <w:rsid w:val="004A4DCC"/>
    <w:rsid w:val="004A4DEA"/>
    <w:rsid w:val="004A4E7F"/>
    <w:rsid w:val="004A4F0B"/>
    <w:rsid w:val="004A5073"/>
    <w:rsid w:val="004A50EC"/>
    <w:rsid w:val="004A5130"/>
    <w:rsid w:val="004A5159"/>
    <w:rsid w:val="004A5177"/>
    <w:rsid w:val="004A533B"/>
    <w:rsid w:val="004A5381"/>
    <w:rsid w:val="004A53B5"/>
    <w:rsid w:val="004A543B"/>
    <w:rsid w:val="004A54CF"/>
    <w:rsid w:val="004A5516"/>
    <w:rsid w:val="004A5648"/>
    <w:rsid w:val="004A56A2"/>
    <w:rsid w:val="004A56EF"/>
    <w:rsid w:val="004A57F4"/>
    <w:rsid w:val="004A58FB"/>
    <w:rsid w:val="004A5958"/>
    <w:rsid w:val="004A59AB"/>
    <w:rsid w:val="004A5A13"/>
    <w:rsid w:val="004A5A67"/>
    <w:rsid w:val="004A5AE4"/>
    <w:rsid w:val="004A5AEC"/>
    <w:rsid w:val="004A5B14"/>
    <w:rsid w:val="004A5B55"/>
    <w:rsid w:val="004A5C3C"/>
    <w:rsid w:val="004A5C41"/>
    <w:rsid w:val="004A5CF4"/>
    <w:rsid w:val="004A5CFD"/>
    <w:rsid w:val="004A5D29"/>
    <w:rsid w:val="004A5DD8"/>
    <w:rsid w:val="004A5F0A"/>
    <w:rsid w:val="004A5F7B"/>
    <w:rsid w:val="004A612E"/>
    <w:rsid w:val="004A6163"/>
    <w:rsid w:val="004A61B1"/>
    <w:rsid w:val="004A61B7"/>
    <w:rsid w:val="004A61F3"/>
    <w:rsid w:val="004A62F2"/>
    <w:rsid w:val="004A6302"/>
    <w:rsid w:val="004A63A2"/>
    <w:rsid w:val="004A63D6"/>
    <w:rsid w:val="004A6419"/>
    <w:rsid w:val="004A64D8"/>
    <w:rsid w:val="004A654F"/>
    <w:rsid w:val="004A66BE"/>
    <w:rsid w:val="004A66FD"/>
    <w:rsid w:val="004A6847"/>
    <w:rsid w:val="004A6866"/>
    <w:rsid w:val="004A68F1"/>
    <w:rsid w:val="004A68FD"/>
    <w:rsid w:val="004A690D"/>
    <w:rsid w:val="004A6927"/>
    <w:rsid w:val="004A69C5"/>
    <w:rsid w:val="004A6BFF"/>
    <w:rsid w:val="004A6CB7"/>
    <w:rsid w:val="004A6D04"/>
    <w:rsid w:val="004A6DAE"/>
    <w:rsid w:val="004A6E48"/>
    <w:rsid w:val="004A6EC8"/>
    <w:rsid w:val="004A6EF1"/>
    <w:rsid w:val="004A6F8E"/>
    <w:rsid w:val="004A6FE7"/>
    <w:rsid w:val="004A6FFE"/>
    <w:rsid w:val="004A701E"/>
    <w:rsid w:val="004A710B"/>
    <w:rsid w:val="004A727B"/>
    <w:rsid w:val="004A72C7"/>
    <w:rsid w:val="004A75E1"/>
    <w:rsid w:val="004A765C"/>
    <w:rsid w:val="004A7788"/>
    <w:rsid w:val="004A789C"/>
    <w:rsid w:val="004A7970"/>
    <w:rsid w:val="004A7A00"/>
    <w:rsid w:val="004A7B6A"/>
    <w:rsid w:val="004A7B79"/>
    <w:rsid w:val="004A7B7E"/>
    <w:rsid w:val="004A7CEF"/>
    <w:rsid w:val="004A7D3E"/>
    <w:rsid w:val="004A7D46"/>
    <w:rsid w:val="004A7E43"/>
    <w:rsid w:val="004A7E5B"/>
    <w:rsid w:val="004A7F61"/>
    <w:rsid w:val="004A7FDD"/>
    <w:rsid w:val="004B039E"/>
    <w:rsid w:val="004B03A7"/>
    <w:rsid w:val="004B03E3"/>
    <w:rsid w:val="004B042D"/>
    <w:rsid w:val="004B046D"/>
    <w:rsid w:val="004B04E5"/>
    <w:rsid w:val="004B0612"/>
    <w:rsid w:val="004B0695"/>
    <w:rsid w:val="004B06B3"/>
    <w:rsid w:val="004B081E"/>
    <w:rsid w:val="004B0870"/>
    <w:rsid w:val="004B099A"/>
    <w:rsid w:val="004B0A76"/>
    <w:rsid w:val="004B0AA0"/>
    <w:rsid w:val="004B0BAB"/>
    <w:rsid w:val="004B0C52"/>
    <w:rsid w:val="004B0CA1"/>
    <w:rsid w:val="004B0CBD"/>
    <w:rsid w:val="004B0DC5"/>
    <w:rsid w:val="004B0DDB"/>
    <w:rsid w:val="004B0E0F"/>
    <w:rsid w:val="004B0E51"/>
    <w:rsid w:val="004B0EB2"/>
    <w:rsid w:val="004B0F16"/>
    <w:rsid w:val="004B102A"/>
    <w:rsid w:val="004B1099"/>
    <w:rsid w:val="004B1124"/>
    <w:rsid w:val="004B1167"/>
    <w:rsid w:val="004B127A"/>
    <w:rsid w:val="004B1489"/>
    <w:rsid w:val="004B157D"/>
    <w:rsid w:val="004B15AF"/>
    <w:rsid w:val="004B162A"/>
    <w:rsid w:val="004B1641"/>
    <w:rsid w:val="004B16B1"/>
    <w:rsid w:val="004B175A"/>
    <w:rsid w:val="004B17B8"/>
    <w:rsid w:val="004B17C4"/>
    <w:rsid w:val="004B17D5"/>
    <w:rsid w:val="004B182C"/>
    <w:rsid w:val="004B18E2"/>
    <w:rsid w:val="004B1954"/>
    <w:rsid w:val="004B1973"/>
    <w:rsid w:val="004B1ACC"/>
    <w:rsid w:val="004B1C5E"/>
    <w:rsid w:val="004B1D3B"/>
    <w:rsid w:val="004B1E1E"/>
    <w:rsid w:val="004B1EDA"/>
    <w:rsid w:val="004B21EA"/>
    <w:rsid w:val="004B2282"/>
    <w:rsid w:val="004B229D"/>
    <w:rsid w:val="004B22BA"/>
    <w:rsid w:val="004B22E3"/>
    <w:rsid w:val="004B2556"/>
    <w:rsid w:val="004B258E"/>
    <w:rsid w:val="004B264E"/>
    <w:rsid w:val="004B285A"/>
    <w:rsid w:val="004B28EC"/>
    <w:rsid w:val="004B2992"/>
    <w:rsid w:val="004B2A51"/>
    <w:rsid w:val="004B2B14"/>
    <w:rsid w:val="004B2BA4"/>
    <w:rsid w:val="004B2BA7"/>
    <w:rsid w:val="004B2BC1"/>
    <w:rsid w:val="004B2CE9"/>
    <w:rsid w:val="004B2D31"/>
    <w:rsid w:val="004B2F09"/>
    <w:rsid w:val="004B3003"/>
    <w:rsid w:val="004B30F4"/>
    <w:rsid w:val="004B31E5"/>
    <w:rsid w:val="004B3228"/>
    <w:rsid w:val="004B324A"/>
    <w:rsid w:val="004B329D"/>
    <w:rsid w:val="004B3341"/>
    <w:rsid w:val="004B33D0"/>
    <w:rsid w:val="004B33DE"/>
    <w:rsid w:val="004B345B"/>
    <w:rsid w:val="004B3745"/>
    <w:rsid w:val="004B3770"/>
    <w:rsid w:val="004B3802"/>
    <w:rsid w:val="004B3884"/>
    <w:rsid w:val="004B38A2"/>
    <w:rsid w:val="004B38FA"/>
    <w:rsid w:val="004B3940"/>
    <w:rsid w:val="004B3A75"/>
    <w:rsid w:val="004B3AFB"/>
    <w:rsid w:val="004B3BCD"/>
    <w:rsid w:val="004B3C1A"/>
    <w:rsid w:val="004B3DC7"/>
    <w:rsid w:val="004B3DE9"/>
    <w:rsid w:val="004B3E06"/>
    <w:rsid w:val="004B3E20"/>
    <w:rsid w:val="004B3E83"/>
    <w:rsid w:val="004B3E95"/>
    <w:rsid w:val="004B3ECA"/>
    <w:rsid w:val="004B3F92"/>
    <w:rsid w:val="004B3F93"/>
    <w:rsid w:val="004B3F94"/>
    <w:rsid w:val="004B3FDF"/>
    <w:rsid w:val="004B3FE6"/>
    <w:rsid w:val="004B425B"/>
    <w:rsid w:val="004B42CE"/>
    <w:rsid w:val="004B42F1"/>
    <w:rsid w:val="004B4389"/>
    <w:rsid w:val="004B4392"/>
    <w:rsid w:val="004B4405"/>
    <w:rsid w:val="004B4483"/>
    <w:rsid w:val="004B4738"/>
    <w:rsid w:val="004B478D"/>
    <w:rsid w:val="004B48EB"/>
    <w:rsid w:val="004B48F0"/>
    <w:rsid w:val="004B49DB"/>
    <w:rsid w:val="004B4AC0"/>
    <w:rsid w:val="004B4B23"/>
    <w:rsid w:val="004B4B9B"/>
    <w:rsid w:val="004B4D13"/>
    <w:rsid w:val="004B4E58"/>
    <w:rsid w:val="004B4ECA"/>
    <w:rsid w:val="004B5054"/>
    <w:rsid w:val="004B5083"/>
    <w:rsid w:val="004B509E"/>
    <w:rsid w:val="004B50E6"/>
    <w:rsid w:val="004B5182"/>
    <w:rsid w:val="004B51DF"/>
    <w:rsid w:val="004B52C8"/>
    <w:rsid w:val="004B5317"/>
    <w:rsid w:val="004B53DE"/>
    <w:rsid w:val="004B53F1"/>
    <w:rsid w:val="004B544A"/>
    <w:rsid w:val="004B5594"/>
    <w:rsid w:val="004B55D2"/>
    <w:rsid w:val="004B5610"/>
    <w:rsid w:val="004B5669"/>
    <w:rsid w:val="004B56C8"/>
    <w:rsid w:val="004B59DD"/>
    <w:rsid w:val="004B59F1"/>
    <w:rsid w:val="004B5A28"/>
    <w:rsid w:val="004B5A46"/>
    <w:rsid w:val="004B5AE4"/>
    <w:rsid w:val="004B5B26"/>
    <w:rsid w:val="004B5C2B"/>
    <w:rsid w:val="004B5C32"/>
    <w:rsid w:val="004B5C82"/>
    <w:rsid w:val="004B5CD9"/>
    <w:rsid w:val="004B5D4C"/>
    <w:rsid w:val="004B5D51"/>
    <w:rsid w:val="004B5D64"/>
    <w:rsid w:val="004B5D9A"/>
    <w:rsid w:val="004B5DF8"/>
    <w:rsid w:val="004B5E1F"/>
    <w:rsid w:val="004B5ECA"/>
    <w:rsid w:val="004B5F05"/>
    <w:rsid w:val="004B6083"/>
    <w:rsid w:val="004B6096"/>
    <w:rsid w:val="004B6109"/>
    <w:rsid w:val="004B6188"/>
    <w:rsid w:val="004B61AB"/>
    <w:rsid w:val="004B61EE"/>
    <w:rsid w:val="004B61F5"/>
    <w:rsid w:val="004B6234"/>
    <w:rsid w:val="004B6244"/>
    <w:rsid w:val="004B6394"/>
    <w:rsid w:val="004B63D0"/>
    <w:rsid w:val="004B6462"/>
    <w:rsid w:val="004B64E6"/>
    <w:rsid w:val="004B65DF"/>
    <w:rsid w:val="004B65FD"/>
    <w:rsid w:val="004B6718"/>
    <w:rsid w:val="004B6836"/>
    <w:rsid w:val="004B684E"/>
    <w:rsid w:val="004B68E3"/>
    <w:rsid w:val="004B690F"/>
    <w:rsid w:val="004B69EE"/>
    <w:rsid w:val="004B69F6"/>
    <w:rsid w:val="004B6A1C"/>
    <w:rsid w:val="004B6A29"/>
    <w:rsid w:val="004B6A2A"/>
    <w:rsid w:val="004B6A2E"/>
    <w:rsid w:val="004B6BA6"/>
    <w:rsid w:val="004B6BCC"/>
    <w:rsid w:val="004B6CD6"/>
    <w:rsid w:val="004B6D65"/>
    <w:rsid w:val="004B6D7D"/>
    <w:rsid w:val="004B6DD4"/>
    <w:rsid w:val="004B6E01"/>
    <w:rsid w:val="004B6E41"/>
    <w:rsid w:val="004B6F43"/>
    <w:rsid w:val="004B6F85"/>
    <w:rsid w:val="004B6F95"/>
    <w:rsid w:val="004B6FA2"/>
    <w:rsid w:val="004B7000"/>
    <w:rsid w:val="004B7009"/>
    <w:rsid w:val="004B7013"/>
    <w:rsid w:val="004B7047"/>
    <w:rsid w:val="004B7118"/>
    <w:rsid w:val="004B71A8"/>
    <w:rsid w:val="004B723E"/>
    <w:rsid w:val="004B724F"/>
    <w:rsid w:val="004B729E"/>
    <w:rsid w:val="004B72C1"/>
    <w:rsid w:val="004B73D7"/>
    <w:rsid w:val="004B7438"/>
    <w:rsid w:val="004B74D4"/>
    <w:rsid w:val="004B7525"/>
    <w:rsid w:val="004B7583"/>
    <w:rsid w:val="004B75C4"/>
    <w:rsid w:val="004B7651"/>
    <w:rsid w:val="004B7764"/>
    <w:rsid w:val="004B77BA"/>
    <w:rsid w:val="004B7839"/>
    <w:rsid w:val="004B7A2F"/>
    <w:rsid w:val="004B7A86"/>
    <w:rsid w:val="004B7C03"/>
    <w:rsid w:val="004B7C56"/>
    <w:rsid w:val="004B7CEA"/>
    <w:rsid w:val="004B7D24"/>
    <w:rsid w:val="004B7DCA"/>
    <w:rsid w:val="004B7DDB"/>
    <w:rsid w:val="004B7E8C"/>
    <w:rsid w:val="004B7EA6"/>
    <w:rsid w:val="004B7EFE"/>
    <w:rsid w:val="004B7F09"/>
    <w:rsid w:val="004B7F8E"/>
    <w:rsid w:val="004B7F9B"/>
    <w:rsid w:val="004C0018"/>
    <w:rsid w:val="004C00C5"/>
    <w:rsid w:val="004C00E6"/>
    <w:rsid w:val="004C0186"/>
    <w:rsid w:val="004C01BA"/>
    <w:rsid w:val="004C01EE"/>
    <w:rsid w:val="004C0242"/>
    <w:rsid w:val="004C0306"/>
    <w:rsid w:val="004C0385"/>
    <w:rsid w:val="004C03D4"/>
    <w:rsid w:val="004C03FE"/>
    <w:rsid w:val="004C042F"/>
    <w:rsid w:val="004C049C"/>
    <w:rsid w:val="004C054E"/>
    <w:rsid w:val="004C0556"/>
    <w:rsid w:val="004C06D8"/>
    <w:rsid w:val="004C06ED"/>
    <w:rsid w:val="004C0723"/>
    <w:rsid w:val="004C0886"/>
    <w:rsid w:val="004C0A9B"/>
    <w:rsid w:val="004C0CB3"/>
    <w:rsid w:val="004C0D8B"/>
    <w:rsid w:val="004C0E75"/>
    <w:rsid w:val="004C0E76"/>
    <w:rsid w:val="004C0FB6"/>
    <w:rsid w:val="004C1024"/>
    <w:rsid w:val="004C105A"/>
    <w:rsid w:val="004C108A"/>
    <w:rsid w:val="004C1094"/>
    <w:rsid w:val="004C10E0"/>
    <w:rsid w:val="004C11DD"/>
    <w:rsid w:val="004C11E1"/>
    <w:rsid w:val="004C11EA"/>
    <w:rsid w:val="004C12BC"/>
    <w:rsid w:val="004C1321"/>
    <w:rsid w:val="004C13A8"/>
    <w:rsid w:val="004C13D8"/>
    <w:rsid w:val="004C1536"/>
    <w:rsid w:val="004C170A"/>
    <w:rsid w:val="004C1716"/>
    <w:rsid w:val="004C17BB"/>
    <w:rsid w:val="004C180E"/>
    <w:rsid w:val="004C184F"/>
    <w:rsid w:val="004C187E"/>
    <w:rsid w:val="004C189B"/>
    <w:rsid w:val="004C18A2"/>
    <w:rsid w:val="004C1919"/>
    <w:rsid w:val="004C194F"/>
    <w:rsid w:val="004C1976"/>
    <w:rsid w:val="004C1984"/>
    <w:rsid w:val="004C1A1C"/>
    <w:rsid w:val="004C1A22"/>
    <w:rsid w:val="004C1ACD"/>
    <w:rsid w:val="004C1B9E"/>
    <w:rsid w:val="004C1BAD"/>
    <w:rsid w:val="004C1BB9"/>
    <w:rsid w:val="004C1C43"/>
    <w:rsid w:val="004C1CA1"/>
    <w:rsid w:val="004C1CED"/>
    <w:rsid w:val="004C1D13"/>
    <w:rsid w:val="004C1D68"/>
    <w:rsid w:val="004C1EB4"/>
    <w:rsid w:val="004C1F2E"/>
    <w:rsid w:val="004C202A"/>
    <w:rsid w:val="004C205E"/>
    <w:rsid w:val="004C20B3"/>
    <w:rsid w:val="004C210D"/>
    <w:rsid w:val="004C22D6"/>
    <w:rsid w:val="004C22E4"/>
    <w:rsid w:val="004C2337"/>
    <w:rsid w:val="004C23D2"/>
    <w:rsid w:val="004C23F8"/>
    <w:rsid w:val="004C245C"/>
    <w:rsid w:val="004C24F7"/>
    <w:rsid w:val="004C2765"/>
    <w:rsid w:val="004C27DF"/>
    <w:rsid w:val="004C281C"/>
    <w:rsid w:val="004C282C"/>
    <w:rsid w:val="004C284D"/>
    <w:rsid w:val="004C289C"/>
    <w:rsid w:val="004C28AD"/>
    <w:rsid w:val="004C2943"/>
    <w:rsid w:val="004C2971"/>
    <w:rsid w:val="004C29FA"/>
    <w:rsid w:val="004C2AF0"/>
    <w:rsid w:val="004C2AFE"/>
    <w:rsid w:val="004C2B04"/>
    <w:rsid w:val="004C2BB4"/>
    <w:rsid w:val="004C2BDE"/>
    <w:rsid w:val="004C2D3B"/>
    <w:rsid w:val="004C2EAA"/>
    <w:rsid w:val="004C3097"/>
    <w:rsid w:val="004C3168"/>
    <w:rsid w:val="004C3314"/>
    <w:rsid w:val="004C332A"/>
    <w:rsid w:val="004C3336"/>
    <w:rsid w:val="004C3337"/>
    <w:rsid w:val="004C33C0"/>
    <w:rsid w:val="004C36B4"/>
    <w:rsid w:val="004C3707"/>
    <w:rsid w:val="004C374D"/>
    <w:rsid w:val="004C3760"/>
    <w:rsid w:val="004C37C8"/>
    <w:rsid w:val="004C37EC"/>
    <w:rsid w:val="004C38CF"/>
    <w:rsid w:val="004C3955"/>
    <w:rsid w:val="004C3B28"/>
    <w:rsid w:val="004C3B72"/>
    <w:rsid w:val="004C3BF0"/>
    <w:rsid w:val="004C3C88"/>
    <w:rsid w:val="004C3CBA"/>
    <w:rsid w:val="004C3D84"/>
    <w:rsid w:val="004C3E7A"/>
    <w:rsid w:val="004C4004"/>
    <w:rsid w:val="004C4038"/>
    <w:rsid w:val="004C40A0"/>
    <w:rsid w:val="004C410B"/>
    <w:rsid w:val="004C4181"/>
    <w:rsid w:val="004C4236"/>
    <w:rsid w:val="004C43E0"/>
    <w:rsid w:val="004C43E7"/>
    <w:rsid w:val="004C44BA"/>
    <w:rsid w:val="004C44D3"/>
    <w:rsid w:val="004C459D"/>
    <w:rsid w:val="004C464F"/>
    <w:rsid w:val="004C46BC"/>
    <w:rsid w:val="004C46C8"/>
    <w:rsid w:val="004C46EE"/>
    <w:rsid w:val="004C4702"/>
    <w:rsid w:val="004C4812"/>
    <w:rsid w:val="004C4936"/>
    <w:rsid w:val="004C4A93"/>
    <w:rsid w:val="004C4BDD"/>
    <w:rsid w:val="004C4BE6"/>
    <w:rsid w:val="004C4D71"/>
    <w:rsid w:val="004C4F5D"/>
    <w:rsid w:val="004C5079"/>
    <w:rsid w:val="004C50E6"/>
    <w:rsid w:val="004C5176"/>
    <w:rsid w:val="004C5229"/>
    <w:rsid w:val="004C52BE"/>
    <w:rsid w:val="004C52F9"/>
    <w:rsid w:val="004C5401"/>
    <w:rsid w:val="004C542A"/>
    <w:rsid w:val="004C544B"/>
    <w:rsid w:val="004C5498"/>
    <w:rsid w:val="004C5570"/>
    <w:rsid w:val="004C55D3"/>
    <w:rsid w:val="004C565B"/>
    <w:rsid w:val="004C56F5"/>
    <w:rsid w:val="004C56F9"/>
    <w:rsid w:val="004C585B"/>
    <w:rsid w:val="004C5953"/>
    <w:rsid w:val="004C59F8"/>
    <w:rsid w:val="004C59F9"/>
    <w:rsid w:val="004C5AA6"/>
    <w:rsid w:val="004C5AF4"/>
    <w:rsid w:val="004C5D5F"/>
    <w:rsid w:val="004C5EA2"/>
    <w:rsid w:val="004C5F37"/>
    <w:rsid w:val="004C5F38"/>
    <w:rsid w:val="004C601E"/>
    <w:rsid w:val="004C6095"/>
    <w:rsid w:val="004C623A"/>
    <w:rsid w:val="004C62E1"/>
    <w:rsid w:val="004C6377"/>
    <w:rsid w:val="004C6456"/>
    <w:rsid w:val="004C64C5"/>
    <w:rsid w:val="004C657A"/>
    <w:rsid w:val="004C6689"/>
    <w:rsid w:val="004C66A1"/>
    <w:rsid w:val="004C699F"/>
    <w:rsid w:val="004C6A03"/>
    <w:rsid w:val="004C6A2F"/>
    <w:rsid w:val="004C6A9E"/>
    <w:rsid w:val="004C6BDB"/>
    <w:rsid w:val="004C6CF3"/>
    <w:rsid w:val="004C6D44"/>
    <w:rsid w:val="004C6D5B"/>
    <w:rsid w:val="004C6FB7"/>
    <w:rsid w:val="004C7030"/>
    <w:rsid w:val="004C70C9"/>
    <w:rsid w:val="004C71A3"/>
    <w:rsid w:val="004C721A"/>
    <w:rsid w:val="004C73AA"/>
    <w:rsid w:val="004C73D1"/>
    <w:rsid w:val="004C747B"/>
    <w:rsid w:val="004C747F"/>
    <w:rsid w:val="004C74DB"/>
    <w:rsid w:val="004C74FE"/>
    <w:rsid w:val="004C7527"/>
    <w:rsid w:val="004C7538"/>
    <w:rsid w:val="004C7540"/>
    <w:rsid w:val="004C7578"/>
    <w:rsid w:val="004C75C7"/>
    <w:rsid w:val="004C761D"/>
    <w:rsid w:val="004C7650"/>
    <w:rsid w:val="004C76EB"/>
    <w:rsid w:val="004C7949"/>
    <w:rsid w:val="004C7950"/>
    <w:rsid w:val="004C7972"/>
    <w:rsid w:val="004C79B0"/>
    <w:rsid w:val="004C79FA"/>
    <w:rsid w:val="004C7B00"/>
    <w:rsid w:val="004C7B57"/>
    <w:rsid w:val="004C7BC7"/>
    <w:rsid w:val="004C7C76"/>
    <w:rsid w:val="004C7CB4"/>
    <w:rsid w:val="004C7D29"/>
    <w:rsid w:val="004C7E18"/>
    <w:rsid w:val="004C7E43"/>
    <w:rsid w:val="004C7EE2"/>
    <w:rsid w:val="004C7F93"/>
    <w:rsid w:val="004C7FF6"/>
    <w:rsid w:val="004D0107"/>
    <w:rsid w:val="004D0128"/>
    <w:rsid w:val="004D0149"/>
    <w:rsid w:val="004D01B7"/>
    <w:rsid w:val="004D01DE"/>
    <w:rsid w:val="004D02DD"/>
    <w:rsid w:val="004D04BB"/>
    <w:rsid w:val="004D04FD"/>
    <w:rsid w:val="004D0564"/>
    <w:rsid w:val="004D06D0"/>
    <w:rsid w:val="004D070D"/>
    <w:rsid w:val="004D08C6"/>
    <w:rsid w:val="004D0957"/>
    <w:rsid w:val="004D0995"/>
    <w:rsid w:val="004D0A15"/>
    <w:rsid w:val="004D0AAC"/>
    <w:rsid w:val="004D0AB4"/>
    <w:rsid w:val="004D0B0A"/>
    <w:rsid w:val="004D0B9B"/>
    <w:rsid w:val="004D0C70"/>
    <w:rsid w:val="004D0C7C"/>
    <w:rsid w:val="004D0CA0"/>
    <w:rsid w:val="004D0CBB"/>
    <w:rsid w:val="004D0CC2"/>
    <w:rsid w:val="004D0DD9"/>
    <w:rsid w:val="004D0EA0"/>
    <w:rsid w:val="004D0EB0"/>
    <w:rsid w:val="004D11AB"/>
    <w:rsid w:val="004D1251"/>
    <w:rsid w:val="004D125A"/>
    <w:rsid w:val="004D1320"/>
    <w:rsid w:val="004D1352"/>
    <w:rsid w:val="004D1456"/>
    <w:rsid w:val="004D14C2"/>
    <w:rsid w:val="004D1613"/>
    <w:rsid w:val="004D1614"/>
    <w:rsid w:val="004D16B7"/>
    <w:rsid w:val="004D170E"/>
    <w:rsid w:val="004D1786"/>
    <w:rsid w:val="004D17F5"/>
    <w:rsid w:val="004D18A8"/>
    <w:rsid w:val="004D18C6"/>
    <w:rsid w:val="004D1912"/>
    <w:rsid w:val="004D1957"/>
    <w:rsid w:val="004D19A8"/>
    <w:rsid w:val="004D1A7D"/>
    <w:rsid w:val="004D1AC9"/>
    <w:rsid w:val="004D1BF9"/>
    <w:rsid w:val="004D1C64"/>
    <w:rsid w:val="004D1CD0"/>
    <w:rsid w:val="004D1CFC"/>
    <w:rsid w:val="004D1D71"/>
    <w:rsid w:val="004D1EDB"/>
    <w:rsid w:val="004D207F"/>
    <w:rsid w:val="004D2137"/>
    <w:rsid w:val="004D219E"/>
    <w:rsid w:val="004D21D8"/>
    <w:rsid w:val="004D21EA"/>
    <w:rsid w:val="004D222B"/>
    <w:rsid w:val="004D2380"/>
    <w:rsid w:val="004D2444"/>
    <w:rsid w:val="004D24AA"/>
    <w:rsid w:val="004D24AE"/>
    <w:rsid w:val="004D2515"/>
    <w:rsid w:val="004D2619"/>
    <w:rsid w:val="004D27CF"/>
    <w:rsid w:val="004D27F5"/>
    <w:rsid w:val="004D282A"/>
    <w:rsid w:val="004D28BC"/>
    <w:rsid w:val="004D28E5"/>
    <w:rsid w:val="004D2A19"/>
    <w:rsid w:val="004D2C47"/>
    <w:rsid w:val="004D2CF0"/>
    <w:rsid w:val="004D2D53"/>
    <w:rsid w:val="004D2D96"/>
    <w:rsid w:val="004D2E04"/>
    <w:rsid w:val="004D2E48"/>
    <w:rsid w:val="004D2E79"/>
    <w:rsid w:val="004D2F18"/>
    <w:rsid w:val="004D2F2F"/>
    <w:rsid w:val="004D2F74"/>
    <w:rsid w:val="004D2FE2"/>
    <w:rsid w:val="004D3014"/>
    <w:rsid w:val="004D30B8"/>
    <w:rsid w:val="004D310D"/>
    <w:rsid w:val="004D313F"/>
    <w:rsid w:val="004D31EB"/>
    <w:rsid w:val="004D332C"/>
    <w:rsid w:val="004D3514"/>
    <w:rsid w:val="004D35C3"/>
    <w:rsid w:val="004D360A"/>
    <w:rsid w:val="004D3639"/>
    <w:rsid w:val="004D368A"/>
    <w:rsid w:val="004D36B1"/>
    <w:rsid w:val="004D389B"/>
    <w:rsid w:val="004D38D2"/>
    <w:rsid w:val="004D3904"/>
    <w:rsid w:val="004D390E"/>
    <w:rsid w:val="004D39BB"/>
    <w:rsid w:val="004D39D2"/>
    <w:rsid w:val="004D39FF"/>
    <w:rsid w:val="004D3A4C"/>
    <w:rsid w:val="004D3A5A"/>
    <w:rsid w:val="004D3B38"/>
    <w:rsid w:val="004D3B5E"/>
    <w:rsid w:val="004D3C16"/>
    <w:rsid w:val="004D3C50"/>
    <w:rsid w:val="004D3C7C"/>
    <w:rsid w:val="004D3CDF"/>
    <w:rsid w:val="004D3D33"/>
    <w:rsid w:val="004D3D3D"/>
    <w:rsid w:val="004D3DA6"/>
    <w:rsid w:val="004D3ED8"/>
    <w:rsid w:val="004D3F98"/>
    <w:rsid w:val="004D3FDA"/>
    <w:rsid w:val="004D40D6"/>
    <w:rsid w:val="004D4105"/>
    <w:rsid w:val="004D4110"/>
    <w:rsid w:val="004D417F"/>
    <w:rsid w:val="004D419F"/>
    <w:rsid w:val="004D432C"/>
    <w:rsid w:val="004D434B"/>
    <w:rsid w:val="004D4376"/>
    <w:rsid w:val="004D45C5"/>
    <w:rsid w:val="004D45E1"/>
    <w:rsid w:val="004D4724"/>
    <w:rsid w:val="004D4777"/>
    <w:rsid w:val="004D47A7"/>
    <w:rsid w:val="004D487C"/>
    <w:rsid w:val="004D4944"/>
    <w:rsid w:val="004D4961"/>
    <w:rsid w:val="004D49B8"/>
    <w:rsid w:val="004D49F6"/>
    <w:rsid w:val="004D4A0E"/>
    <w:rsid w:val="004D4A6C"/>
    <w:rsid w:val="004D4ABC"/>
    <w:rsid w:val="004D4BB9"/>
    <w:rsid w:val="004D4BF6"/>
    <w:rsid w:val="004D4C15"/>
    <w:rsid w:val="004D4CB3"/>
    <w:rsid w:val="004D4D04"/>
    <w:rsid w:val="004D4D24"/>
    <w:rsid w:val="004D4D34"/>
    <w:rsid w:val="004D4DAA"/>
    <w:rsid w:val="004D4E62"/>
    <w:rsid w:val="004D4EBC"/>
    <w:rsid w:val="004D4ED1"/>
    <w:rsid w:val="004D4ED8"/>
    <w:rsid w:val="004D4FB6"/>
    <w:rsid w:val="004D4FC0"/>
    <w:rsid w:val="004D4FF9"/>
    <w:rsid w:val="004D502B"/>
    <w:rsid w:val="004D505A"/>
    <w:rsid w:val="004D5177"/>
    <w:rsid w:val="004D520A"/>
    <w:rsid w:val="004D5268"/>
    <w:rsid w:val="004D5272"/>
    <w:rsid w:val="004D52B6"/>
    <w:rsid w:val="004D52E6"/>
    <w:rsid w:val="004D5389"/>
    <w:rsid w:val="004D55DE"/>
    <w:rsid w:val="004D5657"/>
    <w:rsid w:val="004D56D6"/>
    <w:rsid w:val="004D5870"/>
    <w:rsid w:val="004D58A4"/>
    <w:rsid w:val="004D58DD"/>
    <w:rsid w:val="004D5920"/>
    <w:rsid w:val="004D5924"/>
    <w:rsid w:val="004D5973"/>
    <w:rsid w:val="004D5978"/>
    <w:rsid w:val="004D59B6"/>
    <w:rsid w:val="004D59F4"/>
    <w:rsid w:val="004D5A2C"/>
    <w:rsid w:val="004D5B02"/>
    <w:rsid w:val="004D5B35"/>
    <w:rsid w:val="004D5B46"/>
    <w:rsid w:val="004D5B98"/>
    <w:rsid w:val="004D5BC7"/>
    <w:rsid w:val="004D5BF1"/>
    <w:rsid w:val="004D5D19"/>
    <w:rsid w:val="004D5D55"/>
    <w:rsid w:val="004D5E2D"/>
    <w:rsid w:val="004D5E54"/>
    <w:rsid w:val="004D5EE2"/>
    <w:rsid w:val="004D5EF2"/>
    <w:rsid w:val="004D5F05"/>
    <w:rsid w:val="004D5F80"/>
    <w:rsid w:val="004D5FB3"/>
    <w:rsid w:val="004D5FFF"/>
    <w:rsid w:val="004D600D"/>
    <w:rsid w:val="004D601F"/>
    <w:rsid w:val="004D613D"/>
    <w:rsid w:val="004D6175"/>
    <w:rsid w:val="004D61BD"/>
    <w:rsid w:val="004D61DC"/>
    <w:rsid w:val="004D622D"/>
    <w:rsid w:val="004D6240"/>
    <w:rsid w:val="004D633A"/>
    <w:rsid w:val="004D6354"/>
    <w:rsid w:val="004D6391"/>
    <w:rsid w:val="004D63D7"/>
    <w:rsid w:val="004D6452"/>
    <w:rsid w:val="004D65C9"/>
    <w:rsid w:val="004D65EE"/>
    <w:rsid w:val="004D668B"/>
    <w:rsid w:val="004D669C"/>
    <w:rsid w:val="004D67B1"/>
    <w:rsid w:val="004D68D3"/>
    <w:rsid w:val="004D6921"/>
    <w:rsid w:val="004D6944"/>
    <w:rsid w:val="004D6979"/>
    <w:rsid w:val="004D6995"/>
    <w:rsid w:val="004D6B68"/>
    <w:rsid w:val="004D6CB5"/>
    <w:rsid w:val="004D6CE7"/>
    <w:rsid w:val="004D6CF3"/>
    <w:rsid w:val="004D6E68"/>
    <w:rsid w:val="004D6EB3"/>
    <w:rsid w:val="004D708E"/>
    <w:rsid w:val="004D70DC"/>
    <w:rsid w:val="004D71CC"/>
    <w:rsid w:val="004D7242"/>
    <w:rsid w:val="004D725D"/>
    <w:rsid w:val="004D73EB"/>
    <w:rsid w:val="004D7437"/>
    <w:rsid w:val="004D743B"/>
    <w:rsid w:val="004D7478"/>
    <w:rsid w:val="004D749B"/>
    <w:rsid w:val="004D7560"/>
    <w:rsid w:val="004D756F"/>
    <w:rsid w:val="004D7664"/>
    <w:rsid w:val="004D7696"/>
    <w:rsid w:val="004D76ED"/>
    <w:rsid w:val="004D771D"/>
    <w:rsid w:val="004D772B"/>
    <w:rsid w:val="004D778C"/>
    <w:rsid w:val="004D7798"/>
    <w:rsid w:val="004D77F7"/>
    <w:rsid w:val="004D7820"/>
    <w:rsid w:val="004D784A"/>
    <w:rsid w:val="004D7850"/>
    <w:rsid w:val="004D7866"/>
    <w:rsid w:val="004D78AE"/>
    <w:rsid w:val="004D796F"/>
    <w:rsid w:val="004D7A01"/>
    <w:rsid w:val="004D7B6A"/>
    <w:rsid w:val="004D7C0E"/>
    <w:rsid w:val="004D7C35"/>
    <w:rsid w:val="004D7C5D"/>
    <w:rsid w:val="004D7C79"/>
    <w:rsid w:val="004D7C89"/>
    <w:rsid w:val="004D7D1D"/>
    <w:rsid w:val="004D7E35"/>
    <w:rsid w:val="004D7E67"/>
    <w:rsid w:val="004D7E6A"/>
    <w:rsid w:val="004D7ED8"/>
    <w:rsid w:val="004D7EFE"/>
    <w:rsid w:val="004E003F"/>
    <w:rsid w:val="004E00DC"/>
    <w:rsid w:val="004E01D4"/>
    <w:rsid w:val="004E01FA"/>
    <w:rsid w:val="004E0280"/>
    <w:rsid w:val="004E02A7"/>
    <w:rsid w:val="004E044A"/>
    <w:rsid w:val="004E0675"/>
    <w:rsid w:val="004E072B"/>
    <w:rsid w:val="004E073B"/>
    <w:rsid w:val="004E07CF"/>
    <w:rsid w:val="004E0871"/>
    <w:rsid w:val="004E08CF"/>
    <w:rsid w:val="004E08EC"/>
    <w:rsid w:val="004E097C"/>
    <w:rsid w:val="004E0A05"/>
    <w:rsid w:val="004E0A5F"/>
    <w:rsid w:val="004E0AAA"/>
    <w:rsid w:val="004E0CE4"/>
    <w:rsid w:val="004E0D81"/>
    <w:rsid w:val="004E0E51"/>
    <w:rsid w:val="004E1087"/>
    <w:rsid w:val="004E1100"/>
    <w:rsid w:val="004E1109"/>
    <w:rsid w:val="004E113B"/>
    <w:rsid w:val="004E1178"/>
    <w:rsid w:val="004E1271"/>
    <w:rsid w:val="004E127F"/>
    <w:rsid w:val="004E13C1"/>
    <w:rsid w:val="004E13E2"/>
    <w:rsid w:val="004E1490"/>
    <w:rsid w:val="004E153D"/>
    <w:rsid w:val="004E15D3"/>
    <w:rsid w:val="004E162C"/>
    <w:rsid w:val="004E17EC"/>
    <w:rsid w:val="004E1888"/>
    <w:rsid w:val="004E18C3"/>
    <w:rsid w:val="004E1A4A"/>
    <w:rsid w:val="004E1A8C"/>
    <w:rsid w:val="004E1AC4"/>
    <w:rsid w:val="004E1B87"/>
    <w:rsid w:val="004E1D97"/>
    <w:rsid w:val="004E1DC4"/>
    <w:rsid w:val="004E1DCA"/>
    <w:rsid w:val="004E1DE0"/>
    <w:rsid w:val="004E1E2A"/>
    <w:rsid w:val="004E1E5C"/>
    <w:rsid w:val="004E2070"/>
    <w:rsid w:val="004E2177"/>
    <w:rsid w:val="004E2205"/>
    <w:rsid w:val="004E2242"/>
    <w:rsid w:val="004E2248"/>
    <w:rsid w:val="004E2635"/>
    <w:rsid w:val="004E275E"/>
    <w:rsid w:val="004E284B"/>
    <w:rsid w:val="004E284C"/>
    <w:rsid w:val="004E2A67"/>
    <w:rsid w:val="004E2ACE"/>
    <w:rsid w:val="004E2B31"/>
    <w:rsid w:val="004E2B54"/>
    <w:rsid w:val="004E2C3F"/>
    <w:rsid w:val="004E2CA4"/>
    <w:rsid w:val="004E2CD1"/>
    <w:rsid w:val="004E2D1F"/>
    <w:rsid w:val="004E2E4E"/>
    <w:rsid w:val="004E2E51"/>
    <w:rsid w:val="004E2E7B"/>
    <w:rsid w:val="004E2ED8"/>
    <w:rsid w:val="004E2EF2"/>
    <w:rsid w:val="004E2EF8"/>
    <w:rsid w:val="004E2F0C"/>
    <w:rsid w:val="004E2F84"/>
    <w:rsid w:val="004E2FF9"/>
    <w:rsid w:val="004E3045"/>
    <w:rsid w:val="004E311A"/>
    <w:rsid w:val="004E323F"/>
    <w:rsid w:val="004E32F9"/>
    <w:rsid w:val="004E3462"/>
    <w:rsid w:val="004E3487"/>
    <w:rsid w:val="004E3594"/>
    <w:rsid w:val="004E35FC"/>
    <w:rsid w:val="004E36D2"/>
    <w:rsid w:val="004E3908"/>
    <w:rsid w:val="004E3943"/>
    <w:rsid w:val="004E39F3"/>
    <w:rsid w:val="004E3A15"/>
    <w:rsid w:val="004E3BEB"/>
    <w:rsid w:val="004E3D92"/>
    <w:rsid w:val="004E3D95"/>
    <w:rsid w:val="004E3DE0"/>
    <w:rsid w:val="004E3F6E"/>
    <w:rsid w:val="004E3F74"/>
    <w:rsid w:val="004E4042"/>
    <w:rsid w:val="004E40BB"/>
    <w:rsid w:val="004E41A5"/>
    <w:rsid w:val="004E41A6"/>
    <w:rsid w:val="004E41E2"/>
    <w:rsid w:val="004E4204"/>
    <w:rsid w:val="004E42CD"/>
    <w:rsid w:val="004E444A"/>
    <w:rsid w:val="004E44A9"/>
    <w:rsid w:val="004E44E0"/>
    <w:rsid w:val="004E4504"/>
    <w:rsid w:val="004E451A"/>
    <w:rsid w:val="004E4523"/>
    <w:rsid w:val="004E4560"/>
    <w:rsid w:val="004E45A2"/>
    <w:rsid w:val="004E460C"/>
    <w:rsid w:val="004E4670"/>
    <w:rsid w:val="004E46FA"/>
    <w:rsid w:val="004E476D"/>
    <w:rsid w:val="004E4863"/>
    <w:rsid w:val="004E48AD"/>
    <w:rsid w:val="004E497B"/>
    <w:rsid w:val="004E4A37"/>
    <w:rsid w:val="004E4A95"/>
    <w:rsid w:val="004E4BBD"/>
    <w:rsid w:val="004E4BD4"/>
    <w:rsid w:val="004E4C84"/>
    <w:rsid w:val="004E4CF8"/>
    <w:rsid w:val="004E4D5A"/>
    <w:rsid w:val="004E4D69"/>
    <w:rsid w:val="004E4DC8"/>
    <w:rsid w:val="004E4E8B"/>
    <w:rsid w:val="004E4FB2"/>
    <w:rsid w:val="004E5107"/>
    <w:rsid w:val="004E5162"/>
    <w:rsid w:val="004E52C9"/>
    <w:rsid w:val="004E5305"/>
    <w:rsid w:val="004E5373"/>
    <w:rsid w:val="004E5377"/>
    <w:rsid w:val="004E53B8"/>
    <w:rsid w:val="004E53BA"/>
    <w:rsid w:val="004E53C1"/>
    <w:rsid w:val="004E5468"/>
    <w:rsid w:val="004E5499"/>
    <w:rsid w:val="004E54B0"/>
    <w:rsid w:val="004E54BD"/>
    <w:rsid w:val="004E5698"/>
    <w:rsid w:val="004E56B9"/>
    <w:rsid w:val="004E57A8"/>
    <w:rsid w:val="004E57F9"/>
    <w:rsid w:val="004E5859"/>
    <w:rsid w:val="004E58CE"/>
    <w:rsid w:val="004E5939"/>
    <w:rsid w:val="004E596C"/>
    <w:rsid w:val="004E5A0F"/>
    <w:rsid w:val="004E5A40"/>
    <w:rsid w:val="004E5A7C"/>
    <w:rsid w:val="004E5ADA"/>
    <w:rsid w:val="004E5D0B"/>
    <w:rsid w:val="004E5E7C"/>
    <w:rsid w:val="004E5F01"/>
    <w:rsid w:val="004E601A"/>
    <w:rsid w:val="004E60F1"/>
    <w:rsid w:val="004E6238"/>
    <w:rsid w:val="004E623F"/>
    <w:rsid w:val="004E629F"/>
    <w:rsid w:val="004E62B9"/>
    <w:rsid w:val="004E62EA"/>
    <w:rsid w:val="004E6315"/>
    <w:rsid w:val="004E6395"/>
    <w:rsid w:val="004E63D2"/>
    <w:rsid w:val="004E6436"/>
    <w:rsid w:val="004E646E"/>
    <w:rsid w:val="004E6522"/>
    <w:rsid w:val="004E652F"/>
    <w:rsid w:val="004E6578"/>
    <w:rsid w:val="004E6616"/>
    <w:rsid w:val="004E6638"/>
    <w:rsid w:val="004E6698"/>
    <w:rsid w:val="004E67A5"/>
    <w:rsid w:val="004E6800"/>
    <w:rsid w:val="004E6811"/>
    <w:rsid w:val="004E6851"/>
    <w:rsid w:val="004E6897"/>
    <w:rsid w:val="004E6916"/>
    <w:rsid w:val="004E69B8"/>
    <w:rsid w:val="004E6A31"/>
    <w:rsid w:val="004E6A3D"/>
    <w:rsid w:val="004E6ADB"/>
    <w:rsid w:val="004E6B6A"/>
    <w:rsid w:val="004E6B77"/>
    <w:rsid w:val="004E6C8A"/>
    <w:rsid w:val="004E6CA6"/>
    <w:rsid w:val="004E6CE8"/>
    <w:rsid w:val="004E6D1E"/>
    <w:rsid w:val="004E6D7E"/>
    <w:rsid w:val="004E6D81"/>
    <w:rsid w:val="004E6E20"/>
    <w:rsid w:val="004E6E4F"/>
    <w:rsid w:val="004E6E8C"/>
    <w:rsid w:val="004E6EF9"/>
    <w:rsid w:val="004E6F76"/>
    <w:rsid w:val="004E6F91"/>
    <w:rsid w:val="004E6FC7"/>
    <w:rsid w:val="004E6FF8"/>
    <w:rsid w:val="004E7029"/>
    <w:rsid w:val="004E7092"/>
    <w:rsid w:val="004E7217"/>
    <w:rsid w:val="004E7260"/>
    <w:rsid w:val="004E7265"/>
    <w:rsid w:val="004E73D7"/>
    <w:rsid w:val="004E741A"/>
    <w:rsid w:val="004E7476"/>
    <w:rsid w:val="004E74A3"/>
    <w:rsid w:val="004E7542"/>
    <w:rsid w:val="004E7587"/>
    <w:rsid w:val="004E76B8"/>
    <w:rsid w:val="004E76C2"/>
    <w:rsid w:val="004E7854"/>
    <w:rsid w:val="004E78C2"/>
    <w:rsid w:val="004E793E"/>
    <w:rsid w:val="004E79E4"/>
    <w:rsid w:val="004E79FF"/>
    <w:rsid w:val="004E7A53"/>
    <w:rsid w:val="004E7A54"/>
    <w:rsid w:val="004E7A84"/>
    <w:rsid w:val="004E7B0F"/>
    <w:rsid w:val="004E7BAE"/>
    <w:rsid w:val="004E7CB0"/>
    <w:rsid w:val="004E7CEB"/>
    <w:rsid w:val="004E7CF1"/>
    <w:rsid w:val="004E7D27"/>
    <w:rsid w:val="004E7D39"/>
    <w:rsid w:val="004E7D85"/>
    <w:rsid w:val="004E7DB5"/>
    <w:rsid w:val="004E7E21"/>
    <w:rsid w:val="004E7E33"/>
    <w:rsid w:val="004E7F6D"/>
    <w:rsid w:val="004E7F83"/>
    <w:rsid w:val="004F0014"/>
    <w:rsid w:val="004F0073"/>
    <w:rsid w:val="004F009C"/>
    <w:rsid w:val="004F00E0"/>
    <w:rsid w:val="004F0192"/>
    <w:rsid w:val="004F01B6"/>
    <w:rsid w:val="004F0275"/>
    <w:rsid w:val="004F02B7"/>
    <w:rsid w:val="004F0323"/>
    <w:rsid w:val="004F0418"/>
    <w:rsid w:val="004F04A6"/>
    <w:rsid w:val="004F04F2"/>
    <w:rsid w:val="004F055D"/>
    <w:rsid w:val="004F0630"/>
    <w:rsid w:val="004F0722"/>
    <w:rsid w:val="004F0759"/>
    <w:rsid w:val="004F07A4"/>
    <w:rsid w:val="004F09E9"/>
    <w:rsid w:val="004F0A5C"/>
    <w:rsid w:val="004F0A6C"/>
    <w:rsid w:val="004F0B0C"/>
    <w:rsid w:val="004F0BF5"/>
    <w:rsid w:val="004F0C5B"/>
    <w:rsid w:val="004F0CB6"/>
    <w:rsid w:val="004F0CEE"/>
    <w:rsid w:val="004F0D4D"/>
    <w:rsid w:val="004F0D6D"/>
    <w:rsid w:val="004F0DCF"/>
    <w:rsid w:val="004F0EAF"/>
    <w:rsid w:val="004F0EEC"/>
    <w:rsid w:val="004F0F3D"/>
    <w:rsid w:val="004F0F70"/>
    <w:rsid w:val="004F0F73"/>
    <w:rsid w:val="004F0FCC"/>
    <w:rsid w:val="004F0FD6"/>
    <w:rsid w:val="004F107C"/>
    <w:rsid w:val="004F111D"/>
    <w:rsid w:val="004F11BC"/>
    <w:rsid w:val="004F129A"/>
    <w:rsid w:val="004F1340"/>
    <w:rsid w:val="004F1450"/>
    <w:rsid w:val="004F149F"/>
    <w:rsid w:val="004F1559"/>
    <w:rsid w:val="004F166B"/>
    <w:rsid w:val="004F16A3"/>
    <w:rsid w:val="004F1716"/>
    <w:rsid w:val="004F1730"/>
    <w:rsid w:val="004F175F"/>
    <w:rsid w:val="004F17C9"/>
    <w:rsid w:val="004F17F4"/>
    <w:rsid w:val="004F1839"/>
    <w:rsid w:val="004F18CA"/>
    <w:rsid w:val="004F1987"/>
    <w:rsid w:val="004F19C0"/>
    <w:rsid w:val="004F19CC"/>
    <w:rsid w:val="004F19F7"/>
    <w:rsid w:val="004F1A00"/>
    <w:rsid w:val="004F1A18"/>
    <w:rsid w:val="004F1A28"/>
    <w:rsid w:val="004F1A5D"/>
    <w:rsid w:val="004F1AB4"/>
    <w:rsid w:val="004F1C84"/>
    <w:rsid w:val="004F1CEA"/>
    <w:rsid w:val="004F1CFB"/>
    <w:rsid w:val="004F1D9F"/>
    <w:rsid w:val="004F1E8D"/>
    <w:rsid w:val="004F1E9E"/>
    <w:rsid w:val="004F1EBC"/>
    <w:rsid w:val="004F1ED3"/>
    <w:rsid w:val="004F1EFB"/>
    <w:rsid w:val="004F1F0D"/>
    <w:rsid w:val="004F1F17"/>
    <w:rsid w:val="004F1FDB"/>
    <w:rsid w:val="004F2051"/>
    <w:rsid w:val="004F20CF"/>
    <w:rsid w:val="004F2259"/>
    <w:rsid w:val="004F234C"/>
    <w:rsid w:val="004F23B3"/>
    <w:rsid w:val="004F253A"/>
    <w:rsid w:val="004F2563"/>
    <w:rsid w:val="004F2567"/>
    <w:rsid w:val="004F25A2"/>
    <w:rsid w:val="004F26C9"/>
    <w:rsid w:val="004F2867"/>
    <w:rsid w:val="004F28AA"/>
    <w:rsid w:val="004F28F5"/>
    <w:rsid w:val="004F297F"/>
    <w:rsid w:val="004F299A"/>
    <w:rsid w:val="004F2A7E"/>
    <w:rsid w:val="004F2BB1"/>
    <w:rsid w:val="004F2C67"/>
    <w:rsid w:val="004F2DC5"/>
    <w:rsid w:val="004F2DCC"/>
    <w:rsid w:val="004F2F45"/>
    <w:rsid w:val="004F2F5F"/>
    <w:rsid w:val="004F302C"/>
    <w:rsid w:val="004F3042"/>
    <w:rsid w:val="004F3121"/>
    <w:rsid w:val="004F315C"/>
    <w:rsid w:val="004F3254"/>
    <w:rsid w:val="004F32BB"/>
    <w:rsid w:val="004F3486"/>
    <w:rsid w:val="004F34CD"/>
    <w:rsid w:val="004F34DB"/>
    <w:rsid w:val="004F3546"/>
    <w:rsid w:val="004F387C"/>
    <w:rsid w:val="004F3949"/>
    <w:rsid w:val="004F3A1E"/>
    <w:rsid w:val="004F3A76"/>
    <w:rsid w:val="004F3A87"/>
    <w:rsid w:val="004F3AA6"/>
    <w:rsid w:val="004F3C0C"/>
    <w:rsid w:val="004F3C21"/>
    <w:rsid w:val="004F3C61"/>
    <w:rsid w:val="004F3CFA"/>
    <w:rsid w:val="004F3CFC"/>
    <w:rsid w:val="004F3D38"/>
    <w:rsid w:val="004F3E8B"/>
    <w:rsid w:val="004F3F0C"/>
    <w:rsid w:val="004F3F2B"/>
    <w:rsid w:val="004F3FD9"/>
    <w:rsid w:val="004F401C"/>
    <w:rsid w:val="004F40BA"/>
    <w:rsid w:val="004F4183"/>
    <w:rsid w:val="004F41A6"/>
    <w:rsid w:val="004F42A0"/>
    <w:rsid w:val="004F4340"/>
    <w:rsid w:val="004F4354"/>
    <w:rsid w:val="004F4370"/>
    <w:rsid w:val="004F445E"/>
    <w:rsid w:val="004F45CC"/>
    <w:rsid w:val="004F4694"/>
    <w:rsid w:val="004F46D2"/>
    <w:rsid w:val="004F4707"/>
    <w:rsid w:val="004F470F"/>
    <w:rsid w:val="004F477C"/>
    <w:rsid w:val="004F47DC"/>
    <w:rsid w:val="004F489F"/>
    <w:rsid w:val="004F4B0E"/>
    <w:rsid w:val="004F4B12"/>
    <w:rsid w:val="004F4B44"/>
    <w:rsid w:val="004F4CF1"/>
    <w:rsid w:val="004F4D5B"/>
    <w:rsid w:val="004F4DF8"/>
    <w:rsid w:val="004F4E4F"/>
    <w:rsid w:val="004F4EE4"/>
    <w:rsid w:val="004F4F2A"/>
    <w:rsid w:val="004F4F33"/>
    <w:rsid w:val="004F4FAF"/>
    <w:rsid w:val="004F509D"/>
    <w:rsid w:val="004F5126"/>
    <w:rsid w:val="004F5296"/>
    <w:rsid w:val="004F52F0"/>
    <w:rsid w:val="004F54A7"/>
    <w:rsid w:val="004F556C"/>
    <w:rsid w:val="004F556D"/>
    <w:rsid w:val="004F55B4"/>
    <w:rsid w:val="004F55E9"/>
    <w:rsid w:val="004F55EB"/>
    <w:rsid w:val="004F5613"/>
    <w:rsid w:val="004F5665"/>
    <w:rsid w:val="004F57BF"/>
    <w:rsid w:val="004F5890"/>
    <w:rsid w:val="004F58A2"/>
    <w:rsid w:val="004F58AD"/>
    <w:rsid w:val="004F59A0"/>
    <w:rsid w:val="004F5A0C"/>
    <w:rsid w:val="004F5A98"/>
    <w:rsid w:val="004F5C68"/>
    <w:rsid w:val="004F5CD0"/>
    <w:rsid w:val="004F5D58"/>
    <w:rsid w:val="004F5DD1"/>
    <w:rsid w:val="004F5E02"/>
    <w:rsid w:val="004F5E25"/>
    <w:rsid w:val="004F5E2F"/>
    <w:rsid w:val="004F5E32"/>
    <w:rsid w:val="004F5E88"/>
    <w:rsid w:val="004F5FBF"/>
    <w:rsid w:val="004F5FEC"/>
    <w:rsid w:val="004F6007"/>
    <w:rsid w:val="004F60DD"/>
    <w:rsid w:val="004F60F6"/>
    <w:rsid w:val="004F6143"/>
    <w:rsid w:val="004F616B"/>
    <w:rsid w:val="004F6171"/>
    <w:rsid w:val="004F625B"/>
    <w:rsid w:val="004F638E"/>
    <w:rsid w:val="004F63AF"/>
    <w:rsid w:val="004F640A"/>
    <w:rsid w:val="004F643C"/>
    <w:rsid w:val="004F662A"/>
    <w:rsid w:val="004F664F"/>
    <w:rsid w:val="004F66CA"/>
    <w:rsid w:val="004F69C2"/>
    <w:rsid w:val="004F69DC"/>
    <w:rsid w:val="004F6B9C"/>
    <w:rsid w:val="004F6C12"/>
    <w:rsid w:val="004F6C57"/>
    <w:rsid w:val="004F6DCD"/>
    <w:rsid w:val="004F6EF5"/>
    <w:rsid w:val="004F6FA5"/>
    <w:rsid w:val="004F7058"/>
    <w:rsid w:val="004F70B4"/>
    <w:rsid w:val="004F7111"/>
    <w:rsid w:val="004F7350"/>
    <w:rsid w:val="004F73AC"/>
    <w:rsid w:val="004F73CA"/>
    <w:rsid w:val="004F7445"/>
    <w:rsid w:val="004F74C5"/>
    <w:rsid w:val="004F775F"/>
    <w:rsid w:val="004F7918"/>
    <w:rsid w:val="004F799D"/>
    <w:rsid w:val="004F7A45"/>
    <w:rsid w:val="004F7AD6"/>
    <w:rsid w:val="004F7BD1"/>
    <w:rsid w:val="004F7C90"/>
    <w:rsid w:val="004F7CF1"/>
    <w:rsid w:val="004F7D03"/>
    <w:rsid w:val="004F7E07"/>
    <w:rsid w:val="004F7E4A"/>
    <w:rsid w:val="004F7EAF"/>
    <w:rsid w:val="004F7ED0"/>
    <w:rsid w:val="00500033"/>
    <w:rsid w:val="005002AC"/>
    <w:rsid w:val="005002B9"/>
    <w:rsid w:val="005002E6"/>
    <w:rsid w:val="00500323"/>
    <w:rsid w:val="00500371"/>
    <w:rsid w:val="0050045D"/>
    <w:rsid w:val="0050047F"/>
    <w:rsid w:val="005005A3"/>
    <w:rsid w:val="0050064B"/>
    <w:rsid w:val="0050064D"/>
    <w:rsid w:val="005006A9"/>
    <w:rsid w:val="005006BA"/>
    <w:rsid w:val="005006CA"/>
    <w:rsid w:val="00500993"/>
    <w:rsid w:val="005009B7"/>
    <w:rsid w:val="005009BA"/>
    <w:rsid w:val="005009FA"/>
    <w:rsid w:val="00500B12"/>
    <w:rsid w:val="00500B44"/>
    <w:rsid w:val="00500B81"/>
    <w:rsid w:val="00500B9B"/>
    <w:rsid w:val="00500C01"/>
    <w:rsid w:val="00500C5B"/>
    <w:rsid w:val="00500CBD"/>
    <w:rsid w:val="00500E36"/>
    <w:rsid w:val="00501008"/>
    <w:rsid w:val="005010F3"/>
    <w:rsid w:val="00501155"/>
    <w:rsid w:val="00501190"/>
    <w:rsid w:val="005011A1"/>
    <w:rsid w:val="00501391"/>
    <w:rsid w:val="00501419"/>
    <w:rsid w:val="0050147E"/>
    <w:rsid w:val="005014FD"/>
    <w:rsid w:val="00501593"/>
    <w:rsid w:val="005016F9"/>
    <w:rsid w:val="00501720"/>
    <w:rsid w:val="00501753"/>
    <w:rsid w:val="00501781"/>
    <w:rsid w:val="005017E2"/>
    <w:rsid w:val="0050186A"/>
    <w:rsid w:val="005018DF"/>
    <w:rsid w:val="00501981"/>
    <w:rsid w:val="00501A21"/>
    <w:rsid w:val="00501A6E"/>
    <w:rsid w:val="00501E1A"/>
    <w:rsid w:val="00501E78"/>
    <w:rsid w:val="00501E89"/>
    <w:rsid w:val="00501F06"/>
    <w:rsid w:val="00502042"/>
    <w:rsid w:val="0050204C"/>
    <w:rsid w:val="0050205C"/>
    <w:rsid w:val="00502342"/>
    <w:rsid w:val="00502379"/>
    <w:rsid w:val="00502544"/>
    <w:rsid w:val="00502612"/>
    <w:rsid w:val="00502637"/>
    <w:rsid w:val="00502682"/>
    <w:rsid w:val="00502702"/>
    <w:rsid w:val="0050273A"/>
    <w:rsid w:val="0050273F"/>
    <w:rsid w:val="00502859"/>
    <w:rsid w:val="00502872"/>
    <w:rsid w:val="00502919"/>
    <w:rsid w:val="00502973"/>
    <w:rsid w:val="00502A0B"/>
    <w:rsid w:val="00502A32"/>
    <w:rsid w:val="00502A69"/>
    <w:rsid w:val="00502BE5"/>
    <w:rsid w:val="00502C16"/>
    <w:rsid w:val="00502C3E"/>
    <w:rsid w:val="00502DCE"/>
    <w:rsid w:val="00502F2A"/>
    <w:rsid w:val="0050305F"/>
    <w:rsid w:val="00503088"/>
    <w:rsid w:val="00503093"/>
    <w:rsid w:val="005030FA"/>
    <w:rsid w:val="00503117"/>
    <w:rsid w:val="0050317A"/>
    <w:rsid w:val="0050323A"/>
    <w:rsid w:val="00503253"/>
    <w:rsid w:val="0050329E"/>
    <w:rsid w:val="00503343"/>
    <w:rsid w:val="005033BB"/>
    <w:rsid w:val="0050343C"/>
    <w:rsid w:val="00503451"/>
    <w:rsid w:val="00503487"/>
    <w:rsid w:val="00503597"/>
    <w:rsid w:val="0050361F"/>
    <w:rsid w:val="00503698"/>
    <w:rsid w:val="005036A3"/>
    <w:rsid w:val="00503759"/>
    <w:rsid w:val="005037C4"/>
    <w:rsid w:val="005037C5"/>
    <w:rsid w:val="005037CC"/>
    <w:rsid w:val="00503884"/>
    <w:rsid w:val="0050391E"/>
    <w:rsid w:val="0050392D"/>
    <w:rsid w:val="00503942"/>
    <w:rsid w:val="005039A5"/>
    <w:rsid w:val="00503A3D"/>
    <w:rsid w:val="00503BB8"/>
    <w:rsid w:val="00503C25"/>
    <w:rsid w:val="00503C56"/>
    <w:rsid w:val="00503C78"/>
    <w:rsid w:val="00503D28"/>
    <w:rsid w:val="00503D56"/>
    <w:rsid w:val="00503D60"/>
    <w:rsid w:val="00503EA1"/>
    <w:rsid w:val="00503F50"/>
    <w:rsid w:val="00503F6D"/>
    <w:rsid w:val="00503FEF"/>
    <w:rsid w:val="005040A7"/>
    <w:rsid w:val="005041B0"/>
    <w:rsid w:val="005041FA"/>
    <w:rsid w:val="0050439A"/>
    <w:rsid w:val="005043B3"/>
    <w:rsid w:val="0050440A"/>
    <w:rsid w:val="0050445D"/>
    <w:rsid w:val="005044C3"/>
    <w:rsid w:val="00504523"/>
    <w:rsid w:val="00504678"/>
    <w:rsid w:val="005046C7"/>
    <w:rsid w:val="005047AB"/>
    <w:rsid w:val="0050480E"/>
    <w:rsid w:val="00504847"/>
    <w:rsid w:val="005048F9"/>
    <w:rsid w:val="0050494A"/>
    <w:rsid w:val="0050499F"/>
    <w:rsid w:val="005049D2"/>
    <w:rsid w:val="00504A1E"/>
    <w:rsid w:val="00504A6E"/>
    <w:rsid w:val="00504B7A"/>
    <w:rsid w:val="00504BDD"/>
    <w:rsid w:val="00504C09"/>
    <w:rsid w:val="00504C32"/>
    <w:rsid w:val="00504C7C"/>
    <w:rsid w:val="00504D4E"/>
    <w:rsid w:val="00504E33"/>
    <w:rsid w:val="00504E48"/>
    <w:rsid w:val="00504F22"/>
    <w:rsid w:val="00504F7A"/>
    <w:rsid w:val="00505042"/>
    <w:rsid w:val="005050E8"/>
    <w:rsid w:val="005050F0"/>
    <w:rsid w:val="005050FD"/>
    <w:rsid w:val="005051D1"/>
    <w:rsid w:val="00505259"/>
    <w:rsid w:val="005052BB"/>
    <w:rsid w:val="00505426"/>
    <w:rsid w:val="0050543C"/>
    <w:rsid w:val="0050547E"/>
    <w:rsid w:val="00505587"/>
    <w:rsid w:val="005055B6"/>
    <w:rsid w:val="005055D9"/>
    <w:rsid w:val="005055EE"/>
    <w:rsid w:val="00505628"/>
    <w:rsid w:val="00505642"/>
    <w:rsid w:val="00505758"/>
    <w:rsid w:val="005057B4"/>
    <w:rsid w:val="0050581A"/>
    <w:rsid w:val="005058BD"/>
    <w:rsid w:val="00505A87"/>
    <w:rsid w:val="00505AC0"/>
    <w:rsid w:val="00505B62"/>
    <w:rsid w:val="00505BB6"/>
    <w:rsid w:val="00505C4C"/>
    <w:rsid w:val="00505CA4"/>
    <w:rsid w:val="00505DAD"/>
    <w:rsid w:val="00505DE3"/>
    <w:rsid w:val="00505E68"/>
    <w:rsid w:val="00505F21"/>
    <w:rsid w:val="00505F43"/>
    <w:rsid w:val="00506029"/>
    <w:rsid w:val="0050606A"/>
    <w:rsid w:val="00506077"/>
    <w:rsid w:val="00506089"/>
    <w:rsid w:val="005060D8"/>
    <w:rsid w:val="00506145"/>
    <w:rsid w:val="00506177"/>
    <w:rsid w:val="005061D9"/>
    <w:rsid w:val="0050623D"/>
    <w:rsid w:val="0050624E"/>
    <w:rsid w:val="00506252"/>
    <w:rsid w:val="0050637F"/>
    <w:rsid w:val="00506486"/>
    <w:rsid w:val="00506501"/>
    <w:rsid w:val="00506545"/>
    <w:rsid w:val="005065A2"/>
    <w:rsid w:val="0050677E"/>
    <w:rsid w:val="00506810"/>
    <w:rsid w:val="00506882"/>
    <w:rsid w:val="005068AC"/>
    <w:rsid w:val="005068D0"/>
    <w:rsid w:val="005068FD"/>
    <w:rsid w:val="00506967"/>
    <w:rsid w:val="00506990"/>
    <w:rsid w:val="00506AD7"/>
    <w:rsid w:val="00506B14"/>
    <w:rsid w:val="00506B54"/>
    <w:rsid w:val="00506D63"/>
    <w:rsid w:val="00506D85"/>
    <w:rsid w:val="00506DC6"/>
    <w:rsid w:val="00506E42"/>
    <w:rsid w:val="00506ECB"/>
    <w:rsid w:val="00506F02"/>
    <w:rsid w:val="00506F2B"/>
    <w:rsid w:val="00506F77"/>
    <w:rsid w:val="00507014"/>
    <w:rsid w:val="00507077"/>
    <w:rsid w:val="00507196"/>
    <w:rsid w:val="005071B4"/>
    <w:rsid w:val="005071B7"/>
    <w:rsid w:val="00507263"/>
    <w:rsid w:val="005073C6"/>
    <w:rsid w:val="005074FC"/>
    <w:rsid w:val="00507578"/>
    <w:rsid w:val="005075D3"/>
    <w:rsid w:val="00507609"/>
    <w:rsid w:val="00507614"/>
    <w:rsid w:val="00507782"/>
    <w:rsid w:val="005077BF"/>
    <w:rsid w:val="005078CC"/>
    <w:rsid w:val="00507912"/>
    <w:rsid w:val="00507B6D"/>
    <w:rsid w:val="00507B7B"/>
    <w:rsid w:val="00507BEC"/>
    <w:rsid w:val="00507BF6"/>
    <w:rsid w:val="00507CD6"/>
    <w:rsid w:val="00507CFE"/>
    <w:rsid w:val="00507D40"/>
    <w:rsid w:val="00507D7F"/>
    <w:rsid w:val="00507DBE"/>
    <w:rsid w:val="00507ED9"/>
    <w:rsid w:val="00507EEA"/>
    <w:rsid w:val="00507F8D"/>
    <w:rsid w:val="00507F8F"/>
    <w:rsid w:val="005100C6"/>
    <w:rsid w:val="005101F3"/>
    <w:rsid w:val="00510281"/>
    <w:rsid w:val="00510321"/>
    <w:rsid w:val="0051033C"/>
    <w:rsid w:val="0051036B"/>
    <w:rsid w:val="0051036E"/>
    <w:rsid w:val="00510421"/>
    <w:rsid w:val="0051045A"/>
    <w:rsid w:val="00510462"/>
    <w:rsid w:val="0051050E"/>
    <w:rsid w:val="00510527"/>
    <w:rsid w:val="0051053D"/>
    <w:rsid w:val="005105CF"/>
    <w:rsid w:val="005106B1"/>
    <w:rsid w:val="00510733"/>
    <w:rsid w:val="00510868"/>
    <w:rsid w:val="005108C3"/>
    <w:rsid w:val="005108CA"/>
    <w:rsid w:val="005109F7"/>
    <w:rsid w:val="005109FC"/>
    <w:rsid w:val="00510A92"/>
    <w:rsid w:val="00510C60"/>
    <w:rsid w:val="00510CA3"/>
    <w:rsid w:val="00510D0B"/>
    <w:rsid w:val="00510DD3"/>
    <w:rsid w:val="00510E3B"/>
    <w:rsid w:val="00510E63"/>
    <w:rsid w:val="00510F9E"/>
    <w:rsid w:val="00511018"/>
    <w:rsid w:val="00511086"/>
    <w:rsid w:val="0051109C"/>
    <w:rsid w:val="0051114A"/>
    <w:rsid w:val="00511197"/>
    <w:rsid w:val="005111B2"/>
    <w:rsid w:val="00511217"/>
    <w:rsid w:val="00511272"/>
    <w:rsid w:val="005113A6"/>
    <w:rsid w:val="00511469"/>
    <w:rsid w:val="005114BE"/>
    <w:rsid w:val="005114C0"/>
    <w:rsid w:val="0051158A"/>
    <w:rsid w:val="00511688"/>
    <w:rsid w:val="005117DE"/>
    <w:rsid w:val="00511809"/>
    <w:rsid w:val="0051185B"/>
    <w:rsid w:val="005118F7"/>
    <w:rsid w:val="00511958"/>
    <w:rsid w:val="00511976"/>
    <w:rsid w:val="00511A15"/>
    <w:rsid w:val="00511B1C"/>
    <w:rsid w:val="00511B5F"/>
    <w:rsid w:val="00511BF3"/>
    <w:rsid w:val="00511BFC"/>
    <w:rsid w:val="00511D40"/>
    <w:rsid w:val="00511D49"/>
    <w:rsid w:val="00511DCE"/>
    <w:rsid w:val="00511DFD"/>
    <w:rsid w:val="00511E53"/>
    <w:rsid w:val="00511F30"/>
    <w:rsid w:val="00511FC8"/>
    <w:rsid w:val="0051201C"/>
    <w:rsid w:val="00512029"/>
    <w:rsid w:val="005120B7"/>
    <w:rsid w:val="00512170"/>
    <w:rsid w:val="00512191"/>
    <w:rsid w:val="005121A1"/>
    <w:rsid w:val="005121DD"/>
    <w:rsid w:val="005122CB"/>
    <w:rsid w:val="0051243C"/>
    <w:rsid w:val="00512478"/>
    <w:rsid w:val="0051248D"/>
    <w:rsid w:val="005124B1"/>
    <w:rsid w:val="00512501"/>
    <w:rsid w:val="0051259F"/>
    <w:rsid w:val="005125E7"/>
    <w:rsid w:val="005125FE"/>
    <w:rsid w:val="0051260D"/>
    <w:rsid w:val="00512658"/>
    <w:rsid w:val="005126AD"/>
    <w:rsid w:val="0051286A"/>
    <w:rsid w:val="0051287E"/>
    <w:rsid w:val="005128A4"/>
    <w:rsid w:val="005129C9"/>
    <w:rsid w:val="00512B56"/>
    <w:rsid w:val="00512B65"/>
    <w:rsid w:val="00512BDB"/>
    <w:rsid w:val="00512BEE"/>
    <w:rsid w:val="00512EE8"/>
    <w:rsid w:val="00512F17"/>
    <w:rsid w:val="00512F21"/>
    <w:rsid w:val="00512F5E"/>
    <w:rsid w:val="005130BE"/>
    <w:rsid w:val="00513125"/>
    <w:rsid w:val="00513228"/>
    <w:rsid w:val="0051322E"/>
    <w:rsid w:val="0051325C"/>
    <w:rsid w:val="00513359"/>
    <w:rsid w:val="005133E5"/>
    <w:rsid w:val="0051349B"/>
    <w:rsid w:val="0051354E"/>
    <w:rsid w:val="005135AE"/>
    <w:rsid w:val="00513623"/>
    <w:rsid w:val="00513624"/>
    <w:rsid w:val="00513657"/>
    <w:rsid w:val="005136AF"/>
    <w:rsid w:val="005136BA"/>
    <w:rsid w:val="00513735"/>
    <w:rsid w:val="0051374B"/>
    <w:rsid w:val="00513796"/>
    <w:rsid w:val="00513834"/>
    <w:rsid w:val="00513A83"/>
    <w:rsid w:val="00513A87"/>
    <w:rsid w:val="00513DCB"/>
    <w:rsid w:val="00513EC8"/>
    <w:rsid w:val="00513ED8"/>
    <w:rsid w:val="00513EFA"/>
    <w:rsid w:val="00513F25"/>
    <w:rsid w:val="00513F34"/>
    <w:rsid w:val="00513F7E"/>
    <w:rsid w:val="00513FAD"/>
    <w:rsid w:val="005140A0"/>
    <w:rsid w:val="005140CE"/>
    <w:rsid w:val="0051410C"/>
    <w:rsid w:val="005141E2"/>
    <w:rsid w:val="005141F4"/>
    <w:rsid w:val="00514294"/>
    <w:rsid w:val="0051430D"/>
    <w:rsid w:val="005143D1"/>
    <w:rsid w:val="005145AA"/>
    <w:rsid w:val="00514606"/>
    <w:rsid w:val="00514715"/>
    <w:rsid w:val="0051472C"/>
    <w:rsid w:val="00514758"/>
    <w:rsid w:val="0051476A"/>
    <w:rsid w:val="0051478D"/>
    <w:rsid w:val="005148A3"/>
    <w:rsid w:val="005148C0"/>
    <w:rsid w:val="005148DC"/>
    <w:rsid w:val="00514933"/>
    <w:rsid w:val="00514A0D"/>
    <w:rsid w:val="00514A5A"/>
    <w:rsid w:val="00514A94"/>
    <w:rsid w:val="00514ACD"/>
    <w:rsid w:val="00514AD2"/>
    <w:rsid w:val="00514AF2"/>
    <w:rsid w:val="00514B36"/>
    <w:rsid w:val="00514D6A"/>
    <w:rsid w:val="00514DB2"/>
    <w:rsid w:val="00514EE6"/>
    <w:rsid w:val="00514EF0"/>
    <w:rsid w:val="00514EFA"/>
    <w:rsid w:val="00514F41"/>
    <w:rsid w:val="00515075"/>
    <w:rsid w:val="005150C4"/>
    <w:rsid w:val="005151D9"/>
    <w:rsid w:val="00515299"/>
    <w:rsid w:val="00515316"/>
    <w:rsid w:val="0051533D"/>
    <w:rsid w:val="005154E5"/>
    <w:rsid w:val="00515546"/>
    <w:rsid w:val="00515644"/>
    <w:rsid w:val="00515706"/>
    <w:rsid w:val="00515788"/>
    <w:rsid w:val="00515803"/>
    <w:rsid w:val="005158CF"/>
    <w:rsid w:val="005159C8"/>
    <w:rsid w:val="00515A32"/>
    <w:rsid w:val="00515B12"/>
    <w:rsid w:val="00515B43"/>
    <w:rsid w:val="00515B86"/>
    <w:rsid w:val="00515BBA"/>
    <w:rsid w:val="00515BEC"/>
    <w:rsid w:val="00515BFE"/>
    <w:rsid w:val="00515C56"/>
    <w:rsid w:val="00515C8E"/>
    <w:rsid w:val="00515D11"/>
    <w:rsid w:val="00515E11"/>
    <w:rsid w:val="00515E38"/>
    <w:rsid w:val="00515F7F"/>
    <w:rsid w:val="00516097"/>
    <w:rsid w:val="005160CA"/>
    <w:rsid w:val="005160FE"/>
    <w:rsid w:val="00516148"/>
    <w:rsid w:val="005161DA"/>
    <w:rsid w:val="00516312"/>
    <w:rsid w:val="00516367"/>
    <w:rsid w:val="005163DE"/>
    <w:rsid w:val="005163F7"/>
    <w:rsid w:val="00516427"/>
    <w:rsid w:val="0051659E"/>
    <w:rsid w:val="00516669"/>
    <w:rsid w:val="005168BB"/>
    <w:rsid w:val="00516A13"/>
    <w:rsid w:val="00516A33"/>
    <w:rsid w:val="00516AF7"/>
    <w:rsid w:val="00516B49"/>
    <w:rsid w:val="00516BED"/>
    <w:rsid w:val="00516C1E"/>
    <w:rsid w:val="00516EA0"/>
    <w:rsid w:val="00516FF7"/>
    <w:rsid w:val="00517017"/>
    <w:rsid w:val="00517082"/>
    <w:rsid w:val="00517164"/>
    <w:rsid w:val="005171AE"/>
    <w:rsid w:val="00517269"/>
    <w:rsid w:val="0051727C"/>
    <w:rsid w:val="005172F1"/>
    <w:rsid w:val="005173C3"/>
    <w:rsid w:val="00517476"/>
    <w:rsid w:val="00517541"/>
    <w:rsid w:val="00517566"/>
    <w:rsid w:val="005175C1"/>
    <w:rsid w:val="005175C8"/>
    <w:rsid w:val="00517614"/>
    <w:rsid w:val="005177DD"/>
    <w:rsid w:val="00517884"/>
    <w:rsid w:val="00517908"/>
    <w:rsid w:val="00517935"/>
    <w:rsid w:val="0051798E"/>
    <w:rsid w:val="00517B5D"/>
    <w:rsid w:val="00517BA1"/>
    <w:rsid w:val="00517BFE"/>
    <w:rsid w:val="00517E00"/>
    <w:rsid w:val="00517F29"/>
    <w:rsid w:val="00517F7D"/>
    <w:rsid w:val="00520068"/>
    <w:rsid w:val="00520307"/>
    <w:rsid w:val="005204E3"/>
    <w:rsid w:val="005204EB"/>
    <w:rsid w:val="0052060C"/>
    <w:rsid w:val="0052064F"/>
    <w:rsid w:val="00520765"/>
    <w:rsid w:val="00520799"/>
    <w:rsid w:val="005208D2"/>
    <w:rsid w:val="005209FE"/>
    <w:rsid w:val="00520A51"/>
    <w:rsid w:val="00520A7D"/>
    <w:rsid w:val="00520AC2"/>
    <w:rsid w:val="00520B03"/>
    <w:rsid w:val="00520B0E"/>
    <w:rsid w:val="00520B23"/>
    <w:rsid w:val="00520B50"/>
    <w:rsid w:val="00520C11"/>
    <w:rsid w:val="00520C50"/>
    <w:rsid w:val="00520C7A"/>
    <w:rsid w:val="00520C89"/>
    <w:rsid w:val="00520D5C"/>
    <w:rsid w:val="00520D6D"/>
    <w:rsid w:val="00520D8D"/>
    <w:rsid w:val="00520DFA"/>
    <w:rsid w:val="00520E03"/>
    <w:rsid w:val="00520E0B"/>
    <w:rsid w:val="00520E6B"/>
    <w:rsid w:val="00520ECF"/>
    <w:rsid w:val="0052111D"/>
    <w:rsid w:val="0052113E"/>
    <w:rsid w:val="005211A2"/>
    <w:rsid w:val="005211BE"/>
    <w:rsid w:val="00521256"/>
    <w:rsid w:val="00521383"/>
    <w:rsid w:val="0052139F"/>
    <w:rsid w:val="005213E0"/>
    <w:rsid w:val="00521429"/>
    <w:rsid w:val="0052160F"/>
    <w:rsid w:val="005216C6"/>
    <w:rsid w:val="00521724"/>
    <w:rsid w:val="005218E4"/>
    <w:rsid w:val="00521996"/>
    <w:rsid w:val="00521A21"/>
    <w:rsid w:val="00521A44"/>
    <w:rsid w:val="00521A8E"/>
    <w:rsid w:val="00521B39"/>
    <w:rsid w:val="00521B97"/>
    <w:rsid w:val="00521CD1"/>
    <w:rsid w:val="00521D09"/>
    <w:rsid w:val="00521D15"/>
    <w:rsid w:val="00521D95"/>
    <w:rsid w:val="00521E74"/>
    <w:rsid w:val="00521F96"/>
    <w:rsid w:val="00521FC3"/>
    <w:rsid w:val="00522048"/>
    <w:rsid w:val="0052206C"/>
    <w:rsid w:val="005220E4"/>
    <w:rsid w:val="00522139"/>
    <w:rsid w:val="00522258"/>
    <w:rsid w:val="005222B9"/>
    <w:rsid w:val="00522397"/>
    <w:rsid w:val="005223AA"/>
    <w:rsid w:val="00522400"/>
    <w:rsid w:val="00522409"/>
    <w:rsid w:val="005224E3"/>
    <w:rsid w:val="00522540"/>
    <w:rsid w:val="0052262E"/>
    <w:rsid w:val="0052272B"/>
    <w:rsid w:val="00522790"/>
    <w:rsid w:val="0052279C"/>
    <w:rsid w:val="00522819"/>
    <w:rsid w:val="005228C6"/>
    <w:rsid w:val="005229BF"/>
    <w:rsid w:val="005229F5"/>
    <w:rsid w:val="00522A68"/>
    <w:rsid w:val="00522B4F"/>
    <w:rsid w:val="00522D13"/>
    <w:rsid w:val="00522D2A"/>
    <w:rsid w:val="00522FA8"/>
    <w:rsid w:val="00522FC6"/>
    <w:rsid w:val="00523042"/>
    <w:rsid w:val="00523054"/>
    <w:rsid w:val="0052305A"/>
    <w:rsid w:val="005230E0"/>
    <w:rsid w:val="005231C6"/>
    <w:rsid w:val="00523310"/>
    <w:rsid w:val="00523318"/>
    <w:rsid w:val="00523337"/>
    <w:rsid w:val="0052333D"/>
    <w:rsid w:val="005233AF"/>
    <w:rsid w:val="0052343A"/>
    <w:rsid w:val="0052346A"/>
    <w:rsid w:val="0052346F"/>
    <w:rsid w:val="0052354D"/>
    <w:rsid w:val="005235E9"/>
    <w:rsid w:val="005235F3"/>
    <w:rsid w:val="005237B1"/>
    <w:rsid w:val="005238A8"/>
    <w:rsid w:val="005238F9"/>
    <w:rsid w:val="0052398A"/>
    <w:rsid w:val="005239B6"/>
    <w:rsid w:val="00523A30"/>
    <w:rsid w:val="00523A3D"/>
    <w:rsid w:val="00523AF8"/>
    <w:rsid w:val="00523B08"/>
    <w:rsid w:val="00523B6F"/>
    <w:rsid w:val="00523B98"/>
    <w:rsid w:val="00523BBE"/>
    <w:rsid w:val="00523CCE"/>
    <w:rsid w:val="00523DFC"/>
    <w:rsid w:val="00523EE9"/>
    <w:rsid w:val="00523F09"/>
    <w:rsid w:val="00523F14"/>
    <w:rsid w:val="00523F9E"/>
    <w:rsid w:val="00524014"/>
    <w:rsid w:val="0052405F"/>
    <w:rsid w:val="00524163"/>
    <w:rsid w:val="0052416A"/>
    <w:rsid w:val="005241E5"/>
    <w:rsid w:val="005242A9"/>
    <w:rsid w:val="005242D7"/>
    <w:rsid w:val="00524301"/>
    <w:rsid w:val="00524472"/>
    <w:rsid w:val="005244A4"/>
    <w:rsid w:val="005244AA"/>
    <w:rsid w:val="005244D5"/>
    <w:rsid w:val="005244F5"/>
    <w:rsid w:val="00524556"/>
    <w:rsid w:val="005245AA"/>
    <w:rsid w:val="005245C7"/>
    <w:rsid w:val="005245FF"/>
    <w:rsid w:val="0052469B"/>
    <w:rsid w:val="00524763"/>
    <w:rsid w:val="00524807"/>
    <w:rsid w:val="0052480C"/>
    <w:rsid w:val="00524864"/>
    <w:rsid w:val="00524870"/>
    <w:rsid w:val="0052490A"/>
    <w:rsid w:val="0052495C"/>
    <w:rsid w:val="00524A11"/>
    <w:rsid w:val="00524A90"/>
    <w:rsid w:val="00524B75"/>
    <w:rsid w:val="00524C00"/>
    <w:rsid w:val="00524C04"/>
    <w:rsid w:val="00524C25"/>
    <w:rsid w:val="00524C5D"/>
    <w:rsid w:val="00524E9E"/>
    <w:rsid w:val="0052507E"/>
    <w:rsid w:val="00525119"/>
    <w:rsid w:val="00525181"/>
    <w:rsid w:val="00525217"/>
    <w:rsid w:val="0052523C"/>
    <w:rsid w:val="005252BD"/>
    <w:rsid w:val="00525450"/>
    <w:rsid w:val="0052545A"/>
    <w:rsid w:val="005254ED"/>
    <w:rsid w:val="0052551B"/>
    <w:rsid w:val="00525535"/>
    <w:rsid w:val="0052553E"/>
    <w:rsid w:val="00525600"/>
    <w:rsid w:val="0052573B"/>
    <w:rsid w:val="00525824"/>
    <w:rsid w:val="0052583C"/>
    <w:rsid w:val="00525886"/>
    <w:rsid w:val="00525961"/>
    <w:rsid w:val="00525A15"/>
    <w:rsid w:val="00525A1D"/>
    <w:rsid w:val="00525A4B"/>
    <w:rsid w:val="00525A83"/>
    <w:rsid w:val="00525B8C"/>
    <w:rsid w:val="00525BB8"/>
    <w:rsid w:val="00525CB4"/>
    <w:rsid w:val="00525D85"/>
    <w:rsid w:val="00525EAE"/>
    <w:rsid w:val="00525F11"/>
    <w:rsid w:val="00525F5A"/>
    <w:rsid w:val="00525F62"/>
    <w:rsid w:val="00526074"/>
    <w:rsid w:val="00526113"/>
    <w:rsid w:val="005261A9"/>
    <w:rsid w:val="005261FC"/>
    <w:rsid w:val="0052621A"/>
    <w:rsid w:val="0052623F"/>
    <w:rsid w:val="00526245"/>
    <w:rsid w:val="00526349"/>
    <w:rsid w:val="00526501"/>
    <w:rsid w:val="005265B2"/>
    <w:rsid w:val="005265B3"/>
    <w:rsid w:val="005265C0"/>
    <w:rsid w:val="005265EA"/>
    <w:rsid w:val="0052663A"/>
    <w:rsid w:val="00526653"/>
    <w:rsid w:val="005267A5"/>
    <w:rsid w:val="005267D7"/>
    <w:rsid w:val="005267E7"/>
    <w:rsid w:val="005267E9"/>
    <w:rsid w:val="005268C7"/>
    <w:rsid w:val="00526988"/>
    <w:rsid w:val="005269B7"/>
    <w:rsid w:val="005269C0"/>
    <w:rsid w:val="005269EC"/>
    <w:rsid w:val="00526A0B"/>
    <w:rsid w:val="00526B19"/>
    <w:rsid w:val="00526B4D"/>
    <w:rsid w:val="00526BEC"/>
    <w:rsid w:val="00526C17"/>
    <w:rsid w:val="00526CB4"/>
    <w:rsid w:val="00526E67"/>
    <w:rsid w:val="00526F23"/>
    <w:rsid w:val="00526FE8"/>
    <w:rsid w:val="0052701A"/>
    <w:rsid w:val="005270DF"/>
    <w:rsid w:val="005271A1"/>
    <w:rsid w:val="005271A4"/>
    <w:rsid w:val="00527216"/>
    <w:rsid w:val="0052726A"/>
    <w:rsid w:val="00527346"/>
    <w:rsid w:val="005273CD"/>
    <w:rsid w:val="0052741F"/>
    <w:rsid w:val="005274A6"/>
    <w:rsid w:val="00527623"/>
    <w:rsid w:val="00527673"/>
    <w:rsid w:val="00527705"/>
    <w:rsid w:val="0052779B"/>
    <w:rsid w:val="005277B7"/>
    <w:rsid w:val="00527819"/>
    <w:rsid w:val="005278AD"/>
    <w:rsid w:val="00527928"/>
    <w:rsid w:val="0052796D"/>
    <w:rsid w:val="00527989"/>
    <w:rsid w:val="005279EC"/>
    <w:rsid w:val="005279F7"/>
    <w:rsid w:val="00527A8C"/>
    <w:rsid w:val="00527AAB"/>
    <w:rsid w:val="00527BD9"/>
    <w:rsid w:val="00527BE0"/>
    <w:rsid w:val="00527BFF"/>
    <w:rsid w:val="00527D06"/>
    <w:rsid w:val="00527E89"/>
    <w:rsid w:val="00527F62"/>
    <w:rsid w:val="00527FB1"/>
    <w:rsid w:val="005300CB"/>
    <w:rsid w:val="005300E1"/>
    <w:rsid w:val="00530100"/>
    <w:rsid w:val="00530102"/>
    <w:rsid w:val="005301D6"/>
    <w:rsid w:val="00530395"/>
    <w:rsid w:val="00530420"/>
    <w:rsid w:val="00530438"/>
    <w:rsid w:val="005304B8"/>
    <w:rsid w:val="005305A5"/>
    <w:rsid w:val="005305DA"/>
    <w:rsid w:val="0053064F"/>
    <w:rsid w:val="00530922"/>
    <w:rsid w:val="005309F3"/>
    <w:rsid w:val="00530BC1"/>
    <w:rsid w:val="00530C17"/>
    <w:rsid w:val="00530C7B"/>
    <w:rsid w:val="00530C97"/>
    <w:rsid w:val="00530C98"/>
    <w:rsid w:val="00530CBF"/>
    <w:rsid w:val="00530CDE"/>
    <w:rsid w:val="00530CE7"/>
    <w:rsid w:val="00530D4D"/>
    <w:rsid w:val="00530EB0"/>
    <w:rsid w:val="00530F2A"/>
    <w:rsid w:val="00530FE2"/>
    <w:rsid w:val="0053102E"/>
    <w:rsid w:val="00531039"/>
    <w:rsid w:val="00531057"/>
    <w:rsid w:val="005310E1"/>
    <w:rsid w:val="0053118B"/>
    <w:rsid w:val="005311D0"/>
    <w:rsid w:val="00531207"/>
    <w:rsid w:val="005312C9"/>
    <w:rsid w:val="005312E3"/>
    <w:rsid w:val="00531325"/>
    <w:rsid w:val="0053132D"/>
    <w:rsid w:val="0053140D"/>
    <w:rsid w:val="005314A0"/>
    <w:rsid w:val="005314DA"/>
    <w:rsid w:val="005315F7"/>
    <w:rsid w:val="005316CE"/>
    <w:rsid w:val="00531788"/>
    <w:rsid w:val="005317BA"/>
    <w:rsid w:val="00531812"/>
    <w:rsid w:val="00531846"/>
    <w:rsid w:val="00531890"/>
    <w:rsid w:val="005318F1"/>
    <w:rsid w:val="0053198B"/>
    <w:rsid w:val="005319D1"/>
    <w:rsid w:val="00531A7F"/>
    <w:rsid w:val="00531B1C"/>
    <w:rsid w:val="00531BD7"/>
    <w:rsid w:val="00531C34"/>
    <w:rsid w:val="00531CB9"/>
    <w:rsid w:val="00531D53"/>
    <w:rsid w:val="00531DD7"/>
    <w:rsid w:val="00531EA9"/>
    <w:rsid w:val="00531F42"/>
    <w:rsid w:val="00531F51"/>
    <w:rsid w:val="00531F61"/>
    <w:rsid w:val="00532091"/>
    <w:rsid w:val="005320CA"/>
    <w:rsid w:val="0053211B"/>
    <w:rsid w:val="00532195"/>
    <w:rsid w:val="005321C0"/>
    <w:rsid w:val="005323C4"/>
    <w:rsid w:val="005323EA"/>
    <w:rsid w:val="00532404"/>
    <w:rsid w:val="00532425"/>
    <w:rsid w:val="00532469"/>
    <w:rsid w:val="00532481"/>
    <w:rsid w:val="005324A7"/>
    <w:rsid w:val="005324D2"/>
    <w:rsid w:val="0053250B"/>
    <w:rsid w:val="005325AC"/>
    <w:rsid w:val="005325F8"/>
    <w:rsid w:val="00532621"/>
    <w:rsid w:val="005326C0"/>
    <w:rsid w:val="0053279A"/>
    <w:rsid w:val="0053281B"/>
    <w:rsid w:val="00532826"/>
    <w:rsid w:val="00532888"/>
    <w:rsid w:val="00532932"/>
    <w:rsid w:val="00532994"/>
    <w:rsid w:val="00532A53"/>
    <w:rsid w:val="00532A92"/>
    <w:rsid w:val="00532B28"/>
    <w:rsid w:val="00532BC4"/>
    <w:rsid w:val="00532CE3"/>
    <w:rsid w:val="00532D07"/>
    <w:rsid w:val="00532DCA"/>
    <w:rsid w:val="00532E00"/>
    <w:rsid w:val="00532E97"/>
    <w:rsid w:val="005330BC"/>
    <w:rsid w:val="005330FF"/>
    <w:rsid w:val="00533123"/>
    <w:rsid w:val="0053312B"/>
    <w:rsid w:val="0053328B"/>
    <w:rsid w:val="0053334D"/>
    <w:rsid w:val="005333B9"/>
    <w:rsid w:val="005333DF"/>
    <w:rsid w:val="0053340D"/>
    <w:rsid w:val="00533553"/>
    <w:rsid w:val="005335D0"/>
    <w:rsid w:val="0053360D"/>
    <w:rsid w:val="00533707"/>
    <w:rsid w:val="00533899"/>
    <w:rsid w:val="005338DE"/>
    <w:rsid w:val="00533A9A"/>
    <w:rsid w:val="00533B51"/>
    <w:rsid w:val="00533BA8"/>
    <w:rsid w:val="00533BF2"/>
    <w:rsid w:val="00533C1F"/>
    <w:rsid w:val="00533C8E"/>
    <w:rsid w:val="00533E89"/>
    <w:rsid w:val="00533F02"/>
    <w:rsid w:val="00533F21"/>
    <w:rsid w:val="00533F22"/>
    <w:rsid w:val="00533FDC"/>
    <w:rsid w:val="00534241"/>
    <w:rsid w:val="00534288"/>
    <w:rsid w:val="0053430F"/>
    <w:rsid w:val="00534315"/>
    <w:rsid w:val="00534359"/>
    <w:rsid w:val="00534399"/>
    <w:rsid w:val="00534400"/>
    <w:rsid w:val="005344B3"/>
    <w:rsid w:val="005344DC"/>
    <w:rsid w:val="00534589"/>
    <w:rsid w:val="0053459D"/>
    <w:rsid w:val="0053468F"/>
    <w:rsid w:val="005348A1"/>
    <w:rsid w:val="005348ED"/>
    <w:rsid w:val="0053490F"/>
    <w:rsid w:val="0053496B"/>
    <w:rsid w:val="0053497B"/>
    <w:rsid w:val="0053497F"/>
    <w:rsid w:val="005349D2"/>
    <w:rsid w:val="00534A34"/>
    <w:rsid w:val="00534AA5"/>
    <w:rsid w:val="00534AC1"/>
    <w:rsid w:val="00534B01"/>
    <w:rsid w:val="00534B2F"/>
    <w:rsid w:val="00534B63"/>
    <w:rsid w:val="00534B76"/>
    <w:rsid w:val="00534B93"/>
    <w:rsid w:val="00534BCB"/>
    <w:rsid w:val="00534CDE"/>
    <w:rsid w:val="00534D16"/>
    <w:rsid w:val="00534D19"/>
    <w:rsid w:val="00534D1B"/>
    <w:rsid w:val="00534DCC"/>
    <w:rsid w:val="00534DCF"/>
    <w:rsid w:val="00534E21"/>
    <w:rsid w:val="00534FED"/>
    <w:rsid w:val="0053506F"/>
    <w:rsid w:val="00535087"/>
    <w:rsid w:val="005351FE"/>
    <w:rsid w:val="00535234"/>
    <w:rsid w:val="005352A9"/>
    <w:rsid w:val="00535364"/>
    <w:rsid w:val="0053539C"/>
    <w:rsid w:val="005353FB"/>
    <w:rsid w:val="0053549A"/>
    <w:rsid w:val="00535507"/>
    <w:rsid w:val="00535516"/>
    <w:rsid w:val="0053558B"/>
    <w:rsid w:val="005355E9"/>
    <w:rsid w:val="0053564F"/>
    <w:rsid w:val="00535730"/>
    <w:rsid w:val="00535835"/>
    <w:rsid w:val="0053583C"/>
    <w:rsid w:val="0053586B"/>
    <w:rsid w:val="00535916"/>
    <w:rsid w:val="00535946"/>
    <w:rsid w:val="00535A99"/>
    <w:rsid w:val="00535B1C"/>
    <w:rsid w:val="00535B4F"/>
    <w:rsid w:val="00535BF2"/>
    <w:rsid w:val="00535C45"/>
    <w:rsid w:val="00535D4F"/>
    <w:rsid w:val="00535DB2"/>
    <w:rsid w:val="00535EB6"/>
    <w:rsid w:val="00535EFD"/>
    <w:rsid w:val="00535F1A"/>
    <w:rsid w:val="00535F1F"/>
    <w:rsid w:val="00535FA5"/>
    <w:rsid w:val="00536020"/>
    <w:rsid w:val="005360B6"/>
    <w:rsid w:val="005360C3"/>
    <w:rsid w:val="005361E8"/>
    <w:rsid w:val="00536255"/>
    <w:rsid w:val="005362B9"/>
    <w:rsid w:val="005363F3"/>
    <w:rsid w:val="0053646D"/>
    <w:rsid w:val="005364DF"/>
    <w:rsid w:val="005364F6"/>
    <w:rsid w:val="005364FF"/>
    <w:rsid w:val="0053657E"/>
    <w:rsid w:val="005365AC"/>
    <w:rsid w:val="0053666A"/>
    <w:rsid w:val="005366C2"/>
    <w:rsid w:val="005367C2"/>
    <w:rsid w:val="00536831"/>
    <w:rsid w:val="0053685C"/>
    <w:rsid w:val="0053694F"/>
    <w:rsid w:val="00536970"/>
    <w:rsid w:val="005369A8"/>
    <w:rsid w:val="00536A69"/>
    <w:rsid w:val="00536B57"/>
    <w:rsid w:val="00536B96"/>
    <w:rsid w:val="00536C8B"/>
    <w:rsid w:val="00536CA7"/>
    <w:rsid w:val="00536CB3"/>
    <w:rsid w:val="00536CBA"/>
    <w:rsid w:val="00536D0D"/>
    <w:rsid w:val="00536E11"/>
    <w:rsid w:val="00536E30"/>
    <w:rsid w:val="00536E8A"/>
    <w:rsid w:val="00536F2E"/>
    <w:rsid w:val="00536F77"/>
    <w:rsid w:val="0053712B"/>
    <w:rsid w:val="00537223"/>
    <w:rsid w:val="00537296"/>
    <w:rsid w:val="00537341"/>
    <w:rsid w:val="00537368"/>
    <w:rsid w:val="005373EC"/>
    <w:rsid w:val="0053745B"/>
    <w:rsid w:val="00537471"/>
    <w:rsid w:val="00537597"/>
    <w:rsid w:val="005375DD"/>
    <w:rsid w:val="00537613"/>
    <w:rsid w:val="005376A4"/>
    <w:rsid w:val="005376C1"/>
    <w:rsid w:val="005376FB"/>
    <w:rsid w:val="00537728"/>
    <w:rsid w:val="00537747"/>
    <w:rsid w:val="005377C9"/>
    <w:rsid w:val="00537950"/>
    <w:rsid w:val="005379BD"/>
    <w:rsid w:val="005379C2"/>
    <w:rsid w:val="005379F8"/>
    <w:rsid w:val="00537A2D"/>
    <w:rsid w:val="00537AFC"/>
    <w:rsid w:val="00537B6B"/>
    <w:rsid w:val="00537B75"/>
    <w:rsid w:val="00537DA2"/>
    <w:rsid w:val="00537E4B"/>
    <w:rsid w:val="00537ECA"/>
    <w:rsid w:val="00537EDA"/>
    <w:rsid w:val="00537F90"/>
    <w:rsid w:val="00537FF8"/>
    <w:rsid w:val="00540098"/>
    <w:rsid w:val="0054010C"/>
    <w:rsid w:val="00540179"/>
    <w:rsid w:val="0054019A"/>
    <w:rsid w:val="00540267"/>
    <w:rsid w:val="00540290"/>
    <w:rsid w:val="00540299"/>
    <w:rsid w:val="005402EF"/>
    <w:rsid w:val="00540382"/>
    <w:rsid w:val="00540399"/>
    <w:rsid w:val="00540453"/>
    <w:rsid w:val="00540482"/>
    <w:rsid w:val="00540596"/>
    <w:rsid w:val="005405BD"/>
    <w:rsid w:val="005407E6"/>
    <w:rsid w:val="005408C4"/>
    <w:rsid w:val="0054094B"/>
    <w:rsid w:val="0054094F"/>
    <w:rsid w:val="00540959"/>
    <w:rsid w:val="00540974"/>
    <w:rsid w:val="00540A37"/>
    <w:rsid w:val="00540A3C"/>
    <w:rsid w:val="00540AFC"/>
    <w:rsid w:val="00540C29"/>
    <w:rsid w:val="00540D6A"/>
    <w:rsid w:val="00540D95"/>
    <w:rsid w:val="00540DB4"/>
    <w:rsid w:val="00540DBD"/>
    <w:rsid w:val="00540DFB"/>
    <w:rsid w:val="00540E0F"/>
    <w:rsid w:val="00540E93"/>
    <w:rsid w:val="00540EE3"/>
    <w:rsid w:val="00540F79"/>
    <w:rsid w:val="00540FD4"/>
    <w:rsid w:val="00541003"/>
    <w:rsid w:val="0054107A"/>
    <w:rsid w:val="0054107C"/>
    <w:rsid w:val="0054119D"/>
    <w:rsid w:val="005412A4"/>
    <w:rsid w:val="005412CB"/>
    <w:rsid w:val="005412E4"/>
    <w:rsid w:val="00541440"/>
    <w:rsid w:val="00541597"/>
    <w:rsid w:val="005415E6"/>
    <w:rsid w:val="0054178A"/>
    <w:rsid w:val="00541824"/>
    <w:rsid w:val="00541871"/>
    <w:rsid w:val="00541919"/>
    <w:rsid w:val="0054193C"/>
    <w:rsid w:val="0054195B"/>
    <w:rsid w:val="005419E3"/>
    <w:rsid w:val="00541A41"/>
    <w:rsid w:val="00541A8D"/>
    <w:rsid w:val="00541AA9"/>
    <w:rsid w:val="00541BAD"/>
    <w:rsid w:val="00541CC5"/>
    <w:rsid w:val="00541EF8"/>
    <w:rsid w:val="00541FC2"/>
    <w:rsid w:val="00542032"/>
    <w:rsid w:val="00542044"/>
    <w:rsid w:val="00542097"/>
    <w:rsid w:val="005421F8"/>
    <w:rsid w:val="00542287"/>
    <w:rsid w:val="00542467"/>
    <w:rsid w:val="0054246D"/>
    <w:rsid w:val="005424C9"/>
    <w:rsid w:val="005424CD"/>
    <w:rsid w:val="005425B5"/>
    <w:rsid w:val="005425EE"/>
    <w:rsid w:val="0054267B"/>
    <w:rsid w:val="005426AB"/>
    <w:rsid w:val="00542848"/>
    <w:rsid w:val="00542873"/>
    <w:rsid w:val="00542895"/>
    <w:rsid w:val="005429BE"/>
    <w:rsid w:val="005429E0"/>
    <w:rsid w:val="00542AA2"/>
    <w:rsid w:val="00542AC5"/>
    <w:rsid w:val="00542AEF"/>
    <w:rsid w:val="00542B5F"/>
    <w:rsid w:val="00542BE2"/>
    <w:rsid w:val="00542BEF"/>
    <w:rsid w:val="00542CD5"/>
    <w:rsid w:val="00542CF9"/>
    <w:rsid w:val="00542E37"/>
    <w:rsid w:val="00542F8A"/>
    <w:rsid w:val="00542FBE"/>
    <w:rsid w:val="0054300B"/>
    <w:rsid w:val="005430CC"/>
    <w:rsid w:val="005430F5"/>
    <w:rsid w:val="00543184"/>
    <w:rsid w:val="005431AC"/>
    <w:rsid w:val="005431D5"/>
    <w:rsid w:val="00543407"/>
    <w:rsid w:val="005434AF"/>
    <w:rsid w:val="0054379D"/>
    <w:rsid w:val="005437FC"/>
    <w:rsid w:val="00543810"/>
    <w:rsid w:val="00543835"/>
    <w:rsid w:val="00543848"/>
    <w:rsid w:val="005438DB"/>
    <w:rsid w:val="005438F6"/>
    <w:rsid w:val="00543997"/>
    <w:rsid w:val="00543A64"/>
    <w:rsid w:val="00543B0C"/>
    <w:rsid w:val="00543C00"/>
    <w:rsid w:val="00543C24"/>
    <w:rsid w:val="00543C36"/>
    <w:rsid w:val="00543D49"/>
    <w:rsid w:val="00543D5C"/>
    <w:rsid w:val="00543EC7"/>
    <w:rsid w:val="00543FA9"/>
    <w:rsid w:val="00543FBF"/>
    <w:rsid w:val="0054403B"/>
    <w:rsid w:val="005440C7"/>
    <w:rsid w:val="005441C1"/>
    <w:rsid w:val="005442BD"/>
    <w:rsid w:val="005442E0"/>
    <w:rsid w:val="00544307"/>
    <w:rsid w:val="005443DF"/>
    <w:rsid w:val="005444B2"/>
    <w:rsid w:val="00544551"/>
    <w:rsid w:val="00544568"/>
    <w:rsid w:val="005445BD"/>
    <w:rsid w:val="005445CF"/>
    <w:rsid w:val="0054462C"/>
    <w:rsid w:val="00544792"/>
    <w:rsid w:val="005447AF"/>
    <w:rsid w:val="00544875"/>
    <w:rsid w:val="005448EE"/>
    <w:rsid w:val="00544947"/>
    <w:rsid w:val="005449CC"/>
    <w:rsid w:val="00544AE8"/>
    <w:rsid w:val="00544B9C"/>
    <w:rsid w:val="00544CB3"/>
    <w:rsid w:val="00544DEE"/>
    <w:rsid w:val="00544EA9"/>
    <w:rsid w:val="00544FEC"/>
    <w:rsid w:val="0054506A"/>
    <w:rsid w:val="005451BF"/>
    <w:rsid w:val="0054526E"/>
    <w:rsid w:val="00545378"/>
    <w:rsid w:val="00545502"/>
    <w:rsid w:val="00545678"/>
    <w:rsid w:val="005456F9"/>
    <w:rsid w:val="005458CF"/>
    <w:rsid w:val="0054599A"/>
    <w:rsid w:val="00545AE4"/>
    <w:rsid w:val="00545B0B"/>
    <w:rsid w:val="00545B57"/>
    <w:rsid w:val="00545B8A"/>
    <w:rsid w:val="00545B9D"/>
    <w:rsid w:val="00545C6A"/>
    <w:rsid w:val="00545C9B"/>
    <w:rsid w:val="00545CDD"/>
    <w:rsid w:val="00545CDF"/>
    <w:rsid w:val="00545CFA"/>
    <w:rsid w:val="00545DD0"/>
    <w:rsid w:val="00545E2B"/>
    <w:rsid w:val="00545E61"/>
    <w:rsid w:val="00545ED4"/>
    <w:rsid w:val="00545F31"/>
    <w:rsid w:val="00545F54"/>
    <w:rsid w:val="00545F6E"/>
    <w:rsid w:val="00546076"/>
    <w:rsid w:val="005461CB"/>
    <w:rsid w:val="005461EA"/>
    <w:rsid w:val="0054627D"/>
    <w:rsid w:val="00546391"/>
    <w:rsid w:val="005463F5"/>
    <w:rsid w:val="00546507"/>
    <w:rsid w:val="005465ED"/>
    <w:rsid w:val="00546674"/>
    <w:rsid w:val="005466E7"/>
    <w:rsid w:val="005467A3"/>
    <w:rsid w:val="005468DD"/>
    <w:rsid w:val="0054691F"/>
    <w:rsid w:val="00546941"/>
    <w:rsid w:val="005469A5"/>
    <w:rsid w:val="00546A5F"/>
    <w:rsid w:val="00546A99"/>
    <w:rsid w:val="00546B8B"/>
    <w:rsid w:val="00546B8F"/>
    <w:rsid w:val="00546BBD"/>
    <w:rsid w:val="00546C67"/>
    <w:rsid w:val="00546CAA"/>
    <w:rsid w:val="00546DC1"/>
    <w:rsid w:val="00546DF1"/>
    <w:rsid w:val="00546DF7"/>
    <w:rsid w:val="00546EE6"/>
    <w:rsid w:val="00546EEB"/>
    <w:rsid w:val="00547028"/>
    <w:rsid w:val="0054704E"/>
    <w:rsid w:val="005471F6"/>
    <w:rsid w:val="0054731A"/>
    <w:rsid w:val="00547405"/>
    <w:rsid w:val="0054749E"/>
    <w:rsid w:val="00547548"/>
    <w:rsid w:val="00547664"/>
    <w:rsid w:val="00547821"/>
    <w:rsid w:val="005478D7"/>
    <w:rsid w:val="00547920"/>
    <w:rsid w:val="00547B1B"/>
    <w:rsid w:val="00547C2D"/>
    <w:rsid w:val="00547D4C"/>
    <w:rsid w:val="00547DE6"/>
    <w:rsid w:val="00547DF6"/>
    <w:rsid w:val="00547F3C"/>
    <w:rsid w:val="00550072"/>
    <w:rsid w:val="00550143"/>
    <w:rsid w:val="00550217"/>
    <w:rsid w:val="0055023D"/>
    <w:rsid w:val="0055024D"/>
    <w:rsid w:val="0055033D"/>
    <w:rsid w:val="005503A3"/>
    <w:rsid w:val="005503DC"/>
    <w:rsid w:val="005505E0"/>
    <w:rsid w:val="005505E4"/>
    <w:rsid w:val="00550620"/>
    <w:rsid w:val="00550751"/>
    <w:rsid w:val="005508D1"/>
    <w:rsid w:val="00550903"/>
    <w:rsid w:val="005509B6"/>
    <w:rsid w:val="005509FC"/>
    <w:rsid w:val="00550AD5"/>
    <w:rsid w:val="00550B95"/>
    <w:rsid w:val="00550DF7"/>
    <w:rsid w:val="00550E78"/>
    <w:rsid w:val="00550E8E"/>
    <w:rsid w:val="00550E9F"/>
    <w:rsid w:val="00550EAA"/>
    <w:rsid w:val="00550F63"/>
    <w:rsid w:val="00551086"/>
    <w:rsid w:val="00551087"/>
    <w:rsid w:val="005510C0"/>
    <w:rsid w:val="00551178"/>
    <w:rsid w:val="005511FB"/>
    <w:rsid w:val="0055124B"/>
    <w:rsid w:val="005512E3"/>
    <w:rsid w:val="00551305"/>
    <w:rsid w:val="00551340"/>
    <w:rsid w:val="00551425"/>
    <w:rsid w:val="0055144A"/>
    <w:rsid w:val="00551491"/>
    <w:rsid w:val="005514D9"/>
    <w:rsid w:val="005514DF"/>
    <w:rsid w:val="00551522"/>
    <w:rsid w:val="00551563"/>
    <w:rsid w:val="00551634"/>
    <w:rsid w:val="0055168A"/>
    <w:rsid w:val="00551720"/>
    <w:rsid w:val="00551724"/>
    <w:rsid w:val="00551751"/>
    <w:rsid w:val="005517F2"/>
    <w:rsid w:val="00551904"/>
    <w:rsid w:val="00551926"/>
    <w:rsid w:val="00551A1D"/>
    <w:rsid w:val="00551B38"/>
    <w:rsid w:val="00551C09"/>
    <w:rsid w:val="00551C34"/>
    <w:rsid w:val="00551CA2"/>
    <w:rsid w:val="00551CED"/>
    <w:rsid w:val="00551D75"/>
    <w:rsid w:val="00551E9B"/>
    <w:rsid w:val="00551EF8"/>
    <w:rsid w:val="00551FD1"/>
    <w:rsid w:val="00552118"/>
    <w:rsid w:val="0055212F"/>
    <w:rsid w:val="005521E0"/>
    <w:rsid w:val="0055226E"/>
    <w:rsid w:val="0055245F"/>
    <w:rsid w:val="00552484"/>
    <w:rsid w:val="00552626"/>
    <w:rsid w:val="00552633"/>
    <w:rsid w:val="00552674"/>
    <w:rsid w:val="0055271D"/>
    <w:rsid w:val="00552724"/>
    <w:rsid w:val="00552741"/>
    <w:rsid w:val="0055276A"/>
    <w:rsid w:val="0055279C"/>
    <w:rsid w:val="005528B6"/>
    <w:rsid w:val="00552919"/>
    <w:rsid w:val="0055295A"/>
    <w:rsid w:val="0055297E"/>
    <w:rsid w:val="005529E1"/>
    <w:rsid w:val="005529E4"/>
    <w:rsid w:val="00552B25"/>
    <w:rsid w:val="00552B3C"/>
    <w:rsid w:val="00552BEA"/>
    <w:rsid w:val="00552C17"/>
    <w:rsid w:val="00552C20"/>
    <w:rsid w:val="00552CC1"/>
    <w:rsid w:val="00552D2A"/>
    <w:rsid w:val="0055300A"/>
    <w:rsid w:val="0055302B"/>
    <w:rsid w:val="00553075"/>
    <w:rsid w:val="005530D2"/>
    <w:rsid w:val="00553154"/>
    <w:rsid w:val="005531FD"/>
    <w:rsid w:val="0055325C"/>
    <w:rsid w:val="00553292"/>
    <w:rsid w:val="005532A7"/>
    <w:rsid w:val="0055337F"/>
    <w:rsid w:val="00553421"/>
    <w:rsid w:val="0055346F"/>
    <w:rsid w:val="00553490"/>
    <w:rsid w:val="005534E7"/>
    <w:rsid w:val="0055361B"/>
    <w:rsid w:val="0055378F"/>
    <w:rsid w:val="005537CB"/>
    <w:rsid w:val="00553863"/>
    <w:rsid w:val="0055394F"/>
    <w:rsid w:val="005539B4"/>
    <w:rsid w:val="005539B9"/>
    <w:rsid w:val="00553A12"/>
    <w:rsid w:val="00553A13"/>
    <w:rsid w:val="00553ABE"/>
    <w:rsid w:val="00553B53"/>
    <w:rsid w:val="00553B6C"/>
    <w:rsid w:val="00553B81"/>
    <w:rsid w:val="00553CAD"/>
    <w:rsid w:val="00553D5E"/>
    <w:rsid w:val="00553DA4"/>
    <w:rsid w:val="00553FCB"/>
    <w:rsid w:val="00553FF5"/>
    <w:rsid w:val="00554076"/>
    <w:rsid w:val="00554078"/>
    <w:rsid w:val="00554083"/>
    <w:rsid w:val="0055409A"/>
    <w:rsid w:val="005540D5"/>
    <w:rsid w:val="005540E5"/>
    <w:rsid w:val="005541AA"/>
    <w:rsid w:val="00554241"/>
    <w:rsid w:val="00554287"/>
    <w:rsid w:val="005542A1"/>
    <w:rsid w:val="005542D3"/>
    <w:rsid w:val="00554426"/>
    <w:rsid w:val="00554561"/>
    <w:rsid w:val="0055463A"/>
    <w:rsid w:val="00554698"/>
    <w:rsid w:val="00554718"/>
    <w:rsid w:val="0055479B"/>
    <w:rsid w:val="005549E0"/>
    <w:rsid w:val="005549E9"/>
    <w:rsid w:val="00554A4B"/>
    <w:rsid w:val="00554A9E"/>
    <w:rsid w:val="00554B1B"/>
    <w:rsid w:val="00554B75"/>
    <w:rsid w:val="00554BEF"/>
    <w:rsid w:val="00554C7A"/>
    <w:rsid w:val="00554C7F"/>
    <w:rsid w:val="00554D1C"/>
    <w:rsid w:val="00554D53"/>
    <w:rsid w:val="00554D88"/>
    <w:rsid w:val="00554D8D"/>
    <w:rsid w:val="00554DBC"/>
    <w:rsid w:val="00554E2A"/>
    <w:rsid w:val="00554F42"/>
    <w:rsid w:val="0055514B"/>
    <w:rsid w:val="0055515A"/>
    <w:rsid w:val="005551DB"/>
    <w:rsid w:val="00555513"/>
    <w:rsid w:val="0055558C"/>
    <w:rsid w:val="005556B7"/>
    <w:rsid w:val="0055571C"/>
    <w:rsid w:val="0055581C"/>
    <w:rsid w:val="0055583C"/>
    <w:rsid w:val="0055585B"/>
    <w:rsid w:val="00555884"/>
    <w:rsid w:val="005558CC"/>
    <w:rsid w:val="00555920"/>
    <w:rsid w:val="00555935"/>
    <w:rsid w:val="00555A45"/>
    <w:rsid w:val="00555A8A"/>
    <w:rsid w:val="00555B1E"/>
    <w:rsid w:val="00555B5E"/>
    <w:rsid w:val="00555B86"/>
    <w:rsid w:val="00555C12"/>
    <w:rsid w:val="00555C9B"/>
    <w:rsid w:val="00555CC1"/>
    <w:rsid w:val="00555D52"/>
    <w:rsid w:val="00555DA2"/>
    <w:rsid w:val="00555DFA"/>
    <w:rsid w:val="00555EFE"/>
    <w:rsid w:val="00555F0B"/>
    <w:rsid w:val="00555FA2"/>
    <w:rsid w:val="0055609C"/>
    <w:rsid w:val="0055610A"/>
    <w:rsid w:val="00556183"/>
    <w:rsid w:val="005562AC"/>
    <w:rsid w:val="0055633E"/>
    <w:rsid w:val="00556363"/>
    <w:rsid w:val="005563A4"/>
    <w:rsid w:val="005564CC"/>
    <w:rsid w:val="00556565"/>
    <w:rsid w:val="00556606"/>
    <w:rsid w:val="005567C5"/>
    <w:rsid w:val="00556842"/>
    <w:rsid w:val="0055685F"/>
    <w:rsid w:val="00556869"/>
    <w:rsid w:val="005568F2"/>
    <w:rsid w:val="0055691D"/>
    <w:rsid w:val="005569E6"/>
    <w:rsid w:val="00556A0F"/>
    <w:rsid w:val="00556AF9"/>
    <w:rsid w:val="00556B15"/>
    <w:rsid w:val="00556B2D"/>
    <w:rsid w:val="00556CD4"/>
    <w:rsid w:val="00556CD9"/>
    <w:rsid w:val="00556D11"/>
    <w:rsid w:val="00556D9F"/>
    <w:rsid w:val="00556E8A"/>
    <w:rsid w:val="00556E9B"/>
    <w:rsid w:val="00556F0B"/>
    <w:rsid w:val="00556FB8"/>
    <w:rsid w:val="00556FDE"/>
    <w:rsid w:val="005570F9"/>
    <w:rsid w:val="00557107"/>
    <w:rsid w:val="005572CD"/>
    <w:rsid w:val="005572FE"/>
    <w:rsid w:val="0055733A"/>
    <w:rsid w:val="00557426"/>
    <w:rsid w:val="00557436"/>
    <w:rsid w:val="00557441"/>
    <w:rsid w:val="0055746D"/>
    <w:rsid w:val="005575D1"/>
    <w:rsid w:val="005576B8"/>
    <w:rsid w:val="005577AE"/>
    <w:rsid w:val="00557855"/>
    <w:rsid w:val="00557901"/>
    <w:rsid w:val="00557A2E"/>
    <w:rsid w:val="00557AA2"/>
    <w:rsid w:val="00557AAD"/>
    <w:rsid w:val="00557AFC"/>
    <w:rsid w:val="00557B34"/>
    <w:rsid w:val="00557CA9"/>
    <w:rsid w:val="00557CC2"/>
    <w:rsid w:val="00557CCB"/>
    <w:rsid w:val="00557D02"/>
    <w:rsid w:val="00557D7C"/>
    <w:rsid w:val="00557D85"/>
    <w:rsid w:val="00557D90"/>
    <w:rsid w:val="00557DDA"/>
    <w:rsid w:val="00557E39"/>
    <w:rsid w:val="00557E8C"/>
    <w:rsid w:val="00557E9C"/>
    <w:rsid w:val="00557EBA"/>
    <w:rsid w:val="00557F6A"/>
    <w:rsid w:val="00557F93"/>
    <w:rsid w:val="005600A0"/>
    <w:rsid w:val="005600BC"/>
    <w:rsid w:val="005600BF"/>
    <w:rsid w:val="005600E2"/>
    <w:rsid w:val="00560176"/>
    <w:rsid w:val="005601A4"/>
    <w:rsid w:val="005601DD"/>
    <w:rsid w:val="0056027B"/>
    <w:rsid w:val="0056035F"/>
    <w:rsid w:val="0056044D"/>
    <w:rsid w:val="00560593"/>
    <w:rsid w:val="005605DF"/>
    <w:rsid w:val="0056062B"/>
    <w:rsid w:val="0056068E"/>
    <w:rsid w:val="005606E5"/>
    <w:rsid w:val="005607C4"/>
    <w:rsid w:val="005607D0"/>
    <w:rsid w:val="005608CD"/>
    <w:rsid w:val="00560A5C"/>
    <w:rsid w:val="00560A7D"/>
    <w:rsid w:val="00560AB1"/>
    <w:rsid w:val="00560B57"/>
    <w:rsid w:val="00560E31"/>
    <w:rsid w:val="00560E89"/>
    <w:rsid w:val="00561086"/>
    <w:rsid w:val="0056108D"/>
    <w:rsid w:val="00561232"/>
    <w:rsid w:val="00561260"/>
    <w:rsid w:val="005612F9"/>
    <w:rsid w:val="0056132B"/>
    <w:rsid w:val="00561396"/>
    <w:rsid w:val="005613DB"/>
    <w:rsid w:val="0056147F"/>
    <w:rsid w:val="005614EA"/>
    <w:rsid w:val="00561617"/>
    <w:rsid w:val="005616F9"/>
    <w:rsid w:val="00561767"/>
    <w:rsid w:val="00561779"/>
    <w:rsid w:val="00561785"/>
    <w:rsid w:val="005617B0"/>
    <w:rsid w:val="0056186A"/>
    <w:rsid w:val="005618AF"/>
    <w:rsid w:val="005618DE"/>
    <w:rsid w:val="005618F8"/>
    <w:rsid w:val="00561951"/>
    <w:rsid w:val="005619AF"/>
    <w:rsid w:val="005619E1"/>
    <w:rsid w:val="005619F6"/>
    <w:rsid w:val="00561A1A"/>
    <w:rsid w:val="00561B31"/>
    <w:rsid w:val="00561BAD"/>
    <w:rsid w:val="00561BF7"/>
    <w:rsid w:val="00561C62"/>
    <w:rsid w:val="00561C70"/>
    <w:rsid w:val="00561CAD"/>
    <w:rsid w:val="00561D72"/>
    <w:rsid w:val="00561DA7"/>
    <w:rsid w:val="005620FB"/>
    <w:rsid w:val="0056213F"/>
    <w:rsid w:val="0056215C"/>
    <w:rsid w:val="00562203"/>
    <w:rsid w:val="0056225B"/>
    <w:rsid w:val="005622C6"/>
    <w:rsid w:val="00562316"/>
    <w:rsid w:val="0056246D"/>
    <w:rsid w:val="005625FC"/>
    <w:rsid w:val="0056279A"/>
    <w:rsid w:val="0056299E"/>
    <w:rsid w:val="005629DF"/>
    <w:rsid w:val="00562A0A"/>
    <w:rsid w:val="00562AEC"/>
    <w:rsid w:val="00562B74"/>
    <w:rsid w:val="00562C12"/>
    <w:rsid w:val="00562ED0"/>
    <w:rsid w:val="00562F21"/>
    <w:rsid w:val="00562F88"/>
    <w:rsid w:val="00562FEC"/>
    <w:rsid w:val="005630BC"/>
    <w:rsid w:val="0056315B"/>
    <w:rsid w:val="005631BD"/>
    <w:rsid w:val="00563340"/>
    <w:rsid w:val="0056343E"/>
    <w:rsid w:val="0056349F"/>
    <w:rsid w:val="005635C7"/>
    <w:rsid w:val="00563761"/>
    <w:rsid w:val="0056378B"/>
    <w:rsid w:val="005637A0"/>
    <w:rsid w:val="005637D6"/>
    <w:rsid w:val="0056384F"/>
    <w:rsid w:val="00563927"/>
    <w:rsid w:val="0056392E"/>
    <w:rsid w:val="00563B5F"/>
    <w:rsid w:val="00563BD7"/>
    <w:rsid w:val="00563C65"/>
    <w:rsid w:val="00563CE7"/>
    <w:rsid w:val="00563D93"/>
    <w:rsid w:val="00563E9C"/>
    <w:rsid w:val="00563F50"/>
    <w:rsid w:val="005640AA"/>
    <w:rsid w:val="005641B9"/>
    <w:rsid w:val="005642B9"/>
    <w:rsid w:val="005642BD"/>
    <w:rsid w:val="005642C7"/>
    <w:rsid w:val="00564362"/>
    <w:rsid w:val="0056436A"/>
    <w:rsid w:val="0056438C"/>
    <w:rsid w:val="00564458"/>
    <w:rsid w:val="00564496"/>
    <w:rsid w:val="0056452F"/>
    <w:rsid w:val="0056457B"/>
    <w:rsid w:val="0056459D"/>
    <w:rsid w:val="00564682"/>
    <w:rsid w:val="005646A2"/>
    <w:rsid w:val="00564740"/>
    <w:rsid w:val="0056479E"/>
    <w:rsid w:val="005647A1"/>
    <w:rsid w:val="0056483E"/>
    <w:rsid w:val="005648D7"/>
    <w:rsid w:val="00564974"/>
    <w:rsid w:val="005649AC"/>
    <w:rsid w:val="005649F3"/>
    <w:rsid w:val="00564AD0"/>
    <w:rsid w:val="00564AD8"/>
    <w:rsid w:val="00564AF2"/>
    <w:rsid w:val="00564D0E"/>
    <w:rsid w:val="00564D4B"/>
    <w:rsid w:val="00564D4D"/>
    <w:rsid w:val="00564D76"/>
    <w:rsid w:val="00564D97"/>
    <w:rsid w:val="00564DB4"/>
    <w:rsid w:val="00564DE5"/>
    <w:rsid w:val="00564E1C"/>
    <w:rsid w:val="00564EF0"/>
    <w:rsid w:val="00564F19"/>
    <w:rsid w:val="00564F5D"/>
    <w:rsid w:val="00564FF5"/>
    <w:rsid w:val="005650A0"/>
    <w:rsid w:val="005650A2"/>
    <w:rsid w:val="00565185"/>
    <w:rsid w:val="005651D9"/>
    <w:rsid w:val="005652AF"/>
    <w:rsid w:val="0056540B"/>
    <w:rsid w:val="00565438"/>
    <w:rsid w:val="0056544C"/>
    <w:rsid w:val="00565451"/>
    <w:rsid w:val="0056547C"/>
    <w:rsid w:val="005654C3"/>
    <w:rsid w:val="005654F3"/>
    <w:rsid w:val="00565511"/>
    <w:rsid w:val="00565551"/>
    <w:rsid w:val="0056555B"/>
    <w:rsid w:val="00565595"/>
    <w:rsid w:val="005655FA"/>
    <w:rsid w:val="00565705"/>
    <w:rsid w:val="0056578C"/>
    <w:rsid w:val="005657DD"/>
    <w:rsid w:val="00565868"/>
    <w:rsid w:val="005658DC"/>
    <w:rsid w:val="00565919"/>
    <w:rsid w:val="0056591D"/>
    <w:rsid w:val="00565983"/>
    <w:rsid w:val="00565A01"/>
    <w:rsid w:val="00565A7E"/>
    <w:rsid w:val="00565B28"/>
    <w:rsid w:val="00565BD9"/>
    <w:rsid w:val="00565C71"/>
    <w:rsid w:val="00565C86"/>
    <w:rsid w:val="00565CC7"/>
    <w:rsid w:val="00565D6F"/>
    <w:rsid w:val="00565DC5"/>
    <w:rsid w:val="00565DFA"/>
    <w:rsid w:val="00565E4D"/>
    <w:rsid w:val="00565E6C"/>
    <w:rsid w:val="00565E76"/>
    <w:rsid w:val="00565EA2"/>
    <w:rsid w:val="00565ECE"/>
    <w:rsid w:val="00565F0C"/>
    <w:rsid w:val="00565F48"/>
    <w:rsid w:val="00566068"/>
    <w:rsid w:val="0056620D"/>
    <w:rsid w:val="0056621F"/>
    <w:rsid w:val="00566285"/>
    <w:rsid w:val="005662B8"/>
    <w:rsid w:val="0056633D"/>
    <w:rsid w:val="00566369"/>
    <w:rsid w:val="00566460"/>
    <w:rsid w:val="00566541"/>
    <w:rsid w:val="00566551"/>
    <w:rsid w:val="00566566"/>
    <w:rsid w:val="005665CB"/>
    <w:rsid w:val="0056663D"/>
    <w:rsid w:val="005666D4"/>
    <w:rsid w:val="00566729"/>
    <w:rsid w:val="00566794"/>
    <w:rsid w:val="00566816"/>
    <w:rsid w:val="005668AF"/>
    <w:rsid w:val="005668D8"/>
    <w:rsid w:val="00566953"/>
    <w:rsid w:val="005669E7"/>
    <w:rsid w:val="00566AEF"/>
    <w:rsid w:val="00566B21"/>
    <w:rsid w:val="00566C37"/>
    <w:rsid w:val="00566D02"/>
    <w:rsid w:val="00566D1F"/>
    <w:rsid w:val="00566D29"/>
    <w:rsid w:val="00566DC3"/>
    <w:rsid w:val="00566E65"/>
    <w:rsid w:val="00566F4A"/>
    <w:rsid w:val="00566F75"/>
    <w:rsid w:val="0056707A"/>
    <w:rsid w:val="005671A8"/>
    <w:rsid w:val="005671DC"/>
    <w:rsid w:val="00567351"/>
    <w:rsid w:val="005673E9"/>
    <w:rsid w:val="00567471"/>
    <w:rsid w:val="005674C5"/>
    <w:rsid w:val="0056765A"/>
    <w:rsid w:val="005676EE"/>
    <w:rsid w:val="0056782F"/>
    <w:rsid w:val="0056799E"/>
    <w:rsid w:val="00567A08"/>
    <w:rsid w:val="00567A7E"/>
    <w:rsid w:val="00567BC9"/>
    <w:rsid w:val="00567C03"/>
    <w:rsid w:val="00567CCE"/>
    <w:rsid w:val="00567D27"/>
    <w:rsid w:val="00567D7B"/>
    <w:rsid w:val="00567D82"/>
    <w:rsid w:val="00567DBA"/>
    <w:rsid w:val="00567E11"/>
    <w:rsid w:val="00567F66"/>
    <w:rsid w:val="0057000B"/>
    <w:rsid w:val="00570030"/>
    <w:rsid w:val="0057003E"/>
    <w:rsid w:val="00570057"/>
    <w:rsid w:val="00570197"/>
    <w:rsid w:val="0057021A"/>
    <w:rsid w:val="0057036B"/>
    <w:rsid w:val="005703B3"/>
    <w:rsid w:val="005703D2"/>
    <w:rsid w:val="005703E9"/>
    <w:rsid w:val="00570426"/>
    <w:rsid w:val="0057042E"/>
    <w:rsid w:val="005704E2"/>
    <w:rsid w:val="00570510"/>
    <w:rsid w:val="00570566"/>
    <w:rsid w:val="005705BA"/>
    <w:rsid w:val="005705C7"/>
    <w:rsid w:val="005706C3"/>
    <w:rsid w:val="00570751"/>
    <w:rsid w:val="00570753"/>
    <w:rsid w:val="00570810"/>
    <w:rsid w:val="0057081B"/>
    <w:rsid w:val="005708A5"/>
    <w:rsid w:val="005708B8"/>
    <w:rsid w:val="005708D2"/>
    <w:rsid w:val="0057092D"/>
    <w:rsid w:val="00570A4F"/>
    <w:rsid w:val="00570AA4"/>
    <w:rsid w:val="00570AF9"/>
    <w:rsid w:val="00570BA6"/>
    <w:rsid w:val="00570C3B"/>
    <w:rsid w:val="00570E20"/>
    <w:rsid w:val="00570F2D"/>
    <w:rsid w:val="00570F9F"/>
    <w:rsid w:val="00570FAE"/>
    <w:rsid w:val="00570FB2"/>
    <w:rsid w:val="00571013"/>
    <w:rsid w:val="0057102A"/>
    <w:rsid w:val="0057109A"/>
    <w:rsid w:val="005710F2"/>
    <w:rsid w:val="0057112F"/>
    <w:rsid w:val="005711E1"/>
    <w:rsid w:val="00571232"/>
    <w:rsid w:val="00571264"/>
    <w:rsid w:val="005713F2"/>
    <w:rsid w:val="005715AC"/>
    <w:rsid w:val="00571684"/>
    <w:rsid w:val="005716A0"/>
    <w:rsid w:val="00571712"/>
    <w:rsid w:val="0057180C"/>
    <w:rsid w:val="00571858"/>
    <w:rsid w:val="0057188B"/>
    <w:rsid w:val="0057192D"/>
    <w:rsid w:val="0057194A"/>
    <w:rsid w:val="00571976"/>
    <w:rsid w:val="005719D0"/>
    <w:rsid w:val="00571BB0"/>
    <w:rsid w:val="00571C71"/>
    <w:rsid w:val="00571DE0"/>
    <w:rsid w:val="00571E70"/>
    <w:rsid w:val="00571E92"/>
    <w:rsid w:val="00571ED0"/>
    <w:rsid w:val="00571F2A"/>
    <w:rsid w:val="00571F54"/>
    <w:rsid w:val="00571F8F"/>
    <w:rsid w:val="00571FB0"/>
    <w:rsid w:val="00572047"/>
    <w:rsid w:val="00572161"/>
    <w:rsid w:val="00572180"/>
    <w:rsid w:val="00572195"/>
    <w:rsid w:val="00572200"/>
    <w:rsid w:val="00572233"/>
    <w:rsid w:val="00572235"/>
    <w:rsid w:val="0057229B"/>
    <w:rsid w:val="0057229C"/>
    <w:rsid w:val="005722B5"/>
    <w:rsid w:val="005723C8"/>
    <w:rsid w:val="005723DD"/>
    <w:rsid w:val="00572477"/>
    <w:rsid w:val="005724C9"/>
    <w:rsid w:val="0057259E"/>
    <w:rsid w:val="0057265C"/>
    <w:rsid w:val="005726C0"/>
    <w:rsid w:val="005726C9"/>
    <w:rsid w:val="005726EE"/>
    <w:rsid w:val="00572787"/>
    <w:rsid w:val="005727AA"/>
    <w:rsid w:val="005728DE"/>
    <w:rsid w:val="00572983"/>
    <w:rsid w:val="005729BA"/>
    <w:rsid w:val="005729DB"/>
    <w:rsid w:val="00572AF9"/>
    <w:rsid w:val="00572B5D"/>
    <w:rsid w:val="00572C06"/>
    <w:rsid w:val="00572C16"/>
    <w:rsid w:val="00572C18"/>
    <w:rsid w:val="00572C89"/>
    <w:rsid w:val="00572D21"/>
    <w:rsid w:val="00572DC3"/>
    <w:rsid w:val="00572E15"/>
    <w:rsid w:val="00572E1F"/>
    <w:rsid w:val="00572FB4"/>
    <w:rsid w:val="00573070"/>
    <w:rsid w:val="005730CC"/>
    <w:rsid w:val="00573104"/>
    <w:rsid w:val="00573257"/>
    <w:rsid w:val="005732B5"/>
    <w:rsid w:val="00573304"/>
    <w:rsid w:val="00573342"/>
    <w:rsid w:val="0057338D"/>
    <w:rsid w:val="005733DA"/>
    <w:rsid w:val="00573492"/>
    <w:rsid w:val="0057353D"/>
    <w:rsid w:val="00573596"/>
    <w:rsid w:val="00573607"/>
    <w:rsid w:val="0057365D"/>
    <w:rsid w:val="005737AE"/>
    <w:rsid w:val="00573803"/>
    <w:rsid w:val="00573888"/>
    <w:rsid w:val="00573926"/>
    <w:rsid w:val="00573A28"/>
    <w:rsid w:val="00573AEB"/>
    <w:rsid w:val="00573B6D"/>
    <w:rsid w:val="00573B77"/>
    <w:rsid w:val="00573BDB"/>
    <w:rsid w:val="00573C8B"/>
    <w:rsid w:val="00573D4D"/>
    <w:rsid w:val="00573DEC"/>
    <w:rsid w:val="00573E19"/>
    <w:rsid w:val="00573E31"/>
    <w:rsid w:val="00573E33"/>
    <w:rsid w:val="00573ED5"/>
    <w:rsid w:val="00573EF8"/>
    <w:rsid w:val="00573FED"/>
    <w:rsid w:val="005740E1"/>
    <w:rsid w:val="0057413A"/>
    <w:rsid w:val="005741AB"/>
    <w:rsid w:val="005741E7"/>
    <w:rsid w:val="00574281"/>
    <w:rsid w:val="0057435B"/>
    <w:rsid w:val="00574442"/>
    <w:rsid w:val="0057452B"/>
    <w:rsid w:val="00574656"/>
    <w:rsid w:val="00574765"/>
    <w:rsid w:val="005747EF"/>
    <w:rsid w:val="005748D0"/>
    <w:rsid w:val="00574977"/>
    <w:rsid w:val="005749E7"/>
    <w:rsid w:val="005749F8"/>
    <w:rsid w:val="00574A58"/>
    <w:rsid w:val="00574A7E"/>
    <w:rsid w:val="00574A9C"/>
    <w:rsid w:val="00574BA9"/>
    <w:rsid w:val="00574BC4"/>
    <w:rsid w:val="00574DB6"/>
    <w:rsid w:val="00574E17"/>
    <w:rsid w:val="00574E35"/>
    <w:rsid w:val="00575006"/>
    <w:rsid w:val="00575147"/>
    <w:rsid w:val="00575153"/>
    <w:rsid w:val="00575204"/>
    <w:rsid w:val="00575214"/>
    <w:rsid w:val="00575301"/>
    <w:rsid w:val="00575395"/>
    <w:rsid w:val="005753FC"/>
    <w:rsid w:val="00575409"/>
    <w:rsid w:val="00575489"/>
    <w:rsid w:val="005754E6"/>
    <w:rsid w:val="0057552A"/>
    <w:rsid w:val="0057560E"/>
    <w:rsid w:val="005756DB"/>
    <w:rsid w:val="005757AD"/>
    <w:rsid w:val="005757E1"/>
    <w:rsid w:val="005757E4"/>
    <w:rsid w:val="00575843"/>
    <w:rsid w:val="0057598D"/>
    <w:rsid w:val="00575A00"/>
    <w:rsid w:val="00575ACA"/>
    <w:rsid w:val="00575B17"/>
    <w:rsid w:val="00575B82"/>
    <w:rsid w:val="00575BFA"/>
    <w:rsid w:val="00575C86"/>
    <w:rsid w:val="00575EBB"/>
    <w:rsid w:val="00575EC5"/>
    <w:rsid w:val="00575EE7"/>
    <w:rsid w:val="00575F15"/>
    <w:rsid w:val="00575F5A"/>
    <w:rsid w:val="00575FB3"/>
    <w:rsid w:val="005760EF"/>
    <w:rsid w:val="00576101"/>
    <w:rsid w:val="00576129"/>
    <w:rsid w:val="0057615F"/>
    <w:rsid w:val="00576208"/>
    <w:rsid w:val="00576252"/>
    <w:rsid w:val="00576282"/>
    <w:rsid w:val="005762E2"/>
    <w:rsid w:val="0057631A"/>
    <w:rsid w:val="005764B5"/>
    <w:rsid w:val="005764B8"/>
    <w:rsid w:val="00576505"/>
    <w:rsid w:val="0057658D"/>
    <w:rsid w:val="00576596"/>
    <w:rsid w:val="005766F2"/>
    <w:rsid w:val="0057676F"/>
    <w:rsid w:val="00576846"/>
    <w:rsid w:val="00576981"/>
    <w:rsid w:val="005769EA"/>
    <w:rsid w:val="00576A45"/>
    <w:rsid w:val="00576B0C"/>
    <w:rsid w:val="00576BE7"/>
    <w:rsid w:val="00576BF7"/>
    <w:rsid w:val="00576C82"/>
    <w:rsid w:val="00576D93"/>
    <w:rsid w:val="00576EC7"/>
    <w:rsid w:val="00576ED8"/>
    <w:rsid w:val="00576EE5"/>
    <w:rsid w:val="00576F07"/>
    <w:rsid w:val="00576F22"/>
    <w:rsid w:val="00576F28"/>
    <w:rsid w:val="00576FCE"/>
    <w:rsid w:val="00577097"/>
    <w:rsid w:val="005771A2"/>
    <w:rsid w:val="00577332"/>
    <w:rsid w:val="005776CF"/>
    <w:rsid w:val="005777B2"/>
    <w:rsid w:val="0057785D"/>
    <w:rsid w:val="00577A30"/>
    <w:rsid w:val="00577AC6"/>
    <w:rsid w:val="00577AE1"/>
    <w:rsid w:val="00577B4A"/>
    <w:rsid w:val="00577C35"/>
    <w:rsid w:val="00577C77"/>
    <w:rsid w:val="00577CA9"/>
    <w:rsid w:val="00577D81"/>
    <w:rsid w:val="00577DC4"/>
    <w:rsid w:val="00577DDB"/>
    <w:rsid w:val="00577E0C"/>
    <w:rsid w:val="00577E8B"/>
    <w:rsid w:val="00577E8E"/>
    <w:rsid w:val="00577F3F"/>
    <w:rsid w:val="00577FCE"/>
    <w:rsid w:val="00580067"/>
    <w:rsid w:val="0058009E"/>
    <w:rsid w:val="005801AB"/>
    <w:rsid w:val="005801E5"/>
    <w:rsid w:val="0058028B"/>
    <w:rsid w:val="005802A7"/>
    <w:rsid w:val="00580452"/>
    <w:rsid w:val="005804B8"/>
    <w:rsid w:val="0058051C"/>
    <w:rsid w:val="00580567"/>
    <w:rsid w:val="00580579"/>
    <w:rsid w:val="00580710"/>
    <w:rsid w:val="0058077F"/>
    <w:rsid w:val="005807D4"/>
    <w:rsid w:val="00580849"/>
    <w:rsid w:val="005808A4"/>
    <w:rsid w:val="0058090B"/>
    <w:rsid w:val="00580AC5"/>
    <w:rsid w:val="00580ADE"/>
    <w:rsid w:val="00580BD0"/>
    <w:rsid w:val="00580BE1"/>
    <w:rsid w:val="00580C63"/>
    <w:rsid w:val="00580C6E"/>
    <w:rsid w:val="00580C99"/>
    <w:rsid w:val="00580D1F"/>
    <w:rsid w:val="00580D36"/>
    <w:rsid w:val="00580D9F"/>
    <w:rsid w:val="00580DF1"/>
    <w:rsid w:val="00580E0A"/>
    <w:rsid w:val="00580E0F"/>
    <w:rsid w:val="00580E13"/>
    <w:rsid w:val="00580E75"/>
    <w:rsid w:val="00580F40"/>
    <w:rsid w:val="00580FA8"/>
    <w:rsid w:val="00580FB7"/>
    <w:rsid w:val="00580FFB"/>
    <w:rsid w:val="00581258"/>
    <w:rsid w:val="0058146F"/>
    <w:rsid w:val="0058153D"/>
    <w:rsid w:val="00581549"/>
    <w:rsid w:val="005815B4"/>
    <w:rsid w:val="005817D1"/>
    <w:rsid w:val="005817FC"/>
    <w:rsid w:val="0058195D"/>
    <w:rsid w:val="00581995"/>
    <w:rsid w:val="005819AF"/>
    <w:rsid w:val="005819C9"/>
    <w:rsid w:val="00581A59"/>
    <w:rsid w:val="00581AAC"/>
    <w:rsid w:val="00581B52"/>
    <w:rsid w:val="00581B6D"/>
    <w:rsid w:val="00581CAB"/>
    <w:rsid w:val="00581CB5"/>
    <w:rsid w:val="00581D0D"/>
    <w:rsid w:val="00581D40"/>
    <w:rsid w:val="00581ED3"/>
    <w:rsid w:val="00581EDA"/>
    <w:rsid w:val="00582090"/>
    <w:rsid w:val="00582180"/>
    <w:rsid w:val="005821D1"/>
    <w:rsid w:val="005822A9"/>
    <w:rsid w:val="00582390"/>
    <w:rsid w:val="005823D5"/>
    <w:rsid w:val="00582432"/>
    <w:rsid w:val="0058244E"/>
    <w:rsid w:val="005824FF"/>
    <w:rsid w:val="0058255B"/>
    <w:rsid w:val="005825EE"/>
    <w:rsid w:val="005827CE"/>
    <w:rsid w:val="0058281F"/>
    <w:rsid w:val="00582880"/>
    <w:rsid w:val="005828BF"/>
    <w:rsid w:val="00582A39"/>
    <w:rsid w:val="00582AC6"/>
    <w:rsid w:val="00582B34"/>
    <w:rsid w:val="00582C96"/>
    <w:rsid w:val="00582CF1"/>
    <w:rsid w:val="00582D05"/>
    <w:rsid w:val="00582DB4"/>
    <w:rsid w:val="00582DDC"/>
    <w:rsid w:val="00582E5C"/>
    <w:rsid w:val="00582F6C"/>
    <w:rsid w:val="005831B8"/>
    <w:rsid w:val="0058320D"/>
    <w:rsid w:val="00583397"/>
    <w:rsid w:val="005834CD"/>
    <w:rsid w:val="0058357A"/>
    <w:rsid w:val="005836C1"/>
    <w:rsid w:val="00583791"/>
    <w:rsid w:val="005837EF"/>
    <w:rsid w:val="005838A5"/>
    <w:rsid w:val="00583991"/>
    <w:rsid w:val="005839AA"/>
    <w:rsid w:val="005839DA"/>
    <w:rsid w:val="00583C38"/>
    <w:rsid w:val="00583C67"/>
    <w:rsid w:val="00583C97"/>
    <w:rsid w:val="00583D57"/>
    <w:rsid w:val="00583D80"/>
    <w:rsid w:val="00583ED3"/>
    <w:rsid w:val="00583F1E"/>
    <w:rsid w:val="00583FEB"/>
    <w:rsid w:val="00584059"/>
    <w:rsid w:val="00584115"/>
    <w:rsid w:val="00584121"/>
    <w:rsid w:val="00584178"/>
    <w:rsid w:val="005841A4"/>
    <w:rsid w:val="005841C8"/>
    <w:rsid w:val="005841DB"/>
    <w:rsid w:val="0058428B"/>
    <w:rsid w:val="00584308"/>
    <w:rsid w:val="00584309"/>
    <w:rsid w:val="0058435D"/>
    <w:rsid w:val="005844E2"/>
    <w:rsid w:val="0058457A"/>
    <w:rsid w:val="005845A6"/>
    <w:rsid w:val="005846D4"/>
    <w:rsid w:val="0058472D"/>
    <w:rsid w:val="005847AF"/>
    <w:rsid w:val="005847E0"/>
    <w:rsid w:val="005848A0"/>
    <w:rsid w:val="005848F0"/>
    <w:rsid w:val="0058492E"/>
    <w:rsid w:val="00584B25"/>
    <w:rsid w:val="00584B40"/>
    <w:rsid w:val="00584B47"/>
    <w:rsid w:val="00584C65"/>
    <w:rsid w:val="00584C6A"/>
    <w:rsid w:val="00584D33"/>
    <w:rsid w:val="00584D8B"/>
    <w:rsid w:val="00584DCB"/>
    <w:rsid w:val="00584DDE"/>
    <w:rsid w:val="00584E24"/>
    <w:rsid w:val="00584E87"/>
    <w:rsid w:val="00584EF3"/>
    <w:rsid w:val="00584F28"/>
    <w:rsid w:val="00584F39"/>
    <w:rsid w:val="00585040"/>
    <w:rsid w:val="00585059"/>
    <w:rsid w:val="005851FF"/>
    <w:rsid w:val="00585227"/>
    <w:rsid w:val="005852A3"/>
    <w:rsid w:val="005852C7"/>
    <w:rsid w:val="005853AA"/>
    <w:rsid w:val="0058562E"/>
    <w:rsid w:val="005856D3"/>
    <w:rsid w:val="005856DC"/>
    <w:rsid w:val="005858D6"/>
    <w:rsid w:val="00585932"/>
    <w:rsid w:val="0058593A"/>
    <w:rsid w:val="00585973"/>
    <w:rsid w:val="005859E5"/>
    <w:rsid w:val="00585A2F"/>
    <w:rsid w:val="00585C90"/>
    <w:rsid w:val="00585CCD"/>
    <w:rsid w:val="00585D29"/>
    <w:rsid w:val="00585D44"/>
    <w:rsid w:val="00585D53"/>
    <w:rsid w:val="00585D92"/>
    <w:rsid w:val="00585DD4"/>
    <w:rsid w:val="00585DD5"/>
    <w:rsid w:val="00585E00"/>
    <w:rsid w:val="00585E2A"/>
    <w:rsid w:val="00585E99"/>
    <w:rsid w:val="00585EB3"/>
    <w:rsid w:val="00585EB6"/>
    <w:rsid w:val="0058602F"/>
    <w:rsid w:val="00586088"/>
    <w:rsid w:val="0058609D"/>
    <w:rsid w:val="005860BF"/>
    <w:rsid w:val="00586130"/>
    <w:rsid w:val="005861CB"/>
    <w:rsid w:val="005861D0"/>
    <w:rsid w:val="0058629C"/>
    <w:rsid w:val="0058632B"/>
    <w:rsid w:val="00586367"/>
    <w:rsid w:val="005863DE"/>
    <w:rsid w:val="00586409"/>
    <w:rsid w:val="00586461"/>
    <w:rsid w:val="00586514"/>
    <w:rsid w:val="00586529"/>
    <w:rsid w:val="0058662D"/>
    <w:rsid w:val="005866BA"/>
    <w:rsid w:val="005866CF"/>
    <w:rsid w:val="00586764"/>
    <w:rsid w:val="00586848"/>
    <w:rsid w:val="00586936"/>
    <w:rsid w:val="00586969"/>
    <w:rsid w:val="005869BC"/>
    <w:rsid w:val="00586A3D"/>
    <w:rsid w:val="00586AFD"/>
    <w:rsid w:val="00586BF9"/>
    <w:rsid w:val="00586CB8"/>
    <w:rsid w:val="00586CCC"/>
    <w:rsid w:val="00586CD7"/>
    <w:rsid w:val="00586E4F"/>
    <w:rsid w:val="00586E5D"/>
    <w:rsid w:val="00586E91"/>
    <w:rsid w:val="00586EA9"/>
    <w:rsid w:val="00586EE1"/>
    <w:rsid w:val="00586F09"/>
    <w:rsid w:val="00586F11"/>
    <w:rsid w:val="00586F49"/>
    <w:rsid w:val="00586F85"/>
    <w:rsid w:val="00586FB3"/>
    <w:rsid w:val="00586FB5"/>
    <w:rsid w:val="00586FD8"/>
    <w:rsid w:val="00587069"/>
    <w:rsid w:val="00587086"/>
    <w:rsid w:val="005870B8"/>
    <w:rsid w:val="005870DE"/>
    <w:rsid w:val="00587117"/>
    <w:rsid w:val="0058728C"/>
    <w:rsid w:val="005872E9"/>
    <w:rsid w:val="005873D0"/>
    <w:rsid w:val="0058744C"/>
    <w:rsid w:val="00587506"/>
    <w:rsid w:val="005875B6"/>
    <w:rsid w:val="005877C9"/>
    <w:rsid w:val="005877D2"/>
    <w:rsid w:val="00587841"/>
    <w:rsid w:val="005878C0"/>
    <w:rsid w:val="00587A2F"/>
    <w:rsid w:val="00587A57"/>
    <w:rsid w:val="00587AA8"/>
    <w:rsid w:val="00587B3A"/>
    <w:rsid w:val="00587B6B"/>
    <w:rsid w:val="00587C23"/>
    <w:rsid w:val="00587CAD"/>
    <w:rsid w:val="00587CD5"/>
    <w:rsid w:val="00587CFF"/>
    <w:rsid w:val="00587E77"/>
    <w:rsid w:val="00587EBB"/>
    <w:rsid w:val="0059008B"/>
    <w:rsid w:val="0059008F"/>
    <w:rsid w:val="00590145"/>
    <w:rsid w:val="00590149"/>
    <w:rsid w:val="00590186"/>
    <w:rsid w:val="00590295"/>
    <w:rsid w:val="005902CF"/>
    <w:rsid w:val="0059031D"/>
    <w:rsid w:val="00590364"/>
    <w:rsid w:val="005903F5"/>
    <w:rsid w:val="005904DA"/>
    <w:rsid w:val="005904FF"/>
    <w:rsid w:val="0059059A"/>
    <w:rsid w:val="005905B2"/>
    <w:rsid w:val="00590600"/>
    <w:rsid w:val="00590662"/>
    <w:rsid w:val="00590764"/>
    <w:rsid w:val="00590896"/>
    <w:rsid w:val="00590946"/>
    <w:rsid w:val="00590997"/>
    <w:rsid w:val="005909AC"/>
    <w:rsid w:val="005909AD"/>
    <w:rsid w:val="005909AE"/>
    <w:rsid w:val="00590C81"/>
    <w:rsid w:val="00590CEF"/>
    <w:rsid w:val="00590DF3"/>
    <w:rsid w:val="00590E1E"/>
    <w:rsid w:val="00590E3A"/>
    <w:rsid w:val="00590E52"/>
    <w:rsid w:val="00590E57"/>
    <w:rsid w:val="00590EAA"/>
    <w:rsid w:val="00590ED5"/>
    <w:rsid w:val="00590F47"/>
    <w:rsid w:val="00590FBE"/>
    <w:rsid w:val="005910C8"/>
    <w:rsid w:val="005911D2"/>
    <w:rsid w:val="00591221"/>
    <w:rsid w:val="00591295"/>
    <w:rsid w:val="00591305"/>
    <w:rsid w:val="00591322"/>
    <w:rsid w:val="0059135A"/>
    <w:rsid w:val="00591418"/>
    <w:rsid w:val="00591436"/>
    <w:rsid w:val="005914FD"/>
    <w:rsid w:val="00591537"/>
    <w:rsid w:val="005916C7"/>
    <w:rsid w:val="0059193A"/>
    <w:rsid w:val="005919CB"/>
    <w:rsid w:val="00591A40"/>
    <w:rsid w:val="00591AD5"/>
    <w:rsid w:val="00591AD6"/>
    <w:rsid w:val="00591B82"/>
    <w:rsid w:val="00591DED"/>
    <w:rsid w:val="00591E95"/>
    <w:rsid w:val="00591F26"/>
    <w:rsid w:val="005921E3"/>
    <w:rsid w:val="0059220C"/>
    <w:rsid w:val="00592296"/>
    <w:rsid w:val="005922C1"/>
    <w:rsid w:val="005922EC"/>
    <w:rsid w:val="00592300"/>
    <w:rsid w:val="00592313"/>
    <w:rsid w:val="005923D5"/>
    <w:rsid w:val="005923E7"/>
    <w:rsid w:val="00592417"/>
    <w:rsid w:val="005924BC"/>
    <w:rsid w:val="00592514"/>
    <w:rsid w:val="0059253B"/>
    <w:rsid w:val="00592582"/>
    <w:rsid w:val="00592619"/>
    <w:rsid w:val="00592749"/>
    <w:rsid w:val="005927AD"/>
    <w:rsid w:val="005927CA"/>
    <w:rsid w:val="0059291C"/>
    <w:rsid w:val="0059297A"/>
    <w:rsid w:val="005929B9"/>
    <w:rsid w:val="00592A1D"/>
    <w:rsid w:val="00592A5B"/>
    <w:rsid w:val="00592A8C"/>
    <w:rsid w:val="00592BBF"/>
    <w:rsid w:val="00592C16"/>
    <w:rsid w:val="00592C25"/>
    <w:rsid w:val="00592C2A"/>
    <w:rsid w:val="00592C97"/>
    <w:rsid w:val="00592CC2"/>
    <w:rsid w:val="00592D3A"/>
    <w:rsid w:val="00592D77"/>
    <w:rsid w:val="00592DD3"/>
    <w:rsid w:val="00592E11"/>
    <w:rsid w:val="00592E1A"/>
    <w:rsid w:val="00592F9E"/>
    <w:rsid w:val="00593003"/>
    <w:rsid w:val="0059304A"/>
    <w:rsid w:val="0059305A"/>
    <w:rsid w:val="005930AD"/>
    <w:rsid w:val="005930FB"/>
    <w:rsid w:val="005931FD"/>
    <w:rsid w:val="0059323A"/>
    <w:rsid w:val="0059334B"/>
    <w:rsid w:val="00593402"/>
    <w:rsid w:val="0059349A"/>
    <w:rsid w:val="005934A8"/>
    <w:rsid w:val="005934D0"/>
    <w:rsid w:val="0059354F"/>
    <w:rsid w:val="00593584"/>
    <w:rsid w:val="00593591"/>
    <w:rsid w:val="005937FF"/>
    <w:rsid w:val="00593847"/>
    <w:rsid w:val="0059389F"/>
    <w:rsid w:val="00593955"/>
    <w:rsid w:val="00593999"/>
    <w:rsid w:val="005939A7"/>
    <w:rsid w:val="00593A87"/>
    <w:rsid w:val="00593B15"/>
    <w:rsid w:val="00593B9B"/>
    <w:rsid w:val="00593C10"/>
    <w:rsid w:val="00593C29"/>
    <w:rsid w:val="00593C3D"/>
    <w:rsid w:val="00593C3F"/>
    <w:rsid w:val="00593EB3"/>
    <w:rsid w:val="00593EE5"/>
    <w:rsid w:val="00593F27"/>
    <w:rsid w:val="00594084"/>
    <w:rsid w:val="00594123"/>
    <w:rsid w:val="00594131"/>
    <w:rsid w:val="00594167"/>
    <w:rsid w:val="005942A8"/>
    <w:rsid w:val="005942D3"/>
    <w:rsid w:val="005943E0"/>
    <w:rsid w:val="00594549"/>
    <w:rsid w:val="005945BB"/>
    <w:rsid w:val="005945D7"/>
    <w:rsid w:val="0059461E"/>
    <w:rsid w:val="0059461F"/>
    <w:rsid w:val="005946E8"/>
    <w:rsid w:val="0059476B"/>
    <w:rsid w:val="005947A5"/>
    <w:rsid w:val="005949B3"/>
    <w:rsid w:val="00594A8A"/>
    <w:rsid w:val="00594ABF"/>
    <w:rsid w:val="00594B1E"/>
    <w:rsid w:val="00594BE9"/>
    <w:rsid w:val="00594BF5"/>
    <w:rsid w:val="00594CCD"/>
    <w:rsid w:val="00594CD2"/>
    <w:rsid w:val="00594D4F"/>
    <w:rsid w:val="00594E53"/>
    <w:rsid w:val="00594E89"/>
    <w:rsid w:val="00594EEF"/>
    <w:rsid w:val="00594F90"/>
    <w:rsid w:val="00594F98"/>
    <w:rsid w:val="00594FBE"/>
    <w:rsid w:val="00595095"/>
    <w:rsid w:val="005950DF"/>
    <w:rsid w:val="005951B9"/>
    <w:rsid w:val="005951F2"/>
    <w:rsid w:val="0059532E"/>
    <w:rsid w:val="0059536C"/>
    <w:rsid w:val="00595402"/>
    <w:rsid w:val="0059545E"/>
    <w:rsid w:val="0059546A"/>
    <w:rsid w:val="0059548A"/>
    <w:rsid w:val="0059555A"/>
    <w:rsid w:val="005955F3"/>
    <w:rsid w:val="005956F2"/>
    <w:rsid w:val="00595799"/>
    <w:rsid w:val="005957ED"/>
    <w:rsid w:val="00595812"/>
    <w:rsid w:val="00595836"/>
    <w:rsid w:val="00595861"/>
    <w:rsid w:val="00595883"/>
    <w:rsid w:val="005958B9"/>
    <w:rsid w:val="00595916"/>
    <w:rsid w:val="00595992"/>
    <w:rsid w:val="00595AEC"/>
    <w:rsid w:val="00595B73"/>
    <w:rsid w:val="00595BBE"/>
    <w:rsid w:val="00595CDE"/>
    <w:rsid w:val="00595D4B"/>
    <w:rsid w:val="00595D94"/>
    <w:rsid w:val="00595EA8"/>
    <w:rsid w:val="00595EB8"/>
    <w:rsid w:val="00595F31"/>
    <w:rsid w:val="00595FCF"/>
    <w:rsid w:val="00595FF9"/>
    <w:rsid w:val="005960F7"/>
    <w:rsid w:val="005962E1"/>
    <w:rsid w:val="00596321"/>
    <w:rsid w:val="00596357"/>
    <w:rsid w:val="005963C2"/>
    <w:rsid w:val="00596453"/>
    <w:rsid w:val="005964DC"/>
    <w:rsid w:val="00596628"/>
    <w:rsid w:val="00596657"/>
    <w:rsid w:val="0059667B"/>
    <w:rsid w:val="0059682F"/>
    <w:rsid w:val="00596970"/>
    <w:rsid w:val="005969DE"/>
    <w:rsid w:val="00596AF1"/>
    <w:rsid w:val="00596B7A"/>
    <w:rsid w:val="00596C70"/>
    <w:rsid w:val="00596C8B"/>
    <w:rsid w:val="00596CF9"/>
    <w:rsid w:val="00596DFE"/>
    <w:rsid w:val="00596E84"/>
    <w:rsid w:val="00596F36"/>
    <w:rsid w:val="00597024"/>
    <w:rsid w:val="0059707E"/>
    <w:rsid w:val="005970A5"/>
    <w:rsid w:val="005970B9"/>
    <w:rsid w:val="00597116"/>
    <w:rsid w:val="0059711E"/>
    <w:rsid w:val="00597177"/>
    <w:rsid w:val="005971E6"/>
    <w:rsid w:val="005972B1"/>
    <w:rsid w:val="0059735F"/>
    <w:rsid w:val="005973E3"/>
    <w:rsid w:val="005973FE"/>
    <w:rsid w:val="00597408"/>
    <w:rsid w:val="00597518"/>
    <w:rsid w:val="00597570"/>
    <w:rsid w:val="0059761C"/>
    <w:rsid w:val="0059767D"/>
    <w:rsid w:val="00597713"/>
    <w:rsid w:val="0059775C"/>
    <w:rsid w:val="005977CA"/>
    <w:rsid w:val="005977D8"/>
    <w:rsid w:val="00597815"/>
    <w:rsid w:val="005978F4"/>
    <w:rsid w:val="00597904"/>
    <w:rsid w:val="00597AC6"/>
    <w:rsid w:val="00597AE7"/>
    <w:rsid w:val="00597C7C"/>
    <w:rsid w:val="00597DE8"/>
    <w:rsid w:val="00597E3B"/>
    <w:rsid w:val="00597E82"/>
    <w:rsid w:val="00597EA5"/>
    <w:rsid w:val="00597EF2"/>
    <w:rsid w:val="00597F5D"/>
    <w:rsid w:val="005A002E"/>
    <w:rsid w:val="005A0261"/>
    <w:rsid w:val="005A033D"/>
    <w:rsid w:val="005A03D7"/>
    <w:rsid w:val="005A0489"/>
    <w:rsid w:val="005A04B8"/>
    <w:rsid w:val="005A0646"/>
    <w:rsid w:val="005A066E"/>
    <w:rsid w:val="005A0855"/>
    <w:rsid w:val="005A0909"/>
    <w:rsid w:val="005A0921"/>
    <w:rsid w:val="005A0989"/>
    <w:rsid w:val="005A099F"/>
    <w:rsid w:val="005A09B3"/>
    <w:rsid w:val="005A0A7F"/>
    <w:rsid w:val="005A0B69"/>
    <w:rsid w:val="005A0BB1"/>
    <w:rsid w:val="005A0C93"/>
    <w:rsid w:val="005A0D5F"/>
    <w:rsid w:val="005A0F2B"/>
    <w:rsid w:val="005A110A"/>
    <w:rsid w:val="005A11D9"/>
    <w:rsid w:val="005A11F4"/>
    <w:rsid w:val="005A12BF"/>
    <w:rsid w:val="005A1300"/>
    <w:rsid w:val="005A132D"/>
    <w:rsid w:val="005A153E"/>
    <w:rsid w:val="005A15AF"/>
    <w:rsid w:val="005A15C3"/>
    <w:rsid w:val="005A15F8"/>
    <w:rsid w:val="005A16AA"/>
    <w:rsid w:val="005A177C"/>
    <w:rsid w:val="005A18B2"/>
    <w:rsid w:val="005A1A16"/>
    <w:rsid w:val="005A1A3D"/>
    <w:rsid w:val="005A1A7E"/>
    <w:rsid w:val="005A1AA5"/>
    <w:rsid w:val="005A1AD7"/>
    <w:rsid w:val="005A1BA0"/>
    <w:rsid w:val="005A1C18"/>
    <w:rsid w:val="005A1C1F"/>
    <w:rsid w:val="005A1C68"/>
    <w:rsid w:val="005A1D10"/>
    <w:rsid w:val="005A1E17"/>
    <w:rsid w:val="005A1E8C"/>
    <w:rsid w:val="005A1F48"/>
    <w:rsid w:val="005A1FBF"/>
    <w:rsid w:val="005A206C"/>
    <w:rsid w:val="005A2151"/>
    <w:rsid w:val="005A217E"/>
    <w:rsid w:val="005A21BD"/>
    <w:rsid w:val="005A220D"/>
    <w:rsid w:val="005A22B6"/>
    <w:rsid w:val="005A2317"/>
    <w:rsid w:val="005A231A"/>
    <w:rsid w:val="005A2322"/>
    <w:rsid w:val="005A23C9"/>
    <w:rsid w:val="005A244B"/>
    <w:rsid w:val="005A2567"/>
    <w:rsid w:val="005A25BE"/>
    <w:rsid w:val="005A2728"/>
    <w:rsid w:val="005A2762"/>
    <w:rsid w:val="005A27B0"/>
    <w:rsid w:val="005A27D4"/>
    <w:rsid w:val="005A2986"/>
    <w:rsid w:val="005A29D4"/>
    <w:rsid w:val="005A2AAA"/>
    <w:rsid w:val="005A2AF5"/>
    <w:rsid w:val="005A2B32"/>
    <w:rsid w:val="005A2BED"/>
    <w:rsid w:val="005A2C1A"/>
    <w:rsid w:val="005A2C95"/>
    <w:rsid w:val="005A2C99"/>
    <w:rsid w:val="005A2CB3"/>
    <w:rsid w:val="005A2D3A"/>
    <w:rsid w:val="005A2D48"/>
    <w:rsid w:val="005A2D72"/>
    <w:rsid w:val="005A2EED"/>
    <w:rsid w:val="005A2F4B"/>
    <w:rsid w:val="005A2F6D"/>
    <w:rsid w:val="005A2FB1"/>
    <w:rsid w:val="005A3039"/>
    <w:rsid w:val="005A303B"/>
    <w:rsid w:val="005A304F"/>
    <w:rsid w:val="005A30C8"/>
    <w:rsid w:val="005A3179"/>
    <w:rsid w:val="005A318B"/>
    <w:rsid w:val="005A31F0"/>
    <w:rsid w:val="005A32F8"/>
    <w:rsid w:val="005A331C"/>
    <w:rsid w:val="005A35D5"/>
    <w:rsid w:val="005A36CA"/>
    <w:rsid w:val="005A3832"/>
    <w:rsid w:val="005A38C2"/>
    <w:rsid w:val="005A38FB"/>
    <w:rsid w:val="005A3957"/>
    <w:rsid w:val="005A3A58"/>
    <w:rsid w:val="005A3AB0"/>
    <w:rsid w:val="005A3B5E"/>
    <w:rsid w:val="005A3BAE"/>
    <w:rsid w:val="005A3BC1"/>
    <w:rsid w:val="005A3C51"/>
    <w:rsid w:val="005A3CC8"/>
    <w:rsid w:val="005A3E2A"/>
    <w:rsid w:val="005A3F8D"/>
    <w:rsid w:val="005A400D"/>
    <w:rsid w:val="005A403F"/>
    <w:rsid w:val="005A4109"/>
    <w:rsid w:val="005A41A0"/>
    <w:rsid w:val="005A41E0"/>
    <w:rsid w:val="005A41E3"/>
    <w:rsid w:val="005A41EF"/>
    <w:rsid w:val="005A4247"/>
    <w:rsid w:val="005A4287"/>
    <w:rsid w:val="005A43A4"/>
    <w:rsid w:val="005A43B0"/>
    <w:rsid w:val="005A43C5"/>
    <w:rsid w:val="005A43C6"/>
    <w:rsid w:val="005A4434"/>
    <w:rsid w:val="005A449D"/>
    <w:rsid w:val="005A44D9"/>
    <w:rsid w:val="005A45BA"/>
    <w:rsid w:val="005A45D3"/>
    <w:rsid w:val="005A462B"/>
    <w:rsid w:val="005A4708"/>
    <w:rsid w:val="005A472D"/>
    <w:rsid w:val="005A4772"/>
    <w:rsid w:val="005A47CE"/>
    <w:rsid w:val="005A47F0"/>
    <w:rsid w:val="005A480D"/>
    <w:rsid w:val="005A484A"/>
    <w:rsid w:val="005A48C3"/>
    <w:rsid w:val="005A4A0E"/>
    <w:rsid w:val="005A4AB6"/>
    <w:rsid w:val="005A4B27"/>
    <w:rsid w:val="005A4B94"/>
    <w:rsid w:val="005A4C24"/>
    <w:rsid w:val="005A4C59"/>
    <w:rsid w:val="005A4C78"/>
    <w:rsid w:val="005A4C88"/>
    <w:rsid w:val="005A4CD0"/>
    <w:rsid w:val="005A4D3E"/>
    <w:rsid w:val="005A4DAA"/>
    <w:rsid w:val="005A4EAA"/>
    <w:rsid w:val="005A5005"/>
    <w:rsid w:val="005A502D"/>
    <w:rsid w:val="005A5082"/>
    <w:rsid w:val="005A518B"/>
    <w:rsid w:val="005A52E0"/>
    <w:rsid w:val="005A52E2"/>
    <w:rsid w:val="005A52EB"/>
    <w:rsid w:val="005A52F5"/>
    <w:rsid w:val="005A534F"/>
    <w:rsid w:val="005A537E"/>
    <w:rsid w:val="005A5380"/>
    <w:rsid w:val="005A53FD"/>
    <w:rsid w:val="005A5427"/>
    <w:rsid w:val="005A54BA"/>
    <w:rsid w:val="005A5500"/>
    <w:rsid w:val="005A5558"/>
    <w:rsid w:val="005A561C"/>
    <w:rsid w:val="005A56D8"/>
    <w:rsid w:val="005A57AB"/>
    <w:rsid w:val="005A57D3"/>
    <w:rsid w:val="005A58C7"/>
    <w:rsid w:val="005A58D6"/>
    <w:rsid w:val="005A59A3"/>
    <w:rsid w:val="005A59D2"/>
    <w:rsid w:val="005A59F9"/>
    <w:rsid w:val="005A5A72"/>
    <w:rsid w:val="005A5B3A"/>
    <w:rsid w:val="005A5B92"/>
    <w:rsid w:val="005A5C09"/>
    <w:rsid w:val="005A5D0D"/>
    <w:rsid w:val="005A5D52"/>
    <w:rsid w:val="005A5DC2"/>
    <w:rsid w:val="005A5DD3"/>
    <w:rsid w:val="005A5DF4"/>
    <w:rsid w:val="005A5E10"/>
    <w:rsid w:val="005A5E84"/>
    <w:rsid w:val="005A5FA6"/>
    <w:rsid w:val="005A6188"/>
    <w:rsid w:val="005A626D"/>
    <w:rsid w:val="005A62F3"/>
    <w:rsid w:val="005A6352"/>
    <w:rsid w:val="005A6530"/>
    <w:rsid w:val="005A65ED"/>
    <w:rsid w:val="005A6613"/>
    <w:rsid w:val="005A662B"/>
    <w:rsid w:val="005A669A"/>
    <w:rsid w:val="005A6706"/>
    <w:rsid w:val="005A67A9"/>
    <w:rsid w:val="005A68BC"/>
    <w:rsid w:val="005A68E9"/>
    <w:rsid w:val="005A6989"/>
    <w:rsid w:val="005A6AAA"/>
    <w:rsid w:val="005A6AD5"/>
    <w:rsid w:val="005A6B06"/>
    <w:rsid w:val="005A6B25"/>
    <w:rsid w:val="005A6B75"/>
    <w:rsid w:val="005A6C07"/>
    <w:rsid w:val="005A6C16"/>
    <w:rsid w:val="005A6C2C"/>
    <w:rsid w:val="005A6C44"/>
    <w:rsid w:val="005A6C92"/>
    <w:rsid w:val="005A6D26"/>
    <w:rsid w:val="005A6E04"/>
    <w:rsid w:val="005A6F07"/>
    <w:rsid w:val="005A6F22"/>
    <w:rsid w:val="005A7054"/>
    <w:rsid w:val="005A7088"/>
    <w:rsid w:val="005A714D"/>
    <w:rsid w:val="005A719D"/>
    <w:rsid w:val="005A73C6"/>
    <w:rsid w:val="005A744D"/>
    <w:rsid w:val="005A74E3"/>
    <w:rsid w:val="005A751B"/>
    <w:rsid w:val="005A763E"/>
    <w:rsid w:val="005A7648"/>
    <w:rsid w:val="005A771C"/>
    <w:rsid w:val="005A7774"/>
    <w:rsid w:val="005A7815"/>
    <w:rsid w:val="005A78BB"/>
    <w:rsid w:val="005A791B"/>
    <w:rsid w:val="005A792F"/>
    <w:rsid w:val="005A79C8"/>
    <w:rsid w:val="005A7ACA"/>
    <w:rsid w:val="005A7ACC"/>
    <w:rsid w:val="005A7D00"/>
    <w:rsid w:val="005A7D0C"/>
    <w:rsid w:val="005A7D26"/>
    <w:rsid w:val="005A7D2B"/>
    <w:rsid w:val="005A7D3F"/>
    <w:rsid w:val="005A7D78"/>
    <w:rsid w:val="005A7D9B"/>
    <w:rsid w:val="005A7E32"/>
    <w:rsid w:val="005A7E7F"/>
    <w:rsid w:val="005A7F01"/>
    <w:rsid w:val="005A7FAF"/>
    <w:rsid w:val="005B0014"/>
    <w:rsid w:val="005B004F"/>
    <w:rsid w:val="005B0053"/>
    <w:rsid w:val="005B011B"/>
    <w:rsid w:val="005B01B7"/>
    <w:rsid w:val="005B0255"/>
    <w:rsid w:val="005B025A"/>
    <w:rsid w:val="005B027F"/>
    <w:rsid w:val="005B039D"/>
    <w:rsid w:val="005B0672"/>
    <w:rsid w:val="005B0680"/>
    <w:rsid w:val="005B06B6"/>
    <w:rsid w:val="005B06E6"/>
    <w:rsid w:val="005B07A6"/>
    <w:rsid w:val="005B07F9"/>
    <w:rsid w:val="005B0862"/>
    <w:rsid w:val="005B0896"/>
    <w:rsid w:val="005B0934"/>
    <w:rsid w:val="005B0AC4"/>
    <w:rsid w:val="005B0B96"/>
    <w:rsid w:val="005B0C3C"/>
    <w:rsid w:val="005B0C66"/>
    <w:rsid w:val="005B0D1E"/>
    <w:rsid w:val="005B0EBA"/>
    <w:rsid w:val="005B0F9B"/>
    <w:rsid w:val="005B0FC3"/>
    <w:rsid w:val="005B1025"/>
    <w:rsid w:val="005B1038"/>
    <w:rsid w:val="005B11D4"/>
    <w:rsid w:val="005B122E"/>
    <w:rsid w:val="005B12D6"/>
    <w:rsid w:val="005B12F9"/>
    <w:rsid w:val="005B1319"/>
    <w:rsid w:val="005B132A"/>
    <w:rsid w:val="005B140F"/>
    <w:rsid w:val="005B1491"/>
    <w:rsid w:val="005B1531"/>
    <w:rsid w:val="005B1569"/>
    <w:rsid w:val="005B159A"/>
    <w:rsid w:val="005B15D8"/>
    <w:rsid w:val="005B15ED"/>
    <w:rsid w:val="005B17D1"/>
    <w:rsid w:val="005B185C"/>
    <w:rsid w:val="005B1920"/>
    <w:rsid w:val="005B1968"/>
    <w:rsid w:val="005B19DE"/>
    <w:rsid w:val="005B19F9"/>
    <w:rsid w:val="005B1ACC"/>
    <w:rsid w:val="005B1BD9"/>
    <w:rsid w:val="005B1C14"/>
    <w:rsid w:val="005B1C88"/>
    <w:rsid w:val="005B1D89"/>
    <w:rsid w:val="005B1DB6"/>
    <w:rsid w:val="005B1EFE"/>
    <w:rsid w:val="005B1FAF"/>
    <w:rsid w:val="005B1FC2"/>
    <w:rsid w:val="005B209A"/>
    <w:rsid w:val="005B20FB"/>
    <w:rsid w:val="005B220F"/>
    <w:rsid w:val="005B2235"/>
    <w:rsid w:val="005B22A5"/>
    <w:rsid w:val="005B235A"/>
    <w:rsid w:val="005B23D6"/>
    <w:rsid w:val="005B2509"/>
    <w:rsid w:val="005B251A"/>
    <w:rsid w:val="005B25A8"/>
    <w:rsid w:val="005B25B9"/>
    <w:rsid w:val="005B2656"/>
    <w:rsid w:val="005B26B5"/>
    <w:rsid w:val="005B2702"/>
    <w:rsid w:val="005B2850"/>
    <w:rsid w:val="005B28D3"/>
    <w:rsid w:val="005B28F6"/>
    <w:rsid w:val="005B28F9"/>
    <w:rsid w:val="005B2937"/>
    <w:rsid w:val="005B2A7C"/>
    <w:rsid w:val="005B2B92"/>
    <w:rsid w:val="005B2BA7"/>
    <w:rsid w:val="005B2BB3"/>
    <w:rsid w:val="005B2BD2"/>
    <w:rsid w:val="005B2C7B"/>
    <w:rsid w:val="005B2D16"/>
    <w:rsid w:val="005B2D41"/>
    <w:rsid w:val="005B2DAE"/>
    <w:rsid w:val="005B2DDD"/>
    <w:rsid w:val="005B2DE3"/>
    <w:rsid w:val="005B2F30"/>
    <w:rsid w:val="005B2F43"/>
    <w:rsid w:val="005B2FB4"/>
    <w:rsid w:val="005B2FBB"/>
    <w:rsid w:val="005B3010"/>
    <w:rsid w:val="005B313C"/>
    <w:rsid w:val="005B31A7"/>
    <w:rsid w:val="005B31B0"/>
    <w:rsid w:val="005B329F"/>
    <w:rsid w:val="005B3320"/>
    <w:rsid w:val="005B349C"/>
    <w:rsid w:val="005B34AD"/>
    <w:rsid w:val="005B34DD"/>
    <w:rsid w:val="005B3503"/>
    <w:rsid w:val="005B3529"/>
    <w:rsid w:val="005B35CF"/>
    <w:rsid w:val="005B36DA"/>
    <w:rsid w:val="005B36F4"/>
    <w:rsid w:val="005B376C"/>
    <w:rsid w:val="005B38A9"/>
    <w:rsid w:val="005B38C8"/>
    <w:rsid w:val="005B38CF"/>
    <w:rsid w:val="005B38D6"/>
    <w:rsid w:val="005B38F5"/>
    <w:rsid w:val="005B393A"/>
    <w:rsid w:val="005B3983"/>
    <w:rsid w:val="005B3996"/>
    <w:rsid w:val="005B3B36"/>
    <w:rsid w:val="005B3B37"/>
    <w:rsid w:val="005B3BD0"/>
    <w:rsid w:val="005B3BDB"/>
    <w:rsid w:val="005B3E76"/>
    <w:rsid w:val="005B4089"/>
    <w:rsid w:val="005B414D"/>
    <w:rsid w:val="005B4173"/>
    <w:rsid w:val="005B4265"/>
    <w:rsid w:val="005B429A"/>
    <w:rsid w:val="005B42B3"/>
    <w:rsid w:val="005B434F"/>
    <w:rsid w:val="005B4404"/>
    <w:rsid w:val="005B4415"/>
    <w:rsid w:val="005B4480"/>
    <w:rsid w:val="005B44E6"/>
    <w:rsid w:val="005B44FC"/>
    <w:rsid w:val="005B4515"/>
    <w:rsid w:val="005B454E"/>
    <w:rsid w:val="005B45F9"/>
    <w:rsid w:val="005B46A3"/>
    <w:rsid w:val="005B4741"/>
    <w:rsid w:val="005B48BC"/>
    <w:rsid w:val="005B4937"/>
    <w:rsid w:val="005B495E"/>
    <w:rsid w:val="005B4BC3"/>
    <w:rsid w:val="005B4C47"/>
    <w:rsid w:val="005B4C7A"/>
    <w:rsid w:val="005B4CA0"/>
    <w:rsid w:val="005B4CBD"/>
    <w:rsid w:val="005B4CD2"/>
    <w:rsid w:val="005B4CF2"/>
    <w:rsid w:val="005B4DB0"/>
    <w:rsid w:val="005B4DB8"/>
    <w:rsid w:val="005B4DDB"/>
    <w:rsid w:val="005B4EC5"/>
    <w:rsid w:val="005B4F27"/>
    <w:rsid w:val="005B4FEA"/>
    <w:rsid w:val="005B50A2"/>
    <w:rsid w:val="005B513C"/>
    <w:rsid w:val="005B51FB"/>
    <w:rsid w:val="005B523D"/>
    <w:rsid w:val="005B540C"/>
    <w:rsid w:val="005B5426"/>
    <w:rsid w:val="005B543E"/>
    <w:rsid w:val="005B5483"/>
    <w:rsid w:val="005B54A3"/>
    <w:rsid w:val="005B5505"/>
    <w:rsid w:val="005B55EB"/>
    <w:rsid w:val="005B564D"/>
    <w:rsid w:val="005B56BE"/>
    <w:rsid w:val="005B56CE"/>
    <w:rsid w:val="005B572E"/>
    <w:rsid w:val="005B586E"/>
    <w:rsid w:val="005B58B3"/>
    <w:rsid w:val="005B58C5"/>
    <w:rsid w:val="005B5929"/>
    <w:rsid w:val="005B59A2"/>
    <w:rsid w:val="005B59A9"/>
    <w:rsid w:val="005B5A1B"/>
    <w:rsid w:val="005B5A94"/>
    <w:rsid w:val="005B5B3E"/>
    <w:rsid w:val="005B5D20"/>
    <w:rsid w:val="005B5D4E"/>
    <w:rsid w:val="005B5DF2"/>
    <w:rsid w:val="005B5E3B"/>
    <w:rsid w:val="005B5EEA"/>
    <w:rsid w:val="005B6083"/>
    <w:rsid w:val="005B60AD"/>
    <w:rsid w:val="005B61BD"/>
    <w:rsid w:val="005B61E3"/>
    <w:rsid w:val="005B61F8"/>
    <w:rsid w:val="005B6286"/>
    <w:rsid w:val="005B62BC"/>
    <w:rsid w:val="005B62DD"/>
    <w:rsid w:val="005B63D2"/>
    <w:rsid w:val="005B63EF"/>
    <w:rsid w:val="005B646C"/>
    <w:rsid w:val="005B6473"/>
    <w:rsid w:val="005B651E"/>
    <w:rsid w:val="005B6588"/>
    <w:rsid w:val="005B65B9"/>
    <w:rsid w:val="005B6716"/>
    <w:rsid w:val="005B688C"/>
    <w:rsid w:val="005B6A26"/>
    <w:rsid w:val="005B6A44"/>
    <w:rsid w:val="005B6C4A"/>
    <w:rsid w:val="005B6F25"/>
    <w:rsid w:val="005B6F3A"/>
    <w:rsid w:val="005B702D"/>
    <w:rsid w:val="005B71E3"/>
    <w:rsid w:val="005B71FC"/>
    <w:rsid w:val="005B723C"/>
    <w:rsid w:val="005B7259"/>
    <w:rsid w:val="005B72C9"/>
    <w:rsid w:val="005B7553"/>
    <w:rsid w:val="005B7554"/>
    <w:rsid w:val="005B75D5"/>
    <w:rsid w:val="005B765B"/>
    <w:rsid w:val="005B76D6"/>
    <w:rsid w:val="005B78F3"/>
    <w:rsid w:val="005B79AE"/>
    <w:rsid w:val="005B7A17"/>
    <w:rsid w:val="005B7A3F"/>
    <w:rsid w:val="005B7C02"/>
    <w:rsid w:val="005B7C13"/>
    <w:rsid w:val="005B7C6B"/>
    <w:rsid w:val="005B7D0F"/>
    <w:rsid w:val="005B7D38"/>
    <w:rsid w:val="005B7D9B"/>
    <w:rsid w:val="005B7D9F"/>
    <w:rsid w:val="005B7DB3"/>
    <w:rsid w:val="005B7E08"/>
    <w:rsid w:val="005B7E41"/>
    <w:rsid w:val="005B7E43"/>
    <w:rsid w:val="005B7E58"/>
    <w:rsid w:val="005B7EDB"/>
    <w:rsid w:val="005B7F36"/>
    <w:rsid w:val="005B7FE8"/>
    <w:rsid w:val="005C0009"/>
    <w:rsid w:val="005C0092"/>
    <w:rsid w:val="005C00A6"/>
    <w:rsid w:val="005C00E4"/>
    <w:rsid w:val="005C0221"/>
    <w:rsid w:val="005C0292"/>
    <w:rsid w:val="005C029F"/>
    <w:rsid w:val="005C0300"/>
    <w:rsid w:val="005C0303"/>
    <w:rsid w:val="005C0370"/>
    <w:rsid w:val="005C0390"/>
    <w:rsid w:val="005C0421"/>
    <w:rsid w:val="005C045C"/>
    <w:rsid w:val="005C04AD"/>
    <w:rsid w:val="005C04E6"/>
    <w:rsid w:val="005C0518"/>
    <w:rsid w:val="005C052D"/>
    <w:rsid w:val="005C07F8"/>
    <w:rsid w:val="005C0802"/>
    <w:rsid w:val="005C087C"/>
    <w:rsid w:val="005C08AA"/>
    <w:rsid w:val="005C0946"/>
    <w:rsid w:val="005C09C1"/>
    <w:rsid w:val="005C0ABF"/>
    <w:rsid w:val="005C0AF1"/>
    <w:rsid w:val="005C0B15"/>
    <w:rsid w:val="005C0CE3"/>
    <w:rsid w:val="005C0DDF"/>
    <w:rsid w:val="005C0E37"/>
    <w:rsid w:val="005C0EC7"/>
    <w:rsid w:val="005C0FEE"/>
    <w:rsid w:val="005C1040"/>
    <w:rsid w:val="005C10DE"/>
    <w:rsid w:val="005C11B5"/>
    <w:rsid w:val="005C11D8"/>
    <w:rsid w:val="005C121C"/>
    <w:rsid w:val="005C123A"/>
    <w:rsid w:val="005C1269"/>
    <w:rsid w:val="005C1288"/>
    <w:rsid w:val="005C134A"/>
    <w:rsid w:val="005C142F"/>
    <w:rsid w:val="005C1578"/>
    <w:rsid w:val="005C1613"/>
    <w:rsid w:val="005C1675"/>
    <w:rsid w:val="005C16E7"/>
    <w:rsid w:val="005C1706"/>
    <w:rsid w:val="005C178E"/>
    <w:rsid w:val="005C17CE"/>
    <w:rsid w:val="005C1800"/>
    <w:rsid w:val="005C18E2"/>
    <w:rsid w:val="005C191D"/>
    <w:rsid w:val="005C1953"/>
    <w:rsid w:val="005C19E6"/>
    <w:rsid w:val="005C1AF4"/>
    <w:rsid w:val="005C1B13"/>
    <w:rsid w:val="005C1CB5"/>
    <w:rsid w:val="005C1D32"/>
    <w:rsid w:val="005C1F33"/>
    <w:rsid w:val="005C2110"/>
    <w:rsid w:val="005C2138"/>
    <w:rsid w:val="005C2178"/>
    <w:rsid w:val="005C2229"/>
    <w:rsid w:val="005C2250"/>
    <w:rsid w:val="005C232D"/>
    <w:rsid w:val="005C23B7"/>
    <w:rsid w:val="005C2406"/>
    <w:rsid w:val="005C24A5"/>
    <w:rsid w:val="005C2514"/>
    <w:rsid w:val="005C2530"/>
    <w:rsid w:val="005C25EA"/>
    <w:rsid w:val="005C25F0"/>
    <w:rsid w:val="005C2628"/>
    <w:rsid w:val="005C2718"/>
    <w:rsid w:val="005C274B"/>
    <w:rsid w:val="005C27C1"/>
    <w:rsid w:val="005C2810"/>
    <w:rsid w:val="005C2845"/>
    <w:rsid w:val="005C284E"/>
    <w:rsid w:val="005C2856"/>
    <w:rsid w:val="005C28DD"/>
    <w:rsid w:val="005C2A0C"/>
    <w:rsid w:val="005C2B4A"/>
    <w:rsid w:val="005C2BF8"/>
    <w:rsid w:val="005C2C07"/>
    <w:rsid w:val="005C2C58"/>
    <w:rsid w:val="005C2C8C"/>
    <w:rsid w:val="005C2D79"/>
    <w:rsid w:val="005C2D8B"/>
    <w:rsid w:val="005C2DA2"/>
    <w:rsid w:val="005C2EA7"/>
    <w:rsid w:val="005C2EBA"/>
    <w:rsid w:val="005C2EDE"/>
    <w:rsid w:val="005C2F64"/>
    <w:rsid w:val="005C3062"/>
    <w:rsid w:val="005C3080"/>
    <w:rsid w:val="005C3220"/>
    <w:rsid w:val="005C334E"/>
    <w:rsid w:val="005C3370"/>
    <w:rsid w:val="005C3544"/>
    <w:rsid w:val="005C35BC"/>
    <w:rsid w:val="005C3618"/>
    <w:rsid w:val="005C36FD"/>
    <w:rsid w:val="005C3865"/>
    <w:rsid w:val="005C390E"/>
    <w:rsid w:val="005C3990"/>
    <w:rsid w:val="005C39A6"/>
    <w:rsid w:val="005C39B8"/>
    <w:rsid w:val="005C39FA"/>
    <w:rsid w:val="005C3B14"/>
    <w:rsid w:val="005C3B24"/>
    <w:rsid w:val="005C3B62"/>
    <w:rsid w:val="005C3C7A"/>
    <w:rsid w:val="005C3D38"/>
    <w:rsid w:val="005C3D5D"/>
    <w:rsid w:val="005C3E20"/>
    <w:rsid w:val="005C3F4D"/>
    <w:rsid w:val="005C3FB8"/>
    <w:rsid w:val="005C4035"/>
    <w:rsid w:val="005C4094"/>
    <w:rsid w:val="005C41C8"/>
    <w:rsid w:val="005C428F"/>
    <w:rsid w:val="005C42E9"/>
    <w:rsid w:val="005C4398"/>
    <w:rsid w:val="005C43C9"/>
    <w:rsid w:val="005C442C"/>
    <w:rsid w:val="005C44C7"/>
    <w:rsid w:val="005C4531"/>
    <w:rsid w:val="005C4669"/>
    <w:rsid w:val="005C46F3"/>
    <w:rsid w:val="005C4884"/>
    <w:rsid w:val="005C494D"/>
    <w:rsid w:val="005C4984"/>
    <w:rsid w:val="005C4A09"/>
    <w:rsid w:val="005C4B07"/>
    <w:rsid w:val="005C4B6E"/>
    <w:rsid w:val="005C4B94"/>
    <w:rsid w:val="005C4B9B"/>
    <w:rsid w:val="005C4CB6"/>
    <w:rsid w:val="005C4CED"/>
    <w:rsid w:val="005C4D66"/>
    <w:rsid w:val="005C4D6B"/>
    <w:rsid w:val="005C4D7D"/>
    <w:rsid w:val="005C4E99"/>
    <w:rsid w:val="005C4E9D"/>
    <w:rsid w:val="005C4EF8"/>
    <w:rsid w:val="005C4F58"/>
    <w:rsid w:val="005C4FB4"/>
    <w:rsid w:val="005C511D"/>
    <w:rsid w:val="005C5177"/>
    <w:rsid w:val="005C5203"/>
    <w:rsid w:val="005C523E"/>
    <w:rsid w:val="005C53DC"/>
    <w:rsid w:val="005C5410"/>
    <w:rsid w:val="005C5430"/>
    <w:rsid w:val="005C544D"/>
    <w:rsid w:val="005C5499"/>
    <w:rsid w:val="005C54E6"/>
    <w:rsid w:val="005C562D"/>
    <w:rsid w:val="005C5728"/>
    <w:rsid w:val="005C5735"/>
    <w:rsid w:val="005C57BB"/>
    <w:rsid w:val="005C5A21"/>
    <w:rsid w:val="005C5A97"/>
    <w:rsid w:val="005C5ABB"/>
    <w:rsid w:val="005C5AC8"/>
    <w:rsid w:val="005C5C01"/>
    <w:rsid w:val="005C5E6E"/>
    <w:rsid w:val="005C5EB5"/>
    <w:rsid w:val="005C5EE6"/>
    <w:rsid w:val="005C5EE8"/>
    <w:rsid w:val="005C5F15"/>
    <w:rsid w:val="005C5F6C"/>
    <w:rsid w:val="005C6041"/>
    <w:rsid w:val="005C619D"/>
    <w:rsid w:val="005C62D0"/>
    <w:rsid w:val="005C62EB"/>
    <w:rsid w:val="005C63DE"/>
    <w:rsid w:val="005C646F"/>
    <w:rsid w:val="005C64BB"/>
    <w:rsid w:val="005C64C9"/>
    <w:rsid w:val="005C65CF"/>
    <w:rsid w:val="005C6639"/>
    <w:rsid w:val="005C665B"/>
    <w:rsid w:val="005C666B"/>
    <w:rsid w:val="005C6693"/>
    <w:rsid w:val="005C6698"/>
    <w:rsid w:val="005C6743"/>
    <w:rsid w:val="005C674B"/>
    <w:rsid w:val="005C67B0"/>
    <w:rsid w:val="005C67B2"/>
    <w:rsid w:val="005C6AF3"/>
    <w:rsid w:val="005C6B9F"/>
    <w:rsid w:val="005C6D65"/>
    <w:rsid w:val="005C6D80"/>
    <w:rsid w:val="005C6DAD"/>
    <w:rsid w:val="005C6DF5"/>
    <w:rsid w:val="005C6E1C"/>
    <w:rsid w:val="005C6E91"/>
    <w:rsid w:val="005C6EEE"/>
    <w:rsid w:val="005C6FEB"/>
    <w:rsid w:val="005C7042"/>
    <w:rsid w:val="005C70A8"/>
    <w:rsid w:val="005C7175"/>
    <w:rsid w:val="005C71A1"/>
    <w:rsid w:val="005C71D2"/>
    <w:rsid w:val="005C724C"/>
    <w:rsid w:val="005C7410"/>
    <w:rsid w:val="005C7475"/>
    <w:rsid w:val="005C74C0"/>
    <w:rsid w:val="005C7561"/>
    <w:rsid w:val="005C75A8"/>
    <w:rsid w:val="005C7666"/>
    <w:rsid w:val="005C7695"/>
    <w:rsid w:val="005C784F"/>
    <w:rsid w:val="005C7883"/>
    <w:rsid w:val="005C78EF"/>
    <w:rsid w:val="005C79B8"/>
    <w:rsid w:val="005C79E9"/>
    <w:rsid w:val="005C7A09"/>
    <w:rsid w:val="005C7BC1"/>
    <w:rsid w:val="005C7C5D"/>
    <w:rsid w:val="005C7C64"/>
    <w:rsid w:val="005C7C7A"/>
    <w:rsid w:val="005C7D04"/>
    <w:rsid w:val="005C7D11"/>
    <w:rsid w:val="005C7D14"/>
    <w:rsid w:val="005C7D56"/>
    <w:rsid w:val="005C7D6A"/>
    <w:rsid w:val="005C7DDF"/>
    <w:rsid w:val="005C7DFF"/>
    <w:rsid w:val="005C7E00"/>
    <w:rsid w:val="005C7E51"/>
    <w:rsid w:val="005C7E62"/>
    <w:rsid w:val="005D005C"/>
    <w:rsid w:val="005D00AD"/>
    <w:rsid w:val="005D0107"/>
    <w:rsid w:val="005D0149"/>
    <w:rsid w:val="005D019B"/>
    <w:rsid w:val="005D01DB"/>
    <w:rsid w:val="005D0202"/>
    <w:rsid w:val="005D026E"/>
    <w:rsid w:val="005D0354"/>
    <w:rsid w:val="005D0428"/>
    <w:rsid w:val="005D044A"/>
    <w:rsid w:val="005D04A8"/>
    <w:rsid w:val="005D04F3"/>
    <w:rsid w:val="005D06C9"/>
    <w:rsid w:val="005D0836"/>
    <w:rsid w:val="005D08FB"/>
    <w:rsid w:val="005D096E"/>
    <w:rsid w:val="005D098F"/>
    <w:rsid w:val="005D0A1B"/>
    <w:rsid w:val="005D0B01"/>
    <w:rsid w:val="005D0B9C"/>
    <w:rsid w:val="005D0D2F"/>
    <w:rsid w:val="005D0D9D"/>
    <w:rsid w:val="005D0EC0"/>
    <w:rsid w:val="005D0F45"/>
    <w:rsid w:val="005D0F54"/>
    <w:rsid w:val="005D0F5F"/>
    <w:rsid w:val="005D0F71"/>
    <w:rsid w:val="005D0F72"/>
    <w:rsid w:val="005D0F9C"/>
    <w:rsid w:val="005D1032"/>
    <w:rsid w:val="005D10CD"/>
    <w:rsid w:val="005D10DE"/>
    <w:rsid w:val="005D11A8"/>
    <w:rsid w:val="005D11CB"/>
    <w:rsid w:val="005D1436"/>
    <w:rsid w:val="005D1497"/>
    <w:rsid w:val="005D14C6"/>
    <w:rsid w:val="005D14D1"/>
    <w:rsid w:val="005D1525"/>
    <w:rsid w:val="005D1534"/>
    <w:rsid w:val="005D15B2"/>
    <w:rsid w:val="005D1773"/>
    <w:rsid w:val="005D182E"/>
    <w:rsid w:val="005D18AD"/>
    <w:rsid w:val="005D1955"/>
    <w:rsid w:val="005D196F"/>
    <w:rsid w:val="005D19EA"/>
    <w:rsid w:val="005D19F1"/>
    <w:rsid w:val="005D1A9B"/>
    <w:rsid w:val="005D1B52"/>
    <w:rsid w:val="005D1B92"/>
    <w:rsid w:val="005D1CAF"/>
    <w:rsid w:val="005D1D51"/>
    <w:rsid w:val="005D1E1A"/>
    <w:rsid w:val="005D1E6C"/>
    <w:rsid w:val="005D1F4E"/>
    <w:rsid w:val="005D1F9A"/>
    <w:rsid w:val="005D2027"/>
    <w:rsid w:val="005D2142"/>
    <w:rsid w:val="005D21D8"/>
    <w:rsid w:val="005D232F"/>
    <w:rsid w:val="005D236C"/>
    <w:rsid w:val="005D2373"/>
    <w:rsid w:val="005D23CB"/>
    <w:rsid w:val="005D23F9"/>
    <w:rsid w:val="005D2429"/>
    <w:rsid w:val="005D245E"/>
    <w:rsid w:val="005D24A2"/>
    <w:rsid w:val="005D24A6"/>
    <w:rsid w:val="005D2521"/>
    <w:rsid w:val="005D253C"/>
    <w:rsid w:val="005D2546"/>
    <w:rsid w:val="005D2665"/>
    <w:rsid w:val="005D26B3"/>
    <w:rsid w:val="005D26B4"/>
    <w:rsid w:val="005D2707"/>
    <w:rsid w:val="005D2735"/>
    <w:rsid w:val="005D27E9"/>
    <w:rsid w:val="005D28D6"/>
    <w:rsid w:val="005D296B"/>
    <w:rsid w:val="005D2AB7"/>
    <w:rsid w:val="005D2AF6"/>
    <w:rsid w:val="005D2B1B"/>
    <w:rsid w:val="005D2C39"/>
    <w:rsid w:val="005D2CA8"/>
    <w:rsid w:val="005D2D7C"/>
    <w:rsid w:val="005D2D7D"/>
    <w:rsid w:val="005D2E23"/>
    <w:rsid w:val="005D2E28"/>
    <w:rsid w:val="005D2E55"/>
    <w:rsid w:val="005D2F45"/>
    <w:rsid w:val="005D2F76"/>
    <w:rsid w:val="005D2F7B"/>
    <w:rsid w:val="005D2F86"/>
    <w:rsid w:val="005D3022"/>
    <w:rsid w:val="005D3088"/>
    <w:rsid w:val="005D309D"/>
    <w:rsid w:val="005D315A"/>
    <w:rsid w:val="005D32B2"/>
    <w:rsid w:val="005D32EC"/>
    <w:rsid w:val="005D3344"/>
    <w:rsid w:val="005D3418"/>
    <w:rsid w:val="005D348B"/>
    <w:rsid w:val="005D3505"/>
    <w:rsid w:val="005D3574"/>
    <w:rsid w:val="005D358D"/>
    <w:rsid w:val="005D3594"/>
    <w:rsid w:val="005D364F"/>
    <w:rsid w:val="005D36CF"/>
    <w:rsid w:val="005D37E8"/>
    <w:rsid w:val="005D3867"/>
    <w:rsid w:val="005D38F3"/>
    <w:rsid w:val="005D391F"/>
    <w:rsid w:val="005D393D"/>
    <w:rsid w:val="005D39D7"/>
    <w:rsid w:val="005D3A19"/>
    <w:rsid w:val="005D3AED"/>
    <w:rsid w:val="005D3BFE"/>
    <w:rsid w:val="005D3C00"/>
    <w:rsid w:val="005D3C2D"/>
    <w:rsid w:val="005D3C4E"/>
    <w:rsid w:val="005D3C60"/>
    <w:rsid w:val="005D3CB9"/>
    <w:rsid w:val="005D3D1F"/>
    <w:rsid w:val="005D3D55"/>
    <w:rsid w:val="005D3E9A"/>
    <w:rsid w:val="005D3EDE"/>
    <w:rsid w:val="005D3EFF"/>
    <w:rsid w:val="005D3FAB"/>
    <w:rsid w:val="005D3FB0"/>
    <w:rsid w:val="005D405E"/>
    <w:rsid w:val="005D4141"/>
    <w:rsid w:val="005D4191"/>
    <w:rsid w:val="005D41E9"/>
    <w:rsid w:val="005D420F"/>
    <w:rsid w:val="005D42BA"/>
    <w:rsid w:val="005D42CB"/>
    <w:rsid w:val="005D4363"/>
    <w:rsid w:val="005D448B"/>
    <w:rsid w:val="005D453B"/>
    <w:rsid w:val="005D459F"/>
    <w:rsid w:val="005D4611"/>
    <w:rsid w:val="005D46CA"/>
    <w:rsid w:val="005D476E"/>
    <w:rsid w:val="005D47FA"/>
    <w:rsid w:val="005D48F2"/>
    <w:rsid w:val="005D498D"/>
    <w:rsid w:val="005D49F1"/>
    <w:rsid w:val="005D4B83"/>
    <w:rsid w:val="005D4B92"/>
    <w:rsid w:val="005D4BC5"/>
    <w:rsid w:val="005D4E04"/>
    <w:rsid w:val="005D4FAE"/>
    <w:rsid w:val="005D5022"/>
    <w:rsid w:val="005D50B2"/>
    <w:rsid w:val="005D50DB"/>
    <w:rsid w:val="005D5138"/>
    <w:rsid w:val="005D5173"/>
    <w:rsid w:val="005D51DD"/>
    <w:rsid w:val="005D51F7"/>
    <w:rsid w:val="005D521E"/>
    <w:rsid w:val="005D522F"/>
    <w:rsid w:val="005D5359"/>
    <w:rsid w:val="005D53BB"/>
    <w:rsid w:val="005D5477"/>
    <w:rsid w:val="005D54AA"/>
    <w:rsid w:val="005D558E"/>
    <w:rsid w:val="005D55BF"/>
    <w:rsid w:val="005D55F3"/>
    <w:rsid w:val="005D56DF"/>
    <w:rsid w:val="005D5737"/>
    <w:rsid w:val="005D5814"/>
    <w:rsid w:val="005D5932"/>
    <w:rsid w:val="005D5996"/>
    <w:rsid w:val="005D5A00"/>
    <w:rsid w:val="005D5A3B"/>
    <w:rsid w:val="005D5A52"/>
    <w:rsid w:val="005D5A8E"/>
    <w:rsid w:val="005D5AAC"/>
    <w:rsid w:val="005D5ACB"/>
    <w:rsid w:val="005D5D35"/>
    <w:rsid w:val="005D5F3F"/>
    <w:rsid w:val="005D5F86"/>
    <w:rsid w:val="005D5F9C"/>
    <w:rsid w:val="005D6032"/>
    <w:rsid w:val="005D6254"/>
    <w:rsid w:val="005D6267"/>
    <w:rsid w:val="005D626A"/>
    <w:rsid w:val="005D626F"/>
    <w:rsid w:val="005D6280"/>
    <w:rsid w:val="005D6332"/>
    <w:rsid w:val="005D633A"/>
    <w:rsid w:val="005D635F"/>
    <w:rsid w:val="005D6381"/>
    <w:rsid w:val="005D63BE"/>
    <w:rsid w:val="005D6460"/>
    <w:rsid w:val="005D6518"/>
    <w:rsid w:val="005D6567"/>
    <w:rsid w:val="005D6574"/>
    <w:rsid w:val="005D66DE"/>
    <w:rsid w:val="005D6720"/>
    <w:rsid w:val="005D67FD"/>
    <w:rsid w:val="005D683F"/>
    <w:rsid w:val="005D68A3"/>
    <w:rsid w:val="005D6971"/>
    <w:rsid w:val="005D6972"/>
    <w:rsid w:val="005D69C8"/>
    <w:rsid w:val="005D69CC"/>
    <w:rsid w:val="005D6B53"/>
    <w:rsid w:val="005D6B81"/>
    <w:rsid w:val="005D6BA9"/>
    <w:rsid w:val="005D6DE6"/>
    <w:rsid w:val="005D6F2C"/>
    <w:rsid w:val="005D701C"/>
    <w:rsid w:val="005D7110"/>
    <w:rsid w:val="005D7116"/>
    <w:rsid w:val="005D7117"/>
    <w:rsid w:val="005D7147"/>
    <w:rsid w:val="005D71A3"/>
    <w:rsid w:val="005D71CE"/>
    <w:rsid w:val="005D725D"/>
    <w:rsid w:val="005D7281"/>
    <w:rsid w:val="005D72D6"/>
    <w:rsid w:val="005D72D8"/>
    <w:rsid w:val="005D7308"/>
    <w:rsid w:val="005D7330"/>
    <w:rsid w:val="005D734C"/>
    <w:rsid w:val="005D740E"/>
    <w:rsid w:val="005D7464"/>
    <w:rsid w:val="005D7466"/>
    <w:rsid w:val="005D74DB"/>
    <w:rsid w:val="005D74E8"/>
    <w:rsid w:val="005D751F"/>
    <w:rsid w:val="005D755D"/>
    <w:rsid w:val="005D756D"/>
    <w:rsid w:val="005D7622"/>
    <w:rsid w:val="005D7746"/>
    <w:rsid w:val="005D77D3"/>
    <w:rsid w:val="005D7919"/>
    <w:rsid w:val="005D79B2"/>
    <w:rsid w:val="005D79DC"/>
    <w:rsid w:val="005D7A21"/>
    <w:rsid w:val="005D7A44"/>
    <w:rsid w:val="005D7A7B"/>
    <w:rsid w:val="005D7AAD"/>
    <w:rsid w:val="005D7ABA"/>
    <w:rsid w:val="005D7B2B"/>
    <w:rsid w:val="005D7B74"/>
    <w:rsid w:val="005D7BC9"/>
    <w:rsid w:val="005D7CD1"/>
    <w:rsid w:val="005D7CD5"/>
    <w:rsid w:val="005D7D6B"/>
    <w:rsid w:val="005D7DBC"/>
    <w:rsid w:val="005D7DFF"/>
    <w:rsid w:val="005D7E21"/>
    <w:rsid w:val="005D7E27"/>
    <w:rsid w:val="005D7EB1"/>
    <w:rsid w:val="005D7F36"/>
    <w:rsid w:val="005D7F92"/>
    <w:rsid w:val="005D7FA0"/>
    <w:rsid w:val="005E0075"/>
    <w:rsid w:val="005E0350"/>
    <w:rsid w:val="005E038C"/>
    <w:rsid w:val="005E03FC"/>
    <w:rsid w:val="005E0464"/>
    <w:rsid w:val="005E047A"/>
    <w:rsid w:val="005E047B"/>
    <w:rsid w:val="005E0497"/>
    <w:rsid w:val="005E0519"/>
    <w:rsid w:val="005E0527"/>
    <w:rsid w:val="005E05C0"/>
    <w:rsid w:val="005E065A"/>
    <w:rsid w:val="005E06FF"/>
    <w:rsid w:val="005E0702"/>
    <w:rsid w:val="005E074E"/>
    <w:rsid w:val="005E079E"/>
    <w:rsid w:val="005E0997"/>
    <w:rsid w:val="005E0A71"/>
    <w:rsid w:val="005E0A7E"/>
    <w:rsid w:val="005E0AB6"/>
    <w:rsid w:val="005E0ADF"/>
    <w:rsid w:val="005E0BCA"/>
    <w:rsid w:val="005E0BCB"/>
    <w:rsid w:val="005E0BF1"/>
    <w:rsid w:val="005E0BF4"/>
    <w:rsid w:val="005E0BFF"/>
    <w:rsid w:val="005E0C97"/>
    <w:rsid w:val="005E0DBF"/>
    <w:rsid w:val="005E0E70"/>
    <w:rsid w:val="005E0FD8"/>
    <w:rsid w:val="005E102C"/>
    <w:rsid w:val="005E10B7"/>
    <w:rsid w:val="005E10DC"/>
    <w:rsid w:val="005E114A"/>
    <w:rsid w:val="005E116C"/>
    <w:rsid w:val="005E11CC"/>
    <w:rsid w:val="005E11ED"/>
    <w:rsid w:val="005E1250"/>
    <w:rsid w:val="005E1398"/>
    <w:rsid w:val="005E1500"/>
    <w:rsid w:val="005E1514"/>
    <w:rsid w:val="005E151A"/>
    <w:rsid w:val="005E1523"/>
    <w:rsid w:val="005E1620"/>
    <w:rsid w:val="005E168D"/>
    <w:rsid w:val="005E171C"/>
    <w:rsid w:val="005E1779"/>
    <w:rsid w:val="005E17A3"/>
    <w:rsid w:val="005E182C"/>
    <w:rsid w:val="005E1873"/>
    <w:rsid w:val="005E192F"/>
    <w:rsid w:val="005E19C2"/>
    <w:rsid w:val="005E1AA3"/>
    <w:rsid w:val="005E1C89"/>
    <w:rsid w:val="005E1DC8"/>
    <w:rsid w:val="005E1FA5"/>
    <w:rsid w:val="005E216A"/>
    <w:rsid w:val="005E21FE"/>
    <w:rsid w:val="005E22B4"/>
    <w:rsid w:val="005E2416"/>
    <w:rsid w:val="005E244E"/>
    <w:rsid w:val="005E251C"/>
    <w:rsid w:val="005E25FF"/>
    <w:rsid w:val="005E2646"/>
    <w:rsid w:val="005E26F3"/>
    <w:rsid w:val="005E273A"/>
    <w:rsid w:val="005E27CE"/>
    <w:rsid w:val="005E283E"/>
    <w:rsid w:val="005E2B4B"/>
    <w:rsid w:val="005E2BA0"/>
    <w:rsid w:val="005E2C31"/>
    <w:rsid w:val="005E2C7F"/>
    <w:rsid w:val="005E2D33"/>
    <w:rsid w:val="005E2D48"/>
    <w:rsid w:val="005E2E23"/>
    <w:rsid w:val="005E2EE1"/>
    <w:rsid w:val="005E3013"/>
    <w:rsid w:val="005E30C9"/>
    <w:rsid w:val="005E3180"/>
    <w:rsid w:val="005E3189"/>
    <w:rsid w:val="005E31BF"/>
    <w:rsid w:val="005E3258"/>
    <w:rsid w:val="005E325F"/>
    <w:rsid w:val="005E330E"/>
    <w:rsid w:val="005E335D"/>
    <w:rsid w:val="005E33E5"/>
    <w:rsid w:val="005E3533"/>
    <w:rsid w:val="005E3646"/>
    <w:rsid w:val="005E3687"/>
    <w:rsid w:val="005E369F"/>
    <w:rsid w:val="005E370E"/>
    <w:rsid w:val="005E3744"/>
    <w:rsid w:val="005E3754"/>
    <w:rsid w:val="005E37B0"/>
    <w:rsid w:val="005E383C"/>
    <w:rsid w:val="005E38A1"/>
    <w:rsid w:val="005E38B5"/>
    <w:rsid w:val="005E3A43"/>
    <w:rsid w:val="005E3A48"/>
    <w:rsid w:val="005E3B0A"/>
    <w:rsid w:val="005E3CCF"/>
    <w:rsid w:val="005E3E18"/>
    <w:rsid w:val="005E3E24"/>
    <w:rsid w:val="005E3E43"/>
    <w:rsid w:val="005E3E9D"/>
    <w:rsid w:val="005E3EBA"/>
    <w:rsid w:val="005E3F83"/>
    <w:rsid w:val="005E3FFA"/>
    <w:rsid w:val="005E401E"/>
    <w:rsid w:val="005E412E"/>
    <w:rsid w:val="005E41EF"/>
    <w:rsid w:val="005E4255"/>
    <w:rsid w:val="005E42DB"/>
    <w:rsid w:val="005E42E0"/>
    <w:rsid w:val="005E4353"/>
    <w:rsid w:val="005E4361"/>
    <w:rsid w:val="005E43E6"/>
    <w:rsid w:val="005E4545"/>
    <w:rsid w:val="005E45C7"/>
    <w:rsid w:val="005E4699"/>
    <w:rsid w:val="005E46EA"/>
    <w:rsid w:val="005E4759"/>
    <w:rsid w:val="005E4765"/>
    <w:rsid w:val="005E47F2"/>
    <w:rsid w:val="005E4851"/>
    <w:rsid w:val="005E4870"/>
    <w:rsid w:val="005E487A"/>
    <w:rsid w:val="005E4896"/>
    <w:rsid w:val="005E4928"/>
    <w:rsid w:val="005E49E5"/>
    <w:rsid w:val="005E49FA"/>
    <w:rsid w:val="005E4AC3"/>
    <w:rsid w:val="005E4B0B"/>
    <w:rsid w:val="005E4B5B"/>
    <w:rsid w:val="005E4CCA"/>
    <w:rsid w:val="005E4CDA"/>
    <w:rsid w:val="005E4D2D"/>
    <w:rsid w:val="005E4E2C"/>
    <w:rsid w:val="005E4E6A"/>
    <w:rsid w:val="005E4EFD"/>
    <w:rsid w:val="005E4F91"/>
    <w:rsid w:val="005E502F"/>
    <w:rsid w:val="005E508C"/>
    <w:rsid w:val="005E512C"/>
    <w:rsid w:val="005E5172"/>
    <w:rsid w:val="005E5205"/>
    <w:rsid w:val="005E5254"/>
    <w:rsid w:val="005E5325"/>
    <w:rsid w:val="005E53EA"/>
    <w:rsid w:val="005E5407"/>
    <w:rsid w:val="005E54D5"/>
    <w:rsid w:val="005E54F8"/>
    <w:rsid w:val="005E55CC"/>
    <w:rsid w:val="005E5692"/>
    <w:rsid w:val="005E56D1"/>
    <w:rsid w:val="005E5746"/>
    <w:rsid w:val="005E57F1"/>
    <w:rsid w:val="005E5871"/>
    <w:rsid w:val="005E58AB"/>
    <w:rsid w:val="005E59B9"/>
    <w:rsid w:val="005E5A6C"/>
    <w:rsid w:val="005E5A91"/>
    <w:rsid w:val="005E5BEF"/>
    <w:rsid w:val="005E5C18"/>
    <w:rsid w:val="005E5C29"/>
    <w:rsid w:val="005E5DBD"/>
    <w:rsid w:val="005E5E18"/>
    <w:rsid w:val="005E5F5B"/>
    <w:rsid w:val="005E607B"/>
    <w:rsid w:val="005E60AF"/>
    <w:rsid w:val="005E6104"/>
    <w:rsid w:val="005E6132"/>
    <w:rsid w:val="005E6187"/>
    <w:rsid w:val="005E61E7"/>
    <w:rsid w:val="005E6204"/>
    <w:rsid w:val="005E62EA"/>
    <w:rsid w:val="005E630A"/>
    <w:rsid w:val="005E641A"/>
    <w:rsid w:val="005E6484"/>
    <w:rsid w:val="005E6552"/>
    <w:rsid w:val="005E657F"/>
    <w:rsid w:val="005E65AA"/>
    <w:rsid w:val="005E6711"/>
    <w:rsid w:val="005E6751"/>
    <w:rsid w:val="005E679B"/>
    <w:rsid w:val="005E67E3"/>
    <w:rsid w:val="005E6859"/>
    <w:rsid w:val="005E6874"/>
    <w:rsid w:val="005E691D"/>
    <w:rsid w:val="005E6A2B"/>
    <w:rsid w:val="005E6A40"/>
    <w:rsid w:val="005E6A8C"/>
    <w:rsid w:val="005E6BD3"/>
    <w:rsid w:val="005E6C06"/>
    <w:rsid w:val="005E6C12"/>
    <w:rsid w:val="005E6C5F"/>
    <w:rsid w:val="005E6D68"/>
    <w:rsid w:val="005E6E07"/>
    <w:rsid w:val="005E6E23"/>
    <w:rsid w:val="005E6F6D"/>
    <w:rsid w:val="005E6FD8"/>
    <w:rsid w:val="005E702F"/>
    <w:rsid w:val="005E704B"/>
    <w:rsid w:val="005E7052"/>
    <w:rsid w:val="005E70D6"/>
    <w:rsid w:val="005E7118"/>
    <w:rsid w:val="005E711F"/>
    <w:rsid w:val="005E715A"/>
    <w:rsid w:val="005E719D"/>
    <w:rsid w:val="005E71D8"/>
    <w:rsid w:val="005E721A"/>
    <w:rsid w:val="005E7292"/>
    <w:rsid w:val="005E72A8"/>
    <w:rsid w:val="005E7316"/>
    <w:rsid w:val="005E7337"/>
    <w:rsid w:val="005E7477"/>
    <w:rsid w:val="005E74A6"/>
    <w:rsid w:val="005E74B7"/>
    <w:rsid w:val="005E7684"/>
    <w:rsid w:val="005E787A"/>
    <w:rsid w:val="005E78F5"/>
    <w:rsid w:val="005E792C"/>
    <w:rsid w:val="005E7965"/>
    <w:rsid w:val="005E79CF"/>
    <w:rsid w:val="005E79E9"/>
    <w:rsid w:val="005E7AAD"/>
    <w:rsid w:val="005E7B05"/>
    <w:rsid w:val="005E7B43"/>
    <w:rsid w:val="005E7B6A"/>
    <w:rsid w:val="005E7B70"/>
    <w:rsid w:val="005E7B81"/>
    <w:rsid w:val="005E7B89"/>
    <w:rsid w:val="005E7BC0"/>
    <w:rsid w:val="005E7BC4"/>
    <w:rsid w:val="005E7D33"/>
    <w:rsid w:val="005E7DA6"/>
    <w:rsid w:val="005E7DE9"/>
    <w:rsid w:val="005E7E59"/>
    <w:rsid w:val="005E7EAC"/>
    <w:rsid w:val="005E7EAF"/>
    <w:rsid w:val="005E7F16"/>
    <w:rsid w:val="005E7FEC"/>
    <w:rsid w:val="005F013C"/>
    <w:rsid w:val="005F0218"/>
    <w:rsid w:val="005F0298"/>
    <w:rsid w:val="005F03A3"/>
    <w:rsid w:val="005F03C4"/>
    <w:rsid w:val="005F050A"/>
    <w:rsid w:val="005F0572"/>
    <w:rsid w:val="005F0672"/>
    <w:rsid w:val="005F076D"/>
    <w:rsid w:val="005F09AE"/>
    <w:rsid w:val="005F0A4A"/>
    <w:rsid w:val="005F0AC1"/>
    <w:rsid w:val="005F0B25"/>
    <w:rsid w:val="005F0BA7"/>
    <w:rsid w:val="005F0CBF"/>
    <w:rsid w:val="005F0CC3"/>
    <w:rsid w:val="005F0D69"/>
    <w:rsid w:val="005F0DB6"/>
    <w:rsid w:val="005F0ECA"/>
    <w:rsid w:val="005F0EFD"/>
    <w:rsid w:val="005F0F0B"/>
    <w:rsid w:val="005F0F94"/>
    <w:rsid w:val="005F103E"/>
    <w:rsid w:val="005F1189"/>
    <w:rsid w:val="005F1290"/>
    <w:rsid w:val="005F12D8"/>
    <w:rsid w:val="005F1371"/>
    <w:rsid w:val="005F1541"/>
    <w:rsid w:val="005F1555"/>
    <w:rsid w:val="005F15C0"/>
    <w:rsid w:val="005F15C8"/>
    <w:rsid w:val="005F166B"/>
    <w:rsid w:val="005F16A1"/>
    <w:rsid w:val="005F16B1"/>
    <w:rsid w:val="005F184C"/>
    <w:rsid w:val="005F1907"/>
    <w:rsid w:val="005F1926"/>
    <w:rsid w:val="005F1968"/>
    <w:rsid w:val="005F19CA"/>
    <w:rsid w:val="005F1B3D"/>
    <w:rsid w:val="005F1BF4"/>
    <w:rsid w:val="005F1CC2"/>
    <w:rsid w:val="005F1DF5"/>
    <w:rsid w:val="005F1E3E"/>
    <w:rsid w:val="005F1F23"/>
    <w:rsid w:val="005F1F3B"/>
    <w:rsid w:val="005F1F7C"/>
    <w:rsid w:val="005F1FB6"/>
    <w:rsid w:val="005F204E"/>
    <w:rsid w:val="005F20A9"/>
    <w:rsid w:val="005F20D4"/>
    <w:rsid w:val="005F2163"/>
    <w:rsid w:val="005F2179"/>
    <w:rsid w:val="005F21A4"/>
    <w:rsid w:val="005F21FE"/>
    <w:rsid w:val="005F23CA"/>
    <w:rsid w:val="005F241A"/>
    <w:rsid w:val="005F2454"/>
    <w:rsid w:val="005F24B1"/>
    <w:rsid w:val="005F24E0"/>
    <w:rsid w:val="005F24F1"/>
    <w:rsid w:val="005F25F4"/>
    <w:rsid w:val="005F2679"/>
    <w:rsid w:val="005F267A"/>
    <w:rsid w:val="005F269F"/>
    <w:rsid w:val="005F29EF"/>
    <w:rsid w:val="005F2A88"/>
    <w:rsid w:val="005F2AB9"/>
    <w:rsid w:val="005F2ACA"/>
    <w:rsid w:val="005F2B34"/>
    <w:rsid w:val="005F2B5B"/>
    <w:rsid w:val="005F2B84"/>
    <w:rsid w:val="005F2C32"/>
    <w:rsid w:val="005F2C9D"/>
    <w:rsid w:val="005F2CCC"/>
    <w:rsid w:val="005F2DB0"/>
    <w:rsid w:val="005F2DD2"/>
    <w:rsid w:val="005F2E7B"/>
    <w:rsid w:val="005F2EBE"/>
    <w:rsid w:val="005F2F6C"/>
    <w:rsid w:val="005F2F79"/>
    <w:rsid w:val="005F3094"/>
    <w:rsid w:val="005F30DB"/>
    <w:rsid w:val="005F3167"/>
    <w:rsid w:val="005F3170"/>
    <w:rsid w:val="005F31DD"/>
    <w:rsid w:val="005F32B8"/>
    <w:rsid w:val="005F32D9"/>
    <w:rsid w:val="005F3309"/>
    <w:rsid w:val="005F338A"/>
    <w:rsid w:val="005F33C2"/>
    <w:rsid w:val="005F34B2"/>
    <w:rsid w:val="005F35D5"/>
    <w:rsid w:val="005F3643"/>
    <w:rsid w:val="005F36A1"/>
    <w:rsid w:val="005F36D2"/>
    <w:rsid w:val="005F3704"/>
    <w:rsid w:val="005F370D"/>
    <w:rsid w:val="005F376D"/>
    <w:rsid w:val="005F383D"/>
    <w:rsid w:val="005F3844"/>
    <w:rsid w:val="005F39B7"/>
    <w:rsid w:val="005F3B65"/>
    <w:rsid w:val="005F3BB6"/>
    <w:rsid w:val="005F3C3F"/>
    <w:rsid w:val="005F3CC9"/>
    <w:rsid w:val="005F3E77"/>
    <w:rsid w:val="005F3E9D"/>
    <w:rsid w:val="005F4005"/>
    <w:rsid w:val="005F4020"/>
    <w:rsid w:val="005F4068"/>
    <w:rsid w:val="005F40F7"/>
    <w:rsid w:val="005F4118"/>
    <w:rsid w:val="005F417B"/>
    <w:rsid w:val="005F41BD"/>
    <w:rsid w:val="005F41FE"/>
    <w:rsid w:val="005F422F"/>
    <w:rsid w:val="005F428B"/>
    <w:rsid w:val="005F42EF"/>
    <w:rsid w:val="005F42FD"/>
    <w:rsid w:val="005F4354"/>
    <w:rsid w:val="005F435F"/>
    <w:rsid w:val="005F4506"/>
    <w:rsid w:val="005F4552"/>
    <w:rsid w:val="005F455C"/>
    <w:rsid w:val="005F45B9"/>
    <w:rsid w:val="005F4626"/>
    <w:rsid w:val="005F465A"/>
    <w:rsid w:val="005F47B2"/>
    <w:rsid w:val="005F47E7"/>
    <w:rsid w:val="005F4992"/>
    <w:rsid w:val="005F4AA6"/>
    <w:rsid w:val="005F4B13"/>
    <w:rsid w:val="005F4B7E"/>
    <w:rsid w:val="005F4C6E"/>
    <w:rsid w:val="005F4CCA"/>
    <w:rsid w:val="005F4CE2"/>
    <w:rsid w:val="005F4CF4"/>
    <w:rsid w:val="005F4E07"/>
    <w:rsid w:val="005F4EAD"/>
    <w:rsid w:val="005F4F8B"/>
    <w:rsid w:val="005F505C"/>
    <w:rsid w:val="005F5108"/>
    <w:rsid w:val="005F513A"/>
    <w:rsid w:val="005F51A7"/>
    <w:rsid w:val="005F51F8"/>
    <w:rsid w:val="005F521D"/>
    <w:rsid w:val="005F5316"/>
    <w:rsid w:val="005F5349"/>
    <w:rsid w:val="005F53DE"/>
    <w:rsid w:val="005F53F3"/>
    <w:rsid w:val="005F547D"/>
    <w:rsid w:val="005F54A6"/>
    <w:rsid w:val="005F5510"/>
    <w:rsid w:val="005F5703"/>
    <w:rsid w:val="005F572C"/>
    <w:rsid w:val="005F5778"/>
    <w:rsid w:val="005F578C"/>
    <w:rsid w:val="005F57CC"/>
    <w:rsid w:val="005F5827"/>
    <w:rsid w:val="005F58D8"/>
    <w:rsid w:val="005F58DC"/>
    <w:rsid w:val="005F5901"/>
    <w:rsid w:val="005F590B"/>
    <w:rsid w:val="005F59DB"/>
    <w:rsid w:val="005F59E9"/>
    <w:rsid w:val="005F5A1A"/>
    <w:rsid w:val="005F5AE0"/>
    <w:rsid w:val="005F5AF7"/>
    <w:rsid w:val="005F5D65"/>
    <w:rsid w:val="005F5D85"/>
    <w:rsid w:val="005F5E27"/>
    <w:rsid w:val="005F5E3F"/>
    <w:rsid w:val="005F5E5A"/>
    <w:rsid w:val="005F5E89"/>
    <w:rsid w:val="005F5E94"/>
    <w:rsid w:val="005F5EC0"/>
    <w:rsid w:val="005F5FA5"/>
    <w:rsid w:val="005F6080"/>
    <w:rsid w:val="005F6139"/>
    <w:rsid w:val="005F61EC"/>
    <w:rsid w:val="005F6216"/>
    <w:rsid w:val="005F627D"/>
    <w:rsid w:val="005F6518"/>
    <w:rsid w:val="005F6593"/>
    <w:rsid w:val="005F6701"/>
    <w:rsid w:val="005F6720"/>
    <w:rsid w:val="005F67CC"/>
    <w:rsid w:val="005F6807"/>
    <w:rsid w:val="005F681E"/>
    <w:rsid w:val="005F6845"/>
    <w:rsid w:val="005F6948"/>
    <w:rsid w:val="005F6A2B"/>
    <w:rsid w:val="005F6AD9"/>
    <w:rsid w:val="005F6B0E"/>
    <w:rsid w:val="005F6C4F"/>
    <w:rsid w:val="005F6CD7"/>
    <w:rsid w:val="005F6D17"/>
    <w:rsid w:val="005F6E85"/>
    <w:rsid w:val="005F6F4C"/>
    <w:rsid w:val="005F717A"/>
    <w:rsid w:val="005F727A"/>
    <w:rsid w:val="005F7375"/>
    <w:rsid w:val="005F7492"/>
    <w:rsid w:val="005F74C7"/>
    <w:rsid w:val="005F755C"/>
    <w:rsid w:val="005F75D7"/>
    <w:rsid w:val="005F765D"/>
    <w:rsid w:val="005F7680"/>
    <w:rsid w:val="005F76BE"/>
    <w:rsid w:val="005F7745"/>
    <w:rsid w:val="005F778B"/>
    <w:rsid w:val="005F77E1"/>
    <w:rsid w:val="005F77FF"/>
    <w:rsid w:val="005F7867"/>
    <w:rsid w:val="005F7890"/>
    <w:rsid w:val="005F7897"/>
    <w:rsid w:val="005F79B3"/>
    <w:rsid w:val="005F79DF"/>
    <w:rsid w:val="005F7B4F"/>
    <w:rsid w:val="005F7B8C"/>
    <w:rsid w:val="005F7BBC"/>
    <w:rsid w:val="005F7BD0"/>
    <w:rsid w:val="005F7C89"/>
    <w:rsid w:val="005F7D67"/>
    <w:rsid w:val="005F7D78"/>
    <w:rsid w:val="005F7DCE"/>
    <w:rsid w:val="005F7EE4"/>
    <w:rsid w:val="005F7F4B"/>
    <w:rsid w:val="005F7F7E"/>
    <w:rsid w:val="00600281"/>
    <w:rsid w:val="006002ED"/>
    <w:rsid w:val="00600331"/>
    <w:rsid w:val="00600446"/>
    <w:rsid w:val="00600458"/>
    <w:rsid w:val="006004C5"/>
    <w:rsid w:val="006005AC"/>
    <w:rsid w:val="006005DD"/>
    <w:rsid w:val="0060062A"/>
    <w:rsid w:val="006007B1"/>
    <w:rsid w:val="006007DE"/>
    <w:rsid w:val="0060090C"/>
    <w:rsid w:val="00600927"/>
    <w:rsid w:val="0060098C"/>
    <w:rsid w:val="00600A19"/>
    <w:rsid w:val="00600A3C"/>
    <w:rsid w:val="00600A92"/>
    <w:rsid w:val="00600B61"/>
    <w:rsid w:val="00600B95"/>
    <w:rsid w:val="00600BD7"/>
    <w:rsid w:val="00600BE1"/>
    <w:rsid w:val="00600D6F"/>
    <w:rsid w:val="00600D9F"/>
    <w:rsid w:val="00600E06"/>
    <w:rsid w:val="00600EF9"/>
    <w:rsid w:val="00600EFD"/>
    <w:rsid w:val="00600F18"/>
    <w:rsid w:val="00600F74"/>
    <w:rsid w:val="00600FD7"/>
    <w:rsid w:val="006011FD"/>
    <w:rsid w:val="00601207"/>
    <w:rsid w:val="00601292"/>
    <w:rsid w:val="00601311"/>
    <w:rsid w:val="0060144D"/>
    <w:rsid w:val="006014A4"/>
    <w:rsid w:val="00601618"/>
    <w:rsid w:val="00601682"/>
    <w:rsid w:val="00601696"/>
    <w:rsid w:val="006016BA"/>
    <w:rsid w:val="0060175B"/>
    <w:rsid w:val="00601774"/>
    <w:rsid w:val="006017E0"/>
    <w:rsid w:val="006018D2"/>
    <w:rsid w:val="0060192F"/>
    <w:rsid w:val="0060195C"/>
    <w:rsid w:val="006019E2"/>
    <w:rsid w:val="00601A27"/>
    <w:rsid w:val="00601A84"/>
    <w:rsid w:val="00601D5D"/>
    <w:rsid w:val="00601DDF"/>
    <w:rsid w:val="00601F40"/>
    <w:rsid w:val="00601FF8"/>
    <w:rsid w:val="00601FFD"/>
    <w:rsid w:val="0060213A"/>
    <w:rsid w:val="00602177"/>
    <w:rsid w:val="00602192"/>
    <w:rsid w:val="006021CA"/>
    <w:rsid w:val="00602204"/>
    <w:rsid w:val="006022BF"/>
    <w:rsid w:val="00602483"/>
    <w:rsid w:val="00602638"/>
    <w:rsid w:val="006026ED"/>
    <w:rsid w:val="006026F9"/>
    <w:rsid w:val="0060270C"/>
    <w:rsid w:val="00602985"/>
    <w:rsid w:val="00602A39"/>
    <w:rsid w:val="00602B3B"/>
    <w:rsid w:val="00602B7B"/>
    <w:rsid w:val="00602BD9"/>
    <w:rsid w:val="00602BFC"/>
    <w:rsid w:val="00602C35"/>
    <w:rsid w:val="00602C46"/>
    <w:rsid w:val="00602D3E"/>
    <w:rsid w:val="00602DAD"/>
    <w:rsid w:val="00602DDB"/>
    <w:rsid w:val="00602E08"/>
    <w:rsid w:val="00602F22"/>
    <w:rsid w:val="00602F61"/>
    <w:rsid w:val="00602F73"/>
    <w:rsid w:val="00602FD8"/>
    <w:rsid w:val="00603059"/>
    <w:rsid w:val="0060305C"/>
    <w:rsid w:val="00603257"/>
    <w:rsid w:val="00603261"/>
    <w:rsid w:val="00603312"/>
    <w:rsid w:val="0060336C"/>
    <w:rsid w:val="006033AD"/>
    <w:rsid w:val="006033D1"/>
    <w:rsid w:val="006034EC"/>
    <w:rsid w:val="0060353E"/>
    <w:rsid w:val="00603558"/>
    <w:rsid w:val="006035E6"/>
    <w:rsid w:val="00603643"/>
    <w:rsid w:val="00603658"/>
    <w:rsid w:val="00603696"/>
    <w:rsid w:val="006037BD"/>
    <w:rsid w:val="006037DA"/>
    <w:rsid w:val="006037DE"/>
    <w:rsid w:val="0060385F"/>
    <w:rsid w:val="006038E8"/>
    <w:rsid w:val="006038FC"/>
    <w:rsid w:val="0060397E"/>
    <w:rsid w:val="006039D4"/>
    <w:rsid w:val="00603A6F"/>
    <w:rsid w:val="00603B6B"/>
    <w:rsid w:val="00603BD4"/>
    <w:rsid w:val="00603BF7"/>
    <w:rsid w:val="00603C34"/>
    <w:rsid w:val="00603C3F"/>
    <w:rsid w:val="00603C6D"/>
    <w:rsid w:val="00603C9E"/>
    <w:rsid w:val="00603DC1"/>
    <w:rsid w:val="00603E16"/>
    <w:rsid w:val="00603E48"/>
    <w:rsid w:val="00603E64"/>
    <w:rsid w:val="00603F5B"/>
    <w:rsid w:val="00603FC4"/>
    <w:rsid w:val="00603FD0"/>
    <w:rsid w:val="0060421A"/>
    <w:rsid w:val="006042B4"/>
    <w:rsid w:val="006043A6"/>
    <w:rsid w:val="006043BD"/>
    <w:rsid w:val="00604403"/>
    <w:rsid w:val="00604409"/>
    <w:rsid w:val="006044E4"/>
    <w:rsid w:val="006045F2"/>
    <w:rsid w:val="00604673"/>
    <w:rsid w:val="00604799"/>
    <w:rsid w:val="006047E7"/>
    <w:rsid w:val="006048EE"/>
    <w:rsid w:val="00604919"/>
    <w:rsid w:val="006049D0"/>
    <w:rsid w:val="006049F7"/>
    <w:rsid w:val="006049FD"/>
    <w:rsid w:val="00604A0A"/>
    <w:rsid w:val="00604A18"/>
    <w:rsid w:val="00604A76"/>
    <w:rsid w:val="00604B05"/>
    <w:rsid w:val="00604C02"/>
    <w:rsid w:val="00604C3A"/>
    <w:rsid w:val="00604CED"/>
    <w:rsid w:val="00604DB1"/>
    <w:rsid w:val="00605012"/>
    <w:rsid w:val="006050D5"/>
    <w:rsid w:val="006050E8"/>
    <w:rsid w:val="0060522B"/>
    <w:rsid w:val="0060539F"/>
    <w:rsid w:val="006053A4"/>
    <w:rsid w:val="006056BF"/>
    <w:rsid w:val="006056C2"/>
    <w:rsid w:val="0060586B"/>
    <w:rsid w:val="00605948"/>
    <w:rsid w:val="006059A8"/>
    <w:rsid w:val="00605B26"/>
    <w:rsid w:val="00605DAC"/>
    <w:rsid w:val="00605E9C"/>
    <w:rsid w:val="00605E9D"/>
    <w:rsid w:val="00605EA7"/>
    <w:rsid w:val="00605EC7"/>
    <w:rsid w:val="00605F1F"/>
    <w:rsid w:val="00605F50"/>
    <w:rsid w:val="00605FC7"/>
    <w:rsid w:val="00606002"/>
    <w:rsid w:val="00606155"/>
    <w:rsid w:val="0060618C"/>
    <w:rsid w:val="006061D1"/>
    <w:rsid w:val="006061D8"/>
    <w:rsid w:val="006064B9"/>
    <w:rsid w:val="00606502"/>
    <w:rsid w:val="0060663E"/>
    <w:rsid w:val="00606665"/>
    <w:rsid w:val="006066A0"/>
    <w:rsid w:val="006067A3"/>
    <w:rsid w:val="00606822"/>
    <w:rsid w:val="006068A6"/>
    <w:rsid w:val="00606958"/>
    <w:rsid w:val="006069D6"/>
    <w:rsid w:val="006069FB"/>
    <w:rsid w:val="00606A22"/>
    <w:rsid w:val="00606BB5"/>
    <w:rsid w:val="00606BF3"/>
    <w:rsid w:val="00606C24"/>
    <w:rsid w:val="00606DC1"/>
    <w:rsid w:val="00606DDF"/>
    <w:rsid w:val="00606DE0"/>
    <w:rsid w:val="00606E01"/>
    <w:rsid w:val="006070CB"/>
    <w:rsid w:val="006070E4"/>
    <w:rsid w:val="006072EF"/>
    <w:rsid w:val="00607423"/>
    <w:rsid w:val="00607465"/>
    <w:rsid w:val="00607495"/>
    <w:rsid w:val="006074A1"/>
    <w:rsid w:val="00607585"/>
    <w:rsid w:val="006075DB"/>
    <w:rsid w:val="006076A2"/>
    <w:rsid w:val="0060771C"/>
    <w:rsid w:val="00607798"/>
    <w:rsid w:val="006077EE"/>
    <w:rsid w:val="00607837"/>
    <w:rsid w:val="006078FD"/>
    <w:rsid w:val="006079A2"/>
    <w:rsid w:val="006079C3"/>
    <w:rsid w:val="006079E1"/>
    <w:rsid w:val="00607A67"/>
    <w:rsid w:val="00607ABC"/>
    <w:rsid w:val="00607B43"/>
    <w:rsid w:val="00607C19"/>
    <w:rsid w:val="00607C1D"/>
    <w:rsid w:val="00607C5E"/>
    <w:rsid w:val="00607C5F"/>
    <w:rsid w:val="00607CCD"/>
    <w:rsid w:val="00607D8F"/>
    <w:rsid w:val="00607E14"/>
    <w:rsid w:val="00607E1F"/>
    <w:rsid w:val="00607E4A"/>
    <w:rsid w:val="00607EA6"/>
    <w:rsid w:val="00607F5E"/>
    <w:rsid w:val="00607F7B"/>
    <w:rsid w:val="00610039"/>
    <w:rsid w:val="00610067"/>
    <w:rsid w:val="006100D2"/>
    <w:rsid w:val="006100D4"/>
    <w:rsid w:val="0061014F"/>
    <w:rsid w:val="006102FF"/>
    <w:rsid w:val="006103B7"/>
    <w:rsid w:val="006104D8"/>
    <w:rsid w:val="00610575"/>
    <w:rsid w:val="00610599"/>
    <w:rsid w:val="006105DE"/>
    <w:rsid w:val="0061060C"/>
    <w:rsid w:val="0061073C"/>
    <w:rsid w:val="00610748"/>
    <w:rsid w:val="00610751"/>
    <w:rsid w:val="00610829"/>
    <w:rsid w:val="00610840"/>
    <w:rsid w:val="006108D0"/>
    <w:rsid w:val="00610BAC"/>
    <w:rsid w:val="00610BCA"/>
    <w:rsid w:val="00610BFB"/>
    <w:rsid w:val="00610C24"/>
    <w:rsid w:val="00610CB5"/>
    <w:rsid w:val="00610CCB"/>
    <w:rsid w:val="00610D41"/>
    <w:rsid w:val="00610FA7"/>
    <w:rsid w:val="00610FC0"/>
    <w:rsid w:val="00611091"/>
    <w:rsid w:val="0061114E"/>
    <w:rsid w:val="006111AD"/>
    <w:rsid w:val="0061122C"/>
    <w:rsid w:val="00611324"/>
    <w:rsid w:val="006113E1"/>
    <w:rsid w:val="006113FC"/>
    <w:rsid w:val="006114D9"/>
    <w:rsid w:val="0061152B"/>
    <w:rsid w:val="006115E0"/>
    <w:rsid w:val="006116B9"/>
    <w:rsid w:val="0061177D"/>
    <w:rsid w:val="006117A1"/>
    <w:rsid w:val="006117F8"/>
    <w:rsid w:val="006117FB"/>
    <w:rsid w:val="00611818"/>
    <w:rsid w:val="006118AF"/>
    <w:rsid w:val="00611AE7"/>
    <w:rsid w:val="00611B7F"/>
    <w:rsid w:val="00611BA1"/>
    <w:rsid w:val="00611C1D"/>
    <w:rsid w:val="00611C5D"/>
    <w:rsid w:val="00611CC3"/>
    <w:rsid w:val="00611D53"/>
    <w:rsid w:val="00611D63"/>
    <w:rsid w:val="00611D69"/>
    <w:rsid w:val="00611D7A"/>
    <w:rsid w:val="00611DF0"/>
    <w:rsid w:val="00611F12"/>
    <w:rsid w:val="00611FEB"/>
    <w:rsid w:val="0061201E"/>
    <w:rsid w:val="00612046"/>
    <w:rsid w:val="006120A4"/>
    <w:rsid w:val="00612109"/>
    <w:rsid w:val="0061212C"/>
    <w:rsid w:val="00612137"/>
    <w:rsid w:val="0061221D"/>
    <w:rsid w:val="006122E9"/>
    <w:rsid w:val="0061230E"/>
    <w:rsid w:val="0061231F"/>
    <w:rsid w:val="0061237B"/>
    <w:rsid w:val="006123DC"/>
    <w:rsid w:val="0061240F"/>
    <w:rsid w:val="00612425"/>
    <w:rsid w:val="0061245E"/>
    <w:rsid w:val="00612494"/>
    <w:rsid w:val="006124DD"/>
    <w:rsid w:val="006124E4"/>
    <w:rsid w:val="0061261A"/>
    <w:rsid w:val="00612724"/>
    <w:rsid w:val="006127BA"/>
    <w:rsid w:val="006127CA"/>
    <w:rsid w:val="0061281A"/>
    <w:rsid w:val="00612905"/>
    <w:rsid w:val="00612A06"/>
    <w:rsid w:val="00612A1A"/>
    <w:rsid w:val="00612A34"/>
    <w:rsid w:val="00612A54"/>
    <w:rsid w:val="00612A85"/>
    <w:rsid w:val="00612AA7"/>
    <w:rsid w:val="00612ADC"/>
    <w:rsid w:val="00612AED"/>
    <w:rsid w:val="00612B87"/>
    <w:rsid w:val="00612E68"/>
    <w:rsid w:val="00612E90"/>
    <w:rsid w:val="00612EA4"/>
    <w:rsid w:val="00612EAB"/>
    <w:rsid w:val="00612EAC"/>
    <w:rsid w:val="00613002"/>
    <w:rsid w:val="006130BB"/>
    <w:rsid w:val="006131F0"/>
    <w:rsid w:val="00613219"/>
    <w:rsid w:val="00613258"/>
    <w:rsid w:val="006133A7"/>
    <w:rsid w:val="006134AE"/>
    <w:rsid w:val="006134FE"/>
    <w:rsid w:val="00613554"/>
    <w:rsid w:val="00613609"/>
    <w:rsid w:val="00613617"/>
    <w:rsid w:val="00613690"/>
    <w:rsid w:val="0061371E"/>
    <w:rsid w:val="00613775"/>
    <w:rsid w:val="006137F5"/>
    <w:rsid w:val="00613900"/>
    <w:rsid w:val="00613978"/>
    <w:rsid w:val="00613989"/>
    <w:rsid w:val="006139E7"/>
    <w:rsid w:val="00613A68"/>
    <w:rsid w:val="00613B7A"/>
    <w:rsid w:val="00613C40"/>
    <w:rsid w:val="00613D67"/>
    <w:rsid w:val="00613D93"/>
    <w:rsid w:val="00613DA4"/>
    <w:rsid w:val="00613E1C"/>
    <w:rsid w:val="00613E6C"/>
    <w:rsid w:val="00613EE8"/>
    <w:rsid w:val="00613EF5"/>
    <w:rsid w:val="00613FC5"/>
    <w:rsid w:val="00613FDA"/>
    <w:rsid w:val="0061400E"/>
    <w:rsid w:val="0061407E"/>
    <w:rsid w:val="006140A7"/>
    <w:rsid w:val="006140CD"/>
    <w:rsid w:val="00614271"/>
    <w:rsid w:val="0061434E"/>
    <w:rsid w:val="00614391"/>
    <w:rsid w:val="00614554"/>
    <w:rsid w:val="006145C7"/>
    <w:rsid w:val="0061461B"/>
    <w:rsid w:val="00614774"/>
    <w:rsid w:val="00614853"/>
    <w:rsid w:val="00614868"/>
    <w:rsid w:val="0061489A"/>
    <w:rsid w:val="0061489C"/>
    <w:rsid w:val="006148BC"/>
    <w:rsid w:val="006148EA"/>
    <w:rsid w:val="00614973"/>
    <w:rsid w:val="00614A12"/>
    <w:rsid w:val="00614A59"/>
    <w:rsid w:val="00614BE6"/>
    <w:rsid w:val="00614D36"/>
    <w:rsid w:val="00614D65"/>
    <w:rsid w:val="00614DFA"/>
    <w:rsid w:val="00614E1E"/>
    <w:rsid w:val="00614E8B"/>
    <w:rsid w:val="00615062"/>
    <w:rsid w:val="00615154"/>
    <w:rsid w:val="00615198"/>
    <w:rsid w:val="006151B4"/>
    <w:rsid w:val="00615224"/>
    <w:rsid w:val="00615234"/>
    <w:rsid w:val="00615257"/>
    <w:rsid w:val="0061526D"/>
    <w:rsid w:val="006152BE"/>
    <w:rsid w:val="00615344"/>
    <w:rsid w:val="00615378"/>
    <w:rsid w:val="0061539C"/>
    <w:rsid w:val="00615493"/>
    <w:rsid w:val="00615523"/>
    <w:rsid w:val="0061557A"/>
    <w:rsid w:val="006156AF"/>
    <w:rsid w:val="006156D0"/>
    <w:rsid w:val="006157B5"/>
    <w:rsid w:val="0061581A"/>
    <w:rsid w:val="00615872"/>
    <w:rsid w:val="006158D6"/>
    <w:rsid w:val="0061597B"/>
    <w:rsid w:val="00615983"/>
    <w:rsid w:val="00615A05"/>
    <w:rsid w:val="00615B14"/>
    <w:rsid w:val="00615B35"/>
    <w:rsid w:val="00615B75"/>
    <w:rsid w:val="00615D7D"/>
    <w:rsid w:val="00615DBE"/>
    <w:rsid w:val="00615DE9"/>
    <w:rsid w:val="00615E18"/>
    <w:rsid w:val="00615E5B"/>
    <w:rsid w:val="00615EE4"/>
    <w:rsid w:val="00615F37"/>
    <w:rsid w:val="00615F42"/>
    <w:rsid w:val="00615FC1"/>
    <w:rsid w:val="00616006"/>
    <w:rsid w:val="00616118"/>
    <w:rsid w:val="0061619E"/>
    <w:rsid w:val="006161E7"/>
    <w:rsid w:val="006161F6"/>
    <w:rsid w:val="00616362"/>
    <w:rsid w:val="0061642C"/>
    <w:rsid w:val="006164E5"/>
    <w:rsid w:val="00616510"/>
    <w:rsid w:val="00616520"/>
    <w:rsid w:val="00616717"/>
    <w:rsid w:val="00616798"/>
    <w:rsid w:val="006167A2"/>
    <w:rsid w:val="00616A31"/>
    <w:rsid w:val="00616ABF"/>
    <w:rsid w:val="00616DD1"/>
    <w:rsid w:val="00616E05"/>
    <w:rsid w:val="00616F7D"/>
    <w:rsid w:val="0061709D"/>
    <w:rsid w:val="006170C2"/>
    <w:rsid w:val="006170D5"/>
    <w:rsid w:val="00617180"/>
    <w:rsid w:val="0061724D"/>
    <w:rsid w:val="00617331"/>
    <w:rsid w:val="0061743A"/>
    <w:rsid w:val="00617473"/>
    <w:rsid w:val="00617580"/>
    <w:rsid w:val="006175F4"/>
    <w:rsid w:val="00617631"/>
    <w:rsid w:val="00617655"/>
    <w:rsid w:val="0061777D"/>
    <w:rsid w:val="006177E7"/>
    <w:rsid w:val="006178A5"/>
    <w:rsid w:val="006178C4"/>
    <w:rsid w:val="00617906"/>
    <w:rsid w:val="006179AC"/>
    <w:rsid w:val="006179BF"/>
    <w:rsid w:val="00617AD6"/>
    <w:rsid w:val="00617BB7"/>
    <w:rsid w:val="00617CE1"/>
    <w:rsid w:val="00617D14"/>
    <w:rsid w:val="00617D42"/>
    <w:rsid w:val="00617D99"/>
    <w:rsid w:val="00617D9F"/>
    <w:rsid w:val="00620012"/>
    <w:rsid w:val="0062009D"/>
    <w:rsid w:val="006200B1"/>
    <w:rsid w:val="00620271"/>
    <w:rsid w:val="00620296"/>
    <w:rsid w:val="006202F3"/>
    <w:rsid w:val="00620433"/>
    <w:rsid w:val="0062071F"/>
    <w:rsid w:val="0062073F"/>
    <w:rsid w:val="00620812"/>
    <w:rsid w:val="00620817"/>
    <w:rsid w:val="006208B5"/>
    <w:rsid w:val="006208DD"/>
    <w:rsid w:val="006209CD"/>
    <w:rsid w:val="006209E5"/>
    <w:rsid w:val="00620C45"/>
    <w:rsid w:val="00620C9F"/>
    <w:rsid w:val="00620CFF"/>
    <w:rsid w:val="00620EF1"/>
    <w:rsid w:val="00620FA7"/>
    <w:rsid w:val="00620FDE"/>
    <w:rsid w:val="006210B7"/>
    <w:rsid w:val="006210CF"/>
    <w:rsid w:val="0062112F"/>
    <w:rsid w:val="00621177"/>
    <w:rsid w:val="0062118A"/>
    <w:rsid w:val="006212AB"/>
    <w:rsid w:val="0062134C"/>
    <w:rsid w:val="006213AA"/>
    <w:rsid w:val="006214CD"/>
    <w:rsid w:val="00621524"/>
    <w:rsid w:val="006215D0"/>
    <w:rsid w:val="006215D1"/>
    <w:rsid w:val="00621631"/>
    <w:rsid w:val="00621649"/>
    <w:rsid w:val="006216C6"/>
    <w:rsid w:val="0062171A"/>
    <w:rsid w:val="00621794"/>
    <w:rsid w:val="0062184D"/>
    <w:rsid w:val="006218C3"/>
    <w:rsid w:val="00621A7D"/>
    <w:rsid w:val="00621A7F"/>
    <w:rsid w:val="00621B5E"/>
    <w:rsid w:val="00621B9A"/>
    <w:rsid w:val="00621BF6"/>
    <w:rsid w:val="00621C0C"/>
    <w:rsid w:val="00621CB2"/>
    <w:rsid w:val="00621CB5"/>
    <w:rsid w:val="00621CC0"/>
    <w:rsid w:val="00621CFB"/>
    <w:rsid w:val="00621EC4"/>
    <w:rsid w:val="00621F75"/>
    <w:rsid w:val="00621FB7"/>
    <w:rsid w:val="00622047"/>
    <w:rsid w:val="006220E1"/>
    <w:rsid w:val="0062212D"/>
    <w:rsid w:val="0062217C"/>
    <w:rsid w:val="0062222A"/>
    <w:rsid w:val="006222C1"/>
    <w:rsid w:val="006223FA"/>
    <w:rsid w:val="00622429"/>
    <w:rsid w:val="006224A5"/>
    <w:rsid w:val="006224A6"/>
    <w:rsid w:val="006224AC"/>
    <w:rsid w:val="0062271C"/>
    <w:rsid w:val="0062272B"/>
    <w:rsid w:val="0062277C"/>
    <w:rsid w:val="006227F2"/>
    <w:rsid w:val="00622864"/>
    <w:rsid w:val="006228BB"/>
    <w:rsid w:val="00622954"/>
    <w:rsid w:val="00622A8C"/>
    <w:rsid w:val="00622A9D"/>
    <w:rsid w:val="00622CDB"/>
    <w:rsid w:val="00622D19"/>
    <w:rsid w:val="00622E23"/>
    <w:rsid w:val="00622E91"/>
    <w:rsid w:val="00622EB4"/>
    <w:rsid w:val="00622EEC"/>
    <w:rsid w:val="00622F1F"/>
    <w:rsid w:val="00622FA4"/>
    <w:rsid w:val="00622FFC"/>
    <w:rsid w:val="006231CA"/>
    <w:rsid w:val="00623259"/>
    <w:rsid w:val="00623266"/>
    <w:rsid w:val="006232DF"/>
    <w:rsid w:val="00623303"/>
    <w:rsid w:val="0062340C"/>
    <w:rsid w:val="00623482"/>
    <w:rsid w:val="006234B5"/>
    <w:rsid w:val="006236C3"/>
    <w:rsid w:val="0062389F"/>
    <w:rsid w:val="006238B4"/>
    <w:rsid w:val="006238C1"/>
    <w:rsid w:val="00623914"/>
    <w:rsid w:val="00623934"/>
    <w:rsid w:val="006239D4"/>
    <w:rsid w:val="00623A5B"/>
    <w:rsid w:val="00623AA9"/>
    <w:rsid w:val="00623ADF"/>
    <w:rsid w:val="00623B3A"/>
    <w:rsid w:val="00623BD1"/>
    <w:rsid w:val="00623BDE"/>
    <w:rsid w:val="00623CAD"/>
    <w:rsid w:val="00623D38"/>
    <w:rsid w:val="00623E1A"/>
    <w:rsid w:val="00623E39"/>
    <w:rsid w:val="00623EDA"/>
    <w:rsid w:val="00623FE1"/>
    <w:rsid w:val="0062408B"/>
    <w:rsid w:val="006240A8"/>
    <w:rsid w:val="0062415F"/>
    <w:rsid w:val="0062417F"/>
    <w:rsid w:val="006241CB"/>
    <w:rsid w:val="00624230"/>
    <w:rsid w:val="006242D2"/>
    <w:rsid w:val="006242EF"/>
    <w:rsid w:val="0062430A"/>
    <w:rsid w:val="00624315"/>
    <w:rsid w:val="0062433A"/>
    <w:rsid w:val="00624519"/>
    <w:rsid w:val="00624543"/>
    <w:rsid w:val="0062459D"/>
    <w:rsid w:val="006245BE"/>
    <w:rsid w:val="006245F7"/>
    <w:rsid w:val="00624632"/>
    <w:rsid w:val="0062464F"/>
    <w:rsid w:val="00624766"/>
    <w:rsid w:val="006247C6"/>
    <w:rsid w:val="0062488F"/>
    <w:rsid w:val="00624B1B"/>
    <w:rsid w:val="00624B58"/>
    <w:rsid w:val="00624BA4"/>
    <w:rsid w:val="00624BC2"/>
    <w:rsid w:val="00624BC4"/>
    <w:rsid w:val="00624BDC"/>
    <w:rsid w:val="00624C39"/>
    <w:rsid w:val="00624D0A"/>
    <w:rsid w:val="00624D8E"/>
    <w:rsid w:val="00624F5F"/>
    <w:rsid w:val="00624FEC"/>
    <w:rsid w:val="006250EB"/>
    <w:rsid w:val="00625156"/>
    <w:rsid w:val="00625208"/>
    <w:rsid w:val="0062534A"/>
    <w:rsid w:val="006255E3"/>
    <w:rsid w:val="006255F8"/>
    <w:rsid w:val="006256AD"/>
    <w:rsid w:val="0062572B"/>
    <w:rsid w:val="0062578F"/>
    <w:rsid w:val="00625976"/>
    <w:rsid w:val="00625991"/>
    <w:rsid w:val="00625A26"/>
    <w:rsid w:val="00625AAA"/>
    <w:rsid w:val="00625AE4"/>
    <w:rsid w:val="00625B91"/>
    <w:rsid w:val="00625EA7"/>
    <w:rsid w:val="00626093"/>
    <w:rsid w:val="0062610C"/>
    <w:rsid w:val="0062611B"/>
    <w:rsid w:val="00626133"/>
    <w:rsid w:val="006261F5"/>
    <w:rsid w:val="006262BE"/>
    <w:rsid w:val="006262C9"/>
    <w:rsid w:val="00626324"/>
    <w:rsid w:val="006263FD"/>
    <w:rsid w:val="0062646E"/>
    <w:rsid w:val="006264D4"/>
    <w:rsid w:val="006264FB"/>
    <w:rsid w:val="0062652F"/>
    <w:rsid w:val="0062655F"/>
    <w:rsid w:val="0062665A"/>
    <w:rsid w:val="006266AD"/>
    <w:rsid w:val="0062676A"/>
    <w:rsid w:val="006268AD"/>
    <w:rsid w:val="006268EE"/>
    <w:rsid w:val="00626989"/>
    <w:rsid w:val="006269D6"/>
    <w:rsid w:val="006269FB"/>
    <w:rsid w:val="00626A5A"/>
    <w:rsid w:val="00626AA9"/>
    <w:rsid w:val="00626B72"/>
    <w:rsid w:val="00626B86"/>
    <w:rsid w:val="00626DE9"/>
    <w:rsid w:val="00626DFB"/>
    <w:rsid w:val="00626E7B"/>
    <w:rsid w:val="00626F4B"/>
    <w:rsid w:val="00626F58"/>
    <w:rsid w:val="0062701A"/>
    <w:rsid w:val="006270B3"/>
    <w:rsid w:val="006270FA"/>
    <w:rsid w:val="006270FC"/>
    <w:rsid w:val="00627236"/>
    <w:rsid w:val="00627247"/>
    <w:rsid w:val="006272F4"/>
    <w:rsid w:val="00627319"/>
    <w:rsid w:val="00627374"/>
    <w:rsid w:val="006273B6"/>
    <w:rsid w:val="0062743E"/>
    <w:rsid w:val="00627442"/>
    <w:rsid w:val="00627446"/>
    <w:rsid w:val="006274F9"/>
    <w:rsid w:val="006276A7"/>
    <w:rsid w:val="00627754"/>
    <w:rsid w:val="006277F6"/>
    <w:rsid w:val="006278D7"/>
    <w:rsid w:val="006279DD"/>
    <w:rsid w:val="00627A15"/>
    <w:rsid w:val="00627AB6"/>
    <w:rsid w:val="00627BDE"/>
    <w:rsid w:val="00627C53"/>
    <w:rsid w:val="00630076"/>
    <w:rsid w:val="006301AB"/>
    <w:rsid w:val="006301B8"/>
    <w:rsid w:val="00630215"/>
    <w:rsid w:val="00630222"/>
    <w:rsid w:val="0063027A"/>
    <w:rsid w:val="00630317"/>
    <w:rsid w:val="0063031A"/>
    <w:rsid w:val="0063034E"/>
    <w:rsid w:val="006303CC"/>
    <w:rsid w:val="006303D8"/>
    <w:rsid w:val="00630461"/>
    <w:rsid w:val="00630486"/>
    <w:rsid w:val="0063063C"/>
    <w:rsid w:val="00630653"/>
    <w:rsid w:val="00630789"/>
    <w:rsid w:val="006307AE"/>
    <w:rsid w:val="006308A3"/>
    <w:rsid w:val="0063094A"/>
    <w:rsid w:val="006309A1"/>
    <w:rsid w:val="00630A34"/>
    <w:rsid w:val="00630A40"/>
    <w:rsid w:val="00630A51"/>
    <w:rsid w:val="00630ADF"/>
    <w:rsid w:val="00630B24"/>
    <w:rsid w:val="00630BCD"/>
    <w:rsid w:val="00630C16"/>
    <w:rsid w:val="00630CBC"/>
    <w:rsid w:val="00630CC4"/>
    <w:rsid w:val="00630E25"/>
    <w:rsid w:val="00630E9D"/>
    <w:rsid w:val="00630F5A"/>
    <w:rsid w:val="00630FD1"/>
    <w:rsid w:val="00630FFC"/>
    <w:rsid w:val="00631070"/>
    <w:rsid w:val="006310BC"/>
    <w:rsid w:val="006310D5"/>
    <w:rsid w:val="006310DB"/>
    <w:rsid w:val="00631198"/>
    <w:rsid w:val="006311FF"/>
    <w:rsid w:val="00631270"/>
    <w:rsid w:val="0063130C"/>
    <w:rsid w:val="00631389"/>
    <w:rsid w:val="0063143D"/>
    <w:rsid w:val="0063144C"/>
    <w:rsid w:val="0063145D"/>
    <w:rsid w:val="006315F4"/>
    <w:rsid w:val="0063165A"/>
    <w:rsid w:val="006316B7"/>
    <w:rsid w:val="00631707"/>
    <w:rsid w:val="0063173A"/>
    <w:rsid w:val="0063173D"/>
    <w:rsid w:val="00631746"/>
    <w:rsid w:val="006317A3"/>
    <w:rsid w:val="00631818"/>
    <w:rsid w:val="006318B5"/>
    <w:rsid w:val="00631909"/>
    <w:rsid w:val="00631A5B"/>
    <w:rsid w:val="00631B8A"/>
    <w:rsid w:val="00631C47"/>
    <w:rsid w:val="00631C69"/>
    <w:rsid w:val="00631C72"/>
    <w:rsid w:val="00631CD3"/>
    <w:rsid w:val="00631E4D"/>
    <w:rsid w:val="00631E7E"/>
    <w:rsid w:val="00631E84"/>
    <w:rsid w:val="00631E8B"/>
    <w:rsid w:val="00631F34"/>
    <w:rsid w:val="00631F6B"/>
    <w:rsid w:val="00631F9E"/>
    <w:rsid w:val="00632075"/>
    <w:rsid w:val="0063212B"/>
    <w:rsid w:val="0063213F"/>
    <w:rsid w:val="0063217D"/>
    <w:rsid w:val="0063228F"/>
    <w:rsid w:val="00632303"/>
    <w:rsid w:val="0063232B"/>
    <w:rsid w:val="0063232F"/>
    <w:rsid w:val="0063241B"/>
    <w:rsid w:val="006324BA"/>
    <w:rsid w:val="00632536"/>
    <w:rsid w:val="0063258E"/>
    <w:rsid w:val="0063259A"/>
    <w:rsid w:val="006325DD"/>
    <w:rsid w:val="00632664"/>
    <w:rsid w:val="00632708"/>
    <w:rsid w:val="00632789"/>
    <w:rsid w:val="006327A6"/>
    <w:rsid w:val="0063280D"/>
    <w:rsid w:val="006328D0"/>
    <w:rsid w:val="00632930"/>
    <w:rsid w:val="00632B36"/>
    <w:rsid w:val="00632C9D"/>
    <w:rsid w:val="00632C9E"/>
    <w:rsid w:val="00632D71"/>
    <w:rsid w:val="00632DE7"/>
    <w:rsid w:val="00632F41"/>
    <w:rsid w:val="00632F91"/>
    <w:rsid w:val="00633072"/>
    <w:rsid w:val="00633138"/>
    <w:rsid w:val="006331D9"/>
    <w:rsid w:val="00633292"/>
    <w:rsid w:val="00633343"/>
    <w:rsid w:val="00633436"/>
    <w:rsid w:val="00633591"/>
    <w:rsid w:val="00633614"/>
    <w:rsid w:val="0063367D"/>
    <w:rsid w:val="00633778"/>
    <w:rsid w:val="00633818"/>
    <w:rsid w:val="0063391C"/>
    <w:rsid w:val="00633947"/>
    <w:rsid w:val="006339FD"/>
    <w:rsid w:val="00633A50"/>
    <w:rsid w:val="00633A75"/>
    <w:rsid w:val="00633AFE"/>
    <w:rsid w:val="00633B19"/>
    <w:rsid w:val="00633B32"/>
    <w:rsid w:val="00633B35"/>
    <w:rsid w:val="00633B9B"/>
    <w:rsid w:val="00633BE7"/>
    <w:rsid w:val="00633BE8"/>
    <w:rsid w:val="00633C90"/>
    <w:rsid w:val="00633CF2"/>
    <w:rsid w:val="00633D63"/>
    <w:rsid w:val="00633DAE"/>
    <w:rsid w:val="00633E91"/>
    <w:rsid w:val="00633EE1"/>
    <w:rsid w:val="0063417E"/>
    <w:rsid w:val="00634243"/>
    <w:rsid w:val="00634382"/>
    <w:rsid w:val="0063438E"/>
    <w:rsid w:val="00634413"/>
    <w:rsid w:val="0063442A"/>
    <w:rsid w:val="00634467"/>
    <w:rsid w:val="00634490"/>
    <w:rsid w:val="006344BE"/>
    <w:rsid w:val="006345A6"/>
    <w:rsid w:val="006345CA"/>
    <w:rsid w:val="006345EE"/>
    <w:rsid w:val="006346C7"/>
    <w:rsid w:val="006346DD"/>
    <w:rsid w:val="0063485E"/>
    <w:rsid w:val="006348CB"/>
    <w:rsid w:val="006349C7"/>
    <w:rsid w:val="00634ACA"/>
    <w:rsid w:val="00634B00"/>
    <w:rsid w:val="00634B01"/>
    <w:rsid w:val="00634C3D"/>
    <w:rsid w:val="00634CAB"/>
    <w:rsid w:val="00634CF3"/>
    <w:rsid w:val="00634EB3"/>
    <w:rsid w:val="00634EDE"/>
    <w:rsid w:val="00634EFE"/>
    <w:rsid w:val="00634F8A"/>
    <w:rsid w:val="006350EE"/>
    <w:rsid w:val="00635125"/>
    <w:rsid w:val="006351EC"/>
    <w:rsid w:val="006351FF"/>
    <w:rsid w:val="0063521A"/>
    <w:rsid w:val="0063530E"/>
    <w:rsid w:val="006353FF"/>
    <w:rsid w:val="006355AD"/>
    <w:rsid w:val="006355F5"/>
    <w:rsid w:val="00635662"/>
    <w:rsid w:val="00635698"/>
    <w:rsid w:val="006356B7"/>
    <w:rsid w:val="00635858"/>
    <w:rsid w:val="0063588E"/>
    <w:rsid w:val="006358C6"/>
    <w:rsid w:val="006358FB"/>
    <w:rsid w:val="006359C4"/>
    <w:rsid w:val="00635A58"/>
    <w:rsid w:val="00635A73"/>
    <w:rsid w:val="00635AF3"/>
    <w:rsid w:val="00635B14"/>
    <w:rsid w:val="00635C04"/>
    <w:rsid w:val="00635C27"/>
    <w:rsid w:val="00635CA1"/>
    <w:rsid w:val="00635CB1"/>
    <w:rsid w:val="00635D90"/>
    <w:rsid w:val="00635D93"/>
    <w:rsid w:val="00635D9A"/>
    <w:rsid w:val="00635EA5"/>
    <w:rsid w:val="00635EBE"/>
    <w:rsid w:val="00635FDB"/>
    <w:rsid w:val="006360A9"/>
    <w:rsid w:val="00636165"/>
    <w:rsid w:val="00636185"/>
    <w:rsid w:val="00636272"/>
    <w:rsid w:val="006362EC"/>
    <w:rsid w:val="006364DF"/>
    <w:rsid w:val="00636537"/>
    <w:rsid w:val="00636571"/>
    <w:rsid w:val="006365B4"/>
    <w:rsid w:val="006365D8"/>
    <w:rsid w:val="006366B9"/>
    <w:rsid w:val="00636760"/>
    <w:rsid w:val="00636802"/>
    <w:rsid w:val="0063680F"/>
    <w:rsid w:val="006368B3"/>
    <w:rsid w:val="006368F3"/>
    <w:rsid w:val="00636987"/>
    <w:rsid w:val="006369A6"/>
    <w:rsid w:val="00636A66"/>
    <w:rsid w:val="00636A7E"/>
    <w:rsid w:val="00636AF1"/>
    <w:rsid w:val="00636C2B"/>
    <w:rsid w:val="00636C98"/>
    <w:rsid w:val="00636CD7"/>
    <w:rsid w:val="00636D5E"/>
    <w:rsid w:val="00636DC2"/>
    <w:rsid w:val="00636DCF"/>
    <w:rsid w:val="00636DD9"/>
    <w:rsid w:val="00636E0C"/>
    <w:rsid w:val="00636E21"/>
    <w:rsid w:val="00636F65"/>
    <w:rsid w:val="00636F6B"/>
    <w:rsid w:val="00636FB6"/>
    <w:rsid w:val="00636FB9"/>
    <w:rsid w:val="00637015"/>
    <w:rsid w:val="00637034"/>
    <w:rsid w:val="0063703F"/>
    <w:rsid w:val="0063704D"/>
    <w:rsid w:val="00637258"/>
    <w:rsid w:val="0063739D"/>
    <w:rsid w:val="00637453"/>
    <w:rsid w:val="00637516"/>
    <w:rsid w:val="006375E5"/>
    <w:rsid w:val="00637646"/>
    <w:rsid w:val="006376E2"/>
    <w:rsid w:val="0063773A"/>
    <w:rsid w:val="00637745"/>
    <w:rsid w:val="006379EB"/>
    <w:rsid w:val="00637A59"/>
    <w:rsid w:val="00637B44"/>
    <w:rsid w:val="00637B64"/>
    <w:rsid w:val="00637BB4"/>
    <w:rsid w:val="00637BF9"/>
    <w:rsid w:val="00637C0E"/>
    <w:rsid w:val="00637C85"/>
    <w:rsid w:val="00637CC6"/>
    <w:rsid w:val="00637D0C"/>
    <w:rsid w:val="00637D30"/>
    <w:rsid w:val="00637D42"/>
    <w:rsid w:val="00637D77"/>
    <w:rsid w:val="00637E6C"/>
    <w:rsid w:val="00637FB2"/>
    <w:rsid w:val="0064005C"/>
    <w:rsid w:val="00640070"/>
    <w:rsid w:val="00640091"/>
    <w:rsid w:val="006400F2"/>
    <w:rsid w:val="00640131"/>
    <w:rsid w:val="006401AE"/>
    <w:rsid w:val="006401B9"/>
    <w:rsid w:val="00640222"/>
    <w:rsid w:val="00640252"/>
    <w:rsid w:val="0064038E"/>
    <w:rsid w:val="006403AE"/>
    <w:rsid w:val="006404D7"/>
    <w:rsid w:val="00640516"/>
    <w:rsid w:val="00640554"/>
    <w:rsid w:val="00640586"/>
    <w:rsid w:val="006405D4"/>
    <w:rsid w:val="006406C1"/>
    <w:rsid w:val="0064077C"/>
    <w:rsid w:val="0064087E"/>
    <w:rsid w:val="0064089C"/>
    <w:rsid w:val="006408B0"/>
    <w:rsid w:val="00640A14"/>
    <w:rsid w:val="00640A5C"/>
    <w:rsid w:val="00640AF1"/>
    <w:rsid w:val="00640BA5"/>
    <w:rsid w:val="00640BAB"/>
    <w:rsid w:val="00640CD9"/>
    <w:rsid w:val="00640CE4"/>
    <w:rsid w:val="00640D0E"/>
    <w:rsid w:val="00640DB6"/>
    <w:rsid w:val="00640EF0"/>
    <w:rsid w:val="00640F0F"/>
    <w:rsid w:val="006410F0"/>
    <w:rsid w:val="0064115A"/>
    <w:rsid w:val="0064128D"/>
    <w:rsid w:val="006412A7"/>
    <w:rsid w:val="006412CE"/>
    <w:rsid w:val="006413AE"/>
    <w:rsid w:val="006415BD"/>
    <w:rsid w:val="006416D6"/>
    <w:rsid w:val="0064170E"/>
    <w:rsid w:val="0064188C"/>
    <w:rsid w:val="006419A9"/>
    <w:rsid w:val="006419DE"/>
    <w:rsid w:val="00641A38"/>
    <w:rsid w:val="00641AD7"/>
    <w:rsid w:val="00641ADF"/>
    <w:rsid w:val="00641B5C"/>
    <w:rsid w:val="00641C2B"/>
    <w:rsid w:val="00641C4C"/>
    <w:rsid w:val="00641D3A"/>
    <w:rsid w:val="00641D93"/>
    <w:rsid w:val="00641DD9"/>
    <w:rsid w:val="00641DE2"/>
    <w:rsid w:val="00641E34"/>
    <w:rsid w:val="00641EDA"/>
    <w:rsid w:val="00641F00"/>
    <w:rsid w:val="00641F66"/>
    <w:rsid w:val="00641F7A"/>
    <w:rsid w:val="0064217A"/>
    <w:rsid w:val="006422C5"/>
    <w:rsid w:val="0064245F"/>
    <w:rsid w:val="00642483"/>
    <w:rsid w:val="0064258E"/>
    <w:rsid w:val="00642615"/>
    <w:rsid w:val="00642630"/>
    <w:rsid w:val="00642637"/>
    <w:rsid w:val="00642671"/>
    <w:rsid w:val="0064269A"/>
    <w:rsid w:val="006427E9"/>
    <w:rsid w:val="00642838"/>
    <w:rsid w:val="00642854"/>
    <w:rsid w:val="00642923"/>
    <w:rsid w:val="0064292D"/>
    <w:rsid w:val="00642A57"/>
    <w:rsid w:val="00642AA6"/>
    <w:rsid w:val="00642B67"/>
    <w:rsid w:val="00642C39"/>
    <w:rsid w:val="00642DBE"/>
    <w:rsid w:val="00642E0A"/>
    <w:rsid w:val="00642F0D"/>
    <w:rsid w:val="00642F3C"/>
    <w:rsid w:val="00643116"/>
    <w:rsid w:val="0064312F"/>
    <w:rsid w:val="00643147"/>
    <w:rsid w:val="006432A6"/>
    <w:rsid w:val="00643337"/>
    <w:rsid w:val="00643340"/>
    <w:rsid w:val="0064345B"/>
    <w:rsid w:val="00643573"/>
    <w:rsid w:val="006435CB"/>
    <w:rsid w:val="006435E9"/>
    <w:rsid w:val="0064363C"/>
    <w:rsid w:val="0064371B"/>
    <w:rsid w:val="00643747"/>
    <w:rsid w:val="00643755"/>
    <w:rsid w:val="006437D8"/>
    <w:rsid w:val="00643800"/>
    <w:rsid w:val="00643895"/>
    <w:rsid w:val="006439D1"/>
    <w:rsid w:val="00643A02"/>
    <w:rsid w:val="00643C1A"/>
    <w:rsid w:val="00643CB6"/>
    <w:rsid w:val="00643D5D"/>
    <w:rsid w:val="00643DBF"/>
    <w:rsid w:val="00643DD7"/>
    <w:rsid w:val="00644025"/>
    <w:rsid w:val="006440A5"/>
    <w:rsid w:val="006440F7"/>
    <w:rsid w:val="00644157"/>
    <w:rsid w:val="0064415A"/>
    <w:rsid w:val="00644191"/>
    <w:rsid w:val="006441C7"/>
    <w:rsid w:val="006442EE"/>
    <w:rsid w:val="006443CB"/>
    <w:rsid w:val="0064450C"/>
    <w:rsid w:val="006445BB"/>
    <w:rsid w:val="006447AE"/>
    <w:rsid w:val="00644874"/>
    <w:rsid w:val="0064489C"/>
    <w:rsid w:val="006448DF"/>
    <w:rsid w:val="0064493E"/>
    <w:rsid w:val="00644A2A"/>
    <w:rsid w:val="00644A60"/>
    <w:rsid w:val="00644A84"/>
    <w:rsid w:val="00644B31"/>
    <w:rsid w:val="00644B4C"/>
    <w:rsid w:val="00644C0F"/>
    <w:rsid w:val="00644D01"/>
    <w:rsid w:val="00644D66"/>
    <w:rsid w:val="00644DAA"/>
    <w:rsid w:val="00644E33"/>
    <w:rsid w:val="00644F3E"/>
    <w:rsid w:val="00644F48"/>
    <w:rsid w:val="00644FAD"/>
    <w:rsid w:val="00644FF4"/>
    <w:rsid w:val="0064505A"/>
    <w:rsid w:val="0064519E"/>
    <w:rsid w:val="00645249"/>
    <w:rsid w:val="0064525D"/>
    <w:rsid w:val="00645293"/>
    <w:rsid w:val="00645311"/>
    <w:rsid w:val="00645344"/>
    <w:rsid w:val="00645355"/>
    <w:rsid w:val="0064553A"/>
    <w:rsid w:val="006455A3"/>
    <w:rsid w:val="006455EE"/>
    <w:rsid w:val="006456D6"/>
    <w:rsid w:val="0064572E"/>
    <w:rsid w:val="0064585C"/>
    <w:rsid w:val="0064592C"/>
    <w:rsid w:val="00645972"/>
    <w:rsid w:val="006459C4"/>
    <w:rsid w:val="00645A16"/>
    <w:rsid w:val="00645A2D"/>
    <w:rsid w:val="00645A4E"/>
    <w:rsid w:val="00645A8F"/>
    <w:rsid w:val="00645B85"/>
    <w:rsid w:val="00645C3F"/>
    <w:rsid w:val="00645C4B"/>
    <w:rsid w:val="00645C78"/>
    <w:rsid w:val="00645D7F"/>
    <w:rsid w:val="00645DC9"/>
    <w:rsid w:val="00645EAE"/>
    <w:rsid w:val="00645F49"/>
    <w:rsid w:val="00645F65"/>
    <w:rsid w:val="00646051"/>
    <w:rsid w:val="006460A7"/>
    <w:rsid w:val="0064623C"/>
    <w:rsid w:val="0064632A"/>
    <w:rsid w:val="006463B0"/>
    <w:rsid w:val="006463BE"/>
    <w:rsid w:val="006463E9"/>
    <w:rsid w:val="0064646E"/>
    <w:rsid w:val="006464DC"/>
    <w:rsid w:val="0064650F"/>
    <w:rsid w:val="0064652F"/>
    <w:rsid w:val="006466A0"/>
    <w:rsid w:val="006467CB"/>
    <w:rsid w:val="0064686E"/>
    <w:rsid w:val="006468B2"/>
    <w:rsid w:val="006469E9"/>
    <w:rsid w:val="00646BF9"/>
    <w:rsid w:val="00646C27"/>
    <w:rsid w:val="00646C29"/>
    <w:rsid w:val="00646C2D"/>
    <w:rsid w:val="00646C31"/>
    <w:rsid w:val="00646D78"/>
    <w:rsid w:val="00646DE3"/>
    <w:rsid w:val="00646DF4"/>
    <w:rsid w:val="00646EBE"/>
    <w:rsid w:val="00646F07"/>
    <w:rsid w:val="00647132"/>
    <w:rsid w:val="00647182"/>
    <w:rsid w:val="00647195"/>
    <w:rsid w:val="006472E6"/>
    <w:rsid w:val="0064732A"/>
    <w:rsid w:val="00647376"/>
    <w:rsid w:val="0064741E"/>
    <w:rsid w:val="0064742E"/>
    <w:rsid w:val="00647453"/>
    <w:rsid w:val="006474A9"/>
    <w:rsid w:val="006476E1"/>
    <w:rsid w:val="006476E9"/>
    <w:rsid w:val="00647795"/>
    <w:rsid w:val="006477CB"/>
    <w:rsid w:val="006477F5"/>
    <w:rsid w:val="00647809"/>
    <w:rsid w:val="0064781A"/>
    <w:rsid w:val="00647865"/>
    <w:rsid w:val="006478C2"/>
    <w:rsid w:val="00647942"/>
    <w:rsid w:val="00647983"/>
    <w:rsid w:val="00647AAC"/>
    <w:rsid w:val="00647AC6"/>
    <w:rsid w:val="00647B28"/>
    <w:rsid w:val="00647B9D"/>
    <w:rsid w:val="00647C8E"/>
    <w:rsid w:val="00647CC0"/>
    <w:rsid w:val="00647D00"/>
    <w:rsid w:val="00647D75"/>
    <w:rsid w:val="00647DD2"/>
    <w:rsid w:val="00647E0F"/>
    <w:rsid w:val="00647E1D"/>
    <w:rsid w:val="00647E5D"/>
    <w:rsid w:val="00647EA0"/>
    <w:rsid w:val="00647ED6"/>
    <w:rsid w:val="00647EE2"/>
    <w:rsid w:val="00647F59"/>
    <w:rsid w:val="00647F9A"/>
    <w:rsid w:val="00647FE1"/>
    <w:rsid w:val="00647FF0"/>
    <w:rsid w:val="0065001C"/>
    <w:rsid w:val="00650221"/>
    <w:rsid w:val="00650246"/>
    <w:rsid w:val="00650325"/>
    <w:rsid w:val="00650440"/>
    <w:rsid w:val="006504CE"/>
    <w:rsid w:val="0065058B"/>
    <w:rsid w:val="006505A1"/>
    <w:rsid w:val="00650640"/>
    <w:rsid w:val="00650646"/>
    <w:rsid w:val="0065074C"/>
    <w:rsid w:val="00650790"/>
    <w:rsid w:val="00650813"/>
    <w:rsid w:val="006508D1"/>
    <w:rsid w:val="00650A3F"/>
    <w:rsid w:val="00650B09"/>
    <w:rsid w:val="00650B33"/>
    <w:rsid w:val="00650B50"/>
    <w:rsid w:val="00650B6A"/>
    <w:rsid w:val="00650C6D"/>
    <w:rsid w:val="00650D83"/>
    <w:rsid w:val="00650DA0"/>
    <w:rsid w:val="00650E0E"/>
    <w:rsid w:val="00650E66"/>
    <w:rsid w:val="00650EE5"/>
    <w:rsid w:val="00650F06"/>
    <w:rsid w:val="00651045"/>
    <w:rsid w:val="006510EA"/>
    <w:rsid w:val="006511A6"/>
    <w:rsid w:val="006511DB"/>
    <w:rsid w:val="00651291"/>
    <w:rsid w:val="006512C0"/>
    <w:rsid w:val="006513D5"/>
    <w:rsid w:val="00651447"/>
    <w:rsid w:val="006514B0"/>
    <w:rsid w:val="00651547"/>
    <w:rsid w:val="006515E4"/>
    <w:rsid w:val="00651619"/>
    <w:rsid w:val="006516F0"/>
    <w:rsid w:val="0065170A"/>
    <w:rsid w:val="006517E0"/>
    <w:rsid w:val="0065180C"/>
    <w:rsid w:val="0065184B"/>
    <w:rsid w:val="00651879"/>
    <w:rsid w:val="006518F3"/>
    <w:rsid w:val="00651900"/>
    <w:rsid w:val="0065191B"/>
    <w:rsid w:val="0065197E"/>
    <w:rsid w:val="006519F9"/>
    <w:rsid w:val="00651ABF"/>
    <w:rsid w:val="00651B38"/>
    <w:rsid w:val="00651D5B"/>
    <w:rsid w:val="00651EBD"/>
    <w:rsid w:val="00651ED7"/>
    <w:rsid w:val="00651F01"/>
    <w:rsid w:val="00651F37"/>
    <w:rsid w:val="00651F77"/>
    <w:rsid w:val="00651F79"/>
    <w:rsid w:val="00651FA5"/>
    <w:rsid w:val="00652012"/>
    <w:rsid w:val="0065203A"/>
    <w:rsid w:val="00652041"/>
    <w:rsid w:val="00652100"/>
    <w:rsid w:val="0065212A"/>
    <w:rsid w:val="006521E1"/>
    <w:rsid w:val="006522C3"/>
    <w:rsid w:val="0065230C"/>
    <w:rsid w:val="006523D3"/>
    <w:rsid w:val="00652438"/>
    <w:rsid w:val="006524C2"/>
    <w:rsid w:val="006525BD"/>
    <w:rsid w:val="00652601"/>
    <w:rsid w:val="00652606"/>
    <w:rsid w:val="00652608"/>
    <w:rsid w:val="00652614"/>
    <w:rsid w:val="0065267B"/>
    <w:rsid w:val="006526E4"/>
    <w:rsid w:val="006526F8"/>
    <w:rsid w:val="00652751"/>
    <w:rsid w:val="00652AA1"/>
    <w:rsid w:val="00652BCE"/>
    <w:rsid w:val="00652D10"/>
    <w:rsid w:val="00652E1C"/>
    <w:rsid w:val="00652EF0"/>
    <w:rsid w:val="00652EFF"/>
    <w:rsid w:val="00652FE7"/>
    <w:rsid w:val="00652FF8"/>
    <w:rsid w:val="00653084"/>
    <w:rsid w:val="006530BA"/>
    <w:rsid w:val="00653132"/>
    <w:rsid w:val="006531AF"/>
    <w:rsid w:val="006531FB"/>
    <w:rsid w:val="00653219"/>
    <w:rsid w:val="006532AE"/>
    <w:rsid w:val="006532C9"/>
    <w:rsid w:val="00653386"/>
    <w:rsid w:val="006533A6"/>
    <w:rsid w:val="0065340A"/>
    <w:rsid w:val="00653469"/>
    <w:rsid w:val="0065358C"/>
    <w:rsid w:val="006535F7"/>
    <w:rsid w:val="0065378D"/>
    <w:rsid w:val="00653852"/>
    <w:rsid w:val="00653AB0"/>
    <w:rsid w:val="00653B5E"/>
    <w:rsid w:val="00653C9E"/>
    <w:rsid w:val="00653D85"/>
    <w:rsid w:val="00653EDA"/>
    <w:rsid w:val="00653F8B"/>
    <w:rsid w:val="00653FBE"/>
    <w:rsid w:val="0065403C"/>
    <w:rsid w:val="006540BF"/>
    <w:rsid w:val="0065411E"/>
    <w:rsid w:val="00654234"/>
    <w:rsid w:val="00654402"/>
    <w:rsid w:val="006544A2"/>
    <w:rsid w:val="00654642"/>
    <w:rsid w:val="00654717"/>
    <w:rsid w:val="00654794"/>
    <w:rsid w:val="006547C9"/>
    <w:rsid w:val="0065487A"/>
    <w:rsid w:val="00654AE8"/>
    <w:rsid w:val="00654C10"/>
    <w:rsid w:val="00654CC3"/>
    <w:rsid w:val="00654CDB"/>
    <w:rsid w:val="00654CE6"/>
    <w:rsid w:val="00654D40"/>
    <w:rsid w:val="00654DFC"/>
    <w:rsid w:val="00654E69"/>
    <w:rsid w:val="00654F46"/>
    <w:rsid w:val="00655043"/>
    <w:rsid w:val="006550AE"/>
    <w:rsid w:val="0065512E"/>
    <w:rsid w:val="0065519E"/>
    <w:rsid w:val="00655290"/>
    <w:rsid w:val="006552F3"/>
    <w:rsid w:val="0065531D"/>
    <w:rsid w:val="006553A4"/>
    <w:rsid w:val="00655437"/>
    <w:rsid w:val="00655506"/>
    <w:rsid w:val="0065554E"/>
    <w:rsid w:val="00655613"/>
    <w:rsid w:val="0065561F"/>
    <w:rsid w:val="0065564B"/>
    <w:rsid w:val="006556DF"/>
    <w:rsid w:val="006557BC"/>
    <w:rsid w:val="0065583D"/>
    <w:rsid w:val="00655903"/>
    <w:rsid w:val="00655937"/>
    <w:rsid w:val="00655939"/>
    <w:rsid w:val="00655949"/>
    <w:rsid w:val="00655995"/>
    <w:rsid w:val="0065599A"/>
    <w:rsid w:val="00655AEF"/>
    <w:rsid w:val="00655C0A"/>
    <w:rsid w:val="00655CF2"/>
    <w:rsid w:val="00655CF7"/>
    <w:rsid w:val="00655D69"/>
    <w:rsid w:val="00655E32"/>
    <w:rsid w:val="00655E47"/>
    <w:rsid w:val="00655E78"/>
    <w:rsid w:val="00655ED5"/>
    <w:rsid w:val="00655F4B"/>
    <w:rsid w:val="0065601E"/>
    <w:rsid w:val="006560A4"/>
    <w:rsid w:val="0065614C"/>
    <w:rsid w:val="0065627A"/>
    <w:rsid w:val="006562BD"/>
    <w:rsid w:val="00656311"/>
    <w:rsid w:val="006563B4"/>
    <w:rsid w:val="006563C8"/>
    <w:rsid w:val="006563CE"/>
    <w:rsid w:val="006563D8"/>
    <w:rsid w:val="00656409"/>
    <w:rsid w:val="00656419"/>
    <w:rsid w:val="00656747"/>
    <w:rsid w:val="00656788"/>
    <w:rsid w:val="00656814"/>
    <w:rsid w:val="0065682D"/>
    <w:rsid w:val="006568AA"/>
    <w:rsid w:val="0065691A"/>
    <w:rsid w:val="00656963"/>
    <w:rsid w:val="006569BD"/>
    <w:rsid w:val="00656A3B"/>
    <w:rsid w:val="00656A79"/>
    <w:rsid w:val="00656B00"/>
    <w:rsid w:val="00656B4F"/>
    <w:rsid w:val="00656B63"/>
    <w:rsid w:val="00656DC8"/>
    <w:rsid w:val="00656E2C"/>
    <w:rsid w:val="00656ED8"/>
    <w:rsid w:val="00656F20"/>
    <w:rsid w:val="00656F63"/>
    <w:rsid w:val="00656F64"/>
    <w:rsid w:val="00656FF7"/>
    <w:rsid w:val="00657058"/>
    <w:rsid w:val="006570E1"/>
    <w:rsid w:val="0065710F"/>
    <w:rsid w:val="00657114"/>
    <w:rsid w:val="00657161"/>
    <w:rsid w:val="0065716D"/>
    <w:rsid w:val="0065724E"/>
    <w:rsid w:val="006572CC"/>
    <w:rsid w:val="00657312"/>
    <w:rsid w:val="00657411"/>
    <w:rsid w:val="0065762C"/>
    <w:rsid w:val="0065762F"/>
    <w:rsid w:val="0065763A"/>
    <w:rsid w:val="00657684"/>
    <w:rsid w:val="00657803"/>
    <w:rsid w:val="00657810"/>
    <w:rsid w:val="0065787D"/>
    <w:rsid w:val="00657A27"/>
    <w:rsid w:val="00657A2A"/>
    <w:rsid w:val="00657AB0"/>
    <w:rsid w:val="00657AC3"/>
    <w:rsid w:val="00657AF5"/>
    <w:rsid w:val="00657AF7"/>
    <w:rsid w:val="00657BF3"/>
    <w:rsid w:val="00657BF5"/>
    <w:rsid w:val="00657C07"/>
    <w:rsid w:val="00657C21"/>
    <w:rsid w:val="00657C4B"/>
    <w:rsid w:val="00657CAE"/>
    <w:rsid w:val="00657CC5"/>
    <w:rsid w:val="00657D82"/>
    <w:rsid w:val="00657EBD"/>
    <w:rsid w:val="00657F25"/>
    <w:rsid w:val="00657F96"/>
    <w:rsid w:val="00657FEA"/>
    <w:rsid w:val="0066003E"/>
    <w:rsid w:val="00660062"/>
    <w:rsid w:val="00660291"/>
    <w:rsid w:val="006602A9"/>
    <w:rsid w:val="0066034E"/>
    <w:rsid w:val="006604CD"/>
    <w:rsid w:val="00660592"/>
    <w:rsid w:val="006605A5"/>
    <w:rsid w:val="006606F3"/>
    <w:rsid w:val="0066076B"/>
    <w:rsid w:val="00660803"/>
    <w:rsid w:val="006608E0"/>
    <w:rsid w:val="0066094F"/>
    <w:rsid w:val="006609FE"/>
    <w:rsid w:val="00660A2B"/>
    <w:rsid w:val="00660ACE"/>
    <w:rsid w:val="00660AD7"/>
    <w:rsid w:val="00660B45"/>
    <w:rsid w:val="00660B72"/>
    <w:rsid w:val="00660BC1"/>
    <w:rsid w:val="00660C7B"/>
    <w:rsid w:val="00660D5F"/>
    <w:rsid w:val="00660DBB"/>
    <w:rsid w:val="00660E21"/>
    <w:rsid w:val="00660E5A"/>
    <w:rsid w:val="00660E9A"/>
    <w:rsid w:val="00660F5B"/>
    <w:rsid w:val="00660FD7"/>
    <w:rsid w:val="0066108F"/>
    <w:rsid w:val="006611CC"/>
    <w:rsid w:val="0066130F"/>
    <w:rsid w:val="0066133D"/>
    <w:rsid w:val="00661353"/>
    <w:rsid w:val="0066135B"/>
    <w:rsid w:val="0066153D"/>
    <w:rsid w:val="00661577"/>
    <w:rsid w:val="006615C9"/>
    <w:rsid w:val="006615CD"/>
    <w:rsid w:val="006616AE"/>
    <w:rsid w:val="006616D7"/>
    <w:rsid w:val="00661716"/>
    <w:rsid w:val="00661772"/>
    <w:rsid w:val="00661776"/>
    <w:rsid w:val="00661971"/>
    <w:rsid w:val="00661AD9"/>
    <w:rsid w:val="00661B55"/>
    <w:rsid w:val="00661B71"/>
    <w:rsid w:val="00661BE0"/>
    <w:rsid w:val="00661BF7"/>
    <w:rsid w:val="00661BFD"/>
    <w:rsid w:val="00661C7F"/>
    <w:rsid w:val="00661CF3"/>
    <w:rsid w:val="00661D5C"/>
    <w:rsid w:val="00661E7A"/>
    <w:rsid w:val="00661ED2"/>
    <w:rsid w:val="00661EDC"/>
    <w:rsid w:val="00661F1E"/>
    <w:rsid w:val="006620BE"/>
    <w:rsid w:val="0066211E"/>
    <w:rsid w:val="006621AC"/>
    <w:rsid w:val="00662202"/>
    <w:rsid w:val="00662286"/>
    <w:rsid w:val="006622B4"/>
    <w:rsid w:val="006623BF"/>
    <w:rsid w:val="006623CB"/>
    <w:rsid w:val="006623E7"/>
    <w:rsid w:val="006623EC"/>
    <w:rsid w:val="00662574"/>
    <w:rsid w:val="006625D9"/>
    <w:rsid w:val="0066261C"/>
    <w:rsid w:val="0066261E"/>
    <w:rsid w:val="00662679"/>
    <w:rsid w:val="0066275B"/>
    <w:rsid w:val="00662783"/>
    <w:rsid w:val="006627A7"/>
    <w:rsid w:val="00662831"/>
    <w:rsid w:val="0066286B"/>
    <w:rsid w:val="00662903"/>
    <w:rsid w:val="00662909"/>
    <w:rsid w:val="0066294F"/>
    <w:rsid w:val="006629F1"/>
    <w:rsid w:val="00662A83"/>
    <w:rsid w:val="00662AA6"/>
    <w:rsid w:val="00662B77"/>
    <w:rsid w:val="00662C2A"/>
    <w:rsid w:val="00662D5D"/>
    <w:rsid w:val="00662DC2"/>
    <w:rsid w:val="00662DF4"/>
    <w:rsid w:val="00662E37"/>
    <w:rsid w:val="00662E61"/>
    <w:rsid w:val="00662E6C"/>
    <w:rsid w:val="00662E93"/>
    <w:rsid w:val="00663015"/>
    <w:rsid w:val="00663038"/>
    <w:rsid w:val="00663041"/>
    <w:rsid w:val="00663164"/>
    <w:rsid w:val="006631DE"/>
    <w:rsid w:val="00663218"/>
    <w:rsid w:val="00663268"/>
    <w:rsid w:val="006632A4"/>
    <w:rsid w:val="006632FD"/>
    <w:rsid w:val="00663304"/>
    <w:rsid w:val="00663459"/>
    <w:rsid w:val="00663471"/>
    <w:rsid w:val="00663476"/>
    <w:rsid w:val="00663569"/>
    <w:rsid w:val="00663588"/>
    <w:rsid w:val="0066359B"/>
    <w:rsid w:val="006636C1"/>
    <w:rsid w:val="00663832"/>
    <w:rsid w:val="00663850"/>
    <w:rsid w:val="006638A0"/>
    <w:rsid w:val="006638A6"/>
    <w:rsid w:val="00663AE5"/>
    <w:rsid w:val="00663B1D"/>
    <w:rsid w:val="00663B59"/>
    <w:rsid w:val="00663D0A"/>
    <w:rsid w:val="00663D91"/>
    <w:rsid w:val="00663E0F"/>
    <w:rsid w:val="00663E1D"/>
    <w:rsid w:val="00663E94"/>
    <w:rsid w:val="00663F0C"/>
    <w:rsid w:val="00663FED"/>
    <w:rsid w:val="006640C4"/>
    <w:rsid w:val="006642A2"/>
    <w:rsid w:val="006644C4"/>
    <w:rsid w:val="006644D6"/>
    <w:rsid w:val="006645CD"/>
    <w:rsid w:val="006646DD"/>
    <w:rsid w:val="00664717"/>
    <w:rsid w:val="00664753"/>
    <w:rsid w:val="0066479D"/>
    <w:rsid w:val="0066488B"/>
    <w:rsid w:val="00664988"/>
    <w:rsid w:val="0066499B"/>
    <w:rsid w:val="006649D0"/>
    <w:rsid w:val="00664B1B"/>
    <w:rsid w:val="00664B42"/>
    <w:rsid w:val="00664B72"/>
    <w:rsid w:val="00664C74"/>
    <w:rsid w:val="00664CAC"/>
    <w:rsid w:val="00664D1F"/>
    <w:rsid w:val="00664D5B"/>
    <w:rsid w:val="00664F1B"/>
    <w:rsid w:val="00664F59"/>
    <w:rsid w:val="00665086"/>
    <w:rsid w:val="006652FB"/>
    <w:rsid w:val="0066537E"/>
    <w:rsid w:val="006653AD"/>
    <w:rsid w:val="00665408"/>
    <w:rsid w:val="00665425"/>
    <w:rsid w:val="006656C9"/>
    <w:rsid w:val="0066574E"/>
    <w:rsid w:val="006657C8"/>
    <w:rsid w:val="00665819"/>
    <w:rsid w:val="0066592F"/>
    <w:rsid w:val="00665938"/>
    <w:rsid w:val="00665963"/>
    <w:rsid w:val="0066596F"/>
    <w:rsid w:val="006659B8"/>
    <w:rsid w:val="006659E1"/>
    <w:rsid w:val="006659FC"/>
    <w:rsid w:val="00665A36"/>
    <w:rsid w:val="00665A97"/>
    <w:rsid w:val="00665AC6"/>
    <w:rsid w:val="00665B45"/>
    <w:rsid w:val="00665BAE"/>
    <w:rsid w:val="00665C6A"/>
    <w:rsid w:val="00665C94"/>
    <w:rsid w:val="00665CDA"/>
    <w:rsid w:val="00665CE1"/>
    <w:rsid w:val="00665CF2"/>
    <w:rsid w:val="00665D18"/>
    <w:rsid w:val="00665D30"/>
    <w:rsid w:val="00665DBD"/>
    <w:rsid w:val="00665E05"/>
    <w:rsid w:val="00666097"/>
    <w:rsid w:val="00666187"/>
    <w:rsid w:val="006661EF"/>
    <w:rsid w:val="00666267"/>
    <w:rsid w:val="006662BC"/>
    <w:rsid w:val="006662CB"/>
    <w:rsid w:val="006665F3"/>
    <w:rsid w:val="0066666B"/>
    <w:rsid w:val="0066669F"/>
    <w:rsid w:val="0066673A"/>
    <w:rsid w:val="0066674D"/>
    <w:rsid w:val="00666987"/>
    <w:rsid w:val="00666A0F"/>
    <w:rsid w:val="00666A37"/>
    <w:rsid w:val="00666B07"/>
    <w:rsid w:val="00666B61"/>
    <w:rsid w:val="00666BD2"/>
    <w:rsid w:val="00666BE8"/>
    <w:rsid w:val="00666C1A"/>
    <w:rsid w:val="00666C54"/>
    <w:rsid w:val="00666E39"/>
    <w:rsid w:val="00666EB4"/>
    <w:rsid w:val="00666F2D"/>
    <w:rsid w:val="00666F3B"/>
    <w:rsid w:val="00666FAD"/>
    <w:rsid w:val="00667065"/>
    <w:rsid w:val="0066707E"/>
    <w:rsid w:val="006670B4"/>
    <w:rsid w:val="00667106"/>
    <w:rsid w:val="006671B6"/>
    <w:rsid w:val="006672F4"/>
    <w:rsid w:val="00667310"/>
    <w:rsid w:val="00667313"/>
    <w:rsid w:val="006673E5"/>
    <w:rsid w:val="006673FF"/>
    <w:rsid w:val="0066741E"/>
    <w:rsid w:val="0066749F"/>
    <w:rsid w:val="00667593"/>
    <w:rsid w:val="006675DC"/>
    <w:rsid w:val="0066782F"/>
    <w:rsid w:val="00667997"/>
    <w:rsid w:val="006679C5"/>
    <w:rsid w:val="00667A0C"/>
    <w:rsid w:val="00667AF8"/>
    <w:rsid w:val="00667B19"/>
    <w:rsid w:val="00667C78"/>
    <w:rsid w:val="00667C89"/>
    <w:rsid w:val="00667CC9"/>
    <w:rsid w:val="00667CE9"/>
    <w:rsid w:val="00667D9B"/>
    <w:rsid w:val="00667D9F"/>
    <w:rsid w:val="00667DEB"/>
    <w:rsid w:val="00667E1B"/>
    <w:rsid w:val="00667E6D"/>
    <w:rsid w:val="00667EB2"/>
    <w:rsid w:val="00667EC4"/>
    <w:rsid w:val="00667ED2"/>
    <w:rsid w:val="00667EF9"/>
    <w:rsid w:val="00667FED"/>
    <w:rsid w:val="0067006E"/>
    <w:rsid w:val="006701A8"/>
    <w:rsid w:val="006701C3"/>
    <w:rsid w:val="00670216"/>
    <w:rsid w:val="00670220"/>
    <w:rsid w:val="00670367"/>
    <w:rsid w:val="0067036A"/>
    <w:rsid w:val="00670404"/>
    <w:rsid w:val="0067041D"/>
    <w:rsid w:val="00670503"/>
    <w:rsid w:val="0067055D"/>
    <w:rsid w:val="006705CE"/>
    <w:rsid w:val="006705EF"/>
    <w:rsid w:val="0067073E"/>
    <w:rsid w:val="0067087D"/>
    <w:rsid w:val="006708F3"/>
    <w:rsid w:val="00670905"/>
    <w:rsid w:val="00670928"/>
    <w:rsid w:val="00670935"/>
    <w:rsid w:val="00670ABB"/>
    <w:rsid w:val="00670BFC"/>
    <w:rsid w:val="00670D00"/>
    <w:rsid w:val="00670D1B"/>
    <w:rsid w:val="00670D3C"/>
    <w:rsid w:val="00670D6B"/>
    <w:rsid w:val="00670DB6"/>
    <w:rsid w:val="00670E0D"/>
    <w:rsid w:val="00670E18"/>
    <w:rsid w:val="00670EDD"/>
    <w:rsid w:val="00670F7D"/>
    <w:rsid w:val="00670FEF"/>
    <w:rsid w:val="0067103C"/>
    <w:rsid w:val="0067106A"/>
    <w:rsid w:val="006711BE"/>
    <w:rsid w:val="00671281"/>
    <w:rsid w:val="0067128C"/>
    <w:rsid w:val="006712D4"/>
    <w:rsid w:val="006712DA"/>
    <w:rsid w:val="0067132C"/>
    <w:rsid w:val="00671358"/>
    <w:rsid w:val="00671417"/>
    <w:rsid w:val="006714D7"/>
    <w:rsid w:val="006714DA"/>
    <w:rsid w:val="00671540"/>
    <w:rsid w:val="006715B8"/>
    <w:rsid w:val="00671659"/>
    <w:rsid w:val="0067168F"/>
    <w:rsid w:val="00671706"/>
    <w:rsid w:val="0067176F"/>
    <w:rsid w:val="006717FB"/>
    <w:rsid w:val="0067193E"/>
    <w:rsid w:val="006719CF"/>
    <w:rsid w:val="006719E6"/>
    <w:rsid w:val="00671AD5"/>
    <w:rsid w:val="00671B3C"/>
    <w:rsid w:val="00671B4C"/>
    <w:rsid w:val="00671C46"/>
    <w:rsid w:val="00671C4E"/>
    <w:rsid w:val="00671C62"/>
    <w:rsid w:val="00671C6D"/>
    <w:rsid w:val="00671DD4"/>
    <w:rsid w:val="00671EEB"/>
    <w:rsid w:val="00671EED"/>
    <w:rsid w:val="00671F81"/>
    <w:rsid w:val="00671FB0"/>
    <w:rsid w:val="00671FC5"/>
    <w:rsid w:val="0067201F"/>
    <w:rsid w:val="0067205E"/>
    <w:rsid w:val="00672153"/>
    <w:rsid w:val="00672184"/>
    <w:rsid w:val="006721A8"/>
    <w:rsid w:val="0067234B"/>
    <w:rsid w:val="0067241A"/>
    <w:rsid w:val="006724B7"/>
    <w:rsid w:val="00672584"/>
    <w:rsid w:val="006726A5"/>
    <w:rsid w:val="006726C7"/>
    <w:rsid w:val="00672779"/>
    <w:rsid w:val="00672810"/>
    <w:rsid w:val="006728A1"/>
    <w:rsid w:val="006728B0"/>
    <w:rsid w:val="006729A3"/>
    <w:rsid w:val="006729B7"/>
    <w:rsid w:val="006729D0"/>
    <w:rsid w:val="00672A7C"/>
    <w:rsid w:val="00672B21"/>
    <w:rsid w:val="00672BAE"/>
    <w:rsid w:val="00672D98"/>
    <w:rsid w:val="00672DC7"/>
    <w:rsid w:val="00672DD9"/>
    <w:rsid w:val="00672E9B"/>
    <w:rsid w:val="00672EB8"/>
    <w:rsid w:val="00672F4B"/>
    <w:rsid w:val="00672FC8"/>
    <w:rsid w:val="00673053"/>
    <w:rsid w:val="006730AB"/>
    <w:rsid w:val="006730B5"/>
    <w:rsid w:val="006730BF"/>
    <w:rsid w:val="006730D8"/>
    <w:rsid w:val="006731A1"/>
    <w:rsid w:val="006732EB"/>
    <w:rsid w:val="0067335C"/>
    <w:rsid w:val="00673461"/>
    <w:rsid w:val="006735FD"/>
    <w:rsid w:val="00673630"/>
    <w:rsid w:val="0067368F"/>
    <w:rsid w:val="006737B7"/>
    <w:rsid w:val="0067389C"/>
    <w:rsid w:val="0067398D"/>
    <w:rsid w:val="00673A5E"/>
    <w:rsid w:val="00673A82"/>
    <w:rsid w:val="00673AFA"/>
    <w:rsid w:val="00673B10"/>
    <w:rsid w:val="00673BD3"/>
    <w:rsid w:val="00673C48"/>
    <w:rsid w:val="00673C7A"/>
    <w:rsid w:val="00673CC7"/>
    <w:rsid w:val="00673CCC"/>
    <w:rsid w:val="00673D4A"/>
    <w:rsid w:val="00673F12"/>
    <w:rsid w:val="0067415D"/>
    <w:rsid w:val="00674186"/>
    <w:rsid w:val="006741B7"/>
    <w:rsid w:val="006742D8"/>
    <w:rsid w:val="006742FF"/>
    <w:rsid w:val="006743E3"/>
    <w:rsid w:val="0067443B"/>
    <w:rsid w:val="006745A3"/>
    <w:rsid w:val="006745CF"/>
    <w:rsid w:val="0067464D"/>
    <w:rsid w:val="006746FE"/>
    <w:rsid w:val="00674726"/>
    <w:rsid w:val="00674795"/>
    <w:rsid w:val="00674887"/>
    <w:rsid w:val="006748EB"/>
    <w:rsid w:val="0067490E"/>
    <w:rsid w:val="00674995"/>
    <w:rsid w:val="0067499C"/>
    <w:rsid w:val="00674A48"/>
    <w:rsid w:val="00674CD0"/>
    <w:rsid w:val="00674D38"/>
    <w:rsid w:val="00674D7D"/>
    <w:rsid w:val="00674DEB"/>
    <w:rsid w:val="00674E1F"/>
    <w:rsid w:val="00674EA0"/>
    <w:rsid w:val="00674ECD"/>
    <w:rsid w:val="00674FB0"/>
    <w:rsid w:val="00675029"/>
    <w:rsid w:val="006750B6"/>
    <w:rsid w:val="00675120"/>
    <w:rsid w:val="00675122"/>
    <w:rsid w:val="0067512D"/>
    <w:rsid w:val="0067515D"/>
    <w:rsid w:val="0067517B"/>
    <w:rsid w:val="0067519D"/>
    <w:rsid w:val="0067523D"/>
    <w:rsid w:val="006752CF"/>
    <w:rsid w:val="00675318"/>
    <w:rsid w:val="00675409"/>
    <w:rsid w:val="00675707"/>
    <w:rsid w:val="0067581F"/>
    <w:rsid w:val="00675A58"/>
    <w:rsid w:val="00675B1E"/>
    <w:rsid w:val="00675B78"/>
    <w:rsid w:val="00675C98"/>
    <w:rsid w:val="00675DBD"/>
    <w:rsid w:val="00675DC3"/>
    <w:rsid w:val="00675E04"/>
    <w:rsid w:val="00675EC3"/>
    <w:rsid w:val="00675EE6"/>
    <w:rsid w:val="00675FFD"/>
    <w:rsid w:val="00676150"/>
    <w:rsid w:val="00676267"/>
    <w:rsid w:val="0067629B"/>
    <w:rsid w:val="006762A0"/>
    <w:rsid w:val="006762EB"/>
    <w:rsid w:val="00676310"/>
    <w:rsid w:val="00676313"/>
    <w:rsid w:val="00676341"/>
    <w:rsid w:val="0067677E"/>
    <w:rsid w:val="006767EB"/>
    <w:rsid w:val="006767FA"/>
    <w:rsid w:val="00676903"/>
    <w:rsid w:val="006769A9"/>
    <w:rsid w:val="00676A54"/>
    <w:rsid w:val="00676A68"/>
    <w:rsid w:val="00676BDE"/>
    <w:rsid w:val="00676C29"/>
    <w:rsid w:val="00676D51"/>
    <w:rsid w:val="00676E4F"/>
    <w:rsid w:val="00676E80"/>
    <w:rsid w:val="00676F13"/>
    <w:rsid w:val="00676F4C"/>
    <w:rsid w:val="00676FBE"/>
    <w:rsid w:val="00676FC4"/>
    <w:rsid w:val="00676FF9"/>
    <w:rsid w:val="0067708E"/>
    <w:rsid w:val="0067719E"/>
    <w:rsid w:val="00677208"/>
    <w:rsid w:val="00677309"/>
    <w:rsid w:val="00677374"/>
    <w:rsid w:val="00677382"/>
    <w:rsid w:val="006773E2"/>
    <w:rsid w:val="00677436"/>
    <w:rsid w:val="0067744E"/>
    <w:rsid w:val="00677464"/>
    <w:rsid w:val="0067752F"/>
    <w:rsid w:val="0067759A"/>
    <w:rsid w:val="006775A3"/>
    <w:rsid w:val="006775A7"/>
    <w:rsid w:val="006776B7"/>
    <w:rsid w:val="0067771F"/>
    <w:rsid w:val="006777D6"/>
    <w:rsid w:val="00677836"/>
    <w:rsid w:val="00677857"/>
    <w:rsid w:val="0067794E"/>
    <w:rsid w:val="006779D5"/>
    <w:rsid w:val="00677B70"/>
    <w:rsid w:val="00677B95"/>
    <w:rsid w:val="00677C59"/>
    <w:rsid w:val="00677C85"/>
    <w:rsid w:val="00677C93"/>
    <w:rsid w:val="00677CD5"/>
    <w:rsid w:val="00677CDC"/>
    <w:rsid w:val="00677D7A"/>
    <w:rsid w:val="00677D91"/>
    <w:rsid w:val="00677DC0"/>
    <w:rsid w:val="00677E5E"/>
    <w:rsid w:val="00677E79"/>
    <w:rsid w:val="00677EBA"/>
    <w:rsid w:val="00677EBB"/>
    <w:rsid w:val="006802DA"/>
    <w:rsid w:val="00680420"/>
    <w:rsid w:val="0068042E"/>
    <w:rsid w:val="0068043E"/>
    <w:rsid w:val="006804DD"/>
    <w:rsid w:val="00680540"/>
    <w:rsid w:val="0068059B"/>
    <w:rsid w:val="006805F6"/>
    <w:rsid w:val="00680647"/>
    <w:rsid w:val="00680666"/>
    <w:rsid w:val="006806D1"/>
    <w:rsid w:val="00680768"/>
    <w:rsid w:val="0068079B"/>
    <w:rsid w:val="006807F0"/>
    <w:rsid w:val="00680833"/>
    <w:rsid w:val="00680895"/>
    <w:rsid w:val="006808CB"/>
    <w:rsid w:val="006808D4"/>
    <w:rsid w:val="00680962"/>
    <w:rsid w:val="006809AD"/>
    <w:rsid w:val="00680B0A"/>
    <w:rsid w:val="00680BA5"/>
    <w:rsid w:val="00680DD5"/>
    <w:rsid w:val="00680DDB"/>
    <w:rsid w:val="00680EA0"/>
    <w:rsid w:val="00680EF0"/>
    <w:rsid w:val="00680F4D"/>
    <w:rsid w:val="00680F8A"/>
    <w:rsid w:val="00680FC9"/>
    <w:rsid w:val="00681058"/>
    <w:rsid w:val="00681067"/>
    <w:rsid w:val="00681118"/>
    <w:rsid w:val="0068127D"/>
    <w:rsid w:val="00681377"/>
    <w:rsid w:val="00681398"/>
    <w:rsid w:val="0068158D"/>
    <w:rsid w:val="006815F0"/>
    <w:rsid w:val="006815F1"/>
    <w:rsid w:val="0068161C"/>
    <w:rsid w:val="0068164D"/>
    <w:rsid w:val="006816C7"/>
    <w:rsid w:val="00681850"/>
    <w:rsid w:val="00681967"/>
    <w:rsid w:val="006819B4"/>
    <w:rsid w:val="00681A56"/>
    <w:rsid w:val="00681B48"/>
    <w:rsid w:val="00681C78"/>
    <w:rsid w:val="00681CFC"/>
    <w:rsid w:val="00681D1B"/>
    <w:rsid w:val="00681E8F"/>
    <w:rsid w:val="00682040"/>
    <w:rsid w:val="0068215A"/>
    <w:rsid w:val="00682597"/>
    <w:rsid w:val="0068263C"/>
    <w:rsid w:val="00682695"/>
    <w:rsid w:val="0068271B"/>
    <w:rsid w:val="00682818"/>
    <w:rsid w:val="00682896"/>
    <w:rsid w:val="00682A2E"/>
    <w:rsid w:val="00682A56"/>
    <w:rsid w:val="00682A73"/>
    <w:rsid w:val="00682B24"/>
    <w:rsid w:val="00682B5E"/>
    <w:rsid w:val="00682BAF"/>
    <w:rsid w:val="00682BD4"/>
    <w:rsid w:val="00682BF6"/>
    <w:rsid w:val="00682C86"/>
    <w:rsid w:val="00682CEB"/>
    <w:rsid w:val="00682D05"/>
    <w:rsid w:val="00682D94"/>
    <w:rsid w:val="00682E8D"/>
    <w:rsid w:val="00682E9F"/>
    <w:rsid w:val="00682ECC"/>
    <w:rsid w:val="00682F0B"/>
    <w:rsid w:val="00682F4D"/>
    <w:rsid w:val="00682F73"/>
    <w:rsid w:val="00682FAC"/>
    <w:rsid w:val="006830A5"/>
    <w:rsid w:val="00683148"/>
    <w:rsid w:val="006831A2"/>
    <w:rsid w:val="00683278"/>
    <w:rsid w:val="0068329C"/>
    <w:rsid w:val="006832B2"/>
    <w:rsid w:val="006832FF"/>
    <w:rsid w:val="00683306"/>
    <w:rsid w:val="0068332B"/>
    <w:rsid w:val="0068338C"/>
    <w:rsid w:val="006833DD"/>
    <w:rsid w:val="00683419"/>
    <w:rsid w:val="00683449"/>
    <w:rsid w:val="006834DF"/>
    <w:rsid w:val="006835C3"/>
    <w:rsid w:val="006836AF"/>
    <w:rsid w:val="006836BC"/>
    <w:rsid w:val="006836EE"/>
    <w:rsid w:val="0068370E"/>
    <w:rsid w:val="006837CF"/>
    <w:rsid w:val="006837E8"/>
    <w:rsid w:val="006838E3"/>
    <w:rsid w:val="0068391F"/>
    <w:rsid w:val="00683A2C"/>
    <w:rsid w:val="00683B85"/>
    <w:rsid w:val="00683B98"/>
    <w:rsid w:val="00683BAD"/>
    <w:rsid w:val="00683C1A"/>
    <w:rsid w:val="00683C33"/>
    <w:rsid w:val="00683C40"/>
    <w:rsid w:val="00683C61"/>
    <w:rsid w:val="00683C89"/>
    <w:rsid w:val="00683C93"/>
    <w:rsid w:val="00683DC1"/>
    <w:rsid w:val="00683EEA"/>
    <w:rsid w:val="00683FE6"/>
    <w:rsid w:val="00684084"/>
    <w:rsid w:val="0068408F"/>
    <w:rsid w:val="006840DC"/>
    <w:rsid w:val="0068415D"/>
    <w:rsid w:val="006841D1"/>
    <w:rsid w:val="006841DA"/>
    <w:rsid w:val="00684330"/>
    <w:rsid w:val="00684343"/>
    <w:rsid w:val="0068434A"/>
    <w:rsid w:val="00684364"/>
    <w:rsid w:val="00684406"/>
    <w:rsid w:val="00684479"/>
    <w:rsid w:val="006844AF"/>
    <w:rsid w:val="006844C8"/>
    <w:rsid w:val="006844CB"/>
    <w:rsid w:val="00684584"/>
    <w:rsid w:val="00684783"/>
    <w:rsid w:val="0068479A"/>
    <w:rsid w:val="006847B5"/>
    <w:rsid w:val="00684823"/>
    <w:rsid w:val="00684842"/>
    <w:rsid w:val="006848D4"/>
    <w:rsid w:val="00684991"/>
    <w:rsid w:val="006849C5"/>
    <w:rsid w:val="006849CD"/>
    <w:rsid w:val="00684A98"/>
    <w:rsid w:val="00684AB3"/>
    <w:rsid w:val="00684AFB"/>
    <w:rsid w:val="00684BE8"/>
    <w:rsid w:val="00684C34"/>
    <w:rsid w:val="00684D6E"/>
    <w:rsid w:val="00684E2B"/>
    <w:rsid w:val="00684E4C"/>
    <w:rsid w:val="00684E7E"/>
    <w:rsid w:val="00684FA9"/>
    <w:rsid w:val="00684FCD"/>
    <w:rsid w:val="00685101"/>
    <w:rsid w:val="0068523C"/>
    <w:rsid w:val="00685353"/>
    <w:rsid w:val="00685422"/>
    <w:rsid w:val="00685448"/>
    <w:rsid w:val="00685476"/>
    <w:rsid w:val="006854A6"/>
    <w:rsid w:val="006855FE"/>
    <w:rsid w:val="00685629"/>
    <w:rsid w:val="00685638"/>
    <w:rsid w:val="006856F5"/>
    <w:rsid w:val="00685733"/>
    <w:rsid w:val="00685780"/>
    <w:rsid w:val="006857C4"/>
    <w:rsid w:val="006858F3"/>
    <w:rsid w:val="00685920"/>
    <w:rsid w:val="00685973"/>
    <w:rsid w:val="00685A5D"/>
    <w:rsid w:val="00685BAA"/>
    <w:rsid w:val="00685C47"/>
    <w:rsid w:val="00685C83"/>
    <w:rsid w:val="00685D52"/>
    <w:rsid w:val="00685D5E"/>
    <w:rsid w:val="00685D6C"/>
    <w:rsid w:val="00685E13"/>
    <w:rsid w:val="00685E44"/>
    <w:rsid w:val="00685F21"/>
    <w:rsid w:val="00685F24"/>
    <w:rsid w:val="00685F29"/>
    <w:rsid w:val="00685FD4"/>
    <w:rsid w:val="00686200"/>
    <w:rsid w:val="0068621B"/>
    <w:rsid w:val="006862D5"/>
    <w:rsid w:val="0068636D"/>
    <w:rsid w:val="00686370"/>
    <w:rsid w:val="00686490"/>
    <w:rsid w:val="00686494"/>
    <w:rsid w:val="0068655D"/>
    <w:rsid w:val="006865B8"/>
    <w:rsid w:val="006865F7"/>
    <w:rsid w:val="00686676"/>
    <w:rsid w:val="006866AB"/>
    <w:rsid w:val="006867FD"/>
    <w:rsid w:val="00686879"/>
    <w:rsid w:val="0068691D"/>
    <w:rsid w:val="0068697A"/>
    <w:rsid w:val="006869C7"/>
    <w:rsid w:val="00686C59"/>
    <w:rsid w:val="00686C6E"/>
    <w:rsid w:val="00686C79"/>
    <w:rsid w:val="00686C8B"/>
    <w:rsid w:val="00686D24"/>
    <w:rsid w:val="00686DF2"/>
    <w:rsid w:val="00686E0F"/>
    <w:rsid w:val="00686E3F"/>
    <w:rsid w:val="00686FF1"/>
    <w:rsid w:val="00687050"/>
    <w:rsid w:val="00687056"/>
    <w:rsid w:val="0068707F"/>
    <w:rsid w:val="00687145"/>
    <w:rsid w:val="00687223"/>
    <w:rsid w:val="00687238"/>
    <w:rsid w:val="006872BB"/>
    <w:rsid w:val="0068738A"/>
    <w:rsid w:val="00687391"/>
    <w:rsid w:val="006873C6"/>
    <w:rsid w:val="006873FF"/>
    <w:rsid w:val="00687484"/>
    <w:rsid w:val="006874C6"/>
    <w:rsid w:val="00687534"/>
    <w:rsid w:val="0068764D"/>
    <w:rsid w:val="0068765F"/>
    <w:rsid w:val="006876CE"/>
    <w:rsid w:val="00687721"/>
    <w:rsid w:val="00687725"/>
    <w:rsid w:val="00687726"/>
    <w:rsid w:val="00687775"/>
    <w:rsid w:val="006877E9"/>
    <w:rsid w:val="00687A19"/>
    <w:rsid w:val="00687A41"/>
    <w:rsid w:val="00687AB4"/>
    <w:rsid w:val="00687ABF"/>
    <w:rsid w:val="00687B31"/>
    <w:rsid w:val="00687B91"/>
    <w:rsid w:val="00687BEB"/>
    <w:rsid w:val="00687C1C"/>
    <w:rsid w:val="00687CA0"/>
    <w:rsid w:val="00687D3E"/>
    <w:rsid w:val="00687E49"/>
    <w:rsid w:val="00687E81"/>
    <w:rsid w:val="00687EAD"/>
    <w:rsid w:val="006900D8"/>
    <w:rsid w:val="0069010D"/>
    <w:rsid w:val="006902BD"/>
    <w:rsid w:val="006902E8"/>
    <w:rsid w:val="00690310"/>
    <w:rsid w:val="00690334"/>
    <w:rsid w:val="0069038F"/>
    <w:rsid w:val="006903BD"/>
    <w:rsid w:val="006903FE"/>
    <w:rsid w:val="006904F6"/>
    <w:rsid w:val="0069071B"/>
    <w:rsid w:val="006908D8"/>
    <w:rsid w:val="006908FC"/>
    <w:rsid w:val="0069091C"/>
    <w:rsid w:val="006909C1"/>
    <w:rsid w:val="00690A37"/>
    <w:rsid w:val="00690A3D"/>
    <w:rsid w:val="00690A5B"/>
    <w:rsid w:val="00690A6B"/>
    <w:rsid w:val="00690BDD"/>
    <w:rsid w:val="00690E38"/>
    <w:rsid w:val="00690E7A"/>
    <w:rsid w:val="00690EA0"/>
    <w:rsid w:val="00690EAC"/>
    <w:rsid w:val="00690EDE"/>
    <w:rsid w:val="00690EF7"/>
    <w:rsid w:val="00690EFE"/>
    <w:rsid w:val="00690F0C"/>
    <w:rsid w:val="00690FCA"/>
    <w:rsid w:val="006910C4"/>
    <w:rsid w:val="0069116D"/>
    <w:rsid w:val="006911D4"/>
    <w:rsid w:val="00691215"/>
    <w:rsid w:val="00691311"/>
    <w:rsid w:val="00691421"/>
    <w:rsid w:val="00691450"/>
    <w:rsid w:val="00691668"/>
    <w:rsid w:val="0069166A"/>
    <w:rsid w:val="006916FB"/>
    <w:rsid w:val="00691772"/>
    <w:rsid w:val="006917B8"/>
    <w:rsid w:val="00691815"/>
    <w:rsid w:val="006919D6"/>
    <w:rsid w:val="00691A93"/>
    <w:rsid w:val="00691AFB"/>
    <w:rsid w:val="00691B21"/>
    <w:rsid w:val="00691B33"/>
    <w:rsid w:val="00691BE3"/>
    <w:rsid w:val="00691C12"/>
    <w:rsid w:val="00691C16"/>
    <w:rsid w:val="00691CED"/>
    <w:rsid w:val="00691DD1"/>
    <w:rsid w:val="00691E0E"/>
    <w:rsid w:val="00691E44"/>
    <w:rsid w:val="00691F66"/>
    <w:rsid w:val="00691F97"/>
    <w:rsid w:val="00691FD3"/>
    <w:rsid w:val="00692105"/>
    <w:rsid w:val="00692199"/>
    <w:rsid w:val="00692456"/>
    <w:rsid w:val="006924C4"/>
    <w:rsid w:val="006924F4"/>
    <w:rsid w:val="0069253B"/>
    <w:rsid w:val="006926AF"/>
    <w:rsid w:val="006926CF"/>
    <w:rsid w:val="00692701"/>
    <w:rsid w:val="00692839"/>
    <w:rsid w:val="006928ED"/>
    <w:rsid w:val="00692A97"/>
    <w:rsid w:val="00692B16"/>
    <w:rsid w:val="00692B77"/>
    <w:rsid w:val="00692C73"/>
    <w:rsid w:val="00692D32"/>
    <w:rsid w:val="00692D69"/>
    <w:rsid w:val="00692DE1"/>
    <w:rsid w:val="00692DFC"/>
    <w:rsid w:val="00692E01"/>
    <w:rsid w:val="00692E17"/>
    <w:rsid w:val="00692E2D"/>
    <w:rsid w:val="00692E6E"/>
    <w:rsid w:val="00692EC6"/>
    <w:rsid w:val="00692F8A"/>
    <w:rsid w:val="0069306F"/>
    <w:rsid w:val="006930DD"/>
    <w:rsid w:val="006930EE"/>
    <w:rsid w:val="006930F3"/>
    <w:rsid w:val="00693136"/>
    <w:rsid w:val="006931D1"/>
    <w:rsid w:val="006931E5"/>
    <w:rsid w:val="006932DA"/>
    <w:rsid w:val="0069343E"/>
    <w:rsid w:val="006934B2"/>
    <w:rsid w:val="006935F7"/>
    <w:rsid w:val="00693615"/>
    <w:rsid w:val="0069367C"/>
    <w:rsid w:val="006936B9"/>
    <w:rsid w:val="006936BA"/>
    <w:rsid w:val="00693796"/>
    <w:rsid w:val="006937A6"/>
    <w:rsid w:val="0069383D"/>
    <w:rsid w:val="00693846"/>
    <w:rsid w:val="00693853"/>
    <w:rsid w:val="0069385E"/>
    <w:rsid w:val="00693895"/>
    <w:rsid w:val="006938A3"/>
    <w:rsid w:val="0069399D"/>
    <w:rsid w:val="006939BF"/>
    <w:rsid w:val="006939CE"/>
    <w:rsid w:val="00693A85"/>
    <w:rsid w:val="00693AF4"/>
    <w:rsid w:val="00693BE6"/>
    <w:rsid w:val="00693C07"/>
    <w:rsid w:val="00693C9D"/>
    <w:rsid w:val="00693DAE"/>
    <w:rsid w:val="00693DD2"/>
    <w:rsid w:val="00693E2F"/>
    <w:rsid w:val="00693E3D"/>
    <w:rsid w:val="00693E5F"/>
    <w:rsid w:val="00693E79"/>
    <w:rsid w:val="00693FA1"/>
    <w:rsid w:val="00693FEF"/>
    <w:rsid w:val="00693FF0"/>
    <w:rsid w:val="0069402D"/>
    <w:rsid w:val="00694077"/>
    <w:rsid w:val="006942A7"/>
    <w:rsid w:val="006942AC"/>
    <w:rsid w:val="00694306"/>
    <w:rsid w:val="0069439E"/>
    <w:rsid w:val="006944C8"/>
    <w:rsid w:val="00694502"/>
    <w:rsid w:val="00694596"/>
    <w:rsid w:val="006945C2"/>
    <w:rsid w:val="006945D1"/>
    <w:rsid w:val="00694634"/>
    <w:rsid w:val="00694650"/>
    <w:rsid w:val="0069466B"/>
    <w:rsid w:val="0069467F"/>
    <w:rsid w:val="006946F8"/>
    <w:rsid w:val="00694761"/>
    <w:rsid w:val="00694959"/>
    <w:rsid w:val="006949F1"/>
    <w:rsid w:val="00694A56"/>
    <w:rsid w:val="00694A58"/>
    <w:rsid w:val="00694C97"/>
    <w:rsid w:val="00694CAD"/>
    <w:rsid w:val="00694CFF"/>
    <w:rsid w:val="00694D70"/>
    <w:rsid w:val="00694E49"/>
    <w:rsid w:val="00694F55"/>
    <w:rsid w:val="00694F56"/>
    <w:rsid w:val="00694FC3"/>
    <w:rsid w:val="00695063"/>
    <w:rsid w:val="006950D5"/>
    <w:rsid w:val="006950F7"/>
    <w:rsid w:val="00695135"/>
    <w:rsid w:val="006951AF"/>
    <w:rsid w:val="00695267"/>
    <w:rsid w:val="006952CE"/>
    <w:rsid w:val="006952EF"/>
    <w:rsid w:val="00695309"/>
    <w:rsid w:val="00695347"/>
    <w:rsid w:val="00695391"/>
    <w:rsid w:val="006954C1"/>
    <w:rsid w:val="0069557B"/>
    <w:rsid w:val="00695662"/>
    <w:rsid w:val="0069566B"/>
    <w:rsid w:val="00695711"/>
    <w:rsid w:val="00695826"/>
    <w:rsid w:val="00695841"/>
    <w:rsid w:val="0069592C"/>
    <w:rsid w:val="00695A0D"/>
    <w:rsid w:val="00695A4A"/>
    <w:rsid w:val="00695AC4"/>
    <w:rsid w:val="00695B0E"/>
    <w:rsid w:val="00695B4E"/>
    <w:rsid w:val="00695BC4"/>
    <w:rsid w:val="00695D9E"/>
    <w:rsid w:val="00695DB3"/>
    <w:rsid w:val="00695E23"/>
    <w:rsid w:val="00695E9D"/>
    <w:rsid w:val="00695EE8"/>
    <w:rsid w:val="00695FCF"/>
    <w:rsid w:val="00695FD7"/>
    <w:rsid w:val="006960EF"/>
    <w:rsid w:val="00696109"/>
    <w:rsid w:val="00696138"/>
    <w:rsid w:val="0069622E"/>
    <w:rsid w:val="00696266"/>
    <w:rsid w:val="006962B5"/>
    <w:rsid w:val="00696318"/>
    <w:rsid w:val="00696366"/>
    <w:rsid w:val="0069638E"/>
    <w:rsid w:val="006963BC"/>
    <w:rsid w:val="00696664"/>
    <w:rsid w:val="00696724"/>
    <w:rsid w:val="00696750"/>
    <w:rsid w:val="00696773"/>
    <w:rsid w:val="0069685B"/>
    <w:rsid w:val="006968A5"/>
    <w:rsid w:val="006968E9"/>
    <w:rsid w:val="00696929"/>
    <w:rsid w:val="006969D2"/>
    <w:rsid w:val="006969FE"/>
    <w:rsid w:val="00696AC3"/>
    <w:rsid w:val="00696B1C"/>
    <w:rsid w:val="00696B94"/>
    <w:rsid w:val="00696C81"/>
    <w:rsid w:val="00696CA9"/>
    <w:rsid w:val="00696D1E"/>
    <w:rsid w:val="00696D6D"/>
    <w:rsid w:val="00696DDE"/>
    <w:rsid w:val="00696E07"/>
    <w:rsid w:val="00696E78"/>
    <w:rsid w:val="00696F67"/>
    <w:rsid w:val="006970AA"/>
    <w:rsid w:val="006970C3"/>
    <w:rsid w:val="00697101"/>
    <w:rsid w:val="00697148"/>
    <w:rsid w:val="006971A7"/>
    <w:rsid w:val="0069725A"/>
    <w:rsid w:val="0069728E"/>
    <w:rsid w:val="00697313"/>
    <w:rsid w:val="0069739A"/>
    <w:rsid w:val="006973AD"/>
    <w:rsid w:val="006973E7"/>
    <w:rsid w:val="00697435"/>
    <w:rsid w:val="0069743E"/>
    <w:rsid w:val="006974AB"/>
    <w:rsid w:val="006974BF"/>
    <w:rsid w:val="00697503"/>
    <w:rsid w:val="006975C3"/>
    <w:rsid w:val="0069765C"/>
    <w:rsid w:val="0069767B"/>
    <w:rsid w:val="0069767C"/>
    <w:rsid w:val="006976C9"/>
    <w:rsid w:val="00697725"/>
    <w:rsid w:val="00697731"/>
    <w:rsid w:val="006977D4"/>
    <w:rsid w:val="006977FA"/>
    <w:rsid w:val="00697810"/>
    <w:rsid w:val="006978B2"/>
    <w:rsid w:val="00697ACF"/>
    <w:rsid w:val="00697AD6"/>
    <w:rsid w:val="00697B0C"/>
    <w:rsid w:val="00697BE0"/>
    <w:rsid w:val="00697C68"/>
    <w:rsid w:val="00697CF7"/>
    <w:rsid w:val="00697D6B"/>
    <w:rsid w:val="00697D91"/>
    <w:rsid w:val="00697DD8"/>
    <w:rsid w:val="00697E4E"/>
    <w:rsid w:val="00697E57"/>
    <w:rsid w:val="00697E9E"/>
    <w:rsid w:val="00697F58"/>
    <w:rsid w:val="00697FEE"/>
    <w:rsid w:val="006A0001"/>
    <w:rsid w:val="006A00E6"/>
    <w:rsid w:val="006A0112"/>
    <w:rsid w:val="006A022B"/>
    <w:rsid w:val="006A02BA"/>
    <w:rsid w:val="006A02ED"/>
    <w:rsid w:val="006A0305"/>
    <w:rsid w:val="006A0339"/>
    <w:rsid w:val="006A034E"/>
    <w:rsid w:val="006A036C"/>
    <w:rsid w:val="006A0422"/>
    <w:rsid w:val="006A042E"/>
    <w:rsid w:val="006A04B5"/>
    <w:rsid w:val="006A04CF"/>
    <w:rsid w:val="006A04FD"/>
    <w:rsid w:val="006A0581"/>
    <w:rsid w:val="006A0681"/>
    <w:rsid w:val="006A070E"/>
    <w:rsid w:val="006A0780"/>
    <w:rsid w:val="006A082A"/>
    <w:rsid w:val="006A0897"/>
    <w:rsid w:val="006A0910"/>
    <w:rsid w:val="006A09BA"/>
    <w:rsid w:val="006A0A98"/>
    <w:rsid w:val="006A0B43"/>
    <w:rsid w:val="006A0B67"/>
    <w:rsid w:val="006A0BB5"/>
    <w:rsid w:val="006A0BD7"/>
    <w:rsid w:val="006A0BE8"/>
    <w:rsid w:val="006A0C45"/>
    <w:rsid w:val="006A0DC4"/>
    <w:rsid w:val="006A0DF4"/>
    <w:rsid w:val="006A0E27"/>
    <w:rsid w:val="006A0E29"/>
    <w:rsid w:val="006A0EA9"/>
    <w:rsid w:val="006A0EF4"/>
    <w:rsid w:val="006A0EF8"/>
    <w:rsid w:val="006A0F1D"/>
    <w:rsid w:val="006A0FB1"/>
    <w:rsid w:val="006A0FC0"/>
    <w:rsid w:val="006A0FF7"/>
    <w:rsid w:val="006A1002"/>
    <w:rsid w:val="006A108D"/>
    <w:rsid w:val="006A10D9"/>
    <w:rsid w:val="006A1201"/>
    <w:rsid w:val="006A1239"/>
    <w:rsid w:val="006A127C"/>
    <w:rsid w:val="006A12AA"/>
    <w:rsid w:val="006A1330"/>
    <w:rsid w:val="006A1331"/>
    <w:rsid w:val="006A1398"/>
    <w:rsid w:val="006A148F"/>
    <w:rsid w:val="006A1527"/>
    <w:rsid w:val="006A15A0"/>
    <w:rsid w:val="006A15BD"/>
    <w:rsid w:val="006A1734"/>
    <w:rsid w:val="006A17C2"/>
    <w:rsid w:val="006A1832"/>
    <w:rsid w:val="006A187C"/>
    <w:rsid w:val="006A195C"/>
    <w:rsid w:val="006A19A8"/>
    <w:rsid w:val="006A19EA"/>
    <w:rsid w:val="006A1A5D"/>
    <w:rsid w:val="006A1B6F"/>
    <w:rsid w:val="006A1BAD"/>
    <w:rsid w:val="006A1D13"/>
    <w:rsid w:val="006A1DB5"/>
    <w:rsid w:val="006A1E80"/>
    <w:rsid w:val="006A1F1F"/>
    <w:rsid w:val="006A201A"/>
    <w:rsid w:val="006A2070"/>
    <w:rsid w:val="006A2098"/>
    <w:rsid w:val="006A239D"/>
    <w:rsid w:val="006A2439"/>
    <w:rsid w:val="006A24D4"/>
    <w:rsid w:val="006A24E4"/>
    <w:rsid w:val="006A2559"/>
    <w:rsid w:val="006A25A7"/>
    <w:rsid w:val="006A25EF"/>
    <w:rsid w:val="006A2632"/>
    <w:rsid w:val="006A26F0"/>
    <w:rsid w:val="006A2732"/>
    <w:rsid w:val="006A2902"/>
    <w:rsid w:val="006A2939"/>
    <w:rsid w:val="006A2A22"/>
    <w:rsid w:val="006A2A47"/>
    <w:rsid w:val="006A2AA1"/>
    <w:rsid w:val="006A2B03"/>
    <w:rsid w:val="006A2BC1"/>
    <w:rsid w:val="006A2C1B"/>
    <w:rsid w:val="006A2CA1"/>
    <w:rsid w:val="006A2CF3"/>
    <w:rsid w:val="006A2D00"/>
    <w:rsid w:val="006A2E67"/>
    <w:rsid w:val="006A303D"/>
    <w:rsid w:val="006A304D"/>
    <w:rsid w:val="006A3090"/>
    <w:rsid w:val="006A312B"/>
    <w:rsid w:val="006A31D9"/>
    <w:rsid w:val="006A31FE"/>
    <w:rsid w:val="006A320B"/>
    <w:rsid w:val="006A32EA"/>
    <w:rsid w:val="006A33AF"/>
    <w:rsid w:val="006A33D4"/>
    <w:rsid w:val="006A34A3"/>
    <w:rsid w:val="006A3504"/>
    <w:rsid w:val="006A35B8"/>
    <w:rsid w:val="006A370E"/>
    <w:rsid w:val="006A3734"/>
    <w:rsid w:val="006A37B6"/>
    <w:rsid w:val="006A3815"/>
    <w:rsid w:val="006A392C"/>
    <w:rsid w:val="006A39D0"/>
    <w:rsid w:val="006A3AE3"/>
    <w:rsid w:val="006A3B9D"/>
    <w:rsid w:val="006A3BC2"/>
    <w:rsid w:val="006A3BF3"/>
    <w:rsid w:val="006A3D3E"/>
    <w:rsid w:val="006A3DDF"/>
    <w:rsid w:val="006A3E11"/>
    <w:rsid w:val="006A3F76"/>
    <w:rsid w:val="006A3F84"/>
    <w:rsid w:val="006A3FBC"/>
    <w:rsid w:val="006A3FFB"/>
    <w:rsid w:val="006A409A"/>
    <w:rsid w:val="006A4136"/>
    <w:rsid w:val="006A4148"/>
    <w:rsid w:val="006A417E"/>
    <w:rsid w:val="006A4210"/>
    <w:rsid w:val="006A424E"/>
    <w:rsid w:val="006A426E"/>
    <w:rsid w:val="006A430C"/>
    <w:rsid w:val="006A4383"/>
    <w:rsid w:val="006A43EB"/>
    <w:rsid w:val="006A4438"/>
    <w:rsid w:val="006A4478"/>
    <w:rsid w:val="006A463F"/>
    <w:rsid w:val="006A46BB"/>
    <w:rsid w:val="006A4743"/>
    <w:rsid w:val="006A4747"/>
    <w:rsid w:val="006A4775"/>
    <w:rsid w:val="006A483E"/>
    <w:rsid w:val="006A49AF"/>
    <w:rsid w:val="006A49BA"/>
    <w:rsid w:val="006A49F6"/>
    <w:rsid w:val="006A4A43"/>
    <w:rsid w:val="006A4D57"/>
    <w:rsid w:val="006A4DE4"/>
    <w:rsid w:val="006A4E15"/>
    <w:rsid w:val="006A4EB0"/>
    <w:rsid w:val="006A4F3E"/>
    <w:rsid w:val="006A5026"/>
    <w:rsid w:val="006A5031"/>
    <w:rsid w:val="006A50BD"/>
    <w:rsid w:val="006A50FF"/>
    <w:rsid w:val="006A51DA"/>
    <w:rsid w:val="006A5330"/>
    <w:rsid w:val="006A5353"/>
    <w:rsid w:val="006A539A"/>
    <w:rsid w:val="006A53B1"/>
    <w:rsid w:val="006A5518"/>
    <w:rsid w:val="006A5593"/>
    <w:rsid w:val="006A55E2"/>
    <w:rsid w:val="006A55F4"/>
    <w:rsid w:val="006A55FD"/>
    <w:rsid w:val="006A5613"/>
    <w:rsid w:val="006A5654"/>
    <w:rsid w:val="006A5692"/>
    <w:rsid w:val="006A56B7"/>
    <w:rsid w:val="006A56E2"/>
    <w:rsid w:val="006A571C"/>
    <w:rsid w:val="006A5803"/>
    <w:rsid w:val="006A5830"/>
    <w:rsid w:val="006A5879"/>
    <w:rsid w:val="006A58C1"/>
    <w:rsid w:val="006A59A8"/>
    <w:rsid w:val="006A59AE"/>
    <w:rsid w:val="006A59B9"/>
    <w:rsid w:val="006A59E5"/>
    <w:rsid w:val="006A5A7F"/>
    <w:rsid w:val="006A5C54"/>
    <w:rsid w:val="006A5CFC"/>
    <w:rsid w:val="006A5E09"/>
    <w:rsid w:val="006A5E1C"/>
    <w:rsid w:val="006A5F1C"/>
    <w:rsid w:val="006A603F"/>
    <w:rsid w:val="006A604D"/>
    <w:rsid w:val="006A619C"/>
    <w:rsid w:val="006A624A"/>
    <w:rsid w:val="006A625E"/>
    <w:rsid w:val="006A62C4"/>
    <w:rsid w:val="006A6381"/>
    <w:rsid w:val="006A646D"/>
    <w:rsid w:val="006A64F7"/>
    <w:rsid w:val="006A6509"/>
    <w:rsid w:val="006A65C8"/>
    <w:rsid w:val="006A6640"/>
    <w:rsid w:val="006A66F2"/>
    <w:rsid w:val="006A6714"/>
    <w:rsid w:val="006A6766"/>
    <w:rsid w:val="006A6793"/>
    <w:rsid w:val="006A6832"/>
    <w:rsid w:val="006A6A8B"/>
    <w:rsid w:val="006A6AC2"/>
    <w:rsid w:val="006A6B78"/>
    <w:rsid w:val="006A6BEC"/>
    <w:rsid w:val="006A6D10"/>
    <w:rsid w:val="006A6D1D"/>
    <w:rsid w:val="006A6D96"/>
    <w:rsid w:val="006A6E05"/>
    <w:rsid w:val="006A6E12"/>
    <w:rsid w:val="006A6E25"/>
    <w:rsid w:val="006A6E69"/>
    <w:rsid w:val="006A6F44"/>
    <w:rsid w:val="006A7154"/>
    <w:rsid w:val="006A7161"/>
    <w:rsid w:val="006A729A"/>
    <w:rsid w:val="006A72AA"/>
    <w:rsid w:val="006A72BA"/>
    <w:rsid w:val="006A7395"/>
    <w:rsid w:val="006A73B5"/>
    <w:rsid w:val="006A73D9"/>
    <w:rsid w:val="006A7491"/>
    <w:rsid w:val="006A7498"/>
    <w:rsid w:val="006A7809"/>
    <w:rsid w:val="006A7842"/>
    <w:rsid w:val="006A791E"/>
    <w:rsid w:val="006A7922"/>
    <w:rsid w:val="006A7923"/>
    <w:rsid w:val="006A799E"/>
    <w:rsid w:val="006A7A28"/>
    <w:rsid w:val="006A7B79"/>
    <w:rsid w:val="006A7D05"/>
    <w:rsid w:val="006A7D84"/>
    <w:rsid w:val="006A7E66"/>
    <w:rsid w:val="006A7FA3"/>
    <w:rsid w:val="006A7FAA"/>
    <w:rsid w:val="006B003B"/>
    <w:rsid w:val="006B0087"/>
    <w:rsid w:val="006B0113"/>
    <w:rsid w:val="006B011D"/>
    <w:rsid w:val="006B0158"/>
    <w:rsid w:val="006B018E"/>
    <w:rsid w:val="006B01BA"/>
    <w:rsid w:val="006B01BC"/>
    <w:rsid w:val="006B02D1"/>
    <w:rsid w:val="006B02DB"/>
    <w:rsid w:val="006B0394"/>
    <w:rsid w:val="006B03AA"/>
    <w:rsid w:val="006B03D9"/>
    <w:rsid w:val="006B0545"/>
    <w:rsid w:val="006B055B"/>
    <w:rsid w:val="006B061B"/>
    <w:rsid w:val="006B0827"/>
    <w:rsid w:val="006B0854"/>
    <w:rsid w:val="006B086B"/>
    <w:rsid w:val="006B0958"/>
    <w:rsid w:val="006B0A07"/>
    <w:rsid w:val="006B0A24"/>
    <w:rsid w:val="006B0A94"/>
    <w:rsid w:val="006B0AA6"/>
    <w:rsid w:val="006B0AA9"/>
    <w:rsid w:val="006B0CD4"/>
    <w:rsid w:val="006B0E6D"/>
    <w:rsid w:val="006B0F7C"/>
    <w:rsid w:val="006B0FB3"/>
    <w:rsid w:val="006B102A"/>
    <w:rsid w:val="006B1036"/>
    <w:rsid w:val="006B1065"/>
    <w:rsid w:val="006B1085"/>
    <w:rsid w:val="006B10D0"/>
    <w:rsid w:val="006B10E3"/>
    <w:rsid w:val="006B115C"/>
    <w:rsid w:val="006B127C"/>
    <w:rsid w:val="006B12A4"/>
    <w:rsid w:val="006B12BF"/>
    <w:rsid w:val="006B134F"/>
    <w:rsid w:val="006B151B"/>
    <w:rsid w:val="006B1660"/>
    <w:rsid w:val="006B166D"/>
    <w:rsid w:val="006B17A7"/>
    <w:rsid w:val="006B17FB"/>
    <w:rsid w:val="006B1858"/>
    <w:rsid w:val="006B18BB"/>
    <w:rsid w:val="006B18C5"/>
    <w:rsid w:val="006B19DA"/>
    <w:rsid w:val="006B19EA"/>
    <w:rsid w:val="006B1A1E"/>
    <w:rsid w:val="006B1B52"/>
    <w:rsid w:val="006B1B55"/>
    <w:rsid w:val="006B1C23"/>
    <w:rsid w:val="006B1C4E"/>
    <w:rsid w:val="006B1CA6"/>
    <w:rsid w:val="006B1FC7"/>
    <w:rsid w:val="006B1FE3"/>
    <w:rsid w:val="006B2010"/>
    <w:rsid w:val="006B208D"/>
    <w:rsid w:val="006B216E"/>
    <w:rsid w:val="006B21B9"/>
    <w:rsid w:val="006B2238"/>
    <w:rsid w:val="006B2320"/>
    <w:rsid w:val="006B23DC"/>
    <w:rsid w:val="006B23E3"/>
    <w:rsid w:val="006B2439"/>
    <w:rsid w:val="006B263F"/>
    <w:rsid w:val="006B290A"/>
    <w:rsid w:val="006B2940"/>
    <w:rsid w:val="006B2A21"/>
    <w:rsid w:val="006B2A34"/>
    <w:rsid w:val="006B2A7E"/>
    <w:rsid w:val="006B2A7F"/>
    <w:rsid w:val="006B2AA3"/>
    <w:rsid w:val="006B2ABB"/>
    <w:rsid w:val="006B2ACA"/>
    <w:rsid w:val="006B2B4F"/>
    <w:rsid w:val="006B2C13"/>
    <w:rsid w:val="006B2C8B"/>
    <w:rsid w:val="006B2D0F"/>
    <w:rsid w:val="006B2E59"/>
    <w:rsid w:val="006B2EE7"/>
    <w:rsid w:val="006B2F11"/>
    <w:rsid w:val="006B2F13"/>
    <w:rsid w:val="006B2F66"/>
    <w:rsid w:val="006B2F9E"/>
    <w:rsid w:val="006B30D9"/>
    <w:rsid w:val="006B30E0"/>
    <w:rsid w:val="006B3184"/>
    <w:rsid w:val="006B3188"/>
    <w:rsid w:val="006B3453"/>
    <w:rsid w:val="006B34A2"/>
    <w:rsid w:val="006B34EB"/>
    <w:rsid w:val="006B355F"/>
    <w:rsid w:val="006B3613"/>
    <w:rsid w:val="006B36AB"/>
    <w:rsid w:val="006B3787"/>
    <w:rsid w:val="006B37B9"/>
    <w:rsid w:val="006B3821"/>
    <w:rsid w:val="006B392D"/>
    <w:rsid w:val="006B392F"/>
    <w:rsid w:val="006B39C2"/>
    <w:rsid w:val="006B39C9"/>
    <w:rsid w:val="006B3A4B"/>
    <w:rsid w:val="006B3AD9"/>
    <w:rsid w:val="006B3B25"/>
    <w:rsid w:val="006B3B44"/>
    <w:rsid w:val="006B3B4A"/>
    <w:rsid w:val="006B3BF9"/>
    <w:rsid w:val="006B3C81"/>
    <w:rsid w:val="006B3CDB"/>
    <w:rsid w:val="006B3DFD"/>
    <w:rsid w:val="006B3E1F"/>
    <w:rsid w:val="006B3E32"/>
    <w:rsid w:val="006B3F17"/>
    <w:rsid w:val="006B3F84"/>
    <w:rsid w:val="006B3F8A"/>
    <w:rsid w:val="006B3FCF"/>
    <w:rsid w:val="006B4013"/>
    <w:rsid w:val="006B4028"/>
    <w:rsid w:val="006B4059"/>
    <w:rsid w:val="006B4341"/>
    <w:rsid w:val="006B4359"/>
    <w:rsid w:val="006B4367"/>
    <w:rsid w:val="006B4376"/>
    <w:rsid w:val="006B43CE"/>
    <w:rsid w:val="006B44AF"/>
    <w:rsid w:val="006B44D9"/>
    <w:rsid w:val="006B454D"/>
    <w:rsid w:val="006B4555"/>
    <w:rsid w:val="006B458E"/>
    <w:rsid w:val="006B4595"/>
    <w:rsid w:val="006B45B0"/>
    <w:rsid w:val="006B45E3"/>
    <w:rsid w:val="006B46A7"/>
    <w:rsid w:val="006B4734"/>
    <w:rsid w:val="006B481B"/>
    <w:rsid w:val="006B497A"/>
    <w:rsid w:val="006B49E0"/>
    <w:rsid w:val="006B4AAC"/>
    <w:rsid w:val="006B4B70"/>
    <w:rsid w:val="006B4BAC"/>
    <w:rsid w:val="006B4BB6"/>
    <w:rsid w:val="006B4CC0"/>
    <w:rsid w:val="006B4DC2"/>
    <w:rsid w:val="006B4E34"/>
    <w:rsid w:val="006B4EC9"/>
    <w:rsid w:val="006B50A6"/>
    <w:rsid w:val="006B50D0"/>
    <w:rsid w:val="006B514F"/>
    <w:rsid w:val="006B51CA"/>
    <w:rsid w:val="006B5406"/>
    <w:rsid w:val="006B5470"/>
    <w:rsid w:val="006B55FD"/>
    <w:rsid w:val="006B5640"/>
    <w:rsid w:val="006B5721"/>
    <w:rsid w:val="006B5727"/>
    <w:rsid w:val="006B5783"/>
    <w:rsid w:val="006B57BC"/>
    <w:rsid w:val="006B5848"/>
    <w:rsid w:val="006B59C0"/>
    <w:rsid w:val="006B5A14"/>
    <w:rsid w:val="006B5A4B"/>
    <w:rsid w:val="006B5A78"/>
    <w:rsid w:val="006B5AC5"/>
    <w:rsid w:val="006B5C64"/>
    <w:rsid w:val="006B5C9D"/>
    <w:rsid w:val="006B5CCF"/>
    <w:rsid w:val="006B5D17"/>
    <w:rsid w:val="006B5D4F"/>
    <w:rsid w:val="006B5D93"/>
    <w:rsid w:val="006B5DCE"/>
    <w:rsid w:val="006B5E07"/>
    <w:rsid w:val="006B5ECA"/>
    <w:rsid w:val="006B60A1"/>
    <w:rsid w:val="006B60CF"/>
    <w:rsid w:val="006B613E"/>
    <w:rsid w:val="006B6175"/>
    <w:rsid w:val="006B618E"/>
    <w:rsid w:val="006B61A5"/>
    <w:rsid w:val="006B6278"/>
    <w:rsid w:val="006B6284"/>
    <w:rsid w:val="006B63A6"/>
    <w:rsid w:val="006B64D6"/>
    <w:rsid w:val="006B64FD"/>
    <w:rsid w:val="006B650D"/>
    <w:rsid w:val="006B65E0"/>
    <w:rsid w:val="006B6614"/>
    <w:rsid w:val="006B66C2"/>
    <w:rsid w:val="006B66C3"/>
    <w:rsid w:val="006B67F1"/>
    <w:rsid w:val="006B6884"/>
    <w:rsid w:val="006B68F9"/>
    <w:rsid w:val="006B6929"/>
    <w:rsid w:val="006B698C"/>
    <w:rsid w:val="006B69B0"/>
    <w:rsid w:val="006B69C3"/>
    <w:rsid w:val="006B6A5D"/>
    <w:rsid w:val="006B6A8C"/>
    <w:rsid w:val="006B6AF3"/>
    <w:rsid w:val="006B6C00"/>
    <w:rsid w:val="006B6CAB"/>
    <w:rsid w:val="006B6D44"/>
    <w:rsid w:val="006B70CD"/>
    <w:rsid w:val="006B70E5"/>
    <w:rsid w:val="006B70FE"/>
    <w:rsid w:val="006B717C"/>
    <w:rsid w:val="006B721D"/>
    <w:rsid w:val="006B72BB"/>
    <w:rsid w:val="006B72D3"/>
    <w:rsid w:val="006B73D9"/>
    <w:rsid w:val="006B7464"/>
    <w:rsid w:val="006B75B1"/>
    <w:rsid w:val="006B767C"/>
    <w:rsid w:val="006B7695"/>
    <w:rsid w:val="006B777E"/>
    <w:rsid w:val="006B7850"/>
    <w:rsid w:val="006B7977"/>
    <w:rsid w:val="006B7A11"/>
    <w:rsid w:val="006B7B48"/>
    <w:rsid w:val="006B7BA8"/>
    <w:rsid w:val="006B7BF0"/>
    <w:rsid w:val="006B7BF5"/>
    <w:rsid w:val="006B7CAC"/>
    <w:rsid w:val="006B7E09"/>
    <w:rsid w:val="006B7E92"/>
    <w:rsid w:val="006B7F50"/>
    <w:rsid w:val="006C001B"/>
    <w:rsid w:val="006C01C8"/>
    <w:rsid w:val="006C029B"/>
    <w:rsid w:val="006C0302"/>
    <w:rsid w:val="006C033E"/>
    <w:rsid w:val="006C0505"/>
    <w:rsid w:val="006C051F"/>
    <w:rsid w:val="006C052E"/>
    <w:rsid w:val="006C05F5"/>
    <w:rsid w:val="006C066E"/>
    <w:rsid w:val="006C06DC"/>
    <w:rsid w:val="006C075A"/>
    <w:rsid w:val="006C075B"/>
    <w:rsid w:val="006C079D"/>
    <w:rsid w:val="006C07AE"/>
    <w:rsid w:val="006C07D9"/>
    <w:rsid w:val="006C07F1"/>
    <w:rsid w:val="006C08D0"/>
    <w:rsid w:val="006C08D3"/>
    <w:rsid w:val="006C0A40"/>
    <w:rsid w:val="006C0A81"/>
    <w:rsid w:val="006C0AB4"/>
    <w:rsid w:val="006C0C58"/>
    <w:rsid w:val="006C0C67"/>
    <w:rsid w:val="006C0D51"/>
    <w:rsid w:val="006C0E59"/>
    <w:rsid w:val="006C1005"/>
    <w:rsid w:val="006C1083"/>
    <w:rsid w:val="006C10DC"/>
    <w:rsid w:val="006C1376"/>
    <w:rsid w:val="006C1500"/>
    <w:rsid w:val="006C1518"/>
    <w:rsid w:val="006C16DE"/>
    <w:rsid w:val="006C1724"/>
    <w:rsid w:val="006C1752"/>
    <w:rsid w:val="006C1777"/>
    <w:rsid w:val="006C17E2"/>
    <w:rsid w:val="006C1987"/>
    <w:rsid w:val="006C19ED"/>
    <w:rsid w:val="006C1A86"/>
    <w:rsid w:val="006C1B22"/>
    <w:rsid w:val="006C1BC6"/>
    <w:rsid w:val="006C1BF2"/>
    <w:rsid w:val="006C1CDB"/>
    <w:rsid w:val="006C1CF4"/>
    <w:rsid w:val="006C1D26"/>
    <w:rsid w:val="006C1D3C"/>
    <w:rsid w:val="006C1D9F"/>
    <w:rsid w:val="006C1DAF"/>
    <w:rsid w:val="006C1E08"/>
    <w:rsid w:val="006C1E90"/>
    <w:rsid w:val="006C1FA5"/>
    <w:rsid w:val="006C2011"/>
    <w:rsid w:val="006C20FE"/>
    <w:rsid w:val="006C2122"/>
    <w:rsid w:val="006C2140"/>
    <w:rsid w:val="006C21D8"/>
    <w:rsid w:val="006C223F"/>
    <w:rsid w:val="006C225B"/>
    <w:rsid w:val="006C230B"/>
    <w:rsid w:val="006C2321"/>
    <w:rsid w:val="006C2406"/>
    <w:rsid w:val="006C2438"/>
    <w:rsid w:val="006C2475"/>
    <w:rsid w:val="006C24A5"/>
    <w:rsid w:val="006C24D9"/>
    <w:rsid w:val="006C25C9"/>
    <w:rsid w:val="006C25FB"/>
    <w:rsid w:val="006C296D"/>
    <w:rsid w:val="006C299B"/>
    <w:rsid w:val="006C2A9E"/>
    <w:rsid w:val="006C2C21"/>
    <w:rsid w:val="006C2CFE"/>
    <w:rsid w:val="006C2D3D"/>
    <w:rsid w:val="006C2DFF"/>
    <w:rsid w:val="006C2EB9"/>
    <w:rsid w:val="006C2F4B"/>
    <w:rsid w:val="006C2F76"/>
    <w:rsid w:val="006C2FF4"/>
    <w:rsid w:val="006C303C"/>
    <w:rsid w:val="006C303F"/>
    <w:rsid w:val="006C3099"/>
    <w:rsid w:val="006C3183"/>
    <w:rsid w:val="006C3202"/>
    <w:rsid w:val="006C3207"/>
    <w:rsid w:val="006C321B"/>
    <w:rsid w:val="006C33C3"/>
    <w:rsid w:val="006C340D"/>
    <w:rsid w:val="006C3455"/>
    <w:rsid w:val="006C3538"/>
    <w:rsid w:val="006C353B"/>
    <w:rsid w:val="006C3555"/>
    <w:rsid w:val="006C35B9"/>
    <w:rsid w:val="006C35CC"/>
    <w:rsid w:val="006C3605"/>
    <w:rsid w:val="006C360A"/>
    <w:rsid w:val="006C36EB"/>
    <w:rsid w:val="006C3725"/>
    <w:rsid w:val="006C386D"/>
    <w:rsid w:val="006C3886"/>
    <w:rsid w:val="006C3B0F"/>
    <w:rsid w:val="006C3B53"/>
    <w:rsid w:val="006C3C15"/>
    <w:rsid w:val="006C3D52"/>
    <w:rsid w:val="006C3DD8"/>
    <w:rsid w:val="006C3DF6"/>
    <w:rsid w:val="006C3E03"/>
    <w:rsid w:val="006C3E1F"/>
    <w:rsid w:val="006C3FC3"/>
    <w:rsid w:val="006C3FDC"/>
    <w:rsid w:val="006C4007"/>
    <w:rsid w:val="006C4025"/>
    <w:rsid w:val="006C40F3"/>
    <w:rsid w:val="006C41C5"/>
    <w:rsid w:val="006C42C7"/>
    <w:rsid w:val="006C4312"/>
    <w:rsid w:val="006C435A"/>
    <w:rsid w:val="006C435C"/>
    <w:rsid w:val="006C4367"/>
    <w:rsid w:val="006C43CC"/>
    <w:rsid w:val="006C468C"/>
    <w:rsid w:val="006C47D3"/>
    <w:rsid w:val="006C47F3"/>
    <w:rsid w:val="006C4815"/>
    <w:rsid w:val="006C4830"/>
    <w:rsid w:val="006C48B0"/>
    <w:rsid w:val="006C4960"/>
    <w:rsid w:val="006C4A5B"/>
    <w:rsid w:val="006C4A90"/>
    <w:rsid w:val="006C4AA4"/>
    <w:rsid w:val="006C4B1C"/>
    <w:rsid w:val="006C4B72"/>
    <w:rsid w:val="006C4BDF"/>
    <w:rsid w:val="006C4BED"/>
    <w:rsid w:val="006C4CBB"/>
    <w:rsid w:val="006C4CD7"/>
    <w:rsid w:val="006C4D01"/>
    <w:rsid w:val="006C4D30"/>
    <w:rsid w:val="006C4D6F"/>
    <w:rsid w:val="006C4D83"/>
    <w:rsid w:val="006C4E06"/>
    <w:rsid w:val="006C4EFE"/>
    <w:rsid w:val="006C4FED"/>
    <w:rsid w:val="006C504A"/>
    <w:rsid w:val="006C504F"/>
    <w:rsid w:val="006C5052"/>
    <w:rsid w:val="006C50FE"/>
    <w:rsid w:val="006C5184"/>
    <w:rsid w:val="006C51C5"/>
    <w:rsid w:val="006C52AC"/>
    <w:rsid w:val="006C5310"/>
    <w:rsid w:val="006C5312"/>
    <w:rsid w:val="006C532B"/>
    <w:rsid w:val="006C551C"/>
    <w:rsid w:val="006C56A3"/>
    <w:rsid w:val="006C57DF"/>
    <w:rsid w:val="006C57F8"/>
    <w:rsid w:val="006C5919"/>
    <w:rsid w:val="006C5A23"/>
    <w:rsid w:val="006C5AF5"/>
    <w:rsid w:val="006C5B9B"/>
    <w:rsid w:val="006C5BCD"/>
    <w:rsid w:val="006C5C4D"/>
    <w:rsid w:val="006C5C6B"/>
    <w:rsid w:val="006C5D8D"/>
    <w:rsid w:val="006C5DCC"/>
    <w:rsid w:val="006C5DDE"/>
    <w:rsid w:val="006C5E4C"/>
    <w:rsid w:val="006C61C0"/>
    <w:rsid w:val="006C623D"/>
    <w:rsid w:val="006C62EF"/>
    <w:rsid w:val="006C632B"/>
    <w:rsid w:val="006C6330"/>
    <w:rsid w:val="006C6421"/>
    <w:rsid w:val="006C6477"/>
    <w:rsid w:val="006C64AF"/>
    <w:rsid w:val="006C64DF"/>
    <w:rsid w:val="006C6533"/>
    <w:rsid w:val="006C6540"/>
    <w:rsid w:val="006C655B"/>
    <w:rsid w:val="006C656A"/>
    <w:rsid w:val="006C659E"/>
    <w:rsid w:val="006C66BC"/>
    <w:rsid w:val="006C67DE"/>
    <w:rsid w:val="006C6818"/>
    <w:rsid w:val="006C69FB"/>
    <w:rsid w:val="006C6AFF"/>
    <w:rsid w:val="006C6B29"/>
    <w:rsid w:val="006C6B2A"/>
    <w:rsid w:val="006C6C82"/>
    <w:rsid w:val="006C6C85"/>
    <w:rsid w:val="006C6CBA"/>
    <w:rsid w:val="006C6CEA"/>
    <w:rsid w:val="006C6DD5"/>
    <w:rsid w:val="006C6F4C"/>
    <w:rsid w:val="006C6F5A"/>
    <w:rsid w:val="006C70D9"/>
    <w:rsid w:val="006C71D5"/>
    <w:rsid w:val="006C72DF"/>
    <w:rsid w:val="006C738C"/>
    <w:rsid w:val="006C7495"/>
    <w:rsid w:val="006C753D"/>
    <w:rsid w:val="006C7595"/>
    <w:rsid w:val="006C75AA"/>
    <w:rsid w:val="006C7751"/>
    <w:rsid w:val="006C77FF"/>
    <w:rsid w:val="006C78FE"/>
    <w:rsid w:val="006C7980"/>
    <w:rsid w:val="006C7A51"/>
    <w:rsid w:val="006C7AB3"/>
    <w:rsid w:val="006C7AD5"/>
    <w:rsid w:val="006C7B0B"/>
    <w:rsid w:val="006C7BBC"/>
    <w:rsid w:val="006C7BE4"/>
    <w:rsid w:val="006C7C1C"/>
    <w:rsid w:val="006C7DA9"/>
    <w:rsid w:val="006C7E27"/>
    <w:rsid w:val="006C7E5C"/>
    <w:rsid w:val="006C7EB0"/>
    <w:rsid w:val="006C7F1C"/>
    <w:rsid w:val="006C7F9C"/>
    <w:rsid w:val="006C7FAF"/>
    <w:rsid w:val="006C7FEF"/>
    <w:rsid w:val="006D0021"/>
    <w:rsid w:val="006D00C3"/>
    <w:rsid w:val="006D00C4"/>
    <w:rsid w:val="006D00E7"/>
    <w:rsid w:val="006D0180"/>
    <w:rsid w:val="006D02FA"/>
    <w:rsid w:val="006D0390"/>
    <w:rsid w:val="006D0459"/>
    <w:rsid w:val="006D04A9"/>
    <w:rsid w:val="006D0519"/>
    <w:rsid w:val="006D0532"/>
    <w:rsid w:val="006D0544"/>
    <w:rsid w:val="006D0597"/>
    <w:rsid w:val="006D05C7"/>
    <w:rsid w:val="006D0676"/>
    <w:rsid w:val="006D069C"/>
    <w:rsid w:val="006D06C4"/>
    <w:rsid w:val="006D06FC"/>
    <w:rsid w:val="006D0742"/>
    <w:rsid w:val="006D0791"/>
    <w:rsid w:val="006D07A1"/>
    <w:rsid w:val="006D07B7"/>
    <w:rsid w:val="006D07CC"/>
    <w:rsid w:val="006D095D"/>
    <w:rsid w:val="006D09D8"/>
    <w:rsid w:val="006D0C43"/>
    <w:rsid w:val="006D0C7B"/>
    <w:rsid w:val="006D0C91"/>
    <w:rsid w:val="006D0CE3"/>
    <w:rsid w:val="006D0CE5"/>
    <w:rsid w:val="006D1062"/>
    <w:rsid w:val="006D10DF"/>
    <w:rsid w:val="006D112E"/>
    <w:rsid w:val="006D1177"/>
    <w:rsid w:val="006D1189"/>
    <w:rsid w:val="006D11F5"/>
    <w:rsid w:val="006D129C"/>
    <w:rsid w:val="006D12D1"/>
    <w:rsid w:val="006D13FE"/>
    <w:rsid w:val="006D148D"/>
    <w:rsid w:val="006D1638"/>
    <w:rsid w:val="006D1699"/>
    <w:rsid w:val="006D16A4"/>
    <w:rsid w:val="006D16E2"/>
    <w:rsid w:val="006D16EE"/>
    <w:rsid w:val="006D16FE"/>
    <w:rsid w:val="006D17D8"/>
    <w:rsid w:val="006D1928"/>
    <w:rsid w:val="006D193A"/>
    <w:rsid w:val="006D193B"/>
    <w:rsid w:val="006D1A23"/>
    <w:rsid w:val="006D1A81"/>
    <w:rsid w:val="006D1ABB"/>
    <w:rsid w:val="006D1BB1"/>
    <w:rsid w:val="006D1C40"/>
    <w:rsid w:val="006D1CEF"/>
    <w:rsid w:val="006D1E6A"/>
    <w:rsid w:val="006D1E6B"/>
    <w:rsid w:val="006D1ECD"/>
    <w:rsid w:val="006D1F31"/>
    <w:rsid w:val="006D1FA4"/>
    <w:rsid w:val="006D1FCE"/>
    <w:rsid w:val="006D204E"/>
    <w:rsid w:val="006D20E0"/>
    <w:rsid w:val="006D2206"/>
    <w:rsid w:val="006D221A"/>
    <w:rsid w:val="006D2249"/>
    <w:rsid w:val="006D22FC"/>
    <w:rsid w:val="006D2336"/>
    <w:rsid w:val="006D244E"/>
    <w:rsid w:val="006D25E4"/>
    <w:rsid w:val="006D264D"/>
    <w:rsid w:val="006D26E5"/>
    <w:rsid w:val="006D273D"/>
    <w:rsid w:val="006D2876"/>
    <w:rsid w:val="006D28E4"/>
    <w:rsid w:val="006D2958"/>
    <w:rsid w:val="006D29C0"/>
    <w:rsid w:val="006D2A56"/>
    <w:rsid w:val="006D2AF7"/>
    <w:rsid w:val="006D2B0D"/>
    <w:rsid w:val="006D2CBD"/>
    <w:rsid w:val="006D2D02"/>
    <w:rsid w:val="006D2E0D"/>
    <w:rsid w:val="006D2E99"/>
    <w:rsid w:val="006D2EC9"/>
    <w:rsid w:val="006D2F23"/>
    <w:rsid w:val="006D2F3B"/>
    <w:rsid w:val="006D2FB6"/>
    <w:rsid w:val="006D2FD4"/>
    <w:rsid w:val="006D2FE3"/>
    <w:rsid w:val="006D2FF0"/>
    <w:rsid w:val="006D3049"/>
    <w:rsid w:val="006D30F0"/>
    <w:rsid w:val="006D31E4"/>
    <w:rsid w:val="006D331E"/>
    <w:rsid w:val="006D333B"/>
    <w:rsid w:val="006D34B7"/>
    <w:rsid w:val="006D3503"/>
    <w:rsid w:val="006D359C"/>
    <w:rsid w:val="006D36A4"/>
    <w:rsid w:val="006D37D2"/>
    <w:rsid w:val="006D386D"/>
    <w:rsid w:val="006D38B6"/>
    <w:rsid w:val="006D3920"/>
    <w:rsid w:val="006D3A32"/>
    <w:rsid w:val="006D3A93"/>
    <w:rsid w:val="006D3ABC"/>
    <w:rsid w:val="006D3B93"/>
    <w:rsid w:val="006D3BB1"/>
    <w:rsid w:val="006D3CB7"/>
    <w:rsid w:val="006D3CEC"/>
    <w:rsid w:val="006D3E0C"/>
    <w:rsid w:val="006D3FB2"/>
    <w:rsid w:val="006D3FB9"/>
    <w:rsid w:val="006D400A"/>
    <w:rsid w:val="006D40AB"/>
    <w:rsid w:val="006D4182"/>
    <w:rsid w:val="006D4222"/>
    <w:rsid w:val="006D4257"/>
    <w:rsid w:val="006D4324"/>
    <w:rsid w:val="006D43B7"/>
    <w:rsid w:val="006D43FF"/>
    <w:rsid w:val="006D4428"/>
    <w:rsid w:val="006D44A1"/>
    <w:rsid w:val="006D45A9"/>
    <w:rsid w:val="006D45B1"/>
    <w:rsid w:val="006D461C"/>
    <w:rsid w:val="006D4651"/>
    <w:rsid w:val="006D4690"/>
    <w:rsid w:val="006D46FE"/>
    <w:rsid w:val="006D474C"/>
    <w:rsid w:val="006D47CD"/>
    <w:rsid w:val="006D481C"/>
    <w:rsid w:val="006D49E2"/>
    <w:rsid w:val="006D4A67"/>
    <w:rsid w:val="006D4BC6"/>
    <w:rsid w:val="006D4BCD"/>
    <w:rsid w:val="006D4C15"/>
    <w:rsid w:val="006D4C5F"/>
    <w:rsid w:val="006D4C9B"/>
    <w:rsid w:val="006D4E71"/>
    <w:rsid w:val="006D4E99"/>
    <w:rsid w:val="006D50C5"/>
    <w:rsid w:val="006D5159"/>
    <w:rsid w:val="006D51B6"/>
    <w:rsid w:val="006D530B"/>
    <w:rsid w:val="006D5355"/>
    <w:rsid w:val="006D5358"/>
    <w:rsid w:val="006D53F2"/>
    <w:rsid w:val="006D549A"/>
    <w:rsid w:val="006D553F"/>
    <w:rsid w:val="006D5694"/>
    <w:rsid w:val="006D56D5"/>
    <w:rsid w:val="006D57B2"/>
    <w:rsid w:val="006D57B5"/>
    <w:rsid w:val="006D59D5"/>
    <w:rsid w:val="006D59EF"/>
    <w:rsid w:val="006D5A62"/>
    <w:rsid w:val="006D5CB9"/>
    <w:rsid w:val="006D5CFD"/>
    <w:rsid w:val="006D5D09"/>
    <w:rsid w:val="006D5D74"/>
    <w:rsid w:val="006D5D9C"/>
    <w:rsid w:val="006D5E38"/>
    <w:rsid w:val="006D5E62"/>
    <w:rsid w:val="006D5E8A"/>
    <w:rsid w:val="006D5EC0"/>
    <w:rsid w:val="006D5EF8"/>
    <w:rsid w:val="006D5F41"/>
    <w:rsid w:val="006D6054"/>
    <w:rsid w:val="006D60B2"/>
    <w:rsid w:val="006D610C"/>
    <w:rsid w:val="006D613B"/>
    <w:rsid w:val="006D6203"/>
    <w:rsid w:val="006D6254"/>
    <w:rsid w:val="006D6295"/>
    <w:rsid w:val="006D62FD"/>
    <w:rsid w:val="006D6304"/>
    <w:rsid w:val="006D6335"/>
    <w:rsid w:val="006D6357"/>
    <w:rsid w:val="006D643A"/>
    <w:rsid w:val="006D65F6"/>
    <w:rsid w:val="006D68E9"/>
    <w:rsid w:val="006D692E"/>
    <w:rsid w:val="006D6991"/>
    <w:rsid w:val="006D6B53"/>
    <w:rsid w:val="006D6BC4"/>
    <w:rsid w:val="006D6D4F"/>
    <w:rsid w:val="006D6D5D"/>
    <w:rsid w:val="006D6D86"/>
    <w:rsid w:val="006D6E44"/>
    <w:rsid w:val="006D6E8D"/>
    <w:rsid w:val="006D6F2F"/>
    <w:rsid w:val="006D6F85"/>
    <w:rsid w:val="006D7262"/>
    <w:rsid w:val="006D72ED"/>
    <w:rsid w:val="006D7391"/>
    <w:rsid w:val="006D7393"/>
    <w:rsid w:val="006D73AD"/>
    <w:rsid w:val="006D7430"/>
    <w:rsid w:val="006D75AB"/>
    <w:rsid w:val="006D75C0"/>
    <w:rsid w:val="006D7866"/>
    <w:rsid w:val="006D7879"/>
    <w:rsid w:val="006D78A3"/>
    <w:rsid w:val="006D78C8"/>
    <w:rsid w:val="006D78E5"/>
    <w:rsid w:val="006D78FD"/>
    <w:rsid w:val="006D7910"/>
    <w:rsid w:val="006D7923"/>
    <w:rsid w:val="006D7A25"/>
    <w:rsid w:val="006D7A63"/>
    <w:rsid w:val="006D7BD1"/>
    <w:rsid w:val="006D7BD9"/>
    <w:rsid w:val="006D7D00"/>
    <w:rsid w:val="006D7D03"/>
    <w:rsid w:val="006D7D34"/>
    <w:rsid w:val="006D7D77"/>
    <w:rsid w:val="006D7E82"/>
    <w:rsid w:val="006D7F58"/>
    <w:rsid w:val="006E0132"/>
    <w:rsid w:val="006E02EA"/>
    <w:rsid w:val="006E030D"/>
    <w:rsid w:val="006E03A5"/>
    <w:rsid w:val="006E03DA"/>
    <w:rsid w:val="006E0480"/>
    <w:rsid w:val="006E0513"/>
    <w:rsid w:val="006E0547"/>
    <w:rsid w:val="006E05BC"/>
    <w:rsid w:val="006E066D"/>
    <w:rsid w:val="006E07E5"/>
    <w:rsid w:val="006E0825"/>
    <w:rsid w:val="006E0870"/>
    <w:rsid w:val="006E0893"/>
    <w:rsid w:val="006E08DE"/>
    <w:rsid w:val="006E09C4"/>
    <w:rsid w:val="006E0A15"/>
    <w:rsid w:val="006E0AE3"/>
    <w:rsid w:val="006E0BC3"/>
    <w:rsid w:val="006E0C48"/>
    <w:rsid w:val="006E0D03"/>
    <w:rsid w:val="006E0DE5"/>
    <w:rsid w:val="006E0DFE"/>
    <w:rsid w:val="006E1065"/>
    <w:rsid w:val="006E112D"/>
    <w:rsid w:val="006E1142"/>
    <w:rsid w:val="006E1162"/>
    <w:rsid w:val="006E1164"/>
    <w:rsid w:val="006E128C"/>
    <w:rsid w:val="006E128E"/>
    <w:rsid w:val="006E12A6"/>
    <w:rsid w:val="006E12B4"/>
    <w:rsid w:val="006E13DC"/>
    <w:rsid w:val="006E1486"/>
    <w:rsid w:val="006E1559"/>
    <w:rsid w:val="006E162E"/>
    <w:rsid w:val="006E1844"/>
    <w:rsid w:val="006E1868"/>
    <w:rsid w:val="006E1879"/>
    <w:rsid w:val="006E1893"/>
    <w:rsid w:val="006E1907"/>
    <w:rsid w:val="006E1A4A"/>
    <w:rsid w:val="006E1B45"/>
    <w:rsid w:val="006E1C11"/>
    <w:rsid w:val="006E1C54"/>
    <w:rsid w:val="006E1C6F"/>
    <w:rsid w:val="006E1D72"/>
    <w:rsid w:val="006E1F33"/>
    <w:rsid w:val="006E1FDA"/>
    <w:rsid w:val="006E2045"/>
    <w:rsid w:val="006E21E0"/>
    <w:rsid w:val="006E2246"/>
    <w:rsid w:val="006E2341"/>
    <w:rsid w:val="006E242B"/>
    <w:rsid w:val="006E2542"/>
    <w:rsid w:val="006E262F"/>
    <w:rsid w:val="006E2791"/>
    <w:rsid w:val="006E27E8"/>
    <w:rsid w:val="006E2845"/>
    <w:rsid w:val="006E2891"/>
    <w:rsid w:val="006E2995"/>
    <w:rsid w:val="006E2AF6"/>
    <w:rsid w:val="006E2B91"/>
    <w:rsid w:val="006E2BD2"/>
    <w:rsid w:val="006E2CE3"/>
    <w:rsid w:val="006E2D21"/>
    <w:rsid w:val="006E2D2F"/>
    <w:rsid w:val="006E2D49"/>
    <w:rsid w:val="006E2E10"/>
    <w:rsid w:val="006E2EBA"/>
    <w:rsid w:val="006E2EE5"/>
    <w:rsid w:val="006E2F4F"/>
    <w:rsid w:val="006E3019"/>
    <w:rsid w:val="006E3050"/>
    <w:rsid w:val="006E3143"/>
    <w:rsid w:val="006E3145"/>
    <w:rsid w:val="006E319F"/>
    <w:rsid w:val="006E329F"/>
    <w:rsid w:val="006E3417"/>
    <w:rsid w:val="006E346A"/>
    <w:rsid w:val="006E362A"/>
    <w:rsid w:val="006E3724"/>
    <w:rsid w:val="006E372F"/>
    <w:rsid w:val="006E3859"/>
    <w:rsid w:val="006E385C"/>
    <w:rsid w:val="006E38B3"/>
    <w:rsid w:val="006E38F6"/>
    <w:rsid w:val="006E3948"/>
    <w:rsid w:val="006E396B"/>
    <w:rsid w:val="006E3B05"/>
    <w:rsid w:val="006E3BBE"/>
    <w:rsid w:val="006E3C03"/>
    <w:rsid w:val="006E3EEB"/>
    <w:rsid w:val="006E3F58"/>
    <w:rsid w:val="006E4042"/>
    <w:rsid w:val="006E40B2"/>
    <w:rsid w:val="006E4108"/>
    <w:rsid w:val="006E414D"/>
    <w:rsid w:val="006E4192"/>
    <w:rsid w:val="006E41CA"/>
    <w:rsid w:val="006E42E1"/>
    <w:rsid w:val="006E4398"/>
    <w:rsid w:val="006E447D"/>
    <w:rsid w:val="006E44BE"/>
    <w:rsid w:val="006E4664"/>
    <w:rsid w:val="006E4702"/>
    <w:rsid w:val="006E47A2"/>
    <w:rsid w:val="006E48E6"/>
    <w:rsid w:val="006E49F1"/>
    <w:rsid w:val="006E4A4C"/>
    <w:rsid w:val="006E4C11"/>
    <w:rsid w:val="006E4C3B"/>
    <w:rsid w:val="006E4CD5"/>
    <w:rsid w:val="006E4D68"/>
    <w:rsid w:val="006E4D72"/>
    <w:rsid w:val="006E4DCB"/>
    <w:rsid w:val="006E4DDA"/>
    <w:rsid w:val="006E4E16"/>
    <w:rsid w:val="006E4E32"/>
    <w:rsid w:val="006E4EC9"/>
    <w:rsid w:val="006E4FB7"/>
    <w:rsid w:val="006E5129"/>
    <w:rsid w:val="006E5352"/>
    <w:rsid w:val="006E539B"/>
    <w:rsid w:val="006E53B9"/>
    <w:rsid w:val="006E54D7"/>
    <w:rsid w:val="006E5567"/>
    <w:rsid w:val="006E5569"/>
    <w:rsid w:val="006E55AF"/>
    <w:rsid w:val="006E563C"/>
    <w:rsid w:val="006E574D"/>
    <w:rsid w:val="006E57E1"/>
    <w:rsid w:val="006E57FC"/>
    <w:rsid w:val="006E58E8"/>
    <w:rsid w:val="006E5979"/>
    <w:rsid w:val="006E5997"/>
    <w:rsid w:val="006E5ADC"/>
    <w:rsid w:val="006E5B28"/>
    <w:rsid w:val="006E5CD7"/>
    <w:rsid w:val="006E5D1C"/>
    <w:rsid w:val="006E5D78"/>
    <w:rsid w:val="006E5D80"/>
    <w:rsid w:val="006E5ED4"/>
    <w:rsid w:val="006E5F93"/>
    <w:rsid w:val="006E603C"/>
    <w:rsid w:val="006E6097"/>
    <w:rsid w:val="006E60BA"/>
    <w:rsid w:val="006E61AD"/>
    <w:rsid w:val="006E6203"/>
    <w:rsid w:val="006E627E"/>
    <w:rsid w:val="006E62B3"/>
    <w:rsid w:val="006E62D2"/>
    <w:rsid w:val="006E6467"/>
    <w:rsid w:val="006E656B"/>
    <w:rsid w:val="006E65FF"/>
    <w:rsid w:val="006E665D"/>
    <w:rsid w:val="006E6661"/>
    <w:rsid w:val="006E66BD"/>
    <w:rsid w:val="006E6797"/>
    <w:rsid w:val="006E6814"/>
    <w:rsid w:val="006E684E"/>
    <w:rsid w:val="006E688B"/>
    <w:rsid w:val="006E6948"/>
    <w:rsid w:val="006E69B2"/>
    <w:rsid w:val="006E6A6D"/>
    <w:rsid w:val="006E6ABF"/>
    <w:rsid w:val="006E6AFE"/>
    <w:rsid w:val="006E6B66"/>
    <w:rsid w:val="006E6C5E"/>
    <w:rsid w:val="006E6C75"/>
    <w:rsid w:val="006E6CDC"/>
    <w:rsid w:val="006E6D78"/>
    <w:rsid w:val="006E6DD8"/>
    <w:rsid w:val="006E6E58"/>
    <w:rsid w:val="006E6E78"/>
    <w:rsid w:val="006E6F1A"/>
    <w:rsid w:val="006E6F8A"/>
    <w:rsid w:val="006E7120"/>
    <w:rsid w:val="006E717E"/>
    <w:rsid w:val="006E71E8"/>
    <w:rsid w:val="006E7285"/>
    <w:rsid w:val="006E7317"/>
    <w:rsid w:val="006E73C6"/>
    <w:rsid w:val="006E7465"/>
    <w:rsid w:val="006E7477"/>
    <w:rsid w:val="006E74F6"/>
    <w:rsid w:val="006E755C"/>
    <w:rsid w:val="006E75C7"/>
    <w:rsid w:val="006E75CE"/>
    <w:rsid w:val="006E7608"/>
    <w:rsid w:val="006E76DB"/>
    <w:rsid w:val="006E77C1"/>
    <w:rsid w:val="006E783E"/>
    <w:rsid w:val="006E7980"/>
    <w:rsid w:val="006E79FB"/>
    <w:rsid w:val="006E7B1C"/>
    <w:rsid w:val="006E7B2C"/>
    <w:rsid w:val="006E7BC9"/>
    <w:rsid w:val="006E7CDD"/>
    <w:rsid w:val="006E7D2C"/>
    <w:rsid w:val="006E7DE8"/>
    <w:rsid w:val="006E7E34"/>
    <w:rsid w:val="006E7E47"/>
    <w:rsid w:val="006E7F43"/>
    <w:rsid w:val="006E7F46"/>
    <w:rsid w:val="006E7F8C"/>
    <w:rsid w:val="006E7F9D"/>
    <w:rsid w:val="006F0082"/>
    <w:rsid w:val="006F009B"/>
    <w:rsid w:val="006F00E0"/>
    <w:rsid w:val="006F021B"/>
    <w:rsid w:val="006F0260"/>
    <w:rsid w:val="006F0357"/>
    <w:rsid w:val="006F038D"/>
    <w:rsid w:val="006F0396"/>
    <w:rsid w:val="006F04D1"/>
    <w:rsid w:val="006F05A4"/>
    <w:rsid w:val="006F0796"/>
    <w:rsid w:val="006F079D"/>
    <w:rsid w:val="006F0842"/>
    <w:rsid w:val="006F0875"/>
    <w:rsid w:val="006F089D"/>
    <w:rsid w:val="006F08D3"/>
    <w:rsid w:val="006F08FA"/>
    <w:rsid w:val="006F09A1"/>
    <w:rsid w:val="006F09AA"/>
    <w:rsid w:val="006F0A19"/>
    <w:rsid w:val="006F0ABA"/>
    <w:rsid w:val="006F0AF7"/>
    <w:rsid w:val="006F0AFB"/>
    <w:rsid w:val="006F0CB3"/>
    <w:rsid w:val="006F0D74"/>
    <w:rsid w:val="006F0DB1"/>
    <w:rsid w:val="006F0DF9"/>
    <w:rsid w:val="006F0F01"/>
    <w:rsid w:val="006F0F10"/>
    <w:rsid w:val="006F0F5C"/>
    <w:rsid w:val="006F0F5F"/>
    <w:rsid w:val="006F118A"/>
    <w:rsid w:val="006F11E0"/>
    <w:rsid w:val="006F1300"/>
    <w:rsid w:val="006F13A4"/>
    <w:rsid w:val="006F149B"/>
    <w:rsid w:val="006F149F"/>
    <w:rsid w:val="006F14B4"/>
    <w:rsid w:val="006F1520"/>
    <w:rsid w:val="006F15AB"/>
    <w:rsid w:val="006F161C"/>
    <w:rsid w:val="006F17BB"/>
    <w:rsid w:val="006F1912"/>
    <w:rsid w:val="006F19A1"/>
    <w:rsid w:val="006F1AAD"/>
    <w:rsid w:val="006F1BAF"/>
    <w:rsid w:val="006F1CB7"/>
    <w:rsid w:val="006F1D06"/>
    <w:rsid w:val="006F1D3B"/>
    <w:rsid w:val="006F1DEE"/>
    <w:rsid w:val="006F1E78"/>
    <w:rsid w:val="006F1F14"/>
    <w:rsid w:val="006F1F98"/>
    <w:rsid w:val="006F1FB4"/>
    <w:rsid w:val="006F20FA"/>
    <w:rsid w:val="006F2123"/>
    <w:rsid w:val="006F2132"/>
    <w:rsid w:val="006F2223"/>
    <w:rsid w:val="006F225C"/>
    <w:rsid w:val="006F2266"/>
    <w:rsid w:val="006F229C"/>
    <w:rsid w:val="006F2303"/>
    <w:rsid w:val="006F245B"/>
    <w:rsid w:val="006F24C9"/>
    <w:rsid w:val="006F256F"/>
    <w:rsid w:val="006F2650"/>
    <w:rsid w:val="006F2737"/>
    <w:rsid w:val="006F277D"/>
    <w:rsid w:val="006F27AD"/>
    <w:rsid w:val="006F281D"/>
    <w:rsid w:val="006F287B"/>
    <w:rsid w:val="006F2888"/>
    <w:rsid w:val="006F28EF"/>
    <w:rsid w:val="006F28F1"/>
    <w:rsid w:val="006F29A8"/>
    <w:rsid w:val="006F2A1C"/>
    <w:rsid w:val="006F2A6A"/>
    <w:rsid w:val="006F2A8A"/>
    <w:rsid w:val="006F2BA8"/>
    <w:rsid w:val="006F2C2B"/>
    <w:rsid w:val="006F2C9D"/>
    <w:rsid w:val="006F2D17"/>
    <w:rsid w:val="006F2D2B"/>
    <w:rsid w:val="006F2D3C"/>
    <w:rsid w:val="006F2D7A"/>
    <w:rsid w:val="006F2DB5"/>
    <w:rsid w:val="006F2DEA"/>
    <w:rsid w:val="006F2E30"/>
    <w:rsid w:val="006F2F47"/>
    <w:rsid w:val="006F2F70"/>
    <w:rsid w:val="006F2F87"/>
    <w:rsid w:val="006F2FCE"/>
    <w:rsid w:val="006F2FD5"/>
    <w:rsid w:val="006F2FF3"/>
    <w:rsid w:val="006F3085"/>
    <w:rsid w:val="006F308B"/>
    <w:rsid w:val="006F3127"/>
    <w:rsid w:val="006F31DE"/>
    <w:rsid w:val="006F3218"/>
    <w:rsid w:val="006F321F"/>
    <w:rsid w:val="006F323A"/>
    <w:rsid w:val="006F3252"/>
    <w:rsid w:val="006F3295"/>
    <w:rsid w:val="006F32A1"/>
    <w:rsid w:val="006F336C"/>
    <w:rsid w:val="006F33E1"/>
    <w:rsid w:val="006F33EF"/>
    <w:rsid w:val="006F3445"/>
    <w:rsid w:val="006F34FE"/>
    <w:rsid w:val="006F3627"/>
    <w:rsid w:val="006F3746"/>
    <w:rsid w:val="006F3756"/>
    <w:rsid w:val="006F376D"/>
    <w:rsid w:val="006F37D4"/>
    <w:rsid w:val="006F37F5"/>
    <w:rsid w:val="006F3850"/>
    <w:rsid w:val="006F38DB"/>
    <w:rsid w:val="006F38FC"/>
    <w:rsid w:val="006F3A97"/>
    <w:rsid w:val="006F3AD0"/>
    <w:rsid w:val="006F3AF8"/>
    <w:rsid w:val="006F3AFF"/>
    <w:rsid w:val="006F3B4E"/>
    <w:rsid w:val="006F3B70"/>
    <w:rsid w:val="006F3B81"/>
    <w:rsid w:val="006F3D51"/>
    <w:rsid w:val="006F3DB7"/>
    <w:rsid w:val="006F3E96"/>
    <w:rsid w:val="006F3FF9"/>
    <w:rsid w:val="006F4077"/>
    <w:rsid w:val="006F408E"/>
    <w:rsid w:val="006F42A4"/>
    <w:rsid w:val="006F43BC"/>
    <w:rsid w:val="006F447C"/>
    <w:rsid w:val="006F452B"/>
    <w:rsid w:val="006F454B"/>
    <w:rsid w:val="006F470C"/>
    <w:rsid w:val="006F475F"/>
    <w:rsid w:val="006F47A7"/>
    <w:rsid w:val="006F47CF"/>
    <w:rsid w:val="006F488C"/>
    <w:rsid w:val="006F48EA"/>
    <w:rsid w:val="006F4A9D"/>
    <w:rsid w:val="006F4AB0"/>
    <w:rsid w:val="006F4AB5"/>
    <w:rsid w:val="006F4B35"/>
    <w:rsid w:val="006F4B61"/>
    <w:rsid w:val="006F4BBB"/>
    <w:rsid w:val="006F4C2D"/>
    <w:rsid w:val="006F4CB5"/>
    <w:rsid w:val="006F4CBA"/>
    <w:rsid w:val="006F4CCB"/>
    <w:rsid w:val="006F4CCE"/>
    <w:rsid w:val="006F4E5A"/>
    <w:rsid w:val="006F4FB4"/>
    <w:rsid w:val="006F5054"/>
    <w:rsid w:val="006F50E0"/>
    <w:rsid w:val="006F5251"/>
    <w:rsid w:val="006F535A"/>
    <w:rsid w:val="006F53B5"/>
    <w:rsid w:val="006F53EF"/>
    <w:rsid w:val="006F5417"/>
    <w:rsid w:val="006F542F"/>
    <w:rsid w:val="006F547B"/>
    <w:rsid w:val="006F548B"/>
    <w:rsid w:val="006F5510"/>
    <w:rsid w:val="006F5525"/>
    <w:rsid w:val="006F578C"/>
    <w:rsid w:val="006F586D"/>
    <w:rsid w:val="006F5924"/>
    <w:rsid w:val="006F59F3"/>
    <w:rsid w:val="006F5A18"/>
    <w:rsid w:val="006F5C33"/>
    <w:rsid w:val="006F5C4D"/>
    <w:rsid w:val="006F5C7B"/>
    <w:rsid w:val="006F5D36"/>
    <w:rsid w:val="006F5D42"/>
    <w:rsid w:val="006F5D59"/>
    <w:rsid w:val="006F5E31"/>
    <w:rsid w:val="006F5E38"/>
    <w:rsid w:val="006F5E7D"/>
    <w:rsid w:val="006F5EB6"/>
    <w:rsid w:val="006F5EE0"/>
    <w:rsid w:val="006F5F32"/>
    <w:rsid w:val="006F5F5C"/>
    <w:rsid w:val="006F6033"/>
    <w:rsid w:val="006F604C"/>
    <w:rsid w:val="006F60BC"/>
    <w:rsid w:val="006F6158"/>
    <w:rsid w:val="006F61D4"/>
    <w:rsid w:val="006F622A"/>
    <w:rsid w:val="006F6261"/>
    <w:rsid w:val="006F62A9"/>
    <w:rsid w:val="006F641A"/>
    <w:rsid w:val="006F6461"/>
    <w:rsid w:val="006F6483"/>
    <w:rsid w:val="006F6495"/>
    <w:rsid w:val="006F666C"/>
    <w:rsid w:val="006F6786"/>
    <w:rsid w:val="006F67F4"/>
    <w:rsid w:val="006F6822"/>
    <w:rsid w:val="006F686E"/>
    <w:rsid w:val="006F689C"/>
    <w:rsid w:val="006F68C0"/>
    <w:rsid w:val="006F690D"/>
    <w:rsid w:val="006F69DB"/>
    <w:rsid w:val="006F6A46"/>
    <w:rsid w:val="006F6A9E"/>
    <w:rsid w:val="006F6B14"/>
    <w:rsid w:val="006F6B32"/>
    <w:rsid w:val="006F6B78"/>
    <w:rsid w:val="006F6CF9"/>
    <w:rsid w:val="006F6E29"/>
    <w:rsid w:val="006F6E4C"/>
    <w:rsid w:val="006F6E5A"/>
    <w:rsid w:val="006F6E89"/>
    <w:rsid w:val="006F6E93"/>
    <w:rsid w:val="006F6EAB"/>
    <w:rsid w:val="006F6F6B"/>
    <w:rsid w:val="006F6FED"/>
    <w:rsid w:val="006F70F4"/>
    <w:rsid w:val="006F7208"/>
    <w:rsid w:val="006F7212"/>
    <w:rsid w:val="006F7215"/>
    <w:rsid w:val="006F72B8"/>
    <w:rsid w:val="006F72B9"/>
    <w:rsid w:val="006F7418"/>
    <w:rsid w:val="006F753B"/>
    <w:rsid w:val="006F75D2"/>
    <w:rsid w:val="006F75DC"/>
    <w:rsid w:val="006F75E7"/>
    <w:rsid w:val="006F75EE"/>
    <w:rsid w:val="006F76D9"/>
    <w:rsid w:val="006F7772"/>
    <w:rsid w:val="006F7836"/>
    <w:rsid w:val="006F784E"/>
    <w:rsid w:val="006F7883"/>
    <w:rsid w:val="006F7889"/>
    <w:rsid w:val="006F78C4"/>
    <w:rsid w:val="006F78FF"/>
    <w:rsid w:val="006F7AF5"/>
    <w:rsid w:val="006F7B18"/>
    <w:rsid w:val="006F7B6A"/>
    <w:rsid w:val="006F7B6B"/>
    <w:rsid w:val="006F7BCE"/>
    <w:rsid w:val="006F7CD2"/>
    <w:rsid w:val="006F7CEA"/>
    <w:rsid w:val="006F7D05"/>
    <w:rsid w:val="006F7F2C"/>
    <w:rsid w:val="007000E3"/>
    <w:rsid w:val="00700167"/>
    <w:rsid w:val="007001EC"/>
    <w:rsid w:val="007001EE"/>
    <w:rsid w:val="00700208"/>
    <w:rsid w:val="0070022D"/>
    <w:rsid w:val="007003C7"/>
    <w:rsid w:val="0070040C"/>
    <w:rsid w:val="0070048A"/>
    <w:rsid w:val="007004BB"/>
    <w:rsid w:val="007004EC"/>
    <w:rsid w:val="0070057F"/>
    <w:rsid w:val="007005E2"/>
    <w:rsid w:val="007006B1"/>
    <w:rsid w:val="00700700"/>
    <w:rsid w:val="00700733"/>
    <w:rsid w:val="00700794"/>
    <w:rsid w:val="0070096E"/>
    <w:rsid w:val="00700978"/>
    <w:rsid w:val="00700981"/>
    <w:rsid w:val="007009F9"/>
    <w:rsid w:val="00700A3C"/>
    <w:rsid w:val="00700A9F"/>
    <w:rsid w:val="00700AC0"/>
    <w:rsid w:val="00700B0A"/>
    <w:rsid w:val="00700B62"/>
    <w:rsid w:val="00700BE8"/>
    <w:rsid w:val="00700C5A"/>
    <w:rsid w:val="00700C60"/>
    <w:rsid w:val="00700C92"/>
    <w:rsid w:val="00700CC3"/>
    <w:rsid w:val="00700D23"/>
    <w:rsid w:val="00700D87"/>
    <w:rsid w:val="00700DBC"/>
    <w:rsid w:val="00700E70"/>
    <w:rsid w:val="00700E82"/>
    <w:rsid w:val="007010D7"/>
    <w:rsid w:val="0070111D"/>
    <w:rsid w:val="0070116E"/>
    <w:rsid w:val="00701199"/>
    <w:rsid w:val="00701231"/>
    <w:rsid w:val="00701261"/>
    <w:rsid w:val="00701267"/>
    <w:rsid w:val="0070133F"/>
    <w:rsid w:val="0070140A"/>
    <w:rsid w:val="00701470"/>
    <w:rsid w:val="00701481"/>
    <w:rsid w:val="00701676"/>
    <w:rsid w:val="00701726"/>
    <w:rsid w:val="00701728"/>
    <w:rsid w:val="00701779"/>
    <w:rsid w:val="007017A7"/>
    <w:rsid w:val="007017D8"/>
    <w:rsid w:val="007017ED"/>
    <w:rsid w:val="0070182C"/>
    <w:rsid w:val="0070187E"/>
    <w:rsid w:val="00701885"/>
    <w:rsid w:val="0070188E"/>
    <w:rsid w:val="007018D1"/>
    <w:rsid w:val="007018D6"/>
    <w:rsid w:val="0070190E"/>
    <w:rsid w:val="007019B6"/>
    <w:rsid w:val="00701A1C"/>
    <w:rsid w:val="00701A5B"/>
    <w:rsid w:val="00701B11"/>
    <w:rsid w:val="00701C5F"/>
    <w:rsid w:val="00701CEF"/>
    <w:rsid w:val="00701DCB"/>
    <w:rsid w:val="00701E07"/>
    <w:rsid w:val="00701E50"/>
    <w:rsid w:val="00701E8D"/>
    <w:rsid w:val="00701E9F"/>
    <w:rsid w:val="00701EE8"/>
    <w:rsid w:val="00701F9A"/>
    <w:rsid w:val="00702014"/>
    <w:rsid w:val="00702047"/>
    <w:rsid w:val="0070207C"/>
    <w:rsid w:val="0070229E"/>
    <w:rsid w:val="007022C6"/>
    <w:rsid w:val="00702304"/>
    <w:rsid w:val="00702450"/>
    <w:rsid w:val="007024A1"/>
    <w:rsid w:val="007024CA"/>
    <w:rsid w:val="007024E9"/>
    <w:rsid w:val="0070252E"/>
    <w:rsid w:val="00702559"/>
    <w:rsid w:val="007025CC"/>
    <w:rsid w:val="007025DB"/>
    <w:rsid w:val="0070262F"/>
    <w:rsid w:val="00702647"/>
    <w:rsid w:val="00702664"/>
    <w:rsid w:val="007026C2"/>
    <w:rsid w:val="007026F1"/>
    <w:rsid w:val="0070270D"/>
    <w:rsid w:val="0070274D"/>
    <w:rsid w:val="0070284A"/>
    <w:rsid w:val="00702907"/>
    <w:rsid w:val="0070290F"/>
    <w:rsid w:val="00702C21"/>
    <w:rsid w:val="00702D18"/>
    <w:rsid w:val="00702D59"/>
    <w:rsid w:val="00702D6A"/>
    <w:rsid w:val="00702D9C"/>
    <w:rsid w:val="00702DDF"/>
    <w:rsid w:val="00702F50"/>
    <w:rsid w:val="00702FC1"/>
    <w:rsid w:val="00703002"/>
    <w:rsid w:val="007030D5"/>
    <w:rsid w:val="0070313F"/>
    <w:rsid w:val="00703283"/>
    <w:rsid w:val="00703290"/>
    <w:rsid w:val="007032D7"/>
    <w:rsid w:val="007033AB"/>
    <w:rsid w:val="007034F3"/>
    <w:rsid w:val="007035D2"/>
    <w:rsid w:val="00703635"/>
    <w:rsid w:val="00703644"/>
    <w:rsid w:val="00703864"/>
    <w:rsid w:val="00703895"/>
    <w:rsid w:val="007038EC"/>
    <w:rsid w:val="00703B04"/>
    <w:rsid w:val="00703B39"/>
    <w:rsid w:val="00703BC8"/>
    <w:rsid w:val="00703BEF"/>
    <w:rsid w:val="00703CBA"/>
    <w:rsid w:val="00703EA2"/>
    <w:rsid w:val="00703F75"/>
    <w:rsid w:val="00703FBB"/>
    <w:rsid w:val="007041B2"/>
    <w:rsid w:val="007042A5"/>
    <w:rsid w:val="007043CB"/>
    <w:rsid w:val="00704661"/>
    <w:rsid w:val="00704681"/>
    <w:rsid w:val="007046ED"/>
    <w:rsid w:val="00704803"/>
    <w:rsid w:val="0070485F"/>
    <w:rsid w:val="007048F1"/>
    <w:rsid w:val="007048F3"/>
    <w:rsid w:val="00704989"/>
    <w:rsid w:val="007049B8"/>
    <w:rsid w:val="007049CD"/>
    <w:rsid w:val="00704ACB"/>
    <w:rsid w:val="00704CC1"/>
    <w:rsid w:val="00704DAA"/>
    <w:rsid w:val="00704DD5"/>
    <w:rsid w:val="00704E5C"/>
    <w:rsid w:val="00704ED8"/>
    <w:rsid w:val="00704F3F"/>
    <w:rsid w:val="00704F9A"/>
    <w:rsid w:val="00704FA5"/>
    <w:rsid w:val="00705049"/>
    <w:rsid w:val="007050DD"/>
    <w:rsid w:val="007051BC"/>
    <w:rsid w:val="007051FB"/>
    <w:rsid w:val="0070529E"/>
    <w:rsid w:val="00705393"/>
    <w:rsid w:val="007053DE"/>
    <w:rsid w:val="00705494"/>
    <w:rsid w:val="00705536"/>
    <w:rsid w:val="007057D8"/>
    <w:rsid w:val="00705865"/>
    <w:rsid w:val="007059BC"/>
    <w:rsid w:val="00705A68"/>
    <w:rsid w:val="00705AE7"/>
    <w:rsid w:val="00705B55"/>
    <w:rsid w:val="00705B9C"/>
    <w:rsid w:val="00705BB6"/>
    <w:rsid w:val="00705C9A"/>
    <w:rsid w:val="00705D05"/>
    <w:rsid w:val="00705D31"/>
    <w:rsid w:val="00705D36"/>
    <w:rsid w:val="00705D44"/>
    <w:rsid w:val="00705EEE"/>
    <w:rsid w:val="00705F85"/>
    <w:rsid w:val="00705FAC"/>
    <w:rsid w:val="00705FF5"/>
    <w:rsid w:val="00705FF9"/>
    <w:rsid w:val="0070609C"/>
    <w:rsid w:val="007060A0"/>
    <w:rsid w:val="007061D5"/>
    <w:rsid w:val="007061E5"/>
    <w:rsid w:val="00706276"/>
    <w:rsid w:val="00706342"/>
    <w:rsid w:val="007063E6"/>
    <w:rsid w:val="007063EF"/>
    <w:rsid w:val="007063FB"/>
    <w:rsid w:val="0070649C"/>
    <w:rsid w:val="007064BD"/>
    <w:rsid w:val="007064F6"/>
    <w:rsid w:val="007065CA"/>
    <w:rsid w:val="00706634"/>
    <w:rsid w:val="00706778"/>
    <w:rsid w:val="007067F4"/>
    <w:rsid w:val="0070689C"/>
    <w:rsid w:val="00706A26"/>
    <w:rsid w:val="00706A4C"/>
    <w:rsid w:val="00706B7A"/>
    <w:rsid w:val="00706BEB"/>
    <w:rsid w:val="00706C77"/>
    <w:rsid w:val="00706DC8"/>
    <w:rsid w:val="00706E11"/>
    <w:rsid w:val="00706E7B"/>
    <w:rsid w:val="00706EA4"/>
    <w:rsid w:val="00706EFE"/>
    <w:rsid w:val="00706FA9"/>
    <w:rsid w:val="00707078"/>
    <w:rsid w:val="007072A1"/>
    <w:rsid w:val="0070734D"/>
    <w:rsid w:val="007075D3"/>
    <w:rsid w:val="00707630"/>
    <w:rsid w:val="00707742"/>
    <w:rsid w:val="00707780"/>
    <w:rsid w:val="00707868"/>
    <w:rsid w:val="007078C0"/>
    <w:rsid w:val="0070798E"/>
    <w:rsid w:val="00707B2D"/>
    <w:rsid w:val="00707CAC"/>
    <w:rsid w:val="00707CEE"/>
    <w:rsid w:val="00707D2A"/>
    <w:rsid w:val="00707D89"/>
    <w:rsid w:val="00707DEA"/>
    <w:rsid w:val="00707E2F"/>
    <w:rsid w:val="00707E63"/>
    <w:rsid w:val="00707F00"/>
    <w:rsid w:val="00707F1C"/>
    <w:rsid w:val="00707F1E"/>
    <w:rsid w:val="00707F45"/>
    <w:rsid w:val="00707FCA"/>
    <w:rsid w:val="007100D1"/>
    <w:rsid w:val="007100DB"/>
    <w:rsid w:val="007100FC"/>
    <w:rsid w:val="00710501"/>
    <w:rsid w:val="00710595"/>
    <w:rsid w:val="007105C2"/>
    <w:rsid w:val="0071060A"/>
    <w:rsid w:val="00710627"/>
    <w:rsid w:val="0071068C"/>
    <w:rsid w:val="00710918"/>
    <w:rsid w:val="00710958"/>
    <w:rsid w:val="007109EA"/>
    <w:rsid w:val="00710A4B"/>
    <w:rsid w:val="00710ACD"/>
    <w:rsid w:val="00710AE7"/>
    <w:rsid w:val="00710AE8"/>
    <w:rsid w:val="00710B13"/>
    <w:rsid w:val="00710C06"/>
    <w:rsid w:val="00710C0A"/>
    <w:rsid w:val="00710C77"/>
    <w:rsid w:val="00710C92"/>
    <w:rsid w:val="00710C99"/>
    <w:rsid w:val="00710D0F"/>
    <w:rsid w:val="00710D8D"/>
    <w:rsid w:val="00710DAA"/>
    <w:rsid w:val="00710E09"/>
    <w:rsid w:val="00710EE6"/>
    <w:rsid w:val="00710F31"/>
    <w:rsid w:val="00710F82"/>
    <w:rsid w:val="00710F9B"/>
    <w:rsid w:val="00710FA1"/>
    <w:rsid w:val="0071109B"/>
    <w:rsid w:val="007110A3"/>
    <w:rsid w:val="00711293"/>
    <w:rsid w:val="00711365"/>
    <w:rsid w:val="00711376"/>
    <w:rsid w:val="0071138A"/>
    <w:rsid w:val="00711393"/>
    <w:rsid w:val="007113A7"/>
    <w:rsid w:val="007113F7"/>
    <w:rsid w:val="0071143E"/>
    <w:rsid w:val="00711480"/>
    <w:rsid w:val="007114D5"/>
    <w:rsid w:val="00711566"/>
    <w:rsid w:val="00711597"/>
    <w:rsid w:val="007115B6"/>
    <w:rsid w:val="007115C4"/>
    <w:rsid w:val="0071163D"/>
    <w:rsid w:val="00711697"/>
    <w:rsid w:val="007116A2"/>
    <w:rsid w:val="007117BE"/>
    <w:rsid w:val="007117E1"/>
    <w:rsid w:val="00711859"/>
    <w:rsid w:val="00711865"/>
    <w:rsid w:val="007118BB"/>
    <w:rsid w:val="007118C2"/>
    <w:rsid w:val="00711969"/>
    <w:rsid w:val="00711992"/>
    <w:rsid w:val="00711A61"/>
    <w:rsid w:val="00711AE2"/>
    <w:rsid w:val="00711B33"/>
    <w:rsid w:val="00711B5E"/>
    <w:rsid w:val="00711B74"/>
    <w:rsid w:val="00711BE0"/>
    <w:rsid w:val="00711C51"/>
    <w:rsid w:val="00711CB6"/>
    <w:rsid w:val="00711CE4"/>
    <w:rsid w:val="00711DA5"/>
    <w:rsid w:val="00711E5B"/>
    <w:rsid w:val="00711EA9"/>
    <w:rsid w:val="00711EBA"/>
    <w:rsid w:val="00711ED1"/>
    <w:rsid w:val="00711F59"/>
    <w:rsid w:val="00711FE6"/>
    <w:rsid w:val="00712065"/>
    <w:rsid w:val="0071212C"/>
    <w:rsid w:val="007121FA"/>
    <w:rsid w:val="0071220C"/>
    <w:rsid w:val="0071226D"/>
    <w:rsid w:val="007122CD"/>
    <w:rsid w:val="007122D2"/>
    <w:rsid w:val="007123FD"/>
    <w:rsid w:val="0071257F"/>
    <w:rsid w:val="007125ED"/>
    <w:rsid w:val="007125F3"/>
    <w:rsid w:val="007127A4"/>
    <w:rsid w:val="007127E5"/>
    <w:rsid w:val="0071282D"/>
    <w:rsid w:val="0071284A"/>
    <w:rsid w:val="00712A55"/>
    <w:rsid w:val="00712A9C"/>
    <w:rsid w:val="00712B19"/>
    <w:rsid w:val="00712B48"/>
    <w:rsid w:val="00712B4E"/>
    <w:rsid w:val="00712BC5"/>
    <w:rsid w:val="00712CD8"/>
    <w:rsid w:val="00712D16"/>
    <w:rsid w:val="00712D68"/>
    <w:rsid w:val="00712EEA"/>
    <w:rsid w:val="00712F80"/>
    <w:rsid w:val="00712FB3"/>
    <w:rsid w:val="0071323E"/>
    <w:rsid w:val="007133B8"/>
    <w:rsid w:val="007133CE"/>
    <w:rsid w:val="007134AB"/>
    <w:rsid w:val="007134DF"/>
    <w:rsid w:val="00713580"/>
    <w:rsid w:val="007135DF"/>
    <w:rsid w:val="007136E7"/>
    <w:rsid w:val="00713723"/>
    <w:rsid w:val="007137D0"/>
    <w:rsid w:val="007137D8"/>
    <w:rsid w:val="0071380A"/>
    <w:rsid w:val="00713829"/>
    <w:rsid w:val="0071386B"/>
    <w:rsid w:val="0071391C"/>
    <w:rsid w:val="00713977"/>
    <w:rsid w:val="0071398A"/>
    <w:rsid w:val="007139B2"/>
    <w:rsid w:val="00713A48"/>
    <w:rsid w:val="00713A73"/>
    <w:rsid w:val="00713AD5"/>
    <w:rsid w:val="00713C93"/>
    <w:rsid w:val="00713D34"/>
    <w:rsid w:val="00713DE3"/>
    <w:rsid w:val="00713FB9"/>
    <w:rsid w:val="00714033"/>
    <w:rsid w:val="00714107"/>
    <w:rsid w:val="00714189"/>
    <w:rsid w:val="007141BE"/>
    <w:rsid w:val="0071427F"/>
    <w:rsid w:val="00714310"/>
    <w:rsid w:val="007143C1"/>
    <w:rsid w:val="007144D0"/>
    <w:rsid w:val="0071462A"/>
    <w:rsid w:val="00714661"/>
    <w:rsid w:val="00714678"/>
    <w:rsid w:val="007146A7"/>
    <w:rsid w:val="0071470F"/>
    <w:rsid w:val="00714775"/>
    <w:rsid w:val="007148F9"/>
    <w:rsid w:val="0071492F"/>
    <w:rsid w:val="0071494D"/>
    <w:rsid w:val="00714966"/>
    <w:rsid w:val="00714A08"/>
    <w:rsid w:val="00714AAA"/>
    <w:rsid w:val="00714BDD"/>
    <w:rsid w:val="00714C47"/>
    <w:rsid w:val="00714CDC"/>
    <w:rsid w:val="00714D3F"/>
    <w:rsid w:val="00714D94"/>
    <w:rsid w:val="00714DE0"/>
    <w:rsid w:val="00714E75"/>
    <w:rsid w:val="00714E8F"/>
    <w:rsid w:val="00714F3C"/>
    <w:rsid w:val="00715023"/>
    <w:rsid w:val="00715048"/>
    <w:rsid w:val="00715049"/>
    <w:rsid w:val="0071505A"/>
    <w:rsid w:val="00715224"/>
    <w:rsid w:val="0071524E"/>
    <w:rsid w:val="0071531E"/>
    <w:rsid w:val="0071535A"/>
    <w:rsid w:val="00715488"/>
    <w:rsid w:val="007154DB"/>
    <w:rsid w:val="007155C8"/>
    <w:rsid w:val="00715640"/>
    <w:rsid w:val="007156AE"/>
    <w:rsid w:val="007156D5"/>
    <w:rsid w:val="00715741"/>
    <w:rsid w:val="0071584D"/>
    <w:rsid w:val="0071588A"/>
    <w:rsid w:val="0071588F"/>
    <w:rsid w:val="007158BA"/>
    <w:rsid w:val="00715A15"/>
    <w:rsid w:val="00715B8C"/>
    <w:rsid w:val="00715C2F"/>
    <w:rsid w:val="00715C30"/>
    <w:rsid w:val="00715C97"/>
    <w:rsid w:val="00715D8B"/>
    <w:rsid w:val="00715DD5"/>
    <w:rsid w:val="00715E2C"/>
    <w:rsid w:val="00715FA8"/>
    <w:rsid w:val="00715FC6"/>
    <w:rsid w:val="00715FE9"/>
    <w:rsid w:val="00715FF3"/>
    <w:rsid w:val="00716012"/>
    <w:rsid w:val="00716072"/>
    <w:rsid w:val="0071608F"/>
    <w:rsid w:val="007160B3"/>
    <w:rsid w:val="007162CC"/>
    <w:rsid w:val="0071640B"/>
    <w:rsid w:val="0071642F"/>
    <w:rsid w:val="0071643B"/>
    <w:rsid w:val="00716448"/>
    <w:rsid w:val="00716476"/>
    <w:rsid w:val="007164B4"/>
    <w:rsid w:val="007164E1"/>
    <w:rsid w:val="007164EA"/>
    <w:rsid w:val="007164F2"/>
    <w:rsid w:val="007165C9"/>
    <w:rsid w:val="007165F9"/>
    <w:rsid w:val="007166FD"/>
    <w:rsid w:val="00716825"/>
    <w:rsid w:val="00716841"/>
    <w:rsid w:val="00716966"/>
    <w:rsid w:val="007169DC"/>
    <w:rsid w:val="00716A3A"/>
    <w:rsid w:val="00716B34"/>
    <w:rsid w:val="00716BBC"/>
    <w:rsid w:val="00716C71"/>
    <w:rsid w:val="00716C82"/>
    <w:rsid w:val="00716D57"/>
    <w:rsid w:val="00716E12"/>
    <w:rsid w:val="00716E1E"/>
    <w:rsid w:val="00716EC2"/>
    <w:rsid w:val="00716EF8"/>
    <w:rsid w:val="00716F94"/>
    <w:rsid w:val="00717051"/>
    <w:rsid w:val="007170C8"/>
    <w:rsid w:val="00717119"/>
    <w:rsid w:val="00717158"/>
    <w:rsid w:val="00717319"/>
    <w:rsid w:val="0071732B"/>
    <w:rsid w:val="0071736E"/>
    <w:rsid w:val="0071738B"/>
    <w:rsid w:val="007173CB"/>
    <w:rsid w:val="007174C9"/>
    <w:rsid w:val="007175D1"/>
    <w:rsid w:val="007175EE"/>
    <w:rsid w:val="007176F7"/>
    <w:rsid w:val="0071770F"/>
    <w:rsid w:val="00717755"/>
    <w:rsid w:val="0071789B"/>
    <w:rsid w:val="007178EF"/>
    <w:rsid w:val="00717908"/>
    <w:rsid w:val="0071798D"/>
    <w:rsid w:val="00717A05"/>
    <w:rsid w:val="00717A97"/>
    <w:rsid w:val="00717AEC"/>
    <w:rsid w:val="00717BA7"/>
    <w:rsid w:val="00717BA8"/>
    <w:rsid w:val="00717BD0"/>
    <w:rsid w:val="00717BD8"/>
    <w:rsid w:val="00717C57"/>
    <w:rsid w:val="00717CD8"/>
    <w:rsid w:val="00717CE2"/>
    <w:rsid w:val="00717D8B"/>
    <w:rsid w:val="00717E4F"/>
    <w:rsid w:val="00717E59"/>
    <w:rsid w:val="00717F1A"/>
    <w:rsid w:val="00717F22"/>
    <w:rsid w:val="00717F91"/>
    <w:rsid w:val="00717FBA"/>
    <w:rsid w:val="00717FCE"/>
    <w:rsid w:val="00720060"/>
    <w:rsid w:val="00720086"/>
    <w:rsid w:val="0072012B"/>
    <w:rsid w:val="0072016A"/>
    <w:rsid w:val="00720272"/>
    <w:rsid w:val="00720359"/>
    <w:rsid w:val="0072036B"/>
    <w:rsid w:val="007203CC"/>
    <w:rsid w:val="0072047E"/>
    <w:rsid w:val="00720481"/>
    <w:rsid w:val="00720490"/>
    <w:rsid w:val="0072049E"/>
    <w:rsid w:val="007204BB"/>
    <w:rsid w:val="0072067C"/>
    <w:rsid w:val="007206E4"/>
    <w:rsid w:val="00720794"/>
    <w:rsid w:val="007208B2"/>
    <w:rsid w:val="00720939"/>
    <w:rsid w:val="00720983"/>
    <w:rsid w:val="00720A5A"/>
    <w:rsid w:val="00720B25"/>
    <w:rsid w:val="00720B5B"/>
    <w:rsid w:val="00720BD1"/>
    <w:rsid w:val="00720CAD"/>
    <w:rsid w:val="00720CE5"/>
    <w:rsid w:val="00720D4E"/>
    <w:rsid w:val="00720FDD"/>
    <w:rsid w:val="00721099"/>
    <w:rsid w:val="00721142"/>
    <w:rsid w:val="00721181"/>
    <w:rsid w:val="0072121F"/>
    <w:rsid w:val="007212C0"/>
    <w:rsid w:val="007212C6"/>
    <w:rsid w:val="00721366"/>
    <w:rsid w:val="00721369"/>
    <w:rsid w:val="00721496"/>
    <w:rsid w:val="0072156D"/>
    <w:rsid w:val="007215D7"/>
    <w:rsid w:val="00721688"/>
    <w:rsid w:val="00721705"/>
    <w:rsid w:val="007217DB"/>
    <w:rsid w:val="00721874"/>
    <w:rsid w:val="00721963"/>
    <w:rsid w:val="00721A80"/>
    <w:rsid w:val="00721A9C"/>
    <w:rsid w:val="00721B94"/>
    <w:rsid w:val="00721C4E"/>
    <w:rsid w:val="00721CAA"/>
    <w:rsid w:val="00721D4C"/>
    <w:rsid w:val="00721D56"/>
    <w:rsid w:val="00721D6C"/>
    <w:rsid w:val="00721DE2"/>
    <w:rsid w:val="00721E1F"/>
    <w:rsid w:val="00721F55"/>
    <w:rsid w:val="00721FA6"/>
    <w:rsid w:val="00721FC1"/>
    <w:rsid w:val="00721FC5"/>
    <w:rsid w:val="00722085"/>
    <w:rsid w:val="0072211E"/>
    <w:rsid w:val="0072214A"/>
    <w:rsid w:val="00722186"/>
    <w:rsid w:val="0072228B"/>
    <w:rsid w:val="00722354"/>
    <w:rsid w:val="00722414"/>
    <w:rsid w:val="0072256D"/>
    <w:rsid w:val="00722573"/>
    <w:rsid w:val="0072263C"/>
    <w:rsid w:val="007226A1"/>
    <w:rsid w:val="007226C7"/>
    <w:rsid w:val="0072274E"/>
    <w:rsid w:val="007227F8"/>
    <w:rsid w:val="0072281C"/>
    <w:rsid w:val="00722862"/>
    <w:rsid w:val="007228A1"/>
    <w:rsid w:val="00722A48"/>
    <w:rsid w:val="00722ABA"/>
    <w:rsid w:val="00722B3C"/>
    <w:rsid w:val="00722B4B"/>
    <w:rsid w:val="00722B75"/>
    <w:rsid w:val="00722CBE"/>
    <w:rsid w:val="00722D61"/>
    <w:rsid w:val="00722DAE"/>
    <w:rsid w:val="00722DFF"/>
    <w:rsid w:val="00722F1F"/>
    <w:rsid w:val="00722F38"/>
    <w:rsid w:val="00722F4A"/>
    <w:rsid w:val="00722F6F"/>
    <w:rsid w:val="00722FDD"/>
    <w:rsid w:val="00722FF9"/>
    <w:rsid w:val="00722FFC"/>
    <w:rsid w:val="00723063"/>
    <w:rsid w:val="00723104"/>
    <w:rsid w:val="00723283"/>
    <w:rsid w:val="007232C5"/>
    <w:rsid w:val="00723328"/>
    <w:rsid w:val="00723473"/>
    <w:rsid w:val="00723481"/>
    <w:rsid w:val="00723573"/>
    <w:rsid w:val="00723583"/>
    <w:rsid w:val="00723620"/>
    <w:rsid w:val="00723681"/>
    <w:rsid w:val="007236A0"/>
    <w:rsid w:val="00723716"/>
    <w:rsid w:val="00723793"/>
    <w:rsid w:val="0072383E"/>
    <w:rsid w:val="007238CF"/>
    <w:rsid w:val="0072397E"/>
    <w:rsid w:val="00723A6C"/>
    <w:rsid w:val="00723AD1"/>
    <w:rsid w:val="00723AFD"/>
    <w:rsid w:val="00723B88"/>
    <w:rsid w:val="00723C52"/>
    <w:rsid w:val="00723C7B"/>
    <w:rsid w:val="00723C88"/>
    <w:rsid w:val="00723CD2"/>
    <w:rsid w:val="00723CE3"/>
    <w:rsid w:val="00723D5F"/>
    <w:rsid w:val="00723DE9"/>
    <w:rsid w:val="00723E38"/>
    <w:rsid w:val="00723EDC"/>
    <w:rsid w:val="00723F34"/>
    <w:rsid w:val="00724136"/>
    <w:rsid w:val="007242D5"/>
    <w:rsid w:val="007242E4"/>
    <w:rsid w:val="007243C6"/>
    <w:rsid w:val="007243FD"/>
    <w:rsid w:val="0072449F"/>
    <w:rsid w:val="0072453A"/>
    <w:rsid w:val="00724546"/>
    <w:rsid w:val="00724564"/>
    <w:rsid w:val="007245A1"/>
    <w:rsid w:val="0072462C"/>
    <w:rsid w:val="00724730"/>
    <w:rsid w:val="00724755"/>
    <w:rsid w:val="0072477B"/>
    <w:rsid w:val="007247AF"/>
    <w:rsid w:val="0072480C"/>
    <w:rsid w:val="0072482E"/>
    <w:rsid w:val="0072486B"/>
    <w:rsid w:val="007248BA"/>
    <w:rsid w:val="007248CB"/>
    <w:rsid w:val="00724904"/>
    <w:rsid w:val="0072490C"/>
    <w:rsid w:val="00724972"/>
    <w:rsid w:val="00724A04"/>
    <w:rsid w:val="00724B21"/>
    <w:rsid w:val="00724C4E"/>
    <w:rsid w:val="00724CB3"/>
    <w:rsid w:val="00724D5D"/>
    <w:rsid w:val="00724DB4"/>
    <w:rsid w:val="00724DCD"/>
    <w:rsid w:val="0072512E"/>
    <w:rsid w:val="0072514A"/>
    <w:rsid w:val="0072515F"/>
    <w:rsid w:val="00725366"/>
    <w:rsid w:val="0072537A"/>
    <w:rsid w:val="0072539B"/>
    <w:rsid w:val="00725415"/>
    <w:rsid w:val="007254F5"/>
    <w:rsid w:val="00725512"/>
    <w:rsid w:val="00725575"/>
    <w:rsid w:val="0072561E"/>
    <w:rsid w:val="007256EA"/>
    <w:rsid w:val="007256F1"/>
    <w:rsid w:val="00725767"/>
    <w:rsid w:val="00725777"/>
    <w:rsid w:val="007257AD"/>
    <w:rsid w:val="007257B7"/>
    <w:rsid w:val="0072582B"/>
    <w:rsid w:val="00725889"/>
    <w:rsid w:val="007258A2"/>
    <w:rsid w:val="00725909"/>
    <w:rsid w:val="00725955"/>
    <w:rsid w:val="00725957"/>
    <w:rsid w:val="00725A11"/>
    <w:rsid w:val="00725A4A"/>
    <w:rsid w:val="00725B4D"/>
    <w:rsid w:val="00725D1D"/>
    <w:rsid w:val="00725D67"/>
    <w:rsid w:val="00725D79"/>
    <w:rsid w:val="00725F0D"/>
    <w:rsid w:val="00725F18"/>
    <w:rsid w:val="007260FB"/>
    <w:rsid w:val="00726145"/>
    <w:rsid w:val="007261AD"/>
    <w:rsid w:val="0072631B"/>
    <w:rsid w:val="00726351"/>
    <w:rsid w:val="00726373"/>
    <w:rsid w:val="007263C8"/>
    <w:rsid w:val="00726424"/>
    <w:rsid w:val="00726469"/>
    <w:rsid w:val="00726512"/>
    <w:rsid w:val="007265FE"/>
    <w:rsid w:val="007266A1"/>
    <w:rsid w:val="007266CB"/>
    <w:rsid w:val="007266FB"/>
    <w:rsid w:val="0072680B"/>
    <w:rsid w:val="0072682B"/>
    <w:rsid w:val="007268C1"/>
    <w:rsid w:val="007268D8"/>
    <w:rsid w:val="00726A17"/>
    <w:rsid w:val="00726A28"/>
    <w:rsid w:val="00726A4E"/>
    <w:rsid w:val="00726A9A"/>
    <w:rsid w:val="00726AAB"/>
    <w:rsid w:val="00726B42"/>
    <w:rsid w:val="00726B50"/>
    <w:rsid w:val="00726B6D"/>
    <w:rsid w:val="00726C17"/>
    <w:rsid w:val="00726C88"/>
    <w:rsid w:val="00726C89"/>
    <w:rsid w:val="00726D56"/>
    <w:rsid w:val="00726E28"/>
    <w:rsid w:val="00726EA0"/>
    <w:rsid w:val="00726F2F"/>
    <w:rsid w:val="00726FB4"/>
    <w:rsid w:val="00727009"/>
    <w:rsid w:val="0072714E"/>
    <w:rsid w:val="007271F9"/>
    <w:rsid w:val="0072720B"/>
    <w:rsid w:val="0072724E"/>
    <w:rsid w:val="007272D3"/>
    <w:rsid w:val="007272F7"/>
    <w:rsid w:val="007274A8"/>
    <w:rsid w:val="007274A9"/>
    <w:rsid w:val="007275CB"/>
    <w:rsid w:val="00727605"/>
    <w:rsid w:val="00727679"/>
    <w:rsid w:val="007277D1"/>
    <w:rsid w:val="00727867"/>
    <w:rsid w:val="007278E1"/>
    <w:rsid w:val="00727A3D"/>
    <w:rsid w:val="00727A88"/>
    <w:rsid w:val="00727AB8"/>
    <w:rsid w:val="00727D77"/>
    <w:rsid w:val="00727DEB"/>
    <w:rsid w:val="00727E0E"/>
    <w:rsid w:val="00727F10"/>
    <w:rsid w:val="00727F24"/>
    <w:rsid w:val="00727F2B"/>
    <w:rsid w:val="00727FB5"/>
    <w:rsid w:val="00730024"/>
    <w:rsid w:val="007301AF"/>
    <w:rsid w:val="00730260"/>
    <w:rsid w:val="007302B8"/>
    <w:rsid w:val="0073030C"/>
    <w:rsid w:val="0073045E"/>
    <w:rsid w:val="00730576"/>
    <w:rsid w:val="00730581"/>
    <w:rsid w:val="007305E7"/>
    <w:rsid w:val="00730735"/>
    <w:rsid w:val="00730767"/>
    <w:rsid w:val="0073081F"/>
    <w:rsid w:val="007308D1"/>
    <w:rsid w:val="007309B9"/>
    <w:rsid w:val="00730A68"/>
    <w:rsid w:val="00730AC7"/>
    <w:rsid w:val="00730B53"/>
    <w:rsid w:val="00730B90"/>
    <w:rsid w:val="00730B97"/>
    <w:rsid w:val="00730C69"/>
    <w:rsid w:val="00730CA5"/>
    <w:rsid w:val="00730D88"/>
    <w:rsid w:val="00730E3F"/>
    <w:rsid w:val="00730EAC"/>
    <w:rsid w:val="00730EF5"/>
    <w:rsid w:val="00730F46"/>
    <w:rsid w:val="00730FB3"/>
    <w:rsid w:val="00731036"/>
    <w:rsid w:val="0073107C"/>
    <w:rsid w:val="00731086"/>
    <w:rsid w:val="007310AE"/>
    <w:rsid w:val="007310EA"/>
    <w:rsid w:val="007311AB"/>
    <w:rsid w:val="007311AF"/>
    <w:rsid w:val="00731227"/>
    <w:rsid w:val="0073128D"/>
    <w:rsid w:val="007312F2"/>
    <w:rsid w:val="00731330"/>
    <w:rsid w:val="007313E1"/>
    <w:rsid w:val="00731415"/>
    <w:rsid w:val="00731524"/>
    <w:rsid w:val="00731597"/>
    <w:rsid w:val="007315E8"/>
    <w:rsid w:val="007315EF"/>
    <w:rsid w:val="00731708"/>
    <w:rsid w:val="0073172B"/>
    <w:rsid w:val="0073183A"/>
    <w:rsid w:val="0073187F"/>
    <w:rsid w:val="007318C7"/>
    <w:rsid w:val="00731A6E"/>
    <w:rsid w:val="00731BA5"/>
    <w:rsid w:val="00731C8E"/>
    <w:rsid w:val="00731D0D"/>
    <w:rsid w:val="00731D81"/>
    <w:rsid w:val="00731D9E"/>
    <w:rsid w:val="00732042"/>
    <w:rsid w:val="00732077"/>
    <w:rsid w:val="007320DA"/>
    <w:rsid w:val="007320EE"/>
    <w:rsid w:val="00732112"/>
    <w:rsid w:val="00732113"/>
    <w:rsid w:val="00732153"/>
    <w:rsid w:val="0073219E"/>
    <w:rsid w:val="007321AF"/>
    <w:rsid w:val="007321D4"/>
    <w:rsid w:val="00732259"/>
    <w:rsid w:val="0073225F"/>
    <w:rsid w:val="007322D1"/>
    <w:rsid w:val="007323FE"/>
    <w:rsid w:val="00732517"/>
    <w:rsid w:val="00732519"/>
    <w:rsid w:val="0073251B"/>
    <w:rsid w:val="00732533"/>
    <w:rsid w:val="007325A6"/>
    <w:rsid w:val="007325B0"/>
    <w:rsid w:val="007325C4"/>
    <w:rsid w:val="0073263D"/>
    <w:rsid w:val="00732689"/>
    <w:rsid w:val="0073268A"/>
    <w:rsid w:val="007326C2"/>
    <w:rsid w:val="007326F2"/>
    <w:rsid w:val="007326F4"/>
    <w:rsid w:val="00732720"/>
    <w:rsid w:val="0073293C"/>
    <w:rsid w:val="0073293F"/>
    <w:rsid w:val="00732974"/>
    <w:rsid w:val="00732A22"/>
    <w:rsid w:val="00732A4D"/>
    <w:rsid w:val="00732B5F"/>
    <w:rsid w:val="00732BCF"/>
    <w:rsid w:val="00732C60"/>
    <w:rsid w:val="00732CD3"/>
    <w:rsid w:val="00732D1D"/>
    <w:rsid w:val="00732D76"/>
    <w:rsid w:val="00732DCC"/>
    <w:rsid w:val="00732E00"/>
    <w:rsid w:val="00732E04"/>
    <w:rsid w:val="00732E7C"/>
    <w:rsid w:val="00732EBF"/>
    <w:rsid w:val="00732EC7"/>
    <w:rsid w:val="00732F05"/>
    <w:rsid w:val="00732F2B"/>
    <w:rsid w:val="00732F7B"/>
    <w:rsid w:val="00732F95"/>
    <w:rsid w:val="00732FA7"/>
    <w:rsid w:val="007332DE"/>
    <w:rsid w:val="007333C9"/>
    <w:rsid w:val="007333D8"/>
    <w:rsid w:val="00733494"/>
    <w:rsid w:val="0073353A"/>
    <w:rsid w:val="0073361D"/>
    <w:rsid w:val="007336B8"/>
    <w:rsid w:val="0073374E"/>
    <w:rsid w:val="007337E8"/>
    <w:rsid w:val="00733883"/>
    <w:rsid w:val="007338E0"/>
    <w:rsid w:val="00733A0A"/>
    <w:rsid w:val="00733A5B"/>
    <w:rsid w:val="00733ACE"/>
    <w:rsid w:val="00733C66"/>
    <w:rsid w:val="00733C72"/>
    <w:rsid w:val="00733D52"/>
    <w:rsid w:val="00733D71"/>
    <w:rsid w:val="00734220"/>
    <w:rsid w:val="0073424B"/>
    <w:rsid w:val="007342CE"/>
    <w:rsid w:val="007342F1"/>
    <w:rsid w:val="007342FE"/>
    <w:rsid w:val="007343E7"/>
    <w:rsid w:val="00734457"/>
    <w:rsid w:val="00734488"/>
    <w:rsid w:val="007345F5"/>
    <w:rsid w:val="00734681"/>
    <w:rsid w:val="00734684"/>
    <w:rsid w:val="007346D6"/>
    <w:rsid w:val="0073472A"/>
    <w:rsid w:val="00734858"/>
    <w:rsid w:val="007349B7"/>
    <w:rsid w:val="00734A4A"/>
    <w:rsid w:val="00734AD7"/>
    <w:rsid w:val="00734B6D"/>
    <w:rsid w:val="00734BA6"/>
    <w:rsid w:val="00734BB1"/>
    <w:rsid w:val="00734C92"/>
    <w:rsid w:val="00734CB2"/>
    <w:rsid w:val="00734CD5"/>
    <w:rsid w:val="00734CE7"/>
    <w:rsid w:val="00734D1D"/>
    <w:rsid w:val="00734D91"/>
    <w:rsid w:val="00734F32"/>
    <w:rsid w:val="00734F67"/>
    <w:rsid w:val="00734FEC"/>
    <w:rsid w:val="0073504B"/>
    <w:rsid w:val="0073508B"/>
    <w:rsid w:val="007350A5"/>
    <w:rsid w:val="007350FC"/>
    <w:rsid w:val="0073511D"/>
    <w:rsid w:val="00735136"/>
    <w:rsid w:val="0073519D"/>
    <w:rsid w:val="007351A1"/>
    <w:rsid w:val="00735245"/>
    <w:rsid w:val="00735305"/>
    <w:rsid w:val="00735309"/>
    <w:rsid w:val="00735378"/>
    <w:rsid w:val="00735412"/>
    <w:rsid w:val="00735425"/>
    <w:rsid w:val="00735467"/>
    <w:rsid w:val="007354CF"/>
    <w:rsid w:val="007354D0"/>
    <w:rsid w:val="007355F9"/>
    <w:rsid w:val="007356E4"/>
    <w:rsid w:val="00735736"/>
    <w:rsid w:val="0073579D"/>
    <w:rsid w:val="007357B0"/>
    <w:rsid w:val="00735849"/>
    <w:rsid w:val="00735890"/>
    <w:rsid w:val="007358F1"/>
    <w:rsid w:val="007358FE"/>
    <w:rsid w:val="00735991"/>
    <w:rsid w:val="00735AA1"/>
    <w:rsid w:val="00735AF3"/>
    <w:rsid w:val="00735B62"/>
    <w:rsid w:val="00735BC6"/>
    <w:rsid w:val="00735CC8"/>
    <w:rsid w:val="00736076"/>
    <w:rsid w:val="00736097"/>
    <w:rsid w:val="0073609C"/>
    <w:rsid w:val="0073620A"/>
    <w:rsid w:val="00736223"/>
    <w:rsid w:val="007362FD"/>
    <w:rsid w:val="00736576"/>
    <w:rsid w:val="0073660C"/>
    <w:rsid w:val="0073677D"/>
    <w:rsid w:val="0073678E"/>
    <w:rsid w:val="0073699F"/>
    <w:rsid w:val="007369AC"/>
    <w:rsid w:val="007369D8"/>
    <w:rsid w:val="00736A4E"/>
    <w:rsid w:val="00736A5F"/>
    <w:rsid w:val="00736A75"/>
    <w:rsid w:val="00736B60"/>
    <w:rsid w:val="00736B6D"/>
    <w:rsid w:val="00736CF2"/>
    <w:rsid w:val="00736E1E"/>
    <w:rsid w:val="00736E26"/>
    <w:rsid w:val="00736EEE"/>
    <w:rsid w:val="00736F27"/>
    <w:rsid w:val="00736F38"/>
    <w:rsid w:val="00736F95"/>
    <w:rsid w:val="00736FBD"/>
    <w:rsid w:val="007370E8"/>
    <w:rsid w:val="0073717D"/>
    <w:rsid w:val="0073719B"/>
    <w:rsid w:val="0073720A"/>
    <w:rsid w:val="0073727D"/>
    <w:rsid w:val="0073739B"/>
    <w:rsid w:val="00737445"/>
    <w:rsid w:val="007374D7"/>
    <w:rsid w:val="00737511"/>
    <w:rsid w:val="007375C7"/>
    <w:rsid w:val="007375DD"/>
    <w:rsid w:val="007375EC"/>
    <w:rsid w:val="00737632"/>
    <w:rsid w:val="00737643"/>
    <w:rsid w:val="00737659"/>
    <w:rsid w:val="00737779"/>
    <w:rsid w:val="00737924"/>
    <w:rsid w:val="00737A04"/>
    <w:rsid w:val="00737A13"/>
    <w:rsid w:val="00737A34"/>
    <w:rsid w:val="00737A86"/>
    <w:rsid w:val="00737BD6"/>
    <w:rsid w:val="00737C8C"/>
    <w:rsid w:val="00737C8E"/>
    <w:rsid w:val="00737CBC"/>
    <w:rsid w:val="00737D34"/>
    <w:rsid w:val="00737E3C"/>
    <w:rsid w:val="00737F82"/>
    <w:rsid w:val="00737FA8"/>
    <w:rsid w:val="00740029"/>
    <w:rsid w:val="00740074"/>
    <w:rsid w:val="007400BB"/>
    <w:rsid w:val="007403FF"/>
    <w:rsid w:val="007404DF"/>
    <w:rsid w:val="0074053A"/>
    <w:rsid w:val="007405AD"/>
    <w:rsid w:val="0074065B"/>
    <w:rsid w:val="0074065C"/>
    <w:rsid w:val="007406EE"/>
    <w:rsid w:val="00740740"/>
    <w:rsid w:val="007408CF"/>
    <w:rsid w:val="00740A4C"/>
    <w:rsid w:val="00740AEA"/>
    <w:rsid w:val="00740B51"/>
    <w:rsid w:val="00740C9E"/>
    <w:rsid w:val="00740D38"/>
    <w:rsid w:val="00740DD4"/>
    <w:rsid w:val="00740E35"/>
    <w:rsid w:val="00740EE2"/>
    <w:rsid w:val="00740EF5"/>
    <w:rsid w:val="00740F8E"/>
    <w:rsid w:val="00740FA4"/>
    <w:rsid w:val="0074104E"/>
    <w:rsid w:val="007410D0"/>
    <w:rsid w:val="00741152"/>
    <w:rsid w:val="00741209"/>
    <w:rsid w:val="00741211"/>
    <w:rsid w:val="007415AE"/>
    <w:rsid w:val="007415D4"/>
    <w:rsid w:val="007415FD"/>
    <w:rsid w:val="007417AB"/>
    <w:rsid w:val="00741850"/>
    <w:rsid w:val="00741901"/>
    <w:rsid w:val="007419CA"/>
    <w:rsid w:val="00741ADD"/>
    <w:rsid w:val="00741C3B"/>
    <w:rsid w:val="00741C55"/>
    <w:rsid w:val="00741C99"/>
    <w:rsid w:val="00741CBD"/>
    <w:rsid w:val="00741CD6"/>
    <w:rsid w:val="00741CD7"/>
    <w:rsid w:val="00741D3C"/>
    <w:rsid w:val="00741DA7"/>
    <w:rsid w:val="00741DFC"/>
    <w:rsid w:val="00741E0C"/>
    <w:rsid w:val="00741E20"/>
    <w:rsid w:val="00741E6F"/>
    <w:rsid w:val="00741F19"/>
    <w:rsid w:val="00741F2B"/>
    <w:rsid w:val="00741FE1"/>
    <w:rsid w:val="00742166"/>
    <w:rsid w:val="00742251"/>
    <w:rsid w:val="007422D1"/>
    <w:rsid w:val="00742340"/>
    <w:rsid w:val="0074239D"/>
    <w:rsid w:val="00742516"/>
    <w:rsid w:val="00742520"/>
    <w:rsid w:val="0074252C"/>
    <w:rsid w:val="00742559"/>
    <w:rsid w:val="0074278A"/>
    <w:rsid w:val="00742940"/>
    <w:rsid w:val="007429D1"/>
    <w:rsid w:val="00742A61"/>
    <w:rsid w:val="00742ACB"/>
    <w:rsid w:val="00742BB8"/>
    <w:rsid w:val="00742C57"/>
    <w:rsid w:val="00742CDB"/>
    <w:rsid w:val="00742D4C"/>
    <w:rsid w:val="00742D98"/>
    <w:rsid w:val="00742DE5"/>
    <w:rsid w:val="00743064"/>
    <w:rsid w:val="007430E7"/>
    <w:rsid w:val="00743114"/>
    <w:rsid w:val="007431E4"/>
    <w:rsid w:val="00743227"/>
    <w:rsid w:val="00743229"/>
    <w:rsid w:val="00743233"/>
    <w:rsid w:val="00743309"/>
    <w:rsid w:val="0074335D"/>
    <w:rsid w:val="00743436"/>
    <w:rsid w:val="007434A7"/>
    <w:rsid w:val="00743565"/>
    <w:rsid w:val="00743616"/>
    <w:rsid w:val="0074361F"/>
    <w:rsid w:val="0074364B"/>
    <w:rsid w:val="007436E0"/>
    <w:rsid w:val="00743716"/>
    <w:rsid w:val="00743718"/>
    <w:rsid w:val="007437A8"/>
    <w:rsid w:val="00743AED"/>
    <w:rsid w:val="00743B48"/>
    <w:rsid w:val="00743BF9"/>
    <w:rsid w:val="00743C21"/>
    <w:rsid w:val="00743C86"/>
    <w:rsid w:val="00743CBF"/>
    <w:rsid w:val="00743D1C"/>
    <w:rsid w:val="00743E3F"/>
    <w:rsid w:val="00743ED9"/>
    <w:rsid w:val="00743F52"/>
    <w:rsid w:val="0074403D"/>
    <w:rsid w:val="00744068"/>
    <w:rsid w:val="007440AF"/>
    <w:rsid w:val="00744100"/>
    <w:rsid w:val="007441C7"/>
    <w:rsid w:val="007441E2"/>
    <w:rsid w:val="007443DD"/>
    <w:rsid w:val="00744434"/>
    <w:rsid w:val="00744450"/>
    <w:rsid w:val="007444E6"/>
    <w:rsid w:val="007445B5"/>
    <w:rsid w:val="0074462B"/>
    <w:rsid w:val="00744630"/>
    <w:rsid w:val="00744647"/>
    <w:rsid w:val="00744670"/>
    <w:rsid w:val="0074469C"/>
    <w:rsid w:val="007448CE"/>
    <w:rsid w:val="00744959"/>
    <w:rsid w:val="00744A72"/>
    <w:rsid w:val="00744A99"/>
    <w:rsid w:val="00744B27"/>
    <w:rsid w:val="00744B3D"/>
    <w:rsid w:val="00744B86"/>
    <w:rsid w:val="00744BB0"/>
    <w:rsid w:val="00744C25"/>
    <w:rsid w:val="00744C3F"/>
    <w:rsid w:val="00744C74"/>
    <w:rsid w:val="00744C77"/>
    <w:rsid w:val="00744C95"/>
    <w:rsid w:val="00744CB1"/>
    <w:rsid w:val="00744DB9"/>
    <w:rsid w:val="00744E62"/>
    <w:rsid w:val="00744E90"/>
    <w:rsid w:val="00744EB5"/>
    <w:rsid w:val="00744EBE"/>
    <w:rsid w:val="00744F65"/>
    <w:rsid w:val="00744F67"/>
    <w:rsid w:val="00744FC5"/>
    <w:rsid w:val="00744FFB"/>
    <w:rsid w:val="0074500A"/>
    <w:rsid w:val="00745126"/>
    <w:rsid w:val="00745137"/>
    <w:rsid w:val="0074513D"/>
    <w:rsid w:val="0074521E"/>
    <w:rsid w:val="007452FD"/>
    <w:rsid w:val="00745475"/>
    <w:rsid w:val="0074547D"/>
    <w:rsid w:val="007455B2"/>
    <w:rsid w:val="0074561D"/>
    <w:rsid w:val="0074561F"/>
    <w:rsid w:val="00745791"/>
    <w:rsid w:val="007457D6"/>
    <w:rsid w:val="007457F9"/>
    <w:rsid w:val="007458ED"/>
    <w:rsid w:val="00745AE0"/>
    <w:rsid w:val="00745C68"/>
    <w:rsid w:val="00745CB5"/>
    <w:rsid w:val="00745D6C"/>
    <w:rsid w:val="00745EAA"/>
    <w:rsid w:val="00745F61"/>
    <w:rsid w:val="00746071"/>
    <w:rsid w:val="007460F2"/>
    <w:rsid w:val="00746103"/>
    <w:rsid w:val="007461DE"/>
    <w:rsid w:val="00746255"/>
    <w:rsid w:val="00746257"/>
    <w:rsid w:val="0074627F"/>
    <w:rsid w:val="00746367"/>
    <w:rsid w:val="00746449"/>
    <w:rsid w:val="00746455"/>
    <w:rsid w:val="00746533"/>
    <w:rsid w:val="00746578"/>
    <w:rsid w:val="007465A9"/>
    <w:rsid w:val="007465B6"/>
    <w:rsid w:val="007465CC"/>
    <w:rsid w:val="0074660B"/>
    <w:rsid w:val="0074664F"/>
    <w:rsid w:val="007466F5"/>
    <w:rsid w:val="0074682A"/>
    <w:rsid w:val="00746832"/>
    <w:rsid w:val="007468E2"/>
    <w:rsid w:val="00746931"/>
    <w:rsid w:val="00746967"/>
    <w:rsid w:val="007469A1"/>
    <w:rsid w:val="007469C3"/>
    <w:rsid w:val="00746A47"/>
    <w:rsid w:val="00746A8F"/>
    <w:rsid w:val="00746AC7"/>
    <w:rsid w:val="00746B6C"/>
    <w:rsid w:val="00746C30"/>
    <w:rsid w:val="00746C8E"/>
    <w:rsid w:val="00746CFA"/>
    <w:rsid w:val="00746D3A"/>
    <w:rsid w:val="00746E36"/>
    <w:rsid w:val="00746F5F"/>
    <w:rsid w:val="0074701D"/>
    <w:rsid w:val="00747048"/>
    <w:rsid w:val="007470FF"/>
    <w:rsid w:val="0074717C"/>
    <w:rsid w:val="00747191"/>
    <w:rsid w:val="007471CD"/>
    <w:rsid w:val="007473E8"/>
    <w:rsid w:val="0074748D"/>
    <w:rsid w:val="007474E0"/>
    <w:rsid w:val="0074759F"/>
    <w:rsid w:val="00747794"/>
    <w:rsid w:val="00747820"/>
    <w:rsid w:val="00747899"/>
    <w:rsid w:val="0074789D"/>
    <w:rsid w:val="007478B2"/>
    <w:rsid w:val="00747A3F"/>
    <w:rsid w:val="00747A4D"/>
    <w:rsid w:val="00747CD7"/>
    <w:rsid w:val="00747CF9"/>
    <w:rsid w:val="00747D33"/>
    <w:rsid w:val="00747D46"/>
    <w:rsid w:val="00747DC5"/>
    <w:rsid w:val="00747EAF"/>
    <w:rsid w:val="00750064"/>
    <w:rsid w:val="00750120"/>
    <w:rsid w:val="00750153"/>
    <w:rsid w:val="00750172"/>
    <w:rsid w:val="00750294"/>
    <w:rsid w:val="007502EE"/>
    <w:rsid w:val="007503E9"/>
    <w:rsid w:val="007504E6"/>
    <w:rsid w:val="00750500"/>
    <w:rsid w:val="0075050F"/>
    <w:rsid w:val="0075052B"/>
    <w:rsid w:val="0075054C"/>
    <w:rsid w:val="0075056D"/>
    <w:rsid w:val="00750580"/>
    <w:rsid w:val="00750619"/>
    <w:rsid w:val="0075066E"/>
    <w:rsid w:val="00750672"/>
    <w:rsid w:val="007506A5"/>
    <w:rsid w:val="007506AB"/>
    <w:rsid w:val="007506AC"/>
    <w:rsid w:val="007506CE"/>
    <w:rsid w:val="0075077D"/>
    <w:rsid w:val="00750831"/>
    <w:rsid w:val="00750883"/>
    <w:rsid w:val="0075089D"/>
    <w:rsid w:val="007508E3"/>
    <w:rsid w:val="00750938"/>
    <w:rsid w:val="00750954"/>
    <w:rsid w:val="00750986"/>
    <w:rsid w:val="007509A3"/>
    <w:rsid w:val="00750AC3"/>
    <w:rsid w:val="00750AE9"/>
    <w:rsid w:val="00750B31"/>
    <w:rsid w:val="00750C37"/>
    <w:rsid w:val="00750C44"/>
    <w:rsid w:val="00750C4C"/>
    <w:rsid w:val="00750C50"/>
    <w:rsid w:val="00750C54"/>
    <w:rsid w:val="00750C7B"/>
    <w:rsid w:val="00750D97"/>
    <w:rsid w:val="00750F40"/>
    <w:rsid w:val="007511B0"/>
    <w:rsid w:val="00751243"/>
    <w:rsid w:val="0075127E"/>
    <w:rsid w:val="0075130F"/>
    <w:rsid w:val="0075136A"/>
    <w:rsid w:val="007513C0"/>
    <w:rsid w:val="00751438"/>
    <w:rsid w:val="007515E4"/>
    <w:rsid w:val="00751635"/>
    <w:rsid w:val="0075173B"/>
    <w:rsid w:val="00751765"/>
    <w:rsid w:val="007517EB"/>
    <w:rsid w:val="00751904"/>
    <w:rsid w:val="007519E4"/>
    <w:rsid w:val="00751A59"/>
    <w:rsid w:val="00751A91"/>
    <w:rsid w:val="00751B03"/>
    <w:rsid w:val="00751B0E"/>
    <w:rsid w:val="00751B68"/>
    <w:rsid w:val="00751B96"/>
    <w:rsid w:val="00751C90"/>
    <w:rsid w:val="00751CAE"/>
    <w:rsid w:val="00751D4A"/>
    <w:rsid w:val="00751D88"/>
    <w:rsid w:val="00751EA4"/>
    <w:rsid w:val="00751ED2"/>
    <w:rsid w:val="00751F0E"/>
    <w:rsid w:val="00751F47"/>
    <w:rsid w:val="00751F4D"/>
    <w:rsid w:val="0075205B"/>
    <w:rsid w:val="0075208B"/>
    <w:rsid w:val="007520CB"/>
    <w:rsid w:val="007520FC"/>
    <w:rsid w:val="0075210F"/>
    <w:rsid w:val="00752146"/>
    <w:rsid w:val="0075216F"/>
    <w:rsid w:val="007521B9"/>
    <w:rsid w:val="007521C7"/>
    <w:rsid w:val="00752269"/>
    <w:rsid w:val="00752468"/>
    <w:rsid w:val="00752512"/>
    <w:rsid w:val="0075259A"/>
    <w:rsid w:val="007525C3"/>
    <w:rsid w:val="00752676"/>
    <w:rsid w:val="007526A6"/>
    <w:rsid w:val="007526D4"/>
    <w:rsid w:val="007526F2"/>
    <w:rsid w:val="0075276D"/>
    <w:rsid w:val="007527B5"/>
    <w:rsid w:val="0075283E"/>
    <w:rsid w:val="00752862"/>
    <w:rsid w:val="0075289E"/>
    <w:rsid w:val="007528F9"/>
    <w:rsid w:val="0075290E"/>
    <w:rsid w:val="00752951"/>
    <w:rsid w:val="00752955"/>
    <w:rsid w:val="00752996"/>
    <w:rsid w:val="007529BC"/>
    <w:rsid w:val="00752BDB"/>
    <w:rsid w:val="00752CE9"/>
    <w:rsid w:val="00752CEB"/>
    <w:rsid w:val="00752E49"/>
    <w:rsid w:val="00752F3B"/>
    <w:rsid w:val="00752FE5"/>
    <w:rsid w:val="00753082"/>
    <w:rsid w:val="0075321B"/>
    <w:rsid w:val="0075329E"/>
    <w:rsid w:val="007532BA"/>
    <w:rsid w:val="0075330F"/>
    <w:rsid w:val="0075333E"/>
    <w:rsid w:val="0075339C"/>
    <w:rsid w:val="007533EE"/>
    <w:rsid w:val="007534F6"/>
    <w:rsid w:val="00753524"/>
    <w:rsid w:val="00753535"/>
    <w:rsid w:val="0075355A"/>
    <w:rsid w:val="0075356D"/>
    <w:rsid w:val="0075366D"/>
    <w:rsid w:val="00753709"/>
    <w:rsid w:val="00753716"/>
    <w:rsid w:val="007537AB"/>
    <w:rsid w:val="00753933"/>
    <w:rsid w:val="007539E8"/>
    <w:rsid w:val="00753A0A"/>
    <w:rsid w:val="00753B9A"/>
    <w:rsid w:val="00753BDE"/>
    <w:rsid w:val="00753C13"/>
    <w:rsid w:val="00753C24"/>
    <w:rsid w:val="00753C91"/>
    <w:rsid w:val="00753CC8"/>
    <w:rsid w:val="00753CF7"/>
    <w:rsid w:val="00753D41"/>
    <w:rsid w:val="00753D73"/>
    <w:rsid w:val="00753D81"/>
    <w:rsid w:val="00753DC1"/>
    <w:rsid w:val="00753E06"/>
    <w:rsid w:val="00753E0C"/>
    <w:rsid w:val="00753EA1"/>
    <w:rsid w:val="00753F49"/>
    <w:rsid w:val="00753F91"/>
    <w:rsid w:val="00753FBA"/>
    <w:rsid w:val="00753FD2"/>
    <w:rsid w:val="0075400E"/>
    <w:rsid w:val="00754140"/>
    <w:rsid w:val="007541EB"/>
    <w:rsid w:val="0075438A"/>
    <w:rsid w:val="007543BF"/>
    <w:rsid w:val="007543DE"/>
    <w:rsid w:val="007543EC"/>
    <w:rsid w:val="00754409"/>
    <w:rsid w:val="007546E8"/>
    <w:rsid w:val="0075472C"/>
    <w:rsid w:val="007547E3"/>
    <w:rsid w:val="00754934"/>
    <w:rsid w:val="0075497A"/>
    <w:rsid w:val="0075497B"/>
    <w:rsid w:val="0075498C"/>
    <w:rsid w:val="007549FF"/>
    <w:rsid w:val="00754A35"/>
    <w:rsid w:val="00754B31"/>
    <w:rsid w:val="00754B7C"/>
    <w:rsid w:val="00754C42"/>
    <w:rsid w:val="00754CF2"/>
    <w:rsid w:val="00754D49"/>
    <w:rsid w:val="00754E35"/>
    <w:rsid w:val="00754E3E"/>
    <w:rsid w:val="00754E93"/>
    <w:rsid w:val="00754EE9"/>
    <w:rsid w:val="00754F5D"/>
    <w:rsid w:val="00755004"/>
    <w:rsid w:val="00755029"/>
    <w:rsid w:val="00755075"/>
    <w:rsid w:val="00755147"/>
    <w:rsid w:val="0075520C"/>
    <w:rsid w:val="00755368"/>
    <w:rsid w:val="0075536D"/>
    <w:rsid w:val="00755404"/>
    <w:rsid w:val="00755574"/>
    <w:rsid w:val="0075562D"/>
    <w:rsid w:val="007556F6"/>
    <w:rsid w:val="00755718"/>
    <w:rsid w:val="0075574A"/>
    <w:rsid w:val="0075575B"/>
    <w:rsid w:val="0075577A"/>
    <w:rsid w:val="00755832"/>
    <w:rsid w:val="0075583D"/>
    <w:rsid w:val="0075585B"/>
    <w:rsid w:val="007558A5"/>
    <w:rsid w:val="00755902"/>
    <w:rsid w:val="00755919"/>
    <w:rsid w:val="00755982"/>
    <w:rsid w:val="00755A7C"/>
    <w:rsid w:val="00755AB3"/>
    <w:rsid w:val="00755AD6"/>
    <w:rsid w:val="00755B6A"/>
    <w:rsid w:val="00755BCC"/>
    <w:rsid w:val="00755CCD"/>
    <w:rsid w:val="00755CF0"/>
    <w:rsid w:val="00755D62"/>
    <w:rsid w:val="00755D81"/>
    <w:rsid w:val="00755E6B"/>
    <w:rsid w:val="00755EB6"/>
    <w:rsid w:val="00755F01"/>
    <w:rsid w:val="00755F34"/>
    <w:rsid w:val="00755F64"/>
    <w:rsid w:val="00756056"/>
    <w:rsid w:val="00756066"/>
    <w:rsid w:val="007560C7"/>
    <w:rsid w:val="00756128"/>
    <w:rsid w:val="007561B9"/>
    <w:rsid w:val="00756212"/>
    <w:rsid w:val="0075626C"/>
    <w:rsid w:val="00756294"/>
    <w:rsid w:val="0075638C"/>
    <w:rsid w:val="0075640A"/>
    <w:rsid w:val="0075645A"/>
    <w:rsid w:val="00756488"/>
    <w:rsid w:val="0075655F"/>
    <w:rsid w:val="0075658D"/>
    <w:rsid w:val="00756598"/>
    <w:rsid w:val="007565B2"/>
    <w:rsid w:val="007565CA"/>
    <w:rsid w:val="00756610"/>
    <w:rsid w:val="00756675"/>
    <w:rsid w:val="007567B9"/>
    <w:rsid w:val="0075681F"/>
    <w:rsid w:val="00756822"/>
    <w:rsid w:val="00756853"/>
    <w:rsid w:val="007568D2"/>
    <w:rsid w:val="0075695D"/>
    <w:rsid w:val="0075698E"/>
    <w:rsid w:val="0075698F"/>
    <w:rsid w:val="00756A03"/>
    <w:rsid w:val="00756A38"/>
    <w:rsid w:val="00756AB9"/>
    <w:rsid w:val="00756ACF"/>
    <w:rsid w:val="00756C87"/>
    <w:rsid w:val="00756CA6"/>
    <w:rsid w:val="00756CEE"/>
    <w:rsid w:val="00756D09"/>
    <w:rsid w:val="00756D4B"/>
    <w:rsid w:val="00756D95"/>
    <w:rsid w:val="00756D9F"/>
    <w:rsid w:val="00756DA3"/>
    <w:rsid w:val="00756F54"/>
    <w:rsid w:val="00757086"/>
    <w:rsid w:val="0075708F"/>
    <w:rsid w:val="007570DC"/>
    <w:rsid w:val="007570F7"/>
    <w:rsid w:val="0075713C"/>
    <w:rsid w:val="0075717B"/>
    <w:rsid w:val="007571B5"/>
    <w:rsid w:val="00757252"/>
    <w:rsid w:val="00757272"/>
    <w:rsid w:val="00757356"/>
    <w:rsid w:val="00757390"/>
    <w:rsid w:val="00757399"/>
    <w:rsid w:val="00757407"/>
    <w:rsid w:val="00757426"/>
    <w:rsid w:val="0075752B"/>
    <w:rsid w:val="007576BE"/>
    <w:rsid w:val="007578F1"/>
    <w:rsid w:val="00757987"/>
    <w:rsid w:val="00757B2D"/>
    <w:rsid w:val="00757B72"/>
    <w:rsid w:val="00757B81"/>
    <w:rsid w:val="00757B97"/>
    <w:rsid w:val="00757BC5"/>
    <w:rsid w:val="00757C17"/>
    <w:rsid w:val="00757C2B"/>
    <w:rsid w:val="00757E88"/>
    <w:rsid w:val="00757EA1"/>
    <w:rsid w:val="00757F43"/>
    <w:rsid w:val="00757F98"/>
    <w:rsid w:val="00757FBA"/>
    <w:rsid w:val="0076018D"/>
    <w:rsid w:val="007602F5"/>
    <w:rsid w:val="00760329"/>
    <w:rsid w:val="007603C6"/>
    <w:rsid w:val="00760563"/>
    <w:rsid w:val="007606AD"/>
    <w:rsid w:val="007606C3"/>
    <w:rsid w:val="0076073B"/>
    <w:rsid w:val="00760884"/>
    <w:rsid w:val="007608D3"/>
    <w:rsid w:val="00760A52"/>
    <w:rsid w:val="00760BBA"/>
    <w:rsid w:val="00760BFB"/>
    <w:rsid w:val="00760C15"/>
    <w:rsid w:val="00760C60"/>
    <w:rsid w:val="00760CBB"/>
    <w:rsid w:val="00760CFD"/>
    <w:rsid w:val="00760DAD"/>
    <w:rsid w:val="007611D5"/>
    <w:rsid w:val="00761216"/>
    <w:rsid w:val="00761405"/>
    <w:rsid w:val="00761420"/>
    <w:rsid w:val="00761522"/>
    <w:rsid w:val="0076152C"/>
    <w:rsid w:val="00761629"/>
    <w:rsid w:val="0076165D"/>
    <w:rsid w:val="0076165F"/>
    <w:rsid w:val="00761767"/>
    <w:rsid w:val="0076180D"/>
    <w:rsid w:val="00761859"/>
    <w:rsid w:val="0076192F"/>
    <w:rsid w:val="00761A4D"/>
    <w:rsid w:val="00761BED"/>
    <w:rsid w:val="00761CDD"/>
    <w:rsid w:val="00761D74"/>
    <w:rsid w:val="00761E9D"/>
    <w:rsid w:val="00761ECB"/>
    <w:rsid w:val="00761F53"/>
    <w:rsid w:val="00762066"/>
    <w:rsid w:val="00762192"/>
    <w:rsid w:val="0076230F"/>
    <w:rsid w:val="00762392"/>
    <w:rsid w:val="00762425"/>
    <w:rsid w:val="00762517"/>
    <w:rsid w:val="00762523"/>
    <w:rsid w:val="0076256F"/>
    <w:rsid w:val="0076271A"/>
    <w:rsid w:val="0076276B"/>
    <w:rsid w:val="007627A5"/>
    <w:rsid w:val="0076284D"/>
    <w:rsid w:val="0076286F"/>
    <w:rsid w:val="007628AA"/>
    <w:rsid w:val="007628DA"/>
    <w:rsid w:val="00762943"/>
    <w:rsid w:val="00762A5C"/>
    <w:rsid w:val="00762BD3"/>
    <w:rsid w:val="00762CD3"/>
    <w:rsid w:val="00762D08"/>
    <w:rsid w:val="00762E0C"/>
    <w:rsid w:val="00762EB2"/>
    <w:rsid w:val="00762EDB"/>
    <w:rsid w:val="00762F06"/>
    <w:rsid w:val="00762F81"/>
    <w:rsid w:val="00763021"/>
    <w:rsid w:val="0076304A"/>
    <w:rsid w:val="007630C6"/>
    <w:rsid w:val="007630D2"/>
    <w:rsid w:val="007630E9"/>
    <w:rsid w:val="00763111"/>
    <w:rsid w:val="00763181"/>
    <w:rsid w:val="007633EB"/>
    <w:rsid w:val="0076348A"/>
    <w:rsid w:val="007634B0"/>
    <w:rsid w:val="00763579"/>
    <w:rsid w:val="007635EC"/>
    <w:rsid w:val="0076365E"/>
    <w:rsid w:val="00763700"/>
    <w:rsid w:val="00763735"/>
    <w:rsid w:val="00763768"/>
    <w:rsid w:val="00763784"/>
    <w:rsid w:val="00763932"/>
    <w:rsid w:val="00763976"/>
    <w:rsid w:val="00763A1B"/>
    <w:rsid w:val="00763AC9"/>
    <w:rsid w:val="00763B26"/>
    <w:rsid w:val="00763C01"/>
    <w:rsid w:val="00763C7D"/>
    <w:rsid w:val="00763CB2"/>
    <w:rsid w:val="00763CE9"/>
    <w:rsid w:val="00763E64"/>
    <w:rsid w:val="00763EE0"/>
    <w:rsid w:val="00763EF0"/>
    <w:rsid w:val="00763F3C"/>
    <w:rsid w:val="007640B2"/>
    <w:rsid w:val="0076412E"/>
    <w:rsid w:val="007641A5"/>
    <w:rsid w:val="007641CD"/>
    <w:rsid w:val="00764282"/>
    <w:rsid w:val="007642ED"/>
    <w:rsid w:val="0076436F"/>
    <w:rsid w:val="00764441"/>
    <w:rsid w:val="00764550"/>
    <w:rsid w:val="007646CA"/>
    <w:rsid w:val="007646D2"/>
    <w:rsid w:val="0076473F"/>
    <w:rsid w:val="007647F4"/>
    <w:rsid w:val="0076487D"/>
    <w:rsid w:val="00764913"/>
    <w:rsid w:val="00764A54"/>
    <w:rsid w:val="00764ABD"/>
    <w:rsid w:val="00764B20"/>
    <w:rsid w:val="00764BC4"/>
    <w:rsid w:val="00764C25"/>
    <w:rsid w:val="00764CCB"/>
    <w:rsid w:val="00764CDC"/>
    <w:rsid w:val="00764D17"/>
    <w:rsid w:val="00764D93"/>
    <w:rsid w:val="00764DFC"/>
    <w:rsid w:val="00764E26"/>
    <w:rsid w:val="00764EB5"/>
    <w:rsid w:val="00764EC0"/>
    <w:rsid w:val="00764F69"/>
    <w:rsid w:val="00764F9C"/>
    <w:rsid w:val="0076520B"/>
    <w:rsid w:val="007652B0"/>
    <w:rsid w:val="007652F4"/>
    <w:rsid w:val="007653CA"/>
    <w:rsid w:val="00765479"/>
    <w:rsid w:val="00765519"/>
    <w:rsid w:val="00765588"/>
    <w:rsid w:val="007656DF"/>
    <w:rsid w:val="00765781"/>
    <w:rsid w:val="007657F7"/>
    <w:rsid w:val="007658F1"/>
    <w:rsid w:val="0076596C"/>
    <w:rsid w:val="0076596D"/>
    <w:rsid w:val="00765970"/>
    <w:rsid w:val="00765AB8"/>
    <w:rsid w:val="00765AC4"/>
    <w:rsid w:val="00765AF5"/>
    <w:rsid w:val="00765B33"/>
    <w:rsid w:val="00765BB9"/>
    <w:rsid w:val="00765C23"/>
    <w:rsid w:val="00765C75"/>
    <w:rsid w:val="00765D0E"/>
    <w:rsid w:val="00765D90"/>
    <w:rsid w:val="00765F48"/>
    <w:rsid w:val="00765FB2"/>
    <w:rsid w:val="0076601A"/>
    <w:rsid w:val="00766054"/>
    <w:rsid w:val="0076605C"/>
    <w:rsid w:val="007661A6"/>
    <w:rsid w:val="00766211"/>
    <w:rsid w:val="007662A9"/>
    <w:rsid w:val="0076634E"/>
    <w:rsid w:val="007663DA"/>
    <w:rsid w:val="0076643D"/>
    <w:rsid w:val="00766458"/>
    <w:rsid w:val="00766466"/>
    <w:rsid w:val="007664B9"/>
    <w:rsid w:val="00766532"/>
    <w:rsid w:val="0076654C"/>
    <w:rsid w:val="007665E0"/>
    <w:rsid w:val="0076662B"/>
    <w:rsid w:val="00766671"/>
    <w:rsid w:val="00766702"/>
    <w:rsid w:val="00766710"/>
    <w:rsid w:val="0076678B"/>
    <w:rsid w:val="007667C5"/>
    <w:rsid w:val="007667C9"/>
    <w:rsid w:val="007667EF"/>
    <w:rsid w:val="007668CE"/>
    <w:rsid w:val="007668D0"/>
    <w:rsid w:val="007668F7"/>
    <w:rsid w:val="00766933"/>
    <w:rsid w:val="007669A2"/>
    <w:rsid w:val="007669D4"/>
    <w:rsid w:val="00766A30"/>
    <w:rsid w:val="00766A96"/>
    <w:rsid w:val="00766AF3"/>
    <w:rsid w:val="00766B27"/>
    <w:rsid w:val="00766B69"/>
    <w:rsid w:val="00766BFC"/>
    <w:rsid w:val="00766C0B"/>
    <w:rsid w:val="00766CB7"/>
    <w:rsid w:val="00766DF9"/>
    <w:rsid w:val="00766E6B"/>
    <w:rsid w:val="00766FB4"/>
    <w:rsid w:val="00766FDE"/>
    <w:rsid w:val="0076713A"/>
    <w:rsid w:val="00767215"/>
    <w:rsid w:val="00767267"/>
    <w:rsid w:val="0076727E"/>
    <w:rsid w:val="00767333"/>
    <w:rsid w:val="007673A9"/>
    <w:rsid w:val="007673C5"/>
    <w:rsid w:val="00767400"/>
    <w:rsid w:val="007677A4"/>
    <w:rsid w:val="0076783A"/>
    <w:rsid w:val="007678CD"/>
    <w:rsid w:val="00767952"/>
    <w:rsid w:val="00767970"/>
    <w:rsid w:val="00767A8A"/>
    <w:rsid w:val="00767AD1"/>
    <w:rsid w:val="00767BDE"/>
    <w:rsid w:val="00767C2F"/>
    <w:rsid w:val="00767CE9"/>
    <w:rsid w:val="00767D16"/>
    <w:rsid w:val="00767DBC"/>
    <w:rsid w:val="00767F3F"/>
    <w:rsid w:val="00767F6E"/>
    <w:rsid w:val="00767FDD"/>
    <w:rsid w:val="00770131"/>
    <w:rsid w:val="00770156"/>
    <w:rsid w:val="007701B6"/>
    <w:rsid w:val="007701E0"/>
    <w:rsid w:val="007703A4"/>
    <w:rsid w:val="007703C7"/>
    <w:rsid w:val="00770404"/>
    <w:rsid w:val="00770477"/>
    <w:rsid w:val="00770500"/>
    <w:rsid w:val="0077054D"/>
    <w:rsid w:val="007706F8"/>
    <w:rsid w:val="00770712"/>
    <w:rsid w:val="0077071A"/>
    <w:rsid w:val="00770754"/>
    <w:rsid w:val="00770756"/>
    <w:rsid w:val="007708AF"/>
    <w:rsid w:val="007708BC"/>
    <w:rsid w:val="00770925"/>
    <w:rsid w:val="00770A06"/>
    <w:rsid w:val="00770B84"/>
    <w:rsid w:val="00770BB6"/>
    <w:rsid w:val="00770C3D"/>
    <w:rsid w:val="00770C85"/>
    <w:rsid w:val="00770F6B"/>
    <w:rsid w:val="00770FFE"/>
    <w:rsid w:val="00771044"/>
    <w:rsid w:val="007710BA"/>
    <w:rsid w:val="007710E9"/>
    <w:rsid w:val="007710F3"/>
    <w:rsid w:val="007711D2"/>
    <w:rsid w:val="007711F9"/>
    <w:rsid w:val="007712E6"/>
    <w:rsid w:val="007712FC"/>
    <w:rsid w:val="00771328"/>
    <w:rsid w:val="00771397"/>
    <w:rsid w:val="007714A5"/>
    <w:rsid w:val="007714B5"/>
    <w:rsid w:val="007714FD"/>
    <w:rsid w:val="00771543"/>
    <w:rsid w:val="00771560"/>
    <w:rsid w:val="00771606"/>
    <w:rsid w:val="0077163C"/>
    <w:rsid w:val="00771645"/>
    <w:rsid w:val="007716B8"/>
    <w:rsid w:val="007716DC"/>
    <w:rsid w:val="00771818"/>
    <w:rsid w:val="00771828"/>
    <w:rsid w:val="0077185F"/>
    <w:rsid w:val="0077187D"/>
    <w:rsid w:val="0077188A"/>
    <w:rsid w:val="007718E3"/>
    <w:rsid w:val="00771A52"/>
    <w:rsid w:val="00771C32"/>
    <w:rsid w:val="00771C95"/>
    <w:rsid w:val="00771F97"/>
    <w:rsid w:val="00771FAA"/>
    <w:rsid w:val="00771FB2"/>
    <w:rsid w:val="00771FC1"/>
    <w:rsid w:val="0077209C"/>
    <w:rsid w:val="00772108"/>
    <w:rsid w:val="00772150"/>
    <w:rsid w:val="00772196"/>
    <w:rsid w:val="00772215"/>
    <w:rsid w:val="007722C8"/>
    <w:rsid w:val="007722CE"/>
    <w:rsid w:val="0077239D"/>
    <w:rsid w:val="007723C6"/>
    <w:rsid w:val="00772463"/>
    <w:rsid w:val="0077266E"/>
    <w:rsid w:val="0077273D"/>
    <w:rsid w:val="00772756"/>
    <w:rsid w:val="00772773"/>
    <w:rsid w:val="007728E5"/>
    <w:rsid w:val="007729CA"/>
    <w:rsid w:val="00772A11"/>
    <w:rsid w:val="00772A8E"/>
    <w:rsid w:val="00772AD2"/>
    <w:rsid w:val="00772B00"/>
    <w:rsid w:val="00772BCE"/>
    <w:rsid w:val="00772C8D"/>
    <w:rsid w:val="00772D59"/>
    <w:rsid w:val="00772EEE"/>
    <w:rsid w:val="00772F44"/>
    <w:rsid w:val="0077300E"/>
    <w:rsid w:val="00773098"/>
    <w:rsid w:val="0077329D"/>
    <w:rsid w:val="00773302"/>
    <w:rsid w:val="00773305"/>
    <w:rsid w:val="00773315"/>
    <w:rsid w:val="007733A2"/>
    <w:rsid w:val="007733CA"/>
    <w:rsid w:val="00773401"/>
    <w:rsid w:val="00773414"/>
    <w:rsid w:val="00773492"/>
    <w:rsid w:val="007734E9"/>
    <w:rsid w:val="0077361C"/>
    <w:rsid w:val="00773662"/>
    <w:rsid w:val="007736A0"/>
    <w:rsid w:val="007736F7"/>
    <w:rsid w:val="007737E9"/>
    <w:rsid w:val="007738E2"/>
    <w:rsid w:val="00773952"/>
    <w:rsid w:val="00773A02"/>
    <w:rsid w:val="00773AF5"/>
    <w:rsid w:val="00773B12"/>
    <w:rsid w:val="00773B3B"/>
    <w:rsid w:val="00773B54"/>
    <w:rsid w:val="00773B86"/>
    <w:rsid w:val="00773BB9"/>
    <w:rsid w:val="00773CA3"/>
    <w:rsid w:val="00773CDB"/>
    <w:rsid w:val="00773D2E"/>
    <w:rsid w:val="00773E45"/>
    <w:rsid w:val="00773EFC"/>
    <w:rsid w:val="00773F18"/>
    <w:rsid w:val="00773F73"/>
    <w:rsid w:val="00773F79"/>
    <w:rsid w:val="0077403D"/>
    <w:rsid w:val="0077405D"/>
    <w:rsid w:val="00774085"/>
    <w:rsid w:val="0077408A"/>
    <w:rsid w:val="00774159"/>
    <w:rsid w:val="007741AF"/>
    <w:rsid w:val="007743DB"/>
    <w:rsid w:val="007743E2"/>
    <w:rsid w:val="0077445E"/>
    <w:rsid w:val="007744A9"/>
    <w:rsid w:val="0077463C"/>
    <w:rsid w:val="00774646"/>
    <w:rsid w:val="0077466D"/>
    <w:rsid w:val="0077474D"/>
    <w:rsid w:val="00774755"/>
    <w:rsid w:val="007747B6"/>
    <w:rsid w:val="00774874"/>
    <w:rsid w:val="0077492A"/>
    <w:rsid w:val="00774946"/>
    <w:rsid w:val="007749BD"/>
    <w:rsid w:val="007749EB"/>
    <w:rsid w:val="00774A50"/>
    <w:rsid w:val="00774B1C"/>
    <w:rsid w:val="00774B96"/>
    <w:rsid w:val="00774C44"/>
    <w:rsid w:val="00774CA3"/>
    <w:rsid w:val="00774D49"/>
    <w:rsid w:val="00774D9C"/>
    <w:rsid w:val="00774DD7"/>
    <w:rsid w:val="00774E9C"/>
    <w:rsid w:val="00774F8D"/>
    <w:rsid w:val="00775023"/>
    <w:rsid w:val="00775062"/>
    <w:rsid w:val="00775128"/>
    <w:rsid w:val="007751A8"/>
    <w:rsid w:val="0077520B"/>
    <w:rsid w:val="00775235"/>
    <w:rsid w:val="00775255"/>
    <w:rsid w:val="0077530E"/>
    <w:rsid w:val="00775452"/>
    <w:rsid w:val="00775473"/>
    <w:rsid w:val="007755B8"/>
    <w:rsid w:val="007755E2"/>
    <w:rsid w:val="00775600"/>
    <w:rsid w:val="00775886"/>
    <w:rsid w:val="007758FA"/>
    <w:rsid w:val="007759C3"/>
    <w:rsid w:val="00775B24"/>
    <w:rsid w:val="00775B28"/>
    <w:rsid w:val="00775B5B"/>
    <w:rsid w:val="00775C0B"/>
    <w:rsid w:val="00775C13"/>
    <w:rsid w:val="00775C8D"/>
    <w:rsid w:val="00775CA3"/>
    <w:rsid w:val="00775DCC"/>
    <w:rsid w:val="00775E4E"/>
    <w:rsid w:val="00775ED2"/>
    <w:rsid w:val="00775F37"/>
    <w:rsid w:val="0077606E"/>
    <w:rsid w:val="007760F2"/>
    <w:rsid w:val="007762EB"/>
    <w:rsid w:val="00776317"/>
    <w:rsid w:val="0077647C"/>
    <w:rsid w:val="007766C2"/>
    <w:rsid w:val="007766CE"/>
    <w:rsid w:val="007766D1"/>
    <w:rsid w:val="007766E8"/>
    <w:rsid w:val="0077674F"/>
    <w:rsid w:val="007768CE"/>
    <w:rsid w:val="007768E4"/>
    <w:rsid w:val="007769BA"/>
    <w:rsid w:val="00776A10"/>
    <w:rsid w:val="00776AC8"/>
    <w:rsid w:val="00776B0C"/>
    <w:rsid w:val="00776B1B"/>
    <w:rsid w:val="00776BAB"/>
    <w:rsid w:val="00776C69"/>
    <w:rsid w:val="00776D00"/>
    <w:rsid w:val="00776D25"/>
    <w:rsid w:val="00776D51"/>
    <w:rsid w:val="00776F34"/>
    <w:rsid w:val="00776FE4"/>
    <w:rsid w:val="00776FEB"/>
    <w:rsid w:val="007770FB"/>
    <w:rsid w:val="00777181"/>
    <w:rsid w:val="007772B2"/>
    <w:rsid w:val="007772BF"/>
    <w:rsid w:val="007772FA"/>
    <w:rsid w:val="0077731D"/>
    <w:rsid w:val="0077739F"/>
    <w:rsid w:val="00777480"/>
    <w:rsid w:val="007775B9"/>
    <w:rsid w:val="00777607"/>
    <w:rsid w:val="007776AF"/>
    <w:rsid w:val="007776C9"/>
    <w:rsid w:val="00777724"/>
    <w:rsid w:val="00777882"/>
    <w:rsid w:val="007778EA"/>
    <w:rsid w:val="007779C5"/>
    <w:rsid w:val="00777A8F"/>
    <w:rsid w:val="00777BA2"/>
    <w:rsid w:val="00777BE1"/>
    <w:rsid w:val="00777CD2"/>
    <w:rsid w:val="00777CE7"/>
    <w:rsid w:val="00777D53"/>
    <w:rsid w:val="00777D74"/>
    <w:rsid w:val="00777E3A"/>
    <w:rsid w:val="00777E41"/>
    <w:rsid w:val="00777ECF"/>
    <w:rsid w:val="00777EF4"/>
    <w:rsid w:val="00777F6E"/>
    <w:rsid w:val="00777FDE"/>
    <w:rsid w:val="00780046"/>
    <w:rsid w:val="00780097"/>
    <w:rsid w:val="007800C8"/>
    <w:rsid w:val="007801DE"/>
    <w:rsid w:val="00780234"/>
    <w:rsid w:val="00780236"/>
    <w:rsid w:val="00780239"/>
    <w:rsid w:val="007802D3"/>
    <w:rsid w:val="00780385"/>
    <w:rsid w:val="007805B4"/>
    <w:rsid w:val="00780606"/>
    <w:rsid w:val="00780628"/>
    <w:rsid w:val="0078067E"/>
    <w:rsid w:val="00780766"/>
    <w:rsid w:val="0078093D"/>
    <w:rsid w:val="007809C7"/>
    <w:rsid w:val="00780AFC"/>
    <w:rsid w:val="00780B1D"/>
    <w:rsid w:val="00780B3A"/>
    <w:rsid w:val="00780B42"/>
    <w:rsid w:val="00780B5C"/>
    <w:rsid w:val="00780B8F"/>
    <w:rsid w:val="00780BCF"/>
    <w:rsid w:val="00780C5F"/>
    <w:rsid w:val="00780D47"/>
    <w:rsid w:val="00780D4B"/>
    <w:rsid w:val="00780E2E"/>
    <w:rsid w:val="00780E5F"/>
    <w:rsid w:val="00781013"/>
    <w:rsid w:val="00781017"/>
    <w:rsid w:val="00781018"/>
    <w:rsid w:val="007810B1"/>
    <w:rsid w:val="007810CB"/>
    <w:rsid w:val="00781136"/>
    <w:rsid w:val="0078117D"/>
    <w:rsid w:val="007811C5"/>
    <w:rsid w:val="007811F5"/>
    <w:rsid w:val="0078125E"/>
    <w:rsid w:val="0078142E"/>
    <w:rsid w:val="00781440"/>
    <w:rsid w:val="0078169F"/>
    <w:rsid w:val="007816DC"/>
    <w:rsid w:val="00781745"/>
    <w:rsid w:val="007817C2"/>
    <w:rsid w:val="00781803"/>
    <w:rsid w:val="0078180E"/>
    <w:rsid w:val="00781829"/>
    <w:rsid w:val="0078196F"/>
    <w:rsid w:val="0078197C"/>
    <w:rsid w:val="00781998"/>
    <w:rsid w:val="00781A37"/>
    <w:rsid w:val="00781A55"/>
    <w:rsid w:val="00781A6D"/>
    <w:rsid w:val="00781CBA"/>
    <w:rsid w:val="00781CD9"/>
    <w:rsid w:val="00781D0D"/>
    <w:rsid w:val="00781D52"/>
    <w:rsid w:val="00781D86"/>
    <w:rsid w:val="00781EAF"/>
    <w:rsid w:val="00781F4D"/>
    <w:rsid w:val="00781F62"/>
    <w:rsid w:val="00781F96"/>
    <w:rsid w:val="00781FD9"/>
    <w:rsid w:val="00782044"/>
    <w:rsid w:val="007820D7"/>
    <w:rsid w:val="007820EA"/>
    <w:rsid w:val="00782242"/>
    <w:rsid w:val="0078224F"/>
    <w:rsid w:val="00782256"/>
    <w:rsid w:val="007822F6"/>
    <w:rsid w:val="007823A1"/>
    <w:rsid w:val="007823C4"/>
    <w:rsid w:val="007823E7"/>
    <w:rsid w:val="00782413"/>
    <w:rsid w:val="00782423"/>
    <w:rsid w:val="00782484"/>
    <w:rsid w:val="00782597"/>
    <w:rsid w:val="007826DC"/>
    <w:rsid w:val="0078277F"/>
    <w:rsid w:val="00782796"/>
    <w:rsid w:val="00782950"/>
    <w:rsid w:val="0078296F"/>
    <w:rsid w:val="00782ABB"/>
    <w:rsid w:val="00782AE8"/>
    <w:rsid w:val="00782BD3"/>
    <w:rsid w:val="00782D40"/>
    <w:rsid w:val="00782E28"/>
    <w:rsid w:val="00782E2E"/>
    <w:rsid w:val="00782E3F"/>
    <w:rsid w:val="00782E51"/>
    <w:rsid w:val="00782E96"/>
    <w:rsid w:val="00782FAA"/>
    <w:rsid w:val="007830BC"/>
    <w:rsid w:val="007831BA"/>
    <w:rsid w:val="0078325C"/>
    <w:rsid w:val="00783274"/>
    <w:rsid w:val="00783293"/>
    <w:rsid w:val="007832C5"/>
    <w:rsid w:val="0078333B"/>
    <w:rsid w:val="007833C2"/>
    <w:rsid w:val="00783699"/>
    <w:rsid w:val="007836B2"/>
    <w:rsid w:val="007836CF"/>
    <w:rsid w:val="00783764"/>
    <w:rsid w:val="007837F1"/>
    <w:rsid w:val="007837F8"/>
    <w:rsid w:val="007837F9"/>
    <w:rsid w:val="007838A2"/>
    <w:rsid w:val="007839F8"/>
    <w:rsid w:val="00783A7D"/>
    <w:rsid w:val="00783ACF"/>
    <w:rsid w:val="00783AD4"/>
    <w:rsid w:val="00783B36"/>
    <w:rsid w:val="00783BA1"/>
    <w:rsid w:val="00783C8B"/>
    <w:rsid w:val="00783DDD"/>
    <w:rsid w:val="00783E07"/>
    <w:rsid w:val="00784311"/>
    <w:rsid w:val="00784399"/>
    <w:rsid w:val="007843F6"/>
    <w:rsid w:val="007843F7"/>
    <w:rsid w:val="007844D7"/>
    <w:rsid w:val="00784503"/>
    <w:rsid w:val="00784566"/>
    <w:rsid w:val="00784567"/>
    <w:rsid w:val="0078458E"/>
    <w:rsid w:val="007845A0"/>
    <w:rsid w:val="00784685"/>
    <w:rsid w:val="007846F4"/>
    <w:rsid w:val="00784709"/>
    <w:rsid w:val="0078479D"/>
    <w:rsid w:val="007847C8"/>
    <w:rsid w:val="007847D9"/>
    <w:rsid w:val="007847F7"/>
    <w:rsid w:val="0078487B"/>
    <w:rsid w:val="00784988"/>
    <w:rsid w:val="00784A37"/>
    <w:rsid w:val="00784A5F"/>
    <w:rsid w:val="00784B15"/>
    <w:rsid w:val="00784B73"/>
    <w:rsid w:val="00784B7C"/>
    <w:rsid w:val="00784B86"/>
    <w:rsid w:val="00784D07"/>
    <w:rsid w:val="00784D42"/>
    <w:rsid w:val="00784D64"/>
    <w:rsid w:val="00784E9A"/>
    <w:rsid w:val="00784E9F"/>
    <w:rsid w:val="00784F03"/>
    <w:rsid w:val="00784F4B"/>
    <w:rsid w:val="0078507D"/>
    <w:rsid w:val="007850FC"/>
    <w:rsid w:val="0078516A"/>
    <w:rsid w:val="007851BA"/>
    <w:rsid w:val="0078523C"/>
    <w:rsid w:val="00785241"/>
    <w:rsid w:val="0078532E"/>
    <w:rsid w:val="007853A0"/>
    <w:rsid w:val="007853FB"/>
    <w:rsid w:val="007853FC"/>
    <w:rsid w:val="007854E1"/>
    <w:rsid w:val="007854E7"/>
    <w:rsid w:val="007854EC"/>
    <w:rsid w:val="00785643"/>
    <w:rsid w:val="007856A1"/>
    <w:rsid w:val="0078570C"/>
    <w:rsid w:val="00785749"/>
    <w:rsid w:val="00785848"/>
    <w:rsid w:val="0078595B"/>
    <w:rsid w:val="00785AA3"/>
    <w:rsid w:val="00785AED"/>
    <w:rsid w:val="00785BA1"/>
    <w:rsid w:val="00785BA2"/>
    <w:rsid w:val="00785BE4"/>
    <w:rsid w:val="00785C9C"/>
    <w:rsid w:val="00785D32"/>
    <w:rsid w:val="00785DB7"/>
    <w:rsid w:val="00785DCD"/>
    <w:rsid w:val="00785E1B"/>
    <w:rsid w:val="00785EC8"/>
    <w:rsid w:val="0078603D"/>
    <w:rsid w:val="00786057"/>
    <w:rsid w:val="007860F3"/>
    <w:rsid w:val="00786172"/>
    <w:rsid w:val="007861A2"/>
    <w:rsid w:val="007861AE"/>
    <w:rsid w:val="0078623B"/>
    <w:rsid w:val="0078629E"/>
    <w:rsid w:val="00786311"/>
    <w:rsid w:val="00786341"/>
    <w:rsid w:val="007863D1"/>
    <w:rsid w:val="00786403"/>
    <w:rsid w:val="00786486"/>
    <w:rsid w:val="007864DB"/>
    <w:rsid w:val="00786585"/>
    <w:rsid w:val="007865AA"/>
    <w:rsid w:val="007865B7"/>
    <w:rsid w:val="00786605"/>
    <w:rsid w:val="0078661F"/>
    <w:rsid w:val="00786699"/>
    <w:rsid w:val="007866D0"/>
    <w:rsid w:val="00786715"/>
    <w:rsid w:val="00786819"/>
    <w:rsid w:val="007868A3"/>
    <w:rsid w:val="00786A26"/>
    <w:rsid w:val="00786A98"/>
    <w:rsid w:val="00786B98"/>
    <w:rsid w:val="00786BA6"/>
    <w:rsid w:val="00786C88"/>
    <w:rsid w:val="00786EEB"/>
    <w:rsid w:val="00786EF9"/>
    <w:rsid w:val="00786FF5"/>
    <w:rsid w:val="00786FFD"/>
    <w:rsid w:val="0078713C"/>
    <w:rsid w:val="00787142"/>
    <w:rsid w:val="0078714D"/>
    <w:rsid w:val="00787172"/>
    <w:rsid w:val="0078723F"/>
    <w:rsid w:val="0078738F"/>
    <w:rsid w:val="007874A2"/>
    <w:rsid w:val="00787505"/>
    <w:rsid w:val="00787582"/>
    <w:rsid w:val="007876EB"/>
    <w:rsid w:val="0078777A"/>
    <w:rsid w:val="00787888"/>
    <w:rsid w:val="00787895"/>
    <w:rsid w:val="00787B06"/>
    <w:rsid w:val="00787B7D"/>
    <w:rsid w:val="00787B93"/>
    <w:rsid w:val="00787BCD"/>
    <w:rsid w:val="00787C88"/>
    <w:rsid w:val="00787D14"/>
    <w:rsid w:val="00787DAB"/>
    <w:rsid w:val="00787DBD"/>
    <w:rsid w:val="00787E39"/>
    <w:rsid w:val="00787FD6"/>
    <w:rsid w:val="00790136"/>
    <w:rsid w:val="00790146"/>
    <w:rsid w:val="007901B5"/>
    <w:rsid w:val="00790266"/>
    <w:rsid w:val="0079027F"/>
    <w:rsid w:val="0079028B"/>
    <w:rsid w:val="0079028E"/>
    <w:rsid w:val="007902A9"/>
    <w:rsid w:val="00790342"/>
    <w:rsid w:val="0079037D"/>
    <w:rsid w:val="007903DC"/>
    <w:rsid w:val="0079044D"/>
    <w:rsid w:val="00790452"/>
    <w:rsid w:val="007904EC"/>
    <w:rsid w:val="00790590"/>
    <w:rsid w:val="00790682"/>
    <w:rsid w:val="007906CB"/>
    <w:rsid w:val="007907F4"/>
    <w:rsid w:val="00790871"/>
    <w:rsid w:val="00790881"/>
    <w:rsid w:val="00790925"/>
    <w:rsid w:val="00790946"/>
    <w:rsid w:val="00790B0C"/>
    <w:rsid w:val="00790BC1"/>
    <w:rsid w:val="00790BE6"/>
    <w:rsid w:val="00790BE8"/>
    <w:rsid w:val="00790BFC"/>
    <w:rsid w:val="00790C1F"/>
    <w:rsid w:val="00790CBF"/>
    <w:rsid w:val="00790DA7"/>
    <w:rsid w:val="00790DFB"/>
    <w:rsid w:val="00790E44"/>
    <w:rsid w:val="00790E98"/>
    <w:rsid w:val="00790EB2"/>
    <w:rsid w:val="00790FBA"/>
    <w:rsid w:val="007910B5"/>
    <w:rsid w:val="007910E7"/>
    <w:rsid w:val="0079114B"/>
    <w:rsid w:val="00791199"/>
    <w:rsid w:val="00791216"/>
    <w:rsid w:val="00791275"/>
    <w:rsid w:val="007912B7"/>
    <w:rsid w:val="00791397"/>
    <w:rsid w:val="007913C8"/>
    <w:rsid w:val="007913DD"/>
    <w:rsid w:val="00791503"/>
    <w:rsid w:val="0079157E"/>
    <w:rsid w:val="00791645"/>
    <w:rsid w:val="007916A7"/>
    <w:rsid w:val="007916B4"/>
    <w:rsid w:val="00791716"/>
    <w:rsid w:val="007917E5"/>
    <w:rsid w:val="00791809"/>
    <w:rsid w:val="00791819"/>
    <w:rsid w:val="0079190A"/>
    <w:rsid w:val="0079194A"/>
    <w:rsid w:val="00791A17"/>
    <w:rsid w:val="00791A21"/>
    <w:rsid w:val="00791B61"/>
    <w:rsid w:val="00791B90"/>
    <w:rsid w:val="00791B95"/>
    <w:rsid w:val="00791BA9"/>
    <w:rsid w:val="00791BD6"/>
    <w:rsid w:val="00791BE0"/>
    <w:rsid w:val="00791C0E"/>
    <w:rsid w:val="00791C5B"/>
    <w:rsid w:val="00791CD8"/>
    <w:rsid w:val="00791D41"/>
    <w:rsid w:val="00791D5B"/>
    <w:rsid w:val="00791D5E"/>
    <w:rsid w:val="00791F73"/>
    <w:rsid w:val="00792017"/>
    <w:rsid w:val="00792044"/>
    <w:rsid w:val="00792094"/>
    <w:rsid w:val="00792109"/>
    <w:rsid w:val="00792117"/>
    <w:rsid w:val="00792199"/>
    <w:rsid w:val="007922B4"/>
    <w:rsid w:val="007922C3"/>
    <w:rsid w:val="00792322"/>
    <w:rsid w:val="0079235B"/>
    <w:rsid w:val="0079238E"/>
    <w:rsid w:val="007923B6"/>
    <w:rsid w:val="007923C1"/>
    <w:rsid w:val="007923F7"/>
    <w:rsid w:val="00792459"/>
    <w:rsid w:val="00792468"/>
    <w:rsid w:val="007924EF"/>
    <w:rsid w:val="00792509"/>
    <w:rsid w:val="0079254C"/>
    <w:rsid w:val="007925C2"/>
    <w:rsid w:val="007925DE"/>
    <w:rsid w:val="007925FA"/>
    <w:rsid w:val="007926AD"/>
    <w:rsid w:val="00792835"/>
    <w:rsid w:val="00792899"/>
    <w:rsid w:val="00792950"/>
    <w:rsid w:val="00792B99"/>
    <w:rsid w:val="00792BCB"/>
    <w:rsid w:val="00792BD3"/>
    <w:rsid w:val="00792CB6"/>
    <w:rsid w:val="00792E75"/>
    <w:rsid w:val="00792E8E"/>
    <w:rsid w:val="00792EAC"/>
    <w:rsid w:val="00792F09"/>
    <w:rsid w:val="00792F0C"/>
    <w:rsid w:val="00792F56"/>
    <w:rsid w:val="00792F7E"/>
    <w:rsid w:val="00792FD9"/>
    <w:rsid w:val="00792FDC"/>
    <w:rsid w:val="007930C7"/>
    <w:rsid w:val="0079310B"/>
    <w:rsid w:val="007931F1"/>
    <w:rsid w:val="007931FD"/>
    <w:rsid w:val="00793222"/>
    <w:rsid w:val="0079344A"/>
    <w:rsid w:val="007934F7"/>
    <w:rsid w:val="00793554"/>
    <w:rsid w:val="00793572"/>
    <w:rsid w:val="007935D1"/>
    <w:rsid w:val="00793669"/>
    <w:rsid w:val="007936DA"/>
    <w:rsid w:val="00793748"/>
    <w:rsid w:val="007937B0"/>
    <w:rsid w:val="007937BE"/>
    <w:rsid w:val="00793870"/>
    <w:rsid w:val="007939CA"/>
    <w:rsid w:val="00793A4A"/>
    <w:rsid w:val="00793BDC"/>
    <w:rsid w:val="00793C5E"/>
    <w:rsid w:val="00793D37"/>
    <w:rsid w:val="00793D70"/>
    <w:rsid w:val="00793DB4"/>
    <w:rsid w:val="00793E03"/>
    <w:rsid w:val="00793ED9"/>
    <w:rsid w:val="00793F7E"/>
    <w:rsid w:val="00793FA7"/>
    <w:rsid w:val="00793FB0"/>
    <w:rsid w:val="00793FF6"/>
    <w:rsid w:val="00794089"/>
    <w:rsid w:val="00794329"/>
    <w:rsid w:val="00794338"/>
    <w:rsid w:val="007943BD"/>
    <w:rsid w:val="00794401"/>
    <w:rsid w:val="00794486"/>
    <w:rsid w:val="00794522"/>
    <w:rsid w:val="007945AA"/>
    <w:rsid w:val="007945AE"/>
    <w:rsid w:val="0079465F"/>
    <w:rsid w:val="007946D7"/>
    <w:rsid w:val="0079471B"/>
    <w:rsid w:val="00794735"/>
    <w:rsid w:val="00794756"/>
    <w:rsid w:val="007947DD"/>
    <w:rsid w:val="00794960"/>
    <w:rsid w:val="007949EC"/>
    <w:rsid w:val="00794A11"/>
    <w:rsid w:val="00794A39"/>
    <w:rsid w:val="00794B1B"/>
    <w:rsid w:val="00794C16"/>
    <w:rsid w:val="00794CE4"/>
    <w:rsid w:val="00794EF2"/>
    <w:rsid w:val="00794F8C"/>
    <w:rsid w:val="00794F91"/>
    <w:rsid w:val="00794FF0"/>
    <w:rsid w:val="00795126"/>
    <w:rsid w:val="0079512F"/>
    <w:rsid w:val="0079526F"/>
    <w:rsid w:val="007953B6"/>
    <w:rsid w:val="00795418"/>
    <w:rsid w:val="007954C3"/>
    <w:rsid w:val="00795602"/>
    <w:rsid w:val="0079569F"/>
    <w:rsid w:val="007956BE"/>
    <w:rsid w:val="00795706"/>
    <w:rsid w:val="00795712"/>
    <w:rsid w:val="007957BF"/>
    <w:rsid w:val="007957CD"/>
    <w:rsid w:val="0079583C"/>
    <w:rsid w:val="00795A95"/>
    <w:rsid w:val="00795B67"/>
    <w:rsid w:val="00795BE6"/>
    <w:rsid w:val="00795C8E"/>
    <w:rsid w:val="00795DE1"/>
    <w:rsid w:val="00795F30"/>
    <w:rsid w:val="0079609B"/>
    <w:rsid w:val="0079612E"/>
    <w:rsid w:val="00796150"/>
    <w:rsid w:val="0079617A"/>
    <w:rsid w:val="0079634D"/>
    <w:rsid w:val="0079637E"/>
    <w:rsid w:val="007963EC"/>
    <w:rsid w:val="007964CC"/>
    <w:rsid w:val="007964F3"/>
    <w:rsid w:val="00796513"/>
    <w:rsid w:val="007965EA"/>
    <w:rsid w:val="007965F7"/>
    <w:rsid w:val="00796604"/>
    <w:rsid w:val="00796609"/>
    <w:rsid w:val="00796682"/>
    <w:rsid w:val="0079669A"/>
    <w:rsid w:val="00796751"/>
    <w:rsid w:val="007967F9"/>
    <w:rsid w:val="00796832"/>
    <w:rsid w:val="00796891"/>
    <w:rsid w:val="00796923"/>
    <w:rsid w:val="007969F4"/>
    <w:rsid w:val="00796A16"/>
    <w:rsid w:val="00796A18"/>
    <w:rsid w:val="00796A20"/>
    <w:rsid w:val="00796A53"/>
    <w:rsid w:val="00796A8E"/>
    <w:rsid w:val="00796A91"/>
    <w:rsid w:val="00796BAE"/>
    <w:rsid w:val="00796BE0"/>
    <w:rsid w:val="00796C01"/>
    <w:rsid w:val="00796CA6"/>
    <w:rsid w:val="00796DC6"/>
    <w:rsid w:val="0079709F"/>
    <w:rsid w:val="00797132"/>
    <w:rsid w:val="0079713D"/>
    <w:rsid w:val="0079720F"/>
    <w:rsid w:val="0079725D"/>
    <w:rsid w:val="00797319"/>
    <w:rsid w:val="0079747A"/>
    <w:rsid w:val="00797497"/>
    <w:rsid w:val="007977A0"/>
    <w:rsid w:val="007977BB"/>
    <w:rsid w:val="0079780B"/>
    <w:rsid w:val="0079797C"/>
    <w:rsid w:val="007979A0"/>
    <w:rsid w:val="00797A6C"/>
    <w:rsid w:val="00797AD1"/>
    <w:rsid w:val="00797B04"/>
    <w:rsid w:val="00797B25"/>
    <w:rsid w:val="00797C92"/>
    <w:rsid w:val="00797CA6"/>
    <w:rsid w:val="00797D44"/>
    <w:rsid w:val="00797DA9"/>
    <w:rsid w:val="00797DC3"/>
    <w:rsid w:val="00797E19"/>
    <w:rsid w:val="00797E7A"/>
    <w:rsid w:val="00797EF8"/>
    <w:rsid w:val="00797F6B"/>
    <w:rsid w:val="00797FDF"/>
    <w:rsid w:val="007A0001"/>
    <w:rsid w:val="007A001C"/>
    <w:rsid w:val="007A00DC"/>
    <w:rsid w:val="007A011D"/>
    <w:rsid w:val="007A0152"/>
    <w:rsid w:val="007A01A5"/>
    <w:rsid w:val="007A01D2"/>
    <w:rsid w:val="007A025C"/>
    <w:rsid w:val="007A026C"/>
    <w:rsid w:val="007A02ED"/>
    <w:rsid w:val="007A0354"/>
    <w:rsid w:val="007A03DC"/>
    <w:rsid w:val="007A049C"/>
    <w:rsid w:val="007A0508"/>
    <w:rsid w:val="007A0556"/>
    <w:rsid w:val="007A058C"/>
    <w:rsid w:val="007A0592"/>
    <w:rsid w:val="007A0682"/>
    <w:rsid w:val="007A06E8"/>
    <w:rsid w:val="007A070D"/>
    <w:rsid w:val="007A08E8"/>
    <w:rsid w:val="007A09DF"/>
    <w:rsid w:val="007A09E4"/>
    <w:rsid w:val="007A0A1A"/>
    <w:rsid w:val="007A0A22"/>
    <w:rsid w:val="007A0B3A"/>
    <w:rsid w:val="007A0BBD"/>
    <w:rsid w:val="007A0CAB"/>
    <w:rsid w:val="007A0D85"/>
    <w:rsid w:val="007A0E69"/>
    <w:rsid w:val="007A0E98"/>
    <w:rsid w:val="007A0ED9"/>
    <w:rsid w:val="007A0F38"/>
    <w:rsid w:val="007A0F63"/>
    <w:rsid w:val="007A1026"/>
    <w:rsid w:val="007A1059"/>
    <w:rsid w:val="007A10F8"/>
    <w:rsid w:val="007A11E7"/>
    <w:rsid w:val="007A1216"/>
    <w:rsid w:val="007A12EB"/>
    <w:rsid w:val="007A1419"/>
    <w:rsid w:val="007A14D5"/>
    <w:rsid w:val="007A14DA"/>
    <w:rsid w:val="007A155B"/>
    <w:rsid w:val="007A1602"/>
    <w:rsid w:val="007A1606"/>
    <w:rsid w:val="007A1661"/>
    <w:rsid w:val="007A173D"/>
    <w:rsid w:val="007A1747"/>
    <w:rsid w:val="007A17C5"/>
    <w:rsid w:val="007A17F7"/>
    <w:rsid w:val="007A1868"/>
    <w:rsid w:val="007A1883"/>
    <w:rsid w:val="007A19CD"/>
    <w:rsid w:val="007A1A57"/>
    <w:rsid w:val="007A1B1A"/>
    <w:rsid w:val="007A1B1C"/>
    <w:rsid w:val="007A1C23"/>
    <w:rsid w:val="007A1C30"/>
    <w:rsid w:val="007A1C47"/>
    <w:rsid w:val="007A1C48"/>
    <w:rsid w:val="007A1CAC"/>
    <w:rsid w:val="007A1CC2"/>
    <w:rsid w:val="007A1D11"/>
    <w:rsid w:val="007A1E02"/>
    <w:rsid w:val="007A1E82"/>
    <w:rsid w:val="007A1EF2"/>
    <w:rsid w:val="007A203A"/>
    <w:rsid w:val="007A2131"/>
    <w:rsid w:val="007A215D"/>
    <w:rsid w:val="007A21CD"/>
    <w:rsid w:val="007A226F"/>
    <w:rsid w:val="007A2279"/>
    <w:rsid w:val="007A2299"/>
    <w:rsid w:val="007A22A0"/>
    <w:rsid w:val="007A22E5"/>
    <w:rsid w:val="007A23AC"/>
    <w:rsid w:val="007A249B"/>
    <w:rsid w:val="007A25A1"/>
    <w:rsid w:val="007A2605"/>
    <w:rsid w:val="007A2633"/>
    <w:rsid w:val="007A264E"/>
    <w:rsid w:val="007A2863"/>
    <w:rsid w:val="007A28C5"/>
    <w:rsid w:val="007A2A19"/>
    <w:rsid w:val="007A2A55"/>
    <w:rsid w:val="007A2B76"/>
    <w:rsid w:val="007A2B81"/>
    <w:rsid w:val="007A2BDE"/>
    <w:rsid w:val="007A2CAF"/>
    <w:rsid w:val="007A2D09"/>
    <w:rsid w:val="007A2D63"/>
    <w:rsid w:val="007A2DD4"/>
    <w:rsid w:val="007A2DED"/>
    <w:rsid w:val="007A2E5A"/>
    <w:rsid w:val="007A2FE9"/>
    <w:rsid w:val="007A301D"/>
    <w:rsid w:val="007A30E8"/>
    <w:rsid w:val="007A31DF"/>
    <w:rsid w:val="007A3211"/>
    <w:rsid w:val="007A3624"/>
    <w:rsid w:val="007A3677"/>
    <w:rsid w:val="007A368C"/>
    <w:rsid w:val="007A3697"/>
    <w:rsid w:val="007A3794"/>
    <w:rsid w:val="007A381C"/>
    <w:rsid w:val="007A38A6"/>
    <w:rsid w:val="007A38CC"/>
    <w:rsid w:val="007A3933"/>
    <w:rsid w:val="007A3974"/>
    <w:rsid w:val="007A3981"/>
    <w:rsid w:val="007A3998"/>
    <w:rsid w:val="007A39AA"/>
    <w:rsid w:val="007A3A14"/>
    <w:rsid w:val="007A3ADE"/>
    <w:rsid w:val="007A3B68"/>
    <w:rsid w:val="007A3B7E"/>
    <w:rsid w:val="007A3B96"/>
    <w:rsid w:val="007A3BF5"/>
    <w:rsid w:val="007A3C4C"/>
    <w:rsid w:val="007A3CB0"/>
    <w:rsid w:val="007A3E73"/>
    <w:rsid w:val="007A4047"/>
    <w:rsid w:val="007A40BF"/>
    <w:rsid w:val="007A40D4"/>
    <w:rsid w:val="007A41D5"/>
    <w:rsid w:val="007A42AF"/>
    <w:rsid w:val="007A450D"/>
    <w:rsid w:val="007A4562"/>
    <w:rsid w:val="007A474E"/>
    <w:rsid w:val="007A47B1"/>
    <w:rsid w:val="007A47E1"/>
    <w:rsid w:val="007A47FC"/>
    <w:rsid w:val="007A49A7"/>
    <w:rsid w:val="007A4B48"/>
    <w:rsid w:val="007A4B51"/>
    <w:rsid w:val="007A4D33"/>
    <w:rsid w:val="007A4D90"/>
    <w:rsid w:val="007A4ECC"/>
    <w:rsid w:val="007A4F44"/>
    <w:rsid w:val="007A4F58"/>
    <w:rsid w:val="007A4FC5"/>
    <w:rsid w:val="007A502B"/>
    <w:rsid w:val="007A5078"/>
    <w:rsid w:val="007A5150"/>
    <w:rsid w:val="007A5189"/>
    <w:rsid w:val="007A52F1"/>
    <w:rsid w:val="007A5510"/>
    <w:rsid w:val="007A5560"/>
    <w:rsid w:val="007A55EB"/>
    <w:rsid w:val="007A5657"/>
    <w:rsid w:val="007A56BC"/>
    <w:rsid w:val="007A5732"/>
    <w:rsid w:val="007A5888"/>
    <w:rsid w:val="007A58C2"/>
    <w:rsid w:val="007A58DE"/>
    <w:rsid w:val="007A5981"/>
    <w:rsid w:val="007A59B1"/>
    <w:rsid w:val="007A59B6"/>
    <w:rsid w:val="007A5A1C"/>
    <w:rsid w:val="007A5B4D"/>
    <w:rsid w:val="007A5BC6"/>
    <w:rsid w:val="007A5C77"/>
    <w:rsid w:val="007A5CC2"/>
    <w:rsid w:val="007A5DAE"/>
    <w:rsid w:val="007A5E8E"/>
    <w:rsid w:val="007A5ECC"/>
    <w:rsid w:val="007A5F23"/>
    <w:rsid w:val="007A5F25"/>
    <w:rsid w:val="007A5FCB"/>
    <w:rsid w:val="007A5FCC"/>
    <w:rsid w:val="007A609F"/>
    <w:rsid w:val="007A6200"/>
    <w:rsid w:val="007A6285"/>
    <w:rsid w:val="007A6292"/>
    <w:rsid w:val="007A639F"/>
    <w:rsid w:val="007A6425"/>
    <w:rsid w:val="007A649A"/>
    <w:rsid w:val="007A64B2"/>
    <w:rsid w:val="007A6628"/>
    <w:rsid w:val="007A66B3"/>
    <w:rsid w:val="007A66DD"/>
    <w:rsid w:val="007A67E2"/>
    <w:rsid w:val="007A6891"/>
    <w:rsid w:val="007A6A03"/>
    <w:rsid w:val="007A6A34"/>
    <w:rsid w:val="007A6AA4"/>
    <w:rsid w:val="007A6AE6"/>
    <w:rsid w:val="007A6B21"/>
    <w:rsid w:val="007A6B53"/>
    <w:rsid w:val="007A6B83"/>
    <w:rsid w:val="007A6BCB"/>
    <w:rsid w:val="007A6C17"/>
    <w:rsid w:val="007A6C6D"/>
    <w:rsid w:val="007A6C7B"/>
    <w:rsid w:val="007A6D44"/>
    <w:rsid w:val="007A6DA7"/>
    <w:rsid w:val="007A6EBC"/>
    <w:rsid w:val="007A700C"/>
    <w:rsid w:val="007A71C1"/>
    <w:rsid w:val="007A7439"/>
    <w:rsid w:val="007A74D4"/>
    <w:rsid w:val="007A74DC"/>
    <w:rsid w:val="007A753D"/>
    <w:rsid w:val="007A75DF"/>
    <w:rsid w:val="007A75F8"/>
    <w:rsid w:val="007A77EB"/>
    <w:rsid w:val="007A7817"/>
    <w:rsid w:val="007A7849"/>
    <w:rsid w:val="007A78D9"/>
    <w:rsid w:val="007A7910"/>
    <w:rsid w:val="007A7960"/>
    <w:rsid w:val="007A79C7"/>
    <w:rsid w:val="007A7A45"/>
    <w:rsid w:val="007A7A4A"/>
    <w:rsid w:val="007A7ACD"/>
    <w:rsid w:val="007A7ACE"/>
    <w:rsid w:val="007A7B3E"/>
    <w:rsid w:val="007A7B88"/>
    <w:rsid w:val="007A7B9B"/>
    <w:rsid w:val="007A7C0E"/>
    <w:rsid w:val="007A7CFE"/>
    <w:rsid w:val="007A7E30"/>
    <w:rsid w:val="007A7E79"/>
    <w:rsid w:val="007A7EC0"/>
    <w:rsid w:val="007A7ED2"/>
    <w:rsid w:val="007A7FBF"/>
    <w:rsid w:val="007A7FD2"/>
    <w:rsid w:val="007B0051"/>
    <w:rsid w:val="007B006C"/>
    <w:rsid w:val="007B008B"/>
    <w:rsid w:val="007B01BE"/>
    <w:rsid w:val="007B01FE"/>
    <w:rsid w:val="007B0499"/>
    <w:rsid w:val="007B04A5"/>
    <w:rsid w:val="007B055B"/>
    <w:rsid w:val="007B05A2"/>
    <w:rsid w:val="007B05A6"/>
    <w:rsid w:val="007B0623"/>
    <w:rsid w:val="007B0663"/>
    <w:rsid w:val="007B068A"/>
    <w:rsid w:val="007B071A"/>
    <w:rsid w:val="007B074B"/>
    <w:rsid w:val="007B075E"/>
    <w:rsid w:val="007B07CA"/>
    <w:rsid w:val="007B08E0"/>
    <w:rsid w:val="007B0945"/>
    <w:rsid w:val="007B0954"/>
    <w:rsid w:val="007B0A56"/>
    <w:rsid w:val="007B0B0B"/>
    <w:rsid w:val="007B0BC2"/>
    <w:rsid w:val="007B0BFD"/>
    <w:rsid w:val="007B0C9C"/>
    <w:rsid w:val="007B0CA3"/>
    <w:rsid w:val="007B0D65"/>
    <w:rsid w:val="007B0D81"/>
    <w:rsid w:val="007B0D8D"/>
    <w:rsid w:val="007B0E88"/>
    <w:rsid w:val="007B0EB8"/>
    <w:rsid w:val="007B0F06"/>
    <w:rsid w:val="007B0FB0"/>
    <w:rsid w:val="007B0FBC"/>
    <w:rsid w:val="007B107D"/>
    <w:rsid w:val="007B12A8"/>
    <w:rsid w:val="007B12CD"/>
    <w:rsid w:val="007B144F"/>
    <w:rsid w:val="007B1461"/>
    <w:rsid w:val="007B1467"/>
    <w:rsid w:val="007B14DF"/>
    <w:rsid w:val="007B15F3"/>
    <w:rsid w:val="007B1601"/>
    <w:rsid w:val="007B16D7"/>
    <w:rsid w:val="007B1704"/>
    <w:rsid w:val="007B1724"/>
    <w:rsid w:val="007B176B"/>
    <w:rsid w:val="007B17A0"/>
    <w:rsid w:val="007B183E"/>
    <w:rsid w:val="007B199F"/>
    <w:rsid w:val="007B19B2"/>
    <w:rsid w:val="007B19E5"/>
    <w:rsid w:val="007B1AEA"/>
    <w:rsid w:val="007B1B3A"/>
    <w:rsid w:val="007B1BA4"/>
    <w:rsid w:val="007B1D04"/>
    <w:rsid w:val="007B1E25"/>
    <w:rsid w:val="007B1ED6"/>
    <w:rsid w:val="007B209A"/>
    <w:rsid w:val="007B20D6"/>
    <w:rsid w:val="007B2208"/>
    <w:rsid w:val="007B2267"/>
    <w:rsid w:val="007B23D3"/>
    <w:rsid w:val="007B2454"/>
    <w:rsid w:val="007B245B"/>
    <w:rsid w:val="007B246F"/>
    <w:rsid w:val="007B24BA"/>
    <w:rsid w:val="007B250B"/>
    <w:rsid w:val="007B26EB"/>
    <w:rsid w:val="007B2741"/>
    <w:rsid w:val="007B281B"/>
    <w:rsid w:val="007B28A1"/>
    <w:rsid w:val="007B28AE"/>
    <w:rsid w:val="007B290E"/>
    <w:rsid w:val="007B2928"/>
    <w:rsid w:val="007B2A0D"/>
    <w:rsid w:val="007B2ABB"/>
    <w:rsid w:val="007B2AE1"/>
    <w:rsid w:val="007B2D23"/>
    <w:rsid w:val="007B2ED3"/>
    <w:rsid w:val="007B2F10"/>
    <w:rsid w:val="007B2FEB"/>
    <w:rsid w:val="007B2FFD"/>
    <w:rsid w:val="007B3039"/>
    <w:rsid w:val="007B3083"/>
    <w:rsid w:val="007B30B8"/>
    <w:rsid w:val="007B32EE"/>
    <w:rsid w:val="007B330F"/>
    <w:rsid w:val="007B3329"/>
    <w:rsid w:val="007B333D"/>
    <w:rsid w:val="007B3398"/>
    <w:rsid w:val="007B3443"/>
    <w:rsid w:val="007B34EC"/>
    <w:rsid w:val="007B3512"/>
    <w:rsid w:val="007B352C"/>
    <w:rsid w:val="007B36C3"/>
    <w:rsid w:val="007B39F2"/>
    <w:rsid w:val="007B3A69"/>
    <w:rsid w:val="007B3B34"/>
    <w:rsid w:val="007B3BC8"/>
    <w:rsid w:val="007B3D3A"/>
    <w:rsid w:val="007B3E2B"/>
    <w:rsid w:val="007B3F7B"/>
    <w:rsid w:val="007B3F83"/>
    <w:rsid w:val="007B4005"/>
    <w:rsid w:val="007B4116"/>
    <w:rsid w:val="007B425E"/>
    <w:rsid w:val="007B42D4"/>
    <w:rsid w:val="007B43D4"/>
    <w:rsid w:val="007B44A3"/>
    <w:rsid w:val="007B4681"/>
    <w:rsid w:val="007B46C8"/>
    <w:rsid w:val="007B4731"/>
    <w:rsid w:val="007B4792"/>
    <w:rsid w:val="007B47B9"/>
    <w:rsid w:val="007B47CB"/>
    <w:rsid w:val="007B4801"/>
    <w:rsid w:val="007B485A"/>
    <w:rsid w:val="007B4897"/>
    <w:rsid w:val="007B4A2E"/>
    <w:rsid w:val="007B4A36"/>
    <w:rsid w:val="007B4A5B"/>
    <w:rsid w:val="007B4B00"/>
    <w:rsid w:val="007B4B0A"/>
    <w:rsid w:val="007B4CBB"/>
    <w:rsid w:val="007B4CFB"/>
    <w:rsid w:val="007B4D7B"/>
    <w:rsid w:val="007B4DB9"/>
    <w:rsid w:val="007B4DBC"/>
    <w:rsid w:val="007B4E43"/>
    <w:rsid w:val="007B4E45"/>
    <w:rsid w:val="007B4EBB"/>
    <w:rsid w:val="007B4F2E"/>
    <w:rsid w:val="007B4F3A"/>
    <w:rsid w:val="007B4FCC"/>
    <w:rsid w:val="007B4FEA"/>
    <w:rsid w:val="007B5029"/>
    <w:rsid w:val="007B50D7"/>
    <w:rsid w:val="007B512A"/>
    <w:rsid w:val="007B516F"/>
    <w:rsid w:val="007B51B9"/>
    <w:rsid w:val="007B522C"/>
    <w:rsid w:val="007B53CA"/>
    <w:rsid w:val="007B54F0"/>
    <w:rsid w:val="007B551B"/>
    <w:rsid w:val="007B5745"/>
    <w:rsid w:val="007B57A9"/>
    <w:rsid w:val="007B5845"/>
    <w:rsid w:val="007B5860"/>
    <w:rsid w:val="007B58BE"/>
    <w:rsid w:val="007B58CC"/>
    <w:rsid w:val="007B5909"/>
    <w:rsid w:val="007B593A"/>
    <w:rsid w:val="007B5970"/>
    <w:rsid w:val="007B5A57"/>
    <w:rsid w:val="007B5AFF"/>
    <w:rsid w:val="007B5B41"/>
    <w:rsid w:val="007B5B4D"/>
    <w:rsid w:val="007B5B95"/>
    <w:rsid w:val="007B5C87"/>
    <w:rsid w:val="007B5CA1"/>
    <w:rsid w:val="007B5D74"/>
    <w:rsid w:val="007B5E29"/>
    <w:rsid w:val="007B5E2B"/>
    <w:rsid w:val="007B5F54"/>
    <w:rsid w:val="007B60D1"/>
    <w:rsid w:val="007B611A"/>
    <w:rsid w:val="007B632B"/>
    <w:rsid w:val="007B636D"/>
    <w:rsid w:val="007B644B"/>
    <w:rsid w:val="007B6451"/>
    <w:rsid w:val="007B6480"/>
    <w:rsid w:val="007B649D"/>
    <w:rsid w:val="007B6545"/>
    <w:rsid w:val="007B6596"/>
    <w:rsid w:val="007B65C1"/>
    <w:rsid w:val="007B661D"/>
    <w:rsid w:val="007B66BF"/>
    <w:rsid w:val="007B66F9"/>
    <w:rsid w:val="007B67C0"/>
    <w:rsid w:val="007B6899"/>
    <w:rsid w:val="007B6B10"/>
    <w:rsid w:val="007B6BBA"/>
    <w:rsid w:val="007B6BC9"/>
    <w:rsid w:val="007B6C19"/>
    <w:rsid w:val="007B6ED1"/>
    <w:rsid w:val="007B6ED8"/>
    <w:rsid w:val="007B7036"/>
    <w:rsid w:val="007B7037"/>
    <w:rsid w:val="007B7071"/>
    <w:rsid w:val="007B708B"/>
    <w:rsid w:val="007B70A2"/>
    <w:rsid w:val="007B70D4"/>
    <w:rsid w:val="007B70DC"/>
    <w:rsid w:val="007B7190"/>
    <w:rsid w:val="007B71D4"/>
    <w:rsid w:val="007B73A3"/>
    <w:rsid w:val="007B73B8"/>
    <w:rsid w:val="007B73CA"/>
    <w:rsid w:val="007B73D2"/>
    <w:rsid w:val="007B74E6"/>
    <w:rsid w:val="007B7575"/>
    <w:rsid w:val="007B75AF"/>
    <w:rsid w:val="007B75C7"/>
    <w:rsid w:val="007B769F"/>
    <w:rsid w:val="007B7705"/>
    <w:rsid w:val="007B774B"/>
    <w:rsid w:val="007B780E"/>
    <w:rsid w:val="007B78A8"/>
    <w:rsid w:val="007B78EE"/>
    <w:rsid w:val="007B7994"/>
    <w:rsid w:val="007B79A2"/>
    <w:rsid w:val="007B79C8"/>
    <w:rsid w:val="007B79F9"/>
    <w:rsid w:val="007B7A7C"/>
    <w:rsid w:val="007B7A7E"/>
    <w:rsid w:val="007B7A81"/>
    <w:rsid w:val="007B7BD4"/>
    <w:rsid w:val="007B7CD5"/>
    <w:rsid w:val="007B7DF7"/>
    <w:rsid w:val="007B7E28"/>
    <w:rsid w:val="007B7E48"/>
    <w:rsid w:val="007B7E60"/>
    <w:rsid w:val="007B7E7D"/>
    <w:rsid w:val="007B7F5C"/>
    <w:rsid w:val="007B7F62"/>
    <w:rsid w:val="007C012A"/>
    <w:rsid w:val="007C0190"/>
    <w:rsid w:val="007C0235"/>
    <w:rsid w:val="007C0250"/>
    <w:rsid w:val="007C0281"/>
    <w:rsid w:val="007C02B7"/>
    <w:rsid w:val="007C031C"/>
    <w:rsid w:val="007C0324"/>
    <w:rsid w:val="007C03AE"/>
    <w:rsid w:val="007C0472"/>
    <w:rsid w:val="007C0598"/>
    <w:rsid w:val="007C05D5"/>
    <w:rsid w:val="007C0642"/>
    <w:rsid w:val="007C064B"/>
    <w:rsid w:val="007C0652"/>
    <w:rsid w:val="007C077D"/>
    <w:rsid w:val="007C07E0"/>
    <w:rsid w:val="007C0898"/>
    <w:rsid w:val="007C08FB"/>
    <w:rsid w:val="007C09EC"/>
    <w:rsid w:val="007C0BEB"/>
    <w:rsid w:val="007C0C23"/>
    <w:rsid w:val="007C0D2C"/>
    <w:rsid w:val="007C0DF3"/>
    <w:rsid w:val="007C0E57"/>
    <w:rsid w:val="007C0EFA"/>
    <w:rsid w:val="007C0FE4"/>
    <w:rsid w:val="007C1113"/>
    <w:rsid w:val="007C111A"/>
    <w:rsid w:val="007C114B"/>
    <w:rsid w:val="007C125B"/>
    <w:rsid w:val="007C12AC"/>
    <w:rsid w:val="007C1350"/>
    <w:rsid w:val="007C1358"/>
    <w:rsid w:val="007C1483"/>
    <w:rsid w:val="007C14AF"/>
    <w:rsid w:val="007C14E8"/>
    <w:rsid w:val="007C15BC"/>
    <w:rsid w:val="007C1664"/>
    <w:rsid w:val="007C175D"/>
    <w:rsid w:val="007C181E"/>
    <w:rsid w:val="007C185E"/>
    <w:rsid w:val="007C187D"/>
    <w:rsid w:val="007C1894"/>
    <w:rsid w:val="007C189F"/>
    <w:rsid w:val="007C18F6"/>
    <w:rsid w:val="007C196E"/>
    <w:rsid w:val="007C19F8"/>
    <w:rsid w:val="007C1A5E"/>
    <w:rsid w:val="007C1A74"/>
    <w:rsid w:val="007C1AB9"/>
    <w:rsid w:val="007C1C0D"/>
    <w:rsid w:val="007C1C9D"/>
    <w:rsid w:val="007C1D12"/>
    <w:rsid w:val="007C1D3B"/>
    <w:rsid w:val="007C1D84"/>
    <w:rsid w:val="007C1DFD"/>
    <w:rsid w:val="007C1E16"/>
    <w:rsid w:val="007C1E5E"/>
    <w:rsid w:val="007C1EB6"/>
    <w:rsid w:val="007C1F54"/>
    <w:rsid w:val="007C1F92"/>
    <w:rsid w:val="007C21C2"/>
    <w:rsid w:val="007C21EB"/>
    <w:rsid w:val="007C233C"/>
    <w:rsid w:val="007C23CA"/>
    <w:rsid w:val="007C23D1"/>
    <w:rsid w:val="007C23E2"/>
    <w:rsid w:val="007C23F6"/>
    <w:rsid w:val="007C2413"/>
    <w:rsid w:val="007C2417"/>
    <w:rsid w:val="007C2672"/>
    <w:rsid w:val="007C26B3"/>
    <w:rsid w:val="007C26BC"/>
    <w:rsid w:val="007C26E2"/>
    <w:rsid w:val="007C2724"/>
    <w:rsid w:val="007C2838"/>
    <w:rsid w:val="007C2854"/>
    <w:rsid w:val="007C2855"/>
    <w:rsid w:val="007C2922"/>
    <w:rsid w:val="007C295C"/>
    <w:rsid w:val="007C2A49"/>
    <w:rsid w:val="007C2A73"/>
    <w:rsid w:val="007C2B0A"/>
    <w:rsid w:val="007C2B11"/>
    <w:rsid w:val="007C2B15"/>
    <w:rsid w:val="007C2B39"/>
    <w:rsid w:val="007C2C04"/>
    <w:rsid w:val="007C2DDA"/>
    <w:rsid w:val="007C2E27"/>
    <w:rsid w:val="007C2ECF"/>
    <w:rsid w:val="007C2FBD"/>
    <w:rsid w:val="007C3086"/>
    <w:rsid w:val="007C30CC"/>
    <w:rsid w:val="007C30D5"/>
    <w:rsid w:val="007C318E"/>
    <w:rsid w:val="007C334B"/>
    <w:rsid w:val="007C3455"/>
    <w:rsid w:val="007C34D1"/>
    <w:rsid w:val="007C34EC"/>
    <w:rsid w:val="007C35ED"/>
    <w:rsid w:val="007C361F"/>
    <w:rsid w:val="007C36DD"/>
    <w:rsid w:val="007C36FE"/>
    <w:rsid w:val="007C3740"/>
    <w:rsid w:val="007C3775"/>
    <w:rsid w:val="007C385D"/>
    <w:rsid w:val="007C3871"/>
    <w:rsid w:val="007C38C3"/>
    <w:rsid w:val="007C38C6"/>
    <w:rsid w:val="007C39C1"/>
    <w:rsid w:val="007C3AD9"/>
    <w:rsid w:val="007C3AFB"/>
    <w:rsid w:val="007C3B54"/>
    <w:rsid w:val="007C3BA5"/>
    <w:rsid w:val="007C3BFE"/>
    <w:rsid w:val="007C3C1F"/>
    <w:rsid w:val="007C3C24"/>
    <w:rsid w:val="007C3C37"/>
    <w:rsid w:val="007C3C6D"/>
    <w:rsid w:val="007C3D83"/>
    <w:rsid w:val="007C4025"/>
    <w:rsid w:val="007C40B3"/>
    <w:rsid w:val="007C40BD"/>
    <w:rsid w:val="007C40CC"/>
    <w:rsid w:val="007C4149"/>
    <w:rsid w:val="007C415B"/>
    <w:rsid w:val="007C41F7"/>
    <w:rsid w:val="007C4249"/>
    <w:rsid w:val="007C43E9"/>
    <w:rsid w:val="007C4427"/>
    <w:rsid w:val="007C4486"/>
    <w:rsid w:val="007C448E"/>
    <w:rsid w:val="007C452D"/>
    <w:rsid w:val="007C4564"/>
    <w:rsid w:val="007C45FB"/>
    <w:rsid w:val="007C4692"/>
    <w:rsid w:val="007C4754"/>
    <w:rsid w:val="007C47E3"/>
    <w:rsid w:val="007C4836"/>
    <w:rsid w:val="007C486F"/>
    <w:rsid w:val="007C48DE"/>
    <w:rsid w:val="007C4933"/>
    <w:rsid w:val="007C4938"/>
    <w:rsid w:val="007C49CA"/>
    <w:rsid w:val="007C4ADB"/>
    <w:rsid w:val="007C4B14"/>
    <w:rsid w:val="007C4B1C"/>
    <w:rsid w:val="007C4DAC"/>
    <w:rsid w:val="007C4E6A"/>
    <w:rsid w:val="007C4E6B"/>
    <w:rsid w:val="007C4E9B"/>
    <w:rsid w:val="007C4FB2"/>
    <w:rsid w:val="007C5016"/>
    <w:rsid w:val="007C512D"/>
    <w:rsid w:val="007C5188"/>
    <w:rsid w:val="007C5252"/>
    <w:rsid w:val="007C5283"/>
    <w:rsid w:val="007C536E"/>
    <w:rsid w:val="007C53A2"/>
    <w:rsid w:val="007C547E"/>
    <w:rsid w:val="007C5491"/>
    <w:rsid w:val="007C557C"/>
    <w:rsid w:val="007C55EC"/>
    <w:rsid w:val="007C5685"/>
    <w:rsid w:val="007C5686"/>
    <w:rsid w:val="007C56C6"/>
    <w:rsid w:val="007C56E9"/>
    <w:rsid w:val="007C57A0"/>
    <w:rsid w:val="007C599F"/>
    <w:rsid w:val="007C5C76"/>
    <w:rsid w:val="007C5CB4"/>
    <w:rsid w:val="007C5D26"/>
    <w:rsid w:val="007C5D35"/>
    <w:rsid w:val="007C5D44"/>
    <w:rsid w:val="007C5DB7"/>
    <w:rsid w:val="007C5DD1"/>
    <w:rsid w:val="007C5ED2"/>
    <w:rsid w:val="007C5EF8"/>
    <w:rsid w:val="007C5FA7"/>
    <w:rsid w:val="007C5FDD"/>
    <w:rsid w:val="007C6054"/>
    <w:rsid w:val="007C608C"/>
    <w:rsid w:val="007C609C"/>
    <w:rsid w:val="007C623A"/>
    <w:rsid w:val="007C6319"/>
    <w:rsid w:val="007C63A8"/>
    <w:rsid w:val="007C63B1"/>
    <w:rsid w:val="007C657D"/>
    <w:rsid w:val="007C660E"/>
    <w:rsid w:val="007C6816"/>
    <w:rsid w:val="007C6835"/>
    <w:rsid w:val="007C68A2"/>
    <w:rsid w:val="007C68E5"/>
    <w:rsid w:val="007C6936"/>
    <w:rsid w:val="007C6951"/>
    <w:rsid w:val="007C698F"/>
    <w:rsid w:val="007C6A20"/>
    <w:rsid w:val="007C6A65"/>
    <w:rsid w:val="007C6B23"/>
    <w:rsid w:val="007C6B58"/>
    <w:rsid w:val="007C6C27"/>
    <w:rsid w:val="007C6C92"/>
    <w:rsid w:val="007C6D39"/>
    <w:rsid w:val="007C6D80"/>
    <w:rsid w:val="007C6DD3"/>
    <w:rsid w:val="007C6F77"/>
    <w:rsid w:val="007C6F9D"/>
    <w:rsid w:val="007C6FEC"/>
    <w:rsid w:val="007C6FEE"/>
    <w:rsid w:val="007C7008"/>
    <w:rsid w:val="007C7093"/>
    <w:rsid w:val="007C70F8"/>
    <w:rsid w:val="007C71AB"/>
    <w:rsid w:val="007C7312"/>
    <w:rsid w:val="007C7341"/>
    <w:rsid w:val="007C736E"/>
    <w:rsid w:val="007C738D"/>
    <w:rsid w:val="007C73B8"/>
    <w:rsid w:val="007C74A5"/>
    <w:rsid w:val="007C756B"/>
    <w:rsid w:val="007C7582"/>
    <w:rsid w:val="007C75C1"/>
    <w:rsid w:val="007C76C0"/>
    <w:rsid w:val="007C780A"/>
    <w:rsid w:val="007C7956"/>
    <w:rsid w:val="007C7A0A"/>
    <w:rsid w:val="007C7A48"/>
    <w:rsid w:val="007C7A87"/>
    <w:rsid w:val="007C7B35"/>
    <w:rsid w:val="007C7C82"/>
    <w:rsid w:val="007C7D34"/>
    <w:rsid w:val="007C7E84"/>
    <w:rsid w:val="007D0148"/>
    <w:rsid w:val="007D0151"/>
    <w:rsid w:val="007D01D2"/>
    <w:rsid w:val="007D0273"/>
    <w:rsid w:val="007D02FF"/>
    <w:rsid w:val="007D03FC"/>
    <w:rsid w:val="007D0534"/>
    <w:rsid w:val="007D05E1"/>
    <w:rsid w:val="007D060E"/>
    <w:rsid w:val="007D0701"/>
    <w:rsid w:val="007D0705"/>
    <w:rsid w:val="007D0718"/>
    <w:rsid w:val="007D072C"/>
    <w:rsid w:val="007D07F9"/>
    <w:rsid w:val="007D0843"/>
    <w:rsid w:val="007D08EC"/>
    <w:rsid w:val="007D093A"/>
    <w:rsid w:val="007D095B"/>
    <w:rsid w:val="007D09C4"/>
    <w:rsid w:val="007D09E9"/>
    <w:rsid w:val="007D0AC1"/>
    <w:rsid w:val="007D0AC6"/>
    <w:rsid w:val="007D0BD2"/>
    <w:rsid w:val="007D0C15"/>
    <w:rsid w:val="007D0C32"/>
    <w:rsid w:val="007D0C56"/>
    <w:rsid w:val="007D0D1E"/>
    <w:rsid w:val="007D0EFE"/>
    <w:rsid w:val="007D0F47"/>
    <w:rsid w:val="007D1030"/>
    <w:rsid w:val="007D1133"/>
    <w:rsid w:val="007D11AF"/>
    <w:rsid w:val="007D11C7"/>
    <w:rsid w:val="007D11EF"/>
    <w:rsid w:val="007D123C"/>
    <w:rsid w:val="007D124A"/>
    <w:rsid w:val="007D1325"/>
    <w:rsid w:val="007D1378"/>
    <w:rsid w:val="007D1409"/>
    <w:rsid w:val="007D143F"/>
    <w:rsid w:val="007D1621"/>
    <w:rsid w:val="007D1709"/>
    <w:rsid w:val="007D1723"/>
    <w:rsid w:val="007D1750"/>
    <w:rsid w:val="007D17C7"/>
    <w:rsid w:val="007D184E"/>
    <w:rsid w:val="007D1954"/>
    <w:rsid w:val="007D1B55"/>
    <w:rsid w:val="007D1B57"/>
    <w:rsid w:val="007D1C1A"/>
    <w:rsid w:val="007D1C9E"/>
    <w:rsid w:val="007D1E51"/>
    <w:rsid w:val="007D2030"/>
    <w:rsid w:val="007D2052"/>
    <w:rsid w:val="007D20ED"/>
    <w:rsid w:val="007D21BD"/>
    <w:rsid w:val="007D2227"/>
    <w:rsid w:val="007D2250"/>
    <w:rsid w:val="007D2257"/>
    <w:rsid w:val="007D22F7"/>
    <w:rsid w:val="007D230D"/>
    <w:rsid w:val="007D24EC"/>
    <w:rsid w:val="007D2561"/>
    <w:rsid w:val="007D2736"/>
    <w:rsid w:val="007D280E"/>
    <w:rsid w:val="007D2828"/>
    <w:rsid w:val="007D28C2"/>
    <w:rsid w:val="007D297B"/>
    <w:rsid w:val="007D2A06"/>
    <w:rsid w:val="007D2A45"/>
    <w:rsid w:val="007D2A49"/>
    <w:rsid w:val="007D2A9D"/>
    <w:rsid w:val="007D2AFA"/>
    <w:rsid w:val="007D2C3C"/>
    <w:rsid w:val="007D2C9C"/>
    <w:rsid w:val="007D2CB0"/>
    <w:rsid w:val="007D2FB8"/>
    <w:rsid w:val="007D311F"/>
    <w:rsid w:val="007D3325"/>
    <w:rsid w:val="007D332F"/>
    <w:rsid w:val="007D33AE"/>
    <w:rsid w:val="007D345D"/>
    <w:rsid w:val="007D354E"/>
    <w:rsid w:val="007D3551"/>
    <w:rsid w:val="007D359E"/>
    <w:rsid w:val="007D3617"/>
    <w:rsid w:val="007D36D4"/>
    <w:rsid w:val="007D36E0"/>
    <w:rsid w:val="007D36E2"/>
    <w:rsid w:val="007D3726"/>
    <w:rsid w:val="007D3743"/>
    <w:rsid w:val="007D37F7"/>
    <w:rsid w:val="007D38B1"/>
    <w:rsid w:val="007D39D7"/>
    <w:rsid w:val="007D3A10"/>
    <w:rsid w:val="007D3A98"/>
    <w:rsid w:val="007D3B18"/>
    <w:rsid w:val="007D3B28"/>
    <w:rsid w:val="007D3BD6"/>
    <w:rsid w:val="007D3BDB"/>
    <w:rsid w:val="007D3C05"/>
    <w:rsid w:val="007D3C16"/>
    <w:rsid w:val="007D3DD3"/>
    <w:rsid w:val="007D3E1B"/>
    <w:rsid w:val="007D3ED7"/>
    <w:rsid w:val="007D3EF1"/>
    <w:rsid w:val="007D4028"/>
    <w:rsid w:val="007D4034"/>
    <w:rsid w:val="007D40E1"/>
    <w:rsid w:val="007D4154"/>
    <w:rsid w:val="007D41D5"/>
    <w:rsid w:val="007D4286"/>
    <w:rsid w:val="007D42C6"/>
    <w:rsid w:val="007D42E7"/>
    <w:rsid w:val="007D4319"/>
    <w:rsid w:val="007D432B"/>
    <w:rsid w:val="007D434D"/>
    <w:rsid w:val="007D4415"/>
    <w:rsid w:val="007D444B"/>
    <w:rsid w:val="007D4482"/>
    <w:rsid w:val="007D4529"/>
    <w:rsid w:val="007D454C"/>
    <w:rsid w:val="007D4598"/>
    <w:rsid w:val="007D45AF"/>
    <w:rsid w:val="007D4647"/>
    <w:rsid w:val="007D470A"/>
    <w:rsid w:val="007D470C"/>
    <w:rsid w:val="007D472A"/>
    <w:rsid w:val="007D47B1"/>
    <w:rsid w:val="007D47B8"/>
    <w:rsid w:val="007D47C2"/>
    <w:rsid w:val="007D4868"/>
    <w:rsid w:val="007D4912"/>
    <w:rsid w:val="007D49F0"/>
    <w:rsid w:val="007D4A58"/>
    <w:rsid w:val="007D4AFE"/>
    <w:rsid w:val="007D4B5D"/>
    <w:rsid w:val="007D4BD1"/>
    <w:rsid w:val="007D4D90"/>
    <w:rsid w:val="007D4DBE"/>
    <w:rsid w:val="007D4DCE"/>
    <w:rsid w:val="007D4E5D"/>
    <w:rsid w:val="007D4E6C"/>
    <w:rsid w:val="007D4FF4"/>
    <w:rsid w:val="007D4FFB"/>
    <w:rsid w:val="007D5011"/>
    <w:rsid w:val="007D50FB"/>
    <w:rsid w:val="007D5178"/>
    <w:rsid w:val="007D518C"/>
    <w:rsid w:val="007D524A"/>
    <w:rsid w:val="007D53CA"/>
    <w:rsid w:val="007D54CC"/>
    <w:rsid w:val="007D5558"/>
    <w:rsid w:val="007D5622"/>
    <w:rsid w:val="007D569E"/>
    <w:rsid w:val="007D56A6"/>
    <w:rsid w:val="007D56BC"/>
    <w:rsid w:val="007D56C6"/>
    <w:rsid w:val="007D572F"/>
    <w:rsid w:val="007D57C6"/>
    <w:rsid w:val="007D587F"/>
    <w:rsid w:val="007D58BB"/>
    <w:rsid w:val="007D58EE"/>
    <w:rsid w:val="007D5973"/>
    <w:rsid w:val="007D5A62"/>
    <w:rsid w:val="007D5AEF"/>
    <w:rsid w:val="007D5BD9"/>
    <w:rsid w:val="007D5BE0"/>
    <w:rsid w:val="007D5C10"/>
    <w:rsid w:val="007D5DA1"/>
    <w:rsid w:val="007D5DEA"/>
    <w:rsid w:val="007D5E5E"/>
    <w:rsid w:val="007D5F3B"/>
    <w:rsid w:val="007D5F8E"/>
    <w:rsid w:val="007D6031"/>
    <w:rsid w:val="007D605D"/>
    <w:rsid w:val="007D606D"/>
    <w:rsid w:val="007D62AF"/>
    <w:rsid w:val="007D6341"/>
    <w:rsid w:val="007D638E"/>
    <w:rsid w:val="007D63B9"/>
    <w:rsid w:val="007D63C9"/>
    <w:rsid w:val="007D63FC"/>
    <w:rsid w:val="007D64C8"/>
    <w:rsid w:val="007D6548"/>
    <w:rsid w:val="007D65F0"/>
    <w:rsid w:val="007D6757"/>
    <w:rsid w:val="007D678B"/>
    <w:rsid w:val="007D67F9"/>
    <w:rsid w:val="007D6885"/>
    <w:rsid w:val="007D68C5"/>
    <w:rsid w:val="007D68C8"/>
    <w:rsid w:val="007D690B"/>
    <w:rsid w:val="007D6965"/>
    <w:rsid w:val="007D69C8"/>
    <w:rsid w:val="007D6A01"/>
    <w:rsid w:val="007D6A10"/>
    <w:rsid w:val="007D6B1F"/>
    <w:rsid w:val="007D6CB2"/>
    <w:rsid w:val="007D6CCA"/>
    <w:rsid w:val="007D6D1B"/>
    <w:rsid w:val="007D6D6F"/>
    <w:rsid w:val="007D6E16"/>
    <w:rsid w:val="007D6EFB"/>
    <w:rsid w:val="007D6FA4"/>
    <w:rsid w:val="007D70AA"/>
    <w:rsid w:val="007D70CB"/>
    <w:rsid w:val="007D7123"/>
    <w:rsid w:val="007D722A"/>
    <w:rsid w:val="007D7249"/>
    <w:rsid w:val="007D724E"/>
    <w:rsid w:val="007D7311"/>
    <w:rsid w:val="007D7345"/>
    <w:rsid w:val="007D7374"/>
    <w:rsid w:val="007D7530"/>
    <w:rsid w:val="007D75B7"/>
    <w:rsid w:val="007D7610"/>
    <w:rsid w:val="007D76DE"/>
    <w:rsid w:val="007D781B"/>
    <w:rsid w:val="007D781E"/>
    <w:rsid w:val="007D793C"/>
    <w:rsid w:val="007D79D7"/>
    <w:rsid w:val="007D7A32"/>
    <w:rsid w:val="007D7A7B"/>
    <w:rsid w:val="007D7AB5"/>
    <w:rsid w:val="007D7B82"/>
    <w:rsid w:val="007D7BC1"/>
    <w:rsid w:val="007D7BE2"/>
    <w:rsid w:val="007D7C3E"/>
    <w:rsid w:val="007D7C89"/>
    <w:rsid w:val="007D7C9D"/>
    <w:rsid w:val="007D7D18"/>
    <w:rsid w:val="007D7D26"/>
    <w:rsid w:val="007D7E6E"/>
    <w:rsid w:val="007D7EA8"/>
    <w:rsid w:val="007D7F1C"/>
    <w:rsid w:val="007D7F6D"/>
    <w:rsid w:val="007E0066"/>
    <w:rsid w:val="007E00CC"/>
    <w:rsid w:val="007E02C4"/>
    <w:rsid w:val="007E0399"/>
    <w:rsid w:val="007E0405"/>
    <w:rsid w:val="007E0452"/>
    <w:rsid w:val="007E0481"/>
    <w:rsid w:val="007E0505"/>
    <w:rsid w:val="007E0531"/>
    <w:rsid w:val="007E0556"/>
    <w:rsid w:val="007E056D"/>
    <w:rsid w:val="007E05CF"/>
    <w:rsid w:val="007E05FD"/>
    <w:rsid w:val="007E0699"/>
    <w:rsid w:val="007E07CB"/>
    <w:rsid w:val="007E07E6"/>
    <w:rsid w:val="007E0835"/>
    <w:rsid w:val="007E091A"/>
    <w:rsid w:val="007E0960"/>
    <w:rsid w:val="007E0A94"/>
    <w:rsid w:val="007E0AA3"/>
    <w:rsid w:val="007E0ABB"/>
    <w:rsid w:val="007E0AE9"/>
    <w:rsid w:val="007E0C1C"/>
    <w:rsid w:val="007E0C2F"/>
    <w:rsid w:val="007E0C5C"/>
    <w:rsid w:val="007E0CE6"/>
    <w:rsid w:val="007E0D07"/>
    <w:rsid w:val="007E0D12"/>
    <w:rsid w:val="007E0D91"/>
    <w:rsid w:val="007E0DA8"/>
    <w:rsid w:val="007E0DD5"/>
    <w:rsid w:val="007E0DEE"/>
    <w:rsid w:val="007E0E77"/>
    <w:rsid w:val="007E0EC5"/>
    <w:rsid w:val="007E1024"/>
    <w:rsid w:val="007E107B"/>
    <w:rsid w:val="007E10C9"/>
    <w:rsid w:val="007E10F2"/>
    <w:rsid w:val="007E1135"/>
    <w:rsid w:val="007E117E"/>
    <w:rsid w:val="007E120C"/>
    <w:rsid w:val="007E131C"/>
    <w:rsid w:val="007E1358"/>
    <w:rsid w:val="007E1464"/>
    <w:rsid w:val="007E147C"/>
    <w:rsid w:val="007E148C"/>
    <w:rsid w:val="007E152B"/>
    <w:rsid w:val="007E1629"/>
    <w:rsid w:val="007E1870"/>
    <w:rsid w:val="007E193E"/>
    <w:rsid w:val="007E1964"/>
    <w:rsid w:val="007E1968"/>
    <w:rsid w:val="007E1A07"/>
    <w:rsid w:val="007E1A42"/>
    <w:rsid w:val="007E1AA4"/>
    <w:rsid w:val="007E1AB8"/>
    <w:rsid w:val="007E1B1E"/>
    <w:rsid w:val="007E1C61"/>
    <w:rsid w:val="007E1C76"/>
    <w:rsid w:val="007E1CCA"/>
    <w:rsid w:val="007E1D38"/>
    <w:rsid w:val="007E1E4C"/>
    <w:rsid w:val="007E207E"/>
    <w:rsid w:val="007E2089"/>
    <w:rsid w:val="007E21DB"/>
    <w:rsid w:val="007E2245"/>
    <w:rsid w:val="007E22D3"/>
    <w:rsid w:val="007E23C6"/>
    <w:rsid w:val="007E242D"/>
    <w:rsid w:val="007E24F7"/>
    <w:rsid w:val="007E255C"/>
    <w:rsid w:val="007E25ED"/>
    <w:rsid w:val="007E2609"/>
    <w:rsid w:val="007E26A2"/>
    <w:rsid w:val="007E26FB"/>
    <w:rsid w:val="007E2707"/>
    <w:rsid w:val="007E2739"/>
    <w:rsid w:val="007E29F7"/>
    <w:rsid w:val="007E2A55"/>
    <w:rsid w:val="007E2A7A"/>
    <w:rsid w:val="007E2ABF"/>
    <w:rsid w:val="007E2B71"/>
    <w:rsid w:val="007E2BA0"/>
    <w:rsid w:val="007E2C80"/>
    <w:rsid w:val="007E2CC4"/>
    <w:rsid w:val="007E2D64"/>
    <w:rsid w:val="007E2E6F"/>
    <w:rsid w:val="007E2EB2"/>
    <w:rsid w:val="007E2F3A"/>
    <w:rsid w:val="007E2F73"/>
    <w:rsid w:val="007E3047"/>
    <w:rsid w:val="007E3110"/>
    <w:rsid w:val="007E314F"/>
    <w:rsid w:val="007E3276"/>
    <w:rsid w:val="007E3394"/>
    <w:rsid w:val="007E34FB"/>
    <w:rsid w:val="007E352E"/>
    <w:rsid w:val="007E356C"/>
    <w:rsid w:val="007E35FA"/>
    <w:rsid w:val="007E36AE"/>
    <w:rsid w:val="007E373A"/>
    <w:rsid w:val="007E3745"/>
    <w:rsid w:val="007E37A6"/>
    <w:rsid w:val="007E37DC"/>
    <w:rsid w:val="007E386F"/>
    <w:rsid w:val="007E38ED"/>
    <w:rsid w:val="007E3996"/>
    <w:rsid w:val="007E39C1"/>
    <w:rsid w:val="007E39E5"/>
    <w:rsid w:val="007E3B05"/>
    <w:rsid w:val="007E3B06"/>
    <w:rsid w:val="007E3BB6"/>
    <w:rsid w:val="007E3BEC"/>
    <w:rsid w:val="007E3C34"/>
    <w:rsid w:val="007E3D08"/>
    <w:rsid w:val="007E3D9D"/>
    <w:rsid w:val="007E3ED7"/>
    <w:rsid w:val="007E3F51"/>
    <w:rsid w:val="007E3F9F"/>
    <w:rsid w:val="007E41F2"/>
    <w:rsid w:val="007E42AA"/>
    <w:rsid w:val="007E42C3"/>
    <w:rsid w:val="007E42E7"/>
    <w:rsid w:val="007E4320"/>
    <w:rsid w:val="007E43A7"/>
    <w:rsid w:val="007E442C"/>
    <w:rsid w:val="007E4501"/>
    <w:rsid w:val="007E450C"/>
    <w:rsid w:val="007E4591"/>
    <w:rsid w:val="007E45BF"/>
    <w:rsid w:val="007E45E2"/>
    <w:rsid w:val="007E46DA"/>
    <w:rsid w:val="007E4714"/>
    <w:rsid w:val="007E472C"/>
    <w:rsid w:val="007E499B"/>
    <w:rsid w:val="007E49BC"/>
    <w:rsid w:val="007E4A6C"/>
    <w:rsid w:val="007E4C60"/>
    <w:rsid w:val="007E4C95"/>
    <w:rsid w:val="007E4CF7"/>
    <w:rsid w:val="007E4DDA"/>
    <w:rsid w:val="007E4EAB"/>
    <w:rsid w:val="007E4ED7"/>
    <w:rsid w:val="007E4EE0"/>
    <w:rsid w:val="007E4F4B"/>
    <w:rsid w:val="007E4FA9"/>
    <w:rsid w:val="007E4FAC"/>
    <w:rsid w:val="007E4FD4"/>
    <w:rsid w:val="007E4FEC"/>
    <w:rsid w:val="007E5003"/>
    <w:rsid w:val="007E506F"/>
    <w:rsid w:val="007E5125"/>
    <w:rsid w:val="007E5207"/>
    <w:rsid w:val="007E525B"/>
    <w:rsid w:val="007E52C7"/>
    <w:rsid w:val="007E535F"/>
    <w:rsid w:val="007E53BD"/>
    <w:rsid w:val="007E5403"/>
    <w:rsid w:val="007E54D5"/>
    <w:rsid w:val="007E5515"/>
    <w:rsid w:val="007E551E"/>
    <w:rsid w:val="007E55B0"/>
    <w:rsid w:val="007E5672"/>
    <w:rsid w:val="007E568C"/>
    <w:rsid w:val="007E5720"/>
    <w:rsid w:val="007E5723"/>
    <w:rsid w:val="007E576B"/>
    <w:rsid w:val="007E5785"/>
    <w:rsid w:val="007E57BF"/>
    <w:rsid w:val="007E57D9"/>
    <w:rsid w:val="007E57E4"/>
    <w:rsid w:val="007E5829"/>
    <w:rsid w:val="007E59AC"/>
    <w:rsid w:val="007E5A30"/>
    <w:rsid w:val="007E5AF6"/>
    <w:rsid w:val="007E5B13"/>
    <w:rsid w:val="007E5C37"/>
    <w:rsid w:val="007E5CFA"/>
    <w:rsid w:val="007E5D8F"/>
    <w:rsid w:val="007E5E29"/>
    <w:rsid w:val="007E5F27"/>
    <w:rsid w:val="007E5F80"/>
    <w:rsid w:val="007E609A"/>
    <w:rsid w:val="007E6159"/>
    <w:rsid w:val="007E6224"/>
    <w:rsid w:val="007E6366"/>
    <w:rsid w:val="007E65E3"/>
    <w:rsid w:val="007E6661"/>
    <w:rsid w:val="007E6686"/>
    <w:rsid w:val="007E669A"/>
    <w:rsid w:val="007E674C"/>
    <w:rsid w:val="007E681D"/>
    <w:rsid w:val="007E6873"/>
    <w:rsid w:val="007E68AF"/>
    <w:rsid w:val="007E6928"/>
    <w:rsid w:val="007E6953"/>
    <w:rsid w:val="007E69DB"/>
    <w:rsid w:val="007E69EB"/>
    <w:rsid w:val="007E6AF9"/>
    <w:rsid w:val="007E6B48"/>
    <w:rsid w:val="007E6B67"/>
    <w:rsid w:val="007E6C24"/>
    <w:rsid w:val="007E6E5D"/>
    <w:rsid w:val="007E6E9D"/>
    <w:rsid w:val="007E6F30"/>
    <w:rsid w:val="007E70CB"/>
    <w:rsid w:val="007E7138"/>
    <w:rsid w:val="007E721F"/>
    <w:rsid w:val="007E72E8"/>
    <w:rsid w:val="007E7371"/>
    <w:rsid w:val="007E741F"/>
    <w:rsid w:val="007E7453"/>
    <w:rsid w:val="007E7506"/>
    <w:rsid w:val="007E7539"/>
    <w:rsid w:val="007E7551"/>
    <w:rsid w:val="007E75BE"/>
    <w:rsid w:val="007E76D2"/>
    <w:rsid w:val="007E76EF"/>
    <w:rsid w:val="007E7714"/>
    <w:rsid w:val="007E7751"/>
    <w:rsid w:val="007E77BA"/>
    <w:rsid w:val="007E7807"/>
    <w:rsid w:val="007E780B"/>
    <w:rsid w:val="007E7864"/>
    <w:rsid w:val="007E7917"/>
    <w:rsid w:val="007E7941"/>
    <w:rsid w:val="007E7A23"/>
    <w:rsid w:val="007E7AC1"/>
    <w:rsid w:val="007E7AD7"/>
    <w:rsid w:val="007E7BD5"/>
    <w:rsid w:val="007E7BF5"/>
    <w:rsid w:val="007E7C59"/>
    <w:rsid w:val="007E7D4B"/>
    <w:rsid w:val="007E7DA3"/>
    <w:rsid w:val="007E7E77"/>
    <w:rsid w:val="007E7F95"/>
    <w:rsid w:val="007E7FA9"/>
    <w:rsid w:val="007F01CE"/>
    <w:rsid w:val="007F01EC"/>
    <w:rsid w:val="007F02C1"/>
    <w:rsid w:val="007F0316"/>
    <w:rsid w:val="007F03AA"/>
    <w:rsid w:val="007F0437"/>
    <w:rsid w:val="007F0656"/>
    <w:rsid w:val="007F0677"/>
    <w:rsid w:val="007F0705"/>
    <w:rsid w:val="007F0721"/>
    <w:rsid w:val="007F083A"/>
    <w:rsid w:val="007F0866"/>
    <w:rsid w:val="007F0968"/>
    <w:rsid w:val="007F09FC"/>
    <w:rsid w:val="007F0D02"/>
    <w:rsid w:val="007F0D93"/>
    <w:rsid w:val="007F0DA1"/>
    <w:rsid w:val="007F0DB6"/>
    <w:rsid w:val="007F0DD7"/>
    <w:rsid w:val="007F0F1F"/>
    <w:rsid w:val="007F0F8A"/>
    <w:rsid w:val="007F0F9B"/>
    <w:rsid w:val="007F0FBC"/>
    <w:rsid w:val="007F0FEC"/>
    <w:rsid w:val="007F11C7"/>
    <w:rsid w:val="007F11E1"/>
    <w:rsid w:val="007F137C"/>
    <w:rsid w:val="007F14DB"/>
    <w:rsid w:val="007F1578"/>
    <w:rsid w:val="007F15B2"/>
    <w:rsid w:val="007F162E"/>
    <w:rsid w:val="007F167D"/>
    <w:rsid w:val="007F174D"/>
    <w:rsid w:val="007F1800"/>
    <w:rsid w:val="007F184F"/>
    <w:rsid w:val="007F18C8"/>
    <w:rsid w:val="007F18FD"/>
    <w:rsid w:val="007F199F"/>
    <w:rsid w:val="007F1A03"/>
    <w:rsid w:val="007F1B08"/>
    <w:rsid w:val="007F1B72"/>
    <w:rsid w:val="007F1B96"/>
    <w:rsid w:val="007F1BE4"/>
    <w:rsid w:val="007F1C07"/>
    <w:rsid w:val="007F1CF3"/>
    <w:rsid w:val="007F1D77"/>
    <w:rsid w:val="007F1DDD"/>
    <w:rsid w:val="007F1EDD"/>
    <w:rsid w:val="007F1F5C"/>
    <w:rsid w:val="007F1FDB"/>
    <w:rsid w:val="007F1FED"/>
    <w:rsid w:val="007F201B"/>
    <w:rsid w:val="007F203F"/>
    <w:rsid w:val="007F2065"/>
    <w:rsid w:val="007F20F7"/>
    <w:rsid w:val="007F215A"/>
    <w:rsid w:val="007F21A9"/>
    <w:rsid w:val="007F21B1"/>
    <w:rsid w:val="007F21FA"/>
    <w:rsid w:val="007F22BD"/>
    <w:rsid w:val="007F22D5"/>
    <w:rsid w:val="007F2398"/>
    <w:rsid w:val="007F247C"/>
    <w:rsid w:val="007F248E"/>
    <w:rsid w:val="007F25C8"/>
    <w:rsid w:val="007F25FB"/>
    <w:rsid w:val="007F263F"/>
    <w:rsid w:val="007F2656"/>
    <w:rsid w:val="007F27CB"/>
    <w:rsid w:val="007F2973"/>
    <w:rsid w:val="007F29FC"/>
    <w:rsid w:val="007F2A27"/>
    <w:rsid w:val="007F2AFA"/>
    <w:rsid w:val="007F2B00"/>
    <w:rsid w:val="007F2B0F"/>
    <w:rsid w:val="007F2B8B"/>
    <w:rsid w:val="007F2C3D"/>
    <w:rsid w:val="007F2CA6"/>
    <w:rsid w:val="007F2CF5"/>
    <w:rsid w:val="007F2E21"/>
    <w:rsid w:val="007F2F43"/>
    <w:rsid w:val="007F2FAA"/>
    <w:rsid w:val="007F2FCD"/>
    <w:rsid w:val="007F2FDD"/>
    <w:rsid w:val="007F301F"/>
    <w:rsid w:val="007F3107"/>
    <w:rsid w:val="007F3139"/>
    <w:rsid w:val="007F32FA"/>
    <w:rsid w:val="007F3302"/>
    <w:rsid w:val="007F3306"/>
    <w:rsid w:val="007F3385"/>
    <w:rsid w:val="007F33A3"/>
    <w:rsid w:val="007F340E"/>
    <w:rsid w:val="007F3469"/>
    <w:rsid w:val="007F346C"/>
    <w:rsid w:val="007F385B"/>
    <w:rsid w:val="007F38BC"/>
    <w:rsid w:val="007F38F0"/>
    <w:rsid w:val="007F3AFB"/>
    <w:rsid w:val="007F3B75"/>
    <w:rsid w:val="007F3BDD"/>
    <w:rsid w:val="007F3CD9"/>
    <w:rsid w:val="007F3CF7"/>
    <w:rsid w:val="007F3ECC"/>
    <w:rsid w:val="007F3F8B"/>
    <w:rsid w:val="007F3FB1"/>
    <w:rsid w:val="007F4068"/>
    <w:rsid w:val="007F40DF"/>
    <w:rsid w:val="007F412E"/>
    <w:rsid w:val="007F415B"/>
    <w:rsid w:val="007F419D"/>
    <w:rsid w:val="007F422B"/>
    <w:rsid w:val="007F4337"/>
    <w:rsid w:val="007F4368"/>
    <w:rsid w:val="007F43E8"/>
    <w:rsid w:val="007F4455"/>
    <w:rsid w:val="007F44A5"/>
    <w:rsid w:val="007F4625"/>
    <w:rsid w:val="007F4692"/>
    <w:rsid w:val="007F46B5"/>
    <w:rsid w:val="007F46CA"/>
    <w:rsid w:val="007F46D0"/>
    <w:rsid w:val="007F48D0"/>
    <w:rsid w:val="007F48DB"/>
    <w:rsid w:val="007F48F7"/>
    <w:rsid w:val="007F4902"/>
    <w:rsid w:val="007F4933"/>
    <w:rsid w:val="007F4939"/>
    <w:rsid w:val="007F493D"/>
    <w:rsid w:val="007F499A"/>
    <w:rsid w:val="007F49B4"/>
    <w:rsid w:val="007F4AB7"/>
    <w:rsid w:val="007F4ACF"/>
    <w:rsid w:val="007F4B5F"/>
    <w:rsid w:val="007F4BA2"/>
    <w:rsid w:val="007F4BB9"/>
    <w:rsid w:val="007F4C34"/>
    <w:rsid w:val="007F4DC1"/>
    <w:rsid w:val="007F4DE1"/>
    <w:rsid w:val="007F4DEC"/>
    <w:rsid w:val="007F4DF6"/>
    <w:rsid w:val="007F4E1A"/>
    <w:rsid w:val="007F4E69"/>
    <w:rsid w:val="007F4EE0"/>
    <w:rsid w:val="007F5000"/>
    <w:rsid w:val="007F5157"/>
    <w:rsid w:val="007F51B0"/>
    <w:rsid w:val="007F51FD"/>
    <w:rsid w:val="007F524B"/>
    <w:rsid w:val="007F525D"/>
    <w:rsid w:val="007F527F"/>
    <w:rsid w:val="007F53EA"/>
    <w:rsid w:val="007F5403"/>
    <w:rsid w:val="007F5473"/>
    <w:rsid w:val="007F5485"/>
    <w:rsid w:val="007F54B4"/>
    <w:rsid w:val="007F54D4"/>
    <w:rsid w:val="007F54E0"/>
    <w:rsid w:val="007F559C"/>
    <w:rsid w:val="007F5642"/>
    <w:rsid w:val="007F565D"/>
    <w:rsid w:val="007F56D4"/>
    <w:rsid w:val="007F56D5"/>
    <w:rsid w:val="007F56F7"/>
    <w:rsid w:val="007F57CE"/>
    <w:rsid w:val="007F57F5"/>
    <w:rsid w:val="007F5804"/>
    <w:rsid w:val="007F597A"/>
    <w:rsid w:val="007F5A4D"/>
    <w:rsid w:val="007F5A87"/>
    <w:rsid w:val="007F5A98"/>
    <w:rsid w:val="007F5C01"/>
    <w:rsid w:val="007F5C44"/>
    <w:rsid w:val="007F5CAA"/>
    <w:rsid w:val="007F5D22"/>
    <w:rsid w:val="007F5D86"/>
    <w:rsid w:val="007F5DFF"/>
    <w:rsid w:val="007F5E15"/>
    <w:rsid w:val="007F5EC3"/>
    <w:rsid w:val="007F5FD2"/>
    <w:rsid w:val="007F60FC"/>
    <w:rsid w:val="007F6110"/>
    <w:rsid w:val="007F6180"/>
    <w:rsid w:val="007F632B"/>
    <w:rsid w:val="007F63ED"/>
    <w:rsid w:val="007F6468"/>
    <w:rsid w:val="007F6482"/>
    <w:rsid w:val="007F64A3"/>
    <w:rsid w:val="007F64D5"/>
    <w:rsid w:val="007F6767"/>
    <w:rsid w:val="007F67BE"/>
    <w:rsid w:val="007F681A"/>
    <w:rsid w:val="007F68E6"/>
    <w:rsid w:val="007F69A3"/>
    <w:rsid w:val="007F6A78"/>
    <w:rsid w:val="007F6B84"/>
    <w:rsid w:val="007F6BD5"/>
    <w:rsid w:val="007F6C83"/>
    <w:rsid w:val="007F6CC8"/>
    <w:rsid w:val="007F6D04"/>
    <w:rsid w:val="007F6D44"/>
    <w:rsid w:val="007F6DB9"/>
    <w:rsid w:val="007F7045"/>
    <w:rsid w:val="007F7191"/>
    <w:rsid w:val="007F71B8"/>
    <w:rsid w:val="007F71CC"/>
    <w:rsid w:val="007F7267"/>
    <w:rsid w:val="007F74BE"/>
    <w:rsid w:val="007F74D4"/>
    <w:rsid w:val="007F757B"/>
    <w:rsid w:val="007F759B"/>
    <w:rsid w:val="007F760F"/>
    <w:rsid w:val="007F7740"/>
    <w:rsid w:val="007F77EC"/>
    <w:rsid w:val="007F78C5"/>
    <w:rsid w:val="007F7937"/>
    <w:rsid w:val="007F7981"/>
    <w:rsid w:val="007F7992"/>
    <w:rsid w:val="007F7A75"/>
    <w:rsid w:val="007F7B0B"/>
    <w:rsid w:val="007F7BBD"/>
    <w:rsid w:val="007F7BDE"/>
    <w:rsid w:val="007F7C64"/>
    <w:rsid w:val="007F7D01"/>
    <w:rsid w:val="007F7D56"/>
    <w:rsid w:val="007F7EFA"/>
    <w:rsid w:val="007F7F83"/>
    <w:rsid w:val="007F7FAC"/>
    <w:rsid w:val="008000D9"/>
    <w:rsid w:val="00800101"/>
    <w:rsid w:val="00800168"/>
    <w:rsid w:val="00800180"/>
    <w:rsid w:val="00800184"/>
    <w:rsid w:val="008001FA"/>
    <w:rsid w:val="0080024A"/>
    <w:rsid w:val="00800330"/>
    <w:rsid w:val="0080047F"/>
    <w:rsid w:val="008004C9"/>
    <w:rsid w:val="00800546"/>
    <w:rsid w:val="0080055C"/>
    <w:rsid w:val="0080055D"/>
    <w:rsid w:val="008005B0"/>
    <w:rsid w:val="008005C5"/>
    <w:rsid w:val="008005ED"/>
    <w:rsid w:val="00800606"/>
    <w:rsid w:val="00800649"/>
    <w:rsid w:val="00800667"/>
    <w:rsid w:val="0080066E"/>
    <w:rsid w:val="008006B2"/>
    <w:rsid w:val="008006FD"/>
    <w:rsid w:val="0080072B"/>
    <w:rsid w:val="008008DF"/>
    <w:rsid w:val="008009D2"/>
    <w:rsid w:val="00800A64"/>
    <w:rsid w:val="00800A68"/>
    <w:rsid w:val="00800A90"/>
    <w:rsid w:val="00800AB5"/>
    <w:rsid w:val="00800C07"/>
    <w:rsid w:val="00800CE6"/>
    <w:rsid w:val="00800DEA"/>
    <w:rsid w:val="00800E07"/>
    <w:rsid w:val="00800E4A"/>
    <w:rsid w:val="00800E92"/>
    <w:rsid w:val="00800F49"/>
    <w:rsid w:val="00800F8A"/>
    <w:rsid w:val="00800FBC"/>
    <w:rsid w:val="008010C9"/>
    <w:rsid w:val="008010D4"/>
    <w:rsid w:val="008011B7"/>
    <w:rsid w:val="00801231"/>
    <w:rsid w:val="00801244"/>
    <w:rsid w:val="00801332"/>
    <w:rsid w:val="00801344"/>
    <w:rsid w:val="008013DC"/>
    <w:rsid w:val="0080144A"/>
    <w:rsid w:val="00801450"/>
    <w:rsid w:val="008014B7"/>
    <w:rsid w:val="008014CD"/>
    <w:rsid w:val="008014EC"/>
    <w:rsid w:val="00801626"/>
    <w:rsid w:val="008016A8"/>
    <w:rsid w:val="00801700"/>
    <w:rsid w:val="00801707"/>
    <w:rsid w:val="0080173E"/>
    <w:rsid w:val="00801748"/>
    <w:rsid w:val="0080174C"/>
    <w:rsid w:val="00801792"/>
    <w:rsid w:val="008017A1"/>
    <w:rsid w:val="008017A2"/>
    <w:rsid w:val="008017BE"/>
    <w:rsid w:val="008017E7"/>
    <w:rsid w:val="0080189F"/>
    <w:rsid w:val="008018A5"/>
    <w:rsid w:val="008018D1"/>
    <w:rsid w:val="00801983"/>
    <w:rsid w:val="00801B03"/>
    <w:rsid w:val="00801B4F"/>
    <w:rsid w:val="00801C75"/>
    <w:rsid w:val="00801CCD"/>
    <w:rsid w:val="00801CF2"/>
    <w:rsid w:val="00801D8A"/>
    <w:rsid w:val="00801DC3"/>
    <w:rsid w:val="00801E05"/>
    <w:rsid w:val="00801E5F"/>
    <w:rsid w:val="00801F37"/>
    <w:rsid w:val="00801F67"/>
    <w:rsid w:val="00801FB5"/>
    <w:rsid w:val="00801FDF"/>
    <w:rsid w:val="008020FF"/>
    <w:rsid w:val="00802116"/>
    <w:rsid w:val="0080219D"/>
    <w:rsid w:val="0080220A"/>
    <w:rsid w:val="00802218"/>
    <w:rsid w:val="0080222B"/>
    <w:rsid w:val="0080224C"/>
    <w:rsid w:val="008022EE"/>
    <w:rsid w:val="008023C3"/>
    <w:rsid w:val="008023F1"/>
    <w:rsid w:val="00802588"/>
    <w:rsid w:val="00802639"/>
    <w:rsid w:val="008026FE"/>
    <w:rsid w:val="0080278D"/>
    <w:rsid w:val="00802865"/>
    <w:rsid w:val="00802955"/>
    <w:rsid w:val="008029EA"/>
    <w:rsid w:val="00802A14"/>
    <w:rsid w:val="00802A21"/>
    <w:rsid w:val="00802A68"/>
    <w:rsid w:val="00802A7E"/>
    <w:rsid w:val="00802AF5"/>
    <w:rsid w:val="00802B36"/>
    <w:rsid w:val="00802BD9"/>
    <w:rsid w:val="00802C40"/>
    <w:rsid w:val="00802C64"/>
    <w:rsid w:val="00802CC9"/>
    <w:rsid w:val="00802CDF"/>
    <w:rsid w:val="00802D92"/>
    <w:rsid w:val="00802DA5"/>
    <w:rsid w:val="00802DAB"/>
    <w:rsid w:val="00802F72"/>
    <w:rsid w:val="00803026"/>
    <w:rsid w:val="0080304F"/>
    <w:rsid w:val="00803125"/>
    <w:rsid w:val="00803181"/>
    <w:rsid w:val="00803182"/>
    <w:rsid w:val="0080320A"/>
    <w:rsid w:val="008032E3"/>
    <w:rsid w:val="00803337"/>
    <w:rsid w:val="00803344"/>
    <w:rsid w:val="00803476"/>
    <w:rsid w:val="0080350F"/>
    <w:rsid w:val="008036AB"/>
    <w:rsid w:val="00803739"/>
    <w:rsid w:val="008037C9"/>
    <w:rsid w:val="008037E6"/>
    <w:rsid w:val="008039BB"/>
    <w:rsid w:val="00803A23"/>
    <w:rsid w:val="00803C00"/>
    <w:rsid w:val="00803CF3"/>
    <w:rsid w:val="00803DB5"/>
    <w:rsid w:val="00803E06"/>
    <w:rsid w:val="00803E26"/>
    <w:rsid w:val="00803F70"/>
    <w:rsid w:val="00803F92"/>
    <w:rsid w:val="0080420E"/>
    <w:rsid w:val="008042F2"/>
    <w:rsid w:val="00804356"/>
    <w:rsid w:val="00804388"/>
    <w:rsid w:val="008043DA"/>
    <w:rsid w:val="00804434"/>
    <w:rsid w:val="00804454"/>
    <w:rsid w:val="008044C8"/>
    <w:rsid w:val="00804588"/>
    <w:rsid w:val="00804612"/>
    <w:rsid w:val="00804726"/>
    <w:rsid w:val="00804774"/>
    <w:rsid w:val="008047E9"/>
    <w:rsid w:val="008047F8"/>
    <w:rsid w:val="008048FC"/>
    <w:rsid w:val="008048FF"/>
    <w:rsid w:val="008049A5"/>
    <w:rsid w:val="00804A90"/>
    <w:rsid w:val="00804AC8"/>
    <w:rsid w:val="00804B2D"/>
    <w:rsid w:val="00804BA9"/>
    <w:rsid w:val="00804C83"/>
    <w:rsid w:val="00804CAC"/>
    <w:rsid w:val="00804CD9"/>
    <w:rsid w:val="00804EC2"/>
    <w:rsid w:val="00805200"/>
    <w:rsid w:val="0080529B"/>
    <w:rsid w:val="008052AB"/>
    <w:rsid w:val="0080530D"/>
    <w:rsid w:val="00805386"/>
    <w:rsid w:val="00805397"/>
    <w:rsid w:val="0080542D"/>
    <w:rsid w:val="008054C1"/>
    <w:rsid w:val="00805527"/>
    <w:rsid w:val="00805543"/>
    <w:rsid w:val="00805569"/>
    <w:rsid w:val="008055A0"/>
    <w:rsid w:val="008056AC"/>
    <w:rsid w:val="008057DA"/>
    <w:rsid w:val="008058C9"/>
    <w:rsid w:val="00805961"/>
    <w:rsid w:val="00805A6B"/>
    <w:rsid w:val="00805A6E"/>
    <w:rsid w:val="00805A8A"/>
    <w:rsid w:val="00805E04"/>
    <w:rsid w:val="00805E2E"/>
    <w:rsid w:val="00805E96"/>
    <w:rsid w:val="00805F8D"/>
    <w:rsid w:val="008061CE"/>
    <w:rsid w:val="008061DC"/>
    <w:rsid w:val="0080620D"/>
    <w:rsid w:val="00806279"/>
    <w:rsid w:val="008062A8"/>
    <w:rsid w:val="00806303"/>
    <w:rsid w:val="0080630D"/>
    <w:rsid w:val="0080638B"/>
    <w:rsid w:val="00806396"/>
    <w:rsid w:val="008063A2"/>
    <w:rsid w:val="0080645D"/>
    <w:rsid w:val="0080660F"/>
    <w:rsid w:val="00806629"/>
    <w:rsid w:val="0080669E"/>
    <w:rsid w:val="008066C1"/>
    <w:rsid w:val="00806713"/>
    <w:rsid w:val="00806794"/>
    <w:rsid w:val="008067A5"/>
    <w:rsid w:val="008067AA"/>
    <w:rsid w:val="00806800"/>
    <w:rsid w:val="0080692B"/>
    <w:rsid w:val="00806AF6"/>
    <w:rsid w:val="00806B34"/>
    <w:rsid w:val="00806BC6"/>
    <w:rsid w:val="00806C18"/>
    <w:rsid w:val="00806C48"/>
    <w:rsid w:val="00806C4A"/>
    <w:rsid w:val="00806CDD"/>
    <w:rsid w:val="00806D27"/>
    <w:rsid w:val="00806D4E"/>
    <w:rsid w:val="00806D69"/>
    <w:rsid w:val="00806D82"/>
    <w:rsid w:val="00806DA5"/>
    <w:rsid w:val="00806F13"/>
    <w:rsid w:val="00806F4D"/>
    <w:rsid w:val="008070E4"/>
    <w:rsid w:val="00807148"/>
    <w:rsid w:val="00807152"/>
    <w:rsid w:val="0080715C"/>
    <w:rsid w:val="00807181"/>
    <w:rsid w:val="0080718F"/>
    <w:rsid w:val="00807211"/>
    <w:rsid w:val="0080727E"/>
    <w:rsid w:val="00807322"/>
    <w:rsid w:val="00807393"/>
    <w:rsid w:val="008073CC"/>
    <w:rsid w:val="008073F0"/>
    <w:rsid w:val="0080741E"/>
    <w:rsid w:val="008074AB"/>
    <w:rsid w:val="008074C7"/>
    <w:rsid w:val="008074DC"/>
    <w:rsid w:val="0080751A"/>
    <w:rsid w:val="00807551"/>
    <w:rsid w:val="00807565"/>
    <w:rsid w:val="00807609"/>
    <w:rsid w:val="008076B5"/>
    <w:rsid w:val="008076EE"/>
    <w:rsid w:val="0080781E"/>
    <w:rsid w:val="00807859"/>
    <w:rsid w:val="0080786A"/>
    <w:rsid w:val="00807A03"/>
    <w:rsid w:val="00807A9D"/>
    <w:rsid w:val="00807B68"/>
    <w:rsid w:val="00807BF4"/>
    <w:rsid w:val="00807C05"/>
    <w:rsid w:val="00807C33"/>
    <w:rsid w:val="00807D8E"/>
    <w:rsid w:val="00807E45"/>
    <w:rsid w:val="00807EA0"/>
    <w:rsid w:val="00807EE3"/>
    <w:rsid w:val="00807F93"/>
    <w:rsid w:val="00810056"/>
    <w:rsid w:val="00810072"/>
    <w:rsid w:val="008100E7"/>
    <w:rsid w:val="008100EF"/>
    <w:rsid w:val="00810123"/>
    <w:rsid w:val="0081018C"/>
    <w:rsid w:val="008101EB"/>
    <w:rsid w:val="008102DE"/>
    <w:rsid w:val="00810357"/>
    <w:rsid w:val="0081043C"/>
    <w:rsid w:val="00810623"/>
    <w:rsid w:val="008106B9"/>
    <w:rsid w:val="008106FD"/>
    <w:rsid w:val="0081086C"/>
    <w:rsid w:val="00810928"/>
    <w:rsid w:val="0081095D"/>
    <w:rsid w:val="00810AC0"/>
    <w:rsid w:val="00810B88"/>
    <w:rsid w:val="00810C22"/>
    <w:rsid w:val="00810DD3"/>
    <w:rsid w:val="00810EBC"/>
    <w:rsid w:val="00810F26"/>
    <w:rsid w:val="00810F7D"/>
    <w:rsid w:val="0081104F"/>
    <w:rsid w:val="008110A6"/>
    <w:rsid w:val="008110CE"/>
    <w:rsid w:val="008112BF"/>
    <w:rsid w:val="00811388"/>
    <w:rsid w:val="008113E0"/>
    <w:rsid w:val="00811503"/>
    <w:rsid w:val="00811564"/>
    <w:rsid w:val="00811658"/>
    <w:rsid w:val="0081168C"/>
    <w:rsid w:val="008116BF"/>
    <w:rsid w:val="00811727"/>
    <w:rsid w:val="00811782"/>
    <w:rsid w:val="008117A4"/>
    <w:rsid w:val="008118B8"/>
    <w:rsid w:val="008118C9"/>
    <w:rsid w:val="008119EF"/>
    <w:rsid w:val="00811A3D"/>
    <w:rsid w:val="00811A6A"/>
    <w:rsid w:val="00811B16"/>
    <w:rsid w:val="00811B40"/>
    <w:rsid w:val="00811B5B"/>
    <w:rsid w:val="00811B8B"/>
    <w:rsid w:val="00811BA9"/>
    <w:rsid w:val="00811BBC"/>
    <w:rsid w:val="00811C27"/>
    <w:rsid w:val="00811CF6"/>
    <w:rsid w:val="00811E3C"/>
    <w:rsid w:val="00811F10"/>
    <w:rsid w:val="00811FD8"/>
    <w:rsid w:val="0081224B"/>
    <w:rsid w:val="008122DA"/>
    <w:rsid w:val="008122DF"/>
    <w:rsid w:val="008122E0"/>
    <w:rsid w:val="0081230A"/>
    <w:rsid w:val="008123D0"/>
    <w:rsid w:val="008124AC"/>
    <w:rsid w:val="00812542"/>
    <w:rsid w:val="008125BD"/>
    <w:rsid w:val="008125DD"/>
    <w:rsid w:val="008125FF"/>
    <w:rsid w:val="008126B5"/>
    <w:rsid w:val="008126DF"/>
    <w:rsid w:val="008127B0"/>
    <w:rsid w:val="0081281C"/>
    <w:rsid w:val="0081295F"/>
    <w:rsid w:val="008129ED"/>
    <w:rsid w:val="00812A5A"/>
    <w:rsid w:val="00812A6A"/>
    <w:rsid w:val="00812ACA"/>
    <w:rsid w:val="00812AED"/>
    <w:rsid w:val="00812B5A"/>
    <w:rsid w:val="00812C68"/>
    <w:rsid w:val="00812CE9"/>
    <w:rsid w:val="00812D52"/>
    <w:rsid w:val="00812EBD"/>
    <w:rsid w:val="00812FAA"/>
    <w:rsid w:val="00813011"/>
    <w:rsid w:val="00813029"/>
    <w:rsid w:val="00813168"/>
    <w:rsid w:val="008131E1"/>
    <w:rsid w:val="008132A3"/>
    <w:rsid w:val="00813355"/>
    <w:rsid w:val="00813399"/>
    <w:rsid w:val="008133C7"/>
    <w:rsid w:val="008133E2"/>
    <w:rsid w:val="008134BD"/>
    <w:rsid w:val="008134C2"/>
    <w:rsid w:val="00813545"/>
    <w:rsid w:val="0081360D"/>
    <w:rsid w:val="00813643"/>
    <w:rsid w:val="00813684"/>
    <w:rsid w:val="008136BD"/>
    <w:rsid w:val="008136DF"/>
    <w:rsid w:val="00813757"/>
    <w:rsid w:val="0081375F"/>
    <w:rsid w:val="008137DE"/>
    <w:rsid w:val="00813878"/>
    <w:rsid w:val="008139B3"/>
    <w:rsid w:val="00813BAF"/>
    <w:rsid w:val="00813BD2"/>
    <w:rsid w:val="00813D2D"/>
    <w:rsid w:val="00813DCC"/>
    <w:rsid w:val="00813DD2"/>
    <w:rsid w:val="00813E2C"/>
    <w:rsid w:val="00813EA9"/>
    <w:rsid w:val="00813EAA"/>
    <w:rsid w:val="00813ECE"/>
    <w:rsid w:val="00813EE4"/>
    <w:rsid w:val="00813F67"/>
    <w:rsid w:val="00814058"/>
    <w:rsid w:val="0081407A"/>
    <w:rsid w:val="00814080"/>
    <w:rsid w:val="008140DA"/>
    <w:rsid w:val="008141E4"/>
    <w:rsid w:val="0081420C"/>
    <w:rsid w:val="0081425A"/>
    <w:rsid w:val="008142BD"/>
    <w:rsid w:val="008143F4"/>
    <w:rsid w:val="008143FA"/>
    <w:rsid w:val="008144D1"/>
    <w:rsid w:val="008144F9"/>
    <w:rsid w:val="00814547"/>
    <w:rsid w:val="008145B7"/>
    <w:rsid w:val="00814744"/>
    <w:rsid w:val="00814877"/>
    <w:rsid w:val="008148A1"/>
    <w:rsid w:val="00814B38"/>
    <w:rsid w:val="00814B95"/>
    <w:rsid w:val="00814D19"/>
    <w:rsid w:val="00814D26"/>
    <w:rsid w:val="00814E51"/>
    <w:rsid w:val="00814E94"/>
    <w:rsid w:val="00814F8C"/>
    <w:rsid w:val="00814F9A"/>
    <w:rsid w:val="00814FA9"/>
    <w:rsid w:val="0081504F"/>
    <w:rsid w:val="00815071"/>
    <w:rsid w:val="0081508E"/>
    <w:rsid w:val="008151B2"/>
    <w:rsid w:val="0081520F"/>
    <w:rsid w:val="0081527E"/>
    <w:rsid w:val="00815296"/>
    <w:rsid w:val="008152F2"/>
    <w:rsid w:val="00815460"/>
    <w:rsid w:val="008154AD"/>
    <w:rsid w:val="00815540"/>
    <w:rsid w:val="00815595"/>
    <w:rsid w:val="0081570C"/>
    <w:rsid w:val="008157A2"/>
    <w:rsid w:val="008157CB"/>
    <w:rsid w:val="008158A0"/>
    <w:rsid w:val="0081594E"/>
    <w:rsid w:val="0081597F"/>
    <w:rsid w:val="008159D2"/>
    <w:rsid w:val="008159F5"/>
    <w:rsid w:val="00815A0F"/>
    <w:rsid w:val="00815A2A"/>
    <w:rsid w:val="00815A2D"/>
    <w:rsid w:val="00815BAF"/>
    <w:rsid w:val="00815BC6"/>
    <w:rsid w:val="00815BFE"/>
    <w:rsid w:val="00815C8E"/>
    <w:rsid w:val="00815D8D"/>
    <w:rsid w:val="00815D94"/>
    <w:rsid w:val="00815E44"/>
    <w:rsid w:val="00815F16"/>
    <w:rsid w:val="00815FA6"/>
    <w:rsid w:val="00815FFC"/>
    <w:rsid w:val="0081605C"/>
    <w:rsid w:val="0081608E"/>
    <w:rsid w:val="008160A2"/>
    <w:rsid w:val="00816120"/>
    <w:rsid w:val="0081618A"/>
    <w:rsid w:val="00816230"/>
    <w:rsid w:val="00816315"/>
    <w:rsid w:val="0081632C"/>
    <w:rsid w:val="0081635B"/>
    <w:rsid w:val="00816422"/>
    <w:rsid w:val="00816449"/>
    <w:rsid w:val="0081649A"/>
    <w:rsid w:val="008164B2"/>
    <w:rsid w:val="008164FC"/>
    <w:rsid w:val="00816585"/>
    <w:rsid w:val="00816622"/>
    <w:rsid w:val="00816705"/>
    <w:rsid w:val="00816844"/>
    <w:rsid w:val="0081688D"/>
    <w:rsid w:val="008169A5"/>
    <w:rsid w:val="008169A7"/>
    <w:rsid w:val="008169FC"/>
    <w:rsid w:val="00816A21"/>
    <w:rsid w:val="00816A74"/>
    <w:rsid w:val="00816ADE"/>
    <w:rsid w:val="00816AF2"/>
    <w:rsid w:val="00816B07"/>
    <w:rsid w:val="00816C3E"/>
    <w:rsid w:val="00816CB8"/>
    <w:rsid w:val="00816CC5"/>
    <w:rsid w:val="00816E6A"/>
    <w:rsid w:val="00816F59"/>
    <w:rsid w:val="00816FB3"/>
    <w:rsid w:val="00817012"/>
    <w:rsid w:val="0081706A"/>
    <w:rsid w:val="00817078"/>
    <w:rsid w:val="0081716A"/>
    <w:rsid w:val="0081717C"/>
    <w:rsid w:val="00817268"/>
    <w:rsid w:val="0081729A"/>
    <w:rsid w:val="0081729E"/>
    <w:rsid w:val="008172C0"/>
    <w:rsid w:val="00817349"/>
    <w:rsid w:val="00817395"/>
    <w:rsid w:val="008173CC"/>
    <w:rsid w:val="008173EA"/>
    <w:rsid w:val="0081750B"/>
    <w:rsid w:val="00817555"/>
    <w:rsid w:val="00817642"/>
    <w:rsid w:val="00817699"/>
    <w:rsid w:val="008176C0"/>
    <w:rsid w:val="00817793"/>
    <w:rsid w:val="00817880"/>
    <w:rsid w:val="008178A5"/>
    <w:rsid w:val="008178DA"/>
    <w:rsid w:val="008179A6"/>
    <w:rsid w:val="008179FC"/>
    <w:rsid w:val="00817B33"/>
    <w:rsid w:val="00817BA4"/>
    <w:rsid w:val="00817BE4"/>
    <w:rsid w:val="00817C11"/>
    <w:rsid w:val="00817C1D"/>
    <w:rsid w:val="00817D42"/>
    <w:rsid w:val="00817E82"/>
    <w:rsid w:val="00817F24"/>
    <w:rsid w:val="0082000F"/>
    <w:rsid w:val="00820059"/>
    <w:rsid w:val="008200C1"/>
    <w:rsid w:val="008201AE"/>
    <w:rsid w:val="00820236"/>
    <w:rsid w:val="00820297"/>
    <w:rsid w:val="0082036C"/>
    <w:rsid w:val="008203F3"/>
    <w:rsid w:val="00820592"/>
    <w:rsid w:val="008205EA"/>
    <w:rsid w:val="0082064C"/>
    <w:rsid w:val="00820684"/>
    <w:rsid w:val="008207A3"/>
    <w:rsid w:val="008207E1"/>
    <w:rsid w:val="00820822"/>
    <w:rsid w:val="00820948"/>
    <w:rsid w:val="0082096A"/>
    <w:rsid w:val="00820A14"/>
    <w:rsid w:val="00820A32"/>
    <w:rsid w:val="00820B39"/>
    <w:rsid w:val="00820BFE"/>
    <w:rsid w:val="00820C24"/>
    <w:rsid w:val="00820C55"/>
    <w:rsid w:val="00820D10"/>
    <w:rsid w:val="00820D8E"/>
    <w:rsid w:val="00820E7C"/>
    <w:rsid w:val="00821031"/>
    <w:rsid w:val="008210A8"/>
    <w:rsid w:val="008210D2"/>
    <w:rsid w:val="00821375"/>
    <w:rsid w:val="0082147E"/>
    <w:rsid w:val="008214A4"/>
    <w:rsid w:val="008214FB"/>
    <w:rsid w:val="0082164B"/>
    <w:rsid w:val="00821701"/>
    <w:rsid w:val="008217E0"/>
    <w:rsid w:val="008217EB"/>
    <w:rsid w:val="008217FA"/>
    <w:rsid w:val="00821811"/>
    <w:rsid w:val="008218C3"/>
    <w:rsid w:val="0082195C"/>
    <w:rsid w:val="008219AA"/>
    <w:rsid w:val="00821B54"/>
    <w:rsid w:val="00821BA0"/>
    <w:rsid w:val="00821BEA"/>
    <w:rsid w:val="00821BEC"/>
    <w:rsid w:val="00821D0B"/>
    <w:rsid w:val="00821D83"/>
    <w:rsid w:val="00821DFB"/>
    <w:rsid w:val="00821E93"/>
    <w:rsid w:val="00821EE9"/>
    <w:rsid w:val="00821F7A"/>
    <w:rsid w:val="00821F8B"/>
    <w:rsid w:val="008220AB"/>
    <w:rsid w:val="00822108"/>
    <w:rsid w:val="00822154"/>
    <w:rsid w:val="008221F6"/>
    <w:rsid w:val="0082223A"/>
    <w:rsid w:val="00822240"/>
    <w:rsid w:val="00822263"/>
    <w:rsid w:val="00822286"/>
    <w:rsid w:val="008222DC"/>
    <w:rsid w:val="008223D9"/>
    <w:rsid w:val="0082242C"/>
    <w:rsid w:val="008224F5"/>
    <w:rsid w:val="008224FB"/>
    <w:rsid w:val="0082257F"/>
    <w:rsid w:val="00822611"/>
    <w:rsid w:val="008226F4"/>
    <w:rsid w:val="00822748"/>
    <w:rsid w:val="00822767"/>
    <w:rsid w:val="0082279B"/>
    <w:rsid w:val="008227BE"/>
    <w:rsid w:val="0082287D"/>
    <w:rsid w:val="008228AE"/>
    <w:rsid w:val="00822974"/>
    <w:rsid w:val="008229B4"/>
    <w:rsid w:val="00822A00"/>
    <w:rsid w:val="00822A76"/>
    <w:rsid w:val="00822A88"/>
    <w:rsid w:val="00822B06"/>
    <w:rsid w:val="00822B57"/>
    <w:rsid w:val="00822B65"/>
    <w:rsid w:val="00822B8F"/>
    <w:rsid w:val="00822BCB"/>
    <w:rsid w:val="00822BCC"/>
    <w:rsid w:val="00822BDA"/>
    <w:rsid w:val="00822C65"/>
    <w:rsid w:val="00822D0C"/>
    <w:rsid w:val="00822D2D"/>
    <w:rsid w:val="00822D86"/>
    <w:rsid w:val="00822F86"/>
    <w:rsid w:val="008230EF"/>
    <w:rsid w:val="00823136"/>
    <w:rsid w:val="0082313C"/>
    <w:rsid w:val="00823216"/>
    <w:rsid w:val="0082324B"/>
    <w:rsid w:val="0082327C"/>
    <w:rsid w:val="008232CF"/>
    <w:rsid w:val="008232E8"/>
    <w:rsid w:val="00823329"/>
    <w:rsid w:val="00823332"/>
    <w:rsid w:val="00823341"/>
    <w:rsid w:val="008233FC"/>
    <w:rsid w:val="00823431"/>
    <w:rsid w:val="008234A9"/>
    <w:rsid w:val="008234CF"/>
    <w:rsid w:val="00823618"/>
    <w:rsid w:val="0082369D"/>
    <w:rsid w:val="0082370E"/>
    <w:rsid w:val="00823761"/>
    <w:rsid w:val="0082376C"/>
    <w:rsid w:val="00823853"/>
    <w:rsid w:val="00823935"/>
    <w:rsid w:val="00823949"/>
    <w:rsid w:val="00823956"/>
    <w:rsid w:val="00823964"/>
    <w:rsid w:val="0082396C"/>
    <w:rsid w:val="00823AFD"/>
    <w:rsid w:val="00823B0B"/>
    <w:rsid w:val="00823B1A"/>
    <w:rsid w:val="00823B21"/>
    <w:rsid w:val="00823B39"/>
    <w:rsid w:val="00823B40"/>
    <w:rsid w:val="00823C32"/>
    <w:rsid w:val="00823C63"/>
    <w:rsid w:val="00823C9E"/>
    <w:rsid w:val="00823D56"/>
    <w:rsid w:val="00823D89"/>
    <w:rsid w:val="00823D98"/>
    <w:rsid w:val="00823DBF"/>
    <w:rsid w:val="00823DED"/>
    <w:rsid w:val="00823E3B"/>
    <w:rsid w:val="00823EB4"/>
    <w:rsid w:val="00823F6D"/>
    <w:rsid w:val="00824034"/>
    <w:rsid w:val="00824084"/>
    <w:rsid w:val="0082410C"/>
    <w:rsid w:val="0082410D"/>
    <w:rsid w:val="0082421B"/>
    <w:rsid w:val="008242DB"/>
    <w:rsid w:val="0082437C"/>
    <w:rsid w:val="008244B3"/>
    <w:rsid w:val="008244E4"/>
    <w:rsid w:val="008245AE"/>
    <w:rsid w:val="008245F8"/>
    <w:rsid w:val="00824631"/>
    <w:rsid w:val="0082492F"/>
    <w:rsid w:val="008249AC"/>
    <w:rsid w:val="00824AA6"/>
    <w:rsid w:val="00824B33"/>
    <w:rsid w:val="00824C56"/>
    <w:rsid w:val="00824C65"/>
    <w:rsid w:val="00824CCD"/>
    <w:rsid w:val="00824E07"/>
    <w:rsid w:val="00824E70"/>
    <w:rsid w:val="00824E89"/>
    <w:rsid w:val="00824F31"/>
    <w:rsid w:val="00825045"/>
    <w:rsid w:val="0082505F"/>
    <w:rsid w:val="0082506A"/>
    <w:rsid w:val="00825135"/>
    <w:rsid w:val="00825155"/>
    <w:rsid w:val="00825229"/>
    <w:rsid w:val="008253A8"/>
    <w:rsid w:val="008253FB"/>
    <w:rsid w:val="0082545E"/>
    <w:rsid w:val="0082547F"/>
    <w:rsid w:val="008254AF"/>
    <w:rsid w:val="008254D7"/>
    <w:rsid w:val="0082552F"/>
    <w:rsid w:val="00825572"/>
    <w:rsid w:val="00825696"/>
    <w:rsid w:val="008256E3"/>
    <w:rsid w:val="0082574C"/>
    <w:rsid w:val="008257EA"/>
    <w:rsid w:val="00825800"/>
    <w:rsid w:val="0082580D"/>
    <w:rsid w:val="00825858"/>
    <w:rsid w:val="008258A9"/>
    <w:rsid w:val="00825A4E"/>
    <w:rsid w:val="00825ABD"/>
    <w:rsid w:val="00825B86"/>
    <w:rsid w:val="00825B97"/>
    <w:rsid w:val="00825BA6"/>
    <w:rsid w:val="00825C42"/>
    <w:rsid w:val="00825C4F"/>
    <w:rsid w:val="00825CC8"/>
    <w:rsid w:val="00825D3F"/>
    <w:rsid w:val="00825D8E"/>
    <w:rsid w:val="00825DD2"/>
    <w:rsid w:val="00825E2A"/>
    <w:rsid w:val="00825EC9"/>
    <w:rsid w:val="00825F1E"/>
    <w:rsid w:val="00825FB6"/>
    <w:rsid w:val="00825FE0"/>
    <w:rsid w:val="00826099"/>
    <w:rsid w:val="008261FA"/>
    <w:rsid w:val="0082622F"/>
    <w:rsid w:val="0082629D"/>
    <w:rsid w:val="008262A6"/>
    <w:rsid w:val="008262A8"/>
    <w:rsid w:val="008262C9"/>
    <w:rsid w:val="0082630D"/>
    <w:rsid w:val="0082639E"/>
    <w:rsid w:val="008263AE"/>
    <w:rsid w:val="0082647D"/>
    <w:rsid w:val="008265DE"/>
    <w:rsid w:val="0082665F"/>
    <w:rsid w:val="008266C6"/>
    <w:rsid w:val="008266D0"/>
    <w:rsid w:val="008267F3"/>
    <w:rsid w:val="00826816"/>
    <w:rsid w:val="00826864"/>
    <w:rsid w:val="00826880"/>
    <w:rsid w:val="00826892"/>
    <w:rsid w:val="0082689A"/>
    <w:rsid w:val="0082692B"/>
    <w:rsid w:val="00826949"/>
    <w:rsid w:val="0082695E"/>
    <w:rsid w:val="0082699E"/>
    <w:rsid w:val="00826A66"/>
    <w:rsid w:val="00826A79"/>
    <w:rsid w:val="00826BBB"/>
    <w:rsid w:val="00826CA6"/>
    <w:rsid w:val="00826CB8"/>
    <w:rsid w:val="00826CCD"/>
    <w:rsid w:val="00826D0C"/>
    <w:rsid w:val="00826E45"/>
    <w:rsid w:val="00827061"/>
    <w:rsid w:val="008270BF"/>
    <w:rsid w:val="00827177"/>
    <w:rsid w:val="0082718A"/>
    <w:rsid w:val="008271C6"/>
    <w:rsid w:val="008271C7"/>
    <w:rsid w:val="008271F5"/>
    <w:rsid w:val="008271FE"/>
    <w:rsid w:val="00827280"/>
    <w:rsid w:val="008272CD"/>
    <w:rsid w:val="008272EC"/>
    <w:rsid w:val="008272F2"/>
    <w:rsid w:val="0082732C"/>
    <w:rsid w:val="008273A4"/>
    <w:rsid w:val="00827501"/>
    <w:rsid w:val="0082758E"/>
    <w:rsid w:val="00827623"/>
    <w:rsid w:val="008276B5"/>
    <w:rsid w:val="0082778B"/>
    <w:rsid w:val="008277AE"/>
    <w:rsid w:val="0082782C"/>
    <w:rsid w:val="00827851"/>
    <w:rsid w:val="008278AA"/>
    <w:rsid w:val="008278EA"/>
    <w:rsid w:val="0082793B"/>
    <w:rsid w:val="00827953"/>
    <w:rsid w:val="008279A1"/>
    <w:rsid w:val="00827A13"/>
    <w:rsid w:val="00827A26"/>
    <w:rsid w:val="00827AA7"/>
    <w:rsid w:val="00827D40"/>
    <w:rsid w:val="00827DBB"/>
    <w:rsid w:val="00827E23"/>
    <w:rsid w:val="00827EEB"/>
    <w:rsid w:val="00827F56"/>
    <w:rsid w:val="00827F83"/>
    <w:rsid w:val="00827F87"/>
    <w:rsid w:val="00830121"/>
    <w:rsid w:val="008301D5"/>
    <w:rsid w:val="008301F5"/>
    <w:rsid w:val="0083025D"/>
    <w:rsid w:val="00830366"/>
    <w:rsid w:val="0083039F"/>
    <w:rsid w:val="008304CD"/>
    <w:rsid w:val="00830507"/>
    <w:rsid w:val="008305AA"/>
    <w:rsid w:val="00830647"/>
    <w:rsid w:val="00830688"/>
    <w:rsid w:val="00830711"/>
    <w:rsid w:val="0083077A"/>
    <w:rsid w:val="008307B3"/>
    <w:rsid w:val="00830969"/>
    <w:rsid w:val="00830A15"/>
    <w:rsid w:val="00830A3B"/>
    <w:rsid w:val="00830A89"/>
    <w:rsid w:val="00830AF1"/>
    <w:rsid w:val="00830BD0"/>
    <w:rsid w:val="00830C22"/>
    <w:rsid w:val="00830CE8"/>
    <w:rsid w:val="00830E00"/>
    <w:rsid w:val="00830E23"/>
    <w:rsid w:val="00830E79"/>
    <w:rsid w:val="00830F80"/>
    <w:rsid w:val="008310EB"/>
    <w:rsid w:val="00831134"/>
    <w:rsid w:val="0083113D"/>
    <w:rsid w:val="008311B3"/>
    <w:rsid w:val="00831205"/>
    <w:rsid w:val="00831279"/>
    <w:rsid w:val="008312E6"/>
    <w:rsid w:val="0083138F"/>
    <w:rsid w:val="00831420"/>
    <w:rsid w:val="008314DF"/>
    <w:rsid w:val="008315DA"/>
    <w:rsid w:val="008315E0"/>
    <w:rsid w:val="008316B3"/>
    <w:rsid w:val="00831707"/>
    <w:rsid w:val="00831738"/>
    <w:rsid w:val="00831792"/>
    <w:rsid w:val="00831844"/>
    <w:rsid w:val="00831AAF"/>
    <w:rsid w:val="00831B3F"/>
    <w:rsid w:val="00831BA7"/>
    <w:rsid w:val="00831BF8"/>
    <w:rsid w:val="00831C27"/>
    <w:rsid w:val="00831C8B"/>
    <w:rsid w:val="00831CEA"/>
    <w:rsid w:val="00831D84"/>
    <w:rsid w:val="00831E51"/>
    <w:rsid w:val="00831EB3"/>
    <w:rsid w:val="00831F41"/>
    <w:rsid w:val="0083200C"/>
    <w:rsid w:val="0083202C"/>
    <w:rsid w:val="008320BB"/>
    <w:rsid w:val="0083214F"/>
    <w:rsid w:val="0083218F"/>
    <w:rsid w:val="00832222"/>
    <w:rsid w:val="00832285"/>
    <w:rsid w:val="00832358"/>
    <w:rsid w:val="008323C4"/>
    <w:rsid w:val="00832514"/>
    <w:rsid w:val="0083255E"/>
    <w:rsid w:val="00832561"/>
    <w:rsid w:val="00832896"/>
    <w:rsid w:val="008328C5"/>
    <w:rsid w:val="0083290C"/>
    <w:rsid w:val="00832AF1"/>
    <w:rsid w:val="00832BAA"/>
    <w:rsid w:val="00832BE5"/>
    <w:rsid w:val="00832C00"/>
    <w:rsid w:val="00832C94"/>
    <w:rsid w:val="00832CB2"/>
    <w:rsid w:val="00832E11"/>
    <w:rsid w:val="00832E52"/>
    <w:rsid w:val="00832E74"/>
    <w:rsid w:val="00832F62"/>
    <w:rsid w:val="00833047"/>
    <w:rsid w:val="0083307F"/>
    <w:rsid w:val="00833161"/>
    <w:rsid w:val="00833223"/>
    <w:rsid w:val="00833224"/>
    <w:rsid w:val="0083324D"/>
    <w:rsid w:val="008332B6"/>
    <w:rsid w:val="00833383"/>
    <w:rsid w:val="008333DA"/>
    <w:rsid w:val="00833427"/>
    <w:rsid w:val="0083343F"/>
    <w:rsid w:val="008334E4"/>
    <w:rsid w:val="0083352F"/>
    <w:rsid w:val="008335AA"/>
    <w:rsid w:val="00833614"/>
    <w:rsid w:val="00833681"/>
    <w:rsid w:val="008336A4"/>
    <w:rsid w:val="008336AF"/>
    <w:rsid w:val="008336CE"/>
    <w:rsid w:val="008336D5"/>
    <w:rsid w:val="0083390B"/>
    <w:rsid w:val="0083393D"/>
    <w:rsid w:val="008339C4"/>
    <w:rsid w:val="00833A0F"/>
    <w:rsid w:val="00833A13"/>
    <w:rsid w:val="00833A2C"/>
    <w:rsid w:val="00833A8E"/>
    <w:rsid w:val="00833AC2"/>
    <w:rsid w:val="00833B48"/>
    <w:rsid w:val="00833BF0"/>
    <w:rsid w:val="00833D17"/>
    <w:rsid w:val="00833DB3"/>
    <w:rsid w:val="00833E33"/>
    <w:rsid w:val="00833EEC"/>
    <w:rsid w:val="00833F59"/>
    <w:rsid w:val="00833F94"/>
    <w:rsid w:val="00833FD0"/>
    <w:rsid w:val="00833FFE"/>
    <w:rsid w:val="00834018"/>
    <w:rsid w:val="00834019"/>
    <w:rsid w:val="0083406D"/>
    <w:rsid w:val="0083409A"/>
    <w:rsid w:val="008340E0"/>
    <w:rsid w:val="00834159"/>
    <w:rsid w:val="0083419A"/>
    <w:rsid w:val="00834330"/>
    <w:rsid w:val="00834332"/>
    <w:rsid w:val="00834398"/>
    <w:rsid w:val="008344AA"/>
    <w:rsid w:val="0083453D"/>
    <w:rsid w:val="0083462D"/>
    <w:rsid w:val="0083464E"/>
    <w:rsid w:val="00834768"/>
    <w:rsid w:val="0083478A"/>
    <w:rsid w:val="008347B6"/>
    <w:rsid w:val="00834850"/>
    <w:rsid w:val="00834906"/>
    <w:rsid w:val="008349DF"/>
    <w:rsid w:val="00834A50"/>
    <w:rsid w:val="00834AEB"/>
    <w:rsid w:val="00834B20"/>
    <w:rsid w:val="00834B51"/>
    <w:rsid w:val="00834B87"/>
    <w:rsid w:val="00834BE4"/>
    <w:rsid w:val="00834C03"/>
    <w:rsid w:val="00834C34"/>
    <w:rsid w:val="00834C62"/>
    <w:rsid w:val="00834C93"/>
    <w:rsid w:val="00834D06"/>
    <w:rsid w:val="00834D4B"/>
    <w:rsid w:val="00834DEE"/>
    <w:rsid w:val="00834E93"/>
    <w:rsid w:val="00834F71"/>
    <w:rsid w:val="00834FC4"/>
    <w:rsid w:val="00834FF1"/>
    <w:rsid w:val="0083505C"/>
    <w:rsid w:val="00835088"/>
    <w:rsid w:val="00835089"/>
    <w:rsid w:val="00835186"/>
    <w:rsid w:val="00835200"/>
    <w:rsid w:val="00835202"/>
    <w:rsid w:val="00835266"/>
    <w:rsid w:val="008353F1"/>
    <w:rsid w:val="00835431"/>
    <w:rsid w:val="00835532"/>
    <w:rsid w:val="008355DA"/>
    <w:rsid w:val="008355E3"/>
    <w:rsid w:val="0083564A"/>
    <w:rsid w:val="0083573C"/>
    <w:rsid w:val="008357A4"/>
    <w:rsid w:val="00835819"/>
    <w:rsid w:val="00835877"/>
    <w:rsid w:val="008358CB"/>
    <w:rsid w:val="008358CF"/>
    <w:rsid w:val="00835A0A"/>
    <w:rsid w:val="00835A43"/>
    <w:rsid w:val="00835A76"/>
    <w:rsid w:val="00835A83"/>
    <w:rsid w:val="00835A8D"/>
    <w:rsid w:val="00835AF0"/>
    <w:rsid w:val="00835C60"/>
    <w:rsid w:val="00835C75"/>
    <w:rsid w:val="00835D3D"/>
    <w:rsid w:val="00835D46"/>
    <w:rsid w:val="00835DB1"/>
    <w:rsid w:val="00835F12"/>
    <w:rsid w:val="00835F78"/>
    <w:rsid w:val="00835F7F"/>
    <w:rsid w:val="008360EF"/>
    <w:rsid w:val="0083614E"/>
    <w:rsid w:val="0083620E"/>
    <w:rsid w:val="00836262"/>
    <w:rsid w:val="008363B0"/>
    <w:rsid w:val="008363E3"/>
    <w:rsid w:val="008363F8"/>
    <w:rsid w:val="0083642C"/>
    <w:rsid w:val="00836471"/>
    <w:rsid w:val="00836493"/>
    <w:rsid w:val="0083660D"/>
    <w:rsid w:val="00836638"/>
    <w:rsid w:val="00836664"/>
    <w:rsid w:val="008366A6"/>
    <w:rsid w:val="00836893"/>
    <w:rsid w:val="00836960"/>
    <w:rsid w:val="008369BD"/>
    <w:rsid w:val="008369F3"/>
    <w:rsid w:val="00836AED"/>
    <w:rsid w:val="00836BE6"/>
    <w:rsid w:val="00836D02"/>
    <w:rsid w:val="00836E08"/>
    <w:rsid w:val="00836E6D"/>
    <w:rsid w:val="0083709F"/>
    <w:rsid w:val="008370AC"/>
    <w:rsid w:val="0083717B"/>
    <w:rsid w:val="008371ED"/>
    <w:rsid w:val="0083727F"/>
    <w:rsid w:val="008372C1"/>
    <w:rsid w:val="00837329"/>
    <w:rsid w:val="00837352"/>
    <w:rsid w:val="0083738F"/>
    <w:rsid w:val="008373DE"/>
    <w:rsid w:val="008373FE"/>
    <w:rsid w:val="00837430"/>
    <w:rsid w:val="00837479"/>
    <w:rsid w:val="00837487"/>
    <w:rsid w:val="008375C7"/>
    <w:rsid w:val="008375E7"/>
    <w:rsid w:val="00837668"/>
    <w:rsid w:val="0083769E"/>
    <w:rsid w:val="008376F2"/>
    <w:rsid w:val="0083777E"/>
    <w:rsid w:val="008377C0"/>
    <w:rsid w:val="0083788C"/>
    <w:rsid w:val="008378FE"/>
    <w:rsid w:val="00837A09"/>
    <w:rsid w:val="00837A78"/>
    <w:rsid w:val="00837AC4"/>
    <w:rsid w:val="00837CBE"/>
    <w:rsid w:val="00837D10"/>
    <w:rsid w:val="00837D5F"/>
    <w:rsid w:val="00837D69"/>
    <w:rsid w:val="00837D72"/>
    <w:rsid w:val="00837E0F"/>
    <w:rsid w:val="00837E2A"/>
    <w:rsid w:val="00837EB6"/>
    <w:rsid w:val="00837FA8"/>
    <w:rsid w:val="00837FCD"/>
    <w:rsid w:val="00840033"/>
    <w:rsid w:val="0084021A"/>
    <w:rsid w:val="00840316"/>
    <w:rsid w:val="0084031D"/>
    <w:rsid w:val="008403E7"/>
    <w:rsid w:val="00840461"/>
    <w:rsid w:val="0084054A"/>
    <w:rsid w:val="00840585"/>
    <w:rsid w:val="00840597"/>
    <w:rsid w:val="0084061D"/>
    <w:rsid w:val="0084067D"/>
    <w:rsid w:val="008408AC"/>
    <w:rsid w:val="008409A2"/>
    <w:rsid w:val="00840A50"/>
    <w:rsid w:val="00840B1C"/>
    <w:rsid w:val="00840B28"/>
    <w:rsid w:val="00840C37"/>
    <w:rsid w:val="00840C3C"/>
    <w:rsid w:val="00840DA6"/>
    <w:rsid w:val="00840DF7"/>
    <w:rsid w:val="00840DFC"/>
    <w:rsid w:val="00840E26"/>
    <w:rsid w:val="00840E4E"/>
    <w:rsid w:val="00840EEB"/>
    <w:rsid w:val="00840F5D"/>
    <w:rsid w:val="00840FB7"/>
    <w:rsid w:val="00840FC5"/>
    <w:rsid w:val="00840FCD"/>
    <w:rsid w:val="0084104D"/>
    <w:rsid w:val="00841089"/>
    <w:rsid w:val="0084108D"/>
    <w:rsid w:val="00841190"/>
    <w:rsid w:val="008411AD"/>
    <w:rsid w:val="008411F7"/>
    <w:rsid w:val="00841260"/>
    <w:rsid w:val="008412EE"/>
    <w:rsid w:val="00841327"/>
    <w:rsid w:val="00841379"/>
    <w:rsid w:val="008414A9"/>
    <w:rsid w:val="00841563"/>
    <w:rsid w:val="008415F9"/>
    <w:rsid w:val="00841702"/>
    <w:rsid w:val="00841792"/>
    <w:rsid w:val="008417FB"/>
    <w:rsid w:val="00841ADF"/>
    <w:rsid w:val="00841B06"/>
    <w:rsid w:val="00841B64"/>
    <w:rsid w:val="00841C44"/>
    <w:rsid w:val="00841CA7"/>
    <w:rsid w:val="00841CD4"/>
    <w:rsid w:val="00841E05"/>
    <w:rsid w:val="00841E0E"/>
    <w:rsid w:val="00841E54"/>
    <w:rsid w:val="00841ED3"/>
    <w:rsid w:val="0084202D"/>
    <w:rsid w:val="0084206C"/>
    <w:rsid w:val="008420AF"/>
    <w:rsid w:val="008420BE"/>
    <w:rsid w:val="008420DD"/>
    <w:rsid w:val="008420F4"/>
    <w:rsid w:val="008420FF"/>
    <w:rsid w:val="0084215B"/>
    <w:rsid w:val="0084222E"/>
    <w:rsid w:val="0084224F"/>
    <w:rsid w:val="00842261"/>
    <w:rsid w:val="008423C1"/>
    <w:rsid w:val="008423C2"/>
    <w:rsid w:val="0084241E"/>
    <w:rsid w:val="00842482"/>
    <w:rsid w:val="008424B0"/>
    <w:rsid w:val="00842505"/>
    <w:rsid w:val="00842661"/>
    <w:rsid w:val="00842693"/>
    <w:rsid w:val="008427AF"/>
    <w:rsid w:val="00842829"/>
    <w:rsid w:val="008429AB"/>
    <w:rsid w:val="00842B0E"/>
    <w:rsid w:val="00842B47"/>
    <w:rsid w:val="00842BC9"/>
    <w:rsid w:val="00842C8F"/>
    <w:rsid w:val="00842CD7"/>
    <w:rsid w:val="00842DF9"/>
    <w:rsid w:val="00842E92"/>
    <w:rsid w:val="00842EC4"/>
    <w:rsid w:val="0084308D"/>
    <w:rsid w:val="008430E3"/>
    <w:rsid w:val="008431CD"/>
    <w:rsid w:val="008432CF"/>
    <w:rsid w:val="00843325"/>
    <w:rsid w:val="0084333E"/>
    <w:rsid w:val="008433FE"/>
    <w:rsid w:val="00843472"/>
    <w:rsid w:val="00843608"/>
    <w:rsid w:val="00843610"/>
    <w:rsid w:val="008436A0"/>
    <w:rsid w:val="00843724"/>
    <w:rsid w:val="00843754"/>
    <w:rsid w:val="008437F0"/>
    <w:rsid w:val="008437F1"/>
    <w:rsid w:val="00843852"/>
    <w:rsid w:val="00843896"/>
    <w:rsid w:val="008438A7"/>
    <w:rsid w:val="00843914"/>
    <w:rsid w:val="0084393A"/>
    <w:rsid w:val="00843A30"/>
    <w:rsid w:val="00843AEE"/>
    <w:rsid w:val="00843B06"/>
    <w:rsid w:val="00843C73"/>
    <w:rsid w:val="00843C79"/>
    <w:rsid w:val="00843CE0"/>
    <w:rsid w:val="00843CF9"/>
    <w:rsid w:val="00843D79"/>
    <w:rsid w:val="00843D87"/>
    <w:rsid w:val="00843E17"/>
    <w:rsid w:val="00843E3D"/>
    <w:rsid w:val="00843F0E"/>
    <w:rsid w:val="00843F16"/>
    <w:rsid w:val="00843F92"/>
    <w:rsid w:val="00844095"/>
    <w:rsid w:val="008441A9"/>
    <w:rsid w:val="008441D8"/>
    <w:rsid w:val="00844212"/>
    <w:rsid w:val="00844227"/>
    <w:rsid w:val="00844347"/>
    <w:rsid w:val="00844549"/>
    <w:rsid w:val="008446E6"/>
    <w:rsid w:val="0084472E"/>
    <w:rsid w:val="00844872"/>
    <w:rsid w:val="00844898"/>
    <w:rsid w:val="008448D7"/>
    <w:rsid w:val="00844936"/>
    <w:rsid w:val="008449DA"/>
    <w:rsid w:val="00844A8C"/>
    <w:rsid w:val="00844B4C"/>
    <w:rsid w:val="00844BEC"/>
    <w:rsid w:val="00844BFF"/>
    <w:rsid w:val="00844C86"/>
    <w:rsid w:val="00844D44"/>
    <w:rsid w:val="00844D6C"/>
    <w:rsid w:val="00844DD7"/>
    <w:rsid w:val="00844E23"/>
    <w:rsid w:val="00844F76"/>
    <w:rsid w:val="00844F87"/>
    <w:rsid w:val="00844F9A"/>
    <w:rsid w:val="00845015"/>
    <w:rsid w:val="00845055"/>
    <w:rsid w:val="00845064"/>
    <w:rsid w:val="0084515F"/>
    <w:rsid w:val="00845188"/>
    <w:rsid w:val="0084524B"/>
    <w:rsid w:val="0084533C"/>
    <w:rsid w:val="00845351"/>
    <w:rsid w:val="008453C5"/>
    <w:rsid w:val="00845598"/>
    <w:rsid w:val="00845613"/>
    <w:rsid w:val="00845640"/>
    <w:rsid w:val="00845687"/>
    <w:rsid w:val="008456A5"/>
    <w:rsid w:val="008456B1"/>
    <w:rsid w:val="00845728"/>
    <w:rsid w:val="00845779"/>
    <w:rsid w:val="008458FE"/>
    <w:rsid w:val="00845911"/>
    <w:rsid w:val="00845AA4"/>
    <w:rsid w:val="00845BA2"/>
    <w:rsid w:val="00845BC2"/>
    <w:rsid w:val="00845BF7"/>
    <w:rsid w:val="00845C71"/>
    <w:rsid w:val="00845D6D"/>
    <w:rsid w:val="00845DA4"/>
    <w:rsid w:val="00845E32"/>
    <w:rsid w:val="00845EC0"/>
    <w:rsid w:val="00845ECB"/>
    <w:rsid w:val="0084602B"/>
    <w:rsid w:val="0084603B"/>
    <w:rsid w:val="008460B0"/>
    <w:rsid w:val="008460FB"/>
    <w:rsid w:val="00846110"/>
    <w:rsid w:val="0084621C"/>
    <w:rsid w:val="00846230"/>
    <w:rsid w:val="0084648F"/>
    <w:rsid w:val="008464FE"/>
    <w:rsid w:val="00846500"/>
    <w:rsid w:val="00846552"/>
    <w:rsid w:val="008465B6"/>
    <w:rsid w:val="008465F5"/>
    <w:rsid w:val="008465FA"/>
    <w:rsid w:val="00846693"/>
    <w:rsid w:val="008467D8"/>
    <w:rsid w:val="0084690E"/>
    <w:rsid w:val="00846979"/>
    <w:rsid w:val="008469D2"/>
    <w:rsid w:val="00846AAE"/>
    <w:rsid w:val="00846AF9"/>
    <w:rsid w:val="00846AFA"/>
    <w:rsid w:val="00846B82"/>
    <w:rsid w:val="00846BE7"/>
    <w:rsid w:val="00846C40"/>
    <w:rsid w:val="00846C94"/>
    <w:rsid w:val="00846DA1"/>
    <w:rsid w:val="00846DC0"/>
    <w:rsid w:val="00846E81"/>
    <w:rsid w:val="00846E8B"/>
    <w:rsid w:val="00846FAD"/>
    <w:rsid w:val="00846FF3"/>
    <w:rsid w:val="008470E9"/>
    <w:rsid w:val="00847107"/>
    <w:rsid w:val="0084722F"/>
    <w:rsid w:val="008472C9"/>
    <w:rsid w:val="0084736A"/>
    <w:rsid w:val="008473A9"/>
    <w:rsid w:val="008473B5"/>
    <w:rsid w:val="008474D4"/>
    <w:rsid w:val="0084752C"/>
    <w:rsid w:val="00847539"/>
    <w:rsid w:val="00847598"/>
    <w:rsid w:val="00847848"/>
    <w:rsid w:val="008478B2"/>
    <w:rsid w:val="00847A43"/>
    <w:rsid w:val="00847AA7"/>
    <w:rsid w:val="00847AAB"/>
    <w:rsid w:val="00847BD5"/>
    <w:rsid w:val="00847BFA"/>
    <w:rsid w:val="00847D32"/>
    <w:rsid w:val="00847DCA"/>
    <w:rsid w:val="00847EDF"/>
    <w:rsid w:val="00847F73"/>
    <w:rsid w:val="00847FF9"/>
    <w:rsid w:val="00847FFC"/>
    <w:rsid w:val="008500F1"/>
    <w:rsid w:val="008501F6"/>
    <w:rsid w:val="0085025A"/>
    <w:rsid w:val="008502B3"/>
    <w:rsid w:val="00850315"/>
    <w:rsid w:val="0085031A"/>
    <w:rsid w:val="0085031B"/>
    <w:rsid w:val="00850378"/>
    <w:rsid w:val="00850399"/>
    <w:rsid w:val="00850477"/>
    <w:rsid w:val="00850497"/>
    <w:rsid w:val="008504CA"/>
    <w:rsid w:val="0085056C"/>
    <w:rsid w:val="008505B8"/>
    <w:rsid w:val="008505C8"/>
    <w:rsid w:val="0085061C"/>
    <w:rsid w:val="00850654"/>
    <w:rsid w:val="0085071B"/>
    <w:rsid w:val="0085073F"/>
    <w:rsid w:val="00850819"/>
    <w:rsid w:val="00850975"/>
    <w:rsid w:val="00850A0D"/>
    <w:rsid w:val="00850A97"/>
    <w:rsid w:val="00850B02"/>
    <w:rsid w:val="00850B05"/>
    <w:rsid w:val="00850B4E"/>
    <w:rsid w:val="00850B71"/>
    <w:rsid w:val="00850C67"/>
    <w:rsid w:val="00850CEA"/>
    <w:rsid w:val="00850F38"/>
    <w:rsid w:val="00850F6C"/>
    <w:rsid w:val="0085106A"/>
    <w:rsid w:val="008510AE"/>
    <w:rsid w:val="00851116"/>
    <w:rsid w:val="0085116D"/>
    <w:rsid w:val="008511E7"/>
    <w:rsid w:val="008511E9"/>
    <w:rsid w:val="0085120A"/>
    <w:rsid w:val="0085120E"/>
    <w:rsid w:val="00851264"/>
    <w:rsid w:val="008512BD"/>
    <w:rsid w:val="0085130D"/>
    <w:rsid w:val="00851332"/>
    <w:rsid w:val="00851441"/>
    <w:rsid w:val="00851445"/>
    <w:rsid w:val="0085146A"/>
    <w:rsid w:val="00851656"/>
    <w:rsid w:val="0085168A"/>
    <w:rsid w:val="00851702"/>
    <w:rsid w:val="00851963"/>
    <w:rsid w:val="008519A8"/>
    <w:rsid w:val="008519CF"/>
    <w:rsid w:val="00851A34"/>
    <w:rsid w:val="00851A37"/>
    <w:rsid w:val="00851A8A"/>
    <w:rsid w:val="00851A8C"/>
    <w:rsid w:val="00851C2F"/>
    <w:rsid w:val="00851D51"/>
    <w:rsid w:val="00851D8E"/>
    <w:rsid w:val="00851D8F"/>
    <w:rsid w:val="00851D98"/>
    <w:rsid w:val="00851E09"/>
    <w:rsid w:val="00851E68"/>
    <w:rsid w:val="00851EF7"/>
    <w:rsid w:val="00852043"/>
    <w:rsid w:val="00852124"/>
    <w:rsid w:val="008521CE"/>
    <w:rsid w:val="00852246"/>
    <w:rsid w:val="008522C9"/>
    <w:rsid w:val="008522E7"/>
    <w:rsid w:val="0085239A"/>
    <w:rsid w:val="008523DB"/>
    <w:rsid w:val="00852428"/>
    <w:rsid w:val="008524CC"/>
    <w:rsid w:val="0085252B"/>
    <w:rsid w:val="008525DE"/>
    <w:rsid w:val="0085264D"/>
    <w:rsid w:val="00852656"/>
    <w:rsid w:val="008527B4"/>
    <w:rsid w:val="008528B6"/>
    <w:rsid w:val="008528C9"/>
    <w:rsid w:val="00852A62"/>
    <w:rsid w:val="00852A8A"/>
    <w:rsid w:val="00852B3E"/>
    <w:rsid w:val="00852C05"/>
    <w:rsid w:val="00852D22"/>
    <w:rsid w:val="00852E5A"/>
    <w:rsid w:val="00852E80"/>
    <w:rsid w:val="00852E96"/>
    <w:rsid w:val="00852ED5"/>
    <w:rsid w:val="00852F8A"/>
    <w:rsid w:val="00852FE4"/>
    <w:rsid w:val="0085305E"/>
    <w:rsid w:val="00853154"/>
    <w:rsid w:val="00853210"/>
    <w:rsid w:val="008532A3"/>
    <w:rsid w:val="008533A4"/>
    <w:rsid w:val="00853466"/>
    <w:rsid w:val="00853518"/>
    <w:rsid w:val="0085354F"/>
    <w:rsid w:val="008535D4"/>
    <w:rsid w:val="0085367F"/>
    <w:rsid w:val="00853711"/>
    <w:rsid w:val="00853713"/>
    <w:rsid w:val="00853783"/>
    <w:rsid w:val="00853839"/>
    <w:rsid w:val="008538A4"/>
    <w:rsid w:val="00853904"/>
    <w:rsid w:val="008539DA"/>
    <w:rsid w:val="008539F5"/>
    <w:rsid w:val="00853A36"/>
    <w:rsid w:val="00853A52"/>
    <w:rsid w:val="00853A99"/>
    <w:rsid w:val="00853AC0"/>
    <w:rsid w:val="00853B07"/>
    <w:rsid w:val="00853B63"/>
    <w:rsid w:val="00853BC7"/>
    <w:rsid w:val="00853BEE"/>
    <w:rsid w:val="00853CB0"/>
    <w:rsid w:val="00853CE6"/>
    <w:rsid w:val="00853E46"/>
    <w:rsid w:val="00853F1B"/>
    <w:rsid w:val="00853FA0"/>
    <w:rsid w:val="00853FC3"/>
    <w:rsid w:val="00854003"/>
    <w:rsid w:val="00854036"/>
    <w:rsid w:val="00854193"/>
    <w:rsid w:val="008541C0"/>
    <w:rsid w:val="008541D4"/>
    <w:rsid w:val="008541EB"/>
    <w:rsid w:val="0085421C"/>
    <w:rsid w:val="00854298"/>
    <w:rsid w:val="008542E1"/>
    <w:rsid w:val="00854349"/>
    <w:rsid w:val="00854397"/>
    <w:rsid w:val="00854401"/>
    <w:rsid w:val="00854403"/>
    <w:rsid w:val="0085446F"/>
    <w:rsid w:val="00854486"/>
    <w:rsid w:val="008544FC"/>
    <w:rsid w:val="00854503"/>
    <w:rsid w:val="008545BB"/>
    <w:rsid w:val="008545F8"/>
    <w:rsid w:val="008546F2"/>
    <w:rsid w:val="0085478E"/>
    <w:rsid w:val="0085487D"/>
    <w:rsid w:val="00854A2C"/>
    <w:rsid w:val="00854ADF"/>
    <w:rsid w:val="00854B0F"/>
    <w:rsid w:val="00854B90"/>
    <w:rsid w:val="00854C00"/>
    <w:rsid w:val="00854C1A"/>
    <w:rsid w:val="00854D36"/>
    <w:rsid w:val="00854E1E"/>
    <w:rsid w:val="00854E39"/>
    <w:rsid w:val="00854EE1"/>
    <w:rsid w:val="00854EF8"/>
    <w:rsid w:val="00854F38"/>
    <w:rsid w:val="00854F93"/>
    <w:rsid w:val="00855010"/>
    <w:rsid w:val="0085513B"/>
    <w:rsid w:val="0085517C"/>
    <w:rsid w:val="008551A1"/>
    <w:rsid w:val="008551C5"/>
    <w:rsid w:val="0085532F"/>
    <w:rsid w:val="0085534D"/>
    <w:rsid w:val="008553D0"/>
    <w:rsid w:val="00855428"/>
    <w:rsid w:val="0085549A"/>
    <w:rsid w:val="0085549B"/>
    <w:rsid w:val="008554A2"/>
    <w:rsid w:val="008554B2"/>
    <w:rsid w:val="00855506"/>
    <w:rsid w:val="00855566"/>
    <w:rsid w:val="00855580"/>
    <w:rsid w:val="008555B2"/>
    <w:rsid w:val="0085581E"/>
    <w:rsid w:val="0085585C"/>
    <w:rsid w:val="0085589E"/>
    <w:rsid w:val="00855912"/>
    <w:rsid w:val="008559DE"/>
    <w:rsid w:val="008559FD"/>
    <w:rsid w:val="00855A4A"/>
    <w:rsid w:val="00855B78"/>
    <w:rsid w:val="00855BA6"/>
    <w:rsid w:val="00855BB7"/>
    <w:rsid w:val="00855C21"/>
    <w:rsid w:val="00855C38"/>
    <w:rsid w:val="00855C8F"/>
    <w:rsid w:val="00855CBD"/>
    <w:rsid w:val="00855DA7"/>
    <w:rsid w:val="00855DAB"/>
    <w:rsid w:val="00855FC6"/>
    <w:rsid w:val="0085604F"/>
    <w:rsid w:val="00856099"/>
    <w:rsid w:val="008560C3"/>
    <w:rsid w:val="0085616D"/>
    <w:rsid w:val="00856223"/>
    <w:rsid w:val="0085628A"/>
    <w:rsid w:val="008562DB"/>
    <w:rsid w:val="008563CE"/>
    <w:rsid w:val="00856441"/>
    <w:rsid w:val="00856521"/>
    <w:rsid w:val="00856527"/>
    <w:rsid w:val="00856540"/>
    <w:rsid w:val="00856562"/>
    <w:rsid w:val="0085658F"/>
    <w:rsid w:val="00856663"/>
    <w:rsid w:val="008566AB"/>
    <w:rsid w:val="008566AE"/>
    <w:rsid w:val="0085670D"/>
    <w:rsid w:val="008567D7"/>
    <w:rsid w:val="00856897"/>
    <w:rsid w:val="008569CB"/>
    <w:rsid w:val="00856A11"/>
    <w:rsid w:val="00856ADD"/>
    <w:rsid w:val="00856B55"/>
    <w:rsid w:val="00856D16"/>
    <w:rsid w:val="00856D54"/>
    <w:rsid w:val="00856DAD"/>
    <w:rsid w:val="00856E8A"/>
    <w:rsid w:val="00856F95"/>
    <w:rsid w:val="00856FA3"/>
    <w:rsid w:val="008570BB"/>
    <w:rsid w:val="00857180"/>
    <w:rsid w:val="00857198"/>
    <w:rsid w:val="0085726E"/>
    <w:rsid w:val="008573B6"/>
    <w:rsid w:val="0085741E"/>
    <w:rsid w:val="0085755C"/>
    <w:rsid w:val="00857661"/>
    <w:rsid w:val="00857682"/>
    <w:rsid w:val="00857806"/>
    <w:rsid w:val="0085780F"/>
    <w:rsid w:val="00857893"/>
    <w:rsid w:val="00857943"/>
    <w:rsid w:val="0085797A"/>
    <w:rsid w:val="00857992"/>
    <w:rsid w:val="00857A35"/>
    <w:rsid w:val="00857B32"/>
    <w:rsid w:val="00857BE6"/>
    <w:rsid w:val="00857C6E"/>
    <w:rsid w:val="00857CBB"/>
    <w:rsid w:val="00857D59"/>
    <w:rsid w:val="00857E4D"/>
    <w:rsid w:val="00857E74"/>
    <w:rsid w:val="00857E79"/>
    <w:rsid w:val="00857EE1"/>
    <w:rsid w:val="00857EE7"/>
    <w:rsid w:val="00857F13"/>
    <w:rsid w:val="00857FD5"/>
    <w:rsid w:val="00860051"/>
    <w:rsid w:val="00860091"/>
    <w:rsid w:val="0086015E"/>
    <w:rsid w:val="0086026E"/>
    <w:rsid w:val="0086028E"/>
    <w:rsid w:val="008602C7"/>
    <w:rsid w:val="008603AC"/>
    <w:rsid w:val="008603F0"/>
    <w:rsid w:val="00860519"/>
    <w:rsid w:val="00860628"/>
    <w:rsid w:val="008606F5"/>
    <w:rsid w:val="00860720"/>
    <w:rsid w:val="00860742"/>
    <w:rsid w:val="00860840"/>
    <w:rsid w:val="008608C7"/>
    <w:rsid w:val="008608CE"/>
    <w:rsid w:val="008608ED"/>
    <w:rsid w:val="008609A4"/>
    <w:rsid w:val="00860B59"/>
    <w:rsid w:val="00860C26"/>
    <w:rsid w:val="00860C96"/>
    <w:rsid w:val="00860CB8"/>
    <w:rsid w:val="00860D7D"/>
    <w:rsid w:val="00860DAD"/>
    <w:rsid w:val="00860DBE"/>
    <w:rsid w:val="00860E34"/>
    <w:rsid w:val="00860EAF"/>
    <w:rsid w:val="00860F59"/>
    <w:rsid w:val="00860F9A"/>
    <w:rsid w:val="00860FAD"/>
    <w:rsid w:val="0086103E"/>
    <w:rsid w:val="00861197"/>
    <w:rsid w:val="008611E6"/>
    <w:rsid w:val="008612CC"/>
    <w:rsid w:val="00861300"/>
    <w:rsid w:val="00861301"/>
    <w:rsid w:val="00861392"/>
    <w:rsid w:val="008613D1"/>
    <w:rsid w:val="0086144F"/>
    <w:rsid w:val="008614FC"/>
    <w:rsid w:val="00861598"/>
    <w:rsid w:val="0086169C"/>
    <w:rsid w:val="008616CD"/>
    <w:rsid w:val="0086170E"/>
    <w:rsid w:val="00861748"/>
    <w:rsid w:val="008617BF"/>
    <w:rsid w:val="008617EF"/>
    <w:rsid w:val="008617F4"/>
    <w:rsid w:val="0086180E"/>
    <w:rsid w:val="00861833"/>
    <w:rsid w:val="0086196F"/>
    <w:rsid w:val="008619A3"/>
    <w:rsid w:val="00861A2F"/>
    <w:rsid w:val="00861B96"/>
    <w:rsid w:val="00861BBF"/>
    <w:rsid w:val="00861D22"/>
    <w:rsid w:val="00861D46"/>
    <w:rsid w:val="00861D4A"/>
    <w:rsid w:val="00861E0A"/>
    <w:rsid w:val="00861EF2"/>
    <w:rsid w:val="00861F13"/>
    <w:rsid w:val="00861F3D"/>
    <w:rsid w:val="00861FCA"/>
    <w:rsid w:val="00861FE3"/>
    <w:rsid w:val="00862095"/>
    <w:rsid w:val="008620B9"/>
    <w:rsid w:val="00862148"/>
    <w:rsid w:val="008621CE"/>
    <w:rsid w:val="00862214"/>
    <w:rsid w:val="0086224A"/>
    <w:rsid w:val="0086227A"/>
    <w:rsid w:val="008623B7"/>
    <w:rsid w:val="008623CF"/>
    <w:rsid w:val="008623D6"/>
    <w:rsid w:val="008623FE"/>
    <w:rsid w:val="00862420"/>
    <w:rsid w:val="00862532"/>
    <w:rsid w:val="0086261E"/>
    <w:rsid w:val="008626AA"/>
    <w:rsid w:val="008626EE"/>
    <w:rsid w:val="0086280E"/>
    <w:rsid w:val="00862829"/>
    <w:rsid w:val="00862943"/>
    <w:rsid w:val="008629A7"/>
    <w:rsid w:val="008629B9"/>
    <w:rsid w:val="00862ABF"/>
    <w:rsid w:val="00862B4F"/>
    <w:rsid w:val="00862C3B"/>
    <w:rsid w:val="00862C56"/>
    <w:rsid w:val="00862CB2"/>
    <w:rsid w:val="00862CE3"/>
    <w:rsid w:val="00862DCB"/>
    <w:rsid w:val="00862DD4"/>
    <w:rsid w:val="00862DE5"/>
    <w:rsid w:val="00862E83"/>
    <w:rsid w:val="00862E95"/>
    <w:rsid w:val="00862FDF"/>
    <w:rsid w:val="008630A5"/>
    <w:rsid w:val="008630D0"/>
    <w:rsid w:val="008630E8"/>
    <w:rsid w:val="0086322D"/>
    <w:rsid w:val="0086327F"/>
    <w:rsid w:val="00863320"/>
    <w:rsid w:val="00863332"/>
    <w:rsid w:val="0086338D"/>
    <w:rsid w:val="008635DB"/>
    <w:rsid w:val="00863621"/>
    <w:rsid w:val="008636B7"/>
    <w:rsid w:val="008636DB"/>
    <w:rsid w:val="00863721"/>
    <w:rsid w:val="0086378E"/>
    <w:rsid w:val="00863A5F"/>
    <w:rsid w:val="00863AEC"/>
    <w:rsid w:val="00863BB4"/>
    <w:rsid w:val="00863BB8"/>
    <w:rsid w:val="00863C8C"/>
    <w:rsid w:val="00863CB7"/>
    <w:rsid w:val="00863CC7"/>
    <w:rsid w:val="00863D5B"/>
    <w:rsid w:val="00863DCD"/>
    <w:rsid w:val="00863DCF"/>
    <w:rsid w:val="00863E81"/>
    <w:rsid w:val="00863E95"/>
    <w:rsid w:val="00863EAB"/>
    <w:rsid w:val="00863EE5"/>
    <w:rsid w:val="00863F00"/>
    <w:rsid w:val="00863F20"/>
    <w:rsid w:val="00863FC9"/>
    <w:rsid w:val="00863FD3"/>
    <w:rsid w:val="0086402F"/>
    <w:rsid w:val="008640BF"/>
    <w:rsid w:val="008641EB"/>
    <w:rsid w:val="00864233"/>
    <w:rsid w:val="00864235"/>
    <w:rsid w:val="0086423F"/>
    <w:rsid w:val="0086440B"/>
    <w:rsid w:val="0086454D"/>
    <w:rsid w:val="00864551"/>
    <w:rsid w:val="00864572"/>
    <w:rsid w:val="008645C5"/>
    <w:rsid w:val="0086473B"/>
    <w:rsid w:val="008647EA"/>
    <w:rsid w:val="008648A0"/>
    <w:rsid w:val="00864921"/>
    <w:rsid w:val="00864949"/>
    <w:rsid w:val="00864964"/>
    <w:rsid w:val="00864976"/>
    <w:rsid w:val="008649B4"/>
    <w:rsid w:val="00864A8C"/>
    <w:rsid w:val="00864A9E"/>
    <w:rsid w:val="00864AB9"/>
    <w:rsid w:val="00864B62"/>
    <w:rsid w:val="00864C03"/>
    <w:rsid w:val="00864D6F"/>
    <w:rsid w:val="00864E72"/>
    <w:rsid w:val="00864EF1"/>
    <w:rsid w:val="00864F5B"/>
    <w:rsid w:val="00865067"/>
    <w:rsid w:val="00865125"/>
    <w:rsid w:val="00865168"/>
    <w:rsid w:val="00865209"/>
    <w:rsid w:val="008652A6"/>
    <w:rsid w:val="008654A6"/>
    <w:rsid w:val="00865511"/>
    <w:rsid w:val="00865557"/>
    <w:rsid w:val="008655BB"/>
    <w:rsid w:val="00865685"/>
    <w:rsid w:val="008658D0"/>
    <w:rsid w:val="008658EE"/>
    <w:rsid w:val="00865948"/>
    <w:rsid w:val="008659D6"/>
    <w:rsid w:val="00865AC6"/>
    <w:rsid w:val="00865B6F"/>
    <w:rsid w:val="00865C2F"/>
    <w:rsid w:val="00865C95"/>
    <w:rsid w:val="00865E1B"/>
    <w:rsid w:val="00865FC1"/>
    <w:rsid w:val="0086605F"/>
    <w:rsid w:val="00866075"/>
    <w:rsid w:val="008663AE"/>
    <w:rsid w:val="0086642B"/>
    <w:rsid w:val="00866472"/>
    <w:rsid w:val="008664A0"/>
    <w:rsid w:val="008666A4"/>
    <w:rsid w:val="00866832"/>
    <w:rsid w:val="00866934"/>
    <w:rsid w:val="0086693B"/>
    <w:rsid w:val="00866BDB"/>
    <w:rsid w:val="00866C53"/>
    <w:rsid w:val="00866CDB"/>
    <w:rsid w:val="00866F83"/>
    <w:rsid w:val="008670B7"/>
    <w:rsid w:val="0086715F"/>
    <w:rsid w:val="0086729B"/>
    <w:rsid w:val="008673C3"/>
    <w:rsid w:val="00867472"/>
    <w:rsid w:val="008674B3"/>
    <w:rsid w:val="008675CA"/>
    <w:rsid w:val="008675DB"/>
    <w:rsid w:val="0086763D"/>
    <w:rsid w:val="00867644"/>
    <w:rsid w:val="00867696"/>
    <w:rsid w:val="008677BA"/>
    <w:rsid w:val="0086781D"/>
    <w:rsid w:val="00867838"/>
    <w:rsid w:val="0086785B"/>
    <w:rsid w:val="008678CE"/>
    <w:rsid w:val="008678D9"/>
    <w:rsid w:val="00867951"/>
    <w:rsid w:val="00867990"/>
    <w:rsid w:val="008679F2"/>
    <w:rsid w:val="00867A8D"/>
    <w:rsid w:val="00867B0D"/>
    <w:rsid w:val="00867C4E"/>
    <w:rsid w:val="00867EAC"/>
    <w:rsid w:val="00867F10"/>
    <w:rsid w:val="00867F20"/>
    <w:rsid w:val="00867F43"/>
    <w:rsid w:val="0087002A"/>
    <w:rsid w:val="0087002D"/>
    <w:rsid w:val="00870078"/>
    <w:rsid w:val="00870079"/>
    <w:rsid w:val="008700E5"/>
    <w:rsid w:val="00870142"/>
    <w:rsid w:val="008701C6"/>
    <w:rsid w:val="008702F1"/>
    <w:rsid w:val="00870363"/>
    <w:rsid w:val="00870482"/>
    <w:rsid w:val="008704F9"/>
    <w:rsid w:val="0087050D"/>
    <w:rsid w:val="00870639"/>
    <w:rsid w:val="00870684"/>
    <w:rsid w:val="0087070C"/>
    <w:rsid w:val="0087072E"/>
    <w:rsid w:val="008707EC"/>
    <w:rsid w:val="008707FB"/>
    <w:rsid w:val="0087088D"/>
    <w:rsid w:val="0087089F"/>
    <w:rsid w:val="008708E2"/>
    <w:rsid w:val="008709C9"/>
    <w:rsid w:val="00870A1A"/>
    <w:rsid w:val="00870AB7"/>
    <w:rsid w:val="00870BBC"/>
    <w:rsid w:val="00870C16"/>
    <w:rsid w:val="00870D76"/>
    <w:rsid w:val="00870EE3"/>
    <w:rsid w:val="00871062"/>
    <w:rsid w:val="0087112D"/>
    <w:rsid w:val="00871191"/>
    <w:rsid w:val="008711D2"/>
    <w:rsid w:val="008711FA"/>
    <w:rsid w:val="00871285"/>
    <w:rsid w:val="008712C6"/>
    <w:rsid w:val="008712C7"/>
    <w:rsid w:val="00871359"/>
    <w:rsid w:val="00871362"/>
    <w:rsid w:val="0087137C"/>
    <w:rsid w:val="008713AB"/>
    <w:rsid w:val="008713C5"/>
    <w:rsid w:val="0087148D"/>
    <w:rsid w:val="008714AC"/>
    <w:rsid w:val="00871547"/>
    <w:rsid w:val="0087158D"/>
    <w:rsid w:val="00871596"/>
    <w:rsid w:val="00871665"/>
    <w:rsid w:val="00871894"/>
    <w:rsid w:val="008718A3"/>
    <w:rsid w:val="008718E9"/>
    <w:rsid w:val="00871907"/>
    <w:rsid w:val="008719C6"/>
    <w:rsid w:val="00871BF2"/>
    <w:rsid w:val="00871C3E"/>
    <w:rsid w:val="00871C41"/>
    <w:rsid w:val="00871C45"/>
    <w:rsid w:val="00871CCD"/>
    <w:rsid w:val="00871CE9"/>
    <w:rsid w:val="00871D26"/>
    <w:rsid w:val="00871DBE"/>
    <w:rsid w:val="00871DD9"/>
    <w:rsid w:val="00871F65"/>
    <w:rsid w:val="0087210D"/>
    <w:rsid w:val="0087214B"/>
    <w:rsid w:val="00872230"/>
    <w:rsid w:val="00872250"/>
    <w:rsid w:val="008722C5"/>
    <w:rsid w:val="008722E9"/>
    <w:rsid w:val="0087231C"/>
    <w:rsid w:val="0087231F"/>
    <w:rsid w:val="00872369"/>
    <w:rsid w:val="008723FD"/>
    <w:rsid w:val="0087240A"/>
    <w:rsid w:val="008724E3"/>
    <w:rsid w:val="008726A1"/>
    <w:rsid w:val="008726BD"/>
    <w:rsid w:val="008726F8"/>
    <w:rsid w:val="008727EA"/>
    <w:rsid w:val="0087292F"/>
    <w:rsid w:val="00872992"/>
    <w:rsid w:val="00872B32"/>
    <w:rsid w:val="00872C42"/>
    <w:rsid w:val="00872C7F"/>
    <w:rsid w:val="00872CD6"/>
    <w:rsid w:val="00872D0E"/>
    <w:rsid w:val="00872D32"/>
    <w:rsid w:val="00872E7C"/>
    <w:rsid w:val="00872EAE"/>
    <w:rsid w:val="00872EFF"/>
    <w:rsid w:val="00873019"/>
    <w:rsid w:val="0087305A"/>
    <w:rsid w:val="008730BE"/>
    <w:rsid w:val="00873199"/>
    <w:rsid w:val="008732BB"/>
    <w:rsid w:val="00873376"/>
    <w:rsid w:val="00873385"/>
    <w:rsid w:val="00873447"/>
    <w:rsid w:val="008734FD"/>
    <w:rsid w:val="00873542"/>
    <w:rsid w:val="00873549"/>
    <w:rsid w:val="0087357B"/>
    <w:rsid w:val="00873581"/>
    <w:rsid w:val="00873674"/>
    <w:rsid w:val="0087372D"/>
    <w:rsid w:val="00873809"/>
    <w:rsid w:val="00873889"/>
    <w:rsid w:val="00873897"/>
    <w:rsid w:val="008738C6"/>
    <w:rsid w:val="00873AE4"/>
    <w:rsid w:val="00873BAD"/>
    <w:rsid w:val="00873BB7"/>
    <w:rsid w:val="00873BFD"/>
    <w:rsid w:val="00873CFE"/>
    <w:rsid w:val="00873DEF"/>
    <w:rsid w:val="00873E04"/>
    <w:rsid w:val="00873E10"/>
    <w:rsid w:val="00873E43"/>
    <w:rsid w:val="00873E9E"/>
    <w:rsid w:val="00873F19"/>
    <w:rsid w:val="00873FCE"/>
    <w:rsid w:val="0087405F"/>
    <w:rsid w:val="008740BD"/>
    <w:rsid w:val="00874288"/>
    <w:rsid w:val="008742DC"/>
    <w:rsid w:val="008742DE"/>
    <w:rsid w:val="00874406"/>
    <w:rsid w:val="00874686"/>
    <w:rsid w:val="00874694"/>
    <w:rsid w:val="008746AF"/>
    <w:rsid w:val="0087473D"/>
    <w:rsid w:val="00874770"/>
    <w:rsid w:val="008747F6"/>
    <w:rsid w:val="00874807"/>
    <w:rsid w:val="008748FA"/>
    <w:rsid w:val="00874978"/>
    <w:rsid w:val="008749BB"/>
    <w:rsid w:val="00874A06"/>
    <w:rsid w:val="00874A9F"/>
    <w:rsid w:val="00874AB2"/>
    <w:rsid w:val="00874AE5"/>
    <w:rsid w:val="00874BA9"/>
    <w:rsid w:val="00874C62"/>
    <w:rsid w:val="00874C7A"/>
    <w:rsid w:val="00874D3B"/>
    <w:rsid w:val="00874D73"/>
    <w:rsid w:val="00874E98"/>
    <w:rsid w:val="00874F31"/>
    <w:rsid w:val="00874F69"/>
    <w:rsid w:val="00874F88"/>
    <w:rsid w:val="00874F8C"/>
    <w:rsid w:val="00874FAB"/>
    <w:rsid w:val="00874FFA"/>
    <w:rsid w:val="0087505B"/>
    <w:rsid w:val="008750BD"/>
    <w:rsid w:val="008750C4"/>
    <w:rsid w:val="0087510D"/>
    <w:rsid w:val="008751E1"/>
    <w:rsid w:val="0087525B"/>
    <w:rsid w:val="00875383"/>
    <w:rsid w:val="008753C4"/>
    <w:rsid w:val="00875432"/>
    <w:rsid w:val="008754A8"/>
    <w:rsid w:val="008754EB"/>
    <w:rsid w:val="00875535"/>
    <w:rsid w:val="00875647"/>
    <w:rsid w:val="00875724"/>
    <w:rsid w:val="00875840"/>
    <w:rsid w:val="008758A1"/>
    <w:rsid w:val="00875907"/>
    <w:rsid w:val="00875A7B"/>
    <w:rsid w:val="00875A93"/>
    <w:rsid w:val="00875A9F"/>
    <w:rsid w:val="00875AFB"/>
    <w:rsid w:val="00875B51"/>
    <w:rsid w:val="00875B9B"/>
    <w:rsid w:val="00875BAA"/>
    <w:rsid w:val="00875BDC"/>
    <w:rsid w:val="00875CBE"/>
    <w:rsid w:val="00875F46"/>
    <w:rsid w:val="00875F6F"/>
    <w:rsid w:val="0087603A"/>
    <w:rsid w:val="00876090"/>
    <w:rsid w:val="008760B0"/>
    <w:rsid w:val="008760DD"/>
    <w:rsid w:val="008762A4"/>
    <w:rsid w:val="00876405"/>
    <w:rsid w:val="00876407"/>
    <w:rsid w:val="00876480"/>
    <w:rsid w:val="00876503"/>
    <w:rsid w:val="0087653F"/>
    <w:rsid w:val="00876576"/>
    <w:rsid w:val="008765F6"/>
    <w:rsid w:val="00876615"/>
    <w:rsid w:val="00876628"/>
    <w:rsid w:val="00876685"/>
    <w:rsid w:val="00876799"/>
    <w:rsid w:val="00876927"/>
    <w:rsid w:val="0087692B"/>
    <w:rsid w:val="00876969"/>
    <w:rsid w:val="008769BB"/>
    <w:rsid w:val="008769F3"/>
    <w:rsid w:val="00876A14"/>
    <w:rsid w:val="00876A20"/>
    <w:rsid w:val="00876AA6"/>
    <w:rsid w:val="00876BE0"/>
    <w:rsid w:val="00876C78"/>
    <w:rsid w:val="00876D69"/>
    <w:rsid w:val="00876E51"/>
    <w:rsid w:val="00876E6A"/>
    <w:rsid w:val="00876EDE"/>
    <w:rsid w:val="00876F32"/>
    <w:rsid w:val="00876F37"/>
    <w:rsid w:val="00876FD8"/>
    <w:rsid w:val="0087704F"/>
    <w:rsid w:val="0087706E"/>
    <w:rsid w:val="00877110"/>
    <w:rsid w:val="00877257"/>
    <w:rsid w:val="00877438"/>
    <w:rsid w:val="00877497"/>
    <w:rsid w:val="008774CD"/>
    <w:rsid w:val="00877530"/>
    <w:rsid w:val="00877598"/>
    <w:rsid w:val="008775A2"/>
    <w:rsid w:val="00877633"/>
    <w:rsid w:val="008776BD"/>
    <w:rsid w:val="008776CF"/>
    <w:rsid w:val="008776FB"/>
    <w:rsid w:val="00877752"/>
    <w:rsid w:val="00877786"/>
    <w:rsid w:val="008777C0"/>
    <w:rsid w:val="00877847"/>
    <w:rsid w:val="00877881"/>
    <w:rsid w:val="008779A8"/>
    <w:rsid w:val="00877A1F"/>
    <w:rsid w:val="00877A39"/>
    <w:rsid w:val="00877B58"/>
    <w:rsid w:val="00877C07"/>
    <w:rsid w:val="00877C55"/>
    <w:rsid w:val="00877F5E"/>
    <w:rsid w:val="00877FED"/>
    <w:rsid w:val="00880015"/>
    <w:rsid w:val="00880023"/>
    <w:rsid w:val="008801B5"/>
    <w:rsid w:val="008801EC"/>
    <w:rsid w:val="008801F6"/>
    <w:rsid w:val="008802DB"/>
    <w:rsid w:val="00880315"/>
    <w:rsid w:val="0088046D"/>
    <w:rsid w:val="008804FB"/>
    <w:rsid w:val="00880541"/>
    <w:rsid w:val="0088059D"/>
    <w:rsid w:val="008805A2"/>
    <w:rsid w:val="008805CB"/>
    <w:rsid w:val="00880685"/>
    <w:rsid w:val="008806F1"/>
    <w:rsid w:val="008806F3"/>
    <w:rsid w:val="00880735"/>
    <w:rsid w:val="00880799"/>
    <w:rsid w:val="008807CF"/>
    <w:rsid w:val="00880801"/>
    <w:rsid w:val="0088083E"/>
    <w:rsid w:val="008808BB"/>
    <w:rsid w:val="0088091C"/>
    <w:rsid w:val="008809CD"/>
    <w:rsid w:val="00880A1F"/>
    <w:rsid w:val="00880A30"/>
    <w:rsid w:val="00880AC0"/>
    <w:rsid w:val="00880AFE"/>
    <w:rsid w:val="00880B20"/>
    <w:rsid w:val="00880BAF"/>
    <w:rsid w:val="00880BC6"/>
    <w:rsid w:val="00880C19"/>
    <w:rsid w:val="00880CAE"/>
    <w:rsid w:val="00880D0E"/>
    <w:rsid w:val="00880D82"/>
    <w:rsid w:val="00880F4B"/>
    <w:rsid w:val="00880FB6"/>
    <w:rsid w:val="008811A3"/>
    <w:rsid w:val="00881249"/>
    <w:rsid w:val="00881281"/>
    <w:rsid w:val="008812B0"/>
    <w:rsid w:val="008812E9"/>
    <w:rsid w:val="008813B1"/>
    <w:rsid w:val="0088145A"/>
    <w:rsid w:val="0088152A"/>
    <w:rsid w:val="008815DE"/>
    <w:rsid w:val="00881625"/>
    <w:rsid w:val="008816A2"/>
    <w:rsid w:val="00881745"/>
    <w:rsid w:val="008817A1"/>
    <w:rsid w:val="008817FB"/>
    <w:rsid w:val="00881824"/>
    <w:rsid w:val="008818B2"/>
    <w:rsid w:val="008818C2"/>
    <w:rsid w:val="008818EA"/>
    <w:rsid w:val="00881C13"/>
    <w:rsid w:val="00881CF4"/>
    <w:rsid w:val="00881D59"/>
    <w:rsid w:val="00881DBD"/>
    <w:rsid w:val="00881E6D"/>
    <w:rsid w:val="00881E8E"/>
    <w:rsid w:val="00881E8F"/>
    <w:rsid w:val="00881EAD"/>
    <w:rsid w:val="00881FA7"/>
    <w:rsid w:val="00882047"/>
    <w:rsid w:val="008820A7"/>
    <w:rsid w:val="00882143"/>
    <w:rsid w:val="00882245"/>
    <w:rsid w:val="008822A0"/>
    <w:rsid w:val="008822A1"/>
    <w:rsid w:val="008822A7"/>
    <w:rsid w:val="008822CA"/>
    <w:rsid w:val="0088236F"/>
    <w:rsid w:val="008823E3"/>
    <w:rsid w:val="008823F9"/>
    <w:rsid w:val="00882403"/>
    <w:rsid w:val="00882456"/>
    <w:rsid w:val="00882466"/>
    <w:rsid w:val="008824F4"/>
    <w:rsid w:val="00882580"/>
    <w:rsid w:val="00882586"/>
    <w:rsid w:val="008825CD"/>
    <w:rsid w:val="008825DF"/>
    <w:rsid w:val="008827B8"/>
    <w:rsid w:val="008827E9"/>
    <w:rsid w:val="00882916"/>
    <w:rsid w:val="00882AD9"/>
    <w:rsid w:val="00882AF7"/>
    <w:rsid w:val="00882B01"/>
    <w:rsid w:val="00882B75"/>
    <w:rsid w:val="00882B7B"/>
    <w:rsid w:val="00882BCB"/>
    <w:rsid w:val="00882C12"/>
    <w:rsid w:val="00882CA3"/>
    <w:rsid w:val="00882CA4"/>
    <w:rsid w:val="00882CDA"/>
    <w:rsid w:val="00882D2F"/>
    <w:rsid w:val="00882D7C"/>
    <w:rsid w:val="00882D96"/>
    <w:rsid w:val="00882DD3"/>
    <w:rsid w:val="00882E6D"/>
    <w:rsid w:val="00882EC6"/>
    <w:rsid w:val="0088302D"/>
    <w:rsid w:val="008830A1"/>
    <w:rsid w:val="008830C0"/>
    <w:rsid w:val="00883120"/>
    <w:rsid w:val="00883156"/>
    <w:rsid w:val="008832F3"/>
    <w:rsid w:val="008833E7"/>
    <w:rsid w:val="0088360A"/>
    <w:rsid w:val="00883662"/>
    <w:rsid w:val="0088368C"/>
    <w:rsid w:val="008838FD"/>
    <w:rsid w:val="00883909"/>
    <w:rsid w:val="0088390E"/>
    <w:rsid w:val="00883A0D"/>
    <w:rsid w:val="00883AD2"/>
    <w:rsid w:val="00883AE9"/>
    <w:rsid w:val="00883BB0"/>
    <w:rsid w:val="00883C73"/>
    <w:rsid w:val="00883CAF"/>
    <w:rsid w:val="00883E1A"/>
    <w:rsid w:val="00883E43"/>
    <w:rsid w:val="00883E4B"/>
    <w:rsid w:val="00883E5B"/>
    <w:rsid w:val="00883E75"/>
    <w:rsid w:val="00884026"/>
    <w:rsid w:val="00884041"/>
    <w:rsid w:val="00884070"/>
    <w:rsid w:val="008840E4"/>
    <w:rsid w:val="008840F8"/>
    <w:rsid w:val="0088419B"/>
    <w:rsid w:val="00884296"/>
    <w:rsid w:val="0088434A"/>
    <w:rsid w:val="00884383"/>
    <w:rsid w:val="00884411"/>
    <w:rsid w:val="00884577"/>
    <w:rsid w:val="00884597"/>
    <w:rsid w:val="0088465F"/>
    <w:rsid w:val="008846C9"/>
    <w:rsid w:val="00884756"/>
    <w:rsid w:val="00884796"/>
    <w:rsid w:val="008847F5"/>
    <w:rsid w:val="008847FC"/>
    <w:rsid w:val="00884831"/>
    <w:rsid w:val="008848B7"/>
    <w:rsid w:val="008848F1"/>
    <w:rsid w:val="00884BAF"/>
    <w:rsid w:val="00884D4B"/>
    <w:rsid w:val="00884D61"/>
    <w:rsid w:val="00884D7E"/>
    <w:rsid w:val="00884D8E"/>
    <w:rsid w:val="00884E4F"/>
    <w:rsid w:val="00884ECA"/>
    <w:rsid w:val="00884F88"/>
    <w:rsid w:val="00885029"/>
    <w:rsid w:val="00885061"/>
    <w:rsid w:val="008850DE"/>
    <w:rsid w:val="008850FD"/>
    <w:rsid w:val="0088512C"/>
    <w:rsid w:val="008852F0"/>
    <w:rsid w:val="00885458"/>
    <w:rsid w:val="008855C3"/>
    <w:rsid w:val="008855D2"/>
    <w:rsid w:val="00885620"/>
    <w:rsid w:val="0088575D"/>
    <w:rsid w:val="00885798"/>
    <w:rsid w:val="008857DC"/>
    <w:rsid w:val="008858A5"/>
    <w:rsid w:val="008858C9"/>
    <w:rsid w:val="008858EB"/>
    <w:rsid w:val="0088591B"/>
    <w:rsid w:val="008859BD"/>
    <w:rsid w:val="008859C2"/>
    <w:rsid w:val="008859D7"/>
    <w:rsid w:val="00885AB4"/>
    <w:rsid w:val="00885CB9"/>
    <w:rsid w:val="00885D02"/>
    <w:rsid w:val="00885DD6"/>
    <w:rsid w:val="00885DDF"/>
    <w:rsid w:val="00885F0E"/>
    <w:rsid w:val="00885F17"/>
    <w:rsid w:val="00885FA9"/>
    <w:rsid w:val="00885FAC"/>
    <w:rsid w:val="008860F4"/>
    <w:rsid w:val="0088626E"/>
    <w:rsid w:val="00886499"/>
    <w:rsid w:val="008865DF"/>
    <w:rsid w:val="0088663E"/>
    <w:rsid w:val="008868CC"/>
    <w:rsid w:val="008868E9"/>
    <w:rsid w:val="00886A5F"/>
    <w:rsid w:val="00886A88"/>
    <w:rsid w:val="00886B0D"/>
    <w:rsid w:val="00886BA4"/>
    <w:rsid w:val="00886C81"/>
    <w:rsid w:val="00886CBB"/>
    <w:rsid w:val="00886CBE"/>
    <w:rsid w:val="00886CD8"/>
    <w:rsid w:val="00886E80"/>
    <w:rsid w:val="00886F4E"/>
    <w:rsid w:val="00886FC8"/>
    <w:rsid w:val="00887001"/>
    <w:rsid w:val="00887162"/>
    <w:rsid w:val="00887264"/>
    <w:rsid w:val="0088734D"/>
    <w:rsid w:val="00887512"/>
    <w:rsid w:val="00887580"/>
    <w:rsid w:val="00887603"/>
    <w:rsid w:val="008876F5"/>
    <w:rsid w:val="0088775E"/>
    <w:rsid w:val="008879D6"/>
    <w:rsid w:val="00887A03"/>
    <w:rsid w:val="00887AB4"/>
    <w:rsid w:val="00887ACA"/>
    <w:rsid w:val="00887B18"/>
    <w:rsid w:val="00887B1A"/>
    <w:rsid w:val="00887B69"/>
    <w:rsid w:val="00887BCE"/>
    <w:rsid w:val="00887C82"/>
    <w:rsid w:val="00887D1E"/>
    <w:rsid w:val="00887D78"/>
    <w:rsid w:val="00887D9C"/>
    <w:rsid w:val="00887DEA"/>
    <w:rsid w:val="00887DF8"/>
    <w:rsid w:val="00887E42"/>
    <w:rsid w:val="00887FD3"/>
    <w:rsid w:val="00887FDA"/>
    <w:rsid w:val="00890116"/>
    <w:rsid w:val="00890222"/>
    <w:rsid w:val="0089029A"/>
    <w:rsid w:val="0089033A"/>
    <w:rsid w:val="0089039C"/>
    <w:rsid w:val="008903E6"/>
    <w:rsid w:val="008904B1"/>
    <w:rsid w:val="008904E1"/>
    <w:rsid w:val="0089051D"/>
    <w:rsid w:val="00890560"/>
    <w:rsid w:val="008906F2"/>
    <w:rsid w:val="0089072D"/>
    <w:rsid w:val="0089078D"/>
    <w:rsid w:val="0089079F"/>
    <w:rsid w:val="008907FF"/>
    <w:rsid w:val="0089080A"/>
    <w:rsid w:val="00890820"/>
    <w:rsid w:val="00890837"/>
    <w:rsid w:val="0089088E"/>
    <w:rsid w:val="00890919"/>
    <w:rsid w:val="00890931"/>
    <w:rsid w:val="00890966"/>
    <w:rsid w:val="00890A02"/>
    <w:rsid w:val="00890BFE"/>
    <w:rsid w:val="00890E25"/>
    <w:rsid w:val="00890F45"/>
    <w:rsid w:val="00890F82"/>
    <w:rsid w:val="00890FAD"/>
    <w:rsid w:val="0089104A"/>
    <w:rsid w:val="008910A1"/>
    <w:rsid w:val="008910E3"/>
    <w:rsid w:val="00891149"/>
    <w:rsid w:val="0089118E"/>
    <w:rsid w:val="00891196"/>
    <w:rsid w:val="008911C7"/>
    <w:rsid w:val="0089120D"/>
    <w:rsid w:val="008912D5"/>
    <w:rsid w:val="00891390"/>
    <w:rsid w:val="008913DF"/>
    <w:rsid w:val="008913E7"/>
    <w:rsid w:val="00891476"/>
    <w:rsid w:val="008914CD"/>
    <w:rsid w:val="0089152D"/>
    <w:rsid w:val="008916C7"/>
    <w:rsid w:val="008916C9"/>
    <w:rsid w:val="008917A6"/>
    <w:rsid w:val="0089180C"/>
    <w:rsid w:val="00891836"/>
    <w:rsid w:val="00891889"/>
    <w:rsid w:val="008918A1"/>
    <w:rsid w:val="008919BD"/>
    <w:rsid w:val="00891B1A"/>
    <w:rsid w:val="00891B7E"/>
    <w:rsid w:val="00891C92"/>
    <w:rsid w:val="00891CCF"/>
    <w:rsid w:val="00891D34"/>
    <w:rsid w:val="00891DAF"/>
    <w:rsid w:val="00891ECF"/>
    <w:rsid w:val="00891F3E"/>
    <w:rsid w:val="00891FE0"/>
    <w:rsid w:val="00892042"/>
    <w:rsid w:val="00892047"/>
    <w:rsid w:val="0089215E"/>
    <w:rsid w:val="0089216B"/>
    <w:rsid w:val="00892196"/>
    <w:rsid w:val="00892325"/>
    <w:rsid w:val="008923D8"/>
    <w:rsid w:val="008923F4"/>
    <w:rsid w:val="00892417"/>
    <w:rsid w:val="0089243F"/>
    <w:rsid w:val="0089257C"/>
    <w:rsid w:val="00892670"/>
    <w:rsid w:val="008926F0"/>
    <w:rsid w:val="00892700"/>
    <w:rsid w:val="00892745"/>
    <w:rsid w:val="008927F3"/>
    <w:rsid w:val="00892851"/>
    <w:rsid w:val="008928A5"/>
    <w:rsid w:val="0089299A"/>
    <w:rsid w:val="00892A04"/>
    <w:rsid w:val="00892A08"/>
    <w:rsid w:val="00892B2F"/>
    <w:rsid w:val="00892C0D"/>
    <w:rsid w:val="00892C6A"/>
    <w:rsid w:val="00892D57"/>
    <w:rsid w:val="00892D90"/>
    <w:rsid w:val="00892E0E"/>
    <w:rsid w:val="00892E5A"/>
    <w:rsid w:val="00892F9B"/>
    <w:rsid w:val="00892FF9"/>
    <w:rsid w:val="0089306A"/>
    <w:rsid w:val="00893123"/>
    <w:rsid w:val="0089315A"/>
    <w:rsid w:val="008931CC"/>
    <w:rsid w:val="00893237"/>
    <w:rsid w:val="0089326B"/>
    <w:rsid w:val="00893350"/>
    <w:rsid w:val="00893352"/>
    <w:rsid w:val="0089339E"/>
    <w:rsid w:val="00893437"/>
    <w:rsid w:val="008934BB"/>
    <w:rsid w:val="008934D4"/>
    <w:rsid w:val="00893596"/>
    <w:rsid w:val="008935AE"/>
    <w:rsid w:val="008936B4"/>
    <w:rsid w:val="008936E4"/>
    <w:rsid w:val="008936E8"/>
    <w:rsid w:val="008936FB"/>
    <w:rsid w:val="00893722"/>
    <w:rsid w:val="00893797"/>
    <w:rsid w:val="008937F1"/>
    <w:rsid w:val="0089387F"/>
    <w:rsid w:val="008938AC"/>
    <w:rsid w:val="008939AE"/>
    <w:rsid w:val="00893A66"/>
    <w:rsid w:val="00893A67"/>
    <w:rsid w:val="00893AFC"/>
    <w:rsid w:val="00893B0C"/>
    <w:rsid w:val="00893B82"/>
    <w:rsid w:val="00893D89"/>
    <w:rsid w:val="00893EE4"/>
    <w:rsid w:val="00893F3F"/>
    <w:rsid w:val="00893F78"/>
    <w:rsid w:val="00893FC5"/>
    <w:rsid w:val="00894005"/>
    <w:rsid w:val="008940CA"/>
    <w:rsid w:val="008942B4"/>
    <w:rsid w:val="008942B5"/>
    <w:rsid w:val="008942F4"/>
    <w:rsid w:val="00894350"/>
    <w:rsid w:val="00894367"/>
    <w:rsid w:val="008944E2"/>
    <w:rsid w:val="00894541"/>
    <w:rsid w:val="0089461E"/>
    <w:rsid w:val="00894679"/>
    <w:rsid w:val="008946DB"/>
    <w:rsid w:val="008947AF"/>
    <w:rsid w:val="008947DF"/>
    <w:rsid w:val="0089482A"/>
    <w:rsid w:val="00894871"/>
    <w:rsid w:val="00894872"/>
    <w:rsid w:val="008948E9"/>
    <w:rsid w:val="0089494C"/>
    <w:rsid w:val="00894971"/>
    <w:rsid w:val="00894A04"/>
    <w:rsid w:val="00894B33"/>
    <w:rsid w:val="00894B87"/>
    <w:rsid w:val="00894C02"/>
    <w:rsid w:val="00894C53"/>
    <w:rsid w:val="00894CEC"/>
    <w:rsid w:val="00894CF9"/>
    <w:rsid w:val="00894D7C"/>
    <w:rsid w:val="00894DCB"/>
    <w:rsid w:val="00894E14"/>
    <w:rsid w:val="00894E17"/>
    <w:rsid w:val="00894E5F"/>
    <w:rsid w:val="00894E68"/>
    <w:rsid w:val="00894F44"/>
    <w:rsid w:val="0089500E"/>
    <w:rsid w:val="008950BF"/>
    <w:rsid w:val="0089514B"/>
    <w:rsid w:val="00895163"/>
    <w:rsid w:val="008952C3"/>
    <w:rsid w:val="00895314"/>
    <w:rsid w:val="00895333"/>
    <w:rsid w:val="008953D4"/>
    <w:rsid w:val="0089559D"/>
    <w:rsid w:val="0089563F"/>
    <w:rsid w:val="008956B5"/>
    <w:rsid w:val="0089574F"/>
    <w:rsid w:val="00895753"/>
    <w:rsid w:val="00895759"/>
    <w:rsid w:val="008957B4"/>
    <w:rsid w:val="008957CF"/>
    <w:rsid w:val="008958FB"/>
    <w:rsid w:val="00895932"/>
    <w:rsid w:val="0089597E"/>
    <w:rsid w:val="00895980"/>
    <w:rsid w:val="008959AC"/>
    <w:rsid w:val="00895A2E"/>
    <w:rsid w:val="00895A68"/>
    <w:rsid w:val="00895B4B"/>
    <w:rsid w:val="00895C4F"/>
    <w:rsid w:val="00895CAD"/>
    <w:rsid w:val="00895D3B"/>
    <w:rsid w:val="00895E15"/>
    <w:rsid w:val="00895F28"/>
    <w:rsid w:val="00895FC9"/>
    <w:rsid w:val="00895FE3"/>
    <w:rsid w:val="0089601B"/>
    <w:rsid w:val="00896020"/>
    <w:rsid w:val="00896038"/>
    <w:rsid w:val="00896050"/>
    <w:rsid w:val="00896112"/>
    <w:rsid w:val="008962A3"/>
    <w:rsid w:val="008962FF"/>
    <w:rsid w:val="00896310"/>
    <w:rsid w:val="008964B9"/>
    <w:rsid w:val="0089659E"/>
    <w:rsid w:val="0089663C"/>
    <w:rsid w:val="0089663F"/>
    <w:rsid w:val="0089667F"/>
    <w:rsid w:val="00896680"/>
    <w:rsid w:val="008966B4"/>
    <w:rsid w:val="0089671B"/>
    <w:rsid w:val="00896764"/>
    <w:rsid w:val="0089677D"/>
    <w:rsid w:val="0089680C"/>
    <w:rsid w:val="0089688F"/>
    <w:rsid w:val="008968DC"/>
    <w:rsid w:val="008969D8"/>
    <w:rsid w:val="00896A17"/>
    <w:rsid w:val="00896AD9"/>
    <w:rsid w:val="00896B16"/>
    <w:rsid w:val="00896B7C"/>
    <w:rsid w:val="00896B7D"/>
    <w:rsid w:val="00896B93"/>
    <w:rsid w:val="00896BEF"/>
    <w:rsid w:val="00896C7A"/>
    <w:rsid w:val="00896C91"/>
    <w:rsid w:val="00896CB5"/>
    <w:rsid w:val="00896CB7"/>
    <w:rsid w:val="00896D39"/>
    <w:rsid w:val="00896E9F"/>
    <w:rsid w:val="00896EA6"/>
    <w:rsid w:val="00896ECC"/>
    <w:rsid w:val="00896F12"/>
    <w:rsid w:val="00896F5F"/>
    <w:rsid w:val="008970F1"/>
    <w:rsid w:val="00897179"/>
    <w:rsid w:val="0089719E"/>
    <w:rsid w:val="00897288"/>
    <w:rsid w:val="008972AC"/>
    <w:rsid w:val="008972D1"/>
    <w:rsid w:val="00897484"/>
    <w:rsid w:val="00897535"/>
    <w:rsid w:val="0089756D"/>
    <w:rsid w:val="00897597"/>
    <w:rsid w:val="00897598"/>
    <w:rsid w:val="008975C1"/>
    <w:rsid w:val="0089763A"/>
    <w:rsid w:val="0089766B"/>
    <w:rsid w:val="008976CD"/>
    <w:rsid w:val="008977E8"/>
    <w:rsid w:val="008977EE"/>
    <w:rsid w:val="008978E5"/>
    <w:rsid w:val="00897915"/>
    <w:rsid w:val="00897931"/>
    <w:rsid w:val="00897AB1"/>
    <w:rsid w:val="00897B4D"/>
    <w:rsid w:val="00897BA0"/>
    <w:rsid w:val="00897BAC"/>
    <w:rsid w:val="00897C06"/>
    <w:rsid w:val="00897C30"/>
    <w:rsid w:val="00897C51"/>
    <w:rsid w:val="00897D42"/>
    <w:rsid w:val="00897D85"/>
    <w:rsid w:val="00897DC5"/>
    <w:rsid w:val="00897E80"/>
    <w:rsid w:val="00897ED1"/>
    <w:rsid w:val="00897FA6"/>
    <w:rsid w:val="00897FED"/>
    <w:rsid w:val="008A0085"/>
    <w:rsid w:val="008A0137"/>
    <w:rsid w:val="008A01EF"/>
    <w:rsid w:val="008A01F7"/>
    <w:rsid w:val="008A01FB"/>
    <w:rsid w:val="008A0278"/>
    <w:rsid w:val="008A03A9"/>
    <w:rsid w:val="008A03DC"/>
    <w:rsid w:val="008A0508"/>
    <w:rsid w:val="008A0597"/>
    <w:rsid w:val="008A05B6"/>
    <w:rsid w:val="008A06F8"/>
    <w:rsid w:val="008A0873"/>
    <w:rsid w:val="008A08E4"/>
    <w:rsid w:val="008A0912"/>
    <w:rsid w:val="008A0A51"/>
    <w:rsid w:val="008A0A8D"/>
    <w:rsid w:val="008A0B27"/>
    <w:rsid w:val="008A0B93"/>
    <w:rsid w:val="008A0C8C"/>
    <w:rsid w:val="008A0D1B"/>
    <w:rsid w:val="008A0DC8"/>
    <w:rsid w:val="008A0E04"/>
    <w:rsid w:val="008A0EA1"/>
    <w:rsid w:val="008A0F4D"/>
    <w:rsid w:val="008A108D"/>
    <w:rsid w:val="008A10A2"/>
    <w:rsid w:val="008A10D4"/>
    <w:rsid w:val="008A11FA"/>
    <w:rsid w:val="008A1220"/>
    <w:rsid w:val="008A1262"/>
    <w:rsid w:val="008A12E1"/>
    <w:rsid w:val="008A12E4"/>
    <w:rsid w:val="008A1393"/>
    <w:rsid w:val="008A13D2"/>
    <w:rsid w:val="008A13F2"/>
    <w:rsid w:val="008A1418"/>
    <w:rsid w:val="008A146E"/>
    <w:rsid w:val="008A158E"/>
    <w:rsid w:val="008A1596"/>
    <w:rsid w:val="008A162C"/>
    <w:rsid w:val="008A168C"/>
    <w:rsid w:val="008A17D9"/>
    <w:rsid w:val="008A1850"/>
    <w:rsid w:val="008A189D"/>
    <w:rsid w:val="008A18CE"/>
    <w:rsid w:val="008A18ED"/>
    <w:rsid w:val="008A191D"/>
    <w:rsid w:val="008A1967"/>
    <w:rsid w:val="008A196F"/>
    <w:rsid w:val="008A1A2E"/>
    <w:rsid w:val="008A1A53"/>
    <w:rsid w:val="008A1B6A"/>
    <w:rsid w:val="008A1E09"/>
    <w:rsid w:val="008A1E34"/>
    <w:rsid w:val="008A1E59"/>
    <w:rsid w:val="008A1E9B"/>
    <w:rsid w:val="008A1F39"/>
    <w:rsid w:val="008A1FA2"/>
    <w:rsid w:val="008A1FBC"/>
    <w:rsid w:val="008A1FE2"/>
    <w:rsid w:val="008A20DF"/>
    <w:rsid w:val="008A20E7"/>
    <w:rsid w:val="008A2379"/>
    <w:rsid w:val="008A23DF"/>
    <w:rsid w:val="008A241C"/>
    <w:rsid w:val="008A246E"/>
    <w:rsid w:val="008A2532"/>
    <w:rsid w:val="008A2638"/>
    <w:rsid w:val="008A2688"/>
    <w:rsid w:val="008A2692"/>
    <w:rsid w:val="008A26D3"/>
    <w:rsid w:val="008A26E9"/>
    <w:rsid w:val="008A2763"/>
    <w:rsid w:val="008A2814"/>
    <w:rsid w:val="008A2834"/>
    <w:rsid w:val="008A28FD"/>
    <w:rsid w:val="008A29C8"/>
    <w:rsid w:val="008A2B7B"/>
    <w:rsid w:val="008A2BEE"/>
    <w:rsid w:val="008A2C56"/>
    <w:rsid w:val="008A2D3D"/>
    <w:rsid w:val="008A2EB2"/>
    <w:rsid w:val="008A2F1D"/>
    <w:rsid w:val="008A2F6C"/>
    <w:rsid w:val="008A307C"/>
    <w:rsid w:val="008A30BA"/>
    <w:rsid w:val="008A3238"/>
    <w:rsid w:val="008A32A4"/>
    <w:rsid w:val="008A32F7"/>
    <w:rsid w:val="008A3326"/>
    <w:rsid w:val="008A33A6"/>
    <w:rsid w:val="008A354D"/>
    <w:rsid w:val="008A3589"/>
    <w:rsid w:val="008A35F4"/>
    <w:rsid w:val="008A3615"/>
    <w:rsid w:val="008A362A"/>
    <w:rsid w:val="008A366C"/>
    <w:rsid w:val="008A366F"/>
    <w:rsid w:val="008A36A7"/>
    <w:rsid w:val="008A36BE"/>
    <w:rsid w:val="008A3714"/>
    <w:rsid w:val="008A37C4"/>
    <w:rsid w:val="008A38E8"/>
    <w:rsid w:val="008A39CC"/>
    <w:rsid w:val="008A3A46"/>
    <w:rsid w:val="008A3AB6"/>
    <w:rsid w:val="008A3AE0"/>
    <w:rsid w:val="008A3B0B"/>
    <w:rsid w:val="008A3B9E"/>
    <w:rsid w:val="008A3C0D"/>
    <w:rsid w:val="008A3C6E"/>
    <w:rsid w:val="008A3C9B"/>
    <w:rsid w:val="008A3D24"/>
    <w:rsid w:val="008A3D6B"/>
    <w:rsid w:val="008A3EAB"/>
    <w:rsid w:val="008A3F59"/>
    <w:rsid w:val="008A401B"/>
    <w:rsid w:val="008A406C"/>
    <w:rsid w:val="008A40C5"/>
    <w:rsid w:val="008A40E0"/>
    <w:rsid w:val="008A40EE"/>
    <w:rsid w:val="008A4109"/>
    <w:rsid w:val="008A4142"/>
    <w:rsid w:val="008A4160"/>
    <w:rsid w:val="008A4243"/>
    <w:rsid w:val="008A4246"/>
    <w:rsid w:val="008A4279"/>
    <w:rsid w:val="008A42B2"/>
    <w:rsid w:val="008A44C2"/>
    <w:rsid w:val="008A4594"/>
    <w:rsid w:val="008A45A0"/>
    <w:rsid w:val="008A4639"/>
    <w:rsid w:val="008A4646"/>
    <w:rsid w:val="008A48B5"/>
    <w:rsid w:val="008A498B"/>
    <w:rsid w:val="008A4A3F"/>
    <w:rsid w:val="008A4A6E"/>
    <w:rsid w:val="008A4AD8"/>
    <w:rsid w:val="008A4AF1"/>
    <w:rsid w:val="008A4AF2"/>
    <w:rsid w:val="008A4B0F"/>
    <w:rsid w:val="008A4B3F"/>
    <w:rsid w:val="008A4BE7"/>
    <w:rsid w:val="008A4C2F"/>
    <w:rsid w:val="008A4C78"/>
    <w:rsid w:val="008A4CBD"/>
    <w:rsid w:val="008A4D12"/>
    <w:rsid w:val="008A4D30"/>
    <w:rsid w:val="008A4DD3"/>
    <w:rsid w:val="008A4E6B"/>
    <w:rsid w:val="008A4EB1"/>
    <w:rsid w:val="008A4F1D"/>
    <w:rsid w:val="008A4F3A"/>
    <w:rsid w:val="008A5005"/>
    <w:rsid w:val="008A5030"/>
    <w:rsid w:val="008A509F"/>
    <w:rsid w:val="008A50AA"/>
    <w:rsid w:val="008A50EF"/>
    <w:rsid w:val="008A51B0"/>
    <w:rsid w:val="008A52DD"/>
    <w:rsid w:val="008A538D"/>
    <w:rsid w:val="008A5442"/>
    <w:rsid w:val="008A548A"/>
    <w:rsid w:val="008A55D4"/>
    <w:rsid w:val="008A55FC"/>
    <w:rsid w:val="008A5621"/>
    <w:rsid w:val="008A56DB"/>
    <w:rsid w:val="008A5832"/>
    <w:rsid w:val="008A59C0"/>
    <w:rsid w:val="008A59F6"/>
    <w:rsid w:val="008A5A84"/>
    <w:rsid w:val="008A5B27"/>
    <w:rsid w:val="008A5BA6"/>
    <w:rsid w:val="008A5CBE"/>
    <w:rsid w:val="008A5DC1"/>
    <w:rsid w:val="008A5DE3"/>
    <w:rsid w:val="008A5E37"/>
    <w:rsid w:val="008A5FE5"/>
    <w:rsid w:val="008A5FF7"/>
    <w:rsid w:val="008A6075"/>
    <w:rsid w:val="008A6099"/>
    <w:rsid w:val="008A60F0"/>
    <w:rsid w:val="008A6134"/>
    <w:rsid w:val="008A6189"/>
    <w:rsid w:val="008A61A6"/>
    <w:rsid w:val="008A61E8"/>
    <w:rsid w:val="008A6216"/>
    <w:rsid w:val="008A6247"/>
    <w:rsid w:val="008A62C1"/>
    <w:rsid w:val="008A633A"/>
    <w:rsid w:val="008A633D"/>
    <w:rsid w:val="008A63A3"/>
    <w:rsid w:val="008A63C0"/>
    <w:rsid w:val="008A63F9"/>
    <w:rsid w:val="008A6538"/>
    <w:rsid w:val="008A654D"/>
    <w:rsid w:val="008A6577"/>
    <w:rsid w:val="008A65EA"/>
    <w:rsid w:val="008A6641"/>
    <w:rsid w:val="008A6668"/>
    <w:rsid w:val="008A66DE"/>
    <w:rsid w:val="008A684E"/>
    <w:rsid w:val="008A68D9"/>
    <w:rsid w:val="008A69C1"/>
    <w:rsid w:val="008A69F4"/>
    <w:rsid w:val="008A6A2D"/>
    <w:rsid w:val="008A6A38"/>
    <w:rsid w:val="008A6A4E"/>
    <w:rsid w:val="008A6A7E"/>
    <w:rsid w:val="008A6B36"/>
    <w:rsid w:val="008A6B6B"/>
    <w:rsid w:val="008A6BB7"/>
    <w:rsid w:val="008A6BC2"/>
    <w:rsid w:val="008A6BDA"/>
    <w:rsid w:val="008A6BF6"/>
    <w:rsid w:val="008A6BF7"/>
    <w:rsid w:val="008A6BFA"/>
    <w:rsid w:val="008A6C9C"/>
    <w:rsid w:val="008A6DC1"/>
    <w:rsid w:val="008A6DFE"/>
    <w:rsid w:val="008A6E2E"/>
    <w:rsid w:val="008A6E6D"/>
    <w:rsid w:val="008A6E75"/>
    <w:rsid w:val="008A6E7F"/>
    <w:rsid w:val="008A7002"/>
    <w:rsid w:val="008A701B"/>
    <w:rsid w:val="008A7035"/>
    <w:rsid w:val="008A7083"/>
    <w:rsid w:val="008A70E3"/>
    <w:rsid w:val="008A7201"/>
    <w:rsid w:val="008A7242"/>
    <w:rsid w:val="008A72DE"/>
    <w:rsid w:val="008A735D"/>
    <w:rsid w:val="008A73E6"/>
    <w:rsid w:val="008A743B"/>
    <w:rsid w:val="008A7473"/>
    <w:rsid w:val="008A74AD"/>
    <w:rsid w:val="008A786E"/>
    <w:rsid w:val="008A7890"/>
    <w:rsid w:val="008A792B"/>
    <w:rsid w:val="008A79EC"/>
    <w:rsid w:val="008A7BD8"/>
    <w:rsid w:val="008A7BFC"/>
    <w:rsid w:val="008A7C0D"/>
    <w:rsid w:val="008A7CA3"/>
    <w:rsid w:val="008A7CBA"/>
    <w:rsid w:val="008A7CC1"/>
    <w:rsid w:val="008A7CC6"/>
    <w:rsid w:val="008A7D33"/>
    <w:rsid w:val="008A7D3F"/>
    <w:rsid w:val="008A7DF4"/>
    <w:rsid w:val="008A7E9C"/>
    <w:rsid w:val="008A7F02"/>
    <w:rsid w:val="008A7F04"/>
    <w:rsid w:val="008B006D"/>
    <w:rsid w:val="008B023D"/>
    <w:rsid w:val="008B027C"/>
    <w:rsid w:val="008B0338"/>
    <w:rsid w:val="008B03C4"/>
    <w:rsid w:val="008B0412"/>
    <w:rsid w:val="008B0471"/>
    <w:rsid w:val="008B04D0"/>
    <w:rsid w:val="008B0602"/>
    <w:rsid w:val="008B0786"/>
    <w:rsid w:val="008B0911"/>
    <w:rsid w:val="008B0A8F"/>
    <w:rsid w:val="008B0AEF"/>
    <w:rsid w:val="008B0B0A"/>
    <w:rsid w:val="008B0BBC"/>
    <w:rsid w:val="008B0C43"/>
    <w:rsid w:val="008B0CF7"/>
    <w:rsid w:val="008B0D06"/>
    <w:rsid w:val="008B0DA6"/>
    <w:rsid w:val="008B0EF8"/>
    <w:rsid w:val="008B0F30"/>
    <w:rsid w:val="008B1011"/>
    <w:rsid w:val="008B1125"/>
    <w:rsid w:val="008B1142"/>
    <w:rsid w:val="008B11F5"/>
    <w:rsid w:val="008B133D"/>
    <w:rsid w:val="008B13A9"/>
    <w:rsid w:val="008B146D"/>
    <w:rsid w:val="008B1519"/>
    <w:rsid w:val="008B1566"/>
    <w:rsid w:val="008B15D0"/>
    <w:rsid w:val="008B1613"/>
    <w:rsid w:val="008B1644"/>
    <w:rsid w:val="008B165E"/>
    <w:rsid w:val="008B16A9"/>
    <w:rsid w:val="008B16D4"/>
    <w:rsid w:val="008B17D4"/>
    <w:rsid w:val="008B1824"/>
    <w:rsid w:val="008B183A"/>
    <w:rsid w:val="008B185A"/>
    <w:rsid w:val="008B1887"/>
    <w:rsid w:val="008B1888"/>
    <w:rsid w:val="008B195A"/>
    <w:rsid w:val="008B195F"/>
    <w:rsid w:val="008B1AA3"/>
    <w:rsid w:val="008B1AF3"/>
    <w:rsid w:val="008B1B46"/>
    <w:rsid w:val="008B1BD5"/>
    <w:rsid w:val="008B1C32"/>
    <w:rsid w:val="008B1C93"/>
    <w:rsid w:val="008B1E28"/>
    <w:rsid w:val="008B1E59"/>
    <w:rsid w:val="008B1EAA"/>
    <w:rsid w:val="008B1ECC"/>
    <w:rsid w:val="008B1EF4"/>
    <w:rsid w:val="008B1F22"/>
    <w:rsid w:val="008B201F"/>
    <w:rsid w:val="008B207D"/>
    <w:rsid w:val="008B20E3"/>
    <w:rsid w:val="008B214D"/>
    <w:rsid w:val="008B21DD"/>
    <w:rsid w:val="008B2213"/>
    <w:rsid w:val="008B22CC"/>
    <w:rsid w:val="008B2330"/>
    <w:rsid w:val="008B243F"/>
    <w:rsid w:val="008B2477"/>
    <w:rsid w:val="008B24BB"/>
    <w:rsid w:val="008B2566"/>
    <w:rsid w:val="008B257C"/>
    <w:rsid w:val="008B2608"/>
    <w:rsid w:val="008B2704"/>
    <w:rsid w:val="008B274F"/>
    <w:rsid w:val="008B2942"/>
    <w:rsid w:val="008B2973"/>
    <w:rsid w:val="008B2E1D"/>
    <w:rsid w:val="008B2F0D"/>
    <w:rsid w:val="008B2F28"/>
    <w:rsid w:val="008B2F94"/>
    <w:rsid w:val="008B2F9D"/>
    <w:rsid w:val="008B2FBA"/>
    <w:rsid w:val="008B2FEF"/>
    <w:rsid w:val="008B2FF0"/>
    <w:rsid w:val="008B3023"/>
    <w:rsid w:val="008B3081"/>
    <w:rsid w:val="008B3099"/>
    <w:rsid w:val="008B30C3"/>
    <w:rsid w:val="008B315E"/>
    <w:rsid w:val="008B329E"/>
    <w:rsid w:val="008B32FC"/>
    <w:rsid w:val="008B3316"/>
    <w:rsid w:val="008B33C2"/>
    <w:rsid w:val="008B33EC"/>
    <w:rsid w:val="008B3538"/>
    <w:rsid w:val="008B364F"/>
    <w:rsid w:val="008B366E"/>
    <w:rsid w:val="008B369F"/>
    <w:rsid w:val="008B36F4"/>
    <w:rsid w:val="008B372B"/>
    <w:rsid w:val="008B3792"/>
    <w:rsid w:val="008B37B1"/>
    <w:rsid w:val="008B3823"/>
    <w:rsid w:val="008B3934"/>
    <w:rsid w:val="008B394C"/>
    <w:rsid w:val="008B3990"/>
    <w:rsid w:val="008B39BA"/>
    <w:rsid w:val="008B3A48"/>
    <w:rsid w:val="008B3AEC"/>
    <w:rsid w:val="008B3BBD"/>
    <w:rsid w:val="008B3C16"/>
    <w:rsid w:val="008B3C2F"/>
    <w:rsid w:val="008B3CA1"/>
    <w:rsid w:val="008B3D51"/>
    <w:rsid w:val="008B3DC3"/>
    <w:rsid w:val="008B3E8C"/>
    <w:rsid w:val="008B3F69"/>
    <w:rsid w:val="008B40EE"/>
    <w:rsid w:val="008B419A"/>
    <w:rsid w:val="008B420B"/>
    <w:rsid w:val="008B4211"/>
    <w:rsid w:val="008B4225"/>
    <w:rsid w:val="008B4367"/>
    <w:rsid w:val="008B453E"/>
    <w:rsid w:val="008B4614"/>
    <w:rsid w:val="008B467E"/>
    <w:rsid w:val="008B46BB"/>
    <w:rsid w:val="008B46E1"/>
    <w:rsid w:val="008B47FC"/>
    <w:rsid w:val="008B49FA"/>
    <w:rsid w:val="008B4B43"/>
    <w:rsid w:val="008B4B79"/>
    <w:rsid w:val="008B4B86"/>
    <w:rsid w:val="008B4BE8"/>
    <w:rsid w:val="008B4E21"/>
    <w:rsid w:val="008B4F15"/>
    <w:rsid w:val="008B4F8B"/>
    <w:rsid w:val="008B4FA3"/>
    <w:rsid w:val="008B4FD6"/>
    <w:rsid w:val="008B5135"/>
    <w:rsid w:val="008B5175"/>
    <w:rsid w:val="008B517E"/>
    <w:rsid w:val="008B5187"/>
    <w:rsid w:val="008B5236"/>
    <w:rsid w:val="008B5248"/>
    <w:rsid w:val="008B5252"/>
    <w:rsid w:val="008B526D"/>
    <w:rsid w:val="008B527B"/>
    <w:rsid w:val="008B52FF"/>
    <w:rsid w:val="008B54A0"/>
    <w:rsid w:val="008B54BE"/>
    <w:rsid w:val="008B54F1"/>
    <w:rsid w:val="008B5669"/>
    <w:rsid w:val="008B56F7"/>
    <w:rsid w:val="008B5782"/>
    <w:rsid w:val="008B57B7"/>
    <w:rsid w:val="008B57BA"/>
    <w:rsid w:val="008B5810"/>
    <w:rsid w:val="008B58F9"/>
    <w:rsid w:val="008B594F"/>
    <w:rsid w:val="008B5A92"/>
    <w:rsid w:val="008B5A97"/>
    <w:rsid w:val="008B5AA2"/>
    <w:rsid w:val="008B5CB8"/>
    <w:rsid w:val="008B5D32"/>
    <w:rsid w:val="008B5F08"/>
    <w:rsid w:val="008B5FAA"/>
    <w:rsid w:val="008B6005"/>
    <w:rsid w:val="008B6012"/>
    <w:rsid w:val="008B608C"/>
    <w:rsid w:val="008B60D4"/>
    <w:rsid w:val="008B6180"/>
    <w:rsid w:val="008B623F"/>
    <w:rsid w:val="008B62B6"/>
    <w:rsid w:val="008B630B"/>
    <w:rsid w:val="008B63B5"/>
    <w:rsid w:val="008B652F"/>
    <w:rsid w:val="008B6539"/>
    <w:rsid w:val="008B6564"/>
    <w:rsid w:val="008B65D3"/>
    <w:rsid w:val="008B6699"/>
    <w:rsid w:val="008B66A0"/>
    <w:rsid w:val="008B66F7"/>
    <w:rsid w:val="008B6739"/>
    <w:rsid w:val="008B67B5"/>
    <w:rsid w:val="008B6870"/>
    <w:rsid w:val="008B6888"/>
    <w:rsid w:val="008B68AA"/>
    <w:rsid w:val="008B69F4"/>
    <w:rsid w:val="008B6B2E"/>
    <w:rsid w:val="008B6BA0"/>
    <w:rsid w:val="008B6CD2"/>
    <w:rsid w:val="008B6CE9"/>
    <w:rsid w:val="008B6D22"/>
    <w:rsid w:val="008B6F12"/>
    <w:rsid w:val="008B6F29"/>
    <w:rsid w:val="008B6FF3"/>
    <w:rsid w:val="008B7016"/>
    <w:rsid w:val="008B708E"/>
    <w:rsid w:val="008B70ED"/>
    <w:rsid w:val="008B714A"/>
    <w:rsid w:val="008B7220"/>
    <w:rsid w:val="008B725C"/>
    <w:rsid w:val="008B7286"/>
    <w:rsid w:val="008B72D6"/>
    <w:rsid w:val="008B7353"/>
    <w:rsid w:val="008B740A"/>
    <w:rsid w:val="008B74CF"/>
    <w:rsid w:val="008B75A6"/>
    <w:rsid w:val="008B7600"/>
    <w:rsid w:val="008B762C"/>
    <w:rsid w:val="008B7690"/>
    <w:rsid w:val="008B7717"/>
    <w:rsid w:val="008B782D"/>
    <w:rsid w:val="008B78DC"/>
    <w:rsid w:val="008B7946"/>
    <w:rsid w:val="008B794D"/>
    <w:rsid w:val="008B79EB"/>
    <w:rsid w:val="008B79F2"/>
    <w:rsid w:val="008B7A3C"/>
    <w:rsid w:val="008B7B3B"/>
    <w:rsid w:val="008B7B9C"/>
    <w:rsid w:val="008B7D07"/>
    <w:rsid w:val="008B7D08"/>
    <w:rsid w:val="008B7E69"/>
    <w:rsid w:val="008B7EA0"/>
    <w:rsid w:val="008B7EC3"/>
    <w:rsid w:val="008B7FA8"/>
    <w:rsid w:val="008C0118"/>
    <w:rsid w:val="008C0145"/>
    <w:rsid w:val="008C017C"/>
    <w:rsid w:val="008C022E"/>
    <w:rsid w:val="008C036F"/>
    <w:rsid w:val="008C03D0"/>
    <w:rsid w:val="008C049F"/>
    <w:rsid w:val="008C0513"/>
    <w:rsid w:val="008C054B"/>
    <w:rsid w:val="008C0638"/>
    <w:rsid w:val="008C064D"/>
    <w:rsid w:val="008C07F2"/>
    <w:rsid w:val="008C083A"/>
    <w:rsid w:val="008C0853"/>
    <w:rsid w:val="008C0974"/>
    <w:rsid w:val="008C09EA"/>
    <w:rsid w:val="008C0A5E"/>
    <w:rsid w:val="008C0AD9"/>
    <w:rsid w:val="008C0B6B"/>
    <w:rsid w:val="008C0BD5"/>
    <w:rsid w:val="008C0C09"/>
    <w:rsid w:val="008C0C63"/>
    <w:rsid w:val="008C0C71"/>
    <w:rsid w:val="008C0D0D"/>
    <w:rsid w:val="008C0D72"/>
    <w:rsid w:val="008C0E9F"/>
    <w:rsid w:val="008C0F56"/>
    <w:rsid w:val="008C1000"/>
    <w:rsid w:val="008C1023"/>
    <w:rsid w:val="008C1097"/>
    <w:rsid w:val="008C10BD"/>
    <w:rsid w:val="008C10E0"/>
    <w:rsid w:val="008C1201"/>
    <w:rsid w:val="008C120B"/>
    <w:rsid w:val="008C1233"/>
    <w:rsid w:val="008C12DD"/>
    <w:rsid w:val="008C144B"/>
    <w:rsid w:val="008C177E"/>
    <w:rsid w:val="008C17AC"/>
    <w:rsid w:val="008C184F"/>
    <w:rsid w:val="008C18F5"/>
    <w:rsid w:val="008C199F"/>
    <w:rsid w:val="008C19F1"/>
    <w:rsid w:val="008C19F2"/>
    <w:rsid w:val="008C1AA9"/>
    <w:rsid w:val="008C1AE5"/>
    <w:rsid w:val="008C1B26"/>
    <w:rsid w:val="008C1C9F"/>
    <w:rsid w:val="008C1D6C"/>
    <w:rsid w:val="008C1D90"/>
    <w:rsid w:val="008C1DA7"/>
    <w:rsid w:val="008C1FF2"/>
    <w:rsid w:val="008C213A"/>
    <w:rsid w:val="008C214E"/>
    <w:rsid w:val="008C2271"/>
    <w:rsid w:val="008C2282"/>
    <w:rsid w:val="008C22C0"/>
    <w:rsid w:val="008C22FE"/>
    <w:rsid w:val="008C23C1"/>
    <w:rsid w:val="008C24CA"/>
    <w:rsid w:val="008C24F8"/>
    <w:rsid w:val="008C251D"/>
    <w:rsid w:val="008C2582"/>
    <w:rsid w:val="008C2587"/>
    <w:rsid w:val="008C2592"/>
    <w:rsid w:val="008C26D1"/>
    <w:rsid w:val="008C27E8"/>
    <w:rsid w:val="008C27FC"/>
    <w:rsid w:val="008C27FD"/>
    <w:rsid w:val="008C289B"/>
    <w:rsid w:val="008C291A"/>
    <w:rsid w:val="008C29B6"/>
    <w:rsid w:val="008C2A73"/>
    <w:rsid w:val="008C2A89"/>
    <w:rsid w:val="008C2AD2"/>
    <w:rsid w:val="008C2B6F"/>
    <w:rsid w:val="008C2B70"/>
    <w:rsid w:val="008C2CBF"/>
    <w:rsid w:val="008C2CCF"/>
    <w:rsid w:val="008C2CF8"/>
    <w:rsid w:val="008C2D29"/>
    <w:rsid w:val="008C2D8E"/>
    <w:rsid w:val="008C2DB5"/>
    <w:rsid w:val="008C2DE6"/>
    <w:rsid w:val="008C2E54"/>
    <w:rsid w:val="008C2E56"/>
    <w:rsid w:val="008C2F76"/>
    <w:rsid w:val="008C2FCB"/>
    <w:rsid w:val="008C30C8"/>
    <w:rsid w:val="008C311B"/>
    <w:rsid w:val="008C31F1"/>
    <w:rsid w:val="008C3247"/>
    <w:rsid w:val="008C3298"/>
    <w:rsid w:val="008C331C"/>
    <w:rsid w:val="008C3350"/>
    <w:rsid w:val="008C3455"/>
    <w:rsid w:val="008C34FB"/>
    <w:rsid w:val="008C362B"/>
    <w:rsid w:val="008C3781"/>
    <w:rsid w:val="008C3890"/>
    <w:rsid w:val="008C389E"/>
    <w:rsid w:val="008C3A2D"/>
    <w:rsid w:val="008C3A46"/>
    <w:rsid w:val="008C3A9D"/>
    <w:rsid w:val="008C3B8B"/>
    <w:rsid w:val="008C3C01"/>
    <w:rsid w:val="008C3DF2"/>
    <w:rsid w:val="008C3E8B"/>
    <w:rsid w:val="008C3EA0"/>
    <w:rsid w:val="008C3EB2"/>
    <w:rsid w:val="008C3FB0"/>
    <w:rsid w:val="008C43FC"/>
    <w:rsid w:val="008C440A"/>
    <w:rsid w:val="008C4416"/>
    <w:rsid w:val="008C44B5"/>
    <w:rsid w:val="008C44BA"/>
    <w:rsid w:val="008C45C6"/>
    <w:rsid w:val="008C4742"/>
    <w:rsid w:val="008C4806"/>
    <w:rsid w:val="008C482D"/>
    <w:rsid w:val="008C497A"/>
    <w:rsid w:val="008C4A12"/>
    <w:rsid w:val="008C4A69"/>
    <w:rsid w:val="008C4A6D"/>
    <w:rsid w:val="008C4B64"/>
    <w:rsid w:val="008C4C87"/>
    <w:rsid w:val="008C4DB3"/>
    <w:rsid w:val="008C4E24"/>
    <w:rsid w:val="008C4EF1"/>
    <w:rsid w:val="008C4F70"/>
    <w:rsid w:val="008C4FB8"/>
    <w:rsid w:val="008C5040"/>
    <w:rsid w:val="008C50C6"/>
    <w:rsid w:val="008C527A"/>
    <w:rsid w:val="008C5291"/>
    <w:rsid w:val="008C53DE"/>
    <w:rsid w:val="008C5415"/>
    <w:rsid w:val="008C5497"/>
    <w:rsid w:val="008C5562"/>
    <w:rsid w:val="008C5627"/>
    <w:rsid w:val="008C5647"/>
    <w:rsid w:val="008C5675"/>
    <w:rsid w:val="008C56C7"/>
    <w:rsid w:val="008C58CE"/>
    <w:rsid w:val="008C5A3A"/>
    <w:rsid w:val="008C5AC3"/>
    <w:rsid w:val="008C5AF1"/>
    <w:rsid w:val="008C5B22"/>
    <w:rsid w:val="008C5B5B"/>
    <w:rsid w:val="008C5CE5"/>
    <w:rsid w:val="008C5D4F"/>
    <w:rsid w:val="008C5DAB"/>
    <w:rsid w:val="008C5E01"/>
    <w:rsid w:val="008C5E6A"/>
    <w:rsid w:val="008C5E86"/>
    <w:rsid w:val="008C603A"/>
    <w:rsid w:val="008C60AE"/>
    <w:rsid w:val="008C60E5"/>
    <w:rsid w:val="008C6137"/>
    <w:rsid w:val="008C6204"/>
    <w:rsid w:val="008C6205"/>
    <w:rsid w:val="008C63DE"/>
    <w:rsid w:val="008C6411"/>
    <w:rsid w:val="008C64AD"/>
    <w:rsid w:val="008C6553"/>
    <w:rsid w:val="008C656A"/>
    <w:rsid w:val="008C6649"/>
    <w:rsid w:val="008C66FB"/>
    <w:rsid w:val="008C6721"/>
    <w:rsid w:val="008C67F4"/>
    <w:rsid w:val="008C6844"/>
    <w:rsid w:val="008C6871"/>
    <w:rsid w:val="008C6879"/>
    <w:rsid w:val="008C6890"/>
    <w:rsid w:val="008C68B5"/>
    <w:rsid w:val="008C696F"/>
    <w:rsid w:val="008C6973"/>
    <w:rsid w:val="008C6985"/>
    <w:rsid w:val="008C69C6"/>
    <w:rsid w:val="008C69E1"/>
    <w:rsid w:val="008C6A48"/>
    <w:rsid w:val="008C6AE1"/>
    <w:rsid w:val="008C6B02"/>
    <w:rsid w:val="008C6B10"/>
    <w:rsid w:val="008C6B51"/>
    <w:rsid w:val="008C6BF3"/>
    <w:rsid w:val="008C6C0F"/>
    <w:rsid w:val="008C6C51"/>
    <w:rsid w:val="008C6C5B"/>
    <w:rsid w:val="008C6D35"/>
    <w:rsid w:val="008C6D53"/>
    <w:rsid w:val="008C6DA9"/>
    <w:rsid w:val="008C6DB3"/>
    <w:rsid w:val="008C6E82"/>
    <w:rsid w:val="008C6F25"/>
    <w:rsid w:val="008C6F95"/>
    <w:rsid w:val="008C7086"/>
    <w:rsid w:val="008C70BB"/>
    <w:rsid w:val="008C7106"/>
    <w:rsid w:val="008C71D1"/>
    <w:rsid w:val="008C72CD"/>
    <w:rsid w:val="008C72FD"/>
    <w:rsid w:val="008C7487"/>
    <w:rsid w:val="008C74B1"/>
    <w:rsid w:val="008C7502"/>
    <w:rsid w:val="008C75FA"/>
    <w:rsid w:val="008C7616"/>
    <w:rsid w:val="008C762E"/>
    <w:rsid w:val="008C763D"/>
    <w:rsid w:val="008C768B"/>
    <w:rsid w:val="008C7744"/>
    <w:rsid w:val="008C77C1"/>
    <w:rsid w:val="008C793C"/>
    <w:rsid w:val="008C79B2"/>
    <w:rsid w:val="008C79EF"/>
    <w:rsid w:val="008C7AFF"/>
    <w:rsid w:val="008C7B76"/>
    <w:rsid w:val="008C7D46"/>
    <w:rsid w:val="008C7DCD"/>
    <w:rsid w:val="008C7E0B"/>
    <w:rsid w:val="008D0146"/>
    <w:rsid w:val="008D01A2"/>
    <w:rsid w:val="008D01C5"/>
    <w:rsid w:val="008D01E2"/>
    <w:rsid w:val="008D022F"/>
    <w:rsid w:val="008D026B"/>
    <w:rsid w:val="008D02F8"/>
    <w:rsid w:val="008D037E"/>
    <w:rsid w:val="008D03EA"/>
    <w:rsid w:val="008D042C"/>
    <w:rsid w:val="008D042D"/>
    <w:rsid w:val="008D047B"/>
    <w:rsid w:val="008D0491"/>
    <w:rsid w:val="008D04AF"/>
    <w:rsid w:val="008D04E7"/>
    <w:rsid w:val="008D04F2"/>
    <w:rsid w:val="008D053A"/>
    <w:rsid w:val="008D0562"/>
    <w:rsid w:val="008D0656"/>
    <w:rsid w:val="008D0658"/>
    <w:rsid w:val="008D0737"/>
    <w:rsid w:val="008D0870"/>
    <w:rsid w:val="008D08B7"/>
    <w:rsid w:val="008D0948"/>
    <w:rsid w:val="008D096A"/>
    <w:rsid w:val="008D09BE"/>
    <w:rsid w:val="008D0D25"/>
    <w:rsid w:val="008D0D66"/>
    <w:rsid w:val="008D0E10"/>
    <w:rsid w:val="008D0E95"/>
    <w:rsid w:val="008D0FB0"/>
    <w:rsid w:val="008D0FEB"/>
    <w:rsid w:val="008D124F"/>
    <w:rsid w:val="008D1368"/>
    <w:rsid w:val="008D13D9"/>
    <w:rsid w:val="008D1451"/>
    <w:rsid w:val="008D1493"/>
    <w:rsid w:val="008D15A0"/>
    <w:rsid w:val="008D1677"/>
    <w:rsid w:val="008D16A9"/>
    <w:rsid w:val="008D1727"/>
    <w:rsid w:val="008D1895"/>
    <w:rsid w:val="008D1971"/>
    <w:rsid w:val="008D19B2"/>
    <w:rsid w:val="008D19C8"/>
    <w:rsid w:val="008D1A25"/>
    <w:rsid w:val="008D1A56"/>
    <w:rsid w:val="008D1AA4"/>
    <w:rsid w:val="008D1AB1"/>
    <w:rsid w:val="008D1ADF"/>
    <w:rsid w:val="008D1B04"/>
    <w:rsid w:val="008D1B53"/>
    <w:rsid w:val="008D1B6F"/>
    <w:rsid w:val="008D1B9F"/>
    <w:rsid w:val="008D1CA3"/>
    <w:rsid w:val="008D1DC4"/>
    <w:rsid w:val="008D1ECC"/>
    <w:rsid w:val="008D1F36"/>
    <w:rsid w:val="008D1F57"/>
    <w:rsid w:val="008D1F78"/>
    <w:rsid w:val="008D1F79"/>
    <w:rsid w:val="008D20B7"/>
    <w:rsid w:val="008D20E0"/>
    <w:rsid w:val="008D2103"/>
    <w:rsid w:val="008D2235"/>
    <w:rsid w:val="008D22AF"/>
    <w:rsid w:val="008D2301"/>
    <w:rsid w:val="008D2318"/>
    <w:rsid w:val="008D2338"/>
    <w:rsid w:val="008D2417"/>
    <w:rsid w:val="008D246A"/>
    <w:rsid w:val="008D253F"/>
    <w:rsid w:val="008D255C"/>
    <w:rsid w:val="008D2560"/>
    <w:rsid w:val="008D2585"/>
    <w:rsid w:val="008D2838"/>
    <w:rsid w:val="008D2843"/>
    <w:rsid w:val="008D28DC"/>
    <w:rsid w:val="008D28E5"/>
    <w:rsid w:val="008D28EF"/>
    <w:rsid w:val="008D290A"/>
    <w:rsid w:val="008D2B79"/>
    <w:rsid w:val="008D2BBA"/>
    <w:rsid w:val="008D2BFB"/>
    <w:rsid w:val="008D2C3B"/>
    <w:rsid w:val="008D2CD9"/>
    <w:rsid w:val="008D2D07"/>
    <w:rsid w:val="008D2DC1"/>
    <w:rsid w:val="008D2E11"/>
    <w:rsid w:val="008D2E3A"/>
    <w:rsid w:val="008D2F88"/>
    <w:rsid w:val="008D2F94"/>
    <w:rsid w:val="008D30D3"/>
    <w:rsid w:val="008D30D8"/>
    <w:rsid w:val="008D313C"/>
    <w:rsid w:val="008D3213"/>
    <w:rsid w:val="008D3374"/>
    <w:rsid w:val="008D33C2"/>
    <w:rsid w:val="008D3402"/>
    <w:rsid w:val="008D361F"/>
    <w:rsid w:val="008D3676"/>
    <w:rsid w:val="008D3770"/>
    <w:rsid w:val="008D3830"/>
    <w:rsid w:val="008D3A68"/>
    <w:rsid w:val="008D3A7F"/>
    <w:rsid w:val="008D3CA1"/>
    <w:rsid w:val="008D3CA3"/>
    <w:rsid w:val="008D3D23"/>
    <w:rsid w:val="008D3D9D"/>
    <w:rsid w:val="008D3E4F"/>
    <w:rsid w:val="008D3E97"/>
    <w:rsid w:val="008D3EAE"/>
    <w:rsid w:val="008D3F73"/>
    <w:rsid w:val="008D3FF4"/>
    <w:rsid w:val="008D400D"/>
    <w:rsid w:val="008D4082"/>
    <w:rsid w:val="008D4204"/>
    <w:rsid w:val="008D4235"/>
    <w:rsid w:val="008D42DD"/>
    <w:rsid w:val="008D42EE"/>
    <w:rsid w:val="008D431C"/>
    <w:rsid w:val="008D43A3"/>
    <w:rsid w:val="008D43B5"/>
    <w:rsid w:val="008D43F4"/>
    <w:rsid w:val="008D4443"/>
    <w:rsid w:val="008D447A"/>
    <w:rsid w:val="008D44ED"/>
    <w:rsid w:val="008D4535"/>
    <w:rsid w:val="008D45DE"/>
    <w:rsid w:val="008D4675"/>
    <w:rsid w:val="008D46FA"/>
    <w:rsid w:val="008D4796"/>
    <w:rsid w:val="008D479B"/>
    <w:rsid w:val="008D47B7"/>
    <w:rsid w:val="008D487B"/>
    <w:rsid w:val="008D4892"/>
    <w:rsid w:val="008D48DC"/>
    <w:rsid w:val="008D49CA"/>
    <w:rsid w:val="008D4A26"/>
    <w:rsid w:val="008D4B40"/>
    <w:rsid w:val="008D4B78"/>
    <w:rsid w:val="008D4BBB"/>
    <w:rsid w:val="008D4C6C"/>
    <w:rsid w:val="008D4C85"/>
    <w:rsid w:val="008D4C92"/>
    <w:rsid w:val="008D4F0C"/>
    <w:rsid w:val="008D4F0F"/>
    <w:rsid w:val="008D4F73"/>
    <w:rsid w:val="008D51DC"/>
    <w:rsid w:val="008D5218"/>
    <w:rsid w:val="008D52D2"/>
    <w:rsid w:val="008D53AD"/>
    <w:rsid w:val="008D5402"/>
    <w:rsid w:val="008D541A"/>
    <w:rsid w:val="008D549E"/>
    <w:rsid w:val="008D54A0"/>
    <w:rsid w:val="008D55D2"/>
    <w:rsid w:val="008D55D8"/>
    <w:rsid w:val="008D5719"/>
    <w:rsid w:val="008D5792"/>
    <w:rsid w:val="008D57B2"/>
    <w:rsid w:val="008D5849"/>
    <w:rsid w:val="008D5867"/>
    <w:rsid w:val="008D58B9"/>
    <w:rsid w:val="008D58D2"/>
    <w:rsid w:val="008D590A"/>
    <w:rsid w:val="008D5962"/>
    <w:rsid w:val="008D59CB"/>
    <w:rsid w:val="008D59D7"/>
    <w:rsid w:val="008D5B3A"/>
    <w:rsid w:val="008D5B58"/>
    <w:rsid w:val="008D5CAF"/>
    <w:rsid w:val="008D5DBA"/>
    <w:rsid w:val="008D5E9E"/>
    <w:rsid w:val="008D5ECA"/>
    <w:rsid w:val="008D5F0A"/>
    <w:rsid w:val="008D60AE"/>
    <w:rsid w:val="008D6247"/>
    <w:rsid w:val="008D62FD"/>
    <w:rsid w:val="008D64CA"/>
    <w:rsid w:val="008D65D9"/>
    <w:rsid w:val="008D6719"/>
    <w:rsid w:val="008D67C9"/>
    <w:rsid w:val="008D6860"/>
    <w:rsid w:val="008D68A1"/>
    <w:rsid w:val="008D68F2"/>
    <w:rsid w:val="008D6AAC"/>
    <w:rsid w:val="008D6BE2"/>
    <w:rsid w:val="008D6CC7"/>
    <w:rsid w:val="008D6CD6"/>
    <w:rsid w:val="008D6CF6"/>
    <w:rsid w:val="008D6D5D"/>
    <w:rsid w:val="008D6DD4"/>
    <w:rsid w:val="008D6F5D"/>
    <w:rsid w:val="008D6FC6"/>
    <w:rsid w:val="008D7053"/>
    <w:rsid w:val="008D7087"/>
    <w:rsid w:val="008D709C"/>
    <w:rsid w:val="008D70A9"/>
    <w:rsid w:val="008D710A"/>
    <w:rsid w:val="008D7131"/>
    <w:rsid w:val="008D71E5"/>
    <w:rsid w:val="008D71EE"/>
    <w:rsid w:val="008D723D"/>
    <w:rsid w:val="008D72CA"/>
    <w:rsid w:val="008D734F"/>
    <w:rsid w:val="008D735A"/>
    <w:rsid w:val="008D7383"/>
    <w:rsid w:val="008D73FC"/>
    <w:rsid w:val="008D747B"/>
    <w:rsid w:val="008D74FF"/>
    <w:rsid w:val="008D7541"/>
    <w:rsid w:val="008D76D8"/>
    <w:rsid w:val="008D771B"/>
    <w:rsid w:val="008D7731"/>
    <w:rsid w:val="008D7755"/>
    <w:rsid w:val="008D77CA"/>
    <w:rsid w:val="008D77FC"/>
    <w:rsid w:val="008D7804"/>
    <w:rsid w:val="008D7839"/>
    <w:rsid w:val="008D78A8"/>
    <w:rsid w:val="008D792C"/>
    <w:rsid w:val="008D7960"/>
    <w:rsid w:val="008D7976"/>
    <w:rsid w:val="008D799A"/>
    <w:rsid w:val="008D79E1"/>
    <w:rsid w:val="008D7B41"/>
    <w:rsid w:val="008D7BB3"/>
    <w:rsid w:val="008D7C11"/>
    <w:rsid w:val="008D7C3C"/>
    <w:rsid w:val="008D7D0D"/>
    <w:rsid w:val="008D7D73"/>
    <w:rsid w:val="008D7D7E"/>
    <w:rsid w:val="008D7D82"/>
    <w:rsid w:val="008D7F8F"/>
    <w:rsid w:val="008D7FA7"/>
    <w:rsid w:val="008E003B"/>
    <w:rsid w:val="008E003E"/>
    <w:rsid w:val="008E0048"/>
    <w:rsid w:val="008E00AA"/>
    <w:rsid w:val="008E02B0"/>
    <w:rsid w:val="008E04C9"/>
    <w:rsid w:val="008E0511"/>
    <w:rsid w:val="008E0582"/>
    <w:rsid w:val="008E0599"/>
    <w:rsid w:val="008E05A9"/>
    <w:rsid w:val="008E0613"/>
    <w:rsid w:val="008E0730"/>
    <w:rsid w:val="008E0764"/>
    <w:rsid w:val="008E09FA"/>
    <w:rsid w:val="008E0A17"/>
    <w:rsid w:val="008E0AD6"/>
    <w:rsid w:val="008E0B20"/>
    <w:rsid w:val="008E0B77"/>
    <w:rsid w:val="008E0BC1"/>
    <w:rsid w:val="008E0C32"/>
    <w:rsid w:val="008E0CAD"/>
    <w:rsid w:val="008E0CC8"/>
    <w:rsid w:val="008E0E4B"/>
    <w:rsid w:val="008E0E94"/>
    <w:rsid w:val="008E0F98"/>
    <w:rsid w:val="008E1078"/>
    <w:rsid w:val="008E1167"/>
    <w:rsid w:val="008E11CB"/>
    <w:rsid w:val="008E11FC"/>
    <w:rsid w:val="008E1282"/>
    <w:rsid w:val="008E1381"/>
    <w:rsid w:val="008E13E3"/>
    <w:rsid w:val="008E14F3"/>
    <w:rsid w:val="008E1584"/>
    <w:rsid w:val="008E15EE"/>
    <w:rsid w:val="008E1768"/>
    <w:rsid w:val="008E1794"/>
    <w:rsid w:val="008E17C9"/>
    <w:rsid w:val="008E17CD"/>
    <w:rsid w:val="008E197E"/>
    <w:rsid w:val="008E1A3E"/>
    <w:rsid w:val="008E1A54"/>
    <w:rsid w:val="008E1A5E"/>
    <w:rsid w:val="008E1B3C"/>
    <w:rsid w:val="008E1B98"/>
    <w:rsid w:val="008E1BE0"/>
    <w:rsid w:val="008E1C55"/>
    <w:rsid w:val="008E1D34"/>
    <w:rsid w:val="008E1D9F"/>
    <w:rsid w:val="008E1E0D"/>
    <w:rsid w:val="008E1E51"/>
    <w:rsid w:val="008E1EA5"/>
    <w:rsid w:val="008E1F04"/>
    <w:rsid w:val="008E1FC7"/>
    <w:rsid w:val="008E20F7"/>
    <w:rsid w:val="008E2117"/>
    <w:rsid w:val="008E2164"/>
    <w:rsid w:val="008E21CD"/>
    <w:rsid w:val="008E21CE"/>
    <w:rsid w:val="008E22D4"/>
    <w:rsid w:val="008E231C"/>
    <w:rsid w:val="008E2384"/>
    <w:rsid w:val="008E246F"/>
    <w:rsid w:val="008E2606"/>
    <w:rsid w:val="008E261C"/>
    <w:rsid w:val="008E2664"/>
    <w:rsid w:val="008E26E3"/>
    <w:rsid w:val="008E26F2"/>
    <w:rsid w:val="008E2755"/>
    <w:rsid w:val="008E2770"/>
    <w:rsid w:val="008E27DF"/>
    <w:rsid w:val="008E27ED"/>
    <w:rsid w:val="008E2849"/>
    <w:rsid w:val="008E28BE"/>
    <w:rsid w:val="008E2987"/>
    <w:rsid w:val="008E2994"/>
    <w:rsid w:val="008E2A87"/>
    <w:rsid w:val="008E2B3F"/>
    <w:rsid w:val="008E2BBD"/>
    <w:rsid w:val="008E2BE3"/>
    <w:rsid w:val="008E2C7C"/>
    <w:rsid w:val="008E2C7E"/>
    <w:rsid w:val="008E2DEC"/>
    <w:rsid w:val="008E2E44"/>
    <w:rsid w:val="008E2ED9"/>
    <w:rsid w:val="008E2EFA"/>
    <w:rsid w:val="008E2F49"/>
    <w:rsid w:val="008E2F53"/>
    <w:rsid w:val="008E2F8A"/>
    <w:rsid w:val="008E310B"/>
    <w:rsid w:val="008E318E"/>
    <w:rsid w:val="008E321F"/>
    <w:rsid w:val="008E3307"/>
    <w:rsid w:val="008E3347"/>
    <w:rsid w:val="008E334C"/>
    <w:rsid w:val="008E334E"/>
    <w:rsid w:val="008E335A"/>
    <w:rsid w:val="008E33C4"/>
    <w:rsid w:val="008E33D9"/>
    <w:rsid w:val="008E33EC"/>
    <w:rsid w:val="008E343C"/>
    <w:rsid w:val="008E34D6"/>
    <w:rsid w:val="008E3520"/>
    <w:rsid w:val="008E3626"/>
    <w:rsid w:val="008E36D8"/>
    <w:rsid w:val="008E36F7"/>
    <w:rsid w:val="008E371F"/>
    <w:rsid w:val="008E37E3"/>
    <w:rsid w:val="008E381E"/>
    <w:rsid w:val="008E394D"/>
    <w:rsid w:val="008E39CE"/>
    <w:rsid w:val="008E3B18"/>
    <w:rsid w:val="008E3BC3"/>
    <w:rsid w:val="008E3BD3"/>
    <w:rsid w:val="008E3D65"/>
    <w:rsid w:val="008E3D90"/>
    <w:rsid w:val="008E3DAF"/>
    <w:rsid w:val="008E3E46"/>
    <w:rsid w:val="008E40AE"/>
    <w:rsid w:val="008E423C"/>
    <w:rsid w:val="008E423D"/>
    <w:rsid w:val="008E4254"/>
    <w:rsid w:val="008E42C2"/>
    <w:rsid w:val="008E4314"/>
    <w:rsid w:val="008E4350"/>
    <w:rsid w:val="008E436E"/>
    <w:rsid w:val="008E43BE"/>
    <w:rsid w:val="008E44EB"/>
    <w:rsid w:val="008E44F6"/>
    <w:rsid w:val="008E4889"/>
    <w:rsid w:val="008E48C3"/>
    <w:rsid w:val="008E495C"/>
    <w:rsid w:val="008E4972"/>
    <w:rsid w:val="008E4994"/>
    <w:rsid w:val="008E49C2"/>
    <w:rsid w:val="008E49CE"/>
    <w:rsid w:val="008E4A08"/>
    <w:rsid w:val="008E4A33"/>
    <w:rsid w:val="008E4C1B"/>
    <w:rsid w:val="008E4C7A"/>
    <w:rsid w:val="008E4DA2"/>
    <w:rsid w:val="008E4DF1"/>
    <w:rsid w:val="008E4E88"/>
    <w:rsid w:val="008E4F23"/>
    <w:rsid w:val="008E5008"/>
    <w:rsid w:val="008E5050"/>
    <w:rsid w:val="008E5065"/>
    <w:rsid w:val="008E507D"/>
    <w:rsid w:val="008E50E5"/>
    <w:rsid w:val="008E51E4"/>
    <w:rsid w:val="008E51FC"/>
    <w:rsid w:val="008E52E5"/>
    <w:rsid w:val="008E534C"/>
    <w:rsid w:val="008E539A"/>
    <w:rsid w:val="008E55A3"/>
    <w:rsid w:val="008E56C8"/>
    <w:rsid w:val="008E56E5"/>
    <w:rsid w:val="008E573B"/>
    <w:rsid w:val="008E574B"/>
    <w:rsid w:val="008E57C1"/>
    <w:rsid w:val="008E582D"/>
    <w:rsid w:val="008E583E"/>
    <w:rsid w:val="008E585E"/>
    <w:rsid w:val="008E589E"/>
    <w:rsid w:val="008E5915"/>
    <w:rsid w:val="008E596C"/>
    <w:rsid w:val="008E5A91"/>
    <w:rsid w:val="008E5AAE"/>
    <w:rsid w:val="008E5B81"/>
    <w:rsid w:val="008E5C43"/>
    <w:rsid w:val="008E5C8F"/>
    <w:rsid w:val="008E5C9F"/>
    <w:rsid w:val="008E5CCD"/>
    <w:rsid w:val="008E5DFD"/>
    <w:rsid w:val="008E5E22"/>
    <w:rsid w:val="008E5EF3"/>
    <w:rsid w:val="008E5F68"/>
    <w:rsid w:val="008E5F92"/>
    <w:rsid w:val="008E5FF8"/>
    <w:rsid w:val="008E5FFF"/>
    <w:rsid w:val="008E60B7"/>
    <w:rsid w:val="008E60F1"/>
    <w:rsid w:val="008E616B"/>
    <w:rsid w:val="008E6201"/>
    <w:rsid w:val="008E6219"/>
    <w:rsid w:val="008E6288"/>
    <w:rsid w:val="008E6340"/>
    <w:rsid w:val="008E63AB"/>
    <w:rsid w:val="008E64C4"/>
    <w:rsid w:val="008E6572"/>
    <w:rsid w:val="008E65A6"/>
    <w:rsid w:val="008E6601"/>
    <w:rsid w:val="008E6680"/>
    <w:rsid w:val="008E66ED"/>
    <w:rsid w:val="008E67FD"/>
    <w:rsid w:val="008E6887"/>
    <w:rsid w:val="008E6A77"/>
    <w:rsid w:val="008E6CC1"/>
    <w:rsid w:val="008E6E16"/>
    <w:rsid w:val="008E6E5D"/>
    <w:rsid w:val="008E6EAB"/>
    <w:rsid w:val="008E6EAD"/>
    <w:rsid w:val="008E6FC4"/>
    <w:rsid w:val="008E6FD1"/>
    <w:rsid w:val="008E6FE3"/>
    <w:rsid w:val="008E7000"/>
    <w:rsid w:val="008E70FF"/>
    <w:rsid w:val="008E7130"/>
    <w:rsid w:val="008E71A0"/>
    <w:rsid w:val="008E7225"/>
    <w:rsid w:val="008E7227"/>
    <w:rsid w:val="008E72F9"/>
    <w:rsid w:val="008E731D"/>
    <w:rsid w:val="008E732C"/>
    <w:rsid w:val="008E73D9"/>
    <w:rsid w:val="008E7639"/>
    <w:rsid w:val="008E7658"/>
    <w:rsid w:val="008E77CC"/>
    <w:rsid w:val="008E7843"/>
    <w:rsid w:val="008E78DA"/>
    <w:rsid w:val="008E792C"/>
    <w:rsid w:val="008E7A25"/>
    <w:rsid w:val="008E7A72"/>
    <w:rsid w:val="008E7AC1"/>
    <w:rsid w:val="008E7AF3"/>
    <w:rsid w:val="008E7B22"/>
    <w:rsid w:val="008E7BF8"/>
    <w:rsid w:val="008E7BF9"/>
    <w:rsid w:val="008E7C7C"/>
    <w:rsid w:val="008E7CCE"/>
    <w:rsid w:val="008E7CF3"/>
    <w:rsid w:val="008E7D1A"/>
    <w:rsid w:val="008E7DDC"/>
    <w:rsid w:val="008E7EA7"/>
    <w:rsid w:val="008F005A"/>
    <w:rsid w:val="008F0169"/>
    <w:rsid w:val="008F01C2"/>
    <w:rsid w:val="008F021A"/>
    <w:rsid w:val="008F0369"/>
    <w:rsid w:val="008F03ED"/>
    <w:rsid w:val="008F04BE"/>
    <w:rsid w:val="008F04E1"/>
    <w:rsid w:val="008F04F1"/>
    <w:rsid w:val="008F0629"/>
    <w:rsid w:val="008F07E0"/>
    <w:rsid w:val="008F0825"/>
    <w:rsid w:val="008F0861"/>
    <w:rsid w:val="008F08C8"/>
    <w:rsid w:val="008F08DC"/>
    <w:rsid w:val="008F0966"/>
    <w:rsid w:val="008F09B7"/>
    <w:rsid w:val="008F09C6"/>
    <w:rsid w:val="008F09D5"/>
    <w:rsid w:val="008F0AE9"/>
    <w:rsid w:val="008F0B46"/>
    <w:rsid w:val="008F0B90"/>
    <w:rsid w:val="008F0C88"/>
    <w:rsid w:val="008F0D5C"/>
    <w:rsid w:val="008F0D69"/>
    <w:rsid w:val="008F0E3B"/>
    <w:rsid w:val="008F0E80"/>
    <w:rsid w:val="008F0F22"/>
    <w:rsid w:val="008F1043"/>
    <w:rsid w:val="008F1076"/>
    <w:rsid w:val="008F11D4"/>
    <w:rsid w:val="008F1282"/>
    <w:rsid w:val="008F12A7"/>
    <w:rsid w:val="008F12DA"/>
    <w:rsid w:val="008F1310"/>
    <w:rsid w:val="008F13EC"/>
    <w:rsid w:val="008F145F"/>
    <w:rsid w:val="008F148A"/>
    <w:rsid w:val="008F14CD"/>
    <w:rsid w:val="008F153F"/>
    <w:rsid w:val="008F155A"/>
    <w:rsid w:val="008F1586"/>
    <w:rsid w:val="008F15B7"/>
    <w:rsid w:val="008F15BB"/>
    <w:rsid w:val="008F1668"/>
    <w:rsid w:val="008F17CC"/>
    <w:rsid w:val="008F1845"/>
    <w:rsid w:val="008F1887"/>
    <w:rsid w:val="008F18BA"/>
    <w:rsid w:val="008F1958"/>
    <w:rsid w:val="008F1A15"/>
    <w:rsid w:val="008F1A93"/>
    <w:rsid w:val="008F1AD8"/>
    <w:rsid w:val="008F1B77"/>
    <w:rsid w:val="008F1BD3"/>
    <w:rsid w:val="008F1BD5"/>
    <w:rsid w:val="008F1C04"/>
    <w:rsid w:val="008F1C39"/>
    <w:rsid w:val="008F1C3C"/>
    <w:rsid w:val="008F1C71"/>
    <w:rsid w:val="008F1D16"/>
    <w:rsid w:val="008F1D54"/>
    <w:rsid w:val="008F1D8D"/>
    <w:rsid w:val="008F1EEF"/>
    <w:rsid w:val="008F1F63"/>
    <w:rsid w:val="008F1FFB"/>
    <w:rsid w:val="008F2165"/>
    <w:rsid w:val="008F23A7"/>
    <w:rsid w:val="008F244D"/>
    <w:rsid w:val="008F2468"/>
    <w:rsid w:val="008F247C"/>
    <w:rsid w:val="008F24C7"/>
    <w:rsid w:val="008F24E2"/>
    <w:rsid w:val="008F25C1"/>
    <w:rsid w:val="008F25CE"/>
    <w:rsid w:val="008F2630"/>
    <w:rsid w:val="008F265D"/>
    <w:rsid w:val="008F2696"/>
    <w:rsid w:val="008F26AD"/>
    <w:rsid w:val="008F278E"/>
    <w:rsid w:val="008F27F1"/>
    <w:rsid w:val="008F2827"/>
    <w:rsid w:val="008F2847"/>
    <w:rsid w:val="008F28AC"/>
    <w:rsid w:val="008F28B8"/>
    <w:rsid w:val="008F2AC5"/>
    <w:rsid w:val="008F2B10"/>
    <w:rsid w:val="008F2B48"/>
    <w:rsid w:val="008F2B4E"/>
    <w:rsid w:val="008F2B65"/>
    <w:rsid w:val="008F2B72"/>
    <w:rsid w:val="008F2BAE"/>
    <w:rsid w:val="008F2BD4"/>
    <w:rsid w:val="008F2C17"/>
    <w:rsid w:val="008F2C85"/>
    <w:rsid w:val="008F2DA2"/>
    <w:rsid w:val="008F2E3A"/>
    <w:rsid w:val="008F2EA3"/>
    <w:rsid w:val="008F2F58"/>
    <w:rsid w:val="008F3059"/>
    <w:rsid w:val="008F30E5"/>
    <w:rsid w:val="008F317D"/>
    <w:rsid w:val="008F321A"/>
    <w:rsid w:val="008F3259"/>
    <w:rsid w:val="008F3360"/>
    <w:rsid w:val="008F349A"/>
    <w:rsid w:val="008F3572"/>
    <w:rsid w:val="008F3599"/>
    <w:rsid w:val="008F35BD"/>
    <w:rsid w:val="008F363C"/>
    <w:rsid w:val="008F367D"/>
    <w:rsid w:val="008F38B0"/>
    <w:rsid w:val="008F3949"/>
    <w:rsid w:val="008F3A20"/>
    <w:rsid w:val="008F3AB1"/>
    <w:rsid w:val="008F3BC8"/>
    <w:rsid w:val="008F3C31"/>
    <w:rsid w:val="008F3E70"/>
    <w:rsid w:val="008F3F5B"/>
    <w:rsid w:val="008F3FAA"/>
    <w:rsid w:val="008F4253"/>
    <w:rsid w:val="008F42B9"/>
    <w:rsid w:val="008F4341"/>
    <w:rsid w:val="008F43D6"/>
    <w:rsid w:val="008F4412"/>
    <w:rsid w:val="008F4428"/>
    <w:rsid w:val="008F44BE"/>
    <w:rsid w:val="008F44D0"/>
    <w:rsid w:val="008F450F"/>
    <w:rsid w:val="008F4616"/>
    <w:rsid w:val="008F46F5"/>
    <w:rsid w:val="008F47DA"/>
    <w:rsid w:val="008F48B0"/>
    <w:rsid w:val="008F4971"/>
    <w:rsid w:val="008F49DA"/>
    <w:rsid w:val="008F4A47"/>
    <w:rsid w:val="008F4A66"/>
    <w:rsid w:val="008F4ACE"/>
    <w:rsid w:val="008F4B22"/>
    <w:rsid w:val="008F4B37"/>
    <w:rsid w:val="008F4B3F"/>
    <w:rsid w:val="008F4C52"/>
    <w:rsid w:val="008F4D1E"/>
    <w:rsid w:val="008F4D25"/>
    <w:rsid w:val="008F4E1C"/>
    <w:rsid w:val="008F4E39"/>
    <w:rsid w:val="008F4ECA"/>
    <w:rsid w:val="008F502A"/>
    <w:rsid w:val="008F505E"/>
    <w:rsid w:val="008F513B"/>
    <w:rsid w:val="008F518B"/>
    <w:rsid w:val="008F51F9"/>
    <w:rsid w:val="008F5246"/>
    <w:rsid w:val="008F5292"/>
    <w:rsid w:val="008F52E9"/>
    <w:rsid w:val="008F5320"/>
    <w:rsid w:val="008F5339"/>
    <w:rsid w:val="008F534D"/>
    <w:rsid w:val="008F5493"/>
    <w:rsid w:val="008F54A6"/>
    <w:rsid w:val="008F553E"/>
    <w:rsid w:val="008F55AC"/>
    <w:rsid w:val="008F55F8"/>
    <w:rsid w:val="008F5651"/>
    <w:rsid w:val="008F568A"/>
    <w:rsid w:val="008F56F8"/>
    <w:rsid w:val="008F573C"/>
    <w:rsid w:val="008F580B"/>
    <w:rsid w:val="008F587A"/>
    <w:rsid w:val="008F5887"/>
    <w:rsid w:val="008F5894"/>
    <w:rsid w:val="008F592F"/>
    <w:rsid w:val="008F59FE"/>
    <w:rsid w:val="008F5A25"/>
    <w:rsid w:val="008F5A2C"/>
    <w:rsid w:val="008F5A75"/>
    <w:rsid w:val="008F5B41"/>
    <w:rsid w:val="008F5B74"/>
    <w:rsid w:val="008F5C53"/>
    <w:rsid w:val="008F5C9D"/>
    <w:rsid w:val="008F5CB5"/>
    <w:rsid w:val="008F5CD3"/>
    <w:rsid w:val="008F5DA6"/>
    <w:rsid w:val="008F5ED7"/>
    <w:rsid w:val="008F5F1B"/>
    <w:rsid w:val="008F5F52"/>
    <w:rsid w:val="008F6158"/>
    <w:rsid w:val="008F6429"/>
    <w:rsid w:val="008F662C"/>
    <w:rsid w:val="008F665D"/>
    <w:rsid w:val="008F6707"/>
    <w:rsid w:val="008F68EF"/>
    <w:rsid w:val="008F6A67"/>
    <w:rsid w:val="008F6AC3"/>
    <w:rsid w:val="008F6BEB"/>
    <w:rsid w:val="008F6C16"/>
    <w:rsid w:val="008F6CFB"/>
    <w:rsid w:val="008F6D04"/>
    <w:rsid w:val="008F6D46"/>
    <w:rsid w:val="008F6EEE"/>
    <w:rsid w:val="008F6F55"/>
    <w:rsid w:val="008F6F92"/>
    <w:rsid w:val="008F714B"/>
    <w:rsid w:val="008F71AB"/>
    <w:rsid w:val="008F7219"/>
    <w:rsid w:val="008F72FE"/>
    <w:rsid w:val="008F732F"/>
    <w:rsid w:val="008F7362"/>
    <w:rsid w:val="008F74E4"/>
    <w:rsid w:val="008F750C"/>
    <w:rsid w:val="008F7526"/>
    <w:rsid w:val="008F754D"/>
    <w:rsid w:val="008F75CB"/>
    <w:rsid w:val="008F7687"/>
    <w:rsid w:val="008F76B7"/>
    <w:rsid w:val="008F77AA"/>
    <w:rsid w:val="008F7945"/>
    <w:rsid w:val="008F794D"/>
    <w:rsid w:val="008F79E4"/>
    <w:rsid w:val="008F7A6A"/>
    <w:rsid w:val="008F7AAC"/>
    <w:rsid w:val="008F7B3D"/>
    <w:rsid w:val="008F7C4D"/>
    <w:rsid w:val="008F7C62"/>
    <w:rsid w:val="008F7D51"/>
    <w:rsid w:val="008F7D52"/>
    <w:rsid w:val="008F7E9E"/>
    <w:rsid w:val="00900130"/>
    <w:rsid w:val="0090013E"/>
    <w:rsid w:val="00900188"/>
    <w:rsid w:val="00900392"/>
    <w:rsid w:val="00900416"/>
    <w:rsid w:val="00900421"/>
    <w:rsid w:val="0090048A"/>
    <w:rsid w:val="00900515"/>
    <w:rsid w:val="009005A7"/>
    <w:rsid w:val="00900653"/>
    <w:rsid w:val="00900717"/>
    <w:rsid w:val="009007F4"/>
    <w:rsid w:val="00900803"/>
    <w:rsid w:val="00900805"/>
    <w:rsid w:val="0090080C"/>
    <w:rsid w:val="00900845"/>
    <w:rsid w:val="009008DF"/>
    <w:rsid w:val="0090098D"/>
    <w:rsid w:val="009009F5"/>
    <w:rsid w:val="00900A85"/>
    <w:rsid w:val="00900B0D"/>
    <w:rsid w:val="00900B57"/>
    <w:rsid w:val="00900C14"/>
    <w:rsid w:val="00900D5D"/>
    <w:rsid w:val="00900D61"/>
    <w:rsid w:val="00900DF6"/>
    <w:rsid w:val="00900E12"/>
    <w:rsid w:val="00900E9A"/>
    <w:rsid w:val="00900EC0"/>
    <w:rsid w:val="00900EC2"/>
    <w:rsid w:val="00900FB6"/>
    <w:rsid w:val="00901166"/>
    <w:rsid w:val="0090116E"/>
    <w:rsid w:val="009011BA"/>
    <w:rsid w:val="009011DF"/>
    <w:rsid w:val="00901224"/>
    <w:rsid w:val="00901278"/>
    <w:rsid w:val="0090127B"/>
    <w:rsid w:val="009012CE"/>
    <w:rsid w:val="009012E6"/>
    <w:rsid w:val="0090133F"/>
    <w:rsid w:val="009013B6"/>
    <w:rsid w:val="0090145C"/>
    <w:rsid w:val="0090147F"/>
    <w:rsid w:val="00901526"/>
    <w:rsid w:val="00901549"/>
    <w:rsid w:val="009016C0"/>
    <w:rsid w:val="00901734"/>
    <w:rsid w:val="0090174C"/>
    <w:rsid w:val="0090176A"/>
    <w:rsid w:val="009017C1"/>
    <w:rsid w:val="00901863"/>
    <w:rsid w:val="0090190F"/>
    <w:rsid w:val="00901924"/>
    <w:rsid w:val="009019D4"/>
    <w:rsid w:val="00901B3B"/>
    <w:rsid w:val="00901B72"/>
    <w:rsid w:val="00901B7E"/>
    <w:rsid w:val="00901BA9"/>
    <w:rsid w:val="00901BDC"/>
    <w:rsid w:val="00901BEA"/>
    <w:rsid w:val="00901CB7"/>
    <w:rsid w:val="00901D73"/>
    <w:rsid w:val="00901DB7"/>
    <w:rsid w:val="00901DC3"/>
    <w:rsid w:val="00901F5A"/>
    <w:rsid w:val="009023BD"/>
    <w:rsid w:val="009023BE"/>
    <w:rsid w:val="00902433"/>
    <w:rsid w:val="0090248C"/>
    <w:rsid w:val="0090252B"/>
    <w:rsid w:val="009025D1"/>
    <w:rsid w:val="00902653"/>
    <w:rsid w:val="0090272B"/>
    <w:rsid w:val="009027E5"/>
    <w:rsid w:val="009028D1"/>
    <w:rsid w:val="00902915"/>
    <w:rsid w:val="00902943"/>
    <w:rsid w:val="00902972"/>
    <w:rsid w:val="00902974"/>
    <w:rsid w:val="009029C0"/>
    <w:rsid w:val="009029D8"/>
    <w:rsid w:val="009029F9"/>
    <w:rsid w:val="00902A4A"/>
    <w:rsid w:val="00902AA8"/>
    <w:rsid w:val="00902AE3"/>
    <w:rsid w:val="00902BAC"/>
    <w:rsid w:val="00902D57"/>
    <w:rsid w:val="00902D67"/>
    <w:rsid w:val="00902F14"/>
    <w:rsid w:val="00902F5A"/>
    <w:rsid w:val="00903033"/>
    <w:rsid w:val="0090303E"/>
    <w:rsid w:val="009030CA"/>
    <w:rsid w:val="009030D4"/>
    <w:rsid w:val="00903207"/>
    <w:rsid w:val="0090334C"/>
    <w:rsid w:val="00903390"/>
    <w:rsid w:val="00903397"/>
    <w:rsid w:val="009033F3"/>
    <w:rsid w:val="0090347B"/>
    <w:rsid w:val="009035AA"/>
    <w:rsid w:val="0090361D"/>
    <w:rsid w:val="0090368C"/>
    <w:rsid w:val="00903726"/>
    <w:rsid w:val="0090379A"/>
    <w:rsid w:val="00903876"/>
    <w:rsid w:val="0090394A"/>
    <w:rsid w:val="0090395A"/>
    <w:rsid w:val="009039DB"/>
    <w:rsid w:val="00903A10"/>
    <w:rsid w:val="00903AE0"/>
    <w:rsid w:val="00903B93"/>
    <w:rsid w:val="00903C81"/>
    <w:rsid w:val="00903CED"/>
    <w:rsid w:val="00903D0C"/>
    <w:rsid w:val="00903D1C"/>
    <w:rsid w:val="00903E17"/>
    <w:rsid w:val="00903E65"/>
    <w:rsid w:val="00903F0B"/>
    <w:rsid w:val="00903FC5"/>
    <w:rsid w:val="009040FA"/>
    <w:rsid w:val="009040FF"/>
    <w:rsid w:val="009041A5"/>
    <w:rsid w:val="00904211"/>
    <w:rsid w:val="009042A8"/>
    <w:rsid w:val="00904410"/>
    <w:rsid w:val="009044B6"/>
    <w:rsid w:val="009044C8"/>
    <w:rsid w:val="00904562"/>
    <w:rsid w:val="0090465C"/>
    <w:rsid w:val="0090468E"/>
    <w:rsid w:val="00904859"/>
    <w:rsid w:val="0090485C"/>
    <w:rsid w:val="0090487C"/>
    <w:rsid w:val="00904891"/>
    <w:rsid w:val="009048A4"/>
    <w:rsid w:val="0090495D"/>
    <w:rsid w:val="009049EE"/>
    <w:rsid w:val="00904AD8"/>
    <w:rsid w:val="00904BCE"/>
    <w:rsid w:val="00904C62"/>
    <w:rsid w:val="00904C6D"/>
    <w:rsid w:val="00904E0F"/>
    <w:rsid w:val="00904F46"/>
    <w:rsid w:val="00904F7F"/>
    <w:rsid w:val="00905003"/>
    <w:rsid w:val="00905086"/>
    <w:rsid w:val="0090509C"/>
    <w:rsid w:val="009050BE"/>
    <w:rsid w:val="009050CF"/>
    <w:rsid w:val="00905136"/>
    <w:rsid w:val="009051BC"/>
    <w:rsid w:val="00905261"/>
    <w:rsid w:val="0090530B"/>
    <w:rsid w:val="0090532D"/>
    <w:rsid w:val="00905532"/>
    <w:rsid w:val="00905572"/>
    <w:rsid w:val="0090563A"/>
    <w:rsid w:val="0090567D"/>
    <w:rsid w:val="00905768"/>
    <w:rsid w:val="009058AE"/>
    <w:rsid w:val="009058BC"/>
    <w:rsid w:val="0090590A"/>
    <w:rsid w:val="009059EC"/>
    <w:rsid w:val="00905B4F"/>
    <w:rsid w:val="00905CE5"/>
    <w:rsid w:val="00905D1D"/>
    <w:rsid w:val="00905DC5"/>
    <w:rsid w:val="00905E99"/>
    <w:rsid w:val="00905F07"/>
    <w:rsid w:val="00905F35"/>
    <w:rsid w:val="009060B7"/>
    <w:rsid w:val="009060F8"/>
    <w:rsid w:val="0090611F"/>
    <w:rsid w:val="00906128"/>
    <w:rsid w:val="00906156"/>
    <w:rsid w:val="009061FC"/>
    <w:rsid w:val="009061FE"/>
    <w:rsid w:val="009062CD"/>
    <w:rsid w:val="009062E1"/>
    <w:rsid w:val="00906403"/>
    <w:rsid w:val="00906422"/>
    <w:rsid w:val="00906499"/>
    <w:rsid w:val="009064E3"/>
    <w:rsid w:val="009064E4"/>
    <w:rsid w:val="00906504"/>
    <w:rsid w:val="009065C1"/>
    <w:rsid w:val="00906792"/>
    <w:rsid w:val="009067C4"/>
    <w:rsid w:val="00906819"/>
    <w:rsid w:val="00906836"/>
    <w:rsid w:val="0090683C"/>
    <w:rsid w:val="009068CB"/>
    <w:rsid w:val="00906A54"/>
    <w:rsid w:val="00906A71"/>
    <w:rsid w:val="00906AC6"/>
    <w:rsid w:val="00906B66"/>
    <w:rsid w:val="00906B8B"/>
    <w:rsid w:val="00906BF7"/>
    <w:rsid w:val="00906C19"/>
    <w:rsid w:val="00906D6F"/>
    <w:rsid w:val="00906D73"/>
    <w:rsid w:val="00906DE3"/>
    <w:rsid w:val="00906E8A"/>
    <w:rsid w:val="00906F29"/>
    <w:rsid w:val="00906F76"/>
    <w:rsid w:val="00906FF2"/>
    <w:rsid w:val="00907010"/>
    <w:rsid w:val="00907094"/>
    <w:rsid w:val="0090715A"/>
    <w:rsid w:val="00907178"/>
    <w:rsid w:val="009071EC"/>
    <w:rsid w:val="0090720E"/>
    <w:rsid w:val="009072E6"/>
    <w:rsid w:val="0090732A"/>
    <w:rsid w:val="00907365"/>
    <w:rsid w:val="0090739F"/>
    <w:rsid w:val="00907407"/>
    <w:rsid w:val="0090749D"/>
    <w:rsid w:val="009074FA"/>
    <w:rsid w:val="009077A7"/>
    <w:rsid w:val="0090781F"/>
    <w:rsid w:val="00907841"/>
    <w:rsid w:val="00907926"/>
    <w:rsid w:val="00907964"/>
    <w:rsid w:val="00907992"/>
    <w:rsid w:val="009079A0"/>
    <w:rsid w:val="009079EC"/>
    <w:rsid w:val="00907A0F"/>
    <w:rsid w:val="00907A63"/>
    <w:rsid w:val="00907A6F"/>
    <w:rsid w:val="00907B0C"/>
    <w:rsid w:val="00907B6E"/>
    <w:rsid w:val="00907C0F"/>
    <w:rsid w:val="00907C44"/>
    <w:rsid w:val="00907C5C"/>
    <w:rsid w:val="00907C7D"/>
    <w:rsid w:val="00907DD8"/>
    <w:rsid w:val="00907E7A"/>
    <w:rsid w:val="00907F01"/>
    <w:rsid w:val="00907F24"/>
    <w:rsid w:val="00907FFB"/>
    <w:rsid w:val="00910145"/>
    <w:rsid w:val="00910181"/>
    <w:rsid w:val="00910244"/>
    <w:rsid w:val="0091027B"/>
    <w:rsid w:val="00910308"/>
    <w:rsid w:val="009103A8"/>
    <w:rsid w:val="00910590"/>
    <w:rsid w:val="009105E7"/>
    <w:rsid w:val="00910907"/>
    <w:rsid w:val="00910AAE"/>
    <w:rsid w:val="00910CB3"/>
    <w:rsid w:val="00910F74"/>
    <w:rsid w:val="0091103D"/>
    <w:rsid w:val="00911072"/>
    <w:rsid w:val="00911089"/>
    <w:rsid w:val="00911184"/>
    <w:rsid w:val="009111F9"/>
    <w:rsid w:val="009113D0"/>
    <w:rsid w:val="00911549"/>
    <w:rsid w:val="0091165E"/>
    <w:rsid w:val="0091168C"/>
    <w:rsid w:val="00911794"/>
    <w:rsid w:val="009118E5"/>
    <w:rsid w:val="00911909"/>
    <w:rsid w:val="009119BE"/>
    <w:rsid w:val="00911A53"/>
    <w:rsid w:val="00911A9F"/>
    <w:rsid w:val="00911C41"/>
    <w:rsid w:val="00911CA1"/>
    <w:rsid w:val="00911D81"/>
    <w:rsid w:val="00911DE4"/>
    <w:rsid w:val="00911EA6"/>
    <w:rsid w:val="00911EB4"/>
    <w:rsid w:val="00911EE9"/>
    <w:rsid w:val="00911FD0"/>
    <w:rsid w:val="00912089"/>
    <w:rsid w:val="009120AD"/>
    <w:rsid w:val="009120D7"/>
    <w:rsid w:val="009120F0"/>
    <w:rsid w:val="009121DE"/>
    <w:rsid w:val="00912210"/>
    <w:rsid w:val="00912214"/>
    <w:rsid w:val="00912352"/>
    <w:rsid w:val="00912416"/>
    <w:rsid w:val="0091247A"/>
    <w:rsid w:val="009124F4"/>
    <w:rsid w:val="00912504"/>
    <w:rsid w:val="00912525"/>
    <w:rsid w:val="00912553"/>
    <w:rsid w:val="009125A3"/>
    <w:rsid w:val="009125D0"/>
    <w:rsid w:val="0091266C"/>
    <w:rsid w:val="00912747"/>
    <w:rsid w:val="0091274E"/>
    <w:rsid w:val="009127A4"/>
    <w:rsid w:val="0091281B"/>
    <w:rsid w:val="00912852"/>
    <w:rsid w:val="009128AE"/>
    <w:rsid w:val="00912A3B"/>
    <w:rsid w:val="00912A98"/>
    <w:rsid w:val="00912AA2"/>
    <w:rsid w:val="00912B18"/>
    <w:rsid w:val="00912B47"/>
    <w:rsid w:val="00912CA0"/>
    <w:rsid w:val="00912CA6"/>
    <w:rsid w:val="00912CEC"/>
    <w:rsid w:val="00912D3E"/>
    <w:rsid w:val="00912E17"/>
    <w:rsid w:val="00912EC0"/>
    <w:rsid w:val="00912FB5"/>
    <w:rsid w:val="00913002"/>
    <w:rsid w:val="00913013"/>
    <w:rsid w:val="00913085"/>
    <w:rsid w:val="00913132"/>
    <w:rsid w:val="0091314D"/>
    <w:rsid w:val="009131A0"/>
    <w:rsid w:val="009131A7"/>
    <w:rsid w:val="00913254"/>
    <w:rsid w:val="00913307"/>
    <w:rsid w:val="009133F1"/>
    <w:rsid w:val="00913403"/>
    <w:rsid w:val="009135CF"/>
    <w:rsid w:val="009135D0"/>
    <w:rsid w:val="00913655"/>
    <w:rsid w:val="0091365F"/>
    <w:rsid w:val="0091374C"/>
    <w:rsid w:val="009137B6"/>
    <w:rsid w:val="00913852"/>
    <w:rsid w:val="00913864"/>
    <w:rsid w:val="009138E9"/>
    <w:rsid w:val="00913976"/>
    <w:rsid w:val="009139A0"/>
    <w:rsid w:val="00913A09"/>
    <w:rsid w:val="00913A6A"/>
    <w:rsid w:val="00913A8C"/>
    <w:rsid w:val="00913AA9"/>
    <w:rsid w:val="00913AC5"/>
    <w:rsid w:val="00913B8C"/>
    <w:rsid w:val="00913C24"/>
    <w:rsid w:val="00913C8B"/>
    <w:rsid w:val="00913D25"/>
    <w:rsid w:val="00913D2F"/>
    <w:rsid w:val="00913D8A"/>
    <w:rsid w:val="00913DB1"/>
    <w:rsid w:val="00913E27"/>
    <w:rsid w:val="00913E48"/>
    <w:rsid w:val="00913EF5"/>
    <w:rsid w:val="00913F11"/>
    <w:rsid w:val="00913F87"/>
    <w:rsid w:val="009140B6"/>
    <w:rsid w:val="0091417B"/>
    <w:rsid w:val="0091421F"/>
    <w:rsid w:val="009142A2"/>
    <w:rsid w:val="00914355"/>
    <w:rsid w:val="0091442C"/>
    <w:rsid w:val="0091455F"/>
    <w:rsid w:val="0091457F"/>
    <w:rsid w:val="0091459D"/>
    <w:rsid w:val="009145EF"/>
    <w:rsid w:val="00914668"/>
    <w:rsid w:val="00914759"/>
    <w:rsid w:val="009147B9"/>
    <w:rsid w:val="00914826"/>
    <w:rsid w:val="00914845"/>
    <w:rsid w:val="009148A4"/>
    <w:rsid w:val="0091490D"/>
    <w:rsid w:val="0091492E"/>
    <w:rsid w:val="00914B78"/>
    <w:rsid w:val="00914B79"/>
    <w:rsid w:val="00914BC9"/>
    <w:rsid w:val="00914CC3"/>
    <w:rsid w:val="00914DD3"/>
    <w:rsid w:val="00914E10"/>
    <w:rsid w:val="00914EC9"/>
    <w:rsid w:val="00914FD0"/>
    <w:rsid w:val="0091510B"/>
    <w:rsid w:val="0091519E"/>
    <w:rsid w:val="009151EC"/>
    <w:rsid w:val="0091528F"/>
    <w:rsid w:val="009152CE"/>
    <w:rsid w:val="009152F3"/>
    <w:rsid w:val="0091535C"/>
    <w:rsid w:val="00915379"/>
    <w:rsid w:val="00915383"/>
    <w:rsid w:val="009153A7"/>
    <w:rsid w:val="0091542D"/>
    <w:rsid w:val="0091551F"/>
    <w:rsid w:val="00915530"/>
    <w:rsid w:val="00915531"/>
    <w:rsid w:val="00915589"/>
    <w:rsid w:val="009155FD"/>
    <w:rsid w:val="00915689"/>
    <w:rsid w:val="009157AC"/>
    <w:rsid w:val="009157F0"/>
    <w:rsid w:val="00915831"/>
    <w:rsid w:val="0091583A"/>
    <w:rsid w:val="009158A0"/>
    <w:rsid w:val="00915A8A"/>
    <w:rsid w:val="00915B04"/>
    <w:rsid w:val="00915D5E"/>
    <w:rsid w:val="00915DE8"/>
    <w:rsid w:val="00915E82"/>
    <w:rsid w:val="00915FE2"/>
    <w:rsid w:val="009160C0"/>
    <w:rsid w:val="009161BC"/>
    <w:rsid w:val="0091638A"/>
    <w:rsid w:val="0091643B"/>
    <w:rsid w:val="009164EF"/>
    <w:rsid w:val="00916541"/>
    <w:rsid w:val="00916616"/>
    <w:rsid w:val="009166B4"/>
    <w:rsid w:val="009166D2"/>
    <w:rsid w:val="009167A3"/>
    <w:rsid w:val="00916935"/>
    <w:rsid w:val="00916AE7"/>
    <w:rsid w:val="00916C09"/>
    <w:rsid w:val="00916C25"/>
    <w:rsid w:val="00916C5C"/>
    <w:rsid w:val="00916DAA"/>
    <w:rsid w:val="00916DC5"/>
    <w:rsid w:val="00916EB3"/>
    <w:rsid w:val="00916EBC"/>
    <w:rsid w:val="0091702B"/>
    <w:rsid w:val="0091714A"/>
    <w:rsid w:val="00917340"/>
    <w:rsid w:val="00917391"/>
    <w:rsid w:val="0091743B"/>
    <w:rsid w:val="0091760B"/>
    <w:rsid w:val="009176AC"/>
    <w:rsid w:val="0091789D"/>
    <w:rsid w:val="0091791E"/>
    <w:rsid w:val="0091792E"/>
    <w:rsid w:val="00917930"/>
    <w:rsid w:val="00917AA4"/>
    <w:rsid w:val="00917B01"/>
    <w:rsid w:val="00917B6F"/>
    <w:rsid w:val="00917E05"/>
    <w:rsid w:val="00917E89"/>
    <w:rsid w:val="00917E95"/>
    <w:rsid w:val="00917EAA"/>
    <w:rsid w:val="00917EC9"/>
    <w:rsid w:val="00917EE5"/>
    <w:rsid w:val="00920029"/>
    <w:rsid w:val="00920063"/>
    <w:rsid w:val="00920111"/>
    <w:rsid w:val="00920113"/>
    <w:rsid w:val="0092014D"/>
    <w:rsid w:val="00920352"/>
    <w:rsid w:val="0092037B"/>
    <w:rsid w:val="0092041B"/>
    <w:rsid w:val="0092044B"/>
    <w:rsid w:val="00920484"/>
    <w:rsid w:val="009205E0"/>
    <w:rsid w:val="009205EA"/>
    <w:rsid w:val="00920617"/>
    <w:rsid w:val="009206E9"/>
    <w:rsid w:val="00920744"/>
    <w:rsid w:val="00920783"/>
    <w:rsid w:val="0092079D"/>
    <w:rsid w:val="00920880"/>
    <w:rsid w:val="00920885"/>
    <w:rsid w:val="00920AB7"/>
    <w:rsid w:val="00920ABF"/>
    <w:rsid w:val="00920B9B"/>
    <w:rsid w:val="00920C81"/>
    <w:rsid w:val="00920C8A"/>
    <w:rsid w:val="00920CE9"/>
    <w:rsid w:val="00920D43"/>
    <w:rsid w:val="00920E53"/>
    <w:rsid w:val="00920ECB"/>
    <w:rsid w:val="00920FC7"/>
    <w:rsid w:val="0092109D"/>
    <w:rsid w:val="009210F3"/>
    <w:rsid w:val="00921164"/>
    <w:rsid w:val="009211AF"/>
    <w:rsid w:val="009211E2"/>
    <w:rsid w:val="00921399"/>
    <w:rsid w:val="009213C7"/>
    <w:rsid w:val="0092142B"/>
    <w:rsid w:val="009214FD"/>
    <w:rsid w:val="009215C6"/>
    <w:rsid w:val="009215CD"/>
    <w:rsid w:val="009216D0"/>
    <w:rsid w:val="0092172C"/>
    <w:rsid w:val="009218DC"/>
    <w:rsid w:val="0092192B"/>
    <w:rsid w:val="00921974"/>
    <w:rsid w:val="009219CD"/>
    <w:rsid w:val="00921A5E"/>
    <w:rsid w:val="00921A70"/>
    <w:rsid w:val="00921A8A"/>
    <w:rsid w:val="00921B70"/>
    <w:rsid w:val="00921C2E"/>
    <w:rsid w:val="00921C64"/>
    <w:rsid w:val="00921C71"/>
    <w:rsid w:val="00921C7B"/>
    <w:rsid w:val="00921D2A"/>
    <w:rsid w:val="00921E14"/>
    <w:rsid w:val="00921F1C"/>
    <w:rsid w:val="00921F58"/>
    <w:rsid w:val="00921F5E"/>
    <w:rsid w:val="00922077"/>
    <w:rsid w:val="009220ED"/>
    <w:rsid w:val="0092212E"/>
    <w:rsid w:val="00922147"/>
    <w:rsid w:val="0092215E"/>
    <w:rsid w:val="0092227A"/>
    <w:rsid w:val="0092231A"/>
    <w:rsid w:val="0092240A"/>
    <w:rsid w:val="0092240E"/>
    <w:rsid w:val="009224A0"/>
    <w:rsid w:val="009226B1"/>
    <w:rsid w:val="009226C5"/>
    <w:rsid w:val="009227BC"/>
    <w:rsid w:val="00922833"/>
    <w:rsid w:val="00922875"/>
    <w:rsid w:val="009228A4"/>
    <w:rsid w:val="00922913"/>
    <w:rsid w:val="0092292D"/>
    <w:rsid w:val="00922A0B"/>
    <w:rsid w:val="00922A0D"/>
    <w:rsid w:val="00922D9A"/>
    <w:rsid w:val="00922DCE"/>
    <w:rsid w:val="00922F70"/>
    <w:rsid w:val="00923137"/>
    <w:rsid w:val="00923176"/>
    <w:rsid w:val="00923231"/>
    <w:rsid w:val="00923244"/>
    <w:rsid w:val="0092327E"/>
    <w:rsid w:val="00923292"/>
    <w:rsid w:val="009232AE"/>
    <w:rsid w:val="00923326"/>
    <w:rsid w:val="009233D8"/>
    <w:rsid w:val="009233DC"/>
    <w:rsid w:val="0092350C"/>
    <w:rsid w:val="0092367D"/>
    <w:rsid w:val="009236F0"/>
    <w:rsid w:val="00923750"/>
    <w:rsid w:val="00923768"/>
    <w:rsid w:val="00923778"/>
    <w:rsid w:val="00923818"/>
    <w:rsid w:val="00923903"/>
    <w:rsid w:val="00923975"/>
    <w:rsid w:val="00923AED"/>
    <w:rsid w:val="00923B58"/>
    <w:rsid w:val="00923C8B"/>
    <w:rsid w:val="00923D06"/>
    <w:rsid w:val="00923D54"/>
    <w:rsid w:val="00923DA8"/>
    <w:rsid w:val="00923DAC"/>
    <w:rsid w:val="00923DF5"/>
    <w:rsid w:val="00923E61"/>
    <w:rsid w:val="009240C8"/>
    <w:rsid w:val="009240DF"/>
    <w:rsid w:val="009241A9"/>
    <w:rsid w:val="00924283"/>
    <w:rsid w:val="00924317"/>
    <w:rsid w:val="0092431A"/>
    <w:rsid w:val="00924438"/>
    <w:rsid w:val="00924459"/>
    <w:rsid w:val="00924496"/>
    <w:rsid w:val="009244A6"/>
    <w:rsid w:val="009244C4"/>
    <w:rsid w:val="0092460D"/>
    <w:rsid w:val="0092465D"/>
    <w:rsid w:val="00924661"/>
    <w:rsid w:val="00924703"/>
    <w:rsid w:val="00924712"/>
    <w:rsid w:val="0092476C"/>
    <w:rsid w:val="00924802"/>
    <w:rsid w:val="00924811"/>
    <w:rsid w:val="009248FF"/>
    <w:rsid w:val="0092493B"/>
    <w:rsid w:val="0092498A"/>
    <w:rsid w:val="00924B39"/>
    <w:rsid w:val="00924B6B"/>
    <w:rsid w:val="00924C62"/>
    <w:rsid w:val="00924C65"/>
    <w:rsid w:val="00924DCD"/>
    <w:rsid w:val="00924E24"/>
    <w:rsid w:val="00924E87"/>
    <w:rsid w:val="009250B0"/>
    <w:rsid w:val="009250D6"/>
    <w:rsid w:val="009251B4"/>
    <w:rsid w:val="0092521F"/>
    <w:rsid w:val="00925257"/>
    <w:rsid w:val="009252BD"/>
    <w:rsid w:val="00925326"/>
    <w:rsid w:val="00925408"/>
    <w:rsid w:val="009254AF"/>
    <w:rsid w:val="009254C6"/>
    <w:rsid w:val="009255D3"/>
    <w:rsid w:val="009256D3"/>
    <w:rsid w:val="009256E6"/>
    <w:rsid w:val="00925886"/>
    <w:rsid w:val="00925AE6"/>
    <w:rsid w:val="00925B51"/>
    <w:rsid w:val="00925B54"/>
    <w:rsid w:val="00925B80"/>
    <w:rsid w:val="00925C24"/>
    <w:rsid w:val="00925C5E"/>
    <w:rsid w:val="00925CAB"/>
    <w:rsid w:val="00925D8F"/>
    <w:rsid w:val="00925E44"/>
    <w:rsid w:val="00925E9E"/>
    <w:rsid w:val="00925FB2"/>
    <w:rsid w:val="00926083"/>
    <w:rsid w:val="0092609E"/>
    <w:rsid w:val="0092641D"/>
    <w:rsid w:val="00926446"/>
    <w:rsid w:val="00926458"/>
    <w:rsid w:val="00926490"/>
    <w:rsid w:val="00926516"/>
    <w:rsid w:val="0092660A"/>
    <w:rsid w:val="0092660D"/>
    <w:rsid w:val="009266BC"/>
    <w:rsid w:val="009266DF"/>
    <w:rsid w:val="0092673E"/>
    <w:rsid w:val="00926792"/>
    <w:rsid w:val="00926818"/>
    <w:rsid w:val="009268B3"/>
    <w:rsid w:val="00926A22"/>
    <w:rsid w:val="00926ADA"/>
    <w:rsid w:val="00926C18"/>
    <w:rsid w:val="00926D2A"/>
    <w:rsid w:val="00926D39"/>
    <w:rsid w:val="00926D5C"/>
    <w:rsid w:val="00926DAA"/>
    <w:rsid w:val="00926E64"/>
    <w:rsid w:val="00926F11"/>
    <w:rsid w:val="00926F55"/>
    <w:rsid w:val="00926F5C"/>
    <w:rsid w:val="00926F69"/>
    <w:rsid w:val="00926FA0"/>
    <w:rsid w:val="00926FFA"/>
    <w:rsid w:val="009270CE"/>
    <w:rsid w:val="009270D5"/>
    <w:rsid w:val="009270E0"/>
    <w:rsid w:val="0092712F"/>
    <w:rsid w:val="00927154"/>
    <w:rsid w:val="009272AC"/>
    <w:rsid w:val="009273FC"/>
    <w:rsid w:val="00927434"/>
    <w:rsid w:val="0092746B"/>
    <w:rsid w:val="0092755B"/>
    <w:rsid w:val="0092755E"/>
    <w:rsid w:val="00927878"/>
    <w:rsid w:val="00927958"/>
    <w:rsid w:val="0092795A"/>
    <w:rsid w:val="00927A38"/>
    <w:rsid w:val="00927A59"/>
    <w:rsid w:val="00927ABD"/>
    <w:rsid w:val="00927AC4"/>
    <w:rsid w:val="00927B2B"/>
    <w:rsid w:val="00927BA6"/>
    <w:rsid w:val="00927BF4"/>
    <w:rsid w:val="00927CB3"/>
    <w:rsid w:val="00927D1C"/>
    <w:rsid w:val="00927D41"/>
    <w:rsid w:val="00927F22"/>
    <w:rsid w:val="0093002C"/>
    <w:rsid w:val="0093005E"/>
    <w:rsid w:val="00930064"/>
    <w:rsid w:val="009300CC"/>
    <w:rsid w:val="0093016B"/>
    <w:rsid w:val="00930246"/>
    <w:rsid w:val="009302C6"/>
    <w:rsid w:val="009304BD"/>
    <w:rsid w:val="009304C0"/>
    <w:rsid w:val="009304D2"/>
    <w:rsid w:val="009304EC"/>
    <w:rsid w:val="009304FD"/>
    <w:rsid w:val="0093058E"/>
    <w:rsid w:val="009305B4"/>
    <w:rsid w:val="00930623"/>
    <w:rsid w:val="0093063A"/>
    <w:rsid w:val="0093068D"/>
    <w:rsid w:val="0093069D"/>
    <w:rsid w:val="009306A3"/>
    <w:rsid w:val="009306B5"/>
    <w:rsid w:val="00930734"/>
    <w:rsid w:val="0093081C"/>
    <w:rsid w:val="009308CE"/>
    <w:rsid w:val="009308D1"/>
    <w:rsid w:val="009309A0"/>
    <w:rsid w:val="00930BD7"/>
    <w:rsid w:val="00930DC4"/>
    <w:rsid w:val="00930DD3"/>
    <w:rsid w:val="00930E74"/>
    <w:rsid w:val="00930EBC"/>
    <w:rsid w:val="00930EE5"/>
    <w:rsid w:val="00930F84"/>
    <w:rsid w:val="00930FB8"/>
    <w:rsid w:val="00930FF8"/>
    <w:rsid w:val="00931002"/>
    <w:rsid w:val="009310FF"/>
    <w:rsid w:val="0093111E"/>
    <w:rsid w:val="00931190"/>
    <w:rsid w:val="009311BF"/>
    <w:rsid w:val="009311F3"/>
    <w:rsid w:val="00931267"/>
    <w:rsid w:val="00931335"/>
    <w:rsid w:val="00931345"/>
    <w:rsid w:val="009313D8"/>
    <w:rsid w:val="00931451"/>
    <w:rsid w:val="00931468"/>
    <w:rsid w:val="00931489"/>
    <w:rsid w:val="009314A2"/>
    <w:rsid w:val="009314CF"/>
    <w:rsid w:val="0093161A"/>
    <w:rsid w:val="0093174D"/>
    <w:rsid w:val="00931773"/>
    <w:rsid w:val="00931946"/>
    <w:rsid w:val="00931969"/>
    <w:rsid w:val="009319BE"/>
    <w:rsid w:val="00931A64"/>
    <w:rsid w:val="00931AC4"/>
    <w:rsid w:val="00931BA5"/>
    <w:rsid w:val="00931CD6"/>
    <w:rsid w:val="00931D2E"/>
    <w:rsid w:val="00931D9C"/>
    <w:rsid w:val="00931E55"/>
    <w:rsid w:val="0093201F"/>
    <w:rsid w:val="0093208A"/>
    <w:rsid w:val="009320D8"/>
    <w:rsid w:val="00932169"/>
    <w:rsid w:val="00932274"/>
    <w:rsid w:val="0093227E"/>
    <w:rsid w:val="009322A7"/>
    <w:rsid w:val="009322E3"/>
    <w:rsid w:val="00932329"/>
    <w:rsid w:val="0093234B"/>
    <w:rsid w:val="00932383"/>
    <w:rsid w:val="00932387"/>
    <w:rsid w:val="00932425"/>
    <w:rsid w:val="00932488"/>
    <w:rsid w:val="009324E4"/>
    <w:rsid w:val="00932554"/>
    <w:rsid w:val="00932580"/>
    <w:rsid w:val="009325B0"/>
    <w:rsid w:val="009325E5"/>
    <w:rsid w:val="00932644"/>
    <w:rsid w:val="00932846"/>
    <w:rsid w:val="00932A52"/>
    <w:rsid w:val="00932C05"/>
    <w:rsid w:val="00932C13"/>
    <w:rsid w:val="00932C34"/>
    <w:rsid w:val="00932CAD"/>
    <w:rsid w:val="00932CBF"/>
    <w:rsid w:val="00932CDD"/>
    <w:rsid w:val="00932E47"/>
    <w:rsid w:val="0093300F"/>
    <w:rsid w:val="009331AF"/>
    <w:rsid w:val="00933371"/>
    <w:rsid w:val="009334B6"/>
    <w:rsid w:val="009334F6"/>
    <w:rsid w:val="00933535"/>
    <w:rsid w:val="0093358A"/>
    <w:rsid w:val="0093362A"/>
    <w:rsid w:val="0093363A"/>
    <w:rsid w:val="00933642"/>
    <w:rsid w:val="00933738"/>
    <w:rsid w:val="0093375A"/>
    <w:rsid w:val="0093382D"/>
    <w:rsid w:val="00933843"/>
    <w:rsid w:val="009338B9"/>
    <w:rsid w:val="009338E5"/>
    <w:rsid w:val="00933950"/>
    <w:rsid w:val="009339A8"/>
    <w:rsid w:val="009339CC"/>
    <w:rsid w:val="009339F0"/>
    <w:rsid w:val="00933AB9"/>
    <w:rsid w:val="00933AFC"/>
    <w:rsid w:val="00933B1E"/>
    <w:rsid w:val="00933B54"/>
    <w:rsid w:val="00933B87"/>
    <w:rsid w:val="00933C48"/>
    <w:rsid w:val="00933D61"/>
    <w:rsid w:val="00933E3B"/>
    <w:rsid w:val="00933EDA"/>
    <w:rsid w:val="00933F24"/>
    <w:rsid w:val="00933F39"/>
    <w:rsid w:val="00933FC8"/>
    <w:rsid w:val="00934001"/>
    <w:rsid w:val="00934016"/>
    <w:rsid w:val="0093408D"/>
    <w:rsid w:val="009340A0"/>
    <w:rsid w:val="0093410E"/>
    <w:rsid w:val="0093417E"/>
    <w:rsid w:val="0093418F"/>
    <w:rsid w:val="009341D9"/>
    <w:rsid w:val="0093430D"/>
    <w:rsid w:val="0093450D"/>
    <w:rsid w:val="00934551"/>
    <w:rsid w:val="009345C5"/>
    <w:rsid w:val="0093467A"/>
    <w:rsid w:val="00934698"/>
    <w:rsid w:val="009346C1"/>
    <w:rsid w:val="0093470A"/>
    <w:rsid w:val="009347C5"/>
    <w:rsid w:val="00934808"/>
    <w:rsid w:val="009348E0"/>
    <w:rsid w:val="009349DE"/>
    <w:rsid w:val="00934A04"/>
    <w:rsid w:val="00934A59"/>
    <w:rsid w:val="00934A70"/>
    <w:rsid w:val="00934A91"/>
    <w:rsid w:val="00934CF1"/>
    <w:rsid w:val="00934CF8"/>
    <w:rsid w:val="00934E0C"/>
    <w:rsid w:val="00934E50"/>
    <w:rsid w:val="00934E7F"/>
    <w:rsid w:val="00934EA0"/>
    <w:rsid w:val="00934ED0"/>
    <w:rsid w:val="00934FD8"/>
    <w:rsid w:val="00935074"/>
    <w:rsid w:val="0093510F"/>
    <w:rsid w:val="00935114"/>
    <w:rsid w:val="00935167"/>
    <w:rsid w:val="00935174"/>
    <w:rsid w:val="009351BF"/>
    <w:rsid w:val="00935456"/>
    <w:rsid w:val="00935481"/>
    <w:rsid w:val="009354F2"/>
    <w:rsid w:val="009354FE"/>
    <w:rsid w:val="009355B6"/>
    <w:rsid w:val="00935749"/>
    <w:rsid w:val="009357F6"/>
    <w:rsid w:val="00935801"/>
    <w:rsid w:val="00935887"/>
    <w:rsid w:val="0093593D"/>
    <w:rsid w:val="00935994"/>
    <w:rsid w:val="009359E6"/>
    <w:rsid w:val="00935AC3"/>
    <w:rsid w:val="00935B62"/>
    <w:rsid w:val="00935BDD"/>
    <w:rsid w:val="00935C0C"/>
    <w:rsid w:val="00935C3F"/>
    <w:rsid w:val="00935DDB"/>
    <w:rsid w:val="00935DFB"/>
    <w:rsid w:val="00935E77"/>
    <w:rsid w:val="00935EBD"/>
    <w:rsid w:val="00935F71"/>
    <w:rsid w:val="00935FA0"/>
    <w:rsid w:val="009360A5"/>
    <w:rsid w:val="0093617F"/>
    <w:rsid w:val="00936192"/>
    <w:rsid w:val="0093629D"/>
    <w:rsid w:val="009362D7"/>
    <w:rsid w:val="009362F2"/>
    <w:rsid w:val="00936328"/>
    <w:rsid w:val="0093636A"/>
    <w:rsid w:val="009363DB"/>
    <w:rsid w:val="00936400"/>
    <w:rsid w:val="0093648B"/>
    <w:rsid w:val="009365CF"/>
    <w:rsid w:val="009365F2"/>
    <w:rsid w:val="00936615"/>
    <w:rsid w:val="0093669D"/>
    <w:rsid w:val="0093669E"/>
    <w:rsid w:val="0093673C"/>
    <w:rsid w:val="00936757"/>
    <w:rsid w:val="0093683C"/>
    <w:rsid w:val="00936882"/>
    <w:rsid w:val="009368C5"/>
    <w:rsid w:val="00936969"/>
    <w:rsid w:val="00936AA7"/>
    <w:rsid w:val="00936B2A"/>
    <w:rsid w:val="00936C27"/>
    <w:rsid w:val="00936C38"/>
    <w:rsid w:val="00936C50"/>
    <w:rsid w:val="00936CA4"/>
    <w:rsid w:val="00936CE2"/>
    <w:rsid w:val="00936D99"/>
    <w:rsid w:val="00936DB5"/>
    <w:rsid w:val="00936F97"/>
    <w:rsid w:val="00936FB8"/>
    <w:rsid w:val="00936FFA"/>
    <w:rsid w:val="0093709E"/>
    <w:rsid w:val="00937175"/>
    <w:rsid w:val="00937219"/>
    <w:rsid w:val="0093731C"/>
    <w:rsid w:val="00937443"/>
    <w:rsid w:val="00937447"/>
    <w:rsid w:val="0093748D"/>
    <w:rsid w:val="009374AA"/>
    <w:rsid w:val="0093762C"/>
    <w:rsid w:val="0093770A"/>
    <w:rsid w:val="00937740"/>
    <w:rsid w:val="009377AA"/>
    <w:rsid w:val="009377F0"/>
    <w:rsid w:val="00937894"/>
    <w:rsid w:val="009378CE"/>
    <w:rsid w:val="009378E2"/>
    <w:rsid w:val="00937986"/>
    <w:rsid w:val="00937B7C"/>
    <w:rsid w:val="00937C69"/>
    <w:rsid w:val="00937D22"/>
    <w:rsid w:val="00937D3E"/>
    <w:rsid w:val="00937D85"/>
    <w:rsid w:val="00937D9E"/>
    <w:rsid w:val="00937E0F"/>
    <w:rsid w:val="00937E4E"/>
    <w:rsid w:val="00937E63"/>
    <w:rsid w:val="00937EA5"/>
    <w:rsid w:val="00937F33"/>
    <w:rsid w:val="00937F94"/>
    <w:rsid w:val="00937FDB"/>
    <w:rsid w:val="00940045"/>
    <w:rsid w:val="009400DA"/>
    <w:rsid w:val="00940138"/>
    <w:rsid w:val="00940143"/>
    <w:rsid w:val="00940249"/>
    <w:rsid w:val="009402F3"/>
    <w:rsid w:val="009402F8"/>
    <w:rsid w:val="00940357"/>
    <w:rsid w:val="0094035B"/>
    <w:rsid w:val="009403B5"/>
    <w:rsid w:val="009403F8"/>
    <w:rsid w:val="00940442"/>
    <w:rsid w:val="009404BC"/>
    <w:rsid w:val="009404ED"/>
    <w:rsid w:val="00940692"/>
    <w:rsid w:val="009406B4"/>
    <w:rsid w:val="00940898"/>
    <w:rsid w:val="00940956"/>
    <w:rsid w:val="009409B7"/>
    <w:rsid w:val="009409E9"/>
    <w:rsid w:val="00940ACB"/>
    <w:rsid w:val="00940B2C"/>
    <w:rsid w:val="00940B6E"/>
    <w:rsid w:val="00940B88"/>
    <w:rsid w:val="00940BF4"/>
    <w:rsid w:val="00940C74"/>
    <w:rsid w:val="00940D1D"/>
    <w:rsid w:val="00940DE8"/>
    <w:rsid w:val="00940E16"/>
    <w:rsid w:val="00940E20"/>
    <w:rsid w:val="00940F6A"/>
    <w:rsid w:val="00940FC4"/>
    <w:rsid w:val="00940FD7"/>
    <w:rsid w:val="00941015"/>
    <w:rsid w:val="00941058"/>
    <w:rsid w:val="0094106C"/>
    <w:rsid w:val="009410AC"/>
    <w:rsid w:val="009410AE"/>
    <w:rsid w:val="00941140"/>
    <w:rsid w:val="009411A2"/>
    <w:rsid w:val="00941258"/>
    <w:rsid w:val="009412A7"/>
    <w:rsid w:val="00941310"/>
    <w:rsid w:val="009413D7"/>
    <w:rsid w:val="00941404"/>
    <w:rsid w:val="00941490"/>
    <w:rsid w:val="0094151D"/>
    <w:rsid w:val="009415BC"/>
    <w:rsid w:val="009415D0"/>
    <w:rsid w:val="009415EF"/>
    <w:rsid w:val="00941618"/>
    <w:rsid w:val="00941630"/>
    <w:rsid w:val="009416D2"/>
    <w:rsid w:val="00941704"/>
    <w:rsid w:val="0094171C"/>
    <w:rsid w:val="009417F0"/>
    <w:rsid w:val="0094189E"/>
    <w:rsid w:val="009418D1"/>
    <w:rsid w:val="00941990"/>
    <w:rsid w:val="00941AA2"/>
    <w:rsid w:val="00941AC5"/>
    <w:rsid w:val="00941C60"/>
    <w:rsid w:val="00941CC8"/>
    <w:rsid w:val="00941CFF"/>
    <w:rsid w:val="00941E89"/>
    <w:rsid w:val="00941F34"/>
    <w:rsid w:val="00941F46"/>
    <w:rsid w:val="0094200B"/>
    <w:rsid w:val="00942090"/>
    <w:rsid w:val="00942113"/>
    <w:rsid w:val="0094216C"/>
    <w:rsid w:val="00942233"/>
    <w:rsid w:val="00942241"/>
    <w:rsid w:val="00942303"/>
    <w:rsid w:val="00942351"/>
    <w:rsid w:val="00942392"/>
    <w:rsid w:val="009423BE"/>
    <w:rsid w:val="0094241B"/>
    <w:rsid w:val="0094245F"/>
    <w:rsid w:val="009424EE"/>
    <w:rsid w:val="00942507"/>
    <w:rsid w:val="0094256C"/>
    <w:rsid w:val="009425C0"/>
    <w:rsid w:val="009425F5"/>
    <w:rsid w:val="0094276C"/>
    <w:rsid w:val="00942819"/>
    <w:rsid w:val="00942831"/>
    <w:rsid w:val="0094284A"/>
    <w:rsid w:val="0094295D"/>
    <w:rsid w:val="00942964"/>
    <w:rsid w:val="00942985"/>
    <w:rsid w:val="009429FC"/>
    <w:rsid w:val="00942B0E"/>
    <w:rsid w:val="00942BB9"/>
    <w:rsid w:val="00942C13"/>
    <w:rsid w:val="00942CD9"/>
    <w:rsid w:val="00942D26"/>
    <w:rsid w:val="00942D79"/>
    <w:rsid w:val="00942E51"/>
    <w:rsid w:val="00942EE0"/>
    <w:rsid w:val="00942F66"/>
    <w:rsid w:val="00942FE0"/>
    <w:rsid w:val="0094305C"/>
    <w:rsid w:val="0094313A"/>
    <w:rsid w:val="009431C7"/>
    <w:rsid w:val="00943289"/>
    <w:rsid w:val="009433AA"/>
    <w:rsid w:val="0094353B"/>
    <w:rsid w:val="0094360F"/>
    <w:rsid w:val="00943627"/>
    <w:rsid w:val="0094366A"/>
    <w:rsid w:val="00943741"/>
    <w:rsid w:val="00943991"/>
    <w:rsid w:val="00943A2B"/>
    <w:rsid w:val="00943B02"/>
    <w:rsid w:val="00943B68"/>
    <w:rsid w:val="00943BB6"/>
    <w:rsid w:val="00943BF1"/>
    <w:rsid w:val="00943C8B"/>
    <w:rsid w:val="00943D00"/>
    <w:rsid w:val="00943E3F"/>
    <w:rsid w:val="00943FA8"/>
    <w:rsid w:val="00944078"/>
    <w:rsid w:val="009440C0"/>
    <w:rsid w:val="00944100"/>
    <w:rsid w:val="00944108"/>
    <w:rsid w:val="00944169"/>
    <w:rsid w:val="009441AA"/>
    <w:rsid w:val="009441E5"/>
    <w:rsid w:val="00944265"/>
    <w:rsid w:val="009442B4"/>
    <w:rsid w:val="009442F0"/>
    <w:rsid w:val="00944327"/>
    <w:rsid w:val="00944442"/>
    <w:rsid w:val="00944491"/>
    <w:rsid w:val="009444CB"/>
    <w:rsid w:val="009444D2"/>
    <w:rsid w:val="009444D5"/>
    <w:rsid w:val="009445D4"/>
    <w:rsid w:val="009445EA"/>
    <w:rsid w:val="009446C6"/>
    <w:rsid w:val="009446C7"/>
    <w:rsid w:val="00944755"/>
    <w:rsid w:val="009447A6"/>
    <w:rsid w:val="009447AF"/>
    <w:rsid w:val="00944808"/>
    <w:rsid w:val="0094489F"/>
    <w:rsid w:val="00944914"/>
    <w:rsid w:val="0094491C"/>
    <w:rsid w:val="0094493B"/>
    <w:rsid w:val="00944A94"/>
    <w:rsid w:val="00944ACC"/>
    <w:rsid w:val="00944B3A"/>
    <w:rsid w:val="00944B8D"/>
    <w:rsid w:val="00944BBB"/>
    <w:rsid w:val="00944C24"/>
    <w:rsid w:val="00944C59"/>
    <w:rsid w:val="00944D68"/>
    <w:rsid w:val="00944E59"/>
    <w:rsid w:val="00944E66"/>
    <w:rsid w:val="00944E9C"/>
    <w:rsid w:val="00944F0B"/>
    <w:rsid w:val="00944F7B"/>
    <w:rsid w:val="00944FC9"/>
    <w:rsid w:val="0094516B"/>
    <w:rsid w:val="00945231"/>
    <w:rsid w:val="009452F0"/>
    <w:rsid w:val="00945401"/>
    <w:rsid w:val="009454C6"/>
    <w:rsid w:val="00945658"/>
    <w:rsid w:val="0094573E"/>
    <w:rsid w:val="00945770"/>
    <w:rsid w:val="009457C2"/>
    <w:rsid w:val="00945884"/>
    <w:rsid w:val="00945887"/>
    <w:rsid w:val="00945A5F"/>
    <w:rsid w:val="00945A70"/>
    <w:rsid w:val="00945A75"/>
    <w:rsid w:val="00945AC2"/>
    <w:rsid w:val="00945BAA"/>
    <w:rsid w:val="00945C13"/>
    <w:rsid w:val="00945D12"/>
    <w:rsid w:val="00945E4A"/>
    <w:rsid w:val="00945E67"/>
    <w:rsid w:val="00945F92"/>
    <w:rsid w:val="00946003"/>
    <w:rsid w:val="00946072"/>
    <w:rsid w:val="00946110"/>
    <w:rsid w:val="0094612C"/>
    <w:rsid w:val="0094613E"/>
    <w:rsid w:val="00946145"/>
    <w:rsid w:val="009461D9"/>
    <w:rsid w:val="009461E0"/>
    <w:rsid w:val="00946289"/>
    <w:rsid w:val="009462D4"/>
    <w:rsid w:val="00946346"/>
    <w:rsid w:val="009463ED"/>
    <w:rsid w:val="0094643E"/>
    <w:rsid w:val="009464B0"/>
    <w:rsid w:val="009464F8"/>
    <w:rsid w:val="0094663B"/>
    <w:rsid w:val="0094663E"/>
    <w:rsid w:val="009466B8"/>
    <w:rsid w:val="0094672C"/>
    <w:rsid w:val="00946A0A"/>
    <w:rsid w:val="00946A5A"/>
    <w:rsid w:val="00946AAD"/>
    <w:rsid w:val="00946C59"/>
    <w:rsid w:val="00946D63"/>
    <w:rsid w:val="00946DD1"/>
    <w:rsid w:val="00946E96"/>
    <w:rsid w:val="00946F48"/>
    <w:rsid w:val="00946FC0"/>
    <w:rsid w:val="0094701F"/>
    <w:rsid w:val="0094711D"/>
    <w:rsid w:val="00947178"/>
    <w:rsid w:val="009473BA"/>
    <w:rsid w:val="00947596"/>
    <w:rsid w:val="0094759E"/>
    <w:rsid w:val="00947656"/>
    <w:rsid w:val="009476AE"/>
    <w:rsid w:val="0094774B"/>
    <w:rsid w:val="0094774F"/>
    <w:rsid w:val="00947784"/>
    <w:rsid w:val="0094779A"/>
    <w:rsid w:val="0094779B"/>
    <w:rsid w:val="009477C8"/>
    <w:rsid w:val="0094792D"/>
    <w:rsid w:val="00947957"/>
    <w:rsid w:val="00947967"/>
    <w:rsid w:val="009479D1"/>
    <w:rsid w:val="00947B08"/>
    <w:rsid w:val="00947BED"/>
    <w:rsid w:val="00947C02"/>
    <w:rsid w:val="00947C86"/>
    <w:rsid w:val="00947CE6"/>
    <w:rsid w:val="00947DC0"/>
    <w:rsid w:val="00947E31"/>
    <w:rsid w:val="00947E6D"/>
    <w:rsid w:val="00947E71"/>
    <w:rsid w:val="00947F18"/>
    <w:rsid w:val="00947FF1"/>
    <w:rsid w:val="00950156"/>
    <w:rsid w:val="0095026C"/>
    <w:rsid w:val="00950275"/>
    <w:rsid w:val="009502A0"/>
    <w:rsid w:val="009502A6"/>
    <w:rsid w:val="00950432"/>
    <w:rsid w:val="009506D3"/>
    <w:rsid w:val="009506EA"/>
    <w:rsid w:val="00950712"/>
    <w:rsid w:val="0095075A"/>
    <w:rsid w:val="00950772"/>
    <w:rsid w:val="009507F6"/>
    <w:rsid w:val="0095084A"/>
    <w:rsid w:val="00950949"/>
    <w:rsid w:val="00950972"/>
    <w:rsid w:val="00950975"/>
    <w:rsid w:val="00950A79"/>
    <w:rsid w:val="00950A7E"/>
    <w:rsid w:val="00950C9A"/>
    <w:rsid w:val="00950D30"/>
    <w:rsid w:val="00950E20"/>
    <w:rsid w:val="00950F76"/>
    <w:rsid w:val="00950FAE"/>
    <w:rsid w:val="00951084"/>
    <w:rsid w:val="009511B2"/>
    <w:rsid w:val="009512D0"/>
    <w:rsid w:val="00951327"/>
    <w:rsid w:val="00951335"/>
    <w:rsid w:val="009513AB"/>
    <w:rsid w:val="00951573"/>
    <w:rsid w:val="009515ED"/>
    <w:rsid w:val="00951703"/>
    <w:rsid w:val="00951710"/>
    <w:rsid w:val="0095188D"/>
    <w:rsid w:val="00951894"/>
    <w:rsid w:val="009518CD"/>
    <w:rsid w:val="009519A6"/>
    <w:rsid w:val="009519BA"/>
    <w:rsid w:val="00951A54"/>
    <w:rsid w:val="00951A72"/>
    <w:rsid w:val="00951BDD"/>
    <w:rsid w:val="00951DA8"/>
    <w:rsid w:val="00951E11"/>
    <w:rsid w:val="00951E5C"/>
    <w:rsid w:val="00951EFE"/>
    <w:rsid w:val="00952016"/>
    <w:rsid w:val="009520C9"/>
    <w:rsid w:val="00952118"/>
    <w:rsid w:val="0095216B"/>
    <w:rsid w:val="00952200"/>
    <w:rsid w:val="00952373"/>
    <w:rsid w:val="00952385"/>
    <w:rsid w:val="0095247C"/>
    <w:rsid w:val="009524FB"/>
    <w:rsid w:val="00952910"/>
    <w:rsid w:val="009529F1"/>
    <w:rsid w:val="00952A38"/>
    <w:rsid w:val="00952A60"/>
    <w:rsid w:val="00952AAF"/>
    <w:rsid w:val="00952B33"/>
    <w:rsid w:val="00952BE3"/>
    <w:rsid w:val="00952C7D"/>
    <w:rsid w:val="00952D32"/>
    <w:rsid w:val="00952D34"/>
    <w:rsid w:val="009530B4"/>
    <w:rsid w:val="009530FD"/>
    <w:rsid w:val="009531F6"/>
    <w:rsid w:val="0095320A"/>
    <w:rsid w:val="00953236"/>
    <w:rsid w:val="0095325F"/>
    <w:rsid w:val="009532C1"/>
    <w:rsid w:val="00953422"/>
    <w:rsid w:val="0095358B"/>
    <w:rsid w:val="00953773"/>
    <w:rsid w:val="009537F3"/>
    <w:rsid w:val="009538EC"/>
    <w:rsid w:val="009539C0"/>
    <w:rsid w:val="009539EF"/>
    <w:rsid w:val="009539F6"/>
    <w:rsid w:val="00953A13"/>
    <w:rsid w:val="00953AD2"/>
    <w:rsid w:val="00953AF0"/>
    <w:rsid w:val="00953B15"/>
    <w:rsid w:val="00953C03"/>
    <w:rsid w:val="00953C70"/>
    <w:rsid w:val="00953CE1"/>
    <w:rsid w:val="00953CE2"/>
    <w:rsid w:val="00953D19"/>
    <w:rsid w:val="00953D5D"/>
    <w:rsid w:val="00953D6A"/>
    <w:rsid w:val="00953EA0"/>
    <w:rsid w:val="00953FB9"/>
    <w:rsid w:val="00953FD9"/>
    <w:rsid w:val="00954108"/>
    <w:rsid w:val="00954134"/>
    <w:rsid w:val="009541CF"/>
    <w:rsid w:val="009541DD"/>
    <w:rsid w:val="00954207"/>
    <w:rsid w:val="00954292"/>
    <w:rsid w:val="009542A8"/>
    <w:rsid w:val="00954331"/>
    <w:rsid w:val="00954341"/>
    <w:rsid w:val="00954346"/>
    <w:rsid w:val="00954361"/>
    <w:rsid w:val="009543A3"/>
    <w:rsid w:val="009543F3"/>
    <w:rsid w:val="00954491"/>
    <w:rsid w:val="009544B9"/>
    <w:rsid w:val="0095450B"/>
    <w:rsid w:val="00954565"/>
    <w:rsid w:val="00954592"/>
    <w:rsid w:val="0095463E"/>
    <w:rsid w:val="00954743"/>
    <w:rsid w:val="00954768"/>
    <w:rsid w:val="00954855"/>
    <w:rsid w:val="0095488E"/>
    <w:rsid w:val="009548A7"/>
    <w:rsid w:val="009548ED"/>
    <w:rsid w:val="009548F4"/>
    <w:rsid w:val="009549A5"/>
    <w:rsid w:val="009549FF"/>
    <w:rsid w:val="00954A4E"/>
    <w:rsid w:val="00954AB0"/>
    <w:rsid w:val="00954B15"/>
    <w:rsid w:val="00954B57"/>
    <w:rsid w:val="00954BB4"/>
    <w:rsid w:val="00954CC6"/>
    <w:rsid w:val="00954CC8"/>
    <w:rsid w:val="00954CFD"/>
    <w:rsid w:val="00954D7E"/>
    <w:rsid w:val="00954E34"/>
    <w:rsid w:val="00954F0F"/>
    <w:rsid w:val="00955046"/>
    <w:rsid w:val="00955064"/>
    <w:rsid w:val="009550CD"/>
    <w:rsid w:val="009550F9"/>
    <w:rsid w:val="00955117"/>
    <w:rsid w:val="00955147"/>
    <w:rsid w:val="009551B2"/>
    <w:rsid w:val="009551BA"/>
    <w:rsid w:val="00955338"/>
    <w:rsid w:val="00955390"/>
    <w:rsid w:val="009553B8"/>
    <w:rsid w:val="009553FA"/>
    <w:rsid w:val="0095542F"/>
    <w:rsid w:val="0095555D"/>
    <w:rsid w:val="009556AA"/>
    <w:rsid w:val="0095576E"/>
    <w:rsid w:val="00955796"/>
    <w:rsid w:val="00955822"/>
    <w:rsid w:val="00955836"/>
    <w:rsid w:val="00955931"/>
    <w:rsid w:val="009559AE"/>
    <w:rsid w:val="00955B0A"/>
    <w:rsid w:val="00955B39"/>
    <w:rsid w:val="00955B92"/>
    <w:rsid w:val="00955BCC"/>
    <w:rsid w:val="00955C33"/>
    <w:rsid w:val="00955C94"/>
    <w:rsid w:val="00955CDE"/>
    <w:rsid w:val="00955D3D"/>
    <w:rsid w:val="00955EA6"/>
    <w:rsid w:val="00955EF4"/>
    <w:rsid w:val="00955F00"/>
    <w:rsid w:val="00955F0D"/>
    <w:rsid w:val="00955F2F"/>
    <w:rsid w:val="00955F64"/>
    <w:rsid w:val="00956197"/>
    <w:rsid w:val="009561D9"/>
    <w:rsid w:val="00956233"/>
    <w:rsid w:val="0095623B"/>
    <w:rsid w:val="0095625E"/>
    <w:rsid w:val="00956324"/>
    <w:rsid w:val="009563B8"/>
    <w:rsid w:val="00956408"/>
    <w:rsid w:val="0095644C"/>
    <w:rsid w:val="009564DE"/>
    <w:rsid w:val="0095651B"/>
    <w:rsid w:val="00956522"/>
    <w:rsid w:val="00956533"/>
    <w:rsid w:val="0095665C"/>
    <w:rsid w:val="0095667D"/>
    <w:rsid w:val="0095668F"/>
    <w:rsid w:val="00956692"/>
    <w:rsid w:val="009566F9"/>
    <w:rsid w:val="00956704"/>
    <w:rsid w:val="00956711"/>
    <w:rsid w:val="0095679B"/>
    <w:rsid w:val="0095679E"/>
    <w:rsid w:val="00956869"/>
    <w:rsid w:val="009568E5"/>
    <w:rsid w:val="00956993"/>
    <w:rsid w:val="009569B3"/>
    <w:rsid w:val="00956A04"/>
    <w:rsid w:val="00956A7C"/>
    <w:rsid w:val="00956A9C"/>
    <w:rsid w:val="00956BC1"/>
    <w:rsid w:val="00956BCE"/>
    <w:rsid w:val="00956C28"/>
    <w:rsid w:val="00956CA1"/>
    <w:rsid w:val="00956CA6"/>
    <w:rsid w:val="00956CDC"/>
    <w:rsid w:val="00956E47"/>
    <w:rsid w:val="00956E53"/>
    <w:rsid w:val="00956E72"/>
    <w:rsid w:val="00956E79"/>
    <w:rsid w:val="00956EB7"/>
    <w:rsid w:val="00956F18"/>
    <w:rsid w:val="00957016"/>
    <w:rsid w:val="00957023"/>
    <w:rsid w:val="009570A7"/>
    <w:rsid w:val="00957211"/>
    <w:rsid w:val="009574BB"/>
    <w:rsid w:val="00957518"/>
    <w:rsid w:val="0095756C"/>
    <w:rsid w:val="009576AD"/>
    <w:rsid w:val="009576E8"/>
    <w:rsid w:val="00957739"/>
    <w:rsid w:val="00957764"/>
    <w:rsid w:val="00957862"/>
    <w:rsid w:val="0095788B"/>
    <w:rsid w:val="00957992"/>
    <w:rsid w:val="00957A5C"/>
    <w:rsid w:val="00957AD9"/>
    <w:rsid w:val="00957AF3"/>
    <w:rsid w:val="00957C5D"/>
    <w:rsid w:val="00957C8A"/>
    <w:rsid w:val="00957CB5"/>
    <w:rsid w:val="00957CFF"/>
    <w:rsid w:val="00957DCE"/>
    <w:rsid w:val="00957E18"/>
    <w:rsid w:val="00957EAC"/>
    <w:rsid w:val="00957F54"/>
    <w:rsid w:val="00957F6A"/>
    <w:rsid w:val="00957F78"/>
    <w:rsid w:val="00960129"/>
    <w:rsid w:val="00960206"/>
    <w:rsid w:val="009602B8"/>
    <w:rsid w:val="00960310"/>
    <w:rsid w:val="00960416"/>
    <w:rsid w:val="00960531"/>
    <w:rsid w:val="00960567"/>
    <w:rsid w:val="0096058A"/>
    <w:rsid w:val="0096064F"/>
    <w:rsid w:val="0096066E"/>
    <w:rsid w:val="009606E4"/>
    <w:rsid w:val="0096073E"/>
    <w:rsid w:val="00960822"/>
    <w:rsid w:val="00960894"/>
    <w:rsid w:val="00960A65"/>
    <w:rsid w:val="00960A6D"/>
    <w:rsid w:val="00960A92"/>
    <w:rsid w:val="00960B61"/>
    <w:rsid w:val="00960B72"/>
    <w:rsid w:val="00960BDD"/>
    <w:rsid w:val="00960C4B"/>
    <w:rsid w:val="00960D0B"/>
    <w:rsid w:val="00960D0C"/>
    <w:rsid w:val="00960D23"/>
    <w:rsid w:val="00960ED6"/>
    <w:rsid w:val="00960F98"/>
    <w:rsid w:val="00961001"/>
    <w:rsid w:val="0096105F"/>
    <w:rsid w:val="009610F6"/>
    <w:rsid w:val="009612DD"/>
    <w:rsid w:val="0096137D"/>
    <w:rsid w:val="009614B6"/>
    <w:rsid w:val="00961504"/>
    <w:rsid w:val="0096163B"/>
    <w:rsid w:val="009617FD"/>
    <w:rsid w:val="00961817"/>
    <w:rsid w:val="009618F0"/>
    <w:rsid w:val="009618F2"/>
    <w:rsid w:val="00961AB7"/>
    <w:rsid w:val="00961C50"/>
    <w:rsid w:val="00961C6E"/>
    <w:rsid w:val="00961CB2"/>
    <w:rsid w:val="00961DB1"/>
    <w:rsid w:val="00961E17"/>
    <w:rsid w:val="00961F1A"/>
    <w:rsid w:val="00961F6C"/>
    <w:rsid w:val="00961FA1"/>
    <w:rsid w:val="00962039"/>
    <w:rsid w:val="0096203E"/>
    <w:rsid w:val="00962044"/>
    <w:rsid w:val="009620AB"/>
    <w:rsid w:val="00962102"/>
    <w:rsid w:val="0096225E"/>
    <w:rsid w:val="0096231E"/>
    <w:rsid w:val="009623A1"/>
    <w:rsid w:val="00962468"/>
    <w:rsid w:val="00962519"/>
    <w:rsid w:val="009625D3"/>
    <w:rsid w:val="009625FA"/>
    <w:rsid w:val="009625FF"/>
    <w:rsid w:val="00962618"/>
    <w:rsid w:val="00962644"/>
    <w:rsid w:val="009626C4"/>
    <w:rsid w:val="009626DB"/>
    <w:rsid w:val="009627EA"/>
    <w:rsid w:val="0096292C"/>
    <w:rsid w:val="00962A18"/>
    <w:rsid w:val="00962A56"/>
    <w:rsid w:val="00962BF0"/>
    <w:rsid w:val="00962C20"/>
    <w:rsid w:val="00962C2F"/>
    <w:rsid w:val="00962CD3"/>
    <w:rsid w:val="00962CDB"/>
    <w:rsid w:val="00962D28"/>
    <w:rsid w:val="00962DC4"/>
    <w:rsid w:val="00962E5E"/>
    <w:rsid w:val="00962E73"/>
    <w:rsid w:val="00962ECF"/>
    <w:rsid w:val="00962EDD"/>
    <w:rsid w:val="00962EE5"/>
    <w:rsid w:val="00962F0C"/>
    <w:rsid w:val="00962FBF"/>
    <w:rsid w:val="009630A5"/>
    <w:rsid w:val="0096315A"/>
    <w:rsid w:val="00963173"/>
    <w:rsid w:val="009631FC"/>
    <w:rsid w:val="00963242"/>
    <w:rsid w:val="009632BC"/>
    <w:rsid w:val="009632E0"/>
    <w:rsid w:val="00963303"/>
    <w:rsid w:val="00963319"/>
    <w:rsid w:val="0096335A"/>
    <w:rsid w:val="00963370"/>
    <w:rsid w:val="0096340C"/>
    <w:rsid w:val="009634BB"/>
    <w:rsid w:val="00963551"/>
    <w:rsid w:val="0096357D"/>
    <w:rsid w:val="009635F2"/>
    <w:rsid w:val="00963641"/>
    <w:rsid w:val="009636EC"/>
    <w:rsid w:val="0096371F"/>
    <w:rsid w:val="009637A2"/>
    <w:rsid w:val="009637E9"/>
    <w:rsid w:val="0096381B"/>
    <w:rsid w:val="0096382D"/>
    <w:rsid w:val="0096383E"/>
    <w:rsid w:val="0096384F"/>
    <w:rsid w:val="009638AF"/>
    <w:rsid w:val="00963984"/>
    <w:rsid w:val="009639A9"/>
    <w:rsid w:val="00963A9A"/>
    <w:rsid w:val="00963BE8"/>
    <w:rsid w:val="00963C00"/>
    <w:rsid w:val="00963DA0"/>
    <w:rsid w:val="00963DBE"/>
    <w:rsid w:val="00963E1F"/>
    <w:rsid w:val="00963E3A"/>
    <w:rsid w:val="00963F25"/>
    <w:rsid w:val="00963FC2"/>
    <w:rsid w:val="00964000"/>
    <w:rsid w:val="00964008"/>
    <w:rsid w:val="009640AE"/>
    <w:rsid w:val="00964149"/>
    <w:rsid w:val="0096418C"/>
    <w:rsid w:val="009641AD"/>
    <w:rsid w:val="00964273"/>
    <w:rsid w:val="009642A5"/>
    <w:rsid w:val="00964340"/>
    <w:rsid w:val="009643F3"/>
    <w:rsid w:val="00964464"/>
    <w:rsid w:val="0096463C"/>
    <w:rsid w:val="0096464F"/>
    <w:rsid w:val="009646E1"/>
    <w:rsid w:val="0096471F"/>
    <w:rsid w:val="00964777"/>
    <w:rsid w:val="0096489D"/>
    <w:rsid w:val="00964A18"/>
    <w:rsid w:val="00964AA7"/>
    <w:rsid w:val="00964ACC"/>
    <w:rsid w:val="00964AD5"/>
    <w:rsid w:val="00964AED"/>
    <w:rsid w:val="00964B56"/>
    <w:rsid w:val="00964C06"/>
    <w:rsid w:val="00964C6E"/>
    <w:rsid w:val="00964C86"/>
    <w:rsid w:val="00964C92"/>
    <w:rsid w:val="00964CFB"/>
    <w:rsid w:val="00964D51"/>
    <w:rsid w:val="00964D5B"/>
    <w:rsid w:val="00964DBA"/>
    <w:rsid w:val="00964DD3"/>
    <w:rsid w:val="00964E6D"/>
    <w:rsid w:val="00964F05"/>
    <w:rsid w:val="00964F96"/>
    <w:rsid w:val="00964F99"/>
    <w:rsid w:val="00964FA4"/>
    <w:rsid w:val="009651F5"/>
    <w:rsid w:val="0096522C"/>
    <w:rsid w:val="009652CC"/>
    <w:rsid w:val="00965314"/>
    <w:rsid w:val="00965378"/>
    <w:rsid w:val="00965415"/>
    <w:rsid w:val="009654BD"/>
    <w:rsid w:val="009655A8"/>
    <w:rsid w:val="009656B6"/>
    <w:rsid w:val="009656C2"/>
    <w:rsid w:val="009656D4"/>
    <w:rsid w:val="00965765"/>
    <w:rsid w:val="009657E5"/>
    <w:rsid w:val="0096581C"/>
    <w:rsid w:val="00965932"/>
    <w:rsid w:val="00965A60"/>
    <w:rsid w:val="00965AB3"/>
    <w:rsid w:val="00965B87"/>
    <w:rsid w:val="00965BD5"/>
    <w:rsid w:val="00965DF8"/>
    <w:rsid w:val="00965EED"/>
    <w:rsid w:val="00965F4A"/>
    <w:rsid w:val="00965FA2"/>
    <w:rsid w:val="0096602F"/>
    <w:rsid w:val="00966039"/>
    <w:rsid w:val="009661B9"/>
    <w:rsid w:val="009661F6"/>
    <w:rsid w:val="00966217"/>
    <w:rsid w:val="0096630C"/>
    <w:rsid w:val="009663A3"/>
    <w:rsid w:val="0096652F"/>
    <w:rsid w:val="009665D3"/>
    <w:rsid w:val="00966652"/>
    <w:rsid w:val="0096679E"/>
    <w:rsid w:val="009667A4"/>
    <w:rsid w:val="00966872"/>
    <w:rsid w:val="0096689D"/>
    <w:rsid w:val="00966A69"/>
    <w:rsid w:val="00966AFE"/>
    <w:rsid w:val="00966B96"/>
    <w:rsid w:val="00966BD6"/>
    <w:rsid w:val="00966BEF"/>
    <w:rsid w:val="00966C44"/>
    <w:rsid w:val="00966D81"/>
    <w:rsid w:val="00966DAF"/>
    <w:rsid w:val="00966E0E"/>
    <w:rsid w:val="00966F06"/>
    <w:rsid w:val="00966FE2"/>
    <w:rsid w:val="00967043"/>
    <w:rsid w:val="0096710B"/>
    <w:rsid w:val="0096717C"/>
    <w:rsid w:val="009672A1"/>
    <w:rsid w:val="009672AA"/>
    <w:rsid w:val="00967408"/>
    <w:rsid w:val="00967431"/>
    <w:rsid w:val="00967444"/>
    <w:rsid w:val="0096746D"/>
    <w:rsid w:val="0096749C"/>
    <w:rsid w:val="00967507"/>
    <w:rsid w:val="00967585"/>
    <w:rsid w:val="0096758D"/>
    <w:rsid w:val="009675A8"/>
    <w:rsid w:val="009675CD"/>
    <w:rsid w:val="009675FE"/>
    <w:rsid w:val="00967618"/>
    <w:rsid w:val="009676A4"/>
    <w:rsid w:val="00967755"/>
    <w:rsid w:val="00967759"/>
    <w:rsid w:val="009677E4"/>
    <w:rsid w:val="0096781F"/>
    <w:rsid w:val="0096783E"/>
    <w:rsid w:val="00967921"/>
    <w:rsid w:val="00967968"/>
    <w:rsid w:val="009679BA"/>
    <w:rsid w:val="00967A4F"/>
    <w:rsid w:val="00967A5F"/>
    <w:rsid w:val="00967B12"/>
    <w:rsid w:val="00967B2F"/>
    <w:rsid w:val="00967B59"/>
    <w:rsid w:val="00967CE2"/>
    <w:rsid w:val="00967D15"/>
    <w:rsid w:val="00967D1F"/>
    <w:rsid w:val="00967DD2"/>
    <w:rsid w:val="00967E57"/>
    <w:rsid w:val="00967F05"/>
    <w:rsid w:val="00967FF5"/>
    <w:rsid w:val="0097018D"/>
    <w:rsid w:val="009701C8"/>
    <w:rsid w:val="009701CB"/>
    <w:rsid w:val="00970202"/>
    <w:rsid w:val="0097021E"/>
    <w:rsid w:val="009702E0"/>
    <w:rsid w:val="00970315"/>
    <w:rsid w:val="0097040B"/>
    <w:rsid w:val="00970581"/>
    <w:rsid w:val="00970649"/>
    <w:rsid w:val="009706E1"/>
    <w:rsid w:val="00970728"/>
    <w:rsid w:val="009707A9"/>
    <w:rsid w:val="009707FF"/>
    <w:rsid w:val="00970858"/>
    <w:rsid w:val="009708BC"/>
    <w:rsid w:val="009709F5"/>
    <w:rsid w:val="00970AA6"/>
    <w:rsid w:val="00970B2B"/>
    <w:rsid w:val="00970B35"/>
    <w:rsid w:val="00970B55"/>
    <w:rsid w:val="00970B9F"/>
    <w:rsid w:val="00970E14"/>
    <w:rsid w:val="00970E86"/>
    <w:rsid w:val="00970EB3"/>
    <w:rsid w:val="00970EB7"/>
    <w:rsid w:val="00970FF5"/>
    <w:rsid w:val="00970FF9"/>
    <w:rsid w:val="00971065"/>
    <w:rsid w:val="0097110D"/>
    <w:rsid w:val="00971186"/>
    <w:rsid w:val="0097119D"/>
    <w:rsid w:val="00971206"/>
    <w:rsid w:val="00971250"/>
    <w:rsid w:val="00971391"/>
    <w:rsid w:val="009714C6"/>
    <w:rsid w:val="009714E3"/>
    <w:rsid w:val="00971911"/>
    <w:rsid w:val="00971A8A"/>
    <w:rsid w:val="00971CAE"/>
    <w:rsid w:val="00971DDA"/>
    <w:rsid w:val="00971EA8"/>
    <w:rsid w:val="00972045"/>
    <w:rsid w:val="00972058"/>
    <w:rsid w:val="0097208E"/>
    <w:rsid w:val="00972092"/>
    <w:rsid w:val="009721EA"/>
    <w:rsid w:val="009722F9"/>
    <w:rsid w:val="0097232C"/>
    <w:rsid w:val="0097237D"/>
    <w:rsid w:val="0097239F"/>
    <w:rsid w:val="0097242A"/>
    <w:rsid w:val="00972514"/>
    <w:rsid w:val="00972690"/>
    <w:rsid w:val="00972830"/>
    <w:rsid w:val="009728D3"/>
    <w:rsid w:val="009729C2"/>
    <w:rsid w:val="009729C7"/>
    <w:rsid w:val="00972A05"/>
    <w:rsid w:val="00972A0E"/>
    <w:rsid w:val="00972A6D"/>
    <w:rsid w:val="00972A83"/>
    <w:rsid w:val="00972ADA"/>
    <w:rsid w:val="00972C05"/>
    <w:rsid w:val="00972C2A"/>
    <w:rsid w:val="00972C97"/>
    <w:rsid w:val="00972CDB"/>
    <w:rsid w:val="00972D1E"/>
    <w:rsid w:val="00972D79"/>
    <w:rsid w:val="00973028"/>
    <w:rsid w:val="009730D5"/>
    <w:rsid w:val="00973177"/>
    <w:rsid w:val="009731B5"/>
    <w:rsid w:val="009731C7"/>
    <w:rsid w:val="00973246"/>
    <w:rsid w:val="009732A5"/>
    <w:rsid w:val="009733EA"/>
    <w:rsid w:val="00973403"/>
    <w:rsid w:val="00973488"/>
    <w:rsid w:val="0097351E"/>
    <w:rsid w:val="00973639"/>
    <w:rsid w:val="009736B6"/>
    <w:rsid w:val="00973787"/>
    <w:rsid w:val="0097380D"/>
    <w:rsid w:val="00973816"/>
    <w:rsid w:val="00973817"/>
    <w:rsid w:val="00973869"/>
    <w:rsid w:val="009738E2"/>
    <w:rsid w:val="00973A29"/>
    <w:rsid w:val="00973A85"/>
    <w:rsid w:val="00973AA6"/>
    <w:rsid w:val="00973E20"/>
    <w:rsid w:val="00973EBE"/>
    <w:rsid w:val="0097401E"/>
    <w:rsid w:val="00974152"/>
    <w:rsid w:val="009741B4"/>
    <w:rsid w:val="009741CD"/>
    <w:rsid w:val="009741F8"/>
    <w:rsid w:val="0097426C"/>
    <w:rsid w:val="009742AA"/>
    <w:rsid w:val="009742F3"/>
    <w:rsid w:val="009743A1"/>
    <w:rsid w:val="009743BD"/>
    <w:rsid w:val="0097440A"/>
    <w:rsid w:val="009744D0"/>
    <w:rsid w:val="00974544"/>
    <w:rsid w:val="009745D6"/>
    <w:rsid w:val="009745E2"/>
    <w:rsid w:val="009745ED"/>
    <w:rsid w:val="00974749"/>
    <w:rsid w:val="00974766"/>
    <w:rsid w:val="0097477F"/>
    <w:rsid w:val="0097482C"/>
    <w:rsid w:val="0097488B"/>
    <w:rsid w:val="00974913"/>
    <w:rsid w:val="00974925"/>
    <w:rsid w:val="00974969"/>
    <w:rsid w:val="0097499C"/>
    <w:rsid w:val="00974A08"/>
    <w:rsid w:val="00974AFB"/>
    <w:rsid w:val="00974B04"/>
    <w:rsid w:val="00974BB2"/>
    <w:rsid w:val="00974C24"/>
    <w:rsid w:val="00974C2D"/>
    <w:rsid w:val="00974C3F"/>
    <w:rsid w:val="00974D47"/>
    <w:rsid w:val="00974D58"/>
    <w:rsid w:val="00974D65"/>
    <w:rsid w:val="00974D8E"/>
    <w:rsid w:val="00974E21"/>
    <w:rsid w:val="00974E6E"/>
    <w:rsid w:val="00974E93"/>
    <w:rsid w:val="00974EA6"/>
    <w:rsid w:val="00974FDB"/>
    <w:rsid w:val="00974FFB"/>
    <w:rsid w:val="0097509B"/>
    <w:rsid w:val="009751AD"/>
    <w:rsid w:val="009751C5"/>
    <w:rsid w:val="009751FD"/>
    <w:rsid w:val="0097526E"/>
    <w:rsid w:val="0097527A"/>
    <w:rsid w:val="009752B8"/>
    <w:rsid w:val="009752DE"/>
    <w:rsid w:val="00975496"/>
    <w:rsid w:val="00975515"/>
    <w:rsid w:val="00975657"/>
    <w:rsid w:val="00975699"/>
    <w:rsid w:val="00975766"/>
    <w:rsid w:val="009757EB"/>
    <w:rsid w:val="009757F7"/>
    <w:rsid w:val="0097595E"/>
    <w:rsid w:val="009759D4"/>
    <w:rsid w:val="00975A16"/>
    <w:rsid w:val="00975B31"/>
    <w:rsid w:val="00975B94"/>
    <w:rsid w:val="00975B9E"/>
    <w:rsid w:val="00975BD9"/>
    <w:rsid w:val="00975C5D"/>
    <w:rsid w:val="00975CA9"/>
    <w:rsid w:val="00975CB8"/>
    <w:rsid w:val="00975CDC"/>
    <w:rsid w:val="00975D1A"/>
    <w:rsid w:val="00975D2E"/>
    <w:rsid w:val="00975D52"/>
    <w:rsid w:val="00975E00"/>
    <w:rsid w:val="00975E71"/>
    <w:rsid w:val="00975E8A"/>
    <w:rsid w:val="00975EAC"/>
    <w:rsid w:val="00975EED"/>
    <w:rsid w:val="00975F2B"/>
    <w:rsid w:val="00975F3E"/>
    <w:rsid w:val="00975F8C"/>
    <w:rsid w:val="00976056"/>
    <w:rsid w:val="009760BC"/>
    <w:rsid w:val="009760D3"/>
    <w:rsid w:val="00976139"/>
    <w:rsid w:val="009761A5"/>
    <w:rsid w:val="00976281"/>
    <w:rsid w:val="00976337"/>
    <w:rsid w:val="0097637D"/>
    <w:rsid w:val="009763E2"/>
    <w:rsid w:val="009764C3"/>
    <w:rsid w:val="009764D2"/>
    <w:rsid w:val="009764F7"/>
    <w:rsid w:val="0097661D"/>
    <w:rsid w:val="0097665E"/>
    <w:rsid w:val="009766CA"/>
    <w:rsid w:val="0097671B"/>
    <w:rsid w:val="009767F3"/>
    <w:rsid w:val="00976876"/>
    <w:rsid w:val="009768C5"/>
    <w:rsid w:val="009768CD"/>
    <w:rsid w:val="009768FF"/>
    <w:rsid w:val="00976974"/>
    <w:rsid w:val="00976BDF"/>
    <w:rsid w:val="00976BE5"/>
    <w:rsid w:val="00976C89"/>
    <w:rsid w:val="00976D0A"/>
    <w:rsid w:val="00976D36"/>
    <w:rsid w:val="00976DA4"/>
    <w:rsid w:val="00976E97"/>
    <w:rsid w:val="00977003"/>
    <w:rsid w:val="00977044"/>
    <w:rsid w:val="00977096"/>
    <w:rsid w:val="009770A7"/>
    <w:rsid w:val="00977131"/>
    <w:rsid w:val="00977155"/>
    <w:rsid w:val="00977193"/>
    <w:rsid w:val="00977298"/>
    <w:rsid w:val="00977378"/>
    <w:rsid w:val="009773CB"/>
    <w:rsid w:val="009773F2"/>
    <w:rsid w:val="0097740F"/>
    <w:rsid w:val="0097746F"/>
    <w:rsid w:val="009774B1"/>
    <w:rsid w:val="00977532"/>
    <w:rsid w:val="00977570"/>
    <w:rsid w:val="009776D6"/>
    <w:rsid w:val="00977790"/>
    <w:rsid w:val="00977794"/>
    <w:rsid w:val="009777A7"/>
    <w:rsid w:val="009777C5"/>
    <w:rsid w:val="0097782E"/>
    <w:rsid w:val="00977836"/>
    <w:rsid w:val="0097784D"/>
    <w:rsid w:val="00977856"/>
    <w:rsid w:val="0097785B"/>
    <w:rsid w:val="00977902"/>
    <w:rsid w:val="00977A99"/>
    <w:rsid w:val="00977C02"/>
    <w:rsid w:val="00977C0B"/>
    <w:rsid w:val="00977CAD"/>
    <w:rsid w:val="00977E44"/>
    <w:rsid w:val="00977EAC"/>
    <w:rsid w:val="00977F01"/>
    <w:rsid w:val="00977F35"/>
    <w:rsid w:val="00977F7A"/>
    <w:rsid w:val="009801CC"/>
    <w:rsid w:val="009802E1"/>
    <w:rsid w:val="00980410"/>
    <w:rsid w:val="009804A9"/>
    <w:rsid w:val="009804BE"/>
    <w:rsid w:val="009804F5"/>
    <w:rsid w:val="0098055D"/>
    <w:rsid w:val="0098075C"/>
    <w:rsid w:val="00980761"/>
    <w:rsid w:val="00980828"/>
    <w:rsid w:val="009808A4"/>
    <w:rsid w:val="0098097E"/>
    <w:rsid w:val="00980BAB"/>
    <w:rsid w:val="00980C85"/>
    <w:rsid w:val="00980CCE"/>
    <w:rsid w:val="00980D4B"/>
    <w:rsid w:val="00980D52"/>
    <w:rsid w:val="00980D7D"/>
    <w:rsid w:val="00980DF8"/>
    <w:rsid w:val="00980E4E"/>
    <w:rsid w:val="00980EFE"/>
    <w:rsid w:val="00980FEC"/>
    <w:rsid w:val="0098101D"/>
    <w:rsid w:val="00981081"/>
    <w:rsid w:val="00981149"/>
    <w:rsid w:val="0098126F"/>
    <w:rsid w:val="009812C3"/>
    <w:rsid w:val="00981447"/>
    <w:rsid w:val="009815BE"/>
    <w:rsid w:val="009815CC"/>
    <w:rsid w:val="009816BD"/>
    <w:rsid w:val="009816CD"/>
    <w:rsid w:val="009816DA"/>
    <w:rsid w:val="00981785"/>
    <w:rsid w:val="009817CF"/>
    <w:rsid w:val="00981837"/>
    <w:rsid w:val="00981943"/>
    <w:rsid w:val="00981957"/>
    <w:rsid w:val="00981A0F"/>
    <w:rsid w:val="00981A30"/>
    <w:rsid w:val="00981BBF"/>
    <w:rsid w:val="00981C2C"/>
    <w:rsid w:val="00981C7E"/>
    <w:rsid w:val="00981CB3"/>
    <w:rsid w:val="00981DA4"/>
    <w:rsid w:val="00981F09"/>
    <w:rsid w:val="00981F7A"/>
    <w:rsid w:val="00981F9D"/>
    <w:rsid w:val="00981FA8"/>
    <w:rsid w:val="0098205B"/>
    <w:rsid w:val="009821CE"/>
    <w:rsid w:val="009821EA"/>
    <w:rsid w:val="009821F7"/>
    <w:rsid w:val="009822E9"/>
    <w:rsid w:val="009822FE"/>
    <w:rsid w:val="00982381"/>
    <w:rsid w:val="00982382"/>
    <w:rsid w:val="00982414"/>
    <w:rsid w:val="00982486"/>
    <w:rsid w:val="009824FC"/>
    <w:rsid w:val="0098256E"/>
    <w:rsid w:val="00982591"/>
    <w:rsid w:val="00982599"/>
    <w:rsid w:val="00982620"/>
    <w:rsid w:val="00982738"/>
    <w:rsid w:val="009827F3"/>
    <w:rsid w:val="0098283D"/>
    <w:rsid w:val="009828B5"/>
    <w:rsid w:val="009828FD"/>
    <w:rsid w:val="009829C4"/>
    <w:rsid w:val="00982B3C"/>
    <w:rsid w:val="00982B48"/>
    <w:rsid w:val="00982BEC"/>
    <w:rsid w:val="00982C36"/>
    <w:rsid w:val="00982C75"/>
    <w:rsid w:val="00982CD3"/>
    <w:rsid w:val="00982D5A"/>
    <w:rsid w:val="00982E91"/>
    <w:rsid w:val="00982EDD"/>
    <w:rsid w:val="00982F4B"/>
    <w:rsid w:val="00982F5F"/>
    <w:rsid w:val="00982F8E"/>
    <w:rsid w:val="00982F91"/>
    <w:rsid w:val="00982F9B"/>
    <w:rsid w:val="00983146"/>
    <w:rsid w:val="009831EC"/>
    <w:rsid w:val="00983270"/>
    <w:rsid w:val="00983289"/>
    <w:rsid w:val="0098328C"/>
    <w:rsid w:val="0098332B"/>
    <w:rsid w:val="00983445"/>
    <w:rsid w:val="009834C6"/>
    <w:rsid w:val="009834C8"/>
    <w:rsid w:val="00983548"/>
    <w:rsid w:val="00983569"/>
    <w:rsid w:val="0098363E"/>
    <w:rsid w:val="009836B0"/>
    <w:rsid w:val="0098398A"/>
    <w:rsid w:val="009839F1"/>
    <w:rsid w:val="00983A17"/>
    <w:rsid w:val="00983B4D"/>
    <w:rsid w:val="00983CE9"/>
    <w:rsid w:val="00983E04"/>
    <w:rsid w:val="00983E0F"/>
    <w:rsid w:val="00983F32"/>
    <w:rsid w:val="00983F40"/>
    <w:rsid w:val="00983F76"/>
    <w:rsid w:val="00983F9C"/>
    <w:rsid w:val="00983FD5"/>
    <w:rsid w:val="00983FE3"/>
    <w:rsid w:val="0098400E"/>
    <w:rsid w:val="00984066"/>
    <w:rsid w:val="0098426B"/>
    <w:rsid w:val="009843BE"/>
    <w:rsid w:val="009843C9"/>
    <w:rsid w:val="00984465"/>
    <w:rsid w:val="0098451F"/>
    <w:rsid w:val="0098458B"/>
    <w:rsid w:val="009845A7"/>
    <w:rsid w:val="009845B0"/>
    <w:rsid w:val="009845FD"/>
    <w:rsid w:val="0098460B"/>
    <w:rsid w:val="009848DF"/>
    <w:rsid w:val="00984902"/>
    <w:rsid w:val="0098498E"/>
    <w:rsid w:val="00984993"/>
    <w:rsid w:val="009849F2"/>
    <w:rsid w:val="009849F6"/>
    <w:rsid w:val="00984AC9"/>
    <w:rsid w:val="00984AE8"/>
    <w:rsid w:val="00984B49"/>
    <w:rsid w:val="00984C97"/>
    <w:rsid w:val="00984CB7"/>
    <w:rsid w:val="00984E17"/>
    <w:rsid w:val="00984E53"/>
    <w:rsid w:val="00984E95"/>
    <w:rsid w:val="00984EB6"/>
    <w:rsid w:val="0098503B"/>
    <w:rsid w:val="009850A9"/>
    <w:rsid w:val="009850AD"/>
    <w:rsid w:val="0098518D"/>
    <w:rsid w:val="009851A6"/>
    <w:rsid w:val="00985252"/>
    <w:rsid w:val="009852D5"/>
    <w:rsid w:val="009852EF"/>
    <w:rsid w:val="009852F9"/>
    <w:rsid w:val="009853C8"/>
    <w:rsid w:val="009855D2"/>
    <w:rsid w:val="0098561E"/>
    <w:rsid w:val="009856C7"/>
    <w:rsid w:val="0098570F"/>
    <w:rsid w:val="00985777"/>
    <w:rsid w:val="009857AC"/>
    <w:rsid w:val="009857BD"/>
    <w:rsid w:val="009857CC"/>
    <w:rsid w:val="00985826"/>
    <w:rsid w:val="00985850"/>
    <w:rsid w:val="00985895"/>
    <w:rsid w:val="009858CD"/>
    <w:rsid w:val="00985928"/>
    <w:rsid w:val="00985951"/>
    <w:rsid w:val="009859AF"/>
    <w:rsid w:val="009859BE"/>
    <w:rsid w:val="00985A28"/>
    <w:rsid w:val="00985AB2"/>
    <w:rsid w:val="00985B57"/>
    <w:rsid w:val="00985C28"/>
    <w:rsid w:val="00985C4C"/>
    <w:rsid w:val="00985D87"/>
    <w:rsid w:val="00985E15"/>
    <w:rsid w:val="00985F55"/>
    <w:rsid w:val="00985FE5"/>
    <w:rsid w:val="00986038"/>
    <w:rsid w:val="009860D8"/>
    <w:rsid w:val="00986118"/>
    <w:rsid w:val="00986160"/>
    <w:rsid w:val="00986169"/>
    <w:rsid w:val="0098631B"/>
    <w:rsid w:val="00986483"/>
    <w:rsid w:val="00986590"/>
    <w:rsid w:val="00986672"/>
    <w:rsid w:val="00986732"/>
    <w:rsid w:val="00986745"/>
    <w:rsid w:val="0098677F"/>
    <w:rsid w:val="009867A0"/>
    <w:rsid w:val="009867C6"/>
    <w:rsid w:val="009867E4"/>
    <w:rsid w:val="00986822"/>
    <w:rsid w:val="0098686E"/>
    <w:rsid w:val="00986878"/>
    <w:rsid w:val="009868CC"/>
    <w:rsid w:val="00986972"/>
    <w:rsid w:val="009869E8"/>
    <w:rsid w:val="00986AFB"/>
    <w:rsid w:val="00986B45"/>
    <w:rsid w:val="00986BAD"/>
    <w:rsid w:val="00986CC1"/>
    <w:rsid w:val="00986CFE"/>
    <w:rsid w:val="00986D10"/>
    <w:rsid w:val="00986DD0"/>
    <w:rsid w:val="00986E80"/>
    <w:rsid w:val="00986EDC"/>
    <w:rsid w:val="00986EE2"/>
    <w:rsid w:val="00986F17"/>
    <w:rsid w:val="00986FDA"/>
    <w:rsid w:val="00986FE1"/>
    <w:rsid w:val="00987087"/>
    <w:rsid w:val="00987229"/>
    <w:rsid w:val="009873E7"/>
    <w:rsid w:val="00987440"/>
    <w:rsid w:val="0098748A"/>
    <w:rsid w:val="009874AD"/>
    <w:rsid w:val="00987518"/>
    <w:rsid w:val="0098765D"/>
    <w:rsid w:val="0098776C"/>
    <w:rsid w:val="0098777D"/>
    <w:rsid w:val="009877F0"/>
    <w:rsid w:val="0098794C"/>
    <w:rsid w:val="00987955"/>
    <w:rsid w:val="0098799F"/>
    <w:rsid w:val="009879ED"/>
    <w:rsid w:val="00987A6B"/>
    <w:rsid w:val="00987A8A"/>
    <w:rsid w:val="00987AC1"/>
    <w:rsid w:val="00987AC9"/>
    <w:rsid w:val="00987B06"/>
    <w:rsid w:val="00987BD7"/>
    <w:rsid w:val="00987D0A"/>
    <w:rsid w:val="00987D88"/>
    <w:rsid w:val="00987E97"/>
    <w:rsid w:val="00987F5D"/>
    <w:rsid w:val="00987FD8"/>
    <w:rsid w:val="0099002B"/>
    <w:rsid w:val="00990080"/>
    <w:rsid w:val="009900D9"/>
    <w:rsid w:val="00990106"/>
    <w:rsid w:val="009901E6"/>
    <w:rsid w:val="009903B0"/>
    <w:rsid w:val="009903E3"/>
    <w:rsid w:val="009904C7"/>
    <w:rsid w:val="009904FE"/>
    <w:rsid w:val="009905C2"/>
    <w:rsid w:val="00990687"/>
    <w:rsid w:val="009906A2"/>
    <w:rsid w:val="0099072C"/>
    <w:rsid w:val="0099073C"/>
    <w:rsid w:val="00990768"/>
    <w:rsid w:val="0099078D"/>
    <w:rsid w:val="009907BC"/>
    <w:rsid w:val="00990839"/>
    <w:rsid w:val="00990889"/>
    <w:rsid w:val="00990925"/>
    <w:rsid w:val="009909EB"/>
    <w:rsid w:val="00990AD1"/>
    <w:rsid w:val="00990AE6"/>
    <w:rsid w:val="00990B13"/>
    <w:rsid w:val="00990C0E"/>
    <w:rsid w:val="00990C74"/>
    <w:rsid w:val="00990CA9"/>
    <w:rsid w:val="00990CF2"/>
    <w:rsid w:val="00990D0D"/>
    <w:rsid w:val="00990D3C"/>
    <w:rsid w:val="00990DAE"/>
    <w:rsid w:val="00990E01"/>
    <w:rsid w:val="00990EC2"/>
    <w:rsid w:val="00990F1D"/>
    <w:rsid w:val="00990F84"/>
    <w:rsid w:val="0099102F"/>
    <w:rsid w:val="00991034"/>
    <w:rsid w:val="00991039"/>
    <w:rsid w:val="00991066"/>
    <w:rsid w:val="00991082"/>
    <w:rsid w:val="0099124F"/>
    <w:rsid w:val="00991361"/>
    <w:rsid w:val="00991441"/>
    <w:rsid w:val="00991501"/>
    <w:rsid w:val="00991550"/>
    <w:rsid w:val="0099158B"/>
    <w:rsid w:val="00991648"/>
    <w:rsid w:val="009916A5"/>
    <w:rsid w:val="009916DD"/>
    <w:rsid w:val="009916DE"/>
    <w:rsid w:val="00991742"/>
    <w:rsid w:val="009917D6"/>
    <w:rsid w:val="009917E6"/>
    <w:rsid w:val="0099181E"/>
    <w:rsid w:val="009919A9"/>
    <w:rsid w:val="009919BB"/>
    <w:rsid w:val="00991A0F"/>
    <w:rsid w:val="00991AC9"/>
    <w:rsid w:val="00991B99"/>
    <w:rsid w:val="00991BA9"/>
    <w:rsid w:val="00991BCD"/>
    <w:rsid w:val="00991BF1"/>
    <w:rsid w:val="00991CD6"/>
    <w:rsid w:val="00991D30"/>
    <w:rsid w:val="00991DF6"/>
    <w:rsid w:val="00991EA3"/>
    <w:rsid w:val="00991FFC"/>
    <w:rsid w:val="00992072"/>
    <w:rsid w:val="0099211D"/>
    <w:rsid w:val="00992192"/>
    <w:rsid w:val="009921C4"/>
    <w:rsid w:val="00992256"/>
    <w:rsid w:val="009922DA"/>
    <w:rsid w:val="00992552"/>
    <w:rsid w:val="009926A6"/>
    <w:rsid w:val="0099279E"/>
    <w:rsid w:val="009927D0"/>
    <w:rsid w:val="0099282D"/>
    <w:rsid w:val="00992833"/>
    <w:rsid w:val="0099292B"/>
    <w:rsid w:val="00992A06"/>
    <w:rsid w:val="00992A60"/>
    <w:rsid w:val="00992B0F"/>
    <w:rsid w:val="00992B19"/>
    <w:rsid w:val="00992B2F"/>
    <w:rsid w:val="00992B91"/>
    <w:rsid w:val="00992BEB"/>
    <w:rsid w:val="00992DF2"/>
    <w:rsid w:val="00992E44"/>
    <w:rsid w:val="00992E77"/>
    <w:rsid w:val="00992EC5"/>
    <w:rsid w:val="00992EE6"/>
    <w:rsid w:val="00992F03"/>
    <w:rsid w:val="00992F1E"/>
    <w:rsid w:val="00992F8F"/>
    <w:rsid w:val="00993071"/>
    <w:rsid w:val="00993103"/>
    <w:rsid w:val="0099318B"/>
    <w:rsid w:val="00993277"/>
    <w:rsid w:val="009932C6"/>
    <w:rsid w:val="00993328"/>
    <w:rsid w:val="009933A0"/>
    <w:rsid w:val="009933D8"/>
    <w:rsid w:val="0099347F"/>
    <w:rsid w:val="009934DF"/>
    <w:rsid w:val="0099351E"/>
    <w:rsid w:val="0099376F"/>
    <w:rsid w:val="009937A7"/>
    <w:rsid w:val="0099381E"/>
    <w:rsid w:val="0099386E"/>
    <w:rsid w:val="00993874"/>
    <w:rsid w:val="00993922"/>
    <w:rsid w:val="00993974"/>
    <w:rsid w:val="00993A52"/>
    <w:rsid w:val="00993AFA"/>
    <w:rsid w:val="00993B03"/>
    <w:rsid w:val="00993BF5"/>
    <w:rsid w:val="00993C1E"/>
    <w:rsid w:val="00993C2E"/>
    <w:rsid w:val="00993C65"/>
    <w:rsid w:val="00993C9D"/>
    <w:rsid w:val="00993D54"/>
    <w:rsid w:val="00993D58"/>
    <w:rsid w:val="00993DC5"/>
    <w:rsid w:val="00993E20"/>
    <w:rsid w:val="00993E46"/>
    <w:rsid w:val="00993F0A"/>
    <w:rsid w:val="00993F0D"/>
    <w:rsid w:val="00994008"/>
    <w:rsid w:val="009940BB"/>
    <w:rsid w:val="00994124"/>
    <w:rsid w:val="00994144"/>
    <w:rsid w:val="00994236"/>
    <w:rsid w:val="0099427E"/>
    <w:rsid w:val="00994343"/>
    <w:rsid w:val="0099434F"/>
    <w:rsid w:val="00994364"/>
    <w:rsid w:val="0099437E"/>
    <w:rsid w:val="00994629"/>
    <w:rsid w:val="00994661"/>
    <w:rsid w:val="0099467C"/>
    <w:rsid w:val="009946B3"/>
    <w:rsid w:val="00994751"/>
    <w:rsid w:val="00994777"/>
    <w:rsid w:val="00994790"/>
    <w:rsid w:val="009948C3"/>
    <w:rsid w:val="0099493F"/>
    <w:rsid w:val="0099494A"/>
    <w:rsid w:val="00994971"/>
    <w:rsid w:val="009949E1"/>
    <w:rsid w:val="009949F8"/>
    <w:rsid w:val="00994A03"/>
    <w:rsid w:val="00994A22"/>
    <w:rsid w:val="00994A68"/>
    <w:rsid w:val="00994B27"/>
    <w:rsid w:val="00994C0E"/>
    <w:rsid w:val="00994C1C"/>
    <w:rsid w:val="00994C7C"/>
    <w:rsid w:val="00994CB4"/>
    <w:rsid w:val="00994D02"/>
    <w:rsid w:val="00994F0C"/>
    <w:rsid w:val="00994F52"/>
    <w:rsid w:val="00994F5A"/>
    <w:rsid w:val="00994FBD"/>
    <w:rsid w:val="00994FE6"/>
    <w:rsid w:val="00995028"/>
    <w:rsid w:val="0099525E"/>
    <w:rsid w:val="00995372"/>
    <w:rsid w:val="00995389"/>
    <w:rsid w:val="009954C1"/>
    <w:rsid w:val="00995506"/>
    <w:rsid w:val="0099550F"/>
    <w:rsid w:val="009955A8"/>
    <w:rsid w:val="009956A9"/>
    <w:rsid w:val="00995891"/>
    <w:rsid w:val="009958A7"/>
    <w:rsid w:val="00995996"/>
    <w:rsid w:val="00995A6D"/>
    <w:rsid w:val="00995C06"/>
    <w:rsid w:val="00995C08"/>
    <w:rsid w:val="00995C2F"/>
    <w:rsid w:val="00995C92"/>
    <w:rsid w:val="00995CD0"/>
    <w:rsid w:val="00995CDA"/>
    <w:rsid w:val="00995D59"/>
    <w:rsid w:val="00996080"/>
    <w:rsid w:val="0099609F"/>
    <w:rsid w:val="0099629E"/>
    <w:rsid w:val="0099630A"/>
    <w:rsid w:val="009963A2"/>
    <w:rsid w:val="009963BF"/>
    <w:rsid w:val="00996437"/>
    <w:rsid w:val="00996492"/>
    <w:rsid w:val="009964F2"/>
    <w:rsid w:val="00996503"/>
    <w:rsid w:val="00996553"/>
    <w:rsid w:val="009965B9"/>
    <w:rsid w:val="009965DF"/>
    <w:rsid w:val="009967B6"/>
    <w:rsid w:val="00996885"/>
    <w:rsid w:val="00996A2C"/>
    <w:rsid w:val="00996AC0"/>
    <w:rsid w:val="00996AF1"/>
    <w:rsid w:val="00996B17"/>
    <w:rsid w:val="00996B65"/>
    <w:rsid w:val="00996D8F"/>
    <w:rsid w:val="00996DC7"/>
    <w:rsid w:val="00996E25"/>
    <w:rsid w:val="00996E65"/>
    <w:rsid w:val="00996EAD"/>
    <w:rsid w:val="00996FC5"/>
    <w:rsid w:val="0099705B"/>
    <w:rsid w:val="0099706B"/>
    <w:rsid w:val="00997098"/>
    <w:rsid w:val="00997099"/>
    <w:rsid w:val="009970B7"/>
    <w:rsid w:val="009970CD"/>
    <w:rsid w:val="00997139"/>
    <w:rsid w:val="009972E8"/>
    <w:rsid w:val="009972EF"/>
    <w:rsid w:val="00997317"/>
    <w:rsid w:val="0099738D"/>
    <w:rsid w:val="00997407"/>
    <w:rsid w:val="00997434"/>
    <w:rsid w:val="0099743C"/>
    <w:rsid w:val="0099749D"/>
    <w:rsid w:val="0099756C"/>
    <w:rsid w:val="009975C8"/>
    <w:rsid w:val="00997627"/>
    <w:rsid w:val="00997666"/>
    <w:rsid w:val="0099772E"/>
    <w:rsid w:val="009977DB"/>
    <w:rsid w:val="00997801"/>
    <w:rsid w:val="00997860"/>
    <w:rsid w:val="009978C7"/>
    <w:rsid w:val="009979D5"/>
    <w:rsid w:val="00997B1D"/>
    <w:rsid w:val="00997B35"/>
    <w:rsid w:val="00997C4F"/>
    <w:rsid w:val="00997C54"/>
    <w:rsid w:val="00997C66"/>
    <w:rsid w:val="00997E20"/>
    <w:rsid w:val="00997EA0"/>
    <w:rsid w:val="00997F1A"/>
    <w:rsid w:val="00997FC9"/>
    <w:rsid w:val="009A001B"/>
    <w:rsid w:val="009A023C"/>
    <w:rsid w:val="009A029B"/>
    <w:rsid w:val="009A02CD"/>
    <w:rsid w:val="009A0413"/>
    <w:rsid w:val="009A0463"/>
    <w:rsid w:val="009A0467"/>
    <w:rsid w:val="009A04FC"/>
    <w:rsid w:val="009A0546"/>
    <w:rsid w:val="009A05A8"/>
    <w:rsid w:val="009A05CB"/>
    <w:rsid w:val="009A069A"/>
    <w:rsid w:val="009A070C"/>
    <w:rsid w:val="009A07B7"/>
    <w:rsid w:val="009A08BA"/>
    <w:rsid w:val="009A08F9"/>
    <w:rsid w:val="009A093E"/>
    <w:rsid w:val="009A0992"/>
    <w:rsid w:val="009A09DD"/>
    <w:rsid w:val="009A09FB"/>
    <w:rsid w:val="009A0A22"/>
    <w:rsid w:val="009A0ACB"/>
    <w:rsid w:val="009A0AED"/>
    <w:rsid w:val="009A0B94"/>
    <w:rsid w:val="009A0BA2"/>
    <w:rsid w:val="009A0BDF"/>
    <w:rsid w:val="009A0C03"/>
    <w:rsid w:val="009A0C3A"/>
    <w:rsid w:val="009A0C55"/>
    <w:rsid w:val="009A0CE3"/>
    <w:rsid w:val="009A0DE9"/>
    <w:rsid w:val="009A0EA3"/>
    <w:rsid w:val="009A0EEC"/>
    <w:rsid w:val="009A0F03"/>
    <w:rsid w:val="009A0FF7"/>
    <w:rsid w:val="009A1086"/>
    <w:rsid w:val="009A1092"/>
    <w:rsid w:val="009A10C6"/>
    <w:rsid w:val="009A111C"/>
    <w:rsid w:val="009A1185"/>
    <w:rsid w:val="009A11AC"/>
    <w:rsid w:val="009A13E6"/>
    <w:rsid w:val="009A13E8"/>
    <w:rsid w:val="009A144E"/>
    <w:rsid w:val="009A1469"/>
    <w:rsid w:val="009A1487"/>
    <w:rsid w:val="009A14C1"/>
    <w:rsid w:val="009A1563"/>
    <w:rsid w:val="009A15C4"/>
    <w:rsid w:val="009A166D"/>
    <w:rsid w:val="009A1742"/>
    <w:rsid w:val="009A1775"/>
    <w:rsid w:val="009A1804"/>
    <w:rsid w:val="009A1816"/>
    <w:rsid w:val="009A1826"/>
    <w:rsid w:val="009A1850"/>
    <w:rsid w:val="009A1860"/>
    <w:rsid w:val="009A187A"/>
    <w:rsid w:val="009A19C8"/>
    <w:rsid w:val="009A1A41"/>
    <w:rsid w:val="009A1A5D"/>
    <w:rsid w:val="009A1AED"/>
    <w:rsid w:val="009A1BFF"/>
    <w:rsid w:val="009A1C1E"/>
    <w:rsid w:val="009A1C7E"/>
    <w:rsid w:val="009A1CA4"/>
    <w:rsid w:val="009A1CD5"/>
    <w:rsid w:val="009A1D49"/>
    <w:rsid w:val="009A1DD8"/>
    <w:rsid w:val="009A1DFF"/>
    <w:rsid w:val="009A1E07"/>
    <w:rsid w:val="009A1E2A"/>
    <w:rsid w:val="009A1EC9"/>
    <w:rsid w:val="009A1EE4"/>
    <w:rsid w:val="009A1F02"/>
    <w:rsid w:val="009A1F53"/>
    <w:rsid w:val="009A20FC"/>
    <w:rsid w:val="009A2113"/>
    <w:rsid w:val="009A2136"/>
    <w:rsid w:val="009A228A"/>
    <w:rsid w:val="009A22C9"/>
    <w:rsid w:val="009A2408"/>
    <w:rsid w:val="009A2516"/>
    <w:rsid w:val="009A25C7"/>
    <w:rsid w:val="009A265A"/>
    <w:rsid w:val="009A2742"/>
    <w:rsid w:val="009A27FA"/>
    <w:rsid w:val="009A2823"/>
    <w:rsid w:val="009A288F"/>
    <w:rsid w:val="009A28A7"/>
    <w:rsid w:val="009A29A5"/>
    <w:rsid w:val="009A2A40"/>
    <w:rsid w:val="009A2A47"/>
    <w:rsid w:val="009A2A4F"/>
    <w:rsid w:val="009A2C66"/>
    <w:rsid w:val="009A2DE2"/>
    <w:rsid w:val="009A2DFB"/>
    <w:rsid w:val="009A2E4D"/>
    <w:rsid w:val="009A2E75"/>
    <w:rsid w:val="009A2F7D"/>
    <w:rsid w:val="009A3029"/>
    <w:rsid w:val="009A3139"/>
    <w:rsid w:val="009A31E5"/>
    <w:rsid w:val="009A32A4"/>
    <w:rsid w:val="009A32AE"/>
    <w:rsid w:val="009A333A"/>
    <w:rsid w:val="009A333C"/>
    <w:rsid w:val="009A3366"/>
    <w:rsid w:val="009A34A0"/>
    <w:rsid w:val="009A34E9"/>
    <w:rsid w:val="009A3533"/>
    <w:rsid w:val="009A354F"/>
    <w:rsid w:val="009A364D"/>
    <w:rsid w:val="009A3652"/>
    <w:rsid w:val="009A374B"/>
    <w:rsid w:val="009A392E"/>
    <w:rsid w:val="009A3953"/>
    <w:rsid w:val="009A3ACA"/>
    <w:rsid w:val="009A3B27"/>
    <w:rsid w:val="009A3B8D"/>
    <w:rsid w:val="009A3C11"/>
    <w:rsid w:val="009A3CF7"/>
    <w:rsid w:val="009A3DA2"/>
    <w:rsid w:val="009A3DC5"/>
    <w:rsid w:val="009A3DC6"/>
    <w:rsid w:val="009A3F13"/>
    <w:rsid w:val="009A4090"/>
    <w:rsid w:val="009A40AD"/>
    <w:rsid w:val="009A4150"/>
    <w:rsid w:val="009A41BD"/>
    <w:rsid w:val="009A4216"/>
    <w:rsid w:val="009A42A0"/>
    <w:rsid w:val="009A42A4"/>
    <w:rsid w:val="009A42D0"/>
    <w:rsid w:val="009A43C5"/>
    <w:rsid w:val="009A43F0"/>
    <w:rsid w:val="009A43F5"/>
    <w:rsid w:val="009A4436"/>
    <w:rsid w:val="009A448A"/>
    <w:rsid w:val="009A44B7"/>
    <w:rsid w:val="009A45C2"/>
    <w:rsid w:val="009A4733"/>
    <w:rsid w:val="009A4737"/>
    <w:rsid w:val="009A479D"/>
    <w:rsid w:val="009A4945"/>
    <w:rsid w:val="009A497A"/>
    <w:rsid w:val="009A4B08"/>
    <w:rsid w:val="009A4B47"/>
    <w:rsid w:val="009A4B79"/>
    <w:rsid w:val="009A4BF8"/>
    <w:rsid w:val="009A4CA2"/>
    <w:rsid w:val="009A4D1B"/>
    <w:rsid w:val="009A4DFE"/>
    <w:rsid w:val="009A4E2B"/>
    <w:rsid w:val="009A4E77"/>
    <w:rsid w:val="009A4FFB"/>
    <w:rsid w:val="009A50D9"/>
    <w:rsid w:val="009A5123"/>
    <w:rsid w:val="009A5126"/>
    <w:rsid w:val="009A5192"/>
    <w:rsid w:val="009A524B"/>
    <w:rsid w:val="009A5382"/>
    <w:rsid w:val="009A54A7"/>
    <w:rsid w:val="009A54BA"/>
    <w:rsid w:val="009A553C"/>
    <w:rsid w:val="009A55A6"/>
    <w:rsid w:val="009A55DD"/>
    <w:rsid w:val="009A5618"/>
    <w:rsid w:val="009A5671"/>
    <w:rsid w:val="009A5892"/>
    <w:rsid w:val="009A58AF"/>
    <w:rsid w:val="009A58B3"/>
    <w:rsid w:val="009A5964"/>
    <w:rsid w:val="009A5A8A"/>
    <w:rsid w:val="009A5D39"/>
    <w:rsid w:val="009A5D89"/>
    <w:rsid w:val="009A5DEB"/>
    <w:rsid w:val="009A5E3B"/>
    <w:rsid w:val="009A5ED9"/>
    <w:rsid w:val="009A5EDA"/>
    <w:rsid w:val="009A5F9C"/>
    <w:rsid w:val="009A5FFD"/>
    <w:rsid w:val="009A60E0"/>
    <w:rsid w:val="009A625D"/>
    <w:rsid w:val="009A62B3"/>
    <w:rsid w:val="009A63CC"/>
    <w:rsid w:val="009A64A4"/>
    <w:rsid w:val="009A64B5"/>
    <w:rsid w:val="009A64F6"/>
    <w:rsid w:val="009A6509"/>
    <w:rsid w:val="009A6605"/>
    <w:rsid w:val="009A663D"/>
    <w:rsid w:val="009A67DF"/>
    <w:rsid w:val="009A6907"/>
    <w:rsid w:val="009A6932"/>
    <w:rsid w:val="009A6BB3"/>
    <w:rsid w:val="009A6BDE"/>
    <w:rsid w:val="009A6C42"/>
    <w:rsid w:val="009A6D32"/>
    <w:rsid w:val="009A6D84"/>
    <w:rsid w:val="009A6DA1"/>
    <w:rsid w:val="009A6DA5"/>
    <w:rsid w:val="009A6DE7"/>
    <w:rsid w:val="009A6E23"/>
    <w:rsid w:val="009A6EC1"/>
    <w:rsid w:val="009A700F"/>
    <w:rsid w:val="009A701D"/>
    <w:rsid w:val="009A7047"/>
    <w:rsid w:val="009A70A6"/>
    <w:rsid w:val="009A70C1"/>
    <w:rsid w:val="009A71D8"/>
    <w:rsid w:val="009A7254"/>
    <w:rsid w:val="009A72E1"/>
    <w:rsid w:val="009A73F4"/>
    <w:rsid w:val="009A742E"/>
    <w:rsid w:val="009A747D"/>
    <w:rsid w:val="009A7487"/>
    <w:rsid w:val="009A7616"/>
    <w:rsid w:val="009A7724"/>
    <w:rsid w:val="009A77E3"/>
    <w:rsid w:val="009A78A3"/>
    <w:rsid w:val="009A794D"/>
    <w:rsid w:val="009A7962"/>
    <w:rsid w:val="009A79BF"/>
    <w:rsid w:val="009A79C9"/>
    <w:rsid w:val="009A7A8C"/>
    <w:rsid w:val="009A7AAC"/>
    <w:rsid w:val="009A7B03"/>
    <w:rsid w:val="009A7BFD"/>
    <w:rsid w:val="009A7C8F"/>
    <w:rsid w:val="009A7CBC"/>
    <w:rsid w:val="009A7E5C"/>
    <w:rsid w:val="009A7E6D"/>
    <w:rsid w:val="009A7F54"/>
    <w:rsid w:val="009B0048"/>
    <w:rsid w:val="009B008D"/>
    <w:rsid w:val="009B0124"/>
    <w:rsid w:val="009B0162"/>
    <w:rsid w:val="009B01E1"/>
    <w:rsid w:val="009B02E1"/>
    <w:rsid w:val="009B02F4"/>
    <w:rsid w:val="009B02FA"/>
    <w:rsid w:val="009B03C3"/>
    <w:rsid w:val="009B050C"/>
    <w:rsid w:val="009B0510"/>
    <w:rsid w:val="009B0967"/>
    <w:rsid w:val="009B097B"/>
    <w:rsid w:val="009B09A6"/>
    <w:rsid w:val="009B0A48"/>
    <w:rsid w:val="009B0A6A"/>
    <w:rsid w:val="009B0CCC"/>
    <w:rsid w:val="009B0CF0"/>
    <w:rsid w:val="009B0D06"/>
    <w:rsid w:val="009B0DD8"/>
    <w:rsid w:val="009B0E2B"/>
    <w:rsid w:val="009B0F50"/>
    <w:rsid w:val="009B0F61"/>
    <w:rsid w:val="009B0F8F"/>
    <w:rsid w:val="009B10B2"/>
    <w:rsid w:val="009B1101"/>
    <w:rsid w:val="009B1124"/>
    <w:rsid w:val="009B113B"/>
    <w:rsid w:val="009B1171"/>
    <w:rsid w:val="009B1187"/>
    <w:rsid w:val="009B11B3"/>
    <w:rsid w:val="009B11C7"/>
    <w:rsid w:val="009B1223"/>
    <w:rsid w:val="009B124A"/>
    <w:rsid w:val="009B12A6"/>
    <w:rsid w:val="009B12DB"/>
    <w:rsid w:val="009B138F"/>
    <w:rsid w:val="009B1464"/>
    <w:rsid w:val="009B14EB"/>
    <w:rsid w:val="009B1547"/>
    <w:rsid w:val="009B173A"/>
    <w:rsid w:val="009B1762"/>
    <w:rsid w:val="009B1868"/>
    <w:rsid w:val="009B195A"/>
    <w:rsid w:val="009B1990"/>
    <w:rsid w:val="009B19C8"/>
    <w:rsid w:val="009B1AE4"/>
    <w:rsid w:val="009B1B77"/>
    <w:rsid w:val="009B1C25"/>
    <w:rsid w:val="009B1C2B"/>
    <w:rsid w:val="009B1C90"/>
    <w:rsid w:val="009B1DA5"/>
    <w:rsid w:val="009B1E2C"/>
    <w:rsid w:val="009B1EC6"/>
    <w:rsid w:val="009B1FEC"/>
    <w:rsid w:val="009B1FF7"/>
    <w:rsid w:val="009B20B6"/>
    <w:rsid w:val="009B20C1"/>
    <w:rsid w:val="009B20ED"/>
    <w:rsid w:val="009B2143"/>
    <w:rsid w:val="009B2172"/>
    <w:rsid w:val="009B218B"/>
    <w:rsid w:val="009B2221"/>
    <w:rsid w:val="009B2245"/>
    <w:rsid w:val="009B2253"/>
    <w:rsid w:val="009B2257"/>
    <w:rsid w:val="009B22C4"/>
    <w:rsid w:val="009B22C9"/>
    <w:rsid w:val="009B22E0"/>
    <w:rsid w:val="009B2350"/>
    <w:rsid w:val="009B248A"/>
    <w:rsid w:val="009B24DE"/>
    <w:rsid w:val="009B256B"/>
    <w:rsid w:val="009B2590"/>
    <w:rsid w:val="009B25F2"/>
    <w:rsid w:val="009B266A"/>
    <w:rsid w:val="009B27A2"/>
    <w:rsid w:val="009B2885"/>
    <w:rsid w:val="009B288F"/>
    <w:rsid w:val="009B2907"/>
    <w:rsid w:val="009B2B22"/>
    <w:rsid w:val="009B2B76"/>
    <w:rsid w:val="009B2B83"/>
    <w:rsid w:val="009B2B87"/>
    <w:rsid w:val="009B2C30"/>
    <w:rsid w:val="009B2CA5"/>
    <w:rsid w:val="009B2CFA"/>
    <w:rsid w:val="009B2D1D"/>
    <w:rsid w:val="009B2EC5"/>
    <w:rsid w:val="009B2FA2"/>
    <w:rsid w:val="009B312E"/>
    <w:rsid w:val="009B3202"/>
    <w:rsid w:val="009B32DE"/>
    <w:rsid w:val="009B3429"/>
    <w:rsid w:val="009B34A5"/>
    <w:rsid w:val="009B356C"/>
    <w:rsid w:val="009B35B7"/>
    <w:rsid w:val="009B3647"/>
    <w:rsid w:val="009B366B"/>
    <w:rsid w:val="009B368E"/>
    <w:rsid w:val="009B370B"/>
    <w:rsid w:val="009B371C"/>
    <w:rsid w:val="009B3763"/>
    <w:rsid w:val="009B3778"/>
    <w:rsid w:val="009B382B"/>
    <w:rsid w:val="009B383C"/>
    <w:rsid w:val="009B384F"/>
    <w:rsid w:val="009B38D8"/>
    <w:rsid w:val="009B38ED"/>
    <w:rsid w:val="009B3961"/>
    <w:rsid w:val="009B3991"/>
    <w:rsid w:val="009B39A5"/>
    <w:rsid w:val="009B39F1"/>
    <w:rsid w:val="009B3A16"/>
    <w:rsid w:val="009B3A87"/>
    <w:rsid w:val="009B3B19"/>
    <w:rsid w:val="009B3B45"/>
    <w:rsid w:val="009B3C8A"/>
    <w:rsid w:val="009B3D66"/>
    <w:rsid w:val="009B3DB7"/>
    <w:rsid w:val="009B3DC7"/>
    <w:rsid w:val="009B3EDB"/>
    <w:rsid w:val="009B3FA0"/>
    <w:rsid w:val="009B3FB8"/>
    <w:rsid w:val="009B411B"/>
    <w:rsid w:val="009B4191"/>
    <w:rsid w:val="009B41BB"/>
    <w:rsid w:val="009B4228"/>
    <w:rsid w:val="009B4247"/>
    <w:rsid w:val="009B429F"/>
    <w:rsid w:val="009B4335"/>
    <w:rsid w:val="009B43B8"/>
    <w:rsid w:val="009B4436"/>
    <w:rsid w:val="009B4470"/>
    <w:rsid w:val="009B44D0"/>
    <w:rsid w:val="009B4508"/>
    <w:rsid w:val="009B453E"/>
    <w:rsid w:val="009B45AE"/>
    <w:rsid w:val="009B45EB"/>
    <w:rsid w:val="009B4671"/>
    <w:rsid w:val="009B472F"/>
    <w:rsid w:val="009B474A"/>
    <w:rsid w:val="009B47CE"/>
    <w:rsid w:val="009B492C"/>
    <w:rsid w:val="009B4985"/>
    <w:rsid w:val="009B4A45"/>
    <w:rsid w:val="009B4B46"/>
    <w:rsid w:val="009B4BE4"/>
    <w:rsid w:val="009B4C44"/>
    <w:rsid w:val="009B4C9E"/>
    <w:rsid w:val="009B4E0F"/>
    <w:rsid w:val="009B4E5B"/>
    <w:rsid w:val="009B4ECA"/>
    <w:rsid w:val="009B5034"/>
    <w:rsid w:val="009B50FC"/>
    <w:rsid w:val="009B514B"/>
    <w:rsid w:val="009B5225"/>
    <w:rsid w:val="009B54A8"/>
    <w:rsid w:val="009B54E6"/>
    <w:rsid w:val="009B55AA"/>
    <w:rsid w:val="009B5632"/>
    <w:rsid w:val="009B5699"/>
    <w:rsid w:val="009B587A"/>
    <w:rsid w:val="009B58A5"/>
    <w:rsid w:val="009B58EB"/>
    <w:rsid w:val="009B590C"/>
    <w:rsid w:val="009B5980"/>
    <w:rsid w:val="009B5A79"/>
    <w:rsid w:val="009B5B4E"/>
    <w:rsid w:val="009B5BF4"/>
    <w:rsid w:val="009B5D28"/>
    <w:rsid w:val="009B5F7E"/>
    <w:rsid w:val="009B5FAB"/>
    <w:rsid w:val="009B5FAD"/>
    <w:rsid w:val="009B5FF5"/>
    <w:rsid w:val="009B603B"/>
    <w:rsid w:val="009B603F"/>
    <w:rsid w:val="009B60FB"/>
    <w:rsid w:val="009B61B3"/>
    <w:rsid w:val="009B622C"/>
    <w:rsid w:val="009B6248"/>
    <w:rsid w:val="009B62A1"/>
    <w:rsid w:val="009B6360"/>
    <w:rsid w:val="009B6392"/>
    <w:rsid w:val="009B639C"/>
    <w:rsid w:val="009B63F8"/>
    <w:rsid w:val="009B648C"/>
    <w:rsid w:val="009B649A"/>
    <w:rsid w:val="009B64FE"/>
    <w:rsid w:val="009B6554"/>
    <w:rsid w:val="009B6622"/>
    <w:rsid w:val="009B6647"/>
    <w:rsid w:val="009B66AC"/>
    <w:rsid w:val="009B6772"/>
    <w:rsid w:val="009B67E6"/>
    <w:rsid w:val="009B688A"/>
    <w:rsid w:val="009B68E8"/>
    <w:rsid w:val="009B691F"/>
    <w:rsid w:val="009B6959"/>
    <w:rsid w:val="009B69D2"/>
    <w:rsid w:val="009B69FD"/>
    <w:rsid w:val="009B6A3D"/>
    <w:rsid w:val="009B6A46"/>
    <w:rsid w:val="009B6A7E"/>
    <w:rsid w:val="009B6AB9"/>
    <w:rsid w:val="009B6ABB"/>
    <w:rsid w:val="009B6AC5"/>
    <w:rsid w:val="009B6B64"/>
    <w:rsid w:val="009B6B69"/>
    <w:rsid w:val="009B6B94"/>
    <w:rsid w:val="009B6C03"/>
    <w:rsid w:val="009B6C26"/>
    <w:rsid w:val="009B6F3E"/>
    <w:rsid w:val="009B7158"/>
    <w:rsid w:val="009B7178"/>
    <w:rsid w:val="009B71F2"/>
    <w:rsid w:val="009B71FD"/>
    <w:rsid w:val="009B7306"/>
    <w:rsid w:val="009B7331"/>
    <w:rsid w:val="009B734F"/>
    <w:rsid w:val="009B7368"/>
    <w:rsid w:val="009B73EB"/>
    <w:rsid w:val="009B741E"/>
    <w:rsid w:val="009B74D8"/>
    <w:rsid w:val="009B751C"/>
    <w:rsid w:val="009B752B"/>
    <w:rsid w:val="009B7576"/>
    <w:rsid w:val="009B761C"/>
    <w:rsid w:val="009B76D4"/>
    <w:rsid w:val="009B76F2"/>
    <w:rsid w:val="009B7716"/>
    <w:rsid w:val="009B78A2"/>
    <w:rsid w:val="009B791D"/>
    <w:rsid w:val="009B799A"/>
    <w:rsid w:val="009B7B4D"/>
    <w:rsid w:val="009B7B64"/>
    <w:rsid w:val="009B7BD4"/>
    <w:rsid w:val="009B7C63"/>
    <w:rsid w:val="009B7C74"/>
    <w:rsid w:val="009B7D72"/>
    <w:rsid w:val="009B7DB4"/>
    <w:rsid w:val="009B7DE1"/>
    <w:rsid w:val="009B7E0F"/>
    <w:rsid w:val="009B7E61"/>
    <w:rsid w:val="009B7EC5"/>
    <w:rsid w:val="009B7F99"/>
    <w:rsid w:val="009C0187"/>
    <w:rsid w:val="009C01A6"/>
    <w:rsid w:val="009C0278"/>
    <w:rsid w:val="009C02C0"/>
    <w:rsid w:val="009C0314"/>
    <w:rsid w:val="009C04A8"/>
    <w:rsid w:val="009C04C7"/>
    <w:rsid w:val="009C04CA"/>
    <w:rsid w:val="009C04F3"/>
    <w:rsid w:val="009C053C"/>
    <w:rsid w:val="009C058C"/>
    <w:rsid w:val="009C05A7"/>
    <w:rsid w:val="009C05CE"/>
    <w:rsid w:val="009C073E"/>
    <w:rsid w:val="009C07C1"/>
    <w:rsid w:val="009C07D4"/>
    <w:rsid w:val="009C08A4"/>
    <w:rsid w:val="009C08F5"/>
    <w:rsid w:val="009C0923"/>
    <w:rsid w:val="009C095B"/>
    <w:rsid w:val="009C0AA0"/>
    <w:rsid w:val="009C0AAC"/>
    <w:rsid w:val="009C0AB6"/>
    <w:rsid w:val="009C0BE4"/>
    <w:rsid w:val="009C0C11"/>
    <w:rsid w:val="009C0C27"/>
    <w:rsid w:val="009C0C2D"/>
    <w:rsid w:val="009C0D84"/>
    <w:rsid w:val="009C0E2C"/>
    <w:rsid w:val="009C0E4B"/>
    <w:rsid w:val="009C0E85"/>
    <w:rsid w:val="009C0EE6"/>
    <w:rsid w:val="009C1059"/>
    <w:rsid w:val="009C1060"/>
    <w:rsid w:val="009C1136"/>
    <w:rsid w:val="009C115B"/>
    <w:rsid w:val="009C1193"/>
    <w:rsid w:val="009C12D4"/>
    <w:rsid w:val="009C1341"/>
    <w:rsid w:val="009C1381"/>
    <w:rsid w:val="009C13CF"/>
    <w:rsid w:val="009C1413"/>
    <w:rsid w:val="009C1491"/>
    <w:rsid w:val="009C14F9"/>
    <w:rsid w:val="009C1715"/>
    <w:rsid w:val="009C188B"/>
    <w:rsid w:val="009C18C0"/>
    <w:rsid w:val="009C18CE"/>
    <w:rsid w:val="009C193A"/>
    <w:rsid w:val="009C1945"/>
    <w:rsid w:val="009C1A36"/>
    <w:rsid w:val="009C1A4E"/>
    <w:rsid w:val="009C1A5C"/>
    <w:rsid w:val="009C1B7B"/>
    <w:rsid w:val="009C1B98"/>
    <w:rsid w:val="009C1BB4"/>
    <w:rsid w:val="009C1BE2"/>
    <w:rsid w:val="009C1C38"/>
    <w:rsid w:val="009C1D12"/>
    <w:rsid w:val="009C1D75"/>
    <w:rsid w:val="009C1D83"/>
    <w:rsid w:val="009C1DEC"/>
    <w:rsid w:val="009C1E69"/>
    <w:rsid w:val="009C1EE1"/>
    <w:rsid w:val="009C1F39"/>
    <w:rsid w:val="009C2093"/>
    <w:rsid w:val="009C20A3"/>
    <w:rsid w:val="009C20E3"/>
    <w:rsid w:val="009C2235"/>
    <w:rsid w:val="009C22A9"/>
    <w:rsid w:val="009C22D9"/>
    <w:rsid w:val="009C22F2"/>
    <w:rsid w:val="009C2311"/>
    <w:rsid w:val="009C23F2"/>
    <w:rsid w:val="009C248E"/>
    <w:rsid w:val="009C24FD"/>
    <w:rsid w:val="009C2617"/>
    <w:rsid w:val="009C263D"/>
    <w:rsid w:val="009C26BF"/>
    <w:rsid w:val="009C26F2"/>
    <w:rsid w:val="009C28D6"/>
    <w:rsid w:val="009C2935"/>
    <w:rsid w:val="009C2939"/>
    <w:rsid w:val="009C2949"/>
    <w:rsid w:val="009C29D9"/>
    <w:rsid w:val="009C29FF"/>
    <w:rsid w:val="009C2B2E"/>
    <w:rsid w:val="009C2B6F"/>
    <w:rsid w:val="009C2C58"/>
    <w:rsid w:val="009C2DBB"/>
    <w:rsid w:val="009C2E5B"/>
    <w:rsid w:val="009C2E9F"/>
    <w:rsid w:val="009C2F20"/>
    <w:rsid w:val="009C2FA6"/>
    <w:rsid w:val="009C2FD7"/>
    <w:rsid w:val="009C3017"/>
    <w:rsid w:val="009C3059"/>
    <w:rsid w:val="009C31EC"/>
    <w:rsid w:val="009C31F7"/>
    <w:rsid w:val="009C3319"/>
    <w:rsid w:val="009C3377"/>
    <w:rsid w:val="009C33A6"/>
    <w:rsid w:val="009C3456"/>
    <w:rsid w:val="009C3464"/>
    <w:rsid w:val="009C3522"/>
    <w:rsid w:val="009C35D3"/>
    <w:rsid w:val="009C360B"/>
    <w:rsid w:val="009C3627"/>
    <w:rsid w:val="009C3767"/>
    <w:rsid w:val="009C37E9"/>
    <w:rsid w:val="009C3843"/>
    <w:rsid w:val="009C385B"/>
    <w:rsid w:val="009C38FE"/>
    <w:rsid w:val="009C3A40"/>
    <w:rsid w:val="009C3AA3"/>
    <w:rsid w:val="009C3ACE"/>
    <w:rsid w:val="009C3B6F"/>
    <w:rsid w:val="009C3B70"/>
    <w:rsid w:val="009C3C58"/>
    <w:rsid w:val="009C3C66"/>
    <w:rsid w:val="009C3C84"/>
    <w:rsid w:val="009C3D07"/>
    <w:rsid w:val="009C3DA5"/>
    <w:rsid w:val="009C3DFE"/>
    <w:rsid w:val="009C3EAA"/>
    <w:rsid w:val="009C3EBB"/>
    <w:rsid w:val="009C40CB"/>
    <w:rsid w:val="009C41C4"/>
    <w:rsid w:val="009C4200"/>
    <w:rsid w:val="009C4327"/>
    <w:rsid w:val="009C43E9"/>
    <w:rsid w:val="009C4422"/>
    <w:rsid w:val="009C442B"/>
    <w:rsid w:val="009C449C"/>
    <w:rsid w:val="009C4506"/>
    <w:rsid w:val="009C450C"/>
    <w:rsid w:val="009C4605"/>
    <w:rsid w:val="009C4612"/>
    <w:rsid w:val="009C4743"/>
    <w:rsid w:val="009C484B"/>
    <w:rsid w:val="009C48C1"/>
    <w:rsid w:val="009C4905"/>
    <w:rsid w:val="009C4907"/>
    <w:rsid w:val="009C4908"/>
    <w:rsid w:val="009C4A47"/>
    <w:rsid w:val="009C4BC9"/>
    <w:rsid w:val="009C4BD7"/>
    <w:rsid w:val="009C4C73"/>
    <w:rsid w:val="009C4C9C"/>
    <w:rsid w:val="009C4D3D"/>
    <w:rsid w:val="009C4D78"/>
    <w:rsid w:val="009C4D9F"/>
    <w:rsid w:val="009C4E92"/>
    <w:rsid w:val="009C4F32"/>
    <w:rsid w:val="009C4FF9"/>
    <w:rsid w:val="009C5095"/>
    <w:rsid w:val="009C5141"/>
    <w:rsid w:val="009C515E"/>
    <w:rsid w:val="009C51C6"/>
    <w:rsid w:val="009C52E0"/>
    <w:rsid w:val="009C5321"/>
    <w:rsid w:val="009C53A0"/>
    <w:rsid w:val="009C563A"/>
    <w:rsid w:val="009C5673"/>
    <w:rsid w:val="009C5716"/>
    <w:rsid w:val="009C57ED"/>
    <w:rsid w:val="009C590A"/>
    <w:rsid w:val="009C5932"/>
    <w:rsid w:val="009C5970"/>
    <w:rsid w:val="009C59B5"/>
    <w:rsid w:val="009C59BF"/>
    <w:rsid w:val="009C5AC8"/>
    <w:rsid w:val="009C5BFA"/>
    <w:rsid w:val="009C5CB2"/>
    <w:rsid w:val="009C5CB3"/>
    <w:rsid w:val="009C5D31"/>
    <w:rsid w:val="009C5D91"/>
    <w:rsid w:val="009C5E31"/>
    <w:rsid w:val="009C5E3D"/>
    <w:rsid w:val="009C5F48"/>
    <w:rsid w:val="009C5F90"/>
    <w:rsid w:val="009C5FC7"/>
    <w:rsid w:val="009C6039"/>
    <w:rsid w:val="009C608D"/>
    <w:rsid w:val="009C6092"/>
    <w:rsid w:val="009C60B0"/>
    <w:rsid w:val="009C6103"/>
    <w:rsid w:val="009C633C"/>
    <w:rsid w:val="009C6383"/>
    <w:rsid w:val="009C63B5"/>
    <w:rsid w:val="009C63F3"/>
    <w:rsid w:val="009C647E"/>
    <w:rsid w:val="009C64F6"/>
    <w:rsid w:val="009C6513"/>
    <w:rsid w:val="009C65CA"/>
    <w:rsid w:val="009C662F"/>
    <w:rsid w:val="009C66F0"/>
    <w:rsid w:val="009C66F8"/>
    <w:rsid w:val="009C675D"/>
    <w:rsid w:val="009C67EC"/>
    <w:rsid w:val="009C67F8"/>
    <w:rsid w:val="009C681E"/>
    <w:rsid w:val="009C6880"/>
    <w:rsid w:val="009C689E"/>
    <w:rsid w:val="009C690E"/>
    <w:rsid w:val="009C69C3"/>
    <w:rsid w:val="009C6A24"/>
    <w:rsid w:val="009C6A67"/>
    <w:rsid w:val="009C6A97"/>
    <w:rsid w:val="009C6AAD"/>
    <w:rsid w:val="009C6AFB"/>
    <w:rsid w:val="009C6B24"/>
    <w:rsid w:val="009C6CBE"/>
    <w:rsid w:val="009C6D3E"/>
    <w:rsid w:val="009C6D50"/>
    <w:rsid w:val="009C6E2B"/>
    <w:rsid w:val="009C6E6B"/>
    <w:rsid w:val="009C6EB4"/>
    <w:rsid w:val="009C6ECA"/>
    <w:rsid w:val="009C708D"/>
    <w:rsid w:val="009C729C"/>
    <w:rsid w:val="009C736E"/>
    <w:rsid w:val="009C7407"/>
    <w:rsid w:val="009C741C"/>
    <w:rsid w:val="009C7666"/>
    <w:rsid w:val="009C77AA"/>
    <w:rsid w:val="009C77D4"/>
    <w:rsid w:val="009C7940"/>
    <w:rsid w:val="009C79B5"/>
    <w:rsid w:val="009C79CD"/>
    <w:rsid w:val="009C7BB3"/>
    <w:rsid w:val="009C7BF4"/>
    <w:rsid w:val="009C7C11"/>
    <w:rsid w:val="009C7C58"/>
    <w:rsid w:val="009C7CB7"/>
    <w:rsid w:val="009C7CBC"/>
    <w:rsid w:val="009C7D21"/>
    <w:rsid w:val="009C7DAA"/>
    <w:rsid w:val="009C7FE0"/>
    <w:rsid w:val="009D000B"/>
    <w:rsid w:val="009D0025"/>
    <w:rsid w:val="009D00C6"/>
    <w:rsid w:val="009D00E7"/>
    <w:rsid w:val="009D0182"/>
    <w:rsid w:val="009D026B"/>
    <w:rsid w:val="009D03B2"/>
    <w:rsid w:val="009D0403"/>
    <w:rsid w:val="009D0514"/>
    <w:rsid w:val="009D0527"/>
    <w:rsid w:val="009D05B3"/>
    <w:rsid w:val="009D0759"/>
    <w:rsid w:val="009D0888"/>
    <w:rsid w:val="009D08AD"/>
    <w:rsid w:val="009D09AC"/>
    <w:rsid w:val="009D09EB"/>
    <w:rsid w:val="009D0A0F"/>
    <w:rsid w:val="009D0CA1"/>
    <w:rsid w:val="009D0CF5"/>
    <w:rsid w:val="009D0D64"/>
    <w:rsid w:val="009D0D93"/>
    <w:rsid w:val="009D0E6F"/>
    <w:rsid w:val="009D0F37"/>
    <w:rsid w:val="009D1030"/>
    <w:rsid w:val="009D105C"/>
    <w:rsid w:val="009D10AC"/>
    <w:rsid w:val="009D120B"/>
    <w:rsid w:val="009D12DE"/>
    <w:rsid w:val="009D133C"/>
    <w:rsid w:val="009D144A"/>
    <w:rsid w:val="009D1473"/>
    <w:rsid w:val="009D148E"/>
    <w:rsid w:val="009D14A2"/>
    <w:rsid w:val="009D1579"/>
    <w:rsid w:val="009D162E"/>
    <w:rsid w:val="009D1646"/>
    <w:rsid w:val="009D165D"/>
    <w:rsid w:val="009D1678"/>
    <w:rsid w:val="009D167F"/>
    <w:rsid w:val="009D1718"/>
    <w:rsid w:val="009D178B"/>
    <w:rsid w:val="009D17D6"/>
    <w:rsid w:val="009D185A"/>
    <w:rsid w:val="009D18A0"/>
    <w:rsid w:val="009D18DF"/>
    <w:rsid w:val="009D19DA"/>
    <w:rsid w:val="009D19EE"/>
    <w:rsid w:val="009D1AA7"/>
    <w:rsid w:val="009D1AB2"/>
    <w:rsid w:val="009D1BDE"/>
    <w:rsid w:val="009D1C1E"/>
    <w:rsid w:val="009D1C84"/>
    <w:rsid w:val="009D1D20"/>
    <w:rsid w:val="009D1D3C"/>
    <w:rsid w:val="009D1D7D"/>
    <w:rsid w:val="009D1DAE"/>
    <w:rsid w:val="009D1FFD"/>
    <w:rsid w:val="009D2068"/>
    <w:rsid w:val="009D20C1"/>
    <w:rsid w:val="009D2158"/>
    <w:rsid w:val="009D2235"/>
    <w:rsid w:val="009D2245"/>
    <w:rsid w:val="009D23B9"/>
    <w:rsid w:val="009D23BA"/>
    <w:rsid w:val="009D2591"/>
    <w:rsid w:val="009D265D"/>
    <w:rsid w:val="009D269A"/>
    <w:rsid w:val="009D273A"/>
    <w:rsid w:val="009D274F"/>
    <w:rsid w:val="009D2837"/>
    <w:rsid w:val="009D283D"/>
    <w:rsid w:val="009D28C9"/>
    <w:rsid w:val="009D2918"/>
    <w:rsid w:val="009D2A64"/>
    <w:rsid w:val="009D2B02"/>
    <w:rsid w:val="009D2C80"/>
    <w:rsid w:val="009D2CE7"/>
    <w:rsid w:val="009D2D67"/>
    <w:rsid w:val="009D2E4F"/>
    <w:rsid w:val="009D2EC2"/>
    <w:rsid w:val="009D2EF5"/>
    <w:rsid w:val="009D2F99"/>
    <w:rsid w:val="009D2FCF"/>
    <w:rsid w:val="009D302E"/>
    <w:rsid w:val="009D30D9"/>
    <w:rsid w:val="009D3132"/>
    <w:rsid w:val="009D3275"/>
    <w:rsid w:val="009D32A6"/>
    <w:rsid w:val="009D32AA"/>
    <w:rsid w:val="009D33D2"/>
    <w:rsid w:val="009D3490"/>
    <w:rsid w:val="009D34B3"/>
    <w:rsid w:val="009D34F4"/>
    <w:rsid w:val="009D3501"/>
    <w:rsid w:val="009D351D"/>
    <w:rsid w:val="009D36B8"/>
    <w:rsid w:val="009D36EE"/>
    <w:rsid w:val="009D3768"/>
    <w:rsid w:val="009D37C0"/>
    <w:rsid w:val="009D37F4"/>
    <w:rsid w:val="009D3800"/>
    <w:rsid w:val="009D3811"/>
    <w:rsid w:val="009D382E"/>
    <w:rsid w:val="009D385A"/>
    <w:rsid w:val="009D392F"/>
    <w:rsid w:val="009D39A1"/>
    <w:rsid w:val="009D3A18"/>
    <w:rsid w:val="009D3ADE"/>
    <w:rsid w:val="009D3BAF"/>
    <w:rsid w:val="009D3BCB"/>
    <w:rsid w:val="009D3D59"/>
    <w:rsid w:val="009D3DF7"/>
    <w:rsid w:val="009D3E5D"/>
    <w:rsid w:val="009D3EF2"/>
    <w:rsid w:val="009D3F71"/>
    <w:rsid w:val="009D3FE6"/>
    <w:rsid w:val="009D3FE7"/>
    <w:rsid w:val="009D405A"/>
    <w:rsid w:val="009D4064"/>
    <w:rsid w:val="009D4148"/>
    <w:rsid w:val="009D41C0"/>
    <w:rsid w:val="009D420D"/>
    <w:rsid w:val="009D444C"/>
    <w:rsid w:val="009D446D"/>
    <w:rsid w:val="009D449E"/>
    <w:rsid w:val="009D44BE"/>
    <w:rsid w:val="009D4502"/>
    <w:rsid w:val="009D4522"/>
    <w:rsid w:val="009D45A8"/>
    <w:rsid w:val="009D4603"/>
    <w:rsid w:val="009D46E3"/>
    <w:rsid w:val="009D46E8"/>
    <w:rsid w:val="009D4713"/>
    <w:rsid w:val="009D4718"/>
    <w:rsid w:val="009D474D"/>
    <w:rsid w:val="009D478F"/>
    <w:rsid w:val="009D4867"/>
    <w:rsid w:val="009D48C1"/>
    <w:rsid w:val="009D48EF"/>
    <w:rsid w:val="009D4A09"/>
    <w:rsid w:val="009D4A0A"/>
    <w:rsid w:val="009D4A47"/>
    <w:rsid w:val="009D4A81"/>
    <w:rsid w:val="009D4B42"/>
    <w:rsid w:val="009D4B8E"/>
    <w:rsid w:val="009D4C1D"/>
    <w:rsid w:val="009D4CAB"/>
    <w:rsid w:val="009D4D1C"/>
    <w:rsid w:val="009D4E41"/>
    <w:rsid w:val="009D4E5F"/>
    <w:rsid w:val="009D4EE9"/>
    <w:rsid w:val="009D502B"/>
    <w:rsid w:val="009D5031"/>
    <w:rsid w:val="009D504B"/>
    <w:rsid w:val="009D5192"/>
    <w:rsid w:val="009D51BF"/>
    <w:rsid w:val="009D51E8"/>
    <w:rsid w:val="009D51FC"/>
    <w:rsid w:val="009D5232"/>
    <w:rsid w:val="009D524A"/>
    <w:rsid w:val="009D52D4"/>
    <w:rsid w:val="009D52FD"/>
    <w:rsid w:val="009D5315"/>
    <w:rsid w:val="009D5326"/>
    <w:rsid w:val="009D5422"/>
    <w:rsid w:val="009D54EB"/>
    <w:rsid w:val="009D54EE"/>
    <w:rsid w:val="009D5510"/>
    <w:rsid w:val="009D555F"/>
    <w:rsid w:val="009D5585"/>
    <w:rsid w:val="009D55A2"/>
    <w:rsid w:val="009D5714"/>
    <w:rsid w:val="009D5860"/>
    <w:rsid w:val="009D5954"/>
    <w:rsid w:val="009D5967"/>
    <w:rsid w:val="009D5993"/>
    <w:rsid w:val="009D5994"/>
    <w:rsid w:val="009D5A92"/>
    <w:rsid w:val="009D5B10"/>
    <w:rsid w:val="009D5B62"/>
    <w:rsid w:val="009D5BBB"/>
    <w:rsid w:val="009D5BCE"/>
    <w:rsid w:val="009D5C7D"/>
    <w:rsid w:val="009D5CA7"/>
    <w:rsid w:val="009D5E38"/>
    <w:rsid w:val="009D5F25"/>
    <w:rsid w:val="009D5FE6"/>
    <w:rsid w:val="009D6037"/>
    <w:rsid w:val="009D60CB"/>
    <w:rsid w:val="009D6242"/>
    <w:rsid w:val="009D6244"/>
    <w:rsid w:val="009D62C5"/>
    <w:rsid w:val="009D637A"/>
    <w:rsid w:val="009D6386"/>
    <w:rsid w:val="009D639E"/>
    <w:rsid w:val="009D6527"/>
    <w:rsid w:val="009D653F"/>
    <w:rsid w:val="009D657E"/>
    <w:rsid w:val="009D65D8"/>
    <w:rsid w:val="009D6638"/>
    <w:rsid w:val="009D666F"/>
    <w:rsid w:val="009D6808"/>
    <w:rsid w:val="009D6827"/>
    <w:rsid w:val="009D6A34"/>
    <w:rsid w:val="009D6AF8"/>
    <w:rsid w:val="009D6C13"/>
    <w:rsid w:val="009D6C53"/>
    <w:rsid w:val="009D6C6D"/>
    <w:rsid w:val="009D6CE5"/>
    <w:rsid w:val="009D6D26"/>
    <w:rsid w:val="009D6D2F"/>
    <w:rsid w:val="009D6EC3"/>
    <w:rsid w:val="009D6EFE"/>
    <w:rsid w:val="009D6F5F"/>
    <w:rsid w:val="009D6FB3"/>
    <w:rsid w:val="009D7103"/>
    <w:rsid w:val="009D717A"/>
    <w:rsid w:val="009D730C"/>
    <w:rsid w:val="009D738B"/>
    <w:rsid w:val="009D73D1"/>
    <w:rsid w:val="009D73E4"/>
    <w:rsid w:val="009D760E"/>
    <w:rsid w:val="009D765E"/>
    <w:rsid w:val="009D7662"/>
    <w:rsid w:val="009D7679"/>
    <w:rsid w:val="009D76CD"/>
    <w:rsid w:val="009D771F"/>
    <w:rsid w:val="009D7834"/>
    <w:rsid w:val="009D7858"/>
    <w:rsid w:val="009D78E3"/>
    <w:rsid w:val="009D7962"/>
    <w:rsid w:val="009D79B6"/>
    <w:rsid w:val="009D7A07"/>
    <w:rsid w:val="009D7A6C"/>
    <w:rsid w:val="009D7A70"/>
    <w:rsid w:val="009D7AE7"/>
    <w:rsid w:val="009D7B37"/>
    <w:rsid w:val="009D7BF4"/>
    <w:rsid w:val="009D7C36"/>
    <w:rsid w:val="009D7D67"/>
    <w:rsid w:val="009D7E4E"/>
    <w:rsid w:val="009D7EC5"/>
    <w:rsid w:val="009D7F1D"/>
    <w:rsid w:val="009D7FEF"/>
    <w:rsid w:val="009E01A9"/>
    <w:rsid w:val="009E0214"/>
    <w:rsid w:val="009E0294"/>
    <w:rsid w:val="009E02C2"/>
    <w:rsid w:val="009E0375"/>
    <w:rsid w:val="009E0390"/>
    <w:rsid w:val="009E03B2"/>
    <w:rsid w:val="009E0407"/>
    <w:rsid w:val="009E0420"/>
    <w:rsid w:val="009E04C9"/>
    <w:rsid w:val="009E0504"/>
    <w:rsid w:val="009E05CB"/>
    <w:rsid w:val="009E06EF"/>
    <w:rsid w:val="009E0766"/>
    <w:rsid w:val="009E078D"/>
    <w:rsid w:val="009E07BB"/>
    <w:rsid w:val="009E07F7"/>
    <w:rsid w:val="009E0916"/>
    <w:rsid w:val="009E0942"/>
    <w:rsid w:val="009E09DF"/>
    <w:rsid w:val="009E0A01"/>
    <w:rsid w:val="009E0A5C"/>
    <w:rsid w:val="009E0B64"/>
    <w:rsid w:val="009E0C18"/>
    <w:rsid w:val="009E0C82"/>
    <w:rsid w:val="009E0D8A"/>
    <w:rsid w:val="009E0E9C"/>
    <w:rsid w:val="009E0EA7"/>
    <w:rsid w:val="009E0F04"/>
    <w:rsid w:val="009E0F32"/>
    <w:rsid w:val="009E0F73"/>
    <w:rsid w:val="009E0FFF"/>
    <w:rsid w:val="009E1020"/>
    <w:rsid w:val="009E1035"/>
    <w:rsid w:val="009E1115"/>
    <w:rsid w:val="009E1151"/>
    <w:rsid w:val="009E11C3"/>
    <w:rsid w:val="009E12BB"/>
    <w:rsid w:val="009E12C6"/>
    <w:rsid w:val="009E12E2"/>
    <w:rsid w:val="009E1309"/>
    <w:rsid w:val="009E1346"/>
    <w:rsid w:val="009E14AC"/>
    <w:rsid w:val="009E14E6"/>
    <w:rsid w:val="009E14F2"/>
    <w:rsid w:val="009E1559"/>
    <w:rsid w:val="009E16C9"/>
    <w:rsid w:val="009E1700"/>
    <w:rsid w:val="009E175E"/>
    <w:rsid w:val="009E17B0"/>
    <w:rsid w:val="009E17ED"/>
    <w:rsid w:val="009E1836"/>
    <w:rsid w:val="009E18AD"/>
    <w:rsid w:val="009E18E3"/>
    <w:rsid w:val="009E194A"/>
    <w:rsid w:val="009E19B0"/>
    <w:rsid w:val="009E19D5"/>
    <w:rsid w:val="009E1A69"/>
    <w:rsid w:val="009E1A9B"/>
    <w:rsid w:val="009E1AFD"/>
    <w:rsid w:val="009E1B04"/>
    <w:rsid w:val="009E1B07"/>
    <w:rsid w:val="009E1B34"/>
    <w:rsid w:val="009E1C5D"/>
    <w:rsid w:val="009E1C86"/>
    <w:rsid w:val="009E1D68"/>
    <w:rsid w:val="009E1D97"/>
    <w:rsid w:val="009E1DC7"/>
    <w:rsid w:val="009E1E07"/>
    <w:rsid w:val="009E1E10"/>
    <w:rsid w:val="009E1E69"/>
    <w:rsid w:val="009E1F30"/>
    <w:rsid w:val="009E1F43"/>
    <w:rsid w:val="009E1F52"/>
    <w:rsid w:val="009E1FB3"/>
    <w:rsid w:val="009E1FD9"/>
    <w:rsid w:val="009E216D"/>
    <w:rsid w:val="009E21BD"/>
    <w:rsid w:val="009E22A0"/>
    <w:rsid w:val="009E2401"/>
    <w:rsid w:val="009E2404"/>
    <w:rsid w:val="009E24C9"/>
    <w:rsid w:val="009E25C3"/>
    <w:rsid w:val="009E26A8"/>
    <w:rsid w:val="009E271F"/>
    <w:rsid w:val="009E272D"/>
    <w:rsid w:val="009E2735"/>
    <w:rsid w:val="009E2809"/>
    <w:rsid w:val="009E281D"/>
    <w:rsid w:val="009E2ADC"/>
    <w:rsid w:val="009E2AEE"/>
    <w:rsid w:val="009E2B38"/>
    <w:rsid w:val="009E2B48"/>
    <w:rsid w:val="009E2BD4"/>
    <w:rsid w:val="009E2DDD"/>
    <w:rsid w:val="009E2DF6"/>
    <w:rsid w:val="009E2E4C"/>
    <w:rsid w:val="009E2EA9"/>
    <w:rsid w:val="009E3013"/>
    <w:rsid w:val="009E304C"/>
    <w:rsid w:val="009E30D9"/>
    <w:rsid w:val="009E30FE"/>
    <w:rsid w:val="009E312E"/>
    <w:rsid w:val="009E3156"/>
    <w:rsid w:val="009E31BC"/>
    <w:rsid w:val="009E327A"/>
    <w:rsid w:val="009E338F"/>
    <w:rsid w:val="009E339F"/>
    <w:rsid w:val="009E343C"/>
    <w:rsid w:val="009E34C6"/>
    <w:rsid w:val="009E34EB"/>
    <w:rsid w:val="009E3517"/>
    <w:rsid w:val="009E35C5"/>
    <w:rsid w:val="009E3618"/>
    <w:rsid w:val="009E361B"/>
    <w:rsid w:val="009E3ADA"/>
    <w:rsid w:val="009E3BA0"/>
    <w:rsid w:val="009E3BC4"/>
    <w:rsid w:val="009E3C8D"/>
    <w:rsid w:val="009E3CC6"/>
    <w:rsid w:val="009E3E41"/>
    <w:rsid w:val="009E3E60"/>
    <w:rsid w:val="009E3F13"/>
    <w:rsid w:val="009E3F7A"/>
    <w:rsid w:val="009E4039"/>
    <w:rsid w:val="009E4050"/>
    <w:rsid w:val="009E4063"/>
    <w:rsid w:val="009E40EB"/>
    <w:rsid w:val="009E418B"/>
    <w:rsid w:val="009E418E"/>
    <w:rsid w:val="009E41D4"/>
    <w:rsid w:val="009E41F5"/>
    <w:rsid w:val="009E423B"/>
    <w:rsid w:val="009E42DD"/>
    <w:rsid w:val="009E42E1"/>
    <w:rsid w:val="009E42F5"/>
    <w:rsid w:val="009E4357"/>
    <w:rsid w:val="009E43BE"/>
    <w:rsid w:val="009E4413"/>
    <w:rsid w:val="009E4429"/>
    <w:rsid w:val="009E4901"/>
    <w:rsid w:val="009E494E"/>
    <w:rsid w:val="009E4A81"/>
    <w:rsid w:val="009E4C38"/>
    <w:rsid w:val="009E4E62"/>
    <w:rsid w:val="009E4F59"/>
    <w:rsid w:val="009E505C"/>
    <w:rsid w:val="009E512F"/>
    <w:rsid w:val="009E52F6"/>
    <w:rsid w:val="009E5421"/>
    <w:rsid w:val="009E5436"/>
    <w:rsid w:val="009E5498"/>
    <w:rsid w:val="009E54A3"/>
    <w:rsid w:val="009E54F8"/>
    <w:rsid w:val="009E5500"/>
    <w:rsid w:val="009E567B"/>
    <w:rsid w:val="009E579C"/>
    <w:rsid w:val="009E57C1"/>
    <w:rsid w:val="009E583A"/>
    <w:rsid w:val="009E5841"/>
    <w:rsid w:val="009E5845"/>
    <w:rsid w:val="009E58A6"/>
    <w:rsid w:val="009E58CA"/>
    <w:rsid w:val="009E58CB"/>
    <w:rsid w:val="009E5932"/>
    <w:rsid w:val="009E5964"/>
    <w:rsid w:val="009E5B4E"/>
    <w:rsid w:val="009E5BE2"/>
    <w:rsid w:val="009E5C42"/>
    <w:rsid w:val="009E5C55"/>
    <w:rsid w:val="009E5D47"/>
    <w:rsid w:val="009E5DD7"/>
    <w:rsid w:val="009E5E18"/>
    <w:rsid w:val="009E5E25"/>
    <w:rsid w:val="009E5E76"/>
    <w:rsid w:val="009E5F75"/>
    <w:rsid w:val="009E60AC"/>
    <w:rsid w:val="009E60C0"/>
    <w:rsid w:val="009E6131"/>
    <w:rsid w:val="009E61B8"/>
    <w:rsid w:val="009E61E4"/>
    <w:rsid w:val="009E6280"/>
    <w:rsid w:val="009E62BA"/>
    <w:rsid w:val="009E62E7"/>
    <w:rsid w:val="009E633D"/>
    <w:rsid w:val="009E6340"/>
    <w:rsid w:val="009E63D2"/>
    <w:rsid w:val="009E6502"/>
    <w:rsid w:val="009E6611"/>
    <w:rsid w:val="009E66B1"/>
    <w:rsid w:val="009E66CD"/>
    <w:rsid w:val="009E673D"/>
    <w:rsid w:val="009E6823"/>
    <w:rsid w:val="009E683F"/>
    <w:rsid w:val="009E684F"/>
    <w:rsid w:val="009E6865"/>
    <w:rsid w:val="009E686C"/>
    <w:rsid w:val="009E691F"/>
    <w:rsid w:val="009E694B"/>
    <w:rsid w:val="009E6B2B"/>
    <w:rsid w:val="009E6B68"/>
    <w:rsid w:val="009E6D53"/>
    <w:rsid w:val="009E6D87"/>
    <w:rsid w:val="009E6DD4"/>
    <w:rsid w:val="009E6DDD"/>
    <w:rsid w:val="009E6E86"/>
    <w:rsid w:val="009E6EC8"/>
    <w:rsid w:val="009E6F4D"/>
    <w:rsid w:val="009E70CD"/>
    <w:rsid w:val="009E7173"/>
    <w:rsid w:val="009E7184"/>
    <w:rsid w:val="009E724A"/>
    <w:rsid w:val="009E72BC"/>
    <w:rsid w:val="009E72D1"/>
    <w:rsid w:val="009E735B"/>
    <w:rsid w:val="009E739F"/>
    <w:rsid w:val="009E7517"/>
    <w:rsid w:val="009E7529"/>
    <w:rsid w:val="009E7564"/>
    <w:rsid w:val="009E7572"/>
    <w:rsid w:val="009E7579"/>
    <w:rsid w:val="009E757F"/>
    <w:rsid w:val="009E766A"/>
    <w:rsid w:val="009E7730"/>
    <w:rsid w:val="009E7746"/>
    <w:rsid w:val="009E774A"/>
    <w:rsid w:val="009E7884"/>
    <w:rsid w:val="009E7A0C"/>
    <w:rsid w:val="009E7A9D"/>
    <w:rsid w:val="009E7B34"/>
    <w:rsid w:val="009E7BB5"/>
    <w:rsid w:val="009E7C1C"/>
    <w:rsid w:val="009E7C94"/>
    <w:rsid w:val="009E7E22"/>
    <w:rsid w:val="009E7FA8"/>
    <w:rsid w:val="009E7FD8"/>
    <w:rsid w:val="009F007C"/>
    <w:rsid w:val="009F00C8"/>
    <w:rsid w:val="009F00F6"/>
    <w:rsid w:val="009F0138"/>
    <w:rsid w:val="009F0141"/>
    <w:rsid w:val="009F015F"/>
    <w:rsid w:val="009F028B"/>
    <w:rsid w:val="009F03B5"/>
    <w:rsid w:val="009F03DC"/>
    <w:rsid w:val="009F067D"/>
    <w:rsid w:val="009F0686"/>
    <w:rsid w:val="009F06AC"/>
    <w:rsid w:val="009F06F6"/>
    <w:rsid w:val="009F0722"/>
    <w:rsid w:val="009F0753"/>
    <w:rsid w:val="009F07F8"/>
    <w:rsid w:val="009F0828"/>
    <w:rsid w:val="009F08FE"/>
    <w:rsid w:val="009F09C4"/>
    <w:rsid w:val="009F0A88"/>
    <w:rsid w:val="009F0DA2"/>
    <w:rsid w:val="009F0DD9"/>
    <w:rsid w:val="009F0E96"/>
    <w:rsid w:val="009F0EDA"/>
    <w:rsid w:val="009F0F11"/>
    <w:rsid w:val="009F0F86"/>
    <w:rsid w:val="009F103A"/>
    <w:rsid w:val="009F10CC"/>
    <w:rsid w:val="009F112D"/>
    <w:rsid w:val="009F1200"/>
    <w:rsid w:val="009F142D"/>
    <w:rsid w:val="009F14E9"/>
    <w:rsid w:val="009F1547"/>
    <w:rsid w:val="009F169D"/>
    <w:rsid w:val="009F16F6"/>
    <w:rsid w:val="009F1729"/>
    <w:rsid w:val="009F173D"/>
    <w:rsid w:val="009F17C9"/>
    <w:rsid w:val="009F17E3"/>
    <w:rsid w:val="009F185A"/>
    <w:rsid w:val="009F1884"/>
    <w:rsid w:val="009F1A8C"/>
    <w:rsid w:val="009F1B1B"/>
    <w:rsid w:val="009F1B74"/>
    <w:rsid w:val="009F1BB2"/>
    <w:rsid w:val="009F1D39"/>
    <w:rsid w:val="009F1D89"/>
    <w:rsid w:val="009F1E26"/>
    <w:rsid w:val="009F1E68"/>
    <w:rsid w:val="009F1ED7"/>
    <w:rsid w:val="009F1F48"/>
    <w:rsid w:val="009F1F4D"/>
    <w:rsid w:val="009F1F53"/>
    <w:rsid w:val="009F1FA1"/>
    <w:rsid w:val="009F2193"/>
    <w:rsid w:val="009F220D"/>
    <w:rsid w:val="009F222D"/>
    <w:rsid w:val="009F2268"/>
    <w:rsid w:val="009F2441"/>
    <w:rsid w:val="009F245E"/>
    <w:rsid w:val="009F24C9"/>
    <w:rsid w:val="009F251A"/>
    <w:rsid w:val="009F264B"/>
    <w:rsid w:val="009F265A"/>
    <w:rsid w:val="009F2661"/>
    <w:rsid w:val="009F2688"/>
    <w:rsid w:val="009F269E"/>
    <w:rsid w:val="009F26C4"/>
    <w:rsid w:val="009F281D"/>
    <w:rsid w:val="009F2882"/>
    <w:rsid w:val="009F2A62"/>
    <w:rsid w:val="009F2AC1"/>
    <w:rsid w:val="009F2B41"/>
    <w:rsid w:val="009F2BAC"/>
    <w:rsid w:val="009F2BB6"/>
    <w:rsid w:val="009F2C2A"/>
    <w:rsid w:val="009F2CA8"/>
    <w:rsid w:val="009F2D04"/>
    <w:rsid w:val="009F2D16"/>
    <w:rsid w:val="009F2DD3"/>
    <w:rsid w:val="009F2E1B"/>
    <w:rsid w:val="009F2F32"/>
    <w:rsid w:val="009F2F43"/>
    <w:rsid w:val="009F2FDE"/>
    <w:rsid w:val="009F300C"/>
    <w:rsid w:val="009F3042"/>
    <w:rsid w:val="009F3208"/>
    <w:rsid w:val="009F3255"/>
    <w:rsid w:val="009F325A"/>
    <w:rsid w:val="009F326E"/>
    <w:rsid w:val="009F3386"/>
    <w:rsid w:val="009F339C"/>
    <w:rsid w:val="009F34B7"/>
    <w:rsid w:val="009F3602"/>
    <w:rsid w:val="009F362E"/>
    <w:rsid w:val="009F3630"/>
    <w:rsid w:val="009F363F"/>
    <w:rsid w:val="009F367D"/>
    <w:rsid w:val="009F369F"/>
    <w:rsid w:val="009F36A8"/>
    <w:rsid w:val="009F36FC"/>
    <w:rsid w:val="009F3700"/>
    <w:rsid w:val="009F372E"/>
    <w:rsid w:val="009F377A"/>
    <w:rsid w:val="009F3782"/>
    <w:rsid w:val="009F3863"/>
    <w:rsid w:val="009F3931"/>
    <w:rsid w:val="009F3971"/>
    <w:rsid w:val="009F39B2"/>
    <w:rsid w:val="009F3A45"/>
    <w:rsid w:val="009F3A71"/>
    <w:rsid w:val="009F3B50"/>
    <w:rsid w:val="009F3BB6"/>
    <w:rsid w:val="009F3C52"/>
    <w:rsid w:val="009F3C5C"/>
    <w:rsid w:val="009F3C60"/>
    <w:rsid w:val="009F3CD0"/>
    <w:rsid w:val="009F3E1D"/>
    <w:rsid w:val="009F3ECD"/>
    <w:rsid w:val="009F403E"/>
    <w:rsid w:val="009F409C"/>
    <w:rsid w:val="009F413E"/>
    <w:rsid w:val="009F4169"/>
    <w:rsid w:val="009F42FF"/>
    <w:rsid w:val="009F43DF"/>
    <w:rsid w:val="009F4499"/>
    <w:rsid w:val="009F44B8"/>
    <w:rsid w:val="009F44BD"/>
    <w:rsid w:val="009F4515"/>
    <w:rsid w:val="009F4596"/>
    <w:rsid w:val="009F45F5"/>
    <w:rsid w:val="009F4642"/>
    <w:rsid w:val="009F4877"/>
    <w:rsid w:val="009F49B7"/>
    <w:rsid w:val="009F4A34"/>
    <w:rsid w:val="009F4B02"/>
    <w:rsid w:val="009F4B13"/>
    <w:rsid w:val="009F4BEC"/>
    <w:rsid w:val="009F4C80"/>
    <w:rsid w:val="009F4C8B"/>
    <w:rsid w:val="009F4CE2"/>
    <w:rsid w:val="009F4E26"/>
    <w:rsid w:val="009F4EE5"/>
    <w:rsid w:val="009F514E"/>
    <w:rsid w:val="009F517A"/>
    <w:rsid w:val="009F5222"/>
    <w:rsid w:val="009F5249"/>
    <w:rsid w:val="009F530B"/>
    <w:rsid w:val="009F534E"/>
    <w:rsid w:val="009F53F5"/>
    <w:rsid w:val="009F5498"/>
    <w:rsid w:val="009F54DF"/>
    <w:rsid w:val="009F54EC"/>
    <w:rsid w:val="009F5522"/>
    <w:rsid w:val="009F55E0"/>
    <w:rsid w:val="009F55E6"/>
    <w:rsid w:val="009F56F2"/>
    <w:rsid w:val="009F5725"/>
    <w:rsid w:val="009F5751"/>
    <w:rsid w:val="009F5821"/>
    <w:rsid w:val="009F5A1D"/>
    <w:rsid w:val="009F5A57"/>
    <w:rsid w:val="009F5AC4"/>
    <w:rsid w:val="009F5AC6"/>
    <w:rsid w:val="009F5AE6"/>
    <w:rsid w:val="009F5B5C"/>
    <w:rsid w:val="009F5B6C"/>
    <w:rsid w:val="009F5BB4"/>
    <w:rsid w:val="009F5BBE"/>
    <w:rsid w:val="009F5BDF"/>
    <w:rsid w:val="009F5DF5"/>
    <w:rsid w:val="009F5E01"/>
    <w:rsid w:val="009F5E5D"/>
    <w:rsid w:val="009F5E67"/>
    <w:rsid w:val="009F5ECC"/>
    <w:rsid w:val="009F609A"/>
    <w:rsid w:val="009F60BD"/>
    <w:rsid w:val="009F6131"/>
    <w:rsid w:val="009F61CB"/>
    <w:rsid w:val="009F61FD"/>
    <w:rsid w:val="009F6212"/>
    <w:rsid w:val="009F625C"/>
    <w:rsid w:val="009F62FA"/>
    <w:rsid w:val="009F638F"/>
    <w:rsid w:val="009F6587"/>
    <w:rsid w:val="009F6593"/>
    <w:rsid w:val="009F65E9"/>
    <w:rsid w:val="009F6607"/>
    <w:rsid w:val="009F6651"/>
    <w:rsid w:val="009F668C"/>
    <w:rsid w:val="009F6716"/>
    <w:rsid w:val="009F6743"/>
    <w:rsid w:val="009F67C9"/>
    <w:rsid w:val="009F6821"/>
    <w:rsid w:val="009F6A10"/>
    <w:rsid w:val="009F6A3B"/>
    <w:rsid w:val="009F6C7F"/>
    <w:rsid w:val="009F6C94"/>
    <w:rsid w:val="009F6CF5"/>
    <w:rsid w:val="009F6D51"/>
    <w:rsid w:val="009F6D62"/>
    <w:rsid w:val="009F6D76"/>
    <w:rsid w:val="009F6D8F"/>
    <w:rsid w:val="009F6DEC"/>
    <w:rsid w:val="009F6E9F"/>
    <w:rsid w:val="009F6EB5"/>
    <w:rsid w:val="009F70EA"/>
    <w:rsid w:val="009F7122"/>
    <w:rsid w:val="009F72C6"/>
    <w:rsid w:val="009F734B"/>
    <w:rsid w:val="009F73DF"/>
    <w:rsid w:val="009F742D"/>
    <w:rsid w:val="009F7469"/>
    <w:rsid w:val="009F750D"/>
    <w:rsid w:val="009F754E"/>
    <w:rsid w:val="009F7557"/>
    <w:rsid w:val="009F75F7"/>
    <w:rsid w:val="009F760B"/>
    <w:rsid w:val="009F7676"/>
    <w:rsid w:val="009F77AE"/>
    <w:rsid w:val="009F786D"/>
    <w:rsid w:val="009F7A41"/>
    <w:rsid w:val="009F7AB1"/>
    <w:rsid w:val="009F7AD5"/>
    <w:rsid w:val="009F7B84"/>
    <w:rsid w:val="009F7BE7"/>
    <w:rsid w:val="009F7C6D"/>
    <w:rsid w:val="009F7CD0"/>
    <w:rsid w:val="009F7D88"/>
    <w:rsid w:val="009F7DE0"/>
    <w:rsid w:val="009F7DEF"/>
    <w:rsid w:val="009F7E93"/>
    <w:rsid w:val="009F7EEC"/>
    <w:rsid w:val="009F7F5F"/>
    <w:rsid w:val="009F7F91"/>
    <w:rsid w:val="00A00039"/>
    <w:rsid w:val="00A0007D"/>
    <w:rsid w:val="00A000A0"/>
    <w:rsid w:val="00A000A2"/>
    <w:rsid w:val="00A00175"/>
    <w:rsid w:val="00A001C9"/>
    <w:rsid w:val="00A002A2"/>
    <w:rsid w:val="00A00327"/>
    <w:rsid w:val="00A0032D"/>
    <w:rsid w:val="00A00330"/>
    <w:rsid w:val="00A0037D"/>
    <w:rsid w:val="00A003CA"/>
    <w:rsid w:val="00A0040E"/>
    <w:rsid w:val="00A0043E"/>
    <w:rsid w:val="00A00537"/>
    <w:rsid w:val="00A0059C"/>
    <w:rsid w:val="00A0065A"/>
    <w:rsid w:val="00A00738"/>
    <w:rsid w:val="00A0074E"/>
    <w:rsid w:val="00A00768"/>
    <w:rsid w:val="00A0092E"/>
    <w:rsid w:val="00A00975"/>
    <w:rsid w:val="00A009F3"/>
    <w:rsid w:val="00A00B6C"/>
    <w:rsid w:val="00A00BE0"/>
    <w:rsid w:val="00A00D0F"/>
    <w:rsid w:val="00A00D57"/>
    <w:rsid w:val="00A00DD1"/>
    <w:rsid w:val="00A00E6A"/>
    <w:rsid w:val="00A00F80"/>
    <w:rsid w:val="00A00F81"/>
    <w:rsid w:val="00A00F8B"/>
    <w:rsid w:val="00A01119"/>
    <w:rsid w:val="00A013F2"/>
    <w:rsid w:val="00A01410"/>
    <w:rsid w:val="00A01449"/>
    <w:rsid w:val="00A0145F"/>
    <w:rsid w:val="00A01522"/>
    <w:rsid w:val="00A015F9"/>
    <w:rsid w:val="00A0162C"/>
    <w:rsid w:val="00A01696"/>
    <w:rsid w:val="00A01704"/>
    <w:rsid w:val="00A01884"/>
    <w:rsid w:val="00A0196F"/>
    <w:rsid w:val="00A01AF1"/>
    <w:rsid w:val="00A01B13"/>
    <w:rsid w:val="00A01BA8"/>
    <w:rsid w:val="00A01CB7"/>
    <w:rsid w:val="00A01CCE"/>
    <w:rsid w:val="00A01E53"/>
    <w:rsid w:val="00A01F43"/>
    <w:rsid w:val="00A01F6B"/>
    <w:rsid w:val="00A01F8A"/>
    <w:rsid w:val="00A01FBA"/>
    <w:rsid w:val="00A01FD6"/>
    <w:rsid w:val="00A02004"/>
    <w:rsid w:val="00A02006"/>
    <w:rsid w:val="00A020F5"/>
    <w:rsid w:val="00A0214D"/>
    <w:rsid w:val="00A0214F"/>
    <w:rsid w:val="00A02179"/>
    <w:rsid w:val="00A021D0"/>
    <w:rsid w:val="00A02370"/>
    <w:rsid w:val="00A023BE"/>
    <w:rsid w:val="00A0245A"/>
    <w:rsid w:val="00A02498"/>
    <w:rsid w:val="00A02532"/>
    <w:rsid w:val="00A025D2"/>
    <w:rsid w:val="00A0261F"/>
    <w:rsid w:val="00A02621"/>
    <w:rsid w:val="00A0266E"/>
    <w:rsid w:val="00A02720"/>
    <w:rsid w:val="00A027EB"/>
    <w:rsid w:val="00A02865"/>
    <w:rsid w:val="00A028B4"/>
    <w:rsid w:val="00A029A7"/>
    <w:rsid w:val="00A02A7B"/>
    <w:rsid w:val="00A02ACD"/>
    <w:rsid w:val="00A02AFA"/>
    <w:rsid w:val="00A02B4C"/>
    <w:rsid w:val="00A02C1C"/>
    <w:rsid w:val="00A02C26"/>
    <w:rsid w:val="00A02D52"/>
    <w:rsid w:val="00A02DA2"/>
    <w:rsid w:val="00A02DFC"/>
    <w:rsid w:val="00A02E89"/>
    <w:rsid w:val="00A02F13"/>
    <w:rsid w:val="00A02FB3"/>
    <w:rsid w:val="00A03011"/>
    <w:rsid w:val="00A0305F"/>
    <w:rsid w:val="00A030BB"/>
    <w:rsid w:val="00A0315D"/>
    <w:rsid w:val="00A03183"/>
    <w:rsid w:val="00A0319E"/>
    <w:rsid w:val="00A031BC"/>
    <w:rsid w:val="00A031DC"/>
    <w:rsid w:val="00A032B2"/>
    <w:rsid w:val="00A032DA"/>
    <w:rsid w:val="00A0361A"/>
    <w:rsid w:val="00A03759"/>
    <w:rsid w:val="00A03771"/>
    <w:rsid w:val="00A03891"/>
    <w:rsid w:val="00A039B6"/>
    <w:rsid w:val="00A039BE"/>
    <w:rsid w:val="00A03AC2"/>
    <w:rsid w:val="00A03B82"/>
    <w:rsid w:val="00A03BD6"/>
    <w:rsid w:val="00A03C13"/>
    <w:rsid w:val="00A03C55"/>
    <w:rsid w:val="00A03C75"/>
    <w:rsid w:val="00A03C8E"/>
    <w:rsid w:val="00A03D75"/>
    <w:rsid w:val="00A03E69"/>
    <w:rsid w:val="00A03F74"/>
    <w:rsid w:val="00A04151"/>
    <w:rsid w:val="00A0434C"/>
    <w:rsid w:val="00A0435B"/>
    <w:rsid w:val="00A0460F"/>
    <w:rsid w:val="00A04617"/>
    <w:rsid w:val="00A0465E"/>
    <w:rsid w:val="00A0468E"/>
    <w:rsid w:val="00A047F8"/>
    <w:rsid w:val="00A04920"/>
    <w:rsid w:val="00A04921"/>
    <w:rsid w:val="00A04975"/>
    <w:rsid w:val="00A0497F"/>
    <w:rsid w:val="00A04A90"/>
    <w:rsid w:val="00A04BD6"/>
    <w:rsid w:val="00A04D1D"/>
    <w:rsid w:val="00A04D36"/>
    <w:rsid w:val="00A04D7C"/>
    <w:rsid w:val="00A04D8D"/>
    <w:rsid w:val="00A04E39"/>
    <w:rsid w:val="00A04E90"/>
    <w:rsid w:val="00A04F1B"/>
    <w:rsid w:val="00A04F3A"/>
    <w:rsid w:val="00A04F3B"/>
    <w:rsid w:val="00A04F4C"/>
    <w:rsid w:val="00A04FF3"/>
    <w:rsid w:val="00A05008"/>
    <w:rsid w:val="00A05115"/>
    <w:rsid w:val="00A0521D"/>
    <w:rsid w:val="00A052BD"/>
    <w:rsid w:val="00A052CE"/>
    <w:rsid w:val="00A05359"/>
    <w:rsid w:val="00A0537A"/>
    <w:rsid w:val="00A05383"/>
    <w:rsid w:val="00A05409"/>
    <w:rsid w:val="00A054E2"/>
    <w:rsid w:val="00A05596"/>
    <w:rsid w:val="00A05625"/>
    <w:rsid w:val="00A056A0"/>
    <w:rsid w:val="00A0572C"/>
    <w:rsid w:val="00A0575B"/>
    <w:rsid w:val="00A0588D"/>
    <w:rsid w:val="00A058B4"/>
    <w:rsid w:val="00A058DA"/>
    <w:rsid w:val="00A0593A"/>
    <w:rsid w:val="00A05A28"/>
    <w:rsid w:val="00A05B0C"/>
    <w:rsid w:val="00A05B79"/>
    <w:rsid w:val="00A05BD1"/>
    <w:rsid w:val="00A05E89"/>
    <w:rsid w:val="00A05E9A"/>
    <w:rsid w:val="00A05EF6"/>
    <w:rsid w:val="00A05F03"/>
    <w:rsid w:val="00A05F19"/>
    <w:rsid w:val="00A05FA1"/>
    <w:rsid w:val="00A05FD1"/>
    <w:rsid w:val="00A0614C"/>
    <w:rsid w:val="00A06272"/>
    <w:rsid w:val="00A062BD"/>
    <w:rsid w:val="00A06302"/>
    <w:rsid w:val="00A063C9"/>
    <w:rsid w:val="00A06401"/>
    <w:rsid w:val="00A06440"/>
    <w:rsid w:val="00A06453"/>
    <w:rsid w:val="00A0656B"/>
    <w:rsid w:val="00A06630"/>
    <w:rsid w:val="00A0666C"/>
    <w:rsid w:val="00A06756"/>
    <w:rsid w:val="00A068C2"/>
    <w:rsid w:val="00A06A0A"/>
    <w:rsid w:val="00A06A2E"/>
    <w:rsid w:val="00A06C4C"/>
    <w:rsid w:val="00A06C97"/>
    <w:rsid w:val="00A06CB0"/>
    <w:rsid w:val="00A06D1C"/>
    <w:rsid w:val="00A06D60"/>
    <w:rsid w:val="00A06E12"/>
    <w:rsid w:val="00A06F07"/>
    <w:rsid w:val="00A06F69"/>
    <w:rsid w:val="00A0702B"/>
    <w:rsid w:val="00A07183"/>
    <w:rsid w:val="00A072B1"/>
    <w:rsid w:val="00A0741B"/>
    <w:rsid w:val="00A076EE"/>
    <w:rsid w:val="00A07878"/>
    <w:rsid w:val="00A07918"/>
    <w:rsid w:val="00A0791D"/>
    <w:rsid w:val="00A07944"/>
    <w:rsid w:val="00A0794A"/>
    <w:rsid w:val="00A079BF"/>
    <w:rsid w:val="00A079CD"/>
    <w:rsid w:val="00A079E8"/>
    <w:rsid w:val="00A07A0F"/>
    <w:rsid w:val="00A07AAD"/>
    <w:rsid w:val="00A07AE3"/>
    <w:rsid w:val="00A07B43"/>
    <w:rsid w:val="00A07B45"/>
    <w:rsid w:val="00A07D91"/>
    <w:rsid w:val="00A07DF0"/>
    <w:rsid w:val="00A07E0E"/>
    <w:rsid w:val="00A07E4F"/>
    <w:rsid w:val="00A07E63"/>
    <w:rsid w:val="00A07F29"/>
    <w:rsid w:val="00A07FFD"/>
    <w:rsid w:val="00A10146"/>
    <w:rsid w:val="00A10195"/>
    <w:rsid w:val="00A101EA"/>
    <w:rsid w:val="00A10202"/>
    <w:rsid w:val="00A1021A"/>
    <w:rsid w:val="00A1027C"/>
    <w:rsid w:val="00A102DF"/>
    <w:rsid w:val="00A10344"/>
    <w:rsid w:val="00A10356"/>
    <w:rsid w:val="00A1036A"/>
    <w:rsid w:val="00A10424"/>
    <w:rsid w:val="00A1048B"/>
    <w:rsid w:val="00A105FA"/>
    <w:rsid w:val="00A10627"/>
    <w:rsid w:val="00A106AC"/>
    <w:rsid w:val="00A10728"/>
    <w:rsid w:val="00A107CE"/>
    <w:rsid w:val="00A108B0"/>
    <w:rsid w:val="00A10901"/>
    <w:rsid w:val="00A10942"/>
    <w:rsid w:val="00A10A12"/>
    <w:rsid w:val="00A10A14"/>
    <w:rsid w:val="00A10ABE"/>
    <w:rsid w:val="00A10BAA"/>
    <w:rsid w:val="00A10C4E"/>
    <w:rsid w:val="00A10CEA"/>
    <w:rsid w:val="00A10D6F"/>
    <w:rsid w:val="00A10DE9"/>
    <w:rsid w:val="00A10EB9"/>
    <w:rsid w:val="00A11013"/>
    <w:rsid w:val="00A11085"/>
    <w:rsid w:val="00A1112C"/>
    <w:rsid w:val="00A112F8"/>
    <w:rsid w:val="00A1136A"/>
    <w:rsid w:val="00A113DC"/>
    <w:rsid w:val="00A1150A"/>
    <w:rsid w:val="00A1154D"/>
    <w:rsid w:val="00A1163F"/>
    <w:rsid w:val="00A116E6"/>
    <w:rsid w:val="00A11733"/>
    <w:rsid w:val="00A119A6"/>
    <w:rsid w:val="00A119B8"/>
    <w:rsid w:val="00A11A97"/>
    <w:rsid w:val="00A11B92"/>
    <w:rsid w:val="00A11C05"/>
    <w:rsid w:val="00A11C4A"/>
    <w:rsid w:val="00A11DDF"/>
    <w:rsid w:val="00A11E75"/>
    <w:rsid w:val="00A11F24"/>
    <w:rsid w:val="00A11FDE"/>
    <w:rsid w:val="00A120BE"/>
    <w:rsid w:val="00A12123"/>
    <w:rsid w:val="00A12172"/>
    <w:rsid w:val="00A1227E"/>
    <w:rsid w:val="00A122F0"/>
    <w:rsid w:val="00A1250B"/>
    <w:rsid w:val="00A12541"/>
    <w:rsid w:val="00A126E1"/>
    <w:rsid w:val="00A127EF"/>
    <w:rsid w:val="00A12938"/>
    <w:rsid w:val="00A129EF"/>
    <w:rsid w:val="00A129F2"/>
    <w:rsid w:val="00A12B47"/>
    <w:rsid w:val="00A12B8C"/>
    <w:rsid w:val="00A1300C"/>
    <w:rsid w:val="00A13034"/>
    <w:rsid w:val="00A13062"/>
    <w:rsid w:val="00A1306F"/>
    <w:rsid w:val="00A1320D"/>
    <w:rsid w:val="00A1320F"/>
    <w:rsid w:val="00A13232"/>
    <w:rsid w:val="00A13280"/>
    <w:rsid w:val="00A13328"/>
    <w:rsid w:val="00A13360"/>
    <w:rsid w:val="00A133A3"/>
    <w:rsid w:val="00A133C8"/>
    <w:rsid w:val="00A134D7"/>
    <w:rsid w:val="00A1351D"/>
    <w:rsid w:val="00A13533"/>
    <w:rsid w:val="00A13540"/>
    <w:rsid w:val="00A135A7"/>
    <w:rsid w:val="00A135AB"/>
    <w:rsid w:val="00A135AE"/>
    <w:rsid w:val="00A135E7"/>
    <w:rsid w:val="00A1361E"/>
    <w:rsid w:val="00A1365D"/>
    <w:rsid w:val="00A13759"/>
    <w:rsid w:val="00A1379C"/>
    <w:rsid w:val="00A13A0C"/>
    <w:rsid w:val="00A13A34"/>
    <w:rsid w:val="00A13A6B"/>
    <w:rsid w:val="00A13AA8"/>
    <w:rsid w:val="00A13AC6"/>
    <w:rsid w:val="00A13ACC"/>
    <w:rsid w:val="00A13B3A"/>
    <w:rsid w:val="00A13C2D"/>
    <w:rsid w:val="00A13C8C"/>
    <w:rsid w:val="00A13D44"/>
    <w:rsid w:val="00A13D67"/>
    <w:rsid w:val="00A13D7F"/>
    <w:rsid w:val="00A13E17"/>
    <w:rsid w:val="00A13E73"/>
    <w:rsid w:val="00A13EA6"/>
    <w:rsid w:val="00A13EF8"/>
    <w:rsid w:val="00A13FBC"/>
    <w:rsid w:val="00A13FBD"/>
    <w:rsid w:val="00A13FEE"/>
    <w:rsid w:val="00A1401E"/>
    <w:rsid w:val="00A14041"/>
    <w:rsid w:val="00A14052"/>
    <w:rsid w:val="00A140CD"/>
    <w:rsid w:val="00A14207"/>
    <w:rsid w:val="00A143AF"/>
    <w:rsid w:val="00A14429"/>
    <w:rsid w:val="00A1452A"/>
    <w:rsid w:val="00A14586"/>
    <w:rsid w:val="00A1459B"/>
    <w:rsid w:val="00A147B9"/>
    <w:rsid w:val="00A14850"/>
    <w:rsid w:val="00A149CC"/>
    <w:rsid w:val="00A14A4B"/>
    <w:rsid w:val="00A14A58"/>
    <w:rsid w:val="00A14AFF"/>
    <w:rsid w:val="00A14B8B"/>
    <w:rsid w:val="00A14C33"/>
    <w:rsid w:val="00A14C53"/>
    <w:rsid w:val="00A14C77"/>
    <w:rsid w:val="00A14CA3"/>
    <w:rsid w:val="00A14CFB"/>
    <w:rsid w:val="00A14DBE"/>
    <w:rsid w:val="00A14E2B"/>
    <w:rsid w:val="00A14F15"/>
    <w:rsid w:val="00A14F4C"/>
    <w:rsid w:val="00A14F65"/>
    <w:rsid w:val="00A152B9"/>
    <w:rsid w:val="00A152EA"/>
    <w:rsid w:val="00A153F2"/>
    <w:rsid w:val="00A1543C"/>
    <w:rsid w:val="00A15538"/>
    <w:rsid w:val="00A1566D"/>
    <w:rsid w:val="00A156AE"/>
    <w:rsid w:val="00A156FB"/>
    <w:rsid w:val="00A15720"/>
    <w:rsid w:val="00A157B9"/>
    <w:rsid w:val="00A157D0"/>
    <w:rsid w:val="00A157DA"/>
    <w:rsid w:val="00A15814"/>
    <w:rsid w:val="00A15867"/>
    <w:rsid w:val="00A1590B"/>
    <w:rsid w:val="00A15918"/>
    <w:rsid w:val="00A15984"/>
    <w:rsid w:val="00A159EA"/>
    <w:rsid w:val="00A15A66"/>
    <w:rsid w:val="00A15ADB"/>
    <w:rsid w:val="00A15AFC"/>
    <w:rsid w:val="00A15B7C"/>
    <w:rsid w:val="00A15BD2"/>
    <w:rsid w:val="00A15C05"/>
    <w:rsid w:val="00A15C36"/>
    <w:rsid w:val="00A15C6C"/>
    <w:rsid w:val="00A15E70"/>
    <w:rsid w:val="00A15ECE"/>
    <w:rsid w:val="00A15FED"/>
    <w:rsid w:val="00A16018"/>
    <w:rsid w:val="00A160B3"/>
    <w:rsid w:val="00A160FA"/>
    <w:rsid w:val="00A161E3"/>
    <w:rsid w:val="00A163D3"/>
    <w:rsid w:val="00A164BE"/>
    <w:rsid w:val="00A16547"/>
    <w:rsid w:val="00A165CB"/>
    <w:rsid w:val="00A165DB"/>
    <w:rsid w:val="00A1667B"/>
    <w:rsid w:val="00A16685"/>
    <w:rsid w:val="00A166A5"/>
    <w:rsid w:val="00A166D7"/>
    <w:rsid w:val="00A166F7"/>
    <w:rsid w:val="00A166FF"/>
    <w:rsid w:val="00A16700"/>
    <w:rsid w:val="00A1676E"/>
    <w:rsid w:val="00A167E0"/>
    <w:rsid w:val="00A1684A"/>
    <w:rsid w:val="00A169BA"/>
    <w:rsid w:val="00A16A28"/>
    <w:rsid w:val="00A16ADE"/>
    <w:rsid w:val="00A16B09"/>
    <w:rsid w:val="00A16B39"/>
    <w:rsid w:val="00A16CC9"/>
    <w:rsid w:val="00A16E07"/>
    <w:rsid w:val="00A16E18"/>
    <w:rsid w:val="00A16E50"/>
    <w:rsid w:val="00A1702C"/>
    <w:rsid w:val="00A17056"/>
    <w:rsid w:val="00A1716E"/>
    <w:rsid w:val="00A171AA"/>
    <w:rsid w:val="00A171CD"/>
    <w:rsid w:val="00A17244"/>
    <w:rsid w:val="00A1727D"/>
    <w:rsid w:val="00A172AD"/>
    <w:rsid w:val="00A17369"/>
    <w:rsid w:val="00A17378"/>
    <w:rsid w:val="00A17426"/>
    <w:rsid w:val="00A17496"/>
    <w:rsid w:val="00A174AE"/>
    <w:rsid w:val="00A174EA"/>
    <w:rsid w:val="00A1756D"/>
    <w:rsid w:val="00A1758E"/>
    <w:rsid w:val="00A1771E"/>
    <w:rsid w:val="00A177F2"/>
    <w:rsid w:val="00A17866"/>
    <w:rsid w:val="00A179CE"/>
    <w:rsid w:val="00A17B51"/>
    <w:rsid w:val="00A17CB3"/>
    <w:rsid w:val="00A17CEB"/>
    <w:rsid w:val="00A17CF7"/>
    <w:rsid w:val="00A17D0C"/>
    <w:rsid w:val="00A17D3B"/>
    <w:rsid w:val="00A17EBA"/>
    <w:rsid w:val="00A17F3A"/>
    <w:rsid w:val="00A20056"/>
    <w:rsid w:val="00A20082"/>
    <w:rsid w:val="00A200ED"/>
    <w:rsid w:val="00A20122"/>
    <w:rsid w:val="00A20215"/>
    <w:rsid w:val="00A2025A"/>
    <w:rsid w:val="00A202C8"/>
    <w:rsid w:val="00A202E2"/>
    <w:rsid w:val="00A202FA"/>
    <w:rsid w:val="00A20375"/>
    <w:rsid w:val="00A20472"/>
    <w:rsid w:val="00A20752"/>
    <w:rsid w:val="00A2075D"/>
    <w:rsid w:val="00A20766"/>
    <w:rsid w:val="00A20871"/>
    <w:rsid w:val="00A20884"/>
    <w:rsid w:val="00A209E0"/>
    <w:rsid w:val="00A20A04"/>
    <w:rsid w:val="00A20A82"/>
    <w:rsid w:val="00A20B03"/>
    <w:rsid w:val="00A20B07"/>
    <w:rsid w:val="00A20B0C"/>
    <w:rsid w:val="00A20B8B"/>
    <w:rsid w:val="00A20BB9"/>
    <w:rsid w:val="00A20BE4"/>
    <w:rsid w:val="00A20BEB"/>
    <w:rsid w:val="00A20C6A"/>
    <w:rsid w:val="00A20C8A"/>
    <w:rsid w:val="00A20CFB"/>
    <w:rsid w:val="00A20E57"/>
    <w:rsid w:val="00A21008"/>
    <w:rsid w:val="00A21119"/>
    <w:rsid w:val="00A21138"/>
    <w:rsid w:val="00A2149F"/>
    <w:rsid w:val="00A2153B"/>
    <w:rsid w:val="00A215A9"/>
    <w:rsid w:val="00A2160C"/>
    <w:rsid w:val="00A21668"/>
    <w:rsid w:val="00A216FB"/>
    <w:rsid w:val="00A21803"/>
    <w:rsid w:val="00A2182F"/>
    <w:rsid w:val="00A2191E"/>
    <w:rsid w:val="00A219A3"/>
    <w:rsid w:val="00A219A5"/>
    <w:rsid w:val="00A21A08"/>
    <w:rsid w:val="00A21AB5"/>
    <w:rsid w:val="00A21AD5"/>
    <w:rsid w:val="00A21B1A"/>
    <w:rsid w:val="00A21B2C"/>
    <w:rsid w:val="00A21BA1"/>
    <w:rsid w:val="00A21BEB"/>
    <w:rsid w:val="00A21C0D"/>
    <w:rsid w:val="00A21C4A"/>
    <w:rsid w:val="00A21CBF"/>
    <w:rsid w:val="00A21DEE"/>
    <w:rsid w:val="00A21EC9"/>
    <w:rsid w:val="00A21FBA"/>
    <w:rsid w:val="00A2210E"/>
    <w:rsid w:val="00A2217F"/>
    <w:rsid w:val="00A221A2"/>
    <w:rsid w:val="00A22284"/>
    <w:rsid w:val="00A222AE"/>
    <w:rsid w:val="00A2239E"/>
    <w:rsid w:val="00A22464"/>
    <w:rsid w:val="00A2246E"/>
    <w:rsid w:val="00A22477"/>
    <w:rsid w:val="00A2262D"/>
    <w:rsid w:val="00A22717"/>
    <w:rsid w:val="00A227F0"/>
    <w:rsid w:val="00A2283B"/>
    <w:rsid w:val="00A22892"/>
    <w:rsid w:val="00A228CC"/>
    <w:rsid w:val="00A22920"/>
    <w:rsid w:val="00A22953"/>
    <w:rsid w:val="00A2298B"/>
    <w:rsid w:val="00A22A0A"/>
    <w:rsid w:val="00A22A82"/>
    <w:rsid w:val="00A22C15"/>
    <w:rsid w:val="00A22C40"/>
    <w:rsid w:val="00A22D53"/>
    <w:rsid w:val="00A22DAA"/>
    <w:rsid w:val="00A22DBB"/>
    <w:rsid w:val="00A22F60"/>
    <w:rsid w:val="00A22FDB"/>
    <w:rsid w:val="00A2310B"/>
    <w:rsid w:val="00A2310F"/>
    <w:rsid w:val="00A2314C"/>
    <w:rsid w:val="00A23206"/>
    <w:rsid w:val="00A2328F"/>
    <w:rsid w:val="00A232A2"/>
    <w:rsid w:val="00A232B4"/>
    <w:rsid w:val="00A232B8"/>
    <w:rsid w:val="00A232ED"/>
    <w:rsid w:val="00A232FB"/>
    <w:rsid w:val="00A23342"/>
    <w:rsid w:val="00A2349C"/>
    <w:rsid w:val="00A234CF"/>
    <w:rsid w:val="00A2355C"/>
    <w:rsid w:val="00A235D6"/>
    <w:rsid w:val="00A2364F"/>
    <w:rsid w:val="00A236C6"/>
    <w:rsid w:val="00A236C7"/>
    <w:rsid w:val="00A2373E"/>
    <w:rsid w:val="00A237D2"/>
    <w:rsid w:val="00A23818"/>
    <w:rsid w:val="00A238D9"/>
    <w:rsid w:val="00A2395B"/>
    <w:rsid w:val="00A2396B"/>
    <w:rsid w:val="00A2397E"/>
    <w:rsid w:val="00A23A91"/>
    <w:rsid w:val="00A23A95"/>
    <w:rsid w:val="00A23B2B"/>
    <w:rsid w:val="00A23C07"/>
    <w:rsid w:val="00A23C42"/>
    <w:rsid w:val="00A23D78"/>
    <w:rsid w:val="00A23E36"/>
    <w:rsid w:val="00A23E84"/>
    <w:rsid w:val="00A23F28"/>
    <w:rsid w:val="00A23F4D"/>
    <w:rsid w:val="00A23F6C"/>
    <w:rsid w:val="00A23FCC"/>
    <w:rsid w:val="00A23FEA"/>
    <w:rsid w:val="00A23FF0"/>
    <w:rsid w:val="00A24050"/>
    <w:rsid w:val="00A24313"/>
    <w:rsid w:val="00A243A6"/>
    <w:rsid w:val="00A243E6"/>
    <w:rsid w:val="00A24590"/>
    <w:rsid w:val="00A24797"/>
    <w:rsid w:val="00A24A05"/>
    <w:rsid w:val="00A24A58"/>
    <w:rsid w:val="00A24BBE"/>
    <w:rsid w:val="00A24C08"/>
    <w:rsid w:val="00A24CC3"/>
    <w:rsid w:val="00A24CFC"/>
    <w:rsid w:val="00A24DC4"/>
    <w:rsid w:val="00A24E20"/>
    <w:rsid w:val="00A24E55"/>
    <w:rsid w:val="00A24EB8"/>
    <w:rsid w:val="00A24EDF"/>
    <w:rsid w:val="00A24F5D"/>
    <w:rsid w:val="00A24F6C"/>
    <w:rsid w:val="00A24F6F"/>
    <w:rsid w:val="00A250C8"/>
    <w:rsid w:val="00A25194"/>
    <w:rsid w:val="00A251DD"/>
    <w:rsid w:val="00A2533E"/>
    <w:rsid w:val="00A2539F"/>
    <w:rsid w:val="00A253F7"/>
    <w:rsid w:val="00A25419"/>
    <w:rsid w:val="00A2548E"/>
    <w:rsid w:val="00A2548F"/>
    <w:rsid w:val="00A25536"/>
    <w:rsid w:val="00A255A7"/>
    <w:rsid w:val="00A25918"/>
    <w:rsid w:val="00A2592B"/>
    <w:rsid w:val="00A25A2A"/>
    <w:rsid w:val="00A25A59"/>
    <w:rsid w:val="00A25A6C"/>
    <w:rsid w:val="00A25A99"/>
    <w:rsid w:val="00A25B18"/>
    <w:rsid w:val="00A25BA0"/>
    <w:rsid w:val="00A25BF2"/>
    <w:rsid w:val="00A25C22"/>
    <w:rsid w:val="00A25C49"/>
    <w:rsid w:val="00A25C7D"/>
    <w:rsid w:val="00A25C81"/>
    <w:rsid w:val="00A25CAD"/>
    <w:rsid w:val="00A25D36"/>
    <w:rsid w:val="00A25D60"/>
    <w:rsid w:val="00A25DF5"/>
    <w:rsid w:val="00A25E21"/>
    <w:rsid w:val="00A25E56"/>
    <w:rsid w:val="00A25E7B"/>
    <w:rsid w:val="00A25E7C"/>
    <w:rsid w:val="00A25EB7"/>
    <w:rsid w:val="00A25EC9"/>
    <w:rsid w:val="00A26037"/>
    <w:rsid w:val="00A26123"/>
    <w:rsid w:val="00A2612C"/>
    <w:rsid w:val="00A262A0"/>
    <w:rsid w:val="00A2633D"/>
    <w:rsid w:val="00A26352"/>
    <w:rsid w:val="00A2641E"/>
    <w:rsid w:val="00A26483"/>
    <w:rsid w:val="00A2649C"/>
    <w:rsid w:val="00A26530"/>
    <w:rsid w:val="00A265F3"/>
    <w:rsid w:val="00A265F8"/>
    <w:rsid w:val="00A2663B"/>
    <w:rsid w:val="00A266FD"/>
    <w:rsid w:val="00A26706"/>
    <w:rsid w:val="00A2675E"/>
    <w:rsid w:val="00A2678E"/>
    <w:rsid w:val="00A267BD"/>
    <w:rsid w:val="00A267C5"/>
    <w:rsid w:val="00A267EA"/>
    <w:rsid w:val="00A26807"/>
    <w:rsid w:val="00A26886"/>
    <w:rsid w:val="00A268AC"/>
    <w:rsid w:val="00A268FC"/>
    <w:rsid w:val="00A2690D"/>
    <w:rsid w:val="00A26928"/>
    <w:rsid w:val="00A269C9"/>
    <w:rsid w:val="00A269D5"/>
    <w:rsid w:val="00A26A7F"/>
    <w:rsid w:val="00A26AAF"/>
    <w:rsid w:val="00A26BC2"/>
    <w:rsid w:val="00A26C33"/>
    <w:rsid w:val="00A26C77"/>
    <w:rsid w:val="00A26D12"/>
    <w:rsid w:val="00A26DA5"/>
    <w:rsid w:val="00A26DF1"/>
    <w:rsid w:val="00A26E34"/>
    <w:rsid w:val="00A26F31"/>
    <w:rsid w:val="00A26F50"/>
    <w:rsid w:val="00A26F58"/>
    <w:rsid w:val="00A26F93"/>
    <w:rsid w:val="00A26F9A"/>
    <w:rsid w:val="00A2704F"/>
    <w:rsid w:val="00A27084"/>
    <w:rsid w:val="00A270BA"/>
    <w:rsid w:val="00A2710E"/>
    <w:rsid w:val="00A271AD"/>
    <w:rsid w:val="00A271EC"/>
    <w:rsid w:val="00A2726D"/>
    <w:rsid w:val="00A27295"/>
    <w:rsid w:val="00A272B1"/>
    <w:rsid w:val="00A272F7"/>
    <w:rsid w:val="00A272FC"/>
    <w:rsid w:val="00A27354"/>
    <w:rsid w:val="00A2740C"/>
    <w:rsid w:val="00A2742A"/>
    <w:rsid w:val="00A27435"/>
    <w:rsid w:val="00A27469"/>
    <w:rsid w:val="00A27538"/>
    <w:rsid w:val="00A2758E"/>
    <w:rsid w:val="00A275BB"/>
    <w:rsid w:val="00A275F7"/>
    <w:rsid w:val="00A27600"/>
    <w:rsid w:val="00A276CC"/>
    <w:rsid w:val="00A276D1"/>
    <w:rsid w:val="00A276E0"/>
    <w:rsid w:val="00A277A2"/>
    <w:rsid w:val="00A2789D"/>
    <w:rsid w:val="00A278EA"/>
    <w:rsid w:val="00A27AF3"/>
    <w:rsid w:val="00A27B91"/>
    <w:rsid w:val="00A27BD1"/>
    <w:rsid w:val="00A27C7E"/>
    <w:rsid w:val="00A27D13"/>
    <w:rsid w:val="00A27E7D"/>
    <w:rsid w:val="00A27ED3"/>
    <w:rsid w:val="00A27F1D"/>
    <w:rsid w:val="00A27F36"/>
    <w:rsid w:val="00A27F4F"/>
    <w:rsid w:val="00A27FC9"/>
    <w:rsid w:val="00A300C5"/>
    <w:rsid w:val="00A3011E"/>
    <w:rsid w:val="00A3015A"/>
    <w:rsid w:val="00A302AE"/>
    <w:rsid w:val="00A30345"/>
    <w:rsid w:val="00A3038A"/>
    <w:rsid w:val="00A30538"/>
    <w:rsid w:val="00A305DA"/>
    <w:rsid w:val="00A3060D"/>
    <w:rsid w:val="00A3062A"/>
    <w:rsid w:val="00A3063B"/>
    <w:rsid w:val="00A30696"/>
    <w:rsid w:val="00A30763"/>
    <w:rsid w:val="00A30777"/>
    <w:rsid w:val="00A30815"/>
    <w:rsid w:val="00A3082F"/>
    <w:rsid w:val="00A30834"/>
    <w:rsid w:val="00A30917"/>
    <w:rsid w:val="00A3094E"/>
    <w:rsid w:val="00A30983"/>
    <w:rsid w:val="00A3099A"/>
    <w:rsid w:val="00A30A35"/>
    <w:rsid w:val="00A30A57"/>
    <w:rsid w:val="00A30AD7"/>
    <w:rsid w:val="00A30C49"/>
    <w:rsid w:val="00A30D1F"/>
    <w:rsid w:val="00A30D27"/>
    <w:rsid w:val="00A30D5A"/>
    <w:rsid w:val="00A30D71"/>
    <w:rsid w:val="00A30D9A"/>
    <w:rsid w:val="00A30DBE"/>
    <w:rsid w:val="00A30E12"/>
    <w:rsid w:val="00A30E1C"/>
    <w:rsid w:val="00A30E29"/>
    <w:rsid w:val="00A30F56"/>
    <w:rsid w:val="00A30F9A"/>
    <w:rsid w:val="00A30FB6"/>
    <w:rsid w:val="00A30FD0"/>
    <w:rsid w:val="00A31044"/>
    <w:rsid w:val="00A31108"/>
    <w:rsid w:val="00A3112B"/>
    <w:rsid w:val="00A31182"/>
    <w:rsid w:val="00A311DE"/>
    <w:rsid w:val="00A31206"/>
    <w:rsid w:val="00A312D0"/>
    <w:rsid w:val="00A31318"/>
    <w:rsid w:val="00A313F7"/>
    <w:rsid w:val="00A31403"/>
    <w:rsid w:val="00A31419"/>
    <w:rsid w:val="00A314C5"/>
    <w:rsid w:val="00A314CF"/>
    <w:rsid w:val="00A3157B"/>
    <w:rsid w:val="00A31593"/>
    <w:rsid w:val="00A3161F"/>
    <w:rsid w:val="00A31761"/>
    <w:rsid w:val="00A3178D"/>
    <w:rsid w:val="00A318ED"/>
    <w:rsid w:val="00A319BE"/>
    <w:rsid w:val="00A31A9D"/>
    <w:rsid w:val="00A31AE1"/>
    <w:rsid w:val="00A31C2D"/>
    <w:rsid w:val="00A31C8F"/>
    <w:rsid w:val="00A31D67"/>
    <w:rsid w:val="00A31FED"/>
    <w:rsid w:val="00A3203F"/>
    <w:rsid w:val="00A3206B"/>
    <w:rsid w:val="00A320E8"/>
    <w:rsid w:val="00A321F1"/>
    <w:rsid w:val="00A321FC"/>
    <w:rsid w:val="00A3229B"/>
    <w:rsid w:val="00A322B3"/>
    <w:rsid w:val="00A3232C"/>
    <w:rsid w:val="00A32468"/>
    <w:rsid w:val="00A3248F"/>
    <w:rsid w:val="00A32635"/>
    <w:rsid w:val="00A32647"/>
    <w:rsid w:val="00A32689"/>
    <w:rsid w:val="00A3281A"/>
    <w:rsid w:val="00A328E3"/>
    <w:rsid w:val="00A328F6"/>
    <w:rsid w:val="00A3295B"/>
    <w:rsid w:val="00A32AA4"/>
    <w:rsid w:val="00A32ABB"/>
    <w:rsid w:val="00A32ABC"/>
    <w:rsid w:val="00A32B0A"/>
    <w:rsid w:val="00A32C55"/>
    <w:rsid w:val="00A32D65"/>
    <w:rsid w:val="00A32DC4"/>
    <w:rsid w:val="00A32EC1"/>
    <w:rsid w:val="00A32EF2"/>
    <w:rsid w:val="00A32F3D"/>
    <w:rsid w:val="00A330A1"/>
    <w:rsid w:val="00A330DA"/>
    <w:rsid w:val="00A3329F"/>
    <w:rsid w:val="00A332FB"/>
    <w:rsid w:val="00A33317"/>
    <w:rsid w:val="00A3343B"/>
    <w:rsid w:val="00A334DB"/>
    <w:rsid w:val="00A3350D"/>
    <w:rsid w:val="00A33564"/>
    <w:rsid w:val="00A3357C"/>
    <w:rsid w:val="00A33582"/>
    <w:rsid w:val="00A335EF"/>
    <w:rsid w:val="00A33649"/>
    <w:rsid w:val="00A3366E"/>
    <w:rsid w:val="00A337D9"/>
    <w:rsid w:val="00A33815"/>
    <w:rsid w:val="00A338BC"/>
    <w:rsid w:val="00A33902"/>
    <w:rsid w:val="00A3394F"/>
    <w:rsid w:val="00A3395C"/>
    <w:rsid w:val="00A3395F"/>
    <w:rsid w:val="00A3397C"/>
    <w:rsid w:val="00A339A0"/>
    <w:rsid w:val="00A33ABA"/>
    <w:rsid w:val="00A33B49"/>
    <w:rsid w:val="00A33BF7"/>
    <w:rsid w:val="00A33C6B"/>
    <w:rsid w:val="00A33C8C"/>
    <w:rsid w:val="00A33CF5"/>
    <w:rsid w:val="00A33D9C"/>
    <w:rsid w:val="00A33DE9"/>
    <w:rsid w:val="00A33E90"/>
    <w:rsid w:val="00A33F47"/>
    <w:rsid w:val="00A33FA5"/>
    <w:rsid w:val="00A33FFC"/>
    <w:rsid w:val="00A341DC"/>
    <w:rsid w:val="00A34339"/>
    <w:rsid w:val="00A3434A"/>
    <w:rsid w:val="00A343DE"/>
    <w:rsid w:val="00A34503"/>
    <w:rsid w:val="00A34547"/>
    <w:rsid w:val="00A3458D"/>
    <w:rsid w:val="00A3462E"/>
    <w:rsid w:val="00A3465A"/>
    <w:rsid w:val="00A347A0"/>
    <w:rsid w:val="00A347AE"/>
    <w:rsid w:val="00A34837"/>
    <w:rsid w:val="00A34840"/>
    <w:rsid w:val="00A348AB"/>
    <w:rsid w:val="00A348B3"/>
    <w:rsid w:val="00A34A86"/>
    <w:rsid w:val="00A34AB5"/>
    <w:rsid w:val="00A34ACA"/>
    <w:rsid w:val="00A34B45"/>
    <w:rsid w:val="00A34C3C"/>
    <w:rsid w:val="00A34C4F"/>
    <w:rsid w:val="00A34C56"/>
    <w:rsid w:val="00A34C9B"/>
    <w:rsid w:val="00A34D76"/>
    <w:rsid w:val="00A34DE5"/>
    <w:rsid w:val="00A34E0F"/>
    <w:rsid w:val="00A34E6F"/>
    <w:rsid w:val="00A34F09"/>
    <w:rsid w:val="00A34F85"/>
    <w:rsid w:val="00A34FA7"/>
    <w:rsid w:val="00A3514D"/>
    <w:rsid w:val="00A3515A"/>
    <w:rsid w:val="00A35175"/>
    <w:rsid w:val="00A352AB"/>
    <w:rsid w:val="00A352BD"/>
    <w:rsid w:val="00A35317"/>
    <w:rsid w:val="00A35356"/>
    <w:rsid w:val="00A35393"/>
    <w:rsid w:val="00A35456"/>
    <w:rsid w:val="00A354A7"/>
    <w:rsid w:val="00A35665"/>
    <w:rsid w:val="00A356D8"/>
    <w:rsid w:val="00A35728"/>
    <w:rsid w:val="00A357FC"/>
    <w:rsid w:val="00A3583B"/>
    <w:rsid w:val="00A35937"/>
    <w:rsid w:val="00A359F7"/>
    <w:rsid w:val="00A35AEE"/>
    <w:rsid w:val="00A35B80"/>
    <w:rsid w:val="00A35C81"/>
    <w:rsid w:val="00A35CAF"/>
    <w:rsid w:val="00A35DA7"/>
    <w:rsid w:val="00A35DF8"/>
    <w:rsid w:val="00A35E86"/>
    <w:rsid w:val="00A35F3B"/>
    <w:rsid w:val="00A35F9A"/>
    <w:rsid w:val="00A35FE9"/>
    <w:rsid w:val="00A36037"/>
    <w:rsid w:val="00A361BA"/>
    <w:rsid w:val="00A362AF"/>
    <w:rsid w:val="00A36325"/>
    <w:rsid w:val="00A3632A"/>
    <w:rsid w:val="00A363BA"/>
    <w:rsid w:val="00A36459"/>
    <w:rsid w:val="00A36496"/>
    <w:rsid w:val="00A364AF"/>
    <w:rsid w:val="00A3655C"/>
    <w:rsid w:val="00A3662B"/>
    <w:rsid w:val="00A36631"/>
    <w:rsid w:val="00A3678E"/>
    <w:rsid w:val="00A36803"/>
    <w:rsid w:val="00A36806"/>
    <w:rsid w:val="00A36880"/>
    <w:rsid w:val="00A36929"/>
    <w:rsid w:val="00A369A7"/>
    <w:rsid w:val="00A369D9"/>
    <w:rsid w:val="00A369E9"/>
    <w:rsid w:val="00A36A30"/>
    <w:rsid w:val="00A36AE1"/>
    <w:rsid w:val="00A36C8D"/>
    <w:rsid w:val="00A36D2B"/>
    <w:rsid w:val="00A36E11"/>
    <w:rsid w:val="00A36FB9"/>
    <w:rsid w:val="00A36FDF"/>
    <w:rsid w:val="00A3716B"/>
    <w:rsid w:val="00A37249"/>
    <w:rsid w:val="00A372A1"/>
    <w:rsid w:val="00A37561"/>
    <w:rsid w:val="00A37565"/>
    <w:rsid w:val="00A375A1"/>
    <w:rsid w:val="00A375B9"/>
    <w:rsid w:val="00A375D0"/>
    <w:rsid w:val="00A3770D"/>
    <w:rsid w:val="00A37750"/>
    <w:rsid w:val="00A3779E"/>
    <w:rsid w:val="00A37831"/>
    <w:rsid w:val="00A3784F"/>
    <w:rsid w:val="00A37866"/>
    <w:rsid w:val="00A37931"/>
    <w:rsid w:val="00A37946"/>
    <w:rsid w:val="00A37983"/>
    <w:rsid w:val="00A379AC"/>
    <w:rsid w:val="00A379AF"/>
    <w:rsid w:val="00A37A8A"/>
    <w:rsid w:val="00A37B40"/>
    <w:rsid w:val="00A37B4E"/>
    <w:rsid w:val="00A37BE6"/>
    <w:rsid w:val="00A37D53"/>
    <w:rsid w:val="00A37D65"/>
    <w:rsid w:val="00A37D7D"/>
    <w:rsid w:val="00A37DAD"/>
    <w:rsid w:val="00A37E34"/>
    <w:rsid w:val="00A37E3F"/>
    <w:rsid w:val="00A4001C"/>
    <w:rsid w:val="00A400E9"/>
    <w:rsid w:val="00A401BA"/>
    <w:rsid w:val="00A401E0"/>
    <w:rsid w:val="00A401E1"/>
    <w:rsid w:val="00A401E7"/>
    <w:rsid w:val="00A40299"/>
    <w:rsid w:val="00A402D6"/>
    <w:rsid w:val="00A402F1"/>
    <w:rsid w:val="00A403A9"/>
    <w:rsid w:val="00A40472"/>
    <w:rsid w:val="00A4049E"/>
    <w:rsid w:val="00A404F0"/>
    <w:rsid w:val="00A40568"/>
    <w:rsid w:val="00A40644"/>
    <w:rsid w:val="00A406A4"/>
    <w:rsid w:val="00A40785"/>
    <w:rsid w:val="00A40843"/>
    <w:rsid w:val="00A40849"/>
    <w:rsid w:val="00A40893"/>
    <w:rsid w:val="00A408B9"/>
    <w:rsid w:val="00A4097E"/>
    <w:rsid w:val="00A4097F"/>
    <w:rsid w:val="00A409D7"/>
    <w:rsid w:val="00A40A7B"/>
    <w:rsid w:val="00A40C43"/>
    <w:rsid w:val="00A40C88"/>
    <w:rsid w:val="00A40CBD"/>
    <w:rsid w:val="00A40D35"/>
    <w:rsid w:val="00A40E33"/>
    <w:rsid w:val="00A40F93"/>
    <w:rsid w:val="00A41088"/>
    <w:rsid w:val="00A4125D"/>
    <w:rsid w:val="00A414AA"/>
    <w:rsid w:val="00A41619"/>
    <w:rsid w:val="00A4161B"/>
    <w:rsid w:val="00A41665"/>
    <w:rsid w:val="00A416DE"/>
    <w:rsid w:val="00A417A1"/>
    <w:rsid w:val="00A417B5"/>
    <w:rsid w:val="00A417C6"/>
    <w:rsid w:val="00A418E8"/>
    <w:rsid w:val="00A419B6"/>
    <w:rsid w:val="00A41A42"/>
    <w:rsid w:val="00A41A5D"/>
    <w:rsid w:val="00A41A83"/>
    <w:rsid w:val="00A41ABC"/>
    <w:rsid w:val="00A41AEC"/>
    <w:rsid w:val="00A41AF1"/>
    <w:rsid w:val="00A41B56"/>
    <w:rsid w:val="00A41D13"/>
    <w:rsid w:val="00A41DC8"/>
    <w:rsid w:val="00A41DDF"/>
    <w:rsid w:val="00A41E03"/>
    <w:rsid w:val="00A41E07"/>
    <w:rsid w:val="00A41EEC"/>
    <w:rsid w:val="00A41F84"/>
    <w:rsid w:val="00A41F9A"/>
    <w:rsid w:val="00A41FE5"/>
    <w:rsid w:val="00A4201C"/>
    <w:rsid w:val="00A420E5"/>
    <w:rsid w:val="00A42140"/>
    <w:rsid w:val="00A421AF"/>
    <w:rsid w:val="00A421BE"/>
    <w:rsid w:val="00A422FB"/>
    <w:rsid w:val="00A42314"/>
    <w:rsid w:val="00A42353"/>
    <w:rsid w:val="00A42465"/>
    <w:rsid w:val="00A424FE"/>
    <w:rsid w:val="00A4259D"/>
    <w:rsid w:val="00A4263F"/>
    <w:rsid w:val="00A42660"/>
    <w:rsid w:val="00A42686"/>
    <w:rsid w:val="00A426A9"/>
    <w:rsid w:val="00A4277A"/>
    <w:rsid w:val="00A4284E"/>
    <w:rsid w:val="00A42A9A"/>
    <w:rsid w:val="00A42B36"/>
    <w:rsid w:val="00A42B84"/>
    <w:rsid w:val="00A42D86"/>
    <w:rsid w:val="00A42DA5"/>
    <w:rsid w:val="00A42DB8"/>
    <w:rsid w:val="00A42E73"/>
    <w:rsid w:val="00A42F22"/>
    <w:rsid w:val="00A43061"/>
    <w:rsid w:val="00A4307D"/>
    <w:rsid w:val="00A430A0"/>
    <w:rsid w:val="00A430B1"/>
    <w:rsid w:val="00A430F1"/>
    <w:rsid w:val="00A4318C"/>
    <w:rsid w:val="00A432D2"/>
    <w:rsid w:val="00A43347"/>
    <w:rsid w:val="00A4339F"/>
    <w:rsid w:val="00A4347D"/>
    <w:rsid w:val="00A434AF"/>
    <w:rsid w:val="00A435A9"/>
    <w:rsid w:val="00A435E2"/>
    <w:rsid w:val="00A43612"/>
    <w:rsid w:val="00A43821"/>
    <w:rsid w:val="00A4388E"/>
    <w:rsid w:val="00A43943"/>
    <w:rsid w:val="00A4395E"/>
    <w:rsid w:val="00A43985"/>
    <w:rsid w:val="00A439B9"/>
    <w:rsid w:val="00A43A7E"/>
    <w:rsid w:val="00A43C33"/>
    <w:rsid w:val="00A43D72"/>
    <w:rsid w:val="00A43DA8"/>
    <w:rsid w:val="00A43DD1"/>
    <w:rsid w:val="00A43E5B"/>
    <w:rsid w:val="00A43F56"/>
    <w:rsid w:val="00A43FC6"/>
    <w:rsid w:val="00A44071"/>
    <w:rsid w:val="00A440A9"/>
    <w:rsid w:val="00A44181"/>
    <w:rsid w:val="00A4425A"/>
    <w:rsid w:val="00A4440D"/>
    <w:rsid w:val="00A444D0"/>
    <w:rsid w:val="00A44590"/>
    <w:rsid w:val="00A445C5"/>
    <w:rsid w:val="00A44648"/>
    <w:rsid w:val="00A44664"/>
    <w:rsid w:val="00A44672"/>
    <w:rsid w:val="00A44680"/>
    <w:rsid w:val="00A446B1"/>
    <w:rsid w:val="00A446EE"/>
    <w:rsid w:val="00A4475F"/>
    <w:rsid w:val="00A4477C"/>
    <w:rsid w:val="00A4479D"/>
    <w:rsid w:val="00A448FD"/>
    <w:rsid w:val="00A449AD"/>
    <w:rsid w:val="00A44A99"/>
    <w:rsid w:val="00A44AB4"/>
    <w:rsid w:val="00A44AE3"/>
    <w:rsid w:val="00A44AF7"/>
    <w:rsid w:val="00A44B55"/>
    <w:rsid w:val="00A44BEA"/>
    <w:rsid w:val="00A44BEB"/>
    <w:rsid w:val="00A44C32"/>
    <w:rsid w:val="00A44C94"/>
    <w:rsid w:val="00A44CED"/>
    <w:rsid w:val="00A44D34"/>
    <w:rsid w:val="00A44DCE"/>
    <w:rsid w:val="00A44E6A"/>
    <w:rsid w:val="00A44EC8"/>
    <w:rsid w:val="00A44F29"/>
    <w:rsid w:val="00A44FB8"/>
    <w:rsid w:val="00A4509B"/>
    <w:rsid w:val="00A45187"/>
    <w:rsid w:val="00A451B0"/>
    <w:rsid w:val="00A451C5"/>
    <w:rsid w:val="00A45205"/>
    <w:rsid w:val="00A453C9"/>
    <w:rsid w:val="00A45411"/>
    <w:rsid w:val="00A45472"/>
    <w:rsid w:val="00A4548E"/>
    <w:rsid w:val="00A4554B"/>
    <w:rsid w:val="00A4556A"/>
    <w:rsid w:val="00A455D3"/>
    <w:rsid w:val="00A4560E"/>
    <w:rsid w:val="00A45668"/>
    <w:rsid w:val="00A4583A"/>
    <w:rsid w:val="00A4593C"/>
    <w:rsid w:val="00A459DC"/>
    <w:rsid w:val="00A45A07"/>
    <w:rsid w:val="00A45A49"/>
    <w:rsid w:val="00A45A4B"/>
    <w:rsid w:val="00A45A6E"/>
    <w:rsid w:val="00A45BB8"/>
    <w:rsid w:val="00A45BE9"/>
    <w:rsid w:val="00A45C1C"/>
    <w:rsid w:val="00A45C75"/>
    <w:rsid w:val="00A45D43"/>
    <w:rsid w:val="00A45D65"/>
    <w:rsid w:val="00A45DBE"/>
    <w:rsid w:val="00A45DDE"/>
    <w:rsid w:val="00A45EF5"/>
    <w:rsid w:val="00A45F10"/>
    <w:rsid w:val="00A45F17"/>
    <w:rsid w:val="00A45F27"/>
    <w:rsid w:val="00A45F75"/>
    <w:rsid w:val="00A45FC0"/>
    <w:rsid w:val="00A45FD1"/>
    <w:rsid w:val="00A45FD3"/>
    <w:rsid w:val="00A46098"/>
    <w:rsid w:val="00A461A0"/>
    <w:rsid w:val="00A461B3"/>
    <w:rsid w:val="00A462A5"/>
    <w:rsid w:val="00A462DA"/>
    <w:rsid w:val="00A4632A"/>
    <w:rsid w:val="00A46434"/>
    <w:rsid w:val="00A4643E"/>
    <w:rsid w:val="00A4650C"/>
    <w:rsid w:val="00A465FD"/>
    <w:rsid w:val="00A46602"/>
    <w:rsid w:val="00A46666"/>
    <w:rsid w:val="00A4679A"/>
    <w:rsid w:val="00A467D2"/>
    <w:rsid w:val="00A46918"/>
    <w:rsid w:val="00A469CB"/>
    <w:rsid w:val="00A469DC"/>
    <w:rsid w:val="00A46AAE"/>
    <w:rsid w:val="00A46B1B"/>
    <w:rsid w:val="00A46BB5"/>
    <w:rsid w:val="00A46CA6"/>
    <w:rsid w:val="00A46CF1"/>
    <w:rsid w:val="00A46D75"/>
    <w:rsid w:val="00A46E37"/>
    <w:rsid w:val="00A46E9E"/>
    <w:rsid w:val="00A46F6A"/>
    <w:rsid w:val="00A46F99"/>
    <w:rsid w:val="00A47007"/>
    <w:rsid w:val="00A4709A"/>
    <w:rsid w:val="00A470CD"/>
    <w:rsid w:val="00A4714B"/>
    <w:rsid w:val="00A471E6"/>
    <w:rsid w:val="00A471FE"/>
    <w:rsid w:val="00A47331"/>
    <w:rsid w:val="00A47617"/>
    <w:rsid w:val="00A4769F"/>
    <w:rsid w:val="00A477B7"/>
    <w:rsid w:val="00A478CD"/>
    <w:rsid w:val="00A479B9"/>
    <w:rsid w:val="00A47ACD"/>
    <w:rsid w:val="00A47BDF"/>
    <w:rsid w:val="00A47C7E"/>
    <w:rsid w:val="00A47C9D"/>
    <w:rsid w:val="00A47D19"/>
    <w:rsid w:val="00A47D72"/>
    <w:rsid w:val="00A47DEF"/>
    <w:rsid w:val="00A47E2E"/>
    <w:rsid w:val="00A47E63"/>
    <w:rsid w:val="00A47E6A"/>
    <w:rsid w:val="00A47E96"/>
    <w:rsid w:val="00A47FA3"/>
    <w:rsid w:val="00A50031"/>
    <w:rsid w:val="00A50034"/>
    <w:rsid w:val="00A50049"/>
    <w:rsid w:val="00A50055"/>
    <w:rsid w:val="00A5006F"/>
    <w:rsid w:val="00A5014B"/>
    <w:rsid w:val="00A501CD"/>
    <w:rsid w:val="00A502EC"/>
    <w:rsid w:val="00A502F7"/>
    <w:rsid w:val="00A50341"/>
    <w:rsid w:val="00A5034F"/>
    <w:rsid w:val="00A50356"/>
    <w:rsid w:val="00A503C2"/>
    <w:rsid w:val="00A503E7"/>
    <w:rsid w:val="00A50431"/>
    <w:rsid w:val="00A50461"/>
    <w:rsid w:val="00A505E1"/>
    <w:rsid w:val="00A507BB"/>
    <w:rsid w:val="00A5087D"/>
    <w:rsid w:val="00A5092C"/>
    <w:rsid w:val="00A50933"/>
    <w:rsid w:val="00A50A4E"/>
    <w:rsid w:val="00A50B0E"/>
    <w:rsid w:val="00A50DCE"/>
    <w:rsid w:val="00A50F44"/>
    <w:rsid w:val="00A50FF8"/>
    <w:rsid w:val="00A51014"/>
    <w:rsid w:val="00A51018"/>
    <w:rsid w:val="00A5101F"/>
    <w:rsid w:val="00A51066"/>
    <w:rsid w:val="00A51085"/>
    <w:rsid w:val="00A5110C"/>
    <w:rsid w:val="00A51223"/>
    <w:rsid w:val="00A51340"/>
    <w:rsid w:val="00A51382"/>
    <w:rsid w:val="00A513A2"/>
    <w:rsid w:val="00A5158F"/>
    <w:rsid w:val="00A5176B"/>
    <w:rsid w:val="00A51794"/>
    <w:rsid w:val="00A51846"/>
    <w:rsid w:val="00A51897"/>
    <w:rsid w:val="00A51A44"/>
    <w:rsid w:val="00A51A76"/>
    <w:rsid w:val="00A51A81"/>
    <w:rsid w:val="00A51A82"/>
    <w:rsid w:val="00A51C6C"/>
    <w:rsid w:val="00A51C8A"/>
    <w:rsid w:val="00A51CC3"/>
    <w:rsid w:val="00A51D82"/>
    <w:rsid w:val="00A51DA2"/>
    <w:rsid w:val="00A51E16"/>
    <w:rsid w:val="00A51EC9"/>
    <w:rsid w:val="00A51FDE"/>
    <w:rsid w:val="00A52063"/>
    <w:rsid w:val="00A520B0"/>
    <w:rsid w:val="00A520D2"/>
    <w:rsid w:val="00A520DA"/>
    <w:rsid w:val="00A520EA"/>
    <w:rsid w:val="00A520F7"/>
    <w:rsid w:val="00A521D2"/>
    <w:rsid w:val="00A52275"/>
    <w:rsid w:val="00A52282"/>
    <w:rsid w:val="00A5229D"/>
    <w:rsid w:val="00A52331"/>
    <w:rsid w:val="00A5238A"/>
    <w:rsid w:val="00A523BF"/>
    <w:rsid w:val="00A523C7"/>
    <w:rsid w:val="00A5245F"/>
    <w:rsid w:val="00A5247F"/>
    <w:rsid w:val="00A52498"/>
    <w:rsid w:val="00A5254D"/>
    <w:rsid w:val="00A52628"/>
    <w:rsid w:val="00A526BB"/>
    <w:rsid w:val="00A526F8"/>
    <w:rsid w:val="00A52841"/>
    <w:rsid w:val="00A52942"/>
    <w:rsid w:val="00A52A0D"/>
    <w:rsid w:val="00A52AC1"/>
    <w:rsid w:val="00A52B70"/>
    <w:rsid w:val="00A52C60"/>
    <w:rsid w:val="00A52E29"/>
    <w:rsid w:val="00A52E90"/>
    <w:rsid w:val="00A52ECF"/>
    <w:rsid w:val="00A52FA9"/>
    <w:rsid w:val="00A5303D"/>
    <w:rsid w:val="00A53052"/>
    <w:rsid w:val="00A53088"/>
    <w:rsid w:val="00A530BA"/>
    <w:rsid w:val="00A530F3"/>
    <w:rsid w:val="00A53100"/>
    <w:rsid w:val="00A5322F"/>
    <w:rsid w:val="00A532BB"/>
    <w:rsid w:val="00A532DE"/>
    <w:rsid w:val="00A53363"/>
    <w:rsid w:val="00A53476"/>
    <w:rsid w:val="00A534C0"/>
    <w:rsid w:val="00A53625"/>
    <w:rsid w:val="00A537BD"/>
    <w:rsid w:val="00A5386F"/>
    <w:rsid w:val="00A5392D"/>
    <w:rsid w:val="00A53930"/>
    <w:rsid w:val="00A5396F"/>
    <w:rsid w:val="00A53B29"/>
    <w:rsid w:val="00A53C18"/>
    <w:rsid w:val="00A53CF8"/>
    <w:rsid w:val="00A53D12"/>
    <w:rsid w:val="00A53D3D"/>
    <w:rsid w:val="00A53D8F"/>
    <w:rsid w:val="00A53DD8"/>
    <w:rsid w:val="00A53E38"/>
    <w:rsid w:val="00A53E42"/>
    <w:rsid w:val="00A53E55"/>
    <w:rsid w:val="00A53E9B"/>
    <w:rsid w:val="00A53F50"/>
    <w:rsid w:val="00A53F74"/>
    <w:rsid w:val="00A53FA4"/>
    <w:rsid w:val="00A53FEA"/>
    <w:rsid w:val="00A5411B"/>
    <w:rsid w:val="00A5413D"/>
    <w:rsid w:val="00A541F1"/>
    <w:rsid w:val="00A54230"/>
    <w:rsid w:val="00A54252"/>
    <w:rsid w:val="00A54293"/>
    <w:rsid w:val="00A54406"/>
    <w:rsid w:val="00A544E9"/>
    <w:rsid w:val="00A54557"/>
    <w:rsid w:val="00A54571"/>
    <w:rsid w:val="00A545D3"/>
    <w:rsid w:val="00A5460A"/>
    <w:rsid w:val="00A54682"/>
    <w:rsid w:val="00A54700"/>
    <w:rsid w:val="00A54880"/>
    <w:rsid w:val="00A54887"/>
    <w:rsid w:val="00A54928"/>
    <w:rsid w:val="00A54934"/>
    <w:rsid w:val="00A54956"/>
    <w:rsid w:val="00A54A9D"/>
    <w:rsid w:val="00A54AAD"/>
    <w:rsid w:val="00A54B2B"/>
    <w:rsid w:val="00A54C48"/>
    <w:rsid w:val="00A54C6F"/>
    <w:rsid w:val="00A54C9A"/>
    <w:rsid w:val="00A54D21"/>
    <w:rsid w:val="00A54DD0"/>
    <w:rsid w:val="00A54E33"/>
    <w:rsid w:val="00A54F5D"/>
    <w:rsid w:val="00A54FA6"/>
    <w:rsid w:val="00A55057"/>
    <w:rsid w:val="00A5509F"/>
    <w:rsid w:val="00A55107"/>
    <w:rsid w:val="00A55258"/>
    <w:rsid w:val="00A5528D"/>
    <w:rsid w:val="00A55296"/>
    <w:rsid w:val="00A5532F"/>
    <w:rsid w:val="00A55382"/>
    <w:rsid w:val="00A553E6"/>
    <w:rsid w:val="00A55540"/>
    <w:rsid w:val="00A555C7"/>
    <w:rsid w:val="00A559FF"/>
    <w:rsid w:val="00A55A79"/>
    <w:rsid w:val="00A55BD7"/>
    <w:rsid w:val="00A55C4A"/>
    <w:rsid w:val="00A55C7D"/>
    <w:rsid w:val="00A55E20"/>
    <w:rsid w:val="00A55FB6"/>
    <w:rsid w:val="00A56071"/>
    <w:rsid w:val="00A5607D"/>
    <w:rsid w:val="00A560CB"/>
    <w:rsid w:val="00A560D6"/>
    <w:rsid w:val="00A56142"/>
    <w:rsid w:val="00A56158"/>
    <w:rsid w:val="00A56197"/>
    <w:rsid w:val="00A561EF"/>
    <w:rsid w:val="00A563A8"/>
    <w:rsid w:val="00A563CB"/>
    <w:rsid w:val="00A5645E"/>
    <w:rsid w:val="00A564A3"/>
    <w:rsid w:val="00A564D0"/>
    <w:rsid w:val="00A5665F"/>
    <w:rsid w:val="00A5666B"/>
    <w:rsid w:val="00A56704"/>
    <w:rsid w:val="00A56729"/>
    <w:rsid w:val="00A56784"/>
    <w:rsid w:val="00A56A85"/>
    <w:rsid w:val="00A56AB7"/>
    <w:rsid w:val="00A56B0A"/>
    <w:rsid w:val="00A56BCD"/>
    <w:rsid w:val="00A56C5B"/>
    <w:rsid w:val="00A56D3F"/>
    <w:rsid w:val="00A56F6B"/>
    <w:rsid w:val="00A56F9C"/>
    <w:rsid w:val="00A56FDD"/>
    <w:rsid w:val="00A57277"/>
    <w:rsid w:val="00A572FA"/>
    <w:rsid w:val="00A57382"/>
    <w:rsid w:val="00A575B5"/>
    <w:rsid w:val="00A575DF"/>
    <w:rsid w:val="00A5765A"/>
    <w:rsid w:val="00A578FE"/>
    <w:rsid w:val="00A57904"/>
    <w:rsid w:val="00A57982"/>
    <w:rsid w:val="00A57A01"/>
    <w:rsid w:val="00A57BC7"/>
    <w:rsid w:val="00A57C39"/>
    <w:rsid w:val="00A57CB7"/>
    <w:rsid w:val="00A57D9C"/>
    <w:rsid w:val="00A57E59"/>
    <w:rsid w:val="00A57E60"/>
    <w:rsid w:val="00A57E8D"/>
    <w:rsid w:val="00A57F1E"/>
    <w:rsid w:val="00A57FD8"/>
    <w:rsid w:val="00A60010"/>
    <w:rsid w:val="00A602F2"/>
    <w:rsid w:val="00A6035C"/>
    <w:rsid w:val="00A60361"/>
    <w:rsid w:val="00A605FA"/>
    <w:rsid w:val="00A606E4"/>
    <w:rsid w:val="00A6072D"/>
    <w:rsid w:val="00A607DC"/>
    <w:rsid w:val="00A60813"/>
    <w:rsid w:val="00A60824"/>
    <w:rsid w:val="00A608D1"/>
    <w:rsid w:val="00A6096B"/>
    <w:rsid w:val="00A609AC"/>
    <w:rsid w:val="00A60ADB"/>
    <w:rsid w:val="00A60B25"/>
    <w:rsid w:val="00A60B9D"/>
    <w:rsid w:val="00A60D0F"/>
    <w:rsid w:val="00A60E7E"/>
    <w:rsid w:val="00A60F88"/>
    <w:rsid w:val="00A6100E"/>
    <w:rsid w:val="00A610CA"/>
    <w:rsid w:val="00A610E0"/>
    <w:rsid w:val="00A611FA"/>
    <w:rsid w:val="00A61268"/>
    <w:rsid w:val="00A612E9"/>
    <w:rsid w:val="00A61334"/>
    <w:rsid w:val="00A61489"/>
    <w:rsid w:val="00A614A8"/>
    <w:rsid w:val="00A61575"/>
    <w:rsid w:val="00A615B4"/>
    <w:rsid w:val="00A615CC"/>
    <w:rsid w:val="00A61636"/>
    <w:rsid w:val="00A61749"/>
    <w:rsid w:val="00A617BC"/>
    <w:rsid w:val="00A61827"/>
    <w:rsid w:val="00A6182E"/>
    <w:rsid w:val="00A61836"/>
    <w:rsid w:val="00A61840"/>
    <w:rsid w:val="00A61958"/>
    <w:rsid w:val="00A61B05"/>
    <w:rsid w:val="00A61B08"/>
    <w:rsid w:val="00A61B18"/>
    <w:rsid w:val="00A61B2B"/>
    <w:rsid w:val="00A61BF8"/>
    <w:rsid w:val="00A61C29"/>
    <w:rsid w:val="00A61CBC"/>
    <w:rsid w:val="00A61D07"/>
    <w:rsid w:val="00A61D23"/>
    <w:rsid w:val="00A61F94"/>
    <w:rsid w:val="00A620D4"/>
    <w:rsid w:val="00A620DA"/>
    <w:rsid w:val="00A6211B"/>
    <w:rsid w:val="00A62154"/>
    <w:rsid w:val="00A621B5"/>
    <w:rsid w:val="00A62205"/>
    <w:rsid w:val="00A62256"/>
    <w:rsid w:val="00A622DA"/>
    <w:rsid w:val="00A6235D"/>
    <w:rsid w:val="00A6239E"/>
    <w:rsid w:val="00A623E5"/>
    <w:rsid w:val="00A623E6"/>
    <w:rsid w:val="00A62495"/>
    <w:rsid w:val="00A624C7"/>
    <w:rsid w:val="00A624E6"/>
    <w:rsid w:val="00A62516"/>
    <w:rsid w:val="00A625AF"/>
    <w:rsid w:val="00A62611"/>
    <w:rsid w:val="00A62625"/>
    <w:rsid w:val="00A626B9"/>
    <w:rsid w:val="00A626EA"/>
    <w:rsid w:val="00A626F9"/>
    <w:rsid w:val="00A627A7"/>
    <w:rsid w:val="00A629C6"/>
    <w:rsid w:val="00A629CA"/>
    <w:rsid w:val="00A62A72"/>
    <w:rsid w:val="00A62B91"/>
    <w:rsid w:val="00A62BDF"/>
    <w:rsid w:val="00A62BFD"/>
    <w:rsid w:val="00A62CB6"/>
    <w:rsid w:val="00A62E5F"/>
    <w:rsid w:val="00A62F01"/>
    <w:rsid w:val="00A62F13"/>
    <w:rsid w:val="00A62F30"/>
    <w:rsid w:val="00A62F36"/>
    <w:rsid w:val="00A62FBD"/>
    <w:rsid w:val="00A6301B"/>
    <w:rsid w:val="00A63162"/>
    <w:rsid w:val="00A631AA"/>
    <w:rsid w:val="00A631B1"/>
    <w:rsid w:val="00A6326B"/>
    <w:rsid w:val="00A63462"/>
    <w:rsid w:val="00A63594"/>
    <w:rsid w:val="00A635E3"/>
    <w:rsid w:val="00A6362D"/>
    <w:rsid w:val="00A636F9"/>
    <w:rsid w:val="00A63701"/>
    <w:rsid w:val="00A63847"/>
    <w:rsid w:val="00A63865"/>
    <w:rsid w:val="00A638E4"/>
    <w:rsid w:val="00A639BD"/>
    <w:rsid w:val="00A63A88"/>
    <w:rsid w:val="00A63B00"/>
    <w:rsid w:val="00A63CE0"/>
    <w:rsid w:val="00A63CE8"/>
    <w:rsid w:val="00A63D65"/>
    <w:rsid w:val="00A63DE2"/>
    <w:rsid w:val="00A63E0C"/>
    <w:rsid w:val="00A63E20"/>
    <w:rsid w:val="00A63E29"/>
    <w:rsid w:val="00A63FB4"/>
    <w:rsid w:val="00A63FBD"/>
    <w:rsid w:val="00A640CB"/>
    <w:rsid w:val="00A64149"/>
    <w:rsid w:val="00A64308"/>
    <w:rsid w:val="00A643E4"/>
    <w:rsid w:val="00A64430"/>
    <w:rsid w:val="00A6445C"/>
    <w:rsid w:val="00A64461"/>
    <w:rsid w:val="00A6447A"/>
    <w:rsid w:val="00A644AE"/>
    <w:rsid w:val="00A6452E"/>
    <w:rsid w:val="00A6455B"/>
    <w:rsid w:val="00A6459D"/>
    <w:rsid w:val="00A64637"/>
    <w:rsid w:val="00A646A4"/>
    <w:rsid w:val="00A647C1"/>
    <w:rsid w:val="00A6480B"/>
    <w:rsid w:val="00A6483E"/>
    <w:rsid w:val="00A6493F"/>
    <w:rsid w:val="00A6497E"/>
    <w:rsid w:val="00A64A28"/>
    <w:rsid w:val="00A64A38"/>
    <w:rsid w:val="00A64CEE"/>
    <w:rsid w:val="00A64D54"/>
    <w:rsid w:val="00A64D5B"/>
    <w:rsid w:val="00A64D74"/>
    <w:rsid w:val="00A64D98"/>
    <w:rsid w:val="00A64E05"/>
    <w:rsid w:val="00A64EF2"/>
    <w:rsid w:val="00A64F13"/>
    <w:rsid w:val="00A64F1B"/>
    <w:rsid w:val="00A64F78"/>
    <w:rsid w:val="00A64FE1"/>
    <w:rsid w:val="00A650AD"/>
    <w:rsid w:val="00A65253"/>
    <w:rsid w:val="00A6528F"/>
    <w:rsid w:val="00A652BD"/>
    <w:rsid w:val="00A6534D"/>
    <w:rsid w:val="00A653A1"/>
    <w:rsid w:val="00A653CC"/>
    <w:rsid w:val="00A6541F"/>
    <w:rsid w:val="00A65465"/>
    <w:rsid w:val="00A655E5"/>
    <w:rsid w:val="00A656B3"/>
    <w:rsid w:val="00A656D6"/>
    <w:rsid w:val="00A6572D"/>
    <w:rsid w:val="00A6596D"/>
    <w:rsid w:val="00A65A3E"/>
    <w:rsid w:val="00A65A82"/>
    <w:rsid w:val="00A65ACC"/>
    <w:rsid w:val="00A65ADC"/>
    <w:rsid w:val="00A65B8B"/>
    <w:rsid w:val="00A65C88"/>
    <w:rsid w:val="00A65D5B"/>
    <w:rsid w:val="00A65D99"/>
    <w:rsid w:val="00A65DDE"/>
    <w:rsid w:val="00A65E34"/>
    <w:rsid w:val="00A65E56"/>
    <w:rsid w:val="00A65F36"/>
    <w:rsid w:val="00A66002"/>
    <w:rsid w:val="00A66167"/>
    <w:rsid w:val="00A661BE"/>
    <w:rsid w:val="00A66329"/>
    <w:rsid w:val="00A66341"/>
    <w:rsid w:val="00A66355"/>
    <w:rsid w:val="00A66401"/>
    <w:rsid w:val="00A66480"/>
    <w:rsid w:val="00A66516"/>
    <w:rsid w:val="00A66577"/>
    <w:rsid w:val="00A6669E"/>
    <w:rsid w:val="00A666E3"/>
    <w:rsid w:val="00A666F8"/>
    <w:rsid w:val="00A66764"/>
    <w:rsid w:val="00A667B9"/>
    <w:rsid w:val="00A66A31"/>
    <w:rsid w:val="00A66B71"/>
    <w:rsid w:val="00A66BE2"/>
    <w:rsid w:val="00A66BE4"/>
    <w:rsid w:val="00A66C81"/>
    <w:rsid w:val="00A66E1C"/>
    <w:rsid w:val="00A66F33"/>
    <w:rsid w:val="00A66F68"/>
    <w:rsid w:val="00A67090"/>
    <w:rsid w:val="00A67099"/>
    <w:rsid w:val="00A670E1"/>
    <w:rsid w:val="00A67168"/>
    <w:rsid w:val="00A671F0"/>
    <w:rsid w:val="00A671F4"/>
    <w:rsid w:val="00A67325"/>
    <w:rsid w:val="00A67368"/>
    <w:rsid w:val="00A67608"/>
    <w:rsid w:val="00A676DA"/>
    <w:rsid w:val="00A67811"/>
    <w:rsid w:val="00A67828"/>
    <w:rsid w:val="00A67A10"/>
    <w:rsid w:val="00A67A71"/>
    <w:rsid w:val="00A67A9F"/>
    <w:rsid w:val="00A67AE1"/>
    <w:rsid w:val="00A67B21"/>
    <w:rsid w:val="00A67B2C"/>
    <w:rsid w:val="00A67B6F"/>
    <w:rsid w:val="00A67B70"/>
    <w:rsid w:val="00A67BD2"/>
    <w:rsid w:val="00A67BFA"/>
    <w:rsid w:val="00A67C3E"/>
    <w:rsid w:val="00A67C49"/>
    <w:rsid w:val="00A67C56"/>
    <w:rsid w:val="00A67D3F"/>
    <w:rsid w:val="00A67D70"/>
    <w:rsid w:val="00A67D88"/>
    <w:rsid w:val="00A67F34"/>
    <w:rsid w:val="00A67FE7"/>
    <w:rsid w:val="00A700BB"/>
    <w:rsid w:val="00A7011C"/>
    <w:rsid w:val="00A70199"/>
    <w:rsid w:val="00A701B6"/>
    <w:rsid w:val="00A701DB"/>
    <w:rsid w:val="00A7035E"/>
    <w:rsid w:val="00A703E7"/>
    <w:rsid w:val="00A70485"/>
    <w:rsid w:val="00A7074E"/>
    <w:rsid w:val="00A70771"/>
    <w:rsid w:val="00A7083D"/>
    <w:rsid w:val="00A70857"/>
    <w:rsid w:val="00A7088B"/>
    <w:rsid w:val="00A70927"/>
    <w:rsid w:val="00A709E6"/>
    <w:rsid w:val="00A70A2F"/>
    <w:rsid w:val="00A70AD3"/>
    <w:rsid w:val="00A70AED"/>
    <w:rsid w:val="00A70B93"/>
    <w:rsid w:val="00A70CDB"/>
    <w:rsid w:val="00A70CF6"/>
    <w:rsid w:val="00A70CF7"/>
    <w:rsid w:val="00A70DC0"/>
    <w:rsid w:val="00A70DCF"/>
    <w:rsid w:val="00A70ECD"/>
    <w:rsid w:val="00A70F5B"/>
    <w:rsid w:val="00A70FFA"/>
    <w:rsid w:val="00A71342"/>
    <w:rsid w:val="00A713E2"/>
    <w:rsid w:val="00A713EA"/>
    <w:rsid w:val="00A713FF"/>
    <w:rsid w:val="00A714BD"/>
    <w:rsid w:val="00A714D9"/>
    <w:rsid w:val="00A71561"/>
    <w:rsid w:val="00A715C5"/>
    <w:rsid w:val="00A71772"/>
    <w:rsid w:val="00A717B5"/>
    <w:rsid w:val="00A71896"/>
    <w:rsid w:val="00A718A4"/>
    <w:rsid w:val="00A71915"/>
    <w:rsid w:val="00A7191C"/>
    <w:rsid w:val="00A7197B"/>
    <w:rsid w:val="00A71A5A"/>
    <w:rsid w:val="00A71A8E"/>
    <w:rsid w:val="00A71A97"/>
    <w:rsid w:val="00A71AE6"/>
    <w:rsid w:val="00A71B31"/>
    <w:rsid w:val="00A71BF2"/>
    <w:rsid w:val="00A71C20"/>
    <w:rsid w:val="00A71E9A"/>
    <w:rsid w:val="00A71EAC"/>
    <w:rsid w:val="00A71EB6"/>
    <w:rsid w:val="00A71ECF"/>
    <w:rsid w:val="00A71EEC"/>
    <w:rsid w:val="00A71F72"/>
    <w:rsid w:val="00A7202D"/>
    <w:rsid w:val="00A7202F"/>
    <w:rsid w:val="00A72050"/>
    <w:rsid w:val="00A72069"/>
    <w:rsid w:val="00A721EC"/>
    <w:rsid w:val="00A722B7"/>
    <w:rsid w:val="00A722B8"/>
    <w:rsid w:val="00A72335"/>
    <w:rsid w:val="00A723A2"/>
    <w:rsid w:val="00A7243A"/>
    <w:rsid w:val="00A72473"/>
    <w:rsid w:val="00A7249B"/>
    <w:rsid w:val="00A72520"/>
    <w:rsid w:val="00A7255C"/>
    <w:rsid w:val="00A72566"/>
    <w:rsid w:val="00A72684"/>
    <w:rsid w:val="00A72765"/>
    <w:rsid w:val="00A728C3"/>
    <w:rsid w:val="00A728FF"/>
    <w:rsid w:val="00A729C9"/>
    <w:rsid w:val="00A72AE9"/>
    <w:rsid w:val="00A72B3D"/>
    <w:rsid w:val="00A72B44"/>
    <w:rsid w:val="00A72BEE"/>
    <w:rsid w:val="00A72BF8"/>
    <w:rsid w:val="00A72D90"/>
    <w:rsid w:val="00A72DB2"/>
    <w:rsid w:val="00A72E0B"/>
    <w:rsid w:val="00A72EE6"/>
    <w:rsid w:val="00A72EEA"/>
    <w:rsid w:val="00A72FB2"/>
    <w:rsid w:val="00A72FB6"/>
    <w:rsid w:val="00A73042"/>
    <w:rsid w:val="00A731B1"/>
    <w:rsid w:val="00A73225"/>
    <w:rsid w:val="00A732DE"/>
    <w:rsid w:val="00A7335E"/>
    <w:rsid w:val="00A73439"/>
    <w:rsid w:val="00A7345B"/>
    <w:rsid w:val="00A734D6"/>
    <w:rsid w:val="00A735D7"/>
    <w:rsid w:val="00A735E7"/>
    <w:rsid w:val="00A735F7"/>
    <w:rsid w:val="00A7362E"/>
    <w:rsid w:val="00A7366E"/>
    <w:rsid w:val="00A73691"/>
    <w:rsid w:val="00A7379F"/>
    <w:rsid w:val="00A737D5"/>
    <w:rsid w:val="00A7381C"/>
    <w:rsid w:val="00A738A1"/>
    <w:rsid w:val="00A738CB"/>
    <w:rsid w:val="00A73A52"/>
    <w:rsid w:val="00A73AAD"/>
    <w:rsid w:val="00A73AD6"/>
    <w:rsid w:val="00A73B41"/>
    <w:rsid w:val="00A73C0B"/>
    <w:rsid w:val="00A73C19"/>
    <w:rsid w:val="00A73C32"/>
    <w:rsid w:val="00A73C38"/>
    <w:rsid w:val="00A73C58"/>
    <w:rsid w:val="00A73C80"/>
    <w:rsid w:val="00A73D3D"/>
    <w:rsid w:val="00A73F49"/>
    <w:rsid w:val="00A7407C"/>
    <w:rsid w:val="00A7407D"/>
    <w:rsid w:val="00A742EA"/>
    <w:rsid w:val="00A743D8"/>
    <w:rsid w:val="00A74426"/>
    <w:rsid w:val="00A7442F"/>
    <w:rsid w:val="00A744BB"/>
    <w:rsid w:val="00A744CB"/>
    <w:rsid w:val="00A7458B"/>
    <w:rsid w:val="00A7462E"/>
    <w:rsid w:val="00A74689"/>
    <w:rsid w:val="00A746D2"/>
    <w:rsid w:val="00A747BE"/>
    <w:rsid w:val="00A7480A"/>
    <w:rsid w:val="00A7486C"/>
    <w:rsid w:val="00A7487F"/>
    <w:rsid w:val="00A748AF"/>
    <w:rsid w:val="00A74915"/>
    <w:rsid w:val="00A7495F"/>
    <w:rsid w:val="00A74AEE"/>
    <w:rsid w:val="00A74AFD"/>
    <w:rsid w:val="00A74B0A"/>
    <w:rsid w:val="00A74B38"/>
    <w:rsid w:val="00A74B46"/>
    <w:rsid w:val="00A74C16"/>
    <w:rsid w:val="00A74CC1"/>
    <w:rsid w:val="00A74CD4"/>
    <w:rsid w:val="00A74D51"/>
    <w:rsid w:val="00A74E7E"/>
    <w:rsid w:val="00A74EFC"/>
    <w:rsid w:val="00A74F09"/>
    <w:rsid w:val="00A74F22"/>
    <w:rsid w:val="00A74FAC"/>
    <w:rsid w:val="00A74FC4"/>
    <w:rsid w:val="00A750AF"/>
    <w:rsid w:val="00A750F1"/>
    <w:rsid w:val="00A75222"/>
    <w:rsid w:val="00A752AF"/>
    <w:rsid w:val="00A75344"/>
    <w:rsid w:val="00A753EA"/>
    <w:rsid w:val="00A75435"/>
    <w:rsid w:val="00A75525"/>
    <w:rsid w:val="00A7552E"/>
    <w:rsid w:val="00A75573"/>
    <w:rsid w:val="00A75673"/>
    <w:rsid w:val="00A7567C"/>
    <w:rsid w:val="00A7569C"/>
    <w:rsid w:val="00A757E2"/>
    <w:rsid w:val="00A75808"/>
    <w:rsid w:val="00A7585C"/>
    <w:rsid w:val="00A758DC"/>
    <w:rsid w:val="00A75940"/>
    <w:rsid w:val="00A75945"/>
    <w:rsid w:val="00A759F1"/>
    <w:rsid w:val="00A759F5"/>
    <w:rsid w:val="00A75A3F"/>
    <w:rsid w:val="00A75AFF"/>
    <w:rsid w:val="00A75B0A"/>
    <w:rsid w:val="00A75B2B"/>
    <w:rsid w:val="00A75B3A"/>
    <w:rsid w:val="00A75B4A"/>
    <w:rsid w:val="00A75C7B"/>
    <w:rsid w:val="00A75CD7"/>
    <w:rsid w:val="00A75CFF"/>
    <w:rsid w:val="00A75D05"/>
    <w:rsid w:val="00A75DC7"/>
    <w:rsid w:val="00A75E0D"/>
    <w:rsid w:val="00A75E17"/>
    <w:rsid w:val="00A75E7C"/>
    <w:rsid w:val="00A75EA9"/>
    <w:rsid w:val="00A75EC0"/>
    <w:rsid w:val="00A75EE6"/>
    <w:rsid w:val="00A76008"/>
    <w:rsid w:val="00A7600C"/>
    <w:rsid w:val="00A7604F"/>
    <w:rsid w:val="00A760A3"/>
    <w:rsid w:val="00A76110"/>
    <w:rsid w:val="00A7615C"/>
    <w:rsid w:val="00A7627A"/>
    <w:rsid w:val="00A762AD"/>
    <w:rsid w:val="00A7649D"/>
    <w:rsid w:val="00A76575"/>
    <w:rsid w:val="00A76622"/>
    <w:rsid w:val="00A7664C"/>
    <w:rsid w:val="00A76689"/>
    <w:rsid w:val="00A767AC"/>
    <w:rsid w:val="00A768B5"/>
    <w:rsid w:val="00A768F3"/>
    <w:rsid w:val="00A76B48"/>
    <w:rsid w:val="00A76B86"/>
    <w:rsid w:val="00A76C6E"/>
    <w:rsid w:val="00A76C84"/>
    <w:rsid w:val="00A76CA4"/>
    <w:rsid w:val="00A76F04"/>
    <w:rsid w:val="00A76F7F"/>
    <w:rsid w:val="00A76FA4"/>
    <w:rsid w:val="00A77243"/>
    <w:rsid w:val="00A772A4"/>
    <w:rsid w:val="00A772D7"/>
    <w:rsid w:val="00A773D9"/>
    <w:rsid w:val="00A773E5"/>
    <w:rsid w:val="00A77407"/>
    <w:rsid w:val="00A775C6"/>
    <w:rsid w:val="00A775D7"/>
    <w:rsid w:val="00A775F2"/>
    <w:rsid w:val="00A77710"/>
    <w:rsid w:val="00A778D4"/>
    <w:rsid w:val="00A77930"/>
    <w:rsid w:val="00A7799F"/>
    <w:rsid w:val="00A779B5"/>
    <w:rsid w:val="00A77A79"/>
    <w:rsid w:val="00A77B91"/>
    <w:rsid w:val="00A77C72"/>
    <w:rsid w:val="00A77CA5"/>
    <w:rsid w:val="00A77E01"/>
    <w:rsid w:val="00A77F35"/>
    <w:rsid w:val="00A77F4F"/>
    <w:rsid w:val="00A77F5F"/>
    <w:rsid w:val="00A77FE5"/>
    <w:rsid w:val="00A8000C"/>
    <w:rsid w:val="00A8010E"/>
    <w:rsid w:val="00A80118"/>
    <w:rsid w:val="00A801CC"/>
    <w:rsid w:val="00A80249"/>
    <w:rsid w:val="00A8042E"/>
    <w:rsid w:val="00A80471"/>
    <w:rsid w:val="00A80593"/>
    <w:rsid w:val="00A806BE"/>
    <w:rsid w:val="00A80A43"/>
    <w:rsid w:val="00A80ACE"/>
    <w:rsid w:val="00A80B28"/>
    <w:rsid w:val="00A80B34"/>
    <w:rsid w:val="00A80B50"/>
    <w:rsid w:val="00A80C10"/>
    <w:rsid w:val="00A80C9A"/>
    <w:rsid w:val="00A80D26"/>
    <w:rsid w:val="00A80D8B"/>
    <w:rsid w:val="00A80DE8"/>
    <w:rsid w:val="00A80FB6"/>
    <w:rsid w:val="00A81008"/>
    <w:rsid w:val="00A81079"/>
    <w:rsid w:val="00A81086"/>
    <w:rsid w:val="00A810AB"/>
    <w:rsid w:val="00A8126B"/>
    <w:rsid w:val="00A812DC"/>
    <w:rsid w:val="00A8146F"/>
    <w:rsid w:val="00A815A9"/>
    <w:rsid w:val="00A815DB"/>
    <w:rsid w:val="00A816C0"/>
    <w:rsid w:val="00A81722"/>
    <w:rsid w:val="00A817C7"/>
    <w:rsid w:val="00A817EF"/>
    <w:rsid w:val="00A817F9"/>
    <w:rsid w:val="00A819BF"/>
    <w:rsid w:val="00A819F6"/>
    <w:rsid w:val="00A81A41"/>
    <w:rsid w:val="00A81A44"/>
    <w:rsid w:val="00A81AB0"/>
    <w:rsid w:val="00A81B39"/>
    <w:rsid w:val="00A81BDE"/>
    <w:rsid w:val="00A81D20"/>
    <w:rsid w:val="00A81D50"/>
    <w:rsid w:val="00A81DDB"/>
    <w:rsid w:val="00A81EB3"/>
    <w:rsid w:val="00A81EE3"/>
    <w:rsid w:val="00A81F75"/>
    <w:rsid w:val="00A81FCB"/>
    <w:rsid w:val="00A821BE"/>
    <w:rsid w:val="00A82263"/>
    <w:rsid w:val="00A822E5"/>
    <w:rsid w:val="00A822FA"/>
    <w:rsid w:val="00A824E3"/>
    <w:rsid w:val="00A8256D"/>
    <w:rsid w:val="00A82589"/>
    <w:rsid w:val="00A826CB"/>
    <w:rsid w:val="00A8274B"/>
    <w:rsid w:val="00A8287E"/>
    <w:rsid w:val="00A82921"/>
    <w:rsid w:val="00A829E8"/>
    <w:rsid w:val="00A829F0"/>
    <w:rsid w:val="00A82B0D"/>
    <w:rsid w:val="00A82BA7"/>
    <w:rsid w:val="00A82CBD"/>
    <w:rsid w:val="00A82D5C"/>
    <w:rsid w:val="00A82F42"/>
    <w:rsid w:val="00A82FCD"/>
    <w:rsid w:val="00A82FEE"/>
    <w:rsid w:val="00A83040"/>
    <w:rsid w:val="00A83072"/>
    <w:rsid w:val="00A830D0"/>
    <w:rsid w:val="00A832A7"/>
    <w:rsid w:val="00A832EF"/>
    <w:rsid w:val="00A83355"/>
    <w:rsid w:val="00A833C0"/>
    <w:rsid w:val="00A834DF"/>
    <w:rsid w:val="00A83614"/>
    <w:rsid w:val="00A83622"/>
    <w:rsid w:val="00A8366A"/>
    <w:rsid w:val="00A836DD"/>
    <w:rsid w:val="00A83703"/>
    <w:rsid w:val="00A83745"/>
    <w:rsid w:val="00A83750"/>
    <w:rsid w:val="00A8377A"/>
    <w:rsid w:val="00A837A5"/>
    <w:rsid w:val="00A8388A"/>
    <w:rsid w:val="00A83903"/>
    <w:rsid w:val="00A83A23"/>
    <w:rsid w:val="00A83A9A"/>
    <w:rsid w:val="00A83AED"/>
    <w:rsid w:val="00A83B26"/>
    <w:rsid w:val="00A83CA4"/>
    <w:rsid w:val="00A83CC8"/>
    <w:rsid w:val="00A83D49"/>
    <w:rsid w:val="00A83D9C"/>
    <w:rsid w:val="00A83DBA"/>
    <w:rsid w:val="00A83E31"/>
    <w:rsid w:val="00A83EAE"/>
    <w:rsid w:val="00A83FCD"/>
    <w:rsid w:val="00A83FFB"/>
    <w:rsid w:val="00A840EB"/>
    <w:rsid w:val="00A84100"/>
    <w:rsid w:val="00A841C1"/>
    <w:rsid w:val="00A84268"/>
    <w:rsid w:val="00A8429A"/>
    <w:rsid w:val="00A84405"/>
    <w:rsid w:val="00A8443B"/>
    <w:rsid w:val="00A8446F"/>
    <w:rsid w:val="00A844D3"/>
    <w:rsid w:val="00A8450A"/>
    <w:rsid w:val="00A84661"/>
    <w:rsid w:val="00A84731"/>
    <w:rsid w:val="00A849EA"/>
    <w:rsid w:val="00A84A72"/>
    <w:rsid w:val="00A84B4A"/>
    <w:rsid w:val="00A84C42"/>
    <w:rsid w:val="00A84C8C"/>
    <w:rsid w:val="00A84D3F"/>
    <w:rsid w:val="00A84DB9"/>
    <w:rsid w:val="00A84DD9"/>
    <w:rsid w:val="00A84DDF"/>
    <w:rsid w:val="00A84EFA"/>
    <w:rsid w:val="00A84F4A"/>
    <w:rsid w:val="00A84FF9"/>
    <w:rsid w:val="00A850EE"/>
    <w:rsid w:val="00A85193"/>
    <w:rsid w:val="00A85293"/>
    <w:rsid w:val="00A852D5"/>
    <w:rsid w:val="00A852FE"/>
    <w:rsid w:val="00A85336"/>
    <w:rsid w:val="00A853A8"/>
    <w:rsid w:val="00A853AD"/>
    <w:rsid w:val="00A8543B"/>
    <w:rsid w:val="00A85520"/>
    <w:rsid w:val="00A85673"/>
    <w:rsid w:val="00A856A0"/>
    <w:rsid w:val="00A8574B"/>
    <w:rsid w:val="00A857E8"/>
    <w:rsid w:val="00A8580B"/>
    <w:rsid w:val="00A858CD"/>
    <w:rsid w:val="00A85917"/>
    <w:rsid w:val="00A8591E"/>
    <w:rsid w:val="00A85955"/>
    <w:rsid w:val="00A859B5"/>
    <w:rsid w:val="00A859BE"/>
    <w:rsid w:val="00A85AB3"/>
    <w:rsid w:val="00A85ADE"/>
    <w:rsid w:val="00A85B12"/>
    <w:rsid w:val="00A85B62"/>
    <w:rsid w:val="00A85B6F"/>
    <w:rsid w:val="00A85CD0"/>
    <w:rsid w:val="00A85DA1"/>
    <w:rsid w:val="00A85DAE"/>
    <w:rsid w:val="00A85EF7"/>
    <w:rsid w:val="00A85F3C"/>
    <w:rsid w:val="00A85F81"/>
    <w:rsid w:val="00A85FB9"/>
    <w:rsid w:val="00A85FF9"/>
    <w:rsid w:val="00A85FFA"/>
    <w:rsid w:val="00A86046"/>
    <w:rsid w:val="00A860F1"/>
    <w:rsid w:val="00A86115"/>
    <w:rsid w:val="00A86268"/>
    <w:rsid w:val="00A862F5"/>
    <w:rsid w:val="00A86389"/>
    <w:rsid w:val="00A8644F"/>
    <w:rsid w:val="00A86531"/>
    <w:rsid w:val="00A86575"/>
    <w:rsid w:val="00A86584"/>
    <w:rsid w:val="00A86620"/>
    <w:rsid w:val="00A8677F"/>
    <w:rsid w:val="00A867A9"/>
    <w:rsid w:val="00A86854"/>
    <w:rsid w:val="00A8685B"/>
    <w:rsid w:val="00A868BE"/>
    <w:rsid w:val="00A868F2"/>
    <w:rsid w:val="00A8690B"/>
    <w:rsid w:val="00A8690E"/>
    <w:rsid w:val="00A86933"/>
    <w:rsid w:val="00A869BB"/>
    <w:rsid w:val="00A86B19"/>
    <w:rsid w:val="00A86B9A"/>
    <w:rsid w:val="00A86C61"/>
    <w:rsid w:val="00A86C6F"/>
    <w:rsid w:val="00A86C81"/>
    <w:rsid w:val="00A86CCD"/>
    <w:rsid w:val="00A86CF3"/>
    <w:rsid w:val="00A86E26"/>
    <w:rsid w:val="00A86E54"/>
    <w:rsid w:val="00A86E9A"/>
    <w:rsid w:val="00A86EE4"/>
    <w:rsid w:val="00A86F34"/>
    <w:rsid w:val="00A86FD0"/>
    <w:rsid w:val="00A870AE"/>
    <w:rsid w:val="00A8711B"/>
    <w:rsid w:val="00A8718A"/>
    <w:rsid w:val="00A8734B"/>
    <w:rsid w:val="00A8747C"/>
    <w:rsid w:val="00A87512"/>
    <w:rsid w:val="00A8753D"/>
    <w:rsid w:val="00A87559"/>
    <w:rsid w:val="00A8765C"/>
    <w:rsid w:val="00A87715"/>
    <w:rsid w:val="00A877F8"/>
    <w:rsid w:val="00A8782C"/>
    <w:rsid w:val="00A878B1"/>
    <w:rsid w:val="00A878B4"/>
    <w:rsid w:val="00A8790D"/>
    <w:rsid w:val="00A87916"/>
    <w:rsid w:val="00A8791F"/>
    <w:rsid w:val="00A87984"/>
    <w:rsid w:val="00A87A71"/>
    <w:rsid w:val="00A87ADC"/>
    <w:rsid w:val="00A87B5A"/>
    <w:rsid w:val="00A87B9D"/>
    <w:rsid w:val="00A87CD5"/>
    <w:rsid w:val="00A87CDA"/>
    <w:rsid w:val="00A87CE9"/>
    <w:rsid w:val="00A87D13"/>
    <w:rsid w:val="00A87D3D"/>
    <w:rsid w:val="00A87D80"/>
    <w:rsid w:val="00A87E16"/>
    <w:rsid w:val="00A87E40"/>
    <w:rsid w:val="00A87E78"/>
    <w:rsid w:val="00A87FF5"/>
    <w:rsid w:val="00A90063"/>
    <w:rsid w:val="00A900DB"/>
    <w:rsid w:val="00A90448"/>
    <w:rsid w:val="00A90490"/>
    <w:rsid w:val="00A904BC"/>
    <w:rsid w:val="00A90506"/>
    <w:rsid w:val="00A90516"/>
    <w:rsid w:val="00A9055E"/>
    <w:rsid w:val="00A905E5"/>
    <w:rsid w:val="00A9064C"/>
    <w:rsid w:val="00A90758"/>
    <w:rsid w:val="00A90951"/>
    <w:rsid w:val="00A9095A"/>
    <w:rsid w:val="00A909DD"/>
    <w:rsid w:val="00A90A6D"/>
    <w:rsid w:val="00A90AF4"/>
    <w:rsid w:val="00A90AFF"/>
    <w:rsid w:val="00A90BA2"/>
    <w:rsid w:val="00A90C68"/>
    <w:rsid w:val="00A90C6E"/>
    <w:rsid w:val="00A90CAD"/>
    <w:rsid w:val="00A90D6F"/>
    <w:rsid w:val="00A90E27"/>
    <w:rsid w:val="00A90E71"/>
    <w:rsid w:val="00A90FED"/>
    <w:rsid w:val="00A91020"/>
    <w:rsid w:val="00A91028"/>
    <w:rsid w:val="00A9105D"/>
    <w:rsid w:val="00A9129A"/>
    <w:rsid w:val="00A912D8"/>
    <w:rsid w:val="00A9131C"/>
    <w:rsid w:val="00A9141D"/>
    <w:rsid w:val="00A914C0"/>
    <w:rsid w:val="00A914C9"/>
    <w:rsid w:val="00A91576"/>
    <w:rsid w:val="00A915CE"/>
    <w:rsid w:val="00A915D7"/>
    <w:rsid w:val="00A915ED"/>
    <w:rsid w:val="00A915F1"/>
    <w:rsid w:val="00A91609"/>
    <w:rsid w:val="00A916DD"/>
    <w:rsid w:val="00A91729"/>
    <w:rsid w:val="00A917B2"/>
    <w:rsid w:val="00A91853"/>
    <w:rsid w:val="00A9185B"/>
    <w:rsid w:val="00A91871"/>
    <w:rsid w:val="00A9187F"/>
    <w:rsid w:val="00A918A9"/>
    <w:rsid w:val="00A919C7"/>
    <w:rsid w:val="00A91A06"/>
    <w:rsid w:val="00A91AA2"/>
    <w:rsid w:val="00A91C52"/>
    <w:rsid w:val="00A91C72"/>
    <w:rsid w:val="00A91C8E"/>
    <w:rsid w:val="00A91CD0"/>
    <w:rsid w:val="00A91F07"/>
    <w:rsid w:val="00A91F33"/>
    <w:rsid w:val="00A91F5F"/>
    <w:rsid w:val="00A91F8D"/>
    <w:rsid w:val="00A91F97"/>
    <w:rsid w:val="00A9203C"/>
    <w:rsid w:val="00A92138"/>
    <w:rsid w:val="00A9225C"/>
    <w:rsid w:val="00A922E6"/>
    <w:rsid w:val="00A92370"/>
    <w:rsid w:val="00A92375"/>
    <w:rsid w:val="00A9249F"/>
    <w:rsid w:val="00A92507"/>
    <w:rsid w:val="00A92509"/>
    <w:rsid w:val="00A9256F"/>
    <w:rsid w:val="00A927DB"/>
    <w:rsid w:val="00A92802"/>
    <w:rsid w:val="00A92918"/>
    <w:rsid w:val="00A92927"/>
    <w:rsid w:val="00A92973"/>
    <w:rsid w:val="00A929D2"/>
    <w:rsid w:val="00A92A54"/>
    <w:rsid w:val="00A92B35"/>
    <w:rsid w:val="00A92B46"/>
    <w:rsid w:val="00A92B8F"/>
    <w:rsid w:val="00A92B90"/>
    <w:rsid w:val="00A92B95"/>
    <w:rsid w:val="00A92BE4"/>
    <w:rsid w:val="00A92CE5"/>
    <w:rsid w:val="00A92D8E"/>
    <w:rsid w:val="00A92DE3"/>
    <w:rsid w:val="00A92E10"/>
    <w:rsid w:val="00A92FF3"/>
    <w:rsid w:val="00A93056"/>
    <w:rsid w:val="00A93092"/>
    <w:rsid w:val="00A930E7"/>
    <w:rsid w:val="00A930F4"/>
    <w:rsid w:val="00A93180"/>
    <w:rsid w:val="00A932A4"/>
    <w:rsid w:val="00A933D5"/>
    <w:rsid w:val="00A93400"/>
    <w:rsid w:val="00A93422"/>
    <w:rsid w:val="00A934FC"/>
    <w:rsid w:val="00A9351F"/>
    <w:rsid w:val="00A9357F"/>
    <w:rsid w:val="00A93807"/>
    <w:rsid w:val="00A93871"/>
    <w:rsid w:val="00A938FE"/>
    <w:rsid w:val="00A93954"/>
    <w:rsid w:val="00A9395C"/>
    <w:rsid w:val="00A93993"/>
    <w:rsid w:val="00A9399F"/>
    <w:rsid w:val="00A93A02"/>
    <w:rsid w:val="00A93A3D"/>
    <w:rsid w:val="00A93A60"/>
    <w:rsid w:val="00A93A6E"/>
    <w:rsid w:val="00A93A70"/>
    <w:rsid w:val="00A93AEA"/>
    <w:rsid w:val="00A93B2C"/>
    <w:rsid w:val="00A93B7E"/>
    <w:rsid w:val="00A93DD5"/>
    <w:rsid w:val="00A93DEA"/>
    <w:rsid w:val="00A93FA3"/>
    <w:rsid w:val="00A94117"/>
    <w:rsid w:val="00A9418F"/>
    <w:rsid w:val="00A941DB"/>
    <w:rsid w:val="00A941E2"/>
    <w:rsid w:val="00A942AD"/>
    <w:rsid w:val="00A942CF"/>
    <w:rsid w:val="00A942DF"/>
    <w:rsid w:val="00A942F4"/>
    <w:rsid w:val="00A9438F"/>
    <w:rsid w:val="00A944D0"/>
    <w:rsid w:val="00A9451B"/>
    <w:rsid w:val="00A94524"/>
    <w:rsid w:val="00A94653"/>
    <w:rsid w:val="00A9468D"/>
    <w:rsid w:val="00A94729"/>
    <w:rsid w:val="00A94823"/>
    <w:rsid w:val="00A94877"/>
    <w:rsid w:val="00A948C0"/>
    <w:rsid w:val="00A949BD"/>
    <w:rsid w:val="00A94A07"/>
    <w:rsid w:val="00A94BF3"/>
    <w:rsid w:val="00A94C1A"/>
    <w:rsid w:val="00A94D49"/>
    <w:rsid w:val="00A94D6F"/>
    <w:rsid w:val="00A94E64"/>
    <w:rsid w:val="00A94F54"/>
    <w:rsid w:val="00A95018"/>
    <w:rsid w:val="00A9507B"/>
    <w:rsid w:val="00A95198"/>
    <w:rsid w:val="00A9528A"/>
    <w:rsid w:val="00A9544E"/>
    <w:rsid w:val="00A955B8"/>
    <w:rsid w:val="00A95693"/>
    <w:rsid w:val="00A9569E"/>
    <w:rsid w:val="00A9576C"/>
    <w:rsid w:val="00A9579C"/>
    <w:rsid w:val="00A958E9"/>
    <w:rsid w:val="00A959CF"/>
    <w:rsid w:val="00A95A6D"/>
    <w:rsid w:val="00A95C27"/>
    <w:rsid w:val="00A95DDA"/>
    <w:rsid w:val="00A95F02"/>
    <w:rsid w:val="00A95F7E"/>
    <w:rsid w:val="00A9616C"/>
    <w:rsid w:val="00A96174"/>
    <w:rsid w:val="00A961A0"/>
    <w:rsid w:val="00A961DA"/>
    <w:rsid w:val="00A96270"/>
    <w:rsid w:val="00A9633D"/>
    <w:rsid w:val="00A96494"/>
    <w:rsid w:val="00A964F6"/>
    <w:rsid w:val="00A9659A"/>
    <w:rsid w:val="00A96621"/>
    <w:rsid w:val="00A9662D"/>
    <w:rsid w:val="00A96641"/>
    <w:rsid w:val="00A966C3"/>
    <w:rsid w:val="00A96813"/>
    <w:rsid w:val="00A9681E"/>
    <w:rsid w:val="00A968D4"/>
    <w:rsid w:val="00A96977"/>
    <w:rsid w:val="00A9697F"/>
    <w:rsid w:val="00A96992"/>
    <w:rsid w:val="00A969CD"/>
    <w:rsid w:val="00A96ACF"/>
    <w:rsid w:val="00A96B02"/>
    <w:rsid w:val="00A96BC1"/>
    <w:rsid w:val="00A96C04"/>
    <w:rsid w:val="00A96C55"/>
    <w:rsid w:val="00A96C64"/>
    <w:rsid w:val="00A96C92"/>
    <w:rsid w:val="00A96CB5"/>
    <w:rsid w:val="00A96CD2"/>
    <w:rsid w:val="00A96DE2"/>
    <w:rsid w:val="00A96DEC"/>
    <w:rsid w:val="00A96E96"/>
    <w:rsid w:val="00A96F48"/>
    <w:rsid w:val="00A96F74"/>
    <w:rsid w:val="00A96FF2"/>
    <w:rsid w:val="00A97046"/>
    <w:rsid w:val="00A9708C"/>
    <w:rsid w:val="00A97119"/>
    <w:rsid w:val="00A97167"/>
    <w:rsid w:val="00A971DE"/>
    <w:rsid w:val="00A97231"/>
    <w:rsid w:val="00A9729F"/>
    <w:rsid w:val="00A97401"/>
    <w:rsid w:val="00A974EA"/>
    <w:rsid w:val="00A9751B"/>
    <w:rsid w:val="00A97526"/>
    <w:rsid w:val="00A97600"/>
    <w:rsid w:val="00A97687"/>
    <w:rsid w:val="00A976A5"/>
    <w:rsid w:val="00A97743"/>
    <w:rsid w:val="00A977F9"/>
    <w:rsid w:val="00A97874"/>
    <w:rsid w:val="00A978F2"/>
    <w:rsid w:val="00A97968"/>
    <w:rsid w:val="00A979EF"/>
    <w:rsid w:val="00A97A08"/>
    <w:rsid w:val="00A97A35"/>
    <w:rsid w:val="00A97A83"/>
    <w:rsid w:val="00A97AF2"/>
    <w:rsid w:val="00A97CCB"/>
    <w:rsid w:val="00A97E75"/>
    <w:rsid w:val="00A97F88"/>
    <w:rsid w:val="00AA0036"/>
    <w:rsid w:val="00AA003E"/>
    <w:rsid w:val="00AA0040"/>
    <w:rsid w:val="00AA004B"/>
    <w:rsid w:val="00AA0078"/>
    <w:rsid w:val="00AA0190"/>
    <w:rsid w:val="00AA01AF"/>
    <w:rsid w:val="00AA0278"/>
    <w:rsid w:val="00AA02D2"/>
    <w:rsid w:val="00AA04CC"/>
    <w:rsid w:val="00AA055F"/>
    <w:rsid w:val="00AA056E"/>
    <w:rsid w:val="00AA0594"/>
    <w:rsid w:val="00AA066B"/>
    <w:rsid w:val="00AA06EC"/>
    <w:rsid w:val="00AA08D9"/>
    <w:rsid w:val="00AA08DF"/>
    <w:rsid w:val="00AA0982"/>
    <w:rsid w:val="00AA099A"/>
    <w:rsid w:val="00AA0A6F"/>
    <w:rsid w:val="00AA0AB2"/>
    <w:rsid w:val="00AA0B09"/>
    <w:rsid w:val="00AA0B0A"/>
    <w:rsid w:val="00AA0BB3"/>
    <w:rsid w:val="00AA0C5C"/>
    <w:rsid w:val="00AA0D21"/>
    <w:rsid w:val="00AA0DD0"/>
    <w:rsid w:val="00AA0E14"/>
    <w:rsid w:val="00AA0E57"/>
    <w:rsid w:val="00AA0EAB"/>
    <w:rsid w:val="00AA0EBB"/>
    <w:rsid w:val="00AA0EFF"/>
    <w:rsid w:val="00AA0F06"/>
    <w:rsid w:val="00AA0F20"/>
    <w:rsid w:val="00AA0F26"/>
    <w:rsid w:val="00AA0F3D"/>
    <w:rsid w:val="00AA105F"/>
    <w:rsid w:val="00AA1089"/>
    <w:rsid w:val="00AA115C"/>
    <w:rsid w:val="00AA11E5"/>
    <w:rsid w:val="00AA128C"/>
    <w:rsid w:val="00AA13B3"/>
    <w:rsid w:val="00AA1437"/>
    <w:rsid w:val="00AA1501"/>
    <w:rsid w:val="00AA155E"/>
    <w:rsid w:val="00AA15C3"/>
    <w:rsid w:val="00AA17D5"/>
    <w:rsid w:val="00AA18C3"/>
    <w:rsid w:val="00AA18D3"/>
    <w:rsid w:val="00AA1929"/>
    <w:rsid w:val="00AA1930"/>
    <w:rsid w:val="00AA1A82"/>
    <w:rsid w:val="00AA1ADA"/>
    <w:rsid w:val="00AA1BCD"/>
    <w:rsid w:val="00AA1C45"/>
    <w:rsid w:val="00AA1C73"/>
    <w:rsid w:val="00AA1CE5"/>
    <w:rsid w:val="00AA1D05"/>
    <w:rsid w:val="00AA1D4C"/>
    <w:rsid w:val="00AA1D9E"/>
    <w:rsid w:val="00AA1E4A"/>
    <w:rsid w:val="00AA200E"/>
    <w:rsid w:val="00AA2112"/>
    <w:rsid w:val="00AA2213"/>
    <w:rsid w:val="00AA2216"/>
    <w:rsid w:val="00AA2223"/>
    <w:rsid w:val="00AA2250"/>
    <w:rsid w:val="00AA226A"/>
    <w:rsid w:val="00AA2547"/>
    <w:rsid w:val="00AA258D"/>
    <w:rsid w:val="00AA261B"/>
    <w:rsid w:val="00AA267A"/>
    <w:rsid w:val="00AA27B3"/>
    <w:rsid w:val="00AA27D1"/>
    <w:rsid w:val="00AA2852"/>
    <w:rsid w:val="00AA2877"/>
    <w:rsid w:val="00AA2A91"/>
    <w:rsid w:val="00AA2AAC"/>
    <w:rsid w:val="00AA2AC8"/>
    <w:rsid w:val="00AA2AD4"/>
    <w:rsid w:val="00AA2B19"/>
    <w:rsid w:val="00AA2B73"/>
    <w:rsid w:val="00AA2BDC"/>
    <w:rsid w:val="00AA2C0F"/>
    <w:rsid w:val="00AA2C10"/>
    <w:rsid w:val="00AA2C67"/>
    <w:rsid w:val="00AA2D35"/>
    <w:rsid w:val="00AA2DC3"/>
    <w:rsid w:val="00AA2DFF"/>
    <w:rsid w:val="00AA2E40"/>
    <w:rsid w:val="00AA2F71"/>
    <w:rsid w:val="00AA2F7E"/>
    <w:rsid w:val="00AA2FBB"/>
    <w:rsid w:val="00AA2FF6"/>
    <w:rsid w:val="00AA3062"/>
    <w:rsid w:val="00AA317D"/>
    <w:rsid w:val="00AA31A6"/>
    <w:rsid w:val="00AA333E"/>
    <w:rsid w:val="00AA3355"/>
    <w:rsid w:val="00AA33FB"/>
    <w:rsid w:val="00AA345F"/>
    <w:rsid w:val="00AA3477"/>
    <w:rsid w:val="00AA353F"/>
    <w:rsid w:val="00AA3647"/>
    <w:rsid w:val="00AA3668"/>
    <w:rsid w:val="00AA3772"/>
    <w:rsid w:val="00AA3828"/>
    <w:rsid w:val="00AA382C"/>
    <w:rsid w:val="00AA3833"/>
    <w:rsid w:val="00AA38E2"/>
    <w:rsid w:val="00AA38EB"/>
    <w:rsid w:val="00AA3965"/>
    <w:rsid w:val="00AA39D9"/>
    <w:rsid w:val="00AA39EA"/>
    <w:rsid w:val="00AA39F7"/>
    <w:rsid w:val="00AA3B4D"/>
    <w:rsid w:val="00AA3BA8"/>
    <w:rsid w:val="00AA3BAF"/>
    <w:rsid w:val="00AA3C41"/>
    <w:rsid w:val="00AA3C84"/>
    <w:rsid w:val="00AA3CF2"/>
    <w:rsid w:val="00AA3DD2"/>
    <w:rsid w:val="00AA3E5E"/>
    <w:rsid w:val="00AA3E9A"/>
    <w:rsid w:val="00AA3EF5"/>
    <w:rsid w:val="00AA3F19"/>
    <w:rsid w:val="00AA4072"/>
    <w:rsid w:val="00AA4082"/>
    <w:rsid w:val="00AA408A"/>
    <w:rsid w:val="00AA41C1"/>
    <w:rsid w:val="00AA41DC"/>
    <w:rsid w:val="00AA4238"/>
    <w:rsid w:val="00AA42D7"/>
    <w:rsid w:val="00AA430C"/>
    <w:rsid w:val="00AA4468"/>
    <w:rsid w:val="00AA4492"/>
    <w:rsid w:val="00AA4493"/>
    <w:rsid w:val="00AA44A2"/>
    <w:rsid w:val="00AA44DC"/>
    <w:rsid w:val="00AA44F7"/>
    <w:rsid w:val="00AA4611"/>
    <w:rsid w:val="00AA4669"/>
    <w:rsid w:val="00AA473D"/>
    <w:rsid w:val="00AA4814"/>
    <w:rsid w:val="00AA4837"/>
    <w:rsid w:val="00AA48D9"/>
    <w:rsid w:val="00AA495F"/>
    <w:rsid w:val="00AA49C1"/>
    <w:rsid w:val="00AA4ACB"/>
    <w:rsid w:val="00AA4BFD"/>
    <w:rsid w:val="00AA4C40"/>
    <w:rsid w:val="00AA4D77"/>
    <w:rsid w:val="00AA4E13"/>
    <w:rsid w:val="00AA4E29"/>
    <w:rsid w:val="00AA4EBB"/>
    <w:rsid w:val="00AA4F6D"/>
    <w:rsid w:val="00AA50F4"/>
    <w:rsid w:val="00AA514F"/>
    <w:rsid w:val="00AA515F"/>
    <w:rsid w:val="00AA519E"/>
    <w:rsid w:val="00AA51DE"/>
    <w:rsid w:val="00AA525B"/>
    <w:rsid w:val="00AA530C"/>
    <w:rsid w:val="00AA5376"/>
    <w:rsid w:val="00AA538F"/>
    <w:rsid w:val="00AA5406"/>
    <w:rsid w:val="00AA5439"/>
    <w:rsid w:val="00AA5452"/>
    <w:rsid w:val="00AA5511"/>
    <w:rsid w:val="00AA55F6"/>
    <w:rsid w:val="00AA563E"/>
    <w:rsid w:val="00AA5683"/>
    <w:rsid w:val="00AA57C0"/>
    <w:rsid w:val="00AA59A0"/>
    <w:rsid w:val="00AA5AA5"/>
    <w:rsid w:val="00AA5AAD"/>
    <w:rsid w:val="00AA5AD7"/>
    <w:rsid w:val="00AA5BAB"/>
    <w:rsid w:val="00AA5C0A"/>
    <w:rsid w:val="00AA5C35"/>
    <w:rsid w:val="00AA5DCD"/>
    <w:rsid w:val="00AA5F00"/>
    <w:rsid w:val="00AA5FCC"/>
    <w:rsid w:val="00AA5FE2"/>
    <w:rsid w:val="00AA6092"/>
    <w:rsid w:val="00AA60C8"/>
    <w:rsid w:val="00AA60D6"/>
    <w:rsid w:val="00AA6109"/>
    <w:rsid w:val="00AA620B"/>
    <w:rsid w:val="00AA6315"/>
    <w:rsid w:val="00AA64E9"/>
    <w:rsid w:val="00AA6538"/>
    <w:rsid w:val="00AA654A"/>
    <w:rsid w:val="00AA65A3"/>
    <w:rsid w:val="00AA664F"/>
    <w:rsid w:val="00AA6830"/>
    <w:rsid w:val="00AA6895"/>
    <w:rsid w:val="00AA68A2"/>
    <w:rsid w:val="00AA6972"/>
    <w:rsid w:val="00AA69B1"/>
    <w:rsid w:val="00AA69CF"/>
    <w:rsid w:val="00AA69EF"/>
    <w:rsid w:val="00AA6AA9"/>
    <w:rsid w:val="00AA6ACE"/>
    <w:rsid w:val="00AA6B1A"/>
    <w:rsid w:val="00AA6BE8"/>
    <w:rsid w:val="00AA6CCC"/>
    <w:rsid w:val="00AA6CD5"/>
    <w:rsid w:val="00AA6D3E"/>
    <w:rsid w:val="00AA6E52"/>
    <w:rsid w:val="00AA700B"/>
    <w:rsid w:val="00AA70A5"/>
    <w:rsid w:val="00AA714F"/>
    <w:rsid w:val="00AA71B9"/>
    <w:rsid w:val="00AA7259"/>
    <w:rsid w:val="00AA7281"/>
    <w:rsid w:val="00AA72AD"/>
    <w:rsid w:val="00AA7340"/>
    <w:rsid w:val="00AA73CC"/>
    <w:rsid w:val="00AA74AA"/>
    <w:rsid w:val="00AA7586"/>
    <w:rsid w:val="00AA75DD"/>
    <w:rsid w:val="00AA7678"/>
    <w:rsid w:val="00AA7697"/>
    <w:rsid w:val="00AA778B"/>
    <w:rsid w:val="00AA78CD"/>
    <w:rsid w:val="00AA796B"/>
    <w:rsid w:val="00AA7A19"/>
    <w:rsid w:val="00AA7AAE"/>
    <w:rsid w:val="00AA7AD9"/>
    <w:rsid w:val="00AA7B02"/>
    <w:rsid w:val="00AA7B41"/>
    <w:rsid w:val="00AA7B89"/>
    <w:rsid w:val="00AA7B9E"/>
    <w:rsid w:val="00AA7BDF"/>
    <w:rsid w:val="00AA7C1D"/>
    <w:rsid w:val="00AA7C4F"/>
    <w:rsid w:val="00AA7DDE"/>
    <w:rsid w:val="00AA7E63"/>
    <w:rsid w:val="00AA7EF7"/>
    <w:rsid w:val="00AA7FD5"/>
    <w:rsid w:val="00AA7FF3"/>
    <w:rsid w:val="00AB0060"/>
    <w:rsid w:val="00AB0132"/>
    <w:rsid w:val="00AB0147"/>
    <w:rsid w:val="00AB026A"/>
    <w:rsid w:val="00AB0330"/>
    <w:rsid w:val="00AB034D"/>
    <w:rsid w:val="00AB03A6"/>
    <w:rsid w:val="00AB0480"/>
    <w:rsid w:val="00AB0489"/>
    <w:rsid w:val="00AB048A"/>
    <w:rsid w:val="00AB07D6"/>
    <w:rsid w:val="00AB088A"/>
    <w:rsid w:val="00AB08DD"/>
    <w:rsid w:val="00AB090D"/>
    <w:rsid w:val="00AB0A3B"/>
    <w:rsid w:val="00AB0BF7"/>
    <w:rsid w:val="00AB0F0F"/>
    <w:rsid w:val="00AB0FD1"/>
    <w:rsid w:val="00AB102E"/>
    <w:rsid w:val="00AB1046"/>
    <w:rsid w:val="00AB1076"/>
    <w:rsid w:val="00AB10E0"/>
    <w:rsid w:val="00AB1222"/>
    <w:rsid w:val="00AB1248"/>
    <w:rsid w:val="00AB12C0"/>
    <w:rsid w:val="00AB146B"/>
    <w:rsid w:val="00AB149D"/>
    <w:rsid w:val="00AB1536"/>
    <w:rsid w:val="00AB155E"/>
    <w:rsid w:val="00AB159E"/>
    <w:rsid w:val="00AB15DD"/>
    <w:rsid w:val="00AB16A9"/>
    <w:rsid w:val="00AB177F"/>
    <w:rsid w:val="00AB19CB"/>
    <w:rsid w:val="00AB1A11"/>
    <w:rsid w:val="00AB1ADE"/>
    <w:rsid w:val="00AB1B28"/>
    <w:rsid w:val="00AB1BAD"/>
    <w:rsid w:val="00AB1BDF"/>
    <w:rsid w:val="00AB1C5E"/>
    <w:rsid w:val="00AB1C67"/>
    <w:rsid w:val="00AB1D2D"/>
    <w:rsid w:val="00AB1D59"/>
    <w:rsid w:val="00AB1D7B"/>
    <w:rsid w:val="00AB1DC4"/>
    <w:rsid w:val="00AB1DE9"/>
    <w:rsid w:val="00AB1EE9"/>
    <w:rsid w:val="00AB1EEA"/>
    <w:rsid w:val="00AB1F13"/>
    <w:rsid w:val="00AB1F7A"/>
    <w:rsid w:val="00AB204C"/>
    <w:rsid w:val="00AB2126"/>
    <w:rsid w:val="00AB2201"/>
    <w:rsid w:val="00AB22F3"/>
    <w:rsid w:val="00AB239C"/>
    <w:rsid w:val="00AB2432"/>
    <w:rsid w:val="00AB2485"/>
    <w:rsid w:val="00AB249C"/>
    <w:rsid w:val="00AB2503"/>
    <w:rsid w:val="00AB2523"/>
    <w:rsid w:val="00AB2552"/>
    <w:rsid w:val="00AB2576"/>
    <w:rsid w:val="00AB25D0"/>
    <w:rsid w:val="00AB26C7"/>
    <w:rsid w:val="00AB27BA"/>
    <w:rsid w:val="00AB27DA"/>
    <w:rsid w:val="00AB27F1"/>
    <w:rsid w:val="00AB2811"/>
    <w:rsid w:val="00AB284C"/>
    <w:rsid w:val="00AB28A9"/>
    <w:rsid w:val="00AB298F"/>
    <w:rsid w:val="00AB29A3"/>
    <w:rsid w:val="00AB29AE"/>
    <w:rsid w:val="00AB29BA"/>
    <w:rsid w:val="00AB2A42"/>
    <w:rsid w:val="00AB2AD9"/>
    <w:rsid w:val="00AB2AF7"/>
    <w:rsid w:val="00AB2B2C"/>
    <w:rsid w:val="00AB2B7E"/>
    <w:rsid w:val="00AB2BCF"/>
    <w:rsid w:val="00AB2BFA"/>
    <w:rsid w:val="00AB2C4F"/>
    <w:rsid w:val="00AB2D5B"/>
    <w:rsid w:val="00AB2DF5"/>
    <w:rsid w:val="00AB2F34"/>
    <w:rsid w:val="00AB3042"/>
    <w:rsid w:val="00AB3075"/>
    <w:rsid w:val="00AB3097"/>
    <w:rsid w:val="00AB31F3"/>
    <w:rsid w:val="00AB32C4"/>
    <w:rsid w:val="00AB3305"/>
    <w:rsid w:val="00AB3308"/>
    <w:rsid w:val="00AB3358"/>
    <w:rsid w:val="00AB34A9"/>
    <w:rsid w:val="00AB34AB"/>
    <w:rsid w:val="00AB350E"/>
    <w:rsid w:val="00AB355C"/>
    <w:rsid w:val="00AB35C3"/>
    <w:rsid w:val="00AB3627"/>
    <w:rsid w:val="00AB3632"/>
    <w:rsid w:val="00AB36E8"/>
    <w:rsid w:val="00AB3740"/>
    <w:rsid w:val="00AB3772"/>
    <w:rsid w:val="00AB38FB"/>
    <w:rsid w:val="00AB3911"/>
    <w:rsid w:val="00AB39C9"/>
    <w:rsid w:val="00AB3A86"/>
    <w:rsid w:val="00AB3B35"/>
    <w:rsid w:val="00AB3C40"/>
    <w:rsid w:val="00AB3E20"/>
    <w:rsid w:val="00AB3EC9"/>
    <w:rsid w:val="00AB3FB0"/>
    <w:rsid w:val="00AB3FCD"/>
    <w:rsid w:val="00AB4076"/>
    <w:rsid w:val="00AB40B7"/>
    <w:rsid w:val="00AB428B"/>
    <w:rsid w:val="00AB429D"/>
    <w:rsid w:val="00AB44D0"/>
    <w:rsid w:val="00AB44FB"/>
    <w:rsid w:val="00AB452A"/>
    <w:rsid w:val="00AB45C2"/>
    <w:rsid w:val="00AB462C"/>
    <w:rsid w:val="00AB46AC"/>
    <w:rsid w:val="00AB4803"/>
    <w:rsid w:val="00AB4868"/>
    <w:rsid w:val="00AB488C"/>
    <w:rsid w:val="00AB48A9"/>
    <w:rsid w:val="00AB48DB"/>
    <w:rsid w:val="00AB48E2"/>
    <w:rsid w:val="00AB490A"/>
    <w:rsid w:val="00AB4914"/>
    <w:rsid w:val="00AB4B17"/>
    <w:rsid w:val="00AB4B2F"/>
    <w:rsid w:val="00AB4C11"/>
    <w:rsid w:val="00AB4C67"/>
    <w:rsid w:val="00AB4CC2"/>
    <w:rsid w:val="00AB4D1E"/>
    <w:rsid w:val="00AB4D83"/>
    <w:rsid w:val="00AB4E49"/>
    <w:rsid w:val="00AB5069"/>
    <w:rsid w:val="00AB519A"/>
    <w:rsid w:val="00AB51A9"/>
    <w:rsid w:val="00AB5304"/>
    <w:rsid w:val="00AB5457"/>
    <w:rsid w:val="00AB54A0"/>
    <w:rsid w:val="00AB553C"/>
    <w:rsid w:val="00AB5558"/>
    <w:rsid w:val="00AB55D1"/>
    <w:rsid w:val="00AB5637"/>
    <w:rsid w:val="00AB56A9"/>
    <w:rsid w:val="00AB56EC"/>
    <w:rsid w:val="00AB574A"/>
    <w:rsid w:val="00AB5758"/>
    <w:rsid w:val="00AB578D"/>
    <w:rsid w:val="00AB58D0"/>
    <w:rsid w:val="00AB595F"/>
    <w:rsid w:val="00AB5964"/>
    <w:rsid w:val="00AB5987"/>
    <w:rsid w:val="00AB5AAA"/>
    <w:rsid w:val="00AB5AED"/>
    <w:rsid w:val="00AB5B62"/>
    <w:rsid w:val="00AB5BAB"/>
    <w:rsid w:val="00AB5BB0"/>
    <w:rsid w:val="00AB5BEC"/>
    <w:rsid w:val="00AB5C0E"/>
    <w:rsid w:val="00AB5C55"/>
    <w:rsid w:val="00AB5C59"/>
    <w:rsid w:val="00AB5D17"/>
    <w:rsid w:val="00AB5D55"/>
    <w:rsid w:val="00AB5E44"/>
    <w:rsid w:val="00AB5E51"/>
    <w:rsid w:val="00AB5F9A"/>
    <w:rsid w:val="00AB60C1"/>
    <w:rsid w:val="00AB6186"/>
    <w:rsid w:val="00AB6302"/>
    <w:rsid w:val="00AB6381"/>
    <w:rsid w:val="00AB6382"/>
    <w:rsid w:val="00AB63BD"/>
    <w:rsid w:val="00AB63E5"/>
    <w:rsid w:val="00AB6420"/>
    <w:rsid w:val="00AB6532"/>
    <w:rsid w:val="00AB6598"/>
    <w:rsid w:val="00AB6693"/>
    <w:rsid w:val="00AB66AE"/>
    <w:rsid w:val="00AB6707"/>
    <w:rsid w:val="00AB6724"/>
    <w:rsid w:val="00AB67E1"/>
    <w:rsid w:val="00AB6867"/>
    <w:rsid w:val="00AB6896"/>
    <w:rsid w:val="00AB689B"/>
    <w:rsid w:val="00AB6941"/>
    <w:rsid w:val="00AB69B9"/>
    <w:rsid w:val="00AB6A3C"/>
    <w:rsid w:val="00AB6A46"/>
    <w:rsid w:val="00AB6AF4"/>
    <w:rsid w:val="00AB6B67"/>
    <w:rsid w:val="00AB6BE0"/>
    <w:rsid w:val="00AB6C25"/>
    <w:rsid w:val="00AB6CBE"/>
    <w:rsid w:val="00AB6CE2"/>
    <w:rsid w:val="00AB6D61"/>
    <w:rsid w:val="00AB6EAE"/>
    <w:rsid w:val="00AB6EB2"/>
    <w:rsid w:val="00AB6F00"/>
    <w:rsid w:val="00AB6F20"/>
    <w:rsid w:val="00AB6F32"/>
    <w:rsid w:val="00AB6F43"/>
    <w:rsid w:val="00AB6F48"/>
    <w:rsid w:val="00AB6F6F"/>
    <w:rsid w:val="00AB6FA8"/>
    <w:rsid w:val="00AB7058"/>
    <w:rsid w:val="00AB71FA"/>
    <w:rsid w:val="00AB72F8"/>
    <w:rsid w:val="00AB7318"/>
    <w:rsid w:val="00AB731E"/>
    <w:rsid w:val="00AB7355"/>
    <w:rsid w:val="00AB7364"/>
    <w:rsid w:val="00AB739E"/>
    <w:rsid w:val="00AB73D5"/>
    <w:rsid w:val="00AB73EC"/>
    <w:rsid w:val="00AB7441"/>
    <w:rsid w:val="00AB7691"/>
    <w:rsid w:val="00AB7706"/>
    <w:rsid w:val="00AB780A"/>
    <w:rsid w:val="00AB7868"/>
    <w:rsid w:val="00AB792F"/>
    <w:rsid w:val="00AB7ACF"/>
    <w:rsid w:val="00AB7B03"/>
    <w:rsid w:val="00AB7C3C"/>
    <w:rsid w:val="00AB7CC9"/>
    <w:rsid w:val="00AB7D7F"/>
    <w:rsid w:val="00AB7E52"/>
    <w:rsid w:val="00AB7EB4"/>
    <w:rsid w:val="00AB7F99"/>
    <w:rsid w:val="00AC0014"/>
    <w:rsid w:val="00AC00AD"/>
    <w:rsid w:val="00AC010C"/>
    <w:rsid w:val="00AC0254"/>
    <w:rsid w:val="00AC027D"/>
    <w:rsid w:val="00AC0305"/>
    <w:rsid w:val="00AC03B2"/>
    <w:rsid w:val="00AC03BD"/>
    <w:rsid w:val="00AC0498"/>
    <w:rsid w:val="00AC0587"/>
    <w:rsid w:val="00AC06EA"/>
    <w:rsid w:val="00AC074F"/>
    <w:rsid w:val="00AC0820"/>
    <w:rsid w:val="00AC08D1"/>
    <w:rsid w:val="00AC09AF"/>
    <w:rsid w:val="00AC0B8C"/>
    <w:rsid w:val="00AC0CB7"/>
    <w:rsid w:val="00AC0D4A"/>
    <w:rsid w:val="00AC1087"/>
    <w:rsid w:val="00AC10E2"/>
    <w:rsid w:val="00AC116D"/>
    <w:rsid w:val="00AC11D4"/>
    <w:rsid w:val="00AC1215"/>
    <w:rsid w:val="00AC122B"/>
    <w:rsid w:val="00AC1231"/>
    <w:rsid w:val="00AC1248"/>
    <w:rsid w:val="00AC124E"/>
    <w:rsid w:val="00AC127E"/>
    <w:rsid w:val="00AC12AF"/>
    <w:rsid w:val="00AC1348"/>
    <w:rsid w:val="00AC13A7"/>
    <w:rsid w:val="00AC13BC"/>
    <w:rsid w:val="00AC1412"/>
    <w:rsid w:val="00AC1433"/>
    <w:rsid w:val="00AC143E"/>
    <w:rsid w:val="00AC14AB"/>
    <w:rsid w:val="00AC1532"/>
    <w:rsid w:val="00AC1556"/>
    <w:rsid w:val="00AC15A7"/>
    <w:rsid w:val="00AC15BC"/>
    <w:rsid w:val="00AC1673"/>
    <w:rsid w:val="00AC1698"/>
    <w:rsid w:val="00AC16F7"/>
    <w:rsid w:val="00AC1758"/>
    <w:rsid w:val="00AC1831"/>
    <w:rsid w:val="00AC1840"/>
    <w:rsid w:val="00AC1874"/>
    <w:rsid w:val="00AC187A"/>
    <w:rsid w:val="00AC196D"/>
    <w:rsid w:val="00AC197B"/>
    <w:rsid w:val="00AC19CA"/>
    <w:rsid w:val="00AC1A47"/>
    <w:rsid w:val="00AC1A49"/>
    <w:rsid w:val="00AC1ABC"/>
    <w:rsid w:val="00AC1AEE"/>
    <w:rsid w:val="00AC1B29"/>
    <w:rsid w:val="00AC1B3E"/>
    <w:rsid w:val="00AC1D0A"/>
    <w:rsid w:val="00AC1F10"/>
    <w:rsid w:val="00AC1F4A"/>
    <w:rsid w:val="00AC1FCE"/>
    <w:rsid w:val="00AC2007"/>
    <w:rsid w:val="00AC205A"/>
    <w:rsid w:val="00AC20C7"/>
    <w:rsid w:val="00AC211E"/>
    <w:rsid w:val="00AC21C4"/>
    <w:rsid w:val="00AC22C8"/>
    <w:rsid w:val="00AC23BE"/>
    <w:rsid w:val="00AC23DC"/>
    <w:rsid w:val="00AC2418"/>
    <w:rsid w:val="00AC24F0"/>
    <w:rsid w:val="00AC253B"/>
    <w:rsid w:val="00AC253F"/>
    <w:rsid w:val="00AC26A9"/>
    <w:rsid w:val="00AC26FB"/>
    <w:rsid w:val="00AC2723"/>
    <w:rsid w:val="00AC2748"/>
    <w:rsid w:val="00AC2829"/>
    <w:rsid w:val="00AC2832"/>
    <w:rsid w:val="00AC284C"/>
    <w:rsid w:val="00AC2896"/>
    <w:rsid w:val="00AC28AD"/>
    <w:rsid w:val="00AC2922"/>
    <w:rsid w:val="00AC2947"/>
    <w:rsid w:val="00AC2957"/>
    <w:rsid w:val="00AC29D0"/>
    <w:rsid w:val="00AC2C94"/>
    <w:rsid w:val="00AC2D43"/>
    <w:rsid w:val="00AC2DB5"/>
    <w:rsid w:val="00AC2F05"/>
    <w:rsid w:val="00AC3072"/>
    <w:rsid w:val="00AC3096"/>
    <w:rsid w:val="00AC3164"/>
    <w:rsid w:val="00AC33CF"/>
    <w:rsid w:val="00AC33F6"/>
    <w:rsid w:val="00AC3437"/>
    <w:rsid w:val="00AC349C"/>
    <w:rsid w:val="00AC34DB"/>
    <w:rsid w:val="00AC352B"/>
    <w:rsid w:val="00AC3615"/>
    <w:rsid w:val="00AC36B8"/>
    <w:rsid w:val="00AC36F4"/>
    <w:rsid w:val="00AC3738"/>
    <w:rsid w:val="00AC387D"/>
    <w:rsid w:val="00AC3911"/>
    <w:rsid w:val="00AC3A3F"/>
    <w:rsid w:val="00AC3B1E"/>
    <w:rsid w:val="00AC3C37"/>
    <w:rsid w:val="00AC3D7E"/>
    <w:rsid w:val="00AC3D96"/>
    <w:rsid w:val="00AC3EB4"/>
    <w:rsid w:val="00AC3F3A"/>
    <w:rsid w:val="00AC40E0"/>
    <w:rsid w:val="00AC40E4"/>
    <w:rsid w:val="00AC4154"/>
    <w:rsid w:val="00AC416F"/>
    <w:rsid w:val="00AC4175"/>
    <w:rsid w:val="00AC41B9"/>
    <w:rsid w:val="00AC4206"/>
    <w:rsid w:val="00AC4252"/>
    <w:rsid w:val="00AC4284"/>
    <w:rsid w:val="00AC433A"/>
    <w:rsid w:val="00AC4361"/>
    <w:rsid w:val="00AC4393"/>
    <w:rsid w:val="00AC43C5"/>
    <w:rsid w:val="00AC4502"/>
    <w:rsid w:val="00AC4604"/>
    <w:rsid w:val="00AC463F"/>
    <w:rsid w:val="00AC46F1"/>
    <w:rsid w:val="00AC47DE"/>
    <w:rsid w:val="00AC483C"/>
    <w:rsid w:val="00AC48C9"/>
    <w:rsid w:val="00AC491F"/>
    <w:rsid w:val="00AC4920"/>
    <w:rsid w:val="00AC4A1D"/>
    <w:rsid w:val="00AC4B01"/>
    <w:rsid w:val="00AC4B9A"/>
    <w:rsid w:val="00AC4E8A"/>
    <w:rsid w:val="00AC4EFE"/>
    <w:rsid w:val="00AC4FD9"/>
    <w:rsid w:val="00AC4FDB"/>
    <w:rsid w:val="00AC5032"/>
    <w:rsid w:val="00AC503C"/>
    <w:rsid w:val="00AC5061"/>
    <w:rsid w:val="00AC5182"/>
    <w:rsid w:val="00AC51AB"/>
    <w:rsid w:val="00AC51CE"/>
    <w:rsid w:val="00AC51D8"/>
    <w:rsid w:val="00AC522E"/>
    <w:rsid w:val="00AC5270"/>
    <w:rsid w:val="00AC5306"/>
    <w:rsid w:val="00AC531B"/>
    <w:rsid w:val="00AC532D"/>
    <w:rsid w:val="00AC5423"/>
    <w:rsid w:val="00AC5443"/>
    <w:rsid w:val="00AC547E"/>
    <w:rsid w:val="00AC549D"/>
    <w:rsid w:val="00AC550E"/>
    <w:rsid w:val="00AC565F"/>
    <w:rsid w:val="00AC568A"/>
    <w:rsid w:val="00AC568E"/>
    <w:rsid w:val="00AC56A5"/>
    <w:rsid w:val="00AC5749"/>
    <w:rsid w:val="00AC57C7"/>
    <w:rsid w:val="00AC5861"/>
    <w:rsid w:val="00AC5964"/>
    <w:rsid w:val="00AC5A87"/>
    <w:rsid w:val="00AC5A9E"/>
    <w:rsid w:val="00AC5AF3"/>
    <w:rsid w:val="00AC5B75"/>
    <w:rsid w:val="00AC5C0F"/>
    <w:rsid w:val="00AC5C2E"/>
    <w:rsid w:val="00AC5CFE"/>
    <w:rsid w:val="00AC5D83"/>
    <w:rsid w:val="00AC5F5B"/>
    <w:rsid w:val="00AC5FA2"/>
    <w:rsid w:val="00AC60A7"/>
    <w:rsid w:val="00AC6172"/>
    <w:rsid w:val="00AC6210"/>
    <w:rsid w:val="00AC62E7"/>
    <w:rsid w:val="00AC63C6"/>
    <w:rsid w:val="00AC6422"/>
    <w:rsid w:val="00AC646F"/>
    <w:rsid w:val="00AC64E2"/>
    <w:rsid w:val="00AC65FA"/>
    <w:rsid w:val="00AC6699"/>
    <w:rsid w:val="00AC66A9"/>
    <w:rsid w:val="00AC676A"/>
    <w:rsid w:val="00AC67EC"/>
    <w:rsid w:val="00AC6800"/>
    <w:rsid w:val="00AC69A3"/>
    <w:rsid w:val="00AC69B5"/>
    <w:rsid w:val="00AC6A78"/>
    <w:rsid w:val="00AC6B12"/>
    <w:rsid w:val="00AC6B57"/>
    <w:rsid w:val="00AC6B76"/>
    <w:rsid w:val="00AC6B7B"/>
    <w:rsid w:val="00AC6BD1"/>
    <w:rsid w:val="00AC6C46"/>
    <w:rsid w:val="00AC6C52"/>
    <w:rsid w:val="00AC6DA0"/>
    <w:rsid w:val="00AC6E28"/>
    <w:rsid w:val="00AC6EB2"/>
    <w:rsid w:val="00AC6F90"/>
    <w:rsid w:val="00AC6FAD"/>
    <w:rsid w:val="00AC6FD2"/>
    <w:rsid w:val="00AC6FEA"/>
    <w:rsid w:val="00AC7074"/>
    <w:rsid w:val="00AC710B"/>
    <w:rsid w:val="00AC712E"/>
    <w:rsid w:val="00AC71C4"/>
    <w:rsid w:val="00AC7249"/>
    <w:rsid w:val="00AC7378"/>
    <w:rsid w:val="00AC742E"/>
    <w:rsid w:val="00AC74F9"/>
    <w:rsid w:val="00AC77EA"/>
    <w:rsid w:val="00AC7817"/>
    <w:rsid w:val="00AC78A8"/>
    <w:rsid w:val="00AC78CF"/>
    <w:rsid w:val="00AC7915"/>
    <w:rsid w:val="00AC7A3A"/>
    <w:rsid w:val="00AC7A60"/>
    <w:rsid w:val="00AC7ADB"/>
    <w:rsid w:val="00AC7BD2"/>
    <w:rsid w:val="00AC7D7B"/>
    <w:rsid w:val="00AC7DB1"/>
    <w:rsid w:val="00AC7DC7"/>
    <w:rsid w:val="00AC7DCD"/>
    <w:rsid w:val="00AC7EBA"/>
    <w:rsid w:val="00AC7FE1"/>
    <w:rsid w:val="00AD00FC"/>
    <w:rsid w:val="00AD012D"/>
    <w:rsid w:val="00AD013D"/>
    <w:rsid w:val="00AD0140"/>
    <w:rsid w:val="00AD0296"/>
    <w:rsid w:val="00AD02BD"/>
    <w:rsid w:val="00AD02D7"/>
    <w:rsid w:val="00AD0318"/>
    <w:rsid w:val="00AD0324"/>
    <w:rsid w:val="00AD0421"/>
    <w:rsid w:val="00AD04D4"/>
    <w:rsid w:val="00AD0502"/>
    <w:rsid w:val="00AD0543"/>
    <w:rsid w:val="00AD0552"/>
    <w:rsid w:val="00AD06BB"/>
    <w:rsid w:val="00AD06DB"/>
    <w:rsid w:val="00AD08BE"/>
    <w:rsid w:val="00AD091A"/>
    <w:rsid w:val="00AD094A"/>
    <w:rsid w:val="00AD09AC"/>
    <w:rsid w:val="00AD0A04"/>
    <w:rsid w:val="00AD0AF6"/>
    <w:rsid w:val="00AD0C42"/>
    <w:rsid w:val="00AD0C7B"/>
    <w:rsid w:val="00AD0D46"/>
    <w:rsid w:val="00AD0D49"/>
    <w:rsid w:val="00AD0DAF"/>
    <w:rsid w:val="00AD0E67"/>
    <w:rsid w:val="00AD0E8E"/>
    <w:rsid w:val="00AD0F04"/>
    <w:rsid w:val="00AD0F5D"/>
    <w:rsid w:val="00AD0FB1"/>
    <w:rsid w:val="00AD1014"/>
    <w:rsid w:val="00AD10DF"/>
    <w:rsid w:val="00AD1102"/>
    <w:rsid w:val="00AD1253"/>
    <w:rsid w:val="00AD12B5"/>
    <w:rsid w:val="00AD13AE"/>
    <w:rsid w:val="00AD13C4"/>
    <w:rsid w:val="00AD1438"/>
    <w:rsid w:val="00AD14C5"/>
    <w:rsid w:val="00AD15DB"/>
    <w:rsid w:val="00AD165E"/>
    <w:rsid w:val="00AD16B2"/>
    <w:rsid w:val="00AD171C"/>
    <w:rsid w:val="00AD17D3"/>
    <w:rsid w:val="00AD1892"/>
    <w:rsid w:val="00AD1962"/>
    <w:rsid w:val="00AD1970"/>
    <w:rsid w:val="00AD1B75"/>
    <w:rsid w:val="00AD1B91"/>
    <w:rsid w:val="00AD1BC1"/>
    <w:rsid w:val="00AD1C2A"/>
    <w:rsid w:val="00AD1C44"/>
    <w:rsid w:val="00AD1CD4"/>
    <w:rsid w:val="00AD1DF8"/>
    <w:rsid w:val="00AD1E42"/>
    <w:rsid w:val="00AD1EB8"/>
    <w:rsid w:val="00AD1F57"/>
    <w:rsid w:val="00AD1F5A"/>
    <w:rsid w:val="00AD1F81"/>
    <w:rsid w:val="00AD20B8"/>
    <w:rsid w:val="00AD2272"/>
    <w:rsid w:val="00AD22AA"/>
    <w:rsid w:val="00AD23BE"/>
    <w:rsid w:val="00AD2456"/>
    <w:rsid w:val="00AD2477"/>
    <w:rsid w:val="00AD24C0"/>
    <w:rsid w:val="00AD2516"/>
    <w:rsid w:val="00AD2551"/>
    <w:rsid w:val="00AD2591"/>
    <w:rsid w:val="00AD25B2"/>
    <w:rsid w:val="00AD2628"/>
    <w:rsid w:val="00AD2640"/>
    <w:rsid w:val="00AD26ED"/>
    <w:rsid w:val="00AD275B"/>
    <w:rsid w:val="00AD280F"/>
    <w:rsid w:val="00AD29B1"/>
    <w:rsid w:val="00AD2B57"/>
    <w:rsid w:val="00AD2C0B"/>
    <w:rsid w:val="00AD2CEB"/>
    <w:rsid w:val="00AD2E2E"/>
    <w:rsid w:val="00AD2E44"/>
    <w:rsid w:val="00AD2E6F"/>
    <w:rsid w:val="00AD2E76"/>
    <w:rsid w:val="00AD2FDE"/>
    <w:rsid w:val="00AD3187"/>
    <w:rsid w:val="00AD31B9"/>
    <w:rsid w:val="00AD321B"/>
    <w:rsid w:val="00AD3248"/>
    <w:rsid w:val="00AD32B4"/>
    <w:rsid w:val="00AD33BD"/>
    <w:rsid w:val="00AD345B"/>
    <w:rsid w:val="00AD345C"/>
    <w:rsid w:val="00AD3561"/>
    <w:rsid w:val="00AD379C"/>
    <w:rsid w:val="00AD3834"/>
    <w:rsid w:val="00AD38CB"/>
    <w:rsid w:val="00AD38E2"/>
    <w:rsid w:val="00AD3950"/>
    <w:rsid w:val="00AD399D"/>
    <w:rsid w:val="00AD3A4F"/>
    <w:rsid w:val="00AD3A71"/>
    <w:rsid w:val="00AD3A83"/>
    <w:rsid w:val="00AD3AC7"/>
    <w:rsid w:val="00AD3ACC"/>
    <w:rsid w:val="00AD3BF3"/>
    <w:rsid w:val="00AD3C82"/>
    <w:rsid w:val="00AD3C91"/>
    <w:rsid w:val="00AD3CC2"/>
    <w:rsid w:val="00AD3D2C"/>
    <w:rsid w:val="00AD4025"/>
    <w:rsid w:val="00AD4075"/>
    <w:rsid w:val="00AD40A2"/>
    <w:rsid w:val="00AD42C0"/>
    <w:rsid w:val="00AD42C5"/>
    <w:rsid w:val="00AD435D"/>
    <w:rsid w:val="00AD4365"/>
    <w:rsid w:val="00AD443A"/>
    <w:rsid w:val="00AD44A7"/>
    <w:rsid w:val="00AD4573"/>
    <w:rsid w:val="00AD464C"/>
    <w:rsid w:val="00AD465C"/>
    <w:rsid w:val="00AD4700"/>
    <w:rsid w:val="00AD4704"/>
    <w:rsid w:val="00AD470A"/>
    <w:rsid w:val="00AD4724"/>
    <w:rsid w:val="00AD4730"/>
    <w:rsid w:val="00AD4A60"/>
    <w:rsid w:val="00AD4A6C"/>
    <w:rsid w:val="00AD4B5A"/>
    <w:rsid w:val="00AD4C85"/>
    <w:rsid w:val="00AD4C9B"/>
    <w:rsid w:val="00AD4D0D"/>
    <w:rsid w:val="00AD4D1C"/>
    <w:rsid w:val="00AD4DE5"/>
    <w:rsid w:val="00AD4E5D"/>
    <w:rsid w:val="00AD4E6A"/>
    <w:rsid w:val="00AD4EB7"/>
    <w:rsid w:val="00AD4EE5"/>
    <w:rsid w:val="00AD50A2"/>
    <w:rsid w:val="00AD50D5"/>
    <w:rsid w:val="00AD5142"/>
    <w:rsid w:val="00AD51D7"/>
    <w:rsid w:val="00AD5239"/>
    <w:rsid w:val="00AD529C"/>
    <w:rsid w:val="00AD52B5"/>
    <w:rsid w:val="00AD532C"/>
    <w:rsid w:val="00AD536D"/>
    <w:rsid w:val="00AD53F5"/>
    <w:rsid w:val="00AD541E"/>
    <w:rsid w:val="00AD5432"/>
    <w:rsid w:val="00AD5568"/>
    <w:rsid w:val="00AD55A4"/>
    <w:rsid w:val="00AD5772"/>
    <w:rsid w:val="00AD58F3"/>
    <w:rsid w:val="00AD5962"/>
    <w:rsid w:val="00AD59D5"/>
    <w:rsid w:val="00AD5A75"/>
    <w:rsid w:val="00AD5B88"/>
    <w:rsid w:val="00AD5BB3"/>
    <w:rsid w:val="00AD5C56"/>
    <w:rsid w:val="00AD5CFC"/>
    <w:rsid w:val="00AD5DB0"/>
    <w:rsid w:val="00AD5E3B"/>
    <w:rsid w:val="00AD5FBE"/>
    <w:rsid w:val="00AD5FD3"/>
    <w:rsid w:val="00AD5FD4"/>
    <w:rsid w:val="00AD6211"/>
    <w:rsid w:val="00AD629C"/>
    <w:rsid w:val="00AD63A1"/>
    <w:rsid w:val="00AD646F"/>
    <w:rsid w:val="00AD64F1"/>
    <w:rsid w:val="00AD65F3"/>
    <w:rsid w:val="00AD667A"/>
    <w:rsid w:val="00AD66F4"/>
    <w:rsid w:val="00AD676C"/>
    <w:rsid w:val="00AD6785"/>
    <w:rsid w:val="00AD67DE"/>
    <w:rsid w:val="00AD6837"/>
    <w:rsid w:val="00AD68DA"/>
    <w:rsid w:val="00AD68FB"/>
    <w:rsid w:val="00AD69A8"/>
    <w:rsid w:val="00AD6AAF"/>
    <w:rsid w:val="00AD6ABD"/>
    <w:rsid w:val="00AD6B31"/>
    <w:rsid w:val="00AD6B62"/>
    <w:rsid w:val="00AD6C74"/>
    <w:rsid w:val="00AD6CA7"/>
    <w:rsid w:val="00AD6ED9"/>
    <w:rsid w:val="00AD6EF1"/>
    <w:rsid w:val="00AD6FA3"/>
    <w:rsid w:val="00AD704E"/>
    <w:rsid w:val="00AD7060"/>
    <w:rsid w:val="00AD70B9"/>
    <w:rsid w:val="00AD7223"/>
    <w:rsid w:val="00AD722C"/>
    <w:rsid w:val="00AD726A"/>
    <w:rsid w:val="00AD72C0"/>
    <w:rsid w:val="00AD735B"/>
    <w:rsid w:val="00AD74C8"/>
    <w:rsid w:val="00AD756C"/>
    <w:rsid w:val="00AD7571"/>
    <w:rsid w:val="00AD7584"/>
    <w:rsid w:val="00AD75EF"/>
    <w:rsid w:val="00AD776E"/>
    <w:rsid w:val="00AD77AE"/>
    <w:rsid w:val="00AD7802"/>
    <w:rsid w:val="00AD780C"/>
    <w:rsid w:val="00AD79BB"/>
    <w:rsid w:val="00AD7A26"/>
    <w:rsid w:val="00AD7AA7"/>
    <w:rsid w:val="00AD7BF4"/>
    <w:rsid w:val="00AD7CEF"/>
    <w:rsid w:val="00AD7DDB"/>
    <w:rsid w:val="00AD7E5F"/>
    <w:rsid w:val="00AD7EA5"/>
    <w:rsid w:val="00AD7EF3"/>
    <w:rsid w:val="00AE02E4"/>
    <w:rsid w:val="00AE047E"/>
    <w:rsid w:val="00AE0484"/>
    <w:rsid w:val="00AE0519"/>
    <w:rsid w:val="00AE056C"/>
    <w:rsid w:val="00AE0692"/>
    <w:rsid w:val="00AE06C8"/>
    <w:rsid w:val="00AE0706"/>
    <w:rsid w:val="00AE0753"/>
    <w:rsid w:val="00AE0776"/>
    <w:rsid w:val="00AE07A4"/>
    <w:rsid w:val="00AE0834"/>
    <w:rsid w:val="00AE0872"/>
    <w:rsid w:val="00AE099A"/>
    <w:rsid w:val="00AE09EA"/>
    <w:rsid w:val="00AE0A33"/>
    <w:rsid w:val="00AE0B75"/>
    <w:rsid w:val="00AE0BF9"/>
    <w:rsid w:val="00AE0CD1"/>
    <w:rsid w:val="00AE0D9C"/>
    <w:rsid w:val="00AE0E14"/>
    <w:rsid w:val="00AE0E8A"/>
    <w:rsid w:val="00AE0E90"/>
    <w:rsid w:val="00AE0F02"/>
    <w:rsid w:val="00AE0F12"/>
    <w:rsid w:val="00AE109A"/>
    <w:rsid w:val="00AE10A4"/>
    <w:rsid w:val="00AE10B0"/>
    <w:rsid w:val="00AE10F7"/>
    <w:rsid w:val="00AE11B8"/>
    <w:rsid w:val="00AE1255"/>
    <w:rsid w:val="00AE126F"/>
    <w:rsid w:val="00AE1274"/>
    <w:rsid w:val="00AE1295"/>
    <w:rsid w:val="00AE137A"/>
    <w:rsid w:val="00AE146C"/>
    <w:rsid w:val="00AE14BA"/>
    <w:rsid w:val="00AE156E"/>
    <w:rsid w:val="00AE158D"/>
    <w:rsid w:val="00AE1639"/>
    <w:rsid w:val="00AE16B3"/>
    <w:rsid w:val="00AE1724"/>
    <w:rsid w:val="00AE17E2"/>
    <w:rsid w:val="00AE1A2E"/>
    <w:rsid w:val="00AE1A43"/>
    <w:rsid w:val="00AE1AAA"/>
    <w:rsid w:val="00AE1AB4"/>
    <w:rsid w:val="00AE1AF1"/>
    <w:rsid w:val="00AE1C2B"/>
    <w:rsid w:val="00AE1C88"/>
    <w:rsid w:val="00AE1D43"/>
    <w:rsid w:val="00AE1D44"/>
    <w:rsid w:val="00AE1D4C"/>
    <w:rsid w:val="00AE1D62"/>
    <w:rsid w:val="00AE1E45"/>
    <w:rsid w:val="00AE1E71"/>
    <w:rsid w:val="00AE1F96"/>
    <w:rsid w:val="00AE2076"/>
    <w:rsid w:val="00AE20E8"/>
    <w:rsid w:val="00AE210B"/>
    <w:rsid w:val="00AE2128"/>
    <w:rsid w:val="00AE213C"/>
    <w:rsid w:val="00AE213E"/>
    <w:rsid w:val="00AE2285"/>
    <w:rsid w:val="00AE22F0"/>
    <w:rsid w:val="00AE232B"/>
    <w:rsid w:val="00AE2371"/>
    <w:rsid w:val="00AE23A8"/>
    <w:rsid w:val="00AE2456"/>
    <w:rsid w:val="00AE2490"/>
    <w:rsid w:val="00AE2549"/>
    <w:rsid w:val="00AE25C0"/>
    <w:rsid w:val="00AE269E"/>
    <w:rsid w:val="00AE26A7"/>
    <w:rsid w:val="00AE284E"/>
    <w:rsid w:val="00AE2922"/>
    <w:rsid w:val="00AE294F"/>
    <w:rsid w:val="00AE29A1"/>
    <w:rsid w:val="00AE2A6A"/>
    <w:rsid w:val="00AE2C17"/>
    <w:rsid w:val="00AE2C1E"/>
    <w:rsid w:val="00AE2C5E"/>
    <w:rsid w:val="00AE2C7B"/>
    <w:rsid w:val="00AE2CB0"/>
    <w:rsid w:val="00AE2CCE"/>
    <w:rsid w:val="00AE2D90"/>
    <w:rsid w:val="00AE2DB1"/>
    <w:rsid w:val="00AE2E03"/>
    <w:rsid w:val="00AE2E5E"/>
    <w:rsid w:val="00AE2EC0"/>
    <w:rsid w:val="00AE2ED6"/>
    <w:rsid w:val="00AE2F5E"/>
    <w:rsid w:val="00AE2F8A"/>
    <w:rsid w:val="00AE313E"/>
    <w:rsid w:val="00AE3202"/>
    <w:rsid w:val="00AE320E"/>
    <w:rsid w:val="00AE3225"/>
    <w:rsid w:val="00AE3230"/>
    <w:rsid w:val="00AE32E2"/>
    <w:rsid w:val="00AE3328"/>
    <w:rsid w:val="00AE3356"/>
    <w:rsid w:val="00AE3365"/>
    <w:rsid w:val="00AE33A1"/>
    <w:rsid w:val="00AE343D"/>
    <w:rsid w:val="00AE34A3"/>
    <w:rsid w:val="00AE34DE"/>
    <w:rsid w:val="00AE350B"/>
    <w:rsid w:val="00AE364C"/>
    <w:rsid w:val="00AE368E"/>
    <w:rsid w:val="00AE36C7"/>
    <w:rsid w:val="00AE3743"/>
    <w:rsid w:val="00AE3765"/>
    <w:rsid w:val="00AE3795"/>
    <w:rsid w:val="00AE37FE"/>
    <w:rsid w:val="00AE389B"/>
    <w:rsid w:val="00AE38A2"/>
    <w:rsid w:val="00AE3913"/>
    <w:rsid w:val="00AE3926"/>
    <w:rsid w:val="00AE392E"/>
    <w:rsid w:val="00AE3978"/>
    <w:rsid w:val="00AE3B53"/>
    <w:rsid w:val="00AE3BFA"/>
    <w:rsid w:val="00AE3C0D"/>
    <w:rsid w:val="00AE3C18"/>
    <w:rsid w:val="00AE3CB8"/>
    <w:rsid w:val="00AE3CE1"/>
    <w:rsid w:val="00AE3DEB"/>
    <w:rsid w:val="00AE3E4D"/>
    <w:rsid w:val="00AE404B"/>
    <w:rsid w:val="00AE40FD"/>
    <w:rsid w:val="00AE41DC"/>
    <w:rsid w:val="00AE436D"/>
    <w:rsid w:val="00AE4474"/>
    <w:rsid w:val="00AE44DB"/>
    <w:rsid w:val="00AE44DF"/>
    <w:rsid w:val="00AE45E6"/>
    <w:rsid w:val="00AE4719"/>
    <w:rsid w:val="00AE47AF"/>
    <w:rsid w:val="00AE488A"/>
    <w:rsid w:val="00AE4895"/>
    <w:rsid w:val="00AE48EA"/>
    <w:rsid w:val="00AE4983"/>
    <w:rsid w:val="00AE4AE7"/>
    <w:rsid w:val="00AE4AE8"/>
    <w:rsid w:val="00AE4BB7"/>
    <w:rsid w:val="00AE4D9E"/>
    <w:rsid w:val="00AE4DD1"/>
    <w:rsid w:val="00AE4E48"/>
    <w:rsid w:val="00AE4E50"/>
    <w:rsid w:val="00AE4E8F"/>
    <w:rsid w:val="00AE4EC7"/>
    <w:rsid w:val="00AE4F06"/>
    <w:rsid w:val="00AE4F15"/>
    <w:rsid w:val="00AE50D3"/>
    <w:rsid w:val="00AE51AB"/>
    <w:rsid w:val="00AE51D9"/>
    <w:rsid w:val="00AE5222"/>
    <w:rsid w:val="00AE52DA"/>
    <w:rsid w:val="00AE5339"/>
    <w:rsid w:val="00AE534B"/>
    <w:rsid w:val="00AE5537"/>
    <w:rsid w:val="00AE5579"/>
    <w:rsid w:val="00AE566D"/>
    <w:rsid w:val="00AE56E5"/>
    <w:rsid w:val="00AE5731"/>
    <w:rsid w:val="00AE5740"/>
    <w:rsid w:val="00AE5811"/>
    <w:rsid w:val="00AE5840"/>
    <w:rsid w:val="00AE58B6"/>
    <w:rsid w:val="00AE58BE"/>
    <w:rsid w:val="00AE58E9"/>
    <w:rsid w:val="00AE5905"/>
    <w:rsid w:val="00AE592D"/>
    <w:rsid w:val="00AE5949"/>
    <w:rsid w:val="00AE598D"/>
    <w:rsid w:val="00AE599B"/>
    <w:rsid w:val="00AE5B16"/>
    <w:rsid w:val="00AE5B64"/>
    <w:rsid w:val="00AE5C7F"/>
    <w:rsid w:val="00AE5ECA"/>
    <w:rsid w:val="00AE5FD5"/>
    <w:rsid w:val="00AE6012"/>
    <w:rsid w:val="00AE61A1"/>
    <w:rsid w:val="00AE61A6"/>
    <w:rsid w:val="00AE624D"/>
    <w:rsid w:val="00AE62E8"/>
    <w:rsid w:val="00AE635A"/>
    <w:rsid w:val="00AE63A7"/>
    <w:rsid w:val="00AE6417"/>
    <w:rsid w:val="00AE6453"/>
    <w:rsid w:val="00AE6511"/>
    <w:rsid w:val="00AE6578"/>
    <w:rsid w:val="00AE666A"/>
    <w:rsid w:val="00AE6709"/>
    <w:rsid w:val="00AE6745"/>
    <w:rsid w:val="00AE683F"/>
    <w:rsid w:val="00AE68C7"/>
    <w:rsid w:val="00AE6B8A"/>
    <w:rsid w:val="00AE6BA3"/>
    <w:rsid w:val="00AE6C42"/>
    <w:rsid w:val="00AE6CAC"/>
    <w:rsid w:val="00AE6CD4"/>
    <w:rsid w:val="00AE6D9C"/>
    <w:rsid w:val="00AE6E8F"/>
    <w:rsid w:val="00AE6F30"/>
    <w:rsid w:val="00AE7019"/>
    <w:rsid w:val="00AE71E6"/>
    <w:rsid w:val="00AE7310"/>
    <w:rsid w:val="00AE748C"/>
    <w:rsid w:val="00AE748E"/>
    <w:rsid w:val="00AE74BC"/>
    <w:rsid w:val="00AE74F7"/>
    <w:rsid w:val="00AE76F3"/>
    <w:rsid w:val="00AE77BB"/>
    <w:rsid w:val="00AE7858"/>
    <w:rsid w:val="00AE78C5"/>
    <w:rsid w:val="00AE78FB"/>
    <w:rsid w:val="00AE7B20"/>
    <w:rsid w:val="00AE7B45"/>
    <w:rsid w:val="00AE7B51"/>
    <w:rsid w:val="00AE7CA6"/>
    <w:rsid w:val="00AE7D77"/>
    <w:rsid w:val="00AE7D8C"/>
    <w:rsid w:val="00AE7DDD"/>
    <w:rsid w:val="00AE7E15"/>
    <w:rsid w:val="00AE7E42"/>
    <w:rsid w:val="00AF007E"/>
    <w:rsid w:val="00AF00E5"/>
    <w:rsid w:val="00AF015F"/>
    <w:rsid w:val="00AF0225"/>
    <w:rsid w:val="00AF02C6"/>
    <w:rsid w:val="00AF02D1"/>
    <w:rsid w:val="00AF03E4"/>
    <w:rsid w:val="00AF03E6"/>
    <w:rsid w:val="00AF0526"/>
    <w:rsid w:val="00AF0593"/>
    <w:rsid w:val="00AF060B"/>
    <w:rsid w:val="00AF0676"/>
    <w:rsid w:val="00AF0687"/>
    <w:rsid w:val="00AF07A1"/>
    <w:rsid w:val="00AF07E6"/>
    <w:rsid w:val="00AF0805"/>
    <w:rsid w:val="00AF0886"/>
    <w:rsid w:val="00AF0889"/>
    <w:rsid w:val="00AF0905"/>
    <w:rsid w:val="00AF0911"/>
    <w:rsid w:val="00AF0926"/>
    <w:rsid w:val="00AF0933"/>
    <w:rsid w:val="00AF094D"/>
    <w:rsid w:val="00AF0A94"/>
    <w:rsid w:val="00AF0B3E"/>
    <w:rsid w:val="00AF0B6C"/>
    <w:rsid w:val="00AF0BD1"/>
    <w:rsid w:val="00AF0C60"/>
    <w:rsid w:val="00AF0D02"/>
    <w:rsid w:val="00AF0D80"/>
    <w:rsid w:val="00AF0E3C"/>
    <w:rsid w:val="00AF0E43"/>
    <w:rsid w:val="00AF0F68"/>
    <w:rsid w:val="00AF1087"/>
    <w:rsid w:val="00AF10B2"/>
    <w:rsid w:val="00AF10E9"/>
    <w:rsid w:val="00AF10F6"/>
    <w:rsid w:val="00AF127C"/>
    <w:rsid w:val="00AF12F7"/>
    <w:rsid w:val="00AF1369"/>
    <w:rsid w:val="00AF1396"/>
    <w:rsid w:val="00AF15B7"/>
    <w:rsid w:val="00AF1632"/>
    <w:rsid w:val="00AF16B7"/>
    <w:rsid w:val="00AF17CB"/>
    <w:rsid w:val="00AF185A"/>
    <w:rsid w:val="00AF18D4"/>
    <w:rsid w:val="00AF1906"/>
    <w:rsid w:val="00AF1922"/>
    <w:rsid w:val="00AF192A"/>
    <w:rsid w:val="00AF19F6"/>
    <w:rsid w:val="00AF1A6F"/>
    <w:rsid w:val="00AF1B5C"/>
    <w:rsid w:val="00AF1BB4"/>
    <w:rsid w:val="00AF1BE1"/>
    <w:rsid w:val="00AF1BE9"/>
    <w:rsid w:val="00AF1DE2"/>
    <w:rsid w:val="00AF1EB7"/>
    <w:rsid w:val="00AF1FD1"/>
    <w:rsid w:val="00AF2059"/>
    <w:rsid w:val="00AF2076"/>
    <w:rsid w:val="00AF2143"/>
    <w:rsid w:val="00AF2175"/>
    <w:rsid w:val="00AF21A3"/>
    <w:rsid w:val="00AF21D1"/>
    <w:rsid w:val="00AF2216"/>
    <w:rsid w:val="00AF2341"/>
    <w:rsid w:val="00AF2347"/>
    <w:rsid w:val="00AF235E"/>
    <w:rsid w:val="00AF2381"/>
    <w:rsid w:val="00AF23A2"/>
    <w:rsid w:val="00AF23C6"/>
    <w:rsid w:val="00AF2429"/>
    <w:rsid w:val="00AF26AA"/>
    <w:rsid w:val="00AF2703"/>
    <w:rsid w:val="00AF2883"/>
    <w:rsid w:val="00AF293A"/>
    <w:rsid w:val="00AF2941"/>
    <w:rsid w:val="00AF2A10"/>
    <w:rsid w:val="00AF2A1B"/>
    <w:rsid w:val="00AF2AA9"/>
    <w:rsid w:val="00AF2BCE"/>
    <w:rsid w:val="00AF2D1A"/>
    <w:rsid w:val="00AF2EB7"/>
    <w:rsid w:val="00AF2EE9"/>
    <w:rsid w:val="00AF2F29"/>
    <w:rsid w:val="00AF2F8B"/>
    <w:rsid w:val="00AF2F9E"/>
    <w:rsid w:val="00AF2FE2"/>
    <w:rsid w:val="00AF3020"/>
    <w:rsid w:val="00AF30E7"/>
    <w:rsid w:val="00AF3171"/>
    <w:rsid w:val="00AF317C"/>
    <w:rsid w:val="00AF3420"/>
    <w:rsid w:val="00AF3433"/>
    <w:rsid w:val="00AF34C5"/>
    <w:rsid w:val="00AF3540"/>
    <w:rsid w:val="00AF36A9"/>
    <w:rsid w:val="00AF36B3"/>
    <w:rsid w:val="00AF375A"/>
    <w:rsid w:val="00AF3928"/>
    <w:rsid w:val="00AF39DA"/>
    <w:rsid w:val="00AF39E4"/>
    <w:rsid w:val="00AF3A0A"/>
    <w:rsid w:val="00AF3AB3"/>
    <w:rsid w:val="00AF3C2F"/>
    <w:rsid w:val="00AF3C4D"/>
    <w:rsid w:val="00AF3C5D"/>
    <w:rsid w:val="00AF3CD5"/>
    <w:rsid w:val="00AF3CD9"/>
    <w:rsid w:val="00AF3CDE"/>
    <w:rsid w:val="00AF3D23"/>
    <w:rsid w:val="00AF3DEB"/>
    <w:rsid w:val="00AF3E02"/>
    <w:rsid w:val="00AF3EC4"/>
    <w:rsid w:val="00AF3ECE"/>
    <w:rsid w:val="00AF3F5E"/>
    <w:rsid w:val="00AF3F91"/>
    <w:rsid w:val="00AF4027"/>
    <w:rsid w:val="00AF4047"/>
    <w:rsid w:val="00AF4065"/>
    <w:rsid w:val="00AF407E"/>
    <w:rsid w:val="00AF409B"/>
    <w:rsid w:val="00AF4110"/>
    <w:rsid w:val="00AF41C2"/>
    <w:rsid w:val="00AF41FA"/>
    <w:rsid w:val="00AF4232"/>
    <w:rsid w:val="00AF4296"/>
    <w:rsid w:val="00AF4341"/>
    <w:rsid w:val="00AF4444"/>
    <w:rsid w:val="00AF4455"/>
    <w:rsid w:val="00AF4475"/>
    <w:rsid w:val="00AF463C"/>
    <w:rsid w:val="00AF4644"/>
    <w:rsid w:val="00AF4651"/>
    <w:rsid w:val="00AF47AB"/>
    <w:rsid w:val="00AF4A5E"/>
    <w:rsid w:val="00AF4B3C"/>
    <w:rsid w:val="00AF4B4A"/>
    <w:rsid w:val="00AF4BF1"/>
    <w:rsid w:val="00AF4C9D"/>
    <w:rsid w:val="00AF4CA1"/>
    <w:rsid w:val="00AF4D69"/>
    <w:rsid w:val="00AF4DA4"/>
    <w:rsid w:val="00AF4FBA"/>
    <w:rsid w:val="00AF4FC9"/>
    <w:rsid w:val="00AF4FF7"/>
    <w:rsid w:val="00AF504C"/>
    <w:rsid w:val="00AF526F"/>
    <w:rsid w:val="00AF5270"/>
    <w:rsid w:val="00AF529C"/>
    <w:rsid w:val="00AF53E1"/>
    <w:rsid w:val="00AF53F4"/>
    <w:rsid w:val="00AF545D"/>
    <w:rsid w:val="00AF54B4"/>
    <w:rsid w:val="00AF54E7"/>
    <w:rsid w:val="00AF55AE"/>
    <w:rsid w:val="00AF5822"/>
    <w:rsid w:val="00AF5831"/>
    <w:rsid w:val="00AF58B7"/>
    <w:rsid w:val="00AF5917"/>
    <w:rsid w:val="00AF5ADB"/>
    <w:rsid w:val="00AF5AE8"/>
    <w:rsid w:val="00AF5B0C"/>
    <w:rsid w:val="00AF5C0C"/>
    <w:rsid w:val="00AF5C10"/>
    <w:rsid w:val="00AF5CC6"/>
    <w:rsid w:val="00AF5E5A"/>
    <w:rsid w:val="00AF5F1F"/>
    <w:rsid w:val="00AF5FE8"/>
    <w:rsid w:val="00AF605E"/>
    <w:rsid w:val="00AF60B2"/>
    <w:rsid w:val="00AF60F5"/>
    <w:rsid w:val="00AF6154"/>
    <w:rsid w:val="00AF6181"/>
    <w:rsid w:val="00AF6187"/>
    <w:rsid w:val="00AF62B1"/>
    <w:rsid w:val="00AF635F"/>
    <w:rsid w:val="00AF63C7"/>
    <w:rsid w:val="00AF6409"/>
    <w:rsid w:val="00AF65B9"/>
    <w:rsid w:val="00AF66F9"/>
    <w:rsid w:val="00AF68D6"/>
    <w:rsid w:val="00AF68FA"/>
    <w:rsid w:val="00AF6949"/>
    <w:rsid w:val="00AF694E"/>
    <w:rsid w:val="00AF69A2"/>
    <w:rsid w:val="00AF6B56"/>
    <w:rsid w:val="00AF6BFD"/>
    <w:rsid w:val="00AF6C6A"/>
    <w:rsid w:val="00AF6D2D"/>
    <w:rsid w:val="00AF6DF3"/>
    <w:rsid w:val="00AF6E3A"/>
    <w:rsid w:val="00AF6F88"/>
    <w:rsid w:val="00AF6FAD"/>
    <w:rsid w:val="00AF701F"/>
    <w:rsid w:val="00AF703D"/>
    <w:rsid w:val="00AF710C"/>
    <w:rsid w:val="00AF716E"/>
    <w:rsid w:val="00AF722F"/>
    <w:rsid w:val="00AF72FD"/>
    <w:rsid w:val="00AF7347"/>
    <w:rsid w:val="00AF76B5"/>
    <w:rsid w:val="00AF76C5"/>
    <w:rsid w:val="00AF7718"/>
    <w:rsid w:val="00AF7745"/>
    <w:rsid w:val="00AF7872"/>
    <w:rsid w:val="00AF78B7"/>
    <w:rsid w:val="00AF7A84"/>
    <w:rsid w:val="00AF7B5C"/>
    <w:rsid w:val="00AF7B65"/>
    <w:rsid w:val="00AF7BAD"/>
    <w:rsid w:val="00AF7C88"/>
    <w:rsid w:val="00AF7C89"/>
    <w:rsid w:val="00AF7CC9"/>
    <w:rsid w:val="00AF7D28"/>
    <w:rsid w:val="00AF7D53"/>
    <w:rsid w:val="00AF7D74"/>
    <w:rsid w:val="00AF7DD2"/>
    <w:rsid w:val="00AF7EE9"/>
    <w:rsid w:val="00AF7F90"/>
    <w:rsid w:val="00B000AE"/>
    <w:rsid w:val="00B00129"/>
    <w:rsid w:val="00B0024F"/>
    <w:rsid w:val="00B0025D"/>
    <w:rsid w:val="00B002DB"/>
    <w:rsid w:val="00B0030E"/>
    <w:rsid w:val="00B0031D"/>
    <w:rsid w:val="00B00372"/>
    <w:rsid w:val="00B00543"/>
    <w:rsid w:val="00B00562"/>
    <w:rsid w:val="00B0060D"/>
    <w:rsid w:val="00B0064D"/>
    <w:rsid w:val="00B00692"/>
    <w:rsid w:val="00B006E6"/>
    <w:rsid w:val="00B006F7"/>
    <w:rsid w:val="00B00738"/>
    <w:rsid w:val="00B00760"/>
    <w:rsid w:val="00B0084A"/>
    <w:rsid w:val="00B008BB"/>
    <w:rsid w:val="00B00A06"/>
    <w:rsid w:val="00B00B20"/>
    <w:rsid w:val="00B00BB1"/>
    <w:rsid w:val="00B00BD1"/>
    <w:rsid w:val="00B00C3F"/>
    <w:rsid w:val="00B00C6B"/>
    <w:rsid w:val="00B00C80"/>
    <w:rsid w:val="00B00CE6"/>
    <w:rsid w:val="00B00D9A"/>
    <w:rsid w:val="00B00F00"/>
    <w:rsid w:val="00B00FD7"/>
    <w:rsid w:val="00B0105D"/>
    <w:rsid w:val="00B0106B"/>
    <w:rsid w:val="00B0106E"/>
    <w:rsid w:val="00B011F3"/>
    <w:rsid w:val="00B0121B"/>
    <w:rsid w:val="00B014E4"/>
    <w:rsid w:val="00B01576"/>
    <w:rsid w:val="00B01634"/>
    <w:rsid w:val="00B016D4"/>
    <w:rsid w:val="00B016E0"/>
    <w:rsid w:val="00B01782"/>
    <w:rsid w:val="00B01880"/>
    <w:rsid w:val="00B018DD"/>
    <w:rsid w:val="00B0193F"/>
    <w:rsid w:val="00B01955"/>
    <w:rsid w:val="00B01A1B"/>
    <w:rsid w:val="00B01A60"/>
    <w:rsid w:val="00B01AA1"/>
    <w:rsid w:val="00B01BE8"/>
    <w:rsid w:val="00B01C1C"/>
    <w:rsid w:val="00B01DF8"/>
    <w:rsid w:val="00B01E1E"/>
    <w:rsid w:val="00B01F0A"/>
    <w:rsid w:val="00B01F49"/>
    <w:rsid w:val="00B020BC"/>
    <w:rsid w:val="00B02108"/>
    <w:rsid w:val="00B0211C"/>
    <w:rsid w:val="00B0214B"/>
    <w:rsid w:val="00B021A5"/>
    <w:rsid w:val="00B021A8"/>
    <w:rsid w:val="00B021DA"/>
    <w:rsid w:val="00B022B2"/>
    <w:rsid w:val="00B02301"/>
    <w:rsid w:val="00B0230F"/>
    <w:rsid w:val="00B0231B"/>
    <w:rsid w:val="00B02408"/>
    <w:rsid w:val="00B0241B"/>
    <w:rsid w:val="00B0246E"/>
    <w:rsid w:val="00B02516"/>
    <w:rsid w:val="00B0254E"/>
    <w:rsid w:val="00B02595"/>
    <w:rsid w:val="00B025C8"/>
    <w:rsid w:val="00B02772"/>
    <w:rsid w:val="00B028AF"/>
    <w:rsid w:val="00B028B3"/>
    <w:rsid w:val="00B028EF"/>
    <w:rsid w:val="00B029C5"/>
    <w:rsid w:val="00B029F4"/>
    <w:rsid w:val="00B02AC2"/>
    <w:rsid w:val="00B02AD4"/>
    <w:rsid w:val="00B02BB2"/>
    <w:rsid w:val="00B02BBB"/>
    <w:rsid w:val="00B02C0A"/>
    <w:rsid w:val="00B02C95"/>
    <w:rsid w:val="00B02E75"/>
    <w:rsid w:val="00B02F38"/>
    <w:rsid w:val="00B02F97"/>
    <w:rsid w:val="00B03032"/>
    <w:rsid w:val="00B030ED"/>
    <w:rsid w:val="00B03244"/>
    <w:rsid w:val="00B032BB"/>
    <w:rsid w:val="00B0330E"/>
    <w:rsid w:val="00B03351"/>
    <w:rsid w:val="00B03408"/>
    <w:rsid w:val="00B03479"/>
    <w:rsid w:val="00B034EA"/>
    <w:rsid w:val="00B036FE"/>
    <w:rsid w:val="00B03742"/>
    <w:rsid w:val="00B03756"/>
    <w:rsid w:val="00B0378D"/>
    <w:rsid w:val="00B038F5"/>
    <w:rsid w:val="00B03901"/>
    <w:rsid w:val="00B0393A"/>
    <w:rsid w:val="00B0399B"/>
    <w:rsid w:val="00B039F4"/>
    <w:rsid w:val="00B03A15"/>
    <w:rsid w:val="00B03AB3"/>
    <w:rsid w:val="00B03ACF"/>
    <w:rsid w:val="00B03B47"/>
    <w:rsid w:val="00B03B5B"/>
    <w:rsid w:val="00B03C40"/>
    <w:rsid w:val="00B03CEB"/>
    <w:rsid w:val="00B03ED5"/>
    <w:rsid w:val="00B041D1"/>
    <w:rsid w:val="00B04314"/>
    <w:rsid w:val="00B04395"/>
    <w:rsid w:val="00B0439B"/>
    <w:rsid w:val="00B043F4"/>
    <w:rsid w:val="00B04503"/>
    <w:rsid w:val="00B04629"/>
    <w:rsid w:val="00B04656"/>
    <w:rsid w:val="00B0470A"/>
    <w:rsid w:val="00B0470D"/>
    <w:rsid w:val="00B04725"/>
    <w:rsid w:val="00B04A1E"/>
    <w:rsid w:val="00B04A2F"/>
    <w:rsid w:val="00B04A87"/>
    <w:rsid w:val="00B04AAF"/>
    <w:rsid w:val="00B04AC0"/>
    <w:rsid w:val="00B04AD5"/>
    <w:rsid w:val="00B04B1C"/>
    <w:rsid w:val="00B04B2B"/>
    <w:rsid w:val="00B04B41"/>
    <w:rsid w:val="00B04CA9"/>
    <w:rsid w:val="00B04DA1"/>
    <w:rsid w:val="00B04DAA"/>
    <w:rsid w:val="00B04EB6"/>
    <w:rsid w:val="00B04EF0"/>
    <w:rsid w:val="00B04EFB"/>
    <w:rsid w:val="00B04F13"/>
    <w:rsid w:val="00B04FFE"/>
    <w:rsid w:val="00B05134"/>
    <w:rsid w:val="00B05141"/>
    <w:rsid w:val="00B0516E"/>
    <w:rsid w:val="00B0518A"/>
    <w:rsid w:val="00B05210"/>
    <w:rsid w:val="00B052A7"/>
    <w:rsid w:val="00B0535C"/>
    <w:rsid w:val="00B05444"/>
    <w:rsid w:val="00B0548A"/>
    <w:rsid w:val="00B05520"/>
    <w:rsid w:val="00B05540"/>
    <w:rsid w:val="00B05563"/>
    <w:rsid w:val="00B055B8"/>
    <w:rsid w:val="00B056AA"/>
    <w:rsid w:val="00B05891"/>
    <w:rsid w:val="00B058C5"/>
    <w:rsid w:val="00B05952"/>
    <w:rsid w:val="00B05959"/>
    <w:rsid w:val="00B05974"/>
    <w:rsid w:val="00B05A22"/>
    <w:rsid w:val="00B05B18"/>
    <w:rsid w:val="00B05B35"/>
    <w:rsid w:val="00B05BD8"/>
    <w:rsid w:val="00B05D75"/>
    <w:rsid w:val="00B05D82"/>
    <w:rsid w:val="00B05DA2"/>
    <w:rsid w:val="00B05DE2"/>
    <w:rsid w:val="00B06003"/>
    <w:rsid w:val="00B06011"/>
    <w:rsid w:val="00B0620E"/>
    <w:rsid w:val="00B0629E"/>
    <w:rsid w:val="00B062B2"/>
    <w:rsid w:val="00B062D3"/>
    <w:rsid w:val="00B062F2"/>
    <w:rsid w:val="00B0630A"/>
    <w:rsid w:val="00B0647F"/>
    <w:rsid w:val="00B06492"/>
    <w:rsid w:val="00B066D1"/>
    <w:rsid w:val="00B066F6"/>
    <w:rsid w:val="00B06759"/>
    <w:rsid w:val="00B06771"/>
    <w:rsid w:val="00B06804"/>
    <w:rsid w:val="00B06896"/>
    <w:rsid w:val="00B069CD"/>
    <w:rsid w:val="00B06A1A"/>
    <w:rsid w:val="00B06A41"/>
    <w:rsid w:val="00B06A61"/>
    <w:rsid w:val="00B06A63"/>
    <w:rsid w:val="00B06B35"/>
    <w:rsid w:val="00B06B6B"/>
    <w:rsid w:val="00B06BAE"/>
    <w:rsid w:val="00B06C08"/>
    <w:rsid w:val="00B06CC9"/>
    <w:rsid w:val="00B06D01"/>
    <w:rsid w:val="00B06D1B"/>
    <w:rsid w:val="00B06D50"/>
    <w:rsid w:val="00B06D76"/>
    <w:rsid w:val="00B06DED"/>
    <w:rsid w:val="00B06E92"/>
    <w:rsid w:val="00B06F0E"/>
    <w:rsid w:val="00B06F86"/>
    <w:rsid w:val="00B06FFA"/>
    <w:rsid w:val="00B07137"/>
    <w:rsid w:val="00B07210"/>
    <w:rsid w:val="00B0729A"/>
    <w:rsid w:val="00B073D5"/>
    <w:rsid w:val="00B073E5"/>
    <w:rsid w:val="00B073FD"/>
    <w:rsid w:val="00B07453"/>
    <w:rsid w:val="00B07508"/>
    <w:rsid w:val="00B0756D"/>
    <w:rsid w:val="00B0764A"/>
    <w:rsid w:val="00B07684"/>
    <w:rsid w:val="00B07740"/>
    <w:rsid w:val="00B077A0"/>
    <w:rsid w:val="00B077F7"/>
    <w:rsid w:val="00B07825"/>
    <w:rsid w:val="00B0788A"/>
    <w:rsid w:val="00B07905"/>
    <w:rsid w:val="00B07999"/>
    <w:rsid w:val="00B07A52"/>
    <w:rsid w:val="00B07AA1"/>
    <w:rsid w:val="00B07ABA"/>
    <w:rsid w:val="00B07BD0"/>
    <w:rsid w:val="00B07C05"/>
    <w:rsid w:val="00B07C40"/>
    <w:rsid w:val="00B07D24"/>
    <w:rsid w:val="00B07DB3"/>
    <w:rsid w:val="00B07DBA"/>
    <w:rsid w:val="00B07E7E"/>
    <w:rsid w:val="00B07FAA"/>
    <w:rsid w:val="00B07FD2"/>
    <w:rsid w:val="00B07FD8"/>
    <w:rsid w:val="00B10029"/>
    <w:rsid w:val="00B100B4"/>
    <w:rsid w:val="00B10121"/>
    <w:rsid w:val="00B101A1"/>
    <w:rsid w:val="00B10202"/>
    <w:rsid w:val="00B102F0"/>
    <w:rsid w:val="00B1035A"/>
    <w:rsid w:val="00B103E6"/>
    <w:rsid w:val="00B10484"/>
    <w:rsid w:val="00B10504"/>
    <w:rsid w:val="00B10515"/>
    <w:rsid w:val="00B105DE"/>
    <w:rsid w:val="00B10605"/>
    <w:rsid w:val="00B1067E"/>
    <w:rsid w:val="00B10793"/>
    <w:rsid w:val="00B107B8"/>
    <w:rsid w:val="00B10819"/>
    <w:rsid w:val="00B10896"/>
    <w:rsid w:val="00B108ED"/>
    <w:rsid w:val="00B10918"/>
    <w:rsid w:val="00B1091E"/>
    <w:rsid w:val="00B109F7"/>
    <w:rsid w:val="00B10A1C"/>
    <w:rsid w:val="00B10AC2"/>
    <w:rsid w:val="00B10ADF"/>
    <w:rsid w:val="00B10B00"/>
    <w:rsid w:val="00B10B6A"/>
    <w:rsid w:val="00B10BA2"/>
    <w:rsid w:val="00B10BD8"/>
    <w:rsid w:val="00B10C48"/>
    <w:rsid w:val="00B10CE6"/>
    <w:rsid w:val="00B10D78"/>
    <w:rsid w:val="00B10DBA"/>
    <w:rsid w:val="00B11038"/>
    <w:rsid w:val="00B11117"/>
    <w:rsid w:val="00B1116F"/>
    <w:rsid w:val="00B1119E"/>
    <w:rsid w:val="00B112ED"/>
    <w:rsid w:val="00B11386"/>
    <w:rsid w:val="00B113A7"/>
    <w:rsid w:val="00B11418"/>
    <w:rsid w:val="00B114E9"/>
    <w:rsid w:val="00B1156A"/>
    <w:rsid w:val="00B1159B"/>
    <w:rsid w:val="00B115BE"/>
    <w:rsid w:val="00B115F7"/>
    <w:rsid w:val="00B11632"/>
    <w:rsid w:val="00B11732"/>
    <w:rsid w:val="00B1183E"/>
    <w:rsid w:val="00B11896"/>
    <w:rsid w:val="00B1199F"/>
    <w:rsid w:val="00B11A96"/>
    <w:rsid w:val="00B11B69"/>
    <w:rsid w:val="00B11BBC"/>
    <w:rsid w:val="00B11C38"/>
    <w:rsid w:val="00B11C96"/>
    <w:rsid w:val="00B11CCA"/>
    <w:rsid w:val="00B11D13"/>
    <w:rsid w:val="00B11DB2"/>
    <w:rsid w:val="00B11EC4"/>
    <w:rsid w:val="00B11EDB"/>
    <w:rsid w:val="00B1201A"/>
    <w:rsid w:val="00B120C9"/>
    <w:rsid w:val="00B1218D"/>
    <w:rsid w:val="00B1227B"/>
    <w:rsid w:val="00B12284"/>
    <w:rsid w:val="00B122C6"/>
    <w:rsid w:val="00B122E0"/>
    <w:rsid w:val="00B12312"/>
    <w:rsid w:val="00B12388"/>
    <w:rsid w:val="00B123EE"/>
    <w:rsid w:val="00B123FF"/>
    <w:rsid w:val="00B1249A"/>
    <w:rsid w:val="00B124A0"/>
    <w:rsid w:val="00B124DE"/>
    <w:rsid w:val="00B125AA"/>
    <w:rsid w:val="00B1264B"/>
    <w:rsid w:val="00B12746"/>
    <w:rsid w:val="00B1281F"/>
    <w:rsid w:val="00B12890"/>
    <w:rsid w:val="00B12967"/>
    <w:rsid w:val="00B1296F"/>
    <w:rsid w:val="00B12A48"/>
    <w:rsid w:val="00B12AF7"/>
    <w:rsid w:val="00B12B43"/>
    <w:rsid w:val="00B12B5F"/>
    <w:rsid w:val="00B12BC4"/>
    <w:rsid w:val="00B12C54"/>
    <w:rsid w:val="00B12CE7"/>
    <w:rsid w:val="00B12D54"/>
    <w:rsid w:val="00B12E67"/>
    <w:rsid w:val="00B12E85"/>
    <w:rsid w:val="00B12ECB"/>
    <w:rsid w:val="00B12F9D"/>
    <w:rsid w:val="00B12FAE"/>
    <w:rsid w:val="00B130A9"/>
    <w:rsid w:val="00B13123"/>
    <w:rsid w:val="00B1313C"/>
    <w:rsid w:val="00B131CB"/>
    <w:rsid w:val="00B13243"/>
    <w:rsid w:val="00B13288"/>
    <w:rsid w:val="00B132D5"/>
    <w:rsid w:val="00B13350"/>
    <w:rsid w:val="00B13451"/>
    <w:rsid w:val="00B1346B"/>
    <w:rsid w:val="00B13596"/>
    <w:rsid w:val="00B137DB"/>
    <w:rsid w:val="00B13827"/>
    <w:rsid w:val="00B138EA"/>
    <w:rsid w:val="00B1393D"/>
    <w:rsid w:val="00B1397F"/>
    <w:rsid w:val="00B139C8"/>
    <w:rsid w:val="00B13A39"/>
    <w:rsid w:val="00B13A6C"/>
    <w:rsid w:val="00B13B6E"/>
    <w:rsid w:val="00B13BB4"/>
    <w:rsid w:val="00B13BE2"/>
    <w:rsid w:val="00B13D13"/>
    <w:rsid w:val="00B13D42"/>
    <w:rsid w:val="00B13D45"/>
    <w:rsid w:val="00B13E5E"/>
    <w:rsid w:val="00B13E82"/>
    <w:rsid w:val="00B13EB0"/>
    <w:rsid w:val="00B13F78"/>
    <w:rsid w:val="00B13FFD"/>
    <w:rsid w:val="00B140E0"/>
    <w:rsid w:val="00B140EB"/>
    <w:rsid w:val="00B141AA"/>
    <w:rsid w:val="00B14231"/>
    <w:rsid w:val="00B14272"/>
    <w:rsid w:val="00B142B9"/>
    <w:rsid w:val="00B14355"/>
    <w:rsid w:val="00B145BB"/>
    <w:rsid w:val="00B1466E"/>
    <w:rsid w:val="00B146C0"/>
    <w:rsid w:val="00B14740"/>
    <w:rsid w:val="00B14804"/>
    <w:rsid w:val="00B148DE"/>
    <w:rsid w:val="00B14918"/>
    <w:rsid w:val="00B14947"/>
    <w:rsid w:val="00B149C2"/>
    <w:rsid w:val="00B149C4"/>
    <w:rsid w:val="00B14A8B"/>
    <w:rsid w:val="00B14B66"/>
    <w:rsid w:val="00B14BB7"/>
    <w:rsid w:val="00B14C6C"/>
    <w:rsid w:val="00B14D2B"/>
    <w:rsid w:val="00B14D6B"/>
    <w:rsid w:val="00B14DA2"/>
    <w:rsid w:val="00B14E55"/>
    <w:rsid w:val="00B14FD6"/>
    <w:rsid w:val="00B1503A"/>
    <w:rsid w:val="00B1511D"/>
    <w:rsid w:val="00B152D9"/>
    <w:rsid w:val="00B15342"/>
    <w:rsid w:val="00B1553D"/>
    <w:rsid w:val="00B1562A"/>
    <w:rsid w:val="00B1570A"/>
    <w:rsid w:val="00B157BD"/>
    <w:rsid w:val="00B157D9"/>
    <w:rsid w:val="00B158B3"/>
    <w:rsid w:val="00B158E1"/>
    <w:rsid w:val="00B159D4"/>
    <w:rsid w:val="00B15A02"/>
    <w:rsid w:val="00B15A84"/>
    <w:rsid w:val="00B15B4D"/>
    <w:rsid w:val="00B15BC8"/>
    <w:rsid w:val="00B15C3C"/>
    <w:rsid w:val="00B15DA6"/>
    <w:rsid w:val="00B15E09"/>
    <w:rsid w:val="00B15FDF"/>
    <w:rsid w:val="00B16086"/>
    <w:rsid w:val="00B161AD"/>
    <w:rsid w:val="00B1620B"/>
    <w:rsid w:val="00B16271"/>
    <w:rsid w:val="00B16346"/>
    <w:rsid w:val="00B16385"/>
    <w:rsid w:val="00B16480"/>
    <w:rsid w:val="00B16490"/>
    <w:rsid w:val="00B164B8"/>
    <w:rsid w:val="00B164C4"/>
    <w:rsid w:val="00B164E7"/>
    <w:rsid w:val="00B16508"/>
    <w:rsid w:val="00B16540"/>
    <w:rsid w:val="00B165A4"/>
    <w:rsid w:val="00B165F9"/>
    <w:rsid w:val="00B1660E"/>
    <w:rsid w:val="00B166F5"/>
    <w:rsid w:val="00B16701"/>
    <w:rsid w:val="00B167D3"/>
    <w:rsid w:val="00B167D8"/>
    <w:rsid w:val="00B16855"/>
    <w:rsid w:val="00B1690B"/>
    <w:rsid w:val="00B169F5"/>
    <w:rsid w:val="00B16BC5"/>
    <w:rsid w:val="00B16C52"/>
    <w:rsid w:val="00B16D19"/>
    <w:rsid w:val="00B16DF7"/>
    <w:rsid w:val="00B16E3A"/>
    <w:rsid w:val="00B170AB"/>
    <w:rsid w:val="00B170DF"/>
    <w:rsid w:val="00B171BC"/>
    <w:rsid w:val="00B1721D"/>
    <w:rsid w:val="00B17227"/>
    <w:rsid w:val="00B17287"/>
    <w:rsid w:val="00B17303"/>
    <w:rsid w:val="00B17305"/>
    <w:rsid w:val="00B17374"/>
    <w:rsid w:val="00B17376"/>
    <w:rsid w:val="00B17380"/>
    <w:rsid w:val="00B17434"/>
    <w:rsid w:val="00B17436"/>
    <w:rsid w:val="00B174CF"/>
    <w:rsid w:val="00B174D9"/>
    <w:rsid w:val="00B17515"/>
    <w:rsid w:val="00B1767D"/>
    <w:rsid w:val="00B176CB"/>
    <w:rsid w:val="00B176E8"/>
    <w:rsid w:val="00B17825"/>
    <w:rsid w:val="00B17856"/>
    <w:rsid w:val="00B17876"/>
    <w:rsid w:val="00B178ED"/>
    <w:rsid w:val="00B1790F"/>
    <w:rsid w:val="00B1796C"/>
    <w:rsid w:val="00B1798C"/>
    <w:rsid w:val="00B17A95"/>
    <w:rsid w:val="00B17B9E"/>
    <w:rsid w:val="00B17BE3"/>
    <w:rsid w:val="00B17C16"/>
    <w:rsid w:val="00B17C7F"/>
    <w:rsid w:val="00B17CF1"/>
    <w:rsid w:val="00B17E34"/>
    <w:rsid w:val="00B17E3A"/>
    <w:rsid w:val="00B17E56"/>
    <w:rsid w:val="00B17EFD"/>
    <w:rsid w:val="00B20034"/>
    <w:rsid w:val="00B200CC"/>
    <w:rsid w:val="00B2014A"/>
    <w:rsid w:val="00B2022B"/>
    <w:rsid w:val="00B2028D"/>
    <w:rsid w:val="00B202D7"/>
    <w:rsid w:val="00B2050E"/>
    <w:rsid w:val="00B206C8"/>
    <w:rsid w:val="00B20842"/>
    <w:rsid w:val="00B208BB"/>
    <w:rsid w:val="00B20A33"/>
    <w:rsid w:val="00B20C65"/>
    <w:rsid w:val="00B20C71"/>
    <w:rsid w:val="00B20CB7"/>
    <w:rsid w:val="00B20CE0"/>
    <w:rsid w:val="00B20DC0"/>
    <w:rsid w:val="00B20E7D"/>
    <w:rsid w:val="00B20ECF"/>
    <w:rsid w:val="00B20F7E"/>
    <w:rsid w:val="00B21024"/>
    <w:rsid w:val="00B210E6"/>
    <w:rsid w:val="00B21354"/>
    <w:rsid w:val="00B2138E"/>
    <w:rsid w:val="00B21463"/>
    <w:rsid w:val="00B215BD"/>
    <w:rsid w:val="00B21751"/>
    <w:rsid w:val="00B217B7"/>
    <w:rsid w:val="00B217D1"/>
    <w:rsid w:val="00B21819"/>
    <w:rsid w:val="00B218A9"/>
    <w:rsid w:val="00B218AD"/>
    <w:rsid w:val="00B21986"/>
    <w:rsid w:val="00B21AAE"/>
    <w:rsid w:val="00B21C0B"/>
    <w:rsid w:val="00B21C15"/>
    <w:rsid w:val="00B21D0A"/>
    <w:rsid w:val="00B21D2F"/>
    <w:rsid w:val="00B21E14"/>
    <w:rsid w:val="00B21E5E"/>
    <w:rsid w:val="00B21EAE"/>
    <w:rsid w:val="00B220A8"/>
    <w:rsid w:val="00B220E0"/>
    <w:rsid w:val="00B22130"/>
    <w:rsid w:val="00B222FA"/>
    <w:rsid w:val="00B22383"/>
    <w:rsid w:val="00B2238E"/>
    <w:rsid w:val="00B22509"/>
    <w:rsid w:val="00B225B0"/>
    <w:rsid w:val="00B225FC"/>
    <w:rsid w:val="00B22603"/>
    <w:rsid w:val="00B226A3"/>
    <w:rsid w:val="00B2272E"/>
    <w:rsid w:val="00B227E3"/>
    <w:rsid w:val="00B227FD"/>
    <w:rsid w:val="00B22805"/>
    <w:rsid w:val="00B2280D"/>
    <w:rsid w:val="00B22928"/>
    <w:rsid w:val="00B22A3D"/>
    <w:rsid w:val="00B22A86"/>
    <w:rsid w:val="00B22AD6"/>
    <w:rsid w:val="00B22B4F"/>
    <w:rsid w:val="00B22C42"/>
    <w:rsid w:val="00B22C87"/>
    <w:rsid w:val="00B22CCD"/>
    <w:rsid w:val="00B22D47"/>
    <w:rsid w:val="00B22D59"/>
    <w:rsid w:val="00B22E84"/>
    <w:rsid w:val="00B22EBA"/>
    <w:rsid w:val="00B22EFF"/>
    <w:rsid w:val="00B22F32"/>
    <w:rsid w:val="00B22F54"/>
    <w:rsid w:val="00B230B7"/>
    <w:rsid w:val="00B2326B"/>
    <w:rsid w:val="00B232BA"/>
    <w:rsid w:val="00B23385"/>
    <w:rsid w:val="00B233AB"/>
    <w:rsid w:val="00B234B3"/>
    <w:rsid w:val="00B234C2"/>
    <w:rsid w:val="00B234DF"/>
    <w:rsid w:val="00B23582"/>
    <w:rsid w:val="00B23612"/>
    <w:rsid w:val="00B2363A"/>
    <w:rsid w:val="00B23729"/>
    <w:rsid w:val="00B23749"/>
    <w:rsid w:val="00B237AD"/>
    <w:rsid w:val="00B237B1"/>
    <w:rsid w:val="00B23821"/>
    <w:rsid w:val="00B2385E"/>
    <w:rsid w:val="00B2392C"/>
    <w:rsid w:val="00B23A50"/>
    <w:rsid w:val="00B23A97"/>
    <w:rsid w:val="00B23AD8"/>
    <w:rsid w:val="00B23AF3"/>
    <w:rsid w:val="00B23BAD"/>
    <w:rsid w:val="00B23BDA"/>
    <w:rsid w:val="00B23C7F"/>
    <w:rsid w:val="00B23DE0"/>
    <w:rsid w:val="00B23E42"/>
    <w:rsid w:val="00B24041"/>
    <w:rsid w:val="00B24081"/>
    <w:rsid w:val="00B240A5"/>
    <w:rsid w:val="00B240C3"/>
    <w:rsid w:val="00B24108"/>
    <w:rsid w:val="00B24151"/>
    <w:rsid w:val="00B2420D"/>
    <w:rsid w:val="00B24216"/>
    <w:rsid w:val="00B24233"/>
    <w:rsid w:val="00B242AD"/>
    <w:rsid w:val="00B242B0"/>
    <w:rsid w:val="00B2440C"/>
    <w:rsid w:val="00B244A7"/>
    <w:rsid w:val="00B2455D"/>
    <w:rsid w:val="00B2459B"/>
    <w:rsid w:val="00B24660"/>
    <w:rsid w:val="00B2467F"/>
    <w:rsid w:val="00B24758"/>
    <w:rsid w:val="00B24799"/>
    <w:rsid w:val="00B248BD"/>
    <w:rsid w:val="00B24935"/>
    <w:rsid w:val="00B24965"/>
    <w:rsid w:val="00B249A1"/>
    <w:rsid w:val="00B249F3"/>
    <w:rsid w:val="00B24A8A"/>
    <w:rsid w:val="00B24C0F"/>
    <w:rsid w:val="00B24CAD"/>
    <w:rsid w:val="00B24CC8"/>
    <w:rsid w:val="00B24D42"/>
    <w:rsid w:val="00B24D4B"/>
    <w:rsid w:val="00B24DB9"/>
    <w:rsid w:val="00B24DBF"/>
    <w:rsid w:val="00B24F4A"/>
    <w:rsid w:val="00B25038"/>
    <w:rsid w:val="00B25048"/>
    <w:rsid w:val="00B25054"/>
    <w:rsid w:val="00B25187"/>
    <w:rsid w:val="00B251DD"/>
    <w:rsid w:val="00B25306"/>
    <w:rsid w:val="00B25314"/>
    <w:rsid w:val="00B2532A"/>
    <w:rsid w:val="00B253D4"/>
    <w:rsid w:val="00B254AE"/>
    <w:rsid w:val="00B25539"/>
    <w:rsid w:val="00B2559D"/>
    <w:rsid w:val="00B2560C"/>
    <w:rsid w:val="00B25610"/>
    <w:rsid w:val="00B25643"/>
    <w:rsid w:val="00B2576B"/>
    <w:rsid w:val="00B257C1"/>
    <w:rsid w:val="00B258BD"/>
    <w:rsid w:val="00B2594B"/>
    <w:rsid w:val="00B259A2"/>
    <w:rsid w:val="00B259F6"/>
    <w:rsid w:val="00B25B4F"/>
    <w:rsid w:val="00B25B8C"/>
    <w:rsid w:val="00B25BBD"/>
    <w:rsid w:val="00B25C66"/>
    <w:rsid w:val="00B25C67"/>
    <w:rsid w:val="00B25CB3"/>
    <w:rsid w:val="00B25D2F"/>
    <w:rsid w:val="00B25D43"/>
    <w:rsid w:val="00B25D52"/>
    <w:rsid w:val="00B25D75"/>
    <w:rsid w:val="00B25D7E"/>
    <w:rsid w:val="00B25E8B"/>
    <w:rsid w:val="00B260E9"/>
    <w:rsid w:val="00B2610A"/>
    <w:rsid w:val="00B2623D"/>
    <w:rsid w:val="00B262C8"/>
    <w:rsid w:val="00B26304"/>
    <w:rsid w:val="00B263F1"/>
    <w:rsid w:val="00B2646E"/>
    <w:rsid w:val="00B264AF"/>
    <w:rsid w:val="00B26512"/>
    <w:rsid w:val="00B26542"/>
    <w:rsid w:val="00B265B2"/>
    <w:rsid w:val="00B265F3"/>
    <w:rsid w:val="00B266C6"/>
    <w:rsid w:val="00B26710"/>
    <w:rsid w:val="00B2672A"/>
    <w:rsid w:val="00B26738"/>
    <w:rsid w:val="00B2680E"/>
    <w:rsid w:val="00B26836"/>
    <w:rsid w:val="00B26880"/>
    <w:rsid w:val="00B268BE"/>
    <w:rsid w:val="00B269BB"/>
    <w:rsid w:val="00B26A22"/>
    <w:rsid w:val="00B26A43"/>
    <w:rsid w:val="00B26A92"/>
    <w:rsid w:val="00B26A97"/>
    <w:rsid w:val="00B26B62"/>
    <w:rsid w:val="00B26BB2"/>
    <w:rsid w:val="00B26C08"/>
    <w:rsid w:val="00B26C0E"/>
    <w:rsid w:val="00B26E35"/>
    <w:rsid w:val="00B26EE5"/>
    <w:rsid w:val="00B26F80"/>
    <w:rsid w:val="00B27087"/>
    <w:rsid w:val="00B270F0"/>
    <w:rsid w:val="00B2718A"/>
    <w:rsid w:val="00B2722F"/>
    <w:rsid w:val="00B272CE"/>
    <w:rsid w:val="00B2735A"/>
    <w:rsid w:val="00B274B7"/>
    <w:rsid w:val="00B274D6"/>
    <w:rsid w:val="00B274E7"/>
    <w:rsid w:val="00B27522"/>
    <w:rsid w:val="00B275A1"/>
    <w:rsid w:val="00B275BC"/>
    <w:rsid w:val="00B275D9"/>
    <w:rsid w:val="00B27621"/>
    <w:rsid w:val="00B2765D"/>
    <w:rsid w:val="00B276C4"/>
    <w:rsid w:val="00B276D6"/>
    <w:rsid w:val="00B27751"/>
    <w:rsid w:val="00B2778F"/>
    <w:rsid w:val="00B27894"/>
    <w:rsid w:val="00B278E3"/>
    <w:rsid w:val="00B2790F"/>
    <w:rsid w:val="00B27943"/>
    <w:rsid w:val="00B27948"/>
    <w:rsid w:val="00B27B7A"/>
    <w:rsid w:val="00B27B8E"/>
    <w:rsid w:val="00B27CFE"/>
    <w:rsid w:val="00B27D0E"/>
    <w:rsid w:val="00B27D1D"/>
    <w:rsid w:val="00B27D31"/>
    <w:rsid w:val="00B27DC6"/>
    <w:rsid w:val="00B27DE3"/>
    <w:rsid w:val="00B27E8E"/>
    <w:rsid w:val="00B27F37"/>
    <w:rsid w:val="00B300BA"/>
    <w:rsid w:val="00B30146"/>
    <w:rsid w:val="00B3019B"/>
    <w:rsid w:val="00B30229"/>
    <w:rsid w:val="00B3026F"/>
    <w:rsid w:val="00B30295"/>
    <w:rsid w:val="00B302A0"/>
    <w:rsid w:val="00B30351"/>
    <w:rsid w:val="00B303A1"/>
    <w:rsid w:val="00B3041F"/>
    <w:rsid w:val="00B30461"/>
    <w:rsid w:val="00B3052E"/>
    <w:rsid w:val="00B30592"/>
    <w:rsid w:val="00B30674"/>
    <w:rsid w:val="00B30794"/>
    <w:rsid w:val="00B3080F"/>
    <w:rsid w:val="00B30889"/>
    <w:rsid w:val="00B309A5"/>
    <w:rsid w:val="00B30A51"/>
    <w:rsid w:val="00B30B57"/>
    <w:rsid w:val="00B30B72"/>
    <w:rsid w:val="00B30C46"/>
    <w:rsid w:val="00B30C52"/>
    <w:rsid w:val="00B30D25"/>
    <w:rsid w:val="00B30D57"/>
    <w:rsid w:val="00B30DBE"/>
    <w:rsid w:val="00B30E4C"/>
    <w:rsid w:val="00B30EBD"/>
    <w:rsid w:val="00B30F6A"/>
    <w:rsid w:val="00B31048"/>
    <w:rsid w:val="00B310A3"/>
    <w:rsid w:val="00B310CD"/>
    <w:rsid w:val="00B31107"/>
    <w:rsid w:val="00B31369"/>
    <w:rsid w:val="00B314C2"/>
    <w:rsid w:val="00B31553"/>
    <w:rsid w:val="00B31579"/>
    <w:rsid w:val="00B31636"/>
    <w:rsid w:val="00B316D2"/>
    <w:rsid w:val="00B316FF"/>
    <w:rsid w:val="00B31713"/>
    <w:rsid w:val="00B3174F"/>
    <w:rsid w:val="00B31873"/>
    <w:rsid w:val="00B31A1D"/>
    <w:rsid w:val="00B31AD0"/>
    <w:rsid w:val="00B31B57"/>
    <w:rsid w:val="00B31BD8"/>
    <w:rsid w:val="00B31C2D"/>
    <w:rsid w:val="00B31D00"/>
    <w:rsid w:val="00B31D01"/>
    <w:rsid w:val="00B31D31"/>
    <w:rsid w:val="00B31D6F"/>
    <w:rsid w:val="00B31DE9"/>
    <w:rsid w:val="00B31E15"/>
    <w:rsid w:val="00B31E5E"/>
    <w:rsid w:val="00B31EA1"/>
    <w:rsid w:val="00B31EEB"/>
    <w:rsid w:val="00B31F54"/>
    <w:rsid w:val="00B3201A"/>
    <w:rsid w:val="00B32042"/>
    <w:rsid w:val="00B320A4"/>
    <w:rsid w:val="00B32240"/>
    <w:rsid w:val="00B3229C"/>
    <w:rsid w:val="00B323C9"/>
    <w:rsid w:val="00B32419"/>
    <w:rsid w:val="00B3241E"/>
    <w:rsid w:val="00B32482"/>
    <w:rsid w:val="00B326C2"/>
    <w:rsid w:val="00B327BE"/>
    <w:rsid w:val="00B32895"/>
    <w:rsid w:val="00B3296D"/>
    <w:rsid w:val="00B32AFB"/>
    <w:rsid w:val="00B32B6F"/>
    <w:rsid w:val="00B32C6E"/>
    <w:rsid w:val="00B32CA7"/>
    <w:rsid w:val="00B32CE4"/>
    <w:rsid w:val="00B32E5A"/>
    <w:rsid w:val="00B32ECD"/>
    <w:rsid w:val="00B32F45"/>
    <w:rsid w:val="00B32F48"/>
    <w:rsid w:val="00B32F55"/>
    <w:rsid w:val="00B32F91"/>
    <w:rsid w:val="00B32F93"/>
    <w:rsid w:val="00B3301B"/>
    <w:rsid w:val="00B3305F"/>
    <w:rsid w:val="00B3314B"/>
    <w:rsid w:val="00B33262"/>
    <w:rsid w:val="00B3333D"/>
    <w:rsid w:val="00B33340"/>
    <w:rsid w:val="00B333B8"/>
    <w:rsid w:val="00B33465"/>
    <w:rsid w:val="00B33568"/>
    <w:rsid w:val="00B335A2"/>
    <w:rsid w:val="00B336B2"/>
    <w:rsid w:val="00B336C6"/>
    <w:rsid w:val="00B336E5"/>
    <w:rsid w:val="00B33708"/>
    <w:rsid w:val="00B3373A"/>
    <w:rsid w:val="00B3375C"/>
    <w:rsid w:val="00B33762"/>
    <w:rsid w:val="00B337A4"/>
    <w:rsid w:val="00B33821"/>
    <w:rsid w:val="00B3392F"/>
    <w:rsid w:val="00B339B4"/>
    <w:rsid w:val="00B339BE"/>
    <w:rsid w:val="00B339D4"/>
    <w:rsid w:val="00B33AEC"/>
    <w:rsid w:val="00B33AF6"/>
    <w:rsid w:val="00B33B7E"/>
    <w:rsid w:val="00B33BD1"/>
    <w:rsid w:val="00B33BEE"/>
    <w:rsid w:val="00B33BF8"/>
    <w:rsid w:val="00B33CA6"/>
    <w:rsid w:val="00B33CCF"/>
    <w:rsid w:val="00B33D97"/>
    <w:rsid w:val="00B33E90"/>
    <w:rsid w:val="00B33EA1"/>
    <w:rsid w:val="00B33EA3"/>
    <w:rsid w:val="00B33F9E"/>
    <w:rsid w:val="00B3411E"/>
    <w:rsid w:val="00B34185"/>
    <w:rsid w:val="00B342FB"/>
    <w:rsid w:val="00B34382"/>
    <w:rsid w:val="00B34386"/>
    <w:rsid w:val="00B343F4"/>
    <w:rsid w:val="00B34543"/>
    <w:rsid w:val="00B3455F"/>
    <w:rsid w:val="00B345D2"/>
    <w:rsid w:val="00B346AA"/>
    <w:rsid w:val="00B34774"/>
    <w:rsid w:val="00B34836"/>
    <w:rsid w:val="00B348BC"/>
    <w:rsid w:val="00B349DE"/>
    <w:rsid w:val="00B34A9D"/>
    <w:rsid w:val="00B34AC5"/>
    <w:rsid w:val="00B34C08"/>
    <w:rsid w:val="00B34C39"/>
    <w:rsid w:val="00B34D69"/>
    <w:rsid w:val="00B34E63"/>
    <w:rsid w:val="00B34E78"/>
    <w:rsid w:val="00B3501B"/>
    <w:rsid w:val="00B35029"/>
    <w:rsid w:val="00B35111"/>
    <w:rsid w:val="00B3516C"/>
    <w:rsid w:val="00B3534E"/>
    <w:rsid w:val="00B3538C"/>
    <w:rsid w:val="00B35430"/>
    <w:rsid w:val="00B35431"/>
    <w:rsid w:val="00B354B2"/>
    <w:rsid w:val="00B354B9"/>
    <w:rsid w:val="00B354F6"/>
    <w:rsid w:val="00B35580"/>
    <w:rsid w:val="00B355A6"/>
    <w:rsid w:val="00B35602"/>
    <w:rsid w:val="00B35640"/>
    <w:rsid w:val="00B356E1"/>
    <w:rsid w:val="00B357E3"/>
    <w:rsid w:val="00B35811"/>
    <w:rsid w:val="00B359B6"/>
    <w:rsid w:val="00B359F0"/>
    <w:rsid w:val="00B35A55"/>
    <w:rsid w:val="00B35BAF"/>
    <w:rsid w:val="00B35C49"/>
    <w:rsid w:val="00B35C9C"/>
    <w:rsid w:val="00B35D64"/>
    <w:rsid w:val="00B35D8E"/>
    <w:rsid w:val="00B35E02"/>
    <w:rsid w:val="00B360D3"/>
    <w:rsid w:val="00B360F5"/>
    <w:rsid w:val="00B36135"/>
    <w:rsid w:val="00B36172"/>
    <w:rsid w:val="00B36247"/>
    <w:rsid w:val="00B3632D"/>
    <w:rsid w:val="00B36338"/>
    <w:rsid w:val="00B3633A"/>
    <w:rsid w:val="00B36369"/>
    <w:rsid w:val="00B3636B"/>
    <w:rsid w:val="00B363C9"/>
    <w:rsid w:val="00B363E0"/>
    <w:rsid w:val="00B3645A"/>
    <w:rsid w:val="00B364E3"/>
    <w:rsid w:val="00B36521"/>
    <w:rsid w:val="00B3656D"/>
    <w:rsid w:val="00B366A3"/>
    <w:rsid w:val="00B366ED"/>
    <w:rsid w:val="00B36712"/>
    <w:rsid w:val="00B36721"/>
    <w:rsid w:val="00B36760"/>
    <w:rsid w:val="00B367B7"/>
    <w:rsid w:val="00B3685E"/>
    <w:rsid w:val="00B368FB"/>
    <w:rsid w:val="00B3694A"/>
    <w:rsid w:val="00B36A45"/>
    <w:rsid w:val="00B36AAF"/>
    <w:rsid w:val="00B36AEE"/>
    <w:rsid w:val="00B36BD9"/>
    <w:rsid w:val="00B36C4F"/>
    <w:rsid w:val="00B36C7B"/>
    <w:rsid w:val="00B36CDB"/>
    <w:rsid w:val="00B36DAE"/>
    <w:rsid w:val="00B36E08"/>
    <w:rsid w:val="00B36EF6"/>
    <w:rsid w:val="00B36F24"/>
    <w:rsid w:val="00B36F6E"/>
    <w:rsid w:val="00B36FA9"/>
    <w:rsid w:val="00B37008"/>
    <w:rsid w:val="00B37058"/>
    <w:rsid w:val="00B370BD"/>
    <w:rsid w:val="00B37145"/>
    <w:rsid w:val="00B371C0"/>
    <w:rsid w:val="00B37252"/>
    <w:rsid w:val="00B37313"/>
    <w:rsid w:val="00B37489"/>
    <w:rsid w:val="00B374AF"/>
    <w:rsid w:val="00B374EC"/>
    <w:rsid w:val="00B374F7"/>
    <w:rsid w:val="00B375AA"/>
    <w:rsid w:val="00B37689"/>
    <w:rsid w:val="00B376FF"/>
    <w:rsid w:val="00B3772B"/>
    <w:rsid w:val="00B37774"/>
    <w:rsid w:val="00B37784"/>
    <w:rsid w:val="00B3787D"/>
    <w:rsid w:val="00B378CC"/>
    <w:rsid w:val="00B378FD"/>
    <w:rsid w:val="00B379F1"/>
    <w:rsid w:val="00B37B56"/>
    <w:rsid w:val="00B37C5F"/>
    <w:rsid w:val="00B37C99"/>
    <w:rsid w:val="00B37CEB"/>
    <w:rsid w:val="00B37D0B"/>
    <w:rsid w:val="00B37DB1"/>
    <w:rsid w:val="00B37DC8"/>
    <w:rsid w:val="00B37DD1"/>
    <w:rsid w:val="00B37E13"/>
    <w:rsid w:val="00B37E19"/>
    <w:rsid w:val="00B37E27"/>
    <w:rsid w:val="00B37E77"/>
    <w:rsid w:val="00B37EC2"/>
    <w:rsid w:val="00B37ED9"/>
    <w:rsid w:val="00B37EEE"/>
    <w:rsid w:val="00B37F4E"/>
    <w:rsid w:val="00B37F5F"/>
    <w:rsid w:val="00B37F74"/>
    <w:rsid w:val="00B37F87"/>
    <w:rsid w:val="00B37FD5"/>
    <w:rsid w:val="00B40054"/>
    <w:rsid w:val="00B4006E"/>
    <w:rsid w:val="00B400B8"/>
    <w:rsid w:val="00B400C7"/>
    <w:rsid w:val="00B400EC"/>
    <w:rsid w:val="00B400F0"/>
    <w:rsid w:val="00B400F7"/>
    <w:rsid w:val="00B40154"/>
    <w:rsid w:val="00B40172"/>
    <w:rsid w:val="00B401EF"/>
    <w:rsid w:val="00B40253"/>
    <w:rsid w:val="00B40311"/>
    <w:rsid w:val="00B40361"/>
    <w:rsid w:val="00B40402"/>
    <w:rsid w:val="00B4040F"/>
    <w:rsid w:val="00B40481"/>
    <w:rsid w:val="00B404BD"/>
    <w:rsid w:val="00B40587"/>
    <w:rsid w:val="00B405D0"/>
    <w:rsid w:val="00B40687"/>
    <w:rsid w:val="00B40823"/>
    <w:rsid w:val="00B40889"/>
    <w:rsid w:val="00B408BD"/>
    <w:rsid w:val="00B408C2"/>
    <w:rsid w:val="00B40939"/>
    <w:rsid w:val="00B409A4"/>
    <w:rsid w:val="00B40BD8"/>
    <w:rsid w:val="00B40C35"/>
    <w:rsid w:val="00B40C79"/>
    <w:rsid w:val="00B40C88"/>
    <w:rsid w:val="00B40CD3"/>
    <w:rsid w:val="00B40CF4"/>
    <w:rsid w:val="00B40D47"/>
    <w:rsid w:val="00B40D6B"/>
    <w:rsid w:val="00B40D91"/>
    <w:rsid w:val="00B40EDA"/>
    <w:rsid w:val="00B40EF6"/>
    <w:rsid w:val="00B40F01"/>
    <w:rsid w:val="00B41057"/>
    <w:rsid w:val="00B41192"/>
    <w:rsid w:val="00B411DF"/>
    <w:rsid w:val="00B4122E"/>
    <w:rsid w:val="00B41358"/>
    <w:rsid w:val="00B41379"/>
    <w:rsid w:val="00B413AF"/>
    <w:rsid w:val="00B41443"/>
    <w:rsid w:val="00B41475"/>
    <w:rsid w:val="00B4148C"/>
    <w:rsid w:val="00B41529"/>
    <w:rsid w:val="00B415C2"/>
    <w:rsid w:val="00B41673"/>
    <w:rsid w:val="00B416C5"/>
    <w:rsid w:val="00B416CA"/>
    <w:rsid w:val="00B41936"/>
    <w:rsid w:val="00B419E6"/>
    <w:rsid w:val="00B41A7B"/>
    <w:rsid w:val="00B41A99"/>
    <w:rsid w:val="00B41AD6"/>
    <w:rsid w:val="00B41B18"/>
    <w:rsid w:val="00B41B34"/>
    <w:rsid w:val="00B41B3F"/>
    <w:rsid w:val="00B41B85"/>
    <w:rsid w:val="00B41BA4"/>
    <w:rsid w:val="00B41C09"/>
    <w:rsid w:val="00B41C8D"/>
    <w:rsid w:val="00B41C93"/>
    <w:rsid w:val="00B41D06"/>
    <w:rsid w:val="00B420F7"/>
    <w:rsid w:val="00B421ED"/>
    <w:rsid w:val="00B42259"/>
    <w:rsid w:val="00B4225C"/>
    <w:rsid w:val="00B422D4"/>
    <w:rsid w:val="00B423A9"/>
    <w:rsid w:val="00B423C6"/>
    <w:rsid w:val="00B423CE"/>
    <w:rsid w:val="00B424C0"/>
    <w:rsid w:val="00B425A0"/>
    <w:rsid w:val="00B425D4"/>
    <w:rsid w:val="00B42622"/>
    <w:rsid w:val="00B4263D"/>
    <w:rsid w:val="00B42663"/>
    <w:rsid w:val="00B4269F"/>
    <w:rsid w:val="00B42716"/>
    <w:rsid w:val="00B427A6"/>
    <w:rsid w:val="00B427F0"/>
    <w:rsid w:val="00B4280F"/>
    <w:rsid w:val="00B4285F"/>
    <w:rsid w:val="00B42891"/>
    <w:rsid w:val="00B4289D"/>
    <w:rsid w:val="00B42976"/>
    <w:rsid w:val="00B4299F"/>
    <w:rsid w:val="00B429A3"/>
    <w:rsid w:val="00B429A4"/>
    <w:rsid w:val="00B429FC"/>
    <w:rsid w:val="00B42B08"/>
    <w:rsid w:val="00B42B15"/>
    <w:rsid w:val="00B42BB9"/>
    <w:rsid w:val="00B42CF3"/>
    <w:rsid w:val="00B42D16"/>
    <w:rsid w:val="00B42E6F"/>
    <w:rsid w:val="00B42E76"/>
    <w:rsid w:val="00B42EE9"/>
    <w:rsid w:val="00B42F0F"/>
    <w:rsid w:val="00B42F7D"/>
    <w:rsid w:val="00B4300D"/>
    <w:rsid w:val="00B4302D"/>
    <w:rsid w:val="00B430BE"/>
    <w:rsid w:val="00B43204"/>
    <w:rsid w:val="00B43518"/>
    <w:rsid w:val="00B4366B"/>
    <w:rsid w:val="00B436E6"/>
    <w:rsid w:val="00B4371D"/>
    <w:rsid w:val="00B43733"/>
    <w:rsid w:val="00B4380E"/>
    <w:rsid w:val="00B4382F"/>
    <w:rsid w:val="00B4385E"/>
    <w:rsid w:val="00B43941"/>
    <w:rsid w:val="00B43945"/>
    <w:rsid w:val="00B43954"/>
    <w:rsid w:val="00B439E8"/>
    <w:rsid w:val="00B43A8B"/>
    <w:rsid w:val="00B43B5A"/>
    <w:rsid w:val="00B43CC3"/>
    <w:rsid w:val="00B43D53"/>
    <w:rsid w:val="00B43D70"/>
    <w:rsid w:val="00B43E1D"/>
    <w:rsid w:val="00B43EF1"/>
    <w:rsid w:val="00B43FC9"/>
    <w:rsid w:val="00B4408D"/>
    <w:rsid w:val="00B44137"/>
    <w:rsid w:val="00B44190"/>
    <w:rsid w:val="00B4428C"/>
    <w:rsid w:val="00B44354"/>
    <w:rsid w:val="00B44384"/>
    <w:rsid w:val="00B443BC"/>
    <w:rsid w:val="00B44461"/>
    <w:rsid w:val="00B44463"/>
    <w:rsid w:val="00B444C0"/>
    <w:rsid w:val="00B44735"/>
    <w:rsid w:val="00B44771"/>
    <w:rsid w:val="00B44776"/>
    <w:rsid w:val="00B448A0"/>
    <w:rsid w:val="00B448C0"/>
    <w:rsid w:val="00B44953"/>
    <w:rsid w:val="00B44973"/>
    <w:rsid w:val="00B4499C"/>
    <w:rsid w:val="00B449FB"/>
    <w:rsid w:val="00B44A2C"/>
    <w:rsid w:val="00B44AB8"/>
    <w:rsid w:val="00B44B09"/>
    <w:rsid w:val="00B44B4D"/>
    <w:rsid w:val="00B44BA5"/>
    <w:rsid w:val="00B44CB9"/>
    <w:rsid w:val="00B44CF4"/>
    <w:rsid w:val="00B44D18"/>
    <w:rsid w:val="00B44D27"/>
    <w:rsid w:val="00B44D59"/>
    <w:rsid w:val="00B44DCA"/>
    <w:rsid w:val="00B44F63"/>
    <w:rsid w:val="00B4530F"/>
    <w:rsid w:val="00B4531F"/>
    <w:rsid w:val="00B4539B"/>
    <w:rsid w:val="00B453FD"/>
    <w:rsid w:val="00B45457"/>
    <w:rsid w:val="00B45527"/>
    <w:rsid w:val="00B455A5"/>
    <w:rsid w:val="00B4568D"/>
    <w:rsid w:val="00B456B7"/>
    <w:rsid w:val="00B456DB"/>
    <w:rsid w:val="00B45744"/>
    <w:rsid w:val="00B45787"/>
    <w:rsid w:val="00B45828"/>
    <w:rsid w:val="00B458B0"/>
    <w:rsid w:val="00B458C1"/>
    <w:rsid w:val="00B458F0"/>
    <w:rsid w:val="00B4590F"/>
    <w:rsid w:val="00B45930"/>
    <w:rsid w:val="00B45962"/>
    <w:rsid w:val="00B459E8"/>
    <w:rsid w:val="00B45A86"/>
    <w:rsid w:val="00B45B2B"/>
    <w:rsid w:val="00B45C0C"/>
    <w:rsid w:val="00B45CEC"/>
    <w:rsid w:val="00B45CFC"/>
    <w:rsid w:val="00B45D28"/>
    <w:rsid w:val="00B45D2A"/>
    <w:rsid w:val="00B45D73"/>
    <w:rsid w:val="00B45E31"/>
    <w:rsid w:val="00B45E93"/>
    <w:rsid w:val="00B45FC0"/>
    <w:rsid w:val="00B45FEC"/>
    <w:rsid w:val="00B45FFE"/>
    <w:rsid w:val="00B46002"/>
    <w:rsid w:val="00B46067"/>
    <w:rsid w:val="00B460FF"/>
    <w:rsid w:val="00B46301"/>
    <w:rsid w:val="00B4633F"/>
    <w:rsid w:val="00B46396"/>
    <w:rsid w:val="00B46412"/>
    <w:rsid w:val="00B4646C"/>
    <w:rsid w:val="00B4650A"/>
    <w:rsid w:val="00B46512"/>
    <w:rsid w:val="00B46533"/>
    <w:rsid w:val="00B46571"/>
    <w:rsid w:val="00B46572"/>
    <w:rsid w:val="00B465F7"/>
    <w:rsid w:val="00B4662C"/>
    <w:rsid w:val="00B4667D"/>
    <w:rsid w:val="00B466AA"/>
    <w:rsid w:val="00B466C4"/>
    <w:rsid w:val="00B466D4"/>
    <w:rsid w:val="00B4670C"/>
    <w:rsid w:val="00B467F4"/>
    <w:rsid w:val="00B4684E"/>
    <w:rsid w:val="00B46950"/>
    <w:rsid w:val="00B46A4B"/>
    <w:rsid w:val="00B46A8A"/>
    <w:rsid w:val="00B46B22"/>
    <w:rsid w:val="00B46BDB"/>
    <w:rsid w:val="00B46C7C"/>
    <w:rsid w:val="00B46C8E"/>
    <w:rsid w:val="00B46CD2"/>
    <w:rsid w:val="00B46D0D"/>
    <w:rsid w:val="00B46E4C"/>
    <w:rsid w:val="00B46F51"/>
    <w:rsid w:val="00B46FB9"/>
    <w:rsid w:val="00B46FC4"/>
    <w:rsid w:val="00B46FDE"/>
    <w:rsid w:val="00B470FB"/>
    <w:rsid w:val="00B4721B"/>
    <w:rsid w:val="00B47324"/>
    <w:rsid w:val="00B47393"/>
    <w:rsid w:val="00B473FC"/>
    <w:rsid w:val="00B47439"/>
    <w:rsid w:val="00B474F0"/>
    <w:rsid w:val="00B475D4"/>
    <w:rsid w:val="00B47604"/>
    <w:rsid w:val="00B4772B"/>
    <w:rsid w:val="00B477E7"/>
    <w:rsid w:val="00B477F5"/>
    <w:rsid w:val="00B4793C"/>
    <w:rsid w:val="00B479E2"/>
    <w:rsid w:val="00B47BE2"/>
    <w:rsid w:val="00B47BFF"/>
    <w:rsid w:val="00B47CA1"/>
    <w:rsid w:val="00B47CD9"/>
    <w:rsid w:val="00B47E77"/>
    <w:rsid w:val="00B47E99"/>
    <w:rsid w:val="00B47ED2"/>
    <w:rsid w:val="00B47FEC"/>
    <w:rsid w:val="00B50145"/>
    <w:rsid w:val="00B501CE"/>
    <w:rsid w:val="00B5025F"/>
    <w:rsid w:val="00B50264"/>
    <w:rsid w:val="00B50357"/>
    <w:rsid w:val="00B50373"/>
    <w:rsid w:val="00B503FE"/>
    <w:rsid w:val="00B50490"/>
    <w:rsid w:val="00B50516"/>
    <w:rsid w:val="00B50523"/>
    <w:rsid w:val="00B5055A"/>
    <w:rsid w:val="00B5068A"/>
    <w:rsid w:val="00B50785"/>
    <w:rsid w:val="00B507B4"/>
    <w:rsid w:val="00B50831"/>
    <w:rsid w:val="00B50892"/>
    <w:rsid w:val="00B5096E"/>
    <w:rsid w:val="00B50AD4"/>
    <w:rsid w:val="00B50AEC"/>
    <w:rsid w:val="00B50CF0"/>
    <w:rsid w:val="00B50D7D"/>
    <w:rsid w:val="00B50DD9"/>
    <w:rsid w:val="00B50DF6"/>
    <w:rsid w:val="00B50DF9"/>
    <w:rsid w:val="00B50E0E"/>
    <w:rsid w:val="00B50F5D"/>
    <w:rsid w:val="00B50F88"/>
    <w:rsid w:val="00B51067"/>
    <w:rsid w:val="00B51098"/>
    <w:rsid w:val="00B5117D"/>
    <w:rsid w:val="00B5133C"/>
    <w:rsid w:val="00B5147C"/>
    <w:rsid w:val="00B5158D"/>
    <w:rsid w:val="00B515BC"/>
    <w:rsid w:val="00B51604"/>
    <w:rsid w:val="00B51632"/>
    <w:rsid w:val="00B516CF"/>
    <w:rsid w:val="00B516EE"/>
    <w:rsid w:val="00B517D1"/>
    <w:rsid w:val="00B5181D"/>
    <w:rsid w:val="00B518CD"/>
    <w:rsid w:val="00B5194D"/>
    <w:rsid w:val="00B51971"/>
    <w:rsid w:val="00B51A17"/>
    <w:rsid w:val="00B51A3B"/>
    <w:rsid w:val="00B51A4F"/>
    <w:rsid w:val="00B51AB0"/>
    <w:rsid w:val="00B51B4B"/>
    <w:rsid w:val="00B51B62"/>
    <w:rsid w:val="00B51B8F"/>
    <w:rsid w:val="00B51BB3"/>
    <w:rsid w:val="00B51C16"/>
    <w:rsid w:val="00B51C79"/>
    <w:rsid w:val="00B51D19"/>
    <w:rsid w:val="00B51DD5"/>
    <w:rsid w:val="00B51E6A"/>
    <w:rsid w:val="00B51E8E"/>
    <w:rsid w:val="00B51F89"/>
    <w:rsid w:val="00B51F91"/>
    <w:rsid w:val="00B5202D"/>
    <w:rsid w:val="00B52071"/>
    <w:rsid w:val="00B52154"/>
    <w:rsid w:val="00B52209"/>
    <w:rsid w:val="00B52215"/>
    <w:rsid w:val="00B5231E"/>
    <w:rsid w:val="00B52331"/>
    <w:rsid w:val="00B52332"/>
    <w:rsid w:val="00B52339"/>
    <w:rsid w:val="00B52447"/>
    <w:rsid w:val="00B52453"/>
    <w:rsid w:val="00B52532"/>
    <w:rsid w:val="00B525A3"/>
    <w:rsid w:val="00B52600"/>
    <w:rsid w:val="00B52693"/>
    <w:rsid w:val="00B52780"/>
    <w:rsid w:val="00B528A0"/>
    <w:rsid w:val="00B528E4"/>
    <w:rsid w:val="00B52913"/>
    <w:rsid w:val="00B529EE"/>
    <w:rsid w:val="00B52A00"/>
    <w:rsid w:val="00B52AC5"/>
    <w:rsid w:val="00B52B17"/>
    <w:rsid w:val="00B52B33"/>
    <w:rsid w:val="00B52BC2"/>
    <w:rsid w:val="00B52C0C"/>
    <w:rsid w:val="00B52C4B"/>
    <w:rsid w:val="00B52C80"/>
    <w:rsid w:val="00B52D4F"/>
    <w:rsid w:val="00B52E7E"/>
    <w:rsid w:val="00B52F03"/>
    <w:rsid w:val="00B52F32"/>
    <w:rsid w:val="00B52F58"/>
    <w:rsid w:val="00B53164"/>
    <w:rsid w:val="00B531E6"/>
    <w:rsid w:val="00B5329B"/>
    <w:rsid w:val="00B532A7"/>
    <w:rsid w:val="00B532E8"/>
    <w:rsid w:val="00B5339D"/>
    <w:rsid w:val="00B533C4"/>
    <w:rsid w:val="00B53526"/>
    <w:rsid w:val="00B53545"/>
    <w:rsid w:val="00B5357B"/>
    <w:rsid w:val="00B53756"/>
    <w:rsid w:val="00B537C3"/>
    <w:rsid w:val="00B53958"/>
    <w:rsid w:val="00B53A20"/>
    <w:rsid w:val="00B53AE7"/>
    <w:rsid w:val="00B53B60"/>
    <w:rsid w:val="00B53BE9"/>
    <w:rsid w:val="00B53C1F"/>
    <w:rsid w:val="00B53C44"/>
    <w:rsid w:val="00B53CD0"/>
    <w:rsid w:val="00B53CDC"/>
    <w:rsid w:val="00B53DCF"/>
    <w:rsid w:val="00B53DFA"/>
    <w:rsid w:val="00B53EA5"/>
    <w:rsid w:val="00B53F26"/>
    <w:rsid w:val="00B53F77"/>
    <w:rsid w:val="00B5404C"/>
    <w:rsid w:val="00B54075"/>
    <w:rsid w:val="00B5439B"/>
    <w:rsid w:val="00B54418"/>
    <w:rsid w:val="00B54442"/>
    <w:rsid w:val="00B54475"/>
    <w:rsid w:val="00B5459C"/>
    <w:rsid w:val="00B545CA"/>
    <w:rsid w:val="00B546A1"/>
    <w:rsid w:val="00B546D7"/>
    <w:rsid w:val="00B5477F"/>
    <w:rsid w:val="00B5487B"/>
    <w:rsid w:val="00B548AE"/>
    <w:rsid w:val="00B548B7"/>
    <w:rsid w:val="00B548CA"/>
    <w:rsid w:val="00B548CF"/>
    <w:rsid w:val="00B5495E"/>
    <w:rsid w:val="00B549C1"/>
    <w:rsid w:val="00B549DE"/>
    <w:rsid w:val="00B54B07"/>
    <w:rsid w:val="00B54B9B"/>
    <w:rsid w:val="00B54BDA"/>
    <w:rsid w:val="00B54C66"/>
    <w:rsid w:val="00B54CCA"/>
    <w:rsid w:val="00B54D07"/>
    <w:rsid w:val="00B54E69"/>
    <w:rsid w:val="00B54F1D"/>
    <w:rsid w:val="00B54F4C"/>
    <w:rsid w:val="00B54F5F"/>
    <w:rsid w:val="00B54F7F"/>
    <w:rsid w:val="00B55038"/>
    <w:rsid w:val="00B55042"/>
    <w:rsid w:val="00B5515D"/>
    <w:rsid w:val="00B55257"/>
    <w:rsid w:val="00B55264"/>
    <w:rsid w:val="00B552D8"/>
    <w:rsid w:val="00B552FC"/>
    <w:rsid w:val="00B553C5"/>
    <w:rsid w:val="00B55400"/>
    <w:rsid w:val="00B55529"/>
    <w:rsid w:val="00B5556E"/>
    <w:rsid w:val="00B5557E"/>
    <w:rsid w:val="00B555CC"/>
    <w:rsid w:val="00B555EE"/>
    <w:rsid w:val="00B556AD"/>
    <w:rsid w:val="00B556F8"/>
    <w:rsid w:val="00B557A2"/>
    <w:rsid w:val="00B557B6"/>
    <w:rsid w:val="00B5580D"/>
    <w:rsid w:val="00B55842"/>
    <w:rsid w:val="00B5586D"/>
    <w:rsid w:val="00B5588A"/>
    <w:rsid w:val="00B55A3A"/>
    <w:rsid w:val="00B55A74"/>
    <w:rsid w:val="00B55B00"/>
    <w:rsid w:val="00B55B51"/>
    <w:rsid w:val="00B55B5B"/>
    <w:rsid w:val="00B55D30"/>
    <w:rsid w:val="00B55EB1"/>
    <w:rsid w:val="00B55F69"/>
    <w:rsid w:val="00B55FB4"/>
    <w:rsid w:val="00B5600D"/>
    <w:rsid w:val="00B56053"/>
    <w:rsid w:val="00B5618A"/>
    <w:rsid w:val="00B5625D"/>
    <w:rsid w:val="00B56318"/>
    <w:rsid w:val="00B56499"/>
    <w:rsid w:val="00B567C6"/>
    <w:rsid w:val="00B56A55"/>
    <w:rsid w:val="00B56A87"/>
    <w:rsid w:val="00B56AEF"/>
    <w:rsid w:val="00B56B02"/>
    <w:rsid w:val="00B56B7C"/>
    <w:rsid w:val="00B56B89"/>
    <w:rsid w:val="00B56BA5"/>
    <w:rsid w:val="00B56C74"/>
    <w:rsid w:val="00B56CFA"/>
    <w:rsid w:val="00B56DCF"/>
    <w:rsid w:val="00B56E51"/>
    <w:rsid w:val="00B56F18"/>
    <w:rsid w:val="00B56F3B"/>
    <w:rsid w:val="00B56FBD"/>
    <w:rsid w:val="00B57020"/>
    <w:rsid w:val="00B570A0"/>
    <w:rsid w:val="00B57197"/>
    <w:rsid w:val="00B5721B"/>
    <w:rsid w:val="00B5722C"/>
    <w:rsid w:val="00B5727D"/>
    <w:rsid w:val="00B5729B"/>
    <w:rsid w:val="00B5730E"/>
    <w:rsid w:val="00B5735C"/>
    <w:rsid w:val="00B57369"/>
    <w:rsid w:val="00B57370"/>
    <w:rsid w:val="00B57388"/>
    <w:rsid w:val="00B57417"/>
    <w:rsid w:val="00B57493"/>
    <w:rsid w:val="00B574D2"/>
    <w:rsid w:val="00B57549"/>
    <w:rsid w:val="00B5758D"/>
    <w:rsid w:val="00B5758F"/>
    <w:rsid w:val="00B575C7"/>
    <w:rsid w:val="00B575E6"/>
    <w:rsid w:val="00B576B7"/>
    <w:rsid w:val="00B577F7"/>
    <w:rsid w:val="00B57866"/>
    <w:rsid w:val="00B578E1"/>
    <w:rsid w:val="00B57914"/>
    <w:rsid w:val="00B57944"/>
    <w:rsid w:val="00B5796D"/>
    <w:rsid w:val="00B57995"/>
    <w:rsid w:val="00B57A96"/>
    <w:rsid w:val="00B57ABF"/>
    <w:rsid w:val="00B57B2D"/>
    <w:rsid w:val="00B57B2E"/>
    <w:rsid w:val="00B57CB7"/>
    <w:rsid w:val="00B57D76"/>
    <w:rsid w:val="00B57D85"/>
    <w:rsid w:val="00B57E1A"/>
    <w:rsid w:val="00B57E91"/>
    <w:rsid w:val="00B57F91"/>
    <w:rsid w:val="00B57FA6"/>
    <w:rsid w:val="00B60038"/>
    <w:rsid w:val="00B6004E"/>
    <w:rsid w:val="00B60078"/>
    <w:rsid w:val="00B6009C"/>
    <w:rsid w:val="00B6009E"/>
    <w:rsid w:val="00B600A9"/>
    <w:rsid w:val="00B600C5"/>
    <w:rsid w:val="00B600EF"/>
    <w:rsid w:val="00B6015D"/>
    <w:rsid w:val="00B6019A"/>
    <w:rsid w:val="00B601B4"/>
    <w:rsid w:val="00B60296"/>
    <w:rsid w:val="00B603CC"/>
    <w:rsid w:val="00B604AC"/>
    <w:rsid w:val="00B60590"/>
    <w:rsid w:val="00B60680"/>
    <w:rsid w:val="00B6075A"/>
    <w:rsid w:val="00B607B4"/>
    <w:rsid w:val="00B60815"/>
    <w:rsid w:val="00B6081F"/>
    <w:rsid w:val="00B60843"/>
    <w:rsid w:val="00B6085E"/>
    <w:rsid w:val="00B608E1"/>
    <w:rsid w:val="00B60929"/>
    <w:rsid w:val="00B6094B"/>
    <w:rsid w:val="00B60987"/>
    <w:rsid w:val="00B60ADD"/>
    <w:rsid w:val="00B60B82"/>
    <w:rsid w:val="00B60D56"/>
    <w:rsid w:val="00B60D9B"/>
    <w:rsid w:val="00B60E3D"/>
    <w:rsid w:val="00B60F94"/>
    <w:rsid w:val="00B60FA1"/>
    <w:rsid w:val="00B6104D"/>
    <w:rsid w:val="00B61099"/>
    <w:rsid w:val="00B610AF"/>
    <w:rsid w:val="00B611A5"/>
    <w:rsid w:val="00B612DF"/>
    <w:rsid w:val="00B61353"/>
    <w:rsid w:val="00B61360"/>
    <w:rsid w:val="00B61450"/>
    <w:rsid w:val="00B6159B"/>
    <w:rsid w:val="00B615F3"/>
    <w:rsid w:val="00B616A8"/>
    <w:rsid w:val="00B6183B"/>
    <w:rsid w:val="00B61859"/>
    <w:rsid w:val="00B618AD"/>
    <w:rsid w:val="00B61971"/>
    <w:rsid w:val="00B619AB"/>
    <w:rsid w:val="00B61A24"/>
    <w:rsid w:val="00B61ACD"/>
    <w:rsid w:val="00B61AE9"/>
    <w:rsid w:val="00B61BE1"/>
    <w:rsid w:val="00B61C2A"/>
    <w:rsid w:val="00B61D2F"/>
    <w:rsid w:val="00B61E85"/>
    <w:rsid w:val="00B61EB1"/>
    <w:rsid w:val="00B61EB5"/>
    <w:rsid w:val="00B61EEE"/>
    <w:rsid w:val="00B61F4E"/>
    <w:rsid w:val="00B61F84"/>
    <w:rsid w:val="00B61FA5"/>
    <w:rsid w:val="00B620C5"/>
    <w:rsid w:val="00B62172"/>
    <w:rsid w:val="00B6219C"/>
    <w:rsid w:val="00B62305"/>
    <w:rsid w:val="00B623A4"/>
    <w:rsid w:val="00B62412"/>
    <w:rsid w:val="00B624BE"/>
    <w:rsid w:val="00B62537"/>
    <w:rsid w:val="00B6264A"/>
    <w:rsid w:val="00B6265F"/>
    <w:rsid w:val="00B62780"/>
    <w:rsid w:val="00B62789"/>
    <w:rsid w:val="00B627D8"/>
    <w:rsid w:val="00B6299B"/>
    <w:rsid w:val="00B62AD1"/>
    <w:rsid w:val="00B62AFF"/>
    <w:rsid w:val="00B62B20"/>
    <w:rsid w:val="00B62B49"/>
    <w:rsid w:val="00B62B4D"/>
    <w:rsid w:val="00B62C16"/>
    <w:rsid w:val="00B62C42"/>
    <w:rsid w:val="00B62C49"/>
    <w:rsid w:val="00B62C92"/>
    <w:rsid w:val="00B62D0D"/>
    <w:rsid w:val="00B62D2F"/>
    <w:rsid w:val="00B62D3F"/>
    <w:rsid w:val="00B62E10"/>
    <w:rsid w:val="00B62E47"/>
    <w:rsid w:val="00B62F10"/>
    <w:rsid w:val="00B62F8B"/>
    <w:rsid w:val="00B63045"/>
    <w:rsid w:val="00B631CE"/>
    <w:rsid w:val="00B631F5"/>
    <w:rsid w:val="00B6320B"/>
    <w:rsid w:val="00B63215"/>
    <w:rsid w:val="00B63308"/>
    <w:rsid w:val="00B634FB"/>
    <w:rsid w:val="00B63545"/>
    <w:rsid w:val="00B63573"/>
    <w:rsid w:val="00B6360C"/>
    <w:rsid w:val="00B6369D"/>
    <w:rsid w:val="00B636B7"/>
    <w:rsid w:val="00B636D9"/>
    <w:rsid w:val="00B6373E"/>
    <w:rsid w:val="00B63757"/>
    <w:rsid w:val="00B63805"/>
    <w:rsid w:val="00B63896"/>
    <w:rsid w:val="00B638D1"/>
    <w:rsid w:val="00B63A05"/>
    <w:rsid w:val="00B63B07"/>
    <w:rsid w:val="00B63C30"/>
    <w:rsid w:val="00B63C53"/>
    <w:rsid w:val="00B63CEB"/>
    <w:rsid w:val="00B63D00"/>
    <w:rsid w:val="00B63D20"/>
    <w:rsid w:val="00B63DB0"/>
    <w:rsid w:val="00B63EEE"/>
    <w:rsid w:val="00B63F4F"/>
    <w:rsid w:val="00B63FE7"/>
    <w:rsid w:val="00B64012"/>
    <w:rsid w:val="00B64073"/>
    <w:rsid w:val="00B64077"/>
    <w:rsid w:val="00B640E7"/>
    <w:rsid w:val="00B64141"/>
    <w:rsid w:val="00B641B5"/>
    <w:rsid w:val="00B6424D"/>
    <w:rsid w:val="00B642CF"/>
    <w:rsid w:val="00B64320"/>
    <w:rsid w:val="00B6432F"/>
    <w:rsid w:val="00B64370"/>
    <w:rsid w:val="00B644B0"/>
    <w:rsid w:val="00B644C7"/>
    <w:rsid w:val="00B644D3"/>
    <w:rsid w:val="00B644D7"/>
    <w:rsid w:val="00B6459F"/>
    <w:rsid w:val="00B645CA"/>
    <w:rsid w:val="00B6464F"/>
    <w:rsid w:val="00B646C2"/>
    <w:rsid w:val="00B64794"/>
    <w:rsid w:val="00B64853"/>
    <w:rsid w:val="00B64937"/>
    <w:rsid w:val="00B64958"/>
    <w:rsid w:val="00B64A45"/>
    <w:rsid w:val="00B64AF7"/>
    <w:rsid w:val="00B64B2D"/>
    <w:rsid w:val="00B64B3A"/>
    <w:rsid w:val="00B64B3D"/>
    <w:rsid w:val="00B64CCD"/>
    <w:rsid w:val="00B64CFE"/>
    <w:rsid w:val="00B64DD0"/>
    <w:rsid w:val="00B64E1E"/>
    <w:rsid w:val="00B64E50"/>
    <w:rsid w:val="00B64E90"/>
    <w:rsid w:val="00B64EA4"/>
    <w:rsid w:val="00B64ED3"/>
    <w:rsid w:val="00B64EFB"/>
    <w:rsid w:val="00B64EFF"/>
    <w:rsid w:val="00B64F27"/>
    <w:rsid w:val="00B64F2C"/>
    <w:rsid w:val="00B64F48"/>
    <w:rsid w:val="00B64F71"/>
    <w:rsid w:val="00B64F73"/>
    <w:rsid w:val="00B64F80"/>
    <w:rsid w:val="00B64FBE"/>
    <w:rsid w:val="00B65008"/>
    <w:rsid w:val="00B650E6"/>
    <w:rsid w:val="00B6517B"/>
    <w:rsid w:val="00B65210"/>
    <w:rsid w:val="00B652EA"/>
    <w:rsid w:val="00B65314"/>
    <w:rsid w:val="00B65376"/>
    <w:rsid w:val="00B654BB"/>
    <w:rsid w:val="00B65506"/>
    <w:rsid w:val="00B65658"/>
    <w:rsid w:val="00B65683"/>
    <w:rsid w:val="00B656F3"/>
    <w:rsid w:val="00B657FC"/>
    <w:rsid w:val="00B65863"/>
    <w:rsid w:val="00B65900"/>
    <w:rsid w:val="00B659CA"/>
    <w:rsid w:val="00B65A5B"/>
    <w:rsid w:val="00B65BDB"/>
    <w:rsid w:val="00B65C5F"/>
    <w:rsid w:val="00B65CC5"/>
    <w:rsid w:val="00B65E71"/>
    <w:rsid w:val="00B65E82"/>
    <w:rsid w:val="00B65E98"/>
    <w:rsid w:val="00B65F61"/>
    <w:rsid w:val="00B65F84"/>
    <w:rsid w:val="00B65F8A"/>
    <w:rsid w:val="00B65FA5"/>
    <w:rsid w:val="00B66089"/>
    <w:rsid w:val="00B660A7"/>
    <w:rsid w:val="00B66138"/>
    <w:rsid w:val="00B662EB"/>
    <w:rsid w:val="00B6633E"/>
    <w:rsid w:val="00B66371"/>
    <w:rsid w:val="00B6638F"/>
    <w:rsid w:val="00B6667E"/>
    <w:rsid w:val="00B66886"/>
    <w:rsid w:val="00B668F1"/>
    <w:rsid w:val="00B66907"/>
    <w:rsid w:val="00B66960"/>
    <w:rsid w:val="00B66A1D"/>
    <w:rsid w:val="00B66AE1"/>
    <w:rsid w:val="00B66B3E"/>
    <w:rsid w:val="00B66B94"/>
    <w:rsid w:val="00B66BA9"/>
    <w:rsid w:val="00B66C12"/>
    <w:rsid w:val="00B66C54"/>
    <w:rsid w:val="00B66D4C"/>
    <w:rsid w:val="00B66E9B"/>
    <w:rsid w:val="00B66F70"/>
    <w:rsid w:val="00B66FCC"/>
    <w:rsid w:val="00B6701F"/>
    <w:rsid w:val="00B67025"/>
    <w:rsid w:val="00B6716B"/>
    <w:rsid w:val="00B671BB"/>
    <w:rsid w:val="00B67229"/>
    <w:rsid w:val="00B67255"/>
    <w:rsid w:val="00B672F3"/>
    <w:rsid w:val="00B672F4"/>
    <w:rsid w:val="00B673FD"/>
    <w:rsid w:val="00B675E9"/>
    <w:rsid w:val="00B676A9"/>
    <w:rsid w:val="00B67722"/>
    <w:rsid w:val="00B6772C"/>
    <w:rsid w:val="00B6779F"/>
    <w:rsid w:val="00B677B9"/>
    <w:rsid w:val="00B678F4"/>
    <w:rsid w:val="00B679BC"/>
    <w:rsid w:val="00B679EB"/>
    <w:rsid w:val="00B67AAE"/>
    <w:rsid w:val="00B67AB3"/>
    <w:rsid w:val="00B67AFB"/>
    <w:rsid w:val="00B67B48"/>
    <w:rsid w:val="00B67C1C"/>
    <w:rsid w:val="00B67C6B"/>
    <w:rsid w:val="00B67CD5"/>
    <w:rsid w:val="00B67CD6"/>
    <w:rsid w:val="00B67D39"/>
    <w:rsid w:val="00B67F23"/>
    <w:rsid w:val="00B67F31"/>
    <w:rsid w:val="00B67F69"/>
    <w:rsid w:val="00B70088"/>
    <w:rsid w:val="00B700A8"/>
    <w:rsid w:val="00B700AE"/>
    <w:rsid w:val="00B701DE"/>
    <w:rsid w:val="00B7032C"/>
    <w:rsid w:val="00B7034F"/>
    <w:rsid w:val="00B7038D"/>
    <w:rsid w:val="00B7048E"/>
    <w:rsid w:val="00B704E8"/>
    <w:rsid w:val="00B70512"/>
    <w:rsid w:val="00B70515"/>
    <w:rsid w:val="00B7052C"/>
    <w:rsid w:val="00B705AA"/>
    <w:rsid w:val="00B705C6"/>
    <w:rsid w:val="00B705E0"/>
    <w:rsid w:val="00B70684"/>
    <w:rsid w:val="00B70704"/>
    <w:rsid w:val="00B70950"/>
    <w:rsid w:val="00B70BDD"/>
    <w:rsid w:val="00B70CDC"/>
    <w:rsid w:val="00B70D27"/>
    <w:rsid w:val="00B70D44"/>
    <w:rsid w:val="00B70D54"/>
    <w:rsid w:val="00B70D88"/>
    <w:rsid w:val="00B70D90"/>
    <w:rsid w:val="00B70DCC"/>
    <w:rsid w:val="00B70DFF"/>
    <w:rsid w:val="00B70F51"/>
    <w:rsid w:val="00B70F87"/>
    <w:rsid w:val="00B70FF4"/>
    <w:rsid w:val="00B70FF7"/>
    <w:rsid w:val="00B710A0"/>
    <w:rsid w:val="00B7116B"/>
    <w:rsid w:val="00B71224"/>
    <w:rsid w:val="00B712AC"/>
    <w:rsid w:val="00B7144E"/>
    <w:rsid w:val="00B71454"/>
    <w:rsid w:val="00B714CB"/>
    <w:rsid w:val="00B714DF"/>
    <w:rsid w:val="00B715D4"/>
    <w:rsid w:val="00B715F2"/>
    <w:rsid w:val="00B71616"/>
    <w:rsid w:val="00B71686"/>
    <w:rsid w:val="00B716BE"/>
    <w:rsid w:val="00B7173B"/>
    <w:rsid w:val="00B71747"/>
    <w:rsid w:val="00B717EF"/>
    <w:rsid w:val="00B718F1"/>
    <w:rsid w:val="00B71A96"/>
    <w:rsid w:val="00B71BA4"/>
    <w:rsid w:val="00B71C4D"/>
    <w:rsid w:val="00B71CB1"/>
    <w:rsid w:val="00B71CC1"/>
    <w:rsid w:val="00B71CEE"/>
    <w:rsid w:val="00B71CF3"/>
    <w:rsid w:val="00B71D9B"/>
    <w:rsid w:val="00B71DA0"/>
    <w:rsid w:val="00B71E47"/>
    <w:rsid w:val="00B71EE1"/>
    <w:rsid w:val="00B71F20"/>
    <w:rsid w:val="00B71F66"/>
    <w:rsid w:val="00B71F7A"/>
    <w:rsid w:val="00B71F99"/>
    <w:rsid w:val="00B71FC0"/>
    <w:rsid w:val="00B7201D"/>
    <w:rsid w:val="00B720E9"/>
    <w:rsid w:val="00B721E0"/>
    <w:rsid w:val="00B721FE"/>
    <w:rsid w:val="00B72237"/>
    <w:rsid w:val="00B7236C"/>
    <w:rsid w:val="00B723BC"/>
    <w:rsid w:val="00B7240C"/>
    <w:rsid w:val="00B7245E"/>
    <w:rsid w:val="00B724DF"/>
    <w:rsid w:val="00B7256F"/>
    <w:rsid w:val="00B72589"/>
    <w:rsid w:val="00B72723"/>
    <w:rsid w:val="00B727E8"/>
    <w:rsid w:val="00B72861"/>
    <w:rsid w:val="00B72927"/>
    <w:rsid w:val="00B72992"/>
    <w:rsid w:val="00B729CD"/>
    <w:rsid w:val="00B72A17"/>
    <w:rsid w:val="00B72A59"/>
    <w:rsid w:val="00B72A89"/>
    <w:rsid w:val="00B72B5A"/>
    <w:rsid w:val="00B72C4B"/>
    <w:rsid w:val="00B72CC5"/>
    <w:rsid w:val="00B72D07"/>
    <w:rsid w:val="00B72E3F"/>
    <w:rsid w:val="00B72E9D"/>
    <w:rsid w:val="00B72F57"/>
    <w:rsid w:val="00B7302F"/>
    <w:rsid w:val="00B730AE"/>
    <w:rsid w:val="00B730D4"/>
    <w:rsid w:val="00B73172"/>
    <w:rsid w:val="00B731AD"/>
    <w:rsid w:val="00B7321D"/>
    <w:rsid w:val="00B732F2"/>
    <w:rsid w:val="00B733E8"/>
    <w:rsid w:val="00B7346F"/>
    <w:rsid w:val="00B73507"/>
    <w:rsid w:val="00B73510"/>
    <w:rsid w:val="00B7352E"/>
    <w:rsid w:val="00B7354A"/>
    <w:rsid w:val="00B7354F"/>
    <w:rsid w:val="00B73558"/>
    <w:rsid w:val="00B735D0"/>
    <w:rsid w:val="00B73764"/>
    <w:rsid w:val="00B73852"/>
    <w:rsid w:val="00B738B8"/>
    <w:rsid w:val="00B73959"/>
    <w:rsid w:val="00B73A7A"/>
    <w:rsid w:val="00B73B2E"/>
    <w:rsid w:val="00B73B50"/>
    <w:rsid w:val="00B73B79"/>
    <w:rsid w:val="00B73BD9"/>
    <w:rsid w:val="00B73E3D"/>
    <w:rsid w:val="00B73EB7"/>
    <w:rsid w:val="00B73F0A"/>
    <w:rsid w:val="00B73F2A"/>
    <w:rsid w:val="00B73FA7"/>
    <w:rsid w:val="00B73FBF"/>
    <w:rsid w:val="00B73FD5"/>
    <w:rsid w:val="00B74014"/>
    <w:rsid w:val="00B74029"/>
    <w:rsid w:val="00B7406E"/>
    <w:rsid w:val="00B742A8"/>
    <w:rsid w:val="00B742E3"/>
    <w:rsid w:val="00B7430B"/>
    <w:rsid w:val="00B7431C"/>
    <w:rsid w:val="00B7450E"/>
    <w:rsid w:val="00B74675"/>
    <w:rsid w:val="00B7468F"/>
    <w:rsid w:val="00B746BD"/>
    <w:rsid w:val="00B74734"/>
    <w:rsid w:val="00B74891"/>
    <w:rsid w:val="00B748B7"/>
    <w:rsid w:val="00B749AD"/>
    <w:rsid w:val="00B749EB"/>
    <w:rsid w:val="00B74B2A"/>
    <w:rsid w:val="00B74B32"/>
    <w:rsid w:val="00B74B7F"/>
    <w:rsid w:val="00B74C4F"/>
    <w:rsid w:val="00B74C59"/>
    <w:rsid w:val="00B74CC7"/>
    <w:rsid w:val="00B74CD7"/>
    <w:rsid w:val="00B74CE3"/>
    <w:rsid w:val="00B74CE5"/>
    <w:rsid w:val="00B74DCE"/>
    <w:rsid w:val="00B74E8F"/>
    <w:rsid w:val="00B74EF5"/>
    <w:rsid w:val="00B74F48"/>
    <w:rsid w:val="00B74F70"/>
    <w:rsid w:val="00B74F8F"/>
    <w:rsid w:val="00B75014"/>
    <w:rsid w:val="00B75076"/>
    <w:rsid w:val="00B750E0"/>
    <w:rsid w:val="00B751D1"/>
    <w:rsid w:val="00B75231"/>
    <w:rsid w:val="00B752BD"/>
    <w:rsid w:val="00B7532F"/>
    <w:rsid w:val="00B753B2"/>
    <w:rsid w:val="00B753F1"/>
    <w:rsid w:val="00B7549B"/>
    <w:rsid w:val="00B75503"/>
    <w:rsid w:val="00B7564B"/>
    <w:rsid w:val="00B7565A"/>
    <w:rsid w:val="00B75662"/>
    <w:rsid w:val="00B756EC"/>
    <w:rsid w:val="00B75718"/>
    <w:rsid w:val="00B75757"/>
    <w:rsid w:val="00B7579E"/>
    <w:rsid w:val="00B757C0"/>
    <w:rsid w:val="00B759BA"/>
    <w:rsid w:val="00B75A27"/>
    <w:rsid w:val="00B75A71"/>
    <w:rsid w:val="00B75B0B"/>
    <w:rsid w:val="00B75B1D"/>
    <w:rsid w:val="00B75B69"/>
    <w:rsid w:val="00B75B8E"/>
    <w:rsid w:val="00B75BDB"/>
    <w:rsid w:val="00B75BF7"/>
    <w:rsid w:val="00B75BFC"/>
    <w:rsid w:val="00B75C59"/>
    <w:rsid w:val="00B75CBB"/>
    <w:rsid w:val="00B75CBC"/>
    <w:rsid w:val="00B75CD7"/>
    <w:rsid w:val="00B75D1C"/>
    <w:rsid w:val="00B75D67"/>
    <w:rsid w:val="00B75D8D"/>
    <w:rsid w:val="00B75EE3"/>
    <w:rsid w:val="00B75F1E"/>
    <w:rsid w:val="00B7602C"/>
    <w:rsid w:val="00B7602E"/>
    <w:rsid w:val="00B760CA"/>
    <w:rsid w:val="00B7612D"/>
    <w:rsid w:val="00B76135"/>
    <w:rsid w:val="00B76225"/>
    <w:rsid w:val="00B7626F"/>
    <w:rsid w:val="00B762FA"/>
    <w:rsid w:val="00B7631D"/>
    <w:rsid w:val="00B76336"/>
    <w:rsid w:val="00B76364"/>
    <w:rsid w:val="00B76368"/>
    <w:rsid w:val="00B763AF"/>
    <w:rsid w:val="00B763EB"/>
    <w:rsid w:val="00B7640D"/>
    <w:rsid w:val="00B76503"/>
    <w:rsid w:val="00B7650B"/>
    <w:rsid w:val="00B76583"/>
    <w:rsid w:val="00B7658A"/>
    <w:rsid w:val="00B76630"/>
    <w:rsid w:val="00B76783"/>
    <w:rsid w:val="00B767E4"/>
    <w:rsid w:val="00B76851"/>
    <w:rsid w:val="00B7689B"/>
    <w:rsid w:val="00B768CB"/>
    <w:rsid w:val="00B768FD"/>
    <w:rsid w:val="00B76904"/>
    <w:rsid w:val="00B76914"/>
    <w:rsid w:val="00B769AD"/>
    <w:rsid w:val="00B76B3F"/>
    <w:rsid w:val="00B76C4D"/>
    <w:rsid w:val="00B76DB3"/>
    <w:rsid w:val="00B76E12"/>
    <w:rsid w:val="00B76E66"/>
    <w:rsid w:val="00B76EE1"/>
    <w:rsid w:val="00B76FE8"/>
    <w:rsid w:val="00B77013"/>
    <w:rsid w:val="00B770F0"/>
    <w:rsid w:val="00B77128"/>
    <w:rsid w:val="00B7717F"/>
    <w:rsid w:val="00B771EE"/>
    <w:rsid w:val="00B77207"/>
    <w:rsid w:val="00B7725C"/>
    <w:rsid w:val="00B7726E"/>
    <w:rsid w:val="00B77274"/>
    <w:rsid w:val="00B772D3"/>
    <w:rsid w:val="00B773F4"/>
    <w:rsid w:val="00B7758E"/>
    <w:rsid w:val="00B7773C"/>
    <w:rsid w:val="00B777CC"/>
    <w:rsid w:val="00B7787D"/>
    <w:rsid w:val="00B77A32"/>
    <w:rsid w:val="00B77AE9"/>
    <w:rsid w:val="00B77B23"/>
    <w:rsid w:val="00B77C53"/>
    <w:rsid w:val="00B77CA2"/>
    <w:rsid w:val="00B77CD8"/>
    <w:rsid w:val="00B77CF2"/>
    <w:rsid w:val="00B77D14"/>
    <w:rsid w:val="00B77D1D"/>
    <w:rsid w:val="00B77D5A"/>
    <w:rsid w:val="00B77DA6"/>
    <w:rsid w:val="00B77E5B"/>
    <w:rsid w:val="00B77EAE"/>
    <w:rsid w:val="00B80009"/>
    <w:rsid w:val="00B80014"/>
    <w:rsid w:val="00B8003D"/>
    <w:rsid w:val="00B80052"/>
    <w:rsid w:val="00B801E5"/>
    <w:rsid w:val="00B8026B"/>
    <w:rsid w:val="00B80318"/>
    <w:rsid w:val="00B8039F"/>
    <w:rsid w:val="00B8042F"/>
    <w:rsid w:val="00B80436"/>
    <w:rsid w:val="00B805D3"/>
    <w:rsid w:val="00B805EA"/>
    <w:rsid w:val="00B80762"/>
    <w:rsid w:val="00B80813"/>
    <w:rsid w:val="00B808E6"/>
    <w:rsid w:val="00B80919"/>
    <w:rsid w:val="00B809E0"/>
    <w:rsid w:val="00B80A5A"/>
    <w:rsid w:val="00B80B1D"/>
    <w:rsid w:val="00B80BC1"/>
    <w:rsid w:val="00B80BE1"/>
    <w:rsid w:val="00B80C68"/>
    <w:rsid w:val="00B80CFA"/>
    <w:rsid w:val="00B80D3D"/>
    <w:rsid w:val="00B80DAE"/>
    <w:rsid w:val="00B80E1F"/>
    <w:rsid w:val="00B80E4D"/>
    <w:rsid w:val="00B80F2F"/>
    <w:rsid w:val="00B81063"/>
    <w:rsid w:val="00B810B6"/>
    <w:rsid w:val="00B8113D"/>
    <w:rsid w:val="00B81170"/>
    <w:rsid w:val="00B8118B"/>
    <w:rsid w:val="00B811A5"/>
    <w:rsid w:val="00B811C2"/>
    <w:rsid w:val="00B811C4"/>
    <w:rsid w:val="00B811E6"/>
    <w:rsid w:val="00B8129F"/>
    <w:rsid w:val="00B812D0"/>
    <w:rsid w:val="00B8130B"/>
    <w:rsid w:val="00B8133D"/>
    <w:rsid w:val="00B813D8"/>
    <w:rsid w:val="00B81451"/>
    <w:rsid w:val="00B8145B"/>
    <w:rsid w:val="00B814A6"/>
    <w:rsid w:val="00B8150F"/>
    <w:rsid w:val="00B816CE"/>
    <w:rsid w:val="00B81813"/>
    <w:rsid w:val="00B81997"/>
    <w:rsid w:val="00B819DA"/>
    <w:rsid w:val="00B81B37"/>
    <w:rsid w:val="00B81B59"/>
    <w:rsid w:val="00B81BAE"/>
    <w:rsid w:val="00B81BD5"/>
    <w:rsid w:val="00B81D45"/>
    <w:rsid w:val="00B81D49"/>
    <w:rsid w:val="00B81DD9"/>
    <w:rsid w:val="00B81E01"/>
    <w:rsid w:val="00B81E3F"/>
    <w:rsid w:val="00B81EA0"/>
    <w:rsid w:val="00B81ECD"/>
    <w:rsid w:val="00B81EEA"/>
    <w:rsid w:val="00B81F17"/>
    <w:rsid w:val="00B81F8D"/>
    <w:rsid w:val="00B8206C"/>
    <w:rsid w:val="00B8208D"/>
    <w:rsid w:val="00B820BF"/>
    <w:rsid w:val="00B820C9"/>
    <w:rsid w:val="00B82194"/>
    <w:rsid w:val="00B82206"/>
    <w:rsid w:val="00B82218"/>
    <w:rsid w:val="00B82223"/>
    <w:rsid w:val="00B82249"/>
    <w:rsid w:val="00B82279"/>
    <w:rsid w:val="00B822DC"/>
    <w:rsid w:val="00B823E9"/>
    <w:rsid w:val="00B82556"/>
    <w:rsid w:val="00B8275A"/>
    <w:rsid w:val="00B827D4"/>
    <w:rsid w:val="00B827E1"/>
    <w:rsid w:val="00B82821"/>
    <w:rsid w:val="00B829D8"/>
    <w:rsid w:val="00B829F0"/>
    <w:rsid w:val="00B82A3C"/>
    <w:rsid w:val="00B82BF0"/>
    <w:rsid w:val="00B82C64"/>
    <w:rsid w:val="00B82CCE"/>
    <w:rsid w:val="00B82D3F"/>
    <w:rsid w:val="00B82D4B"/>
    <w:rsid w:val="00B82DF7"/>
    <w:rsid w:val="00B82E88"/>
    <w:rsid w:val="00B82EB9"/>
    <w:rsid w:val="00B82F1E"/>
    <w:rsid w:val="00B82FB3"/>
    <w:rsid w:val="00B82FE6"/>
    <w:rsid w:val="00B83091"/>
    <w:rsid w:val="00B831A6"/>
    <w:rsid w:val="00B831AB"/>
    <w:rsid w:val="00B8320C"/>
    <w:rsid w:val="00B83336"/>
    <w:rsid w:val="00B8334D"/>
    <w:rsid w:val="00B8336E"/>
    <w:rsid w:val="00B833EE"/>
    <w:rsid w:val="00B83407"/>
    <w:rsid w:val="00B8357D"/>
    <w:rsid w:val="00B836A8"/>
    <w:rsid w:val="00B836E9"/>
    <w:rsid w:val="00B8370B"/>
    <w:rsid w:val="00B8374B"/>
    <w:rsid w:val="00B83822"/>
    <w:rsid w:val="00B8389C"/>
    <w:rsid w:val="00B83902"/>
    <w:rsid w:val="00B839BA"/>
    <w:rsid w:val="00B83B09"/>
    <w:rsid w:val="00B83B86"/>
    <w:rsid w:val="00B83D5B"/>
    <w:rsid w:val="00B83DAB"/>
    <w:rsid w:val="00B83E56"/>
    <w:rsid w:val="00B83F2F"/>
    <w:rsid w:val="00B83F81"/>
    <w:rsid w:val="00B841BA"/>
    <w:rsid w:val="00B841C6"/>
    <w:rsid w:val="00B842FA"/>
    <w:rsid w:val="00B843E9"/>
    <w:rsid w:val="00B84450"/>
    <w:rsid w:val="00B8445D"/>
    <w:rsid w:val="00B84467"/>
    <w:rsid w:val="00B844C6"/>
    <w:rsid w:val="00B84536"/>
    <w:rsid w:val="00B8453C"/>
    <w:rsid w:val="00B846B5"/>
    <w:rsid w:val="00B847EA"/>
    <w:rsid w:val="00B8490C"/>
    <w:rsid w:val="00B8494F"/>
    <w:rsid w:val="00B849AA"/>
    <w:rsid w:val="00B849C5"/>
    <w:rsid w:val="00B84A35"/>
    <w:rsid w:val="00B84B74"/>
    <w:rsid w:val="00B84B77"/>
    <w:rsid w:val="00B84BB3"/>
    <w:rsid w:val="00B84BE1"/>
    <w:rsid w:val="00B84C72"/>
    <w:rsid w:val="00B84CB6"/>
    <w:rsid w:val="00B84CF4"/>
    <w:rsid w:val="00B84D23"/>
    <w:rsid w:val="00B84D84"/>
    <w:rsid w:val="00B84DB9"/>
    <w:rsid w:val="00B84DCA"/>
    <w:rsid w:val="00B84DDF"/>
    <w:rsid w:val="00B84EE1"/>
    <w:rsid w:val="00B84FA3"/>
    <w:rsid w:val="00B84FBB"/>
    <w:rsid w:val="00B85018"/>
    <w:rsid w:val="00B850F9"/>
    <w:rsid w:val="00B85402"/>
    <w:rsid w:val="00B85446"/>
    <w:rsid w:val="00B85464"/>
    <w:rsid w:val="00B85503"/>
    <w:rsid w:val="00B855BB"/>
    <w:rsid w:val="00B855D4"/>
    <w:rsid w:val="00B85708"/>
    <w:rsid w:val="00B85733"/>
    <w:rsid w:val="00B857D3"/>
    <w:rsid w:val="00B857EA"/>
    <w:rsid w:val="00B85837"/>
    <w:rsid w:val="00B85874"/>
    <w:rsid w:val="00B85AE8"/>
    <w:rsid w:val="00B85B0D"/>
    <w:rsid w:val="00B85BC6"/>
    <w:rsid w:val="00B85C35"/>
    <w:rsid w:val="00B85CF3"/>
    <w:rsid w:val="00B85D33"/>
    <w:rsid w:val="00B85DC0"/>
    <w:rsid w:val="00B85E05"/>
    <w:rsid w:val="00B85E5C"/>
    <w:rsid w:val="00B85E6A"/>
    <w:rsid w:val="00B85F68"/>
    <w:rsid w:val="00B85F6C"/>
    <w:rsid w:val="00B85FA7"/>
    <w:rsid w:val="00B85FE8"/>
    <w:rsid w:val="00B8601F"/>
    <w:rsid w:val="00B860D9"/>
    <w:rsid w:val="00B8616D"/>
    <w:rsid w:val="00B86229"/>
    <w:rsid w:val="00B86256"/>
    <w:rsid w:val="00B8629F"/>
    <w:rsid w:val="00B862BE"/>
    <w:rsid w:val="00B8636D"/>
    <w:rsid w:val="00B863E5"/>
    <w:rsid w:val="00B864C8"/>
    <w:rsid w:val="00B86592"/>
    <w:rsid w:val="00B865B8"/>
    <w:rsid w:val="00B86635"/>
    <w:rsid w:val="00B86641"/>
    <w:rsid w:val="00B8669E"/>
    <w:rsid w:val="00B86736"/>
    <w:rsid w:val="00B86738"/>
    <w:rsid w:val="00B86784"/>
    <w:rsid w:val="00B8678B"/>
    <w:rsid w:val="00B86826"/>
    <w:rsid w:val="00B8688B"/>
    <w:rsid w:val="00B868A3"/>
    <w:rsid w:val="00B868E9"/>
    <w:rsid w:val="00B869EA"/>
    <w:rsid w:val="00B869FD"/>
    <w:rsid w:val="00B86A6A"/>
    <w:rsid w:val="00B86AD3"/>
    <w:rsid w:val="00B86B95"/>
    <w:rsid w:val="00B86BE9"/>
    <w:rsid w:val="00B86C35"/>
    <w:rsid w:val="00B86EAB"/>
    <w:rsid w:val="00B8707B"/>
    <w:rsid w:val="00B87082"/>
    <w:rsid w:val="00B87210"/>
    <w:rsid w:val="00B87216"/>
    <w:rsid w:val="00B87254"/>
    <w:rsid w:val="00B872B2"/>
    <w:rsid w:val="00B872D0"/>
    <w:rsid w:val="00B872F9"/>
    <w:rsid w:val="00B87303"/>
    <w:rsid w:val="00B8735C"/>
    <w:rsid w:val="00B87408"/>
    <w:rsid w:val="00B87499"/>
    <w:rsid w:val="00B874AE"/>
    <w:rsid w:val="00B874D9"/>
    <w:rsid w:val="00B875AF"/>
    <w:rsid w:val="00B875B5"/>
    <w:rsid w:val="00B87610"/>
    <w:rsid w:val="00B8768C"/>
    <w:rsid w:val="00B877F6"/>
    <w:rsid w:val="00B87806"/>
    <w:rsid w:val="00B87887"/>
    <w:rsid w:val="00B878E5"/>
    <w:rsid w:val="00B878FD"/>
    <w:rsid w:val="00B879A5"/>
    <w:rsid w:val="00B879B3"/>
    <w:rsid w:val="00B879B9"/>
    <w:rsid w:val="00B87A08"/>
    <w:rsid w:val="00B87A43"/>
    <w:rsid w:val="00B87ACF"/>
    <w:rsid w:val="00B87B34"/>
    <w:rsid w:val="00B87B56"/>
    <w:rsid w:val="00B87B99"/>
    <w:rsid w:val="00B87C48"/>
    <w:rsid w:val="00B87D08"/>
    <w:rsid w:val="00B87D40"/>
    <w:rsid w:val="00B87D74"/>
    <w:rsid w:val="00B87DB0"/>
    <w:rsid w:val="00B87DCA"/>
    <w:rsid w:val="00B87E03"/>
    <w:rsid w:val="00B87E05"/>
    <w:rsid w:val="00B87EA4"/>
    <w:rsid w:val="00B87F0E"/>
    <w:rsid w:val="00B87F11"/>
    <w:rsid w:val="00B87FE5"/>
    <w:rsid w:val="00B9003B"/>
    <w:rsid w:val="00B9007E"/>
    <w:rsid w:val="00B9015D"/>
    <w:rsid w:val="00B901D7"/>
    <w:rsid w:val="00B901F8"/>
    <w:rsid w:val="00B90270"/>
    <w:rsid w:val="00B902A2"/>
    <w:rsid w:val="00B90396"/>
    <w:rsid w:val="00B903B8"/>
    <w:rsid w:val="00B904F8"/>
    <w:rsid w:val="00B9053A"/>
    <w:rsid w:val="00B9056E"/>
    <w:rsid w:val="00B906BF"/>
    <w:rsid w:val="00B906CB"/>
    <w:rsid w:val="00B906DB"/>
    <w:rsid w:val="00B90739"/>
    <w:rsid w:val="00B907CE"/>
    <w:rsid w:val="00B90833"/>
    <w:rsid w:val="00B90941"/>
    <w:rsid w:val="00B909D9"/>
    <w:rsid w:val="00B909E5"/>
    <w:rsid w:val="00B90A0D"/>
    <w:rsid w:val="00B90A49"/>
    <w:rsid w:val="00B90A83"/>
    <w:rsid w:val="00B90AFB"/>
    <w:rsid w:val="00B90B11"/>
    <w:rsid w:val="00B90BC8"/>
    <w:rsid w:val="00B90D20"/>
    <w:rsid w:val="00B90E86"/>
    <w:rsid w:val="00B90EE4"/>
    <w:rsid w:val="00B90FB2"/>
    <w:rsid w:val="00B9104B"/>
    <w:rsid w:val="00B91112"/>
    <w:rsid w:val="00B91211"/>
    <w:rsid w:val="00B912CA"/>
    <w:rsid w:val="00B9137B"/>
    <w:rsid w:val="00B914DB"/>
    <w:rsid w:val="00B9153C"/>
    <w:rsid w:val="00B915D7"/>
    <w:rsid w:val="00B915F0"/>
    <w:rsid w:val="00B9165C"/>
    <w:rsid w:val="00B9178C"/>
    <w:rsid w:val="00B917CE"/>
    <w:rsid w:val="00B91895"/>
    <w:rsid w:val="00B918C4"/>
    <w:rsid w:val="00B91975"/>
    <w:rsid w:val="00B919E9"/>
    <w:rsid w:val="00B91A68"/>
    <w:rsid w:val="00B91A97"/>
    <w:rsid w:val="00B91AC2"/>
    <w:rsid w:val="00B91ACA"/>
    <w:rsid w:val="00B91ACC"/>
    <w:rsid w:val="00B91AED"/>
    <w:rsid w:val="00B91B5A"/>
    <w:rsid w:val="00B91B5F"/>
    <w:rsid w:val="00B91B75"/>
    <w:rsid w:val="00B91C36"/>
    <w:rsid w:val="00B91CED"/>
    <w:rsid w:val="00B91D37"/>
    <w:rsid w:val="00B91E93"/>
    <w:rsid w:val="00B91EE2"/>
    <w:rsid w:val="00B91F31"/>
    <w:rsid w:val="00B91F4F"/>
    <w:rsid w:val="00B91F7D"/>
    <w:rsid w:val="00B9206A"/>
    <w:rsid w:val="00B92112"/>
    <w:rsid w:val="00B92322"/>
    <w:rsid w:val="00B9235C"/>
    <w:rsid w:val="00B9250D"/>
    <w:rsid w:val="00B92591"/>
    <w:rsid w:val="00B925F2"/>
    <w:rsid w:val="00B92762"/>
    <w:rsid w:val="00B92787"/>
    <w:rsid w:val="00B92822"/>
    <w:rsid w:val="00B9284B"/>
    <w:rsid w:val="00B9284C"/>
    <w:rsid w:val="00B92872"/>
    <w:rsid w:val="00B928F3"/>
    <w:rsid w:val="00B92A31"/>
    <w:rsid w:val="00B92A63"/>
    <w:rsid w:val="00B92B4E"/>
    <w:rsid w:val="00B92B54"/>
    <w:rsid w:val="00B92B6F"/>
    <w:rsid w:val="00B92B74"/>
    <w:rsid w:val="00B92C73"/>
    <w:rsid w:val="00B92C78"/>
    <w:rsid w:val="00B92D5A"/>
    <w:rsid w:val="00B92D81"/>
    <w:rsid w:val="00B92EE0"/>
    <w:rsid w:val="00B92F33"/>
    <w:rsid w:val="00B92F48"/>
    <w:rsid w:val="00B92F72"/>
    <w:rsid w:val="00B92FA4"/>
    <w:rsid w:val="00B92FD1"/>
    <w:rsid w:val="00B9308C"/>
    <w:rsid w:val="00B930AC"/>
    <w:rsid w:val="00B930D6"/>
    <w:rsid w:val="00B9310A"/>
    <w:rsid w:val="00B931B2"/>
    <w:rsid w:val="00B93230"/>
    <w:rsid w:val="00B93298"/>
    <w:rsid w:val="00B93327"/>
    <w:rsid w:val="00B933D0"/>
    <w:rsid w:val="00B933EF"/>
    <w:rsid w:val="00B9347B"/>
    <w:rsid w:val="00B935C0"/>
    <w:rsid w:val="00B9360F"/>
    <w:rsid w:val="00B9364A"/>
    <w:rsid w:val="00B936AE"/>
    <w:rsid w:val="00B936BC"/>
    <w:rsid w:val="00B93720"/>
    <w:rsid w:val="00B93782"/>
    <w:rsid w:val="00B9378F"/>
    <w:rsid w:val="00B93794"/>
    <w:rsid w:val="00B9381A"/>
    <w:rsid w:val="00B938BB"/>
    <w:rsid w:val="00B938CE"/>
    <w:rsid w:val="00B93915"/>
    <w:rsid w:val="00B93922"/>
    <w:rsid w:val="00B93A69"/>
    <w:rsid w:val="00B93A6B"/>
    <w:rsid w:val="00B93A84"/>
    <w:rsid w:val="00B93B62"/>
    <w:rsid w:val="00B93B96"/>
    <w:rsid w:val="00B93C31"/>
    <w:rsid w:val="00B93D04"/>
    <w:rsid w:val="00B93ED5"/>
    <w:rsid w:val="00B93F31"/>
    <w:rsid w:val="00B9405C"/>
    <w:rsid w:val="00B94098"/>
    <w:rsid w:val="00B940EF"/>
    <w:rsid w:val="00B940F2"/>
    <w:rsid w:val="00B94136"/>
    <w:rsid w:val="00B941B8"/>
    <w:rsid w:val="00B941E8"/>
    <w:rsid w:val="00B94258"/>
    <w:rsid w:val="00B942C6"/>
    <w:rsid w:val="00B943D5"/>
    <w:rsid w:val="00B943F5"/>
    <w:rsid w:val="00B9447A"/>
    <w:rsid w:val="00B94545"/>
    <w:rsid w:val="00B94560"/>
    <w:rsid w:val="00B94689"/>
    <w:rsid w:val="00B94699"/>
    <w:rsid w:val="00B9474A"/>
    <w:rsid w:val="00B94791"/>
    <w:rsid w:val="00B947BE"/>
    <w:rsid w:val="00B94980"/>
    <w:rsid w:val="00B949B3"/>
    <w:rsid w:val="00B94AC6"/>
    <w:rsid w:val="00B94B9E"/>
    <w:rsid w:val="00B94BCF"/>
    <w:rsid w:val="00B94C61"/>
    <w:rsid w:val="00B94C9D"/>
    <w:rsid w:val="00B94E22"/>
    <w:rsid w:val="00B950AF"/>
    <w:rsid w:val="00B950CD"/>
    <w:rsid w:val="00B951CE"/>
    <w:rsid w:val="00B9523F"/>
    <w:rsid w:val="00B95256"/>
    <w:rsid w:val="00B95259"/>
    <w:rsid w:val="00B95279"/>
    <w:rsid w:val="00B9531B"/>
    <w:rsid w:val="00B9535D"/>
    <w:rsid w:val="00B95412"/>
    <w:rsid w:val="00B954CD"/>
    <w:rsid w:val="00B955CB"/>
    <w:rsid w:val="00B956B2"/>
    <w:rsid w:val="00B956D6"/>
    <w:rsid w:val="00B957E2"/>
    <w:rsid w:val="00B957F2"/>
    <w:rsid w:val="00B958DF"/>
    <w:rsid w:val="00B958E5"/>
    <w:rsid w:val="00B958FD"/>
    <w:rsid w:val="00B95916"/>
    <w:rsid w:val="00B95917"/>
    <w:rsid w:val="00B95B50"/>
    <w:rsid w:val="00B95C25"/>
    <w:rsid w:val="00B95CCF"/>
    <w:rsid w:val="00B95D33"/>
    <w:rsid w:val="00B95D5E"/>
    <w:rsid w:val="00B95D8D"/>
    <w:rsid w:val="00B95D98"/>
    <w:rsid w:val="00B95E7D"/>
    <w:rsid w:val="00B95EA3"/>
    <w:rsid w:val="00B95EFA"/>
    <w:rsid w:val="00B95FDB"/>
    <w:rsid w:val="00B96050"/>
    <w:rsid w:val="00B9606B"/>
    <w:rsid w:val="00B96114"/>
    <w:rsid w:val="00B961F6"/>
    <w:rsid w:val="00B96284"/>
    <w:rsid w:val="00B963D7"/>
    <w:rsid w:val="00B96562"/>
    <w:rsid w:val="00B9657B"/>
    <w:rsid w:val="00B965B0"/>
    <w:rsid w:val="00B96629"/>
    <w:rsid w:val="00B96639"/>
    <w:rsid w:val="00B96672"/>
    <w:rsid w:val="00B9668A"/>
    <w:rsid w:val="00B96693"/>
    <w:rsid w:val="00B96714"/>
    <w:rsid w:val="00B96737"/>
    <w:rsid w:val="00B967A1"/>
    <w:rsid w:val="00B96843"/>
    <w:rsid w:val="00B968B3"/>
    <w:rsid w:val="00B968F4"/>
    <w:rsid w:val="00B969DA"/>
    <w:rsid w:val="00B96A23"/>
    <w:rsid w:val="00B96A5A"/>
    <w:rsid w:val="00B96AE3"/>
    <w:rsid w:val="00B96B03"/>
    <w:rsid w:val="00B96B1A"/>
    <w:rsid w:val="00B96C54"/>
    <w:rsid w:val="00B96CE2"/>
    <w:rsid w:val="00B96DEE"/>
    <w:rsid w:val="00B96DF2"/>
    <w:rsid w:val="00B96DFE"/>
    <w:rsid w:val="00B96E7E"/>
    <w:rsid w:val="00B96F42"/>
    <w:rsid w:val="00B96FDA"/>
    <w:rsid w:val="00B97133"/>
    <w:rsid w:val="00B9716D"/>
    <w:rsid w:val="00B9719E"/>
    <w:rsid w:val="00B971EA"/>
    <w:rsid w:val="00B97207"/>
    <w:rsid w:val="00B97236"/>
    <w:rsid w:val="00B9723D"/>
    <w:rsid w:val="00B9730A"/>
    <w:rsid w:val="00B974A0"/>
    <w:rsid w:val="00B974D0"/>
    <w:rsid w:val="00B97544"/>
    <w:rsid w:val="00B975BE"/>
    <w:rsid w:val="00B97636"/>
    <w:rsid w:val="00B9769D"/>
    <w:rsid w:val="00B97755"/>
    <w:rsid w:val="00B97799"/>
    <w:rsid w:val="00B977A4"/>
    <w:rsid w:val="00B97858"/>
    <w:rsid w:val="00B9789A"/>
    <w:rsid w:val="00B978FD"/>
    <w:rsid w:val="00B97924"/>
    <w:rsid w:val="00B97989"/>
    <w:rsid w:val="00B979AB"/>
    <w:rsid w:val="00B97BFD"/>
    <w:rsid w:val="00B97CD5"/>
    <w:rsid w:val="00B97CE3"/>
    <w:rsid w:val="00B97D03"/>
    <w:rsid w:val="00B97D51"/>
    <w:rsid w:val="00B97D78"/>
    <w:rsid w:val="00B97E58"/>
    <w:rsid w:val="00B97EEB"/>
    <w:rsid w:val="00B97FA6"/>
    <w:rsid w:val="00B97FC8"/>
    <w:rsid w:val="00BA0023"/>
    <w:rsid w:val="00BA0028"/>
    <w:rsid w:val="00BA0094"/>
    <w:rsid w:val="00BA00A9"/>
    <w:rsid w:val="00BA00B2"/>
    <w:rsid w:val="00BA00BE"/>
    <w:rsid w:val="00BA00C0"/>
    <w:rsid w:val="00BA00D8"/>
    <w:rsid w:val="00BA01C8"/>
    <w:rsid w:val="00BA02DB"/>
    <w:rsid w:val="00BA03A5"/>
    <w:rsid w:val="00BA0434"/>
    <w:rsid w:val="00BA0480"/>
    <w:rsid w:val="00BA04E5"/>
    <w:rsid w:val="00BA0544"/>
    <w:rsid w:val="00BA0557"/>
    <w:rsid w:val="00BA05AD"/>
    <w:rsid w:val="00BA05C5"/>
    <w:rsid w:val="00BA05D0"/>
    <w:rsid w:val="00BA0627"/>
    <w:rsid w:val="00BA0687"/>
    <w:rsid w:val="00BA071C"/>
    <w:rsid w:val="00BA0754"/>
    <w:rsid w:val="00BA07F2"/>
    <w:rsid w:val="00BA0868"/>
    <w:rsid w:val="00BA09D2"/>
    <w:rsid w:val="00BA0A6D"/>
    <w:rsid w:val="00BA0B45"/>
    <w:rsid w:val="00BA0B8C"/>
    <w:rsid w:val="00BA0D68"/>
    <w:rsid w:val="00BA0E6F"/>
    <w:rsid w:val="00BA0ECD"/>
    <w:rsid w:val="00BA0F17"/>
    <w:rsid w:val="00BA0F5C"/>
    <w:rsid w:val="00BA0FDC"/>
    <w:rsid w:val="00BA1061"/>
    <w:rsid w:val="00BA117B"/>
    <w:rsid w:val="00BA11D2"/>
    <w:rsid w:val="00BA1242"/>
    <w:rsid w:val="00BA12A6"/>
    <w:rsid w:val="00BA12B5"/>
    <w:rsid w:val="00BA1359"/>
    <w:rsid w:val="00BA1365"/>
    <w:rsid w:val="00BA1429"/>
    <w:rsid w:val="00BA1451"/>
    <w:rsid w:val="00BA1521"/>
    <w:rsid w:val="00BA16C0"/>
    <w:rsid w:val="00BA16CB"/>
    <w:rsid w:val="00BA1727"/>
    <w:rsid w:val="00BA1736"/>
    <w:rsid w:val="00BA17B9"/>
    <w:rsid w:val="00BA17F7"/>
    <w:rsid w:val="00BA1830"/>
    <w:rsid w:val="00BA184E"/>
    <w:rsid w:val="00BA18E2"/>
    <w:rsid w:val="00BA1939"/>
    <w:rsid w:val="00BA1984"/>
    <w:rsid w:val="00BA1A02"/>
    <w:rsid w:val="00BA1A33"/>
    <w:rsid w:val="00BA1CF2"/>
    <w:rsid w:val="00BA1D2F"/>
    <w:rsid w:val="00BA1DAD"/>
    <w:rsid w:val="00BA1EAB"/>
    <w:rsid w:val="00BA1ECC"/>
    <w:rsid w:val="00BA1F79"/>
    <w:rsid w:val="00BA1F7B"/>
    <w:rsid w:val="00BA1FAB"/>
    <w:rsid w:val="00BA2147"/>
    <w:rsid w:val="00BA2160"/>
    <w:rsid w:val="00BA2265"/>
    <w:rsid w:val="00BA227C"/>
    <w:rsid w:val="00BA22BE"/>
    <w:rsid w:val="00BA22C4"/>
    <w:rsid w:val="00BA2331"/>
    <w:rsid w:val="00BA2423"/>
    <w:rsid w:val="00BA2461"/>
    <w:rsid w:val="00BA24A0"/>
    <w:rsid w:val="00BA26EF"/>
    <w:rsid w:val="00BA27F8"/>
    <w:rsid w:val="00BA287B"/>
    <w:rsid w:val="00BA2894"/>
    <w:rsid w:val="00BA2CD1"/>
    <w:rsid w:val="00BA2D1F"/>
    <w:rsid w:val="00BA2D38"/>
    <w:rsid w:val="00BA2DBC"/>
    <w:rsid w:val="00BA2E0A"/>
    <w:rsid w:val="00BA2E1C"/>
    <w:rsid w:val="00BA2E40"/>
    <w:rsid w:val="00BA2FBE"/>
    <w:rsid w:val="00BA2FC7"/>
    <w:rsid w:val="00BA2FEB"/>
    <w:rsid w:val="00BA3034"/>
    <w:rsid w:val="00BA304F"/>
    <w:rsid w:val="00BA30BF"/>
    <w:rsid w:val="00BA30CA"/>
    <w:rsid w:val="00BA30E6"/>
    <w:rsid w:val="00BA3141"/>
    <w:rsid w:val="00BA3143"/>
    <w:rsid w:val="00BA31B4"/>
    <w:rsid w:val="00BA31F9"/>
    <w:rsid w:val="00BA31FC"/>
    <w:rsid w:val="00BA3246"/>
    <w:rsid w:val="00BA32DD"/>
    <w:rsid w:val="00BA32EB"/>
    <w:rsid w:val="00BA32F2"/>
    <w:rsid w:val="00BA32F5"/>
    <w:rsid w:val="00BA3389"/>
    <w:rsid w:val="00BA339D"/>
    <w:rsid w:val="00BA34B1"/>
    <w:rsid w:val="00BA34B3"/>
    <w:rsid w:val="00BA34DD"/>
    <w:rsid w:val="00BA3537"/>
    <w:rsid w:val="00BA3544"/>
    <w:rsid w:val="00BA3644"/>
    <w:rsid w:val="00BA3668"/>
    <w:rsid w:val="00BA36A9"/>
    <w:rsid w:val="00BA3743"/>
    <w:rsid w:val="00BA385F"/>
    <w:rsid w:val="00BA3896"/>
    <w:rsid w:val="00BA3988"/>
    <w:rsid w:val="00BA3A01"/>
    <w:rsid w:val="00BA3BA3"/>
    <w:rsid w:val="00BA3C43"/>
    <w:rsid w:val="00BA3CD9"/>
    <w:rsid w:val="00BA3CF3"/>
    <w:rsid w:val="00BA3D8B"/>
    <w:rsid w:val="00BA3DE2"/>
    <w:rsid w:val="00BA3E3B"/>
    <w:rsid w:val="00BA3E64"/>
    <w:rsid w:val="00BA3E6C"/>
    <w:rsid w:val="00BA3E7F"/>
    <w:rsid w:val="00BA3F0E"/>
    <w:rsid w:val="00BA401F"/>
    <w:rsid w:val="00BA40F4"/>
    <w:rsid w:val="00BA4114"/>
    <w:rsid w:val="00BA4152"/>
    <w:rsid w:val="00BA4196"/>
    <w:rsid w:val="00BA41EB"/>
    <w:rsid w:val="00BA4327"/>
    <w:rsid w:val="00BA44DA"/>
    <w:rsid w:val="00BA44F4"/>
    <w:rsid w:val="00BA456D"/>
    <w:rsid w:val="00BA463E"/>
    <w:rsid w:val="00BA4660"/>
    <w:rsid w:val="00BA466A"/>
    <w:rsid w:val="00BA4699"/>
    <w:rsid w:val="00BA47C4"/>
    <w:rsid w:val="00BA4945"/>
    <w:rsid w:val="00BA49B4"/>
    <w:rsid w:val="00BA4A38"/>
    <w:rsid w:val="00BA4AF3"/>
    <w:rsid w:val="00BA4C19"/>
    <w:rsid w:val="00BA4CF3"/>
    <w:rsid w:val="00BA4DA4"/>
    <w:rsid w:val="00BA4DDE"/>
    <w:rsid w:val="00BA4E6A"/>
    <w:rsid w:val="00BA4E7B"/>
    <w:rsid w:val="00BA4EEB"/>
    <w:rsid w:val="00BA4F40"/>
    <w:rsid w:val="00BA505B"/>
    <w:rsid w:val="00BA5092"/>
    <w:rsid w:val="00BA5117"/>
    <w:rsid w:val="00BA5154"/>
    <w:rsid w:val="00BA5207"/>
    <w:rsid w:val="00BA520C"/>
    <w:rsid w:val="00BA5228"/>
    <w:rsid w:val="00BA5307"/>
    <w:rsid w:val="00BA54CA"/>
    <w:rsid w:val="00BA54D4"/>
    <w:rsid w:val="00BA559F"/>
    <w:rsid w:val="00BA55C2"/>
    <w:rsid w:val="00BA55C9"/>
    <w:rsid w:val="00BA55CB"/>
    <w:rsid w:val="00BA563B"/>
    <w:rsid w:val="00BA5653"/>
    <w:rsid w:val="00BA56EA"/>
    <w:rsid w:val="00BA5714"/>
    <w:rsid w:val="00BA5762"/>
    <w:rsid w:val="00BA57A5"/>
    <w:rsid w:val="00BA58A3"/>
    <w:rsid w:val="00BA58DE"/>
    <w:rsid w:val="00BA5909"/>
    <w:rsid w:val="00BA59B5"/>
    <w:rsid w:val="00BA5C25"/>
    <w:rsid w:val="00BA5CB3"/>
    <w:rsid w:val="00BA5DC1"/>
    <w:rsid w:val="00BA5F8C"/>
    <w:rsid w:val="00BA5FB9"/>
    <w:rsid w:val="00BA6196"/>
    <w:rsid w:val="00BA61FC"/>
    <w:rsid w:val="00BA62FF"/>
    <w:rsid w:val="00BA63E0"/>
    <w:rsid w:val="00BA648E"/>
    <w:rsid w:val="00BA64C5"/>
    <w:rsid w:val="00BA6501"/>
    <w:rsid w:val="00BA6539"/>
    <w:rsid w:val="00BA66E5"/>
    <w:rsid w:val="00BA6718"/>
    <w:rsid w:val="00BA6779"/>
    <w:rsid w:val="00BA688B"/>
    <w:rsid w:val="00BA6A6A"/>
    <w:rsid w:val="00BA6B6B"/>
    <w:rsid w:val="00BA6C31"/>
    <w:rsid w:val="00BA6C40"/>
    <w:rsid w:val="00BA6C49"/>
    <w:rsid w:val="00BA6C52"/>
    <w:rsid w:val="00BA6D2F"/>
    <w:rsid w:val="00BA6D6A"/>
    <w:rsid w:val="00BA6D6B"/>
    <w:rsid w:val="00BA6E25"/>
    <w:rsid w:val="00BA6E57"/>
    <w:rsid w:val="00BA6F63"/>
    <w:rsid w:val="00BA6F94"/>
    <w:rsid w:val="00BA7071"/>
    <w:rsid w:val="00BA70B2"/>
    <w:rsid w:val="00BA70E3"/>
    <w:rsid w:val="00BA70EA"/>
    <w:rsid w:val="00BA71DB"/>
    <w:rsid w:val="00BA71DC"/>
    <w:rsid w:val="00BA7228"/>
    <w:rsid w:val="00BA736D"/>
    <w:rsid w:val="00BA73DD"/>
    <w:rsid w:val="00BA7472"/>
    <w:rsid w:val="00BA7484"/>
    <w:rsid w:val="00BA74E5"/>
    <w:rsid w:val="00BA74EA"/>
    <w:rsid w:val="00BA751D"/>
    <w:rsid w:val="00BA7579"/>
    <w:rsid w:val="00BA7586"/>
    <w:rsid w:val="00BA758C"/>
    <w:rsid w:val="00BA7641"/>
    <w:rsid w:val="00BA765D"/>
    <w:rsid w:val="00BA76B4"/>
    <w:rsid w:val="00BA770B"/>
    <w:rsid w:val="00BA7761"/>
    <w:rsid w:val="00BA795D"/>
    <w:rsid w:val="00BA7996"/>
    <w:rsid w:val="00BA79DB"/>
    <w:rsid w:val="00BA7A9D"/>
    <w:rsid w:val="00BA7CA5"/>
    <w:rsid w:val="00BA7D5D"/>
    <w:rsid w:val="00BB0017"/>
    <w:rsid w:val="00BB0076"/>
    <w:rsid w:val="00BB00D6"/>
    <w:rsid w:val="00BB0219"/>
    <w:rsid w:val="00BB0334"/>
    <w:rsid w:val="00BB0613"/>
    <w:rsid w:val="00BB061A"/>
    <w:rsid w:val="00BB079C"/>
    <w:rsid w:val="00BB07BC"/>
    <w:rsid w:val="00BB0810"/>
    <w:rsid w:val="00BB08A8"/>
    <w:rsid w:val="00BB08E8"/>
    <w:rsid w:val="00BB08F0"/>
    <w:rsid w:val="00BB0923"/>
    <w:rsid w:val="00BB0B8B"/>
    <w:rsid w:val="00BB0BFE"/>
    <w:rsid w:val="00BB0C86"/>
    <w:rsid w:val="00BB0CDE"/>
    <w:rsid w:val="00BB0D4B"/>
    <w:rsid w:val="00BB0EC8"/>
    <w:rsid w:val="00BB0ED8"/>
    <w:rsid w:val="00BB0F0C"/>
    <w:rsid w:val="00BB10E4"/>
    <w:rsid w:val="00BB13D7"/>
    <w:rsid w:val="00BB1596"/>
    <w:rsid w:val="00BB15AA"/>
    <w:rsid w:val="00BB15FD"/>
    <w:rsid w:val="00BB1600"/>
    <w:rsid w:val="00BB16B6"/>
    <w:rsid w:val="00BB16E9"/>
    <w:rsid w:val="00BB1731"/>
    <w:rsid w:val="00BB1791"/>
    <w:rsid w:val="00BB181F"/>
    <w:rsid w:val="00BB183C"/>
    <w:rsid w:val="00BB1864"/>
    <w:rsid w:val="00BB191B"/>
    <w:rsid w:val="00BB1B36"/>
    <w:rsid w:val="00BB1BAD"/>
    <w:rsid w:val="00BB1DD9"/>
    <w:rsid w:val="00BB1E08"/>
    <w:rsid w:val="00BB1E94"/>
    <w:rsid w:val="00BB207D"/>
    <w:rsid w:val="00BB210B"/>
    <w:rsid w:val="00BB21DC"/>
    <w:rsid w:val="00BB21F8"/>
    <w:rsid w:val="00BB2250"/>
    <w:rsid w:val="00BB2273"/>
    <w:rsid w:val="00BB2295"/>
    <w:rsid w:val="00BB2296"/>
    <w:rsid w:val="00BB229F"/>
    <w:rsid w:val="00BB234C"/>
    <w:rsid w:val="00BB25A3"/>
    <w:rsid w:val="00BB25F0"/>
    <w:rsid w:val="00BB2648"/>
    <w:rsid w:val="00BB2660"/>
    <w:rsid w:val="00BB27A0"/>
    <w:rsid w:val="00BB27DB"/>
    <w:rsid w:val="00BB28AD"/>
    <w:rsid w:val="00BB2969"/>
    <w:rsid w:val="00BB2C23"/>
    <w:rsid w:val="00BB2C6C"/>
    <w:rsid w:val="00BB2C96"/>
    <w:rsid w:val="00BB2CA1"/>
    <w:rsid w:val="00BB2D31"/>
    <w:rsid w:val="00BB2DC1"/>
    <w:rsid w:val="00BB2E07"/>
    <w:rsid w:val="00BB2EB3"/>
    <w:rsid w:val="00BB2EEA"/>
    <w:rsid w:val="00BB2F29"/>
    <w:rsid w:val="00BB2F67"/>
    <w:rsid w:val="00BB2F6F"/>
    <w:rsid w:val="00BB2FA7"/>
    <w:rsid w:val="00BB2FE6"/>
    <w:rsid w:val="00BB3013"/>
    <w:rsid w:val="00BB305D"/>
    <w:rsid w:val="00BB30D6"/>
    <w:rsid w:val="00BB3232"/>
    <w:rsid w:val="00BB328A"/>
    <w:rsid w:val="00BB337D"/>
    <w:rsid w:val="00BB33A9"/>
    <w:rsid w:val="00BB34DA"/>
    <w:rsid w:val="00BB35CE"/>
    <w:rsid w:val="00BB35E8"/>
    <w:rsid w:val="00BB3668"/>
    <w:rsid w:val="00BB368F"/>
    <w:rsid w:val="00BB3692"/>
    <w:rsid w:val="00BB3762"/>
    <w:rsid w:val="00BB376B"/>
    <w:rsid w:val="00BB3896"/>
    <w:rsid w:val="00BB3A1E"/>
    <w:rsid w:val="00BB3A79"/>
    <w:rsid w:val="00BB3A97"/>
    <w:rsid w:val="00BB3B4C"/>
    <w:rsid w:val="00BB3CF4"/>
    <w:rsid w:val="00BB3D48"/>
    <w:rsid w:val="00BB3D72"/>
    <w:rsid w:val="00BB3D80"/>
    <w:rsid w:val="00BB3DC1"/>
    <w:rsid w:val="00BB3E40"/>
    <w:rsid w:val="00BB3E78"/>
    <w:rsid w:val="00BB3F33"/>
    <w:rsid w:val="00BB409A"/>
    <w:rsid w:val="00BB41B6"/>
    <w:rsid w:val="00BB4218"/>
    <w:rsid w:val="00BB4243"/>
    <w:rsid w:val="00BB42F8"/>
    <w:rsid w:val="00BB4310"/>
    <w:rsid w:val="00BB4359"/>
    <w:rsid w:val="00BB44DD"/>
    <w:rsid w:val="00BB4543"/>
    <w:rsid w:val="00BB45BA"/>
    <w:rsid w:val="00BB4770"/>
    <w:rsid w:val="00BB477C"/>
    <w:rsid w:val="00BB47B8"/>
    <w:rsid w:val="00BB47BF"/>
    <w:rsid w:val="00BB4984"/>
    <w:rsid w:val="00BB49B7"/>
    <w:rsid w:val="00BB4A0D"/>
    <w:rsid w:val="00BB4A31"/>
    <w:rsid w:val="00BB4AC2"/>
    <w:rsid w:val="00BB4ACE"/>
    <w:rsid w:val="00BB4AE0"/>
    <w:rsid w:val="00BB4C9B"/>
    <w:rsid w:val="00BB4E34"/>
    <w:rsid w:val="00BB4E72"/>
    <w:rsid w:val="00BB4E7E"/>
    <w:rsid w:val="00BB4EF4"/>
    <w:rsid w:val="00BB4F78"/>
    <w:rsid w:val="00BB4FC1"/>
    <w:rsid w:val="00BB503E"/>
    <w:rsid w:val="00BB5092"/>
    <w:rsid w:val="00BB50A6"/>
    <w:rsid w:val="00BB50DF"/>
    <w:rsid w:val="00BB51CF"/>
    <w:rsid w:val="00BB527D"/>
    <w:rsid w:val="00BB530E"/>
    <w:rsid w:val="00BB5319"/>
    <w:rsid w:val="00BB534D"/>
    <w:rsid w:val="00BB544E"/>
    <w:rsid w:val="00BB54D8"/>
    <w:rsid w:val="00BB55CB"/>
    <w:rsid w:val="00BB578B"/>
    <w:rsid w:val="00BB5794"/>
    <w:rsid w:val="00BB57F7"/>
    <w:rsid w:val="00BB5826"/>
    <w:rsid w:val="00BB5876"/>
    <w:rsid w:val="00BB58E6"/>
    <w:rsid w:val="00BB5A4D"/>
    <w:rsid w:val="00BB5BB9"/>
    <w:rsid w:val="00BB5CB0"/>
    <w:rsid w:val="00BB5E3E"/>
    <w:rsid w:val="00BB5EFD"/>
    <w:rsid w:val="00BB5F85"/>
    <w:rsid w:val="00BB5F8A"/>
    <w:rsid w:val="00BB5FB0"/>
    <w:rsid w:val="00BB6048"/>
    <w:rsid w:val="00BB60C6"/>
    <w:rsid w:val="00BB60F4"/>
    <w:rsid w:val="00BB6128"/>
    <w:rsid w:val="00BB629C"/>
    <w:rsid w:val="00BB6329"/>
    <w:rsid w:val="00BB6330"/>
    <w:rsid w:val="00BB63E8"/>
    <w:rsid w:val="00BB64D2"/>
    <w:rsid w:val="00BB6579"/>
    <w:rsid w:val="00BB6588"/>
    <w:rsid w:val="00BB6612"/>
    <w:rsid w:val="00BB664E"/>
    <w:rsid w:val="00BB66AD"/>
    <w:rsid w:val="00BB6899"/>
    <w:rsid w:val="00BB69CB"/>
    <w:rsid w:val="00BB69F4"/>
    <w:rsid w:val="00BB6A0C"/>
    <w:rsid w:val="00BB6A87"/>
    <w:rsid w:val="00BB6C7B"/>
    <w:rsid w:val="00BB6C87"/>
    <w:rsid w:val="00BB6DCF"/>
    <w:rsid w:val="00BB6E0A"/>
    <w:rsid w:val="00BB6EA1"/>
    <w:rsid w:val="00BB6FAD"/>
    <w:rsid w:val="00BB6FE3"/>
    <w:rsid w:val="00BB6FFE"/>
    <w:rsid w:val="00BB7234"/>
    <w:rsid w:val="00BB7242"/>
    <w:rsid w:val="00BB7258"/>
    <w:rsid w:val="00BB72DF"/>
    <w:rsid w:val="00BB730C"/>
    <w:rsid w:val="00BB73D9"/>
    <w:rsid w:val="00BB746D"/>
    <w:rsid w:val="00BB7487"/>
    <w:rsid w:val="00BB74AA"/>
    <w:rsid w:val="00BB7567"/>
    <w:rsid w:val="00BB7619"/>
    <w:rsid w:val="00BB7736"/>
    <w:rsid w:val="00BB7782"/>
    <w:rsid w:val="00BB7861"/>
    <w:rsid w:val="00BB7898"/>
    <w:rsid w:val="00BB7AA0"/>
    <w:rsid w:val="00BB7C6E"/>
    <w:rsid w:val="00BB7C87"/>
    <w:rsid w:val="00BB7CC8"/>
    <w:rsid w:val="00BB7D18"/>
    <w:rsid w:val="00BB7D9C"/>
    <w:rsid w:val="00BB7DEB"/>
    <w:rsid w:val="00BB7EE7"/>
    <w:rsid w:val="00BC00A2"/>
    <w:rsid w:val="00BC00A9"/>
    <w:rsid w:val="00BC00DC"/>
    <w:rsid w:val="00BC00E2"/>
    <w:rsid w:val="00BC018F"/>
    <w:rsid w:val="00BC01B8"/>
    <w:rsid w:val="00BC01C1"/>
    <w:rsid w:val="00BC01CB"/>
    <w:rsid w:val="00BC026F"/>
    <w:rsid w:val="00BC03C2"/>
    <w:rsid w:val="00BC041E"/>
    <w:rsid w:val="00BC044E"/>
    <w:rsid w:val="00BC0495"/>
    <w:rsid w:val="00BC0548"/>
    <w:rsid w:val="00BC06C7"/>
    <w:rsid w:val="00BC070C"/>
    <w:rsid w:val="00BC0843"/>
    <w:rsid w:val="00BC0869"/>
    <w:rsid w:val="00BC0885"/>
    <w:rsid w:val="00BC09B3"/>
    <w:rsid w:val="00BC09C1"/>
    <w:rsid w:val="00BC09EA"/>
    <w:rsid w:val="00BC0A36"/>
    <w:rsid w:val="00BC0B38"/>
    <w:rsid w:val="00BC0BCB"/>
    <w:rsid w:val="00BC0BF7"/>
    <w:rsid w:val="00BC0C3E"/>
    <w:rsid w:val="00BC0DE5"/>
    <w:rsid w:val="00BC0E20"/>
    <w:rsid w:val="00BC0E2F"/>
    <w:rsid w:val="00BC0ED5"/>
    <w:rsid w:val="00BC0FA3"/>
    <w:rsid w:val="00BC101F"/>
    <w:rsid w:val="00BC1107"/>
    <w:rsid w:val="00BC113E"/>
    <w:rsid w:val="00BC12A5"/>
    <w:rsid w:val="00BC12F1"/>
    <w:rsid w:val="00BC137D"/>
    <w:rsid w:val="00BC146B"/>
    <w:rsid w:val="00BC1524"/>
    <w:rsid w:val="00BC1621"/>
    <w:rsid w:val="00BC1805"/>
    <w:rsid w:val="00BC18AE"/>
    <w:rsid w:val="00BC1AEE"/>
    <w:rsid w:val="00BC1B11"/>
    <w:rsid w:val="00BC1B76"/>
    <w:rsid w:val="00BC1C9C"/>
    <w:rsid w:val="00BC1D16"/>
    <w:rsid w:val="00BC1D6B"/>
    <w:rsid w:val="00BC1F2A"/>
    <w:rsid w:val="00BC1FD3"/>
    <w:rsid w:val="00BC2077"/>
    <w:rsid w:val="00BC20AE"/>
    <w:rsid w:val="00BC219A"/>
    <w:rsid w:val="00BC21F8"/>
    <w:rsid w:val="00BC2277"/>
    <w:rsid w:val="00BC2351"/>
    <w:rsid w:val="00BC237C"/>
    <w:rsid w:val="00BC238C"/>
    <w:rsid w:val="00BC2551"/>
    <w:rsid w:val="00BC255E"/>
    <w:rsid w:val="00BC2597"/>
    <w:rsid w:val="00BC26EB"/>
    <w:rsid w:val="00BC27BD"/>
    <w:rsid w:val="00BC2932"/>
    <w:rsid w:val="00BC2A76"/>
    <w:rsid w:val="00BC2B1A"/>
    <w:rsid w:val="00BC2C9B"/>
    <w:rsid w:val="00BC2CFA"/>
    <w:rsid w:val="00BC2EF5"/>
    <w:rsid w:val="00BC2FC4"/>
    <w:rsid w:val="00BC2FF2"/>
    <w:rsid w:val="00BC30AB"/>
    <w:rsid w:val="00BC318D"/>
    <w:rsid w:val="00BC325A"/>
    <w:rsid w:val="00BC3269"/>
    <w:rsid w:val="00BC326F"/>
    <w:rsid w:val="00BC32E6"/>
    <w:rsid w:val="00BC334E"/>
    <w:rsid w:val="00BC3395"/>
    <w:rsid w:val="00BC3411"/>
    <w:rsid w:val="00BC350F"/>
    <w:rsid w:val="00BC3565"/>
    <w:rsid w:val="00BC35CA"/>
    <w:rsid w:val="00BC3692"/>
    <w:rsid w:val="00BC36BF"/>
    <w:rsid w:val="00BC36F0"/>
    <w:rsid w:val="00BC37AC"/>
    <w:rsid w:val="00BC38FC"/>
    <w:rsid w:val="00BC39DA"/>
    <w:rsid w:val="00BC3A13"/>
    <w:rsid w:val="00BC3B52"/>
    <w:rsid w:val="00BC3BFC"/>
    <w:rsid w:val="00BC3C04"/>
    <w:rsid w:val="00BC3CB7"/>
    <w:rsid w:val="00BC3D29"/>
    <w:rsid w:val="00BC3D6F"/>
    <w:rsid w:val="00BC3E99"/>
    <w:rsid w:val="00BC3EE2"/>
    <w:rsid w:val="00BC3EF9"/>
    <w:rsid w:val="00BC3F1D"/>
    <w:rsid w:val="00BC3FAD"/>
    <w:rsid w:val="00BC404A"/>
    <w:rsid w:val="00BC405F"/>
    <w:rsid w:val="00BC408D"/>
    <w:rsid w:val="00BC408F"/>
    <w:rsid w:val="00BC4096"/>
    <w:rsid w:val="00BC40DC"/>
    <w:rsid w:val="00BC4205"/>
    <w:rsid w:val="00BC4275"/>
    <w:rsid w:val="00BC4343"/>
    <w:rsid w:val="00BC4406"/>
    <w:rsid w:val="00BC4434"/>
    <w:rsid w:val="00BC4528"/>
    <w:rsid w:val="00BC456C"/>
    <w:rsid w:val="00BC461C"/>
    <w:rsid w:val="00BC461D"/>
    <w:rsid w:val="00BC47BE"/>
    <w:rsid w:val="00BC48A2"/>
    <w:rsid w:val="00BC48CD"/>
    <w:rsid w:val="00BC4913"/>
    <w:rsid w:val="00BC4970"/>
    <w:rsid w:val="00BC4971"/>
    <w:rsid w:val="00BC49CD"/>
    <w:rsid w:val="00BC4ABD"/>
    <w:rsid w:val="00BC4ACE"/>
    <w:rsid w:val="00BC4B57"/>
    <w:rsid w:val="00BC4C20"/>
    <w:rsid w:val="00BC4C49"/>
    <w:rsid w:val="00BC4C4C"/>
    <w:rsid w:val="00BC4D98"/>
    <w:rsid w:val="00BC4DEE"/>
    <w:rsid w:val="00BC4F32"/>
    <w:rsid w:val="00BC509F"/>
    <w:rsid w:val="00BC51B2"/>
    <w:rsid w:val="00BC51F6"/>
    <w:rsid w:val="00BC51FF"/>
    <w:rsid w:val="00BC52F7"/>
    <w:rsid w:val="00BC539C"/>
    <w:rsid w:val="00BC547C"/>
    <w:rsid w:val="00BC548A"/>
    <w:rsid w:val="00BC548F"/>
    <w:rsid w:val="00BC555E"/>
    <w:rsid w:val="00BC5601"/>
    <w:rsid w:val="00BC560E"/>
    <w:rsid w:val="00BC565A"/>
    <w:rsid w:val="00BC56E3"/>
    <w:rsid w:val="00BC57B1"/>
    <w:rsid w:val="00BC57DE"/>
    <w:rsid w:val="00BC5822"/>
    <w:rsid w:val="00BC5830"/>
    <w:rsid w:val="00BC5893"/>
    <w:rsid w:val="00BC5906"/>
    <w:rsid w:val="00BC5987"/>
    <w:rsid w:val="00BC5A73"/>
    <w:rsid w:val="00BC5AFD"/>
    <w:rsid w:val="00BC5B95"/>
    <w:rsid w:val="00BC5C69"/>
    <w:rsid w:val="00BC5D45"/>
    <w:rsid w:val="00BC5EA6"/>
    <w:rsid w:val="00BC5F0A"/>
    <w:rsid w:val="00BC5F9F"/>
    <w:rsid w:val="00BC5FDE"/>
    <w:rsid w:val="00BC606A"/>
    <w:rsid w:val="00BC60BA"/>
    <w:rsid w:val="00BC60CE"/>
    <w:rsid w:val="00BC6124"/>
    <w:rsid w:val="00BC6151"/>
    <w:rsid w:val="00BC61D9"/>
    <w:rsid w:val="00BC625D"/>
    <w:rsid w:val="00BC62DB"/>
    <w:rsid w:val="00BC6445"/>
    <w:rsid w:val="00BC647D"/>
    <w:rsid w:val="00BC64F8"/>
    <w:rsid w:val="00BC653B"/>
    <w:rsid w:val="00BC6573"/>
    <w:rsid w:val="00BC67A1"/>
    <w:rsid w:val="00BC67AA"/>
    <w:rsid w:val="00BC68A0"/>
    <w:rsid w:val="00BC691C"/>
    <w:rsid w:val="00BC6A03"/>
    <w:rsid w:val="00BC6A55"/>
    <w:rsid w:val="00BC6A73"/>
    <w:rsid w:val="00BC6B66"/>
    <w:rsid w:val="00BC6C40"/>
    <w:rsid w:val="00BC6D36"/>
    <w:rsid w:val="00BC6DA0"/>
    <w:rsid w:val="00BC6E9D"/>
    <w:rsid w:val="00BC6EDE"/>
    <w:rsid w:val="00BC6F6A"/>
    <w:rsid w:val="00BC6FAD"/>
    <w:rsid w:val="00BC6FBB"/>
    <w:rsid w:val="00BC6FF1"/>
    <w:rsid w:val="00BC702F"/>
    <w:rsid w:val="00BC7179"/>
    <w:rsid w:val="00BC7187"/>
    <w:rsid w:val="00BC71A5"/>
    <w:rsid w:val="00BC7288"/>
    <w:rsid w:val="00BC729C"/>
    <w:rsid w:val="00BC72FB"/>
    <w:rsid w:val="00BC7397"/>
    <w:rsid w:val="00BC73D5"/>
    <w:rsid w:val="00BC7443"/>
    <w:rsid w:val="00BC7449"/>
    <w:rsid w:val="00BC7455"/>
    <w:rsid w:val="00BC7488"/>
    <w:rsid w:val="00BC74C4"/>
    <w:rsid w:val="00BC7529"/>
    <w:rsid w:val="00BC755A"/>
    <w:rsid w:val="00BC7561"/>
    <w:rsid w:val="00BC7682"/>
    <w:rsid w:val="00BC76C5"/>
    <w:rsid w:val="00BC775F"/>
    <w:rsid w:val="00BC78B9"/>
    <w:rsid w:val="00BC78C5"/>
    <w:rsid w:val="00BC78DB"/>
    <w:rsid w:val="00BC7950"/>
    <w:rsid w:val="00BC7AC8"/>
    <w:rsid w:val="00BC7ACC"/>
    <w:rsid w:val="00BC7B44"/>
    <w:rsid w:val="00BC7C93"/>
    <w:rsid w:val="00BC7D11"/>
    <w:rsid w:val="00BC7DFC"/>
    <w:rsid w:val="00BC7EBD"/>
    <w:rsid w:val="00BC7F0E"/>
    <w:rsid w:val="00BC7F4C"/>
    <w:rsid w:val="00BC7F51"/>
    <w:rsid w:val="00BC7FC6"/>
    <w:rsid w:val="00BD0195"/>
    <w:rsid w:val="00BD0209"/>
    <w:rsid w:val="00BD0292"/>
    <w:rsid w:val="00BD0418"/>
    <w:rsid w:val="00BD0482"/>
    <w:rsid w:val="00BD052B"/>
    <w:rsid w:val="00BD0547"/>
    <w:rsid w:val="00BD0597"/>
    <w:rsid w:val="00BD05B5"/>
    <w:rsid w:val="00BD05C8"/>
    <w:rsid w:val="00BD0609"/>
    <w:rsid w:val="00BD065B"/>
    <w:rsid w:val="00BD06D9"/>
    <w:rsid w:val="00BD08DD"/>
    <w:rsid w:val="00BD08EA"/>
    <w:rsid w:val="00BD094A"/>
    <w:rsid w:val="00BD099C"/>
    <w:rsid w:val="00BD0CE8"/>
    <w:rsid w:val="00BD0D19"/>
    <w:rsid w:val="00BD0D32"/>
    <w:rsid w:val="00BD0E23"/>
    <w:rsid w:val="00BD0E30"/>
    <w:rsid w:val="00BD0E3B"/>
    <w:rsid w:val="00BD0F2D"/>
    <w:rsid w:val="00BD0FE5"/>
    <w:rsid w:val="00BD10E7"/>
    <w:rsid w:val="00BD1139"/>
    <w:rsid w:val="00BD1146"/>
    <w:rsid w:val="00BD11FB"/>
    <w:rsid w:val="00BD1231"/>
    <w:rsid w:val="00BD1233"/>
    <w:rsid w:val="00BD1282"/>
    <w:rsid w:val="00BD151C"/>
    <w:rsid w:val="00BD1528"/>
    <w:rsid w:val="00BD1633"/>
    <w:rsid w:val="00BD1673"/>
    <w:rsid w:val="00BD16BC"/>
    <w:rsid w:val="00BD173A"/>
    <w:rsid w:val="00BD1791"/>
    <w:rsid w:val="00BD1797"/>
    <w:rsid w:val="00BD17A2"/>
    <w:rsid w:val="00BD17E1"/>
    <w:rsid w:val="00BD1851"/>
    <w:rsid w:val="00BD1948"/>
    <w:rsid w:val="00BD1973"/>
    <w:rsid w:val="00BD1982"/>
    <w:rsid w:val="00BD1A34"/>
    <w:rsid w:val="00BD1A4C"/>
    <w:rsid w:val="00BD1B36"/>
    <w:rsid w:val="00BD1B8B"/>
    <w:rsid w:val="00BD1C98"/>
    <w:rsid w:val="00BD1D2A"/>
    <w:rsid w:val="00BD1D35"/>
    <w:rsid w:val="00BD1DB6"/>
    <w:rsid w:val="00BD1DDF"/>
    <w:rsid w:val="00BD1E2C"/>
    <w:rsid w:val="00BD1E61"/>
    <w:rsid w:val="00BD1E7B"/>
    <w:rsid w:val="00BD1EC6"/>
    <w:rsid w:val="00BD1F09"/>
    <w:rsid w:val="00BD203A"/>
    <w:rsid w:val="00BD218B"/>
    <w:rsid w:val="00BD2194"/>
    <w:rsid w:val="00BD21A8"/>
    <w:rsid w:val="00BD2222"/>
    <w:rsid w:val="00BD2296"/>
    <w:rsid w:val="00BD22E9"/>
    <w:rsid w:val="00BD2306"/>
    <w:rsid w:val="00BD23A0"/>
    <w:rsid w:val="00BD2446"/>
    <w:rsid w:val="00BD2451"/>
    <w:rsid w:val="00BD249D"/>
    <w:rsid w:val="00BD2510"/>
    <w:rsid w:val="00BD2718"/>
    <w:rsid w:val="00BD2769"/>
    <w:rsid w:val="00BD2808"/>
    <w:rsid w:val="00BD291A"/>
    <w:rsid w:val="00BD2930"/>
    <w:rsid w:val="00BD2940"/>
    <w:rsid w:val="00BD2A20"/>
    <w:rsid w:val="00BD2AAD"/>
    <w:rsid w:val="00BD2ACB"/>
    <w:rsid w:val="00BD2AE8"/>
    <w:rsid w:val="00BD2BC8"/>
    <w:rsid w:val="00BD2C7A"/>
    <w:rsid w:val="00BD2C80"/>
    <w:rsid w:val="00BD2CB3"/>
    <w:rsid w:val="00BD2D51"/>
    <w:rsid w:val="00BD2E37"/>
    <w:rsid w:val="00BD2E47"/>
    <w:rsid w:val="00BD2EF5"/>
    <w:rsid w:val="00BD2FF3"/>
    <w:rsid w:val="00BD3016"/>
    <w:rsid w:val="00BD305F"/>
    <w:rsid w:val="00BD3118"/>
    <w:rsid w:val="00BD31BE"/>
    <w:rsid w:val="00BD31CE"/>
    <w:rsid w:val="00BD31E5"/>
    <w:rsid w:val="00BD3200"/>
    <w:rsid w:val="00BD3216"/>
    <w:rsid w:val="00BD32D0"/>
    <w:rsid w:val="00BD3308"/>
    <w:rsid w:val="00BD3380"/>
    <w:rsid w:val="00BD33AC"/>
    <w:rsid w:val="00BD33AD"/>
    <w:rsid w:val="00BD33AF"/>
    <w:rsid w:val="00BD33C2"/>
    <w:rsid w:val="00BD3428"/>
    <w:rsid w:val="00BD34CD"/>
    <w:rsid w:val="00BD35D9"/>
    <w:rsid w:val="00BD35F9"/>
    <w:rsid w:val="00BD36F5"/>
    <w:rsid w:val="00BD3703"/>
    <w:rsid w:val="00BD370E"/>
    <w:rsid w:val="00BD3740"/>
    <w:rsid w:val="00BD37C9"/>
    <w:rsid w:val="00BD3884"/>
    <w:rsid w:val="00BD39FC"/>
    <w:rsid w:val="00BD3A48"/>
    <w:rsid w:val="00BD3BBE"/>
    <w:rsid w:val="00BD3C49"/>
    <w:rsid w:val="00BD3CBA"/>
    <w:rsid w:val="00BD3CC0"/>
    <w:rsid w:val="00BD3D0D"/>
    <w:rsid w:val="00BD3DB3"/>
    <w:rsid w:val="00BD3E76"/>
    <w:rsid w:val="00BD3F90"/>
    <w:rsid w:val="00BD3F93"/>
    <w:rsid w:val="00BD3FFF"/>
    <w:rsid w:val="00BD401F"/>
    <w:rsid w:val="00BD4021"/>
    <w:rsid w:val="00BD416D"/>
    <w:rsid w:val="00BD41E1"/>
    <w:rsid w:val="00BD420F"/>
    <w:rsid w:val="00BD434B"/>
    <w:rsid w:val="00BD436F"/>
    <w:rsid w:val="00BD4374"/>
    <w:rsid w:val="00BD4414"/>
    <w:rsid w:val="00BD446D"/>
    <w:rsid w:val="00BD44BF"/>
    <w:rsid w:val="00BD454E"/>
    <w:rsid w:val="00BD4563"/>
    <w:rsid w:val="00BD45EC"/>
    <w:rsid w:val="00BD466D"/>
    <w:rsid w:val="00BD4709"/>
    <w:rsid w:val="00BD474C"/>
    <w:rsid w:val="00BD4786"/>
    <w:rsid w:val="00BD47B0"/>
    <w:rsid w:val="00BD47FD"/>
    <w:rsid w:val="00BD4898"/>
    <w:rsid w:val="00BD489A"/>
    <w:rsid w:val="00BD498B"/>
    <w:rsid w:val="00BD49B2"/>
    <w:rsid w:val="00BD4A0B"/>
    <w:rsid w:val="00BD4A1F"/>
    <w:rsid w:val="00BD4A20"/>
    <w:rsid w:val="00BD4A96"/>
    <w:rsid w:val="00BD4AFF"/>
    <w:rsid w:val="00BD4B46"/>
    <w:rsid w:val="00BD4BBC"/>
    <w:rsid w:val="00BD4C23"/>
    <w:rsid w:val="00BD4C7C"/>
    <w:rsid w:val="00BD4D14"/>
    <w:rsid w:val="00BD4E23"/>
    <w:rsid w:val="00BD4EA7"/>
    <w:rsid w:val="00BD4FA1"/>
    <w:rsid w:val="00BD4FE2"/>
    <w:rsid w:val="00BD4FF2"/>
    <w:rsid w:val="00BD4FF5"/>
    <w:rsid w:val="00BD5014"/>
    <w:rsid w:val="00BD513A"/>
    <w:rsid w:val="00BD5349"/>
    <w:rsid w:val="00BD5431"/>
    <w:rsid w:val="00BD5438"/>
    <w:rsid w:val="00BD54A1"/>
    <w:rsid w:val="00BD5574"/>
    <w:rsid w:val="00BD55E0"/>
    <w:rsid w:val="00BD5601"/>
    <w:rsid w:val="00BD5608"/>
    <w:rsid w:val="00BD5620"/>
    <w:rsid w:val="00BD5727"/>
    <w:rsid w:val="00BD58B4"/>
    <w:rsid w:val="00BD58CC"/>
    <w:rsid w:val="00BD5918"/>
    <w:rsid w:val="00BD59D4"/>
    <w:rsid w:val="00BD5A87"/>
    <w:rsid w:val="00BD5AA6"/>
    <w:rsid w:val="00BD5AEA"/>
    <w:rsid w:val="00BD5B3D"/>
    <w:rsid w:val="00BD5BB6"/>
    <w:rsid w:val="00BD5BE1"/>
    <w:rsid w:val="00BD5BF0"/>
    <w:rsid w:val="00BD5C19"/>
    <w:rsid w:val="00BD5C3B"/>
    <w:rsid w:val="00BD5CD7"/>
    <w:rsid w:val="00BD5DB2"/>
    <w:rsid w:val="00BD5F1F"/>
    <w:rsid w:val="00BD6155"/>
    <w:rsid w:val="00BD63DD"/>
    <w:rsid w:val="00BD656F"/>
    <w:rsid w:val="00BD658C"/>
    <w:rsid w:val="00BD682C"/>
    <w:rsid w:val="00BD6858"/>
    <w:rsid w:val="00BD6862"/>
    <w:rsid w:val="00BD68F8"/>
    <w:rsid w:val="00BD6904"/>
    <w:rsid w:val="00BD693D"/>
    <w:rsid w:val="00BD6A59"/>
    <w:rsid w:val="00BD6A95"/>
    <w:rsid w:val="00BD6B50"/>
    <w:rsid w:val="00BD6BE3"/>
    <w:rsid w:val="00BD6BF7"/>
    <w:rsid w:val="00BD6C9A"/>
    <w:rsid w:val="00BD6CE5"/>
    <w:rsid w:val="00BD6CE7"/>
    <w:rsid w:val="00BD6D5E"/>
    <w:rsid w:val="00BD6DA2"/>
    <w:rsid w:val="00BD6E2D"/>
    <w:rsid w:val="00BD6F82"/>
    <w:rsid w:val="00BD6FA0"/>
    <w:rsid w:val="00BD6FEA"/>
    <w:rsid w:val="00BD7021"/>
    <w:rsid w:val="00BD7042"/>
    <w:rsid w:val="00BD7052"/>
    <w:rsid w:val="00BD70C9"/>
    <w:rsid w:val="00BD7119"/>
    <w:rsid w:val="00BD71F1"/>
    <w:rsid w:val="00BD725F"/>
    <w:rsid w:val="00BD72CC"/>
    <w:rsid w:val="00BD7472"/>
    <w:rsid w:val="00BD751A"/>
    <w:rsid w:val="00BD7551"/>
    <w:rsid w:val="00BD7556"/>
    <w:rsid w:val="00BD757C"/>
    <w:rsid w:val="00BD75AA"/>
    <w:rsid w:val="00BD75AE"/>
    <w:rsid w:val="00BD75B3"/>
    <w:rsid w:val="00BD75C9"/>
    <w:rsid w:val="00BD75F0"/>
    <w:rsid w:val="00BD76C4"/>
    <w:rsid w:val="00BD76CE"/>
    <w:rsid w:val="00BD7735"/>
    <w:rsid w:val="00BD774C"/>
    <w:rsid w:val="00BD77D7"/>
    <w:rsid w:val="00BD77F7"/>
    <w:rsid w:val="00BD7801"/>
    <w:rsid w:val="00BD7815"/>
    <w:rsid w:val="00BD788F"/>
    <w:rsid w:val="00BD78CD"/>
    <w:rsid w:val="00BD7911"/>
    <w:rsid w:val="00BD791B"/>
    <w:rsid w:val="00BD7B0D"/>
    <w:rsid w:val="00BD7B5B"/>
    <w:rsid w:val="00BD7C42"/>
    <w:rsid w:val="00BD7D18"/>
    <w:rsid w:val="00BD7D4F"/>
    <w:rsid w:val="00BD7E55"/>
    <w:rsid w:val="00BD7FAC"/>
    <w:rsid w:val="00BE015A"/>
    <w:rsid w:val="00BE01A8"/>
    <w:rsid w:val="00BE0224"/>
    <w:rsid w:val="00BE0268"/>
    <w:rsid w:val="00BE02B9"/>
    <w:rsid w:val="00BE02E5"/>
    <w:rsid w:val="00BE034D"/>
    <w:rsid w:val="00BE03F9"/>
    <w:rsid w:val="00BE0427"/>
    <w:rsid w:val="00BE0568"/>
    <w:rsid w:val="00BE05F0"/>
    <w:rsid w:val="00BE07B3"/>
    <w:rsid w:val="00BE07BD"/>
    <w:rsid w:val="00BE0839"/>
    <w:rsid w:val="00BE096F"/>
    <w:rsid w:val="00BE0971"/>
    <w:rsid w:val="00BE09DE"/>
    <w:rsid w:val="00BE0B54"/>
    <w:rsid w:val="00BE0BEA"/>
    <w:rsid w:val="00BE0D15"/>
    <w:rsid w:val="00BE0D54"/>
    <w:rsid w:val="00BE0DD5"/>
    <w:rsid w:val="00BE0E9E"/>
    <w:rsid w:val="00BE0EB8"/>
    <w:rsid w:val="00BE0F59"/>
    <w:rsid w:val="00BE0F8E"/>
    <w:rsid w:val="00BE0FD2"/>
    <w:rsid w:val="00BE1099"/>
    <w:rsid w:val="00BE10C3"/>
    <w:rsid w:val="00BE11B9"/>
    <w:rsid w:val="00BE1203"/>
    <w:rsid w:val="00BE1295"/>
    <w:rsid w:val="00BE12AA"/>
    <w:rsid w:val="00BE1395"/>
    <w:rsid w:val="00BE13A3"/>
    <w:rsid w:val="00BE140A"/>
    <w:rsid w:val="00BE14BA"/>
    <w:rsid w:val="00BE14CD"/>
    <w:rsid w:val="00BE153D"/>
    <w:rsid w:val="00BE1544"/>
    <w:rsid w:val="00BE1582"/>
    <w:rsid w:val="00BE1613"/>
    <w:rsid w:val="00BE1625"/>
    <w:rsid w:val="00BE166F"/>
    <w:rsid w:val="00BE17CF"/>
    <w:rsid w:val="00BE1847"/>
    <w:rsid w:val="00BE18E9"/>
    <w:rsid w:val="00BE195A"/>
    <w:rsid w:val="00BE1A65"/>
    <w:rsid w:val="00BE1A84"/>
    <w:rsid w:val="00BE1A86"/>
    <w:rsid w:val="00BE1AD4"/>
    <w:rsid w:val="00BE1B52"/>
    <w:rsid w:val="00BE1B73"/>
    <w:rsid w:val="00BE1B7C"/>
    <w:rsid w:val="00BE1B97"/>
    <w:rsid w:val="00BE1C05"/>
    <w:rsid w:val="00BE1C09"/>
    <w:rsid w:val="00BE1C2F"/>
    <w:rsid w:val="00BE1C47"/>
    <w:rsid w:val="00BE1C79"/>
    <w:rsid w:val="00BE1CB7"/>
    <w:rsid w:val="00BE1D36"/>
    <w:rsid w:val="00BE1D60"/>
    <w:rsid w:val="00BE1E81"/>
    <w:rsid w:val="00BE1FB2"/>
    <w:rsid w:val="00BE2069"/>
    <w:rsid w:val="00BE208E"/>
    <w:rsid w:val="00BE20A8"/>
    <w:rsid w:val="00BE20E1"/>
    <w:rsid w:val="00BE211C"/>
    <w:rsid w:val="00BE2238"/>
    <w:rsid w:val="00BE2314"/>
    <w:rsid w:val="00BE23AE"/>
    <w:rsid w:val="00BE244B"/>
    <w:rsid w:val="00BE2494"/>
    <w:rsid w:val="00BE25F1"/>
    <w:rsid w:val="00BE267A"/>
    <w:rsid w:val="00BE28CF"/>
    <w:rsid w:val="00BE293A"/>
    <w:rsid w:val="00BE2956"/>
    <w:rsid w:val="00BE2982"/>
    <w:rsid w:val="00BE2A09"/>
    <w:rsid w:val="00BE2A45"/>
    <w:rsid w:val="00BE2A5E"/>
    <w:rsid w:val="00BE2A78"/>
    <w:rsid w:val="00BE2AB8"/>
    <w:rsid w:val="00BE2AC2"/>
    <w:rsid w:val="00BE2B95"/>
    <w:rsid w:val="00BE2BCE"/>
    <w:rsid w:val="00BE2BF3"/>
    <w:rsid w:val="00BE2C02"/>
    <w:rsid w:val="00BE2C18"/>
    <w:rsid w:val="00BE2C23"/>
    <w:rsid w:val="00BE2CD2"/>
    <w:rsid w:val="00BE2CF7"/>
    <w:rsid w:val="00BE2CFF"/>
    <w:rsid w:val="00BE2D4E"/>
    <w:rsid w:val="00BE2D71"/>
    <w:rsid w:val="00BE2D77"/>
    <w:rsid w:val="00BE2D85"/>
    <w:rsid w:val="00BE2D9D"/>
    <w:rsid w:val="00BE2DB4"/>
    <w:rsid w:val="00BE2DFB"/>
    <w:rsid w:val="00BE2F04"/>
    <w:rsid w:val="00BE2FCF"/>
    <w:rsid w:val="00BE2FF8"/>
    <w:rsid w:val="00BE3082"/>
    <w:rsid w:val="00BE30F5"/>
    <w:rsid w:val="00BE314E"/>
    <w:rsid w:val="00BE3249"/>
    <w:rsid w:val="00BE327E"/>
    <w:rsid w:val="00BE32E4"/>
    <w:rsid w:val="00BE343E"/>
    <w:rsid w:val="00BE34C8"/>
    <w:rsid w:val="00BE350E"/>
    <w:rsid w:val="00BE352F"/>
    <w:rsid w:val="00BE3574"/>
    <w:rsid w:val="00BE35BF"/>
    <w:rsid w:val="00BE35D0"/>
    <w:rsid w:val="00BE35FB"/>
    <w:rsid w:val="00BE3608"/>
    <w:rsid w:val="00BE36A3"/>
    <w:rsid w:val="00BE36F0"/>
    <w:rsid w:val="00BE3785"/>
    <w:rsid w:val="00BE37AE"/>
    <w:rsid w:val="00BE3942"/>
    <w:rsid w:val="00BE3A17"/>
    <w:rsid w:val="00BE3A81"/>
    <w:rsid w:val="00BE3AA0"/>
    <w:rsid w:val="00BE3AC5"/>
    <w:rsid w:val="00BE3B47"/>
    <w:rsid w:val="00BE3C66"/>
    <w:rsid w:val="00BE3C9A"/>
    <w:rsid w:val="00BE3D0F"/>
    <w:rsid w:val="00BE3E1C"/>
    <w:rsid w:val="00BE3E68"/>
    <w:rsid w:val="00BE3ECE"/>
    <w:rsid w:val="00BE3F31"/>
    <w:rsid w:val="00BE3F7F"/>
    <w:rsid w:val="00BE4005"/>
    <w:rsid w:val="00BE401C"/>
    <w:rsid w:val="00BE4058"/>
    <w:rsid w:val="00BE406C"/>
    <w:rsid w:val="00BE4143"/>
    <w:rsid w:val="00BE4166"/>
    <w:rsid w:val="00BE419B"/>
    <w:rsid w:val="00BE4307"/>
    <w:rsid w:val="00BE4365"/>
    <w:rsid w:val="00BE4575"/>
    <w:rsid w:val="00BE4594"/>
    <w:rsid w:val="00BE45C0"/>
    <w:rsid w:val="00BE462B"/>
    <w:rsid w:val="00BE4724"/>
    <w:rsid w:val="00BE47C5"/>
    <w:rsid w:val="00BE47DD"/>
    <w:rsid w:val="00BE49A4"/>
    <w:rsid w:val="00BE49CE"/>
    <w:rsid w:val="00BE4A07"/>
    <w:rsid w:val="00BE4A7A"/>
    <w:rsid w:val="00BE4B1B"/>
    <w:rsid w:val="00BE4B58"/>
    <w:rsid w:val="00BE4BD8"/>
    <w:rsid w:val="00BE4C93"/>
    <w:rsid w:val="00BE4CB1"/>
    <w:rsid w:val="00BE4D16"/>
    <w:rsid w:val="00BE4D24"/>
    <w:rsid w:val="00BE4DE5"/>
    <w:rsid w:val="00BE4F7F"/>
    <w:rsid w:val="00BE4F88"/>
    <w:rsid w:val="00BE4FDA"/>
    <w:rsid w:val="00BE5053"/>
    <w:rsid w:val="00BE5064"/>
    <w:rsid w:val="00BE5083"/>
    <w:rsid w:val="00BE508E"/>
    <w:rsid w:val="00BE50B6"/>
    <w:rsid w:val="00BE50C3"/>
    <w:rsid w:val="00BE5176"/>
    <w:rsid w:val="00BE51B0"/>
    <w:rsid w:val="00BE5294"/>
    <w:rsid w:val="00BE5307"/>
    <w:rsid w:val="00BE532E"/>
    <w:rsid w:val="00BE53D6"/>
    <w:rsid w:val="00BE540C"/>
    <w:rsid w:val="00BE548A"/>
    <w:rsid w:val="00BE5499"/>
    <w:rsid w:val="00BE554A"/>
    <w:rsid w:val="00BE554C"/>
    <w:rsid w:val="00BE55BF"/>
    <w:rsid w:val="00BE55E9"/>
    <w:rsid w:val="00BE5617"/>
    <w:rsid w:val="00BE5645"/>
    <w:rsid w:val="00BE5651"/>
    <w:rsid w:val="00BE56D9"/>
    <w:rsid w:val="00BE56E2"/>
    <w:rsid w:val="00BE5704"/>
    <w:rsid w:val="00BE570C"/>
    <w:rsid w:val="00BE578D"/>
    <w:rsid w:val="00BE58E0"/>
    <w:rsid w:val="00BE5919"/>
    <w:rsid w:val="00BE5973"/>
    <w:rsid w:val="00BE5A86"/>
    <w:rsid w:val="00BE5B88"/>
    <w:rsid w:val="00BE5C57"/>
    <w:rsid w:val="00BE5CE4"/>
    <w:rsid w:val="00BE5CE7"/>
    <w:rsid w:val="00BE5CFD"/>
    <w:rsid w:val="00BE5DD7"/>
    <w:rsid w:val="00BE5E52"/>
    <w:rsid w:val="00BE5E87"/>
    <w:rsid w:val="00BE5EA3"/>
    <w:rsid w:val="00BE5EE8"/>
    <w:rsid w:val="00BE5F03"/>
    <w:rsid w:val="00BE5F70"/>
    <w:rsid w:val="00BE6130"/>
    <w:rsid w:val="00BE6174"/>
    <w:rsid w:val="00BE6245"/>
    <w:rsid w:val="00BE624B"/>
    <w:rsid w:val="00BE6274"/>
    <w:rsid w:val="00BE6279"/>
    <w:rsid w:val="00BE62D4"/>
    <w:rsid w:val="00BE636F"/>
    <w:rsid w:val="00BE65A7"/>
    <w:rsid w:val="00BE6616"/>
    <w:rsid w:val="00BE664E"/>
    <w:rsid w:val="00BE66BE"/>
    <w:rsid w:val="00BE66CF"/>
    <w:rsid w:val="00BE674C"/>
    <w:rsid w:val="00BE6763"/>
    <w:rsid w:val="00BE6878"/>
    <w:rsid w:val="00BE687B"/>
    <w:rsid w:val="00BE68E1"/>
    <w:rsid w:val="00BE698C"/>
    <w:rsid w:val="00BE6A03"/>
    <w:rsid w:val="00BE6A38"/>
    <w:rsid w:val="00BE6A50"/>
    <w:rsid w:val="00BE6A74"/>
    <w:rsid w:val="00BE6AA0"/>
    <w:rsid w:val="00BE6ADA"/>
    <w:rsid w:val="00BE6B44"/>
    <w:rsid w:val="00BE6B7E"/>
    <w:rsid w:val="00BE6BAA"/>
    <w:rsid w:val="00BE6BD4"/>
    <w:rsid w:val="00BE6C51"/>
    <w:rsid w:val="00BE6C65"/>
    <w:rsid w:val="00BE6CF6"/>
    <w:rsid w:val="00BE6D25"/>
    <w:rsid w:val="00BE6DF8"/>
    <w:rsid w:val="00BE6E28"/>
    <w:rsid w:val="00BE6E8D"/>
    <w:rsid w:val="00BE6F28"/>
    <w:rsid w:val="00BE6F62"/>
    <w:rsid w:val="00BE6FC9"/>
    <w:rsid w:val="00BE7041"/>
    <w:rsid w:val="00BE70B4"/>
    <w:rsid w:val="00BE70C1"/>
    <w:rsid w:val="00BE715D"/>
    <w:rsid w:val="00BE71CD"/>
    <w:rsid w:val="00BE71D4"/>
    <w:rsid w:val="00BE739C"/>
    <w:rsid w:val="00BE74EB"/>
    <w:rsid w:val="00BE74F2"/>
    <w:rsid w:val="00BE7523"/>
    <w:rsid w:val="00BE75EC"/>
    <w:rsid w:val="00BE763D"/>
    <w:rsid w:val="00BE776C"/>
    <w:rsid w:val="00BE778E"/>
    <w:rsid w:val="00BE77B4"/>
    <w:rsid w:val="00BE77B9"/>
    <w:rsid w:val="00BE782A"/>
    <w:rsid w:val="00BE7893"/>
    <w:rsid w:val="00BE796A"/>
    <w:rsid w:val="00BE79CC"/>
    <w:rsid w:val="00BE7AB0"/>
    <w:rsid w:val="00BE7AE7"/>
    <w:rsid w:val="00BE7B13"/>
    <w:rsid w:val="00BE7BAB"/>
    <w:rsid w:val="00BE7C50"/>
    <w:rsid w:val="00BE7C56"/>
    <w:rsid w:val="00BE7CA4"/>
    <w:rsid w:val="00BE7D1E"/>
    <w:rsid w:val="00BE7D3B"/>
    <w:rsid w:val="00BE7E42"/>
    <w:rsid w:val="00BE7EC0"/>
    <w:rsid w:val="00BE7F7D"/>
    <w:rsid w:val="00BE7FBA"/>
    <w:rsid w:val="00BF039F"/>
    <w:rsid w:val="00BF049F"/>
    <w:rsid w:val="00BF0509"/>
    <w:rsid w:val="00BF053C"/>
    <w:rsid w:val="00BF054F"/>
    <w:rsid w:val="00BF05C9"/>
    <w:rsid w:val="00BF0615"/>
    <w:rsid w:val="00BF0617"/>
    <w:rsid w:val="00BF0645"/>
    <w:rsid w:val="00BF074C"/>
    <w:rsid w:val="00BF07DC"/>
    <w:rsid w:val="00BF082B"/>
    <w:rsid w:val="00BF08EE"/>
    <w:rsid w:val="00BF0A43"/>
    <w:rsid w:val="00BF0A5D"/>
    <w:rsid w:val="00BF0AE5"/>
    <w:rsid w:val="00BF0C5D"/>
    <w:rsid w:val="00BF0C67"/>
    <w:rsid w:val="00BF0DED"/>
    <w:rsid w:val="00BF0FD2"/>
    <w:rsid w:val="00BF0FF4"/>
    <w:rsid w:val="00BF0FF9"/>
    <w:rsid w:val="00BF1028"/>
    <w:rsid w:val="00BF1097"/>
    <w:rsid w:val="00BF10E0"/>
    <w:rsid w:val="00BF10EC"/>
    <w:rsid w:val="00BF1103"/>
    <w:rsid w:val="00BF123C"/>
    <w:rsid w:val="00BF1285"/>
    <w:rsid w:val="00BF128C"/>
    <w:rsid w:val="00BF12CE"/>
    <w:rsid w:val="00BF134B"/>
    <w:rsid w:val="00BF1384"/>
    <w:rsid w:val="00BF13DE"/>
    <w:rsid w:val="00BF13F1"/>
    <w:rsid w:val="00BF1403"/>
    <w:rsid w:val="00BF1407"/>
    <w:rsid w:val="00BF1433"/>
    <w:rsid w:val="00BF1492"/>
    <w:rsid w:val="00BF14CA"/>
    <w:rsid w:val="00BF14EB"/>
    <w:rsid w:val="00BF1507"/>
    <w:rsid w:val="00BF168A"/>
    <w:rsid w:val="00BF1697"/>
    <w:rsid w:val="00BF16F7"/>
    <w:rsid w:val="00BF184A"/>
    <w:rsid w:val="00BF1961"/>
    <w:rsid w:val="00BF1A2E"/>
    <w:rsid w:val="00BF1B14"/>
    <w:rsid w:val="00BF1C08"/>
    <w:rsid w:val="00BF1C19"/>
    <w:rsid w:val="00BF1D2C"/>
    <w:rsid w:val="00BF1E4A"/>
    <w:rsid w:val="00BF1F17"/>
    <w:rsid w:val="00BF1FB5"/>
    <w:rsid w:val="00BF2089"/>
    <w:rsid w:val="00BF2107"/>
    <w:rsid w:val="00BF2128"/>
    <w:rsid w:val="00BF247E"/>
    <w:rsid w:val="00BF2487"/>
    <w:rsid w:val="00BF24A5"/>
    <w:rsid w:val="00BF24FE"/>
    <w:rsid w:val="00BF253C"/>
    <w:rsid w:val="00BF2582"/>
    <w:rsid w:val="00BF2751"/>
    <w:rsid w:val="00BF2816"/>
    <w:rsid w:val="00BF283B"/>
    <w:rsid w:val="00BF2840"/>
    <w:rsid w:val="00BF28E8"/>
    <w:rsid w:val="00BF2973"/>
    <w:rsid w:val="00BF29C0"/>
    <w:rsid w:val="00BF2A71"/>
    <w:rsid w:val="00BF2AFF"/>
    <w:rsid w:val="00BF2B0D"/>
    <w:rsid w:val="00BF2B28"/>
    <w:rsid w:val="00BF2C4C"/>
    <w:rsid w:val="00BF2C69"/>
    <w:rsid w:val="00BF2C92"/>
    <w:rsid w:val="00BF2CEC"/>
    <w:rsid w:val="00BF2E33"/>
    <w:rsid w:val="00BF2F52"/>
    <w:rsid w:val="00BF2F87"/>
    <w:rsid w:val="00BF306B"/>
    <w:rsid w:val="00BF309D"/>
    <w:rsid w:val="00BF30F1"/>
    <w:rsid w:val="00BF3131"/>
    <w:rsid w:val="00BF314B"/>
    <w:rsid w:val="00BF3171"/>
    <w:rsid w:val="00BF31FB"/>
    <w:rsid w:val="00BF32B6"/>
    <w:rsid w:val="00BF32C9"/>
    <w:rsid w:val="00BF32E7"/>
    <w:rsid w:val="00BF331F"/>
    <w:rsid w:val="00BF3370"/>
    <w:rsid w:val="00BF3417"/>
    <w:rsid w:val="00BF3486"/>
    <w:rsid w:val="00BF35BE"/>
    <w:rsid w:val="00BF35FC"/>
    <w:rsid w:val="00BF3600"/>
    <w:rsid w:val="00BF36DC"/>
    <w:rsid w:val="00BF37CC"/>
    <w:rsid w:val="00BF37DA"/>
    <w:rsid w:val="00BF38D1"/>
    <w:rsid w:val="00BF3960"/>
    <w:rsid w:val="00BF3996"/>
    <w:rsid w:val="00BF39AB"/>
    <w:rsid w:val="00BF3A26"/>
    <w:rsid w:val="00BF3A4B"/>
    <w:rsid w:val="00BF3B20"/>
    <w:rsid w:val="00BF3BF1"/>
    <w:rsid w:val="00BF3CA2"/>
    <w:rsid w:val="00BF3D0F"/>
    <w:rsid w:val="00BF3D9E"/>
    <w:rsid w:val="00BF3DDF"/>
    <w:rsid w:val="00BF3DEA"/>
    <w:rsid w:val="00BF3E07"/>
    <w:rsid w:val="00BF3E20"/>
    <w:rsid w:val="00BF3E46"/>
    <w:rsid w:val="00BF3EE0"/>
    <w:rsid w:val="00BF3F10"/>
    <w:rsid w:val="00BF3F38"/>
    <w:rsid w:val="00BF3F85"/>
    <w:rsid w:val="00BF3FB4"/>
    <w:rsid w:val="00BF3FF6"/>
    <w:rsid w:val="00BF4057"/>
    <w:rsid w:val="00BF4059"/>
    <w:rsid w:val="00BF40B7"/>
    <w:rsid w:val="00BF41CE"/>
    <w:rsid w:val="00BF4264"/>
    <w:rsid w:val="00BF4315"/>
    <w:rsid w:val="00BF445A"/>
    <w:rsid w:val="00BF44E4"/>
    <w:rsid w:val="00BF44F3"/>
    <w:rsid w:val="00BF455C"/>
    <w:rsid w:val="00BF4723"/>
    <w:rsid w:val="00BF475F"/>
    <w:rsid w:val="00BF47D3"/>
    <w:rsid w:val="00BF4872"/>
    <w:rsid w:val="00BF4902"/>
    <w:rsid w:val="00BF491F"/>
    <w:rsid w:val="00BF4944"/>
    <w:rsid w:val="00BF4A5B"/>
    <w:rsid w:val="00BF4AAD"/>
    <w:rsid w:val="00BF4B07"/>
    <w:rsid w:val="00BF4B81"/>
    <w:rsid w:val="00BF4C24"/>
    <w:rsid w:val="00BF4C96"/>
    <w:rsid w:val="00BF4E2E"/>
    <w:rsid w:val="00BF4E91"/>
    <w:rsid w:val="00BF4F63"/>
    <w:rsid w:val="00BF507E"/>
    <w:rsid w:val="00BF50DF"/>
    <w:rsid w:val="00BF5147"/>
    <w:rsid w:val="00BF5178"/>
    <w:rsid w:val="00BF521E"/>
    <w:rsid w:val="00BF5273"/>
    <w:rsid w:val="00BF539D"/>
    <w:rsid w:val="00BF5436"/>
    <w:rsid w:val="00BF5729"/>
    <w:rsid w:val="00BF5733"/>
    <w:rsid w:val="00BF5743"/>
    <w:rsid w:val="00BF57C0"/>
    <w:rsid w:val="00BF5883"/>
    <w:rsid w:val="00BF58F1"/>
    <w:rsid w:val="00BF598F"/>
    <w:rsid w:val="00BF5A2F"/>
    <w:rsid w:val="00BF5B01"/>
    <w:rsid w:val="00BF5B46"/>
    <w:rsid w:val="00BF5C77"/>
    <w:rsid w:val="00BF5C8B"/>
    <w:rsid w:val="00BF5CFD"/>
    <w:rsid w:val="00BF5E12"/>
    <w:rsid w:val="00BF5EBE"/>
    <w:rsid w:val="00BF5ED2"/>
    <w:rsid w:val="00BF5F52"/>
    <w:rsid w:val="00BF5FED"/>
    <w:rsid w:val="00BF6034"/>
    <w:rsid w:val="00BF60B3"/>
    <w:rsid w:val="00BF6102"/>
    <w:rsid w:val="00BF6106"/>
    <w:rsid w:val="00BF61DD"/>
    <w:rsid w:val="00BF61E3"/>
    <w:rsid w:val="00BF62D2"/>
    <w:rsid w:val="00BF63AC"/>
    <w:rsid w:val="00BF63BC"/>
    <w:rsid w:val="00BF6498"/>
    <w:rsid w:val="00BF64E5"/>
    <w:rsid w:val="00BF658B"/>
    <w:rsid w:val="00BF6694"/>
    <w:rsid w:val="00BF66E0"/>
    <w:rsid w:val="00BF678E"/>
    <w:rsid w:val="00BF68DE"/>
    <w:rsid w:val="00BF68E6"/>
    <w:rsid w:val="00BF69D2"/>
    <w:rsid w:val="00BF69F2"/>
    <w:rsid w:val="00BF6BBB"/>
    <w:rsid w:val="00BF6BE7"/>
    <w:rsid w:val="00BF6C58"/>
    <w:rsid w:val="00BF6D8C"/>
    <w:rsid w:val="00BF6DB6"/>
    <w:rsid w:val="00BF6DF9"/>
    <w:rsid w:val="00BF6E01"/>
    <w:rsid w:val="00BF6E51"/>
    <w:rsid w:val="00BF6E9F"/>
    <w:rsid w:val="00BF6F15"/>
    <w:rsid w:val="00BF6F3A"/>
    <w:rsid w:val="00BF7019"/>
    <w:rsid w:val="00BF703F"/>
    <w:rsid w:val="00BF70D6"/>
    <w:rsid w:val="00BF7122"/>
    <w:rsid w:val="00BF7252"/>
    <w:rsid w:val="00BF726D"/>
    <w:rsid w:val="00BF7275"/>
    <w:rsid w:val="00BF729B"/>
    <w:rsid w:val="00BF746B"/>
    <w:rsid w:val="00BF74B5"/>
    <w:rsid w:val="00BF7528"/>
    <w:rsid w:val="00BF7538"/>
    <w:rsid w:val="00BF7578"/>
    <w:rsid w:val="00BF75BE"/>
    <w:rsid w:val="00BF762A"/>
    <w:rsid w:val="00BF76CA"/>
    <w:rsid w:val="00BF77A9"/>
    <w:rsid w:val="00BF77C0"/>
    <w:rsid w:val="00BF7821"/>
    <w:rsid w:val="00BF787E"/>
    <w:rsid w:val="00BF78B4"/>
    <w:rsid w:val="00BF79F7"/>
    <w:rsid w:val="00BF7A25"/>
    <w:rsid w:val="00BF7A9E"/>
    <w:rsid w:val="00BF7D91"/>
    <w:rsid w:val="00BF7DAC"/>
    <w:rsid w:val="00BF7EE8"/>
    <w:rsid w:val="00BF7F20"/>
    <w:rsid w:val="00C00088"/>
    <w:rsid w:val="00C00100"/>
    <w:rsid w:val="00C00156"/>
    <w:rsid w:val="00C001E7"/>
    <w:rsid w:val="00C00324"/>
    <w:rsid w:val="00C0032D"/>
    <w:rsid w:val="00C00351"/>
    <w:rsid w:val="00C00522"/>
    <w:rsid w:val="00C00561"/>
    <w:rsid w:val="00C0058D"/>
    <w:rsid w:val="00C00658"/>
    <w:rsid w:val="00C00679"/>
    <w:rsid w:val="00C0079C"/>
    <w:rsid w:val="00C007D5"/>
    <w:rsid w:val="00C008CE"/>
    <w:rsid w:val="00C00979"/>
    <w:rsid w:val="00C00A37"/>
    <w:rsid w:val="00C00AC6"/>
    <w:rsid w:val="00C00B81"/>
    <w:rsid w:val="00C00B86"/>
    <w:rsid w:val="00C00D48"/>
    <w:rsid w:val="00C00D53"/>
    <w:rsid w:val="00C00E15"/>
    <w:rsid w:val="00C00EA9"/>
    <w:rsid w:val="00C00ED3"/>
    <w:rsid w:val="00C00F0B"/>
    <w:rsid w:val="00C00F1C"/>
    <w:rsid w:val="00C00F32"/>
    <w:rsid w:val="00C00FBB"/>
    <w:rsid w:val="00C00FEE"/>
    <w:rsid w:val="00C0101D"/>
    <w:rsid w:val="00C01077"/>
    <w:rsid w:val="00C0109C"/>
    <w:rsid w:val="00C0112A"/>
    <w:rsid w:val="00C01152"/>
    <w:rsid w:val="00C011E4"/>
    <w:rsid w:val="00C01276"/>
    <w:rsid w:val="00C012DE"/>
    <w:rsid w:val="00C01405"/>
    <w:rsid w:val="00C0145F"/>
    <w:rsid w:val="00C014F3"/>
    <w:rsid w:val="00C01672"/>
    <w:rsid w:val="00C01714"/>
    <w:rsid w:val="00C01866"/>
    <w:rsid w:val="00C0191C"/>
    <w:rsid w:val="00C0193F"/>
    <w:rsid w:val="00C0194E"/>
    <w:rsid w:val="00C01A78"/>
    <w:rsid w:val="00C01C20"/>
    <w:rsid w:val="00C01C32"/>
    <w:rsid w:val="00C01CC2"/>
    <w:rsid w:val="00C01D33"/>
    <w:rsid w:val="00C01DBA"/>
    <w:rsid w:val="00C01E92"/>
    <w:rsid w:val="00C01EA0"/>
    <w:rsid w:val="00C01F85"/>
    <w:rsid w:val="00C0203A"/>
    <w:rsid w:val="00C02055"/>
    <w:rsid w:val="00C02179"/>
    <w:rsid w:val="00C021FB"/>
    <w:rsid w:val="00C0222A"/>
    <w:rsid w:val="00C02324"/>
    <w:rsid w:val="00C0235A"/>
    <w:rsid w:val="00C023E2"/>
    <w:rsid w:val="00C024D5"/>
    <w:rsid w:val="00C024D6"/>
    <w:rsid w:val="00C0252A"/>
    <w:rsid w:val="00C02556"/>
    <w:rsid w:val="00C025B4"/>
    <w:rsid w:val="00C0262A"/>
    <w:rsid w:val="00C027FD"/>
    <w:rsid w:val="00C0287F"/>
    <w:rsid w:val="00C0290D"/>
    <w:rsid w:val="00C0293B"/>
    <w:rsid w:val="00C0298C"/>
    <w:rsid w:val="00C029C0"/>
    <w:rsid w:val="00C029E9"/>
    <w:rsid w:val="00C02A05"/>
    <w:rsid w:val="00C02A88"/>
    <w:rsid w:val="00C02AE9"/>
    <w:rsid w:val="00C02C6D"/>
    <w:rsid w:val="00C02D2E"/>
    <w:rsid w:val="00C02E45"/>
    <w:rsid w:val="00C02F38"/>
    <w:rsid w:val="00C02F3C"/>
    <w:rsid w:val="00C02F4F"/>
    <w:rsid w:val="00C02FE3"/>
    <w:rsid w:val="00C02FE5"/>
    <w:rsid w:val="00C02FEF"/>
    <w:rsid w:val="00C03019"/>
    <w:rsid w:val="00C0320C"/>
    <w:rsid w:val="00C0328B"/>
    <w:rsid w:val="00C032A2"/>
    <w:rsid w:val="00C03358"/>
    <w:rsid w:val="00C03363"/>
    <w:rsid w:val="00C033AA"/>
    <w:rsid w:val="00C033EC"/>
    <w:rsid w:val="00C03550"/>
    <w:rsid w:val="00C03664"/>
    <w:rsid w:val="00C03678"/>
    <w:rsid w:val="00C0367D"/>
    <w:rsid w:val="00C0368A"/>
    <w:rsid w:val="00C036D6"/>
    <w:rsid w:val="00C03813"/>
    <w:rsid w:val="00C03883"/>
    <w:rsid w:val="00C039CA"/>
    <w:rsid w:val="00C03A16"/>
    <w:rsid w:val="00C03A88"/>
    <w:rsid w:val="00C03AE9"/>
    <w:rsid w:val="00C03AEA"/>
    <w:rsid w:val="00C03C5F"/>
    <w:rsid w:val="00C03C6E"/>
    <w:rsid w:val="00C03C9A"/>
    <w:rsid w:val="00C03D35"/>
    <w:rsid w:val="00C03E32"/>
    <w:rsid w:val="00C03E99"/>
    <w:rsid w:val="00C03F26"/>
    <w:rsid w:val="00C03FE8"/>
    <w:rsid w:val="00C04072"/>
    <w:rsid w:val="00C04134"/>
    <w:rsid w:val="00C04169"/>
    <w:rsid w:val="00C0429D"/>
    <w:rsid w:val="00C042BA"/>
    <w:rsid w:val="00C043AC"/>
    <w:rsid w:val="00C0443B"/>
    <w:rsid w:val="00C04480"/>
    <w:rsid w:val="00C044F5"/>
    <w:rsid w:val="00C045FE"/>
    <w:rsid w:val="00C04684"/>
    <w:rsid w:val="00C04871"/>
    <w:rsid w:val="00C048A2"/>
    <w:rsid w:val="00C049D1"/>
    <w:rsid w:val="00C049FB"/>
    <w:rsid w:val="00C04A01"/>
    <w:rsid w:val="00C04A4B"/>
    <w:rsid w:val="00C04AA1"/>
    <w:rsid w:val="00C04C0D"/>
    <w:rsid w:val="00C04CC7"/>
    <w:rsid w:val="00C04E3E"/>
    <w:rsid w:val="00C04E4D"/>
    <w:rsid w:val="00C04F60"/>
    <w:rsid w:val="00C04F6D"/>
    <w:rsid w:val="00C04F97"/>
    <w:rsid w:val="00C0504F"/>
    <w:rsid w:val="00C05058"/>
    <w:rsid w:val="00C050D8"/>
    <w:rsid w:val="00C05119"/>
    <w:rsid w:val="00C05171"/>
    <w:rsid w:val="00C05177"/>
    <w:rsid w:val="00C0519D"/>
    <w:rsid w:val="00C051B1"/>
    <w:rsid w:val="00C0546B"/>
    <w:rsid w:val="00C054BC"/>
    <w:rsid w:val="00C054FD"/>
    <w:rsid w:val="00C055D1"/>
    <w:rsid w:val="00C05622"/>
    <w:rsid w:val="00C05671"/>
    <w:rsid w:val="00C0570F"/>
    <w:rsid w:val="00C05719"/>
    <w:rsid w:val="00C05722"/>
    <w:rsid w:val="00C05725"/>
    <w:rsid w:val="00C0574D"/>
    <w:rsid w:val="00C057E3"/>
    <w:rsid w:val="00C05848"/>
    <w:rsid w:val="00C05895"/>
    <w:rsid w:val="00C05964"/>
    <w:rsid w:val="00C059AD"/>
    <w:rsid w:val="00C05A7B"/>
    <w:rsid w:val="00C05B11"/>
    <w:rsid w:val="00C05B27"/>
    <w:rsid w:val="00C05C3F"/>
    <w:rsid w:val="00C05C43"/>
    <w:rsid w:val="00C05CC2"/>
    <w:rsid w:val="00C05D20"/>
    <w:rsid w:val="00C05DA1"/>
    <w:rsid w:val="00C05DB6"/>
    <w:rsid w:val="00C05DC8"/>
    <w:rsid w:val="00C05E37"/>
    <w:rsid w:val="00C05E89"/>
    <w:rsid w:val="00C05ED9"/>
    <w:rsid w:val="00C05F2D"/>
    <w:rsid w:val="00C05FD7"/>
    <w:rsid w:val="00C06040"/>
    <w:rsid w:val="00C060D0"/>
    <w:rsid w:val="00C060D7"/>
    <w:rsid w:val="00C061E2"/>
    <w:rsid w:val="00C062A0"/>
    <w:rsid w:val="00C0631C"/>
    <w:rsid w:val="00C064F5"/>
    <w:rsid w:val="00C065C7"/>
    <w:rsid w:val="00C0661F"/>
    <w:rsid w:val="00C06631"/>
    <w:rsid w:val="00C0666B"/>
    <w:rsid w:val="00C066DD"/>
    <w:rsid w:val="00C066F7"/>
    <w:rsid w:val="00C06701"/>
    <w:rsid w:val="00C0673A"/>
    <w:rsid w:val="00C0677C"/>
    <w:rsid w:val="00C068E3"/>
    <w:rsid w:val="00C06BD4"/>
    <w:rsid w:val="00C06C40"/>
    <w:rsid w:val="00C06C97"/>
    <w:rsid w:val="00C06CE8"/>
    <w:rsid w:val="00C06CEF"/>
    <w:rsid w:val="00C06DA5"/>
    <w:rsid w:val="00C06E20"/>
    <w:rsid w:val="00C06F86"/>
    <w:rsid w:val="00C06FA8"/>
    <w:rsid w:val="00C07054"/>
    <w:rsid w:val="00C07169"/>
    <w:rsid w:val="00C071D2"/>
    <w:rsid w:val="00C07254"/>
    <w:rsid w:val="00C072A7"/>
    <w:rsid w:val="00C0735D"/>
    <w:rsid w:val="00C073BA"/>
    <w:rsid w:val="00C073F0"/>
    <w:rsid w:val="00C0750F"/>
    <w:rsid w:val="00C07528"/>
    <w:rsid w:val="00C075F0"/>
    <w:rsid w:val="00C07644"/>
    <w:rsid w:val="00C07738"/>
    <w:rsid w:val="00C077BC"/>
    <w:rsid w:val="00C07885"/>
    <w:rsid w:val="00C07892"/>
    <w:rsid w:val="00C07903"/>
    <w:rsid w:val="00C079BE"/>
    <w:rsid w:val="00C07A20"/>
    <w:rsid w:val="00C07A24"/>
    <w:rsid w:val="00C07A82"/>
    <w:rsid w:val="00C07AE4"/>
    <w:rsid w:val="00C07B98"/>
    <w:rsid w:val="00C07BAC"/>
    <w:rsid w:val="00C07BE5"/>
    <w:rsid w:val="00C07D45"/>
    <w:rsid w:val="00C07D53"/>
    <w:rsid w:val="00C07DAF"/>
    <w:rsid w:val="00C07E43"/>
    <w:rsid w:val="00C07F10"/>
    <w:rsid w:val="00C07F7C"/>
    <w:rsid w:val="00C07F9E"/>
    <w:rsid w:val="00C07FCA"/>
    <w:rsid w:val="00C10086"/>
    <w:rsid w:val="00C100E1"/>
    <w:rsid w:val="00C1011E"/>
    <w:rsid w:val="00C101A2"/>
    <w:rsid w:val="00C10211"/>
    <w:rsid w:val="00C10234"/>
    <w:rsid w:val="00C1027D"/>
    <w:rsid w:val="00C102D6"/>
    <w:rsid w:val="00C102E8"/>
    <w:rsid w:val="00C10300"/>
    <w:rsid w:val="00C104A4"/>
    <w:rsid w:val="00C104AC"/>
    <w:rsid w:val="00C10594"/>
    <w:rsid w:val="00C10656"/>
    <w:rsid w:val="00C10695"/>
    <w:rsid w:val="00C1078C"/>
    <w:rsid w:val="00C108A7"/>
    <w:rsid w:val="00C10929"/>
    <w:rsid w:val="00C1093A"/>
    <w:rsid w:val="00C1093F"/>
    <w:rsid w:val="00C10993"/>
    <w:rsid w:val="00C109F0"/>
    <w:rsid w:val="00C10A44"/>
    <w:rsid w:val="00C10B16"/>
    <w:rsid w:val="00C10B44"/>
    <w:rsid w:val="00C10B6C"/>
    <w:rsid w:val="00C10BEC"/>
    <w:rsid w:val="00C10C46"/>
    <w:rsid w:val="00C10CB0"/>
    <w:rsid w:val="00C10CE8"/>
    <w:rsid w:val="00C10CF4"/>
    <w:rsid w:val="00C10CFD"/>
    <w:rsid w:val="00C10D23"/>
    <w:rsid w:val="00C10D53"/>
    <w:rsid w:val="00C10DFD"/>
    <w:rsid w:val="00C10E1D"/>
    <w:rsid w:val="00C10E6B"/>
    <w:rsid w:val="00C10FA3"/>
    <w:rsid w:val="00C1101C"/>
    <w:rsid w:val="00C11089"/>
    <w:rsid w:val="00C11182"/>
    <w:rsid w:val="00C11187"/>
    <w:rsid w:val="00C11217"/>
    <w:rsid w:val="00C11264"/>
    <w:rsid w:val="00C1129B"/>
    <w:rsid w:val="00C11366"/>
    <w:rsid w:val="00C11396"/>
    <w:rsid w:val="00C113FB"/>
    <w:rsid w:val="00C1148E"/>
    <w:rsid w:val="00C115C6"/>
    <w:rsid w:val="00C116DA"/>
    <w:rsid w:val="00C116DF"/>
    <w:rsid w:val="00C1181E"/>
    <w:rsid w:val="00C119F0"/>
    <w:rsid w:val="00C11A95"/>
    <w:rsid w:val="00C11ACD"/>
    <w:rsid w:val="00C11AD9"/>
    <w:rsid w:val="00C11B27"/>
    <w:rsid w:val="00C11B58"/>
    <w:rsid w:val="00C11C57"/>
    <w:rsid w:val="00C11C63"/>
    <w:rsid w:val="00C11C8B"/>
    <w:rsid w:val="00C11CA5"/>
    <w:rsid w:val="00C11CE6"/>
    <w:rsid w:val="00C11CF1"/>
    <w:rsid w:val="00C11DC4"/>
    <w:rsid w:val="00C11F83"/>
    <w:rsid w:val="00C11FFB"/>
    <w:rsid w:val="00C1204B"/>
    <w:rsid w:val="00C12082"/>
    <w:rsid w:val="00C12117"/>
    <w:rsid w:val="00C1211A"/>
    <w:rsid w:val="00C1216C"/>
    <w:rsid w:val="00C121F3"/>
    <w:rsid w:val="00C1223C"/>
    <w:rsid w:val="00C122E8"/>
    <w:rsid w:val="00C12442"/>
    <w:rsid w:val="00C1244C"/>
    <w:rsid w:val="00C12560"/>
    <w:rsid w:val="00C125A4"/>
    <w:rsid w:val="00C125B5"/>
    <w:rsid w:val="00C12662"/>
    <w:rsid w:val="00C126A1"/>
    <w:rsid w:val="00C127CF"/>
    <w:rsid w:val="00C12812"/>
    <w:rsid w:val="00C1288A"/>
    <w:rsid w:val="00C1289E"/>
    <w:rsid w:val="00C12943"/>
    <w:rsid w:val="00C1295C"/>
    <w:rsid w:val="00C12A03"/>
    <w:rsid w:val="00C12B46"/>
    <w:rsid w:val="00C12BDD"/>
    <w:rsid w:val="00C12D35"/>
    <w:rsid w:val="00C12D90"/>
    <w:rsid w:val="00C12EE8"/>
    <w:rsid w:val="00C12F76"/>
    <w:rsid w:val="00C1307A"/>
    <w:rsid w:val="00C1309B"/>
    <w:rsid w:val="00C1315A"/>
    <w:rsid w:val="00C1326F"/>
    <w:rsid w:val="00C1336C"/>
    <w:rsid w:val="00C13379"/>
    <w:rsid w:val="00C1340F"/>
    <w:rsid w:val="00C13435"/>
    <w:rsid w:val="00C1350F"/>
    <w:rsid w:val="00C135E6"/>
    <w:rsid w:val="00C13657"/>
    <w:rsid w:val="00C136CC"/>
    <w:rsid w:val="00C13755"/>
    <w:rsid w:val="00C13886"/>
    <w:rsid w:val="00C13888"/>
    <w:rsid w:val="00C1398C"/>
    <w:rsid w:val="00C139E7"/>
    <w:rsid w:val="00C13A8F"/>
    <w:rsid w:val="00C13AA2"/>
    <w:rsid w:val="00C13B8A"/>
    <w:rsid w:val="00C13CA1"/>
    <w:rsid w:val="00C13CBF"/>
    <w:rsid w:val="00C13D20"/>
    <w:rsid w:val="00C13E12"/>
    <w:rsid w:val="00C13E65"/>
    <w:rsid w:val="00C13F4F"/>
    <w:rsid w:val="00C13FAC"/>
    <w:rsid w:val="00C13FD8"/>
    <w:rsid w:val="00C14078"/>
    <w:rsid w:val="00C140F6"/>
    <w:rsid w:val="00C14189"/>
    <w:rsid w:val="00C141EC"/>
    <w:rsid w:val="00C14253"/>
    <w:rsid w:val="00C142BC"/>
    <w:rsid w:val="00C1435B"/>
    <w:rsid w:val="00C143CE"/>
    <w:rsid w:val="00C14490"/>
    <w:rsid w:val="00C144C6"/>
    <w:rsid w:val="00C14598"/>
    <w:rsid w:val="00C145BE"/>
    <w:rsid w:val="00C14956"/>
    <w:rsid w:val="00C14960"/>
    <w:rsid w:val="00C149DA"/>
    <w:rsid w:val="00C149DB"/>
    <w:rsid w:val="00C14A49"/>
    <w:rsid w:val="00C14A5E"/>
    <w:rsid w:val="00C14ACF"/>
    <w:rsid w:val="00C14BF6"/>
    <w:rsid w:val="00C14C43"/>
    <w:rsid w:val="00C14CE9"/>
    <w:rsid w:val="00C14D22"/>
    <w:rsid w:val="00C14E37"/>
    <w:rsid w:val="00C14EC7"/>
    <w:rsid w:val="00C14F92"/>
    <w:rsid w:val="00C14FEB"/>
    <w:rsid w:val="00C14FFA"/>
    <w:rsid w:val="00C150C2"/>
    <w:rsid w:val="00C150E1"/>
    <w:rsid w:val="00C15117"/>
    <w:rsid w:val="00C151DD"/>
    <w:rsid w:val="00C15240"/>
    <w:rsid w:val="00C15324"/>
    <w:rsid w:val="00C1537D"/>
    <w:rsid w:val="00C153B3"/>
    <w:rsid w:val="00C15485"/>
    <w:rsid w:val="00C154AF"/>
    <w:rsid w:val="00C15538"/>
    <w:rsid w:val="00C15554"/>
    <w:rsid w:val="00C15605"/>
    <w:rsid w:val="00C15655"/>
    <w:rsid w:val="00C15679"/>
    <w:rsid w:val="00C15758"/>
    <w:rsid w:val="00C15800"/>
    <w:rsid w:val="00C159D3"/>
    <w:rsid w:val="00C159EE"/>
    <w:rsid w:val="00C15B3E"/>
    <w:rsid w:val="00C15B8E"/>
    <w:rsid w:val="00C15C7F"/>
    <w:rsid w:val="00C15D12"/>
    <w:rsid w:val="00C15DC5"/>
    <w:rsid w:val="00C15DF6"/>
    <w:rsid w:val="00C15E1E"/>
    <w:rsid w:val="00C15F00"/>
    <w:rsid w:val="00C15FAE"/>
    <w:rsid w:val="00C160B5"/>
    <w:rsid w:val="00C160C0"/>
    <w:rsid w:val="00C1623F"/>
    <w:rsid w:val="00C162B9"/>
    <w:rsid w:val="00C162F1"/>
    <w:rsid w:val="00C16375"/>
    <w:rsid w:val="00C16454"/>
    <w:rsid w:val="00C1645A"/>
    <w:rsid w:val="00C1646D"/>
    <w:rsid w:val="00C1649E"/>
    <w:rsid w:val="00C166BE"/>
    <w:rsid w:val="00C1682D"/>
    <w:rsid w:val="00C1683B"/>
    <w:rsid w:val="00C168C1"/>
    <w:rsid w:val="00C1698F"/>
    <w:rsid w:val="00C169F2"/>
    <w:rsid w:val="00C16AE7"/>
    <w:rsid w:val="00C16AEF"/>
    <w:rsid w:val="00C16B22"/>
    <w:rsid w:val="00C16B48"/>
    <w:rsid w:val="00C16C6F"/>
    <w:rsid w:val="00C16C96"/>
    <w:rsid w:val="00C16D62"/>
    <w:rsid w:val="00C16D97"/>
    <w:rsid w:val="00C16E25"/>
    <w:rsid w:val="00C16E9B"/>
    <w:rsid w:val="00C16F05"/>
    <w:rsid w:val="00C16F22"/>
    <w:rsid w:val="00C16FA6"/>
    <w:rsid w:val="00C17050"/>
    <w:rsid w:val="00C17133"/>
    <w:rsid w:val="00C171EC"/>
    <w:rsid w:val="00C17247"/>
    <w:rsid w:val="00C17320"/>
    <w:rsid w:val="00C17409"/>
    <w:rsid w:val="00C17420"/>
    <w:rsid w:val="00C17462"/>
    <w:rsid w:val="00C174A7"/>
    <w:rsid w:val="00C174D6"/>
    <w:rsid w:val="00C174E6"/>
    <w:rsid w:val="00C1751F"/>
    <w:rsid w:val="00C175B6"/>
    <w:rsid w:val="00C175F2"/>
    <w:rsid w:val="00C17633"/>
    <w:rsid w:val="00C17762"/>
    <w:rsid w:val="00C178FB"/>
    <w:rsid w:val="00C17A8C"/>
    <w:rsid w:val="00C17A9D"/>
    <w:rsid w:val="00C17BE3"/>
    <w:rsid w:val="00C17C0F"/>
    <w:rsid w:val="00C17C48"/>
    <w:rsid w:val="00C17C54"/>
    <w:rsid w:val="00C17C84"/>
    <w:rsid w:val="00C17D0C"/>
    <w:rsid w:val="00C17E0C"/>
    <w:rsid w:val="00C2010D"/>
    <w:rsid w:val="00C2032A"/>
    <w:rsid w:val="00C2034B"/>
    <w:rsid w:val="00C20378"/>
    <w:rsid w:val="00C20386"/>
    <w:rsid w:val="00C2045B"/>
    <w:rsid w:val="00C2047E"/>
    <w:rsid w:val="00C204C9"/>
    <w:rsid w:val="00C204E3"/>
    <w:rsid w:val="00C20612"/>
    <w:rsid w:val="00C2062E"/>
    <w:rsid w:val="00C20642"/>
    <w:rsid w:val="00C2065B"/>
    <w:rsid w:val="00C206DE"/>
    <w:rsid w:val="00C20702"/>
    <w:rsid w:val="00C20718"/>
    <w:rsid w:val="00C207CA"/>
    <w:rsid w:val="00C207FA"/>
    <w:rsid w:val="00C20815"/>
    <w:rsid w:val="00C20940"/>
    <w:rsid w:val="00C20963"/>
    <w:rsid w:val="00C20983"/>
    <w:rsid w:val="00C20B22"/>
    <w:rsid w:val="00C20B5E"/>
    <w:rsid w:val="00C20B7E"/>
    <w:rsid w:val="00C20BD0"/>
    <w:rsid w:val="00C20C28"/>
    <w:rsid w:val="00C20E0E"/>
    <w:rsid w:val="00C20E1F"/>
    <w:rsid w:val="00C20E81"/>
    <w:rsid w:val="00C21022"/>
    <w:rsid w:val="00C210F9"/>
    <w:rsid w:val="00C2117A"/>
    <w:rsid w:val="00C211D7"/>
    <w:rsid w:val="00C21204"/>
    <w:rsid w:val="00C21229"/>
    <w:rsid w:val="00C21234"/>
    <w:rsid w:val="00C212DC"/>
    <w:rsid w:val="00C21339"/>
    <w:rsid w:val="00C21400"/>
    <w:rsid w:val="00C21428"/>
    <w:rsid w:val="00C21501"/>
    <w:rsid w:val="00C2153A"/>
    <w:rsid w:val="00C21542"/>
    <w:rsid w:val="00C2160B"/>
    <w:rsid w:val="00C21645"/>
    <w:rsid w:val="00C21688"/>
    <w:rsid w:val="00C2169C"/>
    <w:rsid w:val="00C216E2"/>
    <w:rsid w:val="00C2170B"/>
    <w:rsid w:val="00C21781"/>
    <w:rsid w:val="00C217FD"/>
    <w:rsid w:val="00C21813"/>
    <w:rsid w:val="00C21844"/>
    <w:rsid w:val="00C21921"/>
    <w:rsid w:val="00C2198E"/>
    <w:rsid w:val="00C21A59"/>
    <w:rsid w:val="00C21A94"/>
    <w:rsid w:val="00C21C80"/>
    <w:rsid w:val="00C21CAE"/>
    <w:rsid w:val="00C21CD8"/>
    <w:rsid w:val="00C21D09"/>
    <w:rsid w:val="00C21D75"/>
    <w:rsid w:val="00C21D9D"/>
    <w:rsid w:val="00C21E71"/>
    <w:rsid w:val="00C21E7B"/>
    <w:rsid w:val="00C2201D"/>
    <w:rsid w:val="00C22100"/>
    <w:rsid w:val="00C2210E"/>
    <w:rsid w:val="00C2217A"/>
    <w:rsid w:val="00C22233"/>
    <w:rsid w:val="00C2229B"/>
    <w:rsid w:val="00C2233E"/>
    <w:rsid w:val="00C22359"/>
    <w:rsid w:val="00C22373"/>
    <w:rsid w:val="00C2237A"/>
    <w:rsid w:val="00C223CE"/>
    <w:rsid w:val="00C224E2"/>
    <w:rsid w:val="00C22574"/>
    <w:rsid w:val="00C2268D"/>
    <w:rsid w:val="00C226F3"/>
    <w:rsid w:val="00C22830"/>
    <w:rsid w:val="00C22931"/>
    <w:rsid w:val="00C22A05"/>
    <w:rsid w:val="00C22BB6"/>
    <w:rsid w:val="00C22BBA"/>
    <w:rsid w:val="00C22BE1"/>
    <w:rsid w:val="00C22BE8"/>
    <w:rsid w:val="00C22C54"/>
    <w:rsid w:val="00C22C82"/>
    <w:rsid w:val="00C22D45"/>
    <w:rsid w:val="00C22E08"/>
    <w:rsid w:val="00C22E22"/>
    <w:rsid w:val="00C22E26"/>
    <w:rsid w:val="00C22E92"/>
    <w:rsid w:val="00C22EB0"/>
    <w:rsid w:val="00C2303A"/>
    <w:rsid w:val="00C2309A"/>
    <w:rsid w:val="00C23164"/>
    <w:rsid w:val="00C232BE"/>
    <w:rsid w:val="00C23308"/>
    <w:rsid w:val="00C23475"/>
    <w:rsid w:val="00C235F6"/>
    <w:rsid w:val="00C23613"/>
    <w:rsid w:val="00C23615"/>
    <w:rsid w:val="00C2381A"/>
    <w:rsid w:val="00C23835"/>
    <w:rsid w:val="00C239B2"/>
    <w:rsid w:val="00C23B5B"/>
    <w:rsid w:val="00C23BAB"/>
    <w:rsid w:val="00C23BB4"/>
    <w:rsid w:val="00C23BD6"/>
    <w:rsid w:val="00C23C8E"/>
    <w:rsid w:val="00C23DA9"/>
    <w:rsid w:val="00C23E3B"/>
    <w:rsid w:val="00C23F02"/>
    <w:rsid w:val="00C23F27"/>
    <w:rsid w:val="00C23FBC"/>
    <w:rsid w:val="00C23FDF"/>
    <w:rsid w:val="00C2414B"/>
    <w:rsid w:val="00C2425F"/>
    <w:rsid w:val="00C2428B"/>
    <w:rsid w:val="00C242C8"/>
    <w:rsid w:val="00C242CE"/>
    <w:rsid w:val="00C24396"/>
    <w:rsid w:val="00C243AF"/>
    <w:rsid w:val="00C24407"/>
    <w:rsid w:val="00C24441"/>
    <w:rsid w:val="00C244D0"/>
    <w:rsid w:val="00C2457F"/>
    <w:rsid w:val="00C2458E"/>
    <w:rsid w:val="00C245E1"/>
    <w:rsid w:val="00C2463F"/>
    <w:rsid w:val="00C24640"/>
    <w:rsid w:val="00C2468B"/>
    <w:rsid w:val="00C246AB"/>
    <w:rsid w:val="00C24780"/>
    <w:rsid w:val="00C24889"/>
    <w:rsid w:val="00C24916"/>
    <w:rsid w:val="00C24952"/>
    <w:rsid w:val="00C24B58"/>
    <w:rsid w:val="00C24E12"/>
    <w:rsid w:val="00C24E47"/>
    <w:rsid w:val="00C24E5F"/>
    <w:rsid w:val="00C24FBA"/>
    <w:rsid w:val="00C25098"/>
    <w:rsid w:val="00C250E4"/>
    <w:rsid w:val="00C251E8"/>
    <w:rsid w:val="00C251F6"/>
    <w:rsid w:val="00C2543E"/>
    <w:rsid w:val="00C254FA"/>
    <w:rsid w:val="00C25535"/>
    <w:rsid w:val="00C25583"/>
    <w:rsid w:val="00C255EB"/>
    <w:rsid w:val="00C2562F"/>
    <w:rsid w:val="00C256BD"/>
    <w:rsid w:val="00C257B0"/>
    <w:rsid w:val="00C2590C"/>
    <w:rsid w:val="00C2592D"/>
    <w:rsid w:val="00C25940"/>
    <w:rsid w:val="00C2595C"/>
    <w:rsid w:val="00C25984"/>
    <w:rsid w:val="00C25990"/>
    <w:rsid w:val="00C25AA0"/>
    <w:rsid w:val="00C25B33"/>
    <w:rsid w:val="00C25B78"/>
    <w:rsid w:val="00C25BB6"/>
    <w:rsid w:val="00C25D0C"/>
    <w:rsid w:val="00C25D73"/>
    <w:rsid w:val="00C25EFF"/>
    <w:rsid w:val="00C25F70"/>
    <w:rsid w:val="00C25FBE"/>
    <w:rsid w:val="00C2610C"/>
    <w:rsid w:val="00C261B5"/>
    <w:rsid w:val="00C26212"/>
    <w:rsid w:val="00C262DD"/>
    <w:rsid w:val="00C2631E"/>
    <w:rsid w:val="00C263A3"/>
    <w:rsid w:val="00C264BD"/>
    <w:rsid w:val="00C26540"/>
    <w:rsid w:val="00C26624"/>
    <w:rsid w:val="00C266E4"/>
    <w:rsid w:val="00C26710"/>
    <w:rsid w:val="00C2672A"/>
    <w:rsid w:val="00C2676E"/>
    <w:rsid w:val="00C26811"/>
    <w:rsid w:val="00C2684F"/>
    <w:rsid w:val="00C268C4"/>
    <w:rsid w:val="00C269EF"/>
    <w:rsid w:val="00C26A13"/>
    <w:rsid w:val="00C26AC9"/>
    <w:rsid w:val="00C26B3D"/>
    <w:rsid w:val="00C26B68"/>
    <w:rsid w:val="00C26BD5"/>
    <w:rsid w:val="00C26C11"/>
    <w:rsid w:val="00C26C2C"/>
    <w:rsid w:val="00C26C3E"/>
    <w:rsid w:val="00C26CB1"/>
    <w:rsid w:val="00C26D08"/>
    <w:rsid w:val="00C26DE5"/>
    <w:rsid w:val="00C26E35"/>
    <w:rsid w:val="00C26E67"/>
    <w:rsid w:val="00C26EDA"/>
    <w:rsid w:val="00C26F94"/>
    <w:rsid w:val="00C26FAF"/>
    <w:rsid w:val="00C26FB7"/>
    <w:rsid w:val="00C26FDA"/>
    <w:rsid w:val="00C27053"/>
    <w:rsid w:val="00C271B7"/>
    <w:rsid w:val="00C271BA"/>
    <w:rsid w:val="00C27207"/>
    <w:rsid w:val="00C27267"/>
    <w:rsid w:val="00C2727A"/>
    <w:rsid w:val="00C2729B"/>
    <w:rsid w:val="00C272D8"/>
    <w:rsid w:val="00C2734A"/>
    <w:rsid w:val="00C27368"/>
    <w:rsid w:val="00C273B3"/>
    <w:rsid w:val="00C273C4"/>
    <w:rsid w:val="00C27522"/>
    <w:rsid w:val="00C2752A"/>
    <w:rsid w:val="00C275EA"/>
    <w:rsid w:val="00C2762E"/>
    <w:rsid w:val="00C2779C"/>
    <w:rsid w:val="00C277F0"/>
    <w:rsid w:val="00C27805"/>
    <w:rsid w:val="00C27864"/>
    <w:rsid w:val="00C27877"/>
    <w:rsid w:val="00C2790B"/>
    <w:rsid w:val="00C2794C"/>
    <w:rsid w:val="00C279DB"/>
    <w:rsid w:val="00C27A37"/>
    <w:rsid w:val="00C27CAD"/>
    <w:rsid w:val="00C27D10"/>
    <w:rsid w:val="00C27D74"/>
    <w:rsid w:val="00C27EE5"/>
    <w:rsid w:val="00C27FBB"/>
    <w:rsid w:val="00C27FBD"/>
    <w:rsid w:val="00C27FD6"/>
    <w:rsid w:val="00C27FE8"/>
    <w:rsid w:val="00C27FF5"/>
    <w:rsid w:val="00C27FFC"/>
    <w:rsid w:val="00C30009"/>
    <w:rsid w:val="00C30065"/>
    <w:rsid w:val="00C30127"/>
    <w:rsid w:val="00C30169"/>
    <w:rsid w:val="00C3024D"/>
    <w:rsid w:val="00C3033A"/>
    <w:rsid w:val="00C3039C"/>
    <w:rsid w:val="00C303CC"/>
    <w:rsid w:val="00C30570"/>
    <w:rsid w:val="00C305DA"/>
    <w:rsid w:val="00C30620"/>
    <w:rsid w:val="00C3068D"/>
    <w:rsid w:val="00C306C7"/>
    <w:rsid w:val="00C3077C"/>
    <w:rsid w:val="00C3080E"/>
    <w:rsid w:val="00C309C1"/>
    <w:rsid w:val="00C30AAC"/>
    <w:rsid w:val="00C30ADF"/>
    <w:rsid w:val="00C30BCF"/>
    <w:rsid w:val="00C30C4E"/>
    <w:rsid w:val="00C30C5E"/>
    <w:rsid w:val="00C30C67"/>
    <w:rsid w:val="00C30D15"/>
    <w:rsid w:val="00C30DA6"/>
    <w:rsid w:val="00C30E9A"/>
    <w:rsid w:val="00C310F3"/>
    <w:rsid w:val="00C31126"/>
    <w:rsid w:val="00C3113B"/>
    <w:rsid w:val="00C31146"/>
    <w:rsid w:val="00C31287"/>
    <w:rsid w:val="00C3128B"/>
    <w:rsid w:val="00C31303"/>
    <w:rsid w:val="00C31456"/>
    <w:rsid w:val="00C314AC"/>
    <w:rsid w:val="00C314AF"/>
    <w:rsid w:val="00C314D2"/>
    <w:rsid w:val="00C3155D"/>
    <w:rsid w:val="00C31609"/>
    <w:rsid w:val="00C3168B"/>
    <w:rsid w:val="00C316DA"/>
    <w:rsid w:val="00C31742"/>
    <w:rsid w:val="00C31777"/>
    <w:rsid w:val="00C31790"/>
    <w:rsid w:val="00C317E9"/>
    <w:rsid w:val="00C317F6"/>
    <w:rsid w:val="00C31842"/>
    <w:rsid w:val="00C3184A"/>
    <w:rsid w:val="00C31865"/>
    <w:rsid w:val="00C31899"/>
    <w:rsid w:val="00C31AA5"/>
    <w:rsid w:val="00C31B2A"/>
    <w:rsid w:val="00C31B98"/>
    <w:rsid w:val="00C31BD6"/>
    <w:rsid w:val="00C31CB7"/>
    <w:rsid w:val="00C31D57"/>
    <w:rsid w:val="00C31D94"/>
    <w:rsid w:val="00C31DA3"/>
    <w:rsid w:val="00C31DC5"/>
    <w:rsid w:val="00C31DD8"/>
    <w:rsid w:val="00C31E67"/>
    <w:rsid w:val="00C31F32"/>
    <w:rsid w:val="00C31F7A"/>
    <w:rsid w:val="00C31F93"/>
    <w:rsid w:val="00C32103"/>
    <w:rsid w:val="00C32176"/>
    <w:rsid w:val="00C321A1"/>
    <w:rsid w:val="00C322C3"/>
    <w:rsid w:val="00C323F6"/>
    <w:rsid w:val="00C3241B"/>
    <w:rsid w:val="00C3248A"/>
    <w:rsid w:val="00C32492"/>
    <w:rsid w:val="00C3257A"/>
    <w:rsid w:val="00C325BE"/>
    <w:rsid w:val="00C327BC"/>
    <w:rsid w:val="00C327C5"/>
    <w:rsid w:val="00C327C9"/>
    <w:rsid w:val="00C32ADE"/>
    <w:rsid w:val="00C32AE3"/>
    <w:rsid w:val="00C32B3D"/>
    <w:rsid w:val="00C32B4E"/>
    <w:rsid w:val="00C32B63"/>
    <w:rsid w:val="00C32BB2"/>
    <w:rsid w:val="00C32C7B"/>
    <w:rsid w:val="00C32C96"/>
    <w:rsid w:val="00C32CB4"/>
    <w:rsid w:val="00C32DC4"/>
    <w:rsid w:val="00C32DED"/>
    <w:rsid w:val="00C32E29"/>
    <w:rsid w:val="00C32F4A"/>
    <w:rsid w:val="00C32F4F"/>
    <w:rsid w:val="00C32FD3"/>
    <w:rsid w:val="00C33061"/>
    <w:rsid w:val="00C330DA"/>
    <w:rsid w:val="00C33129"/>
    <w:rsid w:val="00C33167"/>
    <w:rsid w:val="00C331B5"/>
    <w:rsid w:val="00C332AA"/>
    <w:rsid w:val="00C33305"/>
    <w:rsid w:val="00C33334"/>
    <w:rsid w:val="00C33362"/>
    <w:rsid w:val="00C3338F"/>
    <w:rsid w:val="00C333E3"/>
    <w:rsid w:val="00C33533"/>
    <w:rsid w:val="00C33571"/>
    <w:rsid w:val="00C335EF"/>
    <w:rsid w:val="00C33654"/>
    <w:rsid w:val="00C33674"/>
    <w:rsid w:val="00C33764"/>
    <w:rsid w:val="00C33788"/>
    <w:rsid w:val="00C33876"/>
    <w:rsid w:val="00C338C3"/>
    <w:rsid w:val="00C33903"/>
    <w:rsid w:val="00C33928"/>
    <w:rsid w:val="00C33A11"/>
    <w:rsid w:val="00C33A46"/>
    <w:rsid w:val="00C33B4B"/>
    <w:rsid w:val="00C33B65"/>
    <w:rsid w:val="00C33C7B"/>
    <w:rsid w:val="00C33D6E"/>
    <w:rsid w:val="00C33E5C"/>
    <w:rsid w:val="00C33E77"/>
    <w:rsid w:val="00C33FA4"/>
    <w:rsid w:val="00C33FF9"/>
    <w:rsid w:val="00C34033"/>
    <w:rsid w:val="00C340ED"/>
    <w:rsid w:val="00C3417D"/>
    <w:rsid w:val="00C341C3"/>
    <w:rsid w:val="00C3422F"/>
    <w:rsid w:val="00C34261"/>
    <w:rsid w:val="00C342C4"/>
    <w:rsid w:val="00C343A5"/>
    <w:rsid w:val="00C343CA"/>
    <w:rsid w:val="00C34413"/>
    <w:rsid w:val="00C34545"/>
    <w:rsid w:val="00C34547"/>
    <w:rsid w:val="00C34760"/>
    <w:rsid w:val="00C347CF"/>
    <w:rsid w:val="00C34869"/>
    <w:rsid w:val="00C3488D"/>
    <w:rsid w:val="00C34923"/>
    <w:rsid w:val="00C34966"/>
    <w:rsid w:val="00C349DA"/>
    <w:rsid w:val="00C34A88"/>
    <w:rsid w:val="00C34B05"/>
    <w:rsid w:val="00C34E0F"/>
    <w:rsid w:val="00C34E1C"/>
    <w:rsid w:val="00C34E26"/>
    <w:rsid w:val="00C34E35"/>
    <w:rsid w:val="00C34E63"/>
    <w:rsid w:val="00C34EF0"/>
    <w:rsid w:val="00C34FB8"/>
    <w:rsid w:val="00C34FE6"/>
    <w:rsid w:val="00C3509E"/>
    <w:rsid w:val="00C35188"/>
    <w:rsid w:val="00C35295"/>
    <w:rsid w:val="00C352CF"/>
    <w:rsid w:val="00C354B3"/>
    <w:rsid w:val="00C354BA"/>
    <w:rsid w:val="00C354BC"/>
    <w:rsid w:val="00C3555B"/>
    <w:rsid w:val="00C35601"/>
    <w:rsid w:val="00C3573E"/>
    <w:rsid w:val="00C35823"/>
    <w:rsid w:val="00C358BF"/>
    <w:rsid w:val="00C35991"/>
    <w:rsid w:val="00C359E1"/>
    <w:rsid w:val="00C35A9C"/>
    <w:rsid w:val="00C35AA2"/>
    <w:rsid w:val="00C35AFD"/>
    <w:rsid w:val="00C35B2C"/>
    <w:rsid w:val="00C35B85"/>
    <w:rsid w:val="00C35BCA"/>
    <w:rsid w:val="00C35C55"/>
    <w:rsid w:val="00C35CAC"/>
    <w:rsid w:val="00C35D80"/>
    <w:rsid w:val="00C35D9C"/>
    <w:rsid w:val="00C35DCA"/>
    <w:rsid w:val="00C35E07"/>
    <w:rsid w:val="00C35F06"/>
    <w:rsid w:val="00C35F21"/>
    <w:rsid w:val="00C35FB9"/>
    <w:rsid w:val="00C35FBE"/>
    <w:rsid w:val="00C35FCD"/>
    <w:rsid w:val="00C36047"/>
    <w:rsid w:val="00C36098"/>
    <w:rsid w:val="00C36168"/>
    <w:rsid w:val="00C3620E"/>
    <w:rsid w:val="00C36263"/>
    <w:rsid w:val="00C362C2"/>
    <w:rsid w:val="00C362D0"/>
    <w:rsid w:val="00C362FC"/>
    <w:rsid w:val="00C36304"/>
    <w:rsid w:val="00C36328"/>
    <w:rsid w:val="00C36344"/>
    <w:rsid w:val="00C363A4"/>
    <w:rsid w:val="00C363B0"/>
    <w:rsid w:val="00C3668E"/>
    <w:rsid w:val="00C3676D"/>
    <w:rsid w:val="00C36788"/>
    <w:rsid w:val="00C367DC"/>
    <w:rsid w:val="00C36965"/>
    <w:rsid w:val="00C36A03"/>
    <w:rsid w:val="00C36B1A"/>
    <w:rsid w:val="00C36C06"/>
    <w:rsid w:val="00C36E3D"/>
    <w:rsid w:val="00C36E56"/>
    <w:rsid w:val="00C36E78"/>
    <w:rsid w:val="00C36F9B"/>
    <w:rsid w:val="00C36FD3"/>
    <w:rsid w:val="00C37031"/>
    <w:rsid w:val="00C37059"/>
    <w:rsid w:val="00C37067"/>
    <w:rsid w:val="00C370E3"/>
    <w:rsid w:val="00C3734C"/>
    <w:rsid w:val="00C373B1"/>
    <w:rsid w:val="00C3752C"/>
    <w:rsid w:val="00C37547"/>
    <w:rsid w:val="00C37550"/>
    <w:rsid w:val="00C375FA"/>
    <w:rsid w:val="00C37625"/>
    <w:rsid w:val="00C3762B"/>
    <w:rsid w:val="00C37678"/>
    <w:rsid w:val="00C3769D"/>
    <w:rsid w:val="00C376F3"/>
    <w:rsid w:val="00C37794"/>
    <w:rsid w:val="00C37836"/>
    <w:rsid w:val="00C37849"/>
    <w:rsid w:val="00C37934"/>
    <w:rsid w:val="00C379FA"/>
    <w:rsid w:val="00C37AB1"/>
    <w:rsid w:val="00C37AE2"/>
    <w:rsid w:val="00C37B39"/>
    <w:rsid w:val="00C37BC4"/>
    <w:rsid w:val="00C37BEC"/>
    <w:rsid w:val="00C37C49"/>
    <w:rsid w:val="00C37C9A"/>
    <w:rsid w:val="00C37F01"/>
    <w:rsid w:val="00C37F2C"/>
    <w:rsid w:val="00C37FA4"/>
    <w:rsid w:val="00C37FFC"/>
    <w:rsid w:val="00C40244"/>
    <w:rsid w:val="00C40259"/>
    <w:rsid w:val="00C4028C"/>
    <w:rsid w:val="00C402ED"/>
    <w:rsid w:val="00C403AA"/>
    <w:rsid w:val="00C403D7"/>
    <w:rsid w:val="00C403E3"/>
    <w:rsid w:val="00C40412"/>
    <w:rsid w:val="00C404AC"/>
    <w:rsid w:val="00C4050C"/>
    <w:rsid w:val="00C40537"/>
    <w:rsid w:val="00C4054F"/>
    <w:rsid w:val="00C40608"/>
    <w:rsid w:val="00C4073F"/>
    <w:rsid w:val="00C40759"/>
    <w:rsid w:val="00C4079A"/>
    <w:rsid w:val="00C40846"/>
    <w:rsid w:val="00C40848"/>
    <w:rsid w:val="00C408A4"/>
    <w:rsid w:val="00C40940"/>
    <w:rsid w:val="00C40A5E"/>
    <w:rsid w:val="00C40BFF"/>
    <w:rsid w:val="00C40C25"/>
    <w:rsid w:val="00C40D37"/>
    <w:rsid w:val="00C40D41"/>
    <w:rsid w:val="00C40D4F"/>
    <w:rsid w:val="00C40DB7"/>
    <w:rsid w:val="00C40E77"/>
    <w:rsid w:val="00C40E85"/>
    <w:rsid w:val="00C40ECD"/>
    <w:rsid w:val="00C4103A"/>
    <w:rsid w:val="00C4109C"/>
    <w:rsid w:val="00C41139"/>
    <w:rsid w:val="00C41149"/>
    <w:rsid w:val="00C4119B"/>
    <w:rsid w:val="00C411E0"/>
    <w:rsid w:val="00C41416"/>
    <w:rsid w:val="00C41524"/>
    <w:rsid w:val="00C41576"/>
    <w:rsid w:val="00C415CF"/>
    <w:rsid w:val="00C416A8"/>
    <w:rsid w:val="00C417D7"/>
    <w:rsid w:val="00C418ED"/>
    <w:rsid w:val="00C418FA"/>
    <w:rsid w:val="00C419E3"/>
    <w:rsid w:val="00C41AD0"/>
    <w:rsid w:val="00C41B14"/>
    <w:rsid w:val="00C41B1E"/>
    <w:rsid w:val="00C41BB3"/>
    <w:rsid w:val="00C41BBC"/>
    <w:rsid w:val="00C41C7D"/>
    <w:rsid w:val="00C41D03"/>
    <w:rsid w:val="00C41DFB"/>
    <w:rsid w:val="00C41E9F"/>
    <w:rsid w:val="00C41F2C"/>
    <w:rsid w:val="00C41F9F"/>
    <w:rsid w:val="00C42004"/>
    <w:rsid w:val="00C42042"/>
    <w:rsid w:val="00C42064"/>
    <w:rsid w:val="00C42113"/>
    <w:rsid w:val="00C421B7"/>
    <w:rsid w:val="00C421BD"/>
    <w:rsid w:val="00C421C7"/>
    <w:rsid w:val="00C4232A"/>
    <w:rsid w:val="00C4238F"/>
    <w:rsid w:val="00C4244F"/>
    <w:rsid w:val="00C4249A"/>
    <w:rsid w:val="00C425DF"/>
    <w:rsid w:val="00C4262B"/>
    <w:rsid w:val="00C42633"/>
    <w:rsid w:val="00C42643"/>
    <w:rsid w:val="00C4268D"/>
    <w:rsid w:val="00C42749"/>
    <w:rsid w:val="00C42844"/>
    <w:rsid w:val="00C42867"/>
    <w:rsid w:val="00C4293F"/>
    <w:rsid w:val="00C42A96"/>
    <w:rsid w:val="00C42AD1"/>
    <w:rsid w:val="00C42B6B"/>
    <w:rsid w:val="00C42BC7"/>
    <w:rsid w:val="00C42C90"/>
    <w:rsid w:val="00C42C94"/>
    <w:rsid w:val="00C42C95"/>
    <w:rsid w:val="00C42CAE"/>
    <w:rsid w:val="00C42D0F"/>
    <w:rsid w:val="00C42D7A"/>
    <w:rsid w:val="00C42E3D"/>
    <w:rsid w:val="00C42EBE"/>
    <w:rsid w:val="00C42F34"/>
    <w:rsid w:val="00C42F97"/>
    <w:rsid w:val="00C42FB3"/>
    <w:rsid w:val="00C42FE0"/>
    <w:rsid w:val="00C43050"/>
    <w:rsid w:val="00C43054"/>
    <w:rsid w:val="00C430BA"/>
    <w:rsid w:val="00C431D3"/>
    <w:rsid w:val="00C43206"/>
    <w:rsid w:val="00C43229"/>
    <w:rsid w:val="00C43272"/>
    <w:rsid w:val="00C432CD"/>
    <w:rsid w:val="00C4331B"/>
    <w:rsid w:val="00C43438"/>
    <w:rsid w:val="00C434B1"/>
    <w:rsid w:val="00C434FB"/>
    <w:rsid w:val="00C43530"/>
    <w:rsid w:val="00C43561"/>
    <w:rsid w:val="00C435E8"/>
    <w:rsid w:val="00C4369F"/>
    <w:rsid w:val="00C436C0"/>
    <w:rsid w:val="00C436D1"/>
    <w:rsid w:val="00C43801"/>
    <w:rsid w:val="00C43815"/>
    <w:rsid w:val="00C43884"/>
    <w:rsid w:val="00C438D8"/>
    <w:rsid w:val="00C438DE"/>
    <w:rsid w:val="00C43910"/>
    <w:rsid w:val="00C43972"/>
    <w:rsid w:val="00C4397A"/>
    <w:rsid w:val="00C43A79"/>
    <w:rsid w:val="00C43B92"/>
    <w:rsid w:val="00C43BF3"/>
    <w:rsid w:val="00C43C70"/>
    <w:rsid w:val="00C43CF4"/>
    <w:rsid w:val="00C43D3A"/>
    <w:rsid w:val="00C43DBE"/>
    <w:rsid w:val="00C43DBF"/>
    <w:rsid w:val="00C43EBC"/>
    <w:rsid w:val="00C43F0D"/>
    <w:rsid w:val="00C43FA7"/>
    <w:rsid w:val="00C4405E"/>
    <w:rsid w:val="00C440BA"/>
    <w:rsid w:val="00C440FC"/>
    <w:rsid w:val="00C4412A"/>
    <w:rsid w:val="00C44195"/>
    <w:rsid w:val="00C441A9"/>
    <w:rsid w:val="00C441CC"/>
    <w:rsid w:val="00C44267"/>
    <w:rsid w:val="00C44303"/>
    <w:rsid w:val="00C44349"/>
    <w:rsid w:val="00C44417"/>
    <w:rsid w:val="00C44458"/>
    <w:rsid w:val="00C44460"/>
    <w:rsid w:val="00C44468"/>
    <w:rsid w:val="00C4448D"/>
    <w:rsid w:val="00C444B8"/>
    <w:rsid w:val="00C44552"/>
    <w:rsid w:val="00C44659"/>
    <w:rsid w:val="00C4467F"/>
    <w:rsid w:val="00C44828"/>
    <w:rsid w:val="00C44965"/>
    <w:rsid w:val="00C44A90"/>
    <w:rsid w:val="00C44AC4"/>
    <w:rsid w:val="00C44C2A"/>
    <w:rsid w:val="00C44DB2"/>
    <w:rsid w:val="00C44E7B"/>
    <w:rsid w:val="00C44E82"/>
    <w:rsid w:val="00C44EF9"/>
    <w:rsid w:val="00C44FDB"/>
    <w:rsid w:val="00C44FFC"/>
    <w:rsid w:val="00C45106"/>
    <w:rsid w:val="00C45112"/>
    <w:rsid w:val="00C45159"/>
    <w:rsid w:val="00C452AE"/>
    <w:rsid w:val="00C4533F"/>
    <w:rsid w:val="00C4538B"/>
    <w:rsid w:val="00C453F7"/>
    <w:rsid w:val="00C454D2"/>
    <w:rsid w:val="00C455F4"/>
    <w:rsid w:val="00C45623"/>
    <w:rsid w:val="00C45658"/>
    <w:rsid w:val="00C456BE"/>
    <w:rsid w:val="00C45746"/>
    <w:rsid w:val="00C4575E"/>
    <w:rsid w:val="00C45886"/>
    <w:rsid w:val="00C45A30"/>
    <w:rsid w:val="00C45BFB"/>
    <w:rsid w:val="00C45CD3"/>
    <w:rsid w:val="00C45D56"/>
    <w:rsid w:val="00C45DB1"/>
    <w:rsid w:val="00C45F08"/>
    <w:rsid w:val="00C45F35"/>
    <w:rsid w:val="00C45F49"/>
    <w:rsid w:val="00C45FAC"/>
    <w:rsid w:val="00C45FCA"/>
    <w:rsid w:val="00C45FE4"/>
    <w:rsid w:val="00C4609D"/>
    <w:rsid w:val="00C460C9"/>
    <w:rsid w:val="00C461BE"/>
    <w:rsid w:val="00C461C2"/>
    <w:rsid w:val="00C4623F"/>
    <w:rsid w:val="00C4625A"/>
    <w:rsid w:val="00C4630C"/>
    <w:rsid w:val="00C46371"/>
    <w:rsid w:val="00C46374"/>
    <w:rsid w:val="00C4638C"/>
    <w:rsid w:val="00C46416"/>
    <w:rsid w:val="00C46472"/>
    <w:rsid w:val="00C4654E"/>
    <w:rsid w:val="00C4656B"/>
    <w:rsid w:val="00C4657A"/>
    <w:rsid w:val="00C465DB"/>
    <w:rsid w:val="00C46612"/>
    <w:rsid w:val="00C46613"/>
    <w:rsid w:val="00C46697"/>
    <w:rsid w:val="00C46796"/>
    <w:rsid w:val="00C467A6"/>
    <w:rsid w:val="00C467AF"/>
    <w:rsid w:val="00C468E6"/>
    <w:rsid w:val="00C46932"/>
    <w:rsid w:val="00C46985"/>
    <w:rsid w:val="00C469B5"/>
    <w:rsid w:val="00C46A12"/>
    <w:rsid w:val="00C46B9A"/>
    <w:rsid w:val="00C46C42"/>
    <w:rsid w:val="00C46C75"/>
    <w:rsid w:val="00C46D0F"/>
    <w:rsid w:val="00C46E4C"/>
    <w:rsid w:val="00C46E86"/>
    <w:rsid w:val="00C47007"/>
    <w:rsid w:val="00C470A2"/>
    <w:rsid w:val="00C47148"/>
    <w:rsid w:val="00C471A7"/>
    <w:rsid w:val="00C4735D"/>
    <w:rsid w:val="00C4741E"/>
    <w:rsid w:val="00C47437"/>
    <w:rsid w:val="00C47529"/>
    <w:rsid w:val="00C47538"/>
    <w:rsid w:val="00C475E6"/>
    <w:rsid w:val="00C475F7"/>
    <w:rsid w:val="00C47600"/>
    <w:rsid w:val="00C47661"/>
    <w:rsid w:val="00C47692"/>
    <w:rsid w:val="00C4784E"/>
    <w:rsid w:val="00C4785C"/>
    <w:rsid w:val="00C47930"/>
    <w:rsid w:val="00C479A6"/>
    <w:rsid w:val="00C47A21"/>
    <w:rsid w:val="00C47A3A"/>
    <w:rsid w:val="00C47AAC"/>
    <w:rsid w:val="00C47AB5"/>
    <w:rsid w:val="00C47AE5"/>
    <w:rsid w:val="00C47B0E"/>
    <w:rsid w:val="00C47B2C"/>
    <w:rsid w:val="00C47BC6"/>
    <w:rsid w:val="00C47BF1"/>
    <w:rsid w:val="00C47DD9"/>
    <w:rsid w:val="00C47E08"/>
    <w:rsid w:val="00C47E2B"/>
    <w:rsid w:val="00C47E38"/>
    <w:rsid w:val="00C47ECB"/>
    <w:rsid w:val="00C47EF1"/>
    <w:rsid w:val="00C47FAB"/>
    <w:rsid w:val="00C47FFA"/>
    <w:rsid w:val="00C50068"/>
    <w:rsid w:val="00C50077"/>
    <w:rsid w:val="00C50137"/>
    <w:rsid w:val="00C5020D"/>
    <w:rsid w:val="00C5035F"/>
    <w:rsid w:val="00C5046B"/>
    <w:rsid w:val="00C504AF"/>
    <w:rsid w:val="00C504EF"/>
    <w:rsid w:val="00C50572"/>
    <w:rsid w:val="00C50804"/>
    <w:rsid w:val="00C5083A"/>
    <w:rsid w:val="00C508A5"/>
    <w:rsid w:val="00C508AA"/>
    <w:rsid w:val="00C509A2"/>
    <w:rsid w:val="00C509B5"/>
    <w:rsid w:val="00C50B40"/>
    <w:rsid w:val="00C50B5A"/>
    <w:rsid w:val="00C50C35"/>
    <w:rsid w:val="00C50CA7"/>
    <w:rsid w:val="00C50CBE"/>
    <w:rsid w:val="00C50CE4"/>
    <w:rsid w:val="00C50D69"/>
    <w:rsid w:val="00C50D6F"/>
    <w:rsid w:val="00C50DF6"/>
    <w:rsid w:val="00C50E77"/>
    <w:rsid w:val="00C50E7F"/>
    <w:rsid w:val="00C50EE7"/>
    <w:rsid w:val="00C50F4C"/>
    <w:rsid w:val="00C50FBE"/>
    <w:rsid w:val="00C51067"/>
    <w:rsid w:val="00C5117A"/>
    <w:rsid w:val="00C51252"/>
    <w:rsid w:val="00C51290"/>
    <w:rsid w:val="00C512B9"/>
    <w:rsid w:val="00C512E0"/>
    <w:rsid w:val="00C512F8"/>
    <w:rsid w:val="00C5133E"/>
    <w:rsid w:val="00C513D1"/>
    <w:rsid w:val="00C513D2"/>
    <w:rsid w:val="00C5141C"/>
    <w:rsid w:val="00C514BD"/>
    <w:rsid w:val="00C5160E"/>
    <w:rsid w:val="00C5167E"/>
    <w:rsid w:val="00C516AE"/>
    <w:rsid w:val="00C5174D"/>
    <w:rsid w:val="00C51782"/>
    <w:rsid w:val="00C51788"/>
    <w:rsid w:val="00C51885"/>
    <w:rsid w:val="00C518B4"/>
    <w:rsid w:val="00C51942"/>
    <w:rsid w:val="00C519DC"/>
    <w:rsid w:val="00C51AE5"/>
    <w:rsid w:val="00C51C84"/>
    <w:rsid w:val="00C51CBF"/>
    <w:rsid w:val="00C51D27"/>
    <w:rsid w:val="00C51D91"/>
    <w:rsid w:val="00C51DA8"/>
    <w:rsid w:val="00C51E4E"/>
    <w:rsid w:val="00C51E54"/>
    <w:rsid w:val="00C51FF4"/>
    <w:rsid w:val="00C5207D"/>
    <w:rsid w:val="00C521F6"/>
    <w:rsid w:val="00C52221"/>
    <w:rsid w:val="00C52306"/>
    <w:rsid w:val="00C5232D"/>
    <w:rsid w:val="00C524F1"/>
    <w:rsid w:val="00C52508"/>
    <w:rsid w:val="00C52534"/>
    <w:rsid w:val="00C52541"/>
    <w:rsid w:val="00C5257C"/>
    <w:rsid w:val="00C525AF"/>
    <w:rsid w:val="00C526F6"/>
    <w:rsid w:val="00C52793"/>
    <w:rsid w:val="00C527CA"/>
    <w:rsid w:val="00C52810"/>
    <w:rsid w:val="00C5286D"/>
    <w:rsid w:val="00C528A6"/>
    <w:rsid w:val="00C528AD"/>
    <w:rsid w:val="00C528E9"/>
    <w:rsid w:val="00C529A0"/>
    <w:rsid w:val="00C52A7A"/>
    <w:rsid w:val="00C52A7B"/>
    <w:rsid w:val="00C52AC7"/>
    <w:rsid w:val="00C52ACB"/>
    <w:rsid w:val="00C52B76"/>
    <w:rsid w:val="00C52C76"/>
    <w:rsid w:val="00C52DBA"/>
    <w:rsid w:val="00C52E7B"/>
    <w:rsid w:val="00C52FCF"/>
    <w:rsid w:val="00C53054"/>
    <w:rsid w:val="00C530B2"/>
    <w:rsid w:val="00C53159"/>
    <w:rsid w:val="00C53289"/>
    <w:rsid w:val="00C532E1"/>
    <w:rsid w:val="00C533E7"/>
    <w:rsid w:val="00C5343E"/>
    <w:rsid w:val="00C53459"/>
    <w:rsid w:val="00C53463"/>
    <w:rsid w:val="00C534B7"/>
    <w:rsid w:val="00C53697"/>
    <w:rsid w:val="00C536BB"/>
    <w:rsid w:val="00C5377D"/>
    <w:rsid w:val="00C537AB"/>
    <w:rsid w:val="00C537E1"/>
    <w:rsid w:val="00C537FC"/>
    <w:rsid w:val="00C538B1"/>
    <w:rsid w:val="00C5391C"/>
    <w:rsid w:val="00C53938"/>
    <w:rsid w:val="00C53991"/>
    <w:rsid w:val="00C539CD"/>
    <w:rsid w:val="00C53A0A"/>
    <w:rsid w:val="00C53A1F"/>
    <w:rsid w:val="00C53A71"/>
    <w:rsid w:val="00C53B36"/>
    <w:rsid w:val="00C53C07"/>
    <w:rsid w:val="00C53D35"/>
    <w:rsid w:val="00C53E53"/>
    <w:rsid w:val="00C53F48"/>
    <w:rsid w:val="00C53F66"/>
    <w:rsid w:val="00C5403B"/>
    <w:rsid w:val="00C54093"/>
    <w:rsid w:val="00C540A7"/>
    <w:rsid w:val="00C540AB"/>
    <w:rsid w:val="00C5412D"/>
    <w:rsid w:val="00C5414D"/>
    <w:rsid w:val="00C54167"/>
    <w:rsid w:val="00C541C6"/>
    <w:rsid w:val="00C541CA"/>
    <w:rsid w:val="00C541ED"/>
    <w:rsid w:val="00C54216"/>
    <w:rsid w:val="00C54280"/>
    <w:rsid w:val="00C542B6"/>
    <w:rsid w:val="00C54321"/>
    <w:rsid w:val="00C54351"/>
    <w:rsid w:val="00C543BE"/>
    <w:rsid w:val="00C5440F"/>
    <w:rsid w:val="00C544A2"/>
    <w:rsid w:val="00C545B4"/>
    <w:rsid w:val="00C54623"/>
    <w:rsid w:val="00C54658"/>
    <w:rsid w:val="00C54733"/>
    <w:rsid w:val="00C54856"/>
    <w:rsid w:val="00C54942"/>
    <w:rsid w:val="00C5499D"/>
    <w:rsid w:val="00C54A4F"/>
    <w:rsid w:val="00C54ADC"/>
    <w:rsid w:val="00C54AF3"/>
    <w:rsid w:val="00C54C63"/>
    <w:rsid w:val="00C54E61"/>
    <w:rsid w:val="00C54F93"/>
    <w:rsid w:val="00C54FE5"/>
    <w:rsid w:val="00C550E8"/>
    <w:rsid w:val="00C551DE"/>
    <w:rsid w:val="00C553CA"/>
    <w:rsid w:val="00C553E6"/>
    <w:rsid w:val="00C553E7"/>
    <w:rsid w:val="00C5549F"/>
    <w:rsid w:val="00C554AB"/>
    <w:rsid w:val="00C55562"/>
    <w:rsid w:val="00C55572"/>
    <w:rsid w:val="00C555D0"/>
    <w:rsid w:val="00C556B1"/>
    <w:rsid w:val="00C556C6"/>
    <w:rsid w:val="00C556D5"/>
    <w:rsid w:val="00C556EA"/>
    <w:rsid w:val="00C557A0"/>
    <w:rsid w:val="00C557DD"/>
    <w:rsid w:val="00C55858"/>
    <w:rsid w:val="00C558E0"/>
    <w:rsid w:val="00C55942"/>
    <w:rsid w:val="00C55980"/>
    <w:rsid w:val="00C55ADC"/>
    <w:rsid w:val="00C55B49"/>
    <w:rsid w:val="00C55D73"/>
    <w:rsid w:val="00C55D98"/>
    <w:rsid w:val="00C55F33"/>
    <w:rsid w:val="00C55F69"/>
    <w:rsid w:val="00C55FAC"/>
    <w:rsid w:val="00C56098"/>
    <w:rsid w:val="00C5616A"/>
    <w:rsid w:val="00C561EE"/>
    <w:rsid w:val="00C5628E"/>
    <w:rsid w:val="00C562C2"/>
    <w:rsid w:val="00C562CE"/>
    <w:rsid w:val="00C562F6"/>
    <w:rsid w:val="00C5639B"/>
    <w:rsid w:val="00C563E3"/>
    <w:rsid w:val="00C56479"/>
    <w:rsid w:val="00C5650D"/>
    <w:rsid w:val="00C5662E"/>
    <w:rsid w:val="00C56639"/>
    <w:rsid w:val="00C5664E"/>
    <w:rsid w:val="00C566BC"/>
    <w:rsid w:val="00C56734"/>
    <w:rsid w:val="00C567C6"/>
    <w:rsid w:val="00C56888"/>
    <w:rsid w:val="00C56999"/>
    <w:rsid w:val="00C569A2"/>
    <w:rsid w:val="00C569D7"/>
    <w:rsid w:val="00C56AA2"/>
    <w:rsid w:val="00C56B14"/>
    <w:rsid w:val="00C56B51"/>
    <w:rsid w:val="00C56C8B"/>
    <w:rsid w:val="00C56DB0"/>
    <w:rsid w:val="00C56DB1"/>
    <w:rsid w:val="00C56DB8"/>
    <w:rsid w:val="00C56DC3"/>
    <w:rsid w:val="00C56DED"/>
    <w:rsid w:val="00C56E7B"/>
    <w:rsid w:val="00C56F2E"/>
    <w:rsid w:val="00C56FBC"/>
    <w:rsid w:val="00C56FD1"/>
    <w:rsid w:val="00C57009"/>
    <w:rsid w:val="00C570C6"/>
    <w:rsid w:val="00C5711D"/>
    <w:rsid w:val="00C5711E"/>
    <w:rsid w:val="00C57133"/>
    <w:rsid w:val="00C5715E"/>
    <w:rsid w:val="00C57208"/>
    <w:rsid w:val="00C572F7"/>
    <w:rsid w:val="00C5737D"/>
    <w:rsid w:val="00C573B9"/>
    <w:rsid w:val="00C573CE"/>
    <w:rsid w:val="00C57480"/>
    <w:rsid w:val="00C575AA"/>
    <w:rsid w:val="00C57641"/>
    <w:rsid w:val="00C576D8"/>
    <w:rsid w:val="00C576DE"/>
    <w:rsid w:val="00C577CF"/>
    <w:rsid w:val="00C578A7"/>
    <w:rsid w:val="00C578D4"/>
    <w:rsid w:val="00C578F7"/>
    <w:rsid w:val="00C57A41"/>
    <w:rsid w:val="00C57A61"/>
    <w:rsid w:val="00C57A92"/>
    <w:rsid w:val="00C57AE4"/>
    <w:rsid w:val="00C57B00"/>
    <w:rsid w:val="00C57B20"/>
    <w:rsid w:val="00C57C60"/>
    <w:rsid w:val="00C57C92"/>
    <w:rsid w:val="00C57CC6"/>
    <w:rsid w:val="00C57E08"/>
    <w:rsid w:val="00C57E11"/>
    <w:rsid w:val="00C57EE5"/>
    <w:rsid w:val="00C57F41"/>
    <w:rsid w:val="00C6000F"/>
    <w:rsid w:val="00C60035"/>
    <w:rsid w:val="00C601C8"/>
    <w:rsid w:val="00C601CC"/>
    <w:rsid w:val="00C601D0"/>
    <w:rsid w:val="00C603E0"/>
    <w:rsid w:val="00C6063B"/>
    <w:rsid w:val="00C6069B"/>
    <w:rsid w:val="00C607F0"/>
    <w:rsid w:val="00C60803"/>
    <w:rsid w:val="00C60877"/>
    <w:rsid w:val="00C6095E"/>
    <w:rsid w:val="00C6096A"/>
    <w:rsid w:val="00C6097B"/>
    <w:rsid w:val="00C609C0"/>
    <w:rsid w:val="00C60A4C"/>
    <w:rsid w:val="00C60B08"/>
    <w:rsid w:val="00C60B21"/>
    <w:rsid w:val="00C60C52"/>
    <w:rsid w:val="00C60C7F"/>
    <w:rsid w:val="00C60D22"/>
    <w:rsid w:val="00C60DBD"/>
    <w:rsid w:val="00C60DC3"/>
    <w:rsid w:val="00C60E66"/>
    <w:rsid w:val="00C60E76"/>
    <w:rsid w:val="00C60F5B"/>
    <w:rsid w:val="00C60FA8"/>
    <w:rsid w:val="00C610D6"/>
    <w:rsid w:val="00C6110A"/>
    <w:rsid w:val="00C61208"/>
    <w:rsid w:val="00C612E4"/>
    <w:rsid w:val="00C614B4"/>
    <w:rsid w:val="00C614D8"/>
    <w:rsid w:val="00C61617"/>
    <w:rsid w:val="00C61736"/>
    <w:rsid w:val="00C6177C"/>
    <w:rsid w:val="00C617AC"/>
    <w:rsid w:val="00C617F5"/>
    <w:rsid w:val="00C61820"/>
    <w:rsid w:val="00C618F1"/>
    <w:rsid w:val="00C6190D"/>
    <w:rsid w:val="00C61ADA"/>
    <w:rsid w:val="00C61B1C"/>
    <w:rsid w:val="00C61B44"/>
    <w:rsid w:val="00C61C45"/>
    <w:rsid w:val="00C61C60"/>
    <w:rsid w:val="00C61C6F"/>
    <w:rsid w:val="00C61DA0"/>
    <w:rsid w:val="00C61DCB"/>
    <w:rsid w:val="00C61E43"/>
    <w:rsid w:val="00C61E6A"/>
    <w:rsid w:val="00C61F4A"/>
    <w:rsid w:val="00C61FE7"/>
    <w:rsid w:val="00C62057"/>
    <w:rsid w:val="00C62105"/>
    <w:rsid w:val="00C6212D"/>
    <w:rsid w:val="00C6223E"/>
    <w:rsid w:val="00C622BE"/>
    <w:rsid w:val="00C62307"/>
    <w:rsid w:val="00C62358"/>
    <w:rsid w:val="00C62507"/>
    <w:rsid w:val="00C62527"/>
    <w:rsid w:val="00C62533"/>
    <w:rsid w:val="00C6259C"/>
    <w:rsid w:val="00C62630"/>
    <w:rsid w:val="00C62659"/>
    <w:rsid w:val="00C62711"/>
    <w:rsid w:val="00C627C9"/>
    <w:rsid w:val="00C627E7"/>
    <w:rsid w:val="00C6298A"/>
    <w:rsid w:val="00C629DA"/>
    <w:rsid w:val="00C62AF3"/>
    <w:rsid w:val="00C62AF8"/>
    <w:rsid w:val="00C62BF2"/>
    <w:rsid w:val="00C62BF7"/>
    <w:rsid w:val="00C62C50"/>
    <w:rsid w:val="00C62C54"/>
    <w:rsid w:val="00C62C55"/>
    <w:rsid w:val="00C62C6E"/>
    <w:rsid w:val="00C62C8F"/>
    <w:rsid w:val="00C62D23"/>
    <w:rsid w:val="00C62D3A"/>
    <w:rsid w:val="00C62DC6"/>
    <w:rsid w:val="00C62E11"/>
    <w:rsid w:val="00C62EFD"/>
    <w:rsid w:val="00C6314C"/>
    <w:rsid w:val="00C6321C"/>
    <w:rsid w:val="00C63248"/>
    <w:rsid w:val="00C63324"/>
    <w:rsid w:val="00C6332F"/>
    <w:rsid w:val="00C63333"/>
    <w:rsid w:val="00C63359"/>
    <w:rsid w:val="00C63476"/>
    <w:rsid w:val="00C63484"/>
    <w:rsid w:val="00C63498"/>
    <w:rsid w:val="00C63537"/>
    <w:rsid w:val="00C63591"/>
    <w:rsid w:val="00C6359B"/>
    <w:rsid w:val="00C6361C"/>
    <w:rsid w:val="00C6362C"/>
    <w:rsid w:val="00C6368D"/>
    <w:rsid w:val="00C636BA"/>
    <w:rsid w:val="00C6370F"/>
    <w:rsid w:val="00C6373B"/>
    <w:rsid w:val="00C6379E"/>
    <w:rsid w:val="00C63872"/>
    <w:rsid w:val="00C63980"/>
    <w:rsid w:val="00C639B2"/>
    <w:rsid w:val="00C639D8"/>
    <w:rsid w:val="00C639F1"/>
    <w:rsid w:val="00C63A36"/>
    <w:rsid w:val="00C63AA8"/>
    <w:rsid w:val="00C63B6B"/>
    <w:rsid w:val="00C63C30"/>
    <w:rsid w:val="00C63C72"/>
    <w:rsid w:val="00C63CED"/>
    <w:rsid w:val="00C63D76"/>
    <w:rsid w:val="00C63D95"/>
    <w:rsid w:val="00C63E05"/>
    <w:rsid w:val="00C63E26"/>
    <w:rsid w:val="00C63F09"/>
    <w:rsid w:val="00C640D6"/>
    <w:rsid w:val="00C64174"/>
    <w:rsid w:val="00C641AC"/>
    <w:rsid w:val="00C6432F"/>
    <w:rsid w:val="00C64344"/>
    <w:rsid w:val="00C6446B"/>
    <w:rsid w:val="00C6455B"/>
    <w:rsid w:val="00C645B7"/>
    <w:rsid w:val="00C645D8"/>
    <w:rsid w:val="00C6469B"/>
    <w:rsid w:val="00C64772"/>
    <w:rsid w:val="00C647A4"/>
    <w:rsid w:val="00C649AC"/>
    <w:rsid w:val="00C649AF"/>
    <w:rsid w:val="00C64A10"/>
    <w:rsid w:val="00C64AFE"/>
    <w:rsid w:val="00C64B10"/>
    <w:rsid w:val="00C64BD8"/>
    <w:rsid w:val="00C64CC1"/>
    <w:rsid w:val="00C64D21"/>
    <w:rsid w:val="00C64D44"/>
    <w:rsid w:val="00C64F67"/>
    <w:rsid w:val="00C6502A"/>
    <w:rsid w:val="00C6514B"/>
    <w:rsid w:val="00C6520B"/>
    <w:rsid w:val="00C6521C"/>
    <w:rsid w:val="00C65393"/>
    <w:rsid w:val="00C653C5"/>
    <w:rsid w:val="00C653D6"/>
    <w:rsid w:val="00C653ED"/>
    <w:rsid w:val="00C65415"/>
    <w:rsid w:val="00C65421"/>
    <w:rsid w:val="00C6547D"/>
    <w:rsid w:val="00C65580"/>
    <w:rsid w:val="00C65586"/>
    <w:rsid w:val="00C655ED"/>
    <w:rsid w:val="00C65605"/>
    <w:rsid w:val="00C6578E"/>
    <w:rsid w:val="00C65794"/>
    <w:rsid w:val="00C657EF"/>
    <w:rsid w:val="00C657F4"/>
    <w:rsid w:val="00C6585C"/>
    <w:rsid w:val="00C65891"/>
    <w:rsid w:val="00C65893"/>
    <w:rsid w:val="00C65A37"/>
    <w:rsid w:val="00C65A42"/>
    <w:rsid w:val="00C65AC3"/>
    <w:rsid w:val="00C65AEE"/>
    <w:rsid w:val="00C65B6C"/>
    <w:rsid w:val="00C65B88"/>
    <w:rsid w:val="00C65B8D"/>
    <w:rsid w:val="00C65C62"/>
    <w:rsid w:val="00C65CC0"/>
    <w:rsid w:val="00C65D6D"/>
    <w:rsid w:val="00C65D74"/>
    <w:rsid w:val="00C65EF1"/>
    <w:rsid w:val="00C65F1D"/>
    <w:rsid w:val="00C660B2"/>
    <w:rsid w:val="00C66196"/>
    <w:rsid w:val="00C661F0"/>
    <w:rsid w:val="00C66240"/>
    <w:rsid w:val="00C6649B"/>
    <w:rsid w:val="00C664DD"/>
    <w:rsid w:val="00C664E4"/>
    <w:rsid w:val="00C665B1"/>
    <w:rsid w:val="00C665D6"/>
    <w:rsid w:val="00C666DC"/>
    <w:rsid w:val="00C668E0"/>
    <w:rsid w:val="00C66917"/>
    <w:rsid w:val="00C66990"/>
    <w:rsid w:val="00C66A79"/>
    <w:rsid w:val="00C66AE4"/>
    <w:rsid w:val="00C66AF8"/>
    <w:rsid w:val="00C66B09"/>
    <w:rsid w:val="00C66B39"/>
    <w:rsid w:val="00C66C53"/>
    <w:rsid w:val="00C66E4F"/>
    <w:rsid w:val="00C66E96"/>
    <w:rsid w:val="00C66F13"/>
    <w:rsid w:val="00C66FDE"/>
    <w:rsid w:val="00C670FF"/>
    <w:rsid w:val="00C67102"/>
    <w:rsid w:val="00C671E2"/>
    <w:rsid w:val="00C67238"/>
    <w:rsid w:val="00C672C0"/>
    <w:rsid w:val="00C67358"/>
    <w:rsid w:val="00C67361"/>
    <w:rsid w:val="00C6744F"/>
    <w:rsid w:val="00C67500"/>
    <w:rsid w:val="00C67554"/>
    <w:rsid w:val="00C67571"/>
    <w:rsid w:val="00C67626"/>
    <w:rsid w:val="00C676CD"/>
    <w:rsid w:val="00C676FE"/>
    <w:rsid w:val="00C67831"/>
    <w:rsid w:val="00C678CD"/>
    <w:rsid w:val="00C679D6"/>
    <w:rsid w:val="00C67A18"/>
    <w:rsid w:val="00C67A4B"/>
    <w:rsid w:val="00C67AE4"/>
    <w:rsid w:val="00C67B3D"/>
    <w:rsid w:val="00C67BAC"/>
    <w:rsid w:val="00C67D6B"/>
    <w:rsid w:val="00C67D95"/>
    <w:rsid w:val="00C67DC9"/>
    <w:rsid w:val="00C67FCD"/>
    <w:rsid w:val="00C7006D"/>
    <w:rsid w:val="00C7009C"/>
    <w:rsid w:val="00C70143"/>
    <w:rsid w:val="00C701CE"/>
    <w:rsid w:val="00C701D8"/>
    <w:rsid w:val="00C7023F"/>
    <w:rsid w:val="00C70283"/>
    <w:rsid w:val="00C70297"/>
    <w:rsid w:val="00C703F5"/>
    <w:rsid w:val="00C70414"/>
    <w:rsid w:val="00C704DC"/>
    <w:rsid w:val="00C70769"/>
    <w:rsid w:val="00C7083C"/>
    <w:rsid w:val="00C7086A"/>
    <w:rsid w:val="00C70875"/>
    <w:rsid w:val="00C708BF"/>
    <w:rsid w:val="00C7091E"/>
    <w:rsid w:val="00C70926"/>
    <w:rsid w:val="00C70AB6"/>
    <w:rsid w:val="00C70ADF"/>
    <w:rsid w:val="00C70C14"/>
    <w:rsid w:val="00C70C21"/>
    <w:rsid w:val="00C70CED"/>
    <w:rsid w:val="00C70DC8"/>
    <w:rsid w:val="00C70E9C"/>
    <w:rsid w:val="00C70ED0"/>
    <w:rsid w:val="00C70F25"/>
    <w:rsid w:val="00C70F77"/>
    <w:rsid w:val="00C70FB5"/>
    <w:rsid w:val="00C70FF9"/>
    <w:rsid w:val="00C7105D"/>
    <w:rsid w:val="00C71142"/>
    <w:rsid w:val="00C71159"/>
    <w:rsid w:val="00C711A1"/>
    <w:rsid w:val="00C7124C"/>
    <w:rsid w:val="00C712DE"/>
    <w:rsid w:val="00C71402"/>
    <w:rsid w:val="00C71498"/>
    <w:rsid w:val="00C71573"/>
    <w:rsid w:val="00C716BA"/>
    <w:rsid w:val="00C7174D"/>
    <w:rsid w:val="00C717E0"/>
    <w:rsid w:val="00C71902"/>
    <w:rsid w:val="00C71963"/>
    <w:rsid w:val="00C71AD1"/>
    <w:rsid w:val="00C71B40"/>
    <w:rsid w:val="00C71B5A"/>
    <w:rsid w:val="00C71B8A"/>
    <w:rsid w:val="00C71B92"/>
    <w:rsid w:val="00C71C15"/>
    <w:rsid w:val="00C71D73"/>
    <w:rsid w:val="00C71EB0"/>
    <w:rsid w:val="00C71F02"/>
    <w:rsid w:val="00C71F2D"/>
    <w:rsid w:val="00C71F5B"/>
    <w:rsid w:val="00C72007"/>
    <w:rsid w:val="00C720CA"/>
    <w:rsid w:val="00C72146"/>
    <w:rsid w:val="00C72181"/>
    <w:rsid w:val="00C72186"/>
    <w:rsid w:val="00C721AF"/>
    <w:rsid w:val="00C722AD"/>
    <w:rsid w:val="00C722D7"/>
    <w:rsid w:val="00C723FB"/>
    <w:rsid w:val="00C724BF"/>
    <w:rsid w:val="00C725D3"/>
    <w:rsid w:val="00C725FD"/>
    <w:rsid w:val="00C72658"/>
    <w:rsid w:val="00C72663"/>
    <w:rsid w:val="00C726BD"/>
    <w:rsid w:val="00C726D3"/>
    <w:rsid w:val="00C72709"/>
    <w:rsid w:val="00C72781"/>
    <w:rsid w:val="00C727B4"/>
    <w:rsid w:val="00C72823"/>
    <w:rsid w:val="00C7286E"/>
    <w:rsid w:val="00C7287C"/>
    <w:rsid w:val="00C72883"/>
    <w:rsid w:val="00C728E6"/>
    <w:rsid w:val="00C7291B"/>
    <w:rsid w:val="00C72930"/>
    <w:rsid w:val="00C729DA"/>
    <w:rsid w:val="00C72A79"/>
    <w:rsid w:val="00C72AD3"/>
    <w:rsid w:val="00C72B46"/>
    <w:rsid w:val="00C72C4B"/>
    <w:rsid w:val="00C72C54"/>
    <w:rsid w:val="00C72CDF"/>
    <w:rsid w:val="00C72D93"/>
    <w:rsid w:val="00C72DC3"/>
    <w:rsid w:val="00C72E30"/>
    <w:rsid w:val="00C72E31"/>
    <w:rsid w:val="00C72EB9"/>
    <w:rsid w:val="00C72F48"/>
    <w:rsid w:val="00C72F7B"/>
    <w:rsid w:val="00C7308A"/>
    <w:rsid w:val="00C7308B"/>
    <w:rsid w:val="00C7323E"/>
    <w:rsid w:val="00C73279"/>
    <w:rsid w:val="00C732AE"/>
    <w:rsid w:val="00C73309"/>
    <w:rsid w:val="00C73448"/>
    <w:rsid w:val="00C7350D"/>
    <w:rsid w:val="00C735CC"/>
    <w:rsid w:val="00C736A7"/>
    <w:rsid w:val="00C736CE"/>
    <w:rsid w:val="00C736F7"/>
    <w:rsid w:val="00C73713"/>
    <w:rsid w:val="00C73751"/>
    <w:rsid w:val="00C737B5"/>
    <w:rsid w:val="00C73806"/>
    <w:rsid w:val="00C73842"/>
    <w:rsid w:val="00C73882"/>
    <w:rsid w:val="00C7389E"/>
    <w:rsid w:val="00C738BA"/>
    <w:rsid w:val="00C7398F"/>
    <w:rsid w:val="00C739FD"/>
    <w:rsid w:val="00C73C3F"/>
    <w:rsid w:val="00C73D5D"/>
    <w:rsid w:val="00C73DCD"/>
    <w:rsid w:val="00C73E42"/>
    <w:rsid w:val="00C7404A"/>
    <w:rsid w:val="00C74056"/>
    <w:rsid w:val="00C740AA"/>
    <w:rsid w:val="00C740F5"/>
    <w:rsid w:val="00C74109"/>
    <w:rsid w:val="00C74142"/>
    <w:rsid w:val="00C74166"/>
    <w:rsid w:val="00C741BF"/>
    <w:rsid w:val="00C741D5"/>
    <w:rsid w:val="00C7428A"/>
    <w:rsid w:val="00C742D3"/>
    <w:rsid w:val="00C743F9"/>
    <w:rsid w:val="00C74500"/>
    <w:rsid w:val="00C7457B"/>
    <w:rsid w:val="00C74623"/>
    <w:rsid w:val="00C74675"/>
    <w:rsid w:val="00C74703"/>
    <w:rsid w:val="00C749D4"/>
    <w:rsid w:val="00C74A40"/>
    <w:rsid w:val="00C74AF1"/>
    <w:rsid w:val="00C74B4A"/>
    <w:rsid w:val="00C74BEF"/>
    <w:rsid w:val="00C74BF7"/>
    <w:rsid w:val="00C74C14"/>
    <w:rsid w:val="00C74D73"/>
    <w:rsid w:val="00C74DB4"/>
    <w:rsid w:val="00C74DFA"/>
    <w:rsid w:val="00C74E4F"/>
    <w:rsid w:val="00C74E63"/>
    <w:rsid w:val="00C74E67"/>
    <w:rsid w:val="00C74E71"/>
    <w:rsid w:val="00C74E75"/>
    <w:rsid w:val="00C74EA5"/>
    <w:rsid w:val="00C75005"/>
    <w:rsid w:val="00C75066"/>
    <w:rsid w:val="00C7508B"/>
    <w:rsid w:val="00C7510A"/>
    <w:rsid w:val="00C752D0"/>
    <w:rsid w:val="00C752DD"/>
    <w:rsid w:val="00C75390"/>
    <w:rsid w:val="00C7543F"/>
    <w:rsid w:val="00C7550A"/>
    <w:rsid w:val="00C75547"/>
    <w:rsid w:val="00C75553"/>
    <w:rsid w:val="00C75697"/>
    <w:rsid w:val="00C756A9"/>
    <w:rsid w:val="00C756DD"/>
    <w:rsid w:val="00C75716"/>
    <w:rsid w:val="00C75773"/>
    <w:rsid w:val="00C75859"/>
    <w:rsid w:val="00C758CA"/>
    <w:rsid w:val="00C758D9"/>
    <w:rsid w:val="00C75905"/>
    <w:rsid w:val="00C75927"/>
    <w:rsid w:val="00C75974"/>
    <w:rsid w:val="00C75A1C"/>
    <w:rsid w:val="00C75A30"/>
    <w:rsid w:val="00C75ABC"/>
    <w:rsid w:val="00C75B75"/>
    <w:rsid w:val="00C75CF2"/>
    <w:rsid w:val="00C75E46"/>
    <w:rsid w:val="00C75E6B"/>
    <w:rsid w:val="00C75EEF"/>
    <w:rsid w:val="00C75F43"/>
    <w:rsid w:val="00C75F60"/>
    <w:rsid w:val="00C760A5"/>
    <w:rsid w:val="00C760E0"/>
    <w:rsid w:val="00C760F9"/>
    <w:rsid w:val="00C761C9"/>
    <w:rsid w:val="00C7627A"/>
    <w:rsid w:val="00C76392"/>
    <w:rsid w:val="00C76459"/>
    <w:rsid w:val="00C76463"/>
    <w:rsid w:val="00C764F2"/>
    <w:rsid w:val="00C76654"/>
    <w:rsid w:val="00C766FB"/>
    <w:rsid w:val="00C767FE"/>
    <w:rsid w:val="00C768DD"/>
    <w:rsid w:val="00C76908"/>
    <w:rsid w:val="00C76994"/>
    <w:rsid w:val="00C76AD1"/>
    <w:rsid w:val="00C76B5D"/>
    <w:rsid w:val="00C76C49"/>
    <w:rsid w:val="00C76E2B"/>
    <w:rsid w:val="00C76E5D"/>
    <w:rsid w:val="00C76E62"/>
    <w:rsid w:val="00C76EEC"/>
    <w:rsid w:val="00C76EF1"/>
    <w:rsid w:val="00C76F16"/>
    <w:rsid w:val="00C76F35"/>
    <w:rsid w:val="00C76F66"/>
    <w:rsid w:val="00C76FA1"/>
    <w:rsid w:val="00C76FB5"/>
    <w:rsid w:val="00C76FE6"/>
    <w:rsid w:val="00C77019"/>
    <w:rsid w:val="00C77036"/>
    <w:rsid w:val="00C770BF"/>
    <w:rsid w:val="00C77137"/>
    <w:rsid w:val="00C771C1"/>
    <w:rsid w:val="00C771FF"/>
    <w:rsid w:val="00C77200"/>
    <w:rsid w:val="00C7722B"/>
    <w:rsid w:val="00C772DC"/>
    <w:rsid w:val="00C772F9"/>
    <w:rsid w:val="00C77386"/>
    <w:rsid w:val="00C7748D"/>
    <w:rsid w:val="00C777EF"/>
    <w:rsid w:val="00C7782F"/>
    <w:rsid w:val="00C77867"/>
    <w:rsid w:val="00C77872"/>
    <w:rsid w:val="00C778FE"/>
    <w:rsid w:val="00C77B5A"/>
    <w:rsid w:val="00C77BD2"/>
    <w:rsid w:val="00C77CC2"/>
    <w:rsid w:val="00C77CF7"/>
    <w:rsid w:val="00C77CF8"/>
    <w:rsid w:val="00C77D78"/>
    <w:rsid w:val="00C77DE2"/>
    <w:rsid w:val="00C77E56"/>
    <w:rsid w:val="00C77E62"/>
    <w:rsid w:val="00C77EC2"/>
    <w:rsid w:val="00C77F63"/>
    <w:rsid w:val="00C77FF2"/>
    <w:rsid w:val="00C802A3"/>
    <w:rsid w:val="00C802B7"/>
    <w:rsid w:val="00C802F0"/>
    <w:rsid w:val="00C8033A"/>
    <w:rsid w:val="00C80356"/>
    <w:rsid w:val="00C8038E"/>
    <w:rsid w:val="00C80493"/>
    <w:rsid w:val="00C80609"/>
    <w:rsid w:val="00C806CE"/>
    <w:rsid w:val="00C80717"/>
    <w:rsid w:val="00C8078F"/>
    <w:rsid w:val="00C807F3"/>
    <w:rsid w:val="00C80819"/>
    <w:rsid w:val="00C8085D"/>
    <w:rsid w:val="00C80875"/>
    <w:rsid w:val="00C808CB"/>
    <w:rsid w:val="00C80A2F"/>
    <w:rsid w:val="00C80A49"/>
    <w:rsid w:val="00C80AD0"/>
    <w:rsid w:val="00C80B25"/>
    <w:rsid w:val="00C80B36"/>
    <w:rsid w:val="00C80B5C"/>
    <w:rsid w:val="00C80BB3"/>
    <w:rsid w:val="00C80BC6"/>
    <w:rsid w:val="00C80BE4"/>
    <w:rsid w:val="00C80C2B"/>
    <w:rsid w:val="00C80D16"/>
    <w:rsid w:val="00C80E21"/>
    <w:rsid w:val="00C80EBA"/>
    <w:rsid w:val="00C80F0F"/>
    <w:rsid w:val="00C80FB3"/>
    <w:rsid w:val="00C8116F"/>
    <w:rsid w:val="00C81181"/>
    <w:rsid w:val="00C81367"/>
    <w:rsid w:val="00C813CF"/>
    <w:rsid w:val="00C813DF"/>
    <w:rsid w:val="00C81473"/>
    <w:rsid w:val="00C8149B"/>
    <w:rsid w:val="00C814DE"/>
    <w:rsid w:val="00C815AD"/>
    <w:rsid w:val="00C815AF"/>
    <w:rsid w:val="00C815F4"/>
    <w:rsid w:val="00C815FB"/>
    <w:rsid w:val="00C8168E"/>
    <w:rsid w:val="00C81839"/>
    <w:rsid w:val="00C818AF"/>
    <w:rsid w:val="00C8199B"/>
    <w:rsid w:val="00C819BE"/>
    <w:rsid w:val="00C81AE2"/>
    <w:rsid w:val="00C81B93"/>
    <w:rsid w:val="00C81C61"/>
    <w:rsid w:val="00C81CD8"/>
    <w:rsid w:val="00C81DBA"/>
    <w:rsid w:val="00C81EE9"/>
    <w:rsid w:val="00C81FE1"/>
    <w:rsid w:val="00C82035"/>
    <w:rsid w:val="00C82064"/>
    <w:rsid w:val="00C8208F"/>
    <w:rsid w:val="00C8213F"/>
    <w:rsid w:val="00C82151"/>
    <w:rsid w:val="00C82182"/>
    <w:rsid w:val="00C822A6"/>
    <w:rsid w:val="00C822E8"/>
    <w:rsid w:val="00C823C7"/>
    <w:rsid w:val="00C82536"/>
    <w:rsid w:val="00C82546"/>
    <w:rsid w:val="00C82783"/>
    <w:rsid w:val="00C827B7"/>
    <w:rsid w:val="00C828DC"/>
    <w:rsid w:val="00C8290B"/>
    <w:rsid w:val="00C82970"/>
    <w:rsid w:val="00C8298D"/>
    <w:rsid w:val="00C829A6"/>
    <w:rsid w:val="00C82A07"/>
    <w:rsid w:val="00C82A46"/>
    <w:rsid w:val="00C82A95"/>
    <w:rsid w:val="00C82AEC"/>
    <w:rsid w:val="00C82BAF"/>
    <w:rsid w:val="00C82BEF"/>
    <w:rsid w:val="00C82BF0"/>
    <w:rsid w:val="00C82C45"/>
    <w:rsid w:val="00C82C66"/>
    <w:rsid w:val="00C82E6E"/>
    <w:rsid w:val="00C82F1D"/>
    <w:rsid w:val="00C82F33"/>
    <w:rsid w:val="00C82FC2"/>
    <w:rsid w:val="00C83014"/>
    <w:rsid w:val="00C83025"/>
    <w:rsid w:val="00C83099"/>
    <w:rsid w:val="00C831C3"/>
    <w:rsid w:val="00C8326F"/>
    <w:rsid w:val="00C8331F"/>
    <w:rsid w:val="00C83556"/>
    <w:rsid w:val="00C83615"/>
    <w:rsid w:val="00C8366F"/>
    <w:rsid w:val="00C83782"/>
    <w:rsid w:val="00C8379C"/>
    <w:rsid w:val="00C8381C"/>
    <w:rsid w:val="00C83859"/>
    <w:rsid w:val="00C838F9"/>
    <w:rsid w:val="00C8397B"/>
    <w:rsid w:val="00C8397C"/>
    <w:rsid w:val="00C83A1E"/>
    <w:rsid w:val="00C83B34"/>
    <w:rsid w:val="00C83B7B"/>
    <w:rsid w:val="00C83C5E"/>
    <w:rsid w:val="00C83CD1"/>
    <w:rsid w:val="00C83D56"/>
    <w:rsid w:val="00C83D7D"/>
    <w:rsid w:val="00C83DC6"/>
    <w:rsid w:val="00C83DDA"/>
    <w:rsid w:val="00C83E10"/>
    <w:rsid w:val="00C83E9D"/>
    <w:rsid w:val="00C83F14"/>
    <w:rsid w:val="00C83F88"/>
    <w:rsid w:val="00C84182"/>
    <w:rsid w:val="00C841A0"/>
    <w:rsid w:val="00C841A4"/>
    <w:rsid w:val="00C841B1"/>
    <w:rsid w:val="00C8426F"/>
    <w:rsid w:val="00C8428B"/>
    <w:rsid w:val="00C842E6"/>
    <w:rsid w:val="00C84401"/>
    <w:rsid w:val="00C84481"/>
    <w:rsid w:val="00C844A5"/>
    <w:rsid w:val="00C844F3"/>
    <w:rsid w:val="00C84525"/>
    <w:rsid w:val="00C84543"/>
    <w:rsid w:val="00C84562"/>
    <w:rsid w:val="00C845DA"/>
    <w:rsid w:val="00C8464A"/>
    <w:rsid w:val="00C8484C"/>
    <w:rsid w:val="00C84873"/>
    <w:rsid w:val="00C84888"/>
    <w:rsid w:val="00C84A23"/>
    <w:rsid w:val="00C84A5F"/>
    <w:rsid w:val="00C84A8D"/>
    <w:rsid w:val="00C84B6B"/>
    <w:rsid w:val="00C84C39"/>
    <w:rsid w:val="00C84C47"/>
    <w:rsid w:val="00C84C6F"/>
    <w:rsid w:val="00C84C8F"/>
    <w:rsid w:val="00C84CD9"/>
    <w:rsid w:val="00C84D13"/>
    <w:rsid w:val="00C84F6D"/>
    <w:rsid w:val="00C84F9C"/>
    <w:rsid w:val="00C85008"/>
    <w:rsid w:val="00C850B0"/>
    <w:rsid w:val="00C85343"/>
    <w:rsid w:val="00C8538A"/>
    <w:rsid w:val="00C853C7"/>
    <w:rsid w:val="00C853F4"/>
    <w:rsid w:val="00C85487"/>
    <w:rsid w:val="00C854AD"/>
    <w:rsid w:val="00C85556"/>
    <w:rsid w:val="00C8566A"/>
    <w:rsid w:val="00C85684"/>
    <w:rsid w:val="00C85716"/>
    <w:rsid w:val="00C857A1"/>
    <w:rsid w:val="00C857C6"/>
    <w:rsid w:val="00C85876"/>
    <w:rsid w:val="00C858ED"/>
    <w:rsid w:val="00C858EF"/>
    <w:rsid w:val="00C85950"/>
    <w:rsid w:val="00C85955"/>
    <w:rsid w:val="00C85A69"/>
    <w:rsid w:val="00C85A96"/>
    <w:rsid w:val="00C85A97"/>
    <w:rsid w:val="00C85AE3"/>
    <w:rsid w:val="00C85B29"/>
    <w:rsid w:val="00C85B9E"/>
    <w:rsid w:val="00C85C27"/>
    <w:rsid w:val="00C85C62"/>
    <w:rsid w:val="00C85C70"/>
    <w:rsid w:val="00C85D50"/>
    <w:rsid w:val="00C85DB5"/>
    <w:rsid w:val="00C85E01"/>
    <w:rsid w:val="00C85F35"/>
    <w:rsid w:val="00C85F79"/>
    <w:rsid w:val="00C85FCB"/>
    <w:rsid w:val="00C85FDB"/>
    <w:rsid w:val="00C86015"/>
    <w:rsid w:val="00C86022"/>
    <w:rsid w:val="00C86186"/>
    <w:rsid w:val="00C861DE"/>
    <w:rsid w:val="00C861EE"/>
    <w:rsid w:val="00C86213"/>
    <w:rsid w:val="00C862B3"/>
    <w:rsid w:val="00C86396"/>
    <w:rsid w:val="00C863AB"/>
    <w:rsid w:val="00C8651D"/>
    <w:rsid w:val="00C86559"/>
    <w:rsid w:val="00C8666E"/>
    <w:rsid w:val="00C86681"/>
    <w:rsid w:val="00C86715"/>
    <w:rsid w:val="00C86727"/>
    <w:rsid w:val="00C86769"/>
    <w:rsid w:val="00C86787"/>
    <w:rsid w:val="00C867A1"/>
    <w:rsid w:val="00C86A24"/>
    <w:rsid w:val="00C86A64"/>
    <w:rsid w:val="00C86B16"/>
    <w:rsid w:val="00C86B32"/>
    <w:rsid w:val="00C86B58"/>
    <w:rsid w:val="00C86CED"/>
    <w:rsid w:val="00C86D5C"/>
    <w:rsid w:val="00C86D62"/>
    <w:rsid w:val="00C86E85"/>
    <w:rsid w:val="00C86ECF"/>
    <w:rsid w:val="00C86F9E"/>
    <w:rsid w:val="00C86FBD"/>
    <w:rsid w:val="00C86FBE"/>
    <w:rsid w:val="00C87008"/>
    <w:rsid w:val="00C87012"/>
    <w:rsid w:val="00C8710C"/>
    <w:rsid w:val="00C87188"/>
    <w:rsid w:val="00C871DD"/>
    <w:rsid w:val="00C8722E"/>
    <w:rsid w:val="00C87266"/>
    <w:rsid w:val="00C87280"/>
    <w:rsid w:val="00C873A5"/>
    <w:rsid w:val="00C87461"/>
    <w:rsid w:val="00C8748F"/>
    <w:rsid w:val="00C87497"/>
    <w:rsid w:val="00C874E7"/>
    <w:rsid w:val="00C87512"/>
    <w:rsid w:val="00C87648"/>
    <w:rsid w:val="00C87649"/>
    <w:rsid w:val="00C8766D"/>
    <w:rsid w:val="00C876F6"/>
    <w:rsid w:val="00C876FF"/>
    <w:rsid w:val="00C87771"/>
    <w:rsid w:val="00C8780D"/>
    <w:rsid w:val="00C87826"/>
    <w:rsid w:val="00C87858"/>
    <w:rsid w:val="00C87874"/>
    <w:rsid w:val="00C878F7"/>
    <w:rsid w:val="00C879E6"/>
    <w:rsid w:val="00C879EB"/>
    <w:rsid w:val="00C87A9B"/>
    <w:rsid w:val="00C87B5A"/>
    <w:rsid w:val="00C87B77"/>
    <w:rsid w:val="00C87B79"/>
    <w:rsid w:val="00C87B82"/>
    <w:rsid w:val="00C87BE2"/>
    <w:rsid w:val="00C87BF9"/>
    <w:rsid w:val="00C87D7F"/>
    <w:rsid w:val="00C87DA3"/>
    <w:rsid w:val="00C87F01"/>
    <w:rsid w:val="00C9015C"/>
    <w:rsid w:val="00C9035C"/>
    <w:rsid w:val="00C903F8"/>
    <w:rsid w:val="00C90424"/>
    <w:rsid w:val="00C9042E"/>
    <w:rsid w:val="00C90471"/>
    <w:rsid w:val="00C9057F"/>
    <w:rsid w:val="00C906BE"/>
    <w:rsid w:val="00C90712"/>
    <w:rsid w:val="00C907EA"/>
    <w:rsid w:val="00C9080B"/>
    <w:rsid w:val="00C90810"/>
    <w:rsid w:val="00C90912"/>
    <w:rsid w:val="00C9097A"/>
    <w:rsid w:val="00C909C0"/>
    <w:rsid w:val="00C909E0"/>
    <w:rsid w:val="00C90A18"/>
    <w:rsid w:val="00C90A29"/>
    <w:rsid w:val="00C90ADB"/>
    <w:rsid w:val="00C90BE6"/>
    <w:rsid w:val="00C90C43"/>
    <w:rsid w:val="00C90DE0"/>
    <w:rsid w:val="00C90E13"/>
    <w:rsid w:val="00C90E38"/>
    <w:rsid w:val="00C90E6D"/>
    <w:rsid w:val="00C9105F"/>
    <w:rsid w:val="00C91068"/>
    <w:rsid w:val="00C910D0"/>
    <w:rsid w:val="00C91112"/>
    <w:rsid w:val="00C911A3"/>
    <w:rsid w:val="00C911AB"/>
    <w:rsid w:val="00C91238"/>
    <w:rsid w:val="00C91259"/>
    <w:rsid w:val="00C9129C"/>
    <w:rsid w:val="00C9130F"/>
    <w:rsid w:val="00C91354"/>
    <w:rsid w:val="00C91369"/>
    <w:rsid w:val="00C9145D"/>
    <w:rsid w:val="00C9145E"/>
    <w:rsid w:val="00C91502"/>
    <w:rsid w:val="00C9157D"/>
    <w:rsid w:val="00C915BA"/>
    <w:rsid w:val="00C915FC"/>
    <w:rsid w:val="00C91699"/>
    <w:rsid w:val="00C916A7"/>
    <w:rsid w:val="00C916FA"/>
    <w:rsid w:val="00C9177F"/>
    <w:rsid w:val="00C91795"/>
    <w:rsid w:val="00C918D7"/>
    <w:rsid w:val="00C91988"/>
    <w:rsid w:val="00C91999"/>
    <w:rsid w:val="00C91A94"/>
    <w:rsid w:val="00C91AF4"/>
    <w:rsid w:val="00C91BF0"/>
    <w:rsid w:val="00C91C5B"/>
    <w:rsid w:val="00C91CE5"/>
    <w:rsid w:val="00C91DDE"/>
    <w:rsid w:val="00C91E0D"/>
    <w:rsid w:val="00C91F7F"/>
    <w:rsid w:val="00C92079"/>
    <w:rsid w:val="00C9218E"/>
    <w:rsid w:val="00C921F5"/>
    <w:rsid w:val="00C92257"/>
    <w:rsid w:val="00C9234F"/>
    <w:rsid w:val="00C9254D"/>
    <w:rsid w:val="00C9254F"/>
    <w:rsid w:val="00C92556"/>
    <w:rsid w:val="00C92563"/>
    <w:rsid w:val="00C9257E"/>
    <w:rsid w:val="00C925B5"/>
    <w:rsid w:val="00C925EF"/>
    <w:rsid w:val="00C92628"/>
    <w:rsid w:val="00C92638"/>
    <w:rsid w:val="00C92656"/>
    <w:rsid w:val="00C926A5"/>
    <w:rsid w:val="00C9272E"/>
    <w:rsid w:val="00C9272F"/>
    <w:rsid w:val="00C92796"/>
    <w:rsid w:val="00C927A2"/>
    <w:rsid w:val="00C92926"/>
    <w:rsid w:val="00C92943"/>
    <w:rsid w:val="00C92A96"/>
    <w:rsid w:val="00C92AB9"/>
    <w:rsid w:val="00C92B5F"/>
    <w:rsid w:val="00C92BA8"/>
    <w:rsid w:val="00C92BD7"/>
    <w:rsid w:val="00C92C5E"/>
    <w:rsid w:val="00C92C8D"/>
    <w:rsid w:val="00C92CBF"/>
    <w:rsid w:val="00C92D34"/>
    <w:rsid w:val="00C92D3E"/>
    <w:rsid w:val="00C92E22"/>
    <w:rsid w:val="00C92E70"/>
    <w:rsid w:val="00C92EA2"/>
    <w:rsid w:val="00C92EC3"/>
    <w:rsid w:val="00C930AB"/>
    <w:rsid w:val="00C930EA"/>
    <w:rsid w:val="00C93189"/>
    <w:rsid w:val="00C93195"/>
    <w:rsid w:val="00C931AF"/>
    <w:rsid w:val="00C932A0"/>
    <w:rsid w:val="00C93398"/>
    <w:rsid w:val="00C93612"/>
    <w:rsid w:val="00C93672"/>
    <w:rsid w:val="00C936D6"/>
    <w:rsid w:val="00C93736"/>
    <w:rsid w:val="00C93863"/>
    <w:rsid w:val="00C9386F"/>
    <w:rsid w:val="00C93A88"/>
    <w:rsid w:val="00C93B16"/>
    <w:rsid w:val="00C93B9B"/>
    <w:rsid w:val="00C93BE5"/>
    <w:rsid w:val="00C93C82"/>
    <w:rsid w:val="00C93CD1"/>
    <w:rsid w:val="00C93D71"/>
    <w:rsid w:val="00C93E25"/>
    <w:rsid w:val="00C93EA6"/>
    <w:rsid w:val="00C93EFE"/>
    <w:rsid w:val="00C94010"/>
    <w:rsid w:val="00C9407B"/>
    <w:rsid w:val="00C9415C"/>
    <w:rsid w:val="00C94179"/>
    <w:rsid w:val="00C941E8"/>
    <w:rsid w:val="00C9423C"/>
    <w:rsid w:val="00C94268"/>
    <w:rsid w:val="00C9434C"/>
    <w:rsid w:val="00C943FF"/>
    <w:rsid w:val="00C9445F"/>
    <w:rsid w:val="00C9447C"/>
    <w:rsid w:val="00C944F7"/>
    <w:rsid w:val="00C94541"/>
    <w:rsid w:val="00C9462B"/>
    <w:rsid w:val="00C94650"/>
    <w:rsid w:val="00C9468F"/>
    <w:rsid w:val="00C946B1"/>
    <w:rsid w:val="00C946CE"/>
    <w:rsid w:val="00C946E6"/>
    <w:rsid w:val="00C94724"/>
    <w:rsid w:val="00C9476F"/>
    <w:rsid w:val="00C94777"/>
    <w:rsid w:val="00C9479A"/>
    <w:rsid w:val="00C94A15"/>
    <w:rsid w:val="00C94A9A"/>
    <w:rsid w:val="00C94AB6"/>
    <w:rsid w:val="00C94AC6"/>
    <w:rsid w:val="00C94C62"/>
    <w:rsid w:val="00C94CA1"/>
    <w:rsid w:val="00C94CE1"/>
    <w:rsid w:val="00C94E6C"/>
    <w:rsid w:val="00C94EEA"/>
    <w:rsid w:val="00C94F40"/>
    <w:rsid w:val="00C94F91"/>
    <w:rsid w:val="00C94F92"/>
    <w:rsid w:val="00C94FE8"/>
    <w:rsid w:val="00C95112"/>
    <w:rsid w:val="00C9514B"/>
    <w:rsid w:val="00C9523C"/>
    <w:rsid w:val="00C95274"/>
    <w:rsid w:val="00C95422"/>
    <w:rsid w:val="00C95478"/>
    <w:rsid w:val="00C9550C"/>
    <w:rsid w:val="00C955FC"/>
    <w:rsid w:val="00C9562F"/>
    <w:rsid w:val="00C95679"/>
    <w:rsid w:val="00C9585B"/>
    <w:rsid w:val="00C9592D"/>
    <w:rsid w:val="00C95936"/>
    <w:rsid w:val="00C95977"/>
    <w:rsid w:val="00C959CC"/>
    <w:rsid w:val="00C95A2E"/>
    <w:rsid w:val="00C95A91"/>
    <w:rsid w:val="00C95B12"/>
    <w:rsid w:val="00C95B61"/>
    <w:rsid w:val="00C95D1A"/>
    <w:rsid w:val="00C95D46"/>
    <w:rsid w:val="00C95D7E"/>
    <w:rsid w:val="00C95DF3"/>
    <w:rsid w:val="00C95F18"/>
    <w:rsid w:val="00C9601A"/>
    <w:rsid w:val="00C96043"/>
    <w:rsid w:val="00C96044"/>
    <w:rsid w:val="00C960BB"/>
    <w:rsid w:val="00C960F2"/>
    <w:rsid w:val="00C96138"/>
    <w:rsid w:val="00C96207"/>
    <w:rsid w:val="00C96427"/>
    <w:rsid w:val="00C9642A"/>
    <w:rsid w:val="00C96549"/>
    <w:rsid w:val="00C967C8"/>
    <w:rsid w:val="00C9682F"/>
    <w:rsid w:val="00C968B7"/>
    <w:rsid w:val="00C968EF"/>
    <w:rsid w:val="00C96918"/>
    <w:rsid w:val="00C969E4"/>
    <w:rsid w:val="00C96ADD"/>
    <w:rsid w:val="00C96AE9"/>
    <w:rsid w:val="00C96B4E"/>
    <w:rsid w:val="00C96B71"/>
    <w:rsid w:val="00C96B9D"/>
    <w:rsid w:val="00C96BE9"/>
    <w:rsid w:val="00C96BED"/>
    <w:rsid w:val="00C96D60"/>
    <w:rsid w:val="00C96DD6"/>
    <w:rsid w:val="00C96DDD"/>
    <w:rsid w:val="00C96E6A"/>
    <w:rsid w:val="00C96EC3"/>
    <w:rsid w:val="00C96ED2"/>
    <w:rsid w:val="00C96F8D"/>
    <w:rsid w:val="00C9701E"/>
    <w:rsid w:val="00C9701F"/>
    <w:rsid w:val="00C97043"/>
    <w:rsid w:val="00C97060"/>
    <w:rsid w:val="00C9724C"/>
    <w:rsid w:val="00C973D9"/>
    <w:rsid w:val="00C973E3"/>
    <w:rsid w:val="00C9746A"/>
    <w:rsid w:val="00C974B5"/>
    <w:rsid w:val="00C974CB"/>
    <w:rsid w:val="00C974EB"/>
    <w:rsid w:val="00C97518"/>
    <w:rsid w:val="00C9752F"/>
    <w:rsid w:val="00C97572"/>
    <w:rsid w:val="00C9767C"/>
    <w:rsid w:val="00C976C9"/>
    <w:rsid w:val="00C976DA"/>
    <w:rsid w:val="00C976FD"/>
    <w:rsid w:val="00C977A3"/>
    <w:rsid w:val="00C9789A"/>
    <w:rsid w:val="00C978BA"/>
    <w:rsid w:val="00C978D6"/>
    <w:rsid w:val="00C9793C"/>
    <w:rsid w:val="00C9797F"/>
    <w:rsid w:val="00C97A51"/>
    <w:rsid w:val="00C97AD8"/>
    <w:rsid w:val="00C97AF6"/>
    <w:rsid w:val="00C97C2E"/>
    <w:rsid w:val="00C97C4D"/>
    <w:rsid w:val="00C97ED2"/>
    <w:rsid w:val="00C97EDB"/>
    <w:rsid w:val="00C97FC6"/>
    <w:rsid w:val="00C97FE4"/>
    <w:rsid w:val="00C97FF6"/>
    <w:rsid w:val="00CA008C"/>
    <w:rsid w:val="00CA0095"/>
    <w:rsid w:val="00CA00AC"/>
    <w:rsid w:val="00CA0133"/>
    <w:rsid w:val="00CA01BF"/>
    <w:rsid w:val="00CA02A5"/>
    <w:rsid w:val="00CA02B1"/>
    <w:rsid w:val="00CA02C9"/>
    <w:rsid w:val="00CA02E6"/>
    <w:rsid w:val="00CA0326"/>
    <w:rsid w:val="00CA037D"/>
    <w:rsid w:val="00CA03BD"/>
    <w:rsid w:val="00CA03CD"/>
    <w:rsid w:val="00CA0407"/>
    <w:rsid w:val="00CA040B"/>
    <w:rsid w:val="00CA0453"/>
    <w:rsid w:val="00CA058E"/>
    <w:rsid w:val="00CA076A"/>
    <w:rsid w:val="00CA07CE"/>
    <w:rsid w:val="00CA0840"/>
    <w:rsid w:val="00CA096B"/>
    <w:rsid w:val="00CA0993"/>
    <w:rsid w:val="00CA099A"/>
    <w:rsid w:val="00CA0A0D"/>
    <w:rsid w:val="00CA0B22"/>
    <w:rsid w:val="00CA0B29"/>
    <w:rsid w:val="00CA0B7B"/>
    <w:rsid w:val="00CA0C2E"/>
    <w:rsid w:val="00CA0C6F"/>
    <w:rsid w:val="00CA0CFF"/>
    <w:rsid w:val="00CA0D0A"/>
    <w:rsid w:val="00CA0D0D"/>
    <w:rsid w:val="00CA0DCA"/>
    <w:rsid w:val="00CA0DD5"/>
    <w:rsid w:val="00CA0DD6"/>
    <w:rsid w:val="00CA0ED0"/>
    <w:rsid w:val="00CA0EE4"/>
    <w:rsid w:val="00CA0F46"/>
    <w:rsid w:val="00CA1053"/>
    <w:rsid w:val="00CA10A7"/>
    <w:rsid w:val="00CA11DB"/>
    <w:rsid w:val="00CA1208"/>
    <w:rsid w:val="00CA12FB"/>
    <w:rsid w:val="00CA1406"/>
    <w:rsid w:val="00CA1438"/>
    <w:rsid w:val="00CA1476"/>
    <w:rsid w:val="00CA166D"/>
    <w:rsid w:val="00CA16B2"/>
    <w:rsid w:val="00CA1719"/>
    <w:rsid w:val="00CA171C"/>
    <w:rsid w:val="00CA1767"/>
    <w:rsid w:val="00CA17B1"/>
    <w:rsid w:val="00CA18B7"/>
    <w:rsid w:val="00CA18FB"/>
    <w:rsid w:val="00CA1940"/>
    <w:rsid w:val="00CA1998"/>
    <w:rsid w:val="00CA1A1A"/>
    <w:rsid w:val="00CA1A7D"/>
    <w:rsid w:val="00CA1AA8"/>
    <w:rsid w:val="00CA1ADE"/>
    <w:rsid w:val="00CA1AEE"/>
    <w:rsid w:val="00CA1B3A"/>
    <w:rsid w:val="00CA1BC4"/>
    <w:rsid w:val="00CA1BD6"/>
    <w:rsid w:val="00CA1BDF"/>
    <w:rsid w:val="00CA1DBA"/>
    <w:rsid w:val="00CA1E37"/>
    <w:rsid w:val="00CA1E65"/>
    <w:rsid w:val="00CA1EFB"/>
    <w:rsid w:val="00CA1F9A"/>
    <w:rsid w:val="00CA2020"/>
    <w:rsid w:val="00CA208E"/>
    <w:rsid w:val="00CA243B"/>
    <w:rsid w:val="00CA24AC"/>
    <w:rsid w:val="00CA2542"/>
    <w:rsid w:val="00CA267D"/>
    <w:rsid w:val="00CA27AB"/>
    <w:rsid w:val="00CA27F3"/>
    <w:rsid w:val="00CA27F5"/>
    <w:rsid w:val="00CA2808"/>
    <w:rsid w:val="00CA2811"/>
    <w:rsid w:val="00CA2829"/>
    <w:rsid w:val="00CA2842"/>
    <w:rsid w:val="00CA2893"/>
    <w:rsid w:val="00CA2984"/>
    <w:rsid w:val="00CA29CF"/>
    <w:rsid w:val="00CA2A55"/>
    <w:rsid w:val="00CA2E68"/>
    <w:rsid w:val="00CA2EFF"/>
    <w:rsid w:val="00CA301F"/>
    <w:rsid w:val="00CA3024"/>
    <w:rsid w:val="00CA305B"/>
    <w:rsid w:val="00CA3080"/>
    <w:rsid w:val="00CA3094"/>
    <w:rsid w:val="00CA3147"/>
    <w:rsid w:val="00CA32A0"/>
    <w:rsid w:val="00CA32FF"/>
    <w:rsid w:val="00CA331B"/>
    <w:rsid w:val="00CA3356"/>
    <w:rsid w:val="00CA33BF"/>
    <w:rsid w:val="00CA3453"/>
    <w:rsid w:val="00CA35D4"/>
    <w:rsid w:val="00CA35E5"/>
    <w:rsid w:val="00CA363C"/>
    <w:rsid w:val="00CA366B"/>
    <w:rsid w:val="00CA37A3"/>
    <w:rsid w:val="00CA38CF"/>
    <w:rsid w:val="00CA38F0"/>
    <w:rsid w:val="00CA3910"/>
    <w:rsid w:val="00CA3A43"/>
    <w:rsid w:val="00CA3B26"/>
    <w:rsid w:val="00CA3BA9"/>
    <w:rsid w:val="00CA3BC8"/>
    <w:rsid w:val="00CA3C31"/>
    <w:rsid w:val="00CA3CD9"/>
    <w:rsid w:val="00CA3DA8"/>
    <w:rsid w:val="00CA3E16"/>
    <w:rsid w:val="00CA3E72"/>
    <w:rsid w:val="00CA3F92"/>
    <w:rsid w:val="00CA3FA8"/>
    <w:rsid w:val="00CA4016"/>
    <w:rsid w:val="00CA4062"/>
    <w:rsid w:val="00CA4068"/>
    <w:rsid w:val="00CA4092"/>
    <w:rsid w:val="00CA40D8"/>
    <w:rsid w:val="00CA411A"/>
    <w:rsid w:val="00CA41C3"/>
    <w:rsid w:val="00CA41F7"/>
    <w:rsid w:val="00CA421E"/>
    <w:rsid w:val="00CA422B"/>
    <w:rsid w:val="00CA4248"/>
    <w:rsid w:val="00CA425F"/>
    <w:rsid w:val="00CA439D"/>
    <w:rsid w:val="00CA4575"/>
    <w:rsid w:val="00CA468A"/>
    <w:rsid w:val="00CA4711"/>
    <w:rsid w:val="00CA472B"/>
    <w:rsid w:val="00CA4754"/>
    <w:rsid w:val="00CA49D9"/>
    <w:rsid w:val="00CA4ACA"/>
    <w:rsid w:val="00CA4B15"/>
    <w:rsid w:val="00CA4B33"/>
    <w:rsid w:val="00CA4B56"/>
    <w:rsid w:val="00CA4C05"/>
    <w:rsid w:val="00CA4C4A"/>
    <w:rsid w:val="00CA4D44"/>
    <w:rsid w:val="00CA4D81"/>
    <w:rsid w:val="00CA4E45"/>
    <w:rsid w:val="00CA4E6C"/>
    <w:rsid w:val="00CA4E79"/>
    <w:rsid w:val="00CA4EBA"/>
    <w:rsid w:val="00CA4F50"/>
    <w:rsid w:val="00CA5058"/>
    <w:rsid w:val="00CA50D8"/>
    <w:rsid w:val="00CA525D"/>
    <w:rsid w:val="00CA52A0"/>
    <w:rsid w:val="00CA5302"/>
    <w:rsid w:val="00CA5389"/>
    <w:rsid w:val="00CA555B"/>
    <w:rsid w:val="00CA5577"/>
    <w:rsid w:val="00CA55A2"/>
    <w:rsid w:val="00CA563E"/>
    <w:rsid w:val="00CA5665"/>
    <w:rsid w:val="00CA569F"/>
    <w:rsid w:val="00CA56A8"/>
    <w:rsid w:val="00CA56F9"/>
    <w:rsid w:val="00CA57A6"/>
    <w:rsid w:val="00CA5828"/>
    <w:rsid w:val="00CA588F"/>
    <w:rsid w:val="00CA5897"/>
    <w:rsid w:val="00CA5918"/>
    <w:rsid w:val="00CA5963"/>
    <w:rsid w:val="00CA5968"/>
    <w:rsid w:val="00CA5A68"/>
    <w:rsid w:val="00CA5A6C"/>
    <w:rsid w:val="00CA5AFD"/>
    <w:rsid w:val="00CA5B01"/>
    <w:rsid w:val="00CA5B45"/>
    <w:rsid w:val="00CA5B8D"/>
    <w:rsid w:val="00CA5C13"/>
    <w:rsid w:val="00CA5D14"/>
    <w:rsid w:val="00CA5DC6"/>
    <w:rsid w:val="00CA5E1A"/>
    <w:rsid w:val="00CA5E47"/>
    <w:rsid w:val="00CA5EA3"/>
    <w:rsid w:val="00CA5EA8"/>
    <w:rsid w:val="00CA5ECF"/>
    <w:rsid w:val="00CA5F57"/>
    <w:rsid w:val="00CA5FE2"/>
    <w:rsid w:val="00CA6006"/>
    <w:rsid w:val="00CA60D0"/>
    <w:rsid w:val="00CA6215"/>
    <w:rsid w:val="00CA6291"/>
    <w:rsid w:val="00CA63C4"/>
    <w:rsid w:val="00CA6467"/>
    <w:rsid w:val="00CA647C"/>
    <w:rsid w:val="00CA6638"/>
    <w:rsid w:val="00CA6648"/>
    <w:rsid w:val="00CA6686"/>
    <w:rsid w:val="00CA6703"/>
    <w:rsid w:val="00CA6866"/>
    <w:rsid w:val="00CA69FB"/>
    <w:rsid w:val="00CA6B28"/>
    <w:rsid w:val="00CA6B9D"/>
    <w:rsid w:val="00CA6C0F"/>
    <w:rsid w:val="00CA6D2A"/>
    <w:rsid w:val="00CA6D89"/>
    <w:rsid w:val="00CA6DA1"/>
    <w:rsid w:val="00CA6E93"/>
    <w:rsid w:val="00CA6FBA"/>
    <w:rsid w:val="00CA704E"/>
    <w:rsid w:val="00CA7055"/>
    <w:rsid w:val="00CA707A"/>
    <w:rsid w:val="00CA70F3"/>
    <w:rsid w:val="00CA70F7"/>
    <w:rsid w:val="00CA710C"/>
    <w:rsid w:val="00CA7278"/>
    <w:rsid w:val="00CA72BE"/>
    <w:rsid w:val="00CA732A"/>
    <w:rsid w:val="00CA749A"/>
    <w:rsid w:val="00CA759D"/>
    <w:rsid w:val="00CA75DA"/>
    <w:rsid w:val="00CA7618"/>
    <w:rsid w:val="00CA76DB"/>
    <w:rsid w:val="00CA7723"/>
    <w:rsid w:val="00CA77CE"/>
    <w:rsid w:val="00CA7860"/>
    <w:rsid w:val="00CA7884"/>
    <w:rsid w:val="00CA7910"/>
    <w:rsid w:val="00CA7918"/>
    <w:rsid w:val="00CA79D4"/>
    <w:rsid w:val="00CA79FD"/>
    <w:rsid w:val="00CA7A43"/>
    <w:rsid w:val="00CA7A4A"/>
    <w:rsid w:val="00CA7AC0"/>
    <w:rsid w:val="00CA7B37"/>
    <w:rsid w:val="00CA7B7D"/>
    <w:rsid w:val="00CA7D09"/>
    <w:rsid w:val="00CA7DA2"/>
    <w:rsid w:val="00CA7DFF"/>
    <w:rsid w:val="00CA7E06"/>
    <w:rsid w:val="00CA7FDE"/>
    <w:rsid w:val="00CB0062"/>
    <w:rsid w:val="00CB00E0"/>
    <w:rsid w:val="00CB031F"/>
    <w:rsid w:val="00CB042D"/>
    <w:rsid w:val="00CB05D1"/>
    <w:rsid w:val="00CB05E2"/>
    <w:rsid w:val="00CB066A"/>
    <w:rsid w:val="00CB067C"/>
    <w:rsid w:val="00CB075F"/>
    <w:rsid w:val="00CB07E8"/>
    <w:rsid w:val="00CB07FB"/>
    <w:rsid w:val="00CB07FD"/>
    <w:rsid w:val="00CB0824"/>
    <w:rsid w:val="00CB0826"/>
    <w:rsid w:val="00CB0886"/>
    <w:rsid w:val="00CB0C7D"/>
    <w:rsid w:val="00CB0DA5"/>
    <w:rsid w:val="00CB0DE0"/>
    <w:rsid w:val="00CB0F07"/>
    <w:rsid w:val="00CB0F60"/>
    <w:rsid w:val="00CB0FDC"/>
    <w:rsid w:val="00CB100F"/>
    <w:rsid w:val="00CB1098"/>
    <w:rsid w:val="00CB11A9"/>
    <w:rsid w:val="00CB14F7"/>
    <w:rsid w:val="00CB14FB"/>
    <w:rsid w:val="00CB1500"/>
    <w:rsid w:val="00CB155D"/>
    <w:rsid w:val="00CB1581"/>
    <w:rsid w:val="00CB1627"/>
    <w:rsid w:val="00CB165B"/>
    <w:rsid w:val="00CB16A2"/>
    <w:rsid w:val="00CB16DC"/>
    <w:rsid w:val="00CB171E"/>
    <w:rsid w:val="00CB1956"/>
    <w:rsid w:val="00CB1975"/>
    <w:rsid w:val="00CB1983"/>
    <w:rsid w:val="00CB19AD"/>
    <w:rsid w:val="00CB19FD"/>
    <w:rsid w:val="00CB1ABD"/>
    <w:rsid w:val="00CB1AF6"/>
    <w:rsid w:val="00CB1B0C"/>
    <w:rsid w:val="00CB1B71"/>
    <w:rsid w:val="00CB1BA4"/>
    <w:rsid w:val="00CB1C85"/>
    <w:rsid w:val="00CB1D38"/>
    <w:rsid w:val="00CB1DA4"/>
    <w:rsid w:val="00CB1DAF"/>
    <w:rsid w:val="00CB1DCC"/>
    <w:rsid w:val="00CB1DDB"/>
    <w:rsid w:val="00CB1EC8"/>
    <w:rsid w:val="00CB1F4B"/>
    <w:rsid w:val="00CB1FA7"/>
    <w:rsid w:val="00CB2077"/>
    <w:rsid w:val="00CB20BC"/>
    <w:rsid w:val="00CB20FC"/>
    <w:rsid w:val="00CB2166"/>
    <w:rsid w:val="00CB21F3"/>
    <w:rsid w:val="00CB2250"/>
    <w:rsid w:val="00CB229D"/>
    <w:rsid w:val="00CB23AE"/>
    <w:rsid w:val="00CB2484"/>
    <w:rsid w:val="00CB248F"/>
    <w:rsid w:val="00CB24C2"/>
    <w:rsid w:val="00CB2564"/>
    <w:rsid w:val="00CB25EB"/>
    <w:rsid w:val="00CB2602"/>
    <w:rsid w:val="00CB262C"/>
    <w:rsid w:val="00CB2701"/>
    <w:rsid w:val="00CB27A6"/>
    <w:rsid w:val="00CB2891"/>
    <w:rsid w:val="00CB28D9"/>
    <w:rsid w:val="00CB296B"/>
    <w:rsid w:val="00CB2972"/>
    <w:rsid w:val="00CB2A1E"/>
    <w:rsid w:val="00CB2A74"/>
    <w:rsid w:val="00CB2B3B"/>
    <w:rsid w:val="00CB2BD7"/>
    <w:rsid w:val="00CB2D11"/>
    <w:rsid w:val="00CB2DF5"/>
    <w:rsid w:val="00CB2E49"/>
    <w:rsid w:val="00CB2FCA"/>
    <w:rsid w:val="00CB3074"/>
    <w:rsid w:val="00CB307F"/>
    <w:rsid w:val="00CB309B"/>
    <w:rsid w:val="00CB3166"/>
    <w:rsid w:val="00CB31EF"/>
    <w:rsid w:val="00CB31F7"/>
    <w:rsid w:val="00CB3255"/>
    <w:rsid w:val="00CB33A5"/>
    <w:rsid w:val="00CB3446"/>
    <w:rsid w:val="00CB34BF"/>
    <w:rsid w:val="00CB3643"/>
    <w:rsid w:val="00CB3648"/>
    <w:rsid w:val="00CB3655"/>
    <w:rsid w:val="00CB3661"/>
    <w:rsid w:val="00CB36A8"/>
    <w:rsid w:val="00CB36BF"/>
    <w:rsid w:val="00CB3722"/>
    <w:rsid w:val="00CB378F"/>
    <w:rsid w:val="00CB37DD"/>
    <w:rsid w:val="00CB38E5"/>
    <w:rsid w:val="00CB3922"/>
    <w:rsid w:val="00CB39A1"/>
    <w:rsid w:val="00CB39B0"/>
    <w:rsid w:val="00CB3A9C"/>
    <w:rsid w:val="00CB3D31"/>
    <w:rsid w:val="00CB3D97"/>
    <w:rsid w:val="00CB3DA5"/>
    <w:rsid w:val="00CB3DF4"/>
    <w:rsid w:val="00CB3E93"/>
    <w:rsid w:val="00CB3F1B"/>
    <w:rsid w:val="00CB40CF"/>
    <w:rsid w:val="00CB410E"/>
    <w:rsid w:val="00CB411D"/>
    <w:rsid w:val="00CB415E"/>
    <w:rsid w:val="00CB420E"/>
    <w:rsid w:val="00CB442F"/>
    <w:rsid w:val="00CB45AF"/>
    <w:rsid w:val="00CB4893"/>
    <w:rsid w:val="00CB48DA"/>
    <w:rsid w:val="00CB4940"/>
    <w:rsid w:val="00CB4992"/>
    <w:rsid w:val="00CB49F4"/>
    <w:rsid w:val="00CB4AE9"/>
    <w:rsid w:val="00CB4BC8"/>
    <w:rsid w:val="00CB4CC0"/>
    <w:rsid w:val="00CB4CCC"/>
    <w:rsid w:val="00CB4CDF"/>
    <w:rsid w:val="00CB4D7E"/>
    <w:rsid w:val="00CB4E91"/>
    <w:rsid w:val="00CB4EC2"/>
    <w:rsid w:val="00CB4F70"/>
    <w:rsid w:val="00CB511A"/>
    <w:rsid w:val="00CB514A"/>
    <w:rsid w:val="00CB514D"/>
    <w:rsid w:val="00CB5156"/>
    <w:rsid w:val="00CB519B"/>
    <w:rsid w:val="00CB51BA"/>
    <w:rsid w:val="00CB5333"/>
    <w:rsid w:val="00CB53F3"/>
    <w:rsid w:val="00CB546F"/>
    <w:rsid w:val="00CB549D"/>
    <w:rsid w:val="00CB556F"/>
    <w:rsid w:val="00CB557C"/>
    <w:rsid w:val="00CB565A"/>
    <w:rsid w:val="00CB56DD"/>
    <w:rsid w:val="00CB570A"/>
    <w:rsid w:val="00CB5713"/>
    <w:rsid w:val="00CB582A"/>
    <w:rsid w:val="00CB5870"/>
    <w:rsid w:val="00CB58CD"/>
    <w:rsid w:val="00CB58F6"/>
    <w:rsid w:val="00CB593B"/>
    <w:rsid w:val="00CB5949"/>
    <w:rsid w:val="00CB5A1E"/>
    <w:rsid w:val="00CB5A99"/>
    <w:rsid w:val="00CB5B14"/>
    <w:rsid w:val="00CB5B4A"/>
    <w:rsid w:val="00CB5B67"/>
    <w:rsid w:val="00CB5B97"/>
    <w:rsid w:val="00CB5BCA"/>
    <w:rsid w:val="00CB5C8E"/>
    <w:rsid w:val="00CB5CB2"/>
    <w:rsid w:val="00CB5D6D"/>
    <w:rsid w:val="00CB5DDF"/>
    <w:rsid w:val="00CB5E71"/>
    <w:rsid w:val="00CB5E7B"/>
    <w:rsid w:val="00CB5F7B"/>
    <w:rsid w:val="00CB602C"/>
    <w:rsid w:val="00CB603F"/>
    <w:rsid w:val="00CB60B7"/>
    <w:rsid w:val="00CB6119"/>
    <w:rsid w:val="00CB6146"/>
    <w:rsid w:val="00CB6151"/>
    <w:rsid w:val="00CB61A1"/>
    <w:rsid w:val="00CB61DF"/>
    <w:rsid w:val="00CB624B"/>
    <w:rsid w:val="00CB625B"/>
    <w:rsid w:val="00CB6327"/>
    <w:rsid w:val="00CB64B4"/>
    <w:rsid w:val="00CB6549"/>
    <w:rsid w:val="00CB6598"/>
    <w:rsid w:val="00CB6673"/>
    <w:rsid w:val="00CB6829"/>
    <w:rsid w:val="00CB685D"/>
    <w:rsid w:val="00CB68CE"/>
    <w:rsid w:val="00CB6929"/>
    <w:rsid w:val="00CB6949"/>
    <w:rsid w:val="00CB69FF"/>
    <w:rsid w:val="00CB6A49"/>
    <w:rsid w:val="00CB6A9F"/>
    <w:rsid w:val="00CB6B04"/>
    <w:rsid w:val="00CB6B1F"/>
    <w:rsid w:val="00CB6B82"/>
    <w:rsid w:val="00CB6C8E"/>
    <w:rsid w:val="00CB6D0D"/>
    <w:rsid w:val="00CB6D4B"/>
    <w:rsid w:val="00CB6D79"/>
    <w:rsid w:val="00CB6DBC"/>
    <w:rsid w:val="00CB6DDB"/>
    <w:rsid w:val="00CB6DF1"/>
    <w:rsid w:val="00CB6E38"/>
    <w:rsid w:val="00CB6E85"/>
    <w:rsid w:val="00CB6F10"/>
    <w:rsid w:val="00CB6F8B"/>
    <w:rsid w:val="00CB6FA0"/>
    <w:rsid w:val="00CB7073"/>
    <w:rsid w:val="00CB70EA"/>
    <w:rsid w:val="00CB7178"/>
    <w:rsid w:val="00CB7298"/>
    <w:rsid w:val="00CB738C"/>
    <w:rsid w:val="00CB7392"/>
    <w:rsid w:val="00CB7449"/>
    <w:rsid w:val="00CB752C"/>
    <w:rsid w:val="00CB753E"/>
    <w:rsid w:val="00CB753F"/>
    <w:rsid w:val="00CB75B0"/>
    <w:rsid w:val="00CB7622"/>
    <w:rsid w:val="00CB765E"/>
    <w:rsid w:val="00CB767E"/>
    <w:rsid w:val="00CB7707"/>
    <w:rsid w:val="00CB7857"/>
    <w:rsid w:val="00CB7884"/>
    <w:rsid w:val="00CB7A9B"/>
    <w:rsid w:val="00CB7B88"/>
    <w:rsid w:val="00CB7B89"/>
    <w:rsid w:val="00CB7D91"/>
    <w:rsid w:val="00CB7EF8"/>
    <w:rsid w:val="00CC001F"/>
    <w:rsid w:val="00CC0033"/>
    <w:rsid w:val="00CC0045"/>
    <w:rsid w:val="00CC0141"/>
    <w:rsid w:val="00CC0169"/>
    <w:rsid w:val="00CC023D"/>
    <w:rsid w:val="00CC027B"/>
    <w:rsid w:val="00CC031D"/>
    <w:rsid w:val="00CC03B0"/>
    <w:rsid w:val="00CC042E"/>
    <w:rsid w:val="00CC0789"/>
    <w:rsid w:val="00CC07A0"/>
    <w:rsid w:val="00CC07AD"/>
    <w:rsid w:val="00CC0927"/>
    <w:rsid w:val="00CC0961"/>
    <w:rsid w:val="00CC0A45"/>
    <w:rsid w:val="00CC0A62"/>
    <w:rsid w:val="00CC0A8C"/>
    <w:rsid w:val="00CC0B36"/>
    <w:rsid w:val="00CC0B67"/>
    <w:rsid w:val="00CC0BA2"/>
    <w:rsid w:val="00CC0C0D"/>
    <w:rsid w:val="00CC0C40"/>
    <w:rsid w:val="00CC0C60"/>
    <w:rsid w:val="00CC0DB5"/>
    <w:rsid w:val="00CC0DEC"/>
    <w:rsid w:val="00CC0E10"/>
    <w:rsid w:val="00CC0F55"/>
    <w:rsid w:val="00CC0F73"/>
    <w:rsid w:val="00CC0FE8"/>
    <w:rsid w:val="00CC116C"/>
    <w:rsid w:val="00CC119F"/>
    <w:rsid w:val="00CC1265"/>
    <w:rsid w:val="00CC1292"/>
    <w:rsid w:val="00CC12E9"/>
    <w:rsid w:val="00CC131A"/>
    <w:rsid w:val="00CC1372"/>
    <w:rsid w:val="00CC1381"/>
    <w:rsid w:val="00CC1387"/>
    <w:rsid w:val="00CC1411"/>
    <w:rsid w:val="00CC1446"/>
    <w:rsid w:val="00CC144D"/>
    <w:rsid w:val="00CC14A1"/>
    <w:rsid w:val="00CC1597"/>
    <w:rsid w:val="00CC15E3"/>
    <w:rsid w:val="00CC1614"/>
    <w:rsid w:val="00CC16DC"/>
    <w:rsid w:val="00CC1756"/>
    <w:rsid w:val="00CC178C"/>
    <w:rsid w:val="00CC178E"/>
    <w:rsid w:val="00CC17F1"/>
    <w:rsid w:val="00CC187B"/>
    <w:rsid w:val="00CC18C2"/>
    <w:rsid w:val="00CC1917"/>
    <w:rsid w:val="00CC1923"/>
    <w:rsid w:val="00CC1956"/>
    <w:rsid w:val="00CC19E3"/>
    <w:rsid w:val="00CC1A5F"/>
    <w:rsid w:val="00CC1AB7"/>
    <w:rsid w:val="00CC1B0E"/>
    <w:rsid w:val="00CC1B8F"/>
    <w:rsid w:val="00CC1BE0"/>
    <w:rsid w:val="00CC1BF9"/>
    <w:rsid w:val="00CC1C2E"/>
    <w:rsid w:val="00CC1C8B"/>
    <w:rsid w:val="00CC1D59"/>
    <w:rsid w:val="00CC1E8C"/>
    <w:rsid w:val="00CC201D"/>
    <w:rsid w:val="00CC205A"/>
    <w:rsid w:val="00CC2097"/>
    <w:rsid w:val="00CC2244"/>
    <w:rsid w:val="00CC2291"/>
    <w:rsid w:val="00CC2379"/>
    <w:rsid w:val="00CC2387"/>
    <w:rsid w:val="00CC2490"/>
    <w:rsid w:val="00CC2506"/>
    <w:rsid w:val="00CC2545"/>
    <w:rsid w:val="00CC271C"/>
    <w:rsid w:val="00CC2A83"/>
    <w:rsid w:val="00CC2AEF"/>
    <w:rsid w:val="00CC2B83"/>
    <w:rsid w:val="00CC2C2A"/>
    <w:rsid w:val="00CC2C57"/>
    <w:rsid w:val="00CC2D2A"/>
    <w:rsid w:val="00CC2D55"/>
    <w:rsid w:val="00CC2E13"/>
    <w:rsid w:val="00CC2EBC"/>
    <w:rsid w:val="00CC2ED5"/>
    <w:rsid w:val="00CC2F00"/>
    <w:rsid w:val="00CC2F35"/>
    <w:rsid w:val="00CC2F45"/>
    <w:rsid w:val="00CC2FE4"/>
    <w:rsid w:val="00CC30C5"/>
    <w:rsid w:val="00CC30D1"/>
    <w:rsid w:val="00CC31E0"/>
    <w:rsid w:val="00CC32C3"/>
    <w:rsid w:val="00CC3330"/>
    <w:rsid w:val="00CC3377"/>
    <w:rsid w:val="00CC3450"/>
    <w:rsid w:val="00CC34DF"/>
    <w:rsid w:val="00CC3523"/>
    <w:rsid w:val="00CC3602"/>
    <w:rsid w:val="00CC366E"/>
    <w:rsid w:val="00CC3757"/>
    <w:rsid w:val="00CC3910"/>
    <w:rsid w:val="00CC393C"/>
    <w:rsid w:val="00CC394A"/>
    <w:rsid w:val="00CC3A7A"/>
    <w:rsid w:val="00CC3B24"/>
    <w:rsid w:val="00CC3BFB"/>
    <w:rsid w:val="00CC3C92"/>
    <w:rsid w:val="00CC3DD7"/>
    <w:rsid w:val="00CC3E0F"/>
    <w:rsid w:val="00CC3E2D"/>
    <w:rsid w:val="00CC3E9B"/>
    <w:rsid w:val="00CC40E8"/>
    <w:rsid w:val="00CC40FD"/>
    <w:rsid w:val="00CC41B6"/>
    <w:rsid w:val="00CC4241"/>
    <w:rsid w:val="00CC4358"/>
    <w:rsid w:val="00CC4369"/>
    <w:rsid w:val="00CC48CB"/>
    <w:rsid w:val="00CC49BE"/>
    <w:rsid w:val="00CC4A11"/>
    <w:rsid w:val="00CC4AA2"/>
    <w:rsid w:val="00CC4C1E"/>
    <w:rsid w:val="00CC4C31"/>
    <w:rsid w:val="00CC4C3A"/>
    <w:rsid w:val="00CC4C53"/>
    <w:rsid w:val="00CC4C62"/>
    <w:rsid w:val="00CC4D76"/>
    <w:rsid w:val="00CC4EDF"/>
    <w:rsid w:val="00CC4F0C"/>
    <w:rsid w:val="00CC5054"/>
    <w:rsid w:val="00CC506E"/>
    <w:rsid w:val="00CC5079"/>
    <w:rsid w:val="00CC5091"/>
    <w:rsid w:val="00CC519F"/>
    <w:rsid w:val="00CC522C"/>
    <w:rsid w:val="00CC531B"/>
    <w:rsid w:val="00CC547C"/>
    <w:rsid w:val="00CC54B0"/>
    <w:rsid w:val="00CC565D"/>
    <w:rsid w:val="00CC56BA"/>
    <w:rsid w:val="00CC57B8"/>
    <w:rsid w:val="00CC595B"/>
    <w:rsid w:val="00CC59F2"/>
    <w:rsid w:val="00CC5A14"/>
    <w:rsid w:val="00CC5B82"/>
    <w:rsid w:val="00CC5C93"/>
    <w:rsid w:val="00CC5D73"/>
    <w:rsid w:val="00CC5D8A"/>
    <w:rsid w:val="00CC5E00"/>
    <w:rsid w:val="00CC5E25"/>
    <w:rsid w:val="00CC5EA5"/>
    <w:rsid w:val="00CC5F32"/>
    <w:rsid w:val="00CC5FE0"/>
    <w:rsid w:val="00CC6004"/>
    <w:rsid w:val="00CC603E"/>
    <w:rsid w:val="00CC60E6"/>
    <w:rsid w:val="00CC612A"/>
    <w:rsid w:val="00CC6189"/>
    <w:rsid w:val="00CC63E8"/>
    <w:rsid w:val="00CC6447"/>
    <w:rsid w:val="00CC6466"/>
    <w:rsid w:val="00CC646C"/>
    <w:rsid w:val="00CC6523"/>
    <w:rsid w:val="00CC6603"/>
    <w:rsid w:val="00CC6689"/>
    <w:rsid w:val="00CC66B7"/>
    <w:rsid w:val="00CC6818"/>
    <w:rsid w:val="00CC6866"/>
    <w:rsid w:val="00CC68C8"/>
    <w:rsid w:val="00CC697B"/>
    <w:rsid w:val="00CC6A9E"/>
    <w:rsid w:val="00CC6AF2"/>
    <w:rsid w:val="00CC6C22"/>
    <w:rsid w:val="00CC6CD4"/>
    <w:rsid w:val="00CC6D2E"/>
    <w:rsid w:val="00CC6DEF"/>
    <w:rsid w:val="00CC6E52"/>
    <w:rsid w:val="00CC6F5C"/>
    <w:rsid w:val="00CC7017"/>
    <w:rsid w:val="00CC70EE"/>
    <w:rsid w:val="00CC7129"/>
    <w:rsid w:val="00CC7271"/>
    <w:rsid w:val="00CC7298"/>
    <w:rsid w:val="00CC72DA"/>
    <w:rsid w:val="00CC7364"/>
    <w:rsid w:val="00CC74F6"/>
    <w:rsid w:val="00CC7508"/>
    <w:rsid w:val="00CC759C"/>
    <w:rsid w:val="00CC7649"/>
    <w:rsid w:val="00CC771E"/>
    <w:rsid w:val="00CC7771"/>
    <w:rsid w:val="00CC7775"/>
    <w:rsid w:val="00CC77D1"/>
    <w:rsid w:val="00CC77E4"/>
    <w:rsid w:val="00CC77E6"/>
    <w:rsid w:val="00CC7991"/>
    <w:rsid w:val="00CC79C9"/>
    <w:rsid w:val="00CC7A63"/>
    <w:rsid w:val="00CC7B12"/>
    <w:rsid w:val="00CC7BC4"/>
    <w:rsid w:val="00CC7D04"/>
    <w:rsid w:val="00CC7D2B"/>
    <w:rsid w:val="00CC7D79"/>
    <w:rsid w:val="00CC7DA2"/>
    <w:rsid w:val="00CC7E28"/>
    <w:rsid w:val="00CC7E49"/>
    <w:rsid w:val="00CC7E5C"/>
    <w:rsid w:val="00CC7EE8"/>
    <w:rsid w:val="00CC7F39"/>
    <w:rsid w:val="00CC7F99"/>
    <w:rsid w:val="00CD008F"/>
    <w:rsid w:val="00CD0127"/>
    <w:rsid w:val="00CD012E"/>
    <w:rsid w:val="00CD015F"/>
    <w:rsid w:val="00CD027B"/>
    <w:rsid w:val="00CD030B"/>
    <w:rsid w:val="00CD04C4"/>
    <w:rsid w:val="00CD04F8"/>
    <w:rsid w:val="00CD0560"/>
    <w:rsid w:val="00CD05A5"/>
    <w:rsid w:val="00CD05FE"/>
    <w:rsid w:val="00CD06D8"/>
    <w:rsid w:val="00CD083B"/>
    <w:rsid w:val="00CD0952"/>
    <w:rsid w:val="00CD0A9D"/>
    <w:rsid w:val="00CD0AC6"/>
    <w:rsid w:val="00CD0AE9"/>
    <w:rsid w:val="00CD0F28"/>
    <w:rsid w:val="00CD0F39"/>
    <w:rsid w:val="00CD0FC7"/>
    <w:rsid w:val="00CD10CD"/>
    <w:rsid w:val="00CD1210"/>
    <w:rsid w:val="00CD12A0"/>
    <w:rsid w:val="00CD132A"/>
    <w:rsid w:val="00CD1463"/>
    <w:rsid w:val="00CD14E8"/>
    <w:rsid w:val="00CD156C"/>
    <w:rsid w:val="00CD15D5"/>
    <w:rsid w:val="00CD16A7"/>
    <w:rsid w:val="00CD16C4"/>
    <w:rsid w:val="00CD16DC"/>
    <w:rsid w:val="00CD16F7"/>
    <w:rsid w:val="00CD173C"/>
    <w:rsid w:val="00CD1740"/>
    <w:rsid w:val="00CD1798"/>
    <w:rsid w:val="00CD17A6"/>
    <w:rsid w:val="00CD17DD"/>
    <w:rsid w:val="00CD1808"/>
    <w:rsid w:val="00CD18B5"/>
    <w:rsid w:val="00CD18E0"/>
    <w:rsid w:val="00CD18F9"/>
    <w:rsid w:val="00CD1905"/>
    <w:rsid w:val="00CD1914"/>
    <w:rsid w:val="00CD1972"/>
    <w:rsid w:val="00CD19EA"/>
    <w:rsid w:val="00CD1A33"/>
    <w:rsid w:val="00CD1A80"/>
    <w:rsid w:val="00CD1B4B"/>
    <w:rsid w:val="00CD1C09"/>
    <w:rsid w:val="00CD1D68"/>
    <w:rsid w:val="00CD1DCB"/>
    <w:rsid w:val="00CD1E87"/>
    <w:rsid w:val="00CD1FFA"/>
    <w:rsid w:val="00CD201D"/>
    <w:rsid w:val="00CD21DD"/>
    <w:rsid w:val="00CD2274"/>
    <w:rsid w:val="00CD2372"/>
    <w:rsid w:val="00CD23C6"/>
    <w:rsid w:val="00CD2476"/>
    <w:rsid w:val="00CD2515"/>
    <w:rsid w:val="00CD2570"/>
    <w:rsid w:val="00CD25E8"/>
    <w:rsid w:val="00CD2658"/>
    <w:rsid w:val="00CD2666"/>
    <w:rsid w:val="00CD2852"/>
    <w:rsid w:val="00CD285E"/>
    <w:rsid w:val="00CD28D4"/>
    <w:rsid w:val="00CD2979"/>
    <w:rsid w:val="00CD29BE"/>
    <w:rsid w:val="00CD2A10"/>
    <w:rsid w:val="00CD2B13"/>
    <w:rsid w:val="00CD2BD7"/>
    <w:rsid w:val="00CD2D47"/>
    <w:rsid w:val="00CD2D73"/>
    <w:rsid w:val="00CD2E86"/>
    <w:rsid w:val="00CD2ED7"/>
    <w:rsid w:val="00CD2FA9"/>
    <w:rsid w:val="00CD3019"/>
    <w:rsid w:val="00CD3158"/>
    <w:rsid w:val="00CD31AF"/>
    <w:rsid w:val="00CD31F0"/>
    <w:rsid w:val="00CD3336"/>
    <w:rsid w:val="00CD344C"/>
    <w:rsid w:val="00CD351E"/>
    <w:rsid w:val="00CD3538"/>
    <w:rsid w:val="00CD36D5"/>
    <w:rsid w:val="00CD3700"/>
    <w:rsid w:val="00CD3785"/>
    <w:rsid w:val="00CD37E9"/>
    <w:rsid w:val="00CD3825"/>
    <w:rsid w:val="00CD3832"/>
    <w:rsid w:val="00CD3A03"/>
    <w:rsid w:val="00CD3C4C"/>
    <w:rsid w:val="00CD3D37"/>
    <w:rsid w:val="00CD3D52"/>
    <w:rsid w:val="00CD3DC4"/>
    <w:rsid w:val="00CD3E0F"/>
    <w:rsid w:val="00CD3E39"/>
    <w:rsid w:val="00CD3E87"/>
    <w:rsid w:val="00CD3EDD"/>
    <w:rsid w:val="00CD3F5D"/>
    <w:rsid w:val="00CD3FDE"/>
    <w:rsid w:val="00CD4007"/>
    <w:rsid w:val="00CD407B"/>
    <w:rsid w:val="00CD408B"/>
    <w:rsid w:val="00CD4154"/>
    <w:rsid w:val="00CD4161"/>
    <w:rsid w:val="00CD4180"/>
    <w:rsid w:val="00CD41EC"/>
    <w:rsid w:val="00CD4212"/>
    <w:rsid w:val="00CD4277"/>
    <w:rsid w:val="00CD42BA"/>
    <w:rsid w:val="00CD42FB"/>
    <w:rsid w:val="00CD42FD"/>
    <w:rsid w:val="00CD4374"/>
    <w:rsid w:val="00CD43B5"/>
    <w:rsid w:val="00CD44BB"/>
    <w:rsid w:val="00CD4576"/>
    <w:rsid w:val="00CD46D9"/>
    <w:rsid w:val="00CD47C4"/>
    <w:rsid w:val="00CD47C6"/>
    <w:rsid w:val="00CD47D8"/>
    <w:rsid w:val="00CD480F"/>
    <w:rsid w:val="00CD484B"/>
    <w:rsid w:val="00CD484E"/>
    <w:rsid w:val="00CD487A"/>
    <w:rsid w:val="00CD487C"/>
    <w:rsid w:val="00CD4891"/>
    <w:rsid w:val="00CD48F9"/>
    <w:rsid w:val="00CD4993"/>
    <w:rsid w:val="00CD499D"/>
    <w:rsid w:val="00CD49C4"/>
    <w:rsid w:val="00CD4AA1"/>
    <w:rsid w:val="00CD4ACA"/>
    <w:rsid w:val="00CD4B14"/>
    <w:rsid w:val="00CD4B9C"/>
    <w:rsid w:val="00CD4BF5"/>
    <w:rsid w:val="00CD4D36"/>
    <w:rsid w:val="00CD4D3B"/>
    <w:rsid w:val="00CD4D7F"/>
    <w:rsid w:val="00CD4DFC"/>
    <w:rsid w:val="00CD4E9E"/>
    <w:rsid w:val="00CD4F84"/>
    <w:rsid w:val="00CD50C4"/>
    <w:rsid w:val="00CD51DC"/>
    <w:rsid w:val="00CD5200"/>
    <w:rsid w:val="00CD531D"/>
    <w:rsid w:val="00CD54DE"/>
    <w:rsid w:val="00CD5722"/>
    <w:rsid w:val="00CD5733"/>
    <w:rsid w:val="00CD578F"/>
    <w:rsid w:val="00CD5883"/>
    <w:rsid w:val="00CD5977"/>
    <w:rsid w:val="00CD5B9B"/>
    <w:rsid w:val="00CD5C09"/>
    <w:rsid w:val="00CD5C17"/>
    <w:rsid w:val="00CD5C2B"/>
    <w:rsid w:val="00CD5D43"/>
    <w:rsid w:val="00CD5D61"/>
    <w:rsid w:val="00CD5DAE"/>
    <w:rsid w:val="00CD5DBB"/>
    <w:rsid w:val="00CD5E3F"/>
    <w:rsid w:val="00CD5F07"/>
    <w:rsid w:val="00CD5FA1"/>
    <w:rsid w:val="00CD5FBB"/>
    <w:rsid w:val="00CD5FDF"/>
    <w:rsid w:val="00CD6066"/>
    <w:rsid w:val="00CD608D"/>
    <w:rsid w:val="00CD613B"/>
    <w:rsid w:val="00CD6199"/>
    <w:rsid w:val="00CD61F8"/>
    <w:rsid w:val="00CD6401"/>
    <w:rsid w:val="00CD6448"/>
    <w:rsid w:val="00CD6482"/>
    <w:rsid w:val="00CD65FF"/>
    <w:rsid w:val="00CD66B1"/>
    <w:rsid w:val="00CD66F2"/>
    <w:rsid w:val="00CD6834"/>
    <w:rsid w:val="00CD6884"/>
    <w:rsid w:val="00CD6903"/>
    <w:rsid w:val="00CD6934"/>
    <w:rsid w:val="00CD6AE3"/>
    <w:rsid w:val="00CD6EE9"/>
    <w:rsid w:val="00CD6F13"/>
    <w:rsid w:val="00CD6F49"/>
    <w:rsid w:val="00CD6F97"/>
    <w:rsid w:val="00CD6FB8"/>
    <w:rsid w:val="00CD707F"/>
    <w:rsid w:val="00CD71F0"/>
    <w:rsid w:val="00CD72E6"/>
    <w:rsid w:val="00CD73A6"/>
    <w:rsid w:val="00CD73BB"/>
    <w:rsid w:val="00CD74FD"/>
    <w:rsid w:val="00CD7603"/>
    <w:rsid w:val="00CD765D"/>
    <w:rsid w:val="00CD7701"/>
    <w:rsid w:val="00CD77B0"/>
    <w:rsid w:val="00CD77C5"/>
    <w:rsid w:val="00CD77EA"/>
    <w:rsid w:val="00CD77F9"/>
    <w:rsid w:val="00CD7866"/>
    <w:rsid w:val="00CD790E"/>
    <w:rsid w:val="00CD796F"/>
    <w:rsid w:val="00CD798B"/>
    <w:rsid w:val="00CD7A2E"/>
    <w:rsid w:val="00CD7A6C"/>
    <w:rsid w:val="00CD7A8F"/>
    <w:rsid w:val="00CD7AB8"/>
    <w:rsid w:val="00CD7C0C"/>
    <w:rsid w:val="00CD7D30"/>
    <w:rsid w:val="00CD7E7F"/>
    <w:rsid w:val="00CD7EEB"/>
    <w:rsid w:val="00CE00D2"/>
    <w:rsid w:val="00CE0179"/>
    <w:rsid w:val="00CE01B6"/>
    <w:rsid w:val="00CE0213"/>
    <w:rsid w:val="00CE028C"/>
    <w:rsid w:val="00CE02BB"/>
    <w:rsid w:val="00CE0357"/>
    <w:rsid w:val="00CE03D9"/>
    <w:rsid w:val="00CE05E1"/>
    <w:rsid w:val="00CE069C"/>
    <w:rsid w:val="00CE06D2"/>
    <w:rsid w:val="00CE06E1"/>
    <w:rsid w:val="00CE06F9"/>
    <w:rsid w:val="00CE0730"/>
    <w:rsid w:val="00CE073D"/>
    <w:rsid w:val="00CE0863"/>
    <w:rsid w:val="00CE08D7"/>
    <w:rsid w:val="00CE0A90"/>
    <w:rsid w:val="00CE0A95"/>
    <w:rsid w:val="00CE0D0C"/>
    <w:rsid w:val="00CE0D99"/>
    <w:rsid w:val="00CE0EBC"/>
    <w:rsid w:val="00CE0FB5"/>
    <w:rsid w:val="00CE0FC3"/>
    <w:rsid w:val="00CE0FEE"/>
    <w:rsid w:val="00CE1003"/>
    <w:rsid w:val="00CE105A"/>
    <w:rsid w:val="00CE10F0"/>
    <w:rsid w:val="00CE113F"/>
    <w:rsid w:val="00CE116C"/>
    <w:rsid w:val="00CE11B0"/>
    <w:rsid w:val="00CE1267"/>
    <w:rsid w:val="00CE12E9"/>
    <w:rsid w:val="00CE135B"/>
    <w:rsid w:val="00CE137A"/>
    <w:rsid w:val="00CE141A"/>
    <w:rsid w:val="00CE144F"/>
    <w:rsid w:val="00CE14F8"/>
    <w:rsid w:val="00CE1516"/>
    <w:rsid w:val="00CE1525"/>
    <w:rsid w:val="00CE15BB"/>
    <w:rsid w:val="00CE1734"/>
    <w:rsid w:val="00CE1797"/>
    <w:rsid w:val="00CE1815"/>
    <w:rsid w:val="00CE18CE"/>
    <w:rsid w:val="00CE193F"/>
    <w:rsid w:val="00CE1B52"/>
    <w:rsid w:val="00CE1C8B"/>
    <w:rsid w:val="00CE1CB0"/>
    <w:rsid w:val="00CE1CB6"/>
    <w:rsid w:val="00CE1CD7"/>
    <w:rsid w:val="00CE1D8A"/>
    <w:rsid w:val="00CE1DDD"/>
    <w:rsid w:val="00CE1EE4"/>
    <w:rsid w:val="00CE1EFA"/>
    <w:rsid w:val="00CE1FE5"/>
    <w:rsid w:val="00CE20B2"/>
    <w:rsid w:val="00CE20B8"/>
    <w:rsid w:val="00CE20D4"/>
    <w:rsid w:val="00CE2133"/>
    <w:rsid w:val="00CE222D"/>
    <w:rsid w:val="00CE2391"/>
    <w:rsid w:val="00CE2442"/>
    <w:rsid w:val="00CE24D8"/>
    <w:rsid w:val="00CE26C9"/>
    <w:rsid w:val="00CE275C"/>
    <w:rsid w:val="00CE27CF"/>
    <w:rsid w:val="00CE2827"/>
    <w:rsid w:val="00CE2861"/>
    <w:rsid w:val="00CE2889"/>
    <w:rsid w:val="00CE2937"/>
    <w:rsid w:val="00CE29CE"/>
    <w:rsid w:val="00CE2A36"/>
    <w:rsid w:val="00CE2A80"/>
    <w:rsid w:val="00CE2AD8"/>
    <w:rsid w:val="00CE2ADC"/>
    <w:rsid w:val="00CE2B03"/>
    <w:rsid w:val="00CE2BA6"/>
    <w:rsid w:val="00CE2C3D"/>
    <w:rsid w:val="00CE2C9C"/>
    <w:rsid w:val="00CE2D73"/>
    <w:rsid w:val="00CE2E09"/>
    <w:rsid w:val="00CE2E24"/>
    <w:rsid w:val="00CE3031"/>
    <w:rsid w:val="00CE3056"/>
    <w:rsid w:val="00CE31FA"/>
    <w:rsid w:val="00CE3213"/>
    <w:rsid w:val="00CE32EF"/>
    <w:rsid w:val="00CE3381"/>
    <w:rsid w:val="00CE33BB"/>
    <w:rsid w:val="00CE35CC"/>
    <w:rsid w:val="00CE35DB"/>
    <w:rsid w:val="00CE35F1"/>
    <w:rsid w:val="00CE35F9"/>
    <w:rsid w:val="00CE3608"/>
    <w:rsid w:val="00CE3693"/>
    <w:rsid w:val="00CE36D3"/>
    <w:rsid w:val="00CE384E"/>
    <w:rsid w:val="00CE385A"/>
    <w:rsid w:val="00CE3935"/>
    <w:rsid w:val="00CE3960"/>
    <w:rsid w:val="00CE3976"/>
    <w:rsid w:val="00CE39E9"/>
    <w:rsid w:val="00CE3A7E"/>
    <w:rsid w:val="00CE3A9A"/>
    <w:rsid w:val="00CE3CF9"/>
    <w:rsid w:val="00CE3D32"/>
    <w:rsid w:val="00CE3D92"/>
    <w:rsid w:val="00CE3E36"/>
    <w:rsid w:val="00CE3E3E"/>
    <w:rsid w:val="00CE3E5E"/>
    <w:rsid w:val="00CE3EA7"/>
    <w:rsid w:val="00CE3EDE"/>
    <w:rsid w:val="00CE3EDF"/>
    <w:rsid w:val="00CE3F9B"/>
    <w:rsid w:val="00CE3FC5"/>
    <w:rsid w:val="00CE4096"/>
    <w:rsid w:val="00CE40DE"/>
    <w:rsid w:val="00CE410F"/>
    <w:rsid w:val="00CE4363"/>
    <w:rsid w:val="00CE43A2"/>
    <w:rsid w:val="00CE4505"/>
    <w:rsid w:val="00CE458F"/>
    <w:rsid w:val="00CE464A"/>
    <w:rsid w:val="00CE465C"/>
    <w:rsid w:val="00CE4665"/>
    <w:rsid w:val="00CE4686"/>
    <w:rsid w:val="00CE46F6"/>
    <w:rsid w:val="00CE47D0"/>
    <w:rsid w:val="00CE48DA"/>
    <w:rsid w:val="00CE4929"/>
    <w:rsid w:val="00CE499A"/>
    <w:rsid w:val="00CE49AE"/>
    <w:rsid w:val="00CE4A14"/>
    <w:rsid w:val="00CE4A5E"/>
    <w:rsid w:val="00CE4AEA"/>
    <w:rsid w:val="00CE4B1E"/>
    <w:rsid w:val="00CE4B3E"/>
    <w:rsid w:val="00CE4BD2"/>
    <w:rsid w:val="00CE4C0E"/>
    <w:rsid w:val="00CE4C33"/>
    <w:rsid w:val="00CE4C47"/>
    <w:rsid w:val="00CE4CCD"/>
    <w:rsid w:val="00CE4D97"/>
    <w:rsid w:val="00CE4E2F"/>
    <w:rsid w:val="00CE4E7E"/>
    <w:rsid w:val="00CE4E91"/>
    <w:rsid w:val="00CE4F52"/>
    <w:rsid w:val="00CE4F71"/>
    <w:rsid w:val="00CE505B"/>
    <w:rsid w:val="00CE50DF"/>
    <w:rsid w:val="00CE51B0"/>
    <w:rsid w:val="00CE51BE"/>
    <w:rsid w:val="00CE524C"/>
    <w:rsid w:val="00CE527A"/>
    <w:rsid w:val="00CE5285"/>
    <w:rsid w:val="00CE52E4"/>
    <w:rsid w:val="00CE52FF"/>
    <w:rsid w:val="00CE5343"/>
    <w:rsid w:val="00CE5500"/>
    <w:rsid w:val="00CE5528"/>
    <w:rsid w:val="00CE5560"/>
    <w:rsid w:val="00CE558C"/>
    <w:rsid w:val="00CE55CE"/>
    <w:rsid w:val="00CE5657"/>
    <w:rsid w:val="00CE5708"/>
    <w:rsid w:val="00CE5736"/>
    <w:rsid w:val="00CE57A3"/>
    <w:rsid w:val="00CE58C5"/>
    <w:rsid w:val="00CE5A20"/>
    <w:rsid w:val="00CE5A85"/>
    <w:rsid w:val="00CE5ABB"/>
    <w:rsid w:val="00CE5AC0"/>
    <w:rsid w:val="00CE5B09"/>
    <w:rsid w:val="00CE5BE3"/>
    <w:rsid w:val="00CE5C15"/>
    <w:rsid w:val="00CE5C5B"/>
    <w:rsid w:val="00CE5D3E"/>
    <w:rsid w:val="00CE5F15"/>
    <w:rsid w:val="00CE5F3B"/>
    <w:rsid w:val="00CE5F51"/>
    <w:rsid w:val="00CE5F6F"/>
    <w:rsid w:val="00CE60BB"/>
    <w:rsid w:val="00CE61A2"/>
    <w:rsid w:val="00CE6248"/>
    <w:rsid w:val="00CE6265"/>
    <w:rsid w:val="00CE630F"/>
    <w:rsid w:val="00CE6422"/>
    <w:rsid w:val="00CE6453"/>
    <w:rsid w:val="00CE6497"/>
    <w:rsid w:val="00CE64E5"/>
    <w:rsid w:val="00CE64EB"/>
    <w:rsid w:val="00CE64EE"/>
    <w:rsid w:val="00CE659A"/>
    <w:rsid w:val="00CE65C7"/>
    <w:rsid w:val="00CE65D1"/>
    <w:rsid w:val="00CE661C"/>
    <w:rsid w:val="00CE6629"/>
    <w:rsid w:val="00CE6637"/>
    <w:rsid w:val="00CE6645"/>
    <w:rsid w:val="00CE6677"/>
    <w:rsid w:val="00CE66F3"/>
    <w:rsid w:val="00CE679E"/>
    <w:rsid w:val="00CE67A2"/>
    <w:rsid w:val="00CE686B"/>
    <w:rsid w:val="00CE6880"/>
    <w:rsid w:val="00CE6A46"/>
    <w:rsid w:val="00CE6A92"/>
    <w:rsid w:val="00CE6B14"/>
    <w:rsid w:val="00CE6B36"/>
    <w:rsid w:val="00CE6B9F"/>
    <w:rsid w:val="00CE6C22"/>
    <w:rsid w:val="00CE6CAA"/>
    <w:rsid w:val="00CE6E62"/>
    <w:rsid w:val="00CE6F4A"/>
    <w:rsid w:val="00CE6FC1"/>
    <w:rsid w:val="00CE70B4"/>
    <w:rsid w:val="00CE70F8"/>
    <w:rsid w:val="00CE7150"/>
    <w:rsid w:val="00CE7168"/>
    <w:rsid w:val="00CE71DD"/>
    <w:rsid w:val="00CE7266"/>
    <w:rsid w:val="00CE741C"/>
    <w:rsid w:val="00CE744E"/>
    <w:rsid w:val="00CE7512"/>
    <w:rsid w:val="00CE75EF"/>
    <w:rsid w:val="00CE790A"/>
    <w:rsid w:val="00CE7999"/>
    <w:rsid w:val="00CE79FB"/>
    <w:rsid w:val="00CE7A80"/>
    <w:rsid w:val="00CE7AB7"/>
    <w:rsid w:val="00CE7AB9"/>
    <w:rsid w:val="00CE7B72"/>
    <w:rsid w:val="00CE7C19"/>
    <w:rsid w:val="00CE7C3F"/>
    <w:rsid w:val="00CE7CC7"/>
    <w:rsid w:val="00CE7DB4"/>
    <w:rsid w:val="00CE7DFE"/>
    <w:rsid w:val="00CE7ED8"/>
    <w:rsid w:val="00CE7EF4"/>
    <w:rsid w:val="00CE7FBC"/>
    <w:rsid w:val="00CE7FE6"/>
    <w:rsid w:val="00CF01E8"/>
    <w:rsid w:val="00CF01FC"/>
    <w:rsid w:val="00CF03ED"/>
    <w:rsid w:val="00CF0440"/>
    <w:rsid w:val="00CF045D"/>
    <w:rsid w:val="00CF047F"/>
    <w:rsid w:val="00CF04AF"/>
    <w:rsid w:val="00CF04BD"/>
    <w:rsid w:val="00CF0565"/>
    <w:rsid w:val="00CF0587"/>
    <w:rsid w:val="00CF0705"/>
    <w:rsid w:val="00CF070C"/>
    <w:rsid w:val="00CF07AA"/>
    <w:rsid w:val="00CF07CD"/>
    <w:rsid w:val="00CF082E"/>
    <w:rsid w:val="00CF0840"/>
    <w:rsid w:val="00CF088F"/>
    <w:rsid w:val="00CF0973"/>
    <w:rsid w:val="00CF09CA"/>
    <w:rsid w:val="00CF0A5C"/>
    <w:rsid w:val="00CF0ACC"/>
    <w:rsid w:val="00CF0AD7"/>
    <w:rsid w:val="00CF0BCA"/>
    <w:rsid w:val="00CF0C88"/>
    <w:rsid w:val="00CF0CAB"/>
    <w:rsid w:val="00CF0CAC"/>
    <w:rsid w:val="00CF0D9E"/>
    <w:rsid w:val="00CF0DF9"/>
    <w:rsid w:val="00CF0E29"/>
    <w:rsid w:val="00CF0FCD"/>
    <w:rsid w:val="00CF0FE0"/>
    <w:rsid w:val="00CF0FEB"/>
    <w:rsid w:val="00CF10B8"/>
    <w:rsid w:val="00CF10D3"/>
    <w:rsid w:val="00CF1121"/>
    <w:rsid w:val="00CF11A6"/>
    <w:rsid w:val="00CF12D9"/>
    <w:rsid w:val="00CF13A2"/>
    <w:rsid w:val="00CF13F9"/>
    <w:rsid w:val="00CF1581"/>
    <w:rsid w:val="00CF160D"/>
    <w:rsid w:val="00CF1630"/>
    <w:rsid w:val="00CF17C1"/>
    <w:rsid w:val="00CF1919"/>
    <w:rsid w:val="00CF193C"/>
    <w:rsid w:val="00CF1957"/>
    <w:rsid w:val="00CF1A3F"/>
    <w:rsid w:val="00CF1A5D"/>
    <w:rsid w:val="00CF1A9E"/>
    <w:rsid w:val="00CF1B2D"/>
    <w:rsid w:val="00CF1B66"/>
    <w:rsid w:val="00CF1C15"/>
    <w:rsid w:val="00CF1C71"/>
    <w:rsid w:val="00CF1C94"/>
    <w:rsid w:val="00CF1CD4"/>
    <w:rsid w:val="00CF1E40"/>
    <w:rsid w:val="00CF1FB1"/>
    <w:rsid w:val="00CF2009"/>
    <w:rsid w:val="00CF2070"/>
    <w:rsid w:val="00CF217D"/>
    <w:rsid w:val="00CF23D1"/>
    <w:rsid w:val="00CF23E1"/>
    <w:rsid w:val="00CF23F4"/>
    <w:rsid w:val="00CF241D"/>
    <w:rsid w:val="00CF245A"/>
    <w:rsid w:val="00CF24EE"/>
    <w:rsid w:val="00CF2578"/>
    <w:rsid w:val="00CF27BF"/>
    <w:rsid w:val="00CF28FC"/>
    <w:rsid w:val="00CF297B"/>
    <w:rsid w:val="00CF298B"/>
    <w:rsid w:val="00CF29B9"/>
    <w:rsid w:val="00CF29C9"/>
    <w:rsid w:val="00CF29E0"/>
    <w:rsid w:val="00CF2A40"/>
    <w:rsid w:val="00CF2CB6"/>
    <w:rsid w:val="00CF2CE2"/>
    <w:rsid w:val="00CF2CF0"/>
    <w:rsid w:val="00CF2D90"/>
    <w:rsid w:val="00CF2E2F"/>
    <w:rsid w:val="00CF2E71"/>
    <w:rsid w:val="00CF30B6"/>
    <w:rsid w:val="00CF30EB"/>
    <w:rsid w:val="00CF3188"/>
    <w:rsid w:val="00CF31EA"/>
    <w:rsid w:val="00CF3217"/>
    <w:rsid w:val="00CF324B"/>
    <w:rsid w:val="00CF3286"/>
    <w:rsid w:val="00CF328B"/>
    <w:rsid w:val="00CF3290"/>
    <w:rsid w:val="00CF332C"/>
    <w:rsid w:val="00CF3342"/>
    <w:rsid w:val="00CF3364"/>
    <w:rsid w:val="00CF3365"/>
    <w:rsid w:val="00CF34A2"/>
    <w:rsid w:val="00CF350E"/>
    <w:rsid w:val="00CF354A"/>
    <w:rsid w:val="00CF35A5"/>
    <w:rsid w:val="00CF36AB"/>
    <w:rsid w:val="00CF372A"/>
    <w:rsid w:val="00CF3841"/>
    <w:rsid w:val="00CF38E6"/>
    <w:rsid w:val="00CF3C1E"/>
    <w:rsid w:val="00CF3C96"/>
    <w:rsid w:val="00CF3E2A"/>
    <w:rsid w:val="00CF3F2D"/>
    <w:rsid w:val="00CF401A"/>
    <w:rsid w:val="00CF4097"/>
    <w:rsid w:val="00CF4106"/>
    <w:rsid w:val="00CF41D0"/>
    <w:rsid w:val="00CF421D"/>
    <w:rsid w:val="00CF42B9"/>
    <w:rsid w:val="00CF4377"/>
    <w:rsid w:val="00CF43E5"/>
    <w:rsid w:val="00CF4416"/>
    <w:rsid w:val="00CF443D"/>
    <w:rsid w:val="00CF4538"/>
    <w:rsid w:val="00CF45EC"/>
    <w:rsid w:val="00CF4677"/>
    <w:rsid w:val="00CF46C9"/>
    <w:rsid w:val="00CF4751"/>
    <w:rsid w:val="00CF477A"/>
    <w:rsid w:val="00CF48F6"/>
    <w:rsid w:val="00CF49F9"/>
    <w:rsid w:val="00CF4A2D"/>
    <w:rsid w:val="00CF4A58"/>
    <w:rsid w:val="00CF4C5B"/>
    <w:rsid w:val="00CF4C72"/>
    <w:rsid w:val="00CF4CBE"/>
    <w:rsid w:val="00CF4D29"/>
    <w:rsid w:val="00CF4ECB"/>
    <w:rsid w:val="00CF4EF7"/>
    <w:rsid w:val="00CF500D"/>
    <w:rsid w:val="00CF504D"/>
    <w:rsid w:val="00CF5111"/>
    <w:rsid w:val="00CF513D"/>
    <w:rsid w:val="00CF51C8"/>
    <w:rsid w:val="00CF51D4"/>
    <w:rsid w:val="00CF5365"/>
    <w:rsid w:val="00CF53BF"/>
    <w:rsid w:val="00CF53EB"/>
    <w:rsid w:val="00CF5526"/>
    <w:rsid w:val="00CF5532"/>
    <w:rsid w:val="00CF5534"/>
    <w:rsid w:val="00CF5559"/>
    <w:rsid w:val="00CF56DF"/>
    <w:rsid w:val="00CF571E"/>
    <w:rsid w:val="00CF578C"/>
    <w:rsid w:val="00CF5840"/>
    <w:rsid w:val="00CF58FB"/>
    <w:rsid w:val="00CF59CA"/>
    <w:rsid w:val="00CF5A62"/>
    <w:rsid w:val="00CF5A7C"/>
    <w:rsid w:val="00CF5B45"/>
    <w:rsid w:val="00CF5C85"/>
    <w:rsid w:val="00CF5CB0"/>
    <w:rsid w:val="00CF5E6C"/>
    <w:rsid w:val="00CF5EB6"/>
    <w:rsid w:val="00CF5EEC"/>
    <w:rsid w:val="00CF5F35"/>
    <w:rsid w:val="00CF6084"/>
    <w:rsid w:val="00CF6091"/>
    <w:rsid w:val="00CF6184"/>
    <w:rsid w:val="00CF61D9"/>
    <w:rsid w:val="00CF6214"/>
    <w:rsid w:val="00CF62A1"/>
    <w:rsid w:val="00CF62F8"/>
    <w:rsid w:val="00CF6337"/>
    <w:rsid w:val="00CF63A7"/>
    <w:rsid w:val="00CF63ED"/>
    <w:rsid w:val="00CF674B"/>
    <w:rsid w:val="00CF678C"/>
    <w:rsid w:val="00CF6841"/>
    <w:rsid w:val="00CF685D"/>
    <w:rsid w:val="00CF692F"/>
    <w:rsid w:val="00CF69FB"/>
    <w:rsid w:val="00CF6DA4"/>
    <w:rsid w:val="00CF6E77"/>
    <w:rsid w:val="00CF6ED6"/>
    <w:rsid w:val="00CF6FCD"/>
    <w:rsid w:val="00CF70C1"/>
    <w:rsid w:val="00CF7110"/>
    <w:rsid w:val="00CF716C"/>
    <w:rsid w:val="00CF71DA"/>
    <w:rsid w:val="00CF7212"/>
    <w:rsid w:val="00CF7214"/>
    <w:rsid w:val="00CF721B"/>
    <w:rsid w:val="00CF7235"/>
    <w:rsid w:val="00CF7237"/>
    <w:rsid w:val="00CF7252"/>
    <w:rsid w:val="00CF72C6"/>
    <w:rsid w:val="00CF733A"/>
    <w:rsid w:val="00CF7435"/>
    <w:rsid w:val="00CF74CF"/>
    <w:rsid w:val="00CF75B8"/>
    <w:rsid w:val="00CF787E"/>
    <w:rsid w:val="00CF7897"/>
    <w:rsid w:val="00CF794D"/>
    <w:rsid w:val="00CF7AAB"/>
    <w:rsid w:val="00CF7AC7"/>
    <w:rsid w:val="00CF7B06"/>
    <w:rsid w:val="00CF7C0B"/>
    <w:rsid w:val="00CF7D12"/>
    <w:rsid w:val="00CF7D61"/>
    <w:rsid w:val="00CF7D7E"/>
    <w:rsid w:val="00CF7F19"/>
    <w:rsid w:val="00CF7F1F"/>
    <w:rsid w:val="00CF7F25"/>
    <w:rsid w:val="00CF7F3D"/>
    <w:rsid w:val="00CF7F8C"/>
    <w:rsid w:val="00CF7FD6"/>
    <w:rsid w:val="00CF7FF4"/>
    <w:rsid w:val="00D0003A"/>
    <w:rsid w:val="00D000B1"/>
    <w:rsid w:val="00D000F3"/>
    <w:rsid w:val="00D001FB"/>
    <w:rsid w:val="00D002E1"/>
    <w:rsid w:val="00D002F0"/>
    <w:rsid w:val="00D0035E"/>
    <w:rsid w:val="00D00364"/>
    <w:rsid w:val="00D00372"/>
    <w:rsid w:val="00D00448"/>
    <w:rsid w:val="00D004D9"/>
    <w:rsid w:val="00D004F3"/>
    <w:rsid w:val="00D00529"/>
    <w:rsid w:val="00D005BA"/>
    <w:rsid w:val="00D005D0"/>
    <w:rsid w:val="00D006B1"/>
    <w:rsid w:val="00D006C6"/>
    <w:rsid w:val="00D0074F"/>
    <w:rsid w:val="00D007B3"/>
    <w:rsid w:val="00D007CA"/>
    <w:rsid w:val="00D00872"/>
    <w:rsid w:val="00D008EF"/>
    <w:rsid w:val="00D00A49"/>
    <w:rsid w:val="00D00B29"/>
    <w:rsid w:val="00D00BFA"/>
    <w:rsid w:val="00D00CF2"/>
    <w:rsid w:val="00D00DF0"/>
    <w:rsid w:val="00D00E55"/>
    <w:rsid w:val="00D01034"/>
    <w:rsid w:val="00D01081"/>
    <w:rsid w:val="00D010A3"/>
    <w:rsid w:val="00D01115"/>
    <w:rsid w:val="00D0116F"/>
    <w:rsid w:val="00D01245"/>
    <w:rsid w:val="00D01281"/>
    <w:rsid w:val="00D0128C"/>
    <w:rsid w:val="00D01332"/>
    <w:rsid w:val="00D01396"/>
    <w:rsid w:val="00D0144D"/>
    <w:rsid w:val="00D014F9"/>
    <w:rsid w:val="00D0150D"/>
    <w:rsid w:val="00D01536"/>
    <w:rsid w:val="00D017DD"/>
    <w:rsid w:val="00D0186F"/>
    <w:rsid w:val="00D019C4"/>
    <w:rsid w:val="00D01A2F"/>
    <w:rsid w:val="00D01BA4"/>
    <w:rsid w:val="00D01CE4"/>
    <w:rsid w:val="00D01D4A"/>
    <w:rsid w:val="00D01F51"/>
    <w:rsid w:val="00D01F88"/>
    <w:rsid w:val="00D022C8"/>
    <w:rsid w:val="00D02305"/>
    <w:rsid w:val="00D023C2"/>
    <w:rsid w:val="00D023D3"/>
    <w:rsid w:val="00D023E6"/>
    <w:rsid w:val="00D023EC"/>
    <w:rsid w:val="00D023F4"/>
    <w:rsid w:val="00D023FB"/>
    <w:rsid w:val="00D023FF"/>
    <w:rsid w:val="00D02412"/>
    <w:rsid w:val="00D02516"/>
    <w:rsid w:val="00D02542"/>
    <w:rsid w:val="00D02576"/>
    <w:rsid w:val="00D025BF"/>
    <w:rsid w:val="00D025CF"/>
    <w:rsid w:val="00D02612"/>
    <w:rsid w:val="00D0273A"/>
    <w:rsid w:val="00D02757"/>
    <w:rsid w:val="00D0279E"/>
    <w:rsid w:val="00D028AF"/>
    <w:rsid w:val="00D02A26"/>
    <w:rsid w:val="00D02B82"/>
    <w:rsid w:val="00D02C88"/>
    <w:rsid w:val="00D02D2C"/>
    <w:rsid w:val="00D02FB7"/>
    <w:rsid w:val="00D030AD"/>
    <w:rsid w:val="00D030C9"/>
    <w:rsid w:val="00D0312C"/>
    <w:rsid w:val="00D0316E"/>
    <w:rsid w:val="00D0316F"/>
    <w:rsid w:val="00D03203"/>
    <w:rsid w:val="00D0341B"/>
    <w:rsid w:val="00D03440"/>
    <w:rsid w:val="00D03442"/>
    <w:rsid w:val="00D035E1"/>
    <w:rsid w:val="00D036CE"/>
    <w:rsid w:val="00D037AC"/>
    <w:rsid w:val="00D037CC"/>
    <w:rsid w:val="00D03880"/>
    <w:rsid w:val="00D038A3"/>
    <w:rsid w:val="00D03954"/>
    <w:rsid w:val="00D03999"/>
    <w:rsid w:val="00D039B7"/>
    <w:rsid w:val="00D039DF"/>
    <w:rsid w:val="00D03A1F"/>
    <w:rsid w:val="00D03A7F"/>
    <w:rsid w:val="00D03AC2"/>
    <w:rsid w:val="00D03AEE"/>
    <w:rsid w:val="00D03BC0"/>
    <w:rsid w:val="00D03C3B"/>
    <w:rsid w:val="00D03C44"/>
    <w:rsid w:val="00D03C61"/>
    <w:rsid w:val="00D03CB3"/>
    <w:rsid w:val="00D03D34"/>
    <w:rsid w:val="00D03D65"/>
    <w:rsid w:val="00D03E27"/>
    <w:rsid w:val="00D03E42"/>
    <w:rsid w:val="00D03E49"/>
    <w:rsid w:val="00D03EA2"/>
    <w:rsid w:val="00D03ED4"/>
    <w:rsid w:val="00D0403B"/>
    <w:rsid w:val="00D0414C"/>
    <w:rsid w:val="00D0423B"/>
    <w:rsid w:val="00D0426A"/>
    <w:rsid w:val="00D042B3"/>
    <w:rsid w:val="00D04352"/>
    <w:rsid w:val="00D0435D"/>
    <w:rsid w:val="00D0439D"/>
    <w:rsid w:val="00D043DB"/>
    <w:rsid w:val="00D046D2"/>
    <w:rsid w:val="00D04705"/>
    <w:rsid w:val="00D047DB"/>
    <w:rsid w:val="00D04839"/>
    <w:rsid w:val="00D04865"/>
    <w:rsid w:val="00D04973"/>
    <w:rsid w:val="00D04980"/>
    <w:rsid w:val="00D049A4"/>
    <w:rsid w:val="00D04A04"/>
    <w:rsid w:val="00D04B16"/>
    <w:rsid w:val="00D04B70"/>
    <w:rsid w:val="00D04BC4"/>
    <w:rsid w:val="00D04C14"/>
    <w:rsid w:val="00D04CCA"/>
    <w:rsid w:val="00D04D32"/>
    <w:rsid w:val="00D04DEC"/>
    <w:rsid w:val="00D04E14"/>
    <w:rsid w:val="00D04E1D"/>
    <w:rsid w:val="00D04E71"/>
    <w:rsid w:val="00D04EF2"/>
    <w:rsid w:val="00D04EF9"/>
    <w:rsid w:val="00D04F55"/>
    <w:rsid w:val="00D04FEF"/>
    <w:rsid w:val="00D05091"/>
    <w:rsid w:val="00D050CE"/>
    <w:rsid w:val="00D051AB"/>
    <w:rsid w:val="00D052D5"/>
    <w:rsid w:val="00D052D6"/>
    <w:rsid w:val="00D054AD"/>
    <w:rsid w:val="00D054E9"/>
    <w:rsid w:val="00D0569B"/>
    <w:rsid w:val="00D0573E"/>
    <w:rsid w:val="00D058CE"/>
    <w:rsid w:val="00D05929"/>
    <w:rsid w:val="00D0593B"/>
    <w:rsid w:val="00D05A48"/>
    <w:rsid w:val="00D05AE8"/>
    <w:rsid w:val="00D05C3E"/>
    <w:rsid w:val="00D05C45"/>
    <w:rsid w:val="00D05C94"/>
    <w:rsid w:val="00D05D5D"/>
    <w:rsid w:val="00D05D69"/>
    <w:rsid w:val="00D05DAA"/>
    <w:rsid w:val="00D05DEF"/>
    <w:rsid w:val="00D05E8A"/>
    <w:rsid w:val="00D05EAD"/>
    <w:rsid w:val="00D05F85"/>
    <w:rsid w:val="00D05F86"/>
    <w:rsid w:val="00D06001"/>
    <w:rsid w:val="00D06014"/>
    <w:rsid w:val="00D06086"/>
    <w:rsid w:val="00D060A0"/>
    <w:rsid w:val="00D060AA"/>
    <w:rsid w:val="00D06175"/>
    <w:rsid w:val="00D06235"/>
    <w:rsid w:val="00D06278"/>
    <w:rsid w:val="00D06414"/>
    <w:rsid w:val="00D06628"/>
    <w:rsid w:val="00D0670D"/>
    <w:rsid w:val="00D0679B"/>
    <w:rsid w:val="00D067B2"/>
    <w:rsid w:val="00D06811"/>
    <w:rsid w:val="00D0686E"/>
    <w:rsid w:val="00D068CD"/>
    <w:rsid w:val="00D068FA"/>
    <w:rsid w:val="00D069CB"/>
    <w:rsid w:val="00D069F8"/>
    <w:rsid w:val="00D06A90"/>
    <w:rsid w:val="00D06AA9"/>
    <w:rsid w:val="00D06AE9"/>
    <w:rsid w:val="00D06BA1"/>
    <w:rsid w:val="00D06BB3"/>
    <w:rsid w:val="00D06E56"/>
    <w:rsid w:val="00D06E9A"/>
    <w:rsid w:val="00D06EE2"/>
    <w:rsid w:val="00D06EEE"/>
    <w:rsid w:val="00D06F95"/>
    <w:rsid w:val="00D06FD5"/>
    <w:rsid w:val="00D0707A"/>
    <w:rsid w:val="00D070F6"/>
    <w:rsid w:val="00D07223"/>
    <w:rsid w:val="00D07277"/>
    <w:rsid w:val="00D072A4"/>
    <w:rsid w:val="00D072EA"/>
    <w:rsid w:val="00D07315"/>
    <w:rsid w:val="00D0734A"/>
    <w:rsid w:val="00D0744D"/>
    <w:rsid w:val="00D0745C"/>
    <w:rsid w:val="00D07477"/>
    <w:rsid w:val="00D0751A"/>
    <w:rsid w:val="00D0758A"/>
    <w:rsid w:val="00D075E1"/>
    <w:rsid w:val="00D076B0"/>
    <w:rsid w:val="00D076E9"/>
    <w:rsid w:val="00D0777F"/>
    <w:rsid w:val="00D0778E"/>
    <w:rsid w:val="00D077E6"/>
    <w:rsid w:val="00D0782E"/>
    <w:rsid w:val="00D07832"/>
    <w:rsid w:val="00D07843"/>
    <w:rsid w:val="00D078EC"/>
    <w:rsid w:val="00D0792A"/>
    <w:rsid w:val="00D07937"/>
    <w:rsid w:val="00D07966"/>
    <w:rsid w:val="00D079F5"/>
    <w:rsid w:val="00D07A3A"/>
    <w:rsid w:val="00D07AE9"/>
    <w:rsid w:val="00D07B5C"/>
    <w:rsid w:val="00D07BB6"/>
    <w:rsid w:val="00D07BEF"/>
    <w:rsid w:val="00D07C62"/>
    <w:rsid w:val="00D07CEB"/>
    <w:rsid w:val="00D1005F"/>
    <w:rsid w:val="00D100C4"/>
    <w:rsid w:val="00D103C0"/>
    <w:rsid w:val="00D10419"/>
    <w:rsid w:val="00D10425"/>
    <w:rsid w:val="00D104E5"/>
    <w:rsid w:val="00D1058B"/>
    <w:rsid w:val="00D105B8"/>
    <w:rsid w:val="00D10678"/>
    <w:rsid w:val="00D10688"/>
    <w:rsid w:val="00D106FF"/>
    <w:rsid w:val="00D1071F"/>
    <w:rsid w:val="00D10838"/>
    <w:rsid w:val="00D108AD"/>
    <w:rsid w:val="00D108C8"/>
    <w:rsid w:val="00D109B5"/>
    <w:rsid w:val="00D10BBA"/>
    <w:rsid w:val="00D10C91"/>
    <w:rsid w:val="00D10D40"/>
    <w:rsid w:val="00D10D98"/>
    <w:rsid w:val="00D10DE0"/>
    <w:rsid w:val="00D10F8E"/>
    <w:rsid w:val="00D10FAC"/>
    <w:rsid w:val="00D10FBA"/>
    <w:rsid w:val="00D10FF2"/>
    <w:rsid w:val="00D11149"/>
    <w:rsid w:val="00D111AB"/>
    <w:rsid w:val="00D111F8"/>
    <w:rsid w:val="00D1134F"/>
    <w:rsid w:val="00D11366"/>
    <w:rsid w:val="00D11447"/>
    <w:rsid w:val="00D11486"/>
    <w:rsid w:val="00D11613"/>
    <w:rsid w:val="00D11628"/>
    <w:rsid w:val="00D11787"/>
    <w:rsid w:val="00D1178B"/>
    <w:rsid w:val="00D11833"/>
    <w:rsid w:val="00D118C5"/>
    <w:rsid w:val="00D118DD"/>
    <w:rsid w:val="00D1191A"/>
    <w:rsid w:val="00D11941"/>
    <w:rsid w:val="00D11956"/>
    <w:rsid w:val="00D11A09"/>
    <w:rsid w:val="00D11ADA"/>
    <w:rsid w:val="00D11B3E"/>
    <w:rsid w:val="00D11BDA"/>
    <w:rsid w:val="00D11E32"/>
    <w:rsid w:val="00D11F7C"/>
    <w:rsid w:val="00D120A2"/>
    <w:rsid w:val="00D120DF"/>
    <w:rsid w:val="00D121B2"/>
    <w:rsid w:val="00D1220B"/>
    <w:rsid w:val="00D1228E"/>
    <w:rsid w:val="00D122B3"/>
    <w:rsid w:val="00D12304"/>
    <w:rsid w:val="00D123DA"/>
    <w:rsid w:val="00D12438"/>
    <w:rsid w:val="00D1250B"/>
    <w:rsid w:val="00D125A7"/>
    <w:rsid w:val="00D12699"/>
    <w:rsid w:val="00D12770"/>
    <w:rsid w:val="00D1279A"/>
    <w:rsid w:val="00D1282B"/>
    <w:rsid w:val="00D12854"/>
    <w:rsid w:val="00D1288A"/>
    <w:rsid w:val="00D1292A"/>
    <w:rsid w:val="00D1293C"/>
    <w:rsid w:val="00D12A5B"/>
    <w:rsid w:val="00D12A98"/>
    <w:rsid w:val="00D12B59"/>
    <w:rsid w:val="00D12D34"/>
    <w:rsid w:val="00D12D81"/>
    <w:rsid w:val="00D12E72"/>
    <w:rsid w:val="00D12F7C"/>
    <w:rsid w:val="00D13116"/>
    <w:rsid w:val="00D1313F"/>
    <w:rsid w:val="00D131A4"/>
    <w:rsid w:val="00D131E8"/>
    <w:rsid w:val="00D131F2"/>
    <w:rsid w:val="00D131F6"/>
    <w:rsid w:val="00D13228"/>
    <w:rsid w:val="00D13260"/>
    <w:rsid w:val="00D13301"/>
    <w:rsid w:val="00D13376"/>
    <w:rsid w:val="00D133BF"/>
    <w:rsid w:val="00D133CA"/>
    <w:rsid w:val="00D13416"/>
    <w:rsid w:val="00D134AE"/>
    <w:rsid w:val="00D134E8"/>
    <w:rsid w:val="00D13517"/>
    <w:rsid w:val="00D1357C"/>
    <w:rsid w:val="00D1359B"/>
    <w:rsid w:val="00D136EE"/>
    <w:rsid w:val="00D13710"/>
    <w:rsid w:val="00D137B7"/>
    <w:rsid w:val="00D1381F"/>
    <w:rsid w:val="00D138AF"/>
    <w:rsid w:val="00D13933"/>
    <w:rsid w:val="00D139E9"/>
    <w:rsid w:val="00D13A8A"/>
    <w:rsid w:val="00D13B20"/>
    <w:rsid w:val="00D13C0D"/>
    <w:rsid w:val="00D13D5E"/>
    <w:rsid w:val="00D13DF6"/>
    <w:rsid w:val="00D141D1"/>
    <w:rsid w:val="00D14233"/>
    <w:rsid w:val="00D14346"/>
    <w:rsid w:val="00D143CD"/>
    <w:rsid w:val="00D144BA"/>
    <w:rsid w:val="00D144E9"/>
    <w:rsid w:val="00D14519"/>
    <w:rsid w:val="00D14598"/>
    <w:rsid w:val="00D147AE"/>
    <w:rsid w:val="00D147CF"/>
    <w:rsid w:val="00D147D9"/>
    <w:rsid w:val="00D14884"/>
    <w:rsid w:val="00D149DB"/>
    <w:rsid w:val="00D14A33"/>
    <w:rsid w:val="00D14AEF"/>
    <w:rsid w:val="00D14B2A"/>
    <w:rsid w:val="00D14B42"/>
    <w:rsid w:val="00D14C11"/>
    <w:rsid w:val="00D14C39"/>
    <w:rsid w:val="00D14DB3"/>
    <w:rsid w:val="00D14E28"/>
    <w:rsid w:val="00D14EAE"/>
    <w:rsid w:val="00D14EFF"/>
    <w:rsid w:val="00D150AE"/>
    <w:rsid w:val="00D1511E"/>
    <w:rsid w:val="00D151CF"/>
    <w:rsid w:val="00D15238"/>
    <w:rsid w:val="00D1523F"/>
    <w:rsid w:val="00D15253"/>
    <w:rsid w:val="00D15293"/>
    <w:rsid w:val="00D152BE"/>
    <w:rsid w:val="00D152C9"/>
    <w:rsid w:val="00D1531A"/>
    <w:rsid w:val="00D153C1"/>
    <w:rsid w:val="00D153D0"/>
    <w:rsid w:val="00D154EB"/>
    <w:rsid w:val="00D155C3"/>
    <w:rsid w:val="00D1574F"/>
    <w:rsid w:val="00D157CB"/>
    <w:rsid w:val="00D157E9"/>
    <w:rsid w:val="00D15836"/>
    <w:rsid w:val="00D15895"/>
    <w:rsid w:val="00D158B5"/>
    <w:rsid w:val="00D158F4"/>
    <w:rsid w:val="00D15953"/>
    <w:rsid w:val="00D159A0"/>
    <w:rsid w:val="00D159AE"/>
    <w:rsid w:val="00D159AF"/>
    <w:rsid w:val="00D15A77"/>
    <w:rsid w:val="00D15B0D"/>
    <w:rsid w:val="00D15D1E"/>
    <w:rsid w:val="00D15D30"/>
    <w:rsid w:val="00D15D6F"/>
    <w:rsid w:val="00D15DBB"/>
    <w:rsid w:val="00D15EB2"/>
    <w:rsid w:val="00D15F24"/>
    <w:rsid w:val="00D1601D"/>
    <w:rsid w:val="00D160A5"/>
    <w:rsid w:val="00D1618B"/>
    <w:rsid w:val="00D162F1"/>
    <w:rsid w:val="00D163D9"/>
    <w:rsid w:val="00D163F1"/>
    <w:rsid w:val="00D16440"/>
    <w:rsid w:val="00D164B6"/>
    <w:rsid w:val="00D16519"/>
    <w:rsid w:val="00D1654D"/>
    <w:rsid w:val="00D16555"/>
    <w:rsid w:val="00D165BF"/>
    <w:rsid w:val="00D1669B"/>
    <w:rsid w:val="00D1685E"/>
    <w:rsid w:val="00D16974"/>
    <w:rsid w:val="00D169A7"/>
    <w:rsid w:val="00D16A59"/>
    <w:rsid w:val="00D16AED"/>
    <w:rsid w:val="00D16B91"/>
    <w:rsid w:val="00D16C73"/>
    <w:rsid w:val="00D16EC3"/>
    <w:rsid w:val="00D16ECF"/>
    <w:rsid w:val="00D16F92"/>
    <w:rsid w:val="00D16FEB"/>
    <w:rsid w:val="00D1706C"/>
    <w:rsid w:val="00D170C0"/>
    <w:rsid w:val="00D17159"/>
    <w:rsid w:val="00D171B7"/>
    <w:rsid w:val="00D171DC"/>
    <w:rsid w:val="00D17250"/>
    <w:rsid w:val="00D172CF"/>
    <w:rsid w:val="00D1731D"/>
    <w:rsid w:val="00D17325"/>
    <w:rsid w:val="00D173BE"/>
    <w:rsid w:val="00D174C3"/>
    <w:rsid w:val="00D17564"/>
    <w:rsid w:val="00D1762D"/>
    <w:rsid w:val="00D17781"/>
    <w:rsid w:val="00D1782D"/>
    <w:rsid w:val="00D17856"/>
    <w:rsid w:val="00D17899"/>
    <w:rsid w:val="00D17932"/>
    <w:rsid w:val="00D17A03"/>
    <w:rsid w:val="00D17A2B"/>
    <w:rsid w:val="00D17AD4"/>
    <w:rsid w:val="00D17AE2"/>
    <w:rsid w:val="00D17BC1"/>
    <w:rsid w:val="00D17C2B"/>
    <w:rsid w:val="00D17CA6"/>
    <w:rsid w:val="00D17DE9"/>
    <w:rsid w:val="00D17E6B"/>
    <w:rsid w:val="00D17F9A"/>
    <w:rsid w:val="00D2004E"/>
    <w:rsid w:val="00D20083"/>
    <w:rsid w:val="00D200F8"/>
    <w:rsid w:val="00D202A4"/>
    <w:rsid w:val="00D2038D"/>
    <w:rsid w:val="00D203C5"/>
    <w:rsid w:val="00D2045D"/>
    <w:rsid w:val="00D204F3"/>
    <w:rsid w:val="00D20543"/>
    <w:rsid w:val="00D205B2"/>
    <w:rsid w:val="00D205B3"/>
    <w:rsid w:val="00D20611"/>
    <w:rsid w:val="00D207BD"/>
    <w:rsid w:val="00D207DC"/>
    <w:rsid w:val="00D207E3"/>
    <w:rsid w:val="00D207F8"/>
    <w:rsid w:val="00D208B6"/>
    <w:rsid w:val="00D208C6"/>
    <w:rsid w:val="00D208E2"/>
    <w:rsid w:val="00D2093E"/>
    <w:rsid w:val="00D209F3"/>
    <w:rsid w:val="00D20A22"/>
    <w:rsid w:val="00D20A2A"/>
    <w:rsid w:val="00D20B1F"/>
    <w:rsid w:val="00D20B31"/>
    <w:rsid w:val="00D20C70"/>
    <w:rsid w:val="00D20D04"/>
    <w:rsid w:val="00D20D8E"/>
    <w:rsid w:val="00D20D90"/>
    <w:rsid w:val="00D20F83"/>
    <w:rsid w:val="00D20F86"/>
    <w:rsid w:val="00D21104"/>
    <w:rsid w:val="00D2115D"/>
    <w:rsid w:val="00D211EB"/>
    <w:rsid w:val="00D21288"/>
    <w:rsid w:val="00D212DF"/>
    <w:rsid w:val="00D21392"/>
    <w:rsid w:val="00D21462"/>
    <w:rsid w:val="00D21526"/>
    <w:rsid w:val="00D21535"/>
    <w:rsid w:val="00D215C1"/>
    <w:rsid w:val="00D215CA"/>
    <w:rsid w:val="00D2169F"/>
    <w:rsid w:val="00D21732"/>
    <w:rsid w:val="00D21854"/>
    <w:rsid w:val="00D2188B"/>
    <w:rsid w:val="00D218E0"/>
    <w:rsid w:val="00D21998"/>
    <w:rsid w:val="00D21A08"/>
    <w:rsid w:val="00D21A4E"/>
    <w:rsid w:val="00D21AC2"/>
    <w:rsid w:val="00D21B24"/>
    <w:rsid w:val="00D21C35"/>
    <w:rsid w:val="00D21C44"/>
    <w:rsid w:val="00D21C6F"/>
    <w:rsid w:val="00D21C70"/>
    <w:rsid w:val="00D21D5C"/>
    <w:rsid w:val="00D21E5B"/>
    <w:rsid w:val="00D21F1B"/>
    <w:rsid w:val="00D21FD1"/>
    <w:rsid w:val="00D2201E"/>
    <w:rsid w:val="00D22066"/>
    <w:rsid w:val="00D22100"/>
    <w:rsid w:val="00D22152"/>
    <w:rsid w:val="00D2215B"/>
    <w:rsid w:val="00D22195"/>
    <w:rsid w:val="00D22207"/>
    <w:rsid w:val="00D22267"/>
    <w:rsid w:val="00D222FD"/>
    <w:rsid w:val="00D22377"/>
    <w:rsid w:val="00D223AD"/>
    <w:rsid w:val="00D22436"/>
    <w:rsid w:val="00D22478"/>
    <w:rsid w:val="00D2251D"/>
    <w:rsid w:val="00D22563"/>
    <w:rsid w:val="00D225DF"/>
    <w:rsid w:val="00D225F9"/>
    <w:rsid w:val="00D225FC"/>
    <w:rsid w:val="00D226A1"/>
    <w:rsid w:val="00D2273A"/>
    <w:rsid w:val="00D2276B"/>
    <w:rsid w:val="00D227A9"/>
    <w:rsid w:val="00D22CC6"/>
    <w:rsid w:val="00D22CDB"/>
    <w:rsid w:val="00D22CF6"/>
    <w:rsid w:val="00D22D7F"/>
    <w:rsid w:val="00D22DAE"/>
    <w:rsid w:val="00D22DE1"/>
    <w:rsid w:val="00D22E13"/>
    <w:rsid w:val="00D22E71"/>
    <w:rsid w:val="00D22EB4"/>
    <w:rsid w:val="00D22F29"/>
    <w:rsid w:val="00D23017"/>
    <w:rsid w:val="00D23044"/>
    <w:rsid w:val="00D230C4"/>
    <w:rsid w:val="00D2314B"/>
    <w:rsid w:val="00D23275"/>
    <w:rsid w:val="00D232B4"/>
    <w:rsid w:val="00D233EA"/>
    <w:rsid w:val="00D233FB"/>
    <w:rsid w:val="00D234FB"/>
    <w:rsid w:val="00D2350B"/>
    <w:rsid w:val="00D2350C"/>
    <w:rsid w:val="00D2352B"/>
    <w:rsid w:val="00D236B2"/>
    <w:rsid w:val="00D236F6"/>
    <w:rsid w:val="00D2371B"/>
    <w:rsid w:val="00D23950"/>
    <w:rsid w:val="00D239D0"/>
    <w:rsid w:val="00D23A0D"/>
    <w:rsid w:val="00D23A46"/>
    <w:rsid w:val="00D23B26"/>
    <w:rsid w:val="00D23B50"/>
    <w:rsid w:val="00D23BDF"/>
    <w:rsid w:val="00D23C38"/>
    <w:rsid w:val="00D23C65"/>
    <w:rsid w:val="00D23CE6"/>
    <w:rsid w:val="00D23F4D"/>
    <w:rsid w:val="00D23F59"/>
    <w:rsid w:val="00D240D5"/>
    <w:rsid w:val="00D24120"/>
    <w:rsid w:val="00D2414B"/>
    <w:rsid w:val="00D2417E"/>
    <w:rsid w:val="00D241CE"/>
    <w:rsid w:val="00D2424B"/>
    <w:rsid w:val="00D24295"/>
    <w:rsid w:val="00D24305"/>
    <w:rsid w:val="00D24363"/>
    <w:rsid w:val="00D243F4"/>
    <w:rsid w:val="00D24448"/>
    <w:rsid w:val="00D24497"/>
    <w:rsid w:val="00D244EA"/>
    <w:rsid w:val="00D244EE"/>
    <w:rsid w:val="00D2451E"/>
    <w:rsid w:val="00D24559"/>
    <w:rsid w:val="00D24598"/>
    <w:rsid w:val="00D245ED"/>
    <w:rsid w:val="00D24630"/>
    <w:rsid w:val="00D24647"/>
    <w:rsid w:val="00D24664"/>
    <w:rsid w:val="00D24687"/>
    <w:rsid w:val="00D246CC"/>
    <w:rsid w:val="00D24779"/>
    <w:rsid w:val="00D247CB"/>
    <w:rsid w:val="00D247F7"/>
    <w:rsid w:val="00D24873"/>
    <w:rsid w:val="00D248A5"/>
    <w:rsid w:val="00D24A18"/>
    <w:rsid w:val="00D24AB9"/>
    <w:rsid w:val="00D24B1C"/>
    <w:rsid w:val="00D24B1D"/>
    <w:rsid w:val="00D24B93"/>
    <w:rsid w:val="00D24BA6"/>
    <w:rsid w:val="00D24D28"/>
    <w:rsid w:val="00D24D51"/>
    <w:rsid w:val="00D24E93"/>
    <w:rsid w:val="00D24F53"/>
    <w:rsid w:val="00D24F9E"/>
    <w:rsid w:val="00D2508C"/>
    <w:rsid w:val="00D250AF"/>
    <w:rsid w:val="00D250E1"/>
    <w:rsid w:val="00D251AE"/>
    <w:rsid w:val="00D252B5"/>
    <w:rsid w:val="00D253A9"/>
    <w:rsid w:val="00D253AF"/>
    <w:rsid w:val="00D254B3"/>
    <w:rsid w:val="00D254CA"/>
    <w:rsid w:val="00D2550C"/>
    <w:rsid w:val="00D2550D"/>
    <w:rsid w:val="00D255F2"/>
    <w:rsid w:val="00D25686"/>
    <w:rsid w:val="00D2568D"/>
    <w:rsid w:val="00D256AE"/>
    <w:rsid w:val="00D256B0"/>
    <w:rsid w:val="00D2586D"/>
    <w:rsid w:val="00D258E7"/>
    <w:rsid w:val="00D258EA"/>
    <w:rsid w:val="00D25A74"/>
    <w:rsid w:val="00D25A93"/>
    <w:rsid w:val="00D25B82"/>
    <w:rsid w:val="00D25BAF"/>
    <w:rsid w:val="00D25BB8"/>
    <w:rsid w:val="00D25C07"/>
    <w:rsid w:val="00D25C0D"/>
    <w:rsid w:val="00D25C2D"/>
    <w:rsid w:val="00D25C33"/>
    <w:rsid w:val="00D25CA3"/>
    <w:rsid w:val="00D25DA5"/>
    <w:rsid w:val="00D25EA0"/>
    <w:rsid w:val="00D25EF4"/>
    <w:rsid w:val="00D25F1A"/>
    <w:rsid w:val="00D25F55"/>
    <w:rsid w:val="00D2604F"/>
    <w:rsid w:val="00D26087"/>
    <w:rsid w:val="00D260F5"/>
    <w:rsid w:val="00D26119"/>
    <w:rsid w:val="00D2628A"/>
    <w:rsid w:val="00D262F7"/>
    <w:rsid w:val="00D2633B"/>
    <w:rsid w:val="00D264D5"/>
    <w:rsid w:val="00D264E3"/>
    <w:rsid w:val="00D264F9"/>
    <w:rsid w:val="00D26564"/>
    <w:rsid w:val="00D265A1"/>
    <w:rsid w:val="00D26638"/>
    <w:rsid w:val="00D266A9"/>
    <w:rsid w:val="00D266B6"/>
    <w:rsid w:val="00D26767"/>
    <w:rsid w:val="00D267DE"/>
    <w:rsid w:val="00D26852"/>
    <w:rsid w:val="00D26878"/>
    <w:rsid w:val="00D26951"/>
    <w:rsid w:val="00D269E6"/>
    <w:rsid w:val="00D26AB2"/>
    <w:rsid w:val="00D26C28"/>
    <w:rsid w:val="00D26C7A"/>
    <w:rsid w:val="00D26CBA"/>
    <w:rsid w:val="00D26CFD"/>
    <w:rsid w:val="00D26D72"/>
    <w:rsid w:val="00D26E2E"/>
    <w:rsid w:val="00D26EF7"/>
    <w:rsid w:val="00D26F58"/>
    <w:rsid w:val="00D27076"/>
    <w:rsid w:val="00D27078"/>
    <w:rsid w:val="00D270C0"/>
    <w:rsid w:val="00D270D8"/>
    <w:rsid w:val="00D27135"/>
    <w:rsid w:val="00D27325"/>
    <w:rsid w:val="00D273A6"/>
    <w:rsid w:val="00D2740E"/>
    <w:rsid w:val="00D27457"/>
    <w:rsid w:val="00D27467"/>
    <w:rsid w:val="00D2746A"/>
    <w:rsid w:val="00D274AB"/>
    <w:rsid w:val="00D27511"/>
    <w:rsid w:val="00D27512"/>
    <w:rsid w:val="00D277A3"/>
    <w:rsid w:val="00D277AB"/>
    <w:rsid w:val="00D277D1"/>
    <w:rsid w:val="00D2789F"/>
    <w:rsid w:val="00D279D8"/>
    <w:rsid w:val="00D27B21"/>
    <w:rsid w:val="00D27B36"/>
    <w:rsid w:val="00D27D6F"/>
    <w:rsid w:val="00D27E93"/>
    <w:rsid w:val="00D27F9E"/>
    <w:rsid w:val="00D27FF0"/>
    <w:rsid w:val="00D3003F"/>
    <w:rsid w:val="00D3007D"/>
    <w:rsid w:val="00D30093"/>
    <w:rsid w:val="00D3011E"/>
    <w:rsid w:val="00D30172"/>
    <w:rsid w:val="00D30251"/>
    <w:rsid w:val="00D302C0"/>
    <w:rsid w:val="00D30305"/>
    <w:rsid w:val="00D3031F"/>
    <w:rsid w:val="00D30330"/>
    <w:rsid w:val="00D3039C"/>
    <w:rsid w:val="00D30430"/>
    <w:rsid w:val="00D30439"/>
    <w:rsid w:val="00D304FF"/>
    <w:rsid w:val="00D3051F"/>
    <w:rsid w:val="00D30536"/>
    <w:rsid w:val="00D305E7"/>
    <w:rsid w:val="00D306A9"/>
    <w:rsid w:val="00D306EA"/>
    <w:rsid w:val="00D3072C"/>
    <w:rsid w:val="00D3099D"/>
    <w:rsid w:val="00D30B50"/>
    <w:rsid w:val="00D30B80"/>
    <w:rsid w:val="00D30BDC"/>
    <w:rsid w:val="00D30D85"/>
    <w:rsid w:val="00D30DD0"/>
    <w:rsid w:val="00D30DDE"/>
    <w:rsid w:val="00D30E56"/>
    <w:rsid w:val="00D30FA5"/>
    <w:rsid w:val="00D31065"/>
    <w:rsid w:val="00D31090"/>
    <w:rsid w:val="00D311A9"/>
    <w:rsid w:val="00D3120D"/>
    <w:rsid w:val="00D31213"/>
    <w:rsid w:val="00D312DC"/>
    <w:rsid w:val="00D3137E"/>
    <w:rsid w:val="00D313A9"/>
    <w:rsid w:val="00D3142E"/>
    <w:rsid w:val="00D3146F"/>
    <w:rsid w:val="00D315A3"/>
    <w:rsid w:val="00D31641"/>
    <w:rsid w:val="00D3164C"/>
    <w:rsid w:val="00D3164F"/>
    <w:rsid w:val="00D316A4"/>
    <w:rsid w:val="00D316B9"/>
    <w:rsid w:val="00D317F4"/>
    <w:rsid w:val="00D31803"/>
    <w:rsid w:val="00D31880"/>
    <w:rsid w:val="00D31A35"/>
    <w:rsid w:val="00D31AD2"/>
    <w:rsid w:val="00D31ADE"/>
    <w:rsid w:val="00D31BBA"/>
    <w:rsid w:val="00D31BF9"/>
    <w:rsid w:val="00D31C61"/>
    <w:rsid w:val="00D31D12"/>
    <w:rsid w:val="00D31D98"/>
    <w:rsid w:val="00D31DF0"/>
    <w:rsid w:val="00D3200B"/>
    <w:rsid w:val="00D3201D"/>
    <w:rsid w:val="00D3217A"/>
    <w:rsid w:val="00D32376"/>
    <w:rsid w:val="00D32385"/>
    <w:rsid w:val="00D323C7"/>
    <w:rsid w:val="00D324BD"/>
    <w:rsid w:val="00D324F5"/>
    <w:rsid w:val="00D325FA"/>
    <w:rsid w:val="00D3260A"/>
    <w:rsid w:val="00D3265A"/>
    <w:rsid w:val="00D3265B"/>
    <w:rsid w:val="00D3266E"/>
    <w:rsid w:val="00D32749"/>
    <w:rsid w:val="00D327FA"/>
    <w:rsid w:val="00D3282B"/>
    <w:rsid w:val="00D328B5"/>
    <w:rsid w:val="00D328E2"/>
    <w:rsid w:val="00D32923"/>
    <w:rsid w:val="00D32A0E"/>
    <w:rsid w:val="00D32A5D"/>
    <w:rsid w:val="00D32C00"/>
    <w:rsid w:val="00D32C7F"/>
    <w:rsid w:val="00D32E83"/>
    <w:rsid w:val="00D32FF5"/>
    <w:rsid w:val="00D3312D"/>
    <w:rsid w:val="00D33131"/>
    <w:rsid w:val="00D333B6"/>
    <w:rsid w:val="00D33586"/>
    <w:rsid w:val="00D335C2"/>
    <w:rsid w:val="00D3366B"/>
    <w:rsid w:val="00D336A6"/>
    <w:rsid w:val="00D3387B"/>
    <w:rsid w:val="00D338BE"/>
    <w:rsid w:val="00D33949"/>
    <w:rsid w:val="00D33956"/>
    <w:rsid w:val="00D3397D"/>
    <w:rsid w:val="00D339E4"/>
    <w:rsid w:val="00D33A7F"/>
    <w:rsid w:val="00D33B99"/>
    <w:rsid w:val="00D33BA9"/>
    <w:rsid w:val="00D33BBA"/>
    <w:rsid w:val="00D33C25"/>
    <w:rsid w:val="00D33CCE"/>
    <w:rsid w:val="00D33D44"/>
    <w:rsid w:val="00D33DF6"/>
    <w:rsid w:val="00D33E25"/>
    <w:rsid w:val="00D33F1D"/>
    <w:rsid w:val="00D33F26"/>
    <w:rsid w:val="00D33FE5"/>
    <w:rsid w:val="00D33FF3"/>
    <w:rsid w:val="00D34077"/>
    <w:rsid w:val="00D340CC"/>
    <w:rsid w:val="00D340E5"/>
    <w:rsid w:val="00D3422D"/>
    <w:rsid w:val="00D34263"/>
    <w:rsid w:val="00D3430F"/>
    <w:rsid w:val="00D3439C"/>
    <w:rsid w:val="00D34405"/>
    <w:rsid w:val="00D34409"/>
    <w:rsid w:val="00D34430"/>
    <w:rsid w:val="00D34533"/>
    <w:rsid w:val="00D34678"/>
    <w:rsid w:val="00D346ED"/>
    <w:rsid w:val="00D3471C"/>
    <w:rsid w:val="00D3473D"/>
    <w:rsid w:val="00D34819"/>
    <w:rsid w:val="00D3482B"/>
    <w:rsid w:val="00D34863"/>
    <w:rsid w:val="00D349A9"/>
    <w:rsid w:val="00D34A0A"/>
    <w:rsid w:val="00D34A10"/>
    <w:rsid w:val="00D34A96"/>
    <w:rsid w:val="00D34B07"/>
    <w:rsid w:val="00D34C0A"/>
    <w:rsid w:val="00D34C64"/>
    <w:rsid w:val="00D34D48"/>
    <w:rsid w:val="00D34DB7"/>
    <w:rsid w:val="00D34F4E"/>
    <w:rsid w:val="00D34F92"/>
    <w:rsid w:val="00D35000"/>
    <w:rsid w:val="00D35096"/>
    <w:rsid w:val="00D351B0"/>
    <w:rsid w:val="00D351B5"/>
    <w:rsid w:val="00D351FB"/>
    <w:rsid w:val="00D3524C"/>
    <w:rsid w:val="00D35289"/>
    <w:rsid w:val="00D3529A"/>
    <w:rsid w:val="00D354E9"/>
    <w:rsid w:val="00D35583"/>
    <w:rsid w:val="00D3562B"/>
    <w:rsid w:val="00D356E5"/>
    <w:rsid w:val="00D356F2"/>
    <w:rsid w:val="00D35779"/>
    <w:rsid w:val="00D35850"/>
    <w:rsid w:val="00D35897"/>
    <w:rsid w:val="00D35956"/>
    <w:rsid w:val="00D35983"/>
    <w:rsid w:val="00D3598C"/>
    <w:rsid w:val="00D359C4"/>
    <w:rsid w:val="00D35A53"/>
    <w:rsid w:val="00D35B07"/>
    <w:rsid w:val="00D35B08"/>
    <w:rsid w:val="00D35B72"/>
    <w:rsid w:val="00D35B79"/>
    <w:rsid w:val="00D35BF0"/>
    <w:rsid w:val="00D35C02"/>
    <w:rsid w:val="00D35CBA"/>
    <w:rsid w:val="00D35CE6"/>
    <w:rsid w:val="00D35D36"/>
    <w:rsid w:val="00D35D47"/>
    <w:rsid w:val="00D35DD0"/>
    <w:rsid w:val="00D35F0B"/>
    <w:rsid w:val="00D35F3C"/>
    <w:rsid w:val="00D35F77"/>
    <w:rsid w:val="00D3604C"/>
    <w:rsid w:val="00D36098"/>
    <w:rsid w:val="00D363EF"/>
    <w:rsid w:val="00D36425"/>
    <w:rsid w:val="00D36558"/>
    <w:rsid w:val="00D36570"/>
    <w:rsid w:val="00D36577"/>
    <w:rsid w:val="00D365E0"/>
    <w:rsid w:val="00D3660B"/>
    <w:rsid w:val="00D367BF"/>
    <w:rsid w:val="00D3684E"/>
    <w:rsid w:val="00D36A56"/>
    <w:rsid w:val="00D36A58"/>
    <w:rsid w:val="00D36A73"/>
    <w:rsid w:val="00D36B04"/>
    <w:rsid w:val="00D36B14"/>
    <w:rsid w:val="00D36B6D"/>
    <w:rsid w:val="00D36BB2"/>
    <w:rsid w:val="00D36C4B"/>
    <w:rsid w:val="00D36C55"/>
    <w:rsid w:val="00D36CEA"/>
    <w:rsid w:val="00D36CED"/>
    <w:rsid w:val="00D36CFB"/>
    <w:rsid w:val="00D36D2C"/>
    <w:rsid w:val="00D36DB1"/>
    <w:rsid w:val="00D36DB4"/>
    <w:rsid w:val="00D36EEC"/>
    <w:rsid w:val="00D36F46"/>
    <w:rsid w:val="00D36FCF"/>
    <w:rsid w:val="00D3708B"/>
    <w:rsid w:val="00D3708E"/>
    <w:rsid w:val="00D370BB"/>
    <w:rsid w:val="00D3719F"/>
    <w:rsid w:val="00D37220"/>
    <w:rsid w:val="00D3723B"/>
    <w:rsid w:val="00D372BC"/>
    <w:rsid w:val="00D372C6"/>
    <w:rsid w:val="00D372F6"/>
    <w:rsid w:val="00D3732F"/>
    <w:rsid w:val="00D37338"/>
    <w:rsid w:val="00D3737F"/>
    <w:rsid w:val="00D37404"/>
    <w:rsid w:val="00D374F6"/>
    <w:rsid w:val="00D375A3"/>
    <w:rsid w:val="00D37613"/>
    <w:rsid w:val="00D3762B"/>
    <w:rsid w:val="00D37684"/>
    <w:rsid w:val="00D37734"/>
    <w:rsid w:val="00D377A0"/>
    <w:rsid w:val="00D37836"/>
    <w:rsid w:val="00D37868"/>
    <w:rsid w:val="00D37883"/>
    <w:rsid w:val="00D378D1"/>
    <w:rsid w:val="00D37931"/>
    <w:rsid w:val="00D3798B"/>
    <w:rsid w:val="00D37B7C"/>
    <w:rsid w:val="00D37B7D"/>
    <w:rsid w:val="00D37BB0"/>
    <w:rsid w:val="00D37BB7"/>
    <w:rsid w:val="00D37CD0"/>
    <w:rsid w:val="00D37CDE"/>
    <w:rsid w:val="00D37D44"/>
    <w:rsid w:val="00D37D4C"/>
    <w:rsid w:val="00D37EC0"/>
    <w:rsid w:val="00D37FAA"/>
    <w:rsid w:val="00D40056"/>
    <w:rsid w:val="00D400E6"/>
    <w:rsid w:val="00D4016C"/>
    <w:rsid w:val="00D4024C"/>
    <w:rsid w:val="00D4029A"/>
    <w:rsid w:val="00D402BA"/>
    <w:rsid w:val="00D4034B"/>
    <w:rsid w:val="00D404AC"/>
    <w:rsid w:val="00D40773"/>
    <w:rsid w:val="00D40807"/>
    <w:rsid w:val="00D4081B"/>
    <w:rsid w:val="00D4081C"/>
    <w:rsid w:val="00D40848"/>
    <w:rsid w:val="00D4087A"/>
    <w:rsid w:val="00D40960"/>
    <w:rsid w:val="00D409AD"/>
    <w:rsid w:val="00D40A34"/>
    <w:rsid w:val="00D40A56"/>
    <w:rsid w:val="00D40AB7"/>
    <w:rsid w:val="00D40BCA"/>
    <w:rsid w:val="00D40C75"/>
    <w:rsid w:val="00D40DB4"/>
    <w:rsid w:val="00D40E06"/>
    <w:rsid w:val="00D40E24"/>
    <w:rsid w:val="00D40E55"/>
    <w:rsid w:val="00D40EB3"/>
    <w:rsid w:val="00D40F0B"/>
    <w:rsid w:val="00D40F50"/>
    <w:rsid w:val="00D40FA9"/>
    <w:rsid w:val="00D410E8"/>
    <w:rsid w:val="00D41185"/>
    <w:rsid w:val="00D411ED"/>
    <w:rsid w:val="00D411FB"/>
    <w:rsid w:val="00D412FB"/>
    <w:rsid w:val="00D41316"/>
    <w:rsid w:val="00D41354"/>
    <w:rsid w:val="00D41360"/>
    <w:rsid w:val="00D4145C"/>
    <w:rsid w:val="00D41538"/>
    <w:rsid w:val="00D4155E"/>
    <w:rsid w:val="00D4157F"/>
    <w:rsid w:val="00D415AB"/>
    <w:rsid w:val="00D41615"/>
    <w:rsid w:val="00D41719"/>
    <w:rsid w:val="00D41939"/>
    <w:rsid w:val="00D41A4B"/>
    <w:rsid w:val="00D41A70"/>
    <w:rsid w:val="00D41ADB"/>
    <w:rsid w:val="00D41B90"/>
    <w:rsid w:val="00D41BC7"/>
    <w:rsid w:val="00D41C1A"/>
    <w:rsid w:val="00D41C46"/>
    <w:rsid w:val="00D41C74"/>
    <w:rsid w:val="00D41C88"/>
    <w:rsid w:val="00D41C8E"/>
    <w:rsid w:val="00D41E4F"/>
    <w:rsid w:val="00D41EBE"/>
    <w:rsid w:val="00D41F31"/>
    <w:rsid w:val="00D41F38"/>
    <w:rsid w:val="00D42026"/>
    <w:rsid w:val="00D4204C"/>
    <w:rsid w:val="00D42053"/>
    <w:rsid w:val="00D42092"/>
    <w:rsid w:val="00D420DA"/>
    <w:rsid w:val="00D42104"/>
    <w:rsid w:val="00D42181"/>
    <w:rsid w:val="00D42289"/>
    <w:rsid w:val="00D422D5"/>
    <w:rsid w:val="00D4277D"/>
    <w:rsid w:val="00D42785"/>
    <w:rsid w:val="00D428BF"/>
    <w:rsid w:val="00D428C4"/>
    <w:rsid w:val="00D42A08"/>
    <w:rsid w:val="00D42A0E"/>
    <w:rsid w:val="00D42A61"/>
    <w:rsid w:val="00D42AA0"/>
    <w:rsid w:val="00D42B3F"/>
    <w:rsid w:val="00D42B61"/>
    <w:rsid w:val="00D42C32"/>
    <w:rsid w:val="00D42C93"/>
    <w:rsid w:val="00D42CB7"/>
    <w:rsid w:val="00D42D6D"/>
    <w:rsid w:val="00D42D80"/>
    <w:rsid w:val="00D42DE2"/>
    <w:rsid w:val="00D42F12"/>
    <w:rsid w:val="00D430E9"/>
    <w:rsid w:val="00D43114"/>
    <w:rsid w:val="00D43210"/>
    <w:rsid w:val="00D43211"/>
    <w:rsid w:val="00D43223"/>
    <w:rsid w:val="00D432A4"/>
    <w:rsid w:val="00D43328"/>
    <w:rsid w:val="00D433DD"/>
    <w:rsid w:val="00D4343E"/>
    <w:rsid w:val="00D4353B"/>
    <w:rsid w:val="00D43635"/>
    <w:rsid w:val="00D4366C"/>
    <w:rsid w:val="00D4366E"/>
    <w:rsid w:val="00D4373F"/>
    <w:rsid w:val="00D43808"/>
    <w:rsid w:val="00D43981"/>
    <w:rsid w:val="00D43B0F"/>
    <w:rsid w:val="00D43B53"/>
    <w:rsid w:val="00D43B9F"/>
    <w:rsid w:val="00D43C35"/>
    <w:rsid w:val="00D43C74"/>
    <w:rsid w:val="00D43C99"/>
    <w:rsid w:val="00D43CA8"/>
    <w:rsid w:val="00D43E44"/>
    <w:rsid w:val="00D43EE8"/>
    <w:rsid w:val="00D43F2C"/>
    <w:rsid w:val="00D43FA2"/>
    <w:rsid w:val="00D4401D"/>
    <w:rsid w:val="00D44042"/>
    <w:rsid w:val="00D44148"/>
    <w:rsid w:val="00D44161"/>
    <w:rsid w:val="00D441BB"/>
    <w:rsid w:val="00D44247"/>
    <w:rsid w:val="00D44281"/>
    <w:rsid w:val="00D4432E"/>
    <w:rsid w:val="00D44333"/>
    <w:rsid w:val="00D444F4"/>
    <w:rsid w:val="00D44566"/>
    <w:rsid w:val="00D44614"/>
    <w:rsid w:val="00D44653"/>
    <w:rsid w:val="00D44673"/>
    <w:rsid w:val="00D446C9"/>
    <w:rsid w:val="00D447C2"/>
    <w:rsid w:val="00D447F6"/>
    <w:rsid w:val="00D4486D"/>
    <w:rsid w:val="00D4487B"/>
    <w:rsid w:val="00D44902"/>
    <w:rsid w:val="00D44AB0"/>
    <w:rsid w:val="00D44D9A"/>
    <w:rsid w:val="00D44DF5"/>
    <w:rsid w:val="00D44E02"/>
    <w:rsid w:val="00D44E4E"/>
    <w:rsid w:val="00D44EF2"/>
    <w:rsid w:val="00D44F9D"/>
    <w:rsid w:val="00D44FB7"/>
    <w:rsid w:val="00D44FE4"/>
    <w:rsid w:val="00D45070"/>
    <w:rsid w:val="00D45234"/>
    <w:rsid w:val="00D45487"/>
    <w:rsid w:val="00D454B9"/>
    <w:rsid w:val="00D454D6"/>
    <w:rsid w:val="00D45505"/>
    <w:rsid w:val="00D455B5"/>
    <w:rsid w:val="00D455F5"/>
    <w:rsid w:val="00D45753"/>
    <w:rsid w:val="00D457F4"/>
    <w:rsid w:val="00D45825"/>
    <w:rsid w:val="00D45854"/>
    <w:rsid w:val="00D458A0"/>
    <w:rsid w:val="00D45A12"/>
    <w:rsid w:val="00D45CA2"/>
    <w:rsid w:val="00D45CC7"/>
    <w:rsid w:val="00D45CE4"/>
    <w:rsid w:val="00D45DD6"/>
    <w:rsid w:val="00D45DE5"/>
    <w:rsid w:val="00D45EFC"/>
    <w:rsid w:val="00D45F12"/>
    <w:rsid w:val="00D45F41"/>
    <w:rsid w:val="00D45FED"/>
    <w:rsid w:val="00D460CA"/>
    <w:rsid w:val="00D4625C"/>
    <w:rsid w:val="00D4627B"/>
    <w:rsid w:val="00D462AE"/>
    <w:rsid w:val="00D462C9"/>
    <w:rsid w:val="00D463CF"/>
    <w:rsid w:val="00D46434"/>
    <w:rsid w:val="00D46437"/>
    <w:rsid w:val="00D46446"/>
    <w:rsid w:val="00D464E9"/>
    <w:rsid w:val="00D46542"/>
    <w:rsid w:val="00D46613"/>
    <w:rsid w:val="00D466D0"/>
    <w:rsid w:val="00D466EC"/>
    <w:rsid w:val="00D46786"/>
    <w:rsid w:val="00D46824"/>
    <w:rsid w:val="00D46842"/>
    <w:rsid w:val="00D469BC"/>
    <w:rsid w:val="00D46A0F"/>
    <w:rsid w:val="00D46C41"/>
    <w:rsid w:val="00D46C4D"/>
    <w:rsid w:val="00D46CA7"/>
    <w:rsid w:val="00D46D80"/>
    <w:rsid w:val="00D46D84"/>
    <w:rsid w:val="00D46D8E"/>
    <w:rsid w:val="00D46E8F"/>
    <w:rsid w:val="00D4707A"/>
    <w:rsid w:val="00D470CC"/>
    <w:rsid w:val="00D470DF"/>
    <w:rsid w:val="00D4721C"/>
    <w:rsid w:val="00D4725E"/>
    <w:rsid w:val="00D4729B"/>
    <w:rsid w:val="00D4733C"/>
    <w:rsid w:val="00D47376"/>
    <w:rsid w:val="00D4738D"/>
    <w:rsid w:val="00D47404"/>
    <w:rsid w:val="00D474AE"/>
    <w:rsid w:val="00D474C6"/>
    <w:rsid w:val="00D474DB"/>
    <w:rsid w:val="00D47625"/>
    <w:rsid w:val="00D4767C"/>
    <w:rsid w:val="00D47834"/>
    <w:rsid w:val="00D4799D"/>
    <w:rsid w:val="00D479E4"/>
    <w:rsid w:val="00D47A92"/>
    <w:rsid w:val="00D47AD0"/>
    <w:rsid w:val="00D47B44"/>
    <w:rsid w:val="00D47BA1"/>
    <w:rsid w:val="00D47BBD"/>
    <w:rsid w:val="00D47C68"/>
    <w:rsid w:val="00D47C6E"/>
    <w:rsid w:val="00D47E10"/>
    <w:rsid w:val="00D47F0D"/>
    <w:rsid w:val="00D47FAF"/>
    <w:rsid w:val="00D50008"/>
    <w:rsid w:val="00D50032"/>
    <w:rsid w:val="00D50057"/>
    <w:rsid w:val="00D500F7"/>
    <w:rsid w:val="00D50437"/>
    <w:rsid w:val="00D5044E"/>
    <w:rsid w:val="00D5046D"/>
    <w:rsid w:val="00D50558"/>
    <w:rsid w:val="00D50655"/>
    <w:rsid w:val="00D50673"/>
    <w:rsid w:val="00D50725"/>
    <w:rsid w:val="00D5078B"/>
    <w:rsid w:val="00D50826"/>
    <w:rsid w:val="00D5085C"/>
    <w:rsid w:val="00D5086F"/>
    <w:rsid w:val="00D50917"/>
    <w:rsid w:val="00D50AEF"/>
    <w:rsid w:val="00D50B71"/>
    <w:rsid w:val="00D50BAC"/>
    <w:rsid w:val="00D50C0B"/>
    <w:rsid w:val="00D50C1C"/>
    <w:rsid w:val="00D50C76"/>
    <w:rsid w:val="00D50CDB"/>
    <w:rsid w:val="00D50DE5"/>
    <w:rsid w:val="00D50E1A"/>
    <w:rsid w:val="00D50E39"/>
    <w:rsid w:val="00D50E99"/>
    <w:rsid w:val="00D50EB5"/>
    <w:rsid w:val="00D51034"/>
    <w:rsid w:val="00D51077"/>
    <w:rsid w:val="00D51134"/>
    <w:rsid w:val="00D511DD"/>
    <w:rsid w:val="00D51243"/>
    <w:rsid w:val="00D51289"/>
    <w:rsid w:val="00D5132A"/>
    <w:rsid w:val="00D51373"/>
    <w:rsid w:val="00D513B4"/>
    <w:rsid w:val="00D513DC"/>
    <w:rsid w:val="00D513EE"/>
    <w:rsid w:val="00D5147F"/>
    <w:rsid w:val="00D514BD"/>
    <w:rsid w:val="00D5152E"/>
    <w:rsid w:val="00D515C1"/>
    <w:rsid w:val="00D51633"/>
    <w:rsid w:val="00D516EB"/>
    <w:rsid w:val="00D517BA"/>
    <w:rsid w:val="00D5188A"/>
    <w:rsid w:val="00D518A7"/>
    <w:rsid w:val="00D51944"/>
    <w:rsid w:val="00D51961"/>
    <w:rsid w:val="00D5198D"/>
    <w:rsid w:val="00D519C6"/>
    <w:rsid w:val="00D51A4D"/>
    <w:rsid w:val="00D51B04"/>
    <w:rsid w:val="00D51B64"/>
    <w:rsid w:val="00D51CBA"/>
    <w:rsid w:val="00D51CCB"/>
    <w:rsid w:val="00D51CEC"/>
    <w:rsid w:val="00D51D2A"/>
    <w:rsid w:val="00D51EC2"/>
    <w:rsid w:val="00D51F05"/>
    <w:rsid w:val="00D5201A"/>
    <w:rsid w:val="00D52289"/>
    <w:rsid w:val="00D52299"/>
    <w:rsid w:val="00D5232D"/>
    <w:rsid w:val="00D52341"/>
    <w:rsid w:val="00D52351"/>
    <w:rsid w:val="00D524FC"/>
    <w:rsid w:val="00D5251E"/>
    <w:rsid w:val="00D52579"/>
    <w:rsid w:val="00D52598"/>
    <w:rsid w:val="00D525D1"/>
    <w:rsid w:val="00D5261B"/>
    <w:rsid w:val="00D52622"/>
    <w:rsid w:val="00D526A3"/>
    <w:rsid w:val="00D526FD"/>
    <w:rsid w:val="00D52710"/>
    <w:rsid w:val="00D5276F"/>
    <w:rsid w:val="00D527A6"/>
    <w:rsid w:val="00D527BE"/>
    <w:rsid w:val="00D527F0"/>
    <w:rsid w:val="00D52826"/>
    <w:rsid w:val="00D52847"/>
    <w:rsid w:val="00D528B6"/>
    <w:rsid w:val="00D528DF"/>
    <w:rsid w:val="00D52921"/>
    <w:rsid w:val="00D52969"/>
    <w:rsid w:val="00D52975"/>
    <w:rsid w:val="00D529B0"/>
    <w:rsid w:val="00D52A0D"/>
    <w:rsid w:val="00D52A18"/>
    <w:rsid w:val="00D52A29"/>
    <w:rsid w:val="00D52AE1"/>
    <w:rsid w:val="00D52DCD"/>
    <w:rsid w:val="00D52E29"/>
    <w:rsid w:val="00D52E3B"/>
    <w:rsid w:val="00D53100"/>
    <w:rsid w:val="00D53141"/>
    <w:rsid w:val="00D5320A"/>
    <w:rsid w:val="00D534C9"/>
    <w:rsid w:val="00D534D5"/>
    <w:rsid w:val="00D535F6"/>
    <w:rsid w:val="00D53683"/>
    <w:rsid w:val="00D53725"/>
    <w:rsid w:val="00D53781"/>
    <w:rsid w:val="00D53800"/>
    <w:rsid w:val="00D53866"/>
    <w:rsid w:val="00D538AF"/>
    <w:rsid w:val="00D53916"/>
    <w:rsid w:val="00D539B6"/>
    <w:rsid w:val="00D53ABB"/>
    <w:rsid w:val="00D53BDD"/>
    <w:rsid w:val="00D53BE2"/>
    <w:rsid w:val="00D53CDE"/>
    <w:rsid w:val="00D53D3F"/>
    <w:rsid w:val="00D53D43"/>
    <w:rsid w:val="00D53D9F"/>
    <w:rsid w:val="00D53DC3"/>
    <w:rsid w:val="00D53DEA"/>
    <w:rsid w:val="00D53E12"/>
    <w:rsid w:val="00D53EBF"/>
    <w:rsid w:val="00D53EE6"/>
    <w:rsid w:val="00D53F0B"/>
    <w:rsid w:val="00D5413F"/>
    <w:rsid w:val="00D541D7"/>
    <w:rsid w:val="00D5422D"/>
    <w:rsid w:val="00D543A2"/>
    <w:rsid w:val="00D544D9"/>
    <w:rsid w:val="00D544F7"/>
    <w:rsid w:val="00D545E1"/>
    <w:rsid w:val="00D54621"/>
    <w:rsid w:val="00D5464A"/>
    <w:rsid w:val="00D546A0"/>
    <w:rsid w:val="00D546B1"/>
    <w:rsid w:val="00D546DC"/>
    <w:rsid w:val="00D54863"/>
    <w:rsid w:val="00D54875"/>
    <w:rsid w:val="00D54892"/>
    <w:rsid w:val="00D548B4"/>
    <w:rsid w:val="00D549E0"/>
    <w:rsid w:val="00D54B00"/>
    <w:rsid w:val="00D54D7F"/>
    <w:rsid w:val="00D54DD7"/>
    <w:rsid w:val="00D54EDB"/>
    <w:rsid w:val="00D55113"/>
    <w:rsid w:val="00D55180"/>
    <w:rsid w:val="00D552D9"/>
    <w:rsid w:val="00D552E0"/>
    <w:rsid w:val="00D553A4"/>
    <w:rsid w:val="00D553B8"/>
    <w:rsid w:val="00D55419"/>
    <w:rsid w:val="00D554FF"/>
    <w:rsid w:val="00D55690"/>
    <w:rsid w:val="00D556B4"/>
    <w:rsid w:val="00D556D4"/>
    <w:rsid w:val="00D556E9"/>
    <w:rsid w:val="00D55778"/>
    <w:rsid w:val="00D558D0"/>
    <w:rsid w:val="00D55A1D"/>
    <w:rsid w:val="00D55BAF"/>
    <w:rsid w:val="00D55CDF"/>
    <w:rsid w:val="00D55D78"/>
    <w:rsid w:val="00D55DAA"/>
    <w:rsid w:val="00D55DC7"/>
    <w:rsid w:val="00D55E09"/>
    <w:rsid w:val="00D55E0E"/>
    <w:rsid w:val="00D55EC0"/>
    <w:rsid w:val="00D55F17"/>
    <w:rsid w:val="00D56035"/>
    <w:rsid w:val="00D56187"/>
    <w:rsid w:val="00D561CA"/>
    <w:rsid w:val="00D56222"/>
    <w:rsid w:val="00D56240"/>
    <w:rsid w:val="00D562FA"/>
    <w:rsid w:val="00D5633B"/>
    <w:rsid w:val="00D5641A"/>
    <w:rsid w:val="00D5646D"/>
    <w:rsid w:val="00D5663F"/>
    <w:rsid w:val="00D5670D"/>
    <w:rsid w:val="00D5675B"/>
    <w:rsid w:val="00D5675F"/>
    <w:rsid w:val="00D56808"/>
    <w:rsid w:val="00D568A6"/>
    <w:rsid w:val="00D568F6"/>
    <w:rsid w:val="00D5692B"/>
    <w:rsid w:val="00D56A14"/>
    <w:rsid w:val="00D56A1D"/>
    <w:rsid w:val="00D56A4C"/>
    <w:rsid w:val="00D56A66"/>
    <w:rsid w:val="00D56AD6"/>
    <w:rsid w:val="00D56AD9"/>
    <w:rsid w:val="00D56AEB"/>
    <w:rsid w:val="00D56BE1"/>
    <w:rsid w:val="00D56BF9"/>
    <w:rsid w:val="00D56C52"/>
    <w:rsid w:val="00D56C66"/>
    <w:rsid w:val="00D56E44"/>
    <w:rsid w:val="00D56F4C"/>
    <w:rsid w:val="00D56F4D"/>
    <w:rsid w:val="00D57074"/>
    <w:rsid w:val="00D57113"/>
    <w:rsid w:val="00D57178"/>
    <w:rsid w:val="00D571D0"/>
    <w:rsid w:val="00D572BB"/>
    <w:rsid w:val="00D572F2"/>
    <w:rsid w:val="00D57310"/>
    <w:rsid w:val="00D5735A"/>
    <w:rsid w:val="00D57367"/>
    <w:rsid w:val="00D5737E"/>
    <w:rsid w:val="00D573F3"/>
    <w:rsid w:val="00D5745F"/>
    <w:rsid w:val="00D57473"/>
    <w:rsid w:val="00D574A9"/>
    <w:rsid w:val="00D57508"/>
    <w:rsid w:val="00D57509"/>
    <w:rsid w:val="00D5751D"/>
    <w:rsid w:val="00D575F5"/>
    <w:rsid w:val="00D57661"/>
    <w:rsid w:val="00D57951"/>
    <w:rsid w:val="00D579FF"/>
    <w:rsid w:val="00D57A19"/>
    <w:rsid w:val="00D57B27"/>
    <w:rsid w:val="00D57B71"/>
    <w:rsid w:val="00D57B86"/>
    <w:rsid w:val="00D57C51"/>
    <w:rsid w:val="00D57CCB"/>
    <w:rsid w:val="00D57D03"/>
    <w:rsid w:val="00D57D13"/>
    <w:rsid w:val="00D57E66"/>
    <w:rsid w:val="00D57E9C"/>
    <w:rsid w:val="00D57F0F"/>
    <w:rsid w:val="00D57F9F"/>
    <w:rsid w:val="00D60069"/>
    <w:rsid w:val="00D600A7"/>
    <w:rsid w:val="00D600C9"/>
    <w:rsid w:val="00D601A4"/>
    <w:rsid w:val="00D601B7"/>
    <w:rsid w:val="00D6031B"/>
    <w:rsid w:val="00D60403"/>
    <w:rsid w:val="00D60475"/>
    <w:rsid w:val="00D60550"/>
    <w:rsid w:val="00D6056D"/>
    <w:rsid w:val="00D6059A"/>
    <w:rsid w:val="00D606B1"/>
    <w:rsid w:val="00D607D8"/>
    <w:rsid w:val="00D608AF"/>
    <w:rsid w:val="00D608F4"/>
    <w:rsid w:val="00D60925"/>
    <w:rsid w:val="00D60974"/>
    <w:rsid w:val="00D60A11"/>
    <w:rsid w:val="00D60A4F"/>
    <w:rsid w:val="00D60ABB"/>
    <w:rsid w:val="00D60BE1"/>
    <w:rsid w:val="00D60BF5"/>
    <w:rsid w:val="00D60C2A"/>
    <w:rsid w:val="00D60C4D"/>
    <w:rsid w:val="00D60CC1"/>
    <w:rsid w:val="00D60CC8"/>
    <w:rsid w:val="00D60DAE"/>
    <w:rsid w:val="00D60DCC"/>
    <w:rsid w:val="00D60E17"/>
    <w:rsid w:val="00D60EB3"/>
    <w:rsid w:val="00D60FFE"/>
    <w:rsid w:val="00D610CC"/>
    <w:rsid w:val="00D61195"/>
    <w:rsid w:val="00D6121E"/>
    <w:rsid w:val="00D6126A"/>
    <w:rsid w:val="00D6135E"/>
    <w:rsid w:val="00D614C1"/>
    <w:rsid w:val="00D6168B"/>
    <w:rsid w:val="00D616D1"/>
    <w:rsid w:val="00D61A07"/>
    <w:rsid w:val="00D61A24"/>
    <w:rsid w:val="00D61A83"/>
    <w:rsid w:val="00D61BA4"/>
    <w:rsid w:val="00D61BBC"/>
    <w:rsid w:val="00D61BCB"/>
    <w:rsid w:val="00D61C48"/>
    <w:rsid w:val="00D61DC9"/>
    <w:rsid w:val="00D61EA8"/>
    <w:rsid w:val="00D61F3B"/>
    <w:rsid w:val="00D61FA4"/>
    <w:rsid w:val="00D61FC0"/>
    <w:rsid w:val="00D62057"/>
    <w:rsid w:val="00D6205A"/>
    <w:rsid w:val="00D62124"/>
    <w:rsid w:val="00D62171"/>
    <w:rsid w:val="00D622C0"/>
    <w:rsid w:val="00D622CD"/>
    <w:rsid w:val="00D62362"/>
    <w:rsid w:val="00D623A5"/>
    <w:rsid w:val="00D62466"/>
    <w:rsid w:val="00D62474"/>
    <w:rsid w:val="00D624CC"/>
    <w:rsid w:val="00D6263B"/>
    <w:rsid w:val="00D627EE"/>
    <w:rsid w:val="00D62822"/>
    <w:rsid w:val="00D62841"/>
    <w:rsid w:val="00D62948"/>
    <w:rsid w:val="00D6295A"/>
    <w:rsid w:val="00D62BB3"/>
    <w:rsid w:val="00D62BDE"/>
    <w:rsid w:val="00D62C5B"/>
    <w:rsid w:val="00D62CED"/>
    <w:rsid w:val="00D62D48"/>
    <w:rsid w:val="00D62E8E"/>
    <w:rsid w:val="00D62E8F"/>
    <w:rsid w:val="00D62EC6"/>
    <w:rsid w:val="00D62F2B"/>
    <w:rsid w:val="00D62F5E"/>
    <w:rsid w:val="00D62FA8"/>
    <w:rsid w:val="00D62FF7"/>
    <w:rsid w:val="00D6300F"/>
    <w:rsid w:val="00D63026"/>
    <w:rsid w:val="00D6303C"/>
    <w:rsid w:val="00D630C7"/>
    <w:rsid w:val="00D6310C"/>
    <w:rsid w:val="00D63132"/>
    <w:rsid w:val="00D631F4"/>
    <w:rsid w:val="00D63382"/>
    <w:rsid w:val="00D633B3"/>
    <w:rsid w:val="00D6340B"/>
    <w:rsid w:val="00D63563"/>
    <w:rsid w:val="00D63572"/>
    <w:rsid w:val="00D6362E"/>
    <w:rsid w:val="00D63661"/>
    <w:rsid w:val="00D63666"/>
    <w:rsid w:val="00D638A2"/>
    <w:rsid w:val="00D638AD"/>
    <w:rsid w:val="00D6396F"/>
    <w:rsid w:val="00D63A8A"/>
    <w:rsid w:val="00D63AEB"/>
    <w:rsid w:val="00D63B81"/>
    <w:rsid w:val="00D63C4E"/>
    <w:rsid w:val="00D63D07"/>
    <w:rsid w:val="00D63DA6"/>
    <w:rsid w:val="00D63F3B"/>
    <w:rsid w:val="00D63FF8"/>
    <w:rsid w:val="00D64140"/>
    <w:rsid w:val="00D64162"/>
    <w:rsid w:val="00D64223"/>
    <w:rsid w:val="00D64277"/>
    <w:rsid w:val="00D64353"/>
    <w:rsid w:val="00D64380"/>
    <w:rsid w:val="00D643E1"/>
    <w:rsid w:val="00D643EB"/>
    <w:rsid w:val="00D64419"/>
    <w:rsid w:val="00D644B7"/>
    <w:rsid w:val="00D644DF"/>
    <w:rsid w:val="00D6450D"/>
    <w:rsid w:val="00D64532"/>
    <w:rsid w:val="00D64543"/>
    <w:rsid w:val="00D64632"/>
    <w:rsid w:val="00D6468F"/>
    <w:rsid w:val="00D646C4"/>
    <w:rsid w:val="00D646ED"/>
    <w:rsid w:val="00D64727"/>
    <w:rsid w:val="00D64775"/>
    <w:rsid w:val="00D64776"/>
    <w:rsid w:val="00D647F1"/>
    <w:rsid w:val="00D6480B"/>
    <w:rsid w:val="00D64811"/>
    <w:rsid w:val="00D6484E"/>
    <w:rsid w:val="00D64870"/>
    <w:rsid w:val="00D64875"/>
    <w:rsid w:val="00D64A05"/>
    <w:rsid w:val="00D64A35"/>
    <w:rsid w:val="00D64A56"/>
    <w:rsid w:val="00D64AF4"/>
    <w:rsid w:val="00D64B05"/>
    <w:rsid w:val="00D64B3C"/>
    <w:rsid w:val="00D64B7D"/>
    <w:rsid w:val="00D64C71"/>
    <w:rsid w:val="00D64D25"/>
    <w:rsid w:val="00D64DBF"/>
    <w:rsid w:val="00D64E34"/>
    <w:rsid w:val="00D64E5F"/>
    <w:rsid w:val="00D64F04"/>
    <w:rsid w:val="00D64F38"/>
    <w:rsid w:val="00D64F90"/>
    <w:rsid w:val="00D6504D"/>
    <w:rsid w:val="00D650AE"/>
    <w:rsid w:val="00D6517B"/>
    <w:rsid w:val="00D6529A"/>
    <w:rsid w:val="00D652A6"/>
    <w:rsid w:val="00D652B8"/>
    <w:rsid w:val="00D65329"/>
    <w:rsid w:val="00D65390"/>
    <w:rsid w:val="00D65419"/>
    <w:rsid w:val="00D6548D"/>
    <w:rsid w:val="00D65625"/>
    <w:rsid w:val="00D6577F"/>
    <w:rsid w:val="00D65808"/>
    <w:rsid w:val="00D65ADE"/>
    <w:rsid w:val="00D65B10"/>
    <w:rsid w:val="00D65B82"/>
    <w:rsid w:val="00D65BBE"/>
    <w:rsid w:val="00D65BE4"/>
    <w:rsid w:val="00D65CAE"/>
    <w:rsid w:val="00D65CD5"/>
    <w:rsid w:val="00D65E18"/>
    <w:rsid w:val="00D65EAE"/>
    <w:rsid w:val="00D65F52"/>
    <w:rsid w:val="00D65F64"/>
    <w:rsid w:val="00D65FD1"/>
    <w:rsid w:val="00D660A6"/>
    <w:rsid w:val="00D66100"/>
    <w:rsid w:val="00D66165"/>
    <w:rsid w:val="00D661F5"/>
    <w:rsid w:val="00D661F6"/>
    <w:rsid w:val="00D6636E"/>
    <w:rsid w:val="00D663A8"/>
    <w:rsid w:val="00D66537"/>
    <w:rsid w:val="00D665E0"/>
    <w:rsid w:val="00D666AD"/>
    <w:rsid w:val="00D667DD"/>
    <w:rsid w:val="00D6689E"/>
    <w:rsid w:val="00D6697D"/>
    <w:rsid w:val="00D669B2"/>
    <w:rsid w:val="00D669DF"/>
    <w:rsid w:val="00D66A40"/>
    <w:rsid w:val="00D66AAD"/>
    <w:rsid w:val="00D66B03"/>
    <w:rsid w:val="00D66B0F"/>
    <w:rsid w:val="00D66B3A"/>
    <w:rsid w:val="00D66BBD"/>
    <w:rsid w:val="00D66BC2"/>
    <w:rsid w:val="00D66BF6"/>
    <w:rsid w:val="00D66C30"/>
    <w:rsid w:val="00D66C40"/>
    <w:rsid w:val="00D66C7C"/>
    <w:rsid w:val="00D66DC4"/>
    <w:rsid w:val="00D66DF8"/>
    <w:rsid w:val="00D66E18"/>
    <w:rsid w:val="00D66F4E"/>
    <w:rsid w:val="00D66FDF"/>
    <w:rsid w:val="00D6704B"/>
    <w:rsid w:val="00D6706E"/>
    <w:rsid w:val="00D67075"/>
    <w:rsid w:val="00D670A7"/>
    <w:rsid w:val="00D67177"/>
    <w:rsid w:val="00D671FF"/>
    <w:rsid w:val="00D6720F"/>
    <w:rsid w:val="00D67341"/>
    <w:rsid w:val="00D674FE"/>
    <w:rsid w:val="00D67626"/>
    <w:rsid w:val="00D677CB"/>
    <w:rsid w:val="00D6781E"/>
    <w:rsid w:val="00D678CF"/>
    <w:rsid w:val="00D678FF"/>
    <w:rsid w:val="00D67AC5"/>
    <w:rsid w:val="00D67AC6"/>
    <w:rsid w:val="00D67B19"/>
    <w:rsid w:val="00D67C4D"/>
    <w:rsid w:val="00D67CD8"/>
    <w:rsid w:val="00D67E57"/>
    <w:rsid w:val="00D67E83"/>
    <w:rsid w:val="00D67F07"/>
    <w:rsid w:val="00D67F22"/>
    <w:rsid w:val="00D67F9D"/>
    <w:rsid w:val="00D7001D"/>
    <w:rsid w:val="00D7007D"/>
    <w:rsid w:val="00D7011A"/>
    <w:rsid w:val="00D7011B"/>
    <w:rsid w:val="00D70123"/>
    <w:rsid w:val="00D70190"/>
    <w:rsid w:val="00D701CF"/>
    <w:rsid w:val="00D7023B"/>
    <w:rsid w:val="00D70254"/>
    <w:rsid w:val="00D702BC"/>
    <w:rsid w:val="00D702F7"/>
    <w:rsid w:val="00D70424"/>
    <w:rsid w:val="00D7044F"/>
    <w:rsid w:val="00D704B2"/>
    <w:rsid w:val="00D7052B"/>
    <w:rsid w:val="00D70575"/>
    <w:rsid w:val="00D70597"/>
    <w:rsid w:val="00D705B6"/>
    <w:rsid w:val="00D705DC"/>
    <w:rsid w:val="00D705F7"/>
    <w:rsid w:val="00D7065C"/>
    <w:rsid w:val="00D706B4"/>
    <w:rsid w:val="00D70785"/>
    <w:rsid w:val="00D707CA"/>
    <w:rsid w:val="00D707E0"/>
    <w:rsid w:val="00D707F8"/>
    <w:rsid w:val="00D70850"/>
    <w:rsid w:val="00D70888"/>
    <w:rsid w:val="00D70914"/>
    <w:rsid w:val="00D70A78"/>
    <w:rsid w:val="00D70AE3"/>
    <w:rsid w:val="00D70BB8"/>
    <w:rsid w:val="00D70C67"/>
    <w:rsid w:val="00D70D5D"/>
    <w:rsid w:val="00D70E7B"/>
    <w:rsid w:val="00D70EF5"/>
    <w:rsid w:val="00D70F16"/>
    <w:rsid w:val="00D70F20"/>
    <w:rsid w:val="00D71002"/>
    <w:rsid w:val="00D71040"/>
    <w:rsid w:val="00D711C9"/>
    <w:rsid w:val="00D71216"/>
    <w:rsid w:val="00D712AC"/>
    <w:rsid w:val="00D712BD"/>
    <w:rsid w:val="00D712F9"/>
    <w:rsid w:val="00D7135A"/>
    <w:rsid w:val="00D71435"/>
    <w:rsid w:val="00D714D7"/>
    <w:rsid w:val="00D715B4"/>
    <w:rsid w:val="00D715F1"/>
    <w:rsid w:val="00D717C6"/>
    <w:rsid w:val="00D7181B"/>
    <w:rsid w:val="00D71826"/>
    <w:rsid w:val="00D71A2D"/>
    <w:rsid w:val="00D71A4D"/>
    <w:rsid w:val="00D71A8C"/>
    <w:rsid w:val="00D71BF2"/>
    <w:rsid w:val="00D71D54"/>
    <w:rsid w:val="00D71DA3"/>
    <w:rsid w:val="00D71DC2"/>
    <w:rsid w:val="00D71E09"/>
    <w:rsid w:val="00D71E10"/>
    <w:rsid w:val="00D71E77"/>
    <w:rsid w:val="00D71E90"/>
    <w:rsid w:val="00D71EC5"/>
    <w:rsid w:val="00D71F27"/>
    <w:rsid w:val="00D71F5A"/>
    <w:rsid w:val="00D71F9B"/>
    <w:rsid w:val="00D720D4"/>
    <w:rsid w:val="00D721AC"/>
    <w:rsid w:val="00D721CE"/>
    <w:rsid w:val="00D7234F"/>
    <w:rsid w:val="00D723BF"/>
    <w:rsid w:val="00D723DC"/>
    <w:rsid w:val="00D723EA"/>
    <w:rsid w:val="00D72491"/>
    <w:rsid w:val="00D724BC"/>
    <w:rsid w:val="00D7259A"/>
    <w:rsid w:val="00D725B0"/>
    <w:rsid w:val="00D72769"/>
    <w:rsid w:val="00D72809"/>
    <w:rsid w:val="00D729A4"/>
    <w:rsid w:val="00D72ADC"/>
    <w:rsid w:val="00D72B49"/>
    <w:rsid w:val="00D72B98"/>
    <w:rsid w:val="00D72C47"/>
    <w:rsid w:val="00D72C61"/>
    <w:rsid w:val="00D72CDC"/>
    <w:rsid w:val="00D72DB2"/>
    <w:rsid w:val="00D72EA5"/>
    <w:rsid w:val="00D72F76"/>
    <w:rsid w:val="00D72F7E"/>
    <w:rsid w:val="00D72FFE"/>
    <w:rsid w:val="00D7300D"/>
    <w:rsid w:val="00D7304F"/>
    <w:rsid w:val="00D73055"/>
    <w:rsid w:val="00D731FD"/>
    <w:rsid w:val="00D73217"/>
    <w:rsid w:val="00D73283"/>
    <w:rsid w:val="00D732A8"/>
    <w:rsid w:val="00D7330A"/>
    <w:rsid w:val="00D7341A"/>
    <w:rsid w:val="00D7349A"/>
    <w:rsid w:val="00D73620"/>
    <w:rsid w:val="00D736C8"/>
    <w:rsid w:val="00D736D7"/>
    <w:rsid w:val="00D73726"/>
    <w:rsid w:val="00D7373A"/>
    <w:rsid w:val="00D73790"/>
    <w:rsid w:val="00D738C6"/>
    <w:rsid w:val="00D73920"/>
    <w:rsid w:val="00D739C0"/>
    <w:rsid w:val="00D73A6E"/>
    <w:rsid w:val="00D73A82"/>
    <w:rsid w:val="00D73ABD"/>
    <w:rsid w:val="00D73B19"/>
    <w:rsid w:val="00D73BA4"/>
    <w:rsid w:val="00D73C15"/>
    <w:rsid w:val="00D73C48"/>
    <w:rsid w:val="00D73C98"/>
    <w:rsid w:val="00D73CA5"/>
    <w:rsid w:val="00D73CF1"/>
    <w:rsid w:val="00D73D14"/>
    <w:rsid w:val="00D73DF2"/>
    <w:rsid w:val="00D73F5B"/>
    <w:rsid w:val="00D740A4"/>
    <w:rsid w:val="00D74193"/>
    <w:rsid w:val="00D741F2"/>
    <w:rsid w:val="00D74355"/>
    <w:rsid w:val="00D7435B"/>
    <w:rsid w:val="00D7436C"/>
    <w:rsid w:val="00D74381"/>
    <w:rsid w:val="00D74382"/>
    <w:rsid w:val="00D74418"/>
    <w:rsid w:val="00D744A0"/>
    <w:rsid w:val="00D744B2"/>
    <w:rsid w:val="00D744D2"/>
    <w:rsid w:val="00D744F4"/>
    <w:rsid w:val="00D74627"/>
    <w:rsid w:val="00D74669"/>
    <w:rsid w:val="00D74753"/>
    <w:rsid w:val="00D747F3"/>
    <w:rsid w:val="00D74884"/>
    <w:rsid w:val="00D748D7"/>
    <w:rsid w:val="00D7495B"/>
    <w:rsid w:val="00D74B61"/>
    <w:rsid w:val="00D74EFE"/>
    <w:rsid w:val="00D75008"/>
    <w:rsid w:val="00D750BF"/>
    <w:rsid w:val="00D75177"/>
    <w:rsid w:val="00D751BA"/>
    <w:rsid w:val="00D75219"/>
    <w:rsid w:val="00D752D7"/>
    <w:rsid w:val="00D75306"/>
    <w:rsid w:val="00D7538C"/>
    <w:rsid w:val="00D7546A"/>
    <w:rsid w:val="00D75472"/>
    <w:rsid w:val="00D75496"/>
    <w:rsid w:val="00D75513"/>
    <w:rsid w:val="00D75574"/>
    <w:rsid w:val="00D75586"/>
    <w:rsid w:val="00D7558F"/>
    <w:rsid w:val="00D755A4"/>
    <w:rsid w:val="00D755C1"/>
    <w:rsid w:val="00D75602"/>
    <w:rsid w:val="00D7563E"/>
    <w:rsid w:val="00D75779"/>
    <w:rsid w:val="00D757EF"/>
    <w:rsid w:val="00D7584E"/>
    <w:rsid w:val="00D75A5C"/>
    <w:rsid w:val="00D75C4C"/>
    <w:rsid w:val="00D75CE3"/>
    <w:rsid w:val="00D75D6F"/>
    <w:rsid w:val="00D75DBC"/>
    <w:rsid w:val="00D75E18"/>
    <w:rsid w:val="00D76008"/>
    <w:rsid w:val="00D76169"/>
    <w:rsid w:val="00D7621B"/>
    <w:rsid w:val="00D76359"/>
    <w:rsid w:val="00D76362"/>
    <w:rsid w:val="00D76493"/>
    <w:rsid w:val="00D7649A"/>
    <w:rsid w:val="00D764D5"/>
    <w:rsid w:val="00D76665"/>
    <w:rsid w:val="00D767AB"/>
    <w:rsid w:val="00D767DE"/>
    <w:rsid w:val="00D76877"/>
    <w:rsid w:val="00D768BE"/>
    <w:rsid w:val="00D7692B"/>
    <w:rsid w:val="00D76971"/>
    <w:rsid w:val="00D76996"/>
    <w:rsid w:val="00D769C4"/>
    <w:rsid w:val="00D76A6F"/>
    <w:rsid w:val="00D76BAA"/>
    <w:rsid w:val="00D76CFA"/>
    <w:rsid w:val="00D76D7E"/>
    <w:rsid w:val="00D76E02"/>
    <w:rsid w:val="00D76E8A"/>
    <w:rsid w:val="00D76F5D"/>
    <w:rsid w:val="00D76F9D"/>
    <w:rsid w:val="00D76FA5"/>
    <w:rsid w:val="00D7706C"/>
    <w:rsid w:val="00D7707A"/>
    <w:rsid w:val="00D77101"/>
    <w:rsid w:val="00D7710A"/>
    <w:rsid w:val="00D7721D"/>
    <w:rsid w:val="00D77249"/>
    <w:rsid w:val="00D77295"/>
    <w:rsid w:val="00D77317"/>
    <w:rsid w:val="00D774B3"/>
    <w:rsid w:val="00D774B4"/>
    <w:rsid w:val="00D774FB"/>
    <w:rsid w:val="00D7758A"/>
    <w:rsid w:val="00D775D5"/>
    <w:rsid w:val="00D77683"/>
    <w:rsid w:val="00D77696"/>
    <w:rsid w:val="00D776A0"/>
    <w:rsid w:val="00D7773E"/>
    <w:rsid w:val="00D7779C"/>
    <w:rsid w:val="00D777E4"/>
    <w:rsid w:val="00D777EC"/>
    <w:rsid w:val="00D778A3"/>
    <w:rsid w:val="00D779E8"/>
    <w:rsid w:val="00D77A08"/>
    <w:rsid w:val="00D77A55"/>
    <w:rsid w:val="00D77A74"/>
    <w:rsid w:val="00D77AA2"/>
    <w:rsid w:val="00D77AC5"/>
    <w:rsid w:val="00D77AFA"/>
    <w:rsid w:val="00D77B5F"/>
    <w:rsid w:val="00D77B92"/>
    <w:rsid w:val="00D77BAE"/>
    <w:rsid w:val="00D77BBC"/>
    <w:rsid w:val="00D77D19"/>
    <w:rsid w:val="00D77D91"/>
    <w:rsid w:val="00D77E5E"/>
    <w:rsid w:val="00D77E8C"/>
    <w:rsid w:val="00D77F6C"/>
    <w:rsid w:val="00D80014"/>
    <w:rsid w:val="00D80063"/>
    <w:rsid w:val="00D8017A"/>
    <w:rsid w:val="00D80181"/>
    <w:rsid w:val="00D8021C"/>
    <w:rsid w:val="00D80298"/>
    <w:rsid w:val="00D803A6"/>
    <w:rsid w:val="00D803F0"/>
    <w:rsid w:val="00D80429"/>
    <w:rsid w:val="00D80482"/>
    <w:rsid w:val="00D8048D"/>
    <w:rsid w:val="00D80494"/>
    <w:rsid w:val="00D804C4"/>
    <w:rsid w:val="00D804CF"/>
    <w:rsid w:val="00D804EA"/>
    <w:rsid w:val="00D804FE"/>
    <w:rsid w:val="00D80511"/>
    <w:rsid w:val="00D8055A"/>
    <w:rsid w:val="00D8056B"/>
    <w:rsid w:val="00D805D4"/>
    <w:rsid w:val="00D805F7"/>
    <w:rsid w:val="00D80663"/>
    <w:rsid w:val="00D80762"/>
    <w:rsid w:val="00D8081C"/>
    <w:rsid w:val="00D808FD"/>
    <w:rsid w:val="00D80969"/>
    <w:rsid w:val="00D80ACD"/>
    <w:rsid w:val="00D80AEB"/>
    <w:rsid w:val="00D80B37"/>
    <w:rsid w:val="00D80BA2"/>
    <w:rsid w:val="00D80BAB"/>
    <w:rsid w:val="00D80BD3"/>
    <w:rsid w:val="00D80BDC"/>
    <w:rsid w:val="00D80C9C"/>
    <w:rsid w:val="00D80CB4"/>
    <w:rsid w:val="00D80D53"/>
    <w:rsid w:val="00D80DAD"/>
    <w:rsid w:val="00D80DCC"/>
    <w:rsid w:val="00D80F28"/>
    <w:rsid w:val="00D80FDF"/>
    <w:rsid w:val="00D810D2"/>
    <w:rsid w:val="00D810DB"/>
    <w:rsid w:val="00D810F4"/>
    <w:rsid w:val="00D81189"/>
    <w:rsid w:val="00D811C3"/>
    <w:rsid w:val="00D811EC"/>
    <w:rsid w:val="00D81269"/>
    <w:rsid w:val="00D812A4"/>
    <w:rsid w:val="00D812F9"/>
    <w:rsid w:val="00D81309"/>
    <w:rsid w:val="00D8133F"/>
    <w:rsid w:val="00D8137E"/>
    <w:rsid w:val="00D813D3"/>
    <w:rsid w:val="00D814A3"/>
    <w:rsid w:val="00D81583"/>
    <w:rsid w:val="00D8159C"/>
    <w:rsid w:val="00D815DF"/>
    <w:rsid w:val="00D816A9"/>
    <w:rsid w:val="00D816F3"/>
    <w:rsid w:val="00D81739"/>
    <w:rsid w:val="00D81744"/>
    <w:rsid w:val="00D81787"/>
    <w:rsid w:val="00D8183C"/>
    <w:rsid w:val="00D81882"/>
    <w:rsid w:val="00D819D9"/>
    <w:rsid w:val="00D81A05"/>
    <w:rsid w:val="00D81A31"/>
    <w:rsid w:val="00D81A9E"/>
    <w:rsid w:val="00D81ADF"/>
    <w:rsid w:val="00D81AF4"/>
    <w:rsid w:val="00D81BE5"/>
    <w:rsid w:val="00D81C0D"/>
    <w:rsid w:val="00D81DF1"/>
    <w:rsid w:val="00D81DF3"/>
    <w:rsid w:val="00D82045"/>
    <w:rsid w:val="00D820CA"/>
    <w:rsid w:val="00D82186"/>
    <w:rsid w:val="00D82198"/>
    <w:rsid w:val="00D8219C"/>
    <w:rsid w:val="00D821DF"/>
    <w:rsid w:val="00D82273"/>
    <w:rsid w:val="00D822B4"/>
    <w:rsid w:val="00D823E9"/>
    <w:rsid w:val="00D824B2"/>
    <w:rsid w:val="00D82623"/>
    <w:rsid w:val="00D82645"/>
    <w:rsid w:val="00D82715"/>
    <w:rsid w:val="00D82829"/>
    <w:rsid w:val="00D828A4"/>
    <w:rsid w:val="00D828F6"/>
    <w:rsid w:val="00D82904"/>
    <w:rsid w:val="00D829A3"/>
    <w:rsid w:val="00D829C6"/>
    <w:rsid w:val="00D82A51"/>
    <w:rsid w:val="00D82A70"/>
    <w:rsid w:val="00D82ABF"/>
    <w:rsid w:val="00D82B0F"/>
    <w:rsid w:val="00D82BDE"/>
    <w:rsid w:val="00D82BE4"/>
    <w:rsid w:val="00D82D4E"/>
    <w:rsid w:val="00D82E86"/>
    <w:rsid w:val="00D82E8F"/>
    <w:rsid w:val="00D82F32"/>
    <w:rsid w:val="00D82FA7"/>
    <w:rsid w:val="00D82FBC"/>
    <w:rsid w:val="00D82FEC"/>
    <w:rsid w:val="00D82FF5"/>
    <w:rsid w:val="00D8300A"/>
    <w:rsid w:val="00D83098"/>
    <w:rsid w:val="00D8310E"/>
    <w:rsid w:val="00D83148"/>
    <w:rsid w:val="00D83153"/>
    <w:rsid w:val="00D831EB"/>
    <w:rsid w:val="00D83236"/>
    <w:rsid w:val="00D832E3"/>
    <w:rsid w:val="00D83314"/>
    <w:rsid w:val="00D83322"/>
    <w:rsid w:val="00D83644"/>
    <w:rsid w:val="00D836C6"/>
    <w:rsid w:val="00D83765"/>
    <w:rsid w:val="00D83845"/>
    <w:rsid w:val="00D83910"/>
    <w:rsid w:val="00D83941"/>
    <w:rsid w:val="00D839B6"/>
    <w:rsid w:val="00D839F5"/>
    <w:rsid w:val="00D83A17"/>
    <w:rsid w:val="00D83A48"/>
    <w:rsid w:val="00D83D46"/>
    <w:rsid w:val="00D83F00"/>
    <w:rsid w:val="00D83F42"/>
    <w:rsid w:val="00D83FC8"/>
    <w:rsid w:val="00D83FF8"/>
    <w:rsid w:val="00D84012"/>
    <w:rsid w:val="00D8401C"/>
    <w:rsid w:val="00D8405B"/>
    <w:rsid w:val="00D84074"/>
    <w:rsid w:val="00D840BA"/>
    <w:rsid w:val="00D840C8"/>
    <w:rsid w:val="00D842BC"/>
    <w:rsid w:val="00D842EC"/>
    <w:rsid w:val="00D8430D"/>
    <w:rsid w:val="00D8433A"/>
    <w:rsid w:val="00D8452A"/>
    <w:rsid w:val="00D84540"/>
    <w:rsid w:val="00D84736"/>
    <w:rsid w:val="00D847B4"/>
    <w:rsid w:val="00D84846"/>
    <w:rsid w:val="00D848E8"/>
    <w:rsid w:val="00D84989"/>
    <w:rsid w:val="00D84A29"/>
    <w:rsid w:val="00D84ADE"/>
    <w:rsid w:val="00D84BDB"/>
    <w:rsid w:val="00D84C98"/>
    <w:rsid w:val="00D84D18"/>
    <w:rsid w:val="00D84D22"/>
    <w:rsid w:val="00D84DD0"/>
    <w:rsid w:val="00D84E16"/>
    <w:rsid w:val="00D84E4C"/>
    <w:rsid w:val="00D84E4E"/>
    <w:rsid w:val="00D84FCC"/>
    <w:rsid w:val="00D8508E"/>
    <w:rsid w:val="00D8512D"/>
    <w:rsid w:val="00D853A8"/>
    <w:rsid w:val="00D8543C"/>
    <w:rsid w:val="00D85544"/>
    <w:rsid w:val="00D85582"/>
    <w:rsid w:val="00D85653"/>
    <w:rsid w:val="00D8569D"/>
    <w:rsid w:val="00D856BE"/>
    <w:rsid w:val="00D85818"/>
    <w:rsid w:val="00D85821"/>
    <w:rsid w:val="00D8582F"/>
    <w:rsid w:val="00D85855"/>
    <w:rsid w:val="00D858AE"/>
    <w:rsid w:val="00D858B6"/>
    <w:rsid w:val="00D858D3"/>
    <w:rsid w:val="00D859AD"/>
    <w:rsid w:val="00D85C40"/>
    <w:rsid w:val="00D85F41"/>
    <w:rsid w:val="00D85F54"/>
    <w:rsid w:val="00D85F77"/>
    <w:rsid w:val="00D86161"/>
    <w:rsid w:val="00D861D4"/>
    <w:rsid w:val="00D86228"/>
    <w:rsid w:val="00D86238"/>
    <w:rsid w:val="00D862B7"/>
    <w:rsid w:val="00D86335"/>
    <w:rsid w:val="00D86362"/>
    <w:rsid w:val="00D8640C"/>
    <w:rsid w:val="00D86455"/>
    <w:rsid w:val="00D8647D"/>
    <w:rsid w:val="00D864F9"/>
    <w:rsid w:val="00D86589"/>
    <w:rsid w:val="00D865ED"/>
    <w:rsid w:val="00D86665"/>
    <w:rsid w:val="00D867A6"/>
    <w:rsid w:val="00D8680E"/>
    <w:rsid w:val="00D86A1E"/>
    <w:rsid w:val="00D86A94"/>
    <w:rsid w:val="00D86AB1"/>
    <w:rsid w:val="00D86B0E"/>
    <w:rsid w:val="00D86BCC"/>
    <w:rsid w:val="00D86BE7"/>
    <w:rsid w:val="00D86C8F"/>
    <w:rsid w:val="00D86CC6"/>
    <w:rsid w:val="00D86CFF"/>
    <w:rsid w:val="00D86DA6"/>
    <w:rsid w:val="00D86DBE"/>
    <w:rsid w:val="00D86FC1"/>
    <w:rsid w:val="00D86FCF"/>
    <w:rsid w:val="00D8709B"/>
    <w:rsid w:val="00D870E4"/>
    <w:rsid w:val="00D870EA"/>
    <w:rsid w:val="00D870FA"/>
    <w:rsid w:val="00D871D1"/>
    <w:rsid w:val="00D8726B"/>
    <w:rsid w:val="00D87282"/>
    <w:rsid w:val="00D872AD"/>
    <w:rsid w:val="00D872B3"/>
    <w:rsid w:val="00D872C4"/>
    <w:rsid w:val="00D873CA"/>
    <w:rsid w:val="00D873FF"/>
    <w:rsid w:val="00D8743E"/>
    <w:rsid w:val="00D87578"/>
    <w:rsid w:val="00D8766B"/>
    <w:rsid w:val="00D8775B"/>
    <w:rsid w:val="00D87764"/>
    <w:rsid w:val="00D877A3"/>
    <w:rsid w:val="00D878AC"/>
    <w:rsid w:val="00D8793F"/>
    <w:rsid w:val="00D8798D"/>
    <w:rsid w:val="00D87B85"/>
    <w:rsid w:val="00D87BC6"/>
    <w:rsid w:val="00D87CB1"/>
    <w:rsid w:val="00D87D4C"/>
    <w:rsid w:val="00D87D61"/>
    <w:rsid w:val="00D87DD2"/>
    <w:rsid w:val="00D87DED"/>
    <w:rsid w:val="00D87E7C"/>
    <w:rsid w:val="00D87EAE"/>
    <w:rsid w:val="00D87EF7"/>
    <w:rsid w:val="00D87F05"/>
    <w:rsid w:val="00D87F70"/>
    <w:rsid w:val="00D87FD4"/>
    <w:rsid w:val="00D9001D"/>
    <w:rsid w:val="00D90059"/>
    <w:rsid w:val="00D900C3"/>
    <w:rsid w:val="00D90176"/>
    <w:rsid w:val="00D901CE"/>
    <w:rsid w:val="00D9028B"/>
    <w:rsid w:val="00D90306"/>
    <w:rsid w:val="00D903AF"/>
    <w:rsid w:val="00D90441"/>
    <w:rsid w:val="00D90469"/>
    <w:rsid w:val="00D904A6"/>
    <w:rsid w:val="00D904B2"/>
    <w:rsid w:val="00D905BE"/>
    <w:rsid w:val="00D905E4"/>
    <w:rsid w:val="00D9066F"/>
    <w:rsid w:val="00D906CE"/>
    <w:rsid w:val="00D90727"/>
    <w:rsid w:val="00D908C1"/>
    <w:rsid w:val="00D909CC"/>
    <w:rsid w:val="00D909DA"/>
    <w:rsid w:val="00D90A33"/>
    <w:rsid w:val="00D90A99"/>
    <w:rsid w:val="00D90AA2"/>
    <w:rsid w:val="00D90ADC"/>
    <w:rsid w:val="00D90B80"/>
    <w:rsid w:val="00D90C1A"/>
    <w:rsid w:val="00D90C61"/>
    <w:rsid w:val="00D90C66"/>
    <w:rsid w:val="00D90D41"/>
    <w:rsid w:val="00D90DDC"/>
    <w:rsid w:val="00D90DF1"/>
    <w:rsid w:val="00D90E0A"/>
    <w:rsid w:val="00D90EDE"/>
    <w:rsid w:val="00D90F07"/>
    <w:rsid w:val="00D90F0C"/>
    <w:rsid w:val="00D90F46"/>
    <w:rsid w:val="00D910CB"/>
    <w:rsid w:val="00D91105"/>
    <w:rsid w:val="00D911A6"/>
    <w:rsid w:val="00D91222"/>
    <w:rsid w:val="00D9125C"/>
    <w:rsid w:val="00D9128A"/>
    <w:rsid w:val="00D912AC"/>
    <w:rsid w:val="00D912E9"/>
    <w:rsid w:val="00D91307"/>
    <w:rsid w:val="00D9136B"/>
    <w:rsid w:val="00D913BC"/>
    <w:rsid w:val="00D914C9"/>
    <w:rsid w:val="00D914CD"/>
    <w:rsid w:val="00D91543"/>
    <w:rsid w:val="00D91730"/>
    <w:rsid w:val="00D91735"/>
    <w:rsid w:val="00D917A5"/>
    <w:rsid w:val="00D917B2"/>
    <w:rsid w:val="00D91838"/>
    <w:rsid w:val="00D9184B"/>
    <w:rsid w:val="00D91888"/>
    <w:rsid w:val="00D91894"/>
    <w:rsid w:val="00D9196F"/>
    <w:rsid w:val="00D91A6A"/>
    <w:rsid w:val="00D91A74"/>
    <w:rsid w:val="00D91B24"/>
    <w:rsid w:val="00D91BD6"/>
    <w:rsid w:val="00D91C01"/>
    <w:rsid w:val="00D91C29"/>
    <w:rsid w:val="00D91C5E"/>
    <w:rsid w:val="00D91D42"/>
    <w:rsid w:val="00D91EF7"/>
    <w:rsid w:val="00D91F74"/>
    <w:rsid w:val="00D91F92"/>
    <w:rsid w:val="00D92098"/>
    <w:rsid w:val="00D92109"/>
    <w:rsid w:val="00D92132"/>
    <w:rsid w:val="00D922A3"/>
    <w:rsid w:val="00D924D0"/>
    <w:rsid w:val="00D9252A"/>
    <w:rsid w:val="00D925AE"/>
    <w:rsid w:val="00D925DA"/>
    <w:rsid w:val="00D926A9"/>
    <w:rsid w:val="00D92701"/>
    <w:rsid w:val="00D92754"/>
    <w:rsid w:val="00D928EA"/>
    <w:rsid w:val="00D929B1"/>
    <w:rsid w:val="00D929B7"/>
    <w:rsid w:val="00D929D8"/>
    <w:rsid w:val="00D92AC7"/>
    <w:rsid w:val="00D92AF4"/>
    <w:rsid w:val="00D92CDA"/>
    <w:rsid w:val="00D92D43"/>
    <w:rsid w:val="00D92D5F"/>
    <w:rsid w:val="00D92DC3"/>
    <w:rsid w:val="00D92EBC"/>
    <w:rsid w:val="00D92F2C"/>
    <w:rsid w:val="00D92F2F"/>
    <w:rsid w:val="00D92F9F"/>
    <w:rsid w:val="00D9310A"/>
    <w:rsid w:val="00D931C9"/>
    <w:rsid w:val="00D931EF"/>
    <w:rsid w:val="00D932E7"/>
    <w:rsid w:val="00D93368"/>
    <w:rsid w:val="00D933A8"/>
    <w:rsid w:val="00D933AF"/>
    <w:rsid w:val="00D934AC"/>
    <w:rsid w:val="00D935E7"/>
    <w:rsid w:val="00D93813"/>
    <w:rsid w:val="00D938E0"/>
    <w:rsid w:val="00D939B0"/>
    <w:rsid w:val="00D939FA"/>
    <w:rsid w:val="00D93A12"/>
    <w:rsid w:val="00D93A40"/>
    <w:rsid w:val="00D93ADA"/>
    <w:rsid w:val="00D93C65"/>
    <w:rsid w:val="00D93C77"/>
    <w:rsid w:val="00D93CC3"/>
    <w:rsid w:val="00D93D80"/>
    <w:rsid w:val="00D93D81"/>
    <w:rsid w:val="00D93F0D"/>
    <w:rsid w:val="00D94006"/>
    <w:rsid w:val="00D94031"/>
    <w:rsid w:val="00D94038"/>
    <w:rsid w:val="00D940B7"/>
    <w:rsid w:val="00D94281"/>
    <w:rsid w:val="00D942F8"/>
    <w:rsid w:val="00D9432A"/>
    <w:rsid w:val="00D943C6"/>
    <w:rsid w:val="00D943D3"/>
    <w:rsid w:val="00D94409"/>
    <w:rsid w:val="00D9442C"/>
    <w:rsid w:val="00D94473"/>
    <w:rsid w:val="00D94482"/>
    <w:rsid w:val="00D944EC"/>
    <w:rsid w:val="00D945FD"/>
    <w:rsid w:val="00D9466E"/>
    <w:rsid w:val="00D9471E"/>
    <w:rsid w:val="00D947CF"/>
    <w:rsid w:val="00D948A5"/>
    <w:rsid w:val="00D94921"/>
    <w:rsid w:val="00D94928"/>
    <w:rsid w:val="00D94935"/>
    <w:rsid w:val="00D94968"/>
    <w:rsid w:val="00D94997"/>
    <w:rsid w:val="00D94AB9"/>
    <w:rsid w:val="00D94AC0"/>
    <w:rsid w:val="00D94AD9"/>
    <w:rsid w:val="00D94B24"/>
    <w:rsid w:val="00D94BC2"/>
    <w:rsid w:val="00D94BDF"/>
    <w:rsid w:val="00D94BED"/>
    <w:rsid w:val="00D94C42"/>
    <w:rsid w:val="00D94C6C"/>
    <w:rsid w:val="00D94C8B"/>
    <w:rsid w:val="00D94C93"/>
    <w:rsid w:val="00D94CC8"/>
    <w:rsid w:val="00D94E7A"/>
    <w:rsid w:val="00D94E9A"/>
    <w:rsid w:val="00D94F44"/>
    <w:rsid w:val="00D94F8B"/>
    <w:rsid w:val="00D94FA7"/>
    <w:rsid w:val="00D95057"/>
    <w:rsid w:val="00D95221"/>
    <w:rsid w:val="00D9523C"/>
    <w:rsid w:val="00D95241"/>
    <w:rsid w:val="00D952AC"/>
    <w:rsid w:val="00D9534F"/>
    <w:rsid w:val="00D953FB"/>
    <w:rsid w:val="00D9540F"/>
    <w:rsid w:val="00D9548A"/>
    <w:rsid w:val="00D954FC"/>
    <w:rsid w:val="00D9557F"/>
    <w:rsid w:val="00D955CB"/>
    <w:rsid w:val="00D95663"/>
    <w:rsid w:val="00D9572E"/>
    <w:rsid w:val="00D9575B"/>
    <w:rsid w:val="00D9578F"/>
    <w:rsid w:val="00D9579A"/>
    <w:rsid w:val="00D95896"/>
    <w:rsid w:val="00D958F9"/>
    <w:rsid w:val="00D95A9F"/>
    <w:rsid w:val="00D95ACB"/>
    <w:rsid w:val="00D95B4B"/>
    <w:rsid w:val="00D95EBC"/>
    <w:rsid w:val="00D95FB2"/>
    <w:rsid w:val="00D96085"/>
    <w:rsid w:val="00D960F9"/>
    <w:rsid w:val="00D9616F"/>
    <w:rsid w:val="00D96209"/>
    <w:rsid w:val="00D96362"/>
    <w:rsid w:val="00D963FD"/>
    <w:rsid w:val="00D9650D"/>
    <w:rsid w:val="00D965BF"/>
    <w:rsid w:val="00D96609"/>
    <w:rsid w:val="00D96616"/>
    <w:rsid w:val="00D96676"/>
    <w:rsid w:val="00D96751"/>
    <w:rsid w:val="00D96787"/>
    <w:rsid w:val="00D9686C"/>
    <w:rsid w:val="00D968C2"/>
    <w:rsid w:val="00D968DF"/>
    <w:rsid w:val="00D968F9"/>
    <w:rsid w:val="00D968FD"/>
    <w:rsid w:val="00D96937"/>
    <w:rsid w:val="00D96996"/>
    <w:rsid w:val="00D969E2"/>
    <w:rsid w:val="00D96BD7"/>
    <w:rsid w:val="00D96BE1"/>
    <w:rsid w:val="00D96BEB"/>
    <w:rsid w:val="00D96C7D"/>
    <w:rsid w:val="00D96CD3"/>
    <w:rsid w:val="00D96CE0"/>
    <w:rsid w:val="00D96D17"/>
    <w:rsid w:val="00D96D7F"/>
    <w:rsid w:val="00D96E81"/>
    <w:rsid w:val="00D96EA7"/>
    <w:rsid w:val="00D96EDD"/>
    <w:rsid w:val="00D96FC8"/>
    <w:rsid w:val="00D97043"/>
    <w:rsid w:val="00D97067"/>
    <w:rsid w:val="00D97197"/>
    <w:rsid w:val="00D971AC"/>
    <w:rsid w:val="00D971D2"/>
    <w:rsid w:val="00D97232"/>
    <w:rsid w:val="00D97310"/>
    <w:rsid w:val="00D97312"/>
    <w:rsid w:val="00D9735B"/>
    <w:rsid w:val="00D973B0"/>
    <w:rsid w:val="00D97453"/>
    <w:rsid w:val="00D97504"/>
    <w:rsid w:val="00D97547"/>
    <w:rsid w:val="00D975A8"/>
    <w:rsid w:val="00D9761F"/>
    <w:rsid w:val="00D97644"/>
    <w:rsid w:val="00D976DE"/>
    <w:rsid w:val="00D9773B"/>
    <w:rsid w:val="00D97760"/>
    <w:rsid w:val="00D97897"/>
    <w:rsid w:val="00D978C9"/>
    <w:rsid w:val="00D97946"/>
    <w:rsid w:val="00D979A7"/>
    <w:rsid w:val="00D97A04"/>
    <w:rsid w:val="00D97A0C"/>
    <w:rsid w:val="00D97A3D"/>
    <w:rsid w:val="00D97A8D"/>
    <w:rsid w:val="00D97BFF"/>
    <w:rsid w:val="00D97C2B"/>
    <w:rsid w:val="00D97C32"/>
    <w:rsid w:val="00D97C45"/>
    <w:rsid w:val="00D97D07"/>
    <w:rsid w:val="00D97F13"/>
    <w:rsid w:val="00D97F56"/>
    <w:rsid w:val="00D97F95"/>
    <w:rsid w:val="00D97FC9"/>
    <w:rsid w:val="00D97FD7"/>
    <w:rsid w:val="00DA0019"/>
    <w:rsid w:val="00DA0151"/>
    <w:rsid w:val="00DA0204"/>
    <w:rsid w:val="00DA0280"/>
    <w:rsid w:val="00DA02DC"/>
    <w:rsid w:val="00DA038A"/>
    <w:rsid w:val="00DA039C"/>
    <w:rsid w:val="00DA0439"/>
    <w:rsid w:val="00DA0474"/>
    <w:rsid w:val="00DA053D"/>
    <w:rsid w:val="00DA0589"/>
    <w:rsid w:val="00DA058C"/>
    <w:rsid w:val="00DA0590"/>
    <w:rsid w:val="00DA0679"/>
    <w:rsid w:val="00DA067E"/>
    <w:rsid w:val="00DA06DC"/>
    <w:rsid w:val="00DA07B9"/>
    <w:rsid w:val="00DA0830"/>
    <w:rsid w:val="00DA0868"/>
    <w:rsid w:val="00DA08CA"/>
    <w:rsid w:val="00DA08EC"/>
    <w:rsid w:val="00DA09AF"/>
    <w:rsid w:val="00DA09DE"/>
    <w:rsid w:val="00DA0A0B"/>
    <w:rsid w:val="00DA0A3F"/>
    <w:rsid w:val="00DA0A9E"/>
    <w:rsid w:val="00DA0ADA"/>
    <w:rsid w:val="00DA0B1D"/>
    <w:rsid w:val="00DA0C05"/>
    <w:rsid w:val="00DA0C53"/>
    <w:rsid w:val="00DA0D75"/>
    <w:rsid w:val="00DA0DFD"/>
    <w:rsid w:val="00DA0DFF"/>
    <w:rsid w:val="00DA0E6E"/>
    <w:rsid w:val="00DA0F31"/>
    <w:rsid w:val="00DA0F58"/>
    <w:rsid w:val="00DA0FB9"/>
    <w:rsid w:val="00DA107A"/>
    <w:rsid w:val="00DA1140"/>
    <w:rsid w:val="00DA1176"/>
    <w:rsid w:val="00DA1192"/>
    <w:rsid w:val="00DA11A6"/>
    <w:rsid w:val="00DA11EE"/>
    <w:rsid w:val="00DA122C"/>
    <w:rsid w:val="00DA125B"/>
    <w:rsid w:val="00DA1286"/>
    <w:rsid w:val="00DA1316"/>
    <w:rsid w:val="00DA1398"/>
    <w:rsid w:val="00DA1496"/>
    <w:rsid w:val="00DA14BE"/>
    <w:rsid w:val="00DA14FF"/>
    <w:rsid w:val="00DA1541"/>
    <w:rsid w:val="00DA1542"/>
    <w:rsid w:val="00DA159C"/>
    <w:rsid w:val="00DA167F"/>
    <w:rsid w:val="00DA172A"/>
    <w:rsid w:val="00DA17F1"/>
    <w:rsid w:val="00DA1953"/>
    <w:rsid w:val="00DA1956"/>
    <w:rsid w:val="00DA1AB3"/>
    <w:rsid w:val="00DA1AD1"/>
    <w:rsid w:val="00DA1B6A"/>
    <w:rsid w:val="00DA1B74"/>
    <w:rsid w:val="00DA1CED"/>
    <w:rsid w:val="00DA1D75"/>
    <w:rsid w:val="00DA1D88"/>
    <w:rsid w:val="00DA1DFB"/>
    <w:rsid w:val="00DA1E11"/>
    <w:rsid w:val="00DA1E69"/>
    <w:rsid w:val="00DA1EA1"/>
    <w:rsid w:val="00DA1ED4"/>
    <w:rsid w:val="00DA1F53"/>
    <w:rsid w:val="00DA2099"/>
    <w:rsid w:val="00DA211B"/>
    <w:rsid w:val="00DA21C5"/>
    <w:rsid w:val="00DA2205"/>
    <w:rsid w:val="00DA2239"/>
    <w:rsid w:val="00DA2267"/>
    <w:rsid w:val="00DA22B3"/>
    <w:rsid w:val="00DA22CF"/>
    <w:rsid w:val="00DA232A"/>
    <w:rsid w:val="00DA23F7"/>
    <w:rsid w:val="00DA2435"/>
    <w:rsid w:val="00DA2447"/>
    <w:rsid w:val="00DA248E"/>
    <w:rsid w:val="00DA24A7"/>
    <w:rsid w:val="00DA2583"/>
    <w:rsid w:val="00DA25E6"/>
    <w:rsid w:val="00DA267E"/>
    <w:rsid w:val="00DA26E5"/>
    <w:rsid w:val="00DA2766"/>
    <w:rsid w:val="00DA27AF"/>
    <w:rsid w:val="00DA27DC"/>
    <w:rsid w:val="00DA2822"/>
    <w:rsid w:val="00DA28AE"/>
    <w:rsid w:val="00DA2913"/>
    <w:rsid w:val="00DA2918"/>
    <w:rsid w:val="00DA2924"/>
    <w:rsid w:val="00DA29FE"/>
    <w:rsid w:val="00DA2BB0"/>
    <w:rsid w:val="00DA2BF8"/>
    <w:rsid w:val="00DA2C2A"/>
    <w:rsid w:val="00DA2C7F"/>
    <w:rsid w:val="00DA2C99"/>
    <w:rsid w:val="00DA2E6C"/>
    <w:rsid w:val="00DA2E7F"/>
    <w:rsid w:val="00DA2E85"/>
    <w:rsid w:val="00DA2EAB"/>
    <w:rsid w:val="00DA2EBB"/>
    <w:rsid w:val="00DA2F84"/>
    <w:rsid w:val="00DA2FC6"/>
    <w:rsid w:val="00DA30E0"/>
    <w:rsid w:val="00DA3233"/>
    <w:rsid w:val="00DA345F"/>
    <w:rsid w:val="00DA34AC"/>
    <w:rsid w:val="00DA35B8"/>
    <w:rsid w:val="00DA3670"/>
    <w:rsid w:val="00DA36A9"/>
    <w:rsid w:val="00DA3708"/>
    <w:rsid w:val="00DA37AE"/>
    <w:rsid w:val="00DA3892"/>
    <w:rsid w:val="00DA38E5"/>
    <w:rsid w:val="00DA39A9"/>
    <w:rsid w:val="00DA39DE"/>
    <w:rsid w:val="00DA3A1E"/>
    <w:rsid w:val="00DA3B3B"/>
    <w:rsid w:val="00DA3B6C"/>
    <w:rsid w:val="00DA3C0D"/>
    <w:rsid w:val="00DA3CFA"/>
    <w:rsid w:val="00DA3E53"/>
    <w:rsid w:val="00DA3E55"/>
    <w:rsid w:val="00DA3F8C"/>
    <w:rsid w:val="00DA3F98"/>
    <w:rsid w:val="00DA3FF7"/>
    <w:rsid w:val="00DA40A9"/>
    <w:rsid w:val="00DA40F9"/>
    <w:rsid w:val="00DA412B"/>
    <w:rsid w:val="00DA4202"/>
    <w:rsid w:val="00DA428F"/>
    <w:rsid w:val="00DA42A3"/>
    <w:rsid w:val="00DA460A"/>
    <w:rsid w:val="00DA4623"/>
    <w:rsid w:val="00DA469F"/>
    <w:rsid w:val="00DA46FB"/>
    <w:rsid w:val="00DA4798"/>
    <w:rsid w:val="00DA4803"/>
    <w:rsid w:val="00DA4A88"/>
    <w:rsid w:val="00DA4ADD"/>
    <w:rsid w:val="00DA4B0D"/>
    <w:rsid w:val="00DA4B11"/>
    <w:rsid w:val="00DA4B1D"/>
    <w:rsid w:val="00DA4C72"/>
    <w:rsid w:val="00DA4DA7"/>
    <w:rsid w:val="00DA4DF0"/>
    <w:rsid w:val="00DA4F13"/>
    <w:rsid w:val="00DA5013"/>
    <w:rsid w:val="00DA5016"/>
    <w:rsid w:val="00DA5037"/>
    <w:rsid w:val="00DA503E"/>
    <w:rsid w:val="00DA5056"/>
    <w:rsid w:val="00DA50AD"/>
    <w:rsid w:val="00DA517D"/>
    <w:rsid w:val="00DA51E5"/>
    <w:rsid w:val="00DA5342"/>
    <w:rsid w:val="00DA53C3"/>
    <w:rsid w:val="00DA53DA"/>
    <w:rsid w:val="00DA5434"/>
    <w:rsid w:val="00DA548B"/>
    <w:rsid w:val="00DA548F"/>
    <w:rsid w:val="00DA557B"/>
    <w:rsid w:val="00DA55F8"/>
    <w:rsid w:val="00DA5644"/>
    <w:rsid w:val="00DA566F"/>
    <w:rsid w:val="00DA56AE"/>
    <w:rsid w:val="00DA56DF"/>
    <w:rsid w:val="00DA577A"/>
    <w:rsid w:val="00DA5797"/>
    <w:rsid w:val="00DA5866"/>
    <w:rsid w:val="00DA58C6"/>
    <w:rsid w:val="00DA5943"/>
    <w:rsid w:val="00DA5950"/>
    <w:rsid w:val="00DA5957"/>
    <w:rsid w:val="00DA5984"/>
    <w:rsid w:val="00DA598B"/>
    <w:rsid w:val="00DA5AB2"/>
    <w:rsid w:val="00DA5BAA"/>
    <w:rsid w:val="00DA5BB1"/>
    <w:rsid w:val="00DA5C14"/>
    <w:rsid w:val="00DA5C40"/>
    <w:rsid w:val="00DA5C58"/>
    <w:rsid w:val="00DA5C85"/>
    <w:rsid w:val="00DA5C9B"/>
    <w:rsid w:val="00DA5CB2"/>
    <w:rsid w:val="00DA5D11"/>
    <w:rsid w:val="00DA5D6A"/>
    <w:rsid w:val="00DA5EE6"/>
    <w:rsid w:val="00DA5F82"/>
    <w:rsid w:val="00DA6008"/>
    <w:rsid w:val="00DA6022"/>
    <w:rsid w:val="00DA6144"/>
    <w:rsid w:val="00DA616D"/>
    <w:rsid w:val="00DA626E"/>
    <w:rsid w:val="00DA632F"/>
    <w:rsid w:val="00DA6375"/>
    <w:rsid w:val="00DA63AE"/>
    <w:rsid w:val="00DA63DC"/>
    <w:rsid w:val="00DA65E1"/>
    <w:rsid w:val="00DA6605"/>
    <w:rsid w:val="00DA663A"/>
    <w:rsid w:val="00DA663C"/>
    <w:rsid w:val="00DA6686"/>
    <w:rsid w:val="00DA668F"/>
    <w:rsid w:val="00DA66DF"/>
    <w:rsid w:val="00DA6727"/>
    <w:rsid w:val="00DA67A2"/>
    <w:rsid w:val="00DA691E"/>
    <w:rsid w:val="00DA695D"/>
    <w:rsid w:val="00DA6A15"/>
    <w:rsid w:val="00DA6A3D"/>
    <w:rsid w:val="00DA6ACB"/>
    <w:rsid w:val="00DA6B11"/>
    <w:rsid w:val="00DA6C68"/>
    <w:rsid w:val="00DA6CCB"/>
    <w:rsid w:val="00DA6CDB"/>
    <w:rsid w:val="00DA6CE6"/>
    <w:rsid w:val="00DA6D00"/>
    <w:rsid w:val="00DA6DA7"/>
    <w:rsid w:val="00DA6DC8"/>
    <w:rsid w:val="00DA6DDE"/>
    <w:rsid w:val="00DA6E10"/>
    <w:rsid w:val="00DA6E58"/>
    <w:rsid w:val="00DA6E61"/>
    <w:rsid w:val="00DA6E74"/>
    <w:rsid w:val="00DA6F37"/>
    <w:rsid w:val="00DA7083"/>
    <w:rsid w:val="00DA716B"/>
    <w:rsid w:val="00DA72B5"/>
    <w:rsid w:val="00DA73A4"/>
    <w:rsid w:val="00DA73EE"/>
    <w:rsid w:val="00DA7402"/>
    <w:rsid w:val="00DA740C"/>
    <w:rsid w:val="00DA7486"/>
    <w:rsid w:val="00DA74D6"/>
    <w:rsid w:val="00DA7524"/>
    <w:rsid w:val="00DA7578"/>
    <w:rsid w:val="00DA75B2"/>
    <w:rsid w:val="00DA75DC"/>
    <w:rsid w:val="00DA768F"/>
    <w:rsid w:val="00DA76F2"/>
    <w:rsid w:val="00DA77F2"/>
    <w:rsid w:val="00DA7848"/>
    <w:rsid w:val="00DA787C"/>
    <w:rsid w:val="00DA78D4"/>
    <w:rsid w:val="00DA78E0"/>
    <w:rsid w:val="00DA78E1"/>
    <w:rsid w:val="00DA790B"/>
    <w:rsid w:val="00DA790C"/>
    <w:rsid w:val="00DA79CB"/>
    <w:rsid w:val="00DA7BC6"/>
    <w:rsid w:val="00DA7C00"/>
    <w:rsid w:val="00DA7D06"/>
    <w:rsid w:val="00DA7D35"/>
    <w:rsid w:val="00DA7DC7"/>
    <w:rsid w:val="00DA7E2D"/>
    <w:rsid w:val="00DA7E50"/>
    <w:rsid w:val="00DA7E8C"/>
    <w:rsid w:val="00DA7EED"/>
    <w:rsid w:val="00DA7F40"/>
    <w:rsid w:val="00DA7F56"/>
    <w:rsid w:val="00DB0083"/>
    <w:rsid w:val="00DB0089"/>
    <w:rsid w:val="00DB009C"/>
    <w:rsid w:val="00DB022B"/>
    <w:rsid w:val="00DB02B2"/>
    <w:rsid w:val="00DB035A"/>
    <w:rsid w:val="00DB03CA"/>
    <w:rsid w:val="00DB044E"/>
    <w:rsid w:val="00DB0466"/>
    <w:rsid w:val="00DB0498"/>
    <w:rsid w:val="00DB04B7"/>
    <w:rsid w:val="00DB04D4"/>
    <w:rsid w:val="00DB0527"/>
    <w:rsid w:val="00DB0590"/>
    <w:rsid w:val="00DB0741"/>
    <w:rsid w:val="00DB07B3"/>
    <w:rsid w:val="00DB08BF"/>
    <w:rsid w:val="00DB0987"/>
    <w:rsid w:val="00DB0A46"/>
    <w:rsid w:val="00DB0A8D"/>
    <w:rsid w:val="00DB0AC8"/>
    <w:rsid w:val="00DB0B0B"/>
    <w:rsid w:val="00DB0B41"/>
    <w:rsid w:val="00DB0B88"/>
    <w:rsid w:val="00DB0CD2"/>
    <w:rsid w:val="00DB0D28"/>
    <w:rsid w:val="00DB0EFA"/>
    <w:rsid w:val="00DB0F00"/>
    <w:rsid w:val="00DB10E8"/>
    <w:rsid w:val="00DB10F7"/>
    <w:rsid w:val="00DB119F"/>
    <w:rsid w:val="00DB11D1"/>
    <w:rsid w:val="00DB121E"/>
    <w:rsid w:val="00DB1254"/>
    <w:rsid w:val="00DB131D"/>
    <w:rsid w:val="00DB1392"/>
    <w:rsid w:val="00DB1521"/>
    <w:rsid w:val="00DB16D3"/>
    <w:rsid w:val="00DB17B7"/>
    <w:rsid w:val="00DB17C8"/>
    <w:rsid w:val="00DB185F"/>
    <w:rsid w:val="00DB1864"/>
    <w:rsid w:val="00DB1A02"/>
    <w:rsid w:val="00DB1A98"/>
    <w:rsid w:val="00DB1AE2"/>
    <w:rsid w:val="00DB1B45"/>
    <w:rsid w:val="00DB1B88"/>
    <w:rsid w:val="00DB1BE8"/>
    <w:rsid w:val="00DB1C08"/>
    <w:rsid w:val="00DB1C17"/>
    <w:rsid w:val="00DB2215"/>
    <w:rsid w:val="00DB23F5"/>
    <w:rsid w:val="00DB244E"/>
    <w:rsid w:val="00DB2472"/>
    <w:rsid w:val="00DB25B8"/>
    <w:rsid w:val="00DB25F2"/>
    <w:rsid w:val="00DB26AC"/>
    <w:rsid w:val="00DB27BE"/>
    <w:rsid w:val="00DB27C6"/>
    <w:rsid w:val="00DB2850"/>
    <w:rsid w:val="00DB2902"/>
    <w:rsid w:val="00DB292B"/>
    <w:rsid w:val="00DB2980"/>
    <w:rsid w:val="00DB29E0"/>
    <w:rsid w:val="00DB2A01"/>
    <w:rsid w:val="00DB2A3C"/>
    <w:rsid w:val="00DB2AB8"/>
    <w:rsid w:val="00DB2AC6"/>
    <w:rsid w:val="00DB2B76"/>
    <w:rsid w:val="00DB2C13"/>
    <w:rsid w:val="00DB2C45"/>
    <w:rsid w:val="00DB2C8F"/>
    <w:rsid w:val="00DB2D20"/>
    <w:rsid w:val="00DB2EA8"/>
    <w:rsid w:val="00DB2ED2"/>
    <w:rsid w:val="00DB2FB2"/>
    <w:rsid w:val="00DB300C"/>
    <w:rsid w:val="00DB302A"/>
    <w:rsid w:val="00DB3043"/>
    <w:rsid w:val="00DB30C2"/>
    <w:rsid w:val="00DB3177"/>
    <w:rsid w:val="00DB3192"/>
    <w:rsid w:val="00DB31A7"/>
    <w:rsid w:val="00DB32C7"/>
    <w:rsid w:val="00DB3388"/>
    <w:rsid w:val="00DB339F"/>
    <w:rsid w:val="00DB33A8"/>
    <w:rsid w:val="00DB33D2"/>
    <w:rsid w:val="00DB3469"/>
    <w:rsid w:val="00DB34BA"/>
    <w:rsid w:val="00DB36DE"/>
    <w:rsid w:val="00DB375B"/>
    <w:rsid w:val="00DB3783"/>
    <w:rsid w:val="00DB39DF"/>
    <w:rsid w:val="00DB3A11"/>
    <w:rsid w:val="00DB3A76"/>
    <w:rsid w:val="00DB3B80"/>
    <w:rsid w:val="00DB3BEE"/>
    <w:rsid w:val="00DB3C66"/>
    <w:rsid w:val="00DB3C69"/>
    <w:rsid w:val="00DB3CC6"/>
    <w:rsid w:val="00DB3CE0"/>
    <w:rsid w:val="00DB3CFF"/>
    <w:rsid w:val="00DB3D8C"/>
    <w:rsid w:val="00DB3E4D"/>
    <w:rsid w:val="00DB3E80"/>
    <w:rsid w:val="00DB3EB8"/>
    <w:rsid w:val="00DB3EB9"/>
    <w:rsid w:val="00DB3EF7"/>
    <w:rsid w:val="00DB3F2A"/>
    <w:rsid w:val="00DB40A6"/>
    <w:rsid w:val="00DB40F8"/>
    <w:rsid w:val="00DB412B"/>
    <w:rsid w:val="00DB4188"/>
    <w:rsid w:val="00DB41A1"/>
    <w:rsid w:val="00DB41A8"/>
    <w:rsid w:val="00DB4211"/>
    <w:rsid w:val="00DB42CA"/>
    <w:rsid w:val="00DB42DA"/>
    <w:rsid w:val="00DB44AB"/>
    <w:rsid w:val="00DB4513"/>
    <w:rsid w:val="00DB45DC"/>
    <w:rsid w:val="00DB45EE"/>
    <w:rsid w:val="00DB4635"/>
    <w:rsid w:val="00DB469C"/>
    <w:rsid w:val="00DB4711"/>
    <w:rsid w:val="00DB474B"/>
    <w:rsid w:val="00DB4768"/>
    <w:rsid w:val="00DB47A0"/>
    <w:rsid w:val="00DB47DD"/>
    <w:rsid w:val="00DB4817"/>
    <w:rsid w:val="00DB488B"/>
    <w:rsid w:val="00DB4912"/>
    <w:rsid w:val="00DB4962"/>
    <w:rsid w:val="00DB4A50"/>
    <w:rsid w:val="00DB4C0E"/>
    <w:rsid w:val="00DB4C20"/>
    <w:rsid w:val="00DB4C55"/>
    <w:rsid w:val="00DB4C74"/>
    <w:rsid w:val="00DB4C96"/>
    <w:rsid w:val="00DB4CC6"/>
    <w:rsid w:val="00DB4D7E"/>
    <w:rsid w:val="00DB4D95"/>
    <w:rsid w:val="00DB4E76"/>
    <w:rsid w:val="00DB4FFA"/>
    <w:rsid w:val="00DB4FFF"/>
    <w:rsid w:val="00DB5064"/>
    <w:rsid w:val="00DB50E1"/>
    <w:rsid w:val="00DB5200"/>
    <w:rsid w:val="00DB5233"/>
    <w:rsid w:val="00DB52B9"/>
    <w:rsid w:val="00DB5422"/>
    <w:rsid w:val="00DB5499"/>
    <w:rsid w:val="00DB54E1"/>
    <w:rsid w:val="00DB550B"/>
    <w:rsid w:val="00DB5562"/>
    <w:rsid w:val="00DB564C"/>
    <w:rsid w:val="00DB56E7"/>
    <w:rsid w:val="00DB5798"/>
    <w:rsid w:val="00DB57E8"/>
    <w:rsid w:val="00DB58B0"/>
    <w:rsid w:val="00DB58EE"/>
    <w:rsid w:val="00DB598D"/>
    <w:rsid w:val="00DB59F1"/>
    <w:rsid w:val="00DB5A93"/>
    <w:rsid w:val="00DB5AC1"/>
    <w:rsid w:val="00DB5C28"/>
    <w:rsid w:val="00DB5C79"/>
    <w:rsid w:val="00DB5D38"/>
    <w:rsid w:val="00DB5DC0"/>
    <w:rsid w:val="00DB5DFF"/>
    <w:rsid w:val="00DB5F6F"/>
    <w:rsid w:val="00DB5F97"/>
    <w:rsid w:val="00DB5F9A"/>
    <w:rsid w:val="00DB5FC8"/>
    <w:rsid w:val="00DB6240"/>
    <w:rsid w:val="00DB62A6"/>
    <w:rsid w:val="00DB62DB"/>
    <w:rsid w:val="00DB62DD"/>
    <w:rsid w:val="00DB63CE"/>
    <w:rsid w:val="00DB6440"/>
    <w:rsid w:val="00DB6464"/>
    <w:rsid w:val="00DB647C"/>
    <w:rsid w:val="00DB663F"/>
    <w:rsid w:val="00DB66B3"/>
    <w:rsid w:val="00DB6706"/>
    <w:rsid w:val="00DB67C0"/>
    <w:rsid w:val="00DB67D8"/>
    <w:rsid w:val="00DB689B"/>
    <w:rsid w:val="00DB6934"/>
    <w:rsid w:val="00DB69AA"/>
    <w:rsid w:val="00DB69E5"/>
    <w:rsid w:val="00DB6B15"/>
    <w:rsid w:val="00DB6B59"/>
    <w:rsid w:val="00DB6C69"/>
    <w:rsid w:val="00DB6CA3"/>
    <w:rsid w:val="00DB6CB3"/>
    <w:rsid w:val="00DB6CBD"/>
    <w:rsid w:val="00DB6D8F"/>
    <w:rsid w:val="00DB6DED"/>
    <w:rsid w:val="00DB6E63"/>
    <w:rsid w:val="00DB6FEE"/>
    <w:rsid w:val="00DB716D"/>
    <w:rsid w:val="00DB7176"/>
    <w:rsid w:val="00DB71A3"/>
    <w:rsid w:val="00DB71B7"/>
    <w:rsid w:val="00DB71DC"/>
    <w:rsid w:val="00DB7211"/>
    <w:rsid w:val="00DB721C"/>
    <w:rsid w:val="00DB7227"/>
    <w:rsid w:val="00DB72E9"/>
    <w:rsid w:val="00DB72F6"/>
    <w:rsid w:val="00DB732E"/>
    <w:rsid w:val="00DB749E"/>
    <w:rsid w:val="00DB7531"/>
    <w:rsid w:val="00DB75E8"/>
    <w:rsid w:val="00DB7628"/>
    <w:rsid w:val="00DB7724"/>
    <w:rsid w:val="00DB774B"/>
    <w:rsid w:val="00DB77A1"/>
    <w:rsid w:val="00DB7828"/>
    <w:rsid w:val="00DB783E"/>
    <w:rsid w:val="00DB795C"/>
    <w:rsid w:val="00DB7A5D"/>
    <w:rsid w:val="00DB7C98"/>
    <w:rsid w:val="00DB7CE8"/>
    <w:rsid w:val="00DB7DE9"/>
    <w:rsid w:val="00DB7DFB"/>
    <w:rsid w:val="00DB7E1E"/>
    <w:rsid w:val="00DB7E93"/>
    <w:rsid w:val="00DB7F19"/>
    <w:rsid w:val="00DB7F47"/>
    <w:rsid w:val="00DB7F6F"/>
    <w:rsid w:val="00DC0076"/>
    <w:rsid w:val="00DC0080"/>
    <w:rsid w:val="00DC009D"/>
    <w:rsid w:val="00DC009E"/>
    <w:rsid w:val="00DC00EB"/>
    <w:rsid w:val="00DC0175"/>
    <w:rsid w:val="00DC01A7"/>
    <w:rsid w:val="00DC01E9"/>
    <w:rsid w:val="00DC023F"/>
    <w:rsid w:val="00DC0362"/>
    <w:rsid w:val="00DC046B"/>
    <w:rsid w:val="00DC04F5"/>
    <w:rsid w:val="00DC053C"/>
    <w:rsid w:val="00DC06C6"/>
    <w:rsid w:val="00DC0757"/>
    <w:rsid w:val="00DC0760"/>
    <w:rsid w:val="00DC079E"/>
    <w:rsid w:val="00DC0834"/>
    <w:rsid w:val="00DC0856"/>
    <w:rsid w:val="00DC0A21"/>
    <w:rsid w:val="00DC0A27"/>
    <w:rsid w:val="00DC0A2E"/>
    <w:rsid w:val="00DC0AE6"/>
    <w:rsid w:val="00DC0B7D"/>
    <w:rsid w:val="00DC0D21"/>
    <w:rsid w:val="00DC0D60"/>
    <w:rsid w:val="00DC0DBE"/>
    <w:rsid w:val="00DC0DEE"/>
    <w:rsid w:val="00DC0E3C"/>
    <w:rsid w:val="00DC0E87"/>
    <w:rsid w:val="00DC0EF1"/>
    <w:rsid w:val="00DC0F25"/>
    <w:rsid w:val="00DC0F4C"/>
    <w:rsid w:val="00DC1027"/>
    <w:rsid w:val="00DC110C"/>
    <w:rsid w:val="00DC1131"/>
    <w:rsid w:val="00DC1170"/>
    <w:rsid w:val="00DC11FF"/>
    <w:rsid w:val="00DC156F"/>
    <w:rsid w:val="00DC1577"/>
    <w:rsid w:val="00DC15E8"/>
    <w:rsid w:val="00DC15F8"/>
    <w:rsid w:val="00DC175D"/>
    <w:rsid w:val="00DC177F"/>
    <w:rsid w:val="00DC17A8"/>
    <w:rsid w:val="00DC197F"/>
    <w:rsid w:val="00DC19E8"/>
    <w:rsid w:val="00DC1A28"/>
    <w:rsid w:val="00DC1A84"/>
    <w:rsid w:val="00DC1AE5"/>
    <w:rsid w:val="00DC1B5D"/>
    <w:rsid w:val="00DC1C60"/>
    <w:rsid w:val="00DC1C64"/>
    <w:rsid w:val="00DC1CE0"/>
    <w:rsid w:val="00DC1D34"/>
    <w:rsid w:val="00DC1D38"/>
    <w:rsid w:val="00DC1DAE"/>
    <w:rsid w:val="00DC1DBE"/>
    <w:rsid w:val="00DC1DD6"/>
    <w:rsid w:val="00DC1FB0"/>
    <w:rsid w:val="00DC215F"/>
    <w:rsid w:val="00DC21A4"/>
    <w:rsid w:val="00DC22D4"/>
    <w:rsid w:val="00DC22F0"/>
    <w:rsid w:val="00DC232E"/>
    <w:rsid w:val="00DC243F"/>
    <w:rsid w:val="00DC2468"/>
    <w:rsid w:val="00DC24CC"/>
    <w:rsid w:val="00DC2529"/>
    <w:rsid w:val="00DC252E"/>
    <w:rsid w:val="00DC258B"/>
    <w:rsid w:val="00DC25CA"/>
    <w:rsid w:val="00DC26C7"/>
    <w:rsid w:val="00DC27FF"/>
    <w:rsid w:val="00DC2819"/>
    <w:rsid w:val="00DC288E"/>
    <w:rsid w:val="00DC28A0"/>
    <w:rsid w:val="00DC2948"/>
    <w:rsid w:val="00DC29AB"/>
    <w:rsid w:val="00DC2A8F"/>
    <w:rsid w:val="00DC2AA6"/>
    <w:rsid w:val="00DC2B4A"/>
    <w:rsid w:val="00DC2C88"/>
    <w:rsid w:val="00DC2DB0"/>
    <w:rsid w:val="00DC2E00"/>
    <w:rsid w:val="00DC2E1C"/>
    <w:rsid w:val="00DC2E31"/>
    <w:rsid w:val="00DC2F09"/>
    <w:rsid w:val="00DC2FA0"/>
    <w:rsid w:val="00DC2FBE"/>
    <w:rsid w:val="00DC2FD6"/>
    <w:rsid w:val="00DC3093"/>
    <w:rsid w:val="00DC315E"/>
    <w:rsid w:val="00DC3251"/>
    <w:rsid w:val="00DC3337"/>
    <w:rsid w:val="00DC33CE"/>
    <w:rsid w:val="00DC347B"/>
    <w:rsid w:val="00DC3731"/>
    <w:rsid w:val="00DC3780"/>
    <w:rsid w:val="00DC37EB"/>
    <w:rsid w:val="00DC3835"/>
    <w:rsid w:val="00DC3893"/>
    <w:rsid w:val="00DC38A7"/>
    <w:rsid w:val="00DC3968"/>
    <w:rsid w:val="00DC3A48"/>
    <w:rsid w:val="00DC3B38"/>
    <w:rsid w:val="00DC3B4C"/>
    <w:rsid w:val="00DC3B5A"/>
    <w:rsid w:val="00DC3B84"/>
    <w:rsid w:val="00DC3B87"/>
    <w:rsid w:val="00DC3CB8"/>
    <w:rsid w:val="00DC3D0B"/>
    <w:rsid w:val="00DC3D14"/>
    <w:rsid w:val="00DC3DE8"/>
    <w:rsid w:val="00DC3EAE"/>
    <w:rsid w:val="00DC3EBF"/>
    <w:rsid w:val="00DC3FC4"/>
    <w:rsid w:val="00DC4014"/>
    <w:rsid w:val="00DC4024"/>
    <w:rsid w:val="00DC403E"/>
    <w:rsid w:val="00DC40FB"/>
    <w:rsid w:val="00DC413C"/>
    <w:rsid w:val="00DC41B9"/>
    <w:rsid w:val="00DC4269"/>
    <w:rsid w:val="00DC42B8"/>
    <w:rsid w:val="00DC43A0"/>
    <w:rsid w:val="00DC43B5"/>
    <w:rsid w:val="00DC4492"/>
    <w:rsid w:val="00DC45CC"/>
    <w:rsid w:val="00DC461E"/>
    <w:rsid w:val="00DC46A5"/>
    <w:rsid w:val="00DC4720"/>
    <w:rsid w:val="00DC47BB"/>
    <w:rsid w:val="00DC4A2C"/>
    <w:rsid w:val="00DC4AB7"/>
    <w:rsid w:val="00DC4B35"/>
    <w:rsid w:val="00DC4BE9"/>
    <w:rsid w:val="00DC4C72"/>
    <w:rsid w:val="00DC4CE9"/>
    <w:rsid w:val="00DC4D3B"/>
    <w:rsid w:val="00DC4D82"/>
    <w:rsid w:val="00DC4E17"/>
    <w:rsid w:val="00DC4E44"/>
    <w:rsid w:val="00DC4E8B"/>
    <w:rsid w:val="00DC4FB1"/>
    <w:rsid w:val="00DC5091"/>
    <w:rsid w:val="00DC50D7"/>
    <w:rsid w:val="00DC50DE"/>
    <w:rsid w:val="00DC517A"/>
    <w:rsid w:val="00DC5373"/>
    <w:rsid w:val="00DC54D0"/>
    <w:rsid w:val="00DC5524"/>
    <w:rsid w:val="00DC5559"/>
    <w:rsid w:val="00DC55C2"/>
    <w:rsid w:val="00DC5609"/>
    <w:rsid w:val="00DC56F7"/>
    <w:rsid w:val="00DC5735"/>
    <w:rsid w:val="00DC58E8"/>
    <w:rsid w:val="00DC5938"/>
    <w:rsid w:val="00DC59CF"/>
    <w:rsid w:val="00DC5A31"/>
    <w:rsid w:val="00DC5A79"/>
    <w:rsid w:val="00DC5B74"/>
    <w:rsid w:val="00DC5CCE"/>
    <w:rsid w:val="00DC5D48"/>
    <w:rsid w:val="00DC5D88"/>
    <w:rsid w:val="00DC5E02"/>
    <w:rsid w:val="00DC5E17"/>
    <w:rsid w:val="00DC5E72"/>
    <w:rsid w:val="00DC5E95"/>
    <w:rsid w:val="00DC5EA2"/>
    <w:rsid w:val="00DC5F05"/>
    <w:rsid w:val="00DC5FCE"/>
    <w:rsid w:val="00DC5FD1"/>
    <w:rsid w:val="00DC5FF8"/>
    <w:rsid w:val="00DC60C3"/>
    <w:rsid w:val="00DC618C"/>
    <w:rsid w:val="00DC61AA"/>
    <w:rsid w:val="00DC6217"/>
    <w:rsid w:val="00DC6221"/>
    <w:rsid w:val="00DC6284"/>
    <w:rsid w:val="00DC6290"/>
    <w:rsid w:val="00DC62F5"/>
    <w:rsid w:val="00DC6321"/>
    <w:rsid w:val="00DC641D"/>
    <w:rsid w:val="00DC6434"/>
    <w:rsid w:val="00DC64CE"/>
    <w:rsid w:val="00DC64E4"/>
    <w:rsid w:val="00DC651F"/>
    <w:rsid w:val="00DC65CE"/>
    <w:rsid w:val="00DC65F8"/>
    <w:rsid w:val="00DC661F"/>
    <w:rsid w:val="00DC6681"/>
    <w:rsid w:val="00DC668E"/>
    <w:rsid w:val="00DC66C4"/>
    <w:rsid w:val="00DC6724"/>
    <w:rsid w:val="00DC6806"/>
    <w:rsid w:val="00DC6835"/>
    <w:rsid w:val="00DC6929"/>
    <w:rsid w:val="00DC69F7"/>
    <w:rsid w:val="00DC6A17"/>
    <w:rsid w:val="00DC6A23"/>
    <w:rsid w:val="00DC6A2B"/>
    <w:rsid w:val="00DC6A37"/>
    <w:rsid w:val="00DC6AB4"/>
    <w:rsid w:val="00DC6AF7"/>
    <w:rsid w:val="00DC6AFB"/>
    <w:rsid w:val="00DC6B8B"/>
    <w:rsid w:val="00DC6C0D"/>
    <w:rsid w:val="00DC6C2D"/>
    <w:rsid w:val="00DC6CAD"/>
    <w:rsid w:val="00DC6E19"/>
    <w:rsid w:val="00DC6E9D"/>
    <w:rsid w:val="00DC6F75"/>
    <w:rsid w:val="00DC707D"/>
    <w:rsid w:val="00DC70D4"/>
    <w:rsid w:val="00DC71ED"/>
    <w:rsid w:val="00DC72D7"/>
    <w:rsid w:val="00DC7381"/>
    <w:rsid w:val="00DC73AA"/>
    <w:rsid w:val="00DC73D8"/>
    <w:rsid w:val="00DC745E"/>
    <w:rsid w:val="00DC74B5"/>
    <w:rsid w:val="00DC751E"/>
    <w:rsid w:val="00DC778D"/>
    <w:rsid w:val="00DC77DB"/>
    <w:rsid w:val="00DC77EE"/>
    <w:rsid w:val="00DC784E"/>
    <w:rsid w:val="00DC7AF3"/>
    <w:rsid w:val="00DC7C1A"/>
    <w:rsid w:val="00DC7C2A"/>
    <w:rsid w:val="00DC7C7F"/>
    <w:rsid w:val="00DC7C8A"/>
    <w:rsid w:val="00DC7C99"/>
    <w:rsid w:val="00DC7DA4"/>
    <w:rsid w:val="00DC7DB6"/>
    <w:rsid w:val="00DC7F97"/>
    <w:rsid w:val="00DC7FA5"/>
    <w:rsid w:val="00DC7FCE"/>
    <w:rsid w:val="00DD000B"/>
    <w:rsid w:val="00DD0075"/>
    <w:rsid w:val="00DD00B7"/>
    <w:rsid w:val="00DD00DF"/>
    <w:rsid w:val="00DD0103"/>
    <w:rsid w:val="00DD0134"/>
    <w:rsid w:val="00DD0140"/>
    <w:rsid w:val="00DD02BD"/>
    <w:rsid w:val="00DD0388"/>
    <w:rsid w:val="00DD041D"/>
    <w:rsid w:val="00DD0437"/>
    <w:rsid w:val="00DD0448"/>
    <w:rsid w:val="00DD0492"/>
    <w:rsid w:val="00DD04CB"/>
    <w:rsid w:val="00DD051F"/>
    <w:rsid w:val="00DD05AC"/>
    <w:rsid w:val="00DD0652"/>
    <w:rsid w:val="00DD0662"/>
    <w:rsid w:val="00DD0671"/>
    <w:rsid w:val="00DD0732"/>
    <w:rsid w:val="00DD0735"/>
    <w:rsid w:val="00DD079D"/>
    <w:rsid w:val="00DD0896"/>
    <w:rsid w:val="00DD08EB"/>
    <w:rsid w:val="00DD0907"/>
    <w:rsid w:val="00DD0926"/>
    <w:rsid w:val="00DD095A"/>
    <w:rsid w:val="00DD0BA7"/>
    <w:rsid w:val="00DD0C36"/>
    <w:rsid w:val="00DD0D94"/>
    <w:rsid w:val="00DD0E68"/>
    <w:rsid w:val="00DD0EA8"/>
    <w:rsid w:val="00DD0FB0"/>
    <w:rsid w:val="00DD0FCC"/>
    <w:rsid w:val="00DD101C"/>
    <w:rsid w:val="00DD103A"/>
    <w:rsid w:val="00DD10FA"/>
    <w:rsid w:val="00DD1126"/>
    <w:rsid w:val="00DD130C"/>
    <w:rsid w:val="00DD131F"/>
    <w:rsid w:val="00DD132F"/>
    <w:rsid w:val="00DD1372"/>
    <w:rsid w:val="00DD1377"/>
    <w:rsid w:val="00DD13D7"/>
    <w:rsid w:val="00DD144F"/>
    <w:rsid w:val="00DD1450"/>
    <w:rsid w:val="00DD1535"/>
    <w:rsid w:val="00DD15B4"/>
    <w:rsid w:val="00DD15C8"/>
    <w:rsid w:val="00DD16B8"/>
    <w:rsid w:val="00DD16D8"/>
    <w:rsid w:val="00DD171B"/>
    <w:rsid w:val="00DD1746"/>
    <w:rsid w:val="00DD175E"/>
    <w:rsid w:val="00DD176B"/>
    <w:rsid w:val="00DD1846"/>
    <w:rsid w:val="00DD18A9"/>
    <w:rsid w:val="00DD18B0"/>
    <w:rsid w:val="00DD190B"/>
    <w:rsid w:val="00DD198B"/>
    <w:rsid w:val="00DD19D5"/>
    <w:rsid w:val="00DD1A03"/>
    <w:rsid w:val="00DD1AE1"/>
    <w:rsid w:val="00DD1AE9"/>
    <w:rsid w:val="00DD1B23"/>
    <w:rsid w:val="00DD1BE1"/>
    <w:rsid w:val="00DD1BEA"/>
    <w:rsid w:val="00DD1C46"/>
    <w:rsid w:val="00DD1E77"/>
    <w:rsid w:val="00DD1E9A"/>
    <w:rsid w:val="00DD1EA4"/>
    <w:rsid w:val="00DD1EE9"/>
    <w:rsid w:val="00DD1EF9"/>
    <w:rsid w:val="00DD1F11"/>
    <w:rsid w:val="00DD1FC2"/>
    <w:rsid w:val="00DD206F"/>
    <w:rsid w:val="00DD2104"/>
    <w:rsid w:val="00DD2260"/>
    <w:rsid w:val="00DD2274"/>
    <w:rsid w:val="00DD22BD"/>
    <w:rsid w:val="00DD22CF"/>
    <w:rsid w:val="00DD235C"/>
    <w:rsid w:val="00DD2415"/>
    <w:rsid w:val="00DD2439"/>
    <w:rsid w:val="00DD246B"/>
    <w:rsid w:val="00DD254B"/>
    <w:rsid w:val="00DD25F4"/>
    <w:rsid w:val="00DD26F7"/>
    <w:rsid w:val="00DD2794"/>
    <w:rsid w:val="00DD27BA"/>
    <w:rsid w:val="00DD28AB"/>
    <w:rsid w:val="00DD28EF"/>
    <w:rsid w:val="00DD28FF"/>
    <w:rsid w:val="00DD2935"/>
    <w:rsid w:val="00DD29BF"/>
    <w:rsid w:val="00DD2A14"/>
    <w:rsid w:val="00DD2A82"/>
    <w:rsid w:val="00DD2B2C"/>
    <w:rsid w:val="00DD2B86"/>
    <w:rsid w:val="00DD2CB8"/>
    <w:rsid w:val="00DD2DC3"/>
    <w:rsid w:val="00DD2DF4"/>
    <w:rsid w:val="00DD2F07"/>
    <w:rsid w:val="00DD2F14"/>
    <w:rsid w:val="00DD2F34"/>
    <w:rsid w:val="00DD2F39"/>
    <w:rsid w:val="00DD304C"/>
    <w:rsid w:val="00DD31AF"/>
    <w:rsid w:val="00DD31F8"/>
    <w:rsid w:val="00DD3221"/>
    <w:rsid w:val="00DD32FB"/>
    <w:rsid w:val="00DD3317"/>
    <w:rsid w:val="00DD3385"/>
    <w:rsid w:val="00DD338E"/>
    <w:rsid w:val="00DD33B6"/>
    <w:rsid w:val="00DD33EA"/>
    <w:rsid w:val="00DD3529"/>
    <w:rsid w:val="00DD356B"/>
    <w:rsid w:val="00DD359A"/>
    <w:rsid w:val="00DD3728"/>
    <w:rsid w:val="00DD375C"/>
    <w:rsid w:val="00DD37B9"/>
    <w:rsid w:val="00DD37CA"/>
    <w:rsid w:val="00DD37ED"/>
    <w:rsid w:val="00DD381D"/>
    <w:rsid w:val="00DD38EE"/>
    <w:rsid w:val="00DD39EC"/>
    <w:rsid w:val="00DD3A02"/>
    <w:rsid w:val="00DD3BA0"/>
    <w:rsid w:val="00DD3C04"/>
    <w:rsid w:val="00DD3CDE"/>
    <w:rsid w:val="00DD3DA0"/>
    <w:rsid w:val="00DD3DC8"/>
    <w:rsid w:val="00DD3E51"/>
    <w:rsid w:val="00DD3F64"/>
    <w:rsid w:val="00DD4051"/>
    <w:rsid w:val="00DD4139"/>
    <w:rsid w:val="00DD4277"/>
    <w:rsid w:val="00DD42FB"/>
    <w:rsid w:val="00DD430A"/>
    <w:rsid w:val="00DD438A"/>
    <w:rsid w:val="00DD443F"/>
    <w:rsid w:val="00DD44E9"/>
    <w:rsid w:val="00DD4500"/>
    <w:rsid w:val="00DD4594"/>
    <w:rsid w:val="00DD45A2"/>
    <w:rsid w:val="00DD47B5"/>
    <w:rsid w:val="00DD4814"/>
    <w:rsid w:val="00DD4850"/>
    <w:rsid w:val="00DD494F"/>
    <w:rsid w:val="00DD4AC2"/>
    <w:rsid w:val="00DD4B5D"/>
    <w:rsid w:val="00DD4BEF"/>
    <w:rsid w:val="00DD4C6C"/>
    <w:rsid w:val="00DD4CBA"/>
    <w:rsid w:val="00DD4D0B"/>
    <w:rsid w:val="00DD4DF0"/>
    <w:rsid w:val="00DD4F56"/>
    <w:rsid w:val="00DD5077"/>
    <w:rsid w:val="00DD51E3"/>
    <w:rsid w:val="00DD5254"/>
    <w:rsid w:val="00DD5392"/>
    <w:rsid w:val="00DD5428"/>
    <w:rsid w:val="00DD544B"/>
    <w:rsid w:val="00DD54DF"/>
    <w:rsid w:val="00DD5502"/>
    <w:rsid w:val="00DD556C"/>
    <w:rsid w:val="00DD5571"/>
    <w:rsid w:val="00DD5803"/>
    <w:rsid w:val="00DD582F"/>
    <w:rsid w:val="00DD58D2"/>
    <w:rsid w:val="00DD59B1"/>
    <w:rsid w:val="00DD5BB5"/>
    <w:rsid w:val="00DD5BFD"/>
    <w:rsid w:val="00DD5C4C"/>
    <w:rsid w:val="00DD5CB1"/>
    <w:rsid w:val="00DD5CC4"/>
    <w:rsid w:val="00DD5CD4"/>
    <w:rsid w:val="00DD5DCD"/>
    <w:rsid w:val="00DD5DEA"/>
    <w:rsid w:val="00DD5E5D"/>
    <w:rsid w:val="00DD5F06"/>
    <w:rsid w:val="00DD5F51"/>
    <w:rsid w:val="00DD5F6C"/>
    <w:rsid w:val="00DD5F96"/>
    <w:rsid w:val="00DD5FE7"/>
    <w:rsid w:val="00DD5FEF"/>
    <w:rsid w:val="00DD60B5"/>
    <w:rsid w:val="00DD61B7"/>
    <w:rsid w:val="00DD62E2"/>
    <w:rsid w:val="00DD6330"/>
    <w:rsid w:val="00DD634D"/>
    <w:rsid w:val="00DD63B3"/>
    <w:rsid w:val="00DD63CD"/>
    <w:rsid w:val="00DD660E"/>
    <w:rsid w:val="00DD663A"/>
    <w:rsid w:val="00DD663E"/>
    <w:rsid w:val="00DD6674"/>
    <w:rsid w:val="00DD668C"/>
    <w:rsid w:val="00DD66EC"/>
    <w:rsid w:val="00DD6722"/>
    <w:rsid w:val="00DD67A6"/>
    <w:rsid w:val="00DD6804"/>
    <w:rsid w:val="00DD6810"/>
    <w:rsid w:val="00DD6832"/>
    <w:rsid w:val="00DD6839"/>
    <w:rsid w:val="00DD691F"/>
    <w:rsid w:val="00DD6A3E"/>
    <w:rsid w:val="00DD6AF6"/>
    <w:rsid w:val="00DD6B58"/>
    <w:rsid w:val="00DD6B85"/>
    <w:rsid w:val="00DD6B96"/>
    <w:rsid w:val="00DD6D68"/>
    <w:rsid w:val="00DD6DA0"/>
    <w:rsid w:val="00DD6E5C"/>
    <w:rsid w:val="00DD6E6B"/>
    <w:rsid w:val="00DD6E8A"/>
    <w:rsid w:val="00DD6F13"/>
    <w:rsid w:val="00DD6F29"/>
    <w:rsid w:val="00DD6F89"/>
    <w:rsid w:val="00DD6FFF"/>
    <w:rsid w:val="00DD7172"/>
    <w:rsid w:val="00DD7192"/>
    <w:rsid w:val="00DD71AE"/>
    <w:rsid w:val="00DD732F"/>
    <w:rsid w:val="00DD7335"/>
    <w:rsid w:val="00DD736C"/>
    <w:rsid w:val="00DD73A2"/>
    <w:rsid w:val="00DD76E4"/>
    <w:rsid w:val="00DD76EF"/>
    <w:rsid w:val="00DD772D"/>
    <w:rsid w:val="00DD77D5"/>
    <w:rsid w:val="00DD7941"/>
    <w:rsid w:val="00DD7A44"/>
    <w:rsid w:val="00DD7AD0"/>
    <w:rsid w:val="00DD7B9F"/>
    <w:rsid w:val="00DD7C39"/>
    <w:rsid w:val="00DD7C54"/>
    <w:rsid w:val="00DD7D35"/>
    <w:rsid w:val="00DD7E39"/>
    <w:rsid w:val="00DD7E60"/>
    <w:rsid w:val="00DD7F80"/>
    <w:rsid w:val="00DD7F89"/>
    <w:rsid w:val="00DE0101"/>
    <w:rsid w:val="00DE011D"/>
    <w:rsid w:val="00DE028C"/>
    <w:rsid w:val="00DE02A6"/>
    <w:rsid w:val="00DE02AF"/>
    <w:rsid w:val="00DE02F9"/>
    <w:rsid w:val="00DE04D0"/>
    <w:rsid w:val="00DE0510"/>
    <w:rsid w:val="00DE0515"/>
    <w:rsid w:val="00DE05D0"/>
    <w:rsid w:val="00DE05DC"/>
    <w:rsid w:val="00DE068A"/>
    <w:rsid w:val="00DE068D"/>
    <w:rsid w:val="00DE068E"/>
    <w:rsid w:val="00DE078E"/>
    <w:rsid w:val="00DE09FF"/>
    <w:rsid w:val="00DE0A10"/>
    <w:rsid w:val="00DE0B20"/>
    <w:rsid w:val="00DE0BE7"/>
    <w:rsid w:val="00DE0C70"/>
    <w:rsid w:val="00DE0C80"/>
    <w:rsid w:val="00DE0C97"/>
    <w:rsid w:val="00DE0CA3"/>
    <w:rsid w:val="00DE0CFC"/>
    <w:rsid w:val="00DE0D31"/>
    <w:rsid w:val="00DE0D87"/>
    <w:rsid w:val="00DE0DCD"/>
    <w:rsid w:val="00DE0DD8"/>
    <w:rsid w:val="00DE0DF2"/>
    <w:rsid w:val="00DE0F2A"/>
    <w:rsid w:val="00DE0F43"/>
    <w:rsid w:val="00DE0FF1"/>
    <w:rsid w:val="00DE10F3"/>
    <w:rsid w:val="00DE10FB"/>
    <w:rsid w:val="00DE1189"/>
    <w:rsid w:val="00DE11AA"/>
    <w:rsid w:val="00DE121A"/>
    <w:rsid w:val="00DE13DB"/>
    <w:rsid w:val="00DE141F"/>
    <w:rsid w:val="00DE1423"/>
    <w:rsid w:val="00DE1595"/>
    <w:rsid w:val="00DE1642"/>
    <w:rsid w:val="00DE172B"/>
    <w:rsid w:val="00DE1954"/>
    <w:rsid w:val="00DE1A87"/>
    <w:rsid w:val="00DE1A96"/>
    <w:rsid w:val="00DE1AAD"/>
    <w:rsid w:val="00DE1AB7"/>
    <w:rsid w:val="00DE1ACD"/>
    <w:rsid w:val="00DE1B25"/>
    <w:rsid w:val="00DE1CA5"/>
    <w:rsid w:val="00DE1DBC"/>
    <w:rsid w:val="00DE1EA2"/>
    <w:rsid w:val="00DE1EE1"/>
    <w:rsid w:val="00DE1F16"/>
    <w:rsid w:val="00DE1F46"/>
    <w:rsid w:val="00DE1FAD"/>
    <w:rsid w:val="00DE1FF6"/>
    <w:rsid w:val="00DE200D"/>
    <w:rsid w:val="00DE211A"/>
    <w:rsid w:val="00DE2137"/>
    <w:rsid w:val="00DE2148"/>
    <w:rsid w:val="00DE2171"/>
    <w:rsid w:val="00DE21F9"/>
    <w:rsid w:val="00DE2204"/>
    <w:rsid w:val="00DE228C"/>
    <w:rsid w:val="00DE2372"/>
    <w:rsid w:val="00DE23C2"/>
    <w:rsid w:val="00DE242C"/>
    <w:rsid w:val="00DE24DD"/>
    <w:rsid w:val="00DE2668"/>
    <w:rsid w:val="00DE26B6"/>
    <w:rsid w:val="00DE26DC"/>
    <w:rsid w:val="00DE26E5"/>
    <w:rsid w:val="00DE2759"/>
    <w:rsid w:val="00DE27A3"/>
    <w:rsid w:val="00DE2882"/>
    <w:rsid w:val="00DE2A66"/>
    <w:rsid w:val="00DE2B6C"/>
    <w:rsid w:val="00DE2D07"/>
    <w:rsid w:val="00DE2D6B"/>
    <w:rsid w:val="00DE2D87"/>
    <w:rsid w:val="00DE2D94"/>
    <w:rsid w:val="00DE2DB9"/>
    <w:rsid w:val="00DE2E1D"/>
    <w:rsid w:val="00DE2E73"/>
    <w:rsid w:val="00DE2E77"/>
    <w:rsid w:val="00DE2ECE"/>
    <w:rsid w:val="00DE301B"/>
    <w:rsid w:val="00DE3034"/>
    <w:rsid w:val="00DE31C0"/>
    <w:rsid w:val="00DE3244"/>
    <w:rsid w:val="00DE32F1"/>
    <w:rsid w:val="00DE330E"/>
    <w:rsid w:val="00DE33B3"/>
    <w:rsid w:val="00DE33BF"/>
    <w:rsid w:val="00DE3412"/>
    <w:rsid w:val="00DE3455"/>
    <w:rsid w:val="00DE3456"/>
    <w:rsid w:val="00DE34D6"/>
    <w:rsid w:val="00DE351B"/>
    <w:rsid w:val="00DE359A"/>
    <w:rsid w:val="00DE35E0"/>
    <w:rsid w:val="00DE366B"/>
    <w:rsid w:val="00DE3729"/>
    <w:rsid w:val="00DE37B1"/>
    <w:rsid w:val="00DE3887"/>
    <w:rsid w:val="00DE3BAF"/>
    <w:rsid w:val="00DE3BC8"/>
    <w:rsid w:val="00DE3BD1"/>
    <w:rsid w:val="00DE3C41"/>
    <w:rsid w:val="00DE3C68"/>
    <w:rsid w:val="00DE3E4F"/>
    <w:rsid w:val="00DE3F17"/>
    <w:rsid w:val="00DE3F7B"/>
    <w:rsid w:val="00DE3F96"/>
    <w:rsid w:val="00DE4017"/>
    <w:rsid w:val="00DE402E"/>
    <w:rsid w:val="00DE41CF"/>
    <w:rsid w:val="00DE42C8"/>
    <w:rsid w:val="00DE4303"/>
    <w:rsid w:val="00DE4369"/>
    <w:rsid w:val="00DE4381"/>
    <w:rsid w:val="00DE43BB"/>
    <w:rsid w:val="00DE44E2"/>
    <w:rsid w:val="00DE4536"/>
    <w:rsid w:val="00DE4615"/>
    <w:rsid w:val="00DE465A"/>
    <w:rsid w:val="00DE46B4"/>
    <w:rsid w:val="00DE4734"/>
    <w:rsid w:val="00DE47AA"/>
    <w:rsid w:val="00DE4845"/>
    <w:rsid w:val="00DE4848"/>
    <w:rsid w:val="00DE48D1"/>
    <w:rsid w:val="00DE4905"/>
    <w:rsid w:val="00DE490D"/>
    <w:rsid w:val="00DE493E"/>
    <w:rsid w:val="00DE4BAC"/>
    <w:rsid w:val="00DE4C47"/>
    <w:rsid w:val="00DE4D9D"/>
    <w:rsid w:val="00DE4DC8"/>
    <w:rsid w:val="00DE4EB4"/>
    <w:rsid w:val="00DE4F00"/>
    <w:rsid w:val="00DE4FD0"/>
    <w:rsid w:val="00DE504B"/>
    <w:rsid w:val="00DE5069"/>
    <w:rsid w:val="00DE5097"/>
    <w:rsid w:val="00DE5337"/>
    <w:rsid w:val="00DE550D"/>
    <w:rsid w:val="00DE5590"/>
    <w:rsid w:val="00DE55D2"/>
    <w:rsid w:val="00DE569A"/>
    <w:rsid w:val="00DE574C"/>
    <w:rsid w:val="00DE576F"/>
    <w:rsid w:val="00DE57E0"/>
    <w:rsid w:val="00DE584F"/>
    <w:rsid w:val="00DE58C7"/>
    <w:rsid w:val="00DE58E0"/>
    <w:rsid w:val="00DE5918"/>
    <w:rsid w:val="00DE5962"/>
    <w:rsid w:val="00DE5966"/>
    <w:rsid w:val="00DE59FE"/>
    <w:rsid w:val="00DE5A13"/>
    <w:rsid w:val="00DE5B73"/>
    <w:rsid w:val="00DE5B9D"/>
    <w:rsid w:val="00DE5C43"/>
    <w:rsid w:val="00DE5CFC"/>
    <w:rsid w:val="00DE5D19"/>
    <w:rsid w:val="00DE5DB6"/>
    <w:rsid w:val="00DE5EBA"/>
    <w:rsid w:val="00DE5F41"/>
    <w:rsid w:val="00DE5F87"/>
    <w:rsid w:val="00DE600A"/>
    <w:rsid w:val="00DE609D"/>
    <w:rsid w:val="00DE60E1"/>
    <w:rsid w:val="00DE619B"/>
    <w:rsid w:val="00DE627E"/>
    <w:rsid w:val="00DE63B0"/>
    <w:rsid w:val="00DE63E7"/>
    <w:rsid w:val="00DE642E"/>
    <w:rsid w:val="00DE6478"/>
    <w:rsid w:val="00DE6503"/>
    <w:rsid w:val="00DE6537"/>
    <w:rsid w:val="00DE65A0"/>
    <w:rsid w:val="00DE666B"/>
    <w:rsid w:val="00DE6750"/>
    <w:rsid w:val="00DE676F"/>
    <w:rsid w:val="00DE6789"/>
    <w:rsid w:val="00DE67DE"/>
    <w:rsid w:val="00DE6835"/>
    <w:rsid w:val="00DE6901"/>
    <w:rsid w:val="00DE6A37"/>
    <w:rsid w:val="00DE6A44"/>
    <w:rsid w:val="00DE6A7A"/>
    <w:rsid w:val="00DE6A86"/>
    <w:rsid w:val="00DE6A8D"/>
    <w:rsid w:val="00DE6ACE"/>
    <w:rsid w:val="00DE6B17"/>
    <w:rsid w:val="00DE6D07"/>
    <w:rsid w:val="00DE6D1B"/>
    <w:rsid w:val="00DE6DA3"/>
    <w:rsid w:val="00DE6FBD"/>
    <w:rsid w:val="00DE7004"/>
    <w:rsid w:val="00DE703A"/>
    <w:rsid w:val="00DE707E"/>
    <w:rsid w:val="00DE70B1"/>
    <w:rsid w:val="00DE70D9"/>
    <w:rsid w:val="00DE7136"/>
    <w:rsid w:val="00DE717E"/>
    <w:rsid w:val="00DE71D2"/>
    <w:rsid w:val="00DE71D7"/>
    <w:rsid w:val="00DE72A2"/>
    <w:rsid w:val="00DE7306"/>
    <w:rsid w:val="00DE73C4"/>
    <w:rsid w:val="00DE73F9"/>
    <w:rsid w:val="00DE754E"/>
    <w:rsid w:val="00DE75BD"/>
    <w:rsid w:val="00DE75FE"/>
    <w:rsid w:val="00DE7627"/>
    <w:rsid w:val="00DE7639"/>
    <w:rsid w:val="00DE76BB"/>
    <w:rsid w:val="00DE7817"/>
    <w:rsid w:val="00DE7860"/>
    <w:rsid w:val="00DE7920"/>
    <w:rsid w:val="00DE7954"/>
    <w:rsid w:val="00DE79FA"/>
    <w:rsid w:val="00DE7A76"/>
    <w:rsid w:val="00DE7B18"/>
    <w:rsid w:val="00DE7B25"/>
    <w:rsid w:val="00DE7B81"/>
    <w:rsid w:val="00DE7C9B"/>
    <w:rsid w:val="00DE7D35"/>
    <w:rsid w:val="00DE7D45"/>
    <w:rsid w:val="00DE7DC8"/>
    <w:rsid w:val="00DE7F3B"/>
    <w:rsid w:val="00DE7F7F"/>
    <w:rsid w:val="00DE7FC6"/>
    <w:rsid w:val="00DE7FFB"/>
    <w:rsid w:val="00DF009E"/>
    <w:rsid w:val="00DF00C4"/>
    <w:rsid w:val="00DF0175"/>
    <w:rsid w:val="00DF01D4"/>
    <w:rsid w:val="00DF01D9"/>
    <w:rsid w:val="00DF0255"/>
    <w:rsid w:val="00DF0305"/>
    <w:rsid w:val="00DF039D"/>
    <w:rsid w:val="00DF03D6"/>
    <w:rsid w:val="00DF042B"/>
    <w:rsid w:val="00DF046A"/>
    <w:rsid w:val="00DF04BE"/>
    <w:rsid w:val="00DF050B"/>
    <w:rsid w:val="00DF0613"/>
    <w:rsid w:val="00DF067F"/>
    <w:rsid w:val="00DF0682"/>
    <w:rsid w:val="00DF06C6"/>
    <w:rsid w:val="00DF078C"/>
    <w:rsid w:val="00DF0810"/>
    <w:rsid w:val="00DF0816"/>
    <w:rsid w:val="00DF0856"/>
    <w:rsid w:val="00DF0947"/>
    <w:rsid w:val="00DF0AB8"/>
    <w:rsid w:val="00DF0B59"/>
    <w:rsid w:val="00DF0BBA"/>
    <w:rsid w:val="00DF0BC7"/>
    <w:rsid w:val="00DF0D4A"/>
    <w:rsid w:val="00DF0D95"/>
    <w:rsid w:val="00DF0DB6"/>
    <w:rsid w:val="00DF0EA9"/>
    <w:rsid w:val="00DF0F2D"/>
    <w:rsid w:val="00DF0FBF"/>
    <w:rsid w:val="00DF10C3"/>
    <w:rsid w:val="00DF1139"/>
    <w:rsid w:val="00DF114C"/>
    <w:rsid w:val="00DF117A"/>
    <w:rsid w:val="00DF128F"/>
    <w:rsid w:val="00DF129C"/>
    <w:rsid w:val="00DF1392"/>
    <w:rsid w:val="00DF1396"/>
    <w:rsid w:val="00DF145B"/>
    <w:rsid w:val="00DF149F"/>
    <w:rsid w:val="00DF1519"/>
    <w:rsid w:val="00DF1624"/>
    <w:rsid w:val="00DF1639"/>
    <w:rsid w:val="00DF1688"/>
    <w:rsid w:val="00DF16B8"/>
    <w:rsid w:val="00DF1815"/>
    <w:rsid w:val="00DF18B0"/>
    <w:rsid w:val="00DF18DC"/>
    <w:rsid w:val="00DF1CD9"/>
    <w:rsid w:val="00DF1D12"/>
    <w:rsid w:val="00DF1DDD"/>
    <w:rsid w:val="00DF1E9F"/>
    <w:rsid w:val="00DF1EA0"/>
    <w:rsid w:val="00DF1EB6"/>
    <w:rsid w:val="00DF1ED8"/>
    <w:rsid w:val="00DF20A5"/>
    <w:rsid w:val="00DF20EC"/>
    <w:rsid w:val="00DF21AB"/>
    <w:rsid w:val="00DF21D0"/>
    <w:rsid w:val="00DF2249"/>
    <w:rsid w:val="00DF2296"/>
    <w:rsid w:val="00DF22B3"/>
    <w:rsid w:val="00DF23AC"/>
    <w:rsid w:val="00DF241C"/>
    <w:rsid w:val="00DF2479"/>
    <w:rsid w:val="00DF252F"/>
    <w:rsid w:val="00DF254D"/>
    <w:rsid w:val="00DF25B9"/>
    <w:rsid w:val="00DF2659"/>
    <w:rsid w:val="00DF2799"/>
    <w:rsid w:val="00DF27D0"/>
    <w:rsid w:val="00DF27E2"/>
    <w:rsid w:val="00DF2886"/>
    <w:rsid w:val="00DF2966"/>
    <w:rsid w:val="00DF2A24"/>
    <w:rsid w:val="00DF2B40"/>
    <w:rsid w:val="00DF2CA9"/>
    <w:rsid w:val="00DF2E5D"/>
    <w:rsid w:val="00DF2E81"/>
    <w:rsid w:val="00DF2FF8"/>
    <w:rsid w:val="00DF3002"/>
    <w:rsid w:val="00DF3050"/>
    <w:rsid w:val="00DF30FF"/>
    <w:rsid w:val="00DF315E"/>
    <w:rsid w:val="00DF3188"/>
    <w:rsid w:val="00DF31E0"/>
    <w:rsid w:val="00DF3290"/>
    <w:rsid w:val="00DF32E2"/>
    <w:rsid w:val="00DF3353"/>
    <w:rsid w:val="00DF33D1"/>
    <w:rsid w:val="00DF3439"/>
    <w:rsid w:val="00DF353C"/>
    <w:rsid w:val="00DF35DA"/>
    <w:rsid w:val="00DF35E6"/>
    <w:rsid w:val="00DF35EA"/>
    <w:rsid w:val="00DF3738"/>
    <w:rsid w:val="00DF3787"/>
    <w:rsid w:val="00DF38D2"/>
    <w:rsid w:val="00DF38D7"/>
    <w:rsid w:val="00DF39E5"/>
    <w:rsid w:val="00DF3AC2"/>
    <w:rsid w:val="00DF3AFB"/>
    <w:rsid w:val="00DF3B7C"/>
    <w:rsid w:val="00DF3B9A"/>
    <w:rsid w:val="00DF3BA7"/>
    <w:rsid w:val="00DF3BD0"/>
    <w:rsid w:val="00DF3D69"/>
    <w:rsid w:val="00DF3EBD"/>
    <w:rsid w:val="00DF3F0F"/>
    <w:rsid w:val="00DF3F27"/>
    <w:rsid w:val="00DF4090"/>
    <w:rsid w:val="00DF40D3"/>
    <w:rsid w:val="00DF412B"/>
    <w:rsid w:val="00DF42CF"/>
    <w:rsid w:val="00DF42EB"/>
    <w:rsid w:val="00DF431A"/>
    <w:rsid w:val="00DF4326"/>
    <w:rsid w:val="00DF44AA"/>
    <w:rsid w:val="00DF4542"/>
    <w:rsid w:val="00DF4566"/>
    <w:rsid w:val="00DF45D5"/>
    <w:rsid w:val="00DF4606"/>
    <w:rsid w:val="00DF4674"/>
    <w:rsid w:val="00DF46C0"/>
    <w:rsid w:val="00DF46CF"/>
    <w:rsid w:val="00DF4760"/>
    <w:rsid w:val="00DF4794"/>
    <w:rsid w:val="00DF480C"/>
    <w:rsid w:val="00DF4811"/>
    <w:rsid w:val="00DF4821"/>
    <w:rsid w:val="00DF4842"/>
    <w:rsid w:val="00DF4879"/>
    <w:rsid w:val="00DF48F2"/>
    <w:rsid w:val="00DF4952"/>
    <w:rsid w:val="00DF49E6"/>
    <w:rsid w:val="00DF4A23"/>
    <w:rsid w:val="00DF4A30"/>
    <w:rsid w:val="00DF4AC3"/>
    <w:rsid w:val="00DF4BE2"/>
    <w:rsid w:val="00DF4E4A"/>
    <w:rsid w:val="00DF4E54"/>
    <w:rsid w:val="00DF4E7B"/>
    <w:rsid w:val="00DF4EC4"/>
    <w:rsid w:val="00DF4ECD"/>
    <w:rsid w:val="00DF4EE1"/>
    <w:rsid w:val="00DF4F20"/>
    <w:rsid w:val="00DF4F98"/>
    <w:rsid w:val="00DF5026"/>
    <w:rsid w:val="00DF514C"/>
    <w:rsid w:val="00DF51CB"/>
    <w:rsid w:val="00DF5225"/>
    <w:rsid w:val="00DF525D"/>
    <w:rsid w:val="00DF527E"/>
    <w:rsid w:val="00DF52A4"/>
    <w:rsid w:val="00DF52FE"/>
    <w:rsid w:val="00DF533D"/>
    <w:rsid w:val="00DF541D"/>
    <w:rsid w:val="00DF54E5"/>
    <w:rsid w:val="00DF5598"/>
    <w:rsid w:val="00DF5646"/>
    <w:rsid w:val="00DF56D8"/>
    <w:rsid w:val="00DF5702"/>
    <w:rsid w:val="00DF572B"/>
    <w:rsid w:val="00DF5775"/>
    <w:rsid w:val="00DF5785"/>
    <w:rsid w:val="00DF5791"/>
    <w:rsid w:val="00DF57D5"/>
    <w:rsid w:val="00DF5805"/>
    <w:rsid w:val="00DF5833"/>
    <w:rsid w:val="00DF59C3"/>
    <w:rsid w:val="00DF59FD"/>
    <w:rsid w:val="00DF5A91"/>
    <w:rsid w:val="00DF5A97"/>
    <w:rsid w:val="00DF5AB1"/>
    <w:rsid w:val="00DF5B2A"/>
    <w:rsid w:val="00DF5B2E"/>
    <w:rsid w:val="00DF5B9F"/>
    <w:rsid w:val="00DF5BF7"/>
    <w:rsid w:val="00DF5C0C"/>
    <w:rsid w:val="00DF5C71"/>
    <w:rsid w:val="00DF5CF4"/>
    <w:rsid w:val="00DF5F98"/>
    <w:rsid w:val="00DF5F9E"/>
    <w:rsid w:val="00DF6078"/>
    <w:rsid w:val="00DF6128"/>
    <w:rsid w:val="00DF614A"/>
    <w:rsid w:val="00DF6169"/>
    <w:rsid w:val="00DF6196"/>
    <w:rsid w:val="00DF619B"/>
    <w:rsid w:val="00DF62E4"/>
    <w:rsid w:val="00DF635D"/>
    <w:rsid w:val="00DF637A"/>
    <w:rsid w:val="00DF63F1"/>
    <w:rsid w:val="00DF646D"/>
    <w:rsid w:val="00DF6482"/>
    <w:rsid w:val="00DF649E"/>
    <w:rsid w:val="00DF6503"/>
    <w:rsid w:val="00DF660C"/>
    <w:rsid w:val="00DF666B"/>
    <w:rsid w:val="00DF66F3"/>
    <w:rsid w:val="00DF67DD"/>
    <w:rsid w:val="00DF6830"/>
    <w:rsid w:val="00DF688F"/>
    <w:rsid w:val="00DF6A3D"/>
    <w:rsid w:val="00DF6A4B"/>
    <w:rsid w:val="00DF6A9B"/>
    <w:rsid w:val="00DF6AA5"/>
    <w:rsid w:val="00DF6B44"/>
    <w:rsid w:val="00DF6B6B"/>
    <w:rsid w:val="00DF6C57"/>
    <w:rsid w:val="00DF6C5C"/>
    <w:rsid w:val="00DF6C94"/>
    <w:rsid w:val="00DF6D80"/>
    <w:rsid w:val="00DF6EA6"/>
    <w:rsid w:val="00DF6EF4"/>
    <w:rsid w:val="00DF6F10"/>
    <w:rsid w:val="00DF7027"/>
    <w:rsid w:val="00DF7047"/>
    <w:rsid w:val="00DF70E2"/>
    <w:rsid w:val="00DF70FE"/>
    <w:rsid w:val="00DF714D"/>
    <w:rsid w:val="00DF7314"/>
    <w:rsid w:val="00DF7350"/>
    <w:rsid w:val="00DF73E1"/>
    <w:rsid w:val="00DF74E0"/>
    <w:rsid w:val="00DF750D"/>
    <w:rsid w:val="00DF7537"/>
    <w:rsid w:val="00DF756D"/>
    <w:rsid w:val="00DF761E"/>
    <w:rsid w:val="00DF762A"/>
    <w:rsid w:val="00DF765E"/>
    <w:rsid w:val="00DF78A2"/>
    <w:rsid w:val="00DF791B"/>
    <w:rsid w:val="00DF7938"/>
    <w:rsid w:val="00DF79B8"/>
    <w:rsid w:val="00DF79E7"/>
    <w:rsid w:val="00DF79E8"/>
    <w:rsid w:val="00DF7A49"/>
    <w:rsid w:val="00DF7AA1"/>
    <w:rsid w:val="00DF7AB7"/>
    <w:rsid w:val="00DF7C4C"/>
    <w:rsid w:val="00DF7CEE"/>
    <w:rsid w:val="00DF7D38"/>
    <w:rsid w:val="00DF7D61"/>
    <w:rsid w:val="00DF7D7C"/>
    <w:rsid w:val="00DF7D8A"/>
    <w:rsid w:val="00DF7E73"/>
    <w:rsid w:val="00DF7ED6"/>
    <w:rsid w:val="00DF7F22"/>
    <w:rsid w:val="00E000C1"/>
    <w:rsid w:val="00E00179"/>
    <w:rsid w:val="00E00225"/>
    <w:rsid w:val="00E00238"/>
    <w:rsid w:val="00E003B4"/>
    <w:rsid w:val="00E0044C"/>
    <w:rsid w:val="00E00620"/>
    <w:rsid w:val="00E00758"/>
    <w:rsid w:val="00E0080D"/>
    <w:rsid w:val="00E00836"/>
    <w:rsid w:val="00E0089B"/>
    <w:rsid w:val="00E008CE"/>
    <w:rsid w:val="00E0096C"/>
    <w:rsid w:val="00E0098C"/>
    <w:rsid w:val="00E00A8D"/>
    <w:rsid w:val="00E00E50"/>
    <w:rsid w:val="00E00E98"/>
    <w:rsid w:val="00E00F22"/>
    <w:rsid w:val="00E00FDB"/>
    <w:rsid w:val="00E010CF"/>
    <w:rsid w:val="00E0112C"/>
    <w:rsid w:val="00E0122D"/>
    <w:rsid w:val="00E012C2"/>
    <w:rsid w:val="00E01336"/>
    <w:rsid w:val="00E01355"/>
    <w:rsid w:val="00E013F4"/>
    <w:rsid w:val="00E014E9"/>
    <w:rsid w:val="00E015DD"/>
    <w:rsid w:val="00E015F4"/>
    <w:rsid w:val="00E0161A"/>
    <w:rsid w:val="00E01683"/>
    <w:rsid w:val="00E016A9"/>
    <w:rsid w:val="00E01726"/>
    <w:rsid w:val="00E0174E"/>
    <w:rsid w:val="00E0178B"/>
    <w:rsid w:val="00E0180F"/>
    <w:rsid w:val="00E0182C"/>
    <w:rsid w:val="00E01831"/>
    <w:rsid w:val="00E01935"/>
    <w:rsid w:val="00E0194E"/>
    <w:rsid w:val="00E01B5B"/>
    <w:rsid w:val="00E01C76"/>
    <w:rsid w:val="00E01D03"/>
    <w:rsid w:val="00E01D52"/>
    <w:rsid w:val="00E01EED"/>
    <w:rsid w:val="00E01FB5"/>
    <w:rsid w:val="00E02024"/>
    <w:rsid w:val="00E020CD"/>
    <w:rsid w:val="00E020DA"/>
    <w:rsid w:val="00E0222D"/>
    <w:rsid w:val="00E02279"/>
    <w:rsid w:val="00E022A2"/>
    <w:rsid w:val="00E022CF"/>
    <w:rsid w:val="00E02352"/>
    <w:rsid w:val="00E024FD"/>
    <w:rsid w:val="00E02530"/>
    <w:rsid w:val="00E0255B"/>
    <w:rsid w:val="00E026AA"/>
    <w:rsid w:val="00E02756"/>
    <w:rsid w:val="00E027B2"/>
    <w:rsid w:val="00E02866"/>
    <w:rsid w:val="00E028A9"/>
    <w:rsid w:val="00E02913"/>
    <w:rsid w:val="00E0295F"/>
    <w:rsid w:val="00E02A0C"/>
    <w:rsid w:val="00E02B4C"/>
    <w:rsid w:val="00E02BDE"/>
    <w:rsid w:val="00E02C38"/>
    <w:rsid w:val="00E02E13"/>
    <w:rsid w:val="00E02E4C"/>
    <w:rsid w:val="00E02E7F"/>
    <w:rsid w:val="00E02EA1"/>
    <w:rsid w:val="00E02F79"/>
    <w:rsid w:val="00E02F83"/>
    <w:rsid w:val="00E02FFA"/>
    <w:rsid w:val="00E02FFB"/>
    <w:rsid w:val="00E03030"/>
    <w:rsid w:val="00E0308B"/>
    <w:rsid w:val="00E030C8"/>
    <w:rsid w:val="00E030D3"/>
    <w:rsid w:val="00E031C1"/>
    <w:rsid w:val="00E03236"/>
    <w:rsid w:val="00E032B0"/>
    <w:rsid w:val="00E033C9"/>
    <w:rsid w:val="00E0341C"/>
    <w:rsid w:val="00E0342F"/>
    <w:rsid w:val="00E03436"/>
    <w:rsid w:val="00E03448"/>
    <w:rsid w:val="00E0349F"/>
    <w:rsid w:val="00E03549"/>
    <w:rsid w:val="00E0355E"/>
    <w:rsid w:val="00E0356D"/>
    <w:rsid w:val="00E035F6"/>
    <w:rsid w:val="00E0363C"/>
    <w:rsid w:val="00E036CA"/>
    <w:rsid w:val="00E036FD"/>
    <w:rsid w:val="00E03734"/>
    <w:rsid w:val="00E03835"/>
    <w:rsid w:val="00E0394E"/>
    <w:rsid w:val="00E03A3B"/>
    <w:rsid w:val="00E03B6C"/>
    <w:rsid w:val="00E03B9C"/>
    <w:rsid w:val="00E03BE1"/>
    <w:rsid w:val="00E03C03"/>
    <w:rsid w:val="00E03C66"/>
    <w:rsid w:val="00E03C9C"/>
    <w:rsid w:val="00E03CB3"/>
    <w:rsid w:val="00E03D62"/>
    <w:rsid w:val="00E03DA2"/>
    <w:rsid w:val="00E03FC3"/>
    <w:rsid w:val="00E03FFA"/>
    <w:rsid w:val="00E04057"/>
    <w:rsid w:val="00E040CA"/>
    <w:rsid w:val="00E040E1"/>
    <w:rsid w:val="00E04106"/>
    <w:rsid w:val="00E04273"/>
    <w:rsid w:val="00E042D0"/>
    <w:rsid w:val="00E04322"/>
    <w:rsid w:val="00E043CE"/>
    <w:rsid w:val="00E04531"/>
    <w:rsid w:val="00E04576"/>
    <w:rsid w:val="00E04675"/>
    <w:rsid w:val="00E04759"/>
    <w:rsid w:val="00E04923"/>
    <w:rsid w:val="00E04983"/>
    <w:rsid w:val="00E04AAC"/>
    <w:rsid w:val="00E04AB3"/>
    <w:rsid w:val="00E04B66"/>
    <w:rsid w:val="00E04C3E"/>
    <w:rsid w:val="00E04C56"/>
    <w:rsid w:val="00E04CF0"/>
    <w:rsid w:val="00E04D2F"/>
    <w:rsid w:val="00E04D5E"/>
    <w:rsid w:val="00E04D6A"/>
    <w:rsid w:val="00E04DE8"/>
    <w:rsid w:val="00E04DFE"/>
    <w:rsid w:val="00E04F95"/>
    <w:rsid w:val="00E04FC6"/>
    <w:rsid w:val="00E05092"/>
    <w:rsid w:val="00E053F5"/>
    <w:rsid w:val="00E054BD"/>
    <w:rsid w:val="00E05528"/>
    <w:rsid w:val="00E055AA"/>
    <w:rsid w:val="00E0571C"/>
    <w:rsid w:val="00E0571E"/>
    <w:rsid w:val="00E0579B"/>
    <w:rsid w:val="00E0584C"/>
    <w:rsid w:val="00E058BA"/>
    <w:rsid w:val="00E05907"/>
    <w:rsid w:val="00E05981"/>
    <w:rsid w:val="00E05A0A"/>
    <w:rsid w:val="00E05AFC"/>
    <w:rsid w:val="00E05B1B"/>
    <w:rsid w:val="00E05C50"/>
    <w:rsid w:val="00E05C77"/>
    <w:rsid w:val="00E05C90"/>
    <w:rsid w:val="00E05D29"/>
    <w:rsid w:val="00E05DDD"/>
    <w:rsid w:val="00E05DEE"/>
    <w:rsid w:val="00E05E31"/>
    <w:rsid w:val="00E05E8B"/>
    <w:rsid w:val="00E05ED9"/>
    <w:rsid w:val="00E05EEF"/>
    <w:rsid w:val="00E06088"/>
    <w:rsid w:val="00E060CA"/>
    <w:rsid w:val="00E0612C"/>
    <w:rsid w:val="00E061A4"/>
    <w:rsid w:val="00E06232"/>
    <w:rsid w:val="00E0634A"/>
    <w:rsid w:val="00E063BC"/>
    <w:rsid w:val="00E06433"/>
    <w:rsid w:val="00E064C7"/>
    <w:rsid w:val="00E0651D"/>
    <w:rsid w:val="00E0653B"/>
    <w:rsid w:val="00E06620"/>
    <w:rsid w:val="00E0667C"/>
    <w:rsid w:val="00E06821"/>
    <w:rsid w:val="00E0684D"/>
    <w:rsid w:val="00E068E0"/>
    <w:rsid w:val="00E0695E"/>
    <w:rsid w:val="00E06972"/>
    <w:rsid w:val="00E0698F"/>
    <w:rsid w:val="00E06A48"/>
    <w:rsid w:val="00E06B7D"/>
    <w:rsid w:val="00E06BCB"/>
    <w:rsid w:val="00E06DFA"/>
    <w:rsid w:val="00E06E49"/>
    <w:rsid w:val="00E06E83"/>
    <w:rsid w:val="00E06EAC"/>
    <w:rsid w:val="00E06F9F"/>
    <w:rsid w:val="00E06FA0"/>
    <w:rsid w:val="00E070E9"/>
    <w:rsid w:val="00E0715E"/>
    <w:rsid w:val="00E07202"/>
    <w:rsid w:val="00E072C5"/>
    <w:rsid w:val="00E07364"/>
    <w:rsid w:val="00E073A5"/>
    <w:rsid w:val="00E073C3"/>
    <w:rsid w:val="00E07446"/>
    <w:rsid w:val="00E074AD"/>
    <w:rsid w:val="00E07513"/>
    <w:rsid w:val="00E07563"/>
    <w:rsid w:val="00E075F9"/>
    <w:rsid w:val="00E076A5"/>
    <w:rsid w:val="00E078C8"/>
    <w:rsid w:val="00E079A7"/>
    <w:rsid w:val="00E079D8"/>
    <w:rsid w:val="00E07A7F"/>
    <w:rsid w:val="00E07BE9"/>
    <w:rsid w:val="00E07C25"/>
    <w:rsid w:val="00E07CEB"/>
    <w:rsid w:val="00E07EFB"/>
    <w:rsid w:val="00E07F16"/>
    <w:rsid w:val="00E10005"/>
    <w:rsid w:val="00E1036B"/>
    <w:rsid w:val="00E103C9"/>
    <w:rsid w:val="00E1041B"/>
    <w:rsid w:val="00E10438"/>
    <w:rsid w:val="00E10476"/>
    <w:rsid w:val="00E104C2"/>
    <w:rsid w:val="00E10545"/>
    <w:rsid w:val="00E1059D"/>
    <w:rsid w:val="00E10787"/>
    <w:rsid w:val="00E10788"/>
    <w:rsid w:val="00E1086C"/>
    <w:rsid w:val="00E10896"/>
    <w:rsid w:val="00E108A3"/>
    <w:rsid w:val="00E108CF"/>
    <w:rsid w:val="00E108E1"/>
    <w:rsid w:val="00E108F2"/>
    <w:rsid w:val="00E1096E"/>
    <w:rsid w:val="00E10AC9"/>
    <w:rsid w:val="00E10C32"/>
    <w:rsid w:val="00E10C41"/>
    <w:rsid w:val="00E10C9F"/>
    <w:rsid w:val="00E10D77"/>
    <w:rsid w:val="00E10E7D"/>
    <w:rsid w:val="00E10F63"/>
    <w:rsid w:val="00E10F99"/>
    <w:rsid w:val="00E10FB3"/>
    <w:rsid w:val="00E11017"/>
    <w:rsid w:val="00E1110C"/>
    <w:rsid w:val="00E11119"/>
    <w:rsid w:val="00E11159"/>
    <w:rsid w:val="00E111CC"/>
    <w:rsid w:val="00E11203"/>
    <w:rsid w:val="00E1121C"/>
    <w:rsid w:val="00E11284"/>
    <w:rsid w:val="00E112A1"/>
    <w:rsid w:val="00E112AB"/>
    <w:rsid w:val="00E11339"/>
    <w:rsid w:val="00E11482"/>
    <w:rsid w:val="00E11491"/>
    <w:rsid w:val="00E114A0"/>
    <w:rsid w:val="00E11545"/>
    <w:rsid w:val="00E115D9"/>
    <w:rsid w:val="00E116AB"/>
    <w:rsid w:val="00E116E0"/>
    <w:rsid w:val="00E1177B"/>
    <w:rsid w:val="00E117B9"/>
    <w:rsid w:val="00E11902"/>
    <w:rsid w:val="00E119EF"/>
    <w:rsid w:val="00E11A20"/>
    <w:rsid w:val="00E11A5F"/>
    <w:rsid w:val="00E11ACA"/>
    <w:rsid w:val="00E11B3A"/>
    <w:rsid w:val="00E11C2C"/>
    <w:rsid w:val="00E11D22"/>
    <w:rsid w:val="00E11EE0"/>
    <w:rsid w:val="00E11EEB"/>
    <w:rsid w:val="00E11FAE"/>
    <w:rsid w:val="00E12022"/>
    <w:rsid w:val="00E12072"/>
    <w:rsid w:val="00E121CE"/>
    <w:rsid w:val="00E12232"/>
    <w:rsid w:val="00E12289"/>
    <w:rsid w:val="00E122DB"/>
    <w:rsid w:val="00E12350"/>
    <w:rsid w:val="00E123A5"/>
    <w:rsid w:val="00E123AC"/>
    <w:rsid w:val="00E124E0"/>
    <w:rsid w:val="00E124F2"/>
    <w:rsid w:val="00E1266A"/>
    <w:rsid w:val="00E126ED"/>
    <w:rsid w:val="00E1280D"/>
    <w:rsid w:val="00E12810"/>
    <w:rsid w:val="00E1281F"/>
    <w:rsid w:val="00E129F4"/>
    <w:rsid w:val="00E12A02"/>
    <w:rsid w:val="00E12B95"/>
    <w:rsid w:val="00E12BE1"/>
    <w:rsid w:val="00E12CED"/>
    <w:rsid w:val="00E12D6D"/>
    <w:rsid w:val="00E12D8B"/>
    <w:rsid w:val="00E12E8C"/>
    <w:rsid w:val="00E12EBD"/>
    <w:rsid w:val="00E12F22"/>
    <w:rsid w:val="00E12F3F"/>
    <w:rsid w:val="00E12FCC"/>
    <w:rsid w:val="00E12FE9"/>
    <w:rsid w:val="00E13023"/>
    <w:rsid w:val="00E1304A"/>
    <w:rsid w:val="00E1304E"/>
    <w:rsid w:val="00E1307C"/>
    <w:rsid w:val="00E130DB"/>
    <w:rsid w:val="00E13149"/>
    <w:rsid w:val="00E13186"/>
    <w:rsid w:val="00E131A0"/>
    <w:rsid w:val="00E131A3"/>
    <w:rsid w:val="00E13210"/>
    <w:rsid w:val="00E132EA"/>
    <w:rsid w:val="00E13325"/>
    <w:rsid w:val="00E13369"/>
    <w:rsid w:val="00E133F4"/>
    <w:rsid w:val="00E1345F"/>
    <w:rsid w:val="00E13527"/>
    <w:rsid w:val="00E13601"/>
    <w:rsid w:val="00E13608"/>
    <w:rsid w:val="00E13615"/>
    <w:rsid w:val="00E137AC"/>
    <w:rsid w:val="00E1380E"/>
    <w:rsid w:val="00E1380F"/>
    <w:rsid w:val="00E138C8"/>
    <w:rsid w:val="00E139A4"/>
    <w:rsid w:val="00E139B7"/>
    <w:rsid w:val="00E139D0"/>
    <w:rsid w:val="00E13A85"/>
    <w:rsid w:val="00E13AC9"/>
    <w:rsid w:val="00E13B18"/>
    <w:rsid w:val="00E13B38"/>
    <w:rsid w:val="00E13B59"/>
    <w:rsid w:val="00E13B97"/>
    <w:rsid w:val="00E13BE3"/>
    <w:rsid w:val="00E13C51"/>
    <w:rsid w:val="00E13D66"/>
    <w:rsid w:val="00E13E50"/>
    <w:rsid w:val="00E13EF4"/>
    <w:rsid w:val="00E13FE5"/>
    <w:rsid w:val="00E14066"/>
    <w:rsid w:val="00E140A1"/>
    <w:rsid w:val="00E14259"/>
    <w:rsid w:val="00E14393"/>
    <w:rsid w:val="00E143A2"/>
    <w:rsid w:val="00E14458"/>
    <w:rsid w:val="00E14480"/>
    <w:rsid w:val="00E1452D"/>
    <w:rsid w:val="00E1458A"/>
    <w:rsid w:val="00E1465C"/>
    <w:rsid w:val="00E14666"/>
    <w:rsid w:val="00E1467B"/>
    <w:rsid w:val="00E147D1"/>
    <w:rsid w:val="00E14828"/>
    <w:rsid w:val="00E14884"/>
    <w:rsid w:val="00E148B3"/>
    <w:rsid w:val="00E14A39"/>
    <w:rsid w:val="00E14C0A"/>
    <w:rsid w:val="00E14C0C"/>
    <w:rsid w:val="00E14D26"/>
    <w:rsid w:val="00E14D37"/>
    <w:rsid w:val="00E14D6F"/>
    <w:rsid w:val="00E14DC2"/>
    <w:rsid w:val="00E14DDE"/>
    <w:rsid w:val="00E14E05"/>
    <w:rsid w:val="00E14FCA"/>
    <w:rsid w:val="00E14FF8"/>
    <w:rsid w:val="00E15049"/>
    <w:rsid w:val="00E1509A"/>
    <w:rsid w:val="00E1509B"/>
    <w:rsid w:val="00E1509E"/>
    <w:rsid w:val="00E150BA"/>
    <w:rsid w:val="00E1513D"/>
    <w:rsid w:val="00E151B5"/>
    <w:rsid w:val="00E152D0"/>
    <w:rsid w:val="00E15332"/>
    <w:rsid w:val="00E153D2"/>
    <w:rsid w:val="00E153E7"/>
    <w:rsid w:val="00E159DC"/>
    <w:rsid w:val="00E159F2"/>
    <w:rsid w:val="00E15A3B"/>
    <w:rsid w:val="00E15AFE"/>
    <w:rsid w:val="00E15BA5"/>
    <w:rsid w:val="00E15D10"/>
    <w:rsid w:val="00E15D4B"/>
    <w:rsid w:val="00E15D94"/>
    <w:rsid w:val="00E15E4C"/>
    <w:rsid w:val="00E15E65"/>
    <w:rsid w:val="00E15EDE"/>
    <w:rsid w:val="00E1605B"/>
    <w:rsid w:val="00E16087"/>
    <w:rsid w:val="00E160F9"/>
    <w:rsid w:val="00E161C0"/>
    <w:rsid w:val="00E16208"/>
    <w:rsid w:val="00E1624B"/>
    <w:rsid w:val="00E1632B"/>
    <w:rsid w:val="00E163F7"/>
    <w:rsid w:val="00E164F3"/>
    <w:rsid w:val="00E1652F"/>
    <w:rsid w:val="00E165CA"/>
    <w:rsid w:val="00E16654"/>
    <w:rsid w:val="00E166A0"/>
    <w:rsid w:val="00E1670A"/>
    <w:rsid w:val="00E16752"/>
    <w:rsid w:val="00E169D7"/>
    <w:rsid w:val="00E169E9"/>
    <w:rsid w:val="00E16A18"/>
    <w:rsid w:val="00E16A9F"/>
    <w:rsid w:val="00E16AE4"/>
    <w:rsid w:val="00E16BEC"/>
    <w:rsid w:val="00E16C5B"/>
    <w:rsid w:val="00E16C5F"/>
    <w:rsid w:val="00E16CC7"/>
    <w:rsid w:val="00E16D01"/>
    <w:rsid w:val="00E16D5E"/>
    <w:rsid w:val="00E16DC3"/>
    <w:rsid w:val="00E16E37"/>
    <w:rsid w:val="00E16ECA"/>
    <w:rsid w:val="00E17013"/>
    <w:rsid w:val="00E17035"/>
    <w:rsid w:val="00E17093"/>
    <w:rsid w:val="00E170CB"/>
    <w:rsid w:val="00E17101"/>
    <w:rsid w:val="00E17138"/>
    <w:rsid w:val="00E1714C"/>
    <w:rsid w:val="00E17250"/>
    <w:rsid w:val="00E17303"/>
    <w:rsid w:val="00E1746A"/>
    <w:rsid w:val="00E1746B"/>
    <w:rsid w:val="00E1747B"/>
    <w:rsid w:val="00E17513"/>
    <w:rsid w:val="00E17552"/>
    <w:rsid w:val="00E17641"/>
    <w:rsid w:val="00E1767C"/>
    <w:rsid w:val="00E17845"/>
    <w:rsid w:val="00E17862"/>
    <w:rsid w:val="00E178DC"/>
    <w:rsid w:val="00E1797A"/>
    <w:rsid w:val="00E179F3"/>
    <w:rsid w:val="00E17A19"/>
    <w:rsid w:val="00E17A1C"/>
    <w:rsid w:val="00E17AA5"/>
    <w:rsid w:val="00E17D14"/>
    <w:rsid w:val="00E17D77"/>
    <w:rsid w:val="00E17D9A"/>
    <w:rsid w:val="00E17E22"/>
    <w:rsid w:val="00E17E78"/>
    <w:rsid w:val="00E17ED6"/>
    <w:rsid w:val="00E17F93"/>
    <w:rsid w:val="00E20115"/>
    <w:rsid w:val="00E20125"/>
    <w:rsid w:val="00E20223"/>
    <w:rsid w:val="00E202A2"/>
    <w:rsid w:val="00E202B9"/>
    <w:rsid w:val="00E20302"/>
    <w:rsid w:val="00E2033A"/>
    <w:rsid w:val="00E20348"/>
    <w:rsid w:val="00E20397"/>
    <w:rsid w:val="00E203F6"/>
    <w:rsid w:val="00E205AD"/>
    <w:rsid w:val="00E205D0"/>
    <w:rsid w:val="00E205F7"/>
    <w:rsid w:val="00E20638"/>
    <w:rsid w:val="00E206BD"/>
    <w:rsid w:val="00E2072D"/>
    <w:rsid w:val="00E208DE"/>
    <w:rsid w:val="00E209D8"/>
    <w:rsid w:val="00E20AB0"/>
    <w:rsid w:val="00E20AB7"/>
    <w:rsid w:val="00E20BA9"/>
    <w:rsid w:val="00E20BBC"/>
    <w:rsid w:val="00E20BC1"/>
    <w:rsid w:val="00E20BCC"/>
    <w:rsid w:val="00E20C0B"/>
    <w:rsid w:val="00E20C23"/>
    <w:rsid w:val="00E20D9B"/>
    <w:rsid w:val="00E20E0C"/>
    <w:rsid w:val="00E20E5E"/>
    <w:rsid w:val="00E20F10"/>
    <w:rsid w:val="00E20F20"/>
    <w:rsid w:val="00E20F44"/>
    <w:rsid w:val="00E20FE0"/>
    <w:rsid w:val="00E210B2"/>
    <w:rsid w:val="00E21121"/>
    <w:rsid w:val="00E2113E"/>
    <w:rsid w:val="00E2117D"/>
    <w:rsid w:val="00E211BB"/>
    <w:rsid w:val="00E211FC"/>
    <w:rsid w:val="00E2129A"/>
    <w:rsid w:val="00E212A9"/>
    <w:rsid w:val="00E21490"/>
    <w:rsid w:val="00E214BE"/>
    <w:rsid w:val="00E21647"/>
    <w:rsid w:val="00E2164B"/>
    <w:rsid w:val="00E216A4"/>
    <w:rsid w:val="00E21788"/>
    <w:rsid w:val="00E2178C"/>
    <w:rsid w:val="00E217ED"/>
    <w:rsid w:val="00E21880"/>
    <w:rsid w:val="00E218AD"/>
    <w:rsid w:val="00E21918"/>
    <w:rsid w:val="00E219DA"/>
    <w:rsid w:val="00E21BDA"/>
    <w:rsid w:val="00E21C5A"/>
    <w:rsid w:val="00E21C90"/>
    <w:rsid w:val="00E21D13"/>
    <w:rsid w:val="00E21E36"/>
    <w:rsid w:val="00E21EC5"/>
    <w:rsid w:val="00E21F91"/>
    <w:rsid w:val="00E2204A"/>
    <w:rsid w:val="00E220D9"/>
    <w:rsid w:val="00E220F3"/>
    <w:rsid w:val="00E220F4"/>
    <w:rsid w:val="00E220FD"/>
    <w:rsid w:val="00E2210B"/>
    <w:rsid w:val="00E22147"/>
    <w:rsid w:val="00E22151"/>
    <w:rsid w:val="00E22159"/>
    <w:rsid w:val="00E221D4"/>
    <w:rsid w:val="00E22200"/>
    <w:rsid w:val="00E22219"/>
    <w:rsid w:val="00E2221D"/>
    <w:rsid w:val="00E222E1"/>
    <w:rsid w:val="00E22355"/>
    <w:rsid w:val="00E223BA"/>
    <w:rsid w:val="00E2246B"/>
    <w:rsid w:val="00E2249C"/>
    <w:rsid w:val="00E224B6"/>
    <w:rsid w:val="00E224FC"/>
    <w:rsid w:val="00E22602"/>
    <w:rsid w:val="00E22713"/>
    <w:rsid w:val="00E22745"/>
    <w:rsid w:val="00E2274F"/>
    <w:rsid w:val="00E22873"/>
    <w:rsid w:val="00E228F1"/>
    <w:rsid w:val="00E228FF"/>
    <w:rsid w:val="00E2297B"/>
    <w:rsid w:val="00E229D9"/>
    <w:rsid w:val="00E22A23"/>
    <w:rsid w:val="00E22A37"/>
    <w:rsid w:val="00E22A5A"/>
    <w:rsid w:val="00E22AE2"/>
    <w:rsid w:val="00E22C09"/>
    <w:rsid w:val="00E22C14"/>
    <w:rsid w:val="00E22C70"/>
    <w:rsid w:val="00E22CB1"/>
    <w:rsid w:val="00E22CC2"/>
    <w:rsid w:val="00E22D83"/>
    <w:rsid w:val="00E22DE7"/>
    <w:rsid w:val="00E22E21"/>
    <w:rsid w:val="00E22E6A"/>
    <w:rsid w:val="00E22F5B"/>
    <w:rsid w:val="00E22FC9"/>
    <w:rsid w:val="00E23215"/>
    <w:rsid w:val="00E23265"/>
    <w:rsid w:val="00E2330F"/>
    <w:rsid w:val="00E23361"/>
    <w:rsid w:val="00E233B3"/>
    <w:rsid w:val="00E235B4"/>
    <w:rsid w:val="00E23640"/>
    <w:rsid w:val="00E236A6"/>
    <w:rsid w:val="00E237B0"/>
    <w:rsid w:val="00E23821"/>
    <w:rsid w:val="00E238D9"/>
    <w:rsid w:val="00E23905"/>
    <w:rsid w:val="00E23942"/>
    <w:rsid w:val="00E23966"/>
    <w:rsid w:val="00E23998"/>
    <w:rsid w:val="00E23A88"/>
    <w:rsid w:val="00E23B44"/>
    <w:rsid w:val="00E23B49"/>
    <w:rsid w:val="00E23B78"/>
    <w:rsid w:val="00E23BCC"/>
    <w:rsid w:val="00E23C59"/>
    <w:rsid w:val="00E23D02"/>
    <w:rsid w:val="00E23D22"/>
    <w:rsid w:val="00E23D24"/>
    <w:rsid w:val="00E23D5E"/>
    <w:rsid w:val="00E23D9F"/>
    <w:rsid w:val="00E23DBF"/>
    <w:rsid w:val="00E23E07"/>
    <w:rsid w:val="00E23ECE"/>
    <w:rsid w:val="00E23EF9"/>
    <w:rsid w:val="00E23F03"/>
    <w:rsid w:val="00E23F54"/>
    <w:rsid w:val="00E23FDC"/>
    <w:rsid w:val="00E24073"/>
    <w:rsid w:val="00E2408D"/>
    <w:rsid w:val="00E24097"/>
    <w:rsid w:val="00E24169"/>
    <w:rsid w:val="00E241B7"/>
    <w:rsid w:val="00E2425D"/>
    <w:rsid w:val="00E24276"/>
    <w:rsid w:val="00E2428E"/>
    <w:rsid w:val="00E242FC"/>
    <w:rsid w:val="00E243B4"/>
    <w:rsid w:val="00E24436"/>
    <w:rsid w:val="00E2445A"/>
    <w:rsid w:val="00E2446B"/>
    <w:rsid w:val="00E244E1"/>
    <w:rsid w:val="00E2451F"/>
    <w:rsid w:val="00E2462A"/>
    <w:rsid w:val="00E246DD"/>
    <w:rsid w:val="00E24790"/>
    <w:rsid w:val="00E2480E"/>
    <w:rsid w:val="00E248FE"/>
    <w:rsid w:val="00E2499C"/>
    <w:rsid w:val="00E249A2"/>
    <w:rsid w:val="00E24A14"/>
    <w:rsid w:val="00E24A42"/>
    <w:rsid w:val="00E24A66"/>
    <w:rsid w:val="00E24BDD"/>
    <w:rsid w:val="00E24C4E"/>
    <w:rsid w:val="00E24C98"/>
    <w:rsid w:val="00E24D56"/>
    <w:rsid w:val="00E24D63"/>
    <w:rsid w:val="00E24D72"/>
    <w:rsid w:val="00E24E32"/>
    <w:rsid w:val="00E24EA8"/>
    <w:rsid w:val="00E24EDA"/>
    <w:rsid w:val="00E24F7C"/>
    <w:rsid w:val="00E24FF3"/>
    <w:rsid w:val="00E2502E"/>
    <w:rsid w:val="00E25120"/>
    <w:rsid w:val="00E25355"/>
    <w:rsid w:val="00E25385"/>
    <w:rsid w:val="00E253A8"/>
    <w:rsid w:val="00E254DF"/>
    <w:rsid w:val="00E255C5"/>
    <w:rsid w:val="00E2561A"/>
    <w:rsid w:val="00E2569B"/>
    <w:rsid w:val="00E25749"/>
    <w:rsid w:val="00E257D4"/>
    <w:rsid w:val="00E2581E"/>
    <w:rsid w:val="00E258B8"/>
    <w:rsid w:val="00E25A1E"/>
    <w:rsid w:val="00E25AF6"/>
    <w:rsid w:val="00E25B85"/>
    <w:rsid w:val="00E25BD1"/>
    <w:rsid w:val="00E25C07"/>
    <w:rsid w:val="00E25C28"/>
    <w:rsid w:val="00E25CAD"/>
    <w:rsid w:val="00E25D17"/>
    <w:rsid w:val="00E25D18"/>
    <w:rsid w:val="00E25D6B"/>
    <w:rsid w:val="00E25DBB"/>
    <w:rsid w:val="00E25E3C"/>
    <w:rsid w:val="00E25E3E"/>
    <w:rsid w:val="00E25E50"/>
    <w:rsid w:val="00E25E8E"/>
    <w:rsid w:val="00E25EDA"/>
    <w:rsid w:val="00E25F95"/>
    <w:rsid w:val="00E25FB0"/>
    <w:rsid w:val="00E25FF4"/>
    <w:rsid w:val="00E26063"/>
    <w:rsid w:val="00E260A5"/>
    <w:rsid w:val="00E2614D"/>
    <w:rsid w:val="00E2625B"/>
    <w:rsid w:val="00E2626D"/>
    <w:rsid w:val="00E262A7"/>
    <w:rsid w:val="00E2636C"/>
    <w:rsid w:val="00E26385"/>
    <w:rsid w:val="00E26426"/>
    <w:rsid w:val="00E265A2"/>
    <w:rsid w:val="00E2665D"/>
    <w:rsid w:val="00E2673B"/>
    <w:rsid w:val="00E26758"/>
    <w:rsid w:val="00E268D8"/>
    <w:rsid w:val="00E26946"/>
    <w:rsid w:val="00E26B85"/>
    <w:rsid w:val="00E26BEF"/>
    <w:rsid w:val="00E26C4F"/>
    <w:rsid w:val="00E26D5D"/>
    <w:rsid w:val="00E26DE5"/>
    <w:rsid w:val="00E26F18"/>
    <w:rsid w:val="00E27187"/>
    <w:rsid w:val="00E27236"/>
    <w:rsid w:val="00E27283"/>
    <w:rsid w:val="00E2735D"/>
    <w:rsid w:val="00E27410"/>
    <w:rsid w:val="00E274C7"/>
    <w:rsid w:val="00E2750D"/>
    <w:rsid w:val="00E27581"/>
    <w:rsid w:val="00E2763D"/>
    <w:rsid w:val="00E276EC"/>
    <w:rsid w:val="00E27743"/>
    <w:rsid w:val="00E27752"/>
    <w:rsid w:val="00E2778F"/>
    <w:rsid w:val="00E277B7"/>
    <w:rsid w:val="00E27900"/>
    <w:rsid w:val="00E27940"/>
    <w:rsid w:val="00E27B35"/>
    <w:rsid w:val="00E27B98"/>
    <w:rsid w:val="00E27C1B"/>
    <w:rsid w:val="00E27D4F"/>
    <w:rsid w:val="00E27D6F"/>
    <w:rsid w:val="00E27DF4"/>
    <w:rsid w:val="00E27F50"/>
    <w:rsid w:val="00E27FE4"/>
    <w:rsid w:val="00E30012"/>
    <w:rsid w:val="00E3002A"/>
    <w:rsid w:val="00E30144"/>
    <w:rsid w:val="00E3017B"/>
    <w:rsid w:val="00E30190"/>
    <w:rsid w:val="00E302AE"/>
    <w:rsid w:val="00E30307"/>
    <w:rsid w:val="00E3033B"/>
    <w:rsid w:val="00E30356"/>
    <w:rsid w:val="00E3035B"/>
    <w:rsid w:val="00E30377"/>
    <w:rsid w:val="00E30418"/>
    <w:rsid w:val="00E304A8"/>
    <w:rsid w:val="00E30516"/>
    <w:rsid w:val="00E3052C"/>
    <w:rsid w:val="00E30577"/>
    <w:rsid w:val="00E305FE"/>
    <w:rsid w:val="00E30618"/>
    <w:rsid w:val="00E307B0"/>
    <w:rsid w:val="00E308E5"/>
    <w:rsid w:val="00E308F7"/>
    <w:rsid w:val="00E30907"/>
    <w:rsid w:val="00E30923"/>
    <w:rsid w:val="00E30A76"/>
    <w:rsid w:val="00E30B2F"/>
    <w:rsid w:val="00E30B74"/>
    <w:rsid w:val="00E30BC1"/>
    <w:rsid w:val="00E30C0E"/>
    <w:rsid w:val="00E30C12"/>
    <w:rsid w:val="00E30C3E"/>
    <w:rsid w:val="00E30D52"/>
    <w:rsid w:val="00E30D72"/>
    <w:rsid w:val="00E30E18"/>
    <w:rsid w:val="00E30E77"/>
    <w:rsid w:val="00E30EAA"/>
    <w:rsid w:val="00E30EDA"/>
    <w:rsid w:val="00E30EED"/>
    <w:rsid w:val="00E30F02"/>
    <w:rsid w:val="00E30F3B"/>
    <w:rsid w:val="00E30F58"/>
    <w:rsid w:val="00E31154"/>
    <w:rsid w:val="00E311CF"/>
    <w:rsid w:val="00E31316"/>
    <w:rsid w:val="00E31361"/>
    <w:rsid w:val="00E31397"/>
    <w:rsid w:val="00E31399"/>
    <w:rsid w:val="00E313BD"/>
    <w:rsid w:val="00E313DE"/>
    <w:rsid w:val="00E31513"/>
    <w:rsid w:val="00E3153D"/>
    <w:rsid w:val="00E315F9"/>
    <w:rsid w:val="00E316F0"/>
    <w:rsid w:val="00E31753"/>
    <w:rsid w:val="00E317E5"/>
    <w:rsid w:val="00E317F0"/>
    <w:rsid w:val="00E31805"/>
    <w:rsid w:val="00E31811"/>
    <w:rsid w:val="00E31945"/>
    <w:rsid w:val="00E31A86"/>
    <w:rsid w:val="00E31B07"/>
    <w:rsid w:val="00E31C85"/>
    <w:rsid w:val="00E31CED"/>
    <w:rsid w:val="00E31DB5"/>
    <w:rsid w:val="00E31F0B"/>
    <w:rsid w:val="00E31F50"/>
    <w:rsid w:val="00E32043"/>
    <w:rsid w:val="00E3219D"/>
    <w:rsid w:val="00E3229D"/>
    <w:rsid w:val="00E322CA"/>
    <w:rsid w:val="00E323ED"/>
    <w:rsid w:val="00E32454"/>
    <w:rsid w:val="00E324BE"/>
    <w:rsid w:val="00E32550"/>
    <w:rsid w:val="00E32672"/>
    <w:rsid w:val="00E326CC"/>
    <w:rsid w:val="00E326D5"/>
    <w:rsid w:val="00E32740"/>
    <w:rsid w:val="00E3278D"/>
    <w:rsid w:val="00E3287C"/>
    <w:rsid w:val="00E329E8"/>
    <w:rsid w:val="00E32A4E"/>
    <w:rsid w:val="00E32B55"/>
    <w:rsid w:val="00E32C27"/>
    <w:rsid w:val="00E32C72"/>
    <w:rsid w:val="00E32D7B"/>
    <w:rsid w:val="00E32D8F"/>
    <w:rsid w:val="00E32DE0"/>
    <w:rsid w:val="00E32DF0"/>
    <w:rsid w:val="00E32F5E"/>
    <w:rsid w:val="00E32FCF"/>
    <w:rsid w:val="00E33048"/>
    <w:rsid w:val="00E33133"/>
    <w:rsid w:val="00E33138"/>
    <w:rsid w:val="00E3314D"/>
    <w:rsid w:val="00E33156"/>
    <w:rsid w:val="00E331E0"/>
    <w:rsid w:val="00E33229"/>
    <w:rsid w:val="00E3327C"/>
    <w:rsid w:val="00E3330D"/>
    <w:rsid w:val="00E33409"/>
    <w:rsid w:val="00E33536"/>
    <w:rsid w:val="00E335CB"/>
    <w:rsid w:val="00E33643"/>
    <w:rsid w:val="00E33696"/>
    <w:rsid w:val="00E336D6"/>
    <w:rsid w:val="00E3372B"/>
    <w:rsid w:val="00E337C3"/>
    <w:rsid w:val="00E337D4"/>
    <w:rsid w:val="00E338CA"/>
    <w:rsid w:val="00E339CE"/>
    <w:rsid w:val="00E339E1"/>
    <w:rsid w:val="00E33A6D"/>
    <w:rsid w:val="00E33B07"/>
    <w:rsid w:val="00E33C80"/>
    <w:rsid w:val="00E33D74"/>
    <w:rsid w:val="00E33D90"/>
    <w:rsid w:val="00E33E0B"/>
    <w:rsid w:val="00E33FAB"/>
    <w:rsid w:val="00E340CA"/>
    <w:rsid w:val="00E34110"/>
    <w:rsid w:val="00E341A5"/>
    <w:rsid w:val="00E3421C"/>
    <w:rsid w:val="00E34250"/>
    <w:rsid w:val="00E342F2"/>
    <w:rsid w:val="00E3434B"/>
    <w:rsid w:val="00E34465"/>
    <w:rsid w:val="00E344D5"/>
    <w:rsid w:val="00E345E0"/>
    <w:rsid w:val="00E3464A"/>
    <w:rsid w:val="00E346AA"/>
    <w:rsid w:val="00E3470C"/>
    <w:rsid w:val="00E34712"/>
    <w:rsid w:val="00E348A0"/>
    <w:rsid w:val="00E34A96"/>
    <w:rsid w:val="00E34A9A"/>
    <w:rsid w:val="00E34ABE"/>
    <w:rsid w:val="00E34AC1"/>
    <w:rsid w:val="00E34CD4"/>
    <w:rsid w:val="00E34E58"/>
    <w:rsid w:val="00E3503C"/>
    <w:rsid w:val="00E35156"/>
    <w:rsid w:val="00E35202"/>
    <w:rsid w:val="00E352DF"/>
    <w:rsid w:val="00E35312"/>
    <w:rsid w:val="00E35338"/>
    <w:rsid w:val="00E35508"/>
    <w:rsid w:val="00E355C4"/>
    <w:rsid w:val="00E3561A"/>
    <w:rsid w:val="00E3561C"/>
    <w:rsid w:val="00E3564C"/>
    <w:rsid w:val="00E356C0"/>
    <w:rsid w:val="00E358D8"/>
    <w:rsid w:val="00E358E5"/>
    <w:rsid w:val="00E358F8"/>
    <w:rsid w:val="00E358FA"/>
    <w:rsid w:val="00E35998"/>
    <w:rsid w:val="00E3599D"/>
    <w:rsid w:val="00E359A8"/>
    <w:rsid w:val="00E35AF7"/>
    <w:rsid w:val="00E35B36"/>
    <w:rsid w:val="00E35E40"/>
    <w:rsid w:val="00E35E77"/>
    <w:rsid w:val="00E35ECF"/>
    <w:rsid w:val="00E35EEB"/>
    <w:rsid w:val="00E35EEC"/>
    <w:rsid w:val="00E35F00"/>
    <w:rsid w:val="00E35F62"/>
    <w:rsid w:val="00E360F7"/>
    <w:rsid w:val="00E36110"/>
    <w:rsid w:val="00E36132"/>
    <w:rsid w:val="00E3625F"/>
    <w:rsid w:val="00E36276"/>
    <w:rsid w:val="00E36292"/>
    <w:rsid w:val="00E36390"/>
    <w:rsid w:val="00E363E9"/>
    <w:rsid w:val="00E36428"/>
    <w:rsid w:val="00E3645D"/>
    <w:rsid w:val="00E36580"/>
    <w:rsid w:val="00E3665C"/>
    <w:rsid w:val="00E36767"/>
    <w:rsid w:val="00E368AB"/>
    <w:rsid w:val="00E3691B"/>
    <w:rsid w:val="00E3691C"/>
    <w:rsid w:val="00E36963"/>
    <w:rsid w:val="00E369A1"/>
    <w:rsid w:val="00E36A77"/>
    <w:rsid w:val="00E36B1E"/>
    <w:rsid w:val="00E36BD7"/>
    <w:rsid w:val="00E36CA9"/>
    <w:rsid w:val="00E36D09"/>
    <w:rsid w:val="00E36D1E"/>
    <w:rsid w:val="00E36E0D"/>
    <w:rsid w:val="00E36EB9"/>
    <w:rsid w:val="00E36ED5"/>
    <w:rsid w:val="00E36F87"/>
    <w:rsid w:val="00E36FAB"/>
    <w:rsid w:val="00E36FFB"/>
    <w:rsid w:val="00E370EE"/>
    <w:rsid w:val="00E37185"/>
    <w:rsid w:val="00E37186"/>
    <w:rsid w:val="00E371A3"/>
    <w:rsid w:val="00E371F2"/>
    <w:rsid w:val="00E372DC"/>
    <w:rsid w:val="00E37449"/>
    <w:rsid w:val="00E374A6"/>
    <w:rsid w:val="00E37508"/>
    <w:rsid w:val="00E37590"/>
    <w:rsid w:val="00E375ED"/>
    <w:rsid w:val="00E375FE"/>
    <w:rsid w:val="00E37695"/>
    <w:rsid w:val="00E376ED"/>
    <w:rsid w:val="00E3776B"/>
    <w:rsid w:val="00E3782A"/>
    <w:rsid w:val="00E378B7"/>
    <w:rsid w:val="00E37976"/>
    <w:rsid w:val="00E37988"/>
    <w:rsid w:val="00E379BA"/>
    <w:rsid w:val="00E379BB"/>
    <w:rsid w:val="00E37A49"/>
    <w:rsid w:val="00E37A54"/>
    <w:rsid w:val="00E37A56"/>
    <w:rsid w:val="00E37A5F"/>
    <w:rsid w:val="00E37BFA"/>
    <w:rsid w:val="00E37CC1"/>
    <w:rsid w:val="00E37D67"/>
    <w:rsid w:val="00E37DED"/>
    <w:rsid w:val="00E37E06"/>
    <w:rsid w:val="00E37E42"/>
    <w:rsid w:val="00E37E4C"/>
    <w:rsid w:val="00E37E70"/>
    <w:rsid w:val="00E37F0A"/>
    <w:rsid w:val="00E40004"/>
    <w:rsid w:val="00E40160"/>
    <w:rsid w:val="00E40261"/>
    <w:rsid w:val="00E40282"/>
    <w:rsid w:val="00E402BF"/>
    <w:rsid w:val="00E4039E"/>
    <w:rsid w:val="00E403C0"/>
    <w:rsid w:val="00E40410"/>
    <w:rsid w:val="00E4042A"/>
    <w:rsid w:val="00E404E1"/>
    <w:rsid w:val="00E40505"/>
    <w:rsid w:val="00E40577"/>
    <w:rsid w:val="00E405AF"/>
    <w:rsid w:val="00E40655"/>
    <w:rsid w:val="00E40687"/>
    <w:rsid w:val="00E40709"/>
    <w:rsid w:val="00E407D0"/>
    <w:rsid w:val="00E407D1"/>
    <w:rsid w:val="00E40859"/>
    <w:rsid w:val="00E408E9"/>
    <w:rsid w:val="00E40903"/>
    <w:rsid w:val="00E409BB"/>
    <w:rsid w:val="00E40A99"/>
    <w:rsid w:val="00E40AA1"/>
    <w:rsid w:val="00E40AAB"/>
    <w:rsid w:val="00E40AAE"/>
    <w:rsid w:val="00E40B3E"/>
    <w:rsid w:val="00E40BEF"/>
    <w:rsid w:val="00E40D6E"/>
    <w:rsid w:val="00E41006"/>
    <w:rsid w:val="00E4102F"/>
    <w:rsid w:val="00E4105F"/>
    <w:rsid w:val="00E41083"/>
    <w:rsid w:val="00E411B6"/>
    <w:rsid w:val="00E41297"/>
    <w:rsid w:val="00E412F7"/>
    <w:rsid w:val="00E4137F"/>
    <w:rsid w:val="00E414D9"/>
    <w:rsid w:val="00E4155B"/>
    <w:rsid w:val="00E4179B"/>
    <w:rsid w:val="00E41846"/>
    <w:rsid w:val="00E4188F"/>
    <w:rsid w:val="00E4191A"/>
    <w:rsid w:val="00E41941"/>
    <w:rsid w:val="00E4195C"/>
    <w:rsid w:val="00E419D7"/>
    <w:rsid w:val="00E419EA"/>
    <w:rsid w:val="00E41A08"/>
    <w:rsid w:val="00E41A0B"/>
    <w:rsid w:val="00E41B53"/>
    <w:rsid w:val="00E41BCE"/>
    <w:rsid w:val="00E41C5F"/>
    <w:rsid w:val="00E41E93"/>
    <w:rsid w:val="00E41EA0"/>
    <w:rsid w:val="00E41EAF"/>
    <w:rsid w:val="00E41ED3"/>
    <w:rsid w:val="00E42078"/>
    <w:rsid w:val="00E4207F"/>
    <w:rsid w:val="00E4208B"/>
    <w:rsid w:val="00E420D1"/>
    <w:rsid w:val="00E420F6"/>
    <w:rsid w:val="00E4212D"/>
    <w:rsid w:val="00E42196"/>
    <w:rsid w:val="00E421A9"/>
    <w:rsid w:val="00E42279"/>
    <w:rsid w:val="00E422CC"/>
    <w:rsid w:val="00E4231E"/>
    <w:rsid w:val="00E4238B"/>
    <w:rsid w:val="00E423C6"/>
    <w:rsid w:val="00E423DD"/>
    <w:rsid w:val="00E42403"/>
    <w:rsid w:val="00E42413"/>
    <w:rsid w:val="00E42422"/>
    <w:rsid w:val="00E4254A"/>
    <w:rsid w:val="00E42563"/>
    <w:rsid w:val="00E425EA"/>
    <w:rsid w:val="00E4279F"/>
    <w:rsid w:val="00E427A9"/>
    <w:rsid w:val="00E427FB"/>
    <w:rsid w:val="00E42872"/>
    <w:rsid w:val="00E428B5"/>
    <w:rsid w:val="00E42906"/>
    <w:rsid w:val="00E42908"/>
    <w:rsid w:val="00E42A4C"/>
    <w:rsid w:val="00E42AF2"/>
    <w:rsid w:val="00E42BCC"/>
    <w:rsid w:val="00E42C6B"/>
    <w:rsid w:val="00E42C88"/>
    <w:rsid w:val="00E42D17"/>
    <w:rsid w:val="00E42D5E"/>
    <w:rsid w:val="00E42F46"/>
    <w:rsid w:val="00E42F63"/>
    <w:rsid w:val="00E42FF4"/>
    <w:rsid w:val="00E430CA"/>
    <w:rsid w:val="00E43100"/>
    <w:rsid w:val="00E43125"/>
    <w:rsid w:val="00E43128"/>
    <w:rsid w:val="00E4328C"/>
    <w:rsid w:val="00E432B4"/>
    <w:rsid w:val="00E4332B"/>
    <w:rsid w:val="00E43339"/>
    <w:rsid w:val="00E43348"/>
    <w:rsid w:val="00E4334F"/>
    <w:rsid w:val="00E433AA"/>
    <w:rsid w:val="00E43485"/>
    <w:rsid w:val="00E434D6"/>
    <w:rsid w:val="00E434D7"/>
    <w:rsid w:val="00E43542"/>
    <w:rsid w:val="00E435ED"/>
    <w:rsid w:val="00E435FC"/>
    <w:rsid w:val="00E436B6"/>
    <w:rsid w:val="00E436E4"/>
    <w:rsid w:val="00E43741"/>
    <w:rsid w:val="00E43781"/>
    <w:rsid w:val="00E43857"/>
    <w:rsid w:val="00E43892"/>
    <w:rsid w:val="00E438C8"/>
    <w:rsid w:val="00E438DA"/>
    <w:rsid w:val="00E439EA"/>
    <w:rsid w:val="00E43A0C"/>
    <w:rsid w:val="00E43A1A"/>
    <w:rsid w:val="00E43A48"/>
    <w:rsid w:val="00E43A4A"/>
    <w:rsid w:val="00E43AD6"/>
    <w:rsid w:val="00E43B6F"/>
    <w:rsid w:val="00E43BCE"/>
    <w:rsid w:val="00E43CB3"/>
    <w:rsid w:val="00E43CBD"/>
    <w:rsid w:val="00E43CEA"/>
    <w:rsid w:val="00E43E6E"/>
    <w:rsid w:val="00E43F4F"/>
    <w:rsid w:val="00E44085"/>
    <w:rsid w:val="00E44151"/>
    <w:rsid w:val="00E44195"/>
    <w:rsid w:val="00E441F2"/>
    <w:rsid w:val="00E442AB"/>
    <w:rsid w:val="00E443E3"/>
    <w:rsid w:val="00E44408"/>
    <w:rsid w:val="00E44410"/>
    <w:rsid w:val="00E44417"/>
    <w:rsid w:val="00E44514"/>
    <w:rsid w:val="00E445AA"/>
    <w:rsid w:val="00E446A5"/>
    <w:rsid w:val="00E446EA"/>
    <w:rsid w:val="00E446FA"/>
    <w:rsid w:val="00E447A6"/>
    <w:rsid w:val="00E447B3"/>
    <w:rsid w:val="00E447C3"/>
    <w:rsid w:val="00E447E1"/>
    <w:rsid w:val="00E447F5"/>
    <w:rsid w:val="00E4480E"/>
    <w:rsid w:val="00E4484D"/>
    <w:rsid w:val="00E4486B"/>
    <w:rsid w:val="00E4486C"/>
    <w:rsid w:val="00E4492F"/>
    <w:rsid w:val="00E44931"/>
    <w:rsid w:val="00E4497D"/>
    <w:rsid w:val="00E44985"/>
    <w:rsid w:val="00E44996"/>
    <w:rsid w:val="00E449A5"/>
    <w:rsid w:val="00E449B1"/>
    <w:rsid w:val="00E449BF"/>
    <w:rsid w:val="00E44A67"/>
    <w:rsid w:val="00E44AEC"/>
    <w:rsid w:val="00E44B2F"/>
    <w:rsid w:val="00E44B3D"/>
    <w:rsid w:val="00E44B4B"/>
    <w:rsid w:val="00E44B4F"/>
    <w:rsid w:val="00E44C38"/>
    <w:rsid w:val="00E44C49"/>
    <w:rsid w:val="00E44DF0"/>
    <w:rsid w:val="00E44E68"/>
    <w:rsid w:val="00E44F1B"/>
    <w:rsid w:val="00E44F32"/>
    <w:rsid w:val="00E44FA8"/>
    <w:rsid w:val="00E4500F"/>
    <w:rsid w:val="00E45074"/>
    <w:rsid w:val="00E450D0"/>
    <w:rsid w:val="00E45114"/>
    <w:rsid w:val="00E451CD"/>
    <w:rsid w:val="00E4523D"/>
    <w:rsid w:val="00E45294"/>
    <w:rsid w:val="00E452BF"/>
    <w:rsid w:val="00E452D6"/>
    <w:rsid w:val="00E4535A"/>
    <w:rsid w:val="00E455FD"/>
    <w:rsid w:val="00E456A9"/>
    <w:rsid w:val="00E45764"/>
    <w:rsid w:val="00E457F1"/>
    <w:rsid w:val="00E45819"/>
    <w:rsid w:val="00E45976"/>
    <w:rsid w:val="00E45ABA"/>
    <w:rsid w:val="00E45ABF"/>
    <w:rsid w:val="00E45B3F"/>
    <w:rsid w:val="00E45B49"/>
    <w:rsid w:val="00E45B6A"/>
    <w:rsid w:val="00E45BBD"/>
    <w:rsid w:val="00E45BF9"/>
    <w:rsid w:val="00E45BFB"/>
    <w:rsid w:val="00E45C13"/>
    <w:rsid w:val="00E45C97"/>
    <w:rsid w:val="00E45CB3"/>
    <w:rsid w:val="00E45CC4"/>
    <w:rsid w:val="00E45D59"/>
    <w:rsid w:val="00E45E47"/>
    <w:rsid w:val="00E45EEE"/>
    <w:rsid w:val="00E45FA3"/>
    <w:rsid w:val="00E4600C"/>
    <w:rsid w:val="00E46040"/>
    <w:rsid w:val="00E4609B"/>
    <w:rsid w:val="00E461B3"/>
    <w:rsid w:val="00E462B2"/>
    <w:rsid w:val="00E46303"/>
    <w:rsid w:val="00E4635F"/>
    <w:rsid w:val="00E4641A"/>
    <w:rsid w:val="00E46471"/>
    <w:rsid w:val="00E46551"/>
    <w:rsid w:val="00E465AA"/>
    <w:rsid w:val="00E4682C"/>
    <w:rsid w:val="00E46841"/>
    <w:rsid w:val="00E4685E"/>
    <w:rsid w:val="00E469C9"/>
    <w:rsid w:val="00E46B02"/>
    <w:rsid w:val="00E46BC3"/>
    <w:rsid w:val="00E46BF3"/>
    <w:rsid w:val="00E46C2F"/>
    <w:rsid w:val="00E46C36"/>
    <w:rsid w:val="00E46CA7"/>
    <w:rsid w:val="00E46CDE"/>
    <w:rsid w:val="00E46CFB"/>
    <w:rsid w:val="00E46D7C"/>
    <w:rsid w:val="00E46DF3"/>
    <w:rsid w:val="00E46EB9"/>
    <w:rsid w:val="00E46F2E"/>
    <w:rsid w:val="00E46F54"/>
    <w:rsid w:val="00E47070"/>
    <w:rsid w:val="00E4717B"/>
    <w:rsid w:val="00E471F4"/>
    <w:rsid w:val="00E4726A"/>
    <w:rsid w:val="00E472B6"/>
    <w:rsid w:val="00E47378"/>
    <w:rsid w:val="00E473D5"/>
    <w:rsid w:val="00E474EA"/>
    <w:rsid w:val="00E474EB"/>
    <w:rsid w:val="00E47531"/>
    <w:rsid w:val="00E47553"/>
    <w:rsid w:val="00E47555"/>
    <w:rsid w:val="00E475B0"/>
    <w:rsid w:val="00E47608"/>
    <w:rsid w:val="00E476EB"/>
    <w:rsid w:val="00E4770F"/>
    <w:rsid w:val="00E47723"/>
    <w:rsid w:val="00E4784C"/>
    <w:rsid w:val="00E47860"/>
    <w:rsid w:val="00E47864"/>
    <w:rsid w:val="00E4790F"/>
    <w:rsid w:val="00E47A83"/>
    <w:rsid w:val="00E47AF8"/>
    <w:rsid w:val="00E47CAB"/>
    <w:rsid w:val="00E47CDF"/>
    <w:rsid w:val="00E47D3F"/>
    <w:rsid w:val="00E50006"/>
    <w:rsid w:val="00E50033"/>
    <w:rsid w:val="00E500A3"/>
    <w:rsid w:val="00E500C5"/>
    <w:rsid w:val="00E50150"/>
    <w:rsid w:val="00E501AC"/>
    <w:rsid w:val="00E501CD"/>
    <w:rsid w:val="00E501FA"/>
    <w:rsid w:val="00E50212"/>
    <w:rsid w:val="00E50495"/>
    <w:rsid w:val="00E50504"/>
    <w:rsid w:val="00E50544"/>
    <w:rsid w:val="00E5056E"/>
    <w:rsid w:val="00E505F6"/>
    <w:rsid w:val="00E5065B"/>
    <w:rsid w:val="00E5068B"/>
    <w:rsid w:val="00E50766"/>
    <w:rsid w:val="00E5080F"/>
    <w:rsid w:val="00E508A2"/>
    <w:rsid w:val="00E508D4"/>
    <w:rsid w:val="00E50976"/>
    <w:rsid w:val="00E509EF"/>
    <w:rsid w:val="00E50AD9"/>
    <w:rsid w:val="00E50B93"/>
    <w:rsid w:val="00E50B9A"/>
    <w:rsid w:val="00E50BC5"/>
    <w:rsid w:val="00E50BCE"/>
    <w:rsid w:val="00E50F6D"/>
    <w:rsid w:val="00E50FDE"/>
    <w:rsid w:val="00E50FF1"/>
    <w:rsid w:val="00E51009"/>
    <w:rsid w:val="00E5101E"/>
    <w:rsid w:val="00E5102B"/>
    <w:rsid w:val="00E51147"/>
    <w:rsid w:val="00E513D8"/>
    <w:rsid w:val="00E514A2"/>
    <w:rsid w:val="00E514B8"/>
    <w:rsid w:val="00E514F1"/>
    <w:rsid w:val="00E51559"/>
    <w:rsid w:val="00E5157B"/>
    <w:rsid w:val="00E5166F"/>
    <w:rsid w:val="00E51694"/>
    <w:rsid w:val="00E516E8"/>
    <w:rsid w:val="00E5172B"/>
    <w:rsid w:val="00E51782"/>
    <w:rsid w:val="00E517A7"/>
    <w:rsid w:val="00E51881"/>
    <w:rsid w:val="00E518CF"/>
    <w:rsid w:val="00E51972"/>
    <w:rsid w:val="00E51ACD"/>
    <w:rsid w:val="00E51BA6"/>
    <w:rsid w:val="00E51BB2"/>
    <w:rsid w:val="00E51C39"/>
    <w:rsid w:val="00E51D01"/>
    <w:rsid w:val="00E51D11"/>
    <w:rsid w:val="00E51D24"/>
    <w:rsid w:val="00E51D58"/>
    <w:rsid w:val="00E51E57"/>
    <w:rsid w:val="00E51EE6"/>
    <w:rsid w:val="00E51FC7"/>
    <w:rsid w:val="00E5209B"/>
    <w:rsid w:val="00E5219C"/>
    <w:rsid w:val="00E521C3"/>
    <w:rsid w:val="00E5234D"/>
    <w:rsid w:val="00E52379"/>
    <w:rsid w:val="00E523D0"/>
    <w:rsid w:val="00E52432"/>
    <w:rsid w:val="00E52445"/>
    <w:rsid w:val="00E5244F"/>
    <w:rsid w:val="00E5246C"/>
    <w:rsid w:val="00E524EA"/>
    <w:rsid w:val="00E52587"/>
    <w:rsid w:val="00E5258B"/>
    <w:rsid w:val="00E52680"/>
    <w:rsid w:val="00E526C7"/>
    <w:rsid w:val="00E52795"/>
    <w:rsid w:val="00E527DD"/>
    <w:rsid w:val="00E528F3"/>
    <w:rsid w:val="00E52988"/>
    <w:rsid w:val="00E529D6"/>
    <w:rsid w:val="00E52AC1"/>
    <w:rsid w:val="00E52B6D"/>
    <w:rsid w:val="00E52D05"/>
    <w:rsid w:val="00E52D43"/>
    <w:rsid w:val="00E52D89"/>
    <w:rsid w:val="00E52D97"/>
    <w:rsid w:val="00E52F27"/>
    <w:rsid w:val="00E52F42"/>
    <w:rsid w:val="00E52F5C"/>
    <w:rsid w:val="00E52F79"/>
    <w:rsid w:val="00E53097"/>
    <w:rsid w:val="00E531B0"/>
    <w:rsid w:val="00E53254"/>
    <w:rsid w:val="00E532FF"/>
    <w:rsid w:val="00E53394"/>
    <w:rsid w:val="00E533D4"/>
    <w:rsid w:val="00E534BA"/>
    <w:rsid w:val="00E53511"/>
    <w:rsid w:val="00E5352B"/>
    <w:rsid w:val="00E535B3"/>
    <w:rsid w:val="00E537B4"/>
    <w:rsid w:val="00E538AE"/>
    <w:rsid w:val="00E538EB"/>
    <w:rsid w:val="00E5399E"/>
    <w:rsid w:val="00E53A06"/>
    <w:rsid w:val="00E53AF4"/>
    <w:rsid w:val="00E53B40"/>
    <w:rsid w:val="00E53B70"/>
    <w:rsid w:val="00E53BAF"/>
    <w:rsid w:val="00E53CC7"/>
    <w:rsid w:val="00E53DE6"/>
    <w:rsid w:val="00E53E11"/>
    <w:rsid w:val="00E53E4C"/>
    <w:rsid w:val="00E53E8B"/>
    <w:rsid w:val="00E53EB8"/>
    <w:rsid w:val="00E53EFF"/>
    <w:rsid w:val="00E53FEE"/>
    <w:rsid w:val="00E5401D"/>
    <w:rsid w:val="00E54032"/>
    <w:rsid w:val="00E540D0"/>
    <w:rsid w:val="00E54202"/>
    <w:rsid w:val="00E5423D"/>
    <w:rsid w:val="00E54277"/>
    <w:rsid w:val="00E5435D"/>
    <w:rsid w:val="00E54368"/>
    <w:rsid w:val="00E54378"/>
    <w:rsid w:val="00E543DE"/>
    <w:rsid w:val="00E54520"/>
    <w:rsid w:val="00E5457B"/>
    <w:rsid w:val="00E5459D"/>
    <w:rsid w:val="00E5469B"/>
    <w:rsid w:val="00E54763"/>
    <w:rsid w:val="00E547BB"/>
    <w:rsid w:val="00E54837"/>
    <w:rsid w:val="00E54892"/>
    <w:rsid w:val="00E54A02"/>
    <w:rsid w:val="00E54A04"/>
    <w:rsid w:val="00E54A12"/>
    <w:rsid w:val="00E54A73"/>
    <w:rsid w:val="00E54A91"/>
    <w:rsid w:val="00E54AE4"/>
    <w:rsid w:val="00E54C10"/>
    <w:rsid w:val="00E54F78"/>
    <w:rsid w:val="00E54FC9"/>
    <w:rsid w:val="00E550C2"/>
    <w:rsid w:val="00E550EE"/>
    <w:rsid w:val="00E55166"/>
    <w:rsid w:val="00E5520E"/>
    <w:rsid w:val="00E552AC"/>
    <w:rsid w:val="00E55413"/>
    <w:rsid w:val="00E55437"/>
    <w:rsid w:val="00E5548C"/>
    <w:rsid w:val="00E555A1"/>
    <w:rsid w:val="00E55637"/>
    <w:rsid w:val="00E5564C"/>
    <w:rsid w:val="00E556D7"/>
    <w:rsid w:val="00E556FF"/>
    <w:rsid w:val="00E55706"/>
    <w:rsid w:val="00E55754"/>
    <w:rsid w:val="00E55808"/>
    <w:rsid w:val="00E5587B"/>
    <w:rsid w:val="00E55955"/>
    <w:rsid w:val="00E55998"/>
    <w:rsid w:val="00E559EA"/>
    <w:rsid w:val="00E55A78"/>
    <w:rsid w:val="00E55AB9"/>
    <w:rsid w:val="00E55B14"/>
    <w:rsid w:val="00E55B60"/>
    <w:rsid w:val="00E55B74"/>
    <w:rsid w:val="00E55B91"/>
    <w:rsid w:val="00E55C07"/>
    <w:rsid w:val="00E55D3A"/>
    <w:rsid w:val="00E55DDB"/>
    <w:rsid w:val="00E55DEA"/>
    <w:rsid w:val="00E55E06"/>
    <w:rsid w:val="00E55E39"/>
    <w:rsid w:val="00E55E6F"/>
    <w:rsid w:val="00E55EDD"/>
    <w:rsid w:val="00E56054"/>
    <w:rsid w:val="00E56089"/>
    <w:rsid w:val="00E560AE"/>
    <w:rsid w:val="00E560F6"/>
    <w:rsid w:val="00E56177"/>
    <w:rsid w:val="00E56182"/>
    <w:rsid w:val="00E56234"/>
    <w:rsid w:val="00E56355"/>
    <w:rsid w:val="00E5637E"/>
    <w:rsid w:val="00E563B7"/>
    <w:rsid w:val="00E56459"/>
    <w:rsid w:val="00E56493"/>
    <w:rsid w:val="00E5652F"/>
    <w:rsid w:val="00E5653B"/>
    <w:rsid w:val="00E5682C"/>
    <w:rsid w:val="00E569E6"/>
    <w:rsid w:val="00E56AC6"/>
    <w:rsid w:val="00E56BB4"/>
    <w:rsid w:val="00E56C4B"/>
    <w:rsid w:val="00E56C56"/>
    <w:rsid w:val="00E56C6F"/>
    <w:rsid w:val="00E56CB2"/>
    <w:rsid w:val="00E56E8E"/>
    <w:rsid w:val="00E56F08"/>
    <w:rsid w:val="00E56F39"/>
    <w:rsid w:val="00E56FA0"/>
    <w:rsid w:val="00E56FB7"/>
    <w:rsid w:val="00E570A0"/>
    <w:rsid w:val="00E570AC"/>
    <w:rsid w:val="00E5715D"/>
    <w:rsid w:val="00E5722D"/>
    <w:rsid w:val="00E57341"/>
    <w:rsid w:val="00E573C4"/>
    <w:rsid w:val="00E57526"/>
    <w:rsid w:val="00E5753F"/>
    <w:rsid w:val="00E575B7"/>
    <w:rsid w:val="00E57664"/>
    <w:rsid w:val="00E5766B"/>
    <w:rsid w:val="00E57685"/>
    <w:rsid w:val="00E576C5"/>
    <w:rsid w:val="00E5777B"/>
    <w:rsid w:val="00E57785"/>
    <w:rsid w:val="00E577ED"/>
    <w:rsid w:val="00E5790D"/>
    <w:rsid w:val="00E57949"/>
    <w:rsid w:val="00E5799F"/>
    <w:rsid w:val="00E579BA"/>
    <w:rsid w:val="00E579EE"/>
    <w:rsid w:val="00E57A43"/>
    <w:rsid w:val="00E57A59"/>
    <w:rsid w:val="00E57A5A"/>
    <w:rsid w:val="00E57A63"/>
    <w:rsid w:val="00E57BA3"/>
    <w:rsid w:val="00E57BA9"/>
    <w:rsid w:val="00E57CED"/>
    <w:rsid w:val="00E57D96"/>
    <w:rsid w:val="00E57DC0"/>
    <w:rsid w:val="00E57EBC"/>
    <w:rsid w:val="00E57F47"/>
    <w:rsid w:val="00E57F90"/>
    <w:rsid w:val="00E57FA9"/>
    <w:rsid w:val="00E57FFD"/>
    <w:rsid w:val="00E600C6"/>
    <w:rsid w:val="00E60196"/>
    <w:rsid w:val="00E601B8"/>
    <w:rsid w:val="00E60247"/>
    <w:rsid w:val="00E60258"/>
    <w:rsid w:val="00E60397"/>
    <w:rsid w:val="00E603D1"/>
    <w:rsid w:val="00E603D3"/>
    <w:rsid w:val="00E60566"/>
    <w:rsid w:val="00E60713"/>
    <w:rsid w:val="00E6080C"/>
    <w:rsid w:val="00E6089B"/>
    <w:rsid w:val="00E608F8"/>
    <w:rsid w:val="00E60B09"/>
    <w:rsid w:val="00E60B1F"/>
    <w:rsid w:val="00E60B71"/>
    <w:rsid w:val="00E60BFB"/>
    <w:rsid w:val="00E60C92"/>
    <w:rsid w:val="00E60D13"/>
    <w:rsid w:val="00E60DD8"/>
    <w:rsid w:val="00E60E62"/>
    <w:rsid w:val="00E60E6B"/>
    <w:rsid w:val="00E60EB1"/>
    <w:rsid w:val="00E61014"/>
    <w:rsid w:val="00E61079"/>
    <w:rsid w:val="00E61106"/>
    <w:rsid w:val="00E6124E"/>
    <w:rsid w:val="00E612A0"/>
    <w:rsid w:val="00E612E5"/>
    <w:rsid w:val="00E6132A"/>
    <w:rsid w:val="00E61490"/>
    <w:rsid w:val="00E614B0"/>
    <w:rsid w:val="00E614E9"/>
    <w:rsid w:val="00E615F4"/>
    <w:rsid w:val="00E616C8"/>
    <w:rsid w:val="00E6184F"/>
    <w:rsid w:val="00E6188A"/>
    <w:rsid w:val="00E618FE"/>
    <w:rsid w:val="00E619B4"/>
    <w:rsid w:val="00E61A9E"/>
    <w:rsid w:val="00E61AD5"/>
    <w:rsid w:val="00E61B7B"/>
    <w:rsid w:val="00E61D14"/>
    <w:rsid w:val="00E61D3E"/>
    <w:rsid w:val="00E61D9B"/>
    <w:rsid w:val="00E61DA5"/>
    <w:rsid w:val="00E61E25"/>
    <w:rsid w:val="00E61E52"/>
    <w:rsid w:val="00E61E8E"/>
    <w:rsid w:val="00E61EA3"/>
    <w:rsid w:val="00E61EBC"/>
    <w:rsid w:val="00E61EEC"/>
    <w:rsid w:val="00E62114"/>
    <w:rsid w:val="00E6227E"/>
    <w:rsid w:val="00E62313"/>
    <w:rsid w:val="00E62326"/>
    <w:rsid w:val="00E624C2"/>
    <w:rsid w:val="00E62506"/>
    <w:rsid w:val="00E625C2"/>
    <w:rsid w:val="00E625D3"/>
    <w:rsid w:val="00E62607"/>
    <w:rsid w:val="00E62609"/>
    <w:rsid w:val="00E62735"/>
    <w:rsid w:val="00E62737"/>
    <w:rsid w:val="00E627DF"/>
    <w:rsid w:val="00E62833"/>
    <w:rsid w:val="00E62A4E"/>
    <w:rsid w:val="00E62C5A"/>
    <w:rsid w:val="00E62CB1"/>
    <w:rsid w:val="00E62CE5"/>
    <w:rsid w:val="00E62D1B"/>
    <w:rsid w:val="00E62E4D"/>
    <w:rsid w:val="00E62E89"/>
    <w:rsid w:val="00E62F13"/>
    <w:rsid w:val="00E62F83"/>
    <w:rsid w:val="00E62FEA"/>
    <w:rsid w:val="00E630C7"/>
    <w:rsid w:val="00E630F2"/>
    <w:rsid w:val="00E63164"/>
    <w:rsid w:val="00E6318A"/>
    <w:rsid w:val="00E6319C"/>
    <w:rsid w:val="00E6342B"/>
    <w:rsid w:val="00E6346E"/>
    <w:rsid w:val="00E634E7"/>
    <w:rsid w:val="00E63546"/>
    <w:rsid w:val="00E636A3"/>
    <w:rsid w:val="00E63749"/>
    <w:rsid w:val="00E63768"/>
    <w:rsid w:val="00E638F1"/>
    <w:rsid w:val="00E63936"/>
    <w:rsid w:val="00E63960"/>
    <w:rsid w:val="00E639D5"/>
    <w:rsid w:val="00E63A90"/>
    <w:rsid w:val="00E63BF2"/>
    <w:rsid w:val="00E63C40"/>
    <w:rsid w:val="00E63C45"/>
    <w:rsid w:val="00E63D09"/>
    <w:rsid w:val="00E63DD2"/>
    <w:rsid w:val="00E63F1A"/>
    <w:rsid w:val="00E63F8B"/>
    <w:rsid w:val="00E63FB5"/>
    <w:rsid w:val="00E64104"/>
    <w:rsid w:val="00E64163"/>
    <w:rsid w:val="00E64170"/>
    <w:rsid w:val="00E64300"/>
    <w:rsid w:val="00E64393"/>
    <w:rsid w:val="00E643F1"/>
    <w:rsid w:val="00E6441A"/>
    <w:rsid w:val="00E64542"/>
    <w:rsid w:val="00E64558"/>
    <w:rsid w:val="00E6456C"/>
    <w:rsid w:val="00E646A3"/>
    <w:rsid w:val="00E646C2"/>
    <w:rsid w:val="00E646E9"/>
    <w:rsid w:val="00E646EA"/>
    <w:rsid w:val="00E647F1"/>
    <w:rsid w:val="00E6484E"/>
    <w:rsid w:val="00E648DD"/>
    <w:rsid w:val="00E64A20"/>
    <w:rsid w:val="00E64A55"/>
    <w:rsid w:val="00E64B12"/>
    <w:rsid w:val="00E64B3B"/>
    <w:rsid w:val="00E64B62"/>
    <w:rsid w:val="00E64B8C"/>
    <w:rsid w:val="00E64C2C"/>
    <w:rsid w:val="00E64F23"/>
    <w:rsid w:val="00E64F9A"/>
    <w:rsid w:val="00E65017"/>
    <w:rsid w:val="00E65019"/>
    <w:rsid w:val="00E65040"/>
    <w:rsid w:val="00E6507D"/>
    <w:rsid w:val="00E6509F"/>
    <w:rsid w:val="00E652F8"/>
    <w:rsid w:val="00E6530C"/>
    <w:rsid w:val="00E6531D"/>
    <w:rsid w:val="00E6532C"/>
    <w:rsid w:val="00E65381"/>
    <w:rsid w:val="00E653F8"/>
    <w:rsid w:val="00E65401"/>
    <w:rsid w:val="00E65431"/>
    <w:rsid w:val="00E6543C"/>
    <w:rsid w:val="00E65449"/>
    <w:rsid w:val="00E654B6"/>
    <w:rsid w:val="00E6552B"/>
    <w:rsid w:val="00E655A5"/>
    <w:rsid w:val="00E6563B"/>
    <w:rsid w:val="00E65736"/>
    <w:rsid w:val="00E657A4"/>
    <w:rsid w:val="00E658B2"/>
    <w:rsid w:val="00E659A7"/>
    <w:rsid w:val="00E65A36"/>
    <w:rsid w:val="00E65A4A"/>
    <w:rsid w:val="00E65B77"/>
    <w:rsid w:val="00E65BBD"/>
    <w:rsid w:val="00E65C1C"/>
    <w:rsid w:val="00E65C8D"/>
    <w:rsid w:val="00E65D4C"/>
    <w:rsid w:val="00E65EDF"/>
    <w:rsid w:val="00E65FF8"/>
    <w:rsid w:val="00E66036"/>
    <w:rsid w:val="00E660AD"/>
    <w:rsid w:val="00E660EA"/>
    <w:rsid w:val="00E6611D"/>
    <w:rsid w:val="00E661CF"/>
    <w:rsid w:val="00E661FE"/>
    <w:rsid w:val="00E6620E"/>
    <w:rsid w:val="00E66228"/>
    <w:rsid w:val="00E663D2"/>
    <w:rsid w:val="00E664E4"/>
    <w:rsid w:val="00E664FE"/>
    <w:rsid w:val="00E66506"/>
    <w:rsid w:val="00E66567"/>
    <w:rsid w:val="00E665E3"/>
    <w:rsid w:val="00E665FA"/>
    <w:rsid w:val="00E66646"/>
    <w:rsid w:val="00E666F7"/>
    <w:rsid w:val="00E66733"/>
    <w:rsid w:val="00E66770"/>
    <w:rsid w:val="00E66821"/>
    <w:rsid w:val="00E668D8"/>
    <w:rsid w:val="00E6699A"/>
    <w:rsid w:val="00E669BF"/>
    <w:rsid w:val="00E66AA1"/>
    <w:rsid w:val="00E66B66"/>
    <w:rsid w:val="00E66B9D"/>
    <w:rsid w:val="00E66BFF"/>
    <w:rsid w:val="00E66CAA"/>
    <w:rsid w:val="00E66CDE"/>
    <w:rsid w:val="00E66CEB"/>
    <w:rsid w:val="00E66E2D"/>
    <w:rsid w:val="00E66E38"/>
    <w:rsid w:val="00E66EA9"/>
    <w:rsid w:val="00E66F70"/>
    <w:rsid w:val="00E66FB2"/>
    <w:rsid w:val="00E6700B"/>
    <w:rsid w:val="00E67057"/>
    <w:rsid w:val="00E6718F"/>
    <w:rsid w:val="00E67203"/>
    <w:rsid w:val="00E67250"/>
    <w:rsid w:val="00E672E4"/>
    <w:rsid w:val="00E672EC"/>
    <w:rsid w:val="00E6733F"/>
    <w:rsid w:val="00E673D2"/>
    <w:rsid w:val="00E673DA"/>
    <w:rsid w:val="00E67422"/>
    <w:rsid w:val="00E67436"/>
    <w:rsid w:val="00E67451"/>
    <w:rsid w:val="00E674B8"/>
    <w:rsid w:val="00E675D6"/>
    <w:rsid w:val="00E676CB"/>
    <w:rsid w:val="00E67729"/>
    <w:rsid w:val="00E6777E"/>
    <w:rsid w:val="00E67828"/>
    <w:rsid w:val="00E6783B"/>
    <w:rsid w:val="00E67951"/>
    <w:rsid w:val="00E679D5"/>
    <w:rsid w:val="00E67A58"/>
    <w:rsid w:val="00E67BC7"/>
    <w:rsid w:val="00E67C68"/>
    <w:rsid w:val="00E67D51"/>
    <w:rsid w:val="00E67EDB"/>
    <w:rsid w:val="00E67F2C"/>
    <w:rsid w:val="00E70141"/>
    <w:rsid w:val="00E701CC"/>
    <w:rsid w:val="00E7037B"/>
    <w:rsid w:val="00E7041B"/>
    <w:rsid w:val="00E70486"/>
    <w:rsid w:val="00E70489"/>
    <w:rsid w:val="00E7051F"/>
    <w:rsid w:val="00E7059E"/>
    <w:rsid w:val="00E705B5"/>
    <w:rsid w:val="00E705E6"/>
    <w:rsid w:val="00E707E1"/>
    <w:rsid w:val="00E707FB"/>
    <w:rsid w:val="00E70815"/>
    <w:rsid w:val="00E70925"/>
    <w:rsid w:val="00E70949"/>
    <w:rsid w:val="00E709C5"/>
    <w:rsid w:val="00E70A91"/>
    <w:rsid w:val="00E70C01"/>
    <w:rsid w:val="00E70C47"/>
    <w:rsid w:val="00E70CA4"/>
    <w:rsid w:val="00E70CEF"/>
    <w:rsid w:val="00E70D07"/>
    <w:rsid w:val="00E70D8E"/>
    <w:rsid w:val="00E70E2A"/>
    <w:rsid w:val="00E70F3B"/>
    <w:rsid w:val="00E70F4E"/>
    <w:rsid w:val="00E70F98"/>
    <w:rsid w:val="00E71009"/>
    <w:rsid w:val="00E71045"/>
    <w:rsid w:val="00E71068"/>
    <w:rsid w:val="00E71088"/>
    <w:rsid w:val="00E710DA"/>
    <w:rsid w:val="00E71118"/>
    <w:rsid w:val="00E71151"/>
    <w:rsid w:val="00E71199"/>
    <w:rsid w:val="00E711DD"/>
    <w:rsid w:val="00E7121E"/>
    <w:rsid w:val="00E712B7"/>
    <w:rsid w:val="00E713EE"/>
    <w:rsid w:val="00E7143A"/>
    <w:rsid w:val="00E7155A"/>
    <w:rsid w:val="00E716C3"/>
    <w:rsid w:val="00E717E7"/>
    <w:rsid w:val="00E717F4"/>
    <w:rsid w:val="00E7180B"/>
    <w:rsid w:val="00E71848"/>
    <w:rsid w:val="00E7188E"/>
    <w:rsid w:val="00E71A12"/>
    <w:rsid w:val="00E71AA6"/>
    <w:rsid w:val="00E71B9C"/>
    <w:rsid w:val="00E71C0D"/>
    <w:rsid w:val="00E71C5C"/>
    <w:rsid w:val="00E71D2E"/>
    <w:rsid w:val="00E71D69"/>
    <w:rsid w:val="00E71E47"/>
    <w:rsid w:val="00E71FC6"/>
    <w:rsid w:val="00E72014"/>
    <w:rsid w:val="00E72164"/>
    <w:rsid w:val="00E721FF"/>
    <w:rsid w:val="00E7235D"/>
    <w:rsid w:val="00E723DD"/>
    <w:rsid w:val="00E72412"/>
    <w:rsid w:val="00E7244A"/>
    <w:rsid w:val="00E724CA"/>
    <w:rsid w:val="00E725E0"/>
    <w:rsid w:val="00E7260E"/>
    <w:rsid w:val="00E727C6"/>
    <w:rsid w:val="00E727F4"/>
    <w:rsid w:val="00E727FF"/>
    <w:rsid w:val="00E7285F"/>
    <w:rsid w:val="00E7286B"/>
    <w:rsid w:val="00E72A13"/>
    <w:rsid w:val="00E72A3F"/>
    <w:rsid w:val="00E72A8A"/>
    <w:rsid w:val="00E72BEB"/>
    <w:rsid w:val="00E72CA7"/>
    <w:rsid w:val="00E72D6C"/>
    <w:rsid w:val="00E72D93"/>
    <w:rsid w:val="00E72DC0"/>
    <w:rsid w:val="00E72E12"/>
    <w:rsid w:val="00E72E6F"/>
    <w:rsid w:val="00E72ED6"/>
    <w:rsid w:val="00E72EE6"/>
    <w:rsid w:val="00E72F10"/>
    <w:rsid w:val="00E72F46"/>
    <w:rsid w:val="00E72F5B"/>
    <w:rsid w:val="00E72F7D"/>
    <w:rsid w:val="00E72F93"/>
    <w:rsid w:val="00E72FA8"/>
    <w:rsid w:val="00E72FB4"/>
    <w:rsid w:val="00E72FC8"/>
    <w:rsid w:val="00E7305E"/>
    <w:rsid w:val="00E73135"/>
    <w:rsid w:val="00E73158"/>
    <w:rsid w:val="00E73172"/>
    <w:rsid w:val="00E731EE"/>
    <w:rsid w:val="00E73264"/>
    <w:rsid w:val="00E73280"/>
    <w:rsid w:val="00E73368"/>
    <w:rsid w:val="00E73375"/>
    <w:rsid w:val="00E73386"/>
    <w:rsid w:val="00E734AC"/>
    <w:rsid w:val="00E73574"/>
    <w:rsid w:val="00E735CA"/>
    <w:rsid w:val="00E735DB"/>
    <w:rsid w:val="00E73650"/>
    <w:rsid w:val="00E737C5"/>
    <w:rsid w:val="00E737C6"/>
    <w:rsid w:val="00E7384E"/>
    <w:rsid w:val="00E73867"/>
    <w:rsid w:val="00E73927"/>
    <w:rsid w:val="00E739A6"/>
    <w:rsid w:val="00E73ADF"/>
    <w:rsid w:val="00E73B26"/>
    <w:rsid w:val="00E73C58"/>
    <w:rsid w:val="00E73C79"/>
    <w:rsid w:val="00E73C7A"/>
    <w:rsid w:val="00E73D39"/>
    <w:rsid w:val="00E73F88"/>
    <w:rsid w:val="00E73F93"/>
    <w:rsid w:val="00E74100"/>
    <w:rsid w:val="00E74124"/>
    <w:rsid w:val="00E74481"/>
    <w:rsid w:val="00E74548"/>
    <w:rsid w:val="00E74570"/>
    <w:rsid w:val="00E745A6"/>
    <w:rsid w:val="00E74602"/>
    <w:rsid w:val="00E747EA"/>
    <w:rsid w:val="00E74852"/>
    <w:rsid w:val="00E74AA7"/>
    <w:rsid w:val="00E74AC7"/>
    <w:rsid w:val="00E74ACD"/>
    <w:rsid w:val="00E74ADD"/>
    <w:rsid w:val="00E74AE2"/>
    <w:rsid w:val="00E74AFA"/>
    <w:rsid w:val="00E74C6A"/>
    <w:rsid w:val="00E74D39"/>
    <w:rsid w:val="00E74DDC"/>
    <w:rsid w:val="00E74E4B"/>
    <w:rsid w:val="00E74EAF"/>
    <w:rsid w:val="00E74EDA"/>
    <w:rsid w:val="00E74F36"/>
    <w:rsid w:val="00E74F66"/>
    <w:rsid w:val="00E74F8F"/>
    <w:rsid w:val="00E75013"/>
    <w:rsid w:val="00E75069"/>
    <w:rsid w:val="00E7507A"/>
    <w:rsid w:val="00E75144"/>
    <w:rsid w:val="00E75159"/>
    <w:rsid w:val="00E752D3"/>
    <w:rsid w:val="00E7534A"/>
    <w:rsid w:val="00E753CD"/>
    <w:rsid w:val="00E7540D"/>
    <w:rsid w:val="00E75422"/>
    <w:rsid w:val="00E754C1"/>
    <w:rsid w:val="00E755A4"/>
    <w:rsid w:val="00E755A9"/>
    <w:rsid w:val="00E7568E"/>
    <w:rsid w:val="00E756FA"/>
    <w:rsid w:val="00E757DB"/>
    <w:rsid w:val="00E75848"/>
    <w:rsid w:val="00E758DE"/>
    <w:rsid w:val="00E758F9"/>
    <w:rsid w:val="00E7592E"/>
    <w:rsid w:val="00E75994"/>
    <w:rsid w:val="00E75AC4"/>
    <w:rsid w:val="00E75B1A"/>
    <w:rsid w:val="00E75B2B"/>
    <w:rsid w:val="00E75B45"/>
    <w:rsid w:val="00E75B4A"/>
    <w:rsid w:val="00E75BD9"/>
    <w:rsid w:val="00E75C7E"/>
    <w:rsid w:val="00E75C91"/>
    <w:rsid w:val="00E75CC4"/>
    <w:rsid w:val="00E75D4A"/>
    <w:rsid w:val="00E75D4F"/>
    <w:rsid w:val="00E75D8D"/>
    <w:rsid w:val="00E75DF7"/>
    <w:rsid w:val="00E75E94"/>
    <w:rsid w:val="00E75FCE"/>
    <w:rsid w:val="00E75FEC"/>
    <w:rsid w:val="00E76007"/>
    <w:rsid w:val="00E761F6"/>
    <w:rsid w:val="00E76233"/>
    <w:rsid w:val="00E762F4"/>
    <w:rsid w:val="00E7630D"/>
    <w:rsid w:val="00E763A6"/>
    <w:rsid w:val="00E763F3"/>
    <w:rsid w:val="00E763F9"/>
    <w:rsid w:val="00E76493"/>
    <w:rsid w:val="00E764C6"/>
    <w:rsid w:val="00E7654B"/>
    <w:rsid w:val="00E766AF"/>
    <w:rsid w:val="00E766F6"/>
    <w:rsid w:val="00E76765"/>
    <w:rsid w:val="00E76785"/>
    <w:rsid w:val="00E767DB"/>
    <w:rsid w:val="00E7691F"/>
    <w:rsid w:val="00E769AD"/>
    <w:rsid w:val="00E769CE"/>
    <w:rsid w:val="00E76A43"/>
    <w:rsid w:val="00E76A7E"/>
    <w:rsid w:val="00E76AB5"/>
    <w:rsid w:val="00E76B00"/>
    <w:rsid w:val="00E76B59"/>
    <w:rsid w:val="00E76B82"/>
    <w:rsid w:val="00E76BC4"/>
    <w:rsid w:val="00E76CD4"/>
    <w:rsid w:val="00E76DE4"/>
    <w:rsid w:val="00E76E5D"/>
    <w:rsid w:val="00E76E6D"/>
    <w:rsid w:val="00E76ECF"/>
    <w:rsid w:val="00E77032"/>
    <w:rsid w:val="00E77077"/>
    <w:rsid w:val="00E770CC"/>
    <w:rsid w:val="00E771D9"/>
    <w:rsid w:val="00E771F5"/>
    <w:rsid w:val="00E7724F"/>
    <w:rsid w:val="00E77298"/>
    <w:rsid w:val="00E7746E"/>
    <w:rsid w:val="00E774DC"/>
    <w:rsid w:val="00E7757B"/>
    <w:rsid w:val="00E776FF"/>
    <w:rsid w:val="00E777A8"/>
    <w:rsid w:val="00E77831"/>
    <w:rsid w:val="00E77848"/>
    <w:rsid w:val="00E77875"/>
    <w:rsid w:val="00E7795A"/>
    <w:rsid w:val="00E779E7"/>
    <w:rsid w:val="00E779F8"/>
    <w:rsid w:val="00E77D3B"/>
    <w:rsid w:val="00E77DE1"/>
    <w:rsid w:val="00E77EB8"/>
    <w:rsid w:val="00E77EDD"/>
    <w:rsid w:val="00E77EF8"/>
    <w:rsid w:val="00E77F5C"/>
    <w:rsid w:val="00E77F9C"/>
    <w:rsid w:val="00E77FD9"/>
    <w:rsid w:val="00E77FF7"/>
    <w:rsid w:val="00E80078"/>
    <w:rsid w:val="00E80157"/>
    <w:rsid w:val="00E80210"/>
    <w:rsid w:val="00E802AE"/>
    <w:rsid w:val="00E8032B"/>
    <w:rsid w:val="00E80420"/>
    <w:rsid w:val="00E80446"/>
    <w:rsid w:val="00E8045A"/>
    <w:rsid w:val="00E804C4"/>
    <w:rsid w:val="00E8060D"/>
    <w:rsid w:val="00E80618"/>
    <w:rsid w:val="00E8063E"/>
    <w:rsid w:val="00E80731"/>
    <w:rsid w:val="00E807AF"/>
    <w:rsid w:val="00E80867"/>
    <w:rsid w:val="00E809FD"/>
    <w:rsid w:val="00E80AAF"/>
    <w:rsid w:val="00E80ABC"/>
    <w:rsid w:val="00E80B25"/>
    <w:rsid w:val="00E80B7E"/>
    <w:rsid w:val="00E80BAF"/>
    <w:rsid w:val="00E80C2D"/>
    <w:rsid w:val="00E80CAB"/>
    <w:rsid w:val="00E80D09"/>
    <w:rsid w:val="00E80D0B"/>
    <w:rsid w:val="00E80D98"/>
    <w:rsid w:val="00E80E75"/>
    <w:rsid w:val="00E8104F"/>
    <w:rsid w:val="00E81085"/>
    <w:rsid w:val="00E81099"/>
    <w:rsid w:val="00E810E4"/>
    <w:rsid w:val="00E8114B"/>
    <w:rsid w:val="00E811B6"/>
    <w:rsid w:val="00E811E1"/>
    <w:rsid w:val="00E812DB"/>
    <w:rsid w:val="00E81378"/>
    <w:rsid w:val="00E81488"/>
    <w:rsid w:val="00E81506"/>
    <w:rsid w:val="00E8162A"/>
    <w:rsid w:val="00E816DF"/>
    <w:rsid w:val="00E816FD"/>
    <w:rsid w:val="00E8170D"/>
    <w:rsid w:val="00E81776"/>
    <w:rsid w:val="00E817B0"/>
    <w:rsid w:val="00E817F5"/>
    <w:rsid w:val="00E81869"/>
    <w:rsid w:val="00E81960"/>
    <w:rsid w:val="00E819A4"/>
    <w:rsid w:val="00E81B25"/>
    <w:rsid w:val="00E81C1F"/>
    <w:rsid w:val="00E81D4D"/>
    <w:rsid w:val="00E81DFE"/>
    <w:rsid w:val="00E81E93"/>
    <w:rsid w:val="00E81F96"/>
    <w:rsid w:val="00E81F97"/>
    <w:rsid w:val="00E82051"/>
    <w:rsid w:val="00E82119"/>
    <w:rsid w:val="00E82155"/>
    <w:rsid w:val="00E8228B"/>
    <w:rsid w:val="00E824A0"/>
    <w:rsid w:val="00E825D0"/>
    <w:rsid w:val="00E82605"/>
    <w:rsid w:val="00E82758"/>
    <w:rsid w:val="00E82799"/>
    <w:rsid w:val="00E82882"/>
    <w:rsid w:val="00E828F0"/>
    <w:rsid w:val="00E82922"/>
    <w:rsid w:val="00E829B2"/>
    <w:rsid w:val="00E82AEF"/>
    <w:rsid w:val="00E82B1C"/>
    <w:rsid w:val="00E82C3A"/>
    <w:rsid w:val="00E82C64"/>
    <w:rsid w:val="00E82DF7"/>
    <w:rsid w:val="00E82E16"/>
    <w:rsid w:val="00E82EDD"/>
    <w:rsid w:val="00E82FB8"/>
    <w:rsid w:val="00E8301B"/>
    <w:rsid w:val="00E83123"/>
    <w:rsid w:val="00E831A0"/>
    <w:rsid w:val="00E8324E"/>
    <w:rsid w:val="00E83388"/>
    <w:rsid w:val="00E83409"/>
    <w:rsid w:val="00E8344F"/>
    <w:rsid w:val="00E83574"/>
    <w:rsid w:val="00E83582"/>
    <w:rsid w:val="00E83590"/>
    <w:rsid w:val="00E83611"/>
    <w:rsid w:val="00E836F2"/>
    <w:rsid w:val="00E836FB"/>
    <w:rsid w:val="00E837BC"/>
    <w:rsid w:val="00E838C6"/>
    <w:rsid w:val="00E838DA"/>
    <w:rsid w:val="00E83981"/>
    <w:rsid w:val="00E839A2"/>
    <w:rsid w:val="00E839AC"/>
    <w:rsid w:val="00E839EE"/>
    <w:rsid w:val="00E83AE3"/>
    <w:rsid w:val="00E83B2B"/>
    <w:rsid w:val="00E83BAB"/>
    <w:rsid w:val="00E83C64"/>
    <w:rsid w:val="00E83C89"/>
    <w:rsid w:val="00E83D9C"/>
    <w:rsid w:val="00E83DB4"/>
    <w:rsid w:val="00E83FBD"/>
    <w:rsid w:val="00E84102"/>
    <w:rsid w:val="00E84122"/>
    <w:rsid w:val="00E84147"/>
    <w:rsid w:val="00E84246"/>
    <w:rsid w:val="00E842B3"/>
    <w:rsid w:val="00E84369"/>
    <w:rsid w:val="00E8440F"/>
    <w:rsid w:val="00E84509"/>
    <w:rsid w:val="00E8450D"/>
    <w:rsid w:val="00E845A9"/>
    <w:rsid w:val="00E845AD"/>
    <w:rsid w:val="00E845C9"/>
    <w:rsid w:val="00E84617"/>
    <w:rsid w:val="00E84661"/>
    <w:rsid w:val="00E846C6"/>
    <w:rsid w:val="00E84714"/>
    <w:rsid w:val="00E848F5"/>
    <w:rsid w:val="00E84910"/>
    <w:rsid w:val="00E8492F"/>
    <w:rsid w:val="00E84973"/>
    <w:rsid w:val="00E84A9A"/>
    <w:rsid w:val="00E84AB8"/>
    <w:rsid w:val="00E84AC0"/>
    <w:rsid w:val="00E84AC8"/>
    <w:rsid w:val="00E84AEE"/>
    <w:rsid w:val="00E84B0E"/>
    <w:rsid w:val="00E84BB8"/>
    <w:rsid w:val="00E84BEF"/>
    <w:rsid w:val="00E84D5B"/>
    <w:rsid w:val="00E84E3B"/>
    <w:rsid w:val="00E84F4F"/>
    <w:rsid w:val="00E84F75"/>
    <w:rsid w:val="00E85029"/>
    <w:rsid w:val="00E85044"/>
    <w:rsid w:val="00E85126"/>
    <w:rsid w:val="00E851A0"/>
    <w:rsid w:val="00E85222"/>
    <w:rsid w:val="00E8522A"/>
    <w:rsid w:val="00E85236"/>
    <w:rsid w:val="00E85264"/>
    <w:rsid w:val="00E85472"/>
    <w:rsid w:val="00E856C5"/>
    <w:rsid w:val="00E856FF"/>
    <w:rsid w:val="00E85793"/>
    <w:rsid w:val="00E857AD"/>
    <w:rsid w:val="00E8587D"/>
    <w:rsid w:val="00E858C3"/>
    <w:rsid w:val="00E858D5"/>
    <w:rsid w:val="00E85A48"/>
    <w:rsid w:val="00E85B2B"/>
    <w:rsid w:val="00E85C83"/>
    <w:rsid w:val="00E85D49"/>
    <w:rsid w:val="00E85D7B"/>
    <w:rsid w:val="00E85E7D"/>
    <w:rsid w:val="00E85E9D"/>
    <w:rsid w:val="00E85F56"/>
    <w:rsid w:val="00E85F78"/>
    <w:rsid w:val="00E85FFE"/>
    <w:rsid w:val="00E86006"/>
    <w:rsid w:val="00E860CA"/>
    <w:rsid w:val="00E86118"/>
    <w:rsid w:val="00E8625D"/>
    <w:rsid w:val="00E8633A"/>
    <w:rsid w:val="00E86396"/>
    <w:rsid w:val="00E864A3"/>
    <w:rsid w:val="00E864F8"/>
    <w:rsid w:val="00E86504"/>
    <w:rsid w:val="00E86527"/>
    <w:rsid w:val="00E8654B"/>
    <w:rsid w:val="00E8657C"/>
    <w:rsid w:val="00E866D0"/>
    <w:rsid w:val="00E866D2"/>
    <w:rsid w:val="00E867E0"/>
    <w:rsid w:val="00E868C9"/>
    <w:rsid w:val="00E86A57"/>
    <w:rsid w:val="00E86A72"/>
    <w:rsid w:val="00E86BB0"/>
    <w:rsid w:val="00E86BE4"/>
    <w:rsid w:val="00E86DBA"/>
    <w:rsid w:val="00E86DE0"/>
    <w:rsid w:val="00E86E94"/>
    <w:rsid w:val="00E86EF7"/>
    <w:rsid w:val="00E86FD4"/>
    <w:rsid w:val="00E86FDC"/>
    <w:rsid w:val="00E87020"/>
    <w:rsid w:val="00E870DE"/>
    <w:rsid w:val="00E87110"/>
    <w:rsid w:val="00E87204"/>
    <w:rsid w:val="00E87263"/>
    <w:rsid w:val="00E87285"/>
    <w:rsid w:val="00E8728D"/>
    <w:rsid w:val="00E87418"/>
    <w:rsid w:val="00E87559"/>
    <w:rsid w:val="00E87660"/>
    <w:rsid w:val="00E87692"/>
    <w:rsid w:val="00E876E7"/>
    <w:rsid w:val="00E8771E"/>
    <w:rsid w:val="00E87778"/>
    <w:rsid w:val="00E87788"/>
    <w:rsid w:val="00E877ED"/>
    <w:rsid w:val="00E87875"/>
    <w:rsid w:val="00E87928"/>
    <w:rsid w:val="00E87955"/>
    <w:rsid w:val="00E879B7"/>
    <w:rsid w:val="00E879C2"/>
    <w:rsid w:val="00E879C5"/>
    <w:rsid w:val="00E87A3E"/>
    <w:rsid w:val="00E87C61"/>
    <w:rsid w:val="00E87C81"/>
    <w:rsid w:val="00E87EED"/>
    <w:rsid w:val="00E87EF2"/>
    <w:rsid w:val="00E87F03"/>
    <w:rsid w:val="00E87F27"/>
    <w:rsid w:val="00E9012D"/>
    <w:rsid w:val="00E90162"/>
    <w:rsid w:val="00E90213"/>
    <w:rsid w:val="00E90233"/>
    <w:rsid w:val="00E903A4"/>
    <w:rsid w:val="00E90402"/>
    <w:rsid w:val="00E90566"/>
    <w:rsid w:val="00E9057C"/>
    <w:rsid w:val="00E905C7"/>
    <w:rsid w:val="00E90666"/>
    <w:rsid w:val="00E90898"/>
    <w:rsid w:val="00E90975"/>
    <w:rsid w:val="00E909E2"/>
    <w:rsid w:val="00E909FC"/>
    <w:rsid w:val="00E90B17"/>
    <w:rsid w:val="00E90B5A"/>
    <w:rsid w:val="00E90B80"/>
    <w:rsid w:val="00E90BD7"/>
    <w:rsid w:val="00E90C46"/>
    <w:rsid w:val="00E90CB5"/>
    <w:rsid w:val="00E90E45"/>
    <w:rsid w:val="00E90F5D"/>
    <w:rsid w:val="00E90F8E"/>
    <w:rsid w:val="00E9101C"/>
    <w:rsid w:val="00E91069"/>
    <w:rsid w:val="00E9109E"/>
    <w:rsid w:val="00E9121B"/>
    <w:rsid w:val="00E91230"/>
    <w:rsid w:val="00E91259"/>
    <w:rsid w:val="00E9132E"/>
    <w:rsid w:val="00E9139B"/>
    <w:rsid w:val="00E913E5"/>
    <w:rsid w:val="00E913E8"/>
    <w:rsid w:val="00E91450"/>
    <w:rsid w:val="00E914BF"/>
    <w:rsid w:val="00E9158A"/>
    <w:rsid w:val="00E915D6"/>
    <w:rsid w:val="00E9166F"/>
    <w:rsid w:val="00E916AE"/>
    <w:rsid w:val="00E916BA"/>
    <w:rsid w:val="00E916C2"/>
    <w:rsid w:val="00E91765"/>
    <w:rsid w:val="00E91834"/>
    <w:rsid w:val="00E91888"/>
    <w:rsid w:val="00E91911"/>
    <w:rsid w:val="00E9198B"/>
    <w:rsid w:val="00E919B4"/>
    <w:rsid w:val="00E919FB"/>
    <w:rsid w:val="00E91B46"/>
    <w:rsid w:val="00E91D2B"/>
    <w:rsid w:val="00E91D51"/>
    <w:rsid w:val="00E91D68"/>
    <w:rsid w:val="00E91F1D"/>
    <w:rsid w:val="00E91F40"/>
    <w:rsid w:val="00E9208B"/>
    <w:rsid w:val="00E920A3"/>
    <w:rsid w:val="00E92119"/>
    <w:rsid w:val="00E9213E"/>
    <w:rsid w:val="00E921EA"/>
    <w:rsid w:val="00E92249"/>
    <w:rsid w:val="00E922DF"/>
    <w:rsid w:val="00E923ED"/>
    <w:rsid w:val="00E92582"/>
    <w:rsid w:val="00E92593"/>
    <w:rsid w:val="00E925AC"/>
    <w:rsid w:val="00E9262E"/>
    <w:rsid w:val="00E9269A"/>
    <w:rsid w:val="00E927BC"/>
    <w:rsid w:val="00E9294B"/>
    <w:rsid w:val="00E92A3E"/>
    <w:rsid w:val="00E92A5B"/>
    <w:rsid w:val="00E92AC6"/>
    <w:rsid w:val="00E92B40"/>
    <w:rsid w:val="00E92BEE"/>
    <w:rsid w:val="00E92C05"/>
    <w:rsid w:val="00E92C31"/>
    <w:rsid w:val="00E92CCE"/>
    <w:rsid w:val="00E92D9F"/>
    <w:rsid w:val="00E92DE0"/>
    <w:rsid w:val="00E92E2B"/>
    <w:rsid w:val="00E92E2C"/>
    <w:rsid w:val="00E92EA9"/>
    <w:rsid w:val="00E92F6F"/>
    <w:rsid w:val="00E92FC3"/>
    <w:rsid w:val="00E92FD3"/>
    <w:rsid w:val="00E93067"/>
    <w:rsid w:val="00E93095"/>
    <w:rsid w:val="00E930C7"/>
    <w:rsid w:val="00E9320C"/>
    <w:rsid w:val="00E93338"/>
    <w:rsid w:val="00E934E4"/>
    <w:rsid w:val="00E9354F"/>
    <w:rsid w:val="00E93552"/>
    <w:rsid w:val="00E936CC"/>
    <w:rsid w:val="00E936D7"/>
    <w:rsid w:val="00E93750"/>
    <w:rsid w:val="00E93952"/>
    <w:rsid w:val="00E93986"/>
    <w:rsid w:val="00E939E7"/>
    <w:rsid w:val="00E939F2"/>
    <w:rsid w:val="00E93A45"/>
    <w:rsid w:val="00E93A8C"/>
    <w:rsid w:val="00E93C4A"/>
    <w:rsid w:val="00E93C9D"/>
    <w:rsid w:val="00E93CD0"/>
    <w:rsid w:val="00E93CE9"/>
    <w:rsid w:val="00E93D7D"/>
    <w:rsid w:val="00E93EC3"/>
    <w:rsid w:val="00E93F9D"/>
    <w:rsid w:val="00E93FC1"/>
    <w:rsid w:val="00E940FD"/>
    <w:rsid w:val="00E940FF"/>
    <w:rsid w:val="00E94135"/>
    <w:rsid w:val="00E94149"/>
    <w:rsid w:val="00E941D2"/>
    <w:rsid w:val="00E941DB"/>
    <w:rsid w:val="00E9423D"/>
    <w:rsid w:val="00E942B7"/>
    <w:rsid w:val="00E94432"/>
    <w:rsid w:val="00E9453A"/>
    <w:rsid w:val="00E94557"/>
    <w:rsid w:val="00E945BF"/>
    <w:rsid w:val="00E94637"/>
    <w:rsid w:val="00E946E6"/>
    <w:rsid w:val="00E9471C"/>
    <w:rsid w:val="00E94776"/>
    <w:rsid w:val="00E9478D"/>
    <w:rsid w:val="00E947D4"/>
    <w:rsid w:val="00E9486D"/>
    <w:rsid w:val="00E949A0"/>
    <w:rsid w:val="00E949AA"/>
    <w:rsid w:val="00E949DE"/>
    <w:rsid w:val="00E949F9"/>
    <w:rsid w:val="00E94A26"/>
    <w:rsid w:val="00E94A6A"/>
    <w:rsid w:val="00E94C8B"/>
    <w:rsid w:val="00E94CC9"/>
    <w:rsid w:val="00E94DAD"/>
    <w:rsid w:val="00E94EA5"/>
    <w:rsid w:val="00E94EC0"/>
    <w:rsid w:val="00E94EC5"/>
    <w:rsid w:val="00E94F08"/>
    <w:rsid w:val="00E94F34"/>
    <w:rsid w:val="00E94F3A"/>
    <w:rsid w:val="00E950D9"/>
    <w:rsid w:val="00E95116"/>
    <w:rsid w:val="00E95122"/>
    <w:rsid w:val="00E9528C"/>
    <w:rsid w:val="00E95318"/>
    <w:rsid w:val="00E95338"/>
    <w:rsid w:val="00E95352"/>
    <w:rsid w:val="00E953FF"/>
    <w:rsid w:val="00E95412"/>
    <w:rsid w:val="00E95420"/>
    <w:rsid w:val="00E95442"/>
    <w:rsid w:val="00E95524"/>
    <w:rsid w:val="00E95629"/>
    <w:rsid w:val="00E956E4"/>
    <w:rsid w:val="00E9589F"/>
    <w:rsid w:val="00E958A8"/>
    <w:rsid w:val="00E958C8"/>
    <w:rsid w:val="00E958F1"/>
    <w:rsid w:val="00E959C1"/>
    <w:rsid w:val="00E959D9"/>
    <w:rsid w:val="00E95AA5"/>
    <w:rsid w:val="00E95B6F"/>
    <w:rsid w:val="00E95D0D"/>
    <w:rsid w:val="00E95D68"/>
    <w:rsid w:val="00E95E1F"/>
    <w:rsid w:val="00E95E77"/>
    <w:rsid w:val="00E95E91"/>
    <w:rsid w:val="00E9605A"/>
    <w:rsid w:val="00E960D7"/>
    <w:rsid w:val="00E96231"/>
    <w:rsid w:val="00E96291"/>
    <w:rsid w:val="00E962C8"/>
    <w:rsid w:val="00E96352"/>
    <w:rsid w:val="00E9644D"/>
    <w:rsid w:val="00E9646D"/>
    <w:rsid w:val="00E96634"/>
    <w:rsid w:val="00E96649"/>
    <w:rsid w:val="00E9664E"/>
    <w:rsid w:val="00E96776"/>
    <w:rsid w:val="00E96835"/>
    <w:rsid w:val="00E9685D"/>
    <w:rsid w:val="00E968E2"/>
    <w:rsid w:val="00E96A87"/>
    <w:rsid w:val="00E96AE8"/>
    <w:rsid w:val="00E96BE9"/>
    <w:rsid w:val="00E96CDE"/>
    <w:rsid w:val="00E96D67"/>
    <w:rsid w:val="00E96D6E"/>
    <w:rsid w:val="00E96EAF"/>
    <w:rsid w:val="00E96F4E"/>
    <w:rsid w:val="00E970D0"/>
    <w:rsid w:val="00E970D1"/>
    <w:rsid w:val="00E97101"/>
    <w:rsid w:val="00E97171"/>
    <w:rsid w:val="00E9719E"/>
    <w:rsid w:val="00E971EA"/>
    <w:rsid w:val="00E973CF"/>
    <w:rsid w:val="00E973F9"/>
    <w:rsid w:val="00E97507"/>
    <w:rsid w:val="00E9751D"/>
    <w:rsid w:val="00E97537"/>
    <w:rsid w:val="00E9754F"/>
    <w:rsid w:val="00E975F9"/>
    <w:rsid w:val="00E97609"/>
    <w:rsid w:val="00E9764C"/>
    <w:rsid w:val="00E97782"/>
    <w:rsid w:val="00E977BB"/>
    <w:rsid w:val="00E977BF"/>
    <w:rsid w:val="00E977F9"/>
    <w:rsid w:val="00E97841"/>
    <w:rsid w:val="00E9784E"/>
    <w:rsid w:val="00E9789C"/>
    <w:rsid w:val="00E978CA"/>
    <w:rsid w:val="00E97903"/>
    <w:rsid w:val="00E979A1"/>
    <w:rsid w:val="00E979D6"/>
    <w:rsid w:val="00E97A46"/>
    <w:rsid w:val="00E97A83"/>
    <w:rsid w:val="00E97AF5"/>
    <w:rsid w:val="00E97B9C"/>
    <w:rsid w:val="00E97C2F"/>
    <w:rsid w:val="00E97D5B"/>
    <w:rsid w:val="00E97D6D"/>
    <w:rsid w:val="00E97E27"/>
    <w:rsid w:val="00E97EA1"/>
    <w:rsid w:val="00E97EB8"/>
    <w:rsid w:val="00E97EBC"/>
    <w:rsid w:val="00E97F01"/>
    <w:rsid w:val="00E97F4A"/>
    <w:rsid w:val="00E97FC9"/>
    <w:rsid w:val="00EA0070"/>
    <w:rsid w:val="00EA0081"/>
    <w:rsid w:val="00EA00E1"/>
    <w:rsid w:val="00EA00FB"/>
    <w:rsid w:val="00EA0142"/>
    <w:rsid w:val="00EA01B3"/>
    <w:rsid w:val="00EA01DC"/>
    <w:rsid w:val="00EA0306"/>
    <w:rsid w:val="00EA03DD"/>
    <w:rsid w:val="00EA03E5"/>
    <w:rsid w:val="00EA0413"/>
    <w:rsid w:val="00EA044E"/>
    <w:rsid w:val="00EA0648"/>
    <w:rsid w:val="00EA06C6"/>
    <w:rsid w:val="00EA06CC"/>
    <w:rsid w:val="00EA06DA"/>
    <w:rsid w:val="00EA0752"/>
    <w:rsid w:val="00EA0843"/>
    <w:rsid w:val="00EA084A"/>
    <w:rsid w:val="00EA08E5"/>
    <w:rsid w:val="00EA08FB"/>
    <w:rsid w:val="00EA0917"/>
    <w:rsid w:val="00EA093C"/>
    <w:rsid w:val="00EA0AA7"/>
    <w:rsid w:val="00EA0B84"/>
    <w:rsid w:val="00EA0BFB"/>
    <w:rsid w:val="00EA0C28"/>
    <w:rsid w:val="00EA0C9A"/>
    <w:rsid w:val="00EA0C9D"/>
    <w:rsid w:val="00EA0CA3"/>
    <w:rsid w:val="00EA0CB5"/>
    <w:rsid w:val="00EA0CDF"/>
    <w:rsid w:val="00EA0D19"/>
    <w:rsid w:val="00EA0DB3"/>
    <w:rsid w:val="00EA0E09"/>
    <w:rsid w:val="00EA0E68"/>
    <w:rsid w:val="00EA0E9A"/>
    <w:rsid w:val="00EA0EE2"/>
    <w:rsid w:val="00EA100E"/>
    <w:rsid w:val="00EA1019"/>
    <w:rsid w:val="00EA101C"/>
    <w:rsid w:val="00EA10CF"/>
    <w:rsid w:val="00EA1212"/>
    <w:rsid w:val="00EA1247"/>
    <w:rsid w:val="00EA12C2"/>
    <w:rsid w:val="00EA13EE"/>
    <w:rsid w:val="00EA150B"/>
    <w:rsid w:val="00EA1536"/>
    <w:rsid w:val="00EA1621"/>
    <w:rsid w:val="00EA1728"/>
    <w:rsid w:val="00EA17CB"/>
    <w:rsid w:val="00EA17EA"/>
    <w:rsid w:val="00EA17EE"/>
    <w:rsid w:val="00EA1803"/>
    <w:rsid w:val="00EA1898"/>
    <w:rsid w:val="00EA199B"/>
    <w:rsid w:val="00EA1ADE"/>
    <w:rsid w:val="00EA1B18"/>
    <w:rsid w:val="00EA1B3D"/>
    <w:rsid w:val="00EA1B65"/>
    <w:rsid w:val="00EA1C51"/>
    <w:rsid w:val="00EA1CF0"/>
    <w:rsid w:val="00EA1FD6"/>
    <w:rsid w:val="00EA20EA"/>
    <w:rsid w:val="00EA21AA"/>
    <w:rsid w:val="00EA21D3"/>
    <w:rsid w:val="00EA21D9"/>
    <w:rsid w:val="00EA21E2"/>
    <w:rsid w:val="00EA21F2"/>
    <w:rsid w:val="00EA2232"/>
    <w:rsid w:val="00EA2301"/>
    <w:rsid w:val="00EA2334"/>
    <w:rsid w:val="00EA24A6"/>
    <w:rsid w:val="00EA24B9"/>
    <w:rsid w:val="00EA25B9"/>
    <w:rsid w:val="00EA2603"/>
    <w:rsid w:val="00EA261B"/>
    <w:rsid w:val="00EA2693"/>
    <w:rsid w:val="00EA26AE"/>
    <w:rsid w:val="00EA26E5"/>
    <w:rsid w:val="00EA2785"/>
    <w:rsid w:val="00EA279F"/>
    <w:rsid w:val="00EA27B6"/>
    <w:rsid w:val="00EA2807"/>
    <w:rsid w:val="00EA2861"/>
    <w:rsid w:val="00EA2928"/>
    <w:rsid w:val="00EA2944"/>
    <w:rsid w:val="00EA29FB"/>
    <w:rsid w:val="00EA2A67"/>
    <w:rsid w:val="00EA2B0A"/>
    <w:rsid w:val="00EA2B11"/>
    <w:rsid w:val="00EA2B23"/>
    <w:rsid w:val="00EA2B71"/>
    <w:rsid w:val="00EA2C29"/>
    <w:rsid w:val="00EA2C4F"/>
    <w:rsid w:val="00EA2D5A"/>
    <w:rsid w:val="00EA2DB2"/>
    <w:rsid w:val="00EA2E64"/>
    <w:rsid w:val="00EA2FA0"/>
    <w:rsid w:val="00EA303B"/>
    <w:rsid w:val="00EA3089"/>
    <w:rsid w:val="00EA309B"/>
    <w:rsid w:val="00EA30D0"/>
    <w:rsid w:val="00EA31C8"/>
    <w:rsid w:val="00EA323D"/>
    <w:rsid w:val="00EA33A8"/>
    <w:rsid w:val="00EA3495"/>
    <w:rsid w:val="00EA357B"/>
    <w:rsid w:val="00EA35CA"/>
    <w:rsid w:val="00EA3625"/>
    <w:rsid w:val="00EA36FA"/>
    <w:rsid w:val="00EA3791"/>
    <w:rsid w:val="00EA385D"/>
    <w:rsid w:val="00EA3A54"/>
    <w:rsid w:val="00EA3AFE"/>
    <w:rsid w:val="00EA3B28"/>
    <w:rsid w:val="00EA3C06"/>
    <w:rsid w:val="00EA3C61"/>
    <w:rsid w:val="00EA3C62"/>
    <w:rsid w:val="00EA3C7A"/>
    <w:rsid w:val="00EA3DA3"/>
    <w:rsid w:val="00EA3DC4"/>
    <w:rsid w:val="00EA3DC5"/>
    <w:rsid w:val="00EA3E50"/>
    <w:rsid w:val="00EA3F2B"/>
    <w:rsid w:val="00EA3F35"/>
    <w:rsid w:val="00EA3FFD"/>
    <w:rsid w:val="00EA4033"/>
    <w:rsid w:val="00EA4124"/>
    <w:rsid w:val="00EA41B6"/>
    <w:rsid w:val="00EA42B5"/>
    <w:rsid w:val="00EA42C5"/>
    <w:rsid w:val="00EA42D5"/>
    <w:rsid w:val="00EA4462"/>
    <w:rsid w:val="00EA4463"/>
    <w:rsid w:val="00EA44F1"/>
    <w:rsid w:val="00EA4578"/>
    <w:rsid w:val="00EA469C"/>
    <w:rsid w:val="00EA46E9"/>
    <w:rsid w:val="00EA46EF"/>
    <w:rsid w:val="00EA4781"/>
    <w:rsid w:val="00EA479C"/>
    <w:rsid w:val="00EA479E"/>
    <w:rsid w:val="00EA47CA"/>
    <w:rsid w:val="00EA4874"/>
    <w:rsid w:val="00EA4906"/>
    <w:rsid w:val="00EA49B4"/>
    <w:rsid w:val="00EA4A82"/>
    <w:rsid w:val="00EA4A96"/>
    <w:rsid w:val="00EA4CB5"/>
    <w:rsid w:val="00EA4CE3"/>
    <w:rsid w:val="00EA4D9E"/>
    <w:rsid w:val="00EA4E42"/>
    <w:rsid w:val="00EA5267"/>
    <w:rsid w:val="00EA52CB"/>
    <w:rsid w:val="00EA52E4"/>
    <w:rsid w:val="00EA5336"/>
    <w:rsid w:val="00EA535A"/>
    <w:rsid w:val="00EA53D7"/>
    <w:rsid w:val="00EA54E9"/>
    <w:rsid w:val="00EA5521"/>
    <w:rsid w:val="00EA5611"/>
    <w:rsid w:val="00EA5699"/>
    <w:rsid w:val="00EA56F5"/>
    <w:rsid w:val="00EA574E"/>
    <w:rsid w:val="00EA5838"/>
    <w:rsid w:val="00EA5840"/>
    <w:rsid w:val="00EA5852"/>
    <w:rsid w:val="00EA5948"/>
    <w:rsid w:val="00EA5A0F"/>
    <w:rsid w:val="00EA5A2A"/>
    <w:rsid w:val="00EA5B87"/>
    <w:rsid w:val="00EA5C4F"/>
    <w:rsid w:val="00EA5CB7"/>
    <w:rsid w:val="00EA5D44"/>
    <w:rsid w:val="00EA5D54"/>
    <w:rsid w:val="00EA5D84"/>
    <w:rsid w:val="00EA5DED"/>
    <w:rsid w:val="00EA5E1C"/>
    <w:rsid w:val="00EA5E80"/>
    <w:rsid w:val="00EA5F38"/>
    <w:rsid w:val="00EA5F82"/>
    <w:rsid w:val="00EA6099"/>
    <w:rsid w:val="00EA6188"/>
    <w:rsid w:val="00EA61CA"/>
    <w:rsid w:val="00EA6336"/>
    <w:rsid w:val="00EA6338"/>
    <w:rsid w:val="00EA6343"/>
    <w:rsid w:val="00EA635E"/>
    <w:rsid w:val="00EA63E3"/>
    <w:rsid w:val="00EA6481"/>
    <w:rsid w:val="00EA6538"/>
    <w:rsid w:val="00EA6543"/>
    <w:rsid w:val="00EA6568"/>
    <w:rsid w:val="00EA65B0"/>
    <w:rsid w:val="00EA6633"/>
    <w:rsid w:val="00EA6634"/>
    <w:rsid w:val="00EA67B0"/>
    <w:rsid w:val="00EA67EF"/>
    <w:rsid w:val="00EA6802"/>
    <w:rsid w:val="00EA6AB9"/>
    <w:rsid w:val="00EA6B6B"/>
    <w:rsid w:val="00EA6B79"/>
    <w:rsid w:val="00EA6C01"/>
    <w:rsid w:val="00EA6C84"/>
    <w:rsid w:val="00EA6C90"/>
    <w:rsid w:val="00EA6D8E"/>
    <w:rsid w:val="00EA6E57"/>
    <w:rsid w:val="00EA6FAA"/>
    <w:rsid w:val="00EA6FBB"/>
    <w:rsid w:val="00EA7039"/>
    <w:rsid w:val="00EA705B"/>
    <w:rsid w:val="00EA705E"/>
    <w:rsid w:val="00EA7156"/>
    <w:rsid w:val="00EA71D1"/>
    <w:rsid w:val="00EA7473"/>
    <w:rsid w:val="00EA7488"/>
    <w:rsid w:val="00EA7533"/>
    <w:rsid w:val="00EA76FF"/>
    <w:rsid w:val="00EA7896"/>
    <w:rsid w:val="00EA78F6"/>
    <w:rsid w:val="00EA7916"/>
    <w:rsid w:val="00EA792B"/>
    <w:rsid w:val="00EA7987"/>
    <w:rsid w:val="00EA799C"/>
    <w:rsid w:val="00EA79E8"/>
    <w:rsid w:val="00EA7ABB"/>
    <w:rsid w:val="00EA7AE9"/>
    <w:rsid w:val="00EA7B38"/>
    <w:rsid w:val="00EA7C91"/>
    <w:rsid w:val="00EA7CF8"/>
    <w:rsid w:val="00EA7E60"/>
    <w:rsid w:val="00EA7E7C"/>
    <w:rsid w:val="00EA7E97"/>
    <w:rsid w:val="00EA7EBB"/>
    <w:rsid w:val="00EA7F79"/>
    <w:rsid w:val="00EA7FE2"/>
    <w:rsid w:val="00EB0075"/>
    <w:rsid w:val="00EB0183"/>
    <w:rsid w:val="00EB022C"/>
    <w:rsid w:val="00EB029E"/>
    <w:rsid w:val="00EB0482"/>
    <w:rsid w:val="00EB04AA"/>
    <w:rsid w:val="00EB05FE"/>
    <w:rsid w:val="00EB0661"/>
    <w:rsid w:val="00EB069C"/>
    <w:rsid w:val="00EB06C4"/>
    <w:rsid w:val="00EB06D9"/>
    <w:rsid w:val="00EB072D"/>
    <w:rsid w:val="00EB073B"/>
    <w:rsid w:val="00EB07CB"/>
    <w:rsid w:val="00EB093C"/>
    <w:rsid w:val="00EB0966"/>
    <w:rsid w:val="00EB0988"/>
    <w:rsid w:val="00EB09C2"/>
    <w:rsid w:val="00EB09F9"/>
    <w:rsid w:val="00EB0AED"/>
    <w:rsid w:val="00EB0C56"/>
    <w:rsid w:val="00EB0C62"/>
    <w:rsid w:val="00EB0CEF"/>
    <w:rsid w:val="00EB0D66"/>
    <w:rsid w:val="00EB0F1B"/>
    <w:rsid w:val="00EB0F3B"/>
    <w:rsid w:val="00EB0F92"/>
    <w:rsid w:val="00EB106C"/>
    <w:rsid w:val="00EB11AB"/>
    <w:rsid w:val="00EB120C"/>
    <w:rsid w:val="00EB134B"/>
    <w:rsid w:val="00EB13B8"/>
    <w:rsid w:val="00EB1538"/>
    <w:rsid w:val="00EB1591"/>
    <w:rsid w:val="00EB15BC"/>
    <w:rsid w:val="00EB161C"/>
    <w:rsid w:val="00EB164E"/>
    <w:rsid w:val="00EB173E"/>
    <w:rsid w:val="00EB1748"/>
    <w:rsid w:val="00EB1799"/>
    <w:rsid w:val="00EB186F"/>
    <w:rsid w:val="00EB1887"/>
    <w:rsid w:val="00EB18BE"/>
    <w:rsid w:val="00EB1907"/>
    <w:rsid w:val="00EB1B55"/>
    <w:rsid w:val="00EB1E99"/>
    <w:rsid w:val="00EB1F74"/>
    <w:rsid w:val="00EB2026"/>
    <w:rsid w:val="00EB20B1"/>
    <w:rsid w:val="00EB20FE"/>
    <w:rsid w:val="00EB212F"/>
    <w:rsid w:val="00EB2187"/>
    <w:rsid w:val="00EB21AD"/>
    <w:rsid w:val="00EB21B6"/>
    <w:rsid w:val="00EB21EE"/>
    <w:rsid w:val="00EB2263"/>
    <w:rsid w:val="00EB22C9"/>
    <w:rsid w:val="00EB2375"/>
    <w:rsid w:val="00EB23BD"/>
    <w:rsid w:val="00EB24C3"/>
    <w:rsid w:val="00EB24F1"/>
    <w:rsid w:val="00EB253C"/>
    <w:rsid w:val="00EB25B1"/>
    <w:rsid w:val="00EB25C3"/>
    <w:rsid w:val="00EB2606"/>
    <w:rsid w:val="00EB2638"/>
    <w:rsid w:val="00EB2729"/>
    <w:rsid w:val="00EB27B8"/>
    <w:rsid w:val="00EB27CF"/>
    <w:rsid w:val="00EB2833"/>
    <w:rsid w:val="00EB2854"/>
    <w:rsid w:val="00EB2882"/>
    <w:rsid w:val="00EB28EB"/>
    <w:rsid w:val="00EB290F"/>
    <w:rsid w:val="00EB2997"/>
    <w:rsid w:val="00EB29AC"/>
    <w:rsid w:val="00EB29CD"/>
    <w:rsid w:val="00EB29D7"/>
    <w:rsid w:val="00EB2A69"/>
    <w:rsid w:val="00EB2A6A"/>
    <w:rsid w:val="00EB2AA0"/>
    <w:rsid w:val="00EB2B57"/>
    <w:rsid w:val="00EB2B79"/>
    <w:rsid w:val="00EB2BB7"/>
    <w:rsid w:val="00EB2BCA"/>
    <w:rsid w:val="00EB2BCB"/>
    <w:rsid w:val="00EB2CB3"/>
    <w:rsid w:val="00EB2CC2"/>
    <w:rsid w:val="00EB2F1C"/>
    <w:rsid w:val="00EB2F91"/>
    <w:rsid w:val="00EB2FC0"/>
    <w:rsid w:val="00EB318A"/>
    <w:rsid w:val="00EB31B8"/>
    <w:rsid w:val="00EB3358"/>
    <w:rsid w:val="00EB3361"/>
    <w:rsid w:val="00EB33A5"/>
    <w:rsid w:val="00EB33AA"/>
    <w:rsid w:val="00EB34D0"/>
    <w:rsid w:val="00EB352B"/>
    <w:rsid w:val="00EB3530"/>
    <w:rsid w:val="00EB35F7"/>
    <w:rsid w:val="00EB37CA"/>
    <w:rsid w:val="00EB386E"/>
    <w:rsid w:val="00EB3892"/>
    <w:rsid w:val="00EB392B"/>
    <w:rsid w:val="00EB39BA"/>
    <w:rsid w:val="00EB3A0D"/>
    <w:rsid w:val="00EB3A46"/>
    <w:rsid w:val="00EB3B85"/>
    <w:rsid w:val="00EB3C2A"/>
    <w:rsid w:val="00EB3C64"/>
    <w:rsid w:val="00EB3D0C"/>
    <w:rsid w:val="00EB3D20"/>
    <w:rsid w:val="00EB3D2F"/>
    <w:rsid w:val="00EB3D41"/>
    <w:rsid w:val="00EB3DE2"/>
    <w:rsid w:val="00EB3E3B"/>
    <w:rsid w:val="00EB3EDB"/>
    <w:rsid w:val="00EB3F05"/>
    <w:rsid w:val="00EB4002"/>
    <w:rsid w:val="00EB40A3"/>
    <w:rsid w:val="00EB4168"/>
    <w:rsid w:val="00EB417B"/>
    <w:rsid w:val="00EB42E0"/>
    <w:rsid w:val="00EB439F"/>
    <w:rsid w:val="00EB4438"/>
    <w:rsid w:val="00EB44B6"/>
    <w:rsid w:val="00EB461D"/>
    <w:rsid w:val="00EB46BD"/>
    <w:rsid w:val="00EB4749"/>
    <w:rsid w:val="00EB474F"/>
    <w:rsid w:val="00EB4A73"/>
    <w:rsid w:val="00EB4B00"/>
    <w:rsid w:val="00EB4CB6"/>
    <w:rsid w:val="00EB4CBD"/>
    <w:rsid w:val="00EB4D68"/>
    <w:rsid w:val="00EB4D82"/>
    <w:rsid w:val="00EB4DB1"/>
    <w:rsid w:val="00EB4DDE"/>
    <w:rsid w:val="00EB4E04"/>
    <w:rsid w:val="00EB4E3F"/>
    <w:rsid w:val="00EB4F46"/>
    <w:rsid w:val="00EB4FEB"/>
    <w:rsid w:val="00EB5042"/>
    <w:rsid w:val="00EB5087"/>
    <w:rsid w:val="00EB517A"/>
    <w:rsid w:val="00EB5221"/>
    <w:rsid w:val="00EB527A"/>
    <w:rsid w:val="00EB53C4"/>
    <w:rsid w:val="00EB540A"/>
    <w:rsid w:val="00EB54B7"/>
    <w:rsid w:val="00EB56C5"/>
    <w:rsid w:val="00EB5725"/>
    <w:rsid w:val="00EB587F"/>
    <w:rsid w:val="00EB5942"/>
    <w:rsid w:val="00EB59D6"/>
    <w:rsid w:val="00EB59D7"/>
    <w:rsid w:val="00EB5A78"/>
    <w:rsid w:val="00EB5B0E"/>
    <w:rsid w:val="00EB5B14"/>
    <w:rsid w:val="00EB5CD3"/>
    <w:rsid w:val="00EB5D11"/>
    <w:rsid w:val="00EB5D2C"/>
    <w:rsid w:val="00EB5D5B"/>
    <w:rsid w:val="00EB5D85"/>
    <w:rsid w:val="00EB5DC5"/>
    <w:rsid w:val="00EB5DF7"/>
    <w:rsid w:val="00EB5E02"/>
    <w:rsid w:val="00EB5E18"/>
    <w:rsid w:val="00EB5F7C"/>
    <w:rsid w:val="00EB6028"/>
    <w:rsid w:val="00EB609E"/>
    <w:rsid w:val="00EB60A4"/>
    <w:rsid w:val="00EB61E7"/>
    <w:rsid w:val="00EB61F3"/>
    <w:rsid w:val="00EB6299"/>
    <w:rsid w:val="00EB632B"/>
    <w:rsid w:val="00EB633D"/>
    <w:rsid w:val="00EB6430"/>
    <w:rsid w:val="00EB644C"/>
    <w:rsid w:val="00EB64F8"/>
    <w:rsid w:val="00EB658F"/>
    <w:rsid w:val="00EB6597"/>
    <w:rsid w:val="00EB65BB"/>
    <w:rsid w:val="00EB65E2"/>
    <w:rsid w:val="00EB6674"/>
    <w:rsid w:val="00EB66BC"/>
    <w:rsid w:val="00EB66D1"/>
    <w:rsid w:val="00EB6705"/>
    <w:rsid w:val="00EB6727"/>
    <w:rsid w:val="00EB672A"/>
    <w:rsid w:val="00EB6759"/>
    <w:rsid w:val="00EB67AB"/>
    <w:rsid w:val="00EB6971"/>
    <w:rsid w:val="00EB6973"/>
    <w:rsid w:val="00EB697B"/>
    <w:rsid w:val="00EB697E"/>
    <w:rsid w:val="00EB699A"/>
    <w:rsid w:val="00EB69A0"/>
    <w:rsid w:val="00EB6B6D"/>
    <w:rsid w:val="00EB6D44"/>
    <w:rsid w:val="00EB6E0F"/>
    <w:rsid w:val="00EB6E1E"/>
    <w:rsid w:val="00EB6E25"/>
    <w:rsid w:val="00EB6E2D"/>
    <w:rsid w:val="00EB6E98"/>
    <w:rsid w:val="00EB6EEE"/>
    <w:rsid w:val="00EB6F73"/>
    <w:rsid w:val="00EB6FC1"/>
    <w:rsid w:val="00EB6FD4"/>
    <w:rsid w:val="00EB7030"/>
    <w:rsid w:val="00EB707F"/>
    <w:rsid w:val="00EB710D"/>
    <w:rsid w:val="00EB7115"/>
    <w:rsid w:val="00EB724C"/>
    <w:rsid w:val="00EB724E"/>
    <w:rsid w:val="00EB72A5"/>
    <w:rsid w:val="00EB7333"/>
    <w:rsid w:val="00EB734B"/>
    <w:rsid w:val="00EB7367"/>
    <w:rsid w:val="00EB7690"/>
    <w:rsid w:val="00EB7737"/>
    <w:rsid w:val="00EB7757"/>
    <w:rsid w:val="00EB77A3"/>
    <w:rsid w:val="00EB78BB"/>
    <w:rsid w:val="00EB79D8"/>
    <w:rsid w:val="00EB7A5C"/>
    <w:rsid w:val="00EB7BE3"/>
    <w:rsid w:val="00EB7C40"/>
    <w:rsid w:val="00EB7CAA"/>
    <w:rsid w:val="00EB7D11"/>
    <w:rsid w:val="00EB7E79"/>
    <w:rsid w:val="00EB7EC0"/>
    <w:rsid w:val="00EB7ECE"/>
    <w:rsid w:val="00EB7EE0"/>
    <w:rsid w:val="00EC0056"/>
    <w:rsid w:val="00EC00B9"/>
    <w:rsid w:val="00EC01B7"/>
    <w:rsid w:val="00EC01D4"/>
    <w:rsid w:val="00EC01DD"/>
    <w:rsid w:val="00EC01E6"/>
    <w:rsid w:val="00EC02D0"/>
    <w:rsid w:val="00EC02E8"/>
    <w:rsid w:val="00EC04A1"/>
    <w:rsid w:val="00EC04EE"/>
    <w:rsid w:val="00EC06A1"/>
    <w:rsid w:val="00EC06E2"/>
    <w:rsid w:val="00EC0788"/>
    <w:rsid w:val="00EC07A0"/>
    <w:rsid w:val="00EC07BC"/>
    <w:rsid w:val="00EC07FA"/>
    <w:rsid w:val="00EC080B"/>
    <w:rsid w:val="00EC0959"/>
    <w:rsid w:val="00EC0989"/>
    <w:rsid w:val="00EC099F"/>
    <w:rsid w:val="00EC0AA0"/>
    <w:rsid w:val="00EC0CBE"/>
    <w:rsid w:val="00EC0D79"/>
    <w:rsid w:val="00EC0D84"/>
    <w:rsid w:val="00EC0E56"/>
    <w:rsid w:val="00EC0EE2"/>
    <w:rsid w:val="00EC0EF0"/>
    <w:rsid w:val="00EC0FB7"/>
    <w:rsid w:val="00EC1006"/>
    <w:rsid w:val="00EC114E"/>
    <w:rsid w:val="00EC11C8"/>
    <w:rsid w:val="00EC1204"/>
    <w:rsid w:val="00EC12BB"/>
    <w:rsid w:val="00EC1314"/>
    <w:rsid w:val="00EC147B"/>
    <w:rsid w:val="00EC14BC"/>
    <w:rsid w:val="00EC15E7"/>
    <w:rsid w:val="00EC1614"/>
    <w:rsid w:val="00EC1646"/>
    <w:rsid w:val="00EC1659"/>
    <w:rsid w:val="00EC16A2"/>
    <w:rsid w:val="00EC1767"/>
    <w:rsid w:val="00EC1797"/>
    <w:rsid w:val="00EC189C"/>
    <w:rsid w:val="00EC18D2"/>
    <w:rsid w:val="00EC18DF"/>
    <w:rsid w:val="00EC19E1"/>
    <w:rsid w:val="00EC1ACE"/>
    <w:rsid w:val="00EC1AD5"/>
    <w:rsid w:val="00EC1AE4"/>
    <w:rsid w:val="00EC1B4F"/>
    <w:rsid w:val="00EC1BF0"/>
    <w:rsid w:val="00EC1C74"/>
    <w:rsid w:val="00EC1D76"/>
    <w:rsid w:val="00EC1DCD"/>
    <w:rsid w:val="00EC1E5F"/>
    <w:rsid w:val="00EC1E6C"/>
    <w:rsid w:val="00EC1E6E"/>
    <w:rsid w:val="00EC1E78"/>
    <w:rsid w:val="00EC1E9B"/>
    <w:rsid w:val="00EC1F2D"/>
    <w:rsid w:val="00EC1F31"/>
    <w:rsid w:val="00EC1F57"/>
    <w:rsid w:val="00EC1F8B"/>
    <w:rsid w:val="00EC202C"/>
    <w:rsid w:val="00EC204E"/>
    <w:rsid w:val="00EC2053"/>
    <w:rsid w:val="00EC2098"/>
    <w:rsid w:val="00EC2139"/>
    <w:rsid w:val="00EC2152"/>
    <w:rsid w:val="00EC21E4"/>
    <w:rsid w:val="00EC21E9"/>
    <w:rsid w:val="00EC224F"/>
    <w:rsid w:val="00EC2316"/>
    <w:rsid w:val="00EC234F"/>
    <w:rsid w:val="00EC2366"/>
    <w:rsid w:val="00EC23DB"/>
    <w:rsid w:val="00EC24CF"/>
    <w:rsid w:val="00EC2572"/>
    <w:rsid w:val="00EC258D"/>
    <w:rsid w:val="00EC25DF"/>
    <w:rsid w:val="00EC2675"/>
    <w:rsid w:val="00EC268B"/>
    <w:rsid w:val="00EC2739"/>
    <w:rsid w:val="00EC27CC"/>
    <w:rsid w:val="00EC285C"/>
    <w:rsid w:val="00EC2896"/>
    <w:rsid w:val="00EC295C"/>
    <w:rsid w:val="00EC29D5"/>
    <w:rsid w:val="00EC2A0A"/>
    <w:rsid w:val="00EC2AF2"/>
    <w:rsid w:val="00EC2B25"/>
    <w:rsid w:val="00EC2CBA"/>
    <w:rsid w:val="00EC2CDC"/>
    <w:rsid w:val="00EC2D83"/>
    <w:rsid w:val="00EC2D8E"/>
    <w:rsid w:val="00EC2E3C"/>
    <w:rsid w:val="00EC2E42"/>
    <w:rsid w:val="00EC3046"/>
    <w:rsid w:val="00EC315E"/>
    <w:rsid w:val="00EC330E"/>
    <w:rsid w:val="00EC33FD"/>
    <w:rsid w:val="00EC3434"/>
    <w:rsid w:val="00EC347C"/>
    <w:rsid w:val="00EC35D3"/>
    <w:rsid w:val="00EC36BA"/>
    <w:rsid w:val="00EC36BE"/>
    <w:rsid w:val="00EC3715"/>
    <w:rsid w:val="00EC374F"/>
    <w:rsid w:val="00EC37B4"/>
    <w:rsid w:val="00EC37FF"/>
    <w:rsid w:val="00EC3862"/>
    <w:rsid w:val="00EC38B0"/>
    <w:rsid w:val="00EC3952"/>
    <w:rsid w:val="00EC395E"/>
    <w:rsid w:val="00EC3A36"/>
    <w:rsid w:val="00EC3B0D"/>
    <w:rsid w:val="00EC3BB7"/>
    <w:rsid w:val="00EC3C2A"/>
    <w:rsid w:val="00EC3CC6"/>
    <w:rsid w:val="00EC3D3F"/>
    <w:rsid w:val="00EC3D76"/>
    <w:rsid w:val="00EC3D84"/>
    <w:rsid w:val="00EC3EF8"/>
    <w:rsid w:val="00EC3F32"/>
    <w:rsid w:val="00EC3F3F"/>
    <w:rsid w:val="00EC3FBC"/>
    <w:rsid w:val="00EC3FD5"/>
    <w:rsid w:val="00EC403D"/>
    <w:rsid w:val="00EC404B"/>
    <w:rsid w:val="00EC4277"/>
    <w:rsid w:val="00EC4310"/>
    <w:rsid w:val="00EC45F6"/>
    <w:rsid w:val="00EC479D"/>
    <w:rsid w:val="00EC47A3"/>
    <w:rsid w:val="00EC4877"/>
    <w:rsid w:val="00EC49A3"/>
    <w:rsid w:val="00EC49DE"/>
    <w:rsid w:val="00EC4A16"/>
    <w:rsid w:val="00EC4A3D"/>
    <w:rsid w:val="00EC4B3F"/>
    <w:rsid w:val="00EC4C02"/>
    <w:rsid w:val="00EC4CBF"/>
    <w:rsid w:val="00EC4CDC"/>
    <w:rsid w:val="00EC4D35"/>
    <w:rsid w:val="00EC4EAC"/>
    <w:rsid w:val="00EC4EE5"/>
    <w:rsid w:val="00EC4FCE"/>
    <w:rsid w:val="00EC5034"/>
    <w:rsid w:val="00EC50F6"/>
    <w:rsid w:val="00EC516E"/>
    <w:rsid w:val="00EC518A"/>
    <w:rsid w:val="00EC5198"/>
    <w:rsid w:val="00EC520C"/>
    <w:rsid w:val="00EC5211"/>
    <w:rsid w:val="00EC5220"/>
    <w:rsid w:val="00EC5249"/>
    <w:rsid w:val="00EC5251"/>
    <w:rsid w:val="00EC5295"/>
    <w:rsid w:val="00EC529E"/>
    <w:rsid w:val="00EC52B4"/>
    <w:rsid w:val="00EC533A"/>
    <w:rsid w:val="00EC53EF"/>
    <w:rsid w:val="00EC5411"/>
    <w:rsid w:val="00EC56E0"/>
    <w:rsid w:val="00EC56F2"/>
    <w:rsid w:val="00EC572E"/>
    <w:rsid w:val="00EC5765"/>
    <w:rsid w:val="00EC576E"/>
    <w:rsid w:val="00EC5771"/>
    <w:rsid w:val="00EC582D"/>
    <w:rsid w:val="00EC58C1"/>
    <w:rsid w:val="00EC58F1"/>
    <w:rsid w:val="00EC5A50"/>
    <w:rsid w:val="00EC5AA9"/>
    <w:rsid w:val="00EC5AC1"/>
    <w:rsid w:val="00EC5B5D"/>
    <w:rsid w:val="00EC5C16"/>
    <w:rsid w:val="00EC5C1E"/>
    <w:rsid w:val="00EC5C83"/>
    <w:rsid w:val="00EC5C94"/>
    <w:rsid w:val="00EC5D33"/>
    <w:rsid w:val="00EC5D67"/>
    <w:rsid w:val="00EC5DBA"/>
    <w:rsid w:val="00EC5DDF"/>
    <w:rsid w:val="00EC5E7C"/>
    <w:rsid w:val="00EC5E8A"/>
    <w:rsid w:val="00EC5E90"/>
    <w:rsid w:val="00EC5ECA"/>
    <w:rsid w:val="00EC5F77"/>
    <w:rsid w:val="00EC5FDD"/>
    <w:rsid w:val="00EC6053"/>
    <w:rsid w:val="00EC605A"/>
    <w:rsid w:val="00EC60DF"/>
    <w:rsid w:val="00EC6115"/>
    <w:rsid w:val="00EC61B2"/>
    <w:rsid w:val="00EC623F"/>
    <w:rsid w:val="00EC62DF"/>
    <w:rsid w:val="00EC62F6"/>
    <w:rsid w:val="00EC6306"/>
    <w:rsid w:val="00EC636F"/>
    <w:rsid w:val="00EC63D7"/>
    <w:rsid w:val="00EC6441"/>
    <w:rsid w:val="00EC64B3"/>
    <w:rsid w:val="00EC64EF"/>
    <w:rsid w:val="00EC64FA"/>
    <w:rsid w:val="00EC6548"/>
    <w:rsid w:val="00EC6588"/>
    <w:rsid w:val="00EC65C8"/>
    <w:rsid w:val="00EC66A4"/>
    <w:rsid w:val="00EC66F3"/>
    <w:rsid w:val="00EC684C"/>
    <w:rsid w:val="00EC696D"/>
    <w:rsid w:val="00EC6A20"/>
    <w:rsid w:val="00EC6A3E"/>
    <w:rsid w:val="00EC6A83"/>
    <w:rsid w:val="00EC6AEC"/>
    <w:rsid w:val="00EC6B15"/>
    <w:rsid w:val="00EC6B7B"/>
    <w:rsid w:val="00EC6C82"/>
    <w:rsid w:val="00EC6D78"/>
    <w:rsid w:val="00EC6E16"/>
    <w:rsid w:val="00EC6E36"/>
    <w:rsid w:val="00EC6F6A"/>
    <w:rsid w:val="00EC6F81"/>
    <w:rsid w:val="00EC6F90"/>
    <w:rsid w:val="00EC6FE9"/>
    <w:rsid w:val="00EC6FF7"/>
    <w:rsid w:val="00EC70EA"/>
    <w:rsid w:val="00EC70ED"/>
    <w:rsid w:val="00EC715F"/>
    <w:rsid w:val="00EC7186"/>
    <w:rsid w:val="00EC7206"/>
    <w:rsid w:val="00EC72E5"/>
    <w:rsid w:val="00EC7311"/>
    <w:rsid w:val="00EC7383"/>
    <w:rsid w:val="00EC738C"/>
    <w:rsid w:val="00EC75DA"/>
    <w:rsid w:val="00EC75FB"/>
    <w:rsid w:val="00EC7698"/>
    <w:rsid w:val="00EC7897"/>
    <w:rsid w:val="00EC7948"/>
    <w:rsid w:val="00EC79C5"/>
    <w:rsid w:val="00EC7B1A"/>
    <w:rsid w:val="00EC7B8A"/>
    <w:rsid w:val="00EC7BA5"/>
    <w:rsid w:val="00EC7BB6"/>
    <w:rsid w:val="00EC7C3F"/>
    <w:rsid w:val="00EC7C77"/>
    <w:rsid w:val="00EC7CB9"/>
    <w:rsid w:val="00EC7D5E"/>
    <w:rsid w:val="00EC7D9D"/>
    <w:rsid w:val="00EC7DAE"/>
    <w:rsid w:val="00EC7E43"/>
    <w:rsid w:val="00EC7F11"/>
    <w:rsid w:val="00ED0041"/>
    <w:rsid w:val="00ED00CF"/>
    <w:rsid w:val="00ED0123"/>
    <w:rsid w:val="00ED01FF"/>
    <w:rsid w:val="00ED024A"/>
    <w:rsid w:val="00ED026D"/>
    <w:rsid w:val="00ED0273"/>
    <w:rsid w:val="00ED02CA"/>
    <w:rsid w:val="00ED02E3"/>
    <w:rsid w:val="00ED0314"/>
    <w:rsid w:val="00ED047A"/>
    <w:rsid w:val="00ED047C"/>
    <w:rsid w:val="00ED058C"/>
    <w:rsid w:val="00ED0617"/>
    <w:rsid w:val="00ED06A7"/>
    <w:rsid w:val="00ED06F6"/>
    <w:rsid w:val="00ED075D"/>
    <w:rsid w:val="00ED0774"/>
    <w:rsid w:val="00ED078E"/>
    <w:rsid w:val="00ED085F"/>
    <w:rsid w:val="00ED091B"/>
    <w:rsid w:val="00ED099A"/>
    <w:rsid w:val="00ED0B60"/>
    <w:rsid w:val="00ED0C2F"/>
    <w:rsid w:val="00ED0C46"/>
    <w:rsid w:val="00ED0CB1"/>
    <w:rsid w:val="00ED0CD0"/>
    <w:rsid w:val="00ED0CDE"/>
    <w:rsid w:val="00ED0E02"/>
    <w:rsid w:val="00ED0E29"/>
    <w:rsid w:val="00ED0E8A"/>
    <w:rsid w:val="00ED0F42"/>
    <w:rsid w:val="00ED0F51"/>
    <w:rsid w:val="00ED1104"/>
    <w:rsid w:val="00ED11FB"/>
    <w:rsid w:val="00ED1233"/>
    <w:rsid w:val="00ED124E"/>
    <w:rsid w:val="00ED1408"/>
    <w:rsid w:val="00ED148E"/>
    <w:rsid w:val="00ED14A4"/>
    <w:rsid w:val="00ED14AB"/>
    <w:rsid w:val="00ED14BA"/>
    <w:rsid w:val="00ED151C"/>
    <w:rsid w:val="00ED15D1"/>
    <w:rsid w:val="00ED1631"/>
    <w:rsid w:val="00ED16E7"/>
    <w:rsid w:val="00ED1718"/>
    <w:rsid w:val="00ED174B"/>
    <w:rsid w:val="00ED1791"/>
    <w:rsid w:val="00ED17ED"/>
    <w:rsid w:val="00ED17FB"/>
    <w:rsid w:val="00ED1A10"/>
    <w:rsid w:val="00ED1AF8"/>
    <w:rsid w:val="00ED1C1B"/>
    <w:rsid w:val="00ED1C67"/>
    <w:rsid w:val="00ED1CA9"/>
    <w:rsid w:val="00ED1D51"/>
    <w:rsid w:val="00ED1E12"/>
    <w:rsid w:val="00ED1E9E"/>
    <w:rsid w:val="00ED1EF4"/>
    <w:rsid w:val="00ED2001"/>
    <w:rsid w:val="00ED2006"/>
    <w:rsid w:val="00ED21DB"/>
    <w:rsid w:val="00ED2231"/>
    <w:rsid w:val="00ED2238"/>
    <w:rsid w:val="00ED22EC"/>
    <w:rsid w:val="00ED2365"/>
    <w:rsid w:val="00ED23AF"/>
    <w:rsid w:val="00ED240B"/>
    <w:rsid w:val="00ED2477"/>
    <w:rsid w:val="00ED25A2"/>
    <w:rsid w:val="00ED25BD"/>
    <w:rsid w:val="00ED263B"/>
    <w:rsid w:val="00ED2640"/>
    <w:rsid w:val="00ED26C2"/>
    <w:rsid w:val="00ED26D7"/>
    <w:rsid w:val="00ED2701"/>
    <w:rsid w:val="00ED27F5"/>
    <w:rsid w:val="00ED284F"/>
    <w:rsid w:val="00ED287A"/>
    <w:rsid w:val="00ED28AB"/>
    <w:rsid w:val="00ED28F7"/>
    <w:rsid w:val="00ED290C"/>
    <w:rsid w:val="00ED2BBF"/>
    <w:rsid w:val="00ED2CBC"/>
    <w:rsid w:val="00ED2D5F"/>
    <w:rsid w:val="00ED2D73"/>
    <w:rsid w:val="00ED2E4F"/>
    <w:rsid w:val="00ED2E80"/>
    <w:rsid w:val="00ED2EA5"/>
    <w:rsid w:val="00ED2F2A"/>
    <w:rsid w:val="00ED2FF1"/>
    <w:rsid w:val="00ED30FC"/>
    <w:rsid w:val="00ED3292"/>
    <w:rsid w:val="00ED32A8"/>
    <w:rsid w:val="00ED32A9"/>
    <w:rsid w:val="00ED33C1"/>
    <w:rsid w:val="00ED34CC"/>
    <w:rsid w:val="00ED359D"/>
    <w:rsid w:val="00ED3683"/>
    <w:rsid w:val="00ED3689"/>
    <w:rsid w:val="00ED3806"/>
    <w:rsid w:val="00ED38F1"/>
    <w:rsid w:val="00ED39A8"/>
    <w:rsid w:val="00ED39DB"/>
    <w:rsid w:val="00ED3A39"/>
    <w:rsid w:val="00ED3AFD"/>
    <w:rsid w:val="00ED3B2E"/>
    <w:rsid w:val="00ED3B73"/>
    <w:rsid w:val="00ED3B94"/>
    <w:rsid w:val="00ED3BBC"/>
    <w:rsid w:val="00ED3C23"/>
    <w:rsid w:val="00ED3C7A"/>
    <w:rsid w:val="00ED3D53"/>
    <w:rsid w:val="00ED3D77"/>
    <w:rsid w:val="00ED3DAC"/>
    <w:rsid w:val="00ED3DAF"/>
    <w:rsid w:val="00ED3E28"/>
    <w:rsid w:val="00ED40EC"/>
    <w:rsid w:val="00ED4185"/>
    <w:rsid w:val="00ED429D"/>
    <w:rsid w:val="00ED42D7"/>
    <w:rsid w:val="00ED43AF"/>
    <w:rsid w:val="00ED4542"/>
    <w:rsid w:val="00ED468F"/>
    <w:rsid w:val="00ED46EF"/>
    <w:rsid w:val="00ED4754"/>
    <w:rsid w:val="00ED47D6"/>
    <w:rsid w:val="00ED47E7"/>
    <w:rsid w:val="00ED482C"/>
    <w:rsid w:val="00ED48BE"/>
    <w:rsid w:val="00ED48C5"/>
    <w:rsid w:val="00ED4ABA"/>
    <w:rsid w:val="00ED4AC9"/>
    <w:rsid w:val="00ED4B13"/>
    <w:rsid w:val="00ED4B22"/>
    <w:rsid w:val="00ED4C3E"/>
    <w:rsid w:val="00ED4CA7"/>
    <w:rsid w:val="00ED4CC5"/>
    <w:rsid w:val="00ED4E21"/>
    <w:rsid w:val="00ED4E42"/>
    <w:rsid w:val="00ED4F8E"/>
    <w:rsid w:val="00ED50B5"/>
    <w:rsid w:val="00ED5101"/>
    <w:rsid w:val="00ED51A6"/>
    <w:rsid w:val="00ED51C5"/>
    <w:rsid w:val="00ED5210"/>
    <w:rsid w:val="00ED52E0"/>
    <w:rsid w:val="00ED540E"/>
    <w:rsid w:val="00ED549D"/>
    <w:rsid w:val="00ED5539"/>
    <w:rsid w:val="00ED5637"/>
    <w:rsid w:val="00ED5677"/>
    <w:rsid w:val="00ED5745"/>
    <w:rsid w:val="00ED58D8"/>
    <w:rsid w:val="00ED58F2"/>
    <w:rsid w:val="00ED5926"/>
    <w:rsid w:val="00ED59C0"/>
    <w:rsid w:val="00ED59C5"/>
    <w:rsid w:val="00ED5A28"/>
    <w:rsid w:val="00ED5A49"/>
    <w:rsid w:val="00ED5ABE"/>
    <w:rsid w:val="00ED5ADC"/>
    <w:rsid w:val="00ED5C1D"/>
    <w:rsid w:val="00ED5C87"/>
    <w:rsid w:val="00ED5CA4"/>
    <w:rsid w:val="00ED5D4A"/>
    <w:rsid w:val="00ED5D76"/>
    <w:rsid w:val="00ED5DA9"/>
    <w:rsid w:val="00ED5F68"/>
    <w:rsid w:val="00ED6072"/>
    <w:rsid w:val="00ED60A6"/>
    <w:rsid w:val="00ED60E9"/>
    <w:rsid w:val="00ED6246"/>
    <w:rsid w:val="00ED62B1"/>
    <w:rsid w:val="00ED6365"/>
    <w:rsid w:val="00ED642F"/>
    <w:rsid w:val="00ED6587"/>
    <w:rsid w:val="00ED664B"/>
    <w:rsid w:val="00ED66B9"/>
    <w:rsid w:val="00ED6876"/>
    <w:rsid w:val="00ED6888"/>
    <w:rsid w:val="00ED6A6B"/>
    <w:rsid w:val="00ED6AC4"/>
    <w:rsid w:val="00ED6AC9"/>
    <w:rsid w:val="00ED6C08"/>
    <w:rsid w:val="00ED6C22"/>
    <w:rsid w:val="00ED6C37"/>
    <w:rsid w:val="00ED6C3A"/>
    <w:rsid w:val="00ED6C55"/>
    <w:rsid w:val="00ED6D1E"/>
    <w:rsid w:val="00ED6D4B"/>
    <w:rsid w:val="00ED6D6D"/>
    <w:rsid w:val="00ED6FA2"/>
    <w:rsid w:val="00ED705E"/>
    <w:rsid w:val="00ED7093"/>
    <w:rsid w:val="00ED70E2"/>
    <w:rsid w:val="00ED7158"/>
    <w:rsid w:val="00ED7181"/>
    <w:rsid w:val="00ED71CC"/>
    <w:rsid w:val="00ED71E5"/>
    <w:rsid w:val="00ED7298"/>
    <w:rsid w:val="00ED735F"/>
    <w:rsid w:val="00ED752A"/>
    <w:rsid w:val="00ED7644"/>
    <w:rsid w:val="00ED7666"/>
    <w:rsid w:val="00ED7673"/>
    <w:rsid w:val="00ED76AA"/>
    <w:rsid w:val="00ED76C5"/>
    <w:rsid w:val="00ED76D1"/>
    <w:rsid w:val="00ED773E"/>
    <w:rsid w:val="00ED777C"/>
    <w:rsid w:val="00ED77F0"/>
    <w:rsid w:val="00ED783D"/>
    <w:rsid w:val="00ED78BB"/>
    <w:rsid w:val="00ED791C"/>
    <w:rsid w:val="00ED7978"/>
    <w:rsid w:val="00ED79BB"/>
    <w:rsid w:val="00ED79F4"/>
    <w:rsid w:val="00ED7C07"/>
    <w:rsid w:val="00ED7C82"/>
    <w:rsid w:val="00ED7CB2"/>
    <w:rsid w:val="00ED7CCA"/>
    <w:rsid w:val="00ED7D79"/>
    <w:rsid w:val="00ED7DFB"/>
    <w:rsid w:val="00ED7E5C"/>
    <w:rsid w:val="00ED7EDB"/>
    <w:rsid w:val="00ED7F16"/>
    <w:rsid w:val="00ED7F3E"/>
    <w:rsid w:val="00ED7FA1"/>
    <w:rsid w:val="00EE003D"/>
    <w:rsid w:val="00EE004E"/>
    <w:rsid w:val="00EE011A"/>
    <w:rsid w:val="00EE02FC"/>
    <w:rsid w:val="00EE0334"/>
    <w:rsid w:val="00EE0358"/>
    <w:rsid w:val="00EE035B"/>
    <w:rsid w:val="00EE0378"/>
    <w:rsid w:val="00EE0427"/>
    <w:rsid w:val="00EE04B1"/>
    <w:rsid w:val="00EE04C1"/>
    <w:rsid w:val="00EE04E2"/>
    <w:rsid w:val="00EE04F9"/>
    <w:rsid w:val="00EE051D"/>
    <w:rsid w:val="00EE058D"/>
    <w:rsid w:val="00EE05D8"/>
    <w:rsid w:val="00EE0602"/>
    <w:rsid w:val="00EE072F"/>
    <w:rsid w:val="00EE076D"/>
    <w:rsid w:val="00EE0788"/>
    <w:rsid w:val="00EE079E"/>
    <w:rsid w:val="00EE0932"/>
    <w:rsid w:val="00EE0B3D"/>
    <w:rsid w:val="00EE0B8A"/>
    <w:rsid w:val="00EE0C14"/>
    <w:rsid w:val="00EE0C48"/>
    <w:rsid w:val="00EE0D1F"/>
    <w:rsid w:val="00EE0D40"/>
    <w:rsid w:val="00EE0DCB"/>
    <w:rsid w:val="00EE0EB1"/>
    <w:rsid w:val="00EE0F15"/>
    <w:rsid w:val="00EE0F37"/>
    <w:rsid w:val="00EE10A8"/>
    <w:rsid w:val="00EE10B2"/>
    <w:rsid w:val="00EE10C7"/>
    <w:rsid w:val="00EE10FE"/>
    <w:rsid w:val="00EE1112"/>
    <w:rsid w:val="00EE11C1"/>
    <w:rsid w:val="00EE1474"/>
    <w:rsid w:val="00EE15B2"/>
    <w:rsid w:val="00EE15DA"/>
    <w:rsid w:val="00EE1634"/>
    <w:rsid w:val="00EE167F"/>
    <w:rsid w:val="00EE16A2"/>
    <w:rsid w:val="00EE16D0"/>
    <w:rsid w:val="00EE1751"/>
    <w:rsid w:val="00EE17C2"/>
    <w:rsid w:val="00EE1839"/>
    <w:rsid w:val="00EE1863"/>
    <w:rsid w:val="00EE1869"/>
    <w:rsid w:val="00EE18BF"/>
    <w:rsid w:val="00EE1941"/>
    <w:rsid w:val="00EE19C1"/>
    <w:rsid w:val="00EE19EC"/>
    <w:rsid w:val="00EE1A43"/>
    <w:rsid w:val="00EE1AAF"/>
    <w:rsid w:val="00EE1AFF"/>
    <w:rsid w:val="00EE1C30"/>
    <w:rsid w:val="00EE1C98"/>
    <w:rsid w:val="00EE1CBB"/>
    <w:rsid w:val="00EE1D50"/>
    <w:rsid w:val="00EE1D7F"/>
    <w:rsid w:val="00EE1DE8"/>
    <w:rsid w:val="00EE1E00"/>
    <w:rsid w:val="00EE2002"/>
    <w:rsid w:val="00EE208A"/>
    <w:rsid w:val="00EE20C2"/>
    <w:rsid w:val="00EE20D0"/>
    <w:rsid w:val="00EE2125"/>
    <w:rsid w:val="00EE212C"/>
    <w:rsid w:val="00EE21FA"/>
    <w:rsid w:val="00EE2320"/>
    <w:rsid w:val="00EE24CB"/>
    <w:rsid w:val="00EE24CD"/>
    <w:rsid w:val="00EE25A1"/>
    <w:rsid w:val="00EE2666"/>
    <w:rsid w:val="00EE2683"/>
    <w:rsid w:val="00EE26B9"/>
    <w:rsid w:val="00EE26E1"/>
    <w:rsid w:val="00EE2780"/>
    <w:rsid w:val="00EE2855"/>
    <w:rsid w:val="00EE2920"/>
    <w:rsid w:val="00EE2932"/>
    <w:rsid w:val="00EE2951"/>
    <w:rsid w:val="00EE2972"/>
    <w:rsid w:val="00EE29AC"/>
    <w:rsid w:val="00EE2A4E"/>
    <w:rsid w:val="00EE2AE7"/>
    <w:rsid w:val="00EE2BCC"/>
    <w:rsid w:val="00EE2C27"/>
    <w:rsid w:val="00EE2C55"/>
    <w:rsid w:val="00EE2CF8"/>
    <w:rsid w:val="00EE2D6D"/>
    <w:rsid w:val="00EE2E8A"/>
    <w:rsid w:val="00EE2EE0"/>
    <w:rsid w:val="00EE2FD6"/>
    <w:rsid w:val="00EE3011"/>
    <w:rsid w:val="00EE3183"/>
    <w:rsid w:val="00EE31E2"/>
    <w:rsid w:val="00EE3243"/>
    <w:rsid w:val="00EE3286"/>
    <w:rsid w:val="00EE3377"/>
    <w:rsid w:val="00EE3397"/>
    <w:rsid w:val="00EE33C7"/>
    <w:rsid w:val="00EE3462"/>
    <w:rsid w:val="00EE35C6"/>
    <w:rsid w:val="00EE35C8"/>
    <w:rsid w:val="00EE3607"/>
    <w:rsid w:val="00EE3643"/>
    <w:rsid w:val="00EE3684"/>
    <w:rsid w:val="00EE3699"/>
    <w:rsid w:val="00EE36BC"/>
    <w:rsid w:val="00EE37D2"/>
    <w:rsid w:val="00EE39B4"/>
    <w:rsid w:val="00EE3A0E"/>
    <w:rsid w:val="00EE3A57"/>
    <w:rsid w:val="00EE3A6C"/>
    <w:rsid w:val="00EE3B1F"/>
    <w:rsid w:val="00EE3B5A"/>
    <w:rsid w:val="00EE3CAD"/>
    <w:rsid w:val="00EE3CDB"/>
    <w:rsid w:val="00EE3D4C"/>
    <w:rsid w:val="00EE3DB9"/>
    <w:rsid w:val="00EE3E38"/>
    <w:rsid w:val="00EE3E5D"/>
    <w:rsid w:val="00EE3F65"/>
    <w:rsid w:val="00EE4041"/>
    <w:rsid w:val="00EE404D"/>
    <w:rsid w:val="00EE40B4"/>
    <w:rsid w:val="00EE40C6"/>
    <w:rsid w:val="00EE427D"/>
    <w:rsid w:val="00EE4304"/>
    <w:rsid w:val="00EE4318"/>
    <w:rsid w:val="00EE4381"/>
    <w:rsid w:val="00EE4394"/>
    <w:rsid w:val="00EE44EE"/>
    <w:rsid w:val="00EE4533"/>
    <w:rsid w:val="00EE454F"/>
    <w:rsid w:val="00EE45C3"/>
    <w:rsid w:val="00EE4630"/>
    <w:rsid w:val="00EE46EF"/>
    <w:rsid w:val="00EE4731"/>
    <w:rsid w:val="00EE4776"/>
    <w:rsid w:val="00EE4830"/>
    <w:rsid w:val="00EE4925"/>
    <w:rsid w:val="00EE4954"/>
    <w:rsid w:val="00EE4972"/>
    <w:rsid w:val="00EE4A0B"/>
    <w:rsid w:val="00EE4A55"/>
    <w:rsid w:val="00EE4A67"/>
    <w:rsid w:val="00EE4B23"/>
    <w:rsid w:val="00EE4B2F"/>
    <w:rsid w:val="00EE4C37"/>
    <w:rsid w:val="00EE4C99"/>
    <w:rsid w:val="00EE4CD4"/>
    <w:rsid w:val="00EE4E15"/>
    <w:rsid w:val="00EE4E26"/>
    <w:rsid w:val="00EE4E59"/>
    <w:rsid w:val="00EE4FB1"/>
    <w:rsid w:val="00EE5053"/>
    <w:rsid w:val="00EE51CD"/>
    <w:rsid w:val="00EE52FB"/>
    <w:rsid w:val="00EE5448"/>
    <w:rsid w:val="00EE5697"/>
    <w:rsid w:val="00EE5713"/>
    <w:rsid w:val="00EE5776"/>
    <w:rsid w:val="00EE57D2"/>
    <w:rsid w:val="00EE57D5"/>
    <w:rsid w:val="00EE581E"/>
    <w:rsid w:val="00EE583D"/>
    <w:rsid w:val="00EE58CB"/>
    <w:rsid w:val="00EE596C"/>
    <w:rsid w:val="00EE59CD"/>
    <w:rsid w:val="00EE5A0E"/>
    <w:rsid w:val="00EE5A65"/>
    <w:rsid w:val="00EE5A6D"/>
    <w:rsid w:val="00EE5AC3"/>
    <w:rsid w:val="00EE5AC5"/>
    <w:rsid w:val="00EE5C48"/>
    <w:rsid w:val="00EE5C49"/>
    <w:rsid w:val="00EE5C80"/>
    <w:rsid w:val="00EE5CAB"/>
    <w:rsid w:val="00EE5CDF"/>
    <w:rsid w:val="00EE5CE1"/>
    <w:rsid w:val="00EE5D21"/>
    <w:rsid w:val="00EE5D70"/>
    <w:rsid w:val="00EE5DEB"/>
    <w:rsid w:val="00EE5E26"/>
    <w:rsid w:val="00EE5EDD"/>
    <w:rsid w:val="00EE5F96"/>
    <w:rsid w:val="00EE6012"/>
    <w:rsid w:val="00EE6014"/>
    <w:rsid w:val="00EE6172"/>
    <w:rsid w:val="00EE617E"/>
    <w:rsid w:val="00EE61CA"/>
    <w:rsid w:val="00EE6294"/>
    <w:rsid w:val="00EE62A6"/>
    <w:rsid w:val="00EE6467"/>
    <w:rsid w:val="00EE64B0"/>
    <w:rsid w:val="00EE64B3"/>
    <w:rsid w:val="00EE658E"/>
    <w:rsid w:val="00EE6607"/>
    <w:rsid w:val="00EE6984"/>
    <w:rsid w:val="00EE6AFC"/>
    <w:rsid w:val="00EE6B12"/>
    <w:rsid w:val="00EE6B67"/>
    <w:rsid w:val="00EE6BCE"/>
    <w:rsid w:val="00EE6D16"/>
    <w:rsid w:val="00EE6DDA"/>
    <w:rsid w:val="00EE6E5D"/>
    <w:rsid w:val="00EE6E6D"/>
    <w:rsid w:val="00EE6EFB"/>
    <w:rsid w:val="00EE6F7F"/>
    <w:rsid w:val="00EE6FCD"/>
    <w:rsid w:val="00EE6FD1"/>
    <w:rsid w:val="00EE6FEE"/>
    <w:rsid w:val="00EE7000"/>
    <w:rsid w:val="00EE70CC"/>
    <w:rsid w:val="00EE71A1"/>
    <w:rsid w:val="00EE71A3"/>
    <w:rsid w:val="00EE71AE"/>
    <w:rsid w:val="00EE7327"/>
    <w:rsid w:val="00EE735C"/>
    <w:rsid w:val="00EE7390"/>
    <w:rsid w:val="00EE7416"/>
    <w:rsid w:val="00EE7439"/>
    <w:rsid w:val="00EE74A0"/>
    <w:rsid w:val="00EE7522"/>
    <w:rsid w:val="00EE75C6"/>
    <w:rsid w:val="00EE7611"/>
    <w:rsid w:val="00EE7627"/>
    <w:rsid w:val="00EE765A"/>
    <w:rsid w:val="00EE7669"/>
    <w:rsid w:val="00EE76D8"/>
    <w:rsid w:val="00EE7869"/>
    <w:rsid w:val="00EE78B8"/>
    <w:rsid w:val="00EE7905"/>
    <w:rsid w:val="00EE7965"/>
    <w:rsid w:val="00EE79B9"/>
    <w:rsid w:val="00EE7C2C"/>
    <w:rsid w:val="00EE7D63"/>
    <w:rsid w:val="00EE7DB8"/>
    <w:rsid w:val="00EE7FB9"/>
    <w:rsid w:val="00EF013B"/>
    <w:rsid w:val="00EF0221"/>
    <w:rsid w:val="00EF0338"/>
    <w:rsid w:val="00EF0340"/>
    <w:rsid w:val="00EF03C1"/>
    <w:rsid w:val="00EF0530"/>
    <w:rsid w:val="00EF059B"/>
    <w:rsid w:val="00EF05EB"/>
    <w:rsid w:val="00EF0621"/>
    <w:rsid w:val="00EF07BF"/>
    <w:rsid w:val="00EF080A"/>
    <w:rsid w:val="00EF081F"/>
    <w:rsid w:val="00EF0924"/>
    <w:rsid w:val="00EF097A"/>
    <w:rsid w:val="00EF09A2"/>
    <w:rsid w:val="00EF09CC"/>
    <w:rsid w:val="00EF09D0"/>
    <w:rsid w:val="00EF0A6A"/>
    <w:rsid w:val="00EF0AAD"/>
    <w:rsid w:val="00EF0AC0"/>
    <w:rsid w:val="00EF0AC8"/>
    <w:rsid w:val="00EF0B3D"/>
    <w:rsid w:val="00EF0B9D"/>
    <w:rsid w:val="00EF0BBC"/>
    <w:rsid w:val="00EF0CA7"/>
    <w:rsid w:val="00EF0CF4"/>
    <w:rsid w:val="00EF0E61"/>
    <w:rsid w:val="00EF0E73"/>
    <w:rsid w:val="00EF0EEC"/>
    <w:rsid w:val="00EF0EFD"/>
    <w:rsid w:val="00EF0F36"/>
    <w:rsid w:val="00EF108D"/>
    <w:rsid w:val="00EF10C0"/>
    <w:rsid w:val="00EF1238"/>
    <w:rsid w:val="00EF129F"/>
    <w:rsid w:val="00EF1320"/>
    <w:rsid w:val="00EF13C8"/>
    <w:rsid w:val="00EF1445"/>
    <w:rsid w:val="00EF156A"/>
    <w:rsid w:val="00EF15A6"/>
    <w:rsid w:val="00EF15E0"/>
    <w:rsid w:val="00EF15F5"/>
    <w:rsid w:val="00EF15F6"/>
    <w:rsid w:val="00EF160C"/>
    <w:rsid w:val="00EF16F6"/>
    <w:rsid w:val="00EF1868"/>
    <w:rsid w:val="00EF1883"/>
    <w:rsid w:val="00EF18AB"/>
    <w:rsid w:val="00EF18F3"/>
    <w:rsid w:val="00EF18F9"/>
    <w:rsid w:val="00EF190B"/>
    <w:rsid w:val="00EF1930"/>
    <w:rsid w:val="00EF19B1"/>
    <w:rsid w:val="00EF19BB"/>
    <w:rsid w:val="00EF19F9"/>
    <w:rsid w:val="00EF1A29"/>
    <w:rsid w:val="00EF1A9B"/>
    <w:rsid w:val="00EF1AF5"/>
    <w:rsid w:val="00EF1B25"/>
    <w:rsid w:val="00EF1B46"/>
    <w:rsid w:val="00EF1BBE"/>
    <w:rsid w:val="00EF1BCE"/>
    <w:rsid w:val="00EF1C16"/>
    <w:rsid w:val="00EF1C99"/>
    <w:rsid w:val="00EF1D3B"/>
    <w:rsid w:val="00EF1DB0"/>
    <w:rsid w:val="00EF1DDE"/>
    <w:rsid w:val="00EF1F05"/>
    <w:rsid w:val="00EF204F"/>
    <w:rsid w:val="00EF219F"/>
    <w:rsid w:val="00EF21A3"/>
    <w:rsid w:val="00EF21C3"/>
    <w:rsid w:val="00EF21D3"/>
    <w:rsid w:val="00EF21DD"/>
    <w:rsid w:val="00EF2209"/>
    <w:rsid w:val="00EF2490"/>
    <w:rsid w:val="00EF25A1"/>
    <w:rsid w:val="00EF25DA"/>
    <w:rsid w:val="00EF2612"/>
    <w:rsid w:val="00EF2635"/>
    <w:rsid w:val="00EF2650"/>
    <w:rsid w:val="00EF271E"/>
    <w:rsid w:val="00EF27AB"/>
    <w:rsid w:val="00EF27CB"/>
    <w:rsid w:val="00EF2813"/>
    <w:rsid w:val="00EF2826"/>
    <w:rsid w:val="00EF2846"/>
    <w:rsid w:val="00EF2852"/>
    <w:rsid w:val="00EF28EA"/>
    <w:rsid w:val="00EF2971"/>
    <w:rsid w:val="00EF297E"/>
    <w:rsid w:val="00EF2A5E"/>
    <w:rsid w:val="00EF2A74"/>
    <w:rsid w:val="00EF2B9C"/>
    <w:rsid w:val="00EF2C75"/>
    <w:rsid w:val="00EF2C9D"/>
    <w:rsid w:val="00EF2CEA"/>
    <w:rsid w:val="00EF2D37"/>
    <w:rsid w:val="00EF2D41"/>
    <w:rsid w:val="00EF2E71"/>
    <w:rsid w:val="00EF2F75"/>
    <w:rsid w:val="00EF300D"/>
    <w:rsid w:val="00EF3088"/>
    <w:rsid w:val="00EF30B3"/>
    <w:rsid w:val="00EF32CE"/>
    <w:rsid w:val="00EF3426"/>
    <w:rsid w:val="00EF3431"/>
    <w:rsid w:val="00EF3593"/>
    <w:rsid w:val="00EF36D1"/>
    <w:rsid w:val="00EF375F"/>
    <w:rsid w:val="00EF37A8"/>
    <w:rsid w:val="00EF399C"/>
    <w:rsid w:val="00EF3AD3"/>
    <w:rsid w:val="00EF3B87"/>
    <w:rsid w:val="00EF3B8E"/>
    <w:rsid w:val="00EF3BDD"/>
    <w:rsid w:val="00EF3C4F"/>
    <w:rsid w:val="00EF3C87"/>
    <w:rsid w:val="00EF3CE3"/>
    <w:rsid w:val="00EF3D38"/>
    <w:rsid w:val="00EF3DDF"/>
    <w:rsid w:val="00EF3E2B"/>
    <w:rsid w:val="00EF3E75"/>
    <w:rsid w:val="00EF3E8B"/>
    <w:rsid w:val="00EF3EDC"/>
    <w:rsid w:val="00EF3EE3"/>
    <w:rsid w:val="00EF3F58"/>
    <w:rsid w:val="00EF3F89"/>
    <w:rsid w:val="00EF3FE2"/>
    <w:rsid w:val="00EF3FF3"/>
    <w:rsid w:val="00EF4042"/>
    <w:rsid w:val="00EF4163"/>
    <w:rsid w:val="00EF41FD"/>
    <w:rsid w:val="00EF426D"/>
    <w:rsid w:val="00EF4302"/>
    <w:rsid w:val="00EF43AB"/>
    <w:rsid w:val="00EF4440"/>
    <w:rsid w:val="00EF4460"/>
    <w:rsid w:val="00EF4596"/>
    <w:rsid w:val="00EF45C0"/>
    <w:rsid w:val="00EF45F4"/>
    <w:rsid w:val="00EF46F8"/>
    <w:rsid w:val="00EF4743"/>
    <w:rsid w:val="00EF4885"/>
    <w:rsid w:val="00EF488A"/>
    <w:rsid w:val="00EF4899"/>
    <w:rsid w:val="00EF492F"/>
    <w:rsid w:val="00EF4951"/>
    <w:rsid w:val="00EF4BA7"/>
    <w:rsid w:val="00EF4C2D"/>
    <w:rsid w:val="00EF4C8A"/>
    <w:rsid w:val="00EF4CBA"/>
    <w:rsid w:val="00EF4D1F"/>
    <w:rsid w:val="00EF4D25"/>
    <w:rsid w:val="00EF4D31"/>
    <w:rsid w:val="00EF4DB1"/>
    <w:rsid w:val="00EF4E12"/>
    <w:rsid w:val="00EF4E83"/>
    <w:rsid w:val="00EF4EBF"/>
    <w:rsid w:val="00EF4EF3"/>
    <w:rsid w:val="00EF4F25"/>
    <w:rsid w:val="00EF503D"/>
    <w:rsid w:val="00EF508A"/>
    <w:rsid w:val="00EF50C8"/>
    <w:rsid w:val="00EF50E0"/>
    <w:rsid w:val="00EF5105"/>
    <w:rsid w:val="00EF5148"/>
    <w:rsid w:val="00EF518F"/>
    <w:rsid w:val="00EF51FB"/>
    <w:rsid w:val="00EF51FD"/>
    <w:rsid w:val="00EF526A"/>
    <w:rsid w:val="00EF52AD"/>
    <w:rsid w:val="00EF52E5"/>
    <w:rsid w:val="00EF535C"/>
    <w:rsid w:val="00EF55F9"/>
    <w:rsid w:val="00EF5751"/>
    <w:rsid w:val="00EF57D0"/>
    <w:rsid w:val="00EF57EE"/>
    <w:rsid w:val="00EF580B"/>
    <w:rsid w:val="00EF585E"/>
    <w:rsid w:val="00EF5902"/>
    <w:rsid w:val="00EF59C2"/>
    <w:rsid w:val="00EF5A36"/>
    <w:rsid w:val="00EF5C09"/>
    <w:rsid w:val="00EF5CFB"/>
    <w:rsid w:val="00EF5D6D"/>
    <w:rsid w:val="00EF5DB1"/>
    <w:rsid w:val="00EF5E7F"/>
    <w:rsid w:val="00EF5F62"/>
    <w:rsid w:val="00EF5FC8"/>
    <w:rsid w:val="00EF605B"/>
    <w:rsid w:val="00EF606D"/>
    <w:rsid w:val="00EF60D2"/>
    <w:rsid w:val="00EF6152"/>
    <w:rsid w:val="00EF61A0"/>
    <w:rsid w:val="00EF61A2"/>
    <w:rsid w:val="00EF61BC"/>
    <w:rsid w:val="00EF61D7"/>
    <w:rsid w:val="00EF6296"/>
    <w:rsid w:val="00EF62BC"/>
    <w:rsid w:val="00EF62D9"/>
    <w:rsid w:val="00EF62EB"/>
    <w:rsid w:val="00EF62F0"/>
    <w:rsid w:val="00EF6376"/>
    <w:rsid w:val="00EF63B8"/>
    <w:rsid w:val="00EF63F4"/>
    <w:rsid w:val="00EF6529"/>
    <w:rsid w:val="00EF655B"/>
    <w:rsid w:val="00EF6589"/>
    <w:rsid w:val="00EF65DD"/>
    <w:rsid w:val="00EF65E2"/>
    <w:rsid w:val="00EF6649"/>
    <w:rsid w:val="00EF66A5"/>
    <w:rsid w:val="00EF66CD"/>
    <w:rsid w:val="00EF66FB"/>
    <w:rsid w:val="00EF6827"/>
    <w:rsid w:val="00EF682B"/>
    <w:rsid w:val="00EF683A"/>
    <w:rsid w:val="00EF6944"/>
    <w:rsid w:val="00EF6A3D"/>
    <w:rsid w:val="00EF6A95"/>
    <w:rsid w:val="00EF6C23"/>
    <w:rsid w:val="00EF6C7F"/>
    <w:rsid w:val="00EF6C84"/>
    <w:rsid w:val="00EF6D10"/>
    <w:rsid w:val="00EF6D90"/>
    <w:rsid w:val="00EF6D9A"/>
    <w:rsid w:val="00EF6E69"/>
    <w:rsid w:val="00EF6F13"/>
    <w:rsid w:val="00EF7002"/>
    <w:rsid w:val="00EF7068"/>
    <w:rsid w:val="00EF7074"/>
    <w:rsid w:val="00EF70CE"/>
    <w:rsid w:val="00EF7129"/>
    <w:rsid w:val="00EF72A2"/>
    <w:rsid w:val="00EF72BF"/>
    <w:rsid w:val="00EF72E2"/>
    <w:rsid w:val="00EF7457"/>
    <w:rsid w:val="00EF7570"/>
    <w:rsid w:val="00EF763E"/>
    <w:rsid w:val="00EF766D"/>
    <w:rsid w:val="00EF76E0"/>
    <w:rsid w:val="00EF7772"/>
    <w:rsid w:val="00EF77B0"/>
    <w:rsid w:val="00EF78DA"/>
    <w:rsid w:val="00EF790B"/>
    <w:rsid w:val="00EF79CE"/>
    <w:rsid w:val="00EF7B66"/>
    <w:rsid w:val="00EF7B9E"/>
    <w:rsid w:val="00EF7CA6"/>
    <w:rsid w:val="00EF7E2D"/>
    <w:rsid w:val="00EF7E57"/>
    <w:rsid w:val="00EF7ECC"/>
    <w:rsid w:val="00EF7FC7"/>
    <w:rsid w:val="00F00011"/>
    <w:rsid w:val="00F0001D"/>
    <w:rsid w:val="00F000DE"/>
    <w:rsid w:val="00F000F5"/>
    <w:rsid w:val="00F000FD"/>
    <w:rsid w:val="00F00140"/>
    <w:rsid w:val="00F00164"/>
    <w:rsid w:val="00F0016B"/>
    <w:rsid w:val="00F001BA"/>
    <w:rsid w:val="00F0023E"/>
    <w:rsid w:val="00F00349"/>
    <w:rsid w:val="00F004E6"/>
    <w:rsid w:val="00F0052A"/>
    <w:rsid w:val="00F00569"/>
    <w:rsid w:val="00F0056B"/>
    <w:rsid w:val="00F00589"/>
    <w:rsid w:val="00F005FD"/>
    <w:rsid w:val="00F006E5"/>
    <w:rsid w:val="00F0078D"/>
    <w:rsid w:val="00F00822"/>
    <w:rsid w:val="00F0086F"/>
    <w:rsid w:val="00F00944"/>
    <w:rsid w:val="00F00957"/>
    <w:rsid w:val="00F009FF"/>
    <w:rsid w:val="00F00A28"/>
    <w:rsid w:val="00F00A4F"/>
    <w:rsid w:val="00F00A52"/>
    <w:rsid w:val="00F00A66"/>
    <w:rsid w:val="00F00AED"/>
    <w:rsid w:val="00F00AF1"/>
    <w:rsid w:val="00F00C8D"/>
    <w:rsid w:val="00F00D04"/>
    <w:rsid w:val="00F00D9D"/>
    <w:rsid w:val="00F00E00"/>
    <w:rsid w:val="00F00E84"/>
    <w:rsid w:val="00F00ED2"/>
    <w:rsid w:val="00F00EFC"/>
    <w:rsid w:val="00F01012"/>
    <w:rsid w:val="00F01133"/>
    <w:rsid w:val="00F01134"/>
    <w:rsid w:val="00F01146"/>
    <w:rsid w:val="00F012B9"/>
    <w:rsid w:val="00F0139E"/>
    <w:rsid w:val="00F014C9"/>
    <w:rsid w:val="00F014F3"/>
    <w:rsid w:val="00F014FD"/>
    <w:rsid w:val="00F01545"/>
    <w:rsid w:val="00F015AC"/>
    <w:rsid w:val="00F0163D"/>
    <w:rsid w:val="00F016EC"/>
    <w:rsid w:val="00F016F0"/>
    <w:rsid w:val="00F0173E"/>
    <w:rsid w:val="00F0177A"/>
    <w:rsid w:val="00F01A03"/>
    <w:rsid w:val="00F01A13"/>
    <w:rsid w:val="00F01BDE"/>
    <w:rsid w:val="00F01C2C"/>
    <w:rsid w:val="00F01C99"/>
    <w:rsid w:val="00F01D45"/>
    <w:rsid w:val="00F01D94"/>
    <w:rsid w:val="00F01DB5"/>
    <w:rsid w:val="00F01E3A"/>
    <w:rsid w:val="00F01E42"/>
    <w:rsid w:val="00F01E66"/>
    <w:rsid w:val="00F01EB5"/>
    <w:rsid w:val="00F02037"/>
    <w:rsid w:val="00F0205C"/>
    <w:rsid w:val="00F0217C"/>
    <w:rsid w:val="00F02287"/>
    <w:rsid w:val="00F0239A"/>
    <w:rsid w:val="00F023FA"/>
    <w:rsid w:val="00F023FD"/>
    <w:rsid w:val="00F0240B"/>
    <w:rsid w:val="00F02413"/>
    <w:rsid w:val="00F0241D"/>
    <w:rsid w:val="00F02441"/>
    <w:rsid w:val="00F0249E"/>
    <w:rsid w:val="00F024DA"/>
    <w:rsid w:val="00F025A1"/>
    <w:rsid w:val="00F02607"/>
    <w:rsid w:val="00F028AD"/>
    <w:rsid w:val="00F02924"/>
    <w:rsid w:val="00F029BA"/>
    <w:rsid w:val="00F029FD"/>
    <w:rsid w:val="00F029FE"/>
    <w:rsid w:val="00F02B01"/>
    <w:rsid w:val="00F02B08"/>
    <w:rsid w:val="00F02B19"/>
    <w:rsid w:val="00F02B42"/>
    <w:rsid w:val="00F02B4F"/>
    <w:rsid w:val="00F02CE5"/>
    <w:rsid w:val="00F02DEB"/>
    <w:rsid w:val="00F02DEF"/>
    <w:rsid w:val="00F02ED8"/>
    <w:rsid w:val="00F02F29"/>
    <w:rsid w:val="00F02F3D"/>
    <w:rsid w:val="00F02F62"/>
    <w:rsid w:val="00F02F9F"/>
    <w:rsid w:val="00F02FA4"/>
    <w:rsid w:val="00F0302C"/>
    <w:rsid w:val="00F03059"/>
    <w:rsid w:val="00F0315A"/>
    <w:rsid w:val="00F031A9"/>
    <w:rsid w:val="00F031D1"/>
    <w:rsid w:val="00F0328A"/>
    <w:rsid w:val="00F03302"/>
    <w:rsid w:val="00F034BB"/>
    <w:rsid w:val="00F0355D"/>
    <w:rsid w:val="00F03600"/>
    <w:rsid w:val="00F0362D"/>
    <w:rsid w:val="00F03778"/>
    <w:rsid w:val="00F03824"/>
    <w:rsid w:val="00F03840"/>
    <w:rsid w:val="00F038F4"/>
    <w:rsid w:val="00F03A18"/>
    <w:rsid w:val="00F03A5B"/>
    <w:rsid w:val="00F03C5F"/>
    <w:rsid w:val="00F03EB1"/>
    <w:rsid w:val="00F03EFF"/>
    <w:rsid w:val="00F03F27"/>
    <w:rsid w:val="00F03F67"/>
    <w:rsid w:val="00F03F9C"/>
    <w:rsid w:val="00F040A8"/>
    <w:rsid w:val="00F04139"/>
    <w:rsid w:val="00F042B1"/>
    <w:rsid w:val="00F042BA"/>
    <w:rsid w:val="00F042F7"/>
    <w:rsid w:val="00F04321"/>
    <w:rsid w:val="00F04397"/>
    <w:rsid w:val="00F043B1"/>
    <w:rsid w:val="00F0443E"/>
    <w:rsid w:val="00F0458E"/>
    <w:rsid w:val="00F04671"/>
    <w:rsid w:val="00F046D2"/>
    <w:rsid w:val="00F046E4"/>
    <w:rsid w:val="00F0472C"/>
    <w:rsid w:val="00F0473F"/>
    <w:rsid w:val="00F0479C"/>
    <w:rsid w:val="00F04835"/>
    <w:rsid w:val="00F04905"/>
    <w:rsid w:val="00F0490B"/>
    <w:rsid w:val="00F0492A"/>
    <w:rsid w:val="00F049BB"/>
    <w:rsid w:val="00F04A1A"/>
    <w:rsid w:val="00F04AE7"/>
    <w:rsid w:val="00F04B16"/>
    <w:rsid w:val="00F04B8B"/>
    <w:rsid w:val="00F04C21"/>
    <w:rsid w:val="00F04C31"/>
    <w:rsid w:val="00F04C55"/>
    <w:rsid w:val="00F04CFB"/>
    <w:rsid w:val="00F04D2D"/>
    <w:rsid w:val="00F04D6E"/>
    <w:rsid w:val="00F04DA7"/>
    <w:rsid w:val="00F04DEB"/>
    <w:rsid w:val="00F04EA6"/>
    <w:rsid w:val="00F04EB1"/>
    <w:rsid w:val="00F04FFC"/>
    <w:rsid w:val="00F05000"/>
    <w:rsid w:val="00F05024"/>
    <w:rsid w:val="00F05068"/>
    <w:rsid w:val="00F050AA"/>
    <w:rsid w:val="00F051BC"/>
    <w:rsid w:val="00F051DD"/>
    <w:rsid w:val="00F0524C"/>
    <w:rsid w:val="00F0525E"/>
    <w:rsid w:val="00F0535C"/>
    <w:rsid w:val="00F053E9"/>
    <w:rsid w:val="00F05461"/>
    <w:rsid w:val="00F05544"/>
    <w:rsid w:val="00F055F7"/>
    <w:rsid w:val="00F05711"/>
    <w:rsid w:val="00F05798"/>
    <w:rsid w:val="00F057B8"/>
    <w:rsid w:val="00F05830"/>
    <w:rsid w:val="00F058BC"/>
    <w:rsid w:val="00F058F6"/>
    <w:rsid w:val="00F05962"/>
    <w:rsid w:val="00F059A8"/>
    <w:rsid w:val="00F059F9"/>
    <w:rsid w:val="00F05A7C"/>
    <w:rsid w:val="00F05A86"/>
    <w:rsid w:val="00F05AB5"/>
    <w:rsid w:val="00F05B43"/>
    <w:rsid w:val="00F05BDA"/>
    <w:rsid w:val="00F05CA6"/>
    <w:rsid w:val="00F05D28"/>
    <w:rsid w:val="00F05EDE"/>
    <w:rsid w:val="00F05EE8"/>
    <w:rsid w:val="00F05F5D"/>
    <w:rsid w:val="00F05F93"/>
    <w:rsid w:val="00F0605C"/>
    <w:rsid w:val="00F060B2"/>
    <w:rsid w:val="00F061A4"/>
    <w:rsid w:val="00F06261"/>
    <w:rsid w:val="00F063AB"/>
    <w:rsid w:val="00F063B6"/>
    <w:rsid w:val="00F063C9"/>
    <w:rsid w:val="00F063E2"/>
    <w:rsid w:val="00F06567"/>
    <w:rsid w:val="00F06599"/>
    <w:rsid w:val="00F065C9"/>
    <w:rsid w:val="00F066E1"/>
    <w:rsid w:val="00F06822"/>
    <w:rsid w:val="00F06846"/>
    <w:rsid w:val="00F0689F"/>
    <w:rsid w:val="00F068A5"/>
    <w:rsid w:val="00F068F0"/>
    <w:rsid w:val="00F069E0"/>
    <w:rsid w:val="00F06A02"/>
    <w:rsid w:val="00F06A22"/>
    <w:rsid w:val="00F06B84"/>
    <w:rsid w:val="00F06C95"/>
    <w:rsid w:val="00F06DB9"/>
    <w:rsid w:val="00F06EC9"/>
    <w:rsid w:val="00F06EDF"/>
    <w:rsid w:val="00F06F3D"/>
    <w:rsid w:val="00F06F66"/>
    <w:rsid w:val="00F06FD2"/>
    <w:rsid w:val="00F07077"/>
    <w:rsid w:val="00F07094"/>
    <w:rsid w:val="00F0710E"/>
    <w:rsid w:val="00F07187"/>
    <w:rsid w:val="00F07312"/>
    <w:rsid w:val="00F073A6"/>
    <w:rsid w:val="00F07430"/>
    <w:rsid w:val="00F07485"/>
    <w:rsid w:val="00F0755A"/>
    <w:rsid w:val="00F07592"/>
    <w:rsid w:val="00F0765D"/>
    <w:rsid w:val="00F07664"/>
    <w:rsid w:val="00F076BC"/>
    <w:rsid w:val="00F076CD"/>
    <w:rsid w:val="00F07724"/>
    <w:rsid w:val="00F077CE"/>
    <w:rsid w:val="00F078B6"/>
    <w:rsid w:val="00F07929"/>
    <w:rsid w:val="00F079E2"/>
    <w:rsid w:val="00F07A84"/>
    <w:rsid w:val="00F07AD3"/>
    <w:rsid w:val="00F07B6A"/>
    <w:rsid w:val="00F07D2A"/>
    <w:rsid w:val="00F07E9D"/>
    <w:rsid w:val="00F07FD8"/>
    <w:rsid w:val="00F1013F"/>
    <w:rsid w:val="00F101A3"/>
    <w:rsid w:val="00F101D2"/>
    <w:rsid w:val="00F102E0"/>
    <w:rsid w:val="00F10382"/>
    <w:rsid w:val="00F103C2"/>
    <w:rsid w:val="00F1055D"/>
    <w:rsid w:val="00F105A7"/>
    <w:rsid w:val="00F105C2"/>
    <w:rsid w:val="00F105DB"/>
    <w:rsid w:val="00F1074C"/>
    <w:rsid w:val="00F10864"/>
    <w:rsid w:val="00F10915"/>
    <w:rsid w:val="00F10980"/>
    <w:rsid w:val="00F10A0F"/>
    <w:rsid w:val="00F10A2D"/>
    <w:rsid w:val="00F10A65"/>
    <w:rsid w:val="00F10AC9"/>
    <w:rsid w:val="00F10E75"/>
    <w:rsid w:val="00F10F3B"/>
    <w:rsid w:val="00F10F74"/>
    <w:rsid w:val="00F10FC1"/>
    <w:rsid w:val="00F1102E"/>
    <w:rsid w:val="00F1105C"/>
    <w:rsid w:val="00F110AA"/>
    <w:rsid w:val="00F110F2"/>
    <w:rsid w:val="00F11131"/>
    <w:rsid w:val="00F111E4"/>
    <w:rsid w:val="00F112A0"/>
    <w:rsid w:val="00F112FD"/>
    <w:rsid w:val="00F1131C"/>
    <w:rsid w:val="00F1132E"/>
    <w:rsid w:val="00F11352"/>
    <w:rsid w:val="00F1135E"/>
    <w:rsid w:val="00F113E7"/>
    <w:rsid w:val="00F114F5"/>
    <w:rsid w:val="00F11529"/>
    <w:rsid w:val="00F11560"/>
    <w:rsid w:val="00F115C3"/>
    <w:rsid w:val="00F11666"/>
    <w:rsid w:val="00F116A9"/>
    <w:rsid w:val="00F116F7"/>
    <w:rsid w:val="00F11701"/>
    <w:rsid w:val="00F1171A"/>
    <w:rsid w:val="00F1177F"/>
    <w:rsid w:val="00F117C0"/>
    <w:rsid w:val="00F11865"/>
    <w:rsid w:val="00F118CD"/>
    <w:rsid w:val="00F1196F"/>
    <w:rsid w:val="00F11980"/>
    <w:rsid w:val="00F119E4"/>
    <w:rsid w:val="00F119F5"/>
    <w:rsid w:val="00F11A6B"/>
    <w:rsid w:val="00F11A70"/>
    <w:rsid w:val="00F11B03"/>
    <w:rsid w:val="00F11B16"/>
    <w:rsid w:val="00F11C2F"/>
    <w:rsid w:val="00F11DA1"/>
    <w:rsid w:val="00F11DFF"/>
    <w:rsid w:val="00F1208D"/>
    <w:rsid w:val="00F12150"/>
    <w:rsid w:val="00F12164"/>
    <w:rsid w:val="00F1219F"/>
    <w:rsid w:val="00F122D1"/>
    <w:rsid w:val="00F1232B"/>
    <w:rsid w:val="00F1233F"/>
    <w:rsid w:val="00F12343"/>
    <w:rsid w:val="00F123A3"/>
    <w:rsid w:val="00F12462"/>
    <w:rsid w:val="00F12478"/>
    <w:rsid w:val="00F124B5"/>
    <w:rsid w:val="00F124C3"/>
    <w:rsid w:val="00F12540"/>
    <w:rsid w:val="00F1258A"/>
    <w:rsid w:val="00F125F2"/>
    <w:rsid w:val="00F12665"/>
    <w:rsid w:val="00F126F0"/>
    <w:rsid w:val="00F1270B"/>
    <w:rsid w:val="00F127BF"/>
    <w:rsid w:val="00F12800"/>
    <w:rsid w:val="00F12806"/>
    <w:rsid w:val="00F12A03"/>
    <w:rsid w:val="00F12A32"/>
    <w:rsid w:val="00F12A72"/>
    <w:rsid w:val="00F12B1A"/>
    <w:rsid w:val="00F12B5D"/>
    <w:rsid w:val="00F12BC2"/>
    <w:rsid w:val="00F12D49"/>
    <w:rsid w:val="00F12E16"/>
    <w:rsid w:val="00F12E9F"/>
    <w:rsid w:val="00F12EA8"/>
    <w:rsid w:val="00F12F11"/>
    <w:rsid w:val="00F12F6A"/>
    <w:rsid w:val="00F13058"/>
    <w:rsid w:val="00F1305C"/>
    <w:rsid w:val="00F1310F"/>
    <w:rsid w:val="00F13146"/>
    <w:rsid w:val="00F13199"/>
    <w:rsid w:val="00F131CB"/>
    <w:rsid w:val="00F13204"/>
    <w:rsid w:val="00F13238"/>
    <w:rsid w:val="00F13255"/>
    <w:rsid w:val="00F13289"/>
    <w:rsid w:val="00F13503"/>
    <w:rsid w:val="00F135D0"/>
    <w:rsid w:val="00F1362D"/>
    <w:rsid w:val="00F13670"/>
    <w:rsid w:val="00F1371D"/>
    <w:rsid w:val="00F13743"/>
    <w:rsid w:val="00F13769"/>
    <w:rsid w:val="00F1381B"/>
    <w:rsid w:val="00F13980"/>
    <w:rsid w:val="00F139E8"/>
    <w:rsid w:val="00F139F6"/>
    <w:rsid w:val="00F13A22"/>
    <w:rsid w:val="00F13AA3"/>
    <w:rsid w:val="00F13AB7"/>
    <w:rsid w:val="00F13ADD"/>
    <w:rsid w:val="00F13BFC"/>
    <w:rsid w:val="00F13C10"/>
    <w:rsid w:val="00F13C9B"/>
    <w:rsid w:val="00F13DA4"/>
    <w:rsid w:val="00F13DF1"/>
    <w:rsid w:val="00F13EE5"/>
    <w:rsid w:val="00F13FCD"/>
    <w:rsid w:val="00F1405C"/>
    <w:rsid w:val="00F140A3"/>
    <w:rsid w:val="00F140C6"/>
    <w:rsid w:val="00F140C8"/>
    <w:rsid w:val="00F14162"/>
    <w:rsid w:val="00F14167"/>
    <w:rsid w:val="00F14276"/>
    <w:rsid w:val="00F14363"/>
    <w:rsid w:val="00F1438E"/>
    <w:rsid w:val="00F14424"/>
    <w:rsid w:val="00F14441"/>
    <w:rsid w:val="00F1448A"/>
    <w:rsid w:val="00F144C9"/>
    <w:rsid w:val="00F145D9"/>
    <w:rsid w:val="00F1478B"/>
    <w:rsid w:val="00F14801"/>
    <w:rsid w:val="00F1489F"/>
    <w:rsid w:val="00F148D1"/>
    <w:rsid w:val="00F1494A"/>
    <w:rsid w:val="00F14962"/>
    <w:rsid w:val="00F14A64"/>
    <w:rsid w:val="00F14A80"/>
    <w:rsid w:val="00F14A9F"/>
    <w:rsid w:val="00F14AFF"/>
    <w:rsid w:val="00F14BAC"/>
    <w:rsid w:val="00F14C2C"/>
    <w:rsid w:val="00F14C3C"/>
    <w:rsid w:val="00F14C8C"/>
    <w:rsid w:val="00F14CF0"/>
    <w:rsid w:val="00F14D46"/>
    <w:rsid w:val="00F14D72"/>
    <w:rsid w:val="00F14E42"/>
    <w:rsid w:val="00F14E57"/>
    <w:rsid w:val="00F14EAC"/>
    <w:rsid w:val="00F14F07"/>
    <w:rsid w:val="00F14F59"/>
    <w:rsid w:val="00F151E3"/>
    <w:rsid w:val="00F1520A"/>
    <w:rsid w:val="00F15288"/>
    <w:rsid w:val="00F1544E"/>
    <w:rsid w:val="00F15455"/>
    <w:rsid w:val="00F15467"/>
    <w:rsid w:val="00F15532"/>
    <w:rsid w:val="00F155E0"/>
    <w:rsid w:val="00F1564B"/>
    <w:rsid w:val="00F15681"/>
    <w:rsid w:val="00F156B2"/>
    <w:rsid w:val="00F157CB"/>
    <w:rsid w:val="00F15805"/>
    <w:rsid w:val="00F1589D"/>
    <w:rsid w:val="00F15916"/>
    <w:rsid w:val="00F15961"/>
    <w:rsid w:val="00F159FD"/>
    <w:rsid w:val="00F15BF8"/>
    <w:rsid w:val="00F15C07"/>
    <w:rsid w:val="00F15C28"/>
    <w:rsid w:val="00F15CB7"/>
    <w:rsid w:val="00F15DBA"/>
    <w:rsid w:val="00F15DD0"/>
    <w:rsid w:val="00F15EB7"/>
    <w:rsid w:val="00F15EED"/>
    <w:rsid w:val="00F1602D"/>
    <w:rsid w:val="00F16068"/>
    <w:rsid w:val="00F161C7"/>
    <w:rsid w:val="00F16279"/>
    <w:rsid w:val="00F162A2"/>
    <w:rsid w:val="00F162BF"/>
    <w:rsid w:val="00F162EF"/>
    <w:rsid w:val="00F16353"/>
    <w:rsid w:val="00F16363"/>
    <w:rsid w:val="00F16404"/>
    <w:rsid w:val="00F16411"/>
    <w:rsid w:val="00F164F6"/>
    <w:rsid w:val="00F16585"/>
    <w:rsid w:val="00F16701"/>
    <w:rsid w:val="00F1673C"/>
    <w:rsid w:val="00F16910"/>
    <w:rsid w:val="00F169CC"/>
    <w:rsid w:val="00F169E3"/>
    <w:rsid w:val="00F16A54"/>
    <w:rsid w:val="00F16A6B"/>
    <w:rsid w:val="00F16AC1"/>
    <w:rsid w:val="00F16C4E"/>
    <w:rsid w:val="00F16CA9"/>
    <w:rsid w:val="00F16CC7"/>
    <w:rsid w:val="00F16D3B"/>
    <w:rsid w:val="00F16D66"/>
    <w:rsid w:val="00F16DDB"/>
    <w:rsid w:val="00F16ECE"/>
    <w:rsid w:val="00F16EF1"/>
    <w:rsid w:val="00F16F29"/>
    <w:rsid w:val="00F17065"/>
    <w:rsid w:val="00F17080"/>
    <w:rsid w:val="00F170A1"/>
    <w:rsid w:val="00F170FD"/>
    <w:rsid w:val="00F1718C"/>
    <w:rsid w:val="00F17280"/>
    <w:rsid w:val="00F17548"/>
    <w:rsid w:val="00F1757A"/>
    <w:rsid w:val="00F175F7"/>
    <w:rsid w:val="00F17695"/>
    <w:rsid w:val="00F17774"/>
    <w:rsid w:val="00F177A1"/>
    <w:rsid w:val="00F178C7"/>
    <w:rsid w:val="00F17908"/>
    <w:rsid w:val="00F1790F"/>
    <w:rsid w:val="00F17BCF"/>
    <w:rsid w:val="00F17DC7"/>
    <w:rsid w:val="00F17E5F"/>
    <w:rsid w:val="00F17EA0"/>
    <w:rsid w:val="00F17EB0"/>
    <w:rsid w:val="00F17ED4"/>
    <w:rsid w:val="00F17F33"/>
    <w:rsid w:val="00F17F5D"/>
    <w:rsid w:val="00F2007A"/>
    <w:rsid w:val="00F2009B"/>
    <w:rsid w:val="00F201D8"/>
    <w:rsid w:val="00F20256"/>
    <w:rsid w:val="00F20260"/>
    <w:rsid w:val="00F202AF"/>
    <w:rsid w:val="00F202F4"/>
    <w:rsid w:val="00F2030B"/>
    <w:rsid w:val="00F20363"/>
    <w:rsid w:val="00F20379"/>
    <w:rsid w:val="00F2058F"/>
    <w:rsid w:val="00F206D6"/>
    <w:rsid w:val="00F206F1"/>
    <w:rsid w:val="00F206FA"/>
    <w:rsid w:val="00F207AE"/>
    <w:rsid w:val="00F207D5"/>
    <w:rsid w:val="00F20902"/>
    <w:rsid w:val="00F20931"/>
    <w:rsid w:val="00F20993"/>
    <w:rsid w:val="00F20ACE"/>
    <w:rsid w:val="00F20AD1"/>
    <w:rsid w:val="00F20AE5"/>
    <w:rsid w:val="00F20C79"/>
    <w:rsid w:val="00F20DF8"/>
    <w:rsid w:val="00F20E51"/>
    <w:rsid w:val="00F20E78"/>
    <w:rsid w:val="00F20EDC"/>
    <w:rsid w:val="00F21059"/>
    <w:rsid w:val="00F210CE"/>
    <w:rsid w:val="00F21139"/>
    <w:rsid w:val="00F211DD"/>
    <w:rsid w:val="00F211F5"/>
    <w:rsid w:val="00F21340"/>
    <w:rsid w:val="00F21434"/>
    <w:rsid w:val="00F2149C"/>
    <w:rsid w:val="00F21561"/>
    <w:rsid w:val="00F21587"/>
    <w:rsid w:val="00F21590"/>
    <w:rsid w:val="00F2160F"/>
    <w:rsid w:val="00F21735"/>
    <w:rsid w:val="00F21762"/>
    <w:rsid w:val="00F217AA"/>
    <w:rsid w:val="00F21854"/>
    <w:rsid w:val="00F21859"/>
    <w:rsid w:val="00F21917"/>
    <w:rsid w:val="00F21AA0"/>
    <w:rsid w:val="00F21B71"/>
    <w:rsid w:val="00F21BE1"/>
    <w:rsid w:val="00F21C92"/>
    <w:rsid w:val="00F21CA2"/>
    <w:rsid w:val="00F21D7D"/>
    <w:rsid w:val="00F21DAA"/>
    <w:rsid w:val="00F21E62"/>
    <w:rsid w:val="00F21ED7"/>
    <w:rsid w:val="00F22037"/>
    <w:rsid w:val="00F22135"/>
    <w:rsid w:val="00F22166"/>
    <w:rsid w:val="00F221FB"/>
    <w:rsid w:val="00F22271"/>
    <w:rsid w:val="00F22290"/>
    <w:rsid w:val="00F222A1"/>
    <w:rsid w:val="00F2230F"/>
    <w:rsid w:val="00F2237D"/>
    <w:rsid w:val="00F223F8"/>
    <w:rsid w:val="00F226A7"/>
    <w:rsid w:val="00F226B2"/>
    <w:rsid w:val="00F226CF"/>
    <w:rsid w:val="00F22702"/>
    <w:rsid w:val="00F22748"/>
    <w:rsid w:val="00F22765"/>
    <w:rsid w:val="00F22860"/>
    <w:rsid w:val="00F228C0"/>
    <w:rsid w:val="00F2290F"/>
    <w:rsid w:val="00F22AB7"/>
    <w:rsid w:val="00F22ABE"/>
    <w:rsid w:val="00F22AE2"/>
    <w:rsid w:val="00F22B00"/>
    <w:rsid w:val="00F22BA0"/>
    <w:rsid w:val="00F22BB1"/>
    <w:rsid w:val="00F22C3F"/>
    <w:rsid w:val="00F22D61"/>
    <w:rsid w:val="00F22D79"/>
    <w:rsid w:val="00F22F44"/>
    <w:rsid w:val="00F23089"/>
    <w:rsid w:val="00F230A4"/>
    <w:rsid w:val="00F230DF"/>
    <w:rsid w:val="00F230F8"/>
    <w:rsid w:val="00F231EA"/>
    <w:rsid w:val="00F2338A"/>
    <w:rsid w:val="00F2346B"/>
    <w:rsid w:val="00F23477"/>
    <w:rsid w:val="00F23479"/>
    <w:rsid w:val="00F234C3"/>
    <w:rsid w:val="00F234EF"/>
    <w:rsid w:val="00F235CC"/>
    <w:rsid w:val="00F23689"/>
    <w:rsid w:val="00F23788"/>
    <w:rsid w:val="00F23882"/>
    <w:rsid w:val="00F2397D"/>
    <w:rsid w:val="00F239AE"/>
    <w:rsid w:val="00F239D8"/>
    <w:rsid w:val="00F23A2E"/>
    <w:rsid w:val="00F23AA8"/>
    <w:rsid w:val="00F23B40"/>
    <w:rsid w:val="00F23B62"/>
    <w:rsid w:val="00F23B78"/>
    <w:rsid w:val="00F23B79"/>
    <w:rsid w:val="00F23BD1"/>
    <w:rsid w:val="00F23DEE"/>
    <w:rsid w:val="00F23E1E"/>
    <w:rsid w:val="00F23E40"/>
    <w:rsid w:val="00F23EE1"/>
    <w:rsid w:val="00F23EED"/>
    <w:rsid w:val="00F23F78"/>
    <w:rsid w:val="00F23FDB"/>
    <w:rsid w:val="00F24050"/>
    <w:rsid w:val="00F24147"/>
    <w:rsid w:val="00F24194"/>
    <w:rsid w:val="00F2428A"/>
    <w:rsid w:val="00F242F7"/>
    <w:rsid w:val="00F24395"/>
    <w:rsid w:val="00F2441A"/>
    <w:rsid w:val="00F2449D"/>
    <w:rsid w:val="00F245C6"/>
    <w:rsid w:val="00F245CC"/>
    <w:rsid w:val="00F246F0"/>
    <w:rsid w:val="00F2475C"/>
    <w:rsid w:val="00F24813"/>
    <w:rsid w:val="00F24866"/>
    <w:rsid w:val="00F24891"/>
    <w:rsid w:val="00F24930"/>
    <w:rsid w:val="00F24976"/>
    <w:rsid w:val="00F249AB"/>
    <w:rsid w:val="00F249B3"/>
    <w:rsid w:val="00F24A8A"/>
    <w:rsid w:val="00F24BA1"/>
    <w:rsid w:val="00F24CD9"/>
    <w:rsid w:val="00F24DB0"/>
    <w:rsid w:val="00F24E3B"/>
    <w:rsid w:val="00F24F40"/>
    <w:rsid w:val="00F24FB3"/>
    <w:rsid w:val="00F25001"/>
    <w:rsid w:val="00F2512D"/>
    <w:rsid w:val="00F2513C"/>
    <w:rsid w:val="00F2529E"/>
    <w:rsid w:val="00F252DA"/>
    <w:rsid w:val="00F252F5"/>
    <w:rsid w:val="00F2530D"/>
    <w:rsid w:val="00F25465"/>
    <w:rsid w:val="00F25466"/>
    <w:rsid w:val="00F25505"/>
    <w:rsid w:val="00F25515"/>
    <w:rsid w:val="00F2556D"/>
    <w:rsid w:val="00F25575"/>
    <w:rsid w:val="00F255A5"/>
    <w:rsid w:val="00F25615"/>
    <w:rsid w:val="00F2569E"/>
    <w:rsid w:val="00F25733"/>
    <w:rsid w:val="00F257A1"/>
    <w:rsid w:val="00F257CB"/>
    <w:rsid w:val="00F25943"/>
    <w:rsid w:val="00F2598A"/>
    <w:rsid w:val="00F25A97"/>
    <w:rsid w:val="00F25B12"/>
    <w:rsid w:val="00F25B7B"/>
    <w:rsid w:val="00F25C64"/>
    <w:rsid w:val="00F25C94"/>
    <w:rsid w:val="00F25C9B"/>
    <w:rsid w:val="00F25CD2"/>
    <w:rsid w:val="00F25D11"/>
    <w:rsid w:val="00F25D1C"/>
    <w:rsid w:val="00F25DBC"/>
    <w:rsid w:val="00F25E26"/>
    <w:rsid w:val="00F25ECF"/>
    <w:rsid w:val="00F25F75"/>
    <w:rsid w:val="00F25F85"/>
    <w:rsid w:val="00F2601E"/>
    <w:rsid w:val="00F2604C"/>
    <w:rsid w:val="00F26091"/>
    <w:rsid w:val="00F260AB"/>
    <w:rsid w:val="00F260BD"/>
    <w:rsid w:val="00F260C7"/>
    <w:rsid w:val="00F26112"/>
    <w:rsid w:val="00F261D5"/>
    <w:rsid w:val="00F2623A"/>
    <w:rsid w:val="00F26293"/>
    <w:rsid w:val="00F2635F"/>
    <w:rsid w:val="00F264D6"/>
    <w:rsid w:val="00F26562"/>
    <w:rsid w:val="00F2663E"/>
    <w:rsid w:val="00F26645"/>
    <w:rsid w:val="00F2666E"/>
    <w:rsid w:val="00F26681"/>
    <w:rsid w:val="00F266CF"/>
    <w:rsid w:val="00F26734"/>
    <w:rsid w:val="00F267E4"/>
    <w:rsid w:val="00F268B6"/>
    <w:rsid w:val="00F268E6"/>
    <w:rsid w:val="00F26901"/>
    <w:rsid w:val="00F26923"/>
    <w:rsid w:val="00F26A83"/>
    <w:rsid w:val="00F26AF6"/>
    <w:rsid w:val="00F26C68"/>
    <w:rsid w:val="00F26C76"/>
    <w:rsid w:val="00F26D22"/>
    <w:rsid w:val="00F26D8C"/>
    <w:rsid w:val="00F26DF6"/>
    <w:rsid w:val="00F26E13"/>
    <w:rsid w:val="00F26E18"/>
    <w:rsid w:val="00F26E71"/>
    <w:rsid w:val="00F26E7B"/>
    <w:rsid w:val="00F26EC5"/>
    <w:rsid w:val="00F26EEE"/>
    <w:rsid w:val="00F27033"/>
    <w:rsid w:val="00F27036"/>
    <w:rsid w:val="00F27060"/>
    <w:rsid w:val="00F270F4"/>
    <w:rsid w:val="00F271A5"/>
    <w:rsid w:val="00F27331"/>
    <w:rsid w:val="00F27364"/>
    <w:rsid w:val="00F2740B"/>
    <w:rsid w:val="00F2743D"/>
    <w:rsid w:val="00F27444"/>
    <w:rsid w:val="00F274B8"/>
    <w:rsid w:val="00F27560"/>
    <w:rsid w:val="00F276F7"/>
    <w:rsid w:val="00F2789F"/>
    <w:rsid w:val="00F278D1"/>
    <w:rsid w:val="00F27974"/>
    <w:rsid w:val="00F279A4"/>
    <w:rsid w:val="00F27A52"/>
    <w:rsid w:val="00F27B79"/>
    <w:rsid w:val="00F27C1E"/>
    <w:rsid w:val="00F27C54"/>
    <w:rsid w:val="00F27C71"/>
    <w:rsid w:val="00F27D96"/>
    <w:rsid w:val="00F27DC1"/>
    <w:rsid w:val="00F27ECE"/>
    <w:rsid w:val="00F27EF9"/>
    <w:rsid w:val="00F30047"/>
    <w:rsid w:val="00F3013A"/>
    <w:rsid w:val="00F30213"/>
    <w:rsid w:val="00F30230"/>
    <w:rsid w:val="00F30276"/>
    <w:rsid w:val="00F30363"/>
    <w:rsid w:val="00F3057D"/>
    <w:rsid w:val="00F30584"/>
    <w:rsid w:val="00F3077C"/>
    <w:rsid w:val="00F307EE"/>
    <w:rsid w:val="00F3097E"/>
    <w:rsid w:val="00F30A74"/>
    <w:rsid w:val="00F30B1A"/>
    <w:rsid w:val="00F30BA8"/>
    <w:rsid w:val="00F30BE1"/>
    <w:rsid w:val="00F30CAB"/>
    <w:rsid w:val="00F30CAF"/>
    <w:rsid w:val="00F30CC6"/>
    <w:rsid w:val="00F30D12"/>
    <w:rsid w:val="00F30D34"/>
    <w:rsid w:val="00F30D64"/>
    <w:rsid w:val="00F30E2F"/>
    <w:rsid w:val="00F30EE7"/>
    <w:rsid w:val="00F30F44"/>
    <w:rsid w:val="00F30FA6"/>
    <w:rsid w:val="00F31047"/>
    <w:rsid w:val="00F3104D"/>
    <w:rsid w:val="00F310D7"/>
    <w:rsid w:val="00F311B8"/>
    <w:rsid w:val="00F311FF"/>
    <w:rsid w:val="00F3121F"/>
    <w:rsid w:val="00F31249"/>
    <w:rsid w:val="00F31293"/>
    <w:rsid w:val="00F312AD"/>
    <w:rsid w:val="00F3135A"/>
    <w:rsid w:val="00F313C3"/>
    <w:rsid w:val="00F313DD"/>
    <w:rsid w:val="00F314A5"/>
    <w:rsid w:val="00F31516"/>
    <w:rsid w:val="00F3154C"/>
    <w:rsid w:val="00F31600"/>
    <w:rsid w:val="00F31797"/>
    <w:rsid w:val="00F317FD"/>
    <w:rsid w:val="00F3183B"/>
    <w:rsid w:val="00F3188E"/>
    <w:rsid w:val="00F319A1"/>
    <w:rsid w:val="00F31A05"/>
    <w:rsid w:val="00F31A34"/>
    <w:rsid w:val="00F31A67"/>
    <w:rsid w:val="00F31C1E"/>
    <w:rsid w:val="00F31C42"/>
    <w:rsid w:val="00F31C6F"/>
    <w:rsid w:val="00F31CCF"/>
    <w:rsid w:val="00F31D79"/>
    <w:rsid w:val="00F31DEE"/>
    <w:rsid w:val="00F31EE4"/>
    <w:rsid w:val="00F31F20"/>
    <w:rsid w:val="00F31F8D"/>
    <w:rsid w:val="00F31FDE"/>
    <w:rsid w:val="00F32080"/>
    <w:rsid w:val="00F32175"/>
    <w:rsid w:val="00F322D0"/>
    <w:rsid w:val="00F322F5"/>
    <w:rsid w:val="00F32338"/>
    <w:rsid w:val="00F32359"/>
    <w:rsid w:val="00F3239F"/>
    <w:rsid w:val="00F323DA"/>
    <w:rsid w:val="00F32534"/>
    <w:rsid w:val="00F3257A"/>
    <w:rsid w:val="00F32617"/>
    <w:rsid w:val="00F3265B"/>
    <w:rsid w:val="00F3269C"/>
    <w:rsid w:val="00F326B3"/>
    <w:rsid w:val="00F3271D"/>
    <w:rsid w:val="00F32825"/>
    <w:rsid w:val="00F328E1"/>
    <w:rsid w:val="00F3296A"/>
    <w:rsid w:val="00F329CB"/>
    <w:rsid w:val="00F32A15"/>
    <w:rsid w:val="00F32AF4"/>
    <w:rsid w:val="00F32BFB"/>
    <w:rsid w:val="00F32C8B"/>
    <w:rsid w:val="00F32D7D"/>
    <w:rsid w:val="00F32E0F"/>
    <w:rsid w:val="00F33136"/>
    <w:rsid w:val="00F3321B"/>
    <w:rsid w:val="00F333CF"/>
    <w:rsid w:val="00F3341F"/>
    <w:rsid w:val="00F33701"/>
    <w:rsid w:val="00F3374C"/>
    <w:rsid w:val="00F3378A"/>
    <w:rsid w:val="00F33801"/>
    <w:rsid w:val="00F3383E"/>
    <w:rsid w:val="00F33916"/>
    <w:rsid w:val="00F33A39"/>
    <w:rsid w:val="00F33B92"/>
    <w:rsid w:val="00F33BBB"/>
    <w:rsid w:val="00F33BE9"/>
    <w:rsid w:val="00F33C7C"/>
    <w:rsid w:val="00F33CFF"/>
    <w:rsid w:val="00F33D56"/>
    <w:rsid w:val="00F33E0E"/>
    <w:rsid w:val="00F33E6C"/>
    <w:rsid w:val="00F33F34"/>
    <w:rsid w:val="00F33F5D"/>
    <w:rsid w:val="00F33F6A"/>
    <w:rsid w:val="00F3401C"/>
    <w:rsid w:val="00F340E7"/>
    <w:rsid w:val="00F340F5"/>
    <w:rsid w:val="00F3417F"/>
    <w:rsid w:val="00F342C9"/>
    <w:rsid w:val="00F3432D"/>
    <w:rsid w:val="00F34372"/>
    <w:rsid w:val="00F34385"/>
    <w:rsid w:val="00F344DF"/>
    <w:rsid w:val="00F34560"/>
    <w:rsid w:val="00F345EF"/>
    <w:rsid w:val="00F3461F"/>
    <w:rsid w:val="00F34631"/>
    <w:rsid w:val="00F34842"/>
    <w:rsid w:val="00F34903"/>
    <w:rsid w:val="00F3492C"/>
    <w:rsid w:val="00F3499D"/>
    <w:rsid w:val="00F34AA2"/>
    <w:rsid w:val="00F34AD0"/>
    <w:rsid w:val="00F34AD7"/>
    <w:rsid w:val="00F34C72"/>
    <w:rsid w:val="00F34C83"/>
    <w:rsid w:val="00F34CA8"/>
    <w:rsid w:val="00F34D6C"/>
    <w:rsid w:val="00F34D77"/>
    <w:rsid w:val="00F34DB7"/>
    <w:rsid w:val="00F34DD0"/>
    <w:rsid w:val="00F34E16"/>
    <w:rsid w:val="00F34F52"/>
    <w:rsid w:val="00F3500C"/>
    <w:rsid w:val="00F35010"/>
    <w:rsid w:val="00F3508F"/>
    <w:rsid w:val="00F350A5"/>
    <w:rsid w:val="00F350B3"/>
    <w:rsid w:val="00F35101"/>
    <w:rsid w:val="00F3516F"/>
    <w:rsid w:val="00F3519B"/>
    <w:rsid w:val="00F351FE"/>
    <w:rsid w:val="00F35280"/>
    <w:rsid w:val="00F35373"/>
    <w:rsid w:val="00F3540C"/>
    <w:rsid w:val="00F35480"/>
    <w:rsid w:val="00F3553F"/>
    <w:rsid w:val="00F3562F"/>
    <w:rsid w:val="00F3572B"/>
    <w:rsid w:val="00F35784"/>
    <w:rsid w:val="00F35794"/>
    <w:rsid w:val="00F35922"/>
    <w:rsid w:val="00F35A77"/>
    <w:rsid w:val="00F35A83"/>
    <w:rsid w:val="00F35A8F"/>
    <w:rsid w:val="00F35ABE"/>
    <w:rsid w:val="00F35AEA"/>
    <w:rsid w:val="00F35C1D"/>
    <w:rsid w:val="00F35C4B"/>
    <w:rsid w:val="00F35CA5"/>
    <w:rsid w:val="00F35D25"/>
    <w:rsid w:val="00F35ED7"/>
    <w:rsid w:val="00F35EE4"/>
    <w:rsid w:val="00F35F6E"/>
    <w:rsid w:val="00F35FA9"/>
    <w:rsid w:val="00F35FDB"/>
    <w:rsid w:val="00F35FE0"/>
    <w:rsid w:val="00F35FEB"/>
    <w:rsid w:val="00F360BF"/>
    <w:rsid w:val="00F361B2"/>
    <w:rsid w:val="00F36238"/>
    <w:rsid w:val="00F362DE"/>
    <w:rsid w:val="00F362E7"/>
    <w:rsid w:val="00F3644A"/>
    <w:rsid w:val="00F36456"/>
    <w:rsid w:val="00F3648E"/>
    <w:rsid w:val="00F36506"/>
    <w:rsid w:val="00F3652B"/>
    <w:rsid w:val="00F36537"/>
    <w:rsid w:val="00F365F9"/>
    <w:rsid w:val="00F36637"/>
    <w:rsid w:val="00F36659"/>
    <w:rsid w:val="00F36683"/>
    <w:rsid w:val="00F3668A"/>
    <w:rsid w:val="00F3669E"/>
    <w:rsid w:val="00F366E1"/>
    <w:rsid w:val="00F366EB"/>
    <w:rsid w:val="00F366EE"/>
    <w:rsid w:val="00F3671C"/>
    <w:rsid w:val="00F368DD"/>
    <w:rsid w:val="00F368FA"/>
    <w:rsid w:val="00F369A8"/>
    <w:rsid w:val="00F369D5"/>
    <w:rsid w:val="00F369FC"/>
    <w:rsid w:val="00F36ABC"/>
    <w:rsid w:val="00F36ABE"/>
    <w:rsid w:val="00F36ADA"/>
    <w:rsid w:val="00F36B33"/>
    <w:rsid w:val="00F36B71"/>
    <w:rsid w:val="00F36C0B"/>
    <w:rsid w:val="00F36D6F"/>
    <w:rsid w:val="00F36D8A"/>
    <w:rsid w:val="00F36DEE"/>
    <w:rsid w:val="00F36EF2"/>
    <w:rsid w:val="00F36F0B"/>
    <w:rsid w:val="00F36F35"/>
    <w:rsid w:val="00F36F43"/>
    <w:rsid w:val="00F370D7"/>
    <w:rsid w:val="00F370DF"/>
    <w:rsid w:val="00F37153"/>
    <w:rsid w:val="00F3716A"/>
    <w:rsid w:val="00F371AB"/>
    <w:rsid w:val="00F372B4"/>
    <w:rsid w:val="00F3731B"/>
    <w:rsid w:val="00F37325"/>
    <w:rsid w:val="00F373A4"/>
    <w:rsid w:val="00F37403"/>
    <w:rsid w:val="00F37405"/>
    <w:rsid w:val="00F3741E"/>
    <w:rsid w:val="00F376FA"/>
    <w:rsid w:val="00F37703"/>
    <w:rsid w:val="00F3771D"/>
    <w:rsid w:val="00F377E9"/>
    <w:rsid w:val="00F37823"/>
    <w:rsid w:val="00F378B2"/>
    <w:rsid w:val="00F379E6"/>
    <w:rsid w:val="00F37A19"/>
    <w:rsid w:val="00F37A81"/>
    <w:rsid w:val="00F37B46"/>
    <w:rsid w:val="00F37B7A"/>
    <w:rsid w:val="00F37D08"/>
    <w:rsid w:val="00F37DC2"/>
    <w:rsid w:val="00F37E7F"/>
    <w:rsid w:val="00F37F52"/>
    <w:rsid w:val="00F40047"/>
    <w:rsid w:val="00F400C7"/>
    <w:rsid w:val="00F40181"/>
    <w:rsid w:val="00F401C3"/>
    <w:rsid w:val="00F401C4"/>
    <w:rsid w:val="00F40268"/>
    <w:rsid w:val="00F40275"/>
    <w:rsid w:val="00F40582"/>
    <w:rsid w:val="00F406D8"/>
    <w:rsid w:val="00F40799"/>
    <w:rsid w:val="00F407B1"/>
    <w:rsid w:val="00F408BC"/>
    <w:rsid w:val="00F408E3"/>
    <w:rsid w:val="00F4090B"/>
    <w:rsid w:val="00F4093F"/>
    <w:rsid w:val="00F409CF"/>
    <w:rsid w:val="00F409F1"/>
    <w:rsid w:val="00F40A2E"/>
    <w:rsid w:val="00F40B31"/>
    <w:rsid w:val="00F40B65"/>
    <w:rsid w:val="00F40B7D"/>
    <w:rsid w:val="00F40BA7"/>
    <w:rsid w:val="00F40C63"/>
    <w:rsid w:val="00F40C71"/>
    <w:rsid w:val="00F40CC6"/>
    <w:rsid w:val="00F40D48"/>
    <w:rsid w:val="00F40DCF"/>
    <w:rsid w:val="00F40E03"/>
    <w:rsid w:val="00F40F86"/>
    <w:rsid w:val="00F41130"/>
    <w:rsid w:val="00F41183"/>
    <w:rsid w:val="00F411D5"/>
    <w:rsid w:val="00F41258"/>
    <w:rsid w:val="00F4138E"/>
    <w:rsid w:val="00F413F3"/>
    <w:rsid w:val="00F41486"/>
    <w:rsid w:val="00F415DD"/>
    <w:rsid w:val="00F41614"/>
    <w:rsid w:val="00F41688"/>
    <w:rsid w:val="00F416C3"/>
    <w:rsid w:val="00F41707"/>
    <w:rsid w:val="00F41757"/>
    <w:rsid w:val="00F41817"/>
    <w:rsid w:val="00F4188D"/>
    <w:rsid w:val="00F418F0"/>
    <w:rsid w:val="00F41926"/>
    <w:rsid w:val="00F4192D"/>
    <w:rsid w:val="00F419F2"/>
    <w:rsid w:val="00F41C11"/>
    <w:rsid w:val="00F41CB8"/>
    <w:rsid w:val="00F41CDF"/>
    <w:rsid w:val="00F41D67"/>
    <w:rsid w:val="00F41DD3"/>
    <w:rsid w:val="00F41DDB"/>
    <w:rsid w:val="00F41E33"/>
    <w:rsid w:val="00F41F3F"/>
    <w:rsid w:val="00F41FC3"/>
    <w:rsid w:val="00F41FEE"/>
    <w:rsid w:val="00F42028"/>
    <w:rsid w:val="00F42068"/>
    <w:rsid w:val="00F42135"/>
    <w:rsid w:val="00F42160"/>
    <w:rsid w:val="00F421AB"/>
    <w:rsid w:val="00F4220E"/>
    <w:rsid w:val="00F4234F"/>
    <w:rsid w:val="00F42410"/>
    <w:rsid w:val="00F424C6"/>
    <w:rsid w:val="00F424DD"/>
    <w:rsid w:val="00F42547"/>
    <w:rsid w:val="00F425E4"/>
    <w:rsid w:val="00F42617"/>
    <w:rsid w:val="00F4268F"/>
    <w:rsid w:val="00F4270B"/>
    <w:rsid w:val="00F42730"/>
    <w:rsid w:val="00F42782"/>
    <w:rsid w:val="00F4282A"/>
    <w:rsid w:val="00F4283B"/>
    <w:rsid w:val="00F4285F"/>
    <w:rsid w:val="00F4288F"/>
    <w:rsid w:val="00F42951"/>
    <w:rsid w:val="00F42973"/>
    <w:rsid w:val="00F42A46"/>
    <w:rsid w:val="00F42A7F"/>
    <w:rsid w:val="00F42A9E"/>
    <w:rsid w:val="00F42ABD"/>
    <w:rsid w:val="00F42B0B"/>
    <w:rsid w:val="00F42B5D"/>
    <w:rsid w:val="00F42B84"/>
    <w:rsid w:val="00F42BF2"/>
    <w:rsid w:val="00F42C24"/>
    <w:rsid w:val="00F42CA4"/>
    <w:rsid w:val="00F42CEB"/>
    <w:rsid w:val="00F42D52"/>
    <w:rsid w:val="00F42E99"/>
    <w:rsid w:val="00F42E9E"/>
    <w:rsid w:val="00F42F67"/>
    <w:rsid w:val="00F43141"/>
    <w:rsid w:val="00F431B3"/>
    <w:rsid w:val="00F43219"/>
    <w:rsid w:val="00F432E6"/>
    <w:rsid w:val="00F4334F"/>
    <w:rsid w:val="00F43399"/>
    <w:rsid w:val="00F4340D"/>
    <w:rsid w:val="00F43443"/>
    <w:rsid w:val="00F4344C"/>
    <w:rsid w:val="00F43549"/>
    <w:rsid w:val="00F435CF"/>
    <w:rsid w:val="00F436C8"/>
    <w:rsid w:val="00F437CC"/>
    <w:rsid w:val="00F437E0"/>
    <w:rsid w:val="00F4387A"/>
    <w:rsid w:val="00F43926"/>
    <w:rsid w:val="00F43962"/>
    <w:rsid w:val="00F4397E"/>
    <w:rsid w:val="00F43AAA"/>
    <w:rsid w:val="00F43BA9"/>
    <w:rsid w:val="00F43C33"/>
    <w:rsid w:val="00F43CBE"/>
    <w:rsid w:val="00F43CC1"/>
    <w:rsid w:val="00F43CC5"/>
    <w:rsid w:val="00F43D25"/>
    <w:rsid w:val="00F43E49"/>
    <w:rsid w:val="00F43F44"/>
    <w:rsid w:val="00F43F52"/>
    <w:rsid w:val="00F43FE7"/>
    <w:rsid w:val="00F440CE"/>
    <w:rsid w:val="00F441C0"/>
    <w:rsid w:val="00F441D5"/>
    <w:rsid w:val="00F4429A"/>
    <w:rsid w:val="00F44337"/>
    <w:rsid w:val="00F44348"/>
    <w:rsid w:val="00F443F8"/>
    <w:rsid w:val="00F44450"/>
    <w:rsid w:val="00F44520"/>
    <w:rsid w:val="00F4454A"/>
    <w:rsid w:val="00F445EA"/>
    <w:rsid w:val="00F44603"/>
    <w:rsid w:val="00F4469C"/>
    <w:rsid w:val="00F446DF"/>
    <w:rsid w:val="00F446F3"/>
    <w:rsid w:val="00F44737"/>
    <w:rsid w:val="00F44850"/>
    <w:rsid w:val="00F448AA"/>
    <w:rsid w:val="00F44901"/>
    <w:rsid w:val="00F44913"/>
    <w:rsid w:val="00F4491A"/>
    <w:rsid w:val="00F4491B"/>
    <w:rsid w:val="00F4493B"/>
    <w:rsid w:val="00F44969"/>
    <w:rsid w:val="00F44A44"/>
    <w:rsid w:val="00F44A8E"/>
    <w:rsid w:val="00F44B57"/>
    <w:rsid w:val="00F44BC9"/>
    <w:rsid w:val="00F44BFD"/>
    <w:rsid w:val="00F44C78"/>
    <w:rsid w:val="00F44CF3"/>
    <w:rsid w:val="00F44DE5"/>
    <w:rsid w:val="00F44E53"/>
    <w:rsid w:val="00F44EAD"/>
    <w:rsid w:val="00F44FFF"/>
    <w:rsid w:val="00F4515D"/>
    <w:rsid w:val="00F45250"/>
    <w:rsid w:val="00F4528A"/>
    <w:rsid w:val="00F4539D"/>
    <w:rsid w:val="00F453F3"/>
    <w:rsid w:val="00F454DE"/>
    <w:rsid w:val="00F455E4"/>
    <w:rsid w:val="00F45629"/>
    <w:rsid w:val="00F4578C"/>
    <w:rsid w:val="00F457C1"/>
    <w:rsid w:val="00F4584A"/>
    <w:rsid w:val="00F4585F"/>
    <w:rsid w:val="00F458D7"/>
    <w:rsid w:val="00F45A1C"/>
    <w:rsid w:val="00F45A30"/>
    <w:rsid w:val="00F45A8B"/>
    <w:rsid w:val="00F45B1F"/>
    <w:rsid w:val="00F45B8A"/>
    <w:rsid w:val="00F45CFA"/>
    <w:rsid w:val="00F45D36"/>
    <w:rsid w:val="00F45D41"/>
    <w:rsid w:val="00F45E32"/>
    <w:rsid w:val="00F45E84"/>
    <w:rsid w:val="00F45F16"/>
    <w:rsid w:val="00F45F1D"/>
    <w:rsid w:val="00F45FB8"/>
    <w:rsid w:val="00F45FF4"/>
    <w:rsid w:val="00F46066"/>
    <w:rsid w:val="00F460D2"/>
    <w:rsid w:val="00F46142"/>
    <w:rsid w:val="00F462C4"/>
    <w:rsid w:val="00F4641A"/>
    <w:rsid w:val="00F464E8"/>
    <w:rsid w:val="00F464FA"/>
    <w:rsid w:val="00F46583"/>
    <w:rsid w:val="00F46737"/>
    <w:rsid w:val="00F4678D"/>
    <w:rsid w:val="00F467D6"/>
    <w:rsid w:val="00F468B4"/>
    <w:rsid w:val="00F468D3"/>
    <w:rsid w:val="00F468FB"/>
    <w:rsid w:val="00F469EE"/>
    <w:rsid w:val="00F46AD3"/>
    <w:rsid w:val="00F46B66"/>
    <w:rsid w:val="00F46B76"/>
    <w:rsid w:val="00F46C4D"/>
    <w:rsid w:val="00F46CFF"/>
    <w:rsid w:val="00F46D41"/>
    <w:rsid w:val="00F46D45"/>
    <w:rsid w:val="00F46E2A"/>
    <w:rsid w:val="00F46E8B"/>
    <w:rsid w:val="00F46EAE"/>
    <w:rsid w:val="00F46F6E"/>
    <w:rsid w:val="00F46FD0"/>
    <w:rsid w:val="00F47016"/>
    <w:rsid w:val="00F47074"/>
    <w:rsid w:val="00F47101"/>
    <w:rsid w:val="00F47155"/>
    <w:rsid w:val="00F471C7"/>
    <w:rsid w:val="00F472D0"/>
    <w:rsid w:val="00F473AD"/>
    <w:rsid w:val="00F4746D"/>
    <w:rsid w:val="00F474E3"/>
    <w:rsid w:val="00F475C1"/>
    <w:rsid w:val="00F475E5"/>
    <w:rsid w:val="00F475EE"/>
    <w:rsid w:val="00F476C1"/>
    <w:rsid w:val="00F476CF"/>
    <w:rsid w:val="00F476DB"/>
    <w:rsid w:val="00F476E7"/>
    <w:rsid w:val="00F476F7"/>
    <w:rsid w:val="00F47741"/>
    <w:rsid w:val="00F47873"/>
    <w:rsid w:val="00F47982"/>
    <w:rsid w:val="00F47B84"/>
    <w:rsid w:val="00F47CC0"/>
    <w:rsid w:val="00F47CC3"/>
    <w:rsid w:val="00F47D6B"/>
    <w:rsid w:val="00F47D93"/>
    <w:rsid w:val="00F47E6D"/>
    <w:rsid w:val="00F47F5B"/>
    <w:rsid w:val="00F47FBB"/>
    <w:rsid w:val="00F47FF7"/>
    <w:rsid w:val="00F5005C"/>
    <w:rsid w:val="00F501F7"/>
    <w:rsid w:val="00F501FA"/>
    <w:rsid w:val="00F502D4"/>
    <w:rsid w:val="00F502E1"/>
    <w:rsid w:val="00F502E6"/>
    <w:rsid w:val="00F50360"/>
    <w:rsid w:val="00F50369"/>
    <w:rsid w:val="00F503B0"/>
    <w:rsid w:val="00F503F2"/>
    <w:rsid w:val="00F50447"/>
    <w:rsid w:val="00F50538"/>
    <w:rsid w:val="00F505F8"/>
    <w:rsid w:val="00F50610"/>
    <w:rsid w:val="00F50642"/>
    <w:rsid w:val="00F50678"/>
    <w:rsid w:val="00F506B1"/>
    <w:rsid w:val="00F506B8"/>
    <w:rsid w:val="00F508C1"/>
    <w:rsid w:val="00F50936"/>
    <w:rsid w:val="00F50986"/>
    <w:rsid w:val="00F50B10"/>
    <w:rsid w:val="00F50B2A"/>
    <w:rsid w:val="00F50B5C"/>
    <w:rsid w:val="00F50BA2"/>
    <w:rsid w:val="00F50CBF"/>
    <w:rsid w:val="00F50D0A"/>
    <w:rsid w:val="00F50D3C"/>
    <w:rsid w:val="00F50D4E"/>
    <w:rsid w:val="00F50D79"/>
    <w:rsid w:val="00F50E93"/>
    <w:rsid w:val="00F50F76"/>
    <w:rsid w:val="00F50FBF"/>
    <w:rsid w:val="00F510A3"/>
    <w:rsid w:val="00F510CF"/>
    <w:rsid w:val="00F5126A"/>
    <w:rsid w:val="00F512B6"/>
    <w:rsid w:val="00F512CE"/>
    <w:rsid w:val="00F51312"/>
    <w:rsid w:val="00F51343"/>
    <w:rsid w:val="00F513A1"/>
    <w:rsid w:val="00F513F5"/>
    <w:rsid w:val="00F5146E"/>
    <w:rsid w:val="00F51522"/>
    <w:rsid w:val="00F51599"/>
    <w:rsid w:val="00F51663"/>
    <w:rsid w:val="00F516F3"/>
    <w:rsid w:val="00F51739"/>
    <w:rsid w:val="00F51786"/>
    <w:rsid w:val="00F517BB"/>
    <w:rsid w:val="00F517DA"/>
    <w:rsid w:val="00F51A0A"/>
    <w:rsid w:val="00F51BAD"/>
    <w:rsid w:val="00F51BB9"/>
    <w:rsid w:val="00F51D21"/>
    <w:rsid w:val="00F51D8C"/>
    <w:rsid w:val="00F51DA2"/>
    <w:rsid w:val="00F51DA9"/>
    <w:rsid w:val="00F51DF5"/>
    <w:rsid w:val="00F51EBB"/>
    <w:rsid w:val="00F51F46"/>
    <w:rsid w:val="00F5209A"/>
    <w:rsid w:val="00F5217D"/>
    <w:rsid w:val="00F522D8"/>
    <w:rsid w:val="00F5235A"/>
    <w:rsid w:val="00F5240F"/>
    <w:rsid w:val="00F52500"/>
    <w:rsid w:val="00F52570"/>
    <w:rsid w:val="00F526C8"/>
    <w:rsid w:val="00F526D9"/>
    <w:rsid w:val="00F5274F"/>
    <w:rsid w:val="00F5277A"/>
    <w:rsid w:val="00F5278B"/>
    <w:rsid w:val="00F527A9"/>
    <w:rsid w:val="00F527D5"/>
    <w:rsid w:val="00F52802"/>
    <w:rsid w:val="00F528C5"/>
    <w:rsid w:val="00F528F7"/>
    <w:rsid w:val="00F5295B"/>
    <w:rsid w:val="00F52B26"/>
    <w:rsid w:val="00F52BC8"/>
    <w:rsid w:val="00F52BDE"/>
    <w:rsid w:val="00F52BF9"/>
    <w:rsid w:val="00F52C19"/>
    <w:rsid w:val="00F52C2C"/>
    <w:rsid w:val="00F52C3B"/>
    <w:rsid w:val="00F52CC2"/>
    <w:rsid w:val="00F52DF9"/>
    <w:rsid w:val="00F52EEB"/>
    <w:rsid w:val="00F52FDB"/>
    <w:rsid w:val="00F53002"/>
    <w:rsid w:val="00F53132"/>
    <w:rsid w:val="00F531E3"/>
    <w:rsid w:val="00F531FA"/>
    <w:rsid w:val="00F531FF"/>
    <w:rsid w:val="00F53210"/>
    <w:rsid w:val="00F5323A"/>
    <w:rsid w:val="00F532CC"/>
    <w:rsid w:val="00F53326"/>
    <w:rsid w:val="00F5332E"/>
    <w:rsid w:val="00F533B2"/>
    <w:rsid w:val="00F533E2"/>
    <w:rsid w:val="00F53557"/>
    <w:rsid w:val="00F535C3"/>
    <w:rsid w:val="00F5366D"/>
    <w:rsid w:val="00F53A2C"/>
    <w:rsid w:val="00F53A5A"/>
    <w:rsid w:val="00F53BBB"/>
    <w:rsid w:val="00F53BC3"/>
    <w:rsid w:val="00F53C5F"/>
    <w:rsid w:val="00F53CC4"/>
    <w:rsid w:val="00F53D10"/>
    <w:rsid w:val="00F53DEF"/>
    <w:rsid w:val="00F53E94"/>
    <w:rsid w:val="00F53EDB"/>
    <w:rsid w:val="00F53F80"/>
    <w:rsid w:val="00F540D4"/>
    <w:rsid w:val="00F540D6"/>
    <w:rsid w:val="00F54176"/>
    <w:rsid w:val="00F5419F"/>
    <w:rsid w:val="00F541AE"/>
    <w:rsid w:val="00F5421D"/>
    <w:rsid w:val="00F54341"/>
    <w:rsid w:val="00F5442D"/>
    <w:rsid w:val="00F54482"/>
    <w:rsid w:val="00F544A3"/>
    <w:rsid w:val="00F544C4"/>
    <w:rsid w:val="00F544D0"/>
    <w:rsid w:val="00F544E8"/>
    <w:rsid w:val="00F5457A"/>
    <w:rsid w:val="00F5466D"/>
    <w:rsid w:val="00F546AE"/>
    <w:rsid w:val="00F547DE"/>
    <w:rsid w:val="00F547F9"/>
    <w:rsid w:val="00F54872"/>
    <w:rsid w:val="00F548C9"/>
    <w:rsid w:val="00F54A43"/>
    <w:rsid w:val="00F54ACA"/>
    <w:rsid w:val="00F54DD1"/>
    <w:rsid w:val="00F54E3D"/>
    <w:rsid w:val="00F54F88"/>
    <w:rsid w:val="00F5501A"/>
    <w:rsid w:val="00F55044"/>
    <w:rsid w:val="00F5520D"/>
    <w:rsid w:val="00F5525E"/>
    <w:rsid w:val="00F552EB"/>
    <w:rsid w:val="00F55350"/>
    <w:rsid w:val="00F55470"/>
    <w:rsid w:val="00F55497"/>
    <w:rsid w:val="00F554BF"/>
    <w:rsid w:val="00F554C2"/>
    <w:rsid w:val="00F55555"/>
    <w:rsid w:val="00F555FA"/>
    <w:rsid w:val="00F557CF"/>
    <w:rsid w:val="00F557DB"/>
    <w:rsid w:val="00F55920"/>
    <w:rsid w:val="00F5596B"/>
    <w:rsid w:val="00F559D8"/>
    <w:rsid w:val="00F55BAA"/>
    <w:rsid w:val="00F55C6F"/>
    <w:rsid w:val="00F55C98"/>
    <w:rsid w:val="00F55D9C"/>
    <w:rsid w:val="00F55EAA"/>
    <w:rsid w:val="00F55F01"/>
    <w:rsid w:val="00F55F6D"/>
    <w:rsid w:val="00F55F7A"/>
    <w:rsid w:val="00F56264"/>
    <w:rsid w:val="00F5627F"/>
    <w:rsid w:val="00F56305"/>
    <w:rsid w:val="00F56358"/>
    <w:rsid w:val="00F56486"/>
    <w:rsid w:val="00F564C9"/>
    <w:rsid w:val="00F56574"/>
    <w:rsid w:val="00F565C3"/>
    <w:rsid w:val="00F565DB"/>
    <w:rsid w:val="00F5661B"/>
    <w:rsid w:val="00F5673C"/>
    <w:rsid w:val="00F567DD"/>
    <w:rsid w:val="00F56807"/>
    <w:rsid w:val="00F5684B"/>
    <w:rsid w:val="00F5689D"/>
    <w:rsid w:val="00F568C8"/>
    <w:rsid w:val="00F568DC"/>
    <w:rsid w:val="00F569AE"/>
    <w:rsid w:val="00F56B35"/>
    <w:rsid w:val="00F56F0B"/>
    <w:rsid w:val="00F56F83"/>
    <w:rsid w:val="00F57023"/>
    <w:rsid w:val="00F57049"/>
    <w:rsid w:val="00F57056"/>
    <w:rsid w:val="00F5707F"/>
    <w:rsid w:val="00F570AA"/>
    <w:rsid w:val="00F5714F"/>
    <w:rsid w:val="00F5719A"/>
    <w:rsid w:val="00F571EF"/>
    <w:rsid w:val="00F5743E"/>
    <w:rsid w:val="00F57609"/>
    <w:rsid w:val="00F57657"/>
    <w:rsid w:val="00F576C5"/>
    <w:rsid w:val="00F57726"/>
    <w:rsid w:val="00F57728"/>
    <w:rsid w:val="00F5775E"/>
    <w:rsid w:val="00F57915"/>
    <w:rsid w:val="00F57949"/>
    <w:rsid w:val="00F57BAC"/>
    <w:rsid w:val="00F57BB4"/>
    <w:rsid w:val="00F57C18"/>
    <w:rsid w:val="00F57C2E"/>
    <w:rsid w:val="00F57C34"/>
    <w:rsid w:val="00F57D17"/>
    <w:rsid w:val="00F57D33"/>
    <w:rsid w:val="00F57DE5"/>
    <w:rsid w:val="00F57DFC"/>
    <w:rsid w:val="00F57E1D"/>
    <w:rsid w:val="00F57E39"/>
    <w:rsid w:val="00F57E70"/>
    <w:rsid w:val="00F57EE1"/>
    <w:rsid w:val="00F57F07"/>
    <w:rsid w:val="00F57F13"/>
    <w:rsid w:val="00F57F1A"/>
    <w:rsid w:val="00F60043"/>
    <w:rsid w:val="00F60075"/>
    <w:rsid w:val="00F600EB"/>
    <w:rsid w:val="00F60161"/>
    <w:rsid w:val="00F60183"/>
    <w:rsid w:val="00F602BA"/>
    <w:rsid w:val="00F6035B"/>
    <w:rsid w:val="00F603B6"/>
    <w:rsid w:val="00F603E1"/>
    <w:rsid w:val="00F60403"/>
    <w:rsid w:val="00F60451"/>
    <w:rsid w:val="00F6051A"/>
    <w:rsid w:val="00F60562"/>
    <w:rsid w:val="00F6068E"/>
    <w:rsid w:val="00F607B0"/>
    <w:rsid w:val="00F607DA"/>
    <w:rsid w:val="00F607F6"/>
    <w:rsid w:val="00F6083C"/>
    <w:rsid w:val="00F608BC"/>
    <w:rsid w:val="00F60917"/>
    <w:rsid w:val="00F60985"/>
    <w:rsid w:val="00F609DA"/>
    <w:rsid w:val="00F60A8A"/>
    <w:rsid w:val="00F60B31"/>
    <w:rsid w:val="00F60BDB"/>
    <w:rsid w:val="00F60C33"/>
    <w:rsid w:val="00F60D47"/>
    <w:rsid w:val="00F60D8A"/>
    <w:rsid w:val="00F60DAA"/>
    <w:rsid w:val="00F60E10"/>
    <w:rsid w:val="00F60F46"/>
    <w:rsid w:val="00F61041"/>
    <w:rsid w:val="00F6115F"/>
    <w:rsid w:val="00F61172"/>
    <w:rsid w:val="00F6118E"/>
    <w:rsid w:val="00F611D6"/>
    <w:rsid w:val="00F611E3"/>
    <w:rsid w:val="00F6120F"/>
    <w:rsid w:val="00F6124D"/>
    <w:rsid w:val="00F61265"/>
    <w:rsid w:val="00F612AC"/>
    <w:rsid w:val="00F61338"/>
    <w:rsid w:val="00F6136E"/>
    <w:rsid w:val="00F613E2"/>
    <w:rsid w:val="00F61449"/>
    <w:rsid w:val="00F6146B"/>
    <w:rsid w:val="00F61470"/>
    <w:rsid w:val="00F6152C"/>
    <w:rsid w:val="00F615B8"/>
    <w:rsid w:val="00F616B0"/>
    <w:rsid w:val="00F617A5"/>
    <w:rsid w:val="00F6184E"/>
    <w:rsid w:val="00F6186E"/>
    <w:rsid w:val="00F61886"/>
    <w:rsid w:val="00F6190C"/>
    <w:rsid w:val="00F61939"/>
    <w:rsid w:val="00F6193D"/>
    <w:rsid w:val="00F61971"/>
    <w:rsid w:val="00F619A3"/>
    <w:rsid w:val="00F619CA"/>
    <w:rsid w:val="00F619CF"/>
    <w:rsid w:val="00F61A93"/>
    <w:rsid w:val="00F61AB1"/>
    <w:rsid w:val="00F61AC7"/>
    <w:rsid w:val="00F61B40"/>
    <w:rsid w:val="00F61B4A"/>
    <w:rsid w:val="00F61CB1"/>
    <w:rsid w:val="00F61CF3"/>
    <w:rsid w:val="00F61DC5"/>
    <w:rsid w:val="00F61E81"/>
    <w:rsid w:val="00F61EB9"/>
    <w:rsid w:val="00F61EF6"/>
    <w:rsid w:val="00F61F36"/>
    <w:rsid w:val="00F6205A"/>
    <w:rsid w:val="00F6212D"/>
    <w:rsid w:val="00F621BA"/>
    <w:rsid w:val="00F6229A"/>
    <w:rsid w:val="00F6230B"/>
    <w:rsid w:val="00F6247F"/>
    <w:rsid w:val="00F62497"/>
    <w:rsid w:val="00F625DC"/>
    <w:rsid w:val="00F6266D"/>
    <w:rsid w:val="00F626D0"/>
    <w:rsid w:val="00F6273C"/>
    <w:rsid w:val="00F62887"/>
    <w:rsid w:val="00F62913"/>
    <w:rsid w:val="00F62918"/>
    <w:rsid w:val="00F629A9"/>
    <w:rsid w:val="00F629AF"/>
    <w:rsid w:val="00F62A4A"/>
    <w:rsid w:val="00F62A60"/>
    <w:rsid w:val="00F62B05"/>
    <w:rsid w:val="00F62B10"/>
    <w:rsid w:val="00F62B53"/>
    <w:rsid w:val="00F62BA8"/>
    <w:rsid w:val="00F62C1B"/>
    <w:rsid w:val="00F62C90"/>
    <w:rsid w:val="00F62CE5"/>
    <w:rsid w:val="00F62D03"/>
    <w:rsid w:val="00F62D0C"/>
    <w:rsid w:val="00F62D2E"/>
    <w:rsid w:val="00F62D47"/>
    <w:rsid w:val="00F62DB2"/>
    <w:rsid w:val="00F62F9A"/>
    <w:rsid w:val="00F6301C"/>
    <w:rsid w:val="00F63036"/>
    <w:rsid w:val="00F63080"/>
    <w:rsid w:val="00F6308D"/>
    <w:rsid w:val="00F63098"/>
    <w:rsid w:val="00F63113"/>
    <w:rsid w:val="00F63160"/>
    <w:rsid w:val="00F6317D"/>
    <w:rsid w:val="00F6321E"/>
    <w:rsid w:val="00F63325"/>
    <w:rsid w:val="00F63385"/>
    <w:rsid w:val="00F63438"/>
    <w:rsid w:val="00F6343C"/>
    <w:rsid w:val="00F6348A"/>
    <w:rsid w:val="00F634D6"/>
    <w:rsid w:val="00F63528"/>
    <w:rsid w:val="00F63689"/>
    <w:rsid w:val="00F63703"/>
    <w:rsid w:val="00F63830"/>
    <w:rsid w:val="00F638A3"/>
    <w:rsid w:val="00F63906"/>
    <w:rsid w:val="00F63950"/>
    <w:rsid w:val="00F639D2"/>
    <w:rsid w:val="00F63B45"/>
    <w:rsid w:val="00F63DF0"/>
    <w:rsid w:val="00F63E0A"/>
    <w:rsid w:val="00F63EAE"/>
    <w:rsid w:val="00F63ECB"/>
    <w:rsid w:val="00F63EEA"/>
    <w:rsid w:val="00F64121"/>
    <w:rsid w:val="00F6412F"/>
    <w:rsid w:val="00F6413F"/>
    <w:rsid w:val="00F642CB"/>
    <w:rsid w:val="00F642D1"/>
    <w:rsid w:val="00F64389"/>
    <w:rsid w:val="00F64431"/>
    <w:rsid w:val="00F64434"/>
    <w:rsid w:val="00F64444"/>
    <w:rsid w:val="00F6446B"/>
    <w:rsid w:val="00F6449C"/>
    <w:rsid w:val="00F645C7"/>
    <w:rsid w:val="00F645DC"/>
    <w:rsid w:val="00F646EE"/>
    <w:rsid w:val="00F64702"/>
    <w:rsid w:val="00F64708"/>
    <w:rsid w:val="00F64800"/>
    <w:rsid w:val="00F64813"/>
    <w:rsid w:val="00F64854"/>
    <w:rsid w:val="00F6489E"/>
    <w:rsid w:val="00F64A73"/>
    <w:rsid w:val="00F64B80"/>
    <w:rsid w:val="00F64B8C"/>
    <w:rsid w:val="00F64C2B"/>
    <w:rsid w:val="00F64C55"/>
    <w:rsid w:val="00F64D33"/>
    <w:rsid w:val="00F64DDE"/>
    <w:rsid w:val="00F64E0C"/>
    <w:rsid w:val="00F64F4B"/>
    <w:rsid w:val="00F64F71"/>
    <w:rsid w:val="00F64FB5"/>
    <w:rsid w:val="00F64FC5"/>
    <w:rsid w:val="00F6501D"/>
    <w:rsid w:val="00F6507B"/>
    <w:rsid w:val="00F65240"/>
    <w:rsid w:val="00F65256"/>
    <w:rsid w:val="00F6528B"/>
    <w:rsid w:val="00F652BC"/>
    <w:rsid w:val="00F652D9"/>
    <w:rsid w:val="00F652ED"/>
    <w:rsid w:val="00F65313"/>
    <w:rsid w:val="00F65337"/>
    <w:rsid w:val="00F6537A"/>
    <w:rsid w:val="00F653A2"/>
    <w:rsid w:val="00F65438"/>
    <w:rsid w:val="00F655C3"/>
    <w:rsid w:val="00F65671"/>
    <w:rsid w:val="00F656B9"/>
    <w:rsid w:val="00F656BB"/>
    <w:rsid w:val="00F656E9"/>
    <w:rsid w:val="00F65792"/>
    <w:rsid w:val="00F65883"/>
    <w:rsid w:val="00F6589C"/>
    <w:rsid w:val="00F65940"/>
    <w:rsid w:val="00F65997"/>
    <w:rsid w:val="00F65A11"/>
    <w:rsid w:val="00F65AFE"/>
    <w:rsid w:val="00F65B39"/>
    <w:rsid w:val="00F65BA5"/>
    <w:rsid w:val="00F65BC7"/>
    <w:rsid w:val="00F65BDD"/>
    <w:rsid w:val="00F65E28"/>
    <w:rsid w:val="00F65E4A"/>
    <w:rsid w:val="00F65E74"/>
    <w:rsid w:val="00F65EC3"/>
    <w:rsid w:val="00F65EF3"/>
    <w:rsid w:val="00F6602B"/>
    <w:rsid w:val="00F660BD"/>
    <w:rsid w:val="00F660C3"/>
    <w:rsid w:val="00F660D0"/>
    <w:rsid w:val="00F66124"/>
    <w:rsid w:val="00F66139"/>
    <w:rsid w:val="00F6628A"/>
    <w:rsid w:val="00F66303"/>
    <w:rsid w:val="00F663E0"/>
    <w:rsid w:val="00F663EF"/>
    <w:rsid w:val="00F663F1"/>
    <w:rsid w:val="00F6646D"/>
    <w:rsid w:val="00F6648B"/>
    <w:rsid w:val="00F664BA"/>
    <w:rsid w:val="00F664D8"/>
    <w:rsid w:val="00F664F1"/>
    <w:rsid w:val="00F664F3"/>
    <w:rsid w:val="00F66533"/>
    <w:rsid w:val="00F66599"/>
    <w:rsid w:val="00F666AB"/>
    <w:rsid w:val="00F6677F"/>
    <w:rsid w:val="00F668BE"/>
    <w:rsid w:val="00F66A7B"/>
    <w:rsid w:val="00F66AAC"/>
    <w:rsid w:val="00F66AFC"/>
    <w:rsid w:val="00F66B6B"/>
    <w:rsid w:val="00F66BF3"/>
    <w:rsid w:val="00F66C09"/>
    <w:rsid w:val="00F66DA5"/>
    <w:rsid w:val="00F66DF0"/>
    <w:rsid w:val="00F66E92"/>
    <w:rsid w:val="00F66E94"/>
    <w:rsid w:val="00F66E9A"/>
    <w:rsid w:val="00F66EE5"/>
    <w:rsid w:val="00F66F03"/>
    <w:rsid w:val="00F66F32"/>
    <w:rsid w:val="00F66F6D"/>
    <w:rsid w:val="00F66FF7"/>
    <w:rsid w:val="00F67003"/>
    <w:rsid w:val="00F6702A"/>
    <w:rsid w:val="00F6702C"/>
    <w:rsid w:val="00F670AE"/>
    <w:rsid w:val="00F671D8"/>
    <w:rsid w:val="00F671EF"/>
    <w:rsid w:val="00F6724A"/>
    <w:rsid w:val="00F6724D"/>
    <w:rsid w:val="00F67293"/>
    <w:rsid w:val="00F67294"/>
    <w:rsid w:val="00F672DA"/>
    <w:rsid w:val="00F6735A"/>
    <w:rsid w:val="00F674D3"/>
    <w:rsid w:val="00F67513"/>
    <w:rsid w:val="00F67517"/>
    <w:rsid w:val="00F6758C"/>
    <w:rsid w:val="00F67674"/>
    <w:rsid w:val="00F676C8"/>
    <w:rsid w:val="00F676CF"/>
    <w:rsid w:val="00F67710"/>
    <w:rsid w:val="00F677D4"/>
    <w:rsid w:val="00F67800"/>
    <w:rsid w:val="00F6787F"/>
    <w:rsid w:val="00F678D6"/>
    <w:rsid w:val="00F67977"/>
    <w:rsid w:val="00F67AE5"/>
    <w:rsid w:val="00F67B66"/>
    <w:rsid w:val="00F67B68"/>
    <w:rsid w:val="00F67B87"/>
    <w:rsid w:val="00F67BB2"/>
    <w:rsid w:val="00F67C63"/>
    <w:rsid w:val="00F67D06"/>
    <w:rsid w:val="00F67D45"/>
    <w:rsid w:val="00F67DB8"/>
    <w:rsid w:val="00F67DC3"/>
    <w:rsid w:val="00F67E8F"/>
    <w:rsid w:val="00F67ECB"/>
    <w:rsid w:val="00F67F16"/>
    <w:rsid w:val="00F67FC3"/>
    <w:rsid w:val="00F701A3"/>
    <w:rsid w:val="00F701D7"/>
    <w:rsid w:val="00F702B3"/>
    <w:rsid w:val="00F702C2"/>
    <w:rsid w:val="00F7032F"/>
    <w:rsid w:val="00F70344"/>
    <w:rsid w:val="00F7042A"/>
    <w:rsid w:val="00F704B0"/>
    <w:rsid w:val="00F7058F"/>
    <w:rsid w:val="00F707EE"/>
    <w:rsid w:val="00F7085E"/>
    <w:rsid w:val="00F708E7"/>
    <w:rsid w:val="00F70904"/>
    <w:rsid w:val="00F70958"/>
    <w:rsid w:val="00F70992"/>
    <w:rsid w:val="00F709E0"/>
    <w:rsid w:val="00F70B18"/>
    <w:rsid w:val="00F70B26"/>
    <w:rsid w:val="00F70B2A"/>
    <w:rsid w:val="00F70CF0"/>
    <w:rsid w:val="00F70F78"/>
    <w:rsid w:val="00F71046"/>
    <w:rsid w:val="00F710DA"/>
    <w:rsid w:val="00F71252"/>
    <w:rsid w:val="00F712C3"/>
    <w:rsid w:val="00F712D3"/>
    <w:rsid w:val="00F713B6"/>
    <w:rsid w:val="00F7146F"/>
    <w:rsid w:val="00F714D8"/>
    <w:rsid w:val="00F71523"/>
    <w:rsid w:val="00F71595"/>
    <w:rsid w:val="00F7166C"/>
    <w:rsid w:val="00F71728"/>
    <w:rsid w:val="00F71858"/>
    <w:rsid w:val="00F7187A"/>
    <w:rsid w:val="00F718EC"/>
    <w:rsid w:val="00F71958"/>
    <w:rsid w:val="00F71BA9"/>
    <w:rsid w:val="00F71C88"/>
    <w:rsid w:val="00F71C93"/>
    <w:rsid w:val="00F71C96"/>
    <w:rsid w:val="00F71CC7"/>
    <w:rsid w:val="00F71D50"/>
    <w:rsid w:val="00F71D9F"/>
    <w:rsid w:val="00F71DE1"/>
    <w:rsid w:val="00F71F5F"/>
    <w:rsid w:val="00F7210D"/>
    <w:rsid w:val="00F72126"/>
    <w:rsid w:val="00F72228"/>
    <w:rsid w:val="00F722FA"/>
    <w:rsid w:val="00F723F5"/>
    <w:rsid w:val="00F7243B"/>
    <w:rsid w:val="00F72451"/>
    <w:rsid w:val="00F724CA"/>
    <w:rsid w:val="00F725B8"/>
    <w:rsid w:val="00F726CA"/>
    <w:rsid w:val="00F72753"/>
    <w:rsid w:val="00F727D8"/>
    <w:rsid w:val="00F72856"/>
    <w:rsid w:val="00F72879"/>
    <w:rsid w:val="00F728D4"/>
    <w:rsid w:val="00F72939"/>
    <w:rsid w:val="00F729A8"/>
    <w:rsid w:val="00F72A2A"/>
    <w:rsid w:val="00F72A34"/>
    <w:rsid w:val="00F72AA8"/>
    <w:rsid w:val="00F72BB4"/>
    <w:rsid w:val="00F72BC7"/>
    <w:rsid w:val="00F72C2C"/>
    <w:rsid w:val="00F72C55"/>
    <w:rsid w:val="00F72D38"/>
    <w:rsid w:val="00F72D69"/>
    <w:rsid w:val="00F72DA6"/>
    <w:rsid w:val="00F72DD1"/>
    <w:rsid w:val="00F72E19"/>
    <w:rsid w:val="00F72E75"/>
    <w:rsid w:val="00F72EDD"/>
    <w:rsid w:val="00F72EFF"/>
    <w:rsid w:val="00F72F79"/>
    <w:rsid w:val="00F73055"/>
    <w:rsid w:val="00F73155"/>
    <w:rsid w:val="00F73183"/>
    <w:rsid w:val="00F731BD"/>
    <w:rsid w:val="00F731E1"/>
    <w:rsid w:val="00F7323D"/>
    <w:rsid w:val="00F733D4"/>
    <w:rsid w:val="00F73432"/>
    <w:rsid w:val="00F73544"/>
    <w:rsid w:val="00F7380D"/>
    <w:rsid w:val="00F73997"/>
    <w:rsid w:val="00F73A74"/>
    <w:rsid w:val="00F73B5F"/>
    <w:rsid w:val="00F73BDB"/>
    <w:rsid w:val="00F73C0F"/>
    <w:rsid w:val="00F73C18"/>
    <w:rsid w:val="00F73C7E"/>
    <w:rsid w:val="00F73CD6"/>
    <w:rsid w:val="00F73E40"/>
    <w:rsid w:val="00F73E41"/>
    <w:rsid w:val="00F73E5C"/>
    <w:rsid w:val="00F73F33"/>
    <w:rsid w:val="00F73FE4"/>
    <w:rsid w:val="00F74015"/>
    <w:rsid w:val="00F74087"/>
    <w:rsid w:val="00F74101"/>
    <w:rsid w:val="00F7412C"/>
    <w:rsid w:val="00F74204"/>
    <w:rsid w:val="00F74233"/>
    <w:rsid w:val="00F74257"/>
    <w:rsid w:val="00F74323"/>
    <w:rsid w:val="00F7434C"/>
    <w:rsid w:val="00F74393"/>
    <w:rsid w:val="00F74399"/>
    <w:rsid w:val="00F743F1"/>
    <w:rsid w:val="00F74400"/>
    <w:rsid w:val="00F74566"/>
    <w:rsid w:val="00F74632"/>
    <w:rsid w:val="00F747CF"/>
    <w:rsid w:val="00F74942"/>
    <w:rsid w:val="00F74AA6"/>
    <w:rsid w:val="00F74B13"/>
    <w:rsid w:val="00F74D60"/>
    <w:rsid w:val="00F74DCB"/>
    <w:rsid w:val="00F74E15"/>
    <w:rsid w:val="00F74E1C"/>
    <w:rsid w:val="00F74E59"/>
    <w:rsid w:val="00F74EB2"/>
    <w:rsid w:val="00F74ED7"/>
    <w:rsid w:val="00F74F83"/>
    <w:rsid w:val="00F75035"/>
    <w:rsid w:val="00F750B2"/>
    <w:rsid w:val="00F7517E"/>
    <w:rsid w:val="00F751C1"/>
    <w:rsid w:val="00F75391"/>
    <w:rsid w:val="00F753EF"/>
    <w:rsid w:val="00F75435"/>
    <w:rsid w:val="00F75474"/>
    <w:rsid w:val="00F75484"/>
    <w:rsid w:val="00F754A6"/>
    <w:rsid w:val="00F755A8"/>
    <w:rsid w:val="00F756E2"/>
    <w:rsid w:val="00F756FA"/>
    <w:rsid w:val="00F7572D"/>
    <w:rsid w:val="00F75764"/>
    <w:rsid w:val="00F758CA"/>
    <w:rsid w:val="00F75927"/>
    <w:rsid w:val="00F75932"/>
    <w:rsid w:val="00F75B63"/>
    <w:rsid w:val="00F75B7C"/>
    <w:rsid w:val="00F75BEA"/>
    <w:rsid w:val="00F75BF8"/>
    <w:rsid w:val="00F75D9F"/>
    <w:rsid w:val="00F75DAD"/>
    <w:rsid w:val="00F75DEA"/>
    <w:rsid w:val="00F75E93"/>
    <w:rsid w:val="00F75F4A"/>
    <w:rsid w:val="00F76025"/>
    <w:rsid w:val="00F760B7"/>
    <w:rsid w:val="00F760BE"/>
    <w:rsid w:val="00F76125"/>
    <w:rsid w:val="00F76136"/>
    <w:rsid w:val="00F76137"/>
    <w:rsid w:val="00F761BC"/>
    <w:rsid w:val="00F761C5"/>
    <w:rsid w:val="00F7624E"/>
    <w:rsid w:val="00F762E7"/>
    <w:rsid w:val="00F76356"/>
    <w:rsid w:val="00F76375"/>
    <w:rsid w:val="00F76442"/>
    <w:rsid w:val="00F764B9"/>
    <w:rsid w:val="00F764CC"/>
    <w:rsid w:val="00F7658F"/>
    <w:rsid w:val="00F765E6"/>
    <w:rsid w:val="00F76807"/>
    <w:rsid w:val="00F76951"/>
    <w:rsid w:val="00F769D6"/>
    <w:rsid w:val="00F76A05"/>
    <w:rsid w:val="00F76ADD"/>
    <w:rsid w:val="00F76B87"/>
    <w:rsid w:val="00F76BA8"/>
    <w:rsid w:val="00F76BDC"/>
    <w:rsid w:val="00F76CE1"/>
    <w:rsid w:val="00F76DEF"/>
    <w:rsid w:val="00F76E96"/>
    <w:rsid w:val="00F76F0E"/>
    <w:rsid w:val="00F76F86"/>
    <w:rsid w:val="00F7707A"/>
    <w:rsid w:val="00F77232"/>
    <w:rsid w:val="00F7726D"/>
    <w:rsid w:val="00F772A8"/>
    <w:rsid w:val="00F772D2"/>
    <w:rsid w:val="00F77373"/>
    <w:rsid w:val="00F773C3"/>
    <w:rsid w:val="00F77462"/>
    <w:rsid w:val="00F774B0"/>
    <w:rsid w:val="00F774F0"/>
    <w:rsid w:val="00F774F6"/>
    <w:rsid w:val="00F774FC"/>
    <w:rsid w:val="00F77542"/>
    <w:rsid w:val="00F77589"/>
    <w:rsid w:val="00F77633"/>
    <w:rsid w:val="00F77788"/>
    <w:rsid w:val="00F777D9"/>
    <w:rsid w:val="00F7780A"/>
    <w:rsid w:val="00F7786C"/>
    <w:rsid w:val="00F778E0"/>
    <w:rsid w:val="00F77908"/>
    <w:rsid w:val="00F77ABB"/>
    <w:rsid w:val="00F77B19"/>
    <w:rsid w:val="00F77B26"/>
    <w:rsid w:val="00F77B69"/>
    <w:rsid w:val="00F77D67"/>
    <w:rsid w:val="00F77D86"/>
    <w:rsid w:val="00F77DFF"/>
    <w:rsid w:val="00F77E18"/>
    <w:rsid w:val="00F77E1C"/>
    <w:rsid w:val="00F77E5B"/>
    <w:rsid w:val="00F77F2D"/>
    <w:rsid w:val="00F77F99"/>
    <w:rsid w:val="00F77FB8"/>
    <w:rsid w:val="00F8001D"/>
    <w:rsid w:val="00F80069"/>
    <w:rsid w:val="00F802A5"/>
    <w:rsid w:val="00F802BE"/>
    <w:rsid w:val="00F80344"/>
    <w:rsid w:val="00F80365"/>
    <w:rsid w:val="00F804C5"/>
    <w:rsid w:val="00F805C8"/>
    <w:rsid w:val="00F806B0"/>
    <w:rsid w:val="00F80719"/>
    <w:rsid w:val="00F808BF"/>
    <w:rsid w:val="00F809C7"/>
    <w:rsid w:val="00F80AFF"/>
    <w:rsid w:val="00F80BA7"/>
    <w:rsid w:val="00F80C48"/>
    <w:rsid w:val="00F80CCD"/>
    <w:rsid w:val="00F80D9A"/>
    <w:rsid w:val="00F80DA3"/>
    <w:rsid w:val="00F80EA4"/>
    <w:rsid w:val="00F80F14"/>
    <w:rsid w:val="00F80F1C"/>
    <w:rsid w:val="00F80FA7"/>
    <w:rsid w:val="00F80FB1"/>
    <w:rsid w:val="00F80FDD"/>
    <w:rsid w:val="00F8103B"/>
    <w:rsid w:val="00F8126F"/>
    <w:rsid w:val="00F81280"/>
    <w:rsid w:val="00F81289"/>
    <w:rsid w:val="00F812FC"/>
    <w:rsid w:val="00F8145A"/>
    <w:rsid w:val="00F81484"/>
    <w:rsid w:val="00F81491"/>
    <w:rsid w:val="00F814C4"/>
    <w:rsid w:val="00F814E6"/>
    <w:rsid w:val="00F81775"/>
    <w:rsid w:val="00F8186B"/>
    <w:rsid w:val="00F81871"/>
    <w:rsid w:val="00F818A3"/>
    <w:rsid w:val="00F818D5"/>
    <w:rsid w:val="00F81951"/>
    <w:rsid w:val="00F81991"/>
    <w:rsid w:val="00F81A56"/>
    <w:rsid w:val="00F81AE2"/>
    <w:rsid w:val="00F81B86"/>
    <w:rsid w:val="00F81B88"/>
    <w:rsid w:val="00F81C6B"/>
    <w:rsid w:val="00F81D12"/>
    <w:rsid w:val="00F81DFB"/>
    <w:rsid w:val="00F81E78"/>
    <w:rsid w:val="00F81EC6"/>
    <w:rsid w:val="00F81F92"/>
    <w:rsid w:val="00F81FAA"/>
    <w:rsid w:val="00F81FED"/>
    <w:rsid w:val="00F8200F"/>
    <w:rsid w:val="00F82014"/>
    <w:rsid w:val="00F8201F"/>
    <w:rsid w:val="00F82193"/>
    <w:rsid w:val="00F82261"/>
    <w:rsid w:val="00F822FF"/>
    <w:rsid w:val="00F823C0"/>
    <w:rsid w:val="00F824D0"/>
    <w:rsid w:val="00F8255E"/>
    <w:rsid w:val="00F82599"/>
    <w:rsid w:val="00F8259A"/>
    <w:rsid w:val="00F825C1"/>
    <w:rsid w:val="00F825F7"/>
    <w:rsid w:val="00F82621"/>
    <w:rsid w:val="00F82669"/>
    <w:rsid w:val="00F8266D"/>
    <w:rsid w:val="00F8269F"/>
    <w:rsid w:val="00F828DA"/>
    <w:rsid w:val="00F82918"/>
    <w:rsid w:val="00F8293F"/>
    <w:rsid w:val="00F8298A"/>
    <w:rsid w:val="00F82996"/>
    <w:rsid w:val="00F829A3"/>
    <w:rsid w:val="00F82B02"/>
    <w:rsid w:val="00F82B13"/>
    <w:rsid w:val="00F82B44"/>
    <w:rsid w:val="00F82BB0"/>
    <w:rsid w:val="00F82C3B"/>
    <w:rsid w:val="00F82CFF"/>
    <w:rsid w:val="00F82D19"/>
    <w:rsid w:val="00F82E60"/>
    <w:rsid w:val="00F82E7F"/>
    <w:rsid w:val="00F83068"/>
    <w:rsid w:val="00F830BF"/>
    <w:rsid w:val="00F830DC"/>
    <w:rsid w:val="00F831F4"/>
    <w:rsid w:val="00F83239"/>
    <w:rsid w:val="00F83285"/>
    <w:rsid w:val="00F8328A"/>
    <w:rsid w:val="00F832B1"/>
    <w:rsid w:val="00F833CB"/>
    <w:rsid w:val="00F834B6"/>
    <w:rsid w:val="00F83604"/>
    <w:rsid w:val="00F83652"/>
    <w:rsid w:val="00F83669"/>
    <w:rsid w:val="00F836A0"/>
    <w:rsid w:val="00F8376F"/>
    <w:rsid w:val="00F837E9"/>
    <w:rsid w:val="00F8387A"/>
    <w:rsid w:val="00F83A1C"/>
    <w:rsid w:val="00F83A40"/>
    <w:rsid w:val="00F83A99"/>
    <w:rsid w:val="00F83B59"/>
    <w:rsid w:val="00F83B96"/>
    <w:rsid w:val="00F83C41"/>
    <w:rsid w:val="00F83CD3"/>
    <w:rsid w:val="00F83D1E"/>
    <w:rsid w:val="00F83D97"/>
    <w:rsid w:val="00F83DDB"/>
    <w:rsid w:val="00F83EC1"/>
    <w:rsid w:val="00F83F33"/>
    <w:rsid w:val="00F84033"/>
    <w:rsid w:val="00F84038"/>
    <w:rsid w:val="00F84053"/>
    <w:rsid w:val="00F8407A"/>
    <w:rsid w:val="00F8407F"/>
    <w:rsid w:val="00F840A2"/>
    <w:rsid w:val="00F840D8"/>
    <w:rsid w:val="00F841BE"/>
    <w:rsid w:val="00F842E2"/>
    <w:rsid w:val="00F8434E"/>
    <w:rsid w:val="00F8438F"/>
    <w:rsid w:val="00F843C0"/>
    <w:rsid w:val="00F843D5"/>
    <w:rsid w:val="00F844BD"/>
    <w:rsid w:val="00F8453C"/>
    <w:rsid w:val="00F8468C"/>
    <w:rsid w:val="00F846F7"/>
    <w:rsid w:val="00F8472E"/>
    <w:rsid w:val="00F8473C"/>
    <w:rsid w:val="00F847C7"/>
    <w:rsid w:val="00F84886"/>
    <w:rsid w:val="00F84963"/>
    <w:rsid w:val="00F84A0E"/>
    <w:rsid w:val="00F84A6E"/>
    <w:rsid w:val="00F84B96"/>
    <w:rsid w:val="00F84BED"/>
    <w:rsid w:val="00F84C86"/>
    <w:rsid w:val="00F84C9F"/>
    <w:rsid w:val="00F84CA5"/>
    <w:rsid w:val="00F84CF0"/>
    <w:rsid w:val="00F84CFF"/>
    <w:rsid w:val="00F84DB5"/>
    <w:rsid w:val="00F84E47"/>
    <w:rsid w:val="00F84F40"/>
    <w:rsid w:val="00F850EB"/>
    <w:rsid w:val="00F8547E"/>
    <w:rsid w:val="00F854F0"/>
    <w:rsid w:val="00F85607"/>
    <w:rsid w:val="00F856A0"/>
    <w:rsid w:val="00F856CE"/>
    <w:rsid w:val="00F858E7"/>
    <w:rsid w:val="00F858EB"/>
    <w:rsid w:val="00F85928"/>
    <w:rsid w:val="00F8596D"/>
    <w:rsid w:val="00F8598B"/>
    <w:rsid w:val="00F859AA"/>
    <w:rsid w:val="00F85A66"/>
    <w:rsid w:val="00F85AA8"/>
    <w:rsid w:val="00F85AAC"/>
    <w:rsid w:val="00F85AD0"/>
    <w:rsid w:val="00F85AFE"/>
    <w:rsid w:val="00F85B61"/>
    <w:rsid w:val="00F85BAB"/>
    <w:rsid w:val="00F85BC2"/>
    <w:rsid w:val="00F85BCF"/>
    <w:rsid w:val="00F85BFD"/>
    <w:rsid w:val="00F85C00"/>
    <w:rsid w:val="00F85C47"/>
    <w:rsid w:val="00F85C84"/>
    <w:rsid w:val="00F85CEA"/>
    <w:rsid w:val="00F85D55"/>
    <w:rsid w:val="00F85D74"/>
    <w:rsid w:val="00F85E2E"/>
    <w:rsid w:val="00F85E9B"/>
    <w:rsid w:val="00F85F01"/>
    <w:rsid w:val="00F85F03"/>
    <w:rsid w:val="00F85F07"/>
    <w:rsid w:val="00F85F19"/>
    <w:rsid w:val="00F85F38"/>
    <w:rsid w:val="00F85FA3"/>
    <w:rsid w:val="00F85FBC"/>
    <w:rsid w:val="00F85FCB"/>
    <w:rsid w:val="00F860B7"/>
    <w:rsid w:val="00F86106"/>
    <w:rsid w:val="00F8612A"/>
    <w:rsid w:val="00F86215"/>
    <w:rsid w:val="00F862C4"/>
    <w:rsid w:val="00F862DF"/>
    <w:rsid w:val="00F86308"/>
    <w:rsid w:val="00F8630E"/>
    <w:rsid w:val="00F8637C"/>
    <w:rsid w:val="00F8637D"/>
    <w:rsid w:val="00F8645E"/>
    <w:rsid w:val="00F864A3"/>
    <w:rsid w:val="00F864E1"/>
    <w:rsid w:val="00F86525"/>
    <w:rsid w:val="00F8652E"/>
    <w:rsid w:val="00F865AD"/>
    <w:rsid w:val="00F86662"/>
    <w:rsid w:val="00F8666B"/>
    <w:rsid w:val="00F86670"/>
    <w:rsid w:val="00F866AA"/>
    <w:rsid w:val="00F866CA"/>
    <w:rsid w:val="00F8684B"/>
    <w:rsid w:val="00F8689E"/>
    <w:rsid w:val="00F86ABF"/>
    <w:rsid w:val="00F86B1C"/>
    <w:rsid w:val="00F86B2F"/>
    <w:rsid w:val="00F86C1A"/>
    <w:rsid w:val="00F86C8D"/>
    <w:rsid w:val="00F86D1D"/>
    <w:rsid w:val="00F86D5B"/>
    <w:rsid w:val="00F86E93"/>
    <w:rsid w:val="00F86EA1"/>
    <w:rsid w:val="00F86EF0"/>
    <w:rsid w:val="00F86EF9"/>
    <w:rsid w:val="00F86F33"/>
    <w:rsid w:val="00F86F40"/>
    <w:rsid w:val="00F86F4A"/>
    <w:rsid w:val="00F86FA5"/>
    <w:rsid w:val="00F87048"/>
    <w:rsid w:val="00F87053"/>
    <w:rsid w:val="00F870BC"/>
    <w:rsid w:val="00F87107"/>
    <w:rsid w:val="00F871CF"/>
    <w:rsid w:val="00F87216"/>
    <w:rsid w:val="00F87523"/>
    <w:rsid w:val="00F87557"/>
    <w:rsid w:val="00F8764C"/>
    <w:rsid w:val="00F8764D"/>
    <w:rsid w:val="00F87680"/>
    <w:rsid w:val="00F87755"/>
    <w:rsid w:val="00F8775E"/>
    <w:rsid w:val="00F877BA"/>
    <w:rsid w:val="00F87815"/>
    <w:rsid w:val="00F8782F"/>
    <w:rsid w:val="00F87864"/>
    <w:rsid w:val="00F87885"/>
    <w:rsid w:val="00F87A0B"/>
    <w:rsid w:val="00F87A0E"/>
    <w:rsid w:val="00F87AC1"/>
    <w:rsid w:val="00F87B08"/>
    <w:rsid w:val="00F87B69"/>
    <w:rsid w:val="00F87BAB"/>
    <w:rsid w:val="00F87C1E"/>
    <w:rsid w:val="00F87C30"/>
    <w:rsid w:val="00F87C47"/>
    <w:rsid w:val="00F87D2C"/>
    <w:rsid w:val="00F87D60"/>
    <w:rsid w:val="00F87D84"/>
    <w:rsid w:val="00F87DFA"/>
    <w:rsid w:val="00F87F08"/>
    <w:rsid w:val="00F87F6F"/>
    <w:rsid w:val="00F900DE"/>
    <w:rsid w:val="00F900FA"/>
    <w:rsid w:val="00F90127"/>
    <w:rsid w:val="00F9024D"/>
    <w:rsid w:val="00F90284"/>
    <w:rsid w:val="00F902AD"/>
    <w:rsid w:val="00F902D9"/>
    <w:rsid w:val="00F903BD"/>
    <w:rsid w:val="00F903F2"/>
    <w:rsid w:val="00F903FB"/>
    <w:rsid w:val="00F904B7"/>
    <w:rsid w:val="00F9052D"/>
    <w:rsid w:val="00F905AD"/>
    <w:rsid w:val="00F90743"/>
    <w:rsid w:val="00F907B1"/>
    <w:rsid w:val="00F90800"/>
    <w:rsid w:val="00F9090B"/>
    <w:rsid w:val="00F90916"/>
    <w:rsid w:val="00F909F0"/>
    <w:rsid w:val="00F90A04"/>
    <w:rsid w:val="00F90A41"/>
    <w:rsid w:val="00F90A99"/>
    <w:rsid w:val="00F90ABC"/>
    <w:rsid w:val="00F90AC2"/>
    <w:rsid w:val="00F90BBB"/>
    <w:rsid w:val="00F90D3A"/>
    <w:rsid w:val="00F90DE4"/>
    <w:rsid w:val="00F90EAB"/>
    <w:rsid w:val="00F90F25"/>
    <w:rsid w:val="00F90F2A"/>
    <w:rsid w:val="00F91049"/>
    <w:rsid w:val="00F91063"/>
    <w:rsid w:val="00F910DF"/>
    <w:rsid w:val="00F91127"/>
    <w:rsid w:val="00F9113B"/>
    <w:rsid w:val="00F911B5"/>
    <w:rsid w:val="00F91205"/>
    <w:rsid w:val="00F912B2"/>
    <w:rsid w:val="00F912E1"/>
    <w:rsid w:val="00F912EF"/>
    <w:rsid w:val="00F912FD"/>
    <w:rsid w:val="00F9133C"/>
    <w:rsid w:val="00F9138E"/>
    <w:rsid w:val="00F9149E"/>
    <w:rsid w:val="00F914AA"/>
    <w:rsid w:val="00F914F3"/>
    <w:rsid w:val="00F91545"/>
    <w:rsid w:val="00F915BF"/>
    <w:rsid w:val="00F915ED"/>
    <w:rsid w:val="00F91667"/>
    <w:rsid w:val="00F91751"/>
    <w:rsid w:val="00F917BE"/>
    <w:rsid w:val="00F917DC"/>
    <w:rsid w:val="00F917E4"/>
    <w:rsid w:val="00F917FD"/>
    <w:rsid w:val="00F91832"/>
    <w:rsid w:val="00F91885"/>
    <w:rsid w:val="00F918C0"/>
    <w:rsid w:val="00F91954"/>
    <w:rsid w:val="00F919A1"/>
    <w:rsid w:val="00F919A4"/>
    <w:rsid w:val="00F919F6"/>
    <w:rsid w:val="00F91A53"/>
    <w:rsid w:val="00F91AB8"/>
    <w:rsid w:val="00F91AF8"/>
    <w:rsid w:val="00F91B5C"/>
    <w:rsid w:val="00F91BD0"/>
    <w:rsid w:val="00F91C0C"/>
    <w:rsid w:val="00F91C52"/>
    <w:rsid w:val="00F91C6E"/>
    <w:rsid w:val="00F91CB2"/>
    <w:rsid w:val="00F91CBB"/>
    <w:rsid w:val="00F91CF9"/>
    <w:rsid w:val="00F91D2D"/>
    <w:rsid w:val="00F91EBE"/>
    <w:rsid w:val="00F91EC5"/>
    <w:rsid w:val="00F91F02"/>
    <w:rsid w:val="00F91F6E"/>
    <w:rsid w:val="00F92023"/>
    <w:rsid w:val="00F920F9"/>
    <w:rsid w:val="00F923AA"/>
    <w:rsid w:val="00F9247C"/>
    <w:rsid w:val="00F9248E"/>
    <w:rsid w:val="00F924B9"/>
    <w:rsid w:val="00F924F2"/>
    <w:rsid w:val="00F924F9"/>
    <w:rsid w:val="00F92524"/>
    <w:rsid w:val="00F9252A"/>
    <w:rsid w:val="00F92574"/>
    <w:rsid w:val="00F925E1"/>
    <w:rsid w:val="00F92881"/>
    <w:rsid w:val="00F928BD"/>
    <w:rsid w:val="00F92996"/>
    <w:rsid w:val="00F929C0"/>
    <w:rsid w:val="00F92A4A"/>
    <w:rsid w:val="00F92ADF"/>
    <w:rsid w:val="00F92AEC"/>
    <w:rsid w:val="00F92B5D"/>
    <w:rsid w:val="00F92B86"/>
    <w:rsid w:val="00F92C01"/>
    <w:rsid w:val="00F92CB6"/>
    <w:rsid w:val="00F92CF0"/>
    <w:rsid w:val="00F92D0D"/>
    <w:rsid w:val="00F92D68"/>
    <w:rsid w:val="00F92E93"/>
    <w:rsid w:val="00F92F82"/>
    <w:rsid w:val="00F92F9A"/>
    <w:rsid w:val="00F93010"/>
    <w:rsid w:val="00F93076"/>
    <w:rsid w:val="00F93090"/>
    <w:rsid w:val="00F930BC"/>
    <w:rsid w:val="00F9311C"/>
    <w:rsid w:val="00F9315D"/>
    <w:rsid w:val="00F93220"/>
    <w:rsid w:val="00F93224"/>
    <w:rsid w:val="00F9329E"/>
    <w:rsid w:val="00F932E2"/>
    <w:rsid w:val="00F9333A"/>
    <w:rsid w:val="00F93458"/>
    <w:rsid w:val="00F934A6"/>
    <w:rsid w:val="00F934BA"/>
    <w:rsid w:val="00F934CA"/>
    <w:rsid w:val="00F93508"/>
    <w:rsid w:val="00F935F9"/>
    <w:rsid w:val="00F9365A"/>
    <w:rsid w:val="00F9366E"/>
    <w:rsid w:val="00F936B6"/>
    <w:rsid w:val="00F937DB"/>
    <w:rsid w:val="00F93961"/>
    <w:rsid w:val="00F93C78"/>
    <w:rsid w:val="00F93CB2"/>
    <w:rsid w:val="00F93CF0"/>
    <w:rsid w:val="00F93D14"/>
    <w:rsid w:val="00F93D69"/>
    <w:rsid w:val="00F93D71"/>
    <w:rsid w:val="00F93E3D"/>
    <w:rsid w:val="00F93E9D"/>
    <w:rsid w:val="00F93EF7"/>
    <w:rsid w:val="00F93FEB"/>
    <w:rsid w:val="00F94078"/>
    <w:rsid w:val="00F94114"/>
    <w:rsid w:val="00F94161"/>
    <w:rsid w:val="00F94202"/>
    <w:rsid w:val="00F9423D"/>
    <w:rsid w:val="00F94294"/>
    <w:rsid w:val="00F942E6"/>
    <w:rsid w:val="00F94356"/>
    <w:rsid w:val="00F94413"/>
    <w:rsid w:val="00F94644"/>
    <w:rsid w:val="00F9465A"/>
    <w:rsid w:val="00F946E1"/>
    <w:rsid w:val="00F94916"/>
    <w:rsid w:val="00F949FA"/>
    <w:rsid w:val="00F94A4D"/>
    <w:rsid w:val="00F94ABD"/>
    <w:rsid w:val="00F94B35"/>
    <w:rsid w:val="00F94B36"/>
    <w:rsid w:val="00F94C53"/>
    <w:rsid w:val="00F94C8C"/>
    <w:rsid w:val="00F94D0F"/>
    <w:rsid w:val="00F94D58"/>
    <w:rsid w:val="00F94DA9"/>
    <w:rsid w:val="00F94DBB"/>
    <w:rsid w:val="00F94DD1"/>
    <w:rsid w:val="00F9501E"/>
    <w:rsid w:val="00F950D7"/>
    <w:rsid w:val="00F951E5"/>
    <w:rsid w:val="00F9527F"/>
    <w:rsid w:val="00F9532A"/>
    <w:rsid w:val="00F9537C"/>
    <w:rsid w:val="00F95445"/>
    <w:rsid w:val="00F954B7"/>
    <w:rsid w:val="00F954C1"/>
    <w:rsid w:val="00F954E3"/>
    <w:rsid w:val="00F95526"/>
    <w:rsid w:val="00F956C6"/>
    <w:rsid w:val="00F956D9"/>
    <w:rsid w:val="00F95768"/>
    <w:rsid w:val="00F957D6"/>
    <w:rsid w:val="00F95841"/>
    <w:rsid w:val="00F958CD"/>
    <w:rsid w:val="00F959BD"/>
    <w:rsid w:val="00F959C1"/>
    <w:rsid w:val="00F959DC"/>
    <w:rsid w:val="00F959E6"/>
    <w:rsid w:val="00F959F5"/>
    <w:rsid w:val="00F95A31"/>
    <w:rsid w:val="00F95A97"/>
    <w:rsid w:val="00F95B03"/>
    <w:rsid w:val="00F95B26"/>
    <w:rsid w:val="00F95BF5"/>
    <w:rsid w:val="00F95C54"/>
    <w:rsid w:val="00F95C6F"/>
    <w:rsid w:val="00F95CC3"/>
    <w:rsid w:val="00F95D25"/>
    <w:rsid w:val="00F95D5A"/>
    <w:rsid w:val="00F95D61"/>
    <w:rsid w:val="00F95DFA"/>
    <w:rsid w:val="00F95EB9"/>
    <w:rsid w:val="00F95ED2"/>
    <w:rsid w:val="00F95ED4"/>
    <w:rsid w:val="00F960C1"/>
    <w:rsid w:val="00F960C4"/>
    <w:rsid w:val="00F960E2"/>
    <w:rsid w:val="00F96128"/>
    <w:rsid w:val="00F9613B"/>
    <w:rsid w:val="00F96209"/>
    <w:rsid w:val="00F96291"/>
    <w:rsid w:val="00F96349"/>
    <w:rsid w:val="00F96359"/>
    <w:rsid w:val="00F9636B"/>
    <w:rsid w:val="00F963C6"/>
    <w:rsid w:val="00F9645C"/>
    <w:rsid w:val="00F9648C"/>
    <w:rsid w:val="00F96550"/>
    <w:rsid w:val="00F965C4"/>
    <w:rsid w:val="00F966D5"/>
    <w:rsid w:val="00F96710"/>
    <w:rsid w:val="00F96788"/>
    <w:rsid w:val="00F96815"/>
    <w:rsid w:val="00F96943"/>
    <w:rsid w:val="00F96946"/>
    <w:rsid w:val="00F96AEB"/>
    <w:rsid w:val="00F96B2D"/>
    <w:rsid w:val="00F96B6C"/>
    <w:rsid w:val="00F96BF5"/>
    <w:rsid w:val="00F96C7D"/>
    <w:rsid w:val="00F96DD0"/>
    <w:rsid w:val="00F96E97"/>
    <w:rsid w:val="00F96F77"/>
    <w:rsid w:val="00F96FE5"/>
    <w:rsid w:val="00F9708A"/>
    <w:rsid w:val="00F9711E"/>
    <w:rsid w:val="00F9711F"/>
    <w:rsid w:val="00F97166"/>
    <w:rsid w:val="00F971E2"/>
    <w:rsid w:val="00F971F2"/>
    <w:rsid w:val="00F97205"/>
    <w:rsid w:val="00F9726A"/>
    <w:rsid w:val="00F972CC"/>
    <w:rsid w:val="00F972F0"/>
    <w:rsid w:val="00F9730C"/>
    <w:rsid w:val="00F97311"/>
    <w:rsid w:val="00F97385"/>
    <w:rsid w:val="00F97468"/>
    <w:rsid w:val="00F97473"/>
    <w:rsid w:val="00F9757A"/>
    <w:rsid w:val="00F975B3"/>
    <w:rsid w:val="00F975B8"/>
    <w:rsid w:val="00F975CE"/>
    <w:rsid w:val="00F97676"/>
    <w:rsid w:val="00F976C7"/>
    <w:rsid w:val="00F976D9"/>
    <w:rsid w:val="00F977F4"/>
    <w:rsid w:val="00F978A4"/>
    <w:rsid w:val="00F978B4"/>
    <w:rsid w:val="00F97A6C"/>
    <w:rsid w:val="00F97A77"/>
    <w:rsid w:val="00F97A85"/>
    <w:rsid w:val="00F97C22"/>
    <w:rsid w:val="00F97D22"/>
    <w:rsid w:val="00F97E38"/>
    <w:rsid w:val="00FA001F"/>
    <w:rsid w:val="00FA011A"/>
    <w:rsid w:val="00FA0132"/>
    <w:rsid w:val="00FA0141"/>
    <w:rsid w:val="00FA01F8"/>
    <w:rsid w:val="00FA0203"/>
    <w:rsid w:val="00FA02F3"/>
    <w:rsid w:val="00FA033E"/>
    <w:rsid w:val="00FA03A1"/>
    <w:rsid w:val="00FA040F"/>
    <w:rsid w:val="00FA057F"/>
    <w:rsid w:val="00FA05DC"/>
    <w:rsid w:val="00FA076D"/>
    <w:rsid w:val="00FA0784"/>
    <w:rsid w:val="00FA0842"/>
    <w:rsid w:val="00FA0858"/>
    <w:rsid w:val="00FA0AB9"/>
    <w:rsid w:val="00FA0AD4"/>
    <w:rsid w:val="00FA0B8F"/>
    <w:rsid w:val="00FA0BD5"/>
    <w:rsid w:val="00FA0D7D"/>
    <w:rsid w:val="00FA0F2B"/>
    <w:rsid w:val="00FA1059"/>
    <w:rsid w:val="00FA1315"/>
    <w:rsid w:val="00FA132E"/>
    <w:rsid w:val="00FA1397"/>
    <w:rsid w:val="00FA14E2"/>
    <w:rsid w:val="00FA160A"/>
    <w:rsid w:val="00FA16E2"/>
    <w:rsid w:val="00FA170E"/>
    <w:rsid w:val="00FA17F1"/>
    <w:rsid w:val="00FA1927"/>
    <w:rsid w:val="00FA196D"/>
    <w:rsid w:val="00FA1985"/>
    <w:rsid w:val="00FA1A28"/>
    <w:rsid w:val="00FA1A76"/>
    <w:rsid w:val="00FA1CF4"/>
    <w:rsid w:val="00FA1D24"/>
    <w:rsid w:val="00FA1D5F"/>
    <w:rsid w:val="00FA1D8C"/>
    <w:rsid w:val="00FA1DB3"/>
    <w:rsid w:val="00FA1E00"/>
    <w:rsid w:val="00FA1E9D"/>
    <w:rsid w:val="00FA2027"/>
    <w:rsid w:val="00FA205D"/>
    <w:rsid w:val="00FA213F"/>
    <w:rsid w:val="00FA2213"/>
    <w:rsid w:val="00FA22E4"/>
    <w:rsid w:val="00FA231E"/>
    <w:rsid w:val="00FA2335"/>
    <w:rsid w:val="00FA2347"/>
    <w:rsid w:val="00FA2354"/>
    <w:rsid w:val="00FA23D2"/>
    <w:rsid w:val="00FA2429"/>
    <w:rsid w:val="00FA24D9"/>
    <w:rsid w:val="00FA262F"/>
    <w:rsid w:val="00FA270E"/>
    <w:rsid w:val="00FA276B"/>
    <w:rsid w:val="00FA276E"/>
    <w:rsid w:val="00FA27E3"/>
    <w:rsid w:val="00FA27E7"/>
    <w:rsid w:val="00FA284C"/>
    <w:rsid w:val="00FA2852"/>
    <w:rsid w:val="00FA298E"/>
    <w:rsid w:val="00FA29DD"/>
    <w:rsid w:val="00FA2AAB"/>
    <w:rsid w:val="00FA2ACD"/>
    <w:rsid w:val="00FA2B0B"/>
    <w:rsid w:val="00FA2B0F"/>
    <w:rsid w:val="00FA2B70"/>
    <w:rsid w:val="00FA2B95"/>
    <w:rsid w:val="00FA2BB8"/>
    <w:rsid w:val="00FA2C19"/>
    <w:rsid w:val="00FA2D05"/>
    <w:rsid w:val="00FA2D21"/>
    <w:rsid w:val="00FA2DFF"/>
    <w:rsid w:val="00FA2E08"/>
    <w:rsid w:val="00FA2EE2"/>
    <w:rsid w:val="00FA2EE3"/>
    <w:rsid w:val="00FA2F26"/>
    <w:rsid w:val="00FA2F4A"/>
    <w:rsid w:val="00FA30F1"/>
    <w:rsid w:val="00FA311A"/>
    <w:rsid w:val="00FA311D"/>
    <w:rsid w:val="00FA3137"/>
    <w:rsid w:val="00FA3203"/>
    <w:rsid w:val="00FA3287"/>
    <w:rsid w:val="00FA32E4"/>
    <w:rsid w:val="00FA3459"/>
    <w:rsid w:val="00FA34A4"/>
    <w:rsid w:val="00FA34E7"/>
    <w:rsid w:val="00FA352C"/>
    <w:rsid w:val="00FA356A"/>
    <w:rsid w:val="00FA3625"/>
    <w:rsid w:val="00FA373B"/>
    <w:rsid w:val="00FA37C9"/>
    <w:rsid w:val="00FA39B6"/>
    <w:rsid w:val="00FA3A01"/>
    <w:rsid w:val="00FA3A45"/>
    <w:rsid w:val="00FA3A94"/>
    <w:rsid w:val="00FA3B63"/>
    <w:rsid w:val="00FA3B84"/>
    <w:rsid w:val="00FA3B96"/>
    <w:rsid w:val="00FA3BC9"/>
    <w:rsid w:val="00FA3D77"/>
    <w:rsid w:val="00FA3E2A"/>
    <w:rsid w:val="00FA3F72"/>
    <w:rsid w:val="00FA3F91"/>
    <w:rsid w:val="00FA4012"/>
    <w:rsid w:val="00FA4038"/>
    <w:rsid w:val="00FA4077"/>
    <w:rsid w:val="00FA40CF"/>
    <w:rsid w:val="00FA427C"/>
    <w:rsid w:val="00FA4300"/>
    <w:rsid w:val="00FA441A"/>
    <w:rsid w:val="00FA445C"/>
    <w:rsid w:val="00FA44B3"/>
    <w:rsid w:val="00FA44C3"/>
    <w:rsid w:val="00FA45C6"/>
    <w:rsid w:val="00FA45CB"/>
    <w:rsid w:val="00FA45E1"/>
    <w:rsid w:val="00FA47A1"/>
    <w:rsid w:val="00FA488A"/>
    <w:rsid w:val="00FA49B4"/>
    <w:rsid w:val="00FA4A6B"/>
    <w:rsid w:val="00FA4A8F"/>
    <w:rsid w:val="00FA4ACA"/>
    <w:rsid w:val="00FA4B93"/>
    <w:rsid w:val="00FA4C94"/>
    <w:rsid w:val="00FA4CD4"/>
    <w:rsid w:val="00FA4D82"/>
    <w:rsid w:val="00FA4DB2"/>
    <w:rsid w:val="00FA4DE1"/>
    <w:rsid w:val="00FA4E32"/>
    <w:rsid w:val="00FA4E78"/>
    <w:rsid w:val="00FA4E96"/>
    <w:rsid w:val="00FA4EC1"/>
    <w:rsid w:val="00FA50DB"/>
    <w:rsid w:val="00FA5121"/>
    <w:rsid w:val="00FA5127"/>
    <w:rsid w:val="00FA5317"/>
    <w:rsid w:val="00FA538F"/>
    <w:rsid w:val="00FA5458"/>
    <w:rsid w:val="00FA5670"/>
    <w:rsid w:val="00FA5674"/>
    <w:rsid w:val="00FA577B"/>
    <w:rsid w:val="00FA5873"/>
    <w:rsid w:val="00FA5898"/>
    <w:rsid w:val="00FA5931"/>
    <w:rsid w:val="00FA5978"/>
    <w:rsid w:val="00FA59EA"/>
    <w:rsid w:val="00FA5A44"/>
    <w:rsid w:val="00FA5B3B"/>
    <w:rsid w:val="00FA5B81"/>
    <w:rsid w:val="00FA5BCA"/>
    <w:rsid w:val="00FA5BCE"/>
    <w:rsid w:val="00FA5BFA"/>
    <w:rsid w:val="00FA5D47"/>
    <w:rsid w:val="00FA5D8C"/>
    <w:rsid w:val="00FA5F24"/>
    <w:rsid w:val="00FA5FC3"/>
    <w:rsid w:val="00FA60B5"/>
    <w:rsid w:val="00FA6103"/>
    <w:rsid w:val="00FA6161"/>
    <w:rsid w:val="00FA61B2"/>
    <w:rsid w:val="00FA62B6"/>
    <w:rsid w:val="00FA6354"/>
    <w:rsid w:val="00FA63EE"/>
    <w:rsid w:val="00FA6421"/>
    <w:rsid w:val="00FA64BD"/>
    <w:rsid w:val="00FA64EE"/>
    <w:rsid w:val="00FA6505"/>
    <w:rsid w:val="00FA658C"/>
    <w:rsid w:val="00FA6601"/>
    <w:rsid w:val="00FA6621"/>
    <w:rsid w:val="00FA6632"/>
    <w:rsid w:val="00FA66AD"/>
    <w:rsid w:val="00FA66B0"/>
    <w:rsid w:val="00FA670D"/>
    <w:rsid w:val="00FA673B"/>
    <w:rsid w:val="00FA6840"/>
    <w:rsid w:val="00FA68C0"/>
    <w:rsid w:val="00FA68F1"/>
    <w:rsid w:val="00FA6998"/>
    <w:rsid w:val="00FA6AEB"/>
    <w:rsid w:val="00FA6E67"/>
    <w:rsid w:val="00FA6E79"/>
    <w:rsid w:val="00FA6ED3"/>
    <w:rsid w:val="00FA6F50"/>
    <w:rsid w:val="00FA7001"/>
    <w:rsid w:val="00FA700E"/>
    <w:rsid w:val="00FA7065"/>
    <w:rsid w:val="00FA70A7"/>
    <w:rsid w:val="00FA70FC"/>
    <w:rsid w:val="00FA717E"/>
    <w:rsid w:val="00FA73C8"/>
    <w:rsid w:val="00FA73FC"/>
    <w:rsid w:val="00FA7442"/>
    <w:rsid w:val="00FA749B"/>
    <w:rsid w:val="00FA74A5"/>
    <w:rsid w:val="00FA74C4"/>
    <w:rsid w:val="00FA74D0"/>
    <w:rsid w:val="00FA7561"/>
    <w:rsid w:val="00FA75CA"/>
    <w:rsid w:val="00FA75F0"/>
    <w:rsid w:val="00FA7638"/>
    <w:rsid w:val="00FA7703"/>
    <w:rsid w:val="00FA77A7"/>
    <w:rsid w:val="00FA77AB"/>
    <w:rsid w:val="00FA77E2"/>
    <w:rsid w:val="00FA788B"/>
    <w:rsid w:val="00FA78A5"/>
    <w:rsid w:val="00FA78C5"/>
    <w:rsid w:val="00FA7902"/>
    <w:rsid w:val="00FA79A9"/>
    <w:rsid w:val="00FA7A9B"/>
    <w:rsid w:val="00FA7AC9"/>
    <w:rsid w:val="00FA7B75"/>
    <w:rsid w:val="00FA7C67"/>
    <w:rsid w:val="00FA7CFA"/>
    <w:rsid w:val="00FA7CFF"/>
    <w:rsid w:val="00FA7DF0"/>
    <w:rsid w:val="00FA7EC9"/>
    <w:rsid w:val="00FB006C"/>
    <w:rsid w:val="00FB0110"/>
    <w:rsid w:val="00FB01BC"/>
    <w:rsid w:val="00FB0211"/>
    <w:rsid w:val="00FB02A9"/>
    <w:rsid w:val="00FB02CE"/>
    <w:rsid w:val="00FB033F"/>
    <w:rsid w:val="00FB0442"/>
    <w:rsid w:val="00FB0482"/>
    <w:rsid w:val="00FB04D6"/>
    <w:rsid w:val="00FB0541"/>
    <w:rsid w:val="00FB07A0"/>
    <w:rsid w:val="00FB07B9"/>
    <w:rsid w:val="00FB07FB"/>
    <w:rsid w:val="00FB0856"/>
    <w:rsid w:val="00FB08E6"/>
    <w:rsid w:val="00FB08FB"/>
    <w:rsid w:val="00FB0941"/>
    <w:rsid w:val="00FB09BB"/>
    <w:rsid w:val="00FB0AF5"/>
    <w:rsid w:val="00FB0B34"/>
    <w:rsid w:val="00FB0B62"/>
    <w:rsid w:val="00FB0C7B"/>
    <w:rsid w:val="00FB0CB8"/>
    <w:rsid w:val="00FB0CDF"/>
    <w:rsid w:val="00FB0CF3"/>
    <w:rsid w:val="00FB0D20"/>
    <w:rsid w:val="00FB0EE7"/>
    <w:rsid w:val="00FB0F13"/>
    <w:rsid w:val="00FB0F92"/>
    <w:rsid w:val="00FB1028"/>
    <w:rsid w:val="00FB1180"/>
    <w:rsid w:val="00FB130D"/>
    <w:rsid w:val="00FB1347"/>
    <w:rsid w:val="00FB1451"/>
    <w:rsid w:val="00FB14D4"/>
    <w:rsid w:val="00FB1544"/>
    <w:rsid w:val="00FB1601"/>
    <w:rsid w:val="00FB1619"/>
    <w:rsid w:val="00FB1622"/>
    <w:rsid w:val="00FB166D"/>
    <w:rsid w:val="00FB168D"/>
    <w:rsid w:val="00FB183E"/>
    <w:rsid w:val="00FB1852"/>
    <w:rsid w:val="00FB18BB"/>
    <w:rsid w:val="00FB18E1"/>
    <w:rsid w:val="00FB18F9"/>
    <w:rsid w:val="00FB1938"/>
    <w:rsid w:val="00FB19A6"/>
    <w:rsid w:val="00FB1A18"/>
    <w:rsid w:val="00FB1A9B"/>
    <w:rsid w:val="00FB1B11"/>
    <w:rsid w:val="00FB1B88"/>
    <w:rsid w:val="00FB1C26"/>
    <w:rsid w:val="00FB1C39"/>
    <w:rsid w:val="00FB1CD8"/>
    <w:rsid w:val="00FB1CFE"/>
    <w:rsid w:val="00FB1D6C"/>
    <w:rsid w:val="00FB1D8C"/>
    <w:rsid w:val="00FB1DF4"/>
    <w:rsid w:val="00FB1E46"/>
    <w:rsid w:val="00FB1E9A"/>
    <w:rsid w:val="00FB1F24"/>
    <w:rsid w:val="00FB1F4D"/>
    <w:rsid w:val="00FB1F61"/>
    <w:rsid w:val="00FB208E"/>
    <w:rsid w:val="00FB20B4"/>
    <w:rsid w:val="00FB20DC"/>
    <w:rsid w:val="00FB20E8"/>
    <w:rsid w:val="00FB2130"/>
    <w:rsid w:val="00FB2204"/>
    <w:rsid w:val="00FB2239"/>
    <w:rsid w:val="00FB2342"/>
    <w:rsid w:val="00FB2365"/>
    <w:rsid w:val="00FB2432"/>
    <w:rsid w:val="00FB2446"/>
    <w:rsid w:val="00FB2466"/>
    <w:rsid w:val="00FB249B"/>
    <w:rsid w:val="00FB2508"/>
    <w:rsid w:val="00FB2607"/>
    <w:rsid w:val="00FB2611"/>
    <w:rsid w:val="00FB2644"/>
    <w:rsid w:val="00FB26C7"/>
    <w:rsid w:val="00FB2770"/>
    <w:rsid w:val="00FB27D5"/>
    <w:rsid w:val="00FB2815"/>
    <w:rsid w:val="00FB285B"/>
    <w:rsid w:val="00FB28AE"/>
    <w:rsid w:val="00FB2968"/>
    <w:rsid w:val="00FB29DE"/>
    <w:rsid w:val="00FB2A7A"/>
    <w:rsid w:val="00FB2A86"/>
    <w:rsid w:val="00FB2AE1"/>
    <w:rsid w:val="00FB2B5C"/>
    <w:rsid w:val="00FB2B65"/>
    <w:rsid w:val="00FB2B69"/>
    <w:rsid w:val="00FB2BC2"/>
    <w:rsid w:val="00FB2C57"/>
    <w:rsid w:val="00FB2CE6"/>
    <w:rsid w:val="00FB2D1C"/>
    <w:rsid w:val="00FB2EE8"/>
    <w:rsid w:val="00FB2EED"/>
    <w:rsid w:val="00FB2EFB"/>
    <w:rsid w:val="00FB2F15"/>
    <w:rsid w:val="00FB3043"/>
    <w:rsid w:val="00FB30DE"/>
    <w:rsid w:val="00FB3206"/>
    <w:rsid w:val="00FB32EE"/>
    <w:rsid w:val="00FB3305"/>
    <w:rsid w:val="00FB3330"/>
    <w:rsid w:val="00FB33D6"/>
    <w:rsid w:val="00FB33FF"/>
    <w:rsid w:val="00FB342A"/>
    <w:rsid w:val="00FB3671"/>
    <w:rsid w:val="00FB373D"/>
    <w:rsid w:val="00FB390A"/>
    <w:rsid w:val="00FB3943"/>
    <w:rsid w:val="00FB3AB4"/>
    <w:rsid w:val="00FB3ACA"/>
    <w:rsid w:val="00FB3B28"/>
    <w:rsid w:val="00FB3B90"/>
    <w:rsid w:val="00FB3C7B"/>
    <w:rsid w:val="00FB3CA0"/>
    <w:rsid w:val="00FB3D04"/>
    <w:rsid w:val="00FB3D95"/>
    <w:rsid w:val="00FB3DBC"/>
    <w:rsid w:val="00FB3E57"/>
    <w:rsid w:val="00FB3EFA"/>
    <w:rsid w:val="00FB3FCC"/>
    <w:rsid w:val="00FB3FD6"/>
    <w:rsid w:val="00FB3FD8"/>
    <w:rsid w:val="00FB402A"/>
    <w:rsid w:val="00FB40A1"/>
    <w:rsid w:val="00FB40A4"/>
    <w:rsid w:val="00FB412D"/>
    <w:rsid w:val="00FB4230"/>
    <w:rsid w:val="00FB432B"/>
    <w:rsid w:val="00FB4377"/>
    <w:rsid w:val="00FB437C"/>
    <w:rsid w:val="00FB43DA"/>
    <w:rsid w:val="00FB4459"/>
    <w:rsid w:val="00FB4526"/>
    <w:rsid w:val="00FB4562"/>
    <w:rsid w:val="00FB462C"/>
    <w:rsid w:val="00FB4646"/>
    <w:rsid w:val="00FB471F"/>
    <w:rsid w:val="00FB479B"/>
    <w:rsid w:val="00FB4869"/>
    <w:rsid w:val="00FB48C0"/>
    <w:rsid w:val="00FB48DF"/>
    <w:rsid w:val="00FB4AE7"/>
    <w:rsid w:val="00FB4B7B"/>
    <w:rsid w:val="00FB4BB8"/>
    <w:rsid w:val="00FB4C04"/>
    <w:rsid w:val="00FB4D69"/>
    <w:rsid w:val="00FB4D7C"/>
    <w:rsid w:val="00FB4D9B"/>
    <w:rsid w:val="00FB4F04"/>
    <w:rsid w:val="00FB4F43"/>
    <w:rsid w:val="00FB5099"/>
    <w:rsid w:val="00FB50ED"/>
    <w:rsid w:val="00FB5153"/>
    <w:rsid w:val="00FB520F"/>
    <w:rsid w:val="00FB5234"/>
    <w:rsid w:val="00FB524A"/>
    <w:rsid w:val="00FB52B6"/>
    <w:rsid w:val="00FB5322"/>
    <w:rsid w:val="00FB5329"/>
    <w:rsid w:val="00FB54C8"/>
    <w:rsid w:val="00FB54EE"/>
    <w:rsid w:val="00FB556D"/>
    <w:rsid w:val="00FB559E"/>
    <w:rsid w:val="00FB55E7"/>
    <w:rsid w:val="00FB5628"/>
    <w:rsid w:val="00FB5681"/>
    <w:rsid w:val="00FB5758"/>
    <w:rsid w:val="00FB5803"/>
    <w:rsid w:val="00FB586B"/>
    <w:rsid w:val="00FB594F"/>
    <w:rsid w:val="00FB599A"/>
    <w:rsid w:val="00FB5A16"/>
    <w:rsid w:val="00FB5B6A"/>
    <w:rsid w:val="00FB5BBD"/>
    <w:rsid w:val="00FB5CFB"/>
    <w:rsid w:val="00FB5DD2"/>
    <w:rsid w:val="00FB5EBD"/>
    <w:rsid w:val="00FB5F7A"/>
    <w:rsid w:val="00FB60EF"/>
    <w:rsid w:val="00FB61FF"/>
    <w:rsid w:val="00FB6252"/>
    <w:rsid w:val="00FB62A9"/>
    <w:rsid w:val="00FB63D4"/>
    <w:rsid w:val="00FB6462"/>
    <w:rsid w:val="00FB64DF"/>
    <w:rsid w:val="00FB65A9"/>
    <w:rsid w:val="00FB6630"/>
    <w:rsid w:val="00FB6665"/>
    <w:rsid w:val="00FB6764"/>
    <w:rsid w:val="00FB678C"/>
    <w:rsid w:val="00FB685B"/>
    <w:rsid w:val="00FB6A68"/>
    <w:rsid w:val="00FB6BF9"/>
    <w:rsid w:val="00FB6C0D"/>
    <w:rsid w:val="00FB6C81"/>
    <w:rsid w:val="00FB6D7D"/>
    <w:rsid w:val="00FB6E5B"/>
    <w:rsid w:val="00FB6E85"/>
    <w:rsid w:val="00FB6EAD"/>
    <w:rsid w:val="00FB6ECD"/>
    <w:rsid w:val="00FB710F"/>
    <w:rsid w:val="00FB712F"/>
    <w:rsid w:val="00FB7132"/>
    <w:rsid w:val="00FB71B4"/>
    <w:rsid w:val="00FB72BB"/>
    <w:rsid w:val="00FB72D2"/>
    <w:rsid w:val="00FB72FC"/>
    <w:rsid w:val="00FB7382"/>
    <w:rsid w:val="00FB7398"/>
    <w:rsid w:val="00FB73CB"/>
    <w:rsid w:val="00FB752D"/>
    <w:rsid w:val="00FB758E"/>
    <w:rsid w:val="00FB75B3"/>
    <w:rsid w:val="00FB7627"/>
    <w:rsid w:val="00FB7636"/>
    <w:rsid w:val="00FB7668"/>
    <w:rsid w:val="00FB76D5"/>
    <w:rsid w:val="00FB777F"/>
    <w:rsid w:val="00FB7786"/>
    <w:rsid w:val="00FB7810"/>
    <w:rsid w:val="00FB787F"/>
    <w:rsid w:val="00FB7A0E"/>
    <w:rsid w:val="00FB7A4B"/>
    <w:rsid w:val="00FB7A71"/>
    <w:rsid w:val="00FB7AF9"/>
    <w:rsid w:val="00FB7B19"/>
    <w:rsid w:val="00FB7BD7"/>
    <w:rsid w:val="00FB7C90"/>
    <w:rsid w:val="00FB7D89"/>
    <w:rsid w:val="00FB7E6B"/>
    <w:rsid w:val="00FB7EEC"/>
    <w:rsid w:val="00FB7F70"/>
    <w:rsid w:val="00FB7FD3"/>
    <w:rsid w:val="00FC0100"/>
    <w:rsid w:val="00FC017C"/>
    <w:rsid w:val="00FC029E"/>
    <w:rsid w:val="00FC0381"/>
    <w:rsid w:val="00FC0394"/>
    <w:rsid w:val="00FC0529"/>
    <w:rsid w:val="00FC05CF"/>
    <w:rsid w:val="00FC066F"/>
    <w:rsid w:val="00FC07E9"/>
    <w:rsid w:val="00FC0828"/>
    <w:rsid w:val="00FC093B"/>
    <w:rsid w:val="00FC09F1"/>
    <w:rsid w:val="00FC0A33"/>
    <w:rsid w:val="00FC0A4F"/>
    <w:rsid w:val="00FC0A83"/>
    <w:rsid w:val="00FC0A86"/>
    <w:rsid w:val="00FC0B3D"/>
    <w:rsid w:val="00FC0B3E"/>
    <w:rsid w:val="00FC0B6C"/>
    <w:rsid w:val="00FC0B8B"/>
    <w:rsid w:val="00FC0C50"/>
    <w:rsid w:val="00FC0CCF"/>
    <w:rsid w:val="00FC0D3C"/>
    <w:rsid w:val="00FC0D74"/>
    <w:rsid w:val="00FC0DC5"/>
    <w:rsid w:val="00FC0E8C"/>
    <w:rsid w:val="00FC0EB8"/>
    <w:rsid w:val="00FC0F9B"/>
    <w:rsid w:val="00FC0F9E"/>
    <w:rsid w:val="00FC0FE3"/>
    <w:rsid w:val="00FC0FF6"/>
    <w:rsid w:val="00FC1078"/>
    <w:rsid w:val="00FC1080"/>
    <w:rsid w:val="00FC1097"/>
    <w:rsid w:val="00FC10CA"/>
    <w:rsid w:val="00FC1222"/>
    <w:rsid w:val="00FC134B"/>
    <w:rsid w:val="00FC1630"/>
    <w:rsid w:val="00FC1631"/>
    <w:rsid w:val="00FC1715"/>
    <w:rsid w:val="00FC174C"/>
    <w:rsid w:val="00FC17B5"/>
    <w:rsid w:val="00FC1814"/>
    <w:rsid w:val="00FC1867"/>
    <w:rsid w:val="00FC18A1"/>
    <w:rsid w:val="00FC18B7"/>
    <w:rsid w:val="00FC1945"/>
    <w:rsid w:val="00FC1965"/>
    <w:rsid w:val="00FC1B01"/>
    <w:rsid w:val="00FC1B4D"/>
    <w:rsid w:val="00FC1B56"/>
    <w:rsid w:val="00FC1C95"/>
    <w:rsid w:val="00FC1CDC"/>
    <w:rsid w:val="00FC1D50"/>
    <w:rsid w:val="00FC1FCC"/>
    <w:rsid w:val="00FC1FF9"/>
    <w:rsid w:val="00FC2134"/>
    <w:rsid w:val="00FC2222"/>
    <w:rsid w:val="00FC225A"/>
    <w:rsid w:val="00FC22E5"/>
    <w:rsid w:val="00FC230B"/>
    <w:rsid w:val="00FC2423"/>
    <w:rsid w:val="00FC244F"/>
    <w:rsid w:val="00FC24AC"/>
    <w:rsid w:val="00FC24C5"/>
    <w:rsid w:val="00FC24F3"/>
    <w:rsid w:val="00FC2683"/>
    <w:rsid w:val="00FC27BC"/>
    <w:rsid w:val="00FC280F"/>
    <w:rsid w:val="00FC28B7"/>
    <w:rsid w:val="00FC2937"/>
    <w:rsid w:val="00FC2962"/>
    <w:rsid w:val="00FC29C8"/>
    <w:rsid w:val="00FC2A1D"/>
    <w:rsid w:val="00FC2A49"/>
    <w:rsid w:val="00FC2A54"/>
    <w:rsid w:val="00FC2B3C"/>
    <w:rsid w:val="00FC2C52"/>
    <w:rsid w:val="00FC2CA4"/>
    <w:rsid w:val="00FC2CBE"/>
    <w:rsid w:val="00FC2D99"/>
    <w:rsid w:val="00FC2E4D"/>
    <w:rsid w:val="00FC302F"/>
    <w:rsid w:val="00FC30A1"/>
    <w:rsid w:val="00FC311C"/>
    <w:rsid w:val="00FC31E6"/>
    <w:rsid w:val="00FC3344"/>
    <w:rsid w:val="00FC33A9"/>
    <w:rsid w:val="00FC3420"/>
    <w:rsid w:val="00FC347F"/>
    <w:rsid w:val="00FC357C"/>
    <w:rsid w:val="00FC358E"/>
    <w:rsid w:val="00FC35E2"/>
    <w:rsid w:val="00FC363B"/>
    <w:rsid w:val="00FC364A"/>
    <w:rsid w:val="00FC367D"/>
    <w:rsid w:val="00FC36CE"/>
    <w:rsid w:val="00FC3726"/>
    <w:rsid w:val="00FC3761"/>
    <w:rsid w:val="00FC3789"/>
    <w:rsid w:val="00FC37E3"/>
    <w:rsid w:val="00FC383E"/>
    <w:rsid w:val="00FC38C7"/>
    <w:rsid w:val="00FC38E0"/>
    <w:rsid w:val="00FC38E4"/>
    <w:rsid w:val="00FC38F5"/>
    <w:rsid w:val="00FC3968"/>
    <w:rsid w:val="00FC39C3"/>
    <w:rsid w:val="00FC39EC"/>
    <w:rsid w:val="00FC3A06"/>
    <w:rsid w:val="00FC3A08"/>
    <w:rsid w:val="00FC3B98"/>
    <w:rsid w:val="00FC3BF2"/>
    <w:rsid w:val="00FC3DC3"/>
    <w:rsid w:val="00FC3F4E"/>
    <w:rsid w:val="00FC3F59"/>
    <w:rsid w:val="00FC3FBC"/>
    <w:rsid w:val="00FC3FC4"/>
    <w:rsid w:val="00FC40BE"/>
    <w:rsid w:val="00FC40FF"/>
    <w:rsid w:val="00FC418E"/>
    <w:rsid w:val="00FC420E"/>
    <w:rsid w:val="00FC4312"/>
    <w:rsid w:val="00FC4382"/>
    <w:rsid w:val="00FC43B6"/>
    <w:rsid w:val="00FC44D2"/>
    <w:rsid w:val="00FC45EE"/>
    <w:rsid w:val="00FC4679"/>
    <w:rsid w:val="00FC4720"/>
    <w:rsid w:val="00FC4848"/>
    <w:rsid w:val="00FC4965"/>
    <w:rsid w:val="00FC499D"/>
    <w:rsid w:val="00FC49D2"/>
    <w:rsid w:val="00FC4C02"/>
    <w:rsid w:val="00FC4C0F"/>
    <w:rsid w:val="00FC4D04"/>
    <w:rsid w:val="00FC4D42"/>
    <w:rsid w:val="00FC4D43"/>
    <w:rsid w:val="00FC4D75"/>
    <w:rsid w:val="00FC4D81"/>
    <w:rsid w:val="00FC4FAB"/>
    <w:rsid w:val="00FC4FF4"/>
    <w:rsid w:val="00FC5007"/>
    <w:rsid w:val="00FC5035"/>
    <w:rsid w:val="00FC5087"/>
    <w:rsid w:val="00FC510A"/>
    <w:rsid w:val="00FC521A"/>
    <w:rsid w:val="00FC527F"/>
    <w:rsid w:val="00FC5520"/>
    <w:rsid w:val="00FC5678"/>
    <w:rsid w:val="00FC56A9"/>
    <w:rsid w:val="00FC5710"/>
    <w:rsid w:val="00FC574C"/>
    <w:rsid w:val="00FC57C4"/>
    <w:rsid w:val="00FC5804"/>
    <w:rsid w:val="00FC586B"/>
    <w:rsid w:val="00FC5883"/>
    <w:rsid w:val="00FC5888"/>
    <w:rsid w:val="00FC5891"/>
    <w:rsid w:val="00FC592E"/>
    <w:rsid w:val="00FC59D8"/>
    <w:rsid w:val="00FC59E6"/>
    <w:rsid w:val="00FC5C15"/>
    <w:rsid w:val="00FC5D68"/>
    <w:rsid w:val="00FC5DF3"/>
    <w:rsid w:val="00FC5E6E"/>
    <w:rsid w:val="00FC5E7E"/>
    <w:rsid w:val="00FC603C"/>
    <w:rsid w:val="00FC6060"/>
    <w:rsid w:val="00FC6138"/>
    <w:rsid w:val="00FC6149"/>
    <w:rsid w:val="00FC61DB"/>
    <w:rsid w:val="00FC6207"/>
    <w:rsid w:val="00FC6231"/>
    <w:rsid w:val="00FC626C"/>
    <w:rsid w:val="00FC6426"/>
    <w:rsid w:val="00FC6514"/>
    <w:rsid w:val="00FC651F"/>
    <w:rsid w:val="00FC6552"/>
    <w:rsid w:val="00FC65D7"/>
    <w:rsid w:val="00FC662D"/>
    <w:rsid w:val="00FC6641"/>
    <w:rsid w:val="00FC66BA"/>
    <w:rsid w:val="00FC66C7"/>
    <w:rsid w:val="00FC674B"/>
    <w:rsid w:val="00FC6764"/>
    <w:rsid w:val="00FC67EF"/>
    <w:rsid w:val="00FC6826"/>
    <w:rsid w:val="00FC6879"/>
    <w:rsid w:val="00FC6884"/>
    <w:rsid w:val="00FC68C3"/>
    <w:rsid w:val="00FC6919"/>
    <w:rsid w:val="00FC6AC2"/>
    <w:rsid w:val="00FC6AE4"/>
    <w:rsid w:val="00FC6B3A"/>
    <w:rsid w:val="00FC6BAC"/>
    <w:rsid w:val="00FC6C3E"/>
    <w:rsid w:val="00FC6CB4"/>
    <w:rsid w:val="00FC6DF0"/>
    <w:rsid w:val="00FC6E66"/>
    <w:rsid w:val="00FC6FBF"/>
    <w:rsid w:val="00FC7003"/>
    <w:rsid w:val="00FC70C4"/>
    <w:rsid w:val="00FC711C"/>
    <w:rsid w:val="00FC7121"/>
    <w:rsid w:val="00FC71B7"/>
    <w:rsid w:val="00FC71F2"/>
    <w:rsid w:val="00FC725A"/>
    <w:rsid w:val="00FC72AA"/>
    <w:rsid w:val="00FC7305"/>
    <w:rsid w:val="00FC7316"/>
    <w:rsid w:val="00FC7355"/>
    <w:rsid w:val="00FC7364"/>
    <w:rsid w:val="00FC7371"/>
    <w:rsid w:val="00FC73BB"/>
    <w:rsid w:val="00FC7441"/>
    <w:rsid w:val="00FC74BF"/>
    <w:rsid w:val="00FC74E1"/>
    <w:rsid w:val="00FC7626"/>
    <w:rsid w:val="00FC7629"/>
    <w:rsid w:val="00FC76A7"/>
    <w:rsid w:val="00FC76CC"/>
    <w:rsid w:val="00FC7789"/>
    <w:rsid w:val="00FC788A"/>
    <w:rsid w:val="00FC78D2"/>
    <w:rsid w:val="00FC7952"/>
    <w:rsid w:val="00FC7958"/>
    <w:rsid w:val="00FC7965"/>
    <w:rsid w:val="00FC796C"/>
    <w:rsid w:val="00FC79B8"/>
    <w:rsid w:val="00FC7A0A"/>
    <w:rsid w:val="00FC7A10"/>
    <w:rsid w:val="00FC7B03"/>
    <w:rsid w:val="00FC7B3B"/>
    <w:rsid w:val="00FC7B63"/>
    <w:rsid w:val="00FC7C11"/>
    <w:rsid w:val="00FC7CC7"/>
    <w:rsid w:val="00FC7D26"/>
    <w:rsid w:val="00FC7D27"/>
    <w:rsid w:val="00FC7D30"/>
    <w:rsid w:val="00FC7E23"/>
    <w:rsid w:val="00FC7EAD"/>
    <w:rsid w:val="00FC7F30"/>
    <w:rsid w:val="00FC7FF3"/>
    <w:rsid w:val="00FD0021"/>
    <w:rsid w:val="00FD002E"/>
    <w:rsid w:val="00FD00A8"/>
    <w:rsid w:val="00FD00FF"/>
    <w:rsid w:val="00FD0161"/>
    <w:rsid w:val="00FD01C3"/>
    <w:rsid w:val="00FD01D9"/>
    <w:rsid w:val="00FD022E"/>
    <w:rsid w:val="00FD0316"/>
    <w:rsid w:val="00FD033D"/>
    <w:rsid w:val="00FD03C8"/>
    <w:rsid w:val="00FD03DD"/>
    <w:rsid w:val="00FD03E2"/>
    <w:rsid w:val="00FD03E5"/>
    <w:rsid w:val="00FD03F0"/>
    <w:rsid w:val="00FD041C"/>
    <w:rsid w:val="00FD0481"/>
    <w:rsid w:val="00FD0515"/>
    <w:rsid w:val="00FD05F5"/>
    <w:rsid w:val="00FD067E"/>
    <w:rsid w:val="00FD0769"/>
    <w:rsid w:val="00FD07B8"/>
    <w:rsid w:val="00FD07C0"/>
    <w:rsid w:val="00FD0821"/>
    <w:rsid w:val="00FD086B"/>
    <w:rsid w:val="00FD086F"/>
    <w:rsid w:val="00FD08B0"/>
    <w:rsid w:val="00FD08B1"/>
    <w:rsid w:val="00FD09D5"/>
    <w:rsid w:val="00FD0A75"/>
    <w:rsid w:val="00FD0B8C"/>
    <w:rsid w:val="00FD0BE5"/>
    <w:rsid w:val="00FD0C95"/>
    <w:rsid w:val="00FD0DFA"/>
    <w:rsid w:val="00FD0E61"/>
    <w:rsid w:val="00FD0F90"/>
    <w:rsid w:val="00FD0FFD"/>
    <w:rsid w:val="00FD104A"/>
    <w:rsid w:val="00FD112C"/>
    <w:rsid w:val="00FD11BD"/>
    <w:rsid w:val="00FD145A"/>
    <w:rsid w:val="00FD1555"/>
    <w:rsid w:val="00FD1595"/>
    <w:rsid w:val="00FD15F1"/>
    <w:rsid w:val="00FD16F1"/>
    <w:rsid w:val="00FD17FA"/>
    <w:rsid w:val="00FD1864"/>
    <w:rsid w:val="00FD18EB"/>
    <w:rsid w:val="00FD1A15"/>
    <w:rsid w:val="00FD1AD0"/>
    <w:rsid w:val="00FD1C04"/>
    <w:rsid w:val="00FD1CCC"/>
    <w:rsid w:val="00FD1D14"/>
    <w:rsid w:val="00FD1D19"/>
    <w:rsid w:val="00FD1D1E"/>
    <w:rsid w:val="00FD1D63"/>
    <w:rsid w:val="00FD1DF8"/>
    <w:rsid w:val="00FD1EDE"/>
    <w:rsid w:val="00FD1F53"/>
    <w:rsid w:val="00FD2094"/>
    <w:rsid w:val="00FD2106"/>
    <w:rsid w:val="00FD2247"/>
    <w:rsid w:val="00FD2522"/>
    <w:rsid w:val="00FD2549"/>
    <w:rsid w:val="00FD257F"/>
    <w:rsid w:val="00FD2591"/>
    <w:rsid w:val="00FD269E"/>
    <w:rsid w:val="00FD2775"/>
    <w:rsid w:val="00FD2942"/>
    <w:rsid w:val="00FD2959"/>
    <w:rsid w:val="00FD29AD"/>
    <w:rsid w:val="00FD29CC"/>
    <w:rsid w:val="00FD2A8B"/>
    <w:rsid w:val="00FD2A91"/>
    <w:rsid w:val="00FD2B2D"/>
    <w:rsid w:val="00FD2B33"/>
    <w:rsid w:val="00FD2BD1"/>
    <w:rsid w:val="00FD2C53"/>
    <w:rsid w:val="00FD2D09"/>
    <w:rsid w:val="00FD2D23"/>
    <w:rsid w:val="00FD2E0F"/>
    <w:rsid w:val="00FD2E15"/>
    <w:rsid w:val="00FD2E6F"/>
    <w:rsid w:val="00FD2EB1"/>
    <w:rsid w:val="00FD2EB3"/>
    <w:rsid w:val="00FD2F85"/>
    <w:rsid w:val="00FD2FCD"/>
    <w:rsid w:val="00FD2FD5"/>
    <w:rsid w:val="00FD2FF5"/>
    <w:rsid w:val="00FD304A"/>
    <w:rsid w:val="00FD3111"/>
    <w:rsid w:val="00FD31E2"/>
    <w:rsid w:val="00FD323A"/>
    <w:rsid w:val="00FD3273"/>
    <w:rsid w:val="00FD32A7"/>
    <w:rsid w:val="00FD32C5"/>
    <w:rsid w:val="00FD3328"/>
    <w:rsid w:val="00FD345C"/>
    <w:rsid w:val="00FD352C"/>
    <w:rsid w:val="00FD358D"/>
    <w:rsid w:val="00FD3598"/>
    <w:rsid w:val="00FD35E3"/>
    <w:rsid w:val="00FD35E7"/>
    <w:rsid w:val="00FD36A2"/>
    <w:rsid w:val="00FD36E9"/>
    <w:rsid w:val="00FD3793"/>
    <w:rsid w:val="00FD37FA"/>
    <w:rsid w:val="00FD38B6"/>
    <w:rsid w:val="00FD38CF"/>
    <w:rsid w:val="00FD38FF"/>
    <w:rsid w:val="00FD3B4D"/>
    <w:rsid w:val="00FD3C0F"/>
    <w:rsid w:val="00FD3C15"/>
    <w:rsid w:val="00FD3C4D"/>
    <w:rsid w:val="00FD3D33"/>
    <w:rsid w:val="00FD3D56"/>
    <w:rsid w:val="00FD3D93"/>
    <w:rsid w:val="00FD3E40"/>
    <w:rsid w:val="00FD3ECF"/>
    <w:rsid w:val="00FD3F6A"/>
    <w:rsid w:val="00FD411D"/>
    <w:rsid w:val="00FD43C4"/>
    <w:rsid w:val="00FD4565"/>
    <w:rsid w:val="00FD4567"/>
    <w:rsid w:val="00FD456F"/>
    <w:rsid w:val="00FD46DE"/>
    <w:rsid w:val="00FD46F0"/>
    <w:rsid w:val="00FD47EB"/>
    <w:rsid w:val="00FD4898"/>
    <w:rsid w:val="00FD4A92"/>
    <w:rsid w:val="00FD4B08"/>
    <w:rsid w:val="00FD4BD9"/>
    <w:rsid w:val="00FD4BEC"/>
    <w:rsid w:val="00FD4C9D"/>
    <w:rsid w:val="00FD4D97"/>
    <w:rsid w:val="00FD4DD1"/>
    <w:rsid w:val="00FD4E70"/>
    <w:rsid w:val="00FD4E9A"/>
    <w:rsid w:val="00FD4F4D"/>
    <w:rsid w:val="00FD4F6C"/>
    <w:rsid w:val="00FD4FA7"/>
    <w:rsid w:val="00FD4FFE"/>
    <w:rsid w:val="00FD500C"/>
    <w:rsid w:val="00FD50C0"/>
    <w:rsid w:val="00FD5201"/>
    <w:rsid w:val="00FD524B"/>
    <w:rsid w:val="00FD53FB"/>
    <w:rsid w:val="00FD5466"/>
    <w:rsid w:val="00FD5489"/>
    <w:rsid w:val="00FD549D"/>
    <w:rsid w:val="00FD54EE"/>
    <w:rsid w:val="00FD5552"/>
    <w:rsid w:val="00FD5643"/>
    <w:rsid w:val="00FD5747"/>
    <w:rsid w:val="00FD575B"/>
    <w:rsid w:val="00FD59EA"/>
    <w:rsid w:val="00FD5A25"/>
    <w:rsid w:val="00FD5AB4"/>
    <w:rsid w:val="00FD5ABC"/>
    <w:rsid w:val="00FD5AD1"/>
    <w:rsid w:val="00FD5AD2"/>
    <w:rsid w:val="00FD5B6F"/>
    <w:rsid w:val="00FD5BC2"/>
    <w:rsid w:val="00FD5CAE"/>
    <w:rsid w:val="00FD5CD4"/>
    <w:rsid w:val="00FD5CFE"/>
    <w:rsid w:val="00FD5D16"/>
    <w:rsid w:val="00FD5DA5"/>
    <w:rsid w:val="00FD5DF8"/>
    <w:rsid w:val="00FD5ED1"/>
    <w:rsid w:val="00FD5F5C"/>
    <w:rsid w:val="00FD6081"/>
    <w:rsid w:val="00FD608A"/>
    <w:rsid w:val="00FD60A0"/>
    <w:rsid w:val="00FD60FB"/>
    <w:rsid w:val="00FD6127"/>
    <w:rsid w:val="00FD6290"/>
    <w:rsid w:val="00FD6356"/>
    <w:rsid w:val="00FD6441"/>
    <w:rsid w:val="00FD64CF"/>
    <w:rsid w:val="00FD6554"/>
    <w:rsid w:val="00FD667F"/>
    <w:rsid w:val="00FD6736"/>
    <w:rsid w:val="00FD6771"/>
    <w:rsid w:val="00FD684B"/>
    <w:rsid w:val="00FD6917"/>
    <w:rsid w:val="00FD696F"/>
    <w:rsid w:val="00FD69BD"/>
    <w:rsid w:val="00FD69E4"/>
    <w:rsid w:val="00FD6A58"/>
    <w:rsid w:val="00FD6ACE"/>
    <w:rsid w:val="00FD6B02"/>
    <w:rsid w:val="00FD6B0B"/>
    <w:rsid w:val="00FD6B2B"/>
    <w:rsid w:val="00FD6CA2"/>
    <w:rsid w:val="00FD6CA9"/>
    <w:rsid w:val="00FD6CEC"/>
    <w:rsid w:val="00FD6D66"/>
    <w:rsid w:val="00FD6D6D"/>
    <w:rsid w:val="00FD6DDD"/>
    <w:rsid w:val="00FD6E0F"/>
    <w:rsid w:val="00FD6E13"/>
    <w:rsid w:val="00FD6E78"/>
    <w:rsid w:val="00FD6ED0"/>
    <w:rsid w:val="00FD6EF2"/>
    <w:rsid w:val="00FD6FD7"/>
    <w:rsid w:val="00FD703D"/>
    <w:rsid w:val="00FD7040"/>
    <w:rsid w:val="00FD709B"/>
    <w:rsid w:val="00FD73B4"/>
    <w:rsid w:val="00FD73E6"/>
    <w:rsid w:val="00FD7430"/>
    <w:rsid w:val="00FD74B5"/>
    <w:rsid w:val="00FD74E3"/>
    <w:rsid w:val="00FD74F2"/>
    <w:rsid w:val="00FD759D"/>
    <w:rsid w:val="00FD759F"/>
    <w:rsid w:val="00FD75EC"/>
    <w:rsid w:val="00FD75FB"/>
    <w:rsid w:val="00FD75FC"/>
    <w:rsid w:val="00FD76B7"/>
    <w:rsid w:val="00FD7714"/>
    <w:rsid w:val="00FD77B2"/>
    <w:rsid w:val="00FD7958"/>
    <w:rsid w:val="00FD7A59"/>
    <w:rsid w:val="00FD7AB5"/>
    <w:rsid w:val="00FD7B35"/>
    <w:rsid w:val="00FD7B78"/>
    <w:rsid w:val="00FD7B7B"/>
    <w:rsid w:val="00FD7CF1"/>
    <w:rsid w:val="00FD7D48"/>
    <w:rsid w:val="00FD7D99"/>
    <w:rsid w:val="00FD7E9B"/>
    <w:rsid w:val="00FD7FF1"/>
    <w:rsid w:val="00FE0000"/>
    <w:rsid w:val="00FE000E"/>
    <w:rsid w:val="00FE0165"/>
    <w:rsid w:val="00FE01EE"/>
    <w:rsid w:val="00FE0254"/>
    <w:rsid w:val="00FE02A8"/>
    <w:rsid w:val="00FE03BB"/>
    <w:rsid w:val="00FE03FC"/>
    <w:rsid w:val="00FE0444"/>
    <w:rsid w:val="00FE04AA"/>
    <w:rsid w:val="00FE04B0"/>
    <w:rsid w:val="00FE0505"/>
    <w:rsid w:val="00FE053C"/>
    <w:rsid w:val="00FE0569"/>
    <w:rsid w:val="00FE0601"/>
    <w:rsid w:val="00FE062F"/>
    <w:rsid w:val="00FE068B"/>
    <w:rsid w:val="00FE06CF"/>
    <w:rsid w:val="00FE06F9"/>
    <w:rsid w:val="00FE070E"/>
    <w:rsid w:val="00FE0777"/>
    <w:rsid w:val="00FE07A7"/>
    <w:rsid w:val="00FE0818"/>
    <w:rsid w:val="00FE0878"/>
    <w:rsid w:val="00FE09C8"/>
    <w:rsid w:val="00FE09FA"/>
    <w:rsid w:val="00FE0A35"/>
    <w:rsid w:val="00FE0A6C"/>
    <w:rsid w:val="00FE0A98"/>
    <w:rsid w:val="00FE0AFE"/>
    <w:rsid w:val="00FE0B5C"/>
    <w:rsid w:val="00FE0BC1"/>
    <w:rsid w:val="00FE0D01"/>
    <w:rsid w:val="00FE0DAD"/>
    <w:rsid w:val="00FE0DE0"/>
    <w:rsid w:val="00FE0ED1"/>
    <w:rsid w:val="00FE1087"/>
    <w:rsid w:val="00FE111B"/>
    <w:rsid w:val="00FE11BE"/>
    <w:rsid w:val="00FE11D2"/>
    <w:rsid w:val="00FE1238"/>
    <w:rsid w:val="00FE12A0"/>
    <w:rsid w:val="00FE1306"/>
    <w:rsid w:val="00FE140A"/>
    <w:rsid w:val="00FE142A"/>
    <w:rsid w:val="00FE149C"/>
    <w:rsid w:val="00FE15A3"/>
    <w:rsid w:val="00FE1658"/>
    <w:rsid w:val="00FE166C"/>
    <w:rsid w:val="00FE1691"/>
    <w:rsid w:val="00FE1734"/>
    <w:rsid w:val="00FE17AD"/>
    <w:rsid w:val="00FE1860"/>
    <w:rsid w:val="00FE187A"/>
    <w:rsid w:val="00FE18AA"/>
    <w:rsid w:val="00FE18F8"/>
    <w:rsid w:val="00FE18FC"/>
    <w:rsid w:val="00FE1967"/>
    <w:rsid w:val="00FE1AC0"/>
    <w:rsid w:val="00FE1B21"/>
    <w:rsid w:val="00FE1C0D"/>
    <w:rsid w:val="00FE1C5C"/>
    <w:rsid w:val="00FE1C9E"/>
    <w:rsid w:val="00FE1CC6"/>
    <w:rsid w:val="00FE1CCB"/>
    <w:rsid w:val="00FE1D72"/>
    <w:rsid w:val="00FE1DBD"/>
    <w:rsid w:val="00FE1E74"/>
    <w:rsid w:val="00FE1E8C"/>
    <w:rsid w:val="00FE1ED5"/>
    <w:rsid w:val="00FE1F97"/>
    <w:rsid w:val="00FE1FA0"/>
    <w:rsid w:val="00FE208C"/>
    <w:rsid w:val="00FE2117"/>
    <w:rsid w:val="00FE2243"/>
    <w:rsid w:val="00FE22F6"/>
    <w:rsid w:val="00FE2306"/>
    <w:rsid w:val="00FE239E"/>
    <w:rsid w:val="00FE23B7"/>
    <w:rsid w:val="00FE23B8"/>
    <w:rsid w:val="00FE2514"/>
    <w:rsid w:val="00FE2599"/>
    <w:rsid w:val="00FE25B9"/>
    <w:rsid w:val="00FE25CB"/>
    <w:rsid w:val="00FE2665"/>
    <w:rsid w:val="00FE2699"/>
    <w:rsid w:val="00FE269E"/>
    <w:rsid w:val="00FE26BB"/>
    <w:rsid w:val="00FE2760"/>
    <w:rsid w:val="00FE2780"/>
    <w:rsid w:val="00FE2808"/>
    <w:rsid w:val="00FE28A7"/>
    <w:rsid w:val="00FE28B4"/>
    <w:rsid w:val="00FE294C"/>
    <w:rsid w:val="00FE2984"/>
    <w:rsid w:val="00FE29B8"/>
    <w:rsid w:val="00FE29FA"/>
    <w:rsid w:val="00FE2A40"/>
    <w:rsid w:val="00FE2A7E"/>
    <w:rsid w:val="00FE2B26"/>
    <w:rsid w:val="00FE2C3A"/>
    <w:rsid w:val="00FE2C4C"/>
    <w:rsid w:val="00FE2DD3"/>
    <w:rsid w:val="00FE2E4E"/>
    <w:rsid w:val="00FE2F11"/>
    <w:rsid w:val="00FE2F7A"/>
    <w:rsid w:val="00FE2FB3"/>
    <w:rsid w:val="00FE2FE4"/>
    <w:rsid w:val="00FE30E8"/>
    <w:rsid w:val="00FE3132"/>
    <w:rsid w:val="00FE3144"/>
    <w:rsid w:val="00FE3177"/>
    <w:rsid w:val="00FE3197"/>
    <w:rsid w:val="00FE321D"/>
    <w:rsid w:val="00FE3222"/>
    <w:rsid w:val="00FE3316"/>
    <w:rsid w:val="00FE3423"/>
    <w:rsid w:val="00FE343C"/>
    <w:rsid w:val="00FE35A1"/>
    <w:rsid w:val="00FE3610"/>
    <w:rsid w:val="00FE3677"/>
    <w:rsid w:val="00FE36E1"/>
    <w:rsid w:val="00FE3749"/>
    <w:rsid w:val="00FE379D"/>
    <w:rsid w:val="00FE37E3"/>
    <w:rsid w:val="00FE38E4"/>
    <w:rsid w:val="00FE3938"/>
    <w:rsid w:val="00FE3A3F"/>
    <w:rsid w:val="00FE3A6E"/>
    <w:rsid w:val="00FE3AA1"/>
    <w:rsid w:val="00FE3AFA"/>
    <w:rsid w:val="00FE3B05"/>
    <w:rsid w:val="00FE3B87"/>
    <w:rsid w:val="00FE3C4A"/>
    <w:rsid w:val="00FE3CF1"/>
    <w:rsid w:val="00FE3E40"/>
    <w:rsid w:val="00FE3EEC"/>
    <w:rsid w:val="00FE3FE5"/>
    <w:rsid w:val="00FE4035"/>
    <w:rsid w:val="00FE406B"/>
    <w:rsid w:val="00FE4108"/>
    <w:rsid w:val="00FE4183"/>
    <w:rsid w:val="00FE41A1"/>
    <w:rsid w:val="00FE41A7"/>
    <w:rsid w:val="00FE4259"/>
    <w:rsid w:val="00FE427C"/>
    <w:rsid w:val="00FE4383"/>
    <w:rsid w:val="00FE4385"/>
    <w:rsid w:val="00FE43B1"/>
    <w:rsid w:val="00FE4454"/>
    <w:rsid w:val="00FE458D"/>
    <w:rsid w:val="00FE462C"/>
    <w:rsid w:val="00FE4671"/>
    <w:rsid w:val="00FE47DD"/>
    <w:rsid w:val="00FE4821"/>
    <w:rsid w:val="00FE48A3"/>
    <w:rsid w:val="00FE49E8"/>
    <w:rsid w:val="00FE4A5E"/>
    <w:rsid w:val="00FE4AA3"/>
    <w:rsid w:val="00FE4AA5"/>
    <w:rsid w:val="00FE4AF2"/>
    <w:rsid w:val="00FE4B6C"/>
    <w:rsid w:val="00FE4CEF"/>
    <w:rsid w:val="00FE4D05"/>
    <w:rsid w:val="00FE4D0F"/>
    <w:rsid w:val="00FE4DA2"/>
    <w:rsid w:val="00FE4E70"/>
    <w:rsid w:val="00FE4ED4"/>
    <w:rsid w:val="00FE4F0D"/>
    <w:rsid w:val="00FE4F21"/>
    <w:rsid w:val="00FE5070"/>
    <w:rsid w:val="00FE50D0"/>
    <w:rsid w:val="00FE5115"/>
    <w:rsid w:val="00FE517F"/>
    <w:rsid w:val="00FE519A"/>
    <w:rsid w:val="00FE519E"/>
    <w:rsid w:val="00FE5246"/>
    <w:rsid w:val="00FE5260"/>
    <w:rsid w:val="00FE5290"/>
    <w:rsid w:val="00FE52E7"/>
    <w:rsid w:val="00FE52F4"/>
    <w:rsid w:val="00FE53D6"/>
    <w:rsid w:val="00FE54A7"/>
    <w:rsid w:val="00FE552D"/>
    <w:rsid w:val="00FE5534"/>
    <w:rsid w:val="00FE55E8"/>
    <w:rsid w:val="00FE566C"/>
    <w:rsid w:val="00FE5744"/>
    <w:rsid w:val="00FE57A6"/>
    <w:rsid w:val="00FE57F8"/>
    <w:rsid w:val="00FE5852"/>
    <w:rsid w:val="00FE58B8"/>
    <w:rsid w:val="00FE58C7"/>
    <w:rsid w:val="00FE59B6"/>
    <w:rsid w:val="00FE5DE4"/>
    <w:rsid w:val="00FE5E63"/>
    <w:rsid w:val="00FE5EC7"/>
    <w:rsid w:val="00FE600C"/>
    <w:rsid w:val="00FE609D"/>
    <w:rsid w:val="00FE60BC"/>
    <w:rsid w:val="00FE60D3"/>
    <w:rsid w:val="00FE60DD"/>
    <w:rsid w:val="00FE6188"/>
    <w:rsid w:val="00FE61DD"/>
    <w:rsid w:val="00FE61F2"/>
    <w:rsid w:val="00FE6210"/>
    <w:rsid w:val="00FE6286"/>
    <w:rsid w:val="00FE629A"/>
    <w:rsid w:val="00FE634B"/>
    <w:rsid w:val="00FE6363"/>
    <w:rsid w:val="00FE64B5"/>
    <w:rsid w:val="00FE64D4"/>
    <w:rsid w:val="00FE6529"/>
    <w:rsid w:val="00FE6543"/>
    <w:rsid w:val="00FE6565"/>
    <w:rsid w:val="00FE65B4"/>
    <w:rsid w:val="00FE6638"/>
    <w:rsid w:val="00FE6756"/>
    <w:rsid w:val="00FE67BB"/>
    <w:rsid w:val="00FE6820"/>
    <w:rsid w:val="00FE68FA"/>
    <w:rsid w:val="00FE690D"/>
    <w:rsid w:val="00FE6933"/>
    <w:rsid w:val="00FE69B6"/>
    <w:rsid w:val="00FE6D0A"/>
    <w:rsid w:val="00FE6D10"/>
    <w:rsid w:val="00FE6D2B"/>
    <w:rsid w:val="00FE6D7A"/>
    <w:rsid w:val="00FE6E05"/>
    <w:rsid w:val="00FE6E12"/>
    <w:rsid w:val="00FE6ED4"/>
    <w:rsid w:val="00FE6F20"/>
    <w:rsid w:val="00FE6F6D"/>
    <w:rsid w:val="00FE6F99"/>
    <w:rsid w:val="00FE71E0"/>
    <w:rsid w:val="00FE71E3"/>
    <w:rsid w:val="00FE72D2"/>
    <w:rsid w:val="00FE72FC"/>
    <w:rsid w:val="00FE7332"/>
    <w:rsid w:val="00FE7398"/>
    <w:rsid w:val="00FE73B9"/>
    <w:rsid w:val="00FE73DE"/>
    <w:rsid w:val="00FE742F"/>
    <w:rsid w:val="00FE74A6"/>
    <w:rsid w:val="00FE7610"/>
    <w:rsid w:val="00FE7618"/>
    <w:rsid w:val="00FE761F"/>
    <w:rsid w:val="00FE7637"/>
    <w:rsid w:val="00FE76EC"/>
    <w:rsid w:val="00FE7711"/>
    <w:rsid w:val="00FE771A"/>
    <w:rsid w:val="00FE7757"/>
    <w:rsid w:val="00FE778F"/>
    <w:rsid w:val="00FE7821"/>
    <w:rsid w:val="00FE7900"/>
    <w:rsid w:val="00FE7A8F"/>
    <w:rsid w:val="00FE7C54"/>
    <w:rsid w:val="00FE7C68"/>
    <w:rsid w:val="00FE7CAA"/>
    <w:rsid w:val="00FE7CCA"/>
    <w:rsid w:val="00FE7D4D"/>
    <w:rsid w:val="00FE7D58"/>
    <w:rsid w:val="00FE7D82"/>
    <w:rsid w:val="00FE7DE4"/>
    <w:rsid w:val="00FE7E41"/>
    <w:rsid w:val="00FE7EFF"/>
    <w:rsid w:val="00FE7FDF"/>
    <w:rsid w:val="00FF021E"/>
    <w:rsid w:val="00FF0226"/>
    <w:rsid w:val="00FF0254"/>
    <w:rsid w:val="00FF02FF"/>
    <w:rsid w:val="00FF0342"/>
    <w:rsid w:val="00FF03BF"/>
    <w:rsid w:val="00FF04F5"/>
    <w:rsid w:val="00FF0505"/>
    <w:rsid w:val="00FF0571"/>
    <w:rsid w:val="00FF059F"/>
    <w:rsid w:val="00FF05A3"/>
    <w:rsid w:val="00FF05AD"/>
    <w:rsid w:val="00FF06B4"/>
    <w:rsid w:val="00FF0739"/>
    <w:rsid w:val="00FF0771"/>
    <w:rsid w:val="00FF07EE"/>
    <w:rsid w:val="00FF09A3"/>
    <w:rsid w:val="00FF0A88"/>
    <w:rsid w:val="00FF0B02"/>
    <w:rsid w:val="00FF0C8A"/>
    <w:rsid w:val="00FF0CBD"/>
    <w:rsid w:val="00FF0DFF"/>
    <w:rsid w:val="00FF0E87"/>
    <w:rsid w:val="00FF0EAC"/>
    <w:rsid w:val="00FF0EF1"/>
    <w:rsid w:val="00FF0F1C"/>
    <w:rsid w:val="00FF0F25"/>
    <w:rsid w:val="00FF0F9E"/>
    <w:rsid w:val="00FF0FF5"/>
    <w:rsid w:val="00FF103C"/>
    <w:rsid w:val="00FF1135"/>
    <w:rsid w:val="00FF12E8"/>
    <w:rsid w:val="00FF137F"/>
    <w:rsid w:val="00FF1396"/>
    <w:rsid w:val="00FF1556"/>
    <w:rsid w:val="00FF15CC"/>
    <w:rsid w:val="00FF160A"/>
    <w:rsid w:val="00FF1627"/>
    <w:rsid w:val="00FF1644"/>
    <w:rsid w:val="00FF1703"/>
    <w:rsid w:val="00FF1747"/>
    <w:rsid w:val="00FF1750"/>
    <w:rsid w:val="00FF17C3"/>
    <w:rsid w:val="00FF18AE"/>
    <w:rsid w:val="00FF192A"/>
    <w:rsid w:val="00FF19F5"/>
    <w:rsid w:val="00FF1A68"/>
    <w:rsid w:val="00FF1A6B"/>
    <w:rsid w:val="00FF1AB9"/>
    <w:rsid w:val="00FF1BB9"/>
    <w:rsid w:val="00FF1BCF"/>
    <w:rsid w:val="00FF1C49"/>
    <w:rsid w:val="00FF1C74"/>
    <w:rsid w:val="00FF1D16"/>
    <w:rsid w:val="00FF1D2B"/>
    <w:rsid w:val="00FF1D40"/>
    <w:rsid w:val="00FF2099"/>
    <w:rsid w:val="00FF2182"/>
    <w:rsid w:val="00FF2200"/>
    <w:rsid w:val="00FF2286"/>
    <w:rsid w:val="00FF2331"/>
    <w:rsid w:val="00FF234B"/>
    <w:rsid w:val="00FF23D9"/>
    <w:rsid w:val="00FF24F4"/>
    <w:rsid w:val="00FF25B2"/>
    <w:rsid w:val="00FF275F"/>
    <w:rsid w:val="00FF2762"/>
    <w:rsid w:val="00FF27B0"/>
    <w:rsid w:val="00FF27B9"/>
    <w:rsid w:val="00FF2897"/>
    <w:rsid w:val="00FF28C3"/>
    <w:rsid w:val="00FF293D"/>
    <w:rsid w:val="00FF2966"/>
    <w:rsid w:val="00FF2990"/>
    <w:rsid w:val="00FF2A03"/>
    <w:rsid w:val="00FF2A83"/>
    <w:rsid w:val="00FF2CB6"/>
    <w:rsid w:val="00FF2CF5"/>
    <w:rsid w:val="00FF2E63"/>
    <w:rsid w:val="00FF2F12"/>
    <w:rsid w:val="00FF2F16"/>
    <w:rsid w:val="00FF2F92"/>
    <w:rsid w:val="00FF30E1"/>
    <w:rsid w:val="00FF322E"/>
    <w:rsid w:val="00FF323F"/>
    <w:rsid w:val="00FF324C"/>
    <w:rsid w:val="00FF3299"/>
    <w:rsid w:val="00FF32C5"/>
    <w:rsid w:val="00FF3347"/>
    <w:rsid w:val="00FF3396"/>
    <w:rsid w:val="00FF3541"/>
    <w:rsid w:val="00FF35D5"/>
    <w:rsid w:val="00FF35DE"/>
    <w:rsid w:val="00FF3658"/>
    <w:rsid w:val="00FF3732"/>
    <w:rsid w:val="00FF3893"/>
    <w:rsid w:val="00FF38A2"/>
    <w:rsid w:val="00FF38AB"/>
    <w:rsid w:val="00FF3983"/>
    <w:rsid w:val="00FF39C2"/>
    <w:rsid w:val="00FF39C6"/>
    <w:rsid w:val="00FF3A28"/>
    <w:rsid w:val="00FF3A8A"/>
    <w:rsid w:val="00FF3BAF"/>
    <w:rsid w:val="00FF3C52"/>
    <w:rsid w:val="00FF3C72"/>
    <w:rsid w:val="00FF3DCF"/>
    <w:rsid w:val="00FF3E3E"/>
    <w:rsid w:val="00FF3E69"/>
    <w:rsid w:val="00FF3F51"/>
    <w:rsid w:val="00FF3F70"/>
    <w:rsid w:val="00FF3FA4"/>
    <w:rsid w:val="00FF3FB3"/>
    <w:rsid w:val="00FF419E"/>
    <w:rsid w:val="00FF41C8"/>
    <w:rsid w:val="00FF424F"/>
    <w:rsid w:val="00FF4313"/>
    <w:rsid w:val="00FF45F4"/>
    <w:rsid w:val="00FF4640"/>
    <w:rsid w:val="00FF46EA"/>
    <w:rsid w:val="00FF46F9"/>
    <w:rsid w:val="00FF4704"/>
    <w:rsid w:val="00FF473E"/>
    <w:rsid w:val="00FF47E8"/>
    <w:rsid w:val="00FF480F"/>
    <w:rsid w:val="00FF4861"/>
    <w:rsid w:val="00FF4A3F"/>
    <w:rsid w:val="00FF4A47"/>
    <w:rsid w:val="00FF4AA4"/>
    <w:rsid w:val="00FF4B54"/>
    <w:rsid w:val="00FF4C9C"/>
    <w:rsid w:val="00FF4CAE"/>
    <w:rsid w:val="00FF4CB9"/>
    <w:rsid w:val="00FF4D02"/>
    <w:rsid w:val="00FF4DAC"/>
    <w:rsid w:val="00FF4DBA"/>
    <w:rsid w:val="00FF4E9C"/>
    <w:rsid w:val="00FF4EF2"/>
    <w:rsid w:val="00FF4F03"/>
    <w:rsid w:val="00FF4F65"/>
    <w:rsid w:val="00FF4F94"/>
    <w:rsid w:val="00FF5036"/>
    <w:rsid w:val="00FF5064"/>
    <w:rsid w:val="00FF50B2"/>
    <w:rsid w:val="00FF517F"/>
    <w:rsid w:val="00FF530E"/>
    <w:rsid w:val="00FF5328"/>
    <w:rsid w:val="00FF536E"/>
    <w:rsid w:val="00FF53B1"/>
    <w:rsid w:val="00FF5443"/>
    <w:rsid w:val="00FF54F1"/>
    <w:rsid w:val="00FF5588"/>
    <w:rsid w:val="00FF56CF"/>
    <w:rsid w:val="00FF5732"/>
    <w:rsid w:val="00FF57BC"/>
    <w:rsid w:val="00FF5824"/>
    <w:rsid w:val="00FF58EE"/>
    <w:rsid w:val="00FF5AF4"/>
    <w:rsid w:val="00FF5B4C"/>
    <w:rsid w:val="00FF5C34"/>
    <w:rsid w:val="00FF5C85"/>
    <w:rsid w:val="00FF5EB5"/>
    <w:rsid w:val="00FF5EB6"/>
    <w:rsid w:val="00FF5FBC"/>
    <w:rsid w:val="00FF5FF6"/>
    <w:rsid w:val="00FF606D"/>
    <w:rsid w:val="00FF60D2"/>
    <w:rsid w:val="00FF61C7"/>
    <w:rsid w:val="00FF6286"/>
    <w:rsid w:val="00FF62F6"/>
    <w:rsid w:val="00FF6307"/>
    <w:rsid w:val="00FF631F"/>
    <w:rsid w:val="00FF63C7"/>
    <w:rsid w:val="00FF64F5"/>
    <w:rsid w:val="00FF65AF"/>
    <w:rsid w:val="00FF65B1"/>
    <w:rsid w:val="00FF66FA"/>
    <w:rsid w:val="00FF67EF"/>
    <w:rsid w:val="00FF6838"/>
    <w:rsid w:val="00FF69BD"/>
    <w:rsid w:val="00FF69FF"/>
    <w:rsid w:val="00FF6BAF"/>
    <w:rsid w:val="00FF6CA6"/>
    <w:rsid w:val="00FF6D77"/>
    <w:rsid w:val="00FF6DA2"/>
    <w:rsid w:val="00FF6DC1"/>
    <w:rsid w:val="00FF6E4B"/>
    <w:rsid w:val="00FF6ECA"/>
    <w:rsid w:val="00FF6F3D"/>
    <w:rsid w:val="00FF6F54"/>
    <w:rsid w:val="00FF7011"/>
    <w:rsid w:val="00FF707C"/>
    <w:rsid w:val="00FF709B"/>
    <w:rsid w:val="00FF7170"/>
    <w:rsid w:val="00FF724B"/>
    <w:rsid w:val="00FF7338"/>
    <w:rsid w:val="00FF7361"/>
    <w:rsid w:val="00FF7449"/>
    <w:rsid w:val="00FF74F8"/>
    <w:rsid w:val="00FF757E"/>
    <w:rsid w:val="00FF762F"/>
    <w:rsid w:val="00FF7644"/>
    <w:rsid w:val="00FF78E6"/>
    <w:rsid w:val="00FF7B28"/>
    <w:rsid w:val="00FF7B43"/>
    <w:rsid w:val="00FF7B5E"/>
    <w:rsid w:val="00FF7C8F"/>
    <w:rsid w:val="00FF7D56"/>
    <w:rsid w:val="00FF7E05"/>
    <w:rsid w:val="00FF7E28"/>
    <w:rsid w:val="00FF7E36"/>
    <w:rsid w:val="00FF7E8F"/>
    <w:rsid w:val="00FF7F0F"/>
    <w:rsid w:val="019FADCB"/>
    <w:rsid w:val="02DAC961"/>
    <w:rsid w:val="038214DC"/>
    <w:rsid w:val="0469E6D2"/>
    <w:rsid w:val="0496B459"/>
    <w:rsid w:val="056A5B98"/>
    <w:rsid w:val="06AE00ED"/>
    <w:rsid w:val="080ED9CF"/>
    <w:rsid w:val="08E0379E"/>
    <w:rsid w:val="0913D799"/>
    <w:rsid w:val="0A1F1F19"/>
    <w:rsid w:val="0A33E9E2"/>
    <w:rsid w:val="0A764683"/>
    <w:rsid w:val="0BC0A280"/>
    <w:rsid w:val="0BF8EFD4"/>
    <w:rsid w:val="0CC0BF84"/>
    <w:rsid w:val="0D49B42A"/>
    <w:rsid w:val="0D8C9F8C"/>
    <w:rsid w:val="0DBCCBDC"/>
    <w:rsid w:val="0F31BE39"/>
    <w:rsid w:val="10DDD1D4"/>
    <w:rsid w:val="11685E98"/>
    <w:rsid w:val="11D88866"/>
    <w:rsid w:val="11E39990"/>
    <w:rsid w:val="121E5E18"/>
    <w:rsid w:val="12F9E9B1"/>
    <w:rsid w:val="13CDB49E"/>
    <w:rsid w:val="15869319"/>
    <w:rsid w:val="165FFC39"/>
    <w:rsid w:val="169E9BE0"/>
    <w:rsid w:val="16A2A061"/>
    <w:rsid w:val="17BC2972"/>
    <w:rsid w:val="18A29071"/>
    <w:rsid w:val="18B20CDE"/>
    <w:rsid w:val="18EF2439"/>
    <w:rsid w:val="1907BA69"/>
    <w:rsid w:val="1ABAA319"/>
    <w:rsid w:val="1BC86A3D"/>
    <w:rsid w:val="1CB306A0"/>
    <w:rsid w:val="1D2197D1"/>
    <w:rsid w:val="1E13CD7F"/>
    <w:rsid w:val="1E6D35EF"/>
    <w:rsid w:val="1ECC9E22"/>
    <w:rsid w:val="2047BF66"/>
    <w:rsid w:val="20AE3A88"/>
    <w:rsid w:val="20DFD2FB"/>
    <w:rsid w:val="215B768B"/>
    <w:rsid w:val="217BF994"/>
    <w:rsid w:val="21D92B50"/>
    <w:rsid w:val="226D38A9"/>
    <w:rsid w:val="232266B3"/>
    <w:rsid w:val="2352F5E0"/>
    <w:rsid w:val="23A992A3"/>
    <w:rsid w:val="256D8BAC"/>
    <w:rsid w:val="25D9D69E"/>
    <w:rsid w:val="261204C1"/>
    <w:rsid w:val="26470574"/>
    <w:rsid w:val="26C5AC0B"/>
    <w:rsid w:val="27A8B489"/>
    <w:rsid w:val="29505004"/>
    <w:rsid w:val="29586E2D"/>
    <w:rsid w:val="2979FCC2"/>
    <w:rsid w:val="2A265B95"/>
    <w:rsid w:val="2A5038A4"/>
    <w:rsid w:val="2B42584E"/>
    <w:rsid w:val="2CBF2E92"/>
    <w:rsid w:val="2D89AA0D"/>
    <w:rsid w:val="2E2E0D87"/>
    <w:rsid w:val="2E7EB072"/>
    <w:rsid w:val="2F2DDB44"/>
    <w:rsid w:val="2F85EB9B"/>
    <w:rsid w:val="2FE178F9"/>
    <w:rsid w:val="30702780"/>
    <w:rsid w:val="308E2A27"/>
    <w:rsid w:val="30BAC308"/>
    <w:rsid w:val="3123BD6E"/>
    <w:rsid w:val="316264E5"/>
    <w:rsid w:val="317E0C2D"/>
    <w:rsid w:val="32B5027D"/>
    <w:rsid w:val="32CD06FE"/>
    <w:rsid w:val="330F931E"/>
    <w:rsid w:val="3316E05D"/>
    <w:rsid w:val="3328D134"/>
    <w:rsid w:val="33537B84"/>
    <w:rsid w:val="33DB72E3"/>
    <w:rsid w:val="34F2D7BB"/>
    <w:rsid w:val="35689BE4"/>
    <w:rsid w:val="35D171A6"/>
    <w:rsid w:val="37A07C45"/>
    <w:rsid w:val="37C693F3"/>
    <w:rsid w:val="37DDC3B2"/>
    <w:rsid w:val="38402B58"/>
    <w:rsid w:val="387A44F2"/>
    <w:rsid w:val="396B7E4B"/>
    <w:rsid w:val="3A28A77D"/>
    <w:rsid w:val="3A84F503"/>
    <w:rsid w:val="3AE8A3C0"/>
    <w:rsid w:val="3B80FBB4"/>
    <w:rsid w:val="3C639760"/>
    <w:rsid w:val="3D6333EC"/>
    <w:rsid w:val="3DEFBDB6"/>
    <w:rsid w:val="3F0E6AED"/>
    <w:rsid w:val="3F114A17"/>
    <w:rsid w:val="3F11C7C9"/>
    <w:rsid w:val="3F4A90AC"/>
    <w:rsid w:val="3F4D6076"/>
    <w:rsid w:val="400D1112"/>
    <w:rsid w:val="40164D50"/>
    <w:rsid w:val="408520B7"/>
    <w:rsid w:val="40D464B7"/>
    <w:rsid w:val="41192686"/>
    <w:rsid w:val="412C7B30"/>
    <w:rsid w:val="41AB2D45"/>
    <w:rsid w:val="4244065A"/>
    <w:rsid w:val="42FD27CE"/>
    <w:rsid w:val="44426A6B"/>
    <w:rsid w:val="44B511CF"/>
    <w:rsid w:val="44EF711D"/>
    <w:rsid w:val="454305FA"/>
    <w:rsid w:val="454468F1"/>
    <w:rsid w:val="459C98BD"/>
    <w:rsid w:val="46AA8E5C"/>
    <w:rsid w:val="46DC04AD"/>
    <w:rsid w:val="483AF3D9"/>
    <w:rsid w:val="488E6D86"/>
    <w:rsid w:val="49834B0B"/>
    <w:rsid w:val="4A535A41"/>
    <w:rsid w:val="4A751DD7"/>
    <w:rsid w:val="4B474F90"/>
    <w:rsid w:val="4BE06C33"/>
    <w:rsid w:val="4C6CE64B"/>
    <w:rsid w:val="4CEB0148"/>
    <w:rsid w:val="4D4384BA"/>
    <w:rsid w:val="4D989FDB"/>
    <w:rsid w:val="4E01CF61"/>
    <w:rsid w:val="4E7EF944"/>
    <w:rsid w:val="4EAB4774"/>
    <w:rsid w:val="4EFEA370"/>
    <w:rsid w:val="4F9AF053"/>
    <w:rsid w:val="4FAB408B"/>
    <w:rsid w:val="5373F77E"/>
    <w:rsid w:val="541BAD90"/>
    <w:rsid w:val="55CFDA0A"/>
    <w:rsid w:val="55EE7A34"/>
    <w:rsid w:val="57218A34"/>
    <w:rsid w:val="5775F6A4"/>
    <w:rsid w:val="57F9562A"/>
    <w:rsid w:val="59262848"/>
    <w:rsid w:val="5A3E15DF"/>
    <w:rsid w:val="5B3498FB"/>
    <w:rsid w:val="5BF3DF5D"/>
    <w:rsid w:val="5C796FAB"/>
    <w:rsid w:val="5C7DB2E9"/>
    <w:rsid w:val="5ECCC2E4"/>
    <w:rsid w:val="5EF7C56E"/>
    <w:rsid w:val="5FBBCF2F"/>
    <w:rsid w:val="62523769"/>
    <w:rsid w:val="632BC6C7"/>
    <w:rsid w:val="636A3B6A"/>
    <w:rsid w:val="63D6722F"/>
    <w:rsid w:val="64F523F0"/>
    <w:rsid w:val="6510D6EB"/>
    <w:rsid w:val="653CA42F"/>
    <w:rsid w:val="65ED2E3F"/>
    <w:rsid w:val="66033913"/>
    <w:rsid w:val="66369B94"/>
    <w:rsid w:val="66616DFA"/>
    <w:rsid w:val="66E0937B"/>
    <w:rsid w:val="6707D177"/>
    <w:rsid w:val="67149A4E"/>
    <w:rsid w:val="67D43B21"/>
    <w:rsid w:val="6810EE13"/>
    <w:rsid w:val="6819730E"/>
    <w:rsid w:val="686956A6"/>
    <w:rsid w:val="68B9015A"/>
    <w:rsid w:val="68C0B4D2"/>
    <w:rsid w:val="6A46B66A"/>
    <w:rsid w:val="6A5B9A5B"/>
    <w:rsid w:val="6AF0F799"/>
    <w:rsid w:val="6BC516D7"/>
    <w:rsid w:val="6BD8BE40"/>
    <w:rsid w:val="6D0A5B86"/>
    <w:rsid w:val="6D3F8296"/>
    <w:rsid w:val="6E183BFE"/>
    <w:rsid w:val="6ED563D5"/>
    <w:rsid w:val="6F602A82"/>
    <w:rsid w:val="70C09585"/>
    <w:rsid w:val="70ED1936"/>
    <w:rsid w:val="71523278"/>
    <w:rsid w:val="71786B0A"/>
    <w:rsid w:val="72432D15"/>
    <w:rsid w:val="72654F8B"/>
    <w:rsid w:val="72DAA893"/>
    <w:rsid w:val="732186CF"/>
    <w:rsid w:val="74D8BBB4"/>
    <w:rsid w:val="74F118F5"/>
    <w:rsid w:val="755793B0"/>
    <w:rsid w:val="7665AFEB"/>
    <w:rsid w:val="77993BE4"/>
    <w:rsid w:val="7832CC04"/>
    <w:rsid w:val="7920C987"/>
    <w:rsid w:val="7C49044C"/>
    <w:rsid w:val="7C8B96E0"/>
    <w:rsid w:val="7CAE019D"/>
    <w:rsid w:val="7CC8DEAD"/>
    <w:rsid w:val="7D425B02"/>
    <w:rsid w:val="7D9587AE"/>
    <w:rsid w:val="7DEB0BE2"/>
    <w:rsid w:val="7EBF62EC"/>
    <w:rsid w:val="7F40DD3B"/>
    <w:rsid w:val="7F440D84"/>
    <w:rsid w:val="7F61F86D"/>
    <w:rsid w:val="7FC57DF1"/>
    <w:rsid w:val="7FCAE30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4635C81"/>
  <w15:chartTrackingRefBased/>
  <w15:docId w15:val="{9F1E8173-1844-4593-877E-F44EE361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34"/>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9F4A34"/>
    <w:pPr>
      <w:spacing w:after="240"/>
      <w:outlineLvl w:val="0"/>
    </w:pPr>
    <w:rPr>
      <w:rFonts w:ascii="Arial Bold" w:hAnsi="Arial Bold"/>
      <w:b/>
      <w:kern w:val="34"/>
      <w:sz w:val="36"/>
    </w:rPr>
  </w:style>
  <w:style w:type="paragraph" w:styleId="Heading2">
    <w:name w:val="heading 2"/>
    <w:basedOn w:val="HeadingBase"/>
    <w:next w:val="Normal"/>
    <w:link w:val="Heading2Char"/>
    <w:qFormat/>
    <w:rsid w:val="009F4A34"/>
    <w:pPr>
      <w:spacing w:before="240" w:after="240"/>
      <w:outlineLvl w:val="1"/>
    </w:pPr>
    <w:rPr>
      <w:rFonts w:ascii="Arial Bold" w:hAnsi="Arial Bold"/>
      <w:b/>
      <w:sz w:val="26"/>
    </w:rPr>
  </w:style>
  <w:style w:type="paragraph" w:styleId="Heading3">
    <w:name w:val="heading 3"/>
    <w:basedOn w:val="HeadingBase"/>
    <w:next w:val="Normal"/>
    <w:link w:val="Heading3Char"/>
    <w:qFormat/>
    <w:rsid w:val="009F4A34"/>
    <w:pPr>
      <w:spacing w:before="120" w:after="120"/>
      <w:outlineLvl w:val="2"/>
    </w:pPr>
    <w:rPr>
      <w:rFonts w:ascii="Arial Bold" w:hAnsi="Arial Bold"/>
      <w:b/>
      <w:sz w:val="22"/>
    </w:rPr>
  </w:style>
  <w:style w:type="paragraph" w:styleId="Heading4">
    <w:name w:val="heading 4"/>
    <w:basedOn w:val="HeadingBase"/>
    <w:next w:val="Normal"/>
    <w:link w:val="Heading4Char"/>
    <w:qFormat/>
    <w:rsid w:val="009F4A34"/>
    <w:pPr>
      <w:spacing w:after="120"/>
      <w:outlineLvl w:val="3"/>
    </w:pPr>
    <w:rPr>
      <w:rFonts w:ascii="Arial Bold" w:hAnsi="Arial Bold"/>
      <w:b/>
      <w:sz w:val="20"/>
    </w:rPr>
  </w:style>
  <w:style w:type="paragraph" w:styleId="Heading5">
    <w:name w:val="heading 5"/>
    <w:basedOn w:val="HeadingBase"/>
    <w:next w:val="Normal"/>
    <w:link w:val="Heading5Char"/>
    <w:qFormat/>
    <w:rsid w:val="009F4A34"/>
    <w:pPr>
      <w:spacing w:after="120"/>
      <w:outlineLvl w:val="4"/>
    </w:pPr>
    <w:rPr>
      <w:bCs/>
      <w:i/>
      <w:iCs/>
      <w:sz w:val="20"/>
      <w:szCs w:val="26"/>
    </w:rPr>
  </w:style>
  <w:style w:type="paragraph" w:styleId="Heading6">
    <w:name w:val="heading 6"/>
    <w:basedOn w:val="HeadingBase"/>
    <w:next w:val="Normal"/>
    <w:link w:val="Heading6Char"/>
    <w:rsid w:val="009F4A34"/>
    <w:pPr>
      <w:spacing w:after="120"/>
      <w:outlineLvl w:val="5"/>
    </w:pPr>
    <w:rPr>
      <w:bCs/>
      <w:sz w:val="20"/>
      <w:szCs w:val="22"/>
    </w:rPr>
  </w:style>
  <w:style w:type="paragraph" w:styleId="Heading7">
    <w:name w:val="heading 7"/>
    <w:basedOn w:val="HeadingBase"/>
    <w:next w:val="Normal"/>
    <w:link w:val="Heading7Char"/>
    <w:rsid w:val="009F4A34"/>
    <w:pPr>
      <w:spacing w:before="120"/>
      <w:outlineLvl w:val="6"/>
    </w:pPr>
    <w:rPr>
      <w:sz w:val="20"/>
      <w:szCs w:val="24"/>
    </w:rPr>
  </w:style>
  <w:style w:type="paragraph" w:styleId="Heading8">
    <w:name w:val="heading 8"/>
    <w:basedOn w:val="HeadingBase"/>
    <w:next w:val="Normal"/>
    <w:link w:val="Heading8Char"/>
    <w:rsid w:val="009F4A34"/>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9F4A34"/>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9F4A34"/>
    <w:pPr>
      <w:tabs>
        <w:tab w:val="center" w:pos="4153"/>
        <w:tab w:val="right" w:pos="8306"/>
      </w:tabs>
    </w:pPr>
  </w:style>
  <w:style w:type="character" w:customStyle="1" w:styleId="HeaderChar">
    <w:name w:val="Header Char"/>
    <w:basedOn w:val="DefaultParagraphFont"/>
    <w:link w:val="Header"/>
    <w:rsid w:val="009F4A34"/>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4C2D3B"/>
    <w:pPr>
      <w:numPr>
        <w:ilvl w:val="1"/>
        <w:numId w:val="17"/>
      </w:numPr>
      <w:tabs>
        <w:tab w:val="num" w:pos="360"/>
        <w:tab w:val="center" w:pos="4153"/>
        <w:tab w:val="right" w:pos="8306"/>
      </w:tabs>
    </w:pPr>
  </w:style>
  <w:style w:type="character" w:customStyle="1" w:styleId="FooterChar">
    <w:name w:val="Footer Char"/>
    <w:basedOn w:val="DefaultParagraphFont"/>
    <w:link w:val="Footer"/>
    <w:rsid w:val="009F4A34"/>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9F4A34"/>
    <w:pPr>
      <w:numPr>
        <w:ilvl w:val="1"/>
        <w:numId w:val="14"/>
      </w:num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9F4A34"/>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9F4A34"/>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9F4A34"/>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9F4A34"/>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9F4A34"/>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9F4A34"/>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9F4A34"/>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9F4A34"/>
    <w:pPr>
      <w:jc w:val="center"/>
    </w:pPr>
    <w:rPr>
      <w:rFonts w:ascii="Arial Bold" w:hAnsi="Arial Bold"/>
      <w:b/>
      <w:caps/>
      <w:sz w:val="22"/>
    </w:rPr>
  </w:style>
  <w:style w:type="paragraph" w:customStyle="1" w:styleId="FileProperties">
    <w:name w:val="File Properties"/>
    <w:basedOn w:val="Normal"/>
    <w:rsid w:val="009F4A34"/>
    <w:pPr>
      <w:spacing w:before="0"/>
    </w:pPr>
    <w:rPr>
      <w:i/>
    </w:rPr>
  </w:style>
  <w:style w:type="paragraph" w:customStyle="1" w:styleId="AlphaParagraph">
    <w:name w:val="Alpha Paragraph"/>
    <w:basedOn w:val="Normal"/>
    <w:rsid w:val="00982620"/>
    <w:pPr>
      <w:numPr>
        <w:numId w:val="1"/>
      </w:numPr>
      <w:tabs>
        <w:tab w:val="clear" w:pos="567"/>
        <w:tab w:val="num" w:pos="360"/>
      </w:tabs>
      <w:ind w:left="0" w:firstLine="0"/>
    </w:pPr>
  </w:style>
  <w:style w:type="paragraph" w:customStyle="1" w:styleId="HeadingBase">
    <w:name w:val="Heading Base"/>
    <w:rsid w:val="009F4A34"/>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661B55"/>
    <w:rPr>
      <w:bCs/>
      <w:color w:val="FFFFFF" w:themeColor="background1"/>
      <w:szCs w:val="52"/>
    </w:rPr>
  </w:style>
  <w:style w:type="paragraph" w:customStyle="1" w:styleId="StatementWhite">
    <w:name w:val="Statement White"/>
    <w:basedOn w:val="Normal"/>
    <w:autoRedefine/>
    <w:qFormat/>
    <w:rsid w:val="00515B86"/>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9F4A34"/>
    <w:pPr>
      <w:pBdr>
        <w:top w:val="single" w:sz="4" w:space="10" w:color="FFFFFF" w:themeColor="background1"/>
      </w:pBdr>
      <w:tabs>
        <w:tab w:val="clear" w:pos="567"/>
      </w:tabs>
      <w:ind w:left="567" w:hanging="284"/>
    </w:pPr>
    <w:rPr>
      <w:color w:val="FFFFFF" w:themeColor="background1"/>
    </w:rPr>
  </w:style>
  <w:style w:type="paragraph" w:customStyle="1" w:styleId="BoxText">
    <w:name w:val="Box Text"/>
    <w:basedOn w:val="Normal"/>
    <w:link w:val="BoxTextChar"/>
    <w:qFormat/>
    <w:rsid w:val="009F4A34"/>
    <w:pPr>
      <w:spacing w:before="120" w:after="120" w:line="240" w:lineRule="auto"/>
    </w:pPr>
  </w:style>
  <w:style w:type="paragraph" w:customStyle="1" w:styleId="BoxBullet">
    <w:name w:val="Box Bullet"/>
    <w:basedOn w:val="BoxText"/>
    <w:rsid w:val="00982620"/>
    <w:pPr>
      <w:numPr>
        <w:numId w:val="2"/>
      </w:numPr>
    </w:pPr>
  </w:style>
  <w:style w:type="paragraph" w:customStyle="1" w:styleId="BoxHeading">
    <w:name w:val="Box Heading"/>
    <w:basedOn w:val="HeadingBase"/>
    <w:next w:val="BoxText"/>
    <w:rsid w:val="009F4A34"/>
    <w:pPr>
      <w:spacing w:before="120" w:after="120"/>
    </w:pPr>
    <w:rPr>
      <w:b/>
      <w:sz w:val="20"/>
    </w:rPr>
  </w:style>
  <w:style w:type="character" w:customStyle="1" w:styleId="Heading6Char">
    <w:name w:val="Heading 6 Char"/>
    <w:basedOn w:val="DefaultParagraphFont"/>
    <w:link w:val="Heading6"/>
    <w:rsid w:val="009F4A34"/>
    <w:rPr>
      <w:rFonts w:ascii="Arial" w:eastAsia="Times New Roman" w:hAnsi="Arial" w:cs="Times New Roman"/>
      <w:bCs/>
      <w:sz w:val="20"/>
      <w:lang w:eastAsia="en-AU"/>
    </w:rPr>
  </w:style>
  <w:style w:type="paragraph" w:customStyle="1" w:styleId="BoxSubHeading">
    <w:name w:val="Box Sub Heading"/>
    <w:basedOn w:val="Heading6"/>
    <w:rsid w:val="009F4A34"/>
    <w:pPr>
      <w:spacing w:before="120" w:after="40"/>
    </w:pPr>
  </w:style>
  <w:style w:type="paragraph" w:customStyle="1" w:styleId="Bullet">
    <w:name w:val="Bullet"/>
    <w:aliases w:val="b,Body,b + line,b1,level 1,Bullet + line,bulleted,BodyNum,Bullet Char1,Bullet Char1 Char Char Char,Bullet Char1 Char Char Char Char,Bullet Char1 Char Char Char Char Char,b1 Char Char Char"/>
    <w:basedOn w:val="Normal"/>
    <w:link w:val="BulletChar"/>
    <w:qFormat/>
    <w:rsid w:val="00830CE8"/>
    <w:pPr>
      <w:numPr>
        <w:numId w:val="3"/>
      </w:numPr>
      <w:spacing w:after="160"/>
    </w:pPr>
  </w:style>
  <w:style w:type="paragraph" w:styleId="Caption">
    <w:name w:val="caption"/>
    <w:basedOn w:val="Normal"/>
    <w:next w:val="Normal"/>
    <w:rsid w:val="009F4A34"/>
    <w:rPr>
      <w:b/>
      <w:bCs/>
    </w:rPr>
  </w:style>
  <w:style w:type="paragraph" w:customStyle="1" w:styleId="ChartandTableFootnote">
    <w:name w:val="Chart and Table Footnote"/>
    <w:basedOn w:val="HeadingBase"/>
    <w:next w:val="Normal"/>
    <w:rsid w:val="009F4A34"/>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982620"/>
    <w:pPr>
      <w:keepNext w:val="0"/>
      <w:numPr>
        <w:numId w:val="8"/>
      </w:numPr>
      <w:spacing w:before="30"/>
    </w:pPr>
    <w:rPr>
      <w:color w:val="000000"/>
      <w:sz w:val="16"/>
    </w:rPr>
  </w:style>
  <w:style w:type="paragraph" w:customStyle="1" w:styleId="ChartandTableFootnoteSmall">
    <w:name w:val="Chart and Table Footnote Small"/>
    <w:basedOn w:val="HeadingBase"/>
    <w:next w:val="Normal"/>
    <w:rsid w:val="009F4A34"/>
    <w:pPr>
      <w:keepNext w:val="0"/>
      <w:tabs>
        <w:tab w:val="left" w:pos="284"/>
      </w:tabs>
      <w:jc w:val="both"/>
    </w:pPr>
    <w:rPr>
      <w:color w:val="000000"/>
      <w:sz w:val="15"/>
    </w:rPr>
  </w:style>
  <w:style w:type="paragraph" w:customStyle="1" w:styleId="ChartGraphic">
    <w:name w:val="Chart Graphic"/>
    <w:basedOn w:val="HeadingBase"/>
    <w:link w:val="ChartGraphicChar"/>
    <w:rsid w:val="00B53958"/>
    <w:rPr>
      <w:sz w:val="20"/>
    </w:rPr>
  </w:style>
  <w:style w:type="paragraph" w:customStyle="1" w:styleId="ChartHeading">
    <w:name w:val="Chart Heading"/>
    <w:basedOn w:val="HeadingBase"/>
    <w:next w:val="ChartGraphic"/>
    <w:qFormat/>
    <w:rsid w:val="009F4A34"/>
    <w:pPr>
      <w:spacing w:before="120" w:after="20"/>
    </w:pPr>
    <w:rPr>
      <w:b/>
      <w:sz w:val="20"/>
    </w:rPr>
  </w:style>
  <w:style w:type="paragraph" w:customStyle="1" w:styleId="TableLine">
    <w:name w:val="Table Line"/>
    <w:basedOn w:val="Normal"/>
    <w:next w:val="Normal"/>
    <w:autoRedefine/>
    <w:rsid w:val="009F4A34"/>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9F4A34"/>
    <w:pPr>
      <w:spacing w:after="60"/>
    </w:pPr>
    <w:rPr>
      <w:sz w:val="19"/>
    </w:rPr>
  </w:style>
  <w:style w:type="character" w:styleId="CommentReference">
    <w:name w:val="annotation reference"/>
    <w:basedOn w:val="DefaultParagraphFont"/>
    <w:rsid w:val="009F4A34"/>
    <w:rPr>
      <w:sz w:val="16"/>
      <w:szCs w:val="16"/>
    </w:rPr>
  </w:style>
  <w:style w:type="paragraph" w:styleId="CommentText">
    <w:name w:val="annotation text"/>
    <w:basedOn w:val="Normal"/>
    <w:link w:val="CommentTextChar"/>
    <w:rsid w:val="009F4A34"/>
  </w:style>
  <w:style w:type="character" w:customStyle="1" w:styleId="CommentTextChar">
    <w:name w:val="Comment Text Char"/>
    <w:basedOn w:val="DefaultParagraphFont"/>
    <w:link w:val="CommentText"/>
    <w:rsid w:val="009F4A34"/>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9F4A34"/>
    <w:rPr>
      <w:b/>
      <w:bCs/>
    </w:rPr>
  </w:style>
  <w:style w:type="character" w:customStyle="1" w:styleId="CommentSubjectChar">
    <w:name w:val="Comment Subject Char"/>
    <w:basedOn w:val="CommentTextChar"/>
    <w:link w:val="CommentSubject"/>
    <w:semiHidden/>
    <w:rsid w:val="009F4A34"/>
    <w:rPr>
      <w:rFonts w:eastAsia="Times New Roman" w:cs="Times New Roman"/>
      <w:b/>
      <w:bCs/>
      <w:sz w:val="19"/>
      <w:szCs w:val="20"/>
      <w:lang w:eastAsia="en-AU"/>
    </w:rPr>
  </w:style>
  <w:style w:type="paragraph" w:customStyle="1" w:styleId="ContentsHeading">
    <w:name w:val="Contents Heading"/>
    <w:basedOn w:val="Heading1"/>
    <w:next w:val="Normal"/>
    <w:rsid w:val="009F4A34"/>
    <w:pPr>
      <w:spacing w:after="720"/>
      <w:outlineLvl w:val="9"/>
    </w:pPr>
  </w:style>
  <w:style w:type="character" w:styleId="Strong">
    <w:name w:val="Strong"/>
    <w:basedOn w:val="DefaultParagraphFont"/>
    <w:uiPriority w:val="22"/>
    <w:qFormat/>
    <w:rsid w:val="009F4A34"/>
    <w:rPr>
      <w:b/>
      <w:bCs/>
    </w:rPr>
  </w:style>
  <w:style w:type="paragraph" w:customStyle="1" w:styleId="Dash">
    <w:name w:val="Dash"/>
    <w:basedOn w:val="Normal"/>
    <w:link w:val="DashChar"/>
    <w:qFormat/>
    <w:rsid w:val="009F4A34"/>
    <w:pPr>
      <w:numPr>
        <w:ilvl w:val="1"/>
        <w:numId w:val="3"/>
      </w:numPr>
      <w:tabs>
        <w:tab w:val="left" w:pos="567"/>
      </w:tabs>
    </w:pPr>
  </w:style>
  <w:style w:type="paragraph" w:styleId="DocumentMap">
    <w:name w:val="Document Map"/>
    <w:basedOn w:val="Normal"/>
    <w:link w:val="DocumentMapChar"/>
    <w:semiHidden/>
    <w:rsid w:val="009F4A34"/>
    <w:pPr>
      <w:shd w:val="clear" w:color="auto" w:fill="000080"/>
    </w:pPr>
    <w:rPr>
      <w:rFonts w:ascii="Tahoma" w:hAnsi="Tahoma" w:cs="Tahoma"/>
    </w:rPr>
  </w:style>
  <w:style w:type="character" w:customStyle="1" w:styleId="DocumentMapChar">
    <w:name w:val="Document Map Char"/>
    <w:basedOn w:val="DefaultParagraphFont"/>
    <w:link w:val="DocumentMap"/>
    <w:semiHidden/>
    <w:rsid w:val="009F4A34"/>
    <w:rPr>
      <w:rFonts w:ascii="Tahoma" w:eastAsia="Times New Roman" w:hAnsi="Tahoma" w:cs="Tahoma"/>
      <w:sz w:val="19"/>
      <w:szCs w:val="20"/>
      <w:shd w:val="clear" w:color="auto" w:fill="000080"/>
      <w:lang w:eastAsia="en-AU"/>
    </w:rPr>
  </w:style>
  <w:style w:type="paragraph" w:customStyle="1" w:styleId="DoubleDot">
    <w:name w:val="Double Dot"/>
    <w:basedOn w:val="Normal"/>
    <w:link w:val="DoubleDotChar"/>
    <w:rsid w:val="009F4A34"/>
    <w:pPr>
      <w:numPr>
        <w:ilvl w:val="2"/>
        <w:numId w:val="3"/>
      </w:numPr>
      <w:tabs>
        <w:tab w:val="clear" w:pos="850"/>
        <w:tab w:val="num" w:pos="360"/>
        <w:tab w:val="left" w:pos="851"/>
      </w:tabs>
    </w:pPr>
  </w:style>
  <w:style w:type="character" w:styleId="EndnoteReference">
    <w:name w:val="endnote reference"/>
    <w:basedOn w:val="DefaultParagraphFont"/>
    <w:unhideWhenUsed/>
    <w:rsid w:val="00436A95"/>
    <w:rPr>
      <w:vertAlign w:val="superscript"/>
    </w:rPr>
  </w:style>
  <w:style w:type="paragraph" w:styleId="EndnoteText">
    <w:name w:val="endnote text"/>
    <w:basedOn w:val="Normal"/>
    <w:link w:val="EndnoteTextChar"/>
    <w:unhideWhenUsed/>
    <w:rsid w:val="00436A95"/>
  </w:style>
  <w:style w:type="character" w:customStyle="1" w:styleId="EndnoteTextChar">
    <w:name w:val="Endnote Text Char"/>
    <w:basedOn w:val="DefaultParagraphFont"/>
    <w:link w:val="EndnoteText"/>
    <w:rsid w:val="00436A95"/>
    <w:rPr>
      <w:rFonts w:eastAsia="Times New Roman" w:cs="Times New Roman"/>
      <w:sz w:val="19"/>
      <w:szCs w:val="20"/>
      <w:lang w:eastAsia="en-AU"/>
    </w:rPr>
  </w:style>
  <w:style w:type="paragraph" w:customStyle="1" w:styleId="FigureHeading">
    <w:name w:val="Figure Heading"/>
    <w:basedOn w:val="HeadingBase"/>
    <w:next w:val="ChartGraphic"/>
    <w:rsid w:val="009F4A34"/>
    <w:pPr>
      <w:spacing w:before="120" w:after="20"/>
    </w:pPr>
    <w:rPr>
      <w:b/>
      <w:sz w:val="20"/>
    </w:rPr>
  </w:style>
  <w:style w:type="paragraph" w:customStyle="1" w:styleId="FooterBase">
    <w:name w:val="Footer Base"/>
    <w:rsid w:val="009F4A34"/>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CD5DAE"/>
    <w:pPr>
      <w:numPr>
        <w:ilvl w:val="0"/>
        <w:numId w:val="0"/>
      </w:numPr>
      <w:pBdr>
        <w:top w:val="single" w:sz="4" w:space="10" w:color="293F5B" w:themeColor="text2"/>
      </w:pBdr>
      <w:jc w:val="left"/>
    </w:pPr>
    <w:rPr>
      <w:sz w:val="18"/>
    </w:rPr>
  </w:style>
  <w:style w:type="paragraph" w:customStyle="1" w:styleId="FooterOdd">
    <w:name w:val="Footer Odd"/>
    <w:basedOn w:val="Footer"/>
    <w:qFormat/>
    <w:rsid w:val="00CD5DAE"/>
    <w:pPr>
      <w:numPr>
        <w:ilvl w:val="0"/>
        <w:numId w:val="0"/>
      </w:numPr>
      <w:pBdr>
        <w:top w:val="single" w:sz="4" w:space="10" w:color="293F5B" w:themeColor="text2"/>
      </w:pBdr>
      <w:jc w:val="right"/>
    </w:pPr>
    <w:rPr>
      <w:sz w:val="18"/>
    </w:rPr>
  </w:style>
  <w:style w:type="character" w:styleId="FootnoteReference">
    <w:name w:val="footnote reference"/>
    <w:basedOn w:val="DefaultParagraphFont"/>
    <w:rsid w:val="009F4A34"/>
    <w:rPr>
      <w:vertAlign w:val="superscript"/>
    </w:rPr>
  </w:style>
  <w:style w:type="paragraph" w:styleId="FootnoteText">
    <w:name w:val="footnote text"/>
    <w:basedOn w:val="Normal"/>
    <w:link w:val="FootnoteTextChar"/>
    <w:rsid w:val="009F4A34"/>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9F4A34"/>
    <w:rPr>
      <w:rFonts w:eastAsia="Times New Roman" w:cs="Times New Roman"/>
      <w:sz w:val="18"/>
      <w:szCs w:val="20"/>
      <w:lang w:eastAsia="en-AU"/>
    </w:rPr>
  </w:style>
  <w:style w:type="character" w:customStyle="1" w:styleId="FramedHeader">
    <w:name w:val="Framed Header"/>
    <w:basedOn w:val="DefaultParagraphFont"/>
    <w:rsid w:val="009F4A34"/>
    <w:rPr>
      <w:rFonts w:ascii="Book Antiqua" w:hAnsi="Book Antiqua"/>
      <w:i/>
      <w:dstrike w:val="0"/>
      <w:color w:val="auto"/>
      <w:sz w:val="20"/>
      <w:vertAlign w:val="baseline"/>
    </w:rPr>
  </w:style>
  <w:style w:type="paragraph" w:customStyle="1" w:styleId="HeaderBase">
    <w:name w:val="Header Base"/>
    <w:rsid w:val="009F4A34"/>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9F4A34"/>
  </w:style>
  <w:style w:type="paragraph" w:customStyle="1" w:styleId="HeaderOdd">
    <w:name w:val="Header Odd"/>
    <w:basedOn w:val="HeaderBase"/>
    <w:rsid w:val="009F4A34"/>
    <w:pPr>
      <w:jc w:val="right"/>
    </w:pPr>
  </w:style>
  <w:style w:type="character" w:customStyle="1" w:styleId="Heading1Char">
    <w:name w:val="Heading 1 Char"/>
    <w:basedOn w:val="DefaultParagraphFont"/>
    <w:link w:val="Heading1"/>
    <w:rsid w:val="009F4A34"/>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9F4A34"/>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9F4A34"/>
    <w:rPr>
      <w:rFonts w:ascii="Arial Bold" w:eastAsia="Times New Roman" w:hAnsi="Arial Bold" w:cs="Times New Roman"/>
      <w:b/>
      <w:szCs w:val="20"/>
      <w:lang w:eastAsia="en-AU"/>
    </w:rPr>
  </w:style>
  <w:style w:type="paragraph" w:customStyle="1" w:styleId="Heading3noTOC">
    <w:name w:val="Heading 3 no TOC"/>
    <w:basedOn w:val="Heading3"/>
    <w:rsid w:val="009F4A34"/>
    <w:pPr>
      <w:outlineLvl w:val="9"/>
    </w:pPr>
  </w:style>
  <w:style w:type="character" w:customStyle="1" w:styleId="Heading4Char">
    <w:name w:val="Heading 4 Char"/>
    <w:basedOn w:val="DefaultParagraphFont"/>
    <w:link w:val="Heading4"/>
    <w:rsid w:val="009F4A34"/>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9F4A34"/>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9F4A34"/>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9F4A34"/>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9F4A34"/>
    <w:rPr>
      <w:rFonts w:ascii="Times New Roman" w:hAnsi="Times New Roman"/>
      <w:vanish/>
      <w:sz w:val="16"/>
    </w:rPr>
  </w:style>
  <w:style w:type="character" w:styleId="Hyperlink">
    <w:name w:val="Hyperlink"/>
    <w:basedOn w:val="DefaultParagraphFont"/>
    <w:uiPriority w:val="99"/>
    <w:unhideWhenUsed/>
    <w:rsid w:val="009F4A34"/>
    <w:rPr>
      <w:color w:val="0000FF"/>
      <w:u w:val="single"/>
    </w:rPr>
  </w:style>
  <w:style w:type="paragraph" w:styleId="Index1">
    <w:name w:val="index 1"/>
    <w:basedOn w:val="Normal"/>
    <w:next w:val="Normal"/>
    <w:rsid w:val="00436A95"/>
    <w:pPr>
      <w:ind w:left="200" w:hanging="200"/>
    </w:pPr>
  </w:style>
  <w:style w:type="paragraph" w:styleId="Index2">
    <w:name w:val="index 2"/>
    <w:basedOn w:val="Normal"/>
    <w:next w:val="Normal"/>
    <w:rsid w:val="00436A95"/>
    <w:pPr>
      <w:ind w:left="400" w:hanging="200"/>
    </w:pPr>
  </w:style>
  <w:style w:type="paragraph" w:styleId="Index3">
    <w:name w:val="index 3"/>
    <w:basedOn w:val="Normal"/>
    <w:next w:val="Normal"/>
    <w:rsid w:val="00436A95"/>
    <w:pPr>
      <w:ind w:left="600" w:hanging="200"/>
    </w:pPr>
  </w:style>
  <w:style w:type="paragraph" w:styleId="Index4">
    <w:name w:val="index 4"/>
    <w:basedOn w:val="Normal"/>
    <w:next w:val="Normal"/>
    <w:autoRedefine/>
    <w:semiHidden/>
    <w:rsid w:val="009F4A34"/>
    <w:pPr>
      <w:ind w:left="800" w:hanging="200"/>
    </w:pPr>
  </w:style>
  <w:style w:type="paragraph" w:styleId="Index5">
    <w:name w:val="index 5"/>
    <w:basedOn w:val="Normal"/>
    <w:next w:val="Normal"/>
    <w:autoRedefine/>
    <w:semiHidden/>
    <w:rsid w:val="009F4A34"/>
    <w:pPr>
      <w:ind w:left="1000" w:hanging="200"/>
    </w:pPr>
  </w:style>
  <w:style w:type="paragraph" w:styleId="Index6">
    <w:name w:val="index 6"/>
    <w:basedOn w:val="Normal"/>
    <w:next w:val="Normal"/>
    <w:autoRedefine/>
    <w:semiHidden/>
    <w:rsid w:val="009F4A34"/>
    <w:pPr>
      <w:ind w:left="1200" w:hanging="200"/>
    </w:pPr>
  </w:style>
  <w:style w:type="paragraph" w:styleId="Index7">
    <w:name w:val="index 7"/>
    <w:basedOn w:val="Normal"/>
    <w:next w:val="Normal"/>
    <w:autoRedefine/>
    <w:semiHidden/>
    <w:rsid w:val="009F4A34"/>
    <w:pPr>
      <w:ind w:left="1400" w:hanging="200"/>
    </w:pPr>
  </w:style>
  <w:style w:type="paragraph" w:styleId="Index8">
    <w:name w:val="index 8"/>
    <w:basedOn w:val="Normal"/>
    <w:next w:val="Normal"/>
    <w:autoRedefine/>
    <w:semiHidden/>
    <w:rsid w:val="009F4A34"/>
    <w:pPr>
      <w:ind w:left="1600" w:hanging="200"/>
    </w:pPr>
  </w:style>
  <w:style w:type="paragraph" w:styleId="Index9">
    <w:name w:val="index 9"/>
    <w:basedOn w:val="Normal"/>
    <w:next w:val="Normal"/>
    <w:autoRedefine/>
    <w:semiHidden/>
    <w:rsid w:val="009F4A34"/>
    <w:pPr>
      <w:ind w:left="1800" w:hanging="200"/>
    </w:pPr>
  </w:style>
  <w:style w:type="paragraph" w:styleId="IndexHeading">
    <w:name w:val="index heading"/>
    <w:basedOn w:val="Normal"/>
    <w:next w:val="Index1"/>
    <w:rsid w:val="00436A95"/>
    <w:rPr>
      <w:rFonts w:ascii="Symbol" w:hAnsi="Symbol" w:cs="Courier New"/>
      <w:b/>
      <w:bCs/>
      <w:color w:val="002B54"/>
    </w:rPr>
  </w:style>
  <w:style w:type="paragraph" w:styleId="MacroText">
    <w:name w:val="macro"/>
    <w:link w:val="MacroTextChar"/>
    <w:unhideWhenUsed/>
    <w:rsid w:val="009F4A34"/>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9F4A34"/>
    <w:rPr>
      <w:rFonts w:ascii="Courier New" w:eastAsia="Times New Roman" w:hAnsi="Courier New" w:cs="Courier New"/>
      <w:sz w:val="20"/>
      <w:szCs w:val="20"/>
      <w:lang w:eastAsia="en-AU"/>
    </w:rPr>
  </w:style>
  <w:style w:type="paragraph" w:styleId="NormalIndent">
    <w:name w:val="Normal Indent"/>
    <w:basedOn w:val="Normal"/>
    <w:rsid w:val="009F4A34"/>
    <w:pPr>
      <w:ind w:left="567"/>
    </w:pPr>
  </w:style>
  <w:style w:type="paragraph" w:customStyle="1" w:styleId="NoteTableHeading">
    <w:name w:val="Note Table Heading"/>
    <w:basedOn w:val="HeadingBase"/>
    <w:next w:val="Normal"/>
    <w:rsid w:val="009F4A34"/>
    <w:pPr>
      <w:spacing w:before="240"/>
    </w:pPr>
    <w:rPr>
      <w:b/>
      <w:sz w:val="20"/>
    </w:rPr>
  </w:style>
  <w:style w:type="paragraph" w:customStyle="1" w:styleId="OverviewParagraph">
    <w:name w:val="Overview Paragraph"/>
    <w:basedOn w:val="Normal"/>
    <w:rsid w:val="009F4A34"/>
    <w:pPr>
      <w:spacing w:before="120" w:after="120" w:line="240" w:lineRule="auto"/>
    </w:pPr>
  </w:style>
  <w:style w:type="character" w:styleId="PageNumber">
    <w:name w:val="page number"/>
    <w:basedOn w:val="DefaultParagraphFont"/>
    <w:rsid w:val="009F4A34"/>
    <w:rPr>
      <w:rFonts w:ascii="Arial" w:hAnsi="Arial" w:cs="Arial"/>
    </w:rPr>
  </w:style>
  <w:style w:type="paragraph" w:customStyle="1" w:styleId="SingleParagraph">
    <w:name w:val="Single Paragraph"/>
    <w:basedOn w:val="Normal"/>
    <w:rsid w:val="009F4A34"/>
    <w:pPr>
      <w:spacing w:before="0" w:after="0"/>
    </w:pPr>
  </w:style>
  <w:style w:type="paragraph" w:customStyle="1" w:styleId="Source">
    <w:name w:val="Source"/>
    <w:basedOn w:val="Normal"/>
    <w:rsid w:val="009F4A34"/>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9F4A34"/>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9F4A34"/>
    <w:pPr>
      <w:jc w:val="center"/>
    </w:pPr>
  </w:style>
  <w:style w:type="paragraph" w:customStyle="1" w:styleId="TableColumnHeadingLeft">
    <w:name w:val="Table Column Heading Left"/>
    <w:basedOn w:val="TableColumnHeadingBase"/>
    <w:next w:val="Normal"/>
    <w:rsid w:val="009F4A34"/>
  </w:style>
  <w:style w:type="paragraph" w:customStyle="1" w:styleId="TableColumnHeadingRight">
    <w:name w:val="Table Column Heading Right"/>
    <w:basedOn w:val="TableColumnHeadingBase"/>
    <w:next w:val="Normal"/>
    <w:rsid w:val="009F4A34"/>
    <w:pPr>
      <w:jc w:val="right"/>
    </w:pPr>
  </w:style>
  <w:style w:type="paragraph" w:customStyle="1" w:styleId="TableGraphic">
    <w:name w:val="Table Graphic"/>
    <w:basedOn w:val="Normal"/>
    <w:next w:val="Normal"/>
    <w:rsid w:val="009F4A34"/>
    <w:pPr>
      <w:spacing w:after="0" w:line="240" w:lineRule="auto"/>
      <w:ind w:right="-113"/>
    </w:pPr>
  </w:style>
  <w:style w:type="table" w:styleId="TableGrid">
    <w:name w:val="Table Grid"/>
    <w:basedOn w:val="TableNormal"/>
    <w:rsid w:val="009D5031"/>
    <w:pPr>
      <w:spacing w:after="240" w:line="260" w:lineRule="exac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9F4A34"/>
    <w:pPr>
      <w:spacing w:before="120" w:after="20"/>
    </w:pPr>
    <w:rPr>
      <w:b/>
      <w:sz w:val="20"/>
    </w:rPr>
  </w:style>
  <w:style w:type="paragraph" w:customStyle="1" w:styleId="TableHeadingcontinued">
    <w:name w:val="Table Heading continued"/>
    <w:basedOn w:val="HeadingBase"/>
    <w:next w:val="TableGraphic"/>
    <w:rsid w:val="009F4A34"/>
    <w:pPr>
      <w:spacing w:before="120" w:after="20"/>
    </w:pPr>
    <w:rPr>
      <w:rFonts w:ascii="Arial Bold" w:hAnsi="Arial Bold"/>
      <w:b/>
      <w:sz w:val="20"/>
    </w:rPr>
  </w:style>
  <w:style w:type="paragraph" w:styleId="TableofAuthorities">
    <w:name w:val="table of authorities"/>
    <w:basedOn w:val="Normal"/>
    <w:next w:val="Normal"/>
    <w:rsid w:val="00436A95"/>
    <w:pPr>
      <w:ind w:left="200" w:hanging="200"/>
    </w:pPr>
  </w:style>
  <w:style w:type="paragraph" w:styleId="TableofFigures">
    <w:name w:val="table of figures"/>
    <w:basedOn w:val="Normal"/>
    <w:next w:val="Normal"/>
    <w:rsid w:val="009F4A34"/>
  </w:style>
  <w:style w:type="paragraph" w:customStyle="1" w:styleId="TableTextBase">
    <w:name w:val="Table Text Base"/>
    <w:basedOn w:val="Normal"/>
    <w:rsid w:val="009F4A34"/>
    <w:pPr>
      <w:spacing w:before="20" w:after="20" w:line="240" w:lineRule="auto"/>
    </w:pPr>
    <w:rPr>
      <w:rFonts w:ascii="Arial" w:hAnsi="Arial"/>
      <w:sz w:val="16"/>
    </w:rPr>
  </w:style>
  <w:style w:type="paragraph" w:customStyle="1" w:styleId="TableTextCentred">
    <w:name w:val="Table Text Centred"/>
    <w:basedOn w:val="TableTextBase"/>
    <w:rsid w:val="009F4A34"/>
    <w:pPr>
      <w:jc w:val="center"/>
    </w:pPr>
  </w:style>
  <w:style w:type="paragraph" w:customStyle="1" w:styleId="TableTextIndented">
    <w:name w:val="Table Text Indented"/>
    <w:basedOn w:val="TableTextBase"/>
    <w:rsid w:val="009F4A34"/>
    <w:pPr>
      <w:ind w:left="284"/>
    </w:pPr>
  </w:style>
  <w:style w:type="paragraph" w:customStyle="1" w:styleId="TableTextLeft">
    <w:name w:val="Table Text Left"/>
    <w:basedOn w:val="TableTextBase"/>
    <w:rsid w:val="009F4A34"/>
  </w:style>
  <w:style w:type="paragraph" w:customStyle="1" w:styleId="TableTextRight">
    <w:name w:val="Table Text Right"/>
    <w:basedOn w:val="TableTextBase"/>
    <w:rsid w:val="009F4A34"/>
    <w:pPr>
      <w:jc w:val="right"/>
    </w:pPr>
  </w:style>
  <w:style w:type="paragraph" w:styleId="TOAHeading">
    <w:name w:val="toa heading"/>
    <w:basedOn w:val="Normal"/>
    <w:next w:val="Normal"/>
    <w:rsid w:val="009F4A34"/>
    <w:pPr>
      <w:spacing w:before="120"/>
    </w:pPr>
    <w:rPr>
      <w:rFonts w:ascii="Arial" w:hAnsi="Arial" w:cs="Arial"/>
      <w:b/>
      <w:bCs/>
      <w:sz w:val="24"/>
      <w:szCs w:val="24"/>
    </w:rPr>
  </w:style>
  <w:style w:type="paragraph" w:styleId="TOC1">
    <w:name w:val="toc 1"/>
    <w:basedOn w:val="HeaderBase"/>
    <w:next w:val="Normal"/>
    <w:uiPriority w:val="39"/>
    <w:rsid w:val="009F4A34"/>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9F4A34"/>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9F4A34"/>
    <w:pPr>
      <w:tabs>
        <w:tab w:val="right" w:leader="dot" w:pos="7700"/>
      </w:tabs>
      <w:spacing w:before="40"/>
      <w:ind w:right="851"/>
    </w:pPr>
    <w:rPr>
      <w:sz w:val="20"/>
    </w:rPr>
  </w:style>
  <w:style w:type="paragraph" w:styleId="TOC4">
    <w:name w:val="toc 4"/>
    <w:basedOn w:val="HeadingBase"/>
    <w:next w:val="Normal"/>
    <w:uiPriority w:val="2"/>
    <w:unhideWhenUsed/>
    <w:rsid w:val="009F4A34"/>
    <w:pPr>
      <w:tabs>
        <w:tab w:val="right" w:leader="dot" w:pos="7700"/>
      </w:tabs>
      <w:spacing w:before="40"/>
      <w:ind w:right="851"/>
    </w:pPr>
    <w:rPr>
      <w:sz w:val="20"/>
    </w:rPr>
  </w:style>
  <w:style w:type="paragraph" w:styleId="TOC5">
    <w:name w:val="toc 5"/>
    <w:basedOn w:val="Normal"/>
    <w:next w:val="Normal"/>
    <w:autoRedefine/>
    <w:uiPriority w:val="2"/>
    <w:semiHidden/>
    <w:rsid w:val="009F4A34"/>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9F4A34"/>
    <w:pPr>
      <w:tabs>
        <w:tab w:val="left" w:pos="851"/>
      </w:tabs>
      <w:ind w:left="851" w:hanging="851"/>
    </w:pPr>
    <w:rPr>
      <w:color w:val="000000"/>
    </w:rPr>
  </w:style>
  <w:style w:type="paragraph" w:styleId="TOC7">
    <w:name w:val="toc 7"/>
    <w:basedOn w:val="Normal"/>
    <w:next w:val="Normal"/>
    <w:autoRedefine/>
    <w:uiPriority w:val="2"/>
    <w:semiHidden/>
    <w:rsid w:val="009F4A34"/>
    <w:pPr>
      <w:ind w:left="1200"/>
    </w:pPr>
  </w:style>
  <w:style w:type="paragraph" w:styleId="TOC8">
    <w:name w:val="toc 8"/>
    <w:basedOn w:val="Normal"/>
    <w:next w:val="Normal"/>
    <w:autoRedefine/>
    <w:uiPriority w:val="2"/>
    <w:semiHidden/>
    <w:rsid w:val="009F4A34"/>
    <w:pPr>
      <w:ind w:left="1400"/>
    </w:pPr>
  </w:style>
  <w:style w:type="paragraph" w:styleId="TOC9">
    <w:name w:val="toc 9"/>
    <w:basedOn w:val="Normal"/>
    <w:next w:val="Normal"/>
    <w:autoRedefine/>
    <w:uiPriority w:val="2"/>
    <w:semiHidden/>
    <w:rsid w:val="009F4A34"/>
    <w:pPr>
      <w:ind w:left="1600"/>
    </w:pPr>
  </w:style>
  <w:style w:type="paragraph" w:customStyle="1" w:styleId="TPHeading1">
    <w:name w:val="TP Heading 1"/>
    <w:basedOn w:val="HeadingBase"/>
    <w:semiHidden/>
    <w:rsid w:val="009F4A34"/>
    <w:pPr>
      <w:spacing w:before="60" w:after="60"/>
      <w:ind w:left="1134"/>
    </w:pPr>
    <w:rPr>
      <w:rFonts w:ascii="Arial Bold" w:hAnsi="Arial Bold"/>
      <w:b/>
      <w:caps/>
      <w:spacing w:val="-10"/>
      <w:sz w:val="28"/>
    </w:rPr>
  </w:style>
  <w:style w:type="paragraph" w:customStyle="1" w:styleId="TPHeading2">
    <w:name w:val="TP Heading 2"/>
    <w:basedOn w:val="HeadingBase"/>
    <w:semiHidden/>
    <w:rsid w:val="009F4A34"/>
    <w:pPr>
      <w:ind w:left="1134"/>
    </w:pPr>
    <w:rPr>
      <w:caps/>
      <w:spacing w:val="-10"/>
      <w:sz w:val="28"/>
    </w:rPr>
  </w:style>
  <w:style w:type="paragraph" w:customStyle="1" w:styleId="TPHeading3">
    <w:name w:val="TP Heading 3"/>
    <w:basedOn w:val="HeadingBase"/>
    <w:semiHidden/>
    <w:rsid w:val="009F4A34"/>
    <w:pPr>
      <w:ind w:left="1134"/>
    </w:pPr>
    <w:rPr>
      <w:caps/>
      <w:spacing w:val="-10"/>
    </w:rPr>
  </w:style>
  <w:style w:type="paragraph" w:customStyle="1" w:styleId="TPHeading3bold">
    <w:name w:val="TP Heading 3 bold"/>
    <w:basedOn w:val="TPHeading3"/>
    <w:semiHidden/>
    <w:rsid w:val="009F4A34"/>
    <w:rPr>
      <w:rFonts w:cs="Arial"/>
      <w:b/>
      <w:sz w:val="22"/>
      <w:szCs w:val="22"/>
    </w:rPr>
  </w:style>
  <w:style w:type="paragraph" w:customStyle="1" w:styleId="TPHEADING3boldspace">
    <w:name w:val="TP HEADING 3 bold space"/>
    <w:basedOn w:val="TPHeading3bold"/>
    <w:semiHidden/>
    <w:rsid w:val="009F4A34"/>
    <w:pPr>
      <w:spacing w:after="120"/>
    </w:pPr>
  </w:style>
  <w:style w:type="paragraph" w:customStyle="1" w:styleId="TPHEADING3space">
    <w:name w:val="TP HEADING 3 space"/>
    <w:basedOn w:val="TPHeading3"/>
    <w:semiHidden/>
    <w:rsid w:val="009F4A34"/>
    <w:pPr>
      <w:spacing w:before="120" w:after="120"/>
    </w:pPr>
    <w:rPr>
      <w:rFonts w:cs="Arial"/>
      <w:sz w:val="22"/>
      <w:szCs w:val="22"/>
    </w:rPr>
  </w:style>
  <w:style w:type="paragraph" w:customStyle="1" w:styleId="TPHeading4">
    <w:name w:val="TP Heading 4"/>
    <w:basedOn w:val="TPHeading3"/>
    <w:semiHidden/>
    <w:rsid w:val="009F4A34"/>
    <w:rPr>
      <w:sz w:val="20"/>
    </w:rPr>
  </w:style>
  <w:style w:type="paragraph" w:customStyle="1" w:styleId="TPHEADING4space">
    <w:name w:val="TP HEADING 4 space"/>
    <w:basedOn w:val="TPHEADING3space"/>
    <w:semiHidden/>
    <w:rsid w:val="009F4A34"/>
  </w:style>
  <w:style w:type="paragraph" w:customStyle="1" w:styleId="ChartLine">
    <w:name w:val="Chart Line"/>
    <w:basedOn w:val="Normal"/>
    <w:autoRedefine/>
    <w:qFormat/>
    <w:rsid w:val="009F4A34"/>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9F4A34"/>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9F4A34"/>
  </w:style>
  <w:style w:type="character" w:customStyle="1" w:styleId="BoxHeading-Continued">
    <w:name w:val="Box Heading - Continued"/>
    <w:uiPriority w:val="1"/>
    <w:qFormat/>
    <w:rsid w:val="009F4A34"/>
    <w:rPr>
      <w:sz w:val="16"/>
    </w:rPr>
  </w:style>
  <w:style w:type="paragraph" w:customStyle="1" w:styleId="Box-continuedon">
    <w:name w:val="Box - continued on"/>
    <w:basedOn w:val="Normal"/>
    <w:qFormat/>
    <w:rsid w:val="009F4A34"/>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9F4A34"/>
    <w:rPr>
      <w:color w:val="FFFFFF" w:themeColor="background1"/>
    </w:rPr>
  </w:style>
  <w:style w:type="character" w:customStyle="1" w:styleId="Heading9Char">
    <w:name w:val="Heading 9 Char"/>
    <w:basedOn w:val="DefaultParagraphFont"/>
    <w:link w:val="Heading9"/>
    <w:uiPriority w:val="9"/>
    <w:rsid w:val="009F4A34"/>
    <w:rPr>
      <w:rFonts w:ascii="Cambria" w:eastAsia="Times New Roman" w:hAnsi="Cambria" w:cs="Times New Roman"/>
      <w:lang w:eastAsia="en-AU"/>
    </w:rPr>
  </w:style>
  <w:style w:type="paragraph" w:customStyle="1" w:styleId="BoxHeading2">
    <w:name w:val="Box Heading 2"/>
    <w:basedOn w:val="BoxHeading"/>
    <w:autoRedefine/>
    <w:rsid w:val="009F4A34"/>
    <w:pPr>
      <w:spacing w:after="0"/>
    </w:pPr>
    <w:rPr>
      <w:b w:val="0"/>
      <w:bCs/>
      <w:szCs w:val="14"/>
    </w:rPr>
  </w:style>
  <w:style w:type="paragraph" w:styleId="BalloonText">
    <w:name w:val="Balloon Text"/>
    <w:basedOn w:val="Normal"/>
    <w:link w:val="BalloonTextChar"/>
    <w:rsid w:val="00FF4E9C"/>
    <w:rPr>
      <w:rFonts w:ascii="Calibri" w:hAnsi="Calibri" w:cs="Calibri"/>
      <w:sz w:val="16"/>
      <w:szCs w:val="16"/>
    </w:rPr>
  </w:style>
  <w:style w:type="character" w:customStyle="1" w:styleId="BalloonTextChar">
    <w:name w:val="Balloon Text Char"/>
    <w:basedOn w:val="DefaultParagraphFont"/>
    <w:link w:val="BalloonText"/>
    <w:rsid w:val="00FF4E9C"/>
    <w:rPr>
      <w:rFonts w:ascii="Calibri" w:eastAsia="Times New Roman" w:hAnsi="Calibri" w:cs="Calibri"/>
      <w:sz w:val="16"/>
      <w:szCs w:val="16"/>
      <w:lang w:eastAsia="en-AU"/>
    </w:rPr>
  </w:style>
  <w:style w:type="paragraph" w:customStyle="1" w:styleId="AppendixHeading">
    <w:name w:val="Appendix Heading"/>
    <w:basedOn w:val="HeadingBase"/>
    <w:rsid w:val="00FF4E9C"/>
    <w:pPr>
      <w:spacing w:after="240"/>
      <w:jc w:val="center"/>
      <w:outlineLvl w:val="3"/>
    </w:pPr>
    <w:rPr>
      <w:b/>
      <w:smallCaps/>
      <w:sz w:val="30"/>
    </w:rPr>
  </w:style>
  <w:style w:type="paragraph" w:customStyle="1" w:styleId="BlockedQuotation">
    <w:name w:val="Blocked Quotation"/>
    <w:basedOn w:val="Normal"/>
    <w:rsid w:val="00FF4E9C"/>
    <w:pPr>
      <w:ind w:left="567"/>
    </w:pPr>
  </w:style>
  <w:style w:type="paragraph" w:customStyle="1" w:styleId="ContentsnoToC">
    <w:name w:val="Contents no ToC"/>
    <w:basedOn w:val="ContentsHeading"/>
    <w:autoRedefine/>
    <w:rsid w:val="00436A95"/>
    <w:pPr>
      <w:pageBreakBefore/>
      <w:spacing w:after="480" w:line="680" w:lineRule="exact"/>
      <w:outlineLvl w:val="0"/>
    </w:pPr>
    <w:rPr>
      <w:rFonts w:cstheme="majorHAnsi"/>
    </w:rPr>
  </w:style>
  <w:style w:type="paragraph" w:customStyle="1" w:styleId="SourceBox">
    <w:name w:val="Source Box"/>
    <w:basedOn w:val="Source"/>
    <w:rsid w:val="00FF4E9C"/>
    <w:pPr>
      <w:spacing w:before="0" w:after="120"/>
      <w:jc w:val="both"/>
    </w:pPr>
  </w:style>
  <w:style w:type="paragraph" w:customStyle="1" w:styleId="TableColumnHeadingS118pt">
    <w:name w:val="Table Column Heading S11 8 pt"/>
    <w:basedOn w:val="TableColumnHeadingBase"/>
    <w:rsid w:val="00436A95"/>
    <w:pPr>
      <w:spacing w:after="0"/>
    </w:pPr>
    <w:rPr>
      <w:rFonts w:ascii="Courier New" w:hAnsi="Courier New"/>
    </w:rPr>
  </w:style>
  <w:style w:type="paragraph" w:customStyle="1" w:styleId="TableColumnHeadingS119pt">
    <w:name w:val="Table Column Heading S11 9 pt"/>
    <w:basedOn w:val="TableColumnHeadingBase"/>
    <w:rsid w:val="00436A95"/>
    <w:pPr>
      <w:spacing w:before="60" w:after="60"/>
    </w:pPr>
    <w:rPr>
      <w:rFonts w:ascii="Courier New" w:hAnsi="Courier New"/>
      <w:sz w:val="18"/>
    </w:rPr>
  </w:style>
  <w:style w:type="paragraph" w:customStyle="1" w:styleId="Boxcontinuedover">
    <w:name w:val="Box continued over"/>
    <w:basedOn w:val="BoxText"/>
    <w:qFormat/>
    <w:rsid w:val="00FF4E9C"/>
    <w:pPr>
      <w:spacing w:before="240" w:after="0"/>
      <w:jc w:val="right"/>
    </w:pPr>
    <w:rPr>
      <w:rFonts w:ascii="Courier New" w:hAnsi="Courier New"/>
      <w:b/>
      <w:bCs/>
      <w:sz w:val="18"/>
      <w:szCs w:val="16"/>
    </w:rPr>
  </w:style>
  <w:style w:type="paragraph" w:customStyle="1" w:styleId="BoxDash">
    <w:name w:val="Box Dash"/>
    <w:basedOn w:val="BoxBullet"/>
    <w:qFormat/>
    <w:rsid w:val="00FF4E9C"/>
    <w:pPr>
      <w:numPr>
        <w:numId w:val="4"/>
      </w:numPr>
      <w:tabs>
        <w:tab w:val="left" w:pos="567"/>
      </w:tabs>
      <w:jc w:val="both"/>
    </w:pPr>
    <w:rPr>
      <w:rFonts w:ascii="Book Antiqua" w:hAnsi="Book Antiqua"/>
      <w:sz w:val="20"/>
    </w:rPr>
  </w:style>
  <w:style w:type="character" w:customStyle="1" w:styleId="ChartandTableFootnoteAlphaChar">
    <w:name w:val="Chart and Table Footnote Alpha Char"/>
    <w:link w:val="ChartandTableFootnoteAlpha"/>
    <w:locked/>
    <w:rsid w:val="00FF4E9C"/>
    <w:rPr>
      <w:rFonts w:ascii="Arial" w:eastAsia="Times New Roman" w:hAnsi="Arial" w:cs="Times New Roman"/>
      <w:color w:val="000000"/>
      <w:sz w:val="16"/>
      <w:szCs w:val="20"/>
      <w:lang w:eastAsia="en-AU"/>
    </w:rPr>
  </w:style>
  <w:style w:type="paragraph" w:customStyle="1" w:styleId="ChartorTableNote">
    <w:name w:val="Chart or Table Note"/>
    <w:rsid w:val="00FF4E9C"/>
    <w:pPr>
      <w:tabs>
        <w:tab w:val="left" w:pos="482"/>
      </w:tabs>
      <w:spacing w:after="20" w:line="240" w:lineRule="auto"/>
      <w:ind w:left="482" w:hanging="482"/>
      <w:jc w:val="both"/>
    </w:pPr>
    <w:rPr>
      <w:rFonts w:ascii="Courier New" w:eastAsia="Times New Roman" w:hAnsi="Courier New" w:cs="Times New Roman"/>
      <w:color w:val="000000"/>
      <w:sz w:val="16"/>
      <w:szCs w:val="20"/>
      <w:lang w:eastAsia="en-AU"/>
    </w:rPr>
  </w:style>
  <w:style w:type="character" w:customStyle="1" w:styleId="BulletChar">
    <w:name w:val="Bullet Char"/>
    <w:aliases w:val="b Char,Body Char,Bullet + line Char,b + line Char,b + line Char Char,b Char Char,b1 Char,level 1 Char,Bullets Char,Number Char,L Char,List Paragraph Char,List Paragraph1 Char,List Paragraph11 Char,List Paragraph2 Char,Recommendation Char"/>
    <w:link w:val="Bullet"/>
    <w:qFormat/>
    <w:locked/>
    <w:rsid w:val="00FF4E9C"/>
    <w:rPr>
      <w:rFonts w:eastAsia="Times New Roman" w:cs="Times New Roman"/>
      <w:sz w:val="19"/>
      <w:szCs w:val="20"/>
      <w:lang w:eastAsia="en-AU"/>
    </w:rPr>
  </w:style>
  <w:style w:type="character" w:customStyle="1" w:styleId="apple-tab-span">
    <w:name w:val="apple-tab-span"/>
    <w:basedOn w:val="DefaultParagraphFont"/>
    <w:rsid w:val="00FF4E9C"/>
  </w:style>
  <w:style w:type="character" w:styleId="FollowedHyperlink">
    <w:name w:val="FollowedHyperlink"/>
    <w:basedOn w:val="DefaultParagraphFont"/>
    <w:uiPriority w:val="99"/>
    <w:semiHidden/>
    <w:unhideWhenUsed/>
    <w:rsid w:val="00FF4E9C"/>
    <w:rPr>
      <w:color w:val="E61E26" w:themeColor="followedHyperlink"/>
      <w:u w:val="single"/>
    </w:rPr>
  </w:style>
  <w:style w:type="character" w:customStyle="1" w:styleId="ChartGraphicChar">
    <w:name w:val="Chart Graphic Char"/>
    <w:basedOn w:val="DefaultParagraphFont"/>
    <w:link w:val="ChartGraphic"/>
    <w:locked/>
    <w:rsid w:val="00080AD9"/>
    <w:rPr>
      <w:rFonts w:ascii="Arial" w:eastAsia="Times New Roman" w:hAnsi="Arial" w:cs="Times New Roman"/>
      <w:sz w:val="20"/>
      <w:szCs w:val="20"/>
      <w:lang w:eastAsia="en-AU"/>
    </w:rPr>
  </w:style>
  <w:style w:type="paragraph" w:styleId="Revision">
    <w:name w:val="Revision"/>
    <w:hidden/>
    <w:uiPriority w:val="99"/>
    <w:semiHidden/>
    <w:rsid w:val="00FF4E9C"/>
    <w:pPr>
      <w:spacing w:after="0" w:line="240" w:lineRule="auto"/>
    </w:pPr>
    <w:rPr>
      <w:rFonts w:ascii="Book Antiqua" w:eastAsia="Times New Roman" w:hAnsi="Book Antiqua" w:cs="Times New Roman"/>
      <w:sz w:val="20"/>
      <w:szCs w:val="20"/>
      <w:lang w:eastAsia="en-AU"/>
    </w:rPr>
  </w:style>
  <w:style w:type="paragraph" w:styleId="NormalWeb">
    <w:name w:val="Normal (Web)"/>
    <w:basedOn w:val="Normal"/>
    <w:uiPriority w:val="99"/>
    <w:unhideWhenUsed/>
    <w:rsid w:val="00FF4E9C"/>
    <w:rPr>
      <w:rFonts w:ascii="Times New Roman" w:hAnsi="Times New Roman"/>
      <w:sz w:val="24"/>
      <w:szCs w:val="24"/>
    </w:rPr>
  </w:style>
  <w:style w:type="paragraph" w:styleId="ListParagraph">
    <w:name w:val="List Paragraph"/>
    <w:basedOn w:val="Normal"/>
    <w:link w:val="ListParagraphChar1"/>
    <w:uiPriority w:val="34"/>
    <w:qFormat/>
    <w:rsid w:val="00FF4E9C"/>
    <w:pPr>
      <w:ind w:left="720"/>
    </w:pPr>
    <w:rPr>
      <w:rFonts w:ascii="Wingdings" w:eastAsiaTheme="minorHAnsi" w:hAnsi="Wingdings" w:cs="Wingdings"/>
      <w:lang w:eastAsia="en-US"/>
    </w:rPr>
  </w:style>
  <w:style w:type="character" w:styleId="UnresolvedMention">
    <w:name w:val="Unresolved Mention"/>
    <w:basedOn w:val="DefaultParagraphFont"/>
    <w:uiPriority w:val="99"/>
    <w:unhideWhenUsed/>
    <w:rsid w:val="00FF4E9C"/>
    <w:rPr>
      <w:color w:val="605E5C"/>
      <w:shd w:val="clear" w:color="auto" w:fill="E1DFDD"/>
    </w:rPr>
  </w:style>
  <w:style w:type="character" w:styleId="Mention">
    <w:name w:val="Mention"/>
    <w:basedOn w:val="DefaultParagraphFont"/>
    <w:uiPriority w:val="99"/>
    <w:unhideWhenUsed/>
    <w:rsid w:val="00FF4E9C"/>
    <w:rPr>
      <w:color w:val="2B579A"/>
      <w:shd w:val="clear" w:color="auto" w:fill="E1DFDD"/>
    </w:rPr>
  </w:style>
  <w:style w:type="paragraph" w:customStyle="1" w:styleId="OutlineNumbered1">
    <w:name w:val="Outline Numbered 1"/>
    <w:basedOn w:val="Normal"/>
    <w:link w:val="OutlineNumbered1Char"/>
    <w:rsid w:val="00FF4E9C"/>
    <w:pPr>
      <w:numPr>
        <w:numId w:val="15"/>
      </w:numPr>
      <w:spacing w:after="160" w:line="259" w:lineRule="auto"/>
    </w:pPr>
    <w:rPr>
      <w:rFonts w:eastAsiaTheme="minorHAnsi" w:cstheme="minorBidi"/>
      <w:sz w:val="22"/>
      <w:szCs w:val="22"/>
      <w:lang w:eastAsia="en-US"/>
    </w:rPr>
  </w:style>
  <w:style w:type="character" w:customStyle="1" w:styleId="OutlineNumbered1Char">
    <w:name w:val="Outline Numbered 1 Char"/>
    <w:basedOn w:val="DefaultParagraphFont"/>
    <w:link w:val="OutlineNumbered1"/>
    <w:rsid w:val="00FF4E9C"/>
  </w:style>
  <w:style w:type="character" w:customStyle="1" w:styleId="BoxTextChar">
    <w:name w:val="Box Text Char"/>
    <w:basedOn w:val="DefaultParagraphFont"/>
    <w:link w:val="BoxText"/>
    <w:rsid w:val="00FF4E9C"/>
    <w:rPr>
      <w:rFonts w:eastAsia="Times New Roman" w:cs="Times New Roman"/>
      <w:sz w:val="19"/>
      <w:szCs w:val="20"/>
      <w:lang w:eastAsia="en-AU"/>
    </w:rPr>
  </w:style>
  <w:style w:type="paragraph" w:customStyle="1" w:styleId="BoxHeadingNOTOC">
    <w:name w:val="Box Heading (NO TOC)"/>
    <w:basedOn w:val="BoxHeading"/>
    <w:qFormat/>
    <w:rsid w:val="00436A95"/>
    <w:rPr>
      <w:szCs w:val="22"/>
    </w:rPr>
  </w:style>
  <w:style w:type="paragraph" w:customStyle="1" w:styleId="Heading1NoTOC">
    <w:name w:val="Heading 1 (No TOC)"/>
    <w:basedOn w:val="Heading1"/>
    <w:rsid w:val="00436A95"/>
    <w:pPr>
      <w:outlineLvl w:val="9"/>
    </w:pPr>
  </w:style>
  <w:style w:type="paragraph" w:customStyle="1" w:styleId="Heading2NoTOC">
    <w:name w:val="Heading 2 (No TOC)"/>
    <w:basedOn w:val="Heading2"/>
    <w:rsid w:val="00436A95"/>
    <w:pPr>
      <w:outlineLvl w:val="9"/>
    </w:pPr>
  </w:style>
  <w:style w:type="paragraph" w:customStyle="1" w:styleId="Heading3NoTOC0">
    <w:name w:val="Heading 3 (No TOC)"/>
    <w:basedOn w:val="Heading3"/>
    <w:rsid w:val="00436A95"/>
    <w:pPr>
      <w:outlineLvl w:val="9"/>
    </w:pPr>
  </w:style>
  <w:style w:type="paragraph" w:customStyle="1" w:styleId="Heading4NoTOC">
    <w:name w:val="Heading 4 (No TOC)"/>
    <w:basedOn w:val="Heading4"/>
    <w:rsid w:val="00436A95"/>
    <w:pPr>
      <w:outlineLvl w:val="9"/>
    </w:pPr>
  </w:style>
  <w:style w:type="paragraph" w:customStyle="1" w:styleId="Heading5NoTOC">
    <w:name w:val="Heading 5 (No TOC)"/>
    <w:basedOn w:val="Heading5"/>
    <w:autoRedefine/>
    <w:rsid w:val="00436A95"/>
    <w:pPr>
      <w:spacing w:before="240"/>
      <w:outlineLvl w:val="9"/>
    </w:pPr>
  </w:style>
  <w:style w:type="character" w:customStyle="1" w:styleId="DoubleDotChar">
    <w:name w:val="Double Dot Char"/>
    <w:basedOn w:val="DefaultParagraphFont"/>
    <w:link w:val="DoubleDot"/>
    <w:rsid w:val="00B55257"/>
    <w:rPr>
      <w:rFonts w:eastAsia="Times New Roman" w:cs="Times New Roman"/>
      <w:sz w:val="19"/>
      <w:szCs w:val="20"/>
      <w:lang w:eastAsia="en-AU"/>
    </w:rPr>
  </w:style>
  <w:style w:type="paragraph" w:customStyle="1" w:styleId="GhostLine">
    <w:name w:val="Ghost Line"/>
    <w:basedOn w:val="NoSpacing"/>
    <w:qFormat/>
    <w:rsid w:val="009F4A34"/>
    <w:pPr>
      <w:jc w:val="both"/>
    </w:pPr>
    <w:rPr>
      <w:rFonts w:ascii="Book Antiqua" w:hAnsi="Book Antiqua"/>
      <w:sz w:val="2"/>
    </w:rPr>
  </w:style>
  <w:style w:type="character" w:customStyle="1" w:styleId="DashChar">
    <w:name w:val="Dash Char"/>
    <w:basedOn w:val="DefaultParagraphFont"/>
    <w:link w:val="Dash"/>
    <w:rsid w:val="00E96D6E"/>
    <w:rPr>
      <w:rFonts w:eastAsia="Times New Roman" w:cs="Times New Roman"/>
      <w:sz w:val="19"/>
      <w:szCs w:val="20"/>
      <w:lang w:eastAsia="en-AU"/>
    </w:rPr>
  </w:style>
  <w:style w:type="paragraph" w:customStyle="1" w:styleId="paragraph">
    <w:name w:val="paragraph"/>
    <w:basedOn w:val="Normal"/>
    <w:rsid w:val="009A7962"/>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9A7962"/>
  </w:style>
  <w:style w:type="character" w:customStyle="1" w:styleId="eop">
    <w:name w:val="eop"/>
    <w:basedOn w:val="DefaultParagraphFont"/>
    <w:rsid w:val="009A7962"/>
  </w:style>
  <w:style w:type="character" w:styleId="Emphasis">
    <w:name w:val="Emphasis"/>
    <w:basedOn w:val="DefaultParagraphFont"/>
    <w:uiPriority w:val="20"/>
    <w:qFormat/>
    <w:rsid w:val="002B4D69"/>
    <w:rPr>
      <w:i/>
      <w:iCs/>
    </w:rPr>
  </w:style>
  <w:style w:type="paragraph" w:customStyle="1" w:styleId="Topic1">
    <w:name w:val="Topic1"/>
    <w:basedOn w:val="Normal"/>
    <w:link w:val="Topic1Char"/>
    <w:qFormat/>
    <w:rsid w:val="00C7543F"/>
    <w:pPr>
      <w:spacing w:before="0" w:after="160" w:line="259" w:lineRule="auto"/>
    </w:pPr>
    <w:rPr>
      <w:rFonts w:asciiTheme="majorHAnsi" w:eastAsiaTheme="majorEastAsia" w:hAnsiTheme="majorHAnsi" w:cstheme="majorBidi"/>
      <w:b/>
      <w:color w:val="002C47"/>
      <w:sz w:val="28"/>
      <w:szCs w:val="28"/>
      <w:lang w:eastAsia="en-US"/>
    </w:rPr>
  </w:style>
  <w:style w:type="character" w:customStyle="1" w:styleId="Topic1Char">
    <w:name w:val="Topic1 Char"/>
    <w:basedOn w:val="DefaultParagraphFont"/>
    <w:link w:val="Topic1"/>
    <w:rsid w:val="00C7543F"/>
    <w:rPr>
      <w:rFonts w:asciiTheme="majorHAnsi" w:eastAsiaTheme="majorEastAsia" w:hAnsiTheme="majorHAnsi" w:cstheme="majorBidi"/>
      <w:b/>
      <w:color w:val="002C47"/>
      <w:sz w:val="28"/>
      <w:szCs w:val="28"/>
    </w:rPr>
  </w:style>
  <w:style w:type="paragraph" w:customStyle="1" w:styleId="OutlineNumbered2">
    <w:name w:val="Outline Numbered 2"/>
    <w:basedOn w:val="Normal"/>
    <w:link w:val="OutlineNumbered2Char"/>
    <w:rsid w:val="005E78F5"/>
    <w:pPr>
      <w:numPr>
        <w:ilvl w:val="1"/>
        <w:numId w:val="15"/>
      </w:numPr>
      <w:spacing w:before="0" w:after="0" w:line="240" w:lineRule="auto"/>
    </w:pPr>
    <w:rPr>
      <w:rFonts w:ascii="Arial" w:hAnsi="Arial" w:cs="Arial"/>
      <w:sz w:val="18"/>
      <w:szCs w:val="18"/>
    </w:rPr>
  </w:style>
  <w:style w:type="character" w:customStyle="1" w:styleId="ListParagraphChar1">
    <w:name w:val="List Paragraph Char1"/>
    <w:basedOn w:val="DefaultParagraphFont"/>
    <w:link w:val="ListParagraph"/>
    <w:uiPriority w:val="34"/>
    <w:rsid w:val="005E78F5"/>
    <w:rPr>
      <w:rFonts w:ascii="Wingdings" w:hAnsi="Wingdings" w:cs="Wingdings"/>
      <w:sz w:val="19"/>
      <w:szCs w:val="20"/>
    </w:rPr>
  </w:style>
  <w:style w:type="character" w:customStyle="1" w:styleId="OutlineNumbered2Char">
    <w:name w:val="Outline Numbered 2 Char"/>
    <w:basedOn w:val="ListParagraphChar1"/>
    <w:link w:val="OutlineNumbered2"/>
    <w:rsid w:val="005E78F5"/>
    <w:rPr>
      <w:rFonts w:ascii="Arial" w:eastAsia="Times New Roman" w:hAnsi="Arial" w:cs="Arial"/>
      <w:sz w:val="18"/>
      <w:szCs w:val="18"/>
      <w:lang w:eastAsia="en-AU"/>
    </w:rPr>
  </w:style>
  <w:style w:type="paragraph" w:customStyle="1" w:styleId="OutlineNumbered3">
    <w:name w:val="Outline Numbered 3"/>
    <w:basedOn w:val="Normal"/>
    <w:link w:val="OutlineNumbered3Char"/>
    <w:rsid w:val="005E78F5"/>
    <w:pPr>
      <w:numPr>
        <w:ilvl w:val="2"/>
        <w:numId w:val="15"/>
      </w:numPr>
      <w:spacing w:before="0" w:after="0" w:line="240" w:lineRule="auto"/>
    </w:pPr>
    <w:rPr>
      <w:rFonts w:ascii="Arial" w:hAnsi="Arial" w:cs="Arial"/>
      <w:sz w:val="18"/>
      <w:szCs w:val="18"/>
    </w:rPr>
  </w:style>
  <w:style w:type="character" w:customStyle="1" w:styleId="OutlineNumbered3Char">
    <w:name w:val="Outline Numbered 3 Char"/>
    <w:basedOn w:val="ListParagraphChar1"/>
    <w:link w:val="OutlineNumbered3"/>
    <w:rsid w:val="005E78F5"/>
    <w:rPr>
      <w:rFonts w:ascii="Arial" w:eastAsia="Times New Roman" w:hAnsi="Arial" w:cs="Arial"/>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812">
      <w:bodyDiv w:val="1"/>
      <w:marLeft w:val="0"/>
      <w:marRight w:val="0"/>
      <w:marTop w:val="0"/>
      <w:marBottom w:val="0"/>
      <w:divBdr>
        <w:top w:val="none" w:sz="0" w:space="0" w:color="auto"/>
        <w:left w:val="none" w:sz="0" w:space="0" w:color="auto"/>
        <w:bottom w:val="none" w:sz="0" w:space="0" w:color="auto"/>
        <w:right w:val="none" w:sz="0" w:space="0" w:color="auto"/>
      </w:divBdr>
    </w:div>
    <w:div w:id="28654690">
      <w:bodyDiv w:val="1"/>
      <w:marLeft w:val="0"/>
      <w:marRight w:val="0"/>
      <w:marTop w:val="0"/>
      <w:marBottom w:val="0"/>
      <w:divBdr>
        <w:top w:val="none" w:sz="0" w:space="0" w:color="auto"/>
        <w:left w:val="none" w:sz="0" w:space="0" w:color="auto"/>
        <w:bottom w:val="none" w:sz="0" w:space="0" w:color="auto"/>
        <w:right w:val="none" w:sz="0" w:space="0" w:color="auto"/>
      </w:divBdr>
    </w:div>
    <w:div w:id="41445176">
      <w:bodyDiv w:val="1"/>
      <w:marLeft w:val="0"/>
      <w:marRight w:val="0"/>
      <w:marTop w:val="0"/>
      <w:marBottom w:val="0"/>
      <w:divBdr>
        <w:top w:val="none" w:sz="0" w:space="0" w:color="auto"/>
        <w:left w:val="none" w:sz="0" w:space="0" w:color="auto"/>
        <w:bottom w:val="none" w:sz="0" w:space="0" w:color="auto"/>
        <w:right w:val="none" w:sz="0" w:space="0" w:color="auto"/>
      </w:divBdr>
    </w:div>
    <w:div w:id="43844120">
      <w:bodyDiv w:val="1"/>
      <w:marLeft w:val="0"/>
      <w:marRight w:val="0"/>
      <w:marTop w:val="0"/>
      <w:marBottom w:val="0"/>
      <w:divBdr>
        <w:top w:val="none" w:sz="0" w:space="0" w:color="auto"/>
        <w:left w:val="none" w:sz="0" w:space="0" w:color="auto"/>
        <w:bottom w:val="none" w:sz="0" w:space="0" w:color="auto"/>
        <w:right w:val="none" w:sz="0" w:space="0" w:color="auto"/>
      </w:divBdr>
    </w:div>
    <w:div w:id="49380811">
      <w:bodyDiv w:val="1"/>
      <w:marLeft w:val="0"/>
      <w:marRight w:val="0"/>
      <w:marTop w:val="0"/>
      <w:marBottom w:val="0"/>
      <w:divBdr>
        <w:top w:val="none" w:sz="0" w:space="0" w:color="auto"/>
        <w:left w:val="none" w:sz="0" w:space="0" w:color="auto"/>
        <w:bottom w:val="none" w:sz="0" w:space="0" w:color="auto"/>
        <w:right w:val="none" w:sz="0" w:space="0" w:color="auto"/>
      </w:divBdr>
    </w:div>
    <w:div w:id="49545592">
      <w:bodyDiv w:val="1"/>
      <w:marLeft w:val="0"/>
      <w:marRight w:val="0"/>
      <w:marTop w:val="0"/>
      <w:marBottom w:val="0"/>
      <w:divBdr>
        <w:top w:val="none" w:sz="0" w:space="0" w:color="auto"/>
        <w:left w:val="none" w:sz="0" w:space="0" w:color="auto"/>
        <w:bottom w:val="none" w:sz="0" w:space="0" w:color="auto"/>
        <w:right w:val="none" w:sz="0" w:space="0" w:color="auto"/>
      </w:divBdr>
    </w:div>
    <w:div w:id="53237219">
      <w:bodyDiv w:val="1"/>
      <w:marLeft w:val="0"/>
      <w:marRight w:val="0"/>
      <w:marTop w:val="0"/>
      <w:marBottom w:val="0"/>
      <w:divBdr>
        <w:top w:val="none" w:sz="0" w:space="0" w:color="auto"/>
        <w:left w:val="none" w:sz="0" w:space="0" w:color="auto"/>
        <w:bottom w:val="none" w:sz="0" w:space="0" w:color="auto"/>
        <w:right w:val="none" w:sz="0" w:space="0" w:color="auto"/>
      </w:divBdr>
    </w:div>
    <w:div w:id="59524766">
      <w:bodyDiv w:val="1"/>
      <w:marLeft w:val="0"/>
      <w:marRight w:val="0"/>
      <w:marTop w:val="0"/>
      <w:marBottom w:val="0"/>
      <w:divBdr>
        <w:top w:val="none" w:sz="0" w:space="0" w:color="auto"/>
        <w:left w:val="none" w:sz="0" w:space="0" w:color="auto"/>
        <w:bottom w:val="none" w:sz="0" w:space="0" w:color="auto"/>
        <w:right w:val="none" w:sz="0" w:space="0" w:color="auto"/>
      </w:divBdr>
    </w:div>
    <w:div w:id="60907212">
      <w:bodyDiv w:val="1"/>
      <w:marLeft w:val="0"/>
      <w:marRight w:val="0"/>
      <w:marTop w:val="0"/>
      <w:marBottom w:val="0"/>
      <w:divBdr>
        <w:top w:val="none" w:sz="0" w:space="0" w:color="auto"/>
        <w:left w:val="none" w:sz="0" w:space="0" w:color="auto"/>
        <w:bottom w:val="none" w:sz="0" w:space="0" w:color="auto"/>
        <w:right w:val="none" w:sz="0" w:space="0" w:color="auto"/>
      </w:divBdr>
    </w:div>
    <w:div w:id="61950179">
      <w:bodyDiv w:val="1"/>
      <w:marLeft w:val="0"/>
      <w:marRight w:val="0"/>
      <w:marTop w:val="0"/>
      <w:marBottom w:val="0"/>
      <w:divBdr>
        <w:top w:val="none" w:sz="0" w:space="0" w:color="auto"/>
        <w:left w:val="none" w:sz="0" w:space="0" w:color="auto"/>
        <w:bottom w:val="none" w:sz="0" w:space="0" w:color="auto"/>
        <w:right w:val="none" w:sz="0" w:space="0" w:color="auto"/>
      </w:divBdr>
    </w:div>
    <w:div w:id="63532757">
      <w:bodyDiv w:val="1"/>
      <w:marLeft w:val="0"/>
      <w:marRight w:val="0"/>
      <w:marTop w:val="0"/>
      <w:marBottom w:val="0"/>
      <w:divBdr>
        <w:top w:val="none" w:sz="0" w:space="0" w:color="auto"/>
        <w:left w:val="none" w:sz="0" w:space="0" w:color="auto"/>
        <w:bottom w:val="none" w:sz="0" w:space="0" w:color="auto"/>
        <w:right w:val="none" w:sz="0" w:space="0" w:color="auto"/>
      </w:divBdr>
    </w:div>
    <w:div w:id="63914543">
      <w:bodyDiv w:val="1"/>
      <w:marLeft w:val="0"/>
      <w:marRight w:val="0"/>
      <w:marTop w:val="0"/>
      <w:marBottom w:val="0"/>
      <w:divBdr>
        <w:top w:val="none" w:sz="0" w:space="0" w:color="auto"/>
        <w:left w:val="none" w:sz="0" w:space="0" w:color="auto"/>
        <w:bottom w:val="none" w:sz="0" w:space="0" w:color="auto"/>
        <w:right w:val="none" w:sz="0" w:space="0" w:color="auto"/>
      </w:divBdr>
    </w:div>
    <w:div w:id="69036525">
      <w:bodyDiv w:val="1"/>
      <w:marLeft w:val="0"/>
      <w:marRight w:val="0"/>
      <w:marTop w:val="0"/>
      <w:marBottom w:val="0"/>
      <w:divBdr>
        <w:top w:val="none" w:sz="0" w:space="0" w:color="auto"/>
        <w:left w:val="none" w:sz="0" w:space="0" w:color="auto"/>
        <w:bottom w:val="none" w:sz="0" w:space="0" w:color="auto"/>
        <w:right w:val="none" w:sz="0" w:space="0" w:color="auto"/>
      </w:divBdr>
    </w:div>
    <w:div w:id="69817545">
      <w:bodyDiv w:val="1"/>
      <w:marLeft w:val="0"/>
      <w:marRight w:val="0"/>
      <w:marTop w:val="0"/>
      <w:marBottom w:val="0"/>
      <w:divBdr>
        <w:top w:val="none" w:sz="0" w:space="0" w:color="auto"/>
        <w:left w:val="none" w:sz="0" w:space="0" w:color="auto"/>
        <w:bottom w:val="none" w:sz="0" w:space="0" w:color="auto"/>
        <w:right w:val="none" w:sz="0" w:space="0" w:color="auto"/>
      </w:divBdr>
    </w:div>
    <w:div w:id="71006297">
      <w:bodyDiv w:val="1"/>
      <w:marLeft w:val="0"/>
      <w:marRight w:val="0"/>
      <w:marTop w:val="0"/>
      <w:marBottom w:val="0"/>
      <w:divBdr>
        <w:top w:val="none" w:sz="0" w:space="0" w:color="auto"/>
        <w:left w:val="none" w:sz="0" w:space="0" w:color="auto"/>
        <w:bottom w:val="none" w:sz="0" w:space="0" w:color="auto"/>
        <w:right w:val="none" w:sz="0" w:space="0" w:color="auto"/>
      </w:divBdr>
    </w:div>
    <w:div w:id="83917519">
      <w:bodyDiv w:val="1"/>
      <w:marLeft w:val="0"/>
      <w:marRight w:val="0"/>
      <w:marTop w:val="0"/>
      <w:marBottom w:val="0"/>
      <w:divBdr>
        <w:top w:val="none" w:sz="0" w:space="0" w:color="auto"/>
        <w:left w:val="none" w:sz="0" w:space="0" w:color="auto"/>
        <w:bottom w:val="none" w:sz="0" w:space="0" w:color="auto"/>
        <w:right w:val="none" w:sz="0" w:space="0" w:color="auto"/>
      </w:divBdr>
    </w:div>
    <w:div w:id="92172670">
      <w:bodyDiv w:val="1"/>
      <w:marLeft w:val="0"/>
      <w:marRight w:val="0"/>
      <w:marTop w:val="0"/>
      <w:marBottom w:val="0"/>
      <w:divBdr>
        <w:top w:val="none" w:sz="0" w:space="0" w:color="auto"/>
        <w:left w:val="none" w:sz="0" w:space="0" w:color="auto"/>
        <w:bottom w:val="none" w:sz="0" w:space="0" w:color="auto"/>
        <w:right w:val="none" w:sz="0" w:space="0" w:color="auto"/>
      </w:divBdr>
    </w:div>
    <w:div w:id="93137710">
      <w:bodyDiv w:val="1"/>
      <w:marLeft w:val="0"/>
      <w:marRight w:val="0"/>
      <w:marTop w:val="0"/>
      <w:marBottom w:val="0"/>
      <w:divBdr>
        <w:top w:val="none" w:sz="0" w:space="0" w:color="auto"/>
        <w:left w:val="none" w:sz="0" w:space="0" w:color="auto"/>
        <w:bottom w:val="none" w:sz="0" w:space="0" w:color="auto"/>
        <w:right w:val="none" w:sz="0" w:space="0" w:color="auto"/>
      </w:divBdr>
    </w:div>
    <w:div w:id="102000018">
      <w:bodyDiv w:val="1"/>
      <w:marLeft w:val="0"/>
      <w:marRight w:val="0"/>
      <w:marTop w:val="0"/>
      <w:marBottom w:val="0"/>
      <w:divBdr>
        <w:top w:val="none" w:sz="0" w:space="0" w:color="auto"/>
        <w:left w:val="none" w:sz="0" w:space="0" w:color="auto"/>
        <w:bottom w:val="none" w:sz="0" w:space="0" w:color="auto"/>
        <w:right w:val="none" w:sz="0" w:space="0" w:color="auto"/>
      </w:divBdr>
    </w:div>
    <w:div w:id="102654722">
      <w:bodyDiv w:val="1"/>
      <w:marLeft w:val="0"/>
      <w:marRight w:val="0"/>
      <w:marTop w:val="0"/>
      <w:marBottom w:val="0"/>
      <w:divBdr>
        <w:top w:val="none" w:sz="0" w:space="0" w:color="auto"/>
        <w:left w:val="none" w:sz="0" w:space="0" w:color="auto"/>
        <w:bottom w:val="none" w:sz="0" w:space="0" w:color="auto"/>
        <w:right w:val="none" w:sz="0" w:space="0" w:color="auto"/>
      </w:divBdr>
    </w:div>
    <w:div w:id="106629386">
      <w:bodyDiv w:val="1"/>
      <w:marLeft w:val="0"/>
      <w:marRight w:val="0"/>
      <w:marTop w:val="0"/>
      <w:marBottom w:val="0"/>
      <w:divBdr>
        <w:top w:val="none" w:sz="0" w:space="0" w:color="auto"/>
        <w:left w:val="none" w:sz="0" w:space="0" w:color="auto"/>
        <w:bottom w:val="none" w:sz="0" w:space="0" w:color="auto"/>
        <w:right w:val="none" w:sz="0" w:space="0" w:color="auto"/>
      </w:divBdr>
    </w:div>
    <w:div w:id="109933308">
      <w:bodyDiv w:val="1"/>
      <w:marLeft w:val="0"/>
      <w:marRight w:val="0"/>
      <w:marTop w:val="0"/>
      <w:marBottom w:val="0"/>
      <w:divBdr>
        <w:top w:val="none" w:sz="0" w:space="0" w:color="auto"/>
        <w:left w:val="none" w:sz="0" w:space="0" w:color="auto"/>
        <w:bottom w:val="none" w:sz="0" w:space="0" w:color="auto"/>
        <w:right w:val="none" w:sz="0" w:space="0" w:color="auto"/>
      </w:divBdr>
    </w:div>
    <w:div w:id="113598773">
      <w:bodyDiv w:val="1"/>
      <w:marLeft w:val="0"/>
      <w:marRight w:val="0"/>
      <w:marTop w:val="0"/>
      <w:marBottom w:val="0"/>
      <w:divBdr>
        <w:top w:val="none" w:sz="0" w:space="0" w:color="auto"/>
        <w:left w:val="none" w:sz="0" w:space="0" w:color="auto"/>
        <w:bottom w:val="none" w:sz="0" w:space="0" w:color="auto"/>
        <w:right w:val="none" w:sz="0" w:space="0" w:color="auto"/>
      </w:divBdr>
    </w:div>
    <w:div w:id="114760934">
      <w:bodyDiv w:val="1"/>
      <w:marLeft w:val="0"/>
      <w:marRight w:val="0"/>
      <w:marTop w:val="0"/>
      <w:marBottom w:val="0"/>
      <w:divBdr>
        <w:top w:val="none" w:sz="0" w:space="0" w:color="auto"/>
        <w:left w:val="none" w:sz="0" w:space="0" w:color="auto"/>
        <w:bottom w:val="none" w:sz="0" w:space="0" w:color="auto"/>
        <w:right w:val="none" w:sz="0" w:space="0" w:color="auto"/>
      </w:divBdr>
    </w:div>
    <w:div w:id="120812288">
      <w:bodyDiv w:val="1"/>
      <w:marLeft w:val="0"/>
      <w:marRight w:val="0"/>
      <w:marTop w:val="0"/>
      <w:marBottom w:val="0"/>
      <w:divBdr>
        <w:top w:val="none" w:sz="0" w:space="0" w:color="auto"/>
        <w:left w:val="none" w:sz="0" w:space="0" w:color="auto"/>
        <w:bottom w:val="none" w:sz="0" w:space="0" w:color="auto"/>
        <w:right w:val="none" w:sz="0" w:space="0" w:color="auto"/>
      </w:divBdr>
    </w:div>
    <w:div w:id="132020291">
      <w:bodyDiv w:val="1"/>
      <w:marLeft w:val="0"/>
      <w:marRight w:val="0"/>
      <w:marTop w:val="0"/>
      <w:marBottom w:val="0"/>
      <w:divBdr>
        <w:top w:val="none" w:sz="0" w:space="0" w:color="auto"/>
        <w:left w:val="none" w:sz="0" w:space="0" w:color="auto"/>
        <w:bottom w:val="none" w:sz="0" w:space="0" w:color="auto"/>
        <w:right w:val="none" w:sz="0" w:space="0" w:color="auto"/>
      </w:divBdr>
    </w:div>
    <w:div w:id="139151863">
      <w:bodyDiv w:val="1"/>
      <w:marLeft w:val="0"/>
      <w:marRight w:val="0"/>
      <w:marTop w:val="0"/>
      <w:marBottom w:val="0"/>
      <w:divBdr>
        <w:top w:val="none" w:sz="0" w:space="0" w:color="auto"/>
        <w:left w:val="none" w:sz="0" w:space="0" w:color="auto"/>
        <w:bottom w:val="none" w:sz="0" w:space="0" w:color="auto"/>
        <w:right w:val="none" w:sz="0" w:space="0" w:color="auto"/>
      </w:divBdr>
    </w:div>
    <w:div w:id="145318781">
      <w:bodyDiv w:val="1"/>
      <w:marLeft w:val="0"/>
      <w:marRight w:val="0"/>
      <w:marTop w:val="0"/>
      <w:marBottom w:val="0"/>
      <w:divBdr>
        <w:top w:val="none" w:sz="0" w:space="0" w:color="auto"/>
        <w:left w:val="none" w:sz="0" w:space="0" w:color="auto"/>
        <w:bottom w:val="none" w:sz="0" w:space="0" w:color="auto"/>
        <w:right w:val="none" w:sz="0" w:space="0" w:color="auto"/>
      </w:divBdr>
    </w:div>
    <w:div w:id="149055109">
      <w:bodyDiv w:val="1"/>
      <w:marLeft w:val="0"/>
      <w:marRight w:val="0"/>
      <w:marTop w:val="0"/>
      <w:marBottom w:val="0"/>
      <w:divBdr>
        <w:top w:val="none" w:sz="0" w:space="0" w:color="auto"/>
        <w:left w:val="none" w:sz="0" w:space="0" w:color="auto"/>
        <w:bottom w:val="none" w:sz="0" w:space="0" w:color="auto"/>
        <w:right w:val="none" w:sz="0" w:space="0" w:color="auto"/>
      </w:divBdr>
    </w:div>
    <w:div w:id="150488819">
      <w:bodyDiv w:val="1"/>
      <w:marLeft w:val="0"/>
      <w:marRight w:val="0"/>
      <w:marTop w:val="0"/>
      <w:marBottom w:val="0"/>
      <w:divBdr>
        <w:top w:val="none" w:sz="0" w:space="0" w:color="auto"/>
        <w:left w:val="none" w:sz="0" w:space="0" w:color="auto"/>
        <w:bottom w:val="none" w:sz="0" w:space="0" w:color="auto"/>
        <w:right w:val="none" w:sz="0" w:space="0" w:color="auto"/>
      </w:divBdr>
    </w:div>
    <w:div w:id="153034705">
      <w:bodyDiv w:val="1"/>
      <w:marLeft w:val="0"/>
      <w:marRight w:val="0"/>
      <w:marTop w:val="0"/>
      <w:marBottom w:val="0"/>
      <w:divBdr>
        <w:top w:val="none" w:sz="0" w:space="0" w:color="auto"/>
        <w:left w:val="none" w:sz="0" w:space="0" w:color="auto"/>
        <w:bottom w:val="none" w:sz="0" w:space="0" w:color="auto"/>
        <w:right w:val="none" w:sz="0" w:space="0" w:color="auto"/>
      </w:divBdr>
    </w:div>
    <w:div w:id="166873431">
      <w:bodyDiv w:val="1"/>
      <w:marLeft w:val="0"/>
      <w:marRight w:val="0"/>
      <w:marTop w:val="0"/>
      <w:marBottom w:val="0"/>
      <w:divBdr>
        <w:top w:val="none" w:sz="0" w:space="0" w:color="auto"/>
        <w:left w:val="none" w:sz="0" w:space="0" w:color="auto"/>
        <w:bottom w:val="none" w:sz="0" w:space="0" w:color="auto"/>
        <w:right w:val="none" w:sz="0" w:space="0" w:color="auto"/>
      </w:divBdr>
    </w:div>
    <w:div w:id="178158315">
      <w:bodyDiv w:val="1"/>
      <w:marLeft w:val="0"/>
      <w:marRight w:val="0"/>
      <w:marTop w:val="0"/>
      <w:marBottom w:val="0"/>
      <w:divBdr>
        <w:top w:val="none" w:sz="0" w:space="0" w:color="auto"/>
        <w:left w:val="none" w:sz="0" w:space="0" w:color="auto"/>
        <w:bottom w:val="none" w:sz="0" w:space="0" w:color="auto"/>
        <w:right w:val="none" w:sz="0" w:space="0" w:color="auto"/>
      </w:divBdr>
    </w:div>
    <w:div w:id="182675997">
      <w:bodyDiv w:val="1"/>
      <w:marLeft w:val="0"/>
      <w:marRight w:val="0"/>
      <w:marTop w:val="0"/>
      <w:marBottom w:val="0"/>
      <w:divBdr>
        <w:top w:val="none" w:sz="0" w:space="0" w:color="auto"/>
        <w:left w:val="none" w:sz="0" w:space="0" w:color="auto"/>
        <w:bottom w:val="none" w:sz="0" w:space="0" w:color="auto"/>
        <w:right w:val="none" w:sz="0" w:space="0" w:color="auto"/>
      </w:divBdr>
    </w:div>
    <w:div w:id="196698843">
      <w:bodyDiv w:val="1"/>
      <w:marLeft w:val="0"/>
      <w:marRight w:val="0"/>
      <w:marTop w:val="0"/>
      <w:marBottom w:val="0"/>
      <w:divBdr>
        <w:top w:val="none" w:sz="0" w:space="0" w:color="auto"/>
        <w:left w:val="none" w:sz="0" w:space="0" w:color="auto"/>
        <w:bottom w:val="none" w:sz="0" w:space="0" w:color="auto"/>
        <w:right w:val="none" w:sz="0" w:space="0" w:color="auto"/>
      </w:divBdr>
    </w:div>
    <w:div w:id="202061480">
      <w:bodyDiv w:val="1"/>
      <w:marLeft w:val="0"/>
      <w:marRight w:val="0"/>
      <w:marTop w:val="0"/>
      <w:marBottom w:val="0"/>
      <w:divBdr>
        <w:top w:val="none" w:sz="0" w:space="0" w:color="auto"/>
        <w:left w:val="none" w:sz="0" w:space="0" w:color="auto"/>
        <w:bottom w:val="none" w:sz="0" w:space="0" w:color="auto"/>
        <w:right w:val="none" w:sz="0" w:space="0" w:color="auto"/>
      </w:divBdr>
    </w:div>
    <w:div w:id="203713025">
      <w:bodyDiv w:val="1"/>
      <w:marLeft w:val="0"/>
      <w:marRight w:val="0"/>
      <w:marTop w:val="0"/>
      <w:marBottom w:val="0"/>
      <w:divBdr>
        <w:top w:val="none" w:sz="0" w:space="0" w:color="auto"/>
        <w:left w:val="none" w:sz="0" w:space="0" w:color="auto"/>
        <w:bottom w:val="none" w:sz="0" w:space="0" w:color="auto"/>
        <w:right w:val="none" w:sz="0" w:space="0" w:color="auto"/>
      </w:divBdr>
    </w:div>
    <w:div w:id="211579921">
      <w:bodyDiv w:val="1"/>
      <w:marLeft w:val="0"/>
      <w:marRight w:val="0"/>
      <w:marTop w:val="0"/>
      <w:marBottom w:val="0"/>
      <w:divBdr>
        <w:top w:val="none" w:sz="0" w:space="0" w:color="auto"/>
        <w:left w:val="none" w:sz="0" w:space="0" w:color="auto"/>
        <w:bottom w:val="none" w:sz="0" w:space="0" w:color="auto"/>
        <w:right w:val="none" w:sz="0" w:space="0" w:color="auto"/>
      </w:divBdr>
    </w:div>
    <w:div w:id="212348689">
      <w:bodyDiv w:val="1"/>
      <w:marLeft w:val="0"/>
      <w:marRight w:val="0"/>
      <w:marTop w:val="0"/>
      <w:marBottom w:val="0"/>
      <w:divBdr>
        <w:top w:val="none" w:sz="0" w:space="0" w:color="auto"/>
        <w:left w:val="none" w:sz="0" w:space="0" w:color="auto"/>
        <w:bottom w:val="none" w:sz="0" w:space="0" w:color="auto"/>
        <w:right w:val="none" w:sz="0" w:space="0" w:color="auto"/>
      </w:divBdr>
    </w:div>
    <w:div w:id="221911099">
      <w:bodyDiv w:val="1"/>
      <w:marLeft w:val="0"/>
      <w:marRight w:val="0"/>
      <w:marTop w:val="0"/>
      <w:marBottom w:val="0"/>
      <w:divBdr>
        <w:top w:val="none" w:sz="0" w:space="0" w:color="auto"/>
        <w:left w:val="none" w:sz="0" w:space="0" w:color="auto"/>
        <w:bottom w:val="none" w:sz="0" w:space="0" w:color="auto"/>
        <w:right w:val="none" w:sz="0" w:space="0" w:color="auto"/>
      </w:divBdr>
    </w:div>
    <w:div w:id="222374590">
      <w:bodyDiv w:val="1"/>
      <w:marLeft w:val="0"/>
      <w:marRight w:val="0"/>
      <w:marTop w:val="0"/>
      <w:marBottom w:val="0"/>
      <w:divBdr>
        <w:top w:val="none" w:sz="0" w:space="0" w:color="auto"/>
        <w:left w:val="none" w:sz="0" w:space="0" w:color="auto"/>
        <w:bottom w:val="none" w:sz="0" w:space="0" w:color="auto"/>
        <w:right w:val="none" w:sz="0" w:space="0" w:color="auto"/>
      </w:divBdr>
    </w:div>
    <w:div w:id="237205219">
      <w:bodyDiv w:val="1"/>
      <w:marLeft w:val="0"/>
      <w:marRight w:val="0"/>
      <w:marTop w:val="0"/>
      <w:marBottom w:val="0"/>
      <w:divBdr>
        <w:top w:val="none" w:sz="0" w:space="0" w:color="auto"/>
        <w:left w:val="none" w:sz="0" w:space="0" w:color="auto"/>
        <w:bottom w:val="none" w:sz="0" w:space="0" w:color="auto"/>
        <w:right w:val="none" w:sz="0" w:space="0" w:color="auto"/>
      </w:divBdr>
    </w:div>
    <w:div w:id="239413068">
      <w:bodyDiv w:val="1"/>
      <w:marLeft w:val="0"/>
      <w:marRight w:val="0"/>
      <w:marTop w:val="0"/>
      <w:marBottom w:val="0"/>
      <w:divBdr>
        <w:top w:val="none" w:sz="0" w:space="0" w:color="auto"/>
        <w:left w:val="none" w:sz="0" w:space="0" w:color="auto"/>
        <w:bottom w:val="none" w:sz="0" w:space="0" w:color="auto"/>
        <w:right w:val="none" w:sz="0" w:space="0" w:color="auto"/>
      </w:divBdr>
    </w:div>
    <w:div w:id="244339352">
      <w:bodyDiv w:val="1"/>
      <w:marLeft w:val="0"/>
      <w:marRight w:val="0"/>
      <w:marTop w:val="0"/>
      <w:marBottom w:val="0"/>
      <w:divBdr>
        <w:top w:val="none" w:sz="0" w:space="0" w:color="auto"/>
        <w:left w:val="none" w:sz="0" w:space="0" w:color="auto"/>
        <w:bottom w:val="none" w:sz="0" w:space="0" w:color="auto"/>
        <w:right w:val="none" w:sz="0" w:space="0" w:color="auto"/>
      </w:divBdr>
    </w:div>
    <w:div w:id="268857863">
      <w:bodyDiv w:val="1"/>
      <w:marLeft w:val="0"/>
      <w:marRight w:val="0"/>
      <w:marTop w:val="0"/>
      <w:marBottom w:val="0"/>
      <w:divBdr>
        <w:top w:val="none" w:sz="0" w:space="0" w:color="auto"/>
        <w:left w:val="none" w:sz="0" w:space="0" w:color="auto"/>
        <w:bottom w:val="none" w:sz="0" w:space="0" w:color="auto"/>
        <w:right w:val="none" w:sz="0" w:space="0" w:color="auto"/>
      </w:divBdr>
    </w:div>
    <w:div w:id="269048232">
      <w:bodyDiv w:val="1"/>
      <w:marLeft w:val="0"/>
      <w:marRight w:val="0"/>
      <w:marTop w:val="0"/>
      <w:marBottom w:val="0"/>
      <w:divBdr>
        <w:top w:val="none" w:sz="0" w:space="0" w:color="auto"/>
        <w:left w:val="none" w:sz="0" w:space="0" w:color="auto"/>
        <w:bottom w:val="none" w:sz="0" w:space="0" w:color="auto"/>
        <w:right w:val="none" w:sz="0" w:space="0" w:color="auto"/>
      </w:divBdr>
    </w:div>
    <w:div w:id="270206411">
      <w:bodyDiv w:val="1"/>
      <w:marLeft w:val="0"/>
      <w:marRight w:val="0"/>
      <w:marTop w:val="0"/>
      <w:marBottom w:val="0"/>
      <w:divBdr>
        <w:top w:val="none" w:sz="0" w:space="0" w:color="auto"/>
        <w:left w:val="none" w:sz="0" w:space="0" w:color="auto"/>
        <w:bottom w:val="none" w:sz="0" w:space="0" w:color="auto"/>
        <w:right w:val="none" w:sz="0" w:space="0" w:color="auto"/>
      </w:divBdr>
    </w:div>
    <w:div w:id="277882864">
      <w:bodyDiv w:val="1"/>
      <w:marLeft w:val="0"/>
      <w:marRight w:val="0"/>
      <w:marTop w:val="0"/>
      <w:marBottom w:val="0"/>
      <w:divBdr>
        <w:top w:val="none" w:sz="0" w:space="0" w:color="auto"/>
        <w:left w:val="none" w:sz="0" w:space="0" w:color="auto"/>
        <w:bottom w:val="none" w:sz="0" w:space="0" w:color="auto"/>
        <w:right w:val="none" w:sz="0" w:space="0" w:color="auto"/>
      </w:divBdr>
    </w:div>
    <w:div w:id="281346163">
      <w:bodyDiv w:val="1"/>
      <w:marLeft w:val="0"/>
      <w:marRight w:val="0"/>
      <w:marTop w:val="0"/>
      <w:marBottom w:val="0"/>
      <w:divBdr>
        <w:top w:val="none" w:sz="0" w:space="0" w:color="auto"/>
        <w:left w:val="none" w:sz="0" w:space="0" w:color="auto"/>
        <w:bottom w:val="none" w:sz="0" w:space="0" w:color="auto"/>
        <w:right w:val="none" w:sz="0" w:space="0" w:color="auto"/>
      </w:divBdr>
    </w:div>
    <w:div w:id="281690478">
      <w:bodyDiv w:val="1"/>
      <w:marLeft w:val="0"/>
      <w:marRight w:val="0"/>
      <w:marTop w:val="0"/>
      <w:marBottom w:val="0"/>
      <w:divBdr>
        <w:top w:val="none" w:sz="0" w:space="0" w:color="auto"/>
        <w:left w:val="none" w:sz="0" w:space="0" w:color="auto"/>
        <w:bottom w:val="none" w:sz="0" w:space="0" w:color="auto"/>
        <w:right w:val="none" w:sz="0" w:space="0" w:color="auto"/>
      </w:divBdr>
    </w:div>
    <w:div w:id="294795385">
      <w:bodyDiv w:val="1"/>
      <w:marLeft w:val="0"/>
      <w:marRight w:val="0"/>
      <w:marTop w:val="0"/>
      <w:marBottom w:val="0"/>
      <w:divBdr>
        <w:top w:val="none" w:sz="0" w:space="0" w:color="auto"/>
        <w:left w:val="none" w:sz="0" w:space="0" w:color="auto"/>
        <w:bottom w:val="none" w:sz="0" w:space="0" w:color="auto"/>
        <w:right w:val="none" w:sz="0" w:space="0" w:color="auto"/>
      </w:divBdr>
    </w:div>
    <w:div w:id="296381594">
      <w:bodyDiv w:val="1"/>
      <w:marLeft w:val="0"/>
      <w:marRight w:val="0"/>
      <w:marTop w:val="0"/>
      <w:marBottom w:val="0"/>
      <w:divBdr>
        <w:top w:val="none" w:sz="0" w:space="0" w:color="auto"/>
        <w:left w:val="none" w:sz="0" w:space="0" w:color="auto"/>
        <w:bottom w:val="none" w:sz="0" w:space="0" w:color="auto"/>
        <w:right w:val="none" w:sz="0" w:space="0" w:color="auto"/>
      </w:divBdr>
    </w:div>
    <w:div w:id="297807721">
      <w:bodyDiv w:val="1"/>
      <w:marLeft w:val="0"/>
      <w:marRight w:val="0"/>
      <w:marTop w:val="0"/>
      <w:marBottom w:val="0"/>
      <w:divBdr>
        <w:top w:val="none" w:sz="0" w:space="0" w:color="auto"/>
        <w:left w:val="none" w:sz="0" w:space="0" w:color="auto"/>
        <w:bottom w:val="none" w:sz="0" w:space="0" w:color="auto"/>
        <w:right w:val="none" w:sz="0" w:space="0" w:color="auto"/>
      </w:divBdr>
    </w:div>
    <w:div w:id="316765673">
      <w:bodyDiv w:val="1"/>
      <w:marLeft w:val="0"/>
      <w:marRight w:val="0"/>
      <w:marTop w:val="0"/>
      <w:marBottom w:val="0"/>
      <w:divBdr>
        <w:top w:val="none" w:sz="0" w:space="0" w:color="auto"/>
        <w:left w:val="none" w:sz="0" w:space="0" w:color="auto"/>
        <w:bottom w:val="none" w:sz="0" w:space="0" w:color="auto"/>
        <w:right w:val="none" w:sz="0" w:space="0" w:color="auto"/>
      </w:divBdr>
    </w:div>
    <w:div w:id="331681901">
      <w:bodyDiv w:val="1"/>
      <w:marLeft w:val="0"/>
      <w:marRight w:val="0"/>
      <w:marTop w:val="0"/>
      <w:marBottom w:val="0"/>
      <w:divBdr>
        <w:top w:val="none" w:sz="0" w:space="0" w:color="auto"/>
        <w:left w:val="none" w:sz="0" w:space="0" w:color="auto"/>
        <w:bottom w:val="none" w:sz="0" w:space="0" w:color="auto"/>
        <w:right w:val="none" w:sz="0" w:space="0" w:color="auto"/>
      </w:divBdr>
    </w:div>
    <w:div w:id="336658500">
      <w:bodyDiv w:val="1"/>
      <w:marLeft w:val="0"/>
      <w:marRight w:val="0"/>
      <w:marTop w:val="0"/>
      <w:marBottom w:val="0"/>
      <w:divBdr>
        <w:top w:val="none" w:sz="0" w:space="0" w:color="auto"/>
        <w:left w:val="none" w:sz="0" w:space="0" w:color="auto"/>
        <w:bottom w:val="none" w:sz="0" w:space="0" w:color="auto"/>
        <w:right w:val="none" w:sz="0" w:space="0" w:color="auto"/>
      </w:divBdr>
    </w:div>
    <w:div w:id="353003503">
      <w:bodyDiv w:val="1"/>
      <w:marLeft w:val="0"/>
      <w:marRight w:val="0"/>
      <w:marTop w:val="0"/>
      <w:marBottom w:val="0"/>
      <w:divBdr>
        <w:top w:val="none" w:sz="0" w:space="0" w:color="auto"/>
        <w:left w:val="none" w:sz="0" w:space="0" w:color="auto"/>
        <w:bottom w:val="none" w:sz="0" w:space="0" w:color="auto"/>
        <w:right w:val="none" w:sz="0" w:space="0" w:color="auto"/>
      </w:divBdr>
    </w:div>
    <w:div w:id="362483620">
      <w:bodyDiv w:val="1"/>
      <w:marLeft w:val="0"/>
      <w:marRight w:val="0"/>
      <w:marTop w:val="0"/>
      <w:marBottom w:val="0"/>
      <w:divBdr>
        <w:top w:val="none" w:sz="0" w:space="0" w:color="auto"/>
        <w:left w:val="none" w:sz="0" w:space="0" w:color="auto"/>
        <w:bottom w:val="none" w:sz="0" w:space="0" w:color="auto"/>
        <w:right w:val="none" w:sz="0" w:space="0" w:color="auto"/>
      </w:divBdr>
    </w:div>
    <w:div w:id="363529797">
      <w:bodyDiv w:val="1"/>
      <w:marLeft w:val="0"/>
      <w:marRight w:val="0"/>
      <w:marTop w:val="0"/>
      <w:marBottom w:val="0"/>
      <w:divBdr>
        <w:top w:val="none" w:sz="0" w:space="0" w:color="auto"/>
        <w:left w:val="none" w:sz="0" w:space="0" w:color="auto"/>
        <w:bottom w:val="none" w:sz="0" w:space="0" w:color="auto"/>
        <w:right w:val="none" w:sz="0" w:space="0" w:color="auto"/>
      </w:divBdr>
    </w:div>
    <w:div w:id="377054784">
      <w:bodyDiv w:val="1"/>
      <w:marLeft w:val="0"/>
      <w:marRight w:val="0"/>
      <w:marTop w:val="0"/>
      <w:marBottom w:val="0"/>
      <w:divBdr>
        <w:top w:val="none" w:sz="0" w:space="0" w:color="auto"/>
        <w:left w:val="none" w:sz="0" w:space="0" w:color="auto"/>
        <w:bottom w:val="none" w:sz="0" w:space="0" w:color="auto"/>
        <w:right w:val="none" w:sz="0" w:space="0" w:color="auto"/>
      </w:divBdr>
    </w:div>
    <w:div w:id="386879862">
      <w:bodyDiv w:val="1"/>
      <w:marLeft w:val="0"/>
      <w:marRight w:val="0"/>
      <w:marTop w:val="0"/>
      <w:marBottom w:val="0"/>
      <w:divBdr>
        <w:top w:val="none" w:sz="0" w:space="0" w:color="auto"/>
        <w:left w:val="none" w:sz="0" w:space="0" w:color="auto"/>
        <w:bottom w:val="none" w:sz="0" w:space="0" w:color="auto"/>
        <w:right w:val="none" w:sz="0" w:space="0" w:color="auto"/>
      </w:divBdr>
    </w:div>
    <w:div w:id="391737058">
      <w:bodyDiv w:val="1"/>
      <w:marLeft w:val="0"/>
      <w:marRight w:val="0"/>
      <w:marTop w:val="0"/>
      <w:marBottom w:val="0"/>
      <w:divBdr>
        <w:top w:val="none" w:sz="0" w:space="0" w:color="auto"/>
        <w:left w:val="none" w:sz="0" w:space="0" w:color="auto"/>
        <w:bottom w:val="none" w:sz="0" w:space="0" w:color="auto"/>
        <w:right w:val="none" w:sz="0" w:space="0" w:color="auto"/>
      </w:divBdr>
    </w:div>
    <w:div w:id="398483482">
      <w:bodyDiv w:val="1"/>
      <w:marLeft w:val="0"/>
      <w:marRight w:val="0"/>
      <w:marTop w:val="0"/>
      <w:marBottom w:val="0"/>
      <w:divBdr>
        <w:top w:val="none" w:sz="0" w:space="0" w:color="auto"/>
        <w:left w:val="none" w:sz="0" w:space="0" w:color="auto"/>
        <w:bottom w:val="none" w:sz="0" w:space="0" w:color="auto"/>
        <w:right w:val="none" w:sz="0" w:space="0" w:color="auto"/>
      </w:divBdr>
    </w:div>
    <w:div w:id="429207977">
      <w:bodyDiv w:val="1"/>
      <w:marLeft w:val="0"/>
      <w:marRight w:val="0"/>
      <w:marTop w:val="0"/>
      <w:marBottom w:val="0"/>
      <w:divBdr>
        <w:top w:val="none" w:sz="0" w:space="0" w:color="auto"/>
        <w:left w:val="none" w:sz="0" w:space="0" w:color="auto"/>
        <w:bottom w:val="none" w:sz="0" w:space="0" w:color="auto"/>
        <w:right w:val="none" w:sz="0" w:space="0" w:color="auto"/>
      </w:divBdr>
    </w:div>
    <w:div w:id="435518963">
      <w:bodyDiv w:val="1"/>
      <w:marLeft w:val="0"/>
      <w:marRight w:val="0"/>
      <w:marTop w:val="0"/>
      <w:marBottom w:val="0"/>
      <w:divBdr>
        <w:top w:val="none" w:sz="0" w:space="0" w:color="auto"/>
        <w:left w:val="none" w:sz="0" w:space="0" w:color="auto"/>
        <w:bottom w:val="none" w:sz="0" w:space="0" w:color="auto"/>
        <w:right w:val="none" w:sz="0" w:space="0" w:color="auto"/>
      </w:divBdr>
    </w:div>
    <w:div w:id="441656123">
      <w:bodyDiv w:val="1"/>
      <w:marLeft w:val="0"/>
      <w:marRight w:val="0"/>
      <w:marTop w:val="0"/>
      <w:marBottom w:val="0"/>
      <w:divBdr>
        <w:top w:val="none" w:sz="0" w:space="0" w:color="auto"/>
        <w:left w:val="none" w:sz="0" w:space="0" w:color="auto"/>
        <w:bottom w:val="none" w:sz="0" w:space="0" w:color="auto"/>
        <w:right w:val="none" w:sz="0" w:space="0" w:color="auto"/>
      </w:divBdr>
    </w:div>
    <w:div w:id="444932090">
      <w:bodyDiv w:val="1"/>
      <w:marLeft w:val="0"/>
      <w:marRight w:val="0"/>
      <w:marTop w:val="0"/>
      <w:marBottom w:val="0"/>
      <w:divBdr>
        <w:top w:val="none" w:sz="0" w:space="0" w:color="auto"/>
        <w:left w:val="none" w:sz="0" w:space="0" w:color="auto"/>
        <w:bottom w:val="none" w:sz="0" w:space="0" w:color="auto"/>
        <w:right w:val="none" w:sz="0" w:space="0" w:color="auto"/>
      </w:divBdr>
    </w:div>
    <w:div w:id="451901479">
      <w:bodyDiv w:val="1"/>
      <w:marLeft w:val="0"/>
      <w:marRight w:val="0"/>
      <w:marTop w:val="0"/>
      <w:marBottom w:val="0"/>
      <w:divBdr>
        <w:top w:val="none" w:sz="0" w:space="0" w:color="auto"/>
        <w:left w:val="none" w:sz="0" w:space="0" w:color="auto"/>
        <w:bottom w:val="none" w:sz="0" w:space="0" w:color="auto"/>
        <w:right w:val="none" w:sz="0" w:space="0" w:color="auto"/>
      </w:divBdr>
    </w:div>
    <w:div w:id="454297098">
      <w:bodyDiv w:val="1"/>
      <w:marLeft w:val="0"/>
      <w:marRight w:val="0"/>
      <w:marTop w:val="0"/>
      <w:marBottom w:val="0"/>
      <w:divBdr>
        <w:top w:val="none" w:sz="0" w:space="0" w:color="auto"/>
        <w:left w:val="none" w:sz="0" w:space="0" w:color="auto"/>
        <w:bottom w:val="none" w:sz="0" w:space="0" w:color="auto"/>
        <w:right w:val="none" w:sz="0" w:space="0" w:color="auto"/>
      </w:divBdr>
    </w:div>
    <w:div w:id="460616009">
      <w:bodyDiv w:val="1"/>
      <w:marLeft w:val="0"/>
      <w:marRight w:val="0"/>
      <w:marTop w:val="0"/>
      <w:marBottom w:val="0"/>
      <w:divBdr>
        <w:top w:val="none" w:sz="0" w:space="0" w:color="auto"/>
        <w:left w:val="none" w:sz="0" w:space="0" w:color="auto"/>
        <w:bottom w:val="none" w:sz="0" w:space="0" w:color="auto"/>
        <w:right w:val="none" w:sz="0" w:space="0" w:color="auto"/>
      </w:divBdr>
    </w:div>
    <w:div w:id="470367241">
      <w:bodyDiv w:val="1"/>
      <w:marLeft w:val="0"/>
      <w:marRight w:val="0"/>
      <w:marTop w:val="0"/>
      <w:marBottom w:val="0"/>
      <w:divBdr>
        <w:top w:val="none" w:sz="0" w:space="0" w:color="auto"/>
        <w:left w:val="none" w:sz="0" w:space="0" w:color="auto"/>
        <w:bottom w:val="none" w:sz="0" w:space="0" w:color="auto"/>
        <w:right w:val="none" w:sz="0" w:space="0" w:color="auto"/>
      </w:divBdr>
    </w:div>
    <w:div w:id="474025387">
      <w:bodyDiv w:val="1"/>
      <w:marLeft w:val="0"/>
      <w:marRight w:val="0"/>
      <w:marTop w:val="0"/>
      <w:marBottom w:val="0"/>
      <w:divBdr>
        <w:top w:val="none" w:sz="0" w:space="0" w:color="auto"/>
        <w:left w:val="none" w:sz="0" w:space="0" w:color="auto"/>
        <w:bottom w:val="none" w:sz="0" w:space="0" w:color="auto"/>
        <w:right w:val="none" w:sz="0" w:space="0" w:color="auto"/>
      </w:divBdr>
    </w:div>
    <w:div w:id="474104281">
      <w:bodyDiv w:val="1"/>
      <w:marLeft w:val="0"/>
      <w:marRight w:val="0"/>
      <w:marTop w:val="0"/>
      <w:marBottom w:val="0"/>
      <w:divBdr>
        <w:top w:val="none" w:sz="0" w:space="0" w:color="auto"/>
        <w:left w:val="none" w:sz="0" w:space="0" w:color="auto"/>
        <w:bottom w:val="none" w:sz="0" w:space="0" w:color="auto"/>
        <w:right w:val="none" w:sz="0" w:space="0" w:color="auto"/>
      </w:divBdr>
    </w:div>
    <w:div w:id="479814365">
      <w:bodyDiv w:val="1"/>
      <w:marLeft w:val="0"/>
      <w:marRight w:val="0"/>
      <w:marTop w:val="0"/>
      <w:marBottom w:val="0"/>
      <w:divBdr>
        <w:top w:val="none" w:sz="0" w:space="0" w:color="auto"/>
        <w:left w:val="none" w:sz="0" w:space="0" w:color="auto"/>
        <w:bottom w:val="none" w:sz="0" w:space="0" w:color="auto"/>
        <w:right w:val="none" w:sz="0" w:space="0" w:color="auto"/>
      </w:divBdr>
    </w:div>
    <w:div w:id="480927311">
      <w:bodyDiv w:val="1"/>
      <w:marLeft w:val="0"/>
      <w:marRight w:val="0"/>
      <w:marTop w:val="0"/>
      <w:marBottom w:val="0"/>
      <w:divBdr>
        <w:top w:val="none" w:sz="0" w:space="0" w:color="auto"/>
        <w:left w:val="none" w:sz="0" w:space="0" w:color="auto"/>
        <w:bottom w:val="none" w:sz="0" w:space="0" w:color="auto"/>
        <w:right w:val="none" w:sz="0" w:space="0" w:color="auto"/>
      </w:divBdr>
    </w:div>
    <w:div w:id="482356346">
      <w:bodyDiv w:val="1"/>
      <w:marLeft w:val="0"/>
      <w:marRight w:val="0"/>
      <w:marTop w:val="0"/>
      <w:marBottom w:val="0"/>
      <w:divBdr>
        <w:top w:val="none" w:sz="0" w:space="0" w:color="auto"/>
        <w:left w:val="none" w:sz="0" w:space="0" w:color="auto"/>
        <w:bottom w:val="none" w:sz="0" w:space="0" w:color="auto"/>
        <w:right w:val="none" w:sz="0" w:space="0" w:color="auto"/>
      </w:divBdr>
    </w:div>
    <w:div w:id="493376739">
      <w:bodyDiv w:val="1"/>
      <w:marLeft w:val="0"/>
      <w:marRight w:val="0"/>
      <w:marTop w:val="0"/>
      <w:marBottom w:val="0"/>
      <w:divBdr>
        <w:top w:val="none" w:sz="0" w:space="0" w:color="auto"/>
        <w:left w:val="none" w:sz="0" w:space="0" w:color="auto"/>
        <w:bottom w:val="none" w:sz="0" w:space="0" w:color="auto"/>
        <w:right w:val="none" w:sz="0" w:space="0" w:color="auto"/>
      </w:divBdr>
    </w:div>
    <w:div w:id="494107637">
      <w:bodyDiv w:val="1"/>
      <w:marLeft w:val="0"/>
      <w:marRight w:val="0"/>
      <w:marTop w:val="0"/>
      <w:marBottom w:val="0"/>
      <w:divBdr>
        <w:top w:val="none" w:sz="0" w:space="0" w:color="auto"/>
        <w:left w:val="none" w:sz="0" w:space="0" w:color="auto"/>
        <w:bottom w:val="none" w:sz="0" w:space="0" w:color="auto"/>
        <w:right w:val="none" w:sz="0" w:space="0" w:color="auto"/>
      </w:divBdr>
    </w:div>
    <w:div w:id="495342265">
      <w:bodyDiv w:val="1"/>
      <w:marLeft w:val="0"/>
      <w:marRight w:val="0"/>
      <w:marTop w:val="0"/>
      <w:marBottom w:val="0"/>
      <w:divBdr>
        <w:top w:val="none" w:sz="0" w:space="0" w:color="auto"/>
        <w:left w:val="none" w:sz="0" w:space="0" w:color="auto"/>
        <w:bottom w:val="none" w:sz="0" w:space="0" w:color="auto"/>
        <w:right w:val="none" w:sz="0" w:space="0" w:color="auto"/>
      </w:divBdr>
    </w:div>
    <w:div w:id="503515539">
      <w:bodyDiv w:val="1"/>
      <w:marLeft w:val="0"/>
      <w:marRight w:val="0"/>
      <w:marTop w:val="0"/>
      <w:marBottom w:val="0"/>
      <w:divBdr>
        <w:top w:val="none" w:sz="0" w:space="0" w:color="auto"/>
        <w:left w:val="none" w:sz="0" w:space="0" w:color="auto"/>
        <w:bottom w:val="none" w:sz="0" w:space="0" w:color="auto"/>
        <w:right w:val="none" w:sz="0" w:space="0" w:color="auto"/>
      </w:divBdr>
    </w:div>
    <w:div w:id="511797933">
      <w:bodyDiv w:val="1"/>
      <w:marLeft w:val="0"/>
      <w:marRight w:val="0"/>
      <w:marTop w:val="0"/>
      <w:marBottom w:val="0"/>
      <w:divBdr>
        <w:top w:val="none" w:sz="0" w:space="0" w:color="auto"/>
        <w:left w:val="none" w:sz="0" w:space="0" w:color="auto"/>
        <w:bottom w:val="none" w:sz="0" w:space="0" w:color="auto"/>
        <w:right w:val="none" w:sz="0" w:space="0" w:color="auto"/>
      </w:divBdr>
    </w:div>
    <w:div w:id="516846285">
      <w:bodyDiv w:val="1"/>
      <w:marLeft w:val="0"/>
      <w:marRight w:val="0"/>
      <w:marTop w:val="0"/>
      <w:marBottom w:val="0"/>
      <w:divBdr>
        <w:top w:val="none" w:sz="0" w:space="0" w:color="auto"/>
        <w:left w:val="none" w:sz="0" w:space="0" w:color="auto"/>
        <w:bottom w:val="none" w:sz="0" w:space="0" w:color="auto"/>
        <w:right w:val="none" w:sz="0" w:space="0" w:color="auto"/>
      </w:divBdr>
    </w:div>
    <w:div w:id="520165823">
      <w:bodyDiv w:val="1"/>
      <w:marLeft w:val="0"/>
      <w:marRight w:val="0"/>
      <w:marTop w:val="0"/>
      <w:marBottom w:val="0"/>
      <w:divBdr>
        <w:top w:val="none" w:sz="0" w:space="0" w:color="auto"/>
        <w:left w:val="none" w:sz="0" w:space="0" w:color="auto"/>
        <w:bottom w:val="none" w:sz="0" w:space="0" w:color="auto"/>
        <w:right w:val="none" w:sz="0" w:space="0" w:color="auto"/>
      </w:divBdr>
    </w:div>
    <w:div w:id="529344051">
      <w:bodyDiv w:val="1"/>
      <w:marLeft w:val="0"/>
      <w:marRight w:val="0"/>
      <w:marTop w:val="0"/>
      <w:marBottom w:val="0"/>
      <w:divBdr>
        <w:top w:val="none" w:sz="0" w:space="0" w:color="auto"/>
        <w:left w:val="none" w:sz="0" w:space="0" w:color="auto"/>
        <w:bottom w:val="none" w:sz="0" w:space="0" w:color="auto"/>
        <w:right w:val="none" w:sz="0" w:space="0" w:color="auto"/>
      </w:divBdr>
    </w:div>
    <w:div w:id="533810502">
      <w:bodyDiv w:val="1"/>
      <w:marLeft w:val="0"/>
      <w:marRight w:val="0"/>
      <w:marTop w:val="0"/>
      <w:marBottom w:val="0"/>
      <w:divBdr>
        <w:top w:val="none" w:sz="0" w:space="0" w:color="auto"/>
        <w:left w:val="none" w:sz="0" w:space="0" w:color="auto"/>
        <w:bottom w:val="none" w:sz="0" w:space="0" w:color="auto"/>
        <w:right w:val="none" w:sz="0" w:space="0" w:color="auto"/>
      </w:divBdr>
    </w:div>
    <w:div w:id="554242236">
      <w:bodyDiv w:val="1"/>
      <w:marLeft w:val="0"/>
      <w:marRight w:val="0"/>
      <w:marTop w:val="0"/>
      <w:marBottom w:val="0"/>
      <w:divBdr>
        <w:top w:val="none" w:sz="0" w:space="0" w:color="auto"/>
        <w:left w:val="none" w:sz="0" w:space="0" w:color="auto"/>
        <w:bottom w:val="none" w:sz="0" w:space="0" w:color="auto"/>
        <w:right w:val="none" w:sz="0" w:space="0" w:color="auto"/>
      </w:divBdr>
    </w:div>
    <w:div w:id="560948731">
      <w:bodyDiv w:val="1"/>
      <w:marLeft w:val="0"/>
      <w:marRight w:val="0"/>
      <w:marTop w:val="0"/>
      <w:marBottom w:val="0"/>
      <w:divBdr>
        <w:top w:val="none" w:sz="0" w:space="0" w:color="auto"/>
        <w:left w:val="none" w:sz="0" w:space="0" w:color="auto"/>
        <w:bottom w:val="none" w:sz="0" w:space="0" w:color="auto"/>
        <w:right w:val="none" w:sz="0" w:space="0" w:color="auto"/>
      </w:divBdr>
    </w:div>
    <w:div w:id="562981841">
      <w:bodyDiv w:val="1"/>
      <w:marLeft w:val="0"/>
      <w:marRight w:val="0"/>
      <w:marTop w:val="0"/>
      <w:marBottom w:val="0"/>
      <w:divBdr>
        <w:top w:val="none" w:sz="0" w:space="0" w:color="auto"/>
        <w:left w:val="none" w:sz="0" w:space="0" w:color="auto"/>
        <w:bottom w:val="none" w:sz="0" w:space="0" w:color="auto"/>
        <w:right w:val="none" w:sz="0" w:space="0" w:color="auto"/>
      </w:divBdr>
    </w:div>
    <w:div w:id="575094405">
      <w:bodyDiv w:val="1"/>
      <w:marLeft w:val="0"/>
      <w:marRight w:val="0"/>
      <w:marTop w:val="0"/>
      <w:marBottom w:val="0"/>
      <w:divBdr>
        <w:top w:val="none" w:sz="0" w:space="0" w:color="auto"/>
        <w:left w:val="none" w:sz="0" w:space="0" w:color="auto"/>
        <w:bottom w:val="none" w:sz="0" w:space="0" w:color="auto"/>
        <w:right w:val="none" w:sz="0" w:space="0" w:color="auto"/>
      </w:divBdr>
    </w:div>
    <w:div w:id="578683650">
      <w:bodyDiv w:val="1"/>
      <w:marLeft w:val="0"/>
      <w:marRight w:val="0"/>
      <w:marTop w:val="0"/>
      <w:marBottom w:val="0"/>
      <w:divBdr>
        <w:top w:val="none" w:sz="0" w:space="0" w:color="auto"/>
        <w:left w:val="none" w:sz="0" w:space="0" w:color="auto"/>
        <w:bottom w:val="none" w:sz="0" w:space="0" w:color="auto"/>
        <w:right w:val="none" w:sz="0" w:space="0" w:color="auto"/>
      </w:divBdr>
    </w:div>
    <w:div w:id="598559464">
      <w:bodyDiv w:val="1"/>
      <w:marLeft w:val="0"/>
      <w:marRight w:val="0"/>
      <w:marTop w:val="0"/>
      <w:marBottom w:val="0"/>
      <w:divBdr>
        <w:top w:val="none" w:sz="0" w:space="0" w:color="auto"/>
        <w:left w:val="none" w:sz="0" w:space="0" w:color="auto"/>
        <w:bottom w:val="none" w:sz="0" w:space="0" w:color="auto"/>
        <w:right w:val="none" w:sz="0" w:space="0" w:color="auto"/>
      </w:divBdr>
    </w:div>
    <w:div w:id="622155686">
      <w:bodyDiv w:val="1"/>
      <w:marLeft w:val="0"/>
      <w:marRight w:val="0"/>
      <w:marTop w:val="0"/>
      <w:marBottom w:val="0"/>
      <w:divBdr>
        <w:top w:val="none" w:sz="0" w:space="0" w:color="auto"/>
        <w:left w:val="none" w:sz="0" w:space="0" w:color="auto"/>
        <w:bottom w:val="none" w:sz="0" w:space="0" w:color="auto"/>
        <w:right w:val="none" w:sz="0" w:space="0" w:color="auto"/>
      </w:divBdr>
    </w:div>
    <w:div w:id="624700951">
      <w:bodyDiv w:val="1"/>
      <w:marLeft w:val="0"/>
      <w:marRight w:val="0"/>
      <w:marTop w:val="0"/>
      <w:marBottom w:val="0"/>
      <w:divBdr>
        <w:top w:val="none" w:sz="0" w:space="0" w:color="auto"/>
        <w:left w:val="none" w:sz="0" w:space="0" w:color="auto"/>
        <w:bottom w:val="none" w:sz="0" w:space="0" w:color="auto"/>
        <w:right w:val="none" w:sz="0" w:space="0" w:color="auto"/>
      </w:divBdr>
    </w:div>
    <w:div w:id="632255585">
      <w:bodyDiv w:val="1"/>
      <w:marLeft w:val="0"/>
      <w:marRight w:val="0"/>
      <w:marTop w:val="0"/>
      <w:marBottom w:val="0"/>
      <w:divBdr>
        <w:top w:val="none" w:sz="0" w:space="0" w:color="auto"/>
        <w:left w:val="none" w:sz="0" w:space="0" w:color="auto"/>
        <w:bottom w:val="none" w:sz="0" w:space="0" w:color="auto"/>
        <w:right w:val="none" w:sz="0" w:space="0" w:color="auto"/>
      </w:divBdr>
    </w:div>
    <w:div w:id="646008514">
      <w:bodyDiv w:val="1"/>
      <w:marLeft w:val="0"/>
      <w:marRight w:val="0"/>
      <w:marTop w:val="0"/>
      <w:marBottom w:val="0"/>
      <w:divBdr>
        <w:top w:val="none" w:sz="0" w:space="0" w:color="auto"/>
        <w:left w:val="none" w:sz="0" w:space="0" w:color="auto"/>
        <w:bottom w:val="none" w:sz="0" w:space="0" w:color="auto"/>
        <w:right w:val="none" w:sz="0" w:space="0" w:color="auto"/>
      </w:divBdr>
    </w:div>
    <w:div w:id="653875129">
      <w:bodyDiv w:val="1"/>
      <w:marLeft w:val="0"/>
      <w:marRight w:val="0"/>
      <w:marTop w:val="0"/>
      <w:marBottom w:val="0"/>
      <w:divBdr>
        <w:top w:val="none" w:sz="0" w:space="0" w:color="auto"/>
        <w:left w:val="none" w:sz="0" w:space="0" w:color="auto"/>
        <w:bottom w:val="none" w:sz="0" w:space="0" w:color="auto"/>
        <w:right w:val="none" w:sz="0" w:space="0" w:color="auto"/>
      </w:divBdr>
    </w:div>
    <w:div w:id="675961289">
      <w:bodyDiv w:val="1"/>
      <w:marLeft w:val="0"/>
      <w:marRight w:val="0"/>
      <w:marTop w:val="0"/>
      <w:marBottom w:val="0"/>
      <w:divBdr>
        <w:top w:val="none" w:sz="0" w:space="0" w:color="auto"/>
        <w:left w:val="none" w:sz="0" w:space="0" w:color="auto"/>
        <w:bottom w:val="none" w:sz="0" w:space="0" w:color="auto"/>
        <w:right w:val="none" w:sz="0" w:space="0" w:color="auto"/>
      </w:divBdr>
    </w:div>
    <w:div w:id="679234262">
      <w:bodyDiv w:val="1"/>
      <w:marLeft w:val="0"/>
      <w:marRight w:val="0"/>
      <w:marTop w:val="0"/>
      <w:marBottom w:val="0"/>
      <w:divBdr>
        <w:top w:val="none" w:sz="0" w:space="0" w:color="auto"/>
        <w:left w:val="none" w:sz="0" w:space="0" w:color="auto"/>
        <w:bottom w:val="none" w:sz="0" w:space="0" w:color="auto"/>
        <w:right w:val="none" w:sz="0" w:space="0" w:color="auto"/>
      </w:divBdr>
    </w:div>
    <w:div w:id="691419677">
      <w:bodyDiv w:val="1"/>
      <w:marLeft w:val="0"/>
      <w:marRight w:val="0"/>
      <w:marTop w:val="0"/>
      <w:marBottom w:val="0"/>
      <w:divBdr>
        <w:top w:val="none" w:sz="0" w:space="0" w:color="auto"/>
        <w:left w:val="none" w:sz="0" w:space="0" w:color="auto"/>
        <w:bottom w:val="none" w:sz="0" w:space="0" w:color="auto"/>
        <w:right w:val="none" w:sz="0" w:space="0" w:color="auto"/>
      </w:divBdr>
    </w:div>
    <w:div w:id="705329974">
      <w:bodyDiv w:val="1"/>
      <w:marLeft w:val="0"/>
      <w:marRight w:val="0"/>
      <w:marTop w:val="0"/>
      <w:marBottom w:val="0"/>
      <w:divBdr>
        <w:top w:val="none" w:sz="0" w:space="0" w:color="auto"/>
        <w:left w:val="none" w:sz="0" w:space="0" w:color="auto"/>
        <w:bottom w:val="none" w:sz="0" w:space="0" w:color="auto"/>
        <w:right w:val="none" w:sz="0" w:space="0" w:color="auto"/>
      </w:divBdr>
    </w:div>
    <w:div w:id="713311608">
      <w:bodyDiv w:val="1"/>
      <w:marLeft w:val="0"/>
      <w:marRight w:val="0"/>
      <w:marTop w:val="0"/>
      <w:marBottom w:val="0"/>
      <w:divBdr>
        <w:top w:val="none" w:sz="0" w:space="0" w:color="auto"/>
        <w:left w:val="none" w:sz="0" w:space="0" w:color="auto"/>
        <w:bottom w:val="none" w:sz="0" w:space="0" w:color="auto"/>
        <w:right w:val="none" w:sz="0" w:space="0" w:color="auto"/>
      </w:divBdr>
    </w:div>
    <w:div w:id="730736958">
      <w:bodyDiv w:val="1"/>
      <w:marLeft w:val="0"/>
      <w:marRight w:val="0"/>
      <w:marTop w:val="0"/>
      <w:marBottom w:val="0"/>
      <w:divBdr>
        <w:top w:val="none" w:sz="0" w:space="0" w:color="auto"/>
        <w:left w:val="none" w:sz="0" w:space="0" w:color="auto"/>
        <w:bottom w:val="none" w:sz="0" w:space="0" w:color="auto"/>
        <w:right w:val="none" w:sz="0" w:space="0" w:color="auto"/>
      </w:divBdr>
    </w:div>
    <w:div w:id="731395222">
      <w:bodyDiv w:val="1"/>
      <w:marLeft w:val="0"/>
      <w:marRight w:val="0"/>
      <w:marTop w:val="0"/>
      <w:marBottom w:val="0"/>
      <w:divBdr>
        <w:top w:val="none" w:sz="0" w:space="0" w:color="auto"/>
        <w:left w:val="none" w:sz="0" w:space="0" w:color="auto"/>
        <w:bottom w:val="none" w:sz="0" w:space="0" w:color="auto"/>
        <w:right w:val="none" w:sz="0" w:space="0" w:color="auto"/>
      </w:divBdr>
    </w:div>
    <w:div w:id="735398500">
      <w:bodyDiv w:val="1"/>
      <w:marLeft w:val="0"/>
      <w:marRight w:val="0"/>
      <w:marTop w:val="0"/>
      <w:marBottom w:val="0"/>
      <w:divBdr>
        <w:top w:val="none" w:sz="0" w:space="0" w:color="auto"/>
        <w:left w:val="none" w:sz="0" w:space="0" w:color="auto"/>
        <w:bottom w:val="none" w:sz="0" w:space="0" w:color="auto"/>
        <w:right w:val="none" w:sz="0" w:space="0" w:color="auto"/>
      </w:divBdr>
    </w:div>
    <w:div w:id="755828149">
      <w:bodyDiv w:val="1"/>
      <w:marLeft w:val="0"/>
      <w:marRight w:val="0"/>
      <w:marTop w:val="0"/>
      <w:marBottom w:val="0"/>
      <w:divBdr>
        <w:top w:val="none" w:sz="0" w:space="0" w:color="auto"/>
        <w:left w:val="none" w:sz="0" w:space="0" w:color="auto"/>
        <w:bottom w:val="none" w:sz="0" w:space="0" w:color="auto"/>
        <w:right w:val="none" w:sz="0" w:space="0" w:color="auto"/>
      </w:divBdr>
    </w:div>
    <w:div w:id="759255077">
      <w:bodyDiv w:val="1"/>
      <w:marLeft w:val="0"/>
      <w:marRight w:val="0"/>
      <w:marTop w:val="0"/>
      <w:marBottom w:val="0"/>
      <w:divBdr>
        <w:top w:val="none" w:sz="0" w:space="0" w:color="auto"/>
        <w:left w:val="none" w:sz="0" w:space="0" w:color="auto"/>
        <w:bottom w:val="none" w:sz="0" w:space="0" w:color="auto"/>
        <w:right w:val="none" w:sz="0" w:space="0" w:color="auto"/>
      </w:divBdr>
    </w:div>
    <w:div w:id="771513660">
      <w:bodyDiv w:val="1"/>
      <w:marLeft w:val="0"/>
      <w:marRight w:val="0"/>
      <w:marTop w:val="0"/>
      <w:marBottom w:val="0"/>
      <w:divBdr>
        <w:top w:val="none" w:sz="0" w:space="0" w:color="auto"/>
        <w:left w:val="none" w:sz="0" w:space="0" w:color="auto"/>
        <w:bottom w:val="none" w:sz="0" w:space="0" w:color="auto"/>
        <w:right w:val="none" w:sz="0" w:space="0" w:color="auto"/>
      </w:divBdr>
    </w:div>
    <w:div w:id="773479581">
      <w:bodyDiv w:val="1"/>
      <w:marLeft w:val="0"/>
      <w:marRight w:val="0"/>
      <w:marTop w:val="0"/>
      <w:marBottom w:val="0"/>
      <w:divBdr>
        <w:top w:val="none" w:sz="0" w:space="0" w:color="auto"/>
        <w:left w:val="none" w:sz="0" w:space="0" w:color="auto"/>
        <w:bottom w:val="none" w:sz="0" w:space="0" w:color="auto"/>
        <w:right w:val="none" w:sz="0" w:space="0" w:color="auto"/>
      </w:divBdr>
    </w:div>
    <w:div w:id="776603440">
      <w:bodyDiv w:val="1"/>
      <w:marLeft w:val="0"/>
      <w:marRight w:val="0"/>
      <w:marTop w:val="0"/>
      <w:marBottom w:val="0"/>
      <w:divBdr>
        <w:top w:val="none" w:sz="0" w:space="0" w:color="auto"/>
        <w:left w:val="none" w:sz="0" w:space="0" w:color="auto"/>
        <w:bottom w:val="none" w:sz="0" w:space="0" w:color="auto"/>
        <w:right w:val="none" w:sz="0" w:space="0" w:color="auto"/>
      </w:divBdr>
    </w:div>
    <w:div w:id="799147880">
      <w:bodyDiv w:val="1"/>
      <w:marLeft w:val="0"/>
      <w:marRight w:val="0"/>
      <w:marTop w:val="0"/>
      <w:marBottom w:val="0"/>
      <w:divBdr>
        <w:top w:val="none" w:sz="0" w:space="0" w:color="auto"/>
        <w:left w:val="none" w:sz="0" w:space="0" w:color="auto"/>
        <w:bottom w:val="none" w:sz="0" w:space="0" w:color="auto"/>
        <w:right w:val="none" w:sz="0" w:space="0" w:color="auto"/>
      </w:divBdr>
    </w:div>
    <w:div w:id="811947817">
      <w:bodyDiv w:val="1"/>
      <w:marLeft w:val="0"/>
      <w:marRight w:val="0"/>
      <w:marTop w:val="0"/>
      <w:marBottom w:val="0"/>
      <w:divBdr>
        <w:top w:val="none" w:sz="0" w:space="0" w:color="auto"/>
        <w:left w:val="none" w:sz="0" w:space="0" w:color="auto"/>
        <w:bottom w:val="none" w:sz="0" w:space="0" w:color="auto"/>
        <w:right w:val="none" w:sz="0" w:space="0" w:color="auto"/>
      </w:divBdr>
    </w:div>
    <w:div w:id="818423089">
      <w:bodyDiv w:val="1"/>
      <w:marLeft w:val="0"/>
      <w:marRight w:val="0"/>
      <w:marTop w:val="0"/>
      <w:marBottom w:val="0"/>
      <w:divBdr>
        <w:top w:val="none" w:sz="0" w:space="0" w:color="auto"/>
        <w:left w:val="none" w:sz="0" w:space="0" w:color="auto"/>
        <w:bottom w:val="none" w:sz="0" w:space="0" w:color="auto"/>
        <w:right w:val="none" w:sz="0" w:space="0" w:color="auto"/>
      </w:divBdr>
    </w:div>
    <w:div w:id="842819774">
      <w:bodyDiv w:val="1"/>
      <w:marLeft w:val="0"/>
      <w:marRight w:val="0"/>
      <w:marTop w:val="0"/>
      <w:marBottom w:val="0"/>
      <w:divBdr>
        <w:top w:val="none" w:sz="0" w:space="0" w:color="auto"/>
        <w:left w:val="none" w:sz="0" w:space="0" w:color="auto"/>
        <w:bottom w:val="none" w:sz="0" w:space="0" w:color="auto"/>
        <w:right w:val="none" w:sz="0" w:space="0" w:color="auto"/>
      </w:divBdr>
    </w:div>
    <w:div w:id="842858768">
      <w:bodyDiv w:val="1"/>
      <w:marLeft w:val="0"/>
      <w:marRight w:val="0"/>
      <w:marTop w:val="0"/>
      <w:marBottom w:val="0"/>
      <w:divBdr>
        <w:top w:val="none" w:sz="0" w:space="0" w:color="auto"/>
        <w:left w:val="none" w:sz="0" w:space="0" w:color="auto"/>
        <w:bottom w:val="none" w:sz="0" w:space="0" w:color="auto"/>
        <w:right w:val="none" w:sz="0" w:space="0" w:color="auto"/>
      </w:divBdr>
    </w:div>
    <w:div w:id="844709674">
      <w:bodyDiv w:val="1"/>
      <w:marLeft w:val="0"/>
      <w:marRight w:val="0"/>
      <w:marTop w:val="0"/>
      <w:marBottom w:val="0"/>
      <w:divBdr>
        <w:top w:val="none" w:sz="0" w:space="0" w:color="auto"/>
        <w:left w:val="none" w:sz="0" w:space="0" w:color="auto"/>
        <w:bottom w:val="none" w:sz="0" w:space="0" w:color="auto"/>
        <w:right w:val="none" w:sz="0" w:space="0" w:color="auto"/>
      </w:divBdr>
    </w:div>
    <w:div w:id="850220536">
      <w:bodyDiv w:val="1"/>
      <w:marLeft w:val="0"/>
      <w:marRight w:val="0"/>
      <w:marTop w:val="0"/>
      <w:marBottom w:val="0"/>
      <w:divBdr>
        <w:top w:val="none" w:sz="0" w:space="0" w:color="auto"/>
        <w:left w:val="none" w:sz="0" w:space="0" w:color="auto"/>
        <w:bottom w:val="none" w:sz="0" w:space="0" w:color="auto"/>
        <w:right w:val="none" w:sz="0" w:space="0" w:color="auto"/>
      </w:divBdr>
    </w:div>
    <w:div w:id="852914032">
      <w:bodyDiv w:val="1"/>
      <w:marLeft w:val="0"/>
      <w:marRight w:val="0"/>
      <w:marTop w:val="0"/>
      <w:marBottom w:val="0"/>
      <w:divBdr>
        <w:top w:val="none" w:sz="0" w:space="0" w:color="auto"/>
        <w:left w:val="none" w:sz="0" w:space="0" w:color="auto"/>
        <w:bottom w:val="none" w:sz="0" w:space="0" w:color="auto"/>
        <w:right w:val="none" w:sz="0" w:space="0" w:color="auto"/>
      </w:divBdr>
    </w:div>
    <w:div w:id="878467407">
      <w:bodyDiv w:val="1"/>
      <w:marLeft w:val="0"/>
      <w:marRight w:val="0"/>
      <w:marTop w:val="0"/>
      <w:marBottom w:val="0"/>
      <w:divBdr>
        <w:top w:val="none" w:sz="0" w:space="0" w:color="auto"/>
        <w:left w:val="none" w:sz="0" w:space="0" w:color="auto"/>
        <w:bottom w:val="none" w:sz="0" w:space="0" w:color="auto"/>
        <w:right w:val="none" w:sz="0" w:space="0" w:color="auto"/>
      </w:divBdr>
    </w:div>
    <w:div w:id="883831607">
      <w:bodyDiv w:val="1"/>
      <w:marLeft w:val="0"/>
      <w:marRight w:val="0"/>
      <w:marTop w:val="0"/>
      <w:marBottom w:val="0"/>
      <w:divBdr>
        <w:top w:val="none" w:sz="0" w:space="0" w:color="auto"/>
        <w:left w:val="none" w:sz="0" w:space="0" w:color="auto"/>
        <w:bottom w:val="none" w:sz="0" w:space="0" w:color="auto"/>
        <w:right w:val="none" w:sz="0" w:space="0" w:color="auto"/>
      </w:divBdr>
    </w:div>
    <w:div w:id="884440758">
      <w:bodyDiv w:val="1"/>
      <w:marLeft w:val="0"/>
      <w:marRight w:val="0"/>
      <w:marTop w:val="0"/>
      <w:marBottom w:val="0"/>
      <w:divBdr>
        <w:top w:val="none" w:sz="0" w:space="0" w:color="auto"/>
        <w:left w:val="none" w:sz="0" w:space="0" w:color="auto"/>
        <w:bottom w:val="none" w:sz="0" w:space="0" w:color="auto"/>
        <w:right w:val="none" w:sz="0" w:space="0" w:color="auto"/>
      </w:divBdr>
    </w:div>
    <w:div w:id="888951475">
      <w:bodyDiv w:val="1"/>
      <w:marLeft w:val="0"/>
      <w:marRight w:val="0"/>
      <w:marTop w:val="0"/>
      <w:marBottom w:val="0"/>
      <w:divBdr>
        <w:top w:val="none" w:sz="0" w:space="0" w:color="auto"/>
        <w:left w:val="none" w:sz="0" w:space="0" w:color="auto"/>
        <w:bottom w:val="none" w:sz="0" w:space="0" w:color="auto"/>
        <w:right w:val="none" w:sz="0" w:space="0" w:color="auto"/>
      </w:divBdr>
    </w:div>
    <w:div w:id="893353821">
      <w:bodyDiv w:val="1"/>
      <w:marLeft w:val="0"/>
      <w:marRight w:val="0"/>
      <w:marTop w:val="0"/>
      <w:marBottom w:val="0"/>
      <w:divBdr>
        <w:top w:val="none" w:sz="0" w:space="0" w:color="auto"/>
        <w:left w:val="none" w:sz="0" w:space="0" w:color="auto"/>
        <w:bottom w:val="none" w:sz="0" w:space="0" w:color="auto"/>
        <w:right w:val="none" w:sz="0" w:space="0" w:color="auto"/>
      </w:divBdr>
    </w:div>
    <w:div w:id="895513831">
      <w:bodyDiv w:val="1"/>
      <w:marLeft w:val="0"/>
      <w:marRight w:val="0"/>
      <w:marTop w:val="0"/>
      <w:marBottom w:val="0"/>
      <w:divBdr>
        <w:top w:val="none" w:sz="0" w:space="0" w:color="auto"/>
        <w:left w:val="none" w:sz="0" w:space="0" w:color="auto"/>
        <w:bottom w:val="none" w:sz="0" w:space="0" w:color="auto"/>
        <w:right w:val="none" w:sz="0" w:space="0" w:color="auto"/>
      </w:divBdr>
    </w:div>
    <w:div w:id="914096684">
      <w:bodyDiv w:val="1"/>
      <w:marLeft w:val="0"/>
      <w:marRight w:val="0"/>
      <w:marTop w:val="0"/>
      <w:marBottom w:val="0"/>
      <w:divBdr>
        <w:top w:val="none" w:sz="0" w:space="0" w:color="auto"/>
        <w:left w:val="none" w:sz="0" w:space="0" w:color="auto"/>
        <w:bottom w:val="none" w:sz="0" w:space="0" w:color="auto"/>
        <w:right w:val="none" w:sz="0" w:space="0" w:color="auto"/>
      </w:divBdr>
    </w:div>
    <w:div w:id="931164883">
      <w:bodyDiv w:val="1"/>
      <w:marLeft w:val="0"/>
      <w:marRight w:val="0"/>
      <w:marTop w:val="0"/>
      <w:marBottom w:val="0"/>
      <w:divBdr>
        <w:top w:val="none" w:sz="0" w:space="0" w:color="auto"/>
        <w:left w:val="none" w:sz="0" w:space="0" w:color="auto"/>
        <w:bottom w:val="none" w:sz="0" w:space="0" w:color="auto"/>
        <w:right w:val="none" w:sz="0" w:space="0" w:color="auto"/>
      </w:divBdr>
    </w:div>
    <w:div w:id="946084761">
      <w:bodyDiv w:val="1"/>
      <w:marLeft w:val="0"/>
      <w:marRight w:val="0"/>
      <w:marTop w:val="0"/>
      <w:marBottom w:val="0"/>
      <w:divBdr>
        <w:top w:val="none" w:sz="0" w:space="0" w:color="auto"/>
        <w:left w:val="none" w:sz="0" w:space="0" w:color="auto"/>
        <w:bottom w:val="none" w:sz="0" w:space="0" w:color="auto"/>
        <w:right w:val="none" w:sz="0" w:space="0" w:color="auto"/>
      </w:divBdr>
    </w:div>
    <w:div w:id="965352253">
      <w:bodyDiv w:val="1"/>
      <w:marLeft w:val="0"/>
      <w:marRight w:val="0"/>
      <w:marTop w:val="0"/>
      <w:marBottom w:val="0"/>
      <w:divBdr>
        <w:top w:val="none" w:sz="0" w:space="0" w:color="auto"/>
        <w:left w:val="none" w:sz="0" w:space="0" w:color="auto"/>
        <w:bottom w:val="none" w:sz="0" w:space="0" w:color="auto"/>
        <w:right w:val="none" w:sz="0" w:space="0" w:color="auto"/>
      </w:divBdr>
    </w:div>
    <w:div w:id="981538490">
      <w:bodyDiv w:val="1"/>
      <w:marLeft w:val="0"/>
      <w:marRight w:val="0"/>
      <w:marTop w:val="0"/>
      <w:marBottom w:val="0"/>
      <w:divBdr>
        <w:top w:val="none" w:sz="0" w:space="0" w:color="auto"/>
        <w:left w:val="none" w:sz="0" w:space="0" w:color="auto"/>
        <w:bottom w:val="none" w:sz="0" w:space="0" w:color="auto"/>
        <w:right w:val="none" w:sz="0" w:space="0" w:color="auto"/>
      </w:divBdr>
    </w:div>
    <w:div w:id="986782954">
      <w:bodyDiv w:val="1"/>
      <w:marLeft w:val="0"/>
      <w:marRight w:val="0"/>
      <w:marTop w:val="0"/>
      <w:marBottom w:val="0"/>
      <w:divBdr>
        <w:top w:val="none" w:sz="0" w:space="0" w:color="auto"/>
        <w:left w:val="none" w:sz="0" w:space="0" w:color="auto"/>
        <w:bottom w:val="none" w:sz="0" w:space="0" w:color="auto"/>
        <w:right w:val="none" w:sz="0" w:space="0" w:color="auto"/>
      </w:divBdr>
      <w:divsChild>
        <w:div w:id="622807133">
          <w:marLeft w:val="0"/>
          <w:marRight w:val="0"/>
          <w:marTop w:val="0"/>
          <w:marBottom w:val="0"/>
          <w:divBdr>
            <w:top w:val="none" w:sz="0" w:space="0" w:color="auto"/>
            <w:left w:val="none" w:sz="0" w:space="0" w:color="auto"/>
            <w:bottom w:val="none" w:sz="0" w:space="0" w:color="auto"/>
            <w:right w:val="none" w:sz="0" w:space="0" w:color="auto"/>
          </w:divBdr>
        </w:div>
        <w:div w:id="1955015941">
          <w:marLeft w:val="0"/>
          <w:marRight w:val="0"/>
          <w:marTop w:val="0"/>
          <w:marBottom w:val="0"/>
          <w:divBdr>
            <w:top w:val="none" w:sz="0" w:space="0" w:color="auto"/>
            <w:left w:val="none" w:sz="0" w:space="0" w:color="auto"/>
            <w:bottom w:val="none" w:sz="0" w:space="0" w:color="auto"/>
            <w:right w:val="none" w:sz="0" w:space="0" w:color="auto"/>
          </w:divBdr>
        </w:div>
      </w:divsChild>
    </w:div>
    <w:div w:id="990602055">
      <w:bodyDiv w:val="1"/>
      <w:marLeft w:val="0"/>
      <w:marRight w:val="0"/>
      <w:marTop w:val="0"/>
      <w:marBottom w:val="0"/>
      <w:divBdr>
        <w:top w:val="none" w:sz="0" w:space="0" w:color="auto"/>
        <w:left w:val="none" w:sz="0" w:space="0" w:color="auto"/>
        <w:bottom w:val="none" w:sz="0" w:space="0" w:color="auto"/>
        <w:right w:val="none" w:sz="0" w:space="0" w:color="auto"/>
      </w:divBdr>
    </w:div>
    <w:div w:id="994603361">
      <w:bodyDiv w:val="1"/>
      <w:marLeft w:val="0"/>
      <w:marRight w:val="0"/>
      <w:marTop w:val="0"/>
      <w:marBottom w:val="0"/>
      <w:divBdr>
        <w:top w:val="none" w:sz="0" w:space="0" w:color="auto"/>
        <w:left w:val="none" w:sz="0" w:space="0" w:color="auto"/>
        <w:bottom w:val="none" w:sz="0" w:space="0" w:color="auto"/>
        <w:right w:val="none" w:sz="0" w:space="0" w:color="auto"/>
      </w:divBdr>
    </w:div>
    <w:div w:id="999164346">
      <w:bodyDiv w:val="1"/>
      <w:marLeft w:val="0"/>
      <w:marRight w:val="0"/>
      <w:marTop w:val="0"/>
      <w:marBottom w:val="0"/>
      <w:divBdr>
        <w:top w:val="none" w:sz="0" w:space="0" w:color="auto"/>
        <w:left w:val="none" w:sz="0" w:space="0" w:color="auto"/>
        <w:bottom w:val="none" w:sz="0" w:space="0" w:color="auto"/>
        <w:right w:val="none" w:sz="0" w:space="0" w:color="auto"/>
      </w:divBdr>
    </w:div>
    <w:div w:id="1006329407">
      <w:bodyDiv w:val="1"/>
      <w:marLeft w:val="0"/>
      <w:marRight w:val="0"/>
      <w:marTop w:val="0"/>
      <w:marBottom w:val="0"/>
      <w:divBdr>
        <w:top w:val="none" w:sz="0" w:space="0" w:color="auto"/>
        <w:left w:val="none" w:sz="0" w:space="0" w:color="auto"/>
        <w:bottom w:val="none" w:sz="0" w:space="0" w:color="auto"/>
        <w:right w:val="none" w:sz="0" w:space="0" w:color="auto"/>
      </w:divBdr>
    </w:div>
    <w:div w:id="1021123217">
      <w:bodyDiv w:val="1"/>
      <w:marLeft w:val="0"/>
      <w:marRight w:val="0"/>
      <w:marTop w:val="0"/>
      <w:marBottom w:val="0"/>
      <w:divBdr>
        <w:top w:val="none" w:sz="0" w:space="0" w:color="auto"/>
        <w:left w:val="none" w:sz="0" w:space="0" w:color="auto"/>
        <w:bottom w:val="none" w:sz="0" w:space="0" w:color="auto"/>
        <w:right w:val="none" w:sz="0" w:space="0" w:color="auto"/>
      </w:divBdr>
    </w:div>
    <w:div w:id="1023241103">
      <w:bodyDiv w:val="1"/>
      <w:marLeft w:val="0"/>
      <w:marRight w:val="0"/>
      <w:marTop w:val="0"/>
      <w:marBottom w:val="0"/>
      <w:divBdr>
        <w:top w:val="none" w:sz="0" w:space="0" w:color="auto"/>
        <w:left w:val="none" w:sz="0" w:space="0" w:color="auto"/>
        <w:bottom w:val="none" w:sz="0" w:space="0" w:color="auto"/>
        <w:right w:val="none" w:sz="0" w:space="0" w:color="auto"/>
      </w:divBdr>
    </w:div>
    <w:div w:id="1035278150">
      <w:bodyDiv w:val="1"/>
      <w:marLeft w:val="0"/>
      <w:marRight w:val="0"/>
      <w:marTop w:val="0"/>
      <w:marBottom w:val="0"/>
      <w:divBdr>
        <w:top w:val="none" w:sz="0" w:space="0" w:color="auto"/>
        <w:left w:val="none" w:sz="0" w:space="0" w:color="auto"/>
        <w:bottom w:val="none" w:sz="0" w:space="0" w:color="auto"/>
        <w:right w:val="none" w:sz="0" w:space="0" w:color="auto"/>
      </w:divBdr>
    </w:div>
    <w:div w:id="1038161410">
      <w:bodyDiv w:val="1"/>
      <w:marLeft w:val="0"/>
      <w:marRight w:val="0"/>
      <w:marTop w:val="0"/>
      <w:marBottom w:val="0"/>
      <w:divBdr>
        <w:top w:val="none" w:sz="0" w:space="0" w:color="auto"/>
        <w:left w:val="none" w:sz="0" w:space="0" w:color="auto"/>
        <w:bottom w:val="none" w:sz="0" w:space="0" w:color="auto"/>
        <w:right w:val="none" w:sz="0" w:space="0" w:color="auto"/>
      </w:divBdr>
    </w:div>
    <w:div w:id="1056201041">
      <w:bodyDiv w:val="1"/>
      <w:marLeft w:val="0"/>
      <w:marRight w:val="0"/>
      <w:marTop w:val="0"/>
      <w:marBottom w:val="0"/>
      <w:divBdr>
        <w:top w:val="none" w:sz="0" w:space="0" w:color="auto"/>
        <w:left w:val="none" w:sz="0" w:space="0" w:color="auto"/>
        <w:bottom w:val="none" w:sz="0" w:space="0" w:color="auto"/>
        <w:right w:val="none" w:sz="0" w:space="0" w:color="auto"/>
      </w:divBdr>
    </w:div>
    <w:div w:id="1056317814">
      <w:bodyDiv w:val="1"/>
      <w:marLeft w:val="0"/>
      <w:marRight w:val="0"/>
      <w:marTop w:val="0"/>
      <w:marBottom w:val="0"/>
      <w:divBdr>
        <w:top w:val="none" w:sz="0" w:space="0" w:color="auto"/>
        <w:left w:val="none" w:sz="0" w:space="0" w:color="auto"/>
        <w:bottom w:val="none" w:sz="0" w:space="0" w:color="auto"/>
        <w:right w:val="none" w:sz="0" w:space="0" w:color="auto"/>
      </w:divBdr>
    </w:div>
    <w:div w:id="1082338665">
      <w:bodyDiv w:val="1"/>
      <w:marLeft w:val="0"/>
      <w:marRight w:val="0"/>
      <w:marTop w:val="0"/>
      <w:marBottom w:val="0"/>
      <w:divBdr>
        <w:top w:val="none" w:sz="0" w:space="0" w:color="auto"/>
        <w:left w:val="none" w:sz="0" w:space="0" w:color="auto"/>
        <w:bottom w:val="none" w:sz="0" w:space="0" w:color="auto"/>
        <w:right w:val="none" w:sz="0" w:space="0" w:color="auto"/>
      </w:divBdr>
    </w:div>
    <w:div w:id="1084113237">
      <w:bodyDiv w:val="1"/>
      <w:marLeft w:val="0"/>
      <w:marRight w:val="0"/>
      <w:marTop w:val="0"/>
      <w:marBottom w:val="0"/>
      <w:divBdr>
        <w:top w:val="none" w:sz="0" w:space="0" w:color="auto"/>
        <w:left w:val="none" w:sz="0" w:space="0" w:color="auto"/>
        <w:bottom w:val="none" w:sz="0" w:space="0" w:color="auto"/>
        <w:right w:val="none" w:sz="0" w:space="0" w:color="auto"/>
      </w:divBdr>
    </w:div>
    <w:div w:id="1091118500">
      <w:bodyDiv w:val="1"/>
      <w:marLeft w:val="0"/>
      <w:marRight w:val="0"/>
      <w:marTop w:val="0"/>
      <w:marBottom w:val="0"/>
      <w:divBdr>
        <w:top w:val="none" w:sz="0" w:space="0" w:color="auto"/>
        <w:left w:val="none" w:sz="0" w:space="0" w:color="auto"/>
        <w:bottom w:val="none" w:sz="0" w:space="0" w:color="auto"/>
        <w:right w:val="none" w:sz="0" w:space="0" w:color="auto"/>
      </w:divBdr>
    </w:div>
    <w:div w:id="1091581966">
      <w:bodyDiv w:val="1"/>
      <w:marLeft w:val="0"/>
      <w:marRight w:val="0"/>
      <w:marTop w:val="0"/>
      <w:marBottom w:val="0"/>
      <w:divBdr>
        <w:top w:val="none" w:sz="0" w:space="0" w:color="auto"/>
        <w:left w:val="none" w:sz="0" w:space="0" w:color="auto"/>
        <w:bottom w:val="none" w:sz="0" w:space="0" w:color="auto"/>
        <w:right w:val="none" w:sz="0" w:space="0" w:color="auto"/>
      </w:divBdr>
    </w:div>
    <w:div w:id="1106383577">
      <w:bodyDiv w:val="1"/>
      <w:marLeft w:val="0"/>
      <w:marRight w:val="0"/>
      <w:marTop w:val="0"/>
      <w:marBottom w:val="0"/>
      <w:divBdr>
        <w:top w:val="none" w:sz="0" w:space="0" w:color="auto"/>
        <w:left w:val="none" w:sz="0" w:space="0" w:color="auto"/>
        <w:bottom w:val="none" w:sz="0" w:space="0" w:color="auto"/>
        <w:right w:val="none" w:sz="0" w:space="0" w:color="auto"/>
      </w:divBdr>
    </w:div>
    <w:div w:id="1106926695">
      <w:bodyDiv w:val="1"/>
      <w:marLeft w:val="0"/>
      <w:marRight w:val="0"/>
      <w:marTop w:val="0"/>
      <w:marBottom w:val="0"/>
      <w:divBdr>
        <w:top w:val="none" w:sz="0" w:space="0" w:color="auto"/>
        <w:left w:val="none" w:sz="0" w:space="0" w:color="auto"/>
        <w:bottom w:val="none" w:sz="0" w:space="0" w:color="auto"/>
        <w:right w:val="none" w:sz="0" w:space="0" w:color="auto"/>
      </w:divBdr>
    </w:div>
    <w:div w:id="1112550977">
      <w:bodyDiv w:val="1"/>
      <w:marLeft w:val="0"/>
      <w:marRight w:val="0"/>
      <w:marTop w:val="0"/>
      <w:marBottom w:val="0"/>
      <w:divBdr>
        <w:top w:val="none" w:sz="0" w:space="0" w:color="auto"/>
        <w:left w:val="none" w:sz="0" w:space="0" w:color="auto"/>
        <w:bottom w:val="none" w:sz="0" w:space="0" w:color="auto"/>
        <w:right w:val="none" w:sz="0" w:space="0" w:color="auto"/>
      </w:divBdr>
    </w:div>
    <w:div w:id="1113404876">
      <w:bodyDiv w:val="1"/>
      <w:marLeft w:val="0"/>
      <w:marRight w:val="0"/>
      <w:marTop w:val="0"/>
      <w:marBottom w:val="0"/>
      <w:divBdr>
        <w:top w:val="none" w:sz="0" w:space="0" w:color="auto"/>
        <w:left w:val="none" w:sz="0" w:space="0" w:color="auto"/>
        <w:bottom w:val="none" w:sz="0" w:space="0" w:color="auto"/>
        <w:right w:val="none" w:sz="0" w:space="0" w:color="auto"/>
      </w:divBdr>
    </w:div>
    <w:div w:id="1115441763">
      <w:bodyDiv w:val="1"/>
      <w:marLeft w:val="0"/>
      <w:marRight w:val="0"/>
      <w:marTop w:val="0"/>
      <w:marBottom w:val="0"/>
      <w:divBdr>
        <w:top w:val="none" w:sz="0" w:space="0" w:color="auto"/>
        <w:left w:val="none" w:sz="0" w:space="0" w:color="auto"/>
        <w:bottom w:val="none" w:sz="0" w:space="0" w:color="auto"/>
        <w:right w:val="none" w:sz="0" w:space="0" w:color="auto"/>
      </w:divBdr>
    </w:div>
    <w:div w:id="1127628260">
      <w:bodyDiv w:val="1"/>
      <w:marLeft w:val="0"/>
      <w:marRight w:val="0"/>
      <w:marTop w:val="0"/>
      <w:marBottom w:val="0"/>
      <w:divBdr>
        <w:top w:val="none" w:sz="0" w:space="0" w:color="auto"/>
        <w:left w:val="none" w:sz="0" w:space="0" w:color="auto"/>
        <w:bottom w:val="none" w:sz="0" w:space="0" w:color="auto"/>
        <w:right w:val="none" w:sz="0" w:space="0" w:color="auto"/>
      </w:divBdr>
    </w:div>
    <w:div w:id="1133014039">
      <w:bodyDiv w:val="1"/>
      <w:marLeft w:val="0"/>
      <w:marRight w:val="0"/>
      <w:marTop w:val="0"/>
      <w:marBottom w:val="0"/>
      <w:divBdr>
        <w:top w:val="none" w:sz="0" w:space="0" w:color="auto"/>
        <w:left w:val="none" w:sz="0" w:space="0" w:color="auto"/>
        <w:bottom w:val="none" w:sz="0" w:space="0" w:color="auto"/>
        <w:right w:val="none" w:sz="0" w:space="0" w:color="auto"/>
      </w:divBdr>
    </w:div>
    <w:div w:id="1138574651">
      <w:bodyDiv w:val="1"/>
      <w:marLeft w:val="0"/>
      <w:marRight w:val="0"/>
      <w:marTop w:val="0"/>
      <w:marBottom w:val="0"/>
      <w:divBdr>
        <w:top w:val="none" w:sz="0" w:space="0" w:color="auto"/>
        <w:left w:val="none" w:sz="0" w:space="0" w:color="auto"/>
        <w:bottom w:val="none" w:sz="0" w:space="0" w:color="auto"/>
        <w:right w:val="none" w:sz="0" w:space="0" w:color="auto"/>
      </w:divBdr>
    </w:div>
    <w:div w:id="1140079318">
      <w:bodyDiv w:val="1"/>
      <w:marLeft w:val="0"/>
      <w:marRight w:val="0"/>
      <w:marTop w:val="0"/>
      <w:marBottom w:val="0"/>
      <w:divBdr>
        <w:top w:val="none" w:sz="0" w:space="0" w:color="auto"/>
        <w:left w:val="none" w:sz="0" w:space="0" w:color="auto"/>
        <w:bottom w:val="none" w:sz="0" w:space="0" w:color="auto"/>
        <w:right w:val="none" w:sz="0" w:space="0" w:color="auto"/>
      </w:divBdr>
    </w:div>
    <w:div w:id="1154220044">
      <w:bodyDiv w:val="1"/>
      <w:marLeft w:val="0"/>
      <w:marRight w:val="0"/>
      <w:marTop w:val="0"/>
      <w:marBottom w:val="0"/>
      <w:divBdr>
        <w:top w:val="none" w:sz="0" w:space="0" w:color="auto"/>
        <w:left w:val="none" w:sz="0" w:space="0" w:color="auto"/>
        <w:bottom w:val="none" w:sz="0" w:space="0" w:color="auto"/>
        <w:right w:val="none" w:sz="0" w:space="0" w:color="auto"/>
      </w:divBdr>
    </w:div>
    <w:div w:id="1158350686">
      <w:bodyDiv w:val="1"/>
      <w:marLeft w:val="0"/>
      <w:marRight w:val="0"/>
      <w:marTop w:val="0"/>
      <w:marBottom w:val="0"/>
      <w:divBdr>
        <w:top w:val="none" w:sz="0" w:space="0" w:color="auto"/>
        <w:left w:val="none" w:sz="0" w:space="0" w:color="auto"/>
        <w:bottom w:val="none" w:sz="0" w:space="0" w:color="auto"/>
        <w:right w:val="none" w:sz="0" w:space="0" w:color="auto"/>
      </w:divBdr>
    </w:div>
    <w:div w:id="1169641415">
      <w:bodyDiv w:val="1"/>
      <w:marLeft w:val="0"/>
      <w:marRight w:val="0"/>
      <w:marTop w:val="0"/>
      <w:marBottom w:val="0"/>
      <w:divBdr>
        <w:top w:val="none" w:sz="0" w:space="0" w:color="auto"/>
        <w:left w:val="none" w:sz="0" w:space="0" w:color="auto"/>
        <w:bottom w:val="none" w:sz="0" w:space="0" w:color="auto"/>
        <w:right w:val="none" w:sz="0" w:space="0" w:color="auto"/>
      </w:divBdr>
    </w:div>
    <w:div w:id="1185632653">
      <w:bodyDiv w:val="1"/>
      <w:marLeft w:val="0"/>
      <w:marRight w:val="0"/>
      <w:marTop w:val="0"/>
      <w:marBottom w:val="0"/>
      <w:divBdr>
        <w:top w:val="none" w:sz="0" w:space="0" w:color="auto"/>
        <w:left w:val="none" w:sz="0" w:space="0" w:color="auto"/>
        <w:bottom w:val="none" w:sz="0" w:space="0" w:color="auto"/>
        <w:right w:val="none" w:sz="0" w:space="0" w:color="auto"/>
      </w:divBdr>
    </w:div>
    <w:div w:id="1213613855">
      <w:bodyDiv w:val="1"/>
      <w:marLeft w:val="0"/>
      <w:marRight w:val="0"/>
      <w:marTop w:val="0"/>
      <w:marBottom w:val="0"/>
      <w:divBdr>
        <w:top w:val="none" w:sz="0" w:space="0" w:color="auto"/>
        <w:left w:val="none" w:sz="0" w:space="0" w:color="auto"/>
        <w:bottom w:val="none" w:sz="0" w:space="0" w:color="auto"/>
        <w:right w:val="none" w:sz="0" w:space="0" w:color="auto"/>
      </w:divBdr>
    </w:div>
    <w:div w:id="1240940581">
      <w:bodyDiv w:val="1"/>
      <w:marLeft w:val="0"/>
      <w:marRight w:val="0"/>
      <w:marTop w:val="0"/>
      <w:marBottom w:val="0"/>
      <w:divBdr>
        <w:top w:val="none" w:sz="0" w:space="0" w:color="auto"/>
        <w:left w:val="none" w:sz="0" w:space="0" w:color="auto"/>
        <w:bottom w:val="none" w:sz="0" w:space="0" w:color="auto"/>
        <w:right w:val="none" w:sz="0" w:space="0" w:color="auto"/>
      </w:divBdr>
    </w:div>
    <w:div w:id="1252010118">
      <w:bodyDiv w:val="1"/>
      <w:marLeft w:val="0"/>
      <w:marRight w:val="0"/>
      <w:marTop w:val="0"/>
      <w:marBottom w:val="0"/>
      <w:divBdr>
        <w:top w:val="none" w:sz="0" w:space="0" w:color="auto"/>
        <w:left w:val="none" w:sz="0" w:space="0" w:color="auto"/>
        <w:bottom w:val="none" w:sz="0" w:space="0" w:color="auto"/>
        <w:right w:val="none" w:sz="0" w:space="0" w:color="auto"/>
      </w:divBdr>
    </w:div>
    <w:div w:id="1253667527">
      <w:bodyDiv w:val="1"/>
      <w:marLeft w:val="0"/>
      <w:marRight w:val="0"/>
      <w:marTop w:val="0"/>
      <w:marBottom w:val="0"/>
      <w:divBdr>
        <w:top w:val="none" w:sz="0" w:space="0" w:color="auto"/>
        <w:left w:val="none" w:sz="0" w:space="0" w:color="auto"/>
        <w:bottom w:val="none" w:sz="0" w:space="0" w:color="auto"/>
        <w:right w:val="none" w:sz="0" w:space="0" w:color="auto"/>
      </w:divBdr>
    </w:div>
    <w:div w:id="1255937997">
      <w:bodyDiv w:val="1"/>
      <w:marLeft w:val="0"/>
      <w:marRight w:val="0"/>
      <w:marTop w:val="0"/>
      <w:marBottom w:val="0"/>
      <w:divBdr>
        <w:top w:val="none" w:sz="0" w:space="0" w:color="auto"/>
        <w:left w:val="none" w:sz="0" w:space="0" w:color="auto"/>
        <w:bottom w:val="none" w:sz="0" w:space="0" w:color="auto"/>
        <w:right w:val="none" w:sz="0" w:space="0" w:color="auto"/>
      </w:divBdr>
    </w:div>
    <w:div w:id="1255943818">
      <w:bodyDiv w:val="1"/>
      <w:marLeft w:val="0"/>
      <w:marRight w:val="0"/>
      <w:marTop w:val="0"/>
      <w:marBottom w:val="0"/>
      <w:divBdr>
        <w:top w:val="none" w:sz="0" w:space="0" w:color="auto"/>
        <w:left w:val="none" w:sz="0" w:space="0" w:color="auto"/>
        <w:bottom w:val="none" w:sz="0" w:space="0" w:color="auto"/>
        <w:right w:val="none" w:sz="0" w:space="0" w:color="auto"/>
      </w:divBdr>
    </w:div>
    <w:div w:id="1290208645">
      <w:bodyDiv w:val="1"/>
      <w:marLeft w:val="0"/>
      <w:marRight w:val="0"/>
      <w:marTop w:val="0"/>
      <w:marBottom w:val="0"/>
      <w:divBdr>
        <w:top w:val="none" w:sz="0" w:space="0" w:color="auto"/>
        <w:left w:val="none" w:sz="0" w:space="0" w:color="auto"/>
        <w:bottom w:val="none" w:sz="0" w:space="0" w:color="auto"/>
        <w:right w:val="none" w:sz="0" w:space="0" w:color="auto"/>
      </w:divBdr>
    </w:div>
    <w:div w:id="1292977344">
      <w:bodyDiv w:val="1"/>
      <w:marLeft w:val="0"/>
      <w:marRight w:val="0"/>
      <w:marTop w:val="0"/>
      <w:marBottom w:val="0"/>
      <w:divBdr>
        <w:top w:val="none" w:sz="0" w:space="0" w:color="auto"/>
        <w:left w:val="none" w:sz="0" w:space="0" w:color="auto"/>
        <w:bottom w:val="none" w:sz="0" w:space="0" w:color="auto"/>
        <w:right w:val="none" w:sz="0" w:space="0" w:color="auto"/>
      </w:divBdr>
    </w:div>
    <w:div w:id="1301764635">
      <w:bodyDiv w:val="1"/>
      <w:marLeft w:val="0"/>
      <w:marRight w:val="0"/>
      <w:marTop w:val="0"/>
      <w:marBottom w:val="0"/>
      <w:divBdr>
        <w:top w:val="none" w:sz="0" w:space="0" w:color="auto"/>
        <w:left w:val="none" w:sz="0" w:space="0" w:color="auto"/>
        <w:bottom w:val="none" w:sz="0" w:space="0" w:color="auto"/>
        <w:right w:val="none" w:sz="0" w:space="0" w:color="auto"/>
      </w:divBdr>
    </w:div>
    <w:div w:id="1301963465">
      <w:bodyDiv w:val="1"/>
      <w:marLeft w:val="0"/>
      <w:marRight w:val="0"/>
      <w:marTop w:val="0"/>
      <w:marBottom w:val="0"/>
      <w:divBdr>
        <w:top w:val="none" w:sz="0" w:space="0" w:color="auto"/>
        <w:left w:val="none" w:sz="0" w:space="0" w:color="auto"/>
        <w:bottom w:val="none" w:sz="0" w:space="0" w:color="auto"/>
        <w:right w:val="none" w:sz="0" w:space="0" w:color="auto"/>
      </w:divBdr>
    </w:div>
    <w:div w:id="1322545137">
      <w:bodyDiv w:val="1"/>
      <w:marLeft w:val="0"/>
      <w:marRight w:val="0"/>
      <w:marTop w:val="0"/>
      <w:marBottom w:val="0"/>
      <w:divBdr>
        <w:top w:val="none" w:sz="0" w:space="0" w:color="auto"/>
        <w:left w:val="none" w:sz="0" w:space="0" w:color="auto"/>
        <w:bottom w:val="none" w:sz="0" w:space="0" w:color="auto"/>
        <w:right w:val="none" w:sz="0" w:space="0" w:color="auto"/>
      </w:divBdr>
    </w:div>
    <w:div w:id="1334530627">
      <w:bodyDiv w:val="1"/>
      <w:marLeft w:val="0"/>
      <w:marRight w:val="0"/>
      <w:marTop w:val="0"/>
      <w:marBottom w:val="0"/>
      <w:divBdr>
        <w:top w:val="none" w:sz="0" w:space="0" w:color="auto"/>
        <w:left w:val="none" w:sz="0" w:space="0" w:color="auto"/>
        <w:bottom w:val="none" w:sz="0" w:space="0" w:color="auto"/>
        <w:right w:val="none" w:sz="0" w:space="0" w:color="auto"/>
      </w:divBdr>
    </w:div>
    <w:div w:id="1335382538">
      <w:bodyDiv w:val="1"/>
      <w:marLeft w:val="0"/>
      <w:marRight w:val="0"/>
      <w:marTop w:val="0"/>
      <w:marBottom w:val="0"/>
      <w:divBdr>
        <w:top w:val="none" w:sz="0" w:space="0" w:color="auto"/>
        <w:left w:val="none" w:sz="0" w:space="0" w:color="auto"/>
        <w:bottom w:val="none" w:sz="0" w:space="0" w:color="auto"/>
        <w:right w:val="none" w:sz="0" w:space="0" w:color="auto"/>
      </w:divBdr>
    </w:div>
    <w:div w:id="1337924783">
      <w:bodyDiv w:val="1"/>
      <w:marLeft w:val="0"/>
      <w:marRight w:val="0"/>
      <w:marTop w:val="0"/>
      <w:marBottom w:val="0"/>
      <w:divBdr>
        <w:top w:val="none" w:sz="0" w:space="0" w:color="auto"/>
        <w:left w:val="none" w:sz="0" w:space="0" w:color="auto"/>
        <w:bottom w:val="none" w:sz="0" w:space="0" w:color="auto"/>
        <w:right w:val="none" w:sz="0" w:space="0" w:color="auto"/>
      </w:divBdr>
    </w:div>
    <w:div w:id="1343241342">
      <w:bodyDiv w:val="1"/>
      <w:marLeft w:val="0"/>
      <w:marRight w:val="0"/>
      <w:marTop w:val="0"/>
      <w:marBottom w:val="0"/>
      <w:divBdr>
        <w:top w:val="none" w:sz="0" w:space="0" w:color="auto"/>
        <w:left w:val="none" w:sz="0" w:space="0" w:color="auto"/>
        <w:bottom w:val="none" w:sz="0" w:space="0" w:color="auto"/>
        <w:right w:val="none" w:sz="0" w:space="0" w:color="auto"/>
      </w:divBdr>
    </w:div>
    <w:div w:id="1351371621">
      <w:bodyDiv w:val="1"/>
      <w:marLeft w:val="0"/>
      <w:marRight w:val="0"/>
      <w:marTop w:val="0"/>
      <w:marBottom w:val="0"/>
      <w:divBdr>
        <w:top w:val="none" w:sz="0" w:space="0" w:color="auto"/>
        <w:left w:val="none" w:sz="0" w:space="0" w:color="auto"/>
        <w:bottom w:val="none" w:sz="0" w:space="0" w:color="auto"/>
        <w:right w:val="none" w:sz="0" w:space="0" w:color="auto"/>
      </w:divBdr>
    </w:div>
    <w:div w:id="1353337052">
      <w:bodyDiv w:val="1"/>
      <w:marLeft w:val="0"/>
      <w:marRight w:val="0"/>
      <w:marTop w:val="0"/>
      <w:marBottom w:val="0"/>
      <w:divBdr>
        <w:top w:val="none" w:sz="0" w:space="0" w:color="auto"/>
        <w:left w:val="none" w:sz="0" w:space="0" w:color="auto"/>
        <w:bottom w:val="none" w:sz="0" w:space="0" w:color="auto"/>
        <w:right w:val="none" w:sz="0" w:space="0" w:color="auto"/>
      </w:divBdr>
    </w:div>
    <w:div w:id="1353648255">
      <w:bodyDiv w:val="1"/>
      <w:marLeft w:val="0"/>
      <w:marRight w:val="0"/>
      <w:marTop w:val="0"/>
      <w:marBottom w:val="0"/>
      <w:divBdr>
        <w:top w:val="none" w:sz="0" w:space="0" w:color="auto"/>
        <w:left w:val="none" w:sz="0" w:space="0" w:color="auto"/>
        <w:bottom w:val="none" w:sz="0" w:space="0" w:color="auto"/>
        <w:right w:val="none" w:sz="0" w:space="0" w:color="auto"/>
      </w:divBdr>
    </w:div>
    <w:div w:id="1359090317">
      <w:bodyDiv w:val="1"/>
      <w:marLeft w:val="0"/>
      <w:marRight w:val="0"/>
      <w:marTop w:val="0"/>
      <w:marBottom w:val="0"/>
      <w:divBdr>
        <w:top w:val="none" w:sz="0" w:space="0" w:color="auto"/>
        <w:left w:val="none" w:sz="0" w:space="0" w:color="auto"/>
        <w:bottom w:val="none" w:sz="0" w:space="0" w:color="auto"/>
        <w:right w:val="none" w:sz="0" w:space="0" w:color="auto"/>
      </w:divBdr>
    </w:div>
    <w:div w:id="1363752202">
      <w:bodyDiv w:val="1"/>
      <w:marLeft w:val="0"/>
      <w:marRight w:val="0"/>
      <w:marTop w:val="0"/>
      <w:marBottom w:val="0"/>
      <w:divBdr>
        <w:top w:val="none" w:sz="0" w:space="0" w:color="auto"/>
        <w:left w:val="none" w:sz="0" w:space="0" w:color="auto"/>
        <w:bottom w:val="none" w:sz="0" w:space="0" w:color="auto"/>
        <w:right w:val="none" w:sz="0" w:space="0" w:color="auto"/>
      </w:divBdr>
    </w:div>
    <w:div w:id="1367215165">
      <w:bodyDiv w:val="1"/>
      <w:marLeft w:val="0"/>
      <w:marRight w:val="0"/>
      <w:marTop w:val="0"/>
      <w:marBottom w:val="0"/>
      <w:divBdr>
        <w:top w:val="none" w:sz="0" w:space="0" w:color="auto"/>
        <w:left w:val="none" w:sz="0" w:space="0" w:color="auto"/>
        <w:bottom w:val="none" w:sz="0" w:space="0" w:color="auto"/>
        <w:right w:val="none" w:sz="0" w:space="0" w:color="auto"/>
      </w:divBdr>
    </w:div>
    <w:div w:id="1369987841">
      <w:bodyDiv w:val="1"/>
      <w:marLeft w:val="0"/>
      <w:marRight w:val="0"/>
      <w:marTop w:val="0"/>
      <w:marBottom w:val="0"/>
      <w:divBdr>
        <w:top w:val="none" w:sz="0" w:space="0" w:color="auto"/>
        <w:left w:val="none" w:sz="0" w:space="0" w:color="auto"/>
        <w:bottom w:val="none" w:sz="0" w:space="0" w:color="auto"/>
        <w:right w:val="none" w:sz="0" w:space="0" w:color="auto"/>
      </w:divBdr>
    </w:div>
    <w:div w:id="1373312191">
      <w:bodyDiv w:val="1"/>
      <w:marLeft w:val="0"/>
      <w:marRight w:val="0"/>
      <w:marTop w:val="0"/>
      <w:marBottom w:val="0"/>
      <w:divBdr>
        <w:top w:val="none" w:sz="0" w:space="0" w:color="auto"/>
        <w:left w:val="none" w:sz="0" w:space="0" w:color="auto"/>
        <w:bottom w:val="none" w:sz="0" w:space="0" w:color="auto"/>
        <w:right w:val="none" w:sz="0" w:space="0" w:color="auto"/>
      </w:divBdr>
    </w:div>
    <w:div w:id="1377971715">
      <w:bodyDiv w:val="1"/>
      <w:marLeft w:val="0"/>
      <w:marRight w:val="0"/>
      <w:marTop w:val="0"/>
      <w:marBottom w:val="0"/>
      <w:divBdr>
        <w:top w:val="none" w:sz="0" w:space="0" w:color="auto"/>
        <w:left w:val="none" w:sz="0" w:space="0" w:color="auto"/>
        <w:bottom w:val="none" w:sz="0" w:space="0" w:color="auto"/>
        <w:right w:val="none" w:sz="0" w:space="0" w:color="auto"/>
      </w:divBdr>
    </w:div>
    <w:div w:id="1380010022">
      <w:bodyDiv w:val="1"/>
      <w:marLeft w:val="0"/>
      <w:marRight w:val="0"/>
      <w:marTop w:val="0"/>
      <w:marBottom w:val="0"/>
      <w:divBdr>
        <w:top w:val="none" w:sz="0" w:space="0" w:color="auto"/>
        <w:left w:val="none" w:sz="0" w:space="0" w:color="auto"/>
        <w:bottom w:val="none" w:sz="0" w:space="0" w:color="auto"/>
        <w:right w:val="none" w:sz="0" w:space="0" w:color="auto"/>
      </w:divBdr>
    </w:div>
    <w:div w:id="1383679038">
      <w:bodyDiv w:val="1"/>
      <w:marLeft w:val="0"/>
      <w:marRight w:val="0"/>
      <w:marTop w:val="0"/>
      <w:marBottom w:val="0"/>
      <w:divBdr>
        <w:top w:val="none" w:sz="0" w:space="0" w:color="auto"/>
        <w:left w:val="none" w:sz="0" w:space="0" w:color="auto"/>
        <w:bottom w:val="none" w:sz="0" w:space="0" w:color="auto"/>
        <w:right w:val="none" w:sz="0" w:space="0" w:color="auto"/>
      </w:divBdr>
    </w:div>
    <w:div w:id="1384720337">
      <w:bodyDiv w:val="1"/>
      <w:marLeft w:val="0"/>
      <w:marRight w:val="0"/>
      <w:marTop w:val="0"/>
      <w:marBottom w:val="0"/>
      <w:divBdr>
        <w:top w:val="none" w:sz="0" w:space="0" w:color="auto"/>
        <w:left w:val="none" w:sz="0" w:space="0" w:color="auto"/>
        <w:bottom w:val="none" w:sz="0" w:space="0" w:color="auto"/>
        <w:right w:val="none" w:sz="0" w:space="0" w:color="auto"/>
      </w:divBdr>
    </w:div>
    <w:div w:id="1391416223">
      <w:bodyDiv w:val="1"/>
      <w:marLeft w:val="0"/>
      <w:marRight w:val="0"/>
      <w:marTop w:val="0"/>
      <w:marBottom w:val="0"/>
      <w:divBdr>
        <w:top w:val="none" w:sz="0" w:space="0" w:color="auto"/>
        <w:left w:val="none" w:sz="0" w:space="0" w:color="auto"/>
        <w:bottom w:val="none" w:sz="0" w:space="0" w:color="auto"/>
        <w:right w:val="none" w:sz="0" w:space="0" w:color="auto"/>
      </w:divBdr>
    </w:div>
    <w:div w:id="1391687485">
      <w:bodyDiv w:val="1"/>
      <w:marLeft w:val="0"/>
      <w:marRight w:val="0"/>
      <w:marTop w:val="0"/>
      <w:marBottom w:val="0"/>
      <w:divBdr>
        <w:top w:val="none" w:sz="0" w:space="0" w:color="auto"/>
        <w:left w:val="none" w:sz="0" w:space="0" w:color="auto"/>
        <w:bottom w:val="none" w:sz="0" w:space="0" w:color="auto"/>
        <w:right w:val="none" w:sz="0" w:space="0" w:color="auto"/>
      </w:divBdr>
    </w:div>
    <w:div w:id="1396003568">
      <w:bodyDiv w:val="1"/>
      <w:marLeft w:val="0"/>
      <w:marRight w:val="0"/>
      <w:marTop w:val="0"/>
      <w:marBottom w:val="0"/>
      <w:divBdr>
        <w:top w:val="none" w:sz="0" w:space="0" w:color="auto"/>
        <w:left w:val="none" w:sz="0" w:space="0" w:color="auto"/>
        <w:bottom w:val="none" w:sz="0" w:space="0" w:color="auto"/>
        <w:right w:val="none" w:sz="0" w:space="0" w:color="auto"/>
      </w:divBdr>
    </w:div>
    <w:div w:id="1400059322">
      <w:bodyDiv w:val="1"/>
      <w:marLeft w:val="0"/>
      <w:marRight w:val="0"/>
      <w:marTop w:val="0"/>
      <w:marBottom w:val="0"/>
      <w:divBdr>
        <w:top w:val="none" w:sz="0" w:space="0" w:color="auto"/>
        <w:left w:val="none" w:sz="0" w:space="0" w:color="auto"/>
        <w:bottom w:val="none" w:sz="0" w:space="0" w:color="auto"/>
        <w:right w:val="none" w:sz="0" w:space="0" w:color="auto"/>
      </w:divBdr>
    </w:div>
    <w:div w:id="1405490167">
      <w:bodyDiv w:val="1"/>
      <w:marLeft w:val="0"/>
      <w:marRight w:val="0"/>
      <w:marTop w:val="0"/>
      <w:marBottom w:val="0"/>
      <w:divBdr>
        <w:top w:val="none" w:sz="0" w:space="0" w:color="auto"/>
        <w:left w:val="none" w:sz="0" w:space="0" w:color="auto"/>
        <w:bottom w:val="none" w:sz="0" w:space="0" w:color="auto"/>
        <w:right w:val="none" w:sz="0" w:space="0" w:color="auto"/>
      </w:divBdr>
    </w:div>
    <w:div w:id="1406147795">
      <w:bodyDiv w:val="1"/>
      <w:marLeft w:val="0"/>
      <w:marRight w:val="0"/>
      <w:marTop w:val="0"/>
      <w:marBottom w:val="0"/>
      <w:divBdr>
        <w:top w:val="none" w:sz="0" w:space="0" w:color="auto"/>
        <w:left w:val="none" w:sz="0" w:space="0" w:color="auto"/>
        <w:bottom w:val="none" w:sz="0" w:space="0" w:color="auto"/>
        <w:right w:val="none" w:sz="0" w:space="0" w:color="auto"/>
      </w:divBdr>
    </w:div>
    <w:div w:id="1414352905">
      <w:bodyDiv w:val="1"/>
      <w:marLeft w:val="0"/>
      <w:marRight w:val="0"/>
      <w:marTop w:val="0"/>
      <w:marBottom w:val="0"/>
      <w:divBdr>
        <w:top w:val="none" w:sz="0" w:space="0" w:color="auto"/>
        <w:left w:val="none" w:sz="0" w:space="0" w:color="auto"/>
        <w:bottom w:val="none" w:sz="0" w:space="0" w:color="auto"/>
        <w:right w:val="none" w:sz="0" w:space="0" w:color="auto"/>
      </w:divBdr>
    </w:div>
    <w:div w:id="1441531305">
      <w:bodyDiv w:val="1"/>
      <w:marLeft w:val="0"/>
      <w:marRight w:val="0"/>
      <w:marTop w:val="0"/>
      <w:marBottom w:val="0"/>
      <w:divBdr>
        <w:top w:val="none" w:sz="0" w:space="0" w:color="auto"/>
        <w:left w:val="none" w:sz="0" w:space="0" w:color="auto"/>
        <w:bottom w:val="none" w:sz="0" w:space="0" w:color="auto"/>
        <w:right w:val="none" w:sz="0" w:space="0" w:color="auto"/>
      </w:divBdr>
    </w:div>
    <w:div w:id="1449857327">
      <w:bodyDiv w:val="1"/>
      <w:marLeft w:val="0"/>
      <w:marRight w:val="0"/>
      <w:marTop w:val="0"/>
      <w:marBottom w:val="0"/>
      <w:divBdr>
        <w:top w:val="none" w:sz="0" w:space="0" w:color="auto"/>
        <w:left w:val="none" w:sz="0" w:space="0" w:color="auto"/>
        <w:bottom w:val="none" w:sz="0" w:space="0" w:color="auto"/>
        <w:right w:val="none" w:sz="0" w:space="0" w:color="auto"/>
      </w:divBdr>
    </w:div>
    <w:div w:id="1450201678">
      <w:bodyDiv w:val="1"/>
      <w:marLeft w:val="0"/>
      <w:marRight w:val="0"/>
      <w:marTop w:val="0"/>
      <w:marBottom w:val="0"/>
      <w:divBdr>
        <w:top w:val="none" w:sz="0" w:space="0" w:color="auto"/>
        <w:left w:val="none" w:sz="0" w:space="0" w:color="auto"/>
        <w:bottom w:val="none" w:sz="0" w:space="0" w:color="auto"/>
        <w:right w:val="none" w:sz="0" w:space="0" w:color="auto"/>
      </w:divBdr>
    </w:div>
    <w:div w:id="1456171279">
      <w:bodyDiv w:val="1"/>
      <w:marLeft w:val="0"/>
      <w:marRight w:val="0"/>
      <w:marTop w:val="0"/>
      <w:marBottom w:val="0"/>
      <w:divBdr>
        <w:top w:val="none" w:sz="0" w:space="0" w:color="auto"/>
        <w:left w:val="none" w:sz="0" w:space="0" w:color="auto"/>
        <w:bottom w:val="none" w:sz="0" w:space="0" w:color="auto"/>
        <w:right w:val="none" w:sz="0" w:space="0" w:color="auto"/>
      </w:divBdr>
    </w:div>
    <w:div w:id="1485929608">
      <w:bodyDiv w:val="1"/>
      <w:marLeft w:val="0"/>
      <w:marRight w:val="0"/>
      <w:marTop w:val="0"/>
      <w:marBottom w:val="0"/>
      <w:divBdr>
        <w:top w:val="none" w:sz="0" w:space="0" w:color="auto"/>
        <w:left w:val="none" w:sz="0" w:space="0" w:color="auto"/>
        <w:bottom w:val="none" w:sz="0" w:space="0" w:color="auto"/>
        <w:right w:val="none" w:sz="0" w:space="0" w:color="auto"/>
      </w:divBdr>
    </w:div>
    <w:div w:id="1499347377">
      <w:bodyDiv w:val="1"/>
      <w:marLeft w:val="0"/>
      <w:marRight w:val="0"/>
      <w:marTop w:val="0"/>
      <w:marBottom w:val="0"/>
      <w:divBdr>
        <w:top w:val="none" w:sz="0" w:space="0" w:color="auto"/>
        <w:left w:val="none" w:sz="0" w:space="0" w:color="auto"/>
        <w:bottom w:val="none" w:sz="0" w:space="0" w:color="auto"/>
        <w:right w:val="none" w:sz="0" w:space="0" w:color="auto"/>
      </w:divBdr>
    </w:div>
    <w:div w:id="1499879356">
      <w:bodyDiv w:val="1"/>
      <w:marLeft w:val="0"/>
      <w:marRight w:val="0"/>
      <w:marTop w:val="0"/>
      <w:marBottom w:val="0"/>
      <w:divBdr>
        <w:top w:val="none" w:sz="0" w:space="0" w:color="auto"/>
        <w:left w:val="none" w:sz="0" w:space="0" w:color="auto"/>
        <w:bottom w:val="none" w:sz="0" w:space="0" w:color="auto"/>
        <w:right w:val="none" w:sz="0" w:space="0" w:color="auto"/>
      </w:divBdr>
    </w:div>
    <w:div w:id="1501969870">
      <w:bodyDiv w:val="1"/>
      <w:marLeft w:val="0"/>
      <w:marRight w:val="0"/>
      <w:marTop w:val="0"/>
      <w:marBottom w:val="0"/>
      <w:divBdr>
        <w:top w:val="none" w:sz="0" w:space="0" w:color="auto"/>
        <w:left w:val="none" w:sz="0" w:space="0" w:color="auto"/>
        <w:bottom w:val="none" w:sz="0" w:space="0" w:color="auto"/>
        <w:right w:val="none" w:sz="0" w:space="0" w:color="auto"/>
      </w:divBdr>
    </w:div>
    <w:div w:id="1502770438">
      <w:bodyDiv w:val="1"/>
      <w:marLeft w:val="0"/>
      <w:marRight w:val="0"/>
      <w:marTop w:val="0"/>
      <w:marBottom w:val="0"/>
      <w:divBdr>
        <w:top w:val="none" w:sz="0" w:space="0" w:color="auto"/>
        <w:left w:val="none" w:sz="0" w:space="0" w:color="auto"/>
        <w:bottom w:val="none" w:sz="0" w:space="0" w:color="auto"/>
        <w:right w:val="none" w:sz="0" w:space="0" w:color="auto"/>
      </w:divBdr>
    </w:div>
    <w:div w:id="1509101154">
      <w:bodyDiv w:val="1"/>
      <w:marLeft w:val="0"/>
      <w:marRight w:val="0"/>
      <w:marTop w:val="0"/>
      <w:marBottom w:val="0"/>
      <w:divBdr>
        <w:top w:val="none" w:sz="0" w:space="0" w:color="auto"/>
        <w:left w:val="none" w:sz="0" w:space="0" w:color="auto"/>
        <w:bottom w:val="none" w:sz="0" w:space="0" w:color="auto"/>
        <w:right w:val="none" w:sz="0" w:space="0" w:color="auto"/>
      </w:divBdr>
    </w:div>
    <w:div w:id="1517115399">
      <w:bodyDiv w:val="1"/>
      <w:marLeft w:val="0"/>
      <w:marRight w:val="0"/>
      <w:marTop w:val="0"/>
      <w:marBottom w:val="0"/>
      <w:divBdr>
        <w:top w:val="none" w:sz="0" w:space="0" w:color="auto"/>
        <w:left w:val="none" w:sz="0" w:space="0" w:color="auto"/>
        <w:bottom w:val="none" w:sz="0" w:space="0" w:color="auto"/>
        <w:right w:val="none" w:sz="0" w:space="0" w:color="auto"/>
      </w:divBdr>
    </w:div>
    <w:div w:id="1520587576">
      <w:bodyDiv w:val="1"/>
      <w:marLeft w:val="0"/>
      <w:marRight w:val="0"/>
      <w:marTop w:val="0"/>
      <w:marBottom w:val="0"/>
      <w:divBdr>
        <w:top w:val="none" w:sz="0" w:space="0" w:color="auto"/>
        <w:left w:val="none" w:sz="0" w:space="0" w:color="auto"/>
        <w:bottom w:val="none" w:sz="0" w:space="0" w:color="auto"/>
        <w:right w:val="none" w:sz="0" w:space="0" w:color="auto"/>
      </w:divBdr>
    </w:div>
    <w:div w:id="1522357126">
      <w:bodyDiv w:val="1"/>
      <w:marLeft w:val="0"/>
      <w:marRight w:val="0"/>
      <w:marTop w:val="0"/>
      <w:marBottom w:val="0"/>
      <w:divBdr>
        <w:top w:val="none" w:sz="0" w:space="0" w:color="auto"/>
        <w:left w:val="none" w:sz="0" w:space="0" w:color="auto"/>
        <w:bottom w:val="none" w:sz="0" w:space="0" w:color="auto"/>
        <w:right w:val="none" w:sz="0" w:space="0" w:color="auto"/>
      </w:divBdr>
    </w:div>
    <w:div w:id="1527479783">
      <w:bodyDiv w:val="1"/>
      <w:marLeft w:val="0"/>
      <w:marRight w:val="0"/>
      <w:marTop w:val="0"/>
      <w:marBottom w:val="0"/>
      <w:divBdr>
        <w:top w:val="none" w:sz="0" w:space="0" w:color="auto"/>
        <w:left w:val="none" w:sz="0" w:space="0" w:color="auto"/>
        <w:bottom w:val="none" w:sz="0" w:space="0" w:color="auto"/>
        <w:right w:val="none" w:sz="0" w:space="0" w:color="auto"/>
      </w:divBdr>
    </w:div>
    <w:div w:id="1535313298">
      <w:bodyDiv w:val="1"/>
      <w:marLeft w:val="0"/>
      <w:marRight w:val="0"/>
      <w:marTop w:val="0"/>
      <w:marBottom w:val="0"/>
      <w:divBdr>
        <w:top w:val="none" w:sz="0" w:space="0" w:color="auto"/>
        <w:left w:val="none" w:sz="0" w:space="0" w:color="auto"/>
        <w:bottom w:val="none" w:sz="0" w:space="0" w:color="auto"/>
        <w:right w:val="none" w:sz="0" w:space="0" w:color="auto"/>
      </w:divBdr>
    </w:div>
    <w:div w:id="1556312531">
      <w:bodyDiv w:val="1"/>
      <w:marLeft w:val="0"/>
      <w:marRight w:val="0"/>
      <w:marTop w:val="0"/>
      <w:marBottom w:val="0"/>
      <w:divBdr>
        <w:top w:val="none" w:sz="0" w:space="0" w:color="auto"/>
        <w:left w:val="none" w:sz="0" w:space="0" w:color="auto"/>
        <w:bottom w:val="none" w:sz="0" w:space="0" w:color="auto"/>
        <w:right w:val="none" w:sz="0" w:space="0" w:color="auto"/>
      </w:divBdr>
    </w:div>
    <w:div w:id="1570310431">
      <w:bodyDiv w:val="1"/>
      <w:marLeft w:val="0"/>
      <w:marRight w:val="0"/>
      <w:marTop w:val="0"/>
      <w:marBottom w:val="0"/>
      <w:divBdr>
        <w:top w:val="none" w:sz="0" w:space="0" w:color="auto"/>
        <w:left w:val="none" w:sz="0" w:space="0" w:color="auto"/>
        <w:bottom w:val="none" w:sz="0" w:space="0" w:color="auto"/>
        <w:right w:val="none" w:sz="0" w:space="0" w:color="auto"/>
      </w:divBdr>
    </w:div>
    <w:div w:id="1578858202">
      <w:bodyDiv w:val="1"/>
      <w:marLeft w:val="0"/>
      <w:marRight w:val="0"/>
      <w:marTop w:val="0"/>
      <w:marBottom w:val="0"/>
      <w:divBdr>
        <w:top w:val="none" w:sz="0" w:space="0" w:color="auto"/>
        <w:left w:val="none" w:sz="0" w:space="0" w:color="auto"/>
        <w:bottom w:val="none" w:sz="0" w:space="0" w:color="auto"/>
        <w:right w:val="none" w:sz="0" w:space="0" w:color="auto"/>
      </w:divBdr>
    </w:div>
    <w:div w:id="1582527399">
      <w:bodyDiv w:val="1"/>
      <w:marLeft w:val="0"/>
      <w:marRight w:val="0"/>
      <w:marTop w:val="0"/>
      <w:marBottom w:val="0"/>
      <w:divBdr>
        <w:top w:val="none" w:sz="0" w:space="0" w:color="auto"/>
        <w:left w:val="none" w:sz="0" w:space="0" w:color="auto"/>
        <w:bottom w:val="none" w:sz="0" w:space="0" w:color="auto"/>
        <w:right w:val="none" w:sz="0" w:space="0" w:color="auto"/>
      </w:divBdr>
    </w:div>
    <w:div w:id="1591431558">
      <w:bodyDiv w:val="1"/>
      <w:marLeft w:val="0"/>
      <w:marRight w:val="0"/>
      <w:marTop w:val="0"/>
      <w:marBottom w:val="0"/>
      <w:divBdr>
        <w:top w:val="none" w:sz="0" w:space="0" w:color="auto"/>
        <w:left w:val="none" w:sz="0" w:space="0" w:color="auto"/>
        <w:bottom w:val="none" w:sz="0" w:space="0" w:color="auto"/>
        <w:right w:val="none" w:sz="0" w:space="0" w:color="auto"/>
      </w:divBdr>
    </w:div>
    <w:div w:id="1593585713">
      <w:bodyDiv w:val="1"/>
      <w:marLeft w:val="0"/>
      <w:marRight w:val="0"/>
      <w:marTop w:val="0"/>
      <w:marBottom w:val="0"/>
      <w:divBdr>
        <w:top w:val="none" w:sz="0" w:space="0" w:color="auto"/>
        <w:left w:val="none" w:sz="0" w:space="0" w:color="auto"/>
        <w:bottom w:val="none" w:sz="0" w:space="0" w:color="auto"/>
        <w:right w:val="none" w:sz="0" w:space="0" w:color="auto"/>
      </w:divBdr>
    </w:div>
    <w:div w:id="1596790546">
      <w:bodyDiv w:val="1"/>
      <w:marLeft w:val="0"/>
      <w:marRight w:val="0"/>
      <w:marTop w:val="0"/>
      <w:marBottom w:val="0"/>
      <w:divBdr>
        <w:top w:val="none" w:sz="0" w:space="0" w:color="auto"/>
        <w:left w:val="none" w:sz="0" w:space="0" w:color="auto"/>
        <w:bottom w:val="none" w:sz="0" w:space="0" w:color="auto"/>
        <w:right w:val="none" w:sz="0" w:space="0" w:color="auto"/>
      </w:divBdr>
    </w:div>
    <w:div w:id="1609855079">
      <w:bodyDiv w:val="1"/>
      <w:marLeft w:val="0"/>
      <w:marRight w:val="0"/>
      <w:marTop w:val="0"/>
      <w:marBottom w:val="0"/>
      <w:divBdr>
        <w:top w:val="none" w:sz="0" w:space="0" w:color="auto"/>
        <w:left w:val="none" w:sz="0" w:space="0" w:color="auto"/>
        <w:bottom w:val="none" w:sz="0" w:space="0" w:color="auto"/>
        <w:right w:val="none" w:sz="0" w:space="0" w:color="auto"/>
      </w:divBdr>
    </w:div>
    <w:div w:id="1632587144">
      <w:bodyDiv w:val="1"/>
      <w:marLeft w:val="0"/>
      <w:marRight w:val="0"/>
      <w:marTop w:val="0"/>
      <w:marBottom w:val="0"/>
      <w:divBdr>
        <w:top w:val="none" w:sz="0" w:space="0" w:color="auto"/>
        <w:left w:val="none" w:sz="0" w:space="0" w:color="auto"/>
        <w:bottom w:val="none" w:sz="0" w:space="0" w:color="auto"/>
        <w:right w:val="none" w:sz="0" w:space="0" w:color="auto"/>
      </w:divBdr>
    </w:div>
    <w:div w:id="1652366000">
      <w:bodyDiv w:val="1"/>
      <w:marLeft w:val="0"/>
      <w:marRight w:val="0"/>
      <w:marTop w:val="0"/>
      <w:marBottom w:val="0"/>
      <w:divBdr>
        <w:top w:val="none" w:sz="0" w:space="0" w:color="auto"/>
        <w:left w:val="none" w:sz="0" w:space="0" w:color="auto"/>
        <w:bottom w:val="none" w:sz="0" w:space="0" w:color="auto"/>
        <w:right w:val="none" w:sz="0" w:space="0" w:color="auto"/>
      </w:divBdr>
    </w:div>
    <w:div w:id="1666474656">
      <w:bodyDiv w:val="1"/>
      <w:marLeft w:val="0"/>
      <w:marRight w:val="0"/>
      <w:marTop w:val="0"/>
      <w:marBottom w:val="0"/>
      <w:divBdr>
        <w:top w:val="none" w:sz="0" w:space="0" w:color="auto"/>
        <w:left w:val="none" w:sz="0" w:space="0" w:color="auto"/>
        <w:bottom w:val="none" w:sz="0" w:space="0" w:color="auto"/>
        <w:right w:val="none" w:sz="0" w:space="0" w:color="auto"/>
      </w:divBdr>
    </w:div>
    <w:div w:id="1672368276">
      <w:bodyDiv w:val="1"/>
      <w:marLeft w:val="0"/>
      <w:marRight w:val="0"/>
      <w:marTop w:val="0"/>
      <w:marBottom w:val="0"/>
      <w:divBdr>
        <w:top w:val="none" w:sz="0" w:space="0" w:color="auto"/>
        <w:left w:val="none" w:sz="0" w:space="0" w:color="auto"/>
        <w:bottom w:val="none" w:sz="0" w:space="0" w:color="auto"/>
        <w:right w:val="none" w:sz="0" w:space="0" w:color="auto"/>
      </w:divBdr>
    </w:div>
    <w:div w:id="1675456030">
      <w:bodyDiv w:val="1"/>
      <w:marLeft w:val="0"/>
      <w:marRight w:val="0"/>
      <w:marTop w:val="0"/>
      <w:marBottom w:val="0"/>
      <w:divBdr>
        <w:top w:val="none" w:sz="0" w:space="0" w:color="auto"/>
        <w:left w:val="none" w:sz="0" w:space="0" w:color="auto"/>
        <w:bottom w:val="none" w:sz="0" w:space="0" w:color="auto"/>
        <w:right w:val="none" w:sz="0" w:space="0" w:color="auto"/>
      </w:divBdr>
    </w:div>
    <w:div w:id="1676685622">
      <w:bodyDiv w:val="1"/>
      <w:marLeft w:val="0"/>
      <w:marRight w:val="0"/>
      <w:marTop w:val="0"/>
      <w:marBottom w:val="0"/>
      <w:divBdr>
        <w:top w:val="none" w:sz="0" w:space="0" w:color="auto"/>
        <w:left w:val="none" w:sz="0" w:space="0" w:color="auto"/>
        <w:bottom w:val="none" w:sz="0" w:space="0" w:color="auto"/>
        <w:right w:val="none" w:sz="0" w:space="0" w:color="auto"/>
      </w:divBdr>
    </w:div>
    <w:div w:id="1677609120">
      <w:bodyDiv w:val="1"/>
      <w:marLeft w:val="0"/>
      <w:marRight w:val="0"/>
      <w:marTop w:val="0"/>
      <w:marBottom w:val="0"/>
      <w:divBdr>
        <w:top w:val="none" w:sz="0" w:space="0" w:color="auto"/>
        <w:left w:val="none" w:sz="0" w:space="0" w:color="auto"/>
        <w:bottom w:val="none" w:sz="0" w:space="0" w:color="auto"/>
        <w:right w:val="none" w:sz="0" w:space="0" w:color="auto"/>
      </w:divBdr>
    </w:div>
    <w:div w:id="1688630025">
      <w:bodyDiv w:val="1"/>
      <w:marLeft w:val="0"/>
      <w:marRight w:val="0"/>
      <w:marTop w:val="0"/>
      <w:marBottom w:val="0"/>
      <w:divBdr>
        <w:top w:val="none" w:sz="0" w:space="0" w:color="auto"/>
        <w:left w:val="none" w:sz="0" w:space="0" w:color="auto"/>
        <w:bottom w:val="none" w:sz="0" w:space="0" w:color="auto"/>
        <w:right w:val="none" w:sz="0" w:space="0" w:color="auto"/>
      </w:divBdr>
    </w:div>
    <w:div w:id="1694725125">
      <w:bodyDiv w:val="1"/>
      <w:marLeft w:val="0"/>
      <w:marRight w:val="0"/>
      <w:marTop w:val="0"/>
      <w:marBottom w:val="0"/>
      <w:divBdr>
        <w:top w:val="none" w:sz="0" w:space="0" w:color="auto"/>
        <w:left w:val="none" w:sz="0" w:space="0" w:color="auto"/>
        <w:bottom w:val="none" w:sz="0" w:space="0" w:color="auto"/>
        <w:right w:val="none" w:sz="0" w:space="0" w:color="auto"/>
      </w:divBdr>
    </w:div>
    <w:div w:id="1701082333">
      <w:bodyDiv w:val="1"/>
      <w:marLeft w:val="0"/>
      <w:marRight w:val="0"/>
      <w:marTop w:val="0"/>
      <w:marBottom w:val="0"/>
      <w:divBdr>
        <w:top w:val="none" w:sz="0" w:space="0" w:color="auto"/>
        <w:left w:val="none" w:sz="0" w:space="0" w:color="auto"/>
        <w:bottom w:val="none" w:sz="0" w:space="0" w:color="auto"/>
        <w:right w:val="none" w:sz="0" w:space="0" w:color="auto"/>
      </w:divBdr>
    </w:div>
    <w:div w:id="1709723447">
      <w:bodyDiv w:val="1"/>
      <w:marLeft w:val="0"/>
      <w:marRight w:val="0"/>
      <w:marTop w:val="0"/>
      <w:marBottom w:val="0"/>
      <w:divBdr>
        <w:top w:val="none" w:sz="0" w:space="0" w:color="auto"/>
        <w:left w:val="none" w:sz="0" w:space="0" w:color="auto"/>
        <w:bottom w:val="none" w:sz="0" w:space="0" w:color="auto"/>
        <w:right w:val="none" w:sz="0" w:space="0" w:color="auto"/>
      </w:divBdr>
    </w:div>
    <w:div w:id="1712152256">
      <w:bodyDiv w:val="1"/>
      <w:marLeft w:val="0"/>
      <w:marRight w:val="0"/>
      <w:marTop w:val="0"/>
      <w:marBottom w:val="0"/>
      <w:divBdr>
        <w:top w:val="none" w:sz="0" w:space="0" w:color="auto"/>
        <w:left w:val="none" w:sz="0" w:space="0" w:color="auto"/>
        <w:bottom w:val="none" w:sz="0" w:space="0" w:color="auto"/>
        <w:right w:val="none" w:sz="0" w:space="0" w:color="auto"/>
      </w:divBdr>
    </w:div>
    <w:div w:id="1714040663">
      <w:bodyDiv w:val="1"/>
      <w:marLeft w:val="0"/>
      <w:marRight w:val="0"/>
      <w:marTop w:val="0"/>
      <w:marBottom w:val="0"/>
      <w:divBdr>
        <w:top w:val="none" w:sz="0" w:space="0" w:color="auto"/>
        <w:left w:val="none" w:sz="0" w:space="0" w:color="auto"/>
        <w:bottom w:val="none" w:sz="0" w:space="0" w:color="auto"/>
        <w:right w:val="none" w:sz="0" w:space="0" w:color="auto"/>
      </w:divBdr>
    </w:div>
    <w:div w:id="1718312601">
      <w:bodyDiv w:val="1"/>
      <w:marLeft w:val="0"/>
      <w:marRight w:val="0"/>
      <w:marTop w:val="0"/>
      <w:marBottom w:val="0"/>
      <w:divBdr>
        <w:top w:val="none" w:sz="0" w:space="0" w:color="auto"/>
        <w:left w:val="none" w:sz="0" w:space="0" w:color="auto"/>
        <w:bottom w:val="none" w:sz="0" w:space="0" w:color="auto"/>
        <w:right w:val="none" w:sz="0" w:space="0" w:color="auto"/>
      </w:divBdr>
    </w:div>
    <w:div w:id="1725366675">
      <w:bodyDiv w:val="1"/>
      <w:marLeft w:val="0"/>
      <w:marRight w:val="0"/>
      <w:marTop w:val="0"/>
      <w:marBottom w:val="0"/>
      <w:divBdr>
        <w:top w:val="none" w:sz="0" w:space="0" w:color="auto"/>
        <w:left w:val="none" w:sz="0" w:space="0" w:color="auto"/>
        <w:bottom w:val="none" w:sz="0" w:space="0" w:color="auto"/>
        <w:right w:val="none" w:sz="0" w:space="0" w:color="auto"/>
      </w:divBdr>
    </w:div>
    <w:div w:id="1726758236">
      <w:bodyDiv w:val="1"/>
      <w:marLeft w:val="0"/>
      <w:marRight w:val="0"/>
      <w:marTop w:val="0"/>
      <w:marBottom w:val="0"/>
      <w:divBdr>
        <w:top w:val="none" w:sz="0" w:space="0" w:color="auto"/>
        <w:left w:val="none" w:sz="0" w:space="0" w:color="auto"/>
        <w:bottom w:val="none" w:sz="0" w:space="0" w:color="auto"/>
        <w:right w:val="none" w:sz="0" w:space="0" w:color="auto"/>
      </w:divBdr>
    </w:div>
    <w:div w:id="1729527121">
      <w:bodyDiv w:val="1"/>
      <w:marLeft w:val="0"/>
      <w:marRight w:val="0"/>
      <w:marTop w:val="0"/>
      <w:marBottom w:val="0"/>
      <w:divBdr>
        <w:top w:val="none" w:sz="0" w:space="0" w:color="auto"/>
        <w:left w:val="none" w:sz="0" w:space="0" w:color="auto"/>
        <w:bottom w:val="none" w:sz="0" w:space="0" w:color="auto"/>
        <w:right w:val="none" w:sz="0" w:space="0" w:color="auto"/>
      </w:divBdr>
    </w:div>
    <w:div w:id="1741443333">
      <w:bodyDiv w:val="1"/>
      <w:marLeft w:val="0"/>
      <w:marRight w:val="0"/>
      <w:marTop w:val="0"/>
      <w:marBottom w:val="0"/>
      <w:divBdr>
        <w:top w:val="none" w:sz="0" w:space="0" w:color="auto"/>
        <w:left w:val="none" w:sz="0" w:space="0" w:color="auto"/>
        <w:bottom w:val="none" w:sz="0" w:space="0" w:color="auto"/>
        <w:right w:val="none" w:sz="0" w:space="0" w:color="auto"/>
      </w:divBdr>
    </w:div>
    <w:div w:id="1759130543">
      <w:bodyDiv w:val="1"/>
      <w:marLeft w:val="0"/>
      <w:marRight w:val="0"/>
      <w:marTop w:val="0"/>
      <w:marBottom w:val="0"/>
      <w:divBdr>
        <w:top w:val="none" w:sz="0" w:space="0" w:color="auto"/>
        <w:left w:val="none" w:sz="0" w:space="0" w:color="auto"/>
        <w:bottom w:val="none" w:sz="0" w:space="0" w:color="auto"/>
        <w:right w:val="none" w:sz="0" w:space="0" w:color="auto"/>
      </w:divBdr>
    </w:div>
    <w:div w:id="1763839659">
      <w:bodyDiv w:val="1"/>
      <w:marLeft w:val="0"/>
      <w:marRight w:val="0"/>
      <w:marTop w:val="0"/>
      <w:marBottom w:val="0"/>
      <w:divBdr>
        <w:top w:val="none" w:sz="0" w:space="0" w:color="auto"/>
        <w:left w:val="none" w:sz="0" w:space="0" w:color="auto"/>
        <w:bottom w:val="none" w:sz="0" w:space="0" w:color="auto"/>
        <w:right w:val="none" w:sz="0" w:space="0" w:color="auto"/>
      </w:divBdr>
    </w:div>
    <w:div w:id="1781531257">
      <w:bodyDiv w:val="1"/>
      <w:marLeft w:val="0"/>
      <w:marRight w:val="0"/>
      <w:marTop w:val="0"/>
      <w:marBottom w:val="0"/>
      <w:divBdr>
        <w:top w:val="none" w:sz="0" w:space="0" w:color="auto"/>
        <w:left w:val="none" w:sz="0" w:space="0" w:color="auto"/>
        <w:bottom w:val="none" w:sz="0" w:space="0" w:color="auto"/>
        <w:right w:val="none" w:sz="0" w:space="0" w:color="auto"/>
      </w:divBdr>
    </w:div>
    <w:div w:id="1787582385">
      <w:bodyDiv w:val="1"/>
      <w:marLeft w:val="0"/>
      <w:marRight w:val="0"/>
      <w:marTop w:val="0"/>
      <w:marBottom w:val="0"/>
      <w:divBdr>
        <w:top w:val="none" w:sz="0" w:space="0" w:color="auto"/>
        <w:left w:val="none" w:sz="0" w:space="0" w:color="auto"/>
        <w:bottom w:val="none" w:sz="0" w:space="0" w:color="auto"/>
        <w:right w:val="none" w:sz="0" w:space="0" w:color="auto"/>
      </w:divBdr>
    </w:div>
    <w:div w:id="1790195947">
      <w:bodyDiv w:val="1"/>
      <w:marLeft w:val="0"/>
      <w:marRight w:val="0"/>
      <w:marTop w:val="0"/>
      <w:marBottom w:val="0"/>
      <w:divBdr>
        <w:top w:val="none" w:sz="0" w:space="0" w:color="auto"/>
        <w:left w:val="none" w:sz="0" w:space="0" w:color="auto"/>
        <w:bottom w:val="none" w:sz="0" w:space="0" w:color="auto"/>
        <w:right w:val="none" w:sz="0" w:space="0" w:color="auto"/>
      </w:divBdr>
    </w:div>
    <w:div w:id="1802796603">
      <w:bodyDiv w:val="1"/>
      <w:marLeft w:val="0"/>
      <w:marRight w:val="0"/>
      <w:marTop w:val="0"/>
      <w:marBottom w:val="0"/>
      <w:divBdr>
        <w:top w:val="none" w:sz="0" w:space="0" w:color="auto"/>
        <w:left w:val="none" w:sz="0" w:space="0" w:color="auto"/>
        <w:bottom w:val="none" w:sz="0" w:space="0" w:color="auto"/>
        <w:right w:val="none" w:sz="0" w:space="0" w:color="auto"/>
      </w:divBdr>
    </w:div>
    <w:div w:id="1803570640">
      <w:bodyDiv w:val="1"/>
      <w:marLeft w:val="0"/>
      <w:marRight w:val="0"/>
      <w:marTop w:val="0"/>
      <w:marBottom w:val="0"/>
      <w:divBdr>
        <w:top w:val="none" w:sz="0" w:space="0" w:color="auto"/>
        <w:left w:val="none" w:sz="0" w:space="0" w:color="auto"/>
        <w:bottom w:val="none" w:sz="0" w:space="0" w:color="auto"/>
        <w:right w:val="none" w:sz="0" w:space="0" w:color="auto"/>
      </w:divBdr>
    </w:div>
    <w:div w:id="1811635613">
      <w:bodyDiv w:val="1"/>
      <w:marLeft w:val="0"/>
      <w:marRight w:val="0"/>
      <w:marTop w:val="0"/>
      <w:marBottom w:val="0"/>
      <w:divBdr>
        <w:top w:val="none" w:sz="0" w:space="0" w:color="auto"/>
        <w:left w:val="none" w:sz="0" w:space="0" w:color="auto"/>
        <w:bottom w:val="none" w:sz="0" w:space="0" w:color="auto"/>
        <w:right w:val="none" w:sz="0" w:space="0" w:color="auto"/>
      </w:divBdr>
    </w:div>
    <w:div w:id="1816868246">
      <w:bodyDiv w:val="1"/>
      <w:marLeft w:val="0"/>
      <w:marRight w:val="0"/>
      <w:marTop w:val="0"/>
      <w:marBottom w:val="0"/>
      <w:divBdr>
        <w:top w:val="none" w:sz="0" w:space="0" w:color="auto"/>
        <w:left w:val="none" w:sz="0" w:space="0" w:color="auto"/>
        <w:bottom w:val="none" w:sz="0" w:space="0" w:color="auto"/>
        <w:right w:val="none" w:sz="0" w:space="0" w:color="auto"/>
      </w:divBdr>
    </w:div>
    <w:div w:id="1832329768">
      <w:bodyDiv w:val="1"/>
      <w:marLeft w:val="0"/>
      <w:marRight w:val="0"/>
      <w:marTop w:val="0"/>
      <w:marBottom w:val="0"/>
      <w:divBdr>
        <w:top w:val="none" w:sz="0" w:space="0" w:color="auto"/>
        <w:left w:val="none" w:sz="0" w:space="0" w:color="auto"/>
        <w:bottom w:val="none" w:sz="0" w:space="0" w:color="auto"/>
        <w:right w:val="none" w:sz="0" w:space="0" w:color="auto"/>
      </w:divBdr>
    </w:div>
    <w:div w:id="1842768516">
      <w:bodyDiv w:val="1"/>
      <w:marLeft w:val="0"/>
      <w:marRight w:val="0"/>
      <w:marTop w:val="0"/>
      <w:marBottom w:val="0"/>
      <w:divBdr>
        <w:top w:val="none" w:sz="0" w:space="0" w:color="auto"/>
        <w:left w:val="none" w:sz="0" w:space="0" w:color="auto"/>
        <w:bottom w:val="none" w:sz="0" w:space="0" w:color="auto"/>
        <w:right w:val="none" w:sz="0" w:space="0" w:color="auto"/>
      </w:divBdr>
    </w:div>
    <w:div w:id="1851794585">
      <w:bodyDiv w:val="1"/>
      <w:marLeft w:val="0"/>
      <w:marRight w:val="0"/>
      <w:marTop w:val="0"/>
      <w:marBottom w:val="0"/>
      <w:divBdr>
        <w:top w:val="none" w:sz="0" w:space="0" w:color="auto"/>
        <w:left w:val="none" w:sz="0" w:space="0" w:color="auto"/>
        <w:bottom w:val="none" w:sz="0" w:space="0" w:color="auto"/>
        <w:right w:val="none" w:sz="0" w:space="0" w:color="auto"/>
      </w:divBdr>
    </w:div>
    <w:div w:id="1854882154">
      <w:bodyDiv w:val="1"/>
      <w:marLeft w:val="0"/>
      <w:marRight w:val="0"/>
      <w:marTop w:val="0"/>
      <w:marBottom w:val="0"/>
      <w:divBdr>
        <w:top w:val="none" w:sz="0" w:space="0" w:color="auto"/>
        <w:left w:val="none" w:sz="0" w:space="0" w:color="auto"/>
        <w:bottom w:val="none" w:sz="0" w:space="0" w:color="auto"/>
        <w:right w:val="none" w:sz="0" w:space="0" w:color="auto"/>
      </w:divBdr>
    </w:div>
    <w:div w:id="1857571427">
      <w:bodyDiv w:val="1"/>
      <w:marLeft w:val="0"/>
      <w:marRight w:val="0"/>
      <w:marTop w:val="0"/>
      <w:marBottom w:val="0"/>
      <w:divBdr>
        <w:top w:val="none" w:sz="0" w:space="0" w:color="auto"/>
        <w:left w:val="none" w:sz="0" w:space="0" w:color="auto"/>
        <w:bottom w:val="none" w:sz="0" w:space="0" w:color="auto"/>
        <w:right w:val="none" w:sz="0" w:space="0" w:color="auto"/>
      </w:divBdr>
    </w:div>
    <w:div w:id="1875266093">
      <w:bodyDiv w:val="1"/>
      <w:marLeft w:val="0"/>
      <w:marRight w:val="0"/>
      <w:marTop w:val="0"/>
      <w:marBottom w:val="0"/>
      <w:divBdr>
        <w:top w:val="none" w:sz="0" w:space="0" w:color="auto"/>
        <w:left w:val="none" w:sz="0" w:space="0" w:color="auto"/>
        <w:bottom w:val="none" w:sz="0" w:space="0" w:color="auto"/>
        <w:right w:val="none" w:sz="0" w:space="0" w:color="auto"/>
      </w:divBdr>
    </w:div>
    <w:div w:id="1913617980">
      <w:bodyDiv w:val="1"/>
      <w:marLeft w:val="0"/>
      <w:marRight w:val="0"/>
      <w:marTop w:val="0"/>
      <w:marBottom w:val="0"/>
      <w:divBdr>
        <w:top w:val="none" w:sz="0" w:space="0" w:color="auto"/>
        <w:left w:val="none" w:sz="0" w:space="0" w:color="auto"/>
        <w:bottom w:val="none" w:sz="0" w:space="0" w:color="auto"/>
        <w:right w:val="none" w:sz="0" w:space="0" w:color="auto"/>
      </w:divBdr>
    </w:div>
    <w:div w:id="1938784002">
      <w:bodyDiv w:val="1"/>
      <w:marLeft w:val="0"/>
      <w:marRight w:val="0"/>
      <w:marTop w:val="0"/>
      <w:marBottom w:val="0"/>
      <w:divBdr>
        <w:top w:val="none" w:sz="0" w:space="0" w:color="auto"/>
        <w:left w:val="none" w:sz="0" w:space="0" w:color="auto"/>
        <w:bottom w:val="none" w:sz="0" w:space="0" w:color="auto"/>
        <w:right w:val="none" w:sz="0" w:space="0" w:color="auto"/>
      </w:divBdr>
    </w:div>
    <w:div w:id="1946379579">
      <w:bodyDiv w:val="1"/>
      <w:marLeft w:val="0"/>
      <w:marRight w:val="0"/>
      <w:marTop w:val="0"/>
      <w:marBottom w:val="0"/>
      <w:divBdr>
        <w:top w:val="none" w:sz="0" w:space="0" w:color="auto"/>
        <w:left w:val="none" w:sz="0" w:space="0" w:color="auto"/>
        <w:bottom w:val="none" w:sz="0" w:space="0" w:color="auto"/>
        <w:right w:val="none" w:sz="0" w:space="0" w:color="auto"/>
      </w:divBdr>
    </w:div>
    <w:div w:id="1956905133">
      <w:bodyDiv w:val="1"/>
      <w:marLeft w:val="0"/>
      <w:marRight w:val="0"/>
      <w:marTop w:val="0"/>
      <w:marBottom w:val="0"/>
      <w:divBdr>
        <w:top w:val="none" w:sz="0" w:space="0" w:color="auto"/>
        <w:left w:val="none" w:sz="0" w:space="0" w:color="auto"/>
        <w:bottom w:val="none" w:sz="0" w:space="0" w:color="auto"/>
        <w:right w:val="none" w:sz="0" w:space="0" w:color="auto"/>
      </w:divBdr>
    </w:div>
    <w:div w:id="1956982350">
      <w:bodyDiv w:val="1"/>
      <w:marLeft w:val="0"/>
      <w:marRight w:val="0"/>
      <w:marTop w:val="0"/>
      <w:marBottom w:val="0"/>
      <w:divBdr>
        <w:top w:val="none" w:sz="0" w:space="0" w:color="auto"/>
        <w:left w:val="none" w:sz="0" w:space="0" w:color="auto"/>
        <w:bottom w:val="none" w:sz="0" w:space="0" w:color="auto"/>
        <w:right w:val="none" w:sz="0" w:space="0" w:color="auto"/>
      </w:divBdr>
    </w:div>
    <w:div w:id="1967852090">
      <w:bodyDiv w:val="1"/>
      <w:marLeft w:val="0"/>
      <w:marRight w:val="0"/>
      <w:marTop w:val="0"/>
      <w:marBottom w:val="0"/>
      <w:divBdr>
        <w:top w:val="none" w:sz="0" w:space="0" w:color="auto"/>
        <w:left w:val="none" w:sz="0" w:space="0" w:color="auto"/>
        <w:bottom w:val="none" w:sz="0" w:space="0" w:color="auto"/>
        <w:right w:val="none" w:sz="0" w:space="0" w:color="auto"/>
      </w:divBdr>
    </w:div>
    <w:div w:id="1969773811">
      <w:bodyDiv w:val="1"/>
      <w:marLeft w:val="0"/>
      <w:marRight w:val="0"/>
      <w:marTop w:val="0"/>
      <w:marBottom w:val="0"/>
      <w:divBdr>
        <w:top w:val="none" w:sz="0" w:space="0" w:color="auto"/>
        <w:left w:val="none" w:sz="0" w:space="0" w:color="auto"/>
        <w:bottom w:val="none" w:sz="0" w:space="0" w:color="auto"/>
        <w:right w:val="none" w:sz="0" w:space="0" w:color="auto"/>
      </w:divBdr>
    </w:div>
    <w:div w:id="2010675725">
      <w:bodyDiv w:val="1"/>
      <w:marLeft w:val="0"/>
      <w:marRight w:val="0"/>
      <w:marTop w:val="0"/>
      <w:marBottom w:val="0"/>
      <w:divBdr>
        <w:top w:val="none" w:sz="0" w:space="0" w:color="auto"/>
        <w:left w:val="none" w:sz="0" w:space="0" w:color="auto"/>
        <w:bottom w:val="none" w:sz="0" w:space="0" w:color="auto"/>
        <w:right w:val="none" w:sz="0" w:space="0" w:color="auto"/>
      </w:divBdr>
    </w:div>
    <w:div w:id="2016610657">
      <w:bodyDiv w:val="1"/>
      <w:marLeft w:val="0"/>
      <w:marRight w:val="0"/>
      <w:marTop w:val="0"/>
      <w:marBottom w:val="0"/>
      <w:divBdr>
        <w:top w:val="none" w:sz="0" w:space="0" w:color="auto"/>
        <w:left w:val="none" w:sz="0" w:space="0" w:color="auto"/>
        <w:bottom w:val="none" w:sz="0" w:space="0" w:color="auto"/>
        <w:right w:val="none" w:sz="0" w:space="0" w:color="auto"/>
      </w:divBdr>
    </w:div>
    <w:div w:id="2021662626">
      <w:bodyDiv w:val="1"/>
      <w:marLeft w:val="0"/>
      <w:marRight w:val="0"/>
      <w:marTop w:val="0"/>
      <w:marBottom w:val="0"/>
      <w:divBdr>
        <w:top w:val="none" w:sz="0" w:space="0" w:color="auto"/>
        <w:left w:val="none" w:sz="0" w:space="0" w:color="auto"/>
        <w:bottom w:val="none" w:sz="0" w:space="0" w:color="auto"/>
        <w:right w:val="none" w:sz="0" w:space="0" w:color="auto"/>
      </w:divBdr>
    </w:div>
    <w:div w:id="2031103520">
      <w:bodyDiv w:val="1"/>
      <w:marLeft w:val="0"/>
      <w:marRight w:val="0"/>
      <w:marTop w:val="0"/>
      <w:marBottom w:val="0"/>
      <w:divBdr>
        <w:top w:val="none" w:sz="0" w:space="0" w:color="auto"/>
        <w:left w:val="none" w:sz="0" w:space="0" w:color="auto"/>
        <w:bottom w:val="none" w:sz="0" w:space="0" w:color="auto"/>
        <w:right w:val="none" w:sz="0" w:space="0" w:color="auto"/>
      </w:divBdr>
    </w:div>
    <w:div w:id="2032106500">
      <w:bodyDiv w:val="1"/>
      <w:marLeft w:val="0"/>
      <w:marRight w:val="0"/>
      <w:marTop w:val="0"/>
      <w:marBottom w:val="0"/>
      <w:divBdr>
        <w:top w:val="none" w:sz="0" w:space="0" w:color="auto"/>
        <w:left w:val="none" w:sz="0" w:space="0" w:color="auto"/>
        <w:bottom w:val="none" w:sz="0" w:space="0" w:color="auto"/>
        <w:right w:val="none" w:sz="0" w:space="0" w:color="auto"/>
      </w:divBdr>
    </w:div>
    <w:div w:id="2036539207">
      <w:bodyDiv w:val="1"/>
      <w:marLeft w:val="0"/>
      <w:marRight w:val="0"/>
      <w:marTop w:val="0"/>
      <w:marBottom w:val="0"/>
      <w:divBdr>
        <w:top w:val="none" w:sz="0" w:space="0" w:color="auto"/>
        <w:left w:val="none" w:sz="0" w:space="0" w:color="auto"/>
        <w:bottom w:val="none" w:sz="0" w:space="0" w:color="auto"/>
        <w:right w:val="none" w:sz="0" w:space="0" w:color="auto"/>
      </w:divBdr>
    </w:div>
    <w:div w:id="2038040496">
      <w:bodyDiv w:val="1"/>
      <w:marLeft w:val="0"/>
      <w:marRight w:val="0"/>
      <w:marTop w:val="0"/>
      <w:marBottom w:val="0"/>
      <w:divBdr>
        <w:top w:val="none" w:sz="0" w:space="0" w:color="auto"/>
        <w:left w:val="none" w:sz="0" w:space="0" w:color="auto"/>
        <w:bottom w:val="none" w:sz="0" w:space="0" w:color="auto"/>
        <w:right w:val="none" w:sz="0" w:space="0" w:color="auto"/>
      </w:divBdr>
    </w:div>
    <w:div w:id="2049142490">
      <w:bodyDiv w:val="1"/>
      <w:marLeft w:val="0"/>
      <w:marRight w:val="0"/>
      <w:marTop w:val="0"/>
      <w:marBottom w:val="0"/>
      <w:divBdr>
        <w:top w:val="none" w:sz="0" w:space="0" w:color="auto"/>
        <w:left w:val="none" w:sz="0" w:space="0" w:color="auto"/>
        <w:bottom w:val="none" w:sz="0" w:space="0" w:color="auto"/>
        <w:right w:val="none" w:sz="0" w:space="0" w:color="auto"/>
      </w:divBdr>
    </w:div>
    <w:div w:id="2059544690">
      <w:bodyDiv w:val="1"/>
      <w:marLeft w:val="0"/>
      <w:marRight w:val="0"/>
      <w:marTop w:val="0"/>
      <w:marBottom w:val="0"/>
      <w:divBdr>
        <w:top w:val="none" w:sz="0" w:space="0" w:color="auto"/>
        <w:left w:val="none" w:sz="0" w:space="0" w:color="auto"/>
        <w:bottom w:val="none" w:sz="0" w:space="0" w:color="auto"/>
        <w:right w:val="none" w:sz="0" w:space="0" w:color="auto"/>
      </w:divBdr>
    </w:div>
    <w:div w:id="2064787589">
      <w:bodyDiv w:val="1"/>
      <w:marLeft w:val="0"/>
      <w:marRight w:val="0"/>
      <w:marTop w:val="0"/>
      <w:marBottom w:val="0"/>
      <w:divBdr>
        <w:top w:val="none" w:sz="0" w:space="0" w:color="auto"/>
        <w:left w:val="none" w:sz="0" w:space="0" w:color="auto"/>
        <w:bottom w:val="none" w:sz="0" w:space="0" w:color="auto"/>
        <w:right w:val="none" w:sz="0" w:space="0" w:color="auto"/>
      </w:divBdr>
    </w:div>
    <w:div w:id="2065717988">
      <w:bodyDiv w:val="1"/>
      <w:marLeft w:val="0"/>
      <w:marRight w:val="0"/>
      <w:marTop w:val="0"/>
      <w:marBottom w:val="0"/>
      <w:divBdr>
        <w:top w:val="none" w:sz="0" w:space="0" w:color="auto"/>
        <w:left w:val="none" w:sz="0" w:space="0" w:color="auto"/>
        <w:bottom w:val="none" w:sz="0" w:space="0" w:color="auto"/>
        <w:right w:val="none" w:sz="0" w:space="0" w:color="auto"/>
      </w:divBdr>
    </w:div>
    <w:div w:id="2066948271">
      <w:bodyDiv w:val="1"/>
      <w:marLeft w:val="0"/>
      <w:marRight w:val="0"/>
      <w:marTop w:val="0"/>
      <w:marBottom w:val="0"/>
      <w:divBdr>
        <w:top w:val="none" w:sz="0" w:space="0" w:color="auto"/>
        <w:left w:val="none" w:sz="0" w:space="0" w:color="auto"/>
        <w:bottom w:val="none" w:sz="0" w:space="0" w:color="auto"/>
        <w:right w:val="none" w:sz="0" w:space="0" w:color="auto"/>
      </w:divBdr>
    </w:div>
    <w:div w:id="2068333666">
      <w:bodyDiv w:val="1"/>
      <w:marLeft w:val="0"/>
      <w:marRight w:val="0"/>
      <w:marTop w:val="0"/>
      <w:marBottom w:val="0"/>
      <w:divBdr>
        <w:top w:val="none" w:sz="0" w:space="0" w:color="auto"/>
        <w:left w:val="none" w:sz="0" w:space="0" w:color="auto"/>
        <w:bottom w:val="none" w:sz="0" w:space="0" w:color="auto"/>
        <w:right w:val="none" w:sz="0" w:space="0" w:color="auto"/>
      </w:divBdr>
    </w:div>
    <w:div w:id="2069062325">
      <w:bodyDiv w:val="1"/>
      <w:marLeft w:val="0"/>
      <w:marRight w:val="0"/>
      <w:marTop w:val="0"/>
      <w:marBottom w:val="0"/>
      <w:divBdr>
        <w:top w:val="none" w:sz="0" w:space="0" w:color="auto"/>
        <w:left w:val="none" w:sz="0" w:space="0" w:color="auto"/>
        <w:bottom w:val="none" w:sz="0" w:space="0" w:color="auto"/>
        <w:right w:val="none" w:sz="0" w:space="0" w:color="auto"/>
      </w:divBdr>
    </w:div>
    <w:div w:id="2089115650">
      <w:bodyDiv w:val="1"/>
      <w:marLeft w:val="0"/>
      <w:marRight w:val="0"/>
      <w:marTop w:val="0"/>
      <w:marBottom w:val="0"/>
      <w:divBdr>
        <w:top w:val="none" w:sz="0" w:space="0" w:color="auto"/>
        <w:left w:val="none" w:sz="0" w:space="0" w:color="auto"/>
        <w:bottom w:val="none" w:sz="0" w:space="0" w:color="auto"/>
        <w:right w:val="none" w:sz="0" w:space="0" w:color="auto"/>
      </w:divBdr>
    </w:div>
    <w:div w:id="2097244050">
      <w:bodyDiv w:val="1"/>
      <w:marLeft w:val="0"/>
      <w:marRight w:val="0"/>
      <w:marTop w:val="0"/>
      <w:marBottom w:val="0"/>
      <w:divBdr>
        <w:top w:val="none" w:sz="0" w:space="0" w:color="auto"/>
        <w:left w:val="none" w:sz="0" w:space="0" w:color="auto"/>
        <w:bottom w:val="none" w:sz="0" w:space="0" w:color="auto"/>
        <w:right w:val="none" w:sz="0" w:space="0" w:color="auto"/>
      </w:divBdr>
    </w:div>
    <w:div w:id="2104764243">
      <w:bodyDiv w:val="1"/>
      <w:marLeft w:val="0"/>
      <w:marRight w:val="0"/>
      <w:marTop w:val="0"/>
      <w:marBottom w:val="0"/>
      <w:divBdr>
        <w:top w:val="none" w:sz="0" w:space="0" w:color="auto"/>
        <w:left w:val="none" w:sz="0" w:space="0" w:color="auto"/>
        <w:bottom w:val="none" w:sz="0" w:space="0" w:color="auto"/>
        <w:right w:val="none" w:sz="0" w:space="0" w:color="auto"/>
      </w:divBdr>
    </w:div>
    <w:div w:id="2113238743">
      <w:bodyDiv w:val="1"/>
      <w:marLeft w:val="0"/>
      <w:marRight w:val="0"/>
      <w:marTop w:val="0"/>
      <w:marBottom w:val="0"/>
      <w:divBdr>
        <w:top w:val="none" w:sz="0" w:space="0" w:color="auto"/>
        <w:left w:val="none" w:sz="0" w:space="0" w:color="auto"/>
        <w:bottom w:val="none" w:sz="0" w:space="0" w:color="auto"/>
        <w:right w:val="none" w:sz="0" w:space="0" w:color="auto"/>
      </w:divBdr>
    </w:div>
    <w:div w:id="2120835964">
      <w:bodyDiv w:val="1"/>
      <w:marLeft w:val="0"/>
      <w:marRight w:val="0"/>
      <w:marTop w:val="0"/>
      <w:marBottom w:val="0"/>
      <w:divBdr>
        <w:top w:val="none" w:sz="0" w:space="0" w:color="auto"/>
        <w:left w:val="none" w:sz="0" w:space="0" w:color="auto"/>
        <w:bottom w:val="none" w:sz="0" w:space="0" w:color="auto"/>
        <w:right w:val="none" w:sz="0" w:space="0" w:color="auto"/>
      </w:divBdr>
    </w:div>
    <w:div w:id="2123839868">
      <w:bodyDiv w:val="1"/>
      <w:marLeft w:val="0"/>
      <w:marRight w:val="0"/>
      <w:marTop w:val="0"/>
      <w:marBottom w:val="0"/>
      <w:divBdr>
        <w:top w:val="none" w:sz="0" w:space="0" w:color="auto"/>
        <w:left w:val="none" w:sz="0" w:space="0" w:color="auto"/>
        <w:bottom w:val="none" w:sz="0" w:space="0" w:color="auto"/>
        <w:right w:val="none" w:sz="0" w:space="0" w:color="auto"/>
      </w:divBdr>
    </w:div>
    <w:div w:id="213775096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emf"/><Relationship Id="rId26" Type="http://schemas.openxmlformats.org/officeDocument/2006/relationships/image" Target="media/image9.emf"/><Relationship Id="rId39" Type="http://schemas.openxmlformats.org/officeDocument/2006/relationships/header" Target="header5.xml"/><Relationship Id="rId21" Type="http://schemas.openxmlformats.org/officeDocument/2006/relationships/image" Target="media/image4.emf"/><Relationship Id="rId34" Type="http://schemas.openxmlformats.org/officeDocument/2006/relationships/image" Target="media/image17.emf"/><Relationship Id="rId42"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emf"/><Relationship Id="rId32" Type="http://schemas.openxmlformats.org/officeDocument/2006/relationships/image" Target="media/image15.emf"/><Relationship Id="rId37" Type="http://schemas.openxmlformats.org/officeDocument/2006/relationships/image" Target="media/image20.emf"/><Relationship Id="rId40" Type="http://schemas.openxmlformats.org/officeDocument/2006/relationships/footer" Target="footer5.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6.emf"/><Relationship Id="rId28" Type="http://schemas.openxmlformats.org/officeDocument/2006/relationships/image" Target="media/image11.emf"/><Relationship Id="rId36" Type="http://schemas.openxmlformats.org/officeDocument/2006/relationships/image" Target="media/image19.emf"/><Relationship Id="rId10" Type="http://schemas.openxmlformats.org/officeDocument/2006/relationships/endnotes" Target="endnotes.xml"/><Relationship Id="rId19" Type="http://schemas.openxmlformats.org/officeDocument/2006/relationships/image" Target="media/image2.emf"/><Relationship Id="rId31" Type="http://schemas.openxmlformats.org/officeDocument/2006/relationships/image" Target="media/image14.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emf"/><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footer" Target="footer7.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emf"/><Relationship Id="rId38" Type="http://schemas.openxmlformats.org/officeDocument/2006/relationships/header" Target="header4.xml"/><Relationship Id="rId20" Type="http://schemas.openxmlformats.org/officeDocument/2006/relationships/image" Target="media/image3.emf"/><Relationship Id="rId41" Type="http://schemas.openxmlformats.org/officeDocument/2006/relationships/footer" Target="footer6.xml"/></Relationships>
</file>

<file path=word/_rels/header4.xml.rels><?xml version="1.0" encoding="UTF-8" standalone="yes"?>
<Relationships xmlns="http://schemas.openxmlformats.org/package/2006/relationships"><Relationship Id="rId1" Type="http://schemas.openxmlformats.org/officeDocument/2006/relationships/image" Target="media/image21.png"/></Relationships>
</file>

<file path=word/_rels/header5.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BB3F3-494C-4C2C-93BE-E43C2E61D3DB}">
  <ds:schemaRefs>
    <ds:schemaRef ds:uri="http://schemas.microsoft.com/sharepoint/v3/contenttype/forms"/>
  </ds:schemaRefs>
</ds:datastoreItem>
</file>

<file path=customXml/itemProps2.xml><?xml version="1.0" encoding="utf-8"?>
<ds:datastoreItem xmlns:ds="http://schemas.openxmlformats.org/officeDocument/2006/customXml" ds:itemID="{FCE08EB0-D47A-4854-AAF6-7E0DA573D37A}">
  <ds:schemaRefs>
    <ds:schemaRef ds:uri="244fe85f-b655-4145-9b20-543b75dc1c24"/>
    <ds:schemaRef ds:uri="http://schemas.microsoft.com/sharepoint/v3"/>
    <ds:schemaRef ds:uri="http://schemas.microsoft.com/office/2006/metadata/properties"/>
    <ds:schemaRef ds:uri="http://purl.org/dc/elements/1.1/"/>
    <ds:schemaRef ds:uri="http://www.w3.org/XML/1998/namespace"/>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9115ddca-c623-419f-a3c0-6a1c58c4dac8"/>
    <ds:schemaRef ds:uri="http://purl.org/dc/dcmitype/"/>
  </ds:schemaRefs>
</ds:datastoreItem>
</file>

<file path=customXml/itemProps3.xml><?xml version="1.0" encoding="utf-8"?>
<ds:datastoreItem xmlns:ds="http://schemas.openxmlformats.org/officeDocument/2006/customXml" ds:itemID="{99523DCA-DFAD-4E3F-9961-EA3461F70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Budget Template.dotm</Template>
  <TotalTime>2332</TotalTime>
  <Pages>50</Pages>
  <Words>13335</Words>
  <Characters>76014</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89171</CharactersWithSpaces>
  <SharedDoc>false</SharedDoc>
  <HLinks>
    <vt:vector size="120" baseType="variant">
      <vt:variant>
        <vt:i4>1507382</vt:i4>
      </vt:variant>
      <vt:variant>
        <vt:i4>210</vt:i4>
      </vt:variant>
      <vt:variant>
        <vt:i4>0</vt:i4>
      </vt:variant>
      <vt:variant>
        <vt:i4>5</vt:i4>
      </vt:variant>
      <vt:variant>
        <vt:lpwstr/>
      </vt:variant>
      <vt:variant>
        <vt:lpwstr>_Toc117180801</vt:lpwstr>
      </vt:variant>
      <vt:variant>
        <vt:i4>1507382</vt:i4>
      </vt:variant>
      <vt:variant>
        <vt:i4>204</vt:i4>
      </vt:variant>
      <vt:variant>
        <vt:i4>0</vt:i4>
      </vt:variant>
      <vt:variant>
        <vt:i4>5</vt:i4>
      </vt:variant>
      <vt:variant>
        <vt:lpwstr/>
      </vt:variant>
      <vt:variant>
        <vt:lpwstr>_Toc117180800</vt:lpwstr>
      </vt:variant>
      <vt:variant>
        <vt:i4>1966137</vt:i4>
      </vt:variant>
      <vt:variant>
        <vt:i4>198</vt:i4>
      </vt:variant>
      <vt:variant>
        <vt:i4>0</vt:i4>
      </vt:variant>
      <vt:variant>
        <vt:i4>5</vt:i4>
      </vt:variant>
      <vt:variant>
        <vt:lpwstr/>
      </vt:variant>
      <vt:variant>
        <vt:lpwstr>_Toc117180799</vt:lpwstr>
      </vt:variant>
      <vt:variant>
        <vt:i4>1966137</vt:i4>
      </vt:variant>
      <vt:variant>
        <vt:i4>192</vt:i4>
      </vt:variant>
      <vt:variant>
        <vt:i4>0</vt:i4>
      </vt:variant>
      <vt:variant>
        <vt:i4>5</vt:i4>
      </vt:variant>
      <vt:variant>
        <vt:lpwstr/>
      </vt:variant>
      <vt:variant>
        <vt:lpwstr>_Toc117180798</vt:lpwstr>
      </vt:variant>
      <vt:variant>
        <vt:i4>1966137</vt:i4>
      </vt:variant>
      <vt:variant>
        <vt:i4>186</vt:i4>
      </vt:variant>
      <vt:variant>
        <vt:i4>0</vt:i4>
      </vt:variant>
      <vt:variant>
        <vt:i4>5</vt:i4>
      </vt:variant>
      <vt:variant>
        <vt:lpwstr/>
      </vt:variant>
      <vt:variant>
        <vt:lpwstr>_Toc117180797</vt:lpwstr>
      </vt:variant>
      <vt:variant>
        <vt:i4>1966137</vt:i4>
      </vt:variant>
      <vt:variant>
        <vt:i4>180</vt:i4>
      </vt:variant>
      <vt:variant>
        <vt:i4>0</vt:i4>
      </vt:variant>
      <vt:variant>
        <vt:i4>5</vt:i4>
      </vt:variant>
      <vt:variant>
        <vt:lpwstr/>
      </vt:variant>
      <vt:variant>
        <vt:lpwstr>_Toc117180796</vt:lpwstr>
      </vt:variant>
      <vt:variant>
        <vt:i4>1966137</vt:i4>
      </vt:variant>
      <vt:variant>
        <vt:i4>174</vt:i4>
      </vt:variant>
      <vt:variant>
        <vt:i4>0</vt:i4>
      </vt:variant>
      <vt:variant>
        <vt:i4>5</vt:i4>
      </vt:variant>
      <vt:variant>
        <vt:lpwstr/>
      </vt:variant>
      <vt:variant>
        <vt:lpwstr>_Toc117180795</vt:lpwstr>
      </vt:variant>
      <vt:variant>
        <vt:i4>1966137</vt:i4>
      </vt:variant>
      <vt:variant>
        <vt:i4>168</vt:i4>
      </vt:variant>
      <vt:variant>
        <vt:i4>0</vt:i4>
      </vt:variant>
      <vt:variant>
        <vt:i4>5</vt:i4>
      </vt:variant>
      <vt:variant>
        <vt:lpwstr/>
      </vt:variant>
      <vt:variant>
        <vt:lpwstr>_Toc117180794</vt:lpwstr>
      </vt:variant>
      <vt:variant>
        <vt:i4>1966137</vt:i4>
      </vt:variant>
      <vt:variant>
        <vt:i4>162</vt:i4>
      </vt:variant>
      <vt:variant>
        <vt:i4>0</vt:i4>
      </vt:variant>
      <vt:variant>
        <vt:i4>5</vt:i4>
      </vt:variant>
      <vt:variant>
        <vt:lpwstr/>
      </vt:variant>
      <vt:variant>
        <vt:lpwstr>_Toc117180793</vt:lpwstr>
      </vt:variant>
      <vt:variant>
        <vt:i4>1966137</vt:i4>
      </vt:variant>
      <vt:variant>
        <vt:i4>156</vt:i4>
      </vt:variant>
      <vt:variant>
        <vt:i4>0</vt:i4>
      </vt:variant>
      <vt:variant>
        <vt:i4>5</vt:i4>
      </vt:variant>
      <vt:variant>
        <vt:lpwstr/>
      </vt:variant>
      <vt:variant>
        <vt:lpwstr>_Toc117180792</vt:lpwstr>
      </vt:variant>
      <vt:variant>
        <vt:i4>1966137</vt:i4>
      </vt:variant>
      <vt:variant>
        <vt:i4>150</vt:i4>
      </vt:variant>
      <vt:variant>
        <vt:i4>0</vt:i4>
      </vt:variant>
      <vt:variant>
        <vt:i4>5</vt:i4>
      </vt:variant>
      <vt:variant>
        <vt:lpwstr/>
      </vt:variant>
      <vt:variant>
        <vt:lpwstr>_Toc117180791</vt:lpwstr>
      </vt:variant>
      <vt:variant>
        <vt:i4>1966137</vt:i4>
      </vt:variant>
      <vt:variant>
        <vt:i4>144</vt:i4>
      </vt:variant>
      <vt:variant>
        <vt:i4>0</vt:i4>
      </vt:variant>
      <vt:variant>
        <vt:i4>5</vt:i4>
      </vt:variant>
      <vt:variant>
        <vt:lpwstr/>
      </vt:variant>
      <vt:variant>
        <vt:lpwstr>_Toc117180790</vt:lpwstr>
      </vt:variant>
      <vt:variant>
        <vt:i4>2031673</vt:i4>
      </vt:variant>
      <vt:variant>
        <vt:i4>138</vt:i4>
      </vt:variant>
      <vt:variant>
        <vt:i4>0</vt:i4>
      </vt:variant>
      <vt:variant>
        <vt:i4>5</vt:i4>
      </vt:variant>
      <vt:variant>
        <vt:lpwstr/>
      </vt:variant>
      <vt:variant>
        <vt:lpwstr>_Toc117180789</vt:lpwstr>
      </vt:variant>
      <vt:variant>
        <vt:i4>2031673</vt:i4>
      </vt:variant>
      <vt:variant>
        <vt:i4>132</vt:i4>
      </vt:variant>
      <vt:variant>
        <vt:i4>0</vt:i4>
      </vt:variant>
      <vt:variant>
        <vt:i4>5</vt:i4>
      </vt:variant>
      <vt:variant>
        <vt:lpwstr/>
      </vt:variant>
      <vt:variant>
        <vt:lpwstr>_Toc117180788</vt:lpwstr>
      </vt:variant>
      <vt:variant>
        <vt:i4>2031673</vt:i4>
      </vt:variant>
      <vt:variant>
        <vt:i4>126</vt:i4>
      </vt:variant>
      <vt:variant>
        <vt:i4>0</vt:i4>
      </vt:variant>
      <vt:variant>
        <vt:i4>5</vt:i4>
      </vt:variant>
      <vt:variant>
        <vt:lpwstr/>
      </vt:variant>
      <vt:variant>
        <vt:lpwstr>_Toc117180787</vt:lpwstr>
      </vt:variant>
      <vt:variant>
        <vt:i4>2031673</vt:i4>
      </vt:variant>
      <vt:variant>
        <vt:i4>120</vt:i4>
      </vt:variant>
      <vt:variant>
        <vt:i4>0</vt:i4>
      </vt:variant>
      <vt:variant>
        <vt:i4>5</vt:i4>
      </vt:variant>
      <vt:variant>
        <vt:lpwstr/>
      </vt:variant>
      <vt:variant>
        <vt:lpwstr>_Toc117180786</vt:lpwstr>
      </vt:variant>
      <vt:variant>
        <vt:i4>2031673</vt:i4>
      </vt:variant>
      <vt:variant>
        <vt:i4>114</vt:i4>
      </vt:variant>
      <vt:variant>
        <vt:i4>0</vt:i4>
      </vt:variant>
      <vt:variant>
        <vt:i4>5</vt:i4>
      </vt:variant>
      <vt:variant>
        <vt:lpwstr/>
      </vt:variant>
      <vt:variant>
        <vt:lpwstr>_Toc117180785</vt:lpwstr>
      </vt:variant>
      <vt:variant>
        <vt:i4>2031673</vt:i4>
      </vt:variant>
      <vt:variant>
        <vt:i4>108</vt:i4>
      </vt:variant>
      <vt:variant>
        <vt:i4>0</vt:i4>
      </vt:variant>
      <vt:variant>
        <vt:i4>5</vt:i4>
      </vt:variant>
      <vt:variant>
        <vt:lpwstr/>
      </vt:variant>
      <vt:variant>
        <vt:lpwstr>_Toc117180784</vt:lpwstr>
      </vt:variant>
      <vt:variant>
        <vt:i4>2031673</vt:i4>
      </vt:variant>
      <vt:variant>
        <vt:i4>102</vt:i4>
      </vt:variant>
      <vt:variant>
        <vt:i4>0</vt:i4>
      </vt:variant>
      <vt:variant>
        <vt:i4>5</vt:i4>
      </vt:variant>
      <vt:variant>
        <vt:lpwstr/>
      </vt:variant>
      <vt:variant>
        <vt:lpwstr>_Toc117180783</vt:lpwstr>
      </vt:variant>
      <vt:variant>
        <vt:i4>2031673</vt:i4>
      </vt:variant>
      <vt:variant>
        <vt:i4>96</vt:i4>
      </vt:variant>
      <vt:variant>
        <vt:i4>0</vt:i4>
      </vt:variant>
      <vt:variant>
        <vt:i4>5</vt:i4>
      </vt:variant>
      <vt:variant>
        <vt:lpwstr/>
      </vt:variant>
      <vt:variant>
        <vt:lpwstr>_Toc117180782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3: Fiscal Strategy and Outlook</dc:subject>
  <dc:creator>Australian Government</dc:creator>
  <cp:keywords/>
  <dc:description/>
  <cp:lastModifiedBy>Smith, Matthew</cp:lastModifiedBy>
  <cp:revision>2315</cp:revision>
  <cp:lastPrinted>2022-10-24T03:28:00Z</cp:lastPrinted>
  <dcterms:created xsi:type="dcterms:W3CDTF">2022-10-28T10:56:00Z</dcterms:created>
  <dcterms:modified xsi:type="dcterms:W3CDTF">2022-10-24T05:31:00Z</dcterms:modified>
</cp:coreProperties>
</file>