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BE6B6" w14:textId="7ACD8740" w:rsidR="00D81A31" w:rsidRPr="00D27896" w:rsidRDefault="00D03193" w:rsidP="00976504">
      <w:pPr>
        <w:pStyle w:val="Heading1-Statement"/>
      </w:pPr>
      <w:r>
        <w:rPr>
          <w:rStyle w:val="Strong"/>
        </w:rPr>
        <w:t>St</w:t>
      </w:r>
      <w:r w:rsidR="00D81A31" w:rsidRPr="009C6D54">
        <w:rPr>
          <w:rStyle w:val="Strong"/>
        </w:rPr>
        <w:t xml:space="preserve">atement </w:t>
      </w:r>
      <w:r w:rsidR="004F42CA" w:rsidRPr="009C6D54">
        <w:rPr>
          <w:rStyle w:val="Strong"/>
        </w:rPr>
        <w:t>4</w:t>
      </w:r>
      <w:r w:rsidR="00D81A31" w:rsidRPr="009C6D54">
        <w:rPr>
          <w:rStyle w:val="Strong"/>
        </w:rPr>
        <w:t xml:space="preserve"> </w:t>
      </w:r>
      <w:r w:rsidR="00D81A31" w:rsidRPr="009C6D54">
        <w:rPr>
          <w:rStyle w:val="Strong"/>
        </w:rPr>
        <w:br/>
      </w:r>
      <w:r w:rsidR="004F42CA" w:rsidRPr="005B12C0">
        <w:t>Measuring What Matters</w:t>
      </w:r>
    </w:p>
    <w:p w14:paraId="66B59735" w14:textId="77777777" w:rsidR="00CF60F4" w:rsidRPr="00CE114E" w:rsidRDefault="00CF60F4" w:rsidP="0027162E">
      <w:pPr>
        <w:pStyle w:val="StatementWhite"/>
      </w:pPr>
      <w:r w:rsidRPr="0021028A">
        <w:t>Measuring what matters can provide an important foundation for Australia</w:t>
      </w:r>
      <w:r w:rsidR="00102E07">
        <w:t>’</w:t>
      </w:r>
      <w:r w:rsidRPr="0021028A">
        <w:t>s efforts to lift living standards, boost intergenerational mobility and create more opportunities for more people.</w:t>
      </w:r>
    </w:p>
    <w:p w14:paraId="5F76C6C3" w14:textId="3B326829" w:rsidR="004F42CA" w:rsidRPr="009C6D54" w:rsidRDefault="00EB2F07">
      <w:pPr>
        <w:pStyle w:val="StatementWhite"/>
      </w:pPr>
      <w:r w:rsidRPr="009C6D54">
        <w:t xml:space="preserve">Traditional </w:t>
      </w:r>
      <w:r w:rsidR="007A3170" w:rsidRPr="009C6D54">
        <w:t>macro</w:t>
      </w:r>
      <w:r w:rsidRPr="009C6D54">
        <w:t xml:space="preserve">economic </w:t>
      </w:r>
      <w:r w:rsidR="00CA289A" w:rsidRPr="009C6D54">
        <w:t>indicators</w:t>
      </w:r>
      <w:r w:rsidR="008A7895" w:rsidRPr="009C6D54">
        <w:t xml:space="preserve"> </w:t>
      </w:r>
      <w:r w:rsidR="00AD5E18" w:rsidRPr="009C6D54">
        <w:t>provide important insights</w:t>
      </w:r>
      <w:r w:rsidR="00BE7814" w:rsidRPr="009C6D54">
        <w:t xml:space="preserve">, but </w:t>
      </w:r>
      <w:r w:rsidR="00F2765B" w:rsidRPr="009C6D54">
        <w:t>not a complete or holistic view of the community</w:t>
      </w:r>
      <w:r w:rsidR="00102E07">
        <w:t>’</w:t>
      </w:r>
      <w:r w:rsidR="00F2765B" w:rsidRPr="009C6D54">
        <w:t>s well</w:t>
      </w:r>
      <w:r w:rsidR="00102E07">
        <w:noBreakHyphen/>
      </w:r>
      <w:r w:rsidR="00F2765B" w:rsidRPr="009C6D54">
        <w:t>being.</w:t>
      </w:r>
      <w:r w:rsidR="00AD5E18" w:rsidRPr="009C6D54">
        <w:t xml:space="preserve"> A broader </w:t>
      </w:r>
      <w:r w:rsidR="00C50B3F" w:rsidRPr="009C6D54">
        <w:t xml:space="preserve">range of social and environmental </w:t>
      </w:r>
      <w:r w:rsidR="000A5F9E" w:rsidRPr="009C6D54">
        <w:t xml:space="preserve">factors </w:t>
      </w:r>
      <w:r w:rsidR="00AF47F1" w:rsidRPr="009C6D54">
        <w:t xml:space="preserve">need to be considered </w:t>
      </w:r>
      <w:r w:rsidR="00EC4F2C" w:rsidRPr="009C6D54">
        <w:t xml:space="preserve">to </w:t>
      </w:r>
      <w:r w:rsidR="00CF60F4" w:rsidRPr="009C6D54">
        <w:t>broaden the conversation about</w:t>
      </w:r>
      <w:r w:rsidR="008A7895" w:rsidRPr="009C6D54">
        <w:t xml:space="preserve"> quality of life</w:t>
      </w:r>
      <w:r w:rsidR="00CF60F4" w:rsidRPr="009C6D54">
        <w:t>.</w:t>
      </w:r>
      <w:r w:rsidR="00624105" w:rsidRPr="009C6D54">
        <w:t xml:space="preserve"> </w:t>
      </w:r>
    </w:p>
    <w:p w14:paraId="6AB40001" w14:textId="17D2CD68" w:rsidR="00AE40D9" w:rsidRPr="009C6D54" w:rsidRDefault="0098169E">
      <w:pPr>
        <w:pStyle w:val="StatementWhite"/>
      </w:pPr>
      <w:proofErr w:type="gramStart"/>
      <w:r w:rsidRPr="009C6D54">
        <w:t>A number of</w:t>
      </w:r>
      <w:proofErr w:type="gramEnd"/>
      <w:r w:rsidRPr="009C6D54">
        <w:t xml:space="preserve"> </w:t>
      </w:r>
      <w:r w:rsidR="00AD7A72" w:rsidRPr="009C6D54">
        <w:t xml:space="preserve">countries have developed national </w:t>
      </w:r>
      <w:r w:rsidR="00B60144" w:rsidRPr="009C6D54">
        <w:t xml:space="preserve">or subnational </w:t>
      </w:r>
      <w:r w:rsidR="00AD7A72" w:rsidRPr="009C6D54">
        <w:t>frameworks to measure progress and well</w:t>
      </w:r>
      <w:r w:rsidR="00102E07">
        <w:noBreakHyphen/>
      </w:r>
      <w:r w:rsidR="00AD7A72" w:rsidRPr="009C6D54">
        <w:t xml:space="preserve">being. </w:t>
      </w:r>
      <w:r w:rsidR="000E227E" w:rsidRPr="009C6D54">
        <w:t xml:space="preserve">While the specific indicators vary across frameworks, all </w:t>
      </w:r>
      <w:r w:rsidR="005734B9" w:rsidRPr="009C6D54">
        <w:t xml:space="preserve">of </w:t>
      </w:r>
      <w:r w:rsidR="00A02A16">
        <w:t>those</w:t>
      </w:r>
      <w:r w:rsidR="00A02A16" w:rsidRPr="009C6D54">
        <w:t xml:space="preserve"> </w:t>
      </w:r>
      <w:r w:rsidR="008D4CB7" w:rsidRPr="009C6D54">
        <w:t xml:space="preserve">reviewed </w:t>
      </w:r>
      <w:r w:rsidR="005734B9" w:rsidRPr="009C6D54">
        <w:t>here</w:t>
      </w:r>
      <w:r w:rsidR="008D4CB7" w:rsidRPr="009C6D54">
        <w:t xml:space="preserve"> </w:t>
      </w:r>
      <w:r w:rsidR="000E227E" w:rsidRPr="009C6D54">
        <w:t xml:space="preserve">cover similar policy areas, like income and employment, personal and community safety, health, education, and </w:t>
      </w:r>
      <w:r w:rsidR="005734B9" w:rsidRPr="009C6D54">
        <w:t xml:space="preserve">the </w:t>
      </w:r>
      <w:r w:rsidR="008E2B7F" w:rsidRPr="009C6D54">
        <w:t>environment</w:t>
      </w:r>
      <w:r w:rsidR="000E227E" w:rsidRPr="009C6D54">
        <w:t>.</w:t>
      </w:r>
    </w:p>
    <w:p w14:paraId="1671060D" w14:textId="4B958B53" w:rsidR="00AB6799" w:rsidRPr="009C6D54" w:rsidRDefault="00F901D2">
      <w:pPr>
        <w:pStyle w:val="StatementWhite"/>
      </w:pPr>
      <w:r w:rsidRPr="009C6D54">
        <w:t xml:space="preserve">While </w:t>
      </w:r>
      <w:r w:rsidR="00AD7A72" w:rsidRPr="009C6D54">
        <w:t xml:space="preserve">Australia </w:t>
      </w:r>
      <w:r w:rsidR="00673E8F" w:rsidRPr="009C6D54">
        <w:t xml:space="preserve">does not currently have an integrated </w:t>
      </w:r>
      <w:r w:rsidR="00CB6BC0" w:rsidRPr="009C6D54">
        <w:t xml:space="preserve">approach to </w:t>
      </w:r>
      <w:r w:rsidR="00527793" w:rsidRPr="009C6D54">
        <w:t>measuring what matters</w:t>
      </w:r>
      <w:r w:rsidRPr="009C6D54">
        <w:t xml:space="preserve">, it </w:t>
      </w:r>
      <w:r w:rsidR="00102582" w:rsidRPr="009C6D54">
        <w:t>do</w:t>
      </w:r>
      <w:r w:rsidRPr="009C6D54">
        <w:t>es</w:t>
      </w:r>
      <w:r w:rsidR="00102582" w:rsidRPr="009C6D54">
        <w:t xml:space="preserve"> </w:t>
      </w:r>
      <w:r w:rsidR="003D1059" w:rsidRPr="009C6D54">
        <w:t xml:space="preserve">publish a wide range of indicators through </w:t>
      </w:r>
      <w:r w:rsidR="00C92B79" w:rsidRPr="009C6D54">
        <w:t xml:space="preserve">specialised reporting </w:t>
      </w:r>
      <w:r w:rsidR="00461A50" w:rsidRPr="009C6D54">
        <w:t>(s</w:t>
      </w:r>
      <w:r w:rsidR="00E42EFC" w:rsidRPr="009C6D54">
        <w:t xml:space="preserve">uch as </w:t>
      </w:r>
      <w:r w:rsidR="004F42CA" w:rsidRPr="009C6D54">
        <w:t>Closing the Gap and the State of the Environment reports</w:t>
      </w:r>
      <w:r w:rsidR="001C7706">
        <w:t>)</w:t>
      </w:r>
      <w:r w:rsidR="004F42CA" w:rsidRPr="001414A2">
        <w:t>.</w:t>
      </w:r>
      <w:r w:rsidR="004F42CA" w:rsidRPr="0021028A">
        <w:t xml:space="preserve"> </w:t>
      </w:r>
      <w:r w:rsidR="0082753A" w:rsidRPr="0021028A">
        <w:t>A</w:t>
      </w:r>
      <w:r w:rsidR="00FB7829" w:rsidRPr="00CE114E">
        <w:t>n</w:t>
      </w:r>
      <w:r w:rsidR="0082753A" w:rsidRPr="004B4CDC">
        <w:t xml:space="preserve"> </w:t>
      </w:r>
      <w:r w:rsidR="00C92B79" w:rsidRPr="004B4CDC">
        <w:t>overarching</w:t>
      </w:r>
      <w:r w:rsidR="00FB7829" w:rsidRPr="004B4CDC">
        <w:t xml:space="preserve"> </w:t>
      </w:r>
      <w:r w:rsidR="00C92B79" w:rsidRPr="00CE114E">
        <w:t>framework</w:t>
      </w:r>
      <w:r w:rsidR="0082753A" w:rsidRPr="004B4CDC">
        <w:t xml:space="preserve"> could </w:t>
      </w:r>
      <w:r w:rsidR="00E37B03" w:rsidRPr="009C6D54">
        <w:t xml:space="preserve">complement these </w:t>
      </w:r>
      <w:r w:rsidR="00C92B79" w:rsidRPr="009C6D54">
        <w:t>processes</w:t>
      </w:r>
      <w:r w:rsidR="009E3E7E" w:rsidRPr="009C6D54">
        <w:t xml:space="preserve"> </w:t>
      </w:r>
      <w:r w:rsidR="00C92B79" w:rsidRPr="009C6D54">
        <w:t xml:space="preserve">by providing </w:t>
      </w:r>
      <w:r w:rsidR="005734B9" w:rsidRPr="009C6D54">
        <w:t xml:space="preserve">a fuller </w:t>
      </w:r>
      <w:r w:rsidR="00C92B79" w:rsidRPr="009C6D54">
        <w:t xml:space="preserve">perspective </w:t>
      </w:r>
      <w:r w:rsidR="009E3E7E" w:rsidRPr="009C6D54">
        <w:t xml:space="preserve">and </w:t>
      </w:r>
      <w:r w:rsidR="00FB7829" w:rsidRPr="009C6D54">
        <w:t>improv</w:t>
      </w:r>
      <w:r w:rsidR="00C92B79" w:rsidRPr="009C6D54">
        <w:t>ing</w:t>
      </w:r>
      <w:r w:rsidR="00FB7829" w:rsidRPr="009C6D54">
        <w:t xml:space="preserve"> visibility of the progress made </w:t>
      </w:r>
      <w:r w:rsidR="00C92B79" w:rsidRPr="009C6D54">
        <w:t xml:space="preserve">on </w:t>
      </w:r>
      <w:r w:rsidR="005734B9" w:rsidRPr="009C6D54">
        <w:t xml:space="preserve">agreed </w:t>
      </w:r>
      <w:r w:rsidR="00C92B79" w:rsidRPr="009C6D54">
        <w:t>priorities</w:t>
      </w:r>
      <w:r w:rsidR="004F42CA" w:rsidRPr="009C6D54">
        <w:t xml:space="preserve">. </w:t>
      </w:r>
    </w:p>
    <w:p w14:paraId="0901D27B" w14:textId="0D617B7A" w:rsidR="004F42CA" w:rsidRPr="00CE114E" w:rsidRDefault="00034BC2">
      <w:pPr>
        <w:pStyle w:val="StatementWhite"/>
      </w:pPr>
      <w:r w:rsidRPr="00CE114E">
        <w:t xml:space="preserve">The OECD </w:t>
      </w:r>
      <w:r w:rsidR="00CA2EF8" w:rsidRPr="004B4CDC">
        <w:t xml:space="preserve">Framework </w:t>
      </w:r>
      <w:r w:rsidR="006A122F">
        <w:t>for</w:t>
      </w:r>
      <w:r w:rsidR="00CA2EF8" w:rsidRPr="004B4CDC">
        <w:t xml:space="preserve"> Measur</w:t>
      </w:r>
      <w:r w:rsidR="006A122F">
        <w:t>ing</w:t>
      </w:r>
      <w:r w:rsidR="00CA2EF8" w:rsidRPr="004B4CDC">
        <w:t xml:space="preserve"> Well</w:t>
      </w:r>
      <w:r w:rsidR="00102E07">
        <w:noBreakHyphen/>
      </w:r>
      <w:r w:rsidR="00CA2EF8" w:rsidRPr="004B4CDC">
        <w:t xml:space="preserve">being and Progress </w:t>
      </w:r>
      <w:r w:rsidRPr="004B4CDC">
        <w:t xml:space="preserve">provides an indication of </w:t>
      </w:r>
      <w:r w:rsidR="008E6678">
        <w:t xml:space="preserve">where </w:t>
      </w:r>
      <w:r w:rsidR="00A00B46" w:rsidRPr="009C6D54">
        <w:t>Australia</w:t>
      </w:r>
      <w:r w:rsidR="00311BDE" w:rsidRPr="009C6D54">
        <w:t xml:space="preserve"> </w:t>
      </w:r>
      <w:r w:rsidR="008E6678">
        <w:t>stands</w:t>
      </w:r>
      <w:r w:rsidR="002E1386" w:rsidRPr="009C6D54">
        <w:t>.</w:t>
      </w:r>
      <w:r w:rsidRPr="009C6D54">
        <w:t xml:space="preserve"> It shows </w:t>
      </w:r>
      <w:r w:rsidR="008D73AE" w:rsidRPr="009C6D54">
        <w:t>the nation</w:t>
      </w:r>
      <w:r w:rsidRPr="009C6D54">
        <w:t xml:space="preserve"> is making progress </w:t>
      </w:r>
      <w:r w:rsidR="00461A50" w:rsidRPr="009C6D54">
        <w:t>in some areas</w:t>
      </w:r>
      <w:r w:rsidRPr="009C6D54">
        <w:t xml:space="preserve">, like life expectancy and wealth, and highlights further room for improvement </w:t>
      </w:r>
      <w:r w:rsidR="008E6678">
        <w:t>i</w:t>
      </w:r>
      <w:r w:rsidRPr="009C6D54">
        <w:t xml:space="preserve">n others, </w:t>
      </w:r>
      <w:r w:rsidR="008E6678">
        <w:t>like</w:t>
      </w:r>
      <w:r w:rsidRPr="009C6D54">
        <w:t xml:space="preserve"> gender parity in politics, women</w:t>
      </w:r>
      <w:r w:rsidR="00102E07">
        <w:t>’</w:t>
      </w:r>
      <w:r w:rsidRPr="009C6D54">
        <w:t xml:space="preserve">s safety and household debt. </w:t>
      </w:r>
      <w:r w:rsidR="005734B9" w:rsidRPr="009C6D54">
        <w:t>T</w:t>
      </w:r>
      <w:r w:rsidR="004B3BBB" w:rsidRPr="009C6D54">
        <w:t>he</w:t>
      </w:r>
      <w:r w:rsidR="004450DC" w:rsidRPr="009C6D54">
        <w:t xml:space="preserve"> </w:t>
      </w:r>
      <w:r w:rsidR="00C826A3" w:rsidRPr="009C6D54">
        <w:t>OECD</w:t>
      </w:r>
      <w:r w:rsidR="007E15AB" w:rsidRPr="009C6D54">
        <w:t xml:space="preserve"> </w:t>
      </w:r>
      <w:r w:rsidR="00AA58AF" w:rsidRPr="009C6D54">
        <w:t>F</w:t>
      </w:r>
      <w:r w:rsidR="00447E08" w:rsidRPr="009C6D54">
        <w:t xml:space="preserve">ramework is designed to facilitate international comparisons, so </w:t>
      </w:r>
      <w:r w:rsidR="005F5841" w:rsidRPr="009C6D54">
        <w:t xml:space="preserve">some indicators would need to be adapted or expanded to properly </w:t>
      </w:r>
      <w:r w:rsidR="00C61FC3" w:rsidRPr="009C6D54">
        <w:t>account for</w:t>
      </w:r>
      <w:r w:rsidR="005F5841" w:rsidRPr="009C6D54">
        <w:t xml:space="preserve"> the Australian context and</w:t>
      </w:r>
      <w:r w:rsidR="009D747F" w:rsidRPr="009C6D54">
        <w:t xml:space="preserve"> </w:t>
      </w:r>
      <w:r w:rsidR="00EF213D" w:rsidRPr="009C6D54">
        <w:t>align with our</w:t>
      </w:r>
      <w:r w:rsidR="009D747F" w:rsidRPr="009C6D54">
        <w:t xml:space="preserve"> </w:t>
      </w:r>
      <w:r w:rsidR="00EF213D" w:rsidRPr="009C6D54">
        <w:t xml:space="preserve">policy </w:t>
      </w:r>
      <w:r w:rsidR="008E6678">
        <w:t>priorities</w:t>
      </w:r>
      <w:r w:rsidR="009D747F" w:rsidRPr="009C6D54">
        <w:t xml:space="preserve">. </w:t>
      </w:r>
    </w:p>
    <w:p w14:paraId="4B7549E1" w14:textId="63DC24BB" w:rsidR="00D81A31" w:rsidRPr="00011652" w:rsidRDefault="004F42CA">
      <w:pPr>
        <w:pStyle w:val="StatementWhite"/>
      </w:pPr>
      <w:r w:rsidRPr="004B4CDC">
        <w:t xml:space="preserve">This statement is the </w:t>
      </w:r>
      <w:r w:rsidR="005734B9" w:rsidRPr="004B4CDC">
        <w:t xml:space="preserve">foundation </w:t>
      </w:r>
      <w:r w:rsidRPr="004B4CDC">
        <w:t xml:space="preserve">of a conversation </w:t>
      </w:r>
      <w:r w:rsidR="00E7109B" w:rsidRPr="00CE114E">
        <w:t xml:space="preserve">about </w:t>
      </w:r>
      <w:r w:rsidR="00C70B2A" w:rsidRPr="004B4CDC">
        <w:t xml:space="preserve">how to </w:t>
      </w:r>
      <w:r w:rsidRPr="004B4CDC">
        <w:t>measur</w:t>
      </w:r>
      <w:r w:rsidR="00C70B2A" w:rsidRPr="004B4CDC">
        <w:t>e</w:t>
      </w:r>
      <w:r w:rsidRPr="004B4CDC">
        <w:t xml:space="preserve"> what matters</w:t>
      </w:r>
      <w:r w:rsidR="00C70B2A" w:rsidRPr="009C6D54">
        <w:t xml:space="preserve"> to Australians</w:t>
      </w:r>
      <w:r w:rsidRPr="009C6D54">
        <w:t xml:space="preserve">. </w:t>
      </w:r>
      <w:r w:rsidR="000B50DF" w:rsidRPr="009C6D54">
        <w:t>It explores what we can learn from international progress and well</w:t>
      </w:r>
      <w:r w:rsidR="00102E07">
        <w:noBreakHyphen/>
      </w:r>
      <w:r w:rsidR="000B50DF" w:rsidRPr="009C6D54">
        <w:t xml:space="preserve">being reporting exercises and provides the </w:t>
      </w:r>
      <w:r w:rsidR="005734B9" w:rsidRPr="009C6D54">
        <w:t>beginnings of</w:t>
      </w:r>
      <w:r w:rsidR="000B50DF" w:rsidRPr="009C6D54">
        <w:t xml:space="preserve"> an Australian framework. </w:t>
      </w:r>
      <w:r w:rsidR="00E6190A" w:rsidRPr="009C6D54">
        <w:t xml:space="preserve">The </w:t>
      </w:r>
      <w:r w:rsidR="00B651F3" w:rsidRPr="009C6D54">
        <w:t xml:space="preserve">Treasury will </w:t>
      </w:r>
      <w:r w:rsidR="0077353A" w:rsidRPr="009C6D54">
        <w:t xml:space="preserve">continue </w:t>
      </w:r>
      <w:r w:rsidR="00C93673" w:rsidRPr="009C6D54">
        <w:t>to work</w:t>
      </w:r>
      <w:r w:rsidR="006A69B9">
        <w:t xml:space="preserve"> and consult with </w:t>
      </w:r>
      <w:r w:rsidR="00C93673" w:rsidRPr="009C6D54">
        <w:t xml:space="preserve">a range of </w:t>
      </w:r>
      <w:r w:rsidR="00FE3259" w:rsidRPr="009C6D54">
        <w:t>stakeholders</w:t>
      </w:r>
      <w:r w:rsidR="00180FB2">
        <w:t xml:space="preserve"> to </w:t>
      </w:r>
      <w:r w:rsidR="00EA2A90" w:rsidRPr="009C6D54">
        <w:t xml:space="preserve">inform </w:t>
      </w:r>
      <w:r w:rsidR="0077517C" w:rsidRPr="009C6D54">
        <w:t xml:space="preserve">the development of </w:t>
      </w:r>
      <w:r w:rsidR="00CA7258" w:rsidRPr="009C6D54">
        <w:t>a</w:t>
      </w:r>
      <w:r w:rsidR="00466898" w:rsidRPr="009C6D54">
        <w:t xml:space="preserve"> </w:t>
      </w:r>
      <w:r w:rsidR="00FB1F86" w:rsidRPr="009C6D54">
        <w:t>stand</w:t>
      </w:r>
      <w:r w:rsidR="00102E07">
        <w:noBreakHyphen/>
      </w:r>
      <w:r w:rsidR="00FB1F86" w:rsidRPr="009C6D54">
        <w:t xml:space="preserve">alone </w:t>
      </w:r>
      <w:r w:rsidR="00FF034C" w:rsidRPr="009C6D54">
        <w:t xml:space="preserve">Measuring What Matters </w:t>
      </w:r>
      <w:r w:rsidR="00900AC8" w:rsidRPr="009C6D54">
        <w:t>Statement</w:t>
      </w:r>
      <w:r w:rsidR="00FF034C" w:rsidRPr="009C6D54">
        <w:t xml:space="preserve"> in 2023</w:t>
      </w:r>
      <w:r w:rsidR="00791B2F" w:rsidRPr="009C6D54">
        <w:t>.</w:t>
      </w:r>
      <w:r w:rsidR="004A19C2" w:rsidRPr="005B12C0">
        <w:rPr>
          <w:rStyle w:val="FootnoteReference"/>
        </w:rPr>
        <w:footnoteReference w:id="2"/>
      </w:r>
    </w:p>
    <w:p w14:paraId="6DA01F1E" w14:textId="77777777" w:rsidR="00D81A31" w:rsidRPr="00D66947" w:rsidRDefault="00D81A31" w:rsidP="00D81A31">
      <w:pPr>
        <w:rPr>
          <w:rFonts w:cstheme="minorHAnsi"/>
        </w:rPr>
        <w:sectPr w:rsidR="00D81A31" w:rsidRPr="00D66947" w:rsidSect="00181ADE">
          <w:headerReference w:type="first" r:id="rId11"/>
          <w:footerReference w:type="first" r:id="rId12"/>
          <w:footnotePr>
            <w:numStart w:val="8"/>
          </w:footnotePr>
          <w:pgSz w:w="11906" w:h="16838" w:code="9"/>
          <w:pgMar w:top="2835" w:right="2098" w:bottom="2466" w:left="2098" w:header="1814" w:footer="1814" w:gutter="0"/>
          <w:pgNumType w:start="119"/>
          <w:cols w:space="708"/>
          <w:titlePg/>
          <w:docGrid w:linePitch="360"/>
        </w:sectPr>
      </w:pPr>
    </w:p>
    <w:p w14:paraId="32D6AEB2" w14:textId="77777777" w:rsidR="00D81A31" w:rsidRPr="00D66947" w:rsidRDefault="00D81A31" w:rsidP="0009408A">
      <w:pPr>
        <w:pStyle w:val="ContentsHeading"/>
      </w:pPr>
      <w:r w:rsidRPr="00D66947">
        <w:lastRenderedPageBreak/>
        <w:t>Statement contents</w:t>
      </w:r>
    </w:p>
    <w:p w14:paraId="7DA4A492" w14:textId="3FD98A4A" w:rsidR="007B027E" w:rsidRDefault="00601F54">
      <w:pPr>
        <w:pStyle w:val="TOC1"/>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117059941" w:history="1">
        <w:r w:rsidR="007B027E" w:rsidRPr="00F548B8">
          <w:rPr>
            <w:rStyle w:val="Hyperlink"/>
            <w:noProof/>
          </w:rPr>
          <w:t xml:space="preserve">Measuring </w:t>
        </w:r>
        <w:r w:rsidR="00A73BE7">
          <w:rPr>
            <w:rStyle w:val="Hyperlink"/>
            <w:noProof/>
          </w:rPr>
          <w:t>w</w:t>
        </w:r>
        <w:r w:rsidR="007B027E" w:rsidRPr="00F548B8">
          <w:rPr>
            <w:rStyle w:val="Hyperlink"/>
            <w:noProof/>
          </w:rPr>
          <w:t xml:space="preserve">hat </w:t>
        </w:r>
        <w:r w:rsidR="00A73BE7">
          <w:rPr>
            <w:rStyle w:val="Hyperlink"/>
            <w:noProof/>
          </w:rPr>
          <w:t>m</w:t>
        </w:r>
        <w:r w:rsidR="007B027E" w:rsidRPr="00F548B8">
          <w:rPr>
            <w:rStyle w:val="Hyperlink"/>
            <w:noProof/>
          </w:rPr>
          <w:t>atters</w:t>
        </w:r>
        <w:r w:rsidR="007B027E">
          <w:rPr>
            <w:noProof/>
            <w:webHidden/>
          </w:rPr>
          <w:tab/>
        </w:r>
        <w:r w:rsidR="007B027E">
          <w:rPr>
            <w:noProof/>
            <w:webHidden/>
          </w:rPr>
          <w:fldChar w:fldCharType="begin"/>
        </w:r>
        <w:r w:rsidR="007B027E">
          <w:rPr>
            <w:noProof/>
            <w:webHidden/>
          </w:rPr>
          <w:instrText xml:space="preserve"> PAGEREF _Toc117059941 \h </w:instrText>
        </w:r>
        <w:r w:rsidR="007B027E">
          <w:rPr>
            <w:noProof/>
            <w:webHidden/>
          </w:rPr>
        </w:r>
        <w:r w:rsidR="007B027E">
          <w:rPr>
            <w:noProof/>
            <w:webHidden/>
          </w:rPr>
          <w:fldChar w:fldCharType="separate"/>
        </w:r>
        <w:r w:rsidR="00905DF0">
          <w:rPr>
            <w:noProof/>
            <w:webHidden/>
          </w:rPr>
          <w:t>123</w:t>
        </w:r>
        <w:r w:rsidR="007B027E">
          <w:rPr>
            <w:noProof/>
            <w:webHidden/>
          </w:rPr>
          <w:fldChar w:fldCharType="end"/>
        </w:r>
      </w:hyperlink>
    </w:p>
    <w:p w14:paraId="304A5F10" w14:textId="393D9AD7" w:rsidR="007B027E" w:rsidRDefault="00D944F8">
      <w:pPr>
        <w:pStyle w:val="TOC1"/>
        <w:rPr>
          <w:rFonts w:asciiTheme="minorHAnsi" w:eastAsiaTheme="minorEastAsia" w:hAnsiTheme="minorHAnsi" w:cstheme="minorBidi"/>
          <w:b w:val="0"/>
          <w:noProof/>
          <w:sz w:val="22"/>
          <w:szCs w:val="22"/>
        </w:rPr>
      </w:pPr>
      <w:hyperlink w:anchor="_Toc117059942" w:history="1">
        <w:r w:rsidR="007B027E" w:rsidRPr="00F548B8">
          <w:rPr>
            <w:rStyle w:val="Hyperlink"/>
            <w:noProof/>
          </w:rPr>
          <w:t>Frameworks to measure what matters</w:t>
        </w:r>
        <w:r w:rsidR="007B027E">
          <w:rPr>
            <w:noProof/>
            <w:webHidden/>
          </w:rPr>
          <w:tab/>
        </w:r>
        <w:r w:rsidR="007B027E">
          <w:rPr>
            <w:noProof/>
            <w:webHidden/>
          </w:rPr>
          <w:fldChar w:fldCharType="begin"/>
        </w:r>
        <w:r w:rsidR="007B027E">
          <w:rPr>
            <w:noProof/>
            <w:webHidden/>
          </w:rPr>
          <w:instrText xml:space="preserve"> PAGEREF _Toc117059942 \h </w:instrText>
        </w:r>
        <w:r w:rsidR="007B027E">
          <w:rPr>
            <w:noProof/>
            <w:webHidden/>
          </w:rPr>
        </w:r>
        <w:r w:rsidR="007B027E">
          <w:rPr>
            <w:noProof/>
            <w:webHidden/>
          </w:rPr>
          <w:fldChar w:fldCharType="separate"/>
        </w:r>
        <w:r w:rsidR="00905DF0">
          <w:rPr>
            <w:noProof/>
            <w:webHidden/>
          </w:rPr>
          <w:t>124</w:t>
        </w:r>
        <w:r w:rsidR="007B027E">
          <w:rPr>
            <w:noProof/>
            <w:webHidden/>
          </w:rPr>
          <w:fldChar w:fldCharType="end"/>
        </w:r>
      </w:hyperlink>
    </w:p>
    <w:p w14:paraId="66B3D0C9" w14:textId="7D45CB29" w:rsidR="007B027E" w:rsidRDefault="00D944F8">
      <w:pPr>
        <w:pStyle w:val="TOC1"/>
        <w:rPr>
          <w:rFonts w:asciiTheme="minorHAnsi" w:eastAsiaTheme="minorEastAsia" w:hAnsiTheme="minorHAnsi" w:cstheme="minorBidi"/>
          <w:b w:val="0"/>
          <w:noProof/>
          <w:sz w:val="22"/>
          <w:szCs w:val="22"/>
        </w:rPr>
      </w:pPr>
      <w:hyperlink w:anchor="_Toc117059944" w:history="1">
        <w:r w:rsidR="007B027E" w:rsidRPr="00F548B8">
          <w:rPr>
            <w:rStyle w:val="Hyperlink"/>
            <w:noProof/>
          </w:rPr>
          <w:t>The OECD Framework for Measuring Well</w:t>
        </w:r>
        <w:r w:rsidR="00102E07">
          <w:rPr>
            <w:rStyle w:val="Hyperlink"/>
            <w:noProof/>
          </w:rPr>
          <w:noBreakHyphen/>
        </w:r>
        <w:r w:rsidR="007B027E" w:rsidRPr="00F548B8">
          <w:rPr>
            <w:rStyle w:val="Hyperlink"/>
            <w:noProof/>
          </w:rPr>
          <w:t>being and Progress</w:t>
        </w:r>
        <w:r w:rsidR="007B027E">
          <w:rPr>
            <w:noProof/>
            <w:webHidden/>
          </w:rPr>
          <w:tab/>
        </w:r>
        <w:r w:rsidR="007B027E">
          <w:rPr>
            <w:noProof/>
            <w:webHidden/>
          </w:rPr>
          <w:fldChar w:fldCharType="begin"/>
        </w:r>
        <w:r w:rsidR="007B027E">
          <w:rPr>
            <w:noProof/>
            <w:webHidden/>
          </w:rPr>
          <w:instrText xml:space="preserve"> PAGEREF _Toc117059944 \h </w:instrText>
        </w:r>
        <w:r w:rsidR="007B027E">
          <w:rPr>
            <w:noProof/>
            <w:webHidden/>
          </w:rPr>
        </w:r>
        <w:r w:rsidR="007B027E">
          <w:rPr>
            <w:noProof/>
            <w:webHidden/>
          </w:rPr>
          <w:fldChar w:fldCharType="separate"/>
        </w:r>
        <w:r w:rsidR="00905DF0">
          <w:rPr>
            <w:noProof/>
            <w:webHidden/>
          </w:rPr>
          <w:t>128</w:t>
        </w:r>
        <w:r w:rsidR="007B027E">
          <w:rPr>
            <w:noProof/>
            <w:webHidden/>
          </w:rPr>
          <w:fldChar w:fldCharType="end"/>
        </w:r>
      </w:hyperlink>
    </w:p>
    <w:p w14:paraId="2BF8F090" w14:textId="1F11D18F" w:rsidR="007B027E" w:rsidRDefault="00D944F8">
      <w:pPr>
        <w:pStyle w:val="TOC1"/>
        <w:rPr>
          <w:rFonts w:asciiTheme="minorHAnsi" w:eastAsiaTheme="minorEastAsia" w:hAnsiTheme="minorHAnsi" w:cstheme="minorBidi"/>
          <w:b w:val="0"/>
          <w:noProof/>
          <w:sz w:val="22"/>
          <w:szCs w:val="22"/>
        </w:rPr>
      </w:pPr>
      <w:hyperlink w:anchor="_Toc117059948" w:history="1">
        <w:r w:rsidR="007B027E" w:rsidRPr="00F548B8">
          <w:rPr>
            <w:rStyle w:val="Hyperlink"/>
            <w:noProof/>
          </w:rPr>
          <w:t>Australian measurement approaches</w:t>
        </w:r>
        <w:r w:rsidR="007B027E">
          <w:rPr>
            <w:noProof/>
            <w:webHidden/>
          </w:rPr>
          <w:tab/>
        </w:r>
        <w:r w:rsidR="007B027E">
          <w:rPr>
            <w:noProof/>
            <w:webHidden/>
          </w:rPr>
          <w:fldChar w:fldCharType="begin"/>
        </w:r>
        <w:r w:rsidR="007B027E">
          <w:rPr>
            <w:noProof/>
            <w:webHidden/>
          </w:rPr>
          <w:instrText xml:space="preserve"> PAGEREF _Toc117059948 \h </w:instrText>
        </w:r>
        <w:r w:rsidR="007B027E">
          <w:rPr>
            <w:noProof/>
            <w:webHidden/>
          </w:rPr>
        </w:r>
        <w:r w:rsidR="007B027E">
          <w:rPr>
            <w:noProof/>
            <w:webHidden/>
          </w:rPr>
          <w:fldChar w:fldCharType="separate"/>
        </w:r>
        <w:r w:rsidR="00905DF0">
          <w:rPr>
            <w:noProof/>
            <w:webHidden/>
          </w:rPr>
          <w:t>137</w:t>
        </w:r>
        <w:r w:rsidR="007B027E">
          <w:rPr>
            <w:noProof/>
            <w:webHidden/>
          </w:rPr>
          <w:fldChar w:fldCharType="end"/>
        </w:r>
      </w:hyperlink>
    </w:p>
    <w:p w14:paraId="08319C5B" w14:textId="064B13E4" w:rsidR="007B027E" w:rsidRDefault="00D944F8">
      <w:pPr>
        <w:pStyle w:val="TOC1"/>
        <w:rPr>
          <w:rFonts w:asciiTheme="minorHAnsi" w:eastAsiaTheme="minorEastAsia" w:hAnsiTheme="minorHAnsi" w:cstheme="minorBidi"/>
          <w:b w:val="0"/>
          <w:noProof/>
          <w:sz w:val="22"/>
          <w:szCs w:val="22"/>
        </w:rPr>
      </w:pPr>
      <w:hyperlink w:anchor="_Toc117059949" w:history="1">
        <w:r w:rsidR="007B027E" w:rsidRPr="00F548B8">
          <w:rPr>
            <w:rStyle w:val="Hyperlink"/>
            <w:noProof/>
          </w:rPr>
          <w:t>A way forward</w:t>
        </w:r>
        <w:r w:rsidR="007B027E">
          <w:rPr>
            <w:noProof/>
            <w:webHidden/>
          </w:rPr>
          <w:tab/>
        </w:r>
        <w:r w:rsidR="007B027E">
          <w:rPr>
            <w:noProof/>
            <w:webHidden/>
          </w:rPr>
          <w:fldChar w:fldCharType="begin"/>
        </w:r>
        <w:r w:rsidR="007B027E">
          <w:rPr>
            <w:noProof/>
            <w:webHidden/>
          </w:rPr>
          <w:instrText xml:space="preserve"> PAGEREF _Toc117059949 \h </w:instrText>
        </w:r>
        <w:r w:rsidR="007B027E">
          <w:rPr>
            <w:noProof/>
            <w:webHidden/>
          </w:rPr>
        </w:r>
        <w:r w:rsidR="007B027E">
          <w:rPr>
            <w:noProof/>
            <w:webHidden/>
          </w:rPr>
          <w:fldChar w:fldCharType="separate"/>
        </w:r>
        <w:r w:rsidR="00905DF0">
          <w:rPr>
            <w:noProof/>
            <w:webHidden/>
          </w:rPr>
          <w:t>141</w:t>
        </w:r>
        <w:r w:rsidR="007B027E">
          <w:rPr>
            <w:noProof/>
            <w:webHidden/>
          </w:rPr>
          <w:fldChar w:fldCharType="end"/>
        </w:r>
      </w:hyperlink>
    </w:p>
    <w:p w14:paraId="70F8B29C" w14:textId="724812F1" w:rsidR="00D81A31" w:rsidRPr="000004EA" w:rsidRDefault="00601F54" w:rsidP="000004EA">
      <w:pPr>
        <w:pStyle w:val="TOC1"/>
        <w:rPr>
          <w:noProof/>
        </w:rPr>
        <w:sectPr w:rsidR="00D81A31" w:rsidRPr="000004EA" w:rsidSect="00DE504B">
          <w:headerReference w:type="default" r:id="rId13"/>
          <w:headerReference w:type="first" r:id="rId14"/>
          <w:footerReference w:type="first" r:id="rId15"/>
          <w:footnotePr>
            <w:numStart w:val="8"/>
          </w:footnotePr>
          <w:type w:val="oddPage"/>
          <w:pgSz w:w="11906" w:h="16838" w:code="9"/>
          <w:pgMar w:top="2835" w:right="2098" w:bottom="2466" w:left="2098" w:header="1814" w:footer="1814" w:gutter="0"/>
          <w:cols w:space="708"/>
          <w:titlePg/>
          <w:docGrid w:linePitch="360"/>
        </w:sectPr>
      </w:pPr>
      <w:r>
        <w:fldChar w:fldCharType="end"/>
      </w:r>
    </w:p>
    <w:p w14:paraId="6048EE34" w14:textId="235C2BC3" w:rsidR="004F42CA" w:rsidRPr="00B06056" w:rsidRDefault="004F42CA" w:rsidP="00047DA5">
      <w:pPr>
        <w:pStyle w:val="Heading1"/>
      </w:pPr>
      <w:bookmarkStart w:id="0" w:name="_Toc110848262"/>
      <w:bookmarkStart w:id="1" w:name="_Toc117059941"/>
      <w:bookmarkStart w:id="2" w:name="_Toc114154964"/>
      <w:r>
        <w:lastRenderedPageBreak/>
        <w:t>M</w:t>
      </w:r>
      <w:r w:rsidRPr="00B06056">
        <w:t xml:space="preserve">easuring </w:t>
      </w:r>
      <w:bookmarkEnd w:id="0"/>
      <w:r w:rsidR="004C1B5D">
        <w:t>w</w:t>
      </w:r>
      <w:r>
        <w:t xml:space="preserve">hat </w:t>
      </w:r>
      <w:r w:rsidR="004C1B5D">
        <w:t>m</w:t>
      </w:r>
      <w:r>
        <w:t>atters</w:t>
      </w:r>
      <w:bookmarkEnd w:id="1"/>
      <w:r>
        <w:t xml:space="preserve"> </w:t>
      </w:r>
      <w:bookmarkEnd w:id="2"/>
    </w:p>
    <w:p w14:paraId="07ECDC3E" w14:textId="77777777" w:rsidR="002710F3" w:rsidRPr="009C6D54" w:rsidRDefault="004F42CA" w:rsidP="00BE0306">
      <w:r w:rsidRPr="009C6D54">
        <w:t xml:space="preserve">Measuring </w:t>
      </w:r>
      <w:r w:rsidR="6414DC18" w:rsidRPr="009C6D54">
        <w:t xml:space="preserve">what </w:t>
      </w:r>
      <w:r w:rsidRPr="009C6D54">
        <w:t>matter</w:t>
      </w:r>
      <w:r w:rsidR="14F4412C" w:rsidRPr="009C6D54">
        <w:t>s</w:t>
      </w:r>
      <w:r w:rsidRPr="009C6D54">
        <w:t xml:space="preserve"> </w:t>
      </w:r>
      <w:r w:rsidR="68C83472" w:rsidRPr="009C6D54">
        <w:t xml:space="preserve">is important </w:t>
      </w:r>
      <w:r w:rsidR="487E90D4" w:rsidRPr="009C6D54">
        <w:t>for</w:t>
      </w:r>
      <w:r w:rsidR="007C243E" w:rsidRPr="009C6D54">
        <w:t xml:space="preserve"> </w:t>
      </w:r>
      <w:r w:rsidR="04CEA7F8" w:rsidRPr="009C6D54">
        <w:t>track</w:t>
      </w:r>
      <w:r w:rsidR="3D100F9B" w:rsidRPr="009C6D54">
        <w:t>ing</w:t>
      </w:r>
      <w:r w:rsidR="04CEA7F8" w:rsidRPr="009C6D54">
        <w:t xml:space="preserve"> and achiev</w:t>
      </w:r>
      <w:r w:rsidR="55917D97" w:rsidRPr="009C6D54">
        <w:t>ing</w:t>
      </w:r>
      <w:r w:rsidR="04CEA7F8" w:rsidRPr="009C6D54">
        <w:t xml:space="preserve"> progress. </w:t>
      </w:r>
      <w:r w:rsidR="53892FEB" w:rsidRPr="009C6D54">
        <w:t>A</w:t>
      </w:r>
      <w:r w:rsidR="25167F66" w:rsidRPr="009C6D54">
        <w:t xml:space="preserve"> coherent and comprehensive framework </w:t>
      </w:r>
      <w:r w:rsidR="007C243E" w:rsidRPr="009C6D54">
        <w:t xml:space="preserve">would </w:t>
      </w:r>
      <w:r w:rsidR="00C62C5D" w:rsidRPr="009C6D54">
        <w:t xml:space="preserve">help </w:t>
      </w:r>
      <w:r w:rsidR="00CC35FA" w:rsidRPr="009C6D54">
        <w:t xml:space="preserve">us </w:t>
      </w:r>
      <w:r w:rsidR="0A56D3A4" w:rsidRPr="009C6D54">
        <w:t>better</w:t>
      </w:r>
      <w:r w:rsidR="00CC35FA" w:rsidRPr="009C6D54">
        <w:t xml:space="preserve"> </w:t>
      </w:r>
      <w:r w:rsidR="00C62C5D" w:rsidRPr="009C6D54">
        <w:t>understand our</w:t>
      </w:r>
      <w:r w:rsidR="007B5168" w:rsidRPr="009C6D54">
        <w:t xml:space="preserve"> </w:t>
      </w:r>
      <w:r w:rsidR="58B8FB4C" w:rsidRPr="009C6D54">
        <w:t xml:space="preserve">economy and </w:t>
      </w:r>
      <w:r w:rsidR="00C62C5D" w:rsidRPr="009C6D54">
        <w:t>society</w:t>
      </w:r>
      <w:r w:rsidR="00631C1A" w:rsidRPr="009C6D54">
        <w:t xml:space="preserve"> and </w:t>
      </w:r>
      <w:r w:rsidR="007C243E" w:rsidRPr="009C6D54">
        <w:t xml:space="preserve">would </w:t>
      </w:r>
      <w:r w:rsidR="00DC29D7" w:rsidRPr="009C6D54">
        <w:t>support more</w:t>
      </w:r>
      <w:r w:rsidR="00631C1A" w:rsidRPr="009C6D54">
        <w:t xml:space="preserve"> </w:t>
      </w:r>
      <w:r w:rsidRPr="009C6D54">
        <w:t xml:space="preserve">informed </w:t>
      </w:r>
      <w:r w:rsidRPr="009C6D54" w:rsidDel="00DC29D7">
        <w:t xml:space="preserve">policy </w:t>
      </w:r>
      <w:r w:rsidR="00DC29D7" w:rsidRPr="009C6D54">
        <w:t>making and improve</w:t>
      </w:r>
      <w:r w:rsidR="007C243E" w:rsidRPr="009C6D54">
        <w:t>d</w:t>
      </w:r>
      <w:r w:rsidR="00DC29D7" w:rsidRPr="009C6D54">
        <w:t xml:space="preserve"> accountability</w:t>
      </w:r>
      <w:r w:rsidRPr="009C6D54">
        <w:t xml:space="preserve">. </w:t>
      </w:r>
    </w:p>
    <w:p w14:paraId="24C9E488" w14:textId="319196AE" w:rsidR="007C58FD" w:rsidRPr="009C6D54" w:rsidRDefault="007C58FD" w:rsidP="007C58FD">
      <w:r w:rsidRPr="009C6D54">
        <w:t>Traditional macroeconomic measures such as GDP play an important role but they only provide a partial view of a community</w:t>
      </w:r>
      <w:r w:rsidR="00102E07">
        <w:t>’</w:t>
      </w:r>
      <w:r w:rsidRPr="009C6D54">
        <w:t xml:space="preserve">s living standards. </w:t>
      </w:r>
      <w:r>
        <w:t>They</w:t>
      </w:r>
      <w:r w:rsidRPr="009C6D54">
        <w:t xml:space="preserve"> do not incorporate social or environmental </w:t>
      </w:r>
      <w:proofErr w:type="gramStart"/>
      <w:r w:rsidRPr="009C6D54">
        <w:t>outcomes, or</w:t>
      </w:r>
      <w:proofErr w:type="gramEnd"/>
      <w:r w:rsidRPr="009C6D54">
        <w:t xml:space="preserve"> </w:t>
      </w:r>
      <w:r>
        <w:t xml:space="preserve">show </w:t>
      </w:r>
      <w:r w:rsidRPr="009C6D54">
        <w:t>whether certain groups are getting a fair share of national opportunities and prosperity.</w:t>
      </w:r>
    </w:p>
    <w:p w14:paraId="7050FD1C" w14:textId="062A59E5" w:rsidR="002825CA" w:rsidRPr="009C6D54" w:rsidRDefault="00E22663" w:rsidP="002825CA">
      <w:r w:rsidRPr="009C6D54">
        <w:t>I</w:t>
      </w:r>
      <w:r w:rsidR="002825CA" w:rsidRPr="009C6D54">
        <w:t xml:space="preserve">ndicators </w:t>
      </w:r>
      <w:r w:rsidR="00EE5C7D" w:rsidRPr="009C6D54">
        <w:t xml:space="preserve">that measure </w:t>
      </w:r>
      <w:r w:rsidR="00677E64" w:rsidRPr="009C6D54">
        <w:t xml:space="preserve">broader quality of life factors </w:t>
      </w:r>
      <w:r w:rsidR="002825CA" w:rsidRPr="009C6D54">
        <w:t>should</w:t>
      </w:r>
      <w:r w:rsidR="006308B7" w:rsidRPr="009C6D54" w:rsidDel="002825CA">
        <w:t xml:space="preserve"> </w:t>
      </w:r>
      <w:r w:rsidR="005C6853" w:rsidRPr="009C6D54">
        <w:t>be considered in addition to, not instead of</w:t>
      </w:r>
      <w:r w:rsidR="007C58FD">
        <w:t>,</w:t>
      </w:r>
      <w:r w:rsidR="005C6853" w:rsidRPr="009C6D54">
        <w:t xml:space="preserve"> traditional </w:t>
      </w:r>
      <w:r w:rsidR="007C58FD" w:rsidRPr="009C6D54">
        <w:t>macroeconomic measures.</w:t>
      </w:r>
      <w:r w:rsidR="004F42CA" w:rsidRPr="009C6D54">
        <w:t xml:space="preserve"> </w:t>
      </w:r>
      <w:r w:rsidR="002825CA" w:rsidRPr="009C6D54">
        <w:t xml:space="preserve">When policy processes consider these outcomes, they facilitate </w:t>
      </w:r>
      <w:r w:rsidR="005734B9" w:rsidRPr="009C6D54">
        <w:t xml:space="preserve">more </w:t>
      </w:r>
      <w:r w:rsidR="002825CA" w:rsidRPr="009C6D54">
        <w:t xml:space="preserve">holistic discussions of the type of </w:t>
      </w:r>
      <w:r w:rsidR="5B1D1F3A" w:rsidRPr="009C6D54">
        <w:t>economy and</w:t>
      </w:r>
      <w:r w:rsidR="002825CA" w:rsidRPr="009C6D54">
        <w:t xml:space="preserve"> society </w:t>
      </w:r>
      <w:r w:rsidR="00BC7497" w:rsidRPr="009C6D54">
        <w:t>Australians</w:t>
      </w:r>
      <w:r w:rsidR="002825CA" w:rsidRPr="009C6D54">
        <w:t xml:space="preserve"> want to build</w:t>
      </w:r>
      <w:r w:rsidR="00CB3C56" w:rsidRPr="009C6D54">
        <w:t xml:space="preserve"> together</w:t>
      </w:r>
      <w:r w:rsidR="002825CA" w:rsidRPr="009C6D54">
        <w:t xml:space="preserve">. </w:t>
      </w:r>
    </w:p>
    <w:p w14:paraId="6E0B14DA" w14:textId="7B264C1C" w:rsidR="00564FB1" w:rsidRPr="009C6D54" w:rsidRDefault="00EF314D" w:rsidP="00F73211">
      <w:r w:rsidRPr="009C6D54">
        <w:t>Broader m</w:t>
      </w:r>
      <w:r w:rsidR="00F73211" w:rsidRPr="009C6D54">
        <w:t>easur</w:t>
      </w:r>
      <w:r w:rsidRPr="009C6D54">
        <w:t>ement</w:t>
      </w:r>
      <w:r w:rsidR="00F73211" w:rsidRPr="009C6D54">
        <w:t xml:space="preserve"> also allows society and governments to better </w:t>
      </w:r>
      <w:r w:rsidR="00A13A74" w:rsidRPr="009C6D54">
        <w:t>evaluate the impact of decisions today on future outcomes</w:t>
      </w:r>
      <w:r w:rsidR="00F73211" w:rsidRPr="009C6D54">
        <w:t xml:space="preserve">. For example, education, healthcare, infrastructure and access to </w:t>
      </w:r>
      <w:proofErr w:type="gramStart"/>
      <w:r w:rsidR="00F73211" w:rsidRPr="009C6D54">
        <w:t>child</w:t>
      </w:r>
      <w:r w:rsidR="00D5681C">
        <w:t xml:space="preserve"> </w:t>
      </w:r>
      <w:r w:rsidR="00F73211" w:rsidRPr="009C6D54">
        <w:t>care</w:t>
      </w:r>
      <w:proofErr w:type="gramEnd"/>
      <w:r w:rsidR="00F73211" w:rsidRPr="009C6D54">
        <w:t xml:space="preserve"> are key drivers of </w:t>
      </w:r>
      <w:r w:rsidR="008D0F27" w:rsidRPr="009C6D54">
        <w:t xml:space="preserve">future </w:t>
      </w:r>
      <w:r w:rsidR="00F73211" w:rsidRPr="009C6D54">
        <w:t xml:space="preserve">labour force </w:t>
      </w:r>
      <w:r w:rsidR="00690D2A" w:rsidRPr="009C6D54">
        <w:t xml:space="preserve">participation and </w:t>
      </w:r>
      <w:r w:rsidR="00F73211" w:rsidRPr="009C6D54">
        <w:t xml:space="preserve">productivity. </w:t>
      </w:r>
      <w:r w:rsidR="008D0F27" w:rsidRPr="009C6D54">
        <w:t xml:space="preserve">Similarly, </w:t>
      </w:r>
      <w:r w:rsidR="00F73211" w:rsidRPr="009C6D54">
        <w:t xml:space="preserve">environmental stewardship today will impact </w:t>
      </w:r>
      <w:r w:rsidR="00CB3C56" w:rsidRPr="009C6D54">
        <w:t xml:space="preserve">living standards and </w:t>
      </w:r>
      <w:r w:rsidR="00F73211" w:rsidRPr="009C6D54">
        <w:t>the future health of tourism and agricultur</w:t>
      </w:r>
      <w:r w:rsidR="007957BE">
        <w:t>al</w:t>
      </w:r>
      <w:r w:rsidR="00F73211" w:rsidRPr="009C6D54">
        <w:t xml:space="preserve"> industries, as well as trade partnerships. </w:t>
      </w:r>
    </w:p>
    <w:p w14:paraId="3A2BEECD" w14:textId="621A6EC2" w:rsidR="00F73211" w:rsidRPr="009C6D54" w:rsidRDefault="0006704A" w:rsidP="00F73211">
      <w:r w:rsidRPr="009C6D54">
        <w:t xml:space="preserve">Providing </w:t>
      </w:r>
      <w:r w:rsidR="6012538A" w:rsidRPr="009C6D54">
        <w:t>greater</w:t>
      </w:r>
      <w:r w:rsidRPr="009C6D54">
        <w:t xml:space="preserve"> access to opportunities </w:t>
      </w:r>
      <w:r w:rsidR="06C6BB96" w:rsidRPr="009C6D54">
        <w:t>for</w:t>
      </w:r>
      <w:r w:rsidRPr="009C6D54">
        <w:t xml:space="preserve"> more Australians also matters for</w:t>
      </w:r>
      <w:r w:rsidR="00210771" w:rsidRPr="009C6D54">
        <w:t xml:space="preserve"> long</w:t>
      </w:r>
      <w:r w:rsidR="00102E07">
        <w:noBreakHyphen/>
      </w:r>
      <w:r w:rsidR="00210771" w:rsidRPr="009C6D54">
        <w:t>term outcomes</w:t>
      </w:r>
      <w:r w:rsidR="4776B8EF" w:rsidRPr="009C6D54">
        <w:t>, including intergenerational equity</w:t>
      </w:r>
      <w:r w:rsidR="00670FAA" w:rsidRPr="009C6D54">
        <w:t xml:space="preserve">. </w:t>
      </w:r>
      <w:r w:rsidR="31CA245E" w:rsidRPr="009C6D54">
        <w:t>Advancing equality of</w:t>
      </w:r>
      <w:r w:rsidR="00670FAA" w:rsidRPr="009C6D54">
        <w:t xml:space="preserve"> opportunity is key to </w:t>
      </w:r>
      <w:r w:rsidR="00210771" w:rsidRPr="009C6D54">
        <w:t>r</w:t>
      </w:r>
      <w:r w:rsidR="00F73211" w:rsidRPr="009C6D54">
        <w:t>educing disadvantage</w:t>
      </w:r>
      <w:r w:rsidR="00027975" w:rsidRPr="009C6D54">
        <w:t>—</w:t>
      </w:r>
      <w:r w:rsidR="00F73211" w:rsidRPr="009C6D54">
        <w:t>especially among children</w:t>
      </w:r>
      <w:r w:rsidR="00027975" w:rsidRPr="009C6D54">
        <w:t>—</w:t>
      </w:r>
      <w:r w:rsidR="00491CF9" w:rsidRPr="009C6D54">
        <w:t xml:space="preserve">and </w:t>
      </w:r>
      <w:r w:rsidR="00F73211" w:rsidRPr="009C6D54">
        <w:t>improv</w:t>
      </w:r>
      <w:r w:rsidR="007A57E2">
        <w:t>ing</w:t>
      </w:r>
      <w:r w:rsidR="00F73211" w:rsidRPr="009C6D54">
        <w:t xml:space="preserve"> </w:t>
      </w:r>
      <w:r w:rsidR="00CB3C56" w:rsidRPr="009C6D54">
        <w:t>people</w:t>
      </w:r>
      <w:r w:rsidR="00102E07">
        <w:t>’</w:t>
      </w:r>
      <w:r w:rsidR="00CB3C56" w:rsidRPr="009C6D54">
        <w:t xml:space="preserve">s </w:t>
      </w:r>
      <w:r w:rsidR="00F73211" w:rsidRPr="009C6D54">
        <w:t>ability to participate and contribute</w:t>
      </w:r>
      <w:r w:rsidR="00DC7D93" w:rsidRPr="009C6D54">
        <w:t xml:space="preserve">. </w:t>
      </w:r>
      <w:r w:rsidR="00627E95" w:rsidRPr="009C6D54">
        <w:t xml:space="preserve">This is good for </w:t>
      </w:r>
      <w:r w:rsidR="001B67E5" w:rsidRPr="009C6D54">
        <w:t>individual</w:t>
      </w:r>
      <w:r w:rsidR="00627E95" w:rsidRPr="009C6D54">
        <w:t>s and the broader economy</w:t>
      </w:r>
      <w:r w:rsidR="00F73211" w:rsidRPr="009C6D54">
        <w:t>.</w:t>
      </w:r>
      <w:r w:rsidR="00AB1667" w:rsidRPr="009C6D54">
        <w:rPr>
          <w:rFonts w:ascii="ZWAdobeF" w:hAnsi="ZWAdobeF" w:cs="ZWAdobeF"/>
          <w:sz w:val="2"/>
          <w:szCs w:val="2"/>
        </w:rPr>
        <w:t>1F</w:t>
      </w:r>
      <w:r w:rsidR="00922678" w:rsidRPr="009C6D54">
        <w:rPr>
          <w:rStyle w:val="FootnoteReference"/>
        </w:rPr>
        <w:footnoteReference w:id="3"/>
      </w:r>
    </w:p>
    <w:p w14:paraId="4274EED6" w14:textId="7D21AFE4" w:rsidR="004F2F9C" w:rsidRDefault="00CB3C56" w:rsidP="00F73211">
      <w:r w:rsidRPr="009C6D54">
        <w:t>For all these reasons, t</w:t>
      </w:r>
      <w:r w:rsidR="007E3CF8" w:rsidRPr="009C6D54">
        <w:t xml:space="preserve">he central challenge of progress reporting is bringing attention to the broader factors that underpin community </w:t>
      </w:r>
      <w:r w:rsidR="44F113F4" w:rsidRPr="009C6D54">
        <w:t>well</w:t>
      </w:r>
      <w:r w:rsidR="00102E07">
        <w:noBreakHyphen/>
      </w:r>
      <w:r w:rsidR="44F113F4" w:rsidRPr="009C6D54">
        <w:t>being</w:t>
      </w:r>
      <w:r w:rsidR="007E3CF8" w:rsidRPr="009C6D54">
        <w:t xml:space="preserve"> and longer</w:t>
      </w:r>
      <w:r w:rsidR="00102E07">
        <w:noBreakHyphen/>
      </w:r>
      <w:r w:rsidR="007E3CF8" w:rsidRPr="009C6D54">
        <w:t>term economic prosperity, in a focused way.</w:t>
      </w:r>
    </w:p>
    <w:p w14:paraId="2A07EB9B" w14:textId="77777777" w:rsidR="004F2F9C" w:rsidRDefault="004F2F9C">
      <w:pPr>
        <w:spacing w:before="0" w:after="160" w:line="259" w:lineRule="auto"/>
      </w:pPr>
      <w:r>
        <w:br w:type="page"/>
      </w:r>
    </w:p>
    <w:p w14:paraId="16FDDE46" w14:textId="729738CD" w:rsidR="004E547C" w:rsidRPr="000B31CB" w:rsidRDefault="004E547C" w:rsidP="00047DA5">
      <w:pPr>
        <w:pStyle w:val="Heading1"/>
      </w:pPr>
      <w:bookmarkStart w:id="3" w:name="_Toc114154966"/>
      <w:bookmarkStart w:id="4" w:name="_Toc117059942"/>
      <w:r w:rsidRPr="000B31CB">
        <w:lastRenderedPageBreak/>
        <w:t>Frameworks to measure what matters</w:t>
      </w:r>
      <w:bookmarkEnd w:id="3"/>
      <w:bookmarkEnd w:id="4"/>
    </w:p>
    <w:p w14:paraId="0E7A4113" w14:textId="77777777" w:rsidR="00B4685C" w:rsidRDefault="00B4685C" w:rsidP="00B4685C">
      <w:r w:rsidRPr="007C5D95">
        <w:rPr>
          <w:noProof/>
        </w:rPr>
        <w:t>Frameworks</w:t>
      </w:r>
      <w:r w:rsidRPr="007C5D95">
        <w:t xml:space="preserve"> to measure progress require </w:t>
      </w:r>
      <w:r>
        <w:t xml:space="preserve">making </w:t>
      </w:r>
      <w:r w:rsidRPr="007C5D95">
        <w:t xml:space="preserve">choices about the objectives </w:t>
      </w:r>
      <w:r>
        <w:t xml:space="preserve">of </w:t>
      </w:r>
      <w:r w:rsidRPr="007C5D95">
        <w:t>policy areas, and the indicators to monitor them (see Figure 4.1).</w:t>
      </w:r>
      <w:r w:rsidRPr="00043271" w:rsidDel="00170D60">
        <w:t xml:space="preserve"> </w:t>
      </w:r>
    </w:p>
    <w:p w14:paraId="7ED02124" w14:textId="2A8E46C6" w:rsidR="004E547C" w:rsidRPr="00043271" w:rsidRDefault="004E547C" w:rsidP="00272292">
      <w:pPr>
        <w:pStyle w:val="FigureHeading"/>
      </w:pPr>
      <w:r w:rsidRPr="00272292">
        <w:t>Figure</w:t>
      </w:r>
      <w:r>
        <w:t xml:space="preserve"> 4.</w:t>
      </w:r>
      <w:r w:rsidR="00DD4261">
        <w:t>1</w:t>
      </w:r>
      <w:r w:rsidR="00585AC9">
        <w:t xml:space="preserve">: </w:t>
      </w:r>
      <w:r w:rsidRPr="0079514F">
        <w:t>Progress</w:t>
      </w:r>
      <w:r>
        <w:t xml:space="preserve"> and Well</w:t>
      </w:r>
      <w:r w:rsidR="00102E07">
        <w:noBreakHyphen/>
      </w:r>
      <w:r>
        <w:t>being Measurement Framework elements</w:t>
      </w:r>
    </w:p>
    <w:p w14:paraId="11946030" w14:textId="6460507A" w:rsidR="004E547C" w:rsidRDefault="00CF0697" w:rsidP="00CF0697">
      <w:pPr>
        <w:spacing w:after="120" w:line="259" w:lineRule="auto"/>
        <w:rPr>
          <w:b/>
          <w:bCs/>
        </w:rPr>
      </w:pPr>
      <w:r>
        <w:rPr>
          <w:b/>
          <w:bCs/>
          <w:noProof/>
        </w:rPr>
        <w:drawing>
          <wp:inline distT="0" distB="0" distL="0" distR="0" wp14:anchorId="5DFC4843" wp14:editId="25F8C6F9">
            <wp:extent cx="4895850" cy="1753737"/>
            <wp:effectExtent l="0" t="0" r="0" b="0"/>
            <wp:docPr id="1" name="Picture 1" descr="Figure that displays the frameworks to measure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 that displays the frameworks to measure progres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95850" cy="1753737"/>
                    </a:xfrm>
                    <a:prstGeom prst="rect">
                      <a:avLst/>
                    </a:prstGeom>
                  </pic:spPr>
                </pic:pic>
              </a:graphicData>
            </a:graphic>
          </wp:inline>
        </w:drawing>
      </w:r>
    </w:p>
    <w:p w14:paraId="043AB987" w14:textId="33CADA0A" w:rsidR="004E547C" w:rsidRPr="003B2E5A" w:rsidRDefault="004E547C" w:rsidP="00407C48">
      <w:pPr>
        <w:pStyle w:val="ChartandTableFootnote"/>
      </w:pPr>
      <w:r w:rsidRPr="003B2E5A">
        <w:t>Source:</w:t>
      </w:r>
      <w:r w:rsidR="00407C48">
        <w:tab/>
      </w:r>
      <w:r w:rsidRPr="003B2E5A">
        <w:t>Treasury</w:t>
      </w:r>
    </w:p>
    <w:p w14:paraId="06D7BC93" w14:textId="77777777" w:rsidR="00407C48" w:rsidRPr="003B2E5A" w:rsidRDefault="00407C48" w:rsidP="00407C48">
      <w:pPr>
        <w:pStyle w:val="ChartLine"/>
      </w:pPr>
    </w:p>
    <w:p w14:paraId="6FD22CEC" w14:textId="77777777" w:rsidR="004E547C" w:rsidRPr="001763CC" w:rsidRDefault="004E547C" w:rsidP="000B31CB">
      <w:r>
        <w:t xml:space="preserve">The </w:t>
      </w:r>
      <w:r w:rsidRPr="002655F5">
        <w:rPr>
          <w:b/>
          <w:bCs/>
        </w:rPr>
        <w:t>objectives</w:t>
      </w:r>
      <w:r>
        <w:t xml:space="preserve"> of most progress frameworks </w:t>
      </w:r>
      <w:r w:rsidR="007C7228">
        <w:t>relate</w:t>
      </w:r>
      <w:r>
        <w:t xml:space="preserve"> to </w:t>
      </w:r>
      <w:r w:rsidRPr="001763CC">
        <w:t>living standards, quality of life, opportunity and meaning. For example:</w:t>
      </w:r>
    </w:p>
    <w:p w14:paraId="6D125FEE" w14:textId="77777777" w:rsidR="004E547C" w:rsidRPr="007B18B9" w:rsidRDefault="00102E07" w:rsidP="007B18B9">
      <w:pPr>
        <w:pStyle w:val="Bullet"/>
      </w:pPr>
      <w:r>
        <w:t>‘</w:t>
      </w:r>
      <w:r w:rsidR="004E547C" w:rsidRPr="007B18B9">
        <w:t>Meeting human needs, some of which are essential (</w:t>
      </w:r>
      <w:proofErr w:type="gramStart"/>
      <w:r w:rsidR="004E547C" w:rsidRPr="007B18B9">
        <w:t>e.g.</w:t>
      </w:r>
      <w:proofErr w:type="gramEnd"/>
      <w:r w:rsidR="004E547C" w:rsidRPr="007B18B9">
        <w:t xml:space="preserve"> good health), and includes people</w:t>
      </w:r>
      <w:r>
        <w:t>’</w:t>
      </w:r>
      <w:r w:rsidR="004E547C" w:rsidRPr="007B18B9">
        <w:t>s ability to pursue their goals, thrive and feel satisfied with life</w:t>
      </w:r>
      <w:r>
        <w:t>’</w:t>
      </w:r>
      <w:r w:rsidR="00CD1B3D">
        <w:rPr>
          <w:rStyle w:val="FootnoteReference"/>
        </w:rPr>
        <w:footnoteReference w:id="4"/>
      </w:r>
      <w:r w:rsidR="004E547C" w:rsidRPr="007B18B9">
        <w:t xml:space="preserve"> </w:t>
      </w:r>
    </w:p>
    <w:p w14:paraId="74F71396" w14:textId="77777777" w:rsidR="004E547C" w:rsidRPr="007B18B9" w:rsidRDefault="00102E07" w:rsidP="007B18B9">
      <w:pPr>
        <w:pStyle w:val="Bullet"/>
      </w:pPr>
      <w:r>
        <w:t>‘</w:t>
      </w:r>
      <w:r w:rsidR="004E547C" w:rsidRPr="007B18B9">
        <w:t>People are able to lead fulfilling lives with purpose, balance and meaning to them</w:t>
      </w:r>
      <w:r>
        <w:t>’</w:t>
      </w:r>
      <w:r w:rsidR="00CD1B3D">
        <w:rPr>
          <w:rStyle w:val="FootnoteReference"/>
        </w:rPr>
        <w:footnoteReference w:id="5"/>
      </w:r>
      <w:r w:rsidR="004E547C" w:rsidRPr="007B18B9">
        <w:t xml:space="preserve">  </w:t>
      </w:r>
    </w:p>
    <w:p w14:paraId="45B75183" w14:textId="4F8245FE" w:rsidR="004E547C" w:rsidRPr="007B18B9" w:rsidRDefault="00102E07" w:rsidP="007B18B9">
      <w:pPr>
        <w:pStyle w:val="Bullet"/>
      </w:pPr>
      <w:r>
        <w:t>‘</w:t>
      </w:r>
      <w:proofErr w:type="gramStart"/>
      <w:r w:rsidR="00212BB2">
        <w:t>W</w:t>
      </w:r>
      <w:r w:rsidR="004E547C" w:rsidRPr="007B18B9">
        <w:t>ell</w:t>
      </w:r>
      <w:proofErr w:type="gramEnd"/>
      <w:r>
        <w:noBreakHyphen/>
      </w:r>
      <w:r w:rsidR="004E547C" w:rsidRPr="007B18B9">
        <w:t>being is a state of health or sufficiency in all aspects of life.</w:t>
      </w:r>
      <w:r>
        <w:t>’</w:t>
      </w:r>
      <w:r w:rsidR="003353DC">
        <w:rPr>
          <w:rStyle w:val="FootnoteReference"/>
        </w:rPr>
        <w:footnoteReference w:id="6"/>
      </w:r>
    </w:p>
    <w:p w14:paraId="7632824C" w14:textId="550519A2" w:rsidR="00DF510A" w:rsidRDefault="00DF510A" w:rsidP="00DF510A">
      <w:r>
        <w:t>T</w:t>
      </w:r>
      <w:r w:rsidRPr="007C5D95">
        <w:t xml:space="preserve">hese objectives are </w:t>
      </w:r>
      <w:proofErr w:type="gramStart"/>
      <w:r w:rsidRPr="007C5D95">
        <w:t>intuitive,</w:t>
      </w:r>
      <w:r w:rsidRPr="007C5D95" w:rsidDel="008753D1">
        <w:t xml:space="preserve"> </w:t>
      </w:r>
      <w:r>
        <w:t>but</w:t>
      </w:r>
      <w:proofErr w:type="gramEnd"/>
      <w:r w:rsidRPr="007C5D95">
        <w:t xml:space="preserve"> </w:t>
      </w:r>
      <w:r>
        <w:t xml:space="preserve">can be </w:t>
      </w:r>
      <w:r w:rsidRPr="007C5D95">
        <w:t xml:space="preserve">difficult to measure directly. </w:t>
      </w:r>
      <w:r>
        <w:t xml:space="preserve">For this reason, </w:t>
      </w:r>
      <w:r w:rsidRPr="007C5D95">
        <w:t>progress and well</w:t>
      </w:r>
      <w:r w:rsidR="00102E07">
        <w:noBreakHyphen/>
      </w:r>
      <w:r w:rsidRPr="007C5D95">
        <w:t xml:space="preserve">being objectives </w:t>
      </w:r>
      <w:r>
        <w:t>are</w:t>
      </w:r>
      <w:r w:rsidRPr="007C5D95">
        <w:t xml:space="preserve"> </w:t>
      </w:r>
      <w:r>
        <w:t xml:space="preserve">usually </w:t>
      </w:r>
      <w:r w:rsidRPr="007C5D95">
        <w:t xml:space="preserve">examined </w:t>
      </w:r>
      <w:r w:rsidRPr="00BF2A41">
        <w:t xml:space="preserve">by measuring progress in </w:t>
      </w:r>
      <w:r w:rsidRPr="00BF2A41" w:rsidDel="00DC00C3">
        <w:t xml:space="preserve">the </w:t>
      </w:r>
      <w:r w:rsidRPr="00BF2A41">
        <w:rPr>
          <w:b/>
          <w:bCs/>
        </w:rPr>
        <w:t>policy areas</w:t>
      </w:r>
      <w:r w:rsidRPr="00BF2A41">
        <w:t xml:space="preserve"> that aim to achieve the desired outcomes. To be most useful, policy areas should be discrete and </w:t>
      </w:r>
      <w:r>
        <w:t>readily understood for the purposes of measurement</w:t>
      </w:r>
      <w:r w:rsidRPr="00BF2A41">
        <w:t>. Examples include health, education and skills, employment, income and wealth, housing and the environment. Table</w:t>
      </w:r>
      <w:r>
        <w:t> </w:t>
      </w:r>
      <w:r w:rsidRPr="00BF2A41">
        <w:t xml:space="preserve">4.1 shows </w:t>
      </w:r>
      <w:r>
        <w:t>the high level of similarity</w:t>
      </w:r>
      <w:r w:rsidRPr="00BF2A41">
        <w:t xml:space="preserve"> in </w:t>
      </w:r>
      <w:r>
        <w:t>the policy areas covered by other countries</w:t>
      </w:r>
      <w:r w:rsidR="00102E07">
        <w:t>’</w:t>
      </w:r>
      <w:r>
        <w:t xml:space="preserve"> </w:t>
      </w:r>
      <w:r w:rsidRPr="00BF2A41">
        <w:t>national framework</w:t>
      </w:r>
      <w:r>
        <w:t>s</w:t>
      </w:r>
      <w:r w:rsidRPr="00BF2A41">
        <w:t>.</w:t>
      </w:r>
      <w:r w:rsidRPr="002100A7">
        <w:t xml:space="preserve"> </w:t>
      </w:r>
    </w:p>
    <w:p w14:paraId="6CFC9B21" w14:textId="36730625" w:rsidR="0074537C" w:rsidRDefault="0074537C">
      <w:pPr>
        <w:spacing w:before="0" w:after="160" w:line="259" w:lineRule="auto"/>
      </w:pPr>
      <w:r>
        <w:br w:type="page"/>
      </w:r>
    </w:p>
    <w:p w14:paraId="4F6DCA72" w14:textId="52909377" w:rsidR="004E547C" w:rsidRPr="003C7850" w:rsidRDefault="004E547C" w:rsidP="000B31CB">
      <w:pPr>
        <w:pStyle w:val="TableHeading"/>
      </w:pPr>
      <w:r w:rsidRPr="00454C83">
        <w:lastRenderedPageBreak/>
        <w:t>Table 4.</w:t>
      </w:r>
      <w:r w:rsidR="00304446" w:rsidRPr="00454C83">
        <w:t>1</w:t>
      </w:r>
      <w:r w:rsidRPr="00454C83">
        <w:t xml:space="preserve">: Policy areas </w:t>
      </w:r>
      <w:r w:rsidR="005F2701">
        <w:t xml:space="preserve">covered </w:t>
      </w:r>
      <w:r w:rsidRPr="00454C83">
        <w:t>in national frameworks</w:t>
      </w:r>
    </w:p>
    <w:tbl>
      <w:tblPr>
        <w:tblW w:w="5002" w:type="pct"/>
        <w:tblBorders>
          <w:top w:val="single" w:sz="4" w:space="0" w:color="FFFFFF" w:themeColor="background1"/>
          <w:bottom w:val="single" w:sz="4" w:space="0" w:color="FFFFFF" w:themeColor="background1"/>
        </w:tblBorders>
        <w:tblLayout w:type="fixed"/>
        <w:tblCellMar>
          <w:top w:w="113" w:type="dxa"/>
          <w:left w:w="0" w:type="dxa"/>
          <w:bottom w:w="113" w:type="dxa"/>
          <w:right w:w="28" w:type="dxa"/>
        </w:tblCellMar>
        <w:tblLook w:val="04A0" w:firstRow="1" w:lastRow="0" w:firstColumn="1" w:lastColumn="0" w:noHBand="0" w:noVBand="1"/>
        <w:tblCaption w:val="Table"/>
      </w:tblPr>
      <w:tblGrid>
        <w:gridCol w:w="555"/>
        <w:gridCol w:w="2054"/>
        <w:gridCol w:w="636"/>
        <w:gridCol w:w="635"/>
        <w:gridCol w:w="635"/>
        <w:gridCol w:w="635"/>
        <w:gridCol w:w="635"/>
        <w:gridCol w:w="635"/>
        <w:gridCol w:w="635"/>
        <w:gridCol w:w="658"/>
      </w:tblGrid>
      <w:tr w:rsidR="002D5AF9" w:rsidRPr="00FA0CFF" w14:paraId="4D279A0E" w14:textId="77777777" w:rsidTr="005D3AC5">
        <w:trPr>
          <w:cantSplit/>
          <w:trHeight w:val="1134"/>
        </w:trPr>
        <w:tc>
          <w:tcPr>
            <w:tcW w:w="555" w:type="dxa"/>
            <w:tcBorders>
              <w:top w:val="single" w:sz="4" w:space="0" w:color="FFFFFF" w:themeColor="background1"/>
              <w:bottom w:val="single" w:sz="4" w:space="0" w:color="FFFFFF" w:themeColor="background1"/>
            </w:tcBorders>
            <w:shd w:val="clear" w:color="auto" w:fill="293F5B" w:themeFill="text2"/>
          </w:tcPr>
          <w:p w14:paraId="41FC688E" w14:textId="77777777" w:rsidR="004E547C" w:rsidRPr="00FA0CFF" w:rsidRDefault="004E547C" w:rsidP="007F6B5C">
            <w:pPr>
              <w:pStyle w:val="TableColumnHeadingBase"/>
              <w:spacing w:before="0" w:after="0"/>
            </w:pPr>
          </w:p>
        </w:tc>
        <w:tc>
          <w:tcPr>
            <w:tcW w:w="2054" w:type="dxa"/>
            <w:tcBorders>
              <w:top w:val="single" w:sz="4" w:space="0" w:color="FFFFFF" w:themeColor="background1"/>
              <w:bottom w:val="single" w:sz="4" w:space="0" w:color="FFFFFF" w:themeColor="background1"/>
            </w:tcBorders>
            <w:shd w:val="clear" w:color="auto" w:fill="293F5B" w:themeFill="text2"/>
            <w:vAlign w:val="center"/>
            <w:hideMark/>
          </w:tcPr>
          <w:p w14:paraId="0B43F411" w14:textId="459EDD82" w:rsidR="004E547C" w:rsidRPr="00FA0CFF" w:rsidRDefault="004E547C" w:rsidP="007F6B5C">
            <w:pPr>
              <w:pStyle w:val="TableColumnHeadingBase"/>
              <w:spacing w:before="0" w:after="0"/>
            </w:pPr>
            <w:r w:rsidRPr="00FA0CFF">
              <w:t>OECD Domains </w:t>
            </w:r>
          </w:p>
        </w:tc>
        <w:tc>
          <w:tcPr>
            <w:tcW w:w="636" w:type="dxa"/>
            <w:tcBorders>
              <w:top w:val="single" w:sz="4" w:space="0" w:color="FFFFFF" w:themeColor="background1"/>
              <w:bottom w:val="single" w:sz="4" w:space="0" w:color="293F5B" w:themeColor="text2"/>
            </w:tcBorders>
            <w:shd w:val="clear" w:color="auto" w:fill="293F5B" w:themeFill="text2"/>
            <w:textDirection w:val="btLr"/>
            <w:vAlign w:val="center"/>
            <w:hideMark/>
          </w:tcPr>
          <w:p w14:paraId="48F6F9E8" w14:textId="13A43542" w:rsidR="004E547C" w:rsidRPr="00FA0CFF" w:rsidRDefault="00952EC5" w:rsidP="00D12D0C">
            <w:pPr>
              <w:pStyle w:val="TableColumnHeadingBase"/>
              <w:spacing w:before="0" w:after="0"/>
              <w:ind w:left="113" w:right="113"/>
              <w:jc w:val="center"/>
              <w:rPr>
                <w:rFonts w:cs="Arial"/>
                <w:szCs w:val="18"/>
              </w:rPr>
            </w:pPr>
            <w:r>
              <w:rPr>
                <w:rFonts w:cs="Arial"/>
                <w:szCs w:val="18"/>
              </w:rPr>
              <w:t>New Zealand</w:t>
            </w:r>
          </w:p>
        </w:tc>
        <w:tc>
          <w:tcPr>
            <w:tcW w:w="635" w:type="dxa"/>
            <w:tcBorders>
              <w:top w:val="single" w:sz="4" w:space="0" w:color="FFFFFF" w:themeColor="background1"/>
              <w:bottom w:val="single" w:sz="4" w:space="0" w:color="293F5B" w:themeColor="text2"/>
            </w:tcBorders>
            <w:shd w:val="clear" w:color="auto" w:fill="293F5B" w:themeFill="text2"/>
            <w:textDirection w:val="btLr"/>
            <w:vAlign w:val="center"/>
            <w:hideMark/>
          </w:tcPr>
          <w:p w14:paraId="45DE08EE" w14:textId="1D9BF0F5" w:rsidR="004E547C" w:rsidRPr="00FA0CFF" w:rsidRDefault="00952EC5" w:rsidP="00D12D0C">
            <w:pPr>
              <w:pStyle w:val="TableColumnHeadingBase"/>
              <w:spacing w:before="0" w:after="0"/>
              <w:ind w:left="113" w:right="113"/>
              <w:jc w:val="center"/>
              <w:rPr>
                <w:rFonts w:cs="Arial"/>
                <w:szCs w:val="18"/>
              </w:rPr>
            </w:pPr>
            <w:r>
              <w:rPr>
                <w:rFonts w:cs="Arial"/>
                <w:szCs w:val="18"/>
              </w:rPr>
              <w:t>Canada</w:t>
            </w:r>
          </w:p>
        </w:tc>
        <w:tc>
          <w:tcPr>
            <w:tcW w:w="635" w:type="dxa"/>
            <w:tcBorders>
              <w:top w:val="single" w:sz="4" w:space="0" w:color="FFFFFF" w:themeColor="background1"/>
              <w:bottom w:val="single" w:sz="4" w:space="0" w:color="293F5B" w:themeColor="text2"/>
            </w:tcBorders>
            <w:shd w:val="clear" w:color="auto" w:fill="293F5B" w:themeFill="text2"/>
            <w:textDirection w:val="btLr"/>
            <w:vAlign w:val="center"/>
            <w:hideMark/>
          </w:tcPr>
          <w:p w14:paraId="72096F85" w14:textId="427C6633" w:rsidR="004E547C" w:rsidRPr="00FA0CFF" w:rsidRDefault="00952EC5" w:rsidP="00D12D0C">
            <w:pPr>
              <w:pStyle w:val="TableColumnHeadingBase"/>
              <w:spacing w:before="0" w:after="0"/>
              <w:ind w:left="113" w:right="113"/>
              <w:jc w:val="center"/>
              <w:rPr>
                <w:rFonts w:cs="Arial"/>
                <w:szCs w:val="18"/>
              </w:rPr>
            </w:pPr>
            <w:r>
              <w:rPr>
                <w:rFonts w:cs="Arial"/>
                <w:szCs w:val="18"/>
              </w:rPr>
              <w:t>United Kingdom</w:t>
            </w:r>
          </w:p>
        </w:tc>
        <w:tc>
          <w:tcPr>
            <w:tcW w:w="635" w:type="dxa"/>
            <w:tcBorders>
              <w:top w:val="single" w:sz="4" w:space="0" w:color="FFFFFF" w:themeColor="background1"/>
              <w:bottom w:val="single" w:sz="4" w:space="0" w:color="293F5B" w:themeColor="text2"/>
            </w:tcBorders>
            <w:shd w:val="clear" w:color="auto" w:fill="293F5B" w:themeFill="text2"/>
            <w:textDirection w:val="btLr"/>
            <w:vAlign w:val="center"/>
            <w:hideMark/>
          </w:tcPr>
          <w:p w14:paraId="6F083215" w14:textId="3969882C" w:rsidR="004E547C" w:rsidRPr="00FA0CFF" w:rsidRDefault="00952EC5" w:rsidP="00D12D0C">
            <w:pPr>
              <w:pStyle w:val="TableColumnHeadingBase"/>
              <w:spacing w:before="0" w:after="0"/>
              <w:ind w:left="113" w:right="113"/>
              <w:jc w:val="center"/>
              <w:rPr>
                <w:rFonts w:cs="Arial"/>
                <w:szCs w:val="18"/>
              </w:rPr>
            </w:pPr>
            <w:r>
              <w:rPr>
                <w:rFonts w:cs="Arial"/>
                <w:szCs w:val="18"/>
              </w:rPr>
              <w:t>Germany</w:t>
            </w:r>
          </w:p>
        </w:tc>
        <w:tc>
          <w:tcPr>
            <w:tcW w:w="635" w:type="dxa"/>
            <w:tcBorders>
              <w:top w:val="single" w:sz="4" w:space="0" w:color="FFFFFF" w:themeColor="background1"/>
              <w:bottom w:val="single" w:sz="4" w:space="0" w:color="293F5B" w:themeColor="text2"/>
            </w:tcBorders>
            <w:shd w:val="clear" w:color="auto" w:fill="293F5B" w:themeFill="text2"/>
            <w:textDirection w:val="btLr"/>
            <w:vAlign w:val="center"/>
            <w:hideMark/>
          </w:tcPr>
          <w:p w14:paraId="287637B5" w14:textId="2099E211" w:rsidR="004E547C" w:rsidRPr="00FA0CFF" w:rsidRDefault="00952EC5" w:rsidP="00D12D0C">
            <w:pPr>
              <w:pStyle w:val="TableColumnHeadingBase"/>
              <w:spacing w:before="0" w:after="0"/>
              <w:ind w:left="113" w:right="113"/>
              <w:jc w:val="center"/>
              <w:rPr>
                <w:rFonts w:cs="Arial"/>
                <w:szCs w:val="18"/>
              </w:rPr>
            </w:pPr>
            <w:r>
              <w:rPr>
                <w:rFonts w:cs="Arial"/>
                <w:szCs w:val="18"/>
              </w:rPr>
              <w:t>Iceland</w:t>
            </w:r>
          </w:p>
        </w:tc>
        <w:tc>
          <w:tcPr>
            <w:tcW w:w="635" w:type="dxa"/>
            <w:tcBorders>
              <w:top w:val="single" w:sz="4" w:space="0" w:color="FFFFFF" w:themeColor="background1"/>
              <w:bottom w:val="single" w:sz="4" w:space="0" w:color="293F5B" w:themeColor="text2"/>
            </w:tcBorders>
            <w:shd w:val="clear" w:color="auto" w:fill="293F5B" w:themeFill="text2"/>
            <w:textDirection w:val="btLr"/>
            <w:vAlign w:val="center"/>
            <w:hideMark/>
          </w:tcPr>
          <w:p w14:paraId="5A43D9C4" w14:textId="4A827719" w:rsidR="004E547C" w:rsidRPr="00FA0CFF" w:rsidRDefault="00952EC5" w:rsidP="00D12D0C">
            <w:pPr>
              <w:pStyle w:val="TableColumnHeadingBase"/>
              <w:spacing w:before="0" w:after="0"/>
              <w:ind w:left="113" w:right="113"/>
              <w:jc w:val="center"/>
              <w:rPr>
                <w:rFonts w:cs="Arial"/>
                <w:szCs w:val="18"/>
              </w:rPr>
            </w:pPr>
            <w:r>
              <w:rPr>
                <w:rFonts w:cs="Arial"/>
                <w:szCs w:val="18"/>
              </w:rPr>
              <w:t>Italy</w:t>
            </w:r>
          </w:p>
        </w:tc>
        <w:tc>
          <w:tcPr>
            <w:tcW w:w="635" w:type="dxa"/>
            <w:tcBorders>
              <w:top w:val="single" w:sz="4" w:space="0" w:color="FFFFFF" w:themeColor="background1"/>
              <w:bottom w:val="single" w:sz="4" w:space="0" w:color="293F5B" w:themeColor="text2"/>
            </w:tcBorders>
            <w:shd w:val="clear" w:color="auto" w:fill="293F5B" w:themeFill="text2"/>
            <w:textDirection w:val="btLr"/>
            <w:vAlign w:val="center"/>
            <w:hideMark/>
          </w:tcPr>
          <w:p w14:paraId="78062B30" w14:textId="0A1FDA85" w:rsidR="004E547C" w:rsidRPr="00FA0CFF" w:rsidRDefault="00952EC5" w:rsidP="00D12D0C">
            <w:pPr>
              <w:pStyle w:val="TableColumnHeadingBase"/>
              <w:spacing w:before="0" w:after="0"/>
              <w:ind w:left="113" w:right="113"/>
              <w:jc w:val="center"/>
              <w:rPr>
                <w:rFonts w:cs="Arial"/>
                <w:szCs w:val="18"/>
              </w:rPr>
            </w:pPr>
            <w:r>
              <w:rPr>
                <w:rFonts w:cs="Arial"/>
                <w:szCs w:val="18"/>
              </w:rPr>
              <w:t>Wales</w:t>
            </w:r>
          </w:p>
        </w:tc>
        <w:tc>
          <w:tcPr>
            <w:tcW w:w="658" w:type="dxa"/>
            <w:tcBorders>
              <w:top w:val="single" w:sz="4" w:space="0" w:color="FFFFFF" w:themeColor="background1"/>
              <w:bottom w:val="single" w:sz="4" w:space="0" w:color="293F5B" w:themeColor="text2"/>
            </w:tcBorders>
            <w:shd w:val="clear" w:color="auto" w:fill="293F5B" w:themeFill="text2"/>
            <w:textDirection w:val="btLr"/>
            <w:vAlign w:val="center"/>
            <w:hideMark/>
          </w:tcPr>
          <w:p w14:paraId="1FB3BB5D" w14:textId="030ECB08" w:rsidR="004E547C" w:rsidRPr="00FA0CFF" w:rsidRDefault="00952EC5" w:rsidP="00D12D0C">
            <w:pPr>
              <w:pStyle w:val="TableColumnHeadingBase"/>
              <w:spacing w:before="0" w:after="0"/>
              <w:ind w:left="113" w:right="113"/>
              <w:jc w:val="center"/>
              <w:rPr>
                <w:rFonts w:cs="Arial"/>
                <w:szCs w:val="18"/>
              </w:rPr>
            </w:pPr>
            <w:r>
              <w:rPr>
                <w:rFonts w:cs="Arial"/>
                <w:szCs w:val="18"/>
              </w:rPr>
              <w:t>Scotland</w:t>
            </w:r>
          </w:p>
        </w:tc>
      </w:tr>
      <w:tr w:rsidR="00A468C6" w:rsidRPr="00FA0CFF" w14:paraId="07B56B55" w14:textId="77777777" w:rsidTr="005D3AC5">
        <w:trPr>
          <w:trHeight w:val="227"/>
        </w:trPr>
        <w:tc>
          <w:tcPr>
            <w:tcW w:w="555" w:type="dxa"/>
            <w:vMerge w:val="restart"/>
            <w:tcBorders>
              <w:top w:val="single" w:sz="4" w:space="0" w:color="FFFFFF" w:themeColor="background1"/>
              <w:bottom w:val="single" w:sz="4" w:space="0" w:color="FFFFFF" w:themeColor="background1"/>
            </w:tcBorders>
            <w:shd w:val="clear" w:color="auto" w:fill="293F5B" w:themeFill="text2"/>
            <w:textDirection w:val="btLr"/>
            <w:vAlign w:val="center"/>
          </w:tcPr>
          <w:p w14:paraId="034DD891" w14:textId="09ABD775" w:rsidR="004E547C" w:rsidRDefault="004E547C" w:rsidP="007F6B5C">
            <w:pPr>
              <w:pStyle w:val="TableColumnHeadingBase"/>
              <w:spacing w:before="0" w:after="0"/>
              <w:ind w:left="113" w:right="113"/>
              <w:jc w:val="center"/>
              <w:rPr>
                <w:b w:val="0"/>
                <w:bCs/>
              </w:rPr>
            </w:pPr>
            <w:r>
              <w:rPr>
                <w:b w:val="0"/>
                <w:bCs/>
              </w:rPr>
              <w:t>Current Well</w:t>
            </w:r>
            <w:r w:rsidR="00102E07">
              <w:rPr>
                <w:b w:val="0"/>
                <w:bCs/>
              </w:rPr>
              <w:noBreakHyphen/>
            </w:r>
            <w:r>
              <w:rPr>
                <w:b w:val="0"/>
                <w:bCs/>
              </w:rPr>
              <w:t>being</w:t>
            </w:r>
          </w:p>
        </w:tc>
        <w:tc>
          <w:tcPr>
            <w:tcW w:w="2054" w:type="dxa"/>
            <w:tcBorders>
              <w:top w:val="single" w:sz="4" w:space="0" w:color="FFFFFF" w:themeColor="background1"/>
              <w:bottom w:val="nil"/>
              <w:right w:val="single" w:sz="4" w:space="0" w:color="293F5B" w:themeColor="text2"/>
            </w:tcBorders>
            <w:shd w:val="clear" w:color="auto" w:fill="293F5B" w:themeFill="text2"/>
            <w:vAlign w:val="center"/>
            <w:hideMark/>
          </w:tcPr>
          <w:p w14:paraId="5C79DF1B" w14:textId="77777777" w:rsidR="004E547C" w:rsidRPr="00E609C6" w:rsidRDefault="004E547C" w:rsidP="007F6B5C">
            <w:pPr>
              <w:pStyle w:val="TableColumnHeadingBase"/>
              <w:spacing w:before="0" w:after="0"/>
              <w:rPr>
                <w:b w:val="0"/>
                <w:bCs/>
              </w:rPr>
            </w:pPr>
            <w:r w:rsidRPr="00E609C6">
              <w:rPr>
                <w:b w:val="0"/>
                <w:bCs/>
              </w:rPr>
              <w:t>Income and Wealth </w:t>
            </w:r>
          </w:p>
        </w:tc>
        <w:tc>
          <w:tcPr>
            <w:tcW w:w="636"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4A710400"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6CB341C6"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33EF379A"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7B34CD5B"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33B72807"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148753B6"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26A32551" w14:textId="77777777" w:rsidR="004E547C" w:rsidRPr="00566FDC" w:rsidRDefault="004E547C" w:rsidP="007F6B5C">
            <w:pPr>
              <w:pStyle w:val="TableTextBase"/>
              <w:jc w:val="center"/>
            </w:pPr>
          </w:p>
        </w:tc>
        <w:tc>
          <w:tcPr>
            <w:tcW w:w="658"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5BDB50BE" w14:textId="77777777" w:rsidR="004E547C" w:rsidRPr="00566FDC" w:rsidRDefault="004E547C" w:rsidP="007F6B5C">
            <w:pPr>
              <w:pStyle w:val="TableTextBase"/>
              <w:jc w:val="center"/>
            </w:pPr>
          </w:p>
        </w:tc>
      </w:tr>
      <w:tr w:rsidR="00A468C6" w:rsidRPr="00FA0CFF" w14:paraId="139387E2" w14:textId="77777777" w:rsidTr="005D3AC5">
        <w:trPr>
          <w:trHeight w:val="227"/>
        </w:trPr>
        <w:tc>
          <w:tcPr>
            <w:tcW w:w="555" w:type="dxa"/>
            <w:vMerge/>
            <w:tcBorders>
              <w:top w:val="single" w:sz="4" w:space="0" w:color="FFFFFF" w:themeColor="background1"/>
            </w:tcBorders>
            <w:shd w:val="clear" w:color="auto" w:fill="293F5B" w:themeFill="text2"/>
          </w:tcPr>
          <w:p w14:paraId="55E35B58" w14:textId="77777777" w:rsidR="004E547C" w:rsidRPr="00E609C6" w:rsidRDefault="004E547C" w:rsidP="007F6B5C">
            <w:pPr>
              <w:pStyle w:val="TableColumnHeadingBase"/>
              <w:spacing w:before="0" w:after="0"/>
              <w:rPr>
                <w:b w:val="0"/>
                <w:bCs/>
              </w:rPr>
            </w:pPr>
          </w:p>
        </w:tc>
        <w:tc>
          <w:tcPr>
            <w:tcW w:w="2054" w:type="dxa"/>
            <w:tcBorders>
              <w:top w:val="nil"/>
              <w:right w:val="single" w:sz="4" w:space="0" w:color="293F5B" w:themeColor="text2"/>
            </w:tcBorders>
            <w:shd w:val="clear" w:color="auto" w:fill="293F5B" w:themeFill="text2"/>
            <w:vAlign w:val="center"/>
            <w:hideMark/>
          </w:tcPr>
          <w:p w14:paraId="0E34130B" w14:textId="77777777" w:rsidR="004E547C" w:rsidRPr="00E609C6" w:rsidRDefault="004E547C" w:rsidP="007F6B5C">
            <w:pPr>
              <w:pStyle w:val="TableColumnHeadingBase"/>
              <w:spacing w:before="0" w:after="0"/>
              <w:rPr>
                <w:b w:val="0"/>
                <w:bCs/>
              </w:rPr>
            </w:pPr>
            <w:r w:rsidRPr="00E609C6">
              <w:rPr>
                <w:b w:val="0"/>
                <w:bCs/>
              </w:rPr>
              <w:t>Social Connections </w:t>
            </w:r>
          </w:p>
        </w:tc>
        <w:tc>
          <w:tcPr>
            <w:tcW w:w="636"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7ECB38D3"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555000D2"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793C5007"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19D71149"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6ABED0FE"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3564984F"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6F33E816" w14:textId="77777777" w:rsidR="004E547C" w:rsidRPr="00566FDC" w:rsidRDefault="004E547C" w:rsidP="007F6B5C">
            <w:pPr>
              <w:pStyle w:val="TableTextBase"/>
              <w:jc w:val="center"/>
            </w:pPr>
          </w:p>
        </w:tc>
        <w:tc>
          <w:tcPr>
            <w:tcW w:w="658"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355B8895" w14:textId="77777777" w:rsidR="004E547C" w:rsidRPr="00566FDC" w:rsidRDefault="004E547C" w:rsidP="007F6B5C">
            <w:pPr>
              <w:pStyle w:val="TableTextBase"/>
              <w:jc w:val="center"/>
            </w:pPr>
          </w:p>
        </w:tc>
      </w:tr>
      <w:tr w:rsidR="00A468C6" w:rsidRPr="00FA0CFF" w14:paraId="724AB08C" w14:textId="77777777" w:rsidTr="00E8111E">
        <w:trPr>
          <w:trHeight w:val="227"/>
        </w:trPr>
        <w:tc>
          <w:tcPr>
            <w:tcW w:w="555" w:type="dxa"/>
            <w:vMerge/>
            <w:shd w:val="clear" w:color="auto" w:fill="293F5B" w:themeFill="text2"/>
          </w:tcPr>
          <w:p w14:paraId="1DD0B515" w14:textId="77777777" w:rsidR="004E547C" w:rsidRPr="00E609C6" w:rsidRDefault="004E547C" w:rsidP="007F6B5C">
            <w:pPr>
              <w:pStyle w:val="TableColumnHeadingBase"/>
              <w:spacing w:before="0" w:after="0"/>
              <w:rPr>
                <w:b w:val="0"/>
                <w:bCs/>
              </w:rPr>
            </w:pPr>
          </w:p>
        </w:tc>
        <w:tc>
          <w:tcPr>
            <w:tcW w:w="2054" w:type="dxa"/>
            <w:tcBorders>
              <w:right w:val="single" w:sz="4" w:space="0" w:color="293F5B" w:themeColor="text2"/>
            </w:tcBorders>
            <w:shd w:val="clear" w:color="auto" w:fill="293F5B" w:themeFill="text2"/>
            <w:vAlign w:val="center"/>
            <w:hideMark/>
          </w:tcPr>
          <w:p w14:paraId="6ABFA125" w14:textId="77777777" w:rsidR="004E547C" w:rsidRPr="00E609C6" w:rsidRDefault="004E547C" w:rsidP="007F6B5C">
            <w:pPr>
              <w:pStyle w:val="TableColumnHeadingBase"/>
              <w:spacing w:before="0" w:after="0"/>
              <w:rPr>
                <w:b w:val="0"/>
                <w:bCs/>
              </w:rPr>
            </w:pPr>
            <w:r w:rsidRPr="00E609C6">
              <w:rPr>
                <w:b w:val="0"/>
                <w:bCs/>
              </w:rPr>
              <w:t>Knowledge and Skills </w:t>
            </w:r>
          </w:p>
        </w:tc>
        <w:tc>
          <w:tcPr>
            <w:tcW w:w="636"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54960353"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1A0A5CCC"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1A96C931"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25B1106E"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14D00536"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0B649368"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2C77A565" w14:textId="77777777" w:rsidR="004E547C" w:rsidRPr="00566FDC" w:rsidRDefault="004E547C" w:rsidP="007F6B5C">
            <w:pPr>
              <w:pStyle w:val="TableTextBase"/>
              <w:jc w:val="center"/>
            </w:pPr>
          </w:p>
        </w:tc>
        <w:tc>
          <w:tcPr>
            <w:tcW w:w="658"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0510D868" w14:textId="77777777" w:rsidR="004E547C" w:rsidRPr="00566FDC" w:rsidRDefault="004E547C" w:rsidP="007F6B5C">
            <w:pPr>
              <w:pStyle w:val="TableTextBase"/>
              <w:jc w:val="center"/>
            </w:pPr>
          </w:p>
        </w:tc>
      </w:tr>
      <w:tr w:rsidR="00A468C6" w:rsidRPr="00FA0CFF" w14:paraId="4A5F7EC5" w14:textId="77777777" w:rsidTr="00E8111E">
        <w:trPr>
          <w:trHeight w:val="227"/>
        </w:trPr>
        <w:tc>
          <w:tcPr>
            <w:tcW w:w="555" w:type="dxa"/>
            <w:vMerge/>
            <w:shd w:val="clear" w:color="auto" w:fill="293F5B" w:themeFill="text2"/>
          </w:tcPr>
          <w:p w14:paraId="3663CF7D" w14:textId="77777777" w:rsidR="004E547C" w:rsidRPr="00E609C6" w:rsidRDefault="004E547C" w:rsidP="007F6B5C">
            <w:pPr>
              <w:pStyle w:val="TableColumnHeadingBase"/>
              <w:spacing w:before="0" w:after="0"/>
              <w:rPr>
                <w:b w:val="0"/>
                <w:bCs/>
              </w:rPr>
            </w:pPr>
          </w:p>
        </w:tc>
        <w:tc>
          <w:tcPr>
            <w:tcW w:w="2054" w:type="dxa"/>
            <w:tcBorders>
              <w:right w:val="single" w:sz="4" w:space="0" w:color="293F5B" w:themeColor="text2"/>
            </w:tcBorders>
            <w:shd w:val="clear" w:color="auto" w:fill="293F5B" w:themeFill="text2"/>
            <w:vAlign w:val="center"/>
            <w:hideMark/>
          </w:tcPr>
          <w:p w14:paraId="2E1BC627" w14:textId="77777777" w:rsidR="004E547C" w:rsidRPr="00E609C6" w:rsidRDefault="004E547C" w:rsidP="007F6B5C">
            <w:pPr>
              <w:pStyle w:val="TableColumnHeadingBase"/>
              <w:spacing w:before="0" w:after="0"/>
              <w:rPr>
                <w:b w:val="0"/>
                <w:bCs/>
              </w:rPr>
            </w:pPr>
            <w:r w:rsidRPr="00E609C6">
              <w:rPr>
                <w:b w:val="0"/>
                <w:bCs/>
              </w:rPr>
              <w:t>Environmental Quality </w:t>
            </w:r>
          </w:p>
        </w:tc>
        <w:tc>
          <w:tcPr>
            <w:tcW w:w="636"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7A8D948A"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24887230"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21915F40"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60FFDC7C"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52BA70C4"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5584E25F"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65ED482D" w14:textId="77777777" w:rsidR="004E547C" w:rsidRPr="00566FDC" w:rsidRDefault="004E547C" w:rsidP="007F6B5C">
            <w:pPr>
              <w:pStyle w:val="TableTextBase"/>
              <w:jc w:val="center"/>
            </w:pPr>
          </w:p>
        </w:tc>
        <w:tc>
          <w:tcPr>
            <w:tcW w:w="658"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5AF6D53D" w14:textId="77777777" w:rsidR="004E547C" w:rsidRPr="00566FDC" w:rsidRDefault="004E547C" w:rsidP="007F6B5C">
            <w:pPr>
              <w:pStyle w:val="TableTextBase"/>
              <w:jc w:val="center"/>
            </w:pPr>
          </w:p>
        </w:tc>
      </w:tr>
      <w:tr w:rsidR="00A468C6" w:rsidRPr="00FA0CFF" w14:paraId="3A593CE0" w14:textId="77777777" w:rsidTr="00E8111E">
        <w:trPr>
          <w:trHeight w:val="227"/>
        </w:trPr>
        <w:tc>
          <w:tcPr>
            <w:tcW w:w="555" w:type="dxa"/>
            <w:vMerge/>
            <w:shd w:val="clear" w:color="auto" w:fill="293F5B" w:themeFill="text2"/>
          </w:tcPr>
          <w:p w14:paraId="4C8F1DD6" w14:textId="77777777" w:rsidR="004E547C" w:rsidRPr="00E609C6" w:rsidRDefault="004E547C" w:rsidP="007F6B5C">
            <w:pPr>
              <w:pStyle w:val="TableColumnHeadingBase"/>
              <w:spacing w:before="0" w:after="0"/>
              <w:rPr>
                <w:b w:val="0"/>
                <w:bCs/>
              </w:rPr>
            </w:pPr>
          </w:p>
        </w:tc>
        <w:tc>
          <w:tcPr>
            <w:tcW w:w="2054" w:type="dxa"/>
            <w:tcBorders>
              <w:right w:val="single" w:sz="4" w:space="0" w:color="293F5B" w:themeColor="text2"/>
            </w:tcBorders>
            <w:shd w:val="clear" w:color="auto" w:fill="293F5B" w:themeFill="text2"/>
            <w:vAlign w:val="center"/>
            <w:hideMark/>
          </w:tcPr>
          <w:p w14:paraId="29788584" w14:textId="77777777" w:rsidR="004E547C" w:rsidRPr="00E609C6" w:rsidRDefault="004E547C" w:rsidP="007F6B5C">
            <w:pPr>
              <w:pStyle w:val="TableColumnHeadingBase"/>
              <w:spacing w:before="0" w:after="0"/>
              <w:rPr>
                <w:b w:val="0"/>
                <w:bCs/>
              </w:rPr>
            </w:pPr>
            <w:r w:rsidRPr="00E609C6">
              <w:rPr>
                <w:b w:val="0"/>
                <w:bCs/>
              </w:rPr>
              <w:t>Health </w:t>
            </w:r>
          </w:p>
        </w:tc>
        <w:tc>
          <w:tcPr>
            <w:tcW w:w="636"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0FA6EC94"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11CE9228"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3CC9B856"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21B190BD"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340A5FCD"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0D0A1DB5"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58226140" w14:textId="77777777" w:rsidR="004E547C" w:rsidRPr="00566FDC" w:rsidRDefault="004E547C" w:rsidP="007F6B5C">
            <w:pPr>
              <w:pStyle w:val="TableTextBase"/>
              <w:jc w:val="center"/>
            </w:pPr>
          </w:p>
        </w:tc>
        <w:tc>
          <w:tcPr>
            <w:tcW w:w="658"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39F9AC71" w14:textId="77777777" w:rsidR="004E547C" w:rsidRPr="00566FDC" w:rsidRDefault="004E547C" w:rsidP="007F6B5C">
            <w:pPr>
              <w:pStyle w:val="TableTextBase"/>
              <w:jc w:val="center"/>
            </w:pPr>
          </w:p>
        </w:tc>
      </w:tr>
      <w:tr w:rsidR="00A468C6" w:rsidRPr="00FA0CFF" w14:paraId="6B69078E" w14:textId="77777777" w:rsidTr="00E8111E">
        <w:trPr>
          <w:trHeight w:val="227"/>
        </w:trPr>
        <w:tc>
          <w:tcPr>
            <w:tcW w:w="555" w:type="dxa"/>
            <w:vMerge/>
            <w:shd w:val="clear" w:color="auto" w:fill="293F5B" w:themeFill="text2"/>
          </w:tcPr>
          <w:p w14:paraId="0C811E57" w14:textId="77777777" w:rsidR="004E547C" w:rsidRPr="00E609C6" w:rsidRDefault="004E547C" w:rsidP="007F6B5C">
            <w:pPr>
              <w:pStyle w:val="TableColumnHeadingBase"/>
              <w:spacing w:before="0" w:after="0"/>
              <w:rPr>
                <w:b w:val="0"/>
                <w:bCs/>
              </w:rPr>
            </w:pPr>
          </w:p>
        </w:tc>
        <w:tc>
          <w:tcPr>
            <w:tcW w:w="2054" w:type="dxa"/>
            <w:tcBorders>
              <w:right w:val="single" w:sz="4" w:space="0" w:color="293F5B" w:themeColor="text2"/>
            </w:tcBorders>
            <w:shd w:val="clear" w:color="auto" w:fill="293F5B" w:themeFill="text2"/>
            <w:vAlign w:val="center"/>
            <w:hideMark/>
          </w:tcPr>
          <w:p w14:paraId="5075B596" w14:textId="77777777" w:rsidR="004E547C" w:rsidRPr="00E609C6" w:rsidRDefault="004E547C" w:rsidP="007F6B5C">
            <w:pPr>
              <w:pStyle w:val="TableColumnHeadingBase"/>
              <w:spacing w:before="0" w:after="0"/>
              <w:rPr>
                <w:b w:val="0"/>
                <w:bCs/>
              </w:rPr>
            </w:pPr>
            <w:r w:rsidRPr="00E609C6">
              <w:rPr>
                <w:b w:val="0"/>
                <w:bCs/>
              </w:rPr>
              <w:t>Housing </w:t>
            </w:r>
          </w:p>
        </w:tc>
        <w:tc>
          <w:tcPr>
            <w:tcW w:w="636"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4EC42E5B"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5733445B"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64D23517"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6F4BB1FB"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45F7E956"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uto"/>
            <w:vAlign w:val="center"/>
          </w:tcPr>
          <w:p w14:paraId="52BF6B85"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148CC102" w14:textId="77777777" w:rsidR="004E547C" w:rsidRPr="00566FDC" w:rsidRDefault="004E547C" w:rsidP="007F6B5C">
            <w:pPr>
              <w:pStyle w:val="TableTextBase"/>
              <w:jc w:val="center"/>
            </w:pPr>
          </w:p>
        </w:tc>
        <w:tc>
          <w:tcPr>
            <w:tcW w:w="658"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76D52E95" w14:textId="77777777" w:rsidR="004E547C" w:rsidRPr="00566FDC" w:rsidRDefault="004E547C" w:rsidP="007F6B5C">
            <w:pPr>
              <w:pStyle w:val="TableTextBase"/>
              <w:jc w:val="center"/>
            </w:pPr>
          </w:p>
        </w:tc>
      </w:tr>
      <w:tr w:rsidR="00A468C6" w:rsidRPr="00FA0CFF" w14:paraId="0BE9C96D" w14:textId="77777777" w:rsidTr="00E8111E">
        <w:trPr>
          <w:trHeight w:val="227"/>
        </w:trPr>
        <w:tc>
          <w:tcPr>
            <w:tcW w:w="555" w:type="dxa"/>
            <w:vMerge/>
            <w:shd w:val="clear" w:color="auto" w:fill="293F5B" w:themeFill="text2"/>
          </w:tcPr>
          <w:p w14:paraId="3753D57D" w14:textId="77777777" w:rsidR="004E547C" w:rsidRPr="00E609C6" w:rsidRDefault="004E547C" w:rsidP="007F6B5C">
            <w:pPr>
              <w:pStyle w:val="TableColumnHeadingBase"/>
              <w:spacing w:before="0" w:after="0"/>
              <w:rPr>
                <w:b w:val="0"/>
                <w:bCs/>
              </w:rPr>
            </w:pPr>
          </w:p>
        </w:tc>
        <w:tc>
          <w:tcPr>
            <w:tcW w:w="2054" w:type="dxa"/>
            <w:tcBorders>
              <w:right w:val="single" w:sz="4" w:space="0" w:color="293F5B" w:themeColor="text2"/>
            </w:tcBorders>
            <w:shd w:val="clear" w:color="auto" w:fill="293F5B" w:themeFill="text2"/>
            <w:vAlign w:val="center"/>
            <w:hideMark/>
          </w:tcPr>
          <w:p w14:paraId="2631DC7A" w14:textId="77777777" w:rsidR="004E547C" w:rsidRPr="00E609C6" w:rsidRDefault="004E547C" w:rsidP="007F6B5C">
            <w:pPr>
              <w:pStyle w:val="TableColumnHeadingBase"/>
              <w:spacing w:before="0" w:after="0"/>
              <w:rPr>
                <w:b w:val="0"/>
                <w:bCs/>
              </w:rPr>
            </w:pPr>
            <w:r w:rsidRPr="00E609C6">
              <w:rPr>
                <w:b w:val="0"/>
                <w:bCs/>
              </w:rPr>
              <w:t>Civic Engagement </w:t>
            </w:r>
          </w:p>
        </w:tc>
        <w:tc>
          <w:tcPr>
            <w:tcW w:w="636"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61E3F368"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00FDDABD"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25BD451A"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6910B203"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408A11F1"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0BDF1B7A"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092DD165" w14:textId="77777777" w:rsidR="004E547C" w:rsidRPr="00566FDC" w:rsidRDefault="004E547C" w:rsidP="007F6B5C">
            <w:pPr>
              <w:pStyle w:val="TableTextBase"/>
              <w:jc w:val="center"/>
            </w:pPr>
          </w:p>
        </w:tc>
        <w:tc>
          <w:tcPr>
            <w:tcW w:w="658"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uto"/>
            <w:vAlign w:val="center"/>
          </w:tcPr>
          <w:p w14:paraId="3DC6BA67" w14:textId="77777777" w:rsidR="004E547C" w:rsidRPr="00566FDC" w:rsidRDefault="004E547C" w:rsidP="007F6B5C">
            <w:pPr>
              <w:pStyle w:val="TableTextBase"/>
              <w:jc w:val="center"/>
            </w:pPr>
          </w:p>
        </w:tc>
      </w:tr>
      <w:tr w:rsidR="00A468C6" w:rsidRPr="00FA0CFF" w14:paraId="1AD77BA0" w14:textId="77777777" w:rsidTr="00E8111E">
        <w:trPr>
          <w:trHeight w:val="227"/>
        </w:trPr>
        <w:tc>
          <w:tcPr>
            <w:tcW w:w="555" w:type="dxa"/>
            <w:vMerge/>
            <w:shd w:val="clear" w:color="auto" w:fill="293F5B" w:themeFill="text2"/>
          </w:tcPr>
          <w:p w14:paraId="22E1236E" w14:textId="77777777" w:rsidR="004E547C" w:rsidRPr="00E609C6" w:rsidRDefault="004E547C" w:rsidP="007F6B5C">
            <w:pPr>
              <w:pStyle w:val="TableColumnHeadingBase"/>
              <w:spacing w:before="0" w:after="0"/>
              <w:rPr>
                <w:b w:val="0"/>
                <w:bCs/>
              </w:rPr>
            </w:pPr>
          </w:p>
        </w:tc>
        <w:tc>
          <w:tcPr>
            <w:tcW w:w="2054" w:type="dxa"/>
            <w:tcBorders>
              <w:right w:val="single" w:sz="4" w:space="0" w:color="293F5B" w:themeColor="text2"/>
            </w:tcBorders>
            <w:shd w:val="clear" w:color="auto" w:fill="293F5B" w:themeFill="text2"/>
            <w:vAlign w:val="center"/>
            <w:hideMark/>
          </w:tcPr>
          <w:p w14:paraId="3218FBB8" w14:textId="77777777" w:rsidR="004E547C" w:rsidRPr="00E609C6" w:rsidRDefault="004E547C" w:rsidP="007F6B5C">
            <w:pPr>
              <w:pStyle w:val="TableColumnHeadingBase"/>
              <w:spacing w:before="0" w:after="0"/>
              <w:rPr>
                <w:b w:val="0"/>
                <w:bCs/>
              </w:rPr>
            </w:pPr>
            <w:r w:rsidRPr="00E609C6">
              <w:rPr>
                <w:b w:val="0"/>
                <w:bCs/>
              </w:rPr>
              <w:t>Safety </w:t>
            </w:r>
          </w:p>
        </w:tc>
        <w:tc>
          <w:tcPr>
            <w:tcW w:w="636"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037D83A3"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012FA3C4"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1BAA3560"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6BCE6CEE"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6935CF9F"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506AF13C"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31B568E8" w14:textId="77777777" w:rsidR="004E547C" w:rsidRPr="00566FDC" w:rsidRDefault="004E547C" w:rsidP="007F6B5C">
            <w:pPr>
              <w:pStyle w:val="TableTextBase"/>
              <w:jc w:val="center"/>
            </w:pPr>
          </w:p>
        </w:tc>
        <w:tc>
          <w:tcPr>
            <w:tcW w:w="658"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uto"/>
            <w:vAlign w:val="center"/>
          </w:tcPr>
          <w:p w14:paraId="17866B85" w14:textId="77777777" w:rsidR="004E547C" w:rsidRPr="00566FDC" w:rsidRDefault="004E547C" w:rsidP="007F6B5C">
            <w:pPr>
              <w:pStyle w:val="TableTextBase"/>
              <w:jc w:val="center"/>
            </w:pPr>
          </w:p>
        </w:tc>
      </w:tr>
      <w:tr w:rsidR="00A468C6" w:rsidRPr="00306BE9" w14:paraId="247B294D" w14:textId="77777777" w:rsidTr="00E8111E">
        <w:trPr>
          <w:trHeight w:val="227"/>
        </w:trPr>
        <w:tc>
          <w:tcPr>
            <w:tcW w:w="555" w:type="dxa"/>
            <w:vMerge/>
            <w:shd w:val="clear" w:color="auto" w:fill="293F5B" w:themeFill="text2"/>
          </w:tcPr>
          <w:p w14:paraId="57AE6657" w14:textId="77777777" w:rsidR="004E547C" w:rsidRPr="00E609C6" w:rsidRDefault="004E547C" w:rsidP="007F6B5C">
            <w:pPr>
              <w:pStyle w:val="TableColumnHeadingBase"/>
              <w:spacing w:before="0" w:after="0"/>
              <w:rPr>
                <w:b w:val="0"/>
                <w:bCs/>
              </w:rPr>
            </w:pPr>
          </w:p>
        </w:tc>
        <w:tc>
          <w:tcPr>
            <w:tcW w:w="2054" w:type="dxa"/>
            <w:tcBorders>
              <w:right w:val="single" w:sz="4" w:space="0" w:color="293F5B" w:themeColor="text2"/>
            </w:tcBorders>
            <w:shd w:val="clear" w:color="auto" w:fill="293F5B" w:themeFill="text2"/>
            <w:vAlign w:val="center"/>
            <w:hideMark/>
          </w:tcPr>
          <w:p w14:paraId="589900CE" w14:textId="77777777" w:rsidR="004E547C" w:rsidRPr="00E609C6" w:rsidRDefault="004E547C" w:rsidP="007F6B5C">
            <w:pPr>
              <w:pStyle w:val="TableColumnHeadingBase"/>
              <w:spacing w:before="0" w:after="0"/>
              <w:rPr>
                <w:b w:val="0"/>
                <w:bCs/>
              </w:rPr>
            </w:pPr>
            <w:r w:rsidRPr="00E609C6">
              <w:rPr>
                <w:b w:val="0"/>
                <w:bCs/>
              </w:rPr>
              <w:t>Work and Job Quality </w:t>
            </w:r>
          </w:p>
        </w:tc>
        <w:tc>
          <w:tcPr>
            <w:tcW w:w="636"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00C0B994"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7C9C14F7"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0ADD3C66"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6462CD06"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3D605352"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uto"/>
            <w:vAlign w:val="center"/>
          </w:tcPr>
          <w:p w14:paraId="33693919" w14:textId="77777777" w:rsidR="004E547C" w:rsidRPr="00BE154F"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66C0326C" w14:textId="77777777" w:rsidR="004E547C" w:rsidRPr="00566FDC" w:rsidRDefault="004E547C" w:rsidP="007F6B5C">
            <w:pPr>
              <w:pStyle w:val="TableTextBase"/>
              <w:jc w:val="center"/>
            </w:pPr>
          </w:p>
        </w:tc>
        <w:tc>
          <w:tcPr>
            <w:tcW w:w="658"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765B37DE" w14:textId="77777777" w:rsidR="004E547C" w:rsidRPr="00566FDC" w:rsidRDefault="004E547C" w:rsidP="007F6B5C">
            <w:pPr>
              <w:pStyle w:val="TableTextBase"/>
              <w:jc w:val="center"/>
            </w:pPr>
          </w:p>
        </w:tc>
      </w:tr>
      <w:tr w:rsidR="00A468C6" w:rsidRPr="00FA0CFF" w14:paraId="16817160" w14:textId="77777777" w:rsidTr="00E8111E">
        <w:trPr>
          <w:trHeight w:val="227"/>
        </w:trPr>
        <w:tc>
          <w:tcPr>
            <w:tcW w:w="555" w:type="dxa"/>
            <w:vMerge/>
            <w:shd w:val="clear" w:color="auto" w:fill="293F5B" w:themeFill="text2"/>
          </w:tcPr>
          <w:p w14:paraId="23EC26F2" w14:textId="77777777" w:rsidR="004E547C" w:rsidRPr="00E609C6" w:rsidRDefault="004E547C" w:rsidP="007F6B5C">
            <w:pPr>
              <w:pStyle w:val="TableColumnHeadingBase"/>
              <w:spacing w:before="0" w:after="0"/>
              <w:rPr>
                <w:b w:val="0"/>
                <w:bCs/>
              </w:rPr>
            </w:pPr>
          </w:p>
        </w:tc>
        <w:tc>
          <w:tcPr>
            <w:tcW w:w="2054" w:type="dxa"/>
            <w:tcBorders>
              <w:bottom w:val="nil"/>
              <w:right w:val="single" w:sz="4" w:space="0" w:color="293F5B" w:themeColor="text2"/>
            </w:tcBorders>
            <w:shd w:val="clear" w:color="auto" w:fill="293F5B" w:themeFill="text2"/>
            <w:vAlign w:val="center"/>
            <w:hideMark/>
          </w:tcPr>
          <w:p w14:paraId="359EDFB1" w14:textId="308C7C8E" w:rsidR="004E547C" w:rsidRPr="00E609C6" w:rsidRDefault="004E547C" w:rsidP="007F6B5C">
            <w:pPr>
              <w:pStyle w:val="TableColumnHeadingBase"/>
              <w:spacing w:before="0" w:after="0"/>
              <w:rPr>
                <w:b w:val="0"/>
                <w:bCs/>
              </w:rPr>
            </w:pPr>
            <w:r w:rsidRPr="00E609C6">
              <w:rPr>
                <w:b w:val="0"/>
                <w:bCs/>
              </w:rPr>
              <w:t>Work</w:t>
            </w:r>
            <w:r w:rsidR="00102E07">
              <w:rPr>
                <w:b w:val="0"/>
                <w:bCs/>
              </w:rPr>
              <w:noBreakHyphen/>
            </w:r>
            <w:r w:rsidRPr="00E609C6">
              <w:rPr>
                <w:b w:val="0"/>
                <w:bCs/>
              </w:rPr>
              <w:t>Life Balance </w:t>
            </w:r>
          </w:p>
        </w:tc>
        <w:tc>
          <w:tcPr>
            <w:tcW w:w="636"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2AF8519C"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135F8C04"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538B2DB9"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1D65FBDC"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6C7BDEBE"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671D0539"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uto"/>
            <w:vAlign w:val="center"/>
          </w:tcPr>
          <w:p w14:paraId="5F5E529E" w14:textId="77777777" w:rsidR="004E547C" w:rsidRPr="00566FDC" w:rsidRDefault="004E547C" w:rsidP="007F6B5C">
            <w:pPr>
              <w:pStyle w:val="TableTextBase"/>
              <w:jc w:val="center"/>
            </w:pPr>
          </w:p>
        </w:tc>
        <w:tc>
          <w:tcPr>
            <w:tcW w:w="658"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uto"/>
            <w:vAlign w:val="center"/>
          </w:tcPr>
          <w:p w14:paraId="40945B5A" w14:textId="77777777" w:rsidR="004E547C" w:rsidRPr="00566FDC" w:rsidRDefault="004E547C" w:rsidP="007F6B5C">
            <w:pPr>
              <w:pStyle w:val="TableTextBase"/>
              <w:jc w:val="center"/>
            </w:pPr>
          </w:p>
        </w:tc>
      </w:tr>
      <w:tr w:rsidR="00A468C6" w:rsidRPr="00306BE9" w14:paraId="2F5FED5B" w14:textId="77777777" w:rsidTr="00E8111E">
        <w:trPr>
          <w:trHeight w:val="281"/>
        </w:trPr>
        <w:tc>
          <w:tcPr>
            <w:tcW w:w="555" w:type="dxa"/>
            <w:vMerge/>
            <w:tcBorders>
              <w:bottom w:val="single" w:sz="4" w:space="0" w:color="FFFFFF" w:themeColor="background1"/>
            </w:tcBorders>
            <w:shd w:val="clear" w:color="auto" w:fill="293F5B" w:themeFill="text2"/>
          </w:tcPr>
          <w:p w14:paraId="7EE73601" w14:textId="77777777" w:rsidR="004E547C" w:rsidRPr="00E609C6" w:rsidRDefault="004E547C" w:rsidP="007F6B5C">
            <w:pPr>
              <w:pStyle w:val="TableColumnHeadingBase"/>
              <w:spacing w:before="0" w:after="0"/>
              <w:rPr>
                <w:b w:val="0"/>
                <w:bCs/>
              </w:rPr>
            </w:pPr>
          </w:p>
        </w:tc>
        <w:tc>
          <w:tcPr>
            <w:tcW w:w="2054" w:type="dxa"/>
            <w:tcBorders>
              <w:top w:val="nil"/>
              <w:bottom w:val="single" w:sz="4" w:space="0" w:color="FFFFFF" w:themeColor="background1"/>
              <w:right w:val="single" w:sz="4" w:space="0" w:color="293F5B" w:themeColor="text2"/>
            </w:tcBorders>
            <w:shd w:val="clear" w:color="auto" w:fill="293F5B" w:themeFill="text2"/>
            <w:vAlign w:val="center"/>
            <w:hideMark/>
          </w:tcPr>
          <w:p w14:paraId="070FC52B" w14:textId="6D8EF213" w:rsidR="004E547C" w:rsidRPr="00E609C6" w:rsidRDefault="004E547C" w:rsidP="007F6B5C">
            <w:pPr>
              <w:pStyle w:val="TableColumnHeadingBase"/>
              <w:spacing w:before="0" w:after="0"/>
              <w:rPr>
                <w:b w:val="0"/>
                <w:bCs/>
              </w:rPr>
            </w:pPr>
            <w:r w:rsidRPr="00E609C6">
              <w:rPr>
                <w:b w:val="0"/>
                <w:bCs/>
              </w:rPr>
              <w:t>Subjective Well</w:t>
            </w:r>
            <w:r w:rsidR="00102E07">
              <w:rPr>
                <w:b w:val="0"/>
                <w:bCs/>
              </w:rPr>
              <w:noBreakHyphen/>
            </w:r>
            <w:r w:rsidRPr="00E609C6">
              <w:rPr>
                <w:b w:val="0"/>
                <w:bCs/>
              </w:rPr>
              <w:t>being </w:t>
            </w:r>
          </w:p>
        </w:tc>
        <w:tc>
          <w:tcPr>
            <w:tcW w:w="636"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030BBF64"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74BA1EB7"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233945F3"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uto"/>
            <w:vAlign w:val="center"/>
          </w:tcPr>
          <w:p w14:paraId="673D423B"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uto"/>
            <w:vAlign w:val="center"/>
          </w:tcPr>
          <w:p w14:paraId="3422D229"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36E54AFB"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uto"/>
            <w:vAlign w:val="center"/>
          </w:tcPr>
          <w:p w14:paraId="157A6218" w14:textId="77777777" w:rsidR="004E547C" w:rsidRPr="00566FDC" w:rsidRDefault="004E547C" w:rsidP="007F6B5C">
            <w:pPr>
              <w:pStyle w:val="TableTextBase"/>
              <w:jc w:val="center"/>
            </w:pPr>
          </w:p>
        </w:tc>
        <w:tc>
          <w:tcPr>
            <w:tcW w:w="658"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uto"/>
            <w:vAlign w:val="center"/>
          </w:tcPr>
          <w:p w14:paraId="1311DD35" w14:textId="77777777" w:rsidR="004E547C" w:rsidRPr="00566FDC" w:rsidRDefault="004E547C" w:rsidP="007F6B5C">
            <w:pPr>
              <w:pStyle w:val="TableTextBase"/>
              <w:jc w:val="center"/>
            </w:pPr>
          </w:p>
        </w:tc>
      </w:tr>
      <w:tr w:rsidR="00A468C6" w:rsidRPr="00306BE9" w14:paraId="75D669A9" w14:textId="77777777" w:rsidTr="00E8111E">
        <w:trPr>
          <w:trHeight w:val="227"/>
        </w:trPr>
        <w:tc>
          <w:tcPr>
            <w:tcW w:w="555" w:type="dxa"/>
            <w:vMerge w:val="restart"/>
            <w:tcBorders>
              <w:top w:val="single" w:sz="4" w:space="0" w:color="FFFFFF" w:themeColor="background1"/>
            </w:tcBorders>
            <w:shd w:val="clear" w:color="auto" w:fill="293F5B" w:themeFill="text2"/>
            <w:textDirection w:val="btLr"/>
            <w:vAlign w:val="center"/>
          </w:tcPr>
          <w:p w14:paraId="0E219141" w14:textId="5248B954" w:rsidR="004E547C" w:rsidRPr="00E609C6" w:rsidRDefault="004E547C" w:rsidP="007F6B5C">
            <w:pPr>
              <w:pStyle w:val="TableColumnHeadingBase"/>
              <w:spacing w:before="0" w:after="0"/>
              <w:ind w:left="113" w:right="113"/>
              <w:jc w:val="center"/>
              <w:rPr>
                <w:b w:val="0"/>
                <w:bCs/>
              </w:rPr>
            </w:pPr>
            <w:r>
              <w:rPr>
                <w:b w:val="0"/>
                <w:bCs/>
              </w:rPr>
              <w:t>Future Well</w:t>
            </w:r>
            <w:r w:rsidR="00102E07">
              <w:rPr>
                <w:b w:val="0"/>
                <w:bCs/>
              </w:rPr>
              <w:noBreakHyphen/>
            </w:r>
            <w:r>
              <w:rPr>
                <w:b w:val="0"/>
                <w:bCs/>
              </w:rPr>
              <w:t>being</w:t>
            </w:r>
          </w:p>
        </w:tc>
        <w:tc>
          <w:tcPr>
            <w:tcW w:w="2054" w:type="dxa"/>
            <w:tcBorders>
              <w:top w:val="single" w:sz="4" w:space="0" w:color="FFFFFF" w:themeColor="background1"/>
              <w:right w:val="single" w:sz="4" w:space="0" w:color="293F5B" w:themeColor="text2"/>
            </w:tcBorders>
            <w:shd w:val="clear" w:color="auto" w:fill="293F5B" w:themeFill="text2"/>
            <w:vAlign w:val="center"/>
          </w:tcPr>
          <w:p w14:paraId="38CE323F" w14:textId="77777777" w:rsidR="004E547C" w:rsidRPr="00E609C6" w:rsidRDefault="004E547C" w:rsidP="007F6B5C">
            <w:pPr>
              <w:pStyle w:val="TableColumnHeadingBase"/>
              <w:spacing w:before="0" w:after="0"/>
              <w:rPr>
                <w:b w:val="0"/>
                <w:bCs/>
              </w:rPr>
            </w:pPr>
            <w:r>
              <w:rPr>
                <w:b w:val="0"/>
                <w:bCs/>
              </w:rPr>
              <w:t>Natural capital</w:t>
            </w:r>
          </w:p>
        </w:tc>
        <w:tc>
          <w:tcPr>
            <w:tcW w:w="636"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596A673D"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62076C85"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51DB1098"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5C186EBC"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305D0222"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7B27920A"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381A729C" w14:textId="77777777" w:rsidR="004E547C" w:rsidRPr="00566FDC" w:rsidRDefault="004E547C" w:rsidP="007F6B5C">
            <w:pPr>
              <w:pStyle w:val="TableTextBase"/>
              <w:jc w:val="center"/>
            </w:pPr>
          </w:p>
        </w:tc>
        <w:tc>
          <w:tcPr>
            <w:tcW w:w="658"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69AB9094" w14:textId="77777777" w:rsidR="004E547C" w:rsidRPr="00566FDC" w:rsidRDefault="004E547C" w:rsidP="007F6B5C">
            <w:pPr>
              <w:pStyle w:val="TableTextBase"/>
              <w:jc w:val="center"/>
            </w:pPr>
          </w:p>
        </w:tc>
      </w:tr>
      <w:tr w:rsidR="00A468C6" w:rsidRPr="00306BE9" w14:paraId="4D54BF0F" w14:textId="77777777" w:rsidTr="00E8111E">
        <w:trPr>
          <w:trHeight w:val="227"/>
        </w:trPr>
        <w:tc>
          <w:tcPr>
            <w:tcW w:w="555" w:type="dxa"/>
            <w:vMerge/>
            <w:shd w:val="clear" w:color="auto" w:fill="293F5B" w:themeFill="text2"/>
          </w:tcPr>
          <w:p w14:paraId="3DA067D0" w14:textId="77777777" w:rsidR="004E547C" w:rsidRPr="00E609C6" w:rsidRDefault="004E547C" w:rsidP="007F6B5C">
            <w:pPr>
              <w:pStyle w:val="TableColumnHeadingBase"/>
              <w:spacing w:before="0" w:after="0"/>
              <w:rPr>
                <w:b w:val="0"/>
                <w:bCs/>
              </w:rPr>
            </w:pPr>
          </w:p>
        </w:tc>
        <w:tc>
          <w:tcPr>
            <w:tcW w:w="2054" w:type="dxa"/>
            <w:tcBorders>
              <w:right w:val="single" w:sz="4" w:space="0" w:color="293F5B" w:themeColor="text2"/>
            </w:tcBorders>
            <w:shd w:val="clear" w:color="auto" w:fill="293F5B" w:themeFill="text2"/>
            <w:vAlign w:val="center"/>
          </w:tcPr>
          <w:p w14:paraId="4DBB744C" w14:textId="77777777" w:rsidR="004E547C" w:rsidRPr="00E609C6" w:rsidRDefault="004E547C" w:rsidP="007F6B5C">
            <w:pPr>
              <w:pStyle w:val="TableColumnHeadingBase"/>
              <w:spacing w:before="0" w:after="0"/>
              <w:rPr>
                <w:b w:val="0"/>
                <w:bCs/>
              </w:rPr>
            </w:pPr>
            <w:r>
              <w:rPr>
                <w:b w:val="0"/>
                <w:bCs/>
              </w:rPr>
              <w:t>Human capital</w:t>
            </w:r>
          </w:p>
        </w:tc>
        <w:tc>
          <w:tcPr>
            <w:tcW w:w="636"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2B696A5E"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06225B10"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6F0C3027"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41A042FA"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3C363F92"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08319A36"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71F5B8BF" w14:textId="77777777" w:rsidR="004E547C" w:rsidRPr="00566FDC" w:rsidRDefault="004E547C" w:rsidP="007F6B5C">
            <w:pPr>
              <w:pStyle w:val="TableTextBase"/>
              <w:jc w:val="center"/>
            </w:pPr>
          </w:p>
        </w:tc>
        <w:tc>
          <w:tcPr>
            <w:tcW w:w="658"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7ABD5AE3" w14:textId="77777777" w:rsidR="004E547C" w:rsidRPr="00566FDC" w:rsidRDefault="004E547C" w:rsidP="007F6B5C">
            <w:pPr>
              <w:pStyle w:val="TableTextBase"/>
              <w:jc w:val="center"/>
            </w:pPr>
          </w:p>
        </w:tc>
      </w:tr>
      <w:tr w:rsidR="00A468C6" w:rsidRPr="00306BE9" w14:paraId="2D11AEF6" w14:textId="77777777" w:rsidTr="002968EA">
        <w:trPr>
          <w:trHeight w:val="227"/>
        </w:trPr>
        <w:tc>
          <w:tcPr>
            <w:tcW w:w="555" w:type="dxa"/>
            <w:vMerge/>
            <w:shd w:val="clear" w:color="auto" w:fill="293F5B" w:themeFill="text2"/>
          </w:tcPr>
          <w:p w14:paraId="47328162" w14:textId="77777777" w:rsidR="004E547C" w:rsidRPr="00E609C6" w:rsidRDefault="004E547C" w:rsidP="007F6B5C">
            <w:pPr>
              <w:pStyle w:val="TableColumnHeadingBase"/>
              <w:spacing w:before="0" w:after="0"/>
              <w:rPr>
                <w:b w:val="0"/>
                <w:bCs/>
              </w:rPr>
            </w:pPr>
          </w:p>
        </w:tc>
        <w:tc>
          <w:tcPr>
            <w:tcW w:w="2054" w:type="dxa"/>
            <w:tcBorders>
              <w:right w:val="single" w:sz="4" w:space="0" w:color="293F5B" w:themeColor="text2"/>
            </w:tcBorders>
            <w:shd w:val="clear" w:color="auto" w:fill="293F5B" w:themeFill="text2"/>
            <w:vAlign w:val="center"/>
          </w:tcPr>
          <w:p w14:paraId="779A6BC2" w14:textId="77777777" w:rsidR="004E547C" w:rsidRPr="00E609C6" w:rsidRDefault="004E547C" w:rsidP="007F6B5C">
            <w:pPr>
              <w:pStyle w:val="TableColumnHeadingBase"/>
              <w:spacing w:before="0" w:after="0"/>
              <w:rPr>
                <w:b w:val="0"/>
                <w:bCs/>
              </w:rPr>
            </w:pPr>
            <w:r>
              <w:rPr>
                <w:b w:val="0"/>
                <w:bCs/>
              </w:rPr>
              <w:t>Social capital</w:t>
            </w:r>
          </w:p>
        </w:tc>
        <w:tc>
          <w:tcPr>
            <w:tcW w:w="636"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7A24E58A"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7486C6E8"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7189A226"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481E6CFD"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5247F003"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2CCF9595"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32AA3D96" w14:textId="77777777" w:rsidR="004E547C" w:rsidRPr="00566FDC" w:rsidRDefault="004E547C" w:rsidP="007F6B5C">
            <w:pPr>
              <w:pStyle w:val="TableTextBase"/>
              <w:jc w:val="center"/>
            </w:pPr>
          </w:p>
        </w:tc>
        <w:tc>
          <w:tcPr>
            <w:tcW w:w="658"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48096FC5" w14:textId="77777777" w:rsidR="004E547C" w:rsidRPr="00566FDC" w:rsidRDefault="004E547C" w:rsidP="007F6B5C">
            <w:pPr>
              <w:pStyle w:val="TableTextBase"/>
              <w:jc w:val="center"/>
            </w:pPr>
          </w:p>
        </w:tc>
      </w:tr>
      <w:tr w:rsidR="00E8111E" w:rsidRPr="00306BE9" w14:paraId="04A0B7CB" w14:textId="77777777" w:rsidTr="002968EA">
        <w:trPr>
          <w:trHeight w:val="227"/>
        </w:trPr>
        <w:tc>
          <w:tcPr>
            <w:tcW w:w="555" w:type="dxa"/>
            <w:vMerge/>
            <w:tcBorders>
              <w:bottom w:val="nil"/>
            </w:tcBorders>
            <w:shd w:val="clear" w:color="auto" w:fill="293F5B" w:themeFill="text2"/>
          </w:tcPr>
          <w:p w14:paraId="1A71D768" w14:textId="77777777" w:rsidR="004E547C" w:rsidRPr="00E609C6" w:rsidRDefault="004E547C" w:rsidP="007F6B5C">
            <w:pPr>
              <w:pStyle w:val="TableColumnHeadingBase"/>
              <w:spacing w:before="0" w:after="0"/>
              <w:rPr>
                <w:b w:val="0"/>
                <w:bCs/>
              </w:rPr>
            </w:pPr>
          </w:p>
        </w:tc>
        <w:tc>
          <w:tcPr>
            <w:tcW w:w="2054" w:type="dxa"/>
            <w:tcBorders>
              <w:bottom w:val="nil"/>
              <w:right w:val="single" w:sz="4" w:space="0" w:color="293F5B" w:themeColor="text2"/>
            </w:tcBorders>
            <w:shd w:val="clear" w:color="auto" w:fill="293F5B" w:themeFill="text2"/>
            <w:vAlign w:val="center"/>
          </w:tcPr>
          <w:p w14:paraId="1C616190" w14:textId="77777777" w:rsidR="004E547C" w:rsidRPr="00E609C6" w:rsidRDefault="004E547C" w:rsidP="007F6B5C">
            <w:pPr>
              <w:pStyle w:val="TableColumnHeadingBase"/>
              <w:spacing w:before="0" w:after="0"/>
              <w:rPr>
                <w:b w:val="0"/>
                <w:bCs/>
              </w:rPr>
            </w:pPr>
            <w:r>
              <w:rPr>
                <w:b w:val="0"/>
                <w:bCs/>
              </w:rPr>
              <w:t>Economic capital</w:t>
            </w:r>
          </w:p>
        </w:tc>
        <w:tc>
          <w:tcPr>
            <w:tcW w:w="636"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5EE88E4D"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1AA81AA2"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3E127997"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65CF6D4B"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6ACB6" w:themeFill="background2" w:themeFillTint="99"/>
            <w:vAlign w:val="center"/>
          </w:tcPr>
          <w:p w14:paraId="61A0D579"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uto"/>
            <w:vAlign w:val="center"/>
          </w:tcPr>
          <w:p w14:paraId="722A6D21" w14:textId="77777777" w:rsidR="004E547C" w:rsidRPr="00566FDC" w:rsidRDefault="004E547C" w:rsidP="007F6B5C">
            <w:pPr>
              <w:pStyle w:val="TableTextBase"/>
              <w:jc w:val="center"/>
            </w:pPr>
          </w:p>
        </w:tc>
        <w:tc>
          <w:tcPr>
            <w:tcW w:w="635"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uto"/>
            <w:vAlign w:val="center"/>
          </w:tcPr>
          <w:p w14:paraId="60A97396" w14:textId="77777777" w:rsidR="004E547C" w:rsidRPr="00566FDC" w:rsidRDefault="004E547C" w:rsidP="007F6B5C">
            <w:pPr>
              <w:pStyle w:val="TableTextBase"/>
              <w:jc w:val="center"/>
            </w:pPr>
          </w:p>
        </w:tc>
        <w:tc>
          <w:tcPr>
            <w:tcW w:w="658" w:type="dxa"/>
            <w:tcBorders>
              <w:top w:val="single" w:sz="4" w:space="0" w:color="293F5B" w:themeColor="text2"/>
              <w:left w:val="single" w:sz="4" w:space="0" w:color="293F5B" w:themeColor="text2"/>
              <w:bottom w:val="single" w:sz="4" w:space="0" w:color="293F5B" w:themeColor="text2"/>
              <w:right w:val="single" w:sz="4" w:space="0" w:color="293F5B" w:themeColor="text2"/>
            </w:tcBorders>
            <w:shd w:val="clear" w:color="auto" w:fill="auto"/>
            <w:vAlign w:val="center"/>
          </w:tcPr>
          <w:p w14:paraId="5FC43135" w14:textId="77777777" w:rsidR="004E547C" w:rsidRPr="00566FDC" w:rsidRDefault="004E547C" w:rsidP="007F6B5C">
            <w:pPr>
              <w:pStyle w:val="TableTextBase"/>
              <w:jc w:val="center"/>
            </w:pPr>
          </w:p>
        </w:tc>
      </w:tr>
    </w:tbl>
    <w:p w14:paraId="1B740E25" w14:textId="17DF5C76" w:rsidR="00670118" w:rsidRPr="007C5D95" w:rsidRDefault="00670118" w:rsidP="00EB1631">
      <w:pPr>
        <w:pStyle w:val="Source"/>
        <w:spacing w:before="0" w:after="0"/>
      </w:pPr>
      <w:r w:rsidRPr="007C5D95">
        <w:t xml:space="preserve">Note: </w:t>
      </w:r>
      <w:r w:rsidR="0063676F">
        <w:tab/>
      </w:r>
      <w:r w:rsidRPr="007C5D95">
        <w:t xml:space="preserve">Shaded areas are covered in national frameworks. </w:t>
      </w:r>
    </w:p>
    <w:p w14:paraId="24B78BB0" w14:textId="408C4572" w:rsidR="004E547C" w:rsidRDefault="004E547C" w:rsidP="008E1A77">
      <w:pPr>
        <w:pStyle w:val="Source"/>
        <w:spacing w:after="0"/>
      </w:pPr>
      <w:r w:rsidRPr="007C5D95">
        <w:t xml:space="preserve">Source: </w:t>
      </w:r>
      <w:r w:rsidR="0063676F">
        <w:tab/>
      </w:r>
      <w:r w:rsidR="00CC3D99" w:rsidRPr="007C5D95">
        <w:t>National agencies; Centre for Policy Development (</w:t>
      </w:r>
      <w:hyperlink r:id="rId17" w:history="1">
        <w:r w:rsidR="00CC3D99" w:rsidRPr="007C5D95">
          <w:rPr>
            <w:rStyle w:val="Hyperlink"/>
          </w:rPr>
          <w:t>2022</w:t>
        </w:r>
      </w:hyperlink>
      <w:r w:rsidR="00CC3D99" w:rsidRPr="007C5D95">
        <w:t>)</w:t>
      </w:r>
      <w:r w:rsidR="00267133">
        <w:t>,</w:t>
      </w:r>
      <w:r w:rsidR="0037755E" w:rsidRPr="0037755E">
        <w:t xml:space="preserve"> </w:t>
      </w:r>
      <w:r w:rsidR="0037755E">
        <w:t>‘Redefining Progress’</w:t>
      </w:r>
    </w:p>
    <w:p w14:paraId="64A8043E" w14:textId="77777777" w:rsidR="007E4F55" w:rsidRPr="007C5D95" w:rsidRDefault="007E4F55" w:rsidP="007E4F55">
      <w:pPr>
        <w:pStyle w:val="TableLine"/>
      </w:pPr>
    </w:p>
    <w:p w14:paraId="5E464818" w14:textId="77777777" w:rsidR="00C74573" w:rsidRPr="0006177A" w:rsidRDefault="00D36F2F" w:rsidP="000B31CB">
      <w:r w:rsidRPr="00FD58AE">
        <w:t>For each policy area, i</w:t>
      </w:r>
      <w:r w:rsidR="004E547C" w:rsidRPr="00FD58AE">
        <w:t xml:space="preserve">ndicators are </w:t>
      </w:r>
      <w:r w:rsidRPr="00FD58AE">
        <w:t>identified that can</w:t>
      </w:r>
      <w:r w:rsidR="004E547C" w:rsidRPr="00FD58AE">
        <w:t xml:space="preserve"> track and report on progress.</w:t>
      </w:r>
      <w:r w:rsidR="0034018F" w:rsidRPr="00FD58AE">
        <w:t xml:space="preserve"> </w:t>
      </w:r>
      <w:r w:rsidR="00C74573" w:rsidRPr="00FD58AE">
        <w:t>Ideal</w:t>
      </w:r>
      <w:r w:rsidR="0034018F" w:rsidRPr="00FD58AE">
        <w:t xml:space="preserve"> </w:t>
      </w:r>
      <w:r w:rsidR="00C74573" w:rsidRPr="00FD58AE">
        <w:t xml:space="preserve">indicators </w:t>
      </w:r>
      <w:r w:rsidR="003C616C" w:rsidRPr="00FD58AE">
        <w:t>will b</w:t>
      </w:r>
      <w:r w:rsidR="00C74573" w:rsidRPr="00FD58AE">
        <w:t xml:space="preserve">e understandable and measurable, with timely and reliable data. They should also be comparable internationally and over </w:t>
      </w:r>
      <w:proofErr w:type="gramStart"/>
      <w:r w:rsidR="00C74573" w:rsidRPr="00FD58AE">
        <w:t>time, and</w:t>
      </w:r>
      <w:proofErr w:type="gramEnd"/>
      <w:r w:rsidR="00324A4F" w:rsidRPr="00FD58AE">
        <w:t xml:space="preserve"> allow </w:t>
      </w:r>
      <w:r w:rsidR="5BDD1473">
        <w:t xml:space="preserve">for </w:t>
      </w:r>
      <w:r w:rsidR="00324A4F" w:rsidRPr="00FD58AE">
        <w:t xml:space="preserve">disaggregation </w:t>
      </w:r>
      <w:r w:rsidR="00472246" w:rsidRPr="00FD58AE">
        <w:t>at a demographic or geographic level</w:t>
      </w:r>
      <w:r w:rsidR="00C74573" w:rsidRPr="00FD58AE">
        <w:t xml:space="preserve"> (Box 4.1). </w:t>
      </w:r>
    </w:p>
    <w:p w14:paraId="2F02F0A6" w14:textId="6BD3070E" w:rsidR="004E547C" w:rsidRPr="00592BE2" w:rsidRDefault="004E547C" w:rsidP="000B31CB"/>
    <w:tbl>
      <w:tblPr>
        <w:tblW w:w="5000" w:type="pct"/>
        <w:shd w:val="clear" w:color="auto" w:fill="E6F2FF"/>
        <w:tblCellMar>
          <w:top w:w="284" w:type="dxa"/>
          <w:left w:w="284" w:type="dxa"/>
          <w:bottom w:w="284" w:type="dxa"/>
          <w:right w:w="284" w:type="dxa"/>
        </w:tblCellMar>
        <w:tblLook w:val="0000" w:firstRow="0" w:lastRow="0" w:firstColumn="0" w:lastColumn="0" w:noHBand="0" w:noVBand="0"/>
      </w:tblPr>
      <w:tblGrid>
        <w:gridCol w:w="7710"/>
      </w:tblGrid>
      <w:tr w:rsidR="004E547C" w14:paraId="09C11B97" w14:textId="77777777" w:rsidTr="007913DD">
        <w:trPr>
          <w:cantSplit/>
        </w:trPr>
        <w:tc>
          <w:tcPr>
            <w:tcW w:w="5000" w:type="pct"/>
            <w:shd w:val="clear" w:color="auto" w:fill="E6F2FF"/>
          </w:tcPr>
          <w:p w14:paraId="53EE1DF6" w14:textId="20778D4A" w:rsidR="004E547C" w:rsidRPr="00793D8E" w:rsidRDefault="004E547C" w:rsidP="000B0E42">
            <w:pPr>
              <w:pStyle w:val="BoxHeading"/>
            </w:pPr>
            <w:r w:rsidRPr="00793D8E">
              <w:lastRenderedPageBreak/>
              <w:t>Box 4.</w:t>
            </w:r>
            <w:r w:rsidR="005C04A7" w:rsidRPr="00793D8E">
              <w:t>1</w:t>
            </w:r>
            <w:r w:rsidRPr="00793D8E">
              <w:t xml:space="preserve"> – What makes a good progress and well</w:t>
            </w:r>
            <w:r w:rsidR="00102E07">
              <w:noBreakHyphen/>
            </w:r>
            <w:r w:rsidRPr="00793D8E">
              <w:t xml:space="preserve">being indicator? </w:t>
            </w:r>
          </w:p>
          <w:p w14:paraId="71004719" w14:textId="77777777" w:rsidR="004E547C" w:rsidRPr="00793D8E" w:rsidRDefault="004E547C" w:rsidP="000B31CB">
            <w:pPr>
              <w:pStyle w:val="BoxText"/>
            </w:pPr>
            <w:r w:rsidRPr="00793D8E">
              <w:t xml:space="preserve">According to the OECD and </w:t>
            </w:r>
            <w:r w:rsidR="00D91326" w:rsidRPr="00793D8E">
              <w:t xml:space="preserve">the </w:t>
            </w:r>
            <w:r w:rsidRPr="00793D8E">
              <w:t>internationally</w:t>
            </w:r>
            <w:r w:rsidR="00102E07">
              <w:noBreakHyphen/>
            </w:r>
            <w:r w:rsidRPr="00793D8E">
              <w:t xml:space="preserve">accepted </w:t>
            </w:r>
            <w:proofErr w:type="gramStart"/>
            <w:r w:rsidRPr="00793D8E">
              <w:t>Civitas</w:t>
            </w:r>
            <w:proofErr w:type="gramEnd"/>
            <w:r w:rsidRPr="00793D8E">
              <w:t xml:space="preserve"> initiative, indicators </w:t>
            </w:r>
            <w:r w:rsidR="00664AAE" w:rsidRPr="00793D8E">
              <w:t>should be</w:t>
            </w:r>
            <w:r w:rsidRPr="00793D8E">
              <w:t xml:space="preserve">: </w:t>
            </w:r>
          </w:p>
          <w:p w14:paraId="32B47707" w14:textId="77777777" w:rsidR="004E547C" w:rsidRPr="00793D8E" w:rsidRDefault="004E547C" w:rsidP="000B31CB">
            <w:pPr>
              <w:pStyle w:val="BoxBullet"/>
            </w:pPr>
            <w:r w:rsidRPr="00F752CE">
              <w:rPr>
                <w:b/>
                <w:bCs/>
              </w:rPr>
              <w:t>Relevan</w:t>
            </w:r>
            <w:r w:rsidR="00664AAE" w:rsidRPr="00F752CE">
              <w:rPr>
                <w:b/>
                <w:bCs/>
              </w:rPr>
              <w:t>t</w:t>
            </w:r>
            <w:r w:rsidRPr="00F752CE">
              <w:rPr>
                <w:b/>
                <w:bCs/>
              </w:rPr>
              <w:t>:</w:t>
            </w:r>
            <w:r w:rsidRPr="00793D8E">
              <w:t xml:space="preserve"> indicators </w:t>
            </w:r>
            <w:r w:rsidR="002F61DF">
              <w:t xml:space="preserve">should </w:t>
            </w:r>
            <w:r w:rsidRPr="00793D8E">
              <w:t>be relevant to policy priorities.</w:t>
            </w:r>
          </w:p>
          <w:p w14:paraId="50472594" w14:textId="77777777" w:rsidR="004E547C" w:rsidRPr="00793D8E" w:rsidRDefault="004E547C" w:rsidP="000B31CB">
            <w:pPr>
              <w:pStyle w:val="BoxBullet"/>
            </w:pPr>
            <w:r w:rsidRPr="00F752CE">
              <w:rPr>
                <w:b/>
                <w:bCs/>
              </w:rPr>
              <w:t>Complete:</w:t>
            </w:r>
            <w:r w:rsidRPr="00793D8E">
              <w:t xml:space="preserve"> indicators </w:t>
            </w:r>
            <w:r w:rsidR="002F61DF">
              <w:t xml:space="preserve">should </w:t>
            </w:r>
            <w:r w:rsidRPr="00793D8E">
              <w:t>adequately cover all policy priorities</w:t>
            </w:r>
            <w:r w:rsidR="00D91326">
              <w:t>.</w:t>
            </w:r>
          </w:p>
          <w:p w14:paraId="54797708" w14:textId="21FC145D" w:rsidR="00D91326" w:rsidRPr="00793D8E" w:rsidRDefault="00D91326" w:rsidP="00D91326">
            <w:pPr>
              <w:pStyle w:val="BoxBullet"/>
            </w:pPr>
            <w:r w:rsidRPr="00F752CE">
              <w:rPr>
                <w:b/>
                <w:bCs/>
              </w:rPr>
              <w:t>Measurable:</w:t>
            </w:r>
            <w:r w:rsidRPr="00793D8E">
              <w:t xml:space="preserve"> indicators should have the potential for objective measurement.</w:t>
            </w:r>
          </w:p>
          <w:p w14:paraId="52D846B2" w14:textId="77777777" w:rsidR="004E547C" w:rsidRPr="00793D8E" w:rsidRDefault="00D91326" w:rsidP="000B31CB">
            <w:pPr>
              <w:pStyle w:val="BoxBullet"/>
            </w:pPr>
            <w:r w:rsidRPr="00F752CE">
              <w:rPr>
                <w:b/>
                <w:bCs/>
              </w:rPr>
              <w:t>Comparable:</w:t>
            </w:r>
            <w:r w:rsidRPr="00793D8E">
              <w:t xml:space="preserve"> indicators should</w:t>
            </w:r>
            <w:r w:rsidR="004E547C" w:rsidRPr="00793D8E">
              <w:t xml:space="preserve"> be defined and measured consistently, to enable comparisons within a country and internationally.</w:t>
            </w:r>
          </w:p>
          <w:p w14:paraId="4E1CFDDE" w14:textId="77777777" w:rsidR="004E547C" w:rsidRPr="00793D8E" w:rsidRDefault="004E547C" w:rsidP="000B31CB">
            <w:pPr>
              <w:pStyle w:val="BoxBullet"/>
            </w:pPr>
            <w:r w:rsidRPr="00F752CE">
              <w:rPr>
                <w:b/>
                <w:bCs/>
              </w:rPr>
              <w:t>Reliab</w:t>
            </w:r>
            <w:r w:rsidR="00664AAE" w:rsidRPr="00F752CE">
              <w:rPr>
                <w:b/>
                <w:bCs/>
              </w:rPr>
              <w:t>le</w:t>
            </w:r>
            <w:r w:rsidRPr="00F752CE">
              <w:rPr>
                <w:b/>
                <w:bCs/>
              </w:rPr>
              <w:t>:</w:t>
            </w:r>
            <w:r w:rsidRPr="00793D8E">
              <w:t xml:space="preserve"> preference should be given to indicators underpinned by objective</w:t>
            </w:r>
            <w:r w:rsidR="003C72CA">
              <w:t xml:space="preserve"> and</w:t>
            </w:r>
            <w:r w:rsidRPr="00793D8E">
              <w:t xml:space="preserve"> accurate data, </w:t>
            </w:r>
            <w:r w:rsidR="003C72CA">
              <w:t xml:space="preserve">which is </w:t>
            </w:r>
            <w:r w:rsidRPr="00793D8E">
              <w:t>not subject to different interpretations.</w:t>
            </w:r>
          </w:p>
          <w:p w14:paraId="49441A5F" w14:textId="08E2D775" w:rsidR="004E547C" w:rsidRPr="00793D8E" w:rsidRDefault="00C03FBA" w:rsidP="000B31CB">
            <w:pPr>
              <w:pStyle w:val="BoxBullet"/>
            </w:pPr>
            <w:r w:rsidRPr="00F752CE">
              <w:rPr>
                <w:b/>
                <w:bCs/>
              </w:rPr>
              <w:t>Understandable</w:t>
            </w:r>
            <w:r w:rsidR="004E547C" w:rsidRPr="00F752CE">
              <w:rPr>
                <w:b/>
                <w:bCs/>
              </w:rPr>
              <w:t>:</w:t>
            </w:r>
            <w:r w:rsidR="004E547C" w:rsidRPr="00793D8E">
              <w:t xml:space="preserve"> indicators should be unambiguous, easy to understand by decision</w:t>
            </w:r>
            <w:r w:rsidR="00102E07">
              <w:noBreakHyphen/>
            </w:r>
            <w:r w:rsidR="004E547C" w:rsidRPr="00793D8E">
              <w:t xml:space="preserve">makers and key </w:t>
            </w:r>
            <w:proofErr w:type="gramStart"/>
            <w:r w:rsidR="004E547C" w:rsidRPr="00793D8E">
              <w:t>stakeholders, and</w:t>
            </w:r>
            <w:proofErr w:type="gramEnd"/>
            <w:r w:rsidR="004E547C" w:rsidRPr="00793D8E">
              <w:t xml:space="preserve"> be </w:t>
            </w:r>
            <w:r w:rsidR="00D91326" w:rsidRPr="00793D8E">
              <w:t>standard</w:t>
            </w:r>
            <w:r w:rsidR="00D91326">
              <w:t>ised</w:t>
            </w:r>
            <w:r w:rsidR="004E547C" w:rsidRPr="00793D8E">
              <w:t xml:space="preserve"> where possible.</w:t>
            </w:r>
          </w:p>
          <w:p w14:paraId="54B4777E" w14:textId="017056FC" w:rsidR="00D91326" w:rsidRDefault="00D91326" w:rsidP="00102E07">
            <w:pPr>
              <w:pStyle w:val="BoxText"/>
            </w:pPr>
            <w:r w:rsidRPr="00793D8E">
              <w:t xml:space="preserve">An effective framework will </w:t>
            </w:r>
            <w:r>
              <w:t>minimise the number of</w:t>
            </w:r>
            <w:r w:rsidRPr="00793D8E">
              <w:t xml:space="preserve"> core </w:t>
            </w:r>
            <w:r>
              <w:t>indicators</w:t>
            </w:r>
            <w:r w:rsidRPr="00793D8E">
              <w:t xml:space="preserve"> to support decision</w:t>
            </w:r>
            <w:r w:rsidR="00102E07">
              <w:noBreakHyphen/>
            </w:r>
            <w:r w:rsidRPr="00793D8E">
              <w:t>making by avoiding unnecessary complexity.</w:t>
            </w:r>
          </w:p>
          <w:p w14:paraId="78EF273C" w14:textId="4DC5ACDB" w:rsidR="00D32D18" w:rsidRPr="000B31CB" w:rsidRDefault="00D32D18" w:rsidP="006A1C18">
            <w:pPr>
              <w:pStyle w:val="ChartandTableFootnote"/>
              <w:spacing w:after="120"/>
            </w:pPr>
            <w:r w:rsidRPr="00D73E6D">
              <w:t>Source:</w:t>
            </w:r>
            <w:r>
              <w:t xml:space="preserve"> </w:t>
            </w:r>
            <w:r>
              <w:tab/>
            </w:r>
            <w:r w:rsidR="00DE05F4">
              <w:t>OECD (</w:t>
            </w:r>
            <w:hyperlink r:id="rId18" w:history="1">
              <w:r w:rsidR="00DE05F4" w:rsidRPr="00DE05F4">
                <w:rPr>
                  <w:rStyle w:val="Hyperlink"/>
                </w:rPr>
                <w:t>2011</w:t>
              </w:r>
            </w:hyperlink>
            <w:r w:rsidR="00DE05F4">
              <w:t xml:space="preserve">), </w:t>
            </w:r>
            <w:r w:rsidR="00102E07">
              <w:t>‘</w:t>
            </w:r>
            <w:r w:rsidR="00DE05F4">
              <w:t>Compendium of OECD Well</w:t>
            </w:r>
            <w:r w:rsidR="00102E07">
              <w:noBreakHyphen/>
            </w:r>
            <w:r w:rsidR="00DE05F4">
              <w:t>being indicators</w:t>
            </w:r>
            <w:r w:rsidR="00102E07">
              <w:t>’</w:t>
            </w:r>
            <w:r w:rsidR="00DE05F4">
              <w:t xml:space="preserve">; </w:t>
            </w:r>
            <w:r w:rsidR="00D95D9D">
              <w:t>Civitas (</w:t>
            </w:r>
            <w:hyperlink r:id="rId19" w:history="1">
              <w:r w:rsidR="00D95D9D" w:rsidRPr="006A1C18">
                <w:rPr>
                  <w:rStyle w:val="Hyperlink"/>
                </w:rPr>
                <w:t>2020</w:t>
              </w:r>
            </w:hyperlink>
            <w:r w:rsidR="00D95D9D">
              <w:t xml:space="preserve">), </w:t>
            </w:r>
            <w:r w:rsidR="00102E07">
              <w:t>‘</w:t>
            </w:r>
            <w:r w:rsidR="006A1C18">
              <w:t>CIVITAS 2020 process and impact evaluation framework</w:t>
            </w:r>
            <w:r w:rsidR="00102E07">
              <w:t>’</w:t>
            </w:r>
          </w:p>
        </w:tc>
      </w:tr>
    </w:tbl>
    <w:p w14:paraId="26CF13C5" w14:textId="39BAAD1E" w:rsidR="00F54733" w:rsidRDefault="00F54733" w:rsidP="00573BA3">
      <w:pPr>
        <w:pStyle w:val="Heading2"/>
      </w:pPr>
      <w:bookmarkStart w:id="5" w:name="_Toc117059943"/>
      <w:bookmarkStart w:id="6" w:name="_Toc117071282"/>
      <w:r>
        <w:t>Progress frameworks overseas</w:t>
      </w:r>
      <w:bookmarkEnd w:id="5"/>
      <w:bookmarkEnd w:id="6"/>
      <w:r w:rsidDel="00193364">
        <w:t xml:space="preserve"> </w:t>
      </w:r>
    </w:p>
    <w:p w14:paraId="42BC306F" w14:textId="4F6073A8" w:rsidR="00081C96" w:rsidRDefault="00F54733" w:rsidP="000B31CB">
      <w:r>
        <w:t xml:space="preserve">Internationally, </w:t>
      </w:r>
      <w:r w:rsidRPr="000943F3">
        <w:t xml:space="preserve">governments </w:t>
      </w:r>
      <w:r>
        <w:t>are</w:t>
      </w:r>
      <w:r w:rsidRPr="000943F3">
        <w:t xml:space="preserve"> </w:t>
      </w:r>
      <w:r>
        <w:t>placing greater emphasis on</w:t>
      </w:r>
      <w:r w:rsidRPr="000943F3">
        <w:t xml:space="preserve"> non</w:t>
      </w:r>
      <w:r w:rsidR="00102E07">
        <w:noBreakHyphen/>
      </w:r>
      <w:r w:rsidRPr="000943F3">
        <w:t xml:space="preserve">economic measures of </w:t>
      </w:r>
      <w:r>
        <w:t xml:space="preserve">progress and quality </w:t>
      </w:r>
      <w:r w:rsidR="00AB528F">
        <w:t xml:space="preserve">of </w:t>
      </w:r>
      <w:r>
        <w:t>life</w:t>
      </w:r>
      <w:r w:rsidRPr="00F075F0">
        <w:t>.</w:t>
      </w:r>
      <w:r>
        <w:t xml:space="preserve"> </w:t>
      </w:r>
      <w:r w:rsidR="00AB528F">
        <w:t xml:space="preserve">Progress frameworks have been used </w:t>
      </w:r>
      <w:r w:rsidR="00E75627">
        <w:t>by c</w:t>
      </w:r>
      <w:r w:rsidR="00CD7EF2">
        <w:t>ountries</w:t>
      </w:r>
      <w:r w:rsidR="00CD7EF2" w:rsidRPr="000943F3">
        <w:t xml:space="preserve"> </w:t>
      </w:r>
      <w:r w:rsidRPr="000943F3">
        <w:t>such as Scotland, Wales, Canada, New Zealand and Germany</w:t>
      </w:r>
      <w:r w:rsidR="001D6024">
        <w:t xml:space="preserve">. These aim to </w:t>
      </w:r>
      <w:r w:rsidR="008E7484">
        <w:t>raise the profile of non</w:t>
      </w:r>
      <w:r w:rsidR="00102E07">
        <w:noBreakHyphen/>
      </w:r>
      <w:r w:rsidR="008E7484">
        <w:t xml:space="preserve">economic outcomes and </w:t>
      </w:r>
      <w:r w:rsidR="001D6024">
        <w:t xml:space="preserve">provide </w:t>
      </w:r>
      <w:r w:rsidR="008817BA">
        <w:t xml:space="preserve">a picture of national </w:t>
      </w:r>
      <w:r w:rsidR="008E7484">
        <w:t xml:space="preserve">progress and </w:t>
      </w:r>
      <w:r w:rsidR="008817BA">
        <w:t>well</w:t>
      </w:r>
      <w:r w:rsidR="00102E07">
        <w:noBreakHyphen/>
      </w:r>
      <w:r w:rsidR="008817BA">
        <w:t>being</w:t>
      </w:r>
      <w:r w:rsidRPr="005C7773">
        <w:t xml:space="preserve"> (</w:t>
      </w:r>
      <w:r>
        <w:t>Table</w:t>
      </w:r>
      <w:r w:rsidR="00F663FC">
        <w:t> </w:t>
      </w:r>
      <w:r>
        <w:t>4.</w:t>
      </w:r>
      <w:r w:rsidR="00304446">
        <w:t>2</w:t>
      </w:r>
      <w:r w:rsidRPr="005C7773">
        <w:t>)</w:t>
      </w:r>
      <w:r w:rsidRPr="000943F3">
        <w:t xml:space="preserve">. </w:t>
      </w:r>
    </w:p>
    <w:p w14:paraId="489AF049" w14:textId="163411F8" w:rsidR="00F570F0" w:rsidRDefault="00081C96">
      <w:pPr>
        <w:spacing w:before="0" w:after="160" w:line="259" w:lineRule="auto"/>
      </w:pPr>
      <w:r>
        <w:t xml:space="preserve">Most </w:t>
      </w:r>
      <w:r w:rsidRPr="002100A7">
        <w:t xml:space="preserve">countries </w:t>
      </w:r>
      <w:r>
        <w:t>us</w:t>
      </w:r>
      <w:r w:rsidR="00163DF9">
        <w:t>e</w:t>
      </w:r>
      <w:r>
        <w:t xml:space="preserve"> their </w:t>
      </w:r>
      <w:r w:rsidRPr="002100A7">
        <w:t xml:space="preserve">frameworks to communicate the importance of </w:t>
      </w:r>
      <w:r>
        <w:t xml:space="preserve">improving </w:t>
      </w:r>
      <w:proofErr w:type="gramStart"/>
      <w:r>
        <w:t>outcomes,</w:t>
      </w:r>
      <w:r w:rsidRPr="002100A7">
        <w:t xml:space="preserve"> and</w:t>
      </w:r>
      <w:proofErr w:type="gramEnd"/>
      <w:r w:rsidRPr="002100A7">
        <w:t xml:space="preserve"> </w:t>
      </w:r>
      <w:r w:rsidR="00C87286">
        <w:t xml:space="preserve">draw attention to the actions taken by </w:t>
      </w:r>
      <w:r w:rsidR="00C87286" w:rsidRPr="002100A7">
        <w:t xml:space="preserve">government </w:t>
      </w:r>
      <w:r w:rsidR="00C87286">
        <w:t>to achieve these outcomes</w:t>
      </w:r>
      <w:r w:rsidR="00C87286" w:rsidRPr="002100A7">
        <w:t xml:space="preserve">. </w:t>
      </w:r>
      <w:r w:rsidR="00C87286">
        <w:t xml:space="preserve">Some countries, like Canada and Germany, have used the process of developing a framework to promote a national conversation about progress goals, so have consulted on their frameworks over several years. </w:t>
      </w:r>
      <w:r w:rsidR="00C87286" w:rsidRPr="002100A7">
        <w:t>A small number of countries</w:t>
      </w:r>
      <w:r w:rsidR="00C87286">
        <w:t>, like New Zealand,</w:t>
      </w:r>
      <w:r w:rsidR="00C87286" w:rsidRPr="002100A7">
        <w:t xml:space="preserve"> </w:t>
      </w:r>
      <w:r w:rsidR="00C87286">
        <w:t>have</w:t>
      </w:r>
      <w:r w:rsidR="00C87286" w:rsidRPr="002100A7">
        <w:t xml:space="preserve"> </w:t>
      </w:r>
      <w:r w:rsidR="00C87286">
        <w:t>also</w:t>
      </w:r>
      <w:r w:rsidR="00C87286" w:rsidRPr="002100A7">
        <w:t xml:space="preserve"> incorporat</w:t>
      </w:r>
      <w:r w:rsidR="00C87286">
        <w:t>ed</w:t>
      </w:r>
      <w:r w:rsidRPr="002100A7">
        <w:t xml:space="preserve"> frameworks into budget and policy</w:t>
      </w:r>
      <w:r w:rsidR="00102E07">
        <w:noBreakHyphen/>
      </w:r>
      <w:r w:rsidRPr="002100A7">
        <w:t>making processes</w:t>
      </w:r>
      <w:r>
        <w:t xml:space="preserve"> (Box 4.2)</w:t>
      </w:r>
      <w:r w:rsidRPr="002100A7">
        <w:t>.</w:t>
      </w:r>
      <w:r w:rsidRPr="001C46C9">
        <w:t xml:space="preserve"> </w:t>
      </w:r>
    </w:p>
    <w:p w14:paraId="25B91CC8" w14:textId="5196F07D" w:rsidR="00081C96" w:rsidRDefault="00C87286">
      <w:pPr>
        <w:spacing w:before="0" w:after="160" w:line="259" w:lineRule="auto"/>
      </w:pPr>
      <w:r>
        <w:t>The frameworks all cover a</w:t>
      </w:r>
      <w:r w:rsidR="00A96B27">
        <w:t xml:space="preserve"> relatively small</w:t>
      </w:r>
      <w:r w:rsidR="00DB2DFC">
        <w:t xml:space="preserve"> number of </w:t>
      </w:r>
      <w:r w:rsidR="002D38EF">
        <w:t>core policy areas</w:t>
      </w:r>
      <w:r>
        <w:t>. However,</w:t>
      </w:r>
      <w:r w:rsidR="002D38EF">
        <w:t xml:space="preserve"> the number of indicators </w:t>
      </w:r>
      <w:r w:rsidR="00C61FFF">
        <w:t>used vari</w:t>
      </w:r>
      <w:r w:rsidR="00DB2DFC">
        <w:t>es significantly</w:t>
      </w:r>
      <w:r w:rsidR="00715C13">
        <w:t xml:space="preserve"> – </w:t>
      </w:r>
      <w:r w:rsidR="00DB2DFC">
        <w:t>from 3</w:t>
      </w:r>
      <w:r w:rsidR="00B43152">
        <w:t>8</w:t>
      </w:r>
      <w:r w:rsidR="00DB2DFC">
        <w:t xml:space="preserve"> indicators in </w:t>
      </w:r>
      <w:r w:rsidR="00A4603D">
        <w:t xml:space="preserve">the </w:t>
      </w:r>
      <w:r w:rsidR="00DB2DFC">
        <w:t>UK</w:t>
      </w:r>
      <w:r w:rsidR="00102E07">
        <w:t>’</w:t>
      </w:r>
      <w:r w:rsidR="00A4603D">
        <w:t>s framework to 153 in Italy</w:t>
      </w:r>
      <w:r w:rsidR="00102E07">
        <w:t>’</w:t>
      </w:r>
      <w:r w:rsidR="00A4603D">
        <w:t xml:space="preserve">s. </w:t>
      </w:r>
      <w:r>
        <w:t xml:space="preserve">Most frameworks have more indicators </w:t>
      </w:r>
      <w:r w:rsidR="000141A4">
        <w:t>than the 36</w:t>
      </w:r>
      <w:r w:rsidR="0035257E">
        <w:t xml:space="preserve"> headline</w:t>
      </w:r>
      <w:r w:rsidR="000141A4">
        <w:t xml:space="preserve"> indicators </w:t>
      </w:r>
      <w:r>
        <w:t>included</w:t>
      </w:r>
      <w:r w:rsidR="000141A4">
        <w:t xml:space="preserve"> in the OECD </w:t>
      </w:r>
      <w:r w:rsidR="000141A4" w:rsidRPr="00FD7355">
        <w:t xml:space="preserve">Framework for Measuring </w:t>
      </w:r>
      <w:r w:rsidRPr="00FD7355">
        <w:t>Well</w:t>
      </w:r>
      <w:r w:rsidR="00102E07">
        <w:noBreakHyphen/>
      </w:r>
      <w:r>
        <w:t>b</w:t>
      </w:r>
      <w:r w:rsidRPr="00FD7355">
        <w:t>eing</w:t>
      </w:r>
      <w:r w:rsidR="000141A4" w:rsidRPr="00FD7355">
        <w:t xml:space="preserve"> and Progress</w:t>
      </w:r>
      <w:r w:rsidR="000141A4">
        <w:t>, as multiple indicators are often used to capture important aspects of a single outcome</w:t>
      </w:r>
      <w:r w:rsidR="008428B9">
        <w:t xml:space="preserve">, </w:t>
      </w:r>
      <w:r w:rsidR="00A96B27">
        <w:t>like distributional impacts</w:t>
      </w:r>
      <w:r w:rsidR="00D0215D">
        <w:t>.</w:t>
      </w:r>
      <w:r w:rsidR="00081C96">
        <w:br w:type="page"/>
      </w:r>
    </w:p>
    <w:p w14:paraId="1F99B56C" w14:textId="7E4B0451" w:rsidR="00791925" w:rsidRPr="00223F72" w:rsidRDefault="00791925" w:rsidP="00791925">
      <w:pPr>
        <w:pStyle w:val="TableHeading"/>
      </w:pPr>
      <w:r w:rsidRPr="00A67BE7">
        <w:lastRenderedPageBreak/>
        <w:t>Table 4.</w:t>
      </w:r>
      <w:r>
        <w:t>2</w:t>
      </w:r>
      <w:r w:rsidRPr="00A67BE7">
        <w:t xml:space="preserve">: </w:t>
      </w:r>
      <w:r w:rsidR="000A324F">
        <w:t>Selected i</w:t>
      </w:r>
      <w:r>
        <w:t xml:space="preserve">nternational </w:t>
      </w:r>
      <w:r w:rsidRPr="000B31CB">
        <w:t>frameworks</w:t>
      </w:r>
    </w:p>
    <w:tbl>
      <w:tblPr>
        <w:tblStyle w:val="TableGrid"/>
        <w:tblW w:w="0" w:type="auto"/>
        <w:tblCellMar>
          <w:top w:w="113" w:type="dxa"/>
          <w:left w:w="113" w:type="dxa"/>
          <w:bottom w:w="113" w:type="dxa"/>
          <w:right w:w="113" w:type="dxa"/>
        </w:tblCellMar>
        <w:tblLook w:val="04A0" w:firstRow="1" w:lastRow="0" w:firstColumn="1" w:lastColumn="0" w:noHBand="0" w:noVBand="1"/>
        <w:tblCaption w:val="Table"/>
      </w:tblPr>
      <w:tblGrid>
        <w:gridCol w:w="4561"/>
        <w:gridCol w:w="1278"/>
        <w:gridCol w:w="851"/>
        <w:gridCol w:w="1010"/>
      </w:tblGrid>
      <w:tr w:rsidR="00791925" w:rsidRPr="00615BBE" w14:paraId="635E1C95" w14:textId="77777777" w:rsidTr="00791925">
        <w:trPr>
          <w:cantSplit/>
        </w:trPr>
        <w:tc>
          <w:tcPr>
            <w:tcW w:w="4592" w:type="dxa"/>
            <w:shd w:val="clear" w:color="auto" w:fill="213657" w:themeFill="accent5"/>
          </w:tcPr>
          <w:p w14:paraId="66D1AF8C" w14:textId="77777777" w:rsidR="00791925" w:rsidRPr="00615BBE" w:rsidRDefault="00791925" w:rsidP="00791925">
            <w:pPr>
              <w:pStyle w:val="TableColumnHeadingLeft"/>
              <w:keepNext/>
            </w:pPr>
            <w:r>
              <w:t>Jurisdiction</w:t>
            </w:r>
            <w:r w:rsidRPr="00615BBE">
              <w:t xml:space="preserve"> / Organisation</w:t>
            </w:r>
          </w:p>
        </w:tc>
        <w:tc>
          <w:tcPr>
            <w:tcW w:w="1279" w:type="dxa"/>
            <w:shd w:val="clear" w:color="auto" w:fill="213657" w:themeFill="accent5"/>
          </w:tcPr>
          <w:p w14:paraId="15487A5C" w14:textId="77777777" w:rsidR="00791925" w:rsidRPr="00615BBE" w:rsidRDefault="00791925" w:rsidP="00791925">
            <w:pPr>
              <w:pStyle w:val="TableColumnHeadingLeft"/>
            </w:pPr>
            <w:r w:rsidRPr="00615BBE">
              <w:t>Year implemented</w:t>
            </w:r>
          </w:p>
        </w:tc>
        <w:tc>
          <w:tcPr>
            <w:tcW w:w="852" w:type="dxa"/>
            <w:shd w:val="clear" w:color="auto" w:fill="213657" w:themeFill="accent5"/>
          </w:tcPr>
          <w:p w14:paraId="188ACF80" w14:textId="77777777" w:rsidR="00791925" w:rsidRPr="00615BBE" w:rsidRDefault="00791925" w:rsidP="00791925">
            <w:pPr>
              <w:pStyle w:val="TableColumnHeadingLeft"/>
            </w:pPr>
            <w:r w:rsidRPr="00615BBE">
              <w:t xml:space="preserve">No. </w:t>
            </w:r>
            <w:r>
              <w:t>policy areas</w:t>
            </w:r>
          </w:p>
        </w:tc>
        <w:tc>
          <w:tcPr>
            <w:tcW w:w="1010" w:type="dxa"/>
            <w:shd w:val="clear" w:color="auto" w:fill="213657" w:themeFill="accent5"/>
          </w:tcPr>
          <w:p w14:paraId="20471E32" w14:textId="77777777" w:rsidR="00791925" w:rsidRPr="00615BBE" w:rsidRDefault="00791925" w:rsidP="00791925">
            <w:pPr>
              <w:pStyle w:val="TableColumnHeadingLeft"/>
            </w:pPr>
            <w:r w:rsidRPr="00615BBE">
              <w:t>No. indicators</w:t>
            </w:r>
          </w:p>
        </w:tc>
      </w:tr>
      <w:tr w:rsidR="00791925" w:rsidRPr="00223F72" w14:paraId="54A987A8" w14:textId="77777777" w:rsidTr="00791925">
        <w:trPr>
          <w:cantSplit/>
        </w:trPr>
        <w:tc>
          <w:tcPr>
            <w:tcW w:w="4592" w:type="dxa"/>
          </w:tcPr>
          <w:p w14:paraId="2C7B77B7" w14:textId="77777777" w:rsidR="00791925" w:rsidRPr="00615BBE" w:rsidRDefault="00791925" w:rsidP="00791925">
            <w:pPr>
              <w:pStyle w:val="TableTextLeft"/>
            </w:pPr>
            <w:r w:rsidRPr="00615BBE">
              <w:t>Scotland (</w:t>
            </w:r>
            <w:r>
              <w:t>National Performance Framework)</w:t>
            </w:r>
          </w:p>
        </w:tc>
        <w:tc>
          <w:tcPr>
            <w:tcW w:w="1279" w:type="dxa"/>
          </w:tcPr>
          <w:p w14:paraId="17AC7D6D" w14:textId="77777777" w:rsidR="00791925" w:rsidRPr="00615BBE" w:rsidRDefault="00791925" w:rsidP="00791925">
            <w:pPr>
              <w:pStyle w:val="TableTextCentred"/>
            </w:pPr>
            <w:r w:rsidRPr="00615BBE">
              <w:t>2007</w:t>
            </w:r>
          </w:p>
        </w:tc>
        <w:tc>
          <w:tcPr>
            <w:tcW w:w="852" w:type="dxa"/>
          </w:tcPr>
          <w:p w14:paraId="4F547F2F" w14:textId="77777777" w:rsidR="00791925" w:rsidRPr="00615BBE" w:rsidRDefault="00791925" w:rsidP="00791925">
            <w:pPr>
              <w:pStyle w:val="TableTextCentred"/>
            </w:pPr>
            <w:r w:rsidRPr="00615BBE">
              <w:t>11</w:t>
            </w:r>
          </w:p>
        </w:tc>
        <w:tc>
          <w:tcPr>
            <w:tcW w:w="1010" w:type="dxa"/>
          </w:tcPr>
          <w:p w14:paraId="77A01DF0" w14:textId="3FAB396E" w:rsidR="00791925" w:rsidRPr="00615BBE" w:rsidRDefault="00791925" w:rsidP="00791925">
            <w:pPr>
              <w:pStyle w:val="TableTextCentred"/>
            </w:pPr>
            <w:r w:rsidRPr="00615BBE">
              <w:t>81</w:t>
            </w:r>
          </w:p>
        </w:tc>
      </w:tr>
      <w:tr w:rsidR="00791925" w:rsidRPr="00223F72" w14:paraId="4F4B7B61" w14:textId="77777777" w:rsidTr="00791925">
        <w:trPr>
          <w:cantSplit/>
        </w:trPr>
        <w:tc>
          <w:tcPr>
            <w:tcW w:w="4592" w:type="dxa"/>
          </w:tcPr>
          <w:p w14:paraId="06C62176" w14:textId="6EEA1BE6" w:rsidR="00791925" w:rsidRPr="00135AA3" w:rsidRDefault="00791925" w:rsidP="00791925">
            <w:pPr>
              <w:pStyle w:val="TableTextLeft"/>
              <w:rPr>
                <w:spacing w:val="-4"/>
              </w:rPr>
            </w:pPr>
            <w:r w:rsidRPr="00135AA3">
              <w:rPr>
                <w:spacing w:val="-4"/>
              </w:rPr>
              <w:t>Italy (Measures of Equitable and Sustainable Well</w:t>
            </w:r>
            <w:r w:rsidR="00102E07">
              <w:rPr>
                <w:spacing w:val="-4"/>
              </w:rPr>
              <w:noBreakHyphen/>
            </w:r>
            <w:r w:rsidRPr="00135AA3">
              <w:rPr>
                <w:spacing w:val="-4"/>
              </w:rPr>
              <w:t>being)</w:t>
            </w:r>
          </w:p>
        </w:tc>
        <w:tc>
          <w:tcPr>
            <w:tcW w:w="1279" w:type="dxa"/>
          </w:tcPr>
          <w:p w14:paraId="79FE4EC8" w14:textId="77777777" w:rsidR="00791925" w:rsidRPr="00615BBE" w:rsidRDefault="00791925" w:rsidP="00791925">
            <w:pPr>
              <w:pStyle w:val="TableTextCentred"/>
            </w:pPr>
            <w:r w:rsidRPr="00615BBE">
              <w:t>2010</w:t>
            </w:r>
          </w:p>
        </w:tc>
        <w:tc>
          <w:tcPr>
            <w:tcW w:w="852" w:type="dxa"/>
          </w:tcPr>
          <w:p w14:paraId="2C214139" w14:textId="77777777" w:rsidR="00791925" w:rsidRPr="00615BBE" w:rsidRDefault="00791925" w:rsidP="00791925">
            <w:pPr>
              <w:pStyle w:val="TableTextCentred"/>
            </w:pPr>
            <w:r w:rsidRPr="00615BBE">
              <w:t>12</w:t>
            </w:r>
          </w:p>
        </w:tc>
        <w:tc>
          <w:tcPr>
            <w:tcW w:w="1010" w:type="dxa"/>
          </w:tcPr>
          <w:p w14:paraId="12CFF736" w14:textId="705D3BE9" w:rsidR="00791925" w:rsidRPr="00615BBE" w:rsidRDefault="00791925" w:rsidP="00791925">
            <w:pPr>
              <w:pStyle w:val="TableTextCentred"/>
            </w:pPr>
            <w:r w:rsidRPr="00615BBE">
              <w:t>153</w:t>
            </w:r>
          </w:p>
        </w:tc>
      </w:tr>
      <w:tr w:rsidR="00791925" w:rsidRPr="00223F72" w14:paraId="07F1599B" w14:textId="77777777" w:rsidTr="00791925">
        <w:trPr>
          <w:cantSplit/>
        </w:trPr>
        <w:tc>
          <w:tcPr>
            <w:tcW w:w="4592" w:type="dxa"/>
          </w:tcPr>
          <w:p w14:paraId="1DC90AE3" w14:textId="6A5C3856" w:rsidR="00791925" w:rsidRPr="00615BBE" w:rsidRDefault="00791925" w:rsidP="00791925">
            <w:pPr>
              <w:pStyle w:val="TableTextLeft"/>
            </w:pPr>
            <w:r w:rsidRPr="00615BBE">
              <w:t>United Kingdom</w:t>
            </w:r>
            <w:r>
              <w:t xml:space="preserve"> (Measures of National Well</w:t>
            </w:r>
            <w:r w:rsidR="00102E07">
              <w:noBreakHyphen/>
            </w:r>
            <w:r>
              <w:t>being)</w:t>
            </w:r>
          </w:p>
        </w:tc>
        <w:tc>
          <w:tcPr>
            <w:tcW w:w="1279" w:type="dxa"/>
          </w:tcPr>
          <w:p w14:paraId="44B3675A" w14:textId="77777777" w:rsidR="00791925" w:rsidRPr="00615BBE" w:rsidRDefault="00791925" w:rsidP="00791925">
            <w:pPr>
              <w:pStyle w:val="TableTextCentred"/>
            </w:pPr>
            <w:r w:rsidRPr="00615BBE">
              <w:t>2010</w:t>
            </w:r>
          </w:p>
        </w:tc>
        <w:tc>
          <w:tcPr>
            <w:tcW w:w="852" w:type="dxa"/>
          </w:tcPr>
          <w:p w14:paraId="3190CD13" w14:textId="77777777" w:rsidR="00791925" w:rsidRPr="00615BBE" w:rsidRDefault="00791925" w:rsidP="00791925">
            <w:pPr>
              <w:pStyle w:val="TableTextCentred"/>
            </w:pPr>
            <w:r w:rsidRPr="00615BBE">
              <w:t>10</w:t>
            </w:r>
          </w:p>
        </w:tc>
        <w:tc>
          <w:tcPr>
            <w:tcW w:w="1010" w:type="dxa"/>
          </w:tcPr>
          <w:p w14:paraId="1B182287" w14:textId="484C002D" w:rsidR="00791925" w:rsidRPr="00615BBE" w:rsidRDefault="00791925" w:rsidP="00791925">
            <w:pPr>
              <w:pStyle w:val="TableTextCentred"/>
            </w:pPr>
            <w:r w:rsidRPr="00615BBE">
              <w:t>3</w:t>
            </w:r>
            <w:r w:rsidR="00756A31">
              <w:t>8</w:t>
            </w:r>
          </w:p>
        </w:tc>
      </w:tr>
      <w:tr w:rsidR="00791925" w:rsidRPr="00223F72" w14:paraId="73775AE0" w14:textId="77777777" w:rsidTr="00791925">
        <w:trPr>
          <w:cantSplit/>
        </w:trPr>
        <w:tc>
          <w:tcPr>
            <w:tcW w:w="4592" w:type="dxa"/>
          </w:tcPr>
          <w:p w14:paraId="51074A80" w14:textId="6E14445B" w:rsidR="00791925" w:rsidRPr="00615BBE" w:rsidRDefault="00791925" w:rsidP="00791925">
            <w:pPr>
              <w:pStyle w:val="TableTextLeft"/>
            </w:pPr>
            <w:r w:rsidRPr="00615BBE">
              <w:t>OECD</w:t>
            </w:r>
            <w:r>
              <w:t xml:space="preserve"> (Measuring Well</w:t>
            </w:r>
            <w:r w:rsidR="00102E07">
              <w:noBreakHyphen/>
            </w:r>
            <w:r>
              <w:t>being and Progress)</w:t>
            </w:r>
          </w:p>
        </w:tc>
        <w:tc>
          <w:tcPr>
            <w:tcW w:w="1279" w:type="dxa"/>
          </w:tcPr>
          <w:p w14:paraId="1FC1FD60" w14:textId="77777777" w:rsidR="00791925" w:rsidRPr="00615BBE" w:rsidRDefault="00791925" w:rsidP="00791925">
            <w:pPr>
              <w:pStyle w:val="TableTextCentred"/>
            </w:pPr>
            <w:r w:rsidRPr="00615BBE">
              <w:t>2011</w:t>
            </w:r>
          </w:p>
        </w:tc>
        <w:tc>
          <w:tcPr>
            <w:tcW w:w="852" w:type="dxa"/>
          </w:tcPr>
          <w:p w14:paraId="7021FC6D" w14:textId="77777777" w:rsidR="00791925" w:rsidRPr="00615BBE" w:rsidRDefault="00791925" w:rsidP="00791925">
            <w:pPr>
              <w:pStyle w:val="TableTextCentred"/>
            </w:pPr>
            <w:r w:rsidRPr="00615BBE">
              <w:t>15</w:t>
            </w:r>
          </w:p>
        </w:tc>
        <w:tc>
          <w:tcPr>
            <w:tcW w:w="1010" w:type="dxa"/>
          </w:tcPr>
          <w:p w14:paraId="62DDD669" w14:textId="160DC393" w:rsidR="00791925" w:rsidRPr="00615BBE" w:rsidRDefault="00791925" w:rsidP="00791925">
            <w:pPr>
              <w:pStyle w:val="TableTextCentred"/>
            </w:pPr>
            <w:r w:rsidRPr="00615BBE">
              <w:t>8</w:t>
            </w:r>
            <w:r w:rsidR="00A81EC9">
              <w:t>2</w:t>
            </w:r>
          </w:p>
        </w:tc>
      </w:tr>
      <w:tr w:rsidR="00791925" w:rsidRPr="00223F72" w14:paraId="0122711B" w14:textId="77777777" w:rsidTr="00791925">
        <w:trPr>
          <w:cantSplit/>
        </w:trPr>
        <w:tc>
          <w:tcPr>
            <w:tcW w:w="4592" w:type="dxa"/>
          </w:tcPr>
          <w:p w14:paraId="44E63052" w14:textId="77777777" w:rsidR="00791925" w:rsidRPr="00615BBE" w:rsidRDefault="00791925" w:rsidP="00791925">
            <w:pPr>
              <w:pStyle w:val="TableTextLeft"/>
            </w:pPr>
            <w:r w:rsidRPr="00615BBE">
              <w:t>New Zealand</w:t>
            </w:r>
            <w:r>
              <w:t xml:space="preserve"> (Living Standards Framework)</w:t>
            </w:r>
          </w:p>
        </w:tc>
        <w:tc>
          <w:tcPr>
            <w:tcW w:w="1279" w:type="dxa"/>
          </w:tcPr>
          <w:p w14:paraId="4DD897D3" w14:textId="77777777" w:rsidR="00791925" w:rsidRPr="00615BBE" w:rsidRDefault="00791925" w:rsidP="00791925">
            <w:pPr>
              <w:pStyle w:val="TableTextCentred"/>
            </w:pPr>
            <w:r w:rsidRPr="00615BBE">
              <w:t>2011</w:t>
            </w:r>
          </w:p>
        </w:tc>
        <w:tc>
          <w:tcPr>
            <w:tcW w:w="852" w:type="dxa"/>
          </w:tcPr>
          <w:p w14:paraId="094551EC" w14:textId="649C4CBA" w:rsidR="00791925" w:rsidRPr="00615BBE" w:rsidRDefault="00606FF6" w:rsidP="00791925">
            <w:pPr>
              <w:pStyle w:val="TableTextCentred"/>
            </w:pPr>
            <w:r>
              <w:t>22</w:t>
            </w:r>
          </w:p>
        </w:tc>
        <w:tc>
          <w:tcPr>
            <w:tcW w:w="1010" w:type="dxa"/>
          </w:tcPr>
          <w:p w14:paraId="43647D29" w14:textId="77777777" w:rsidR="00791925" w:rsidRPr="00615BBE" w:rsidRDefault="00791925" w:rsidP="00791925">
            <w:pPr>
              <w:pStyle w:val="TableTextCentred"/>
            </w:pPr>
            <w:r w:rsidRPr="00615BBE">
              <w:t>103</w:t>
            </w:r>
          </w:p>
        </w:tc>
      </w:tr>
      <w:tr w:rsidR="00791925" w:rsidRPr="00223F72" w14:paraId="65533792" w14:textId="77777777" w:rsidTr="00791925">
        <w:trPr>
          <w:cantSplit/>
        </w:trPr>
        <w:tc>
          <w:tcPr>
            <w:tcW w:w="4592" w:type="dxa"/>
          </w:tcPr>
          <w:p w14:paraId="2159B8CE" w14:textId="263D2C89" w:rsidR="00791925" w:rsidRPr="00615BBE" w:rsidRDefault="00791925" w:rsidP="00791925">
            <w:pPr>
              <w:pStyle w:val="TableTextLeft"/>
            </w:pPr>
            <w:r w:rsidRPr="00615BBE">
              <w:t>Wales</w:t>
            </w:r>
            <w:r>
              <w:t xml:space="preserve"> (Well</w:t>
            </w:r>
            <w:r w:rsidR="00102E07">
              <w:noBreakHyphen/>
            </w:r>
            <w:r>
              <w:t>being of Wales)</w:t>
            </w:r>
          </w:p>
        </w:tc>
        <w:tc>
          <w:tcPr>
            <w:tcW w:w="1279" w:type="dxa"/>
          </w:tcPr>
          <w:p w14:paraId="0A137FD2" w14:textId="77777777" w:rsidR="00791925" w:rsidRPr="00615BBE" w:rsidRDefault="00791925" w:rsidP="00791925">
            <w:pPr>
              <w:pStyle w:val="TableTextCentred"/>
            </w:pPr>
            <w:r w:rsidRPr="00615BBE">
              <w:t>2015</w:t>
            </w:r>
          </w:p>
        </w:tc>
        <w:tc>
          <w:tcPr>
            <w:tcW w:w="852" w:type="dxa"/>
          </w:tcPr>
          <w:p w14:paraId="291B571F" w14:textId="65B3BF90" w:rsidR="00791925" w:rsidRPr="00615BBE" w:rsidRDefault="00662C38" w:rsidP="00791925">
            <w:pPr>
              <w:pStyle w:val="TableTextCentred"/>
            </w:pPr>
            <w:r>
              <w:t>7</w:t>
            </w:r>
          </w:p>
        </w:tc>
        <w:tc>
          <w:tcPr>
            <w:tcW w:w="1010" w:type="dxa"/>
          </w:tcPr>
          <w:p w14:paraId="18EA0875" w14:textId="77777777" w:rsidR="00791925" w:rsidRPr="00615BBE" w:rsidRDefault="00791925" w:rsidP="00791925">
            <w:pPr>
              <w:pStyle w:val="TableTextCentred"/>
            </w:pPr>
            <w:r w:rsidRPr="00615BBE">
              <w:t>46</w:t>
            </w:r>
          </w:p>
        </w:tc>
      </w:tr>
      <w:tr w:rsidR="00791925" w:rsidRPr="00223F72" w14:paraId="1C29C850" w14:textId="77777777" w:rsidTr="00791925">
        <w:trPr>
          <w:cantSplit/>
        </w:trPr>
        <w:tc>
          <w:tcPr>
            <w:tcW w:w="4592" w:type="dxa"/>
          </w:tcPr>
          <w:p w14:paraId="4487D409" w14:textId="13E23F7E" w:rsidR="00791925" w:rsidRPr="00615BBE" w:rsidRDefault="00791925" w:rsidP="00791925">
            <w:pPr>
              <w:pStyle w:val="TableTextLeft"/>
            </w:pPr>
            <w:r w:rsidRPr="00615BBE">
              <w:t>Germany</w:t>
            </w:r>
            <w:r>
              <w:t xml:space="preserve"> (Well</w:t>
            </w:r>
            <w:r w:rsidR="00102E07">
              <w:noBreakHyphen/>
            </w:r>
            <w:r>
              <w:t>being in Germany)</w:t>
            </w:r>
          </w:p>
        </w:tc>
        <w:tc>
          <w:tcPr>
            <w:tcW w:w="1279" w:type="dxa"/>
          </w:tcPr>
          <w:p w14:paraId="29DE4652" w14:textId="77777777" w:rsidR="00791925" w:rsidRPr="00615BBE" w:rsidRDefault="00791925" w:rsidP="00791925">
            <w:pPr>
              <w:pStyle w:val="TableTextCentred"/>
            </w:pPr>
            <w:r w:rsidRPr="00615BBE">
              <w:t>2017</w:t>
            </w:r>
          </w:p>
        </w:tc>
        <w:tc>
          <w:tcPr>
            <w:tcW w:w="852" w:type="dxa"/>
          </w:tcPr>
          <w:p w14:paraId="4F3C8497" w14:textId="29E6EF18" w:rsidR="00791925" w:rsidRPr="00615BBE" w:rsidRDefault="001B107B" w:rsidP="00791925">
            <w:pPr>
              <w:pStyle w:val="TableTextCentred"/>
            </w:pPr>
            <w:r>
              <w:t>12</w:t>
            </w:r>
          </w:p>
        </w:tc>
        <w:tc>
          <w:tcPr>
            <w:tcW w:w="1010" w:type="dxa"/>
          </w:tcPr>
          <w:p w14:paraId="5FB775A9" w14:textId="77777777" w:rsidR="00791925" w:rsidRPr="00615BBE" w:rsidRDefault="00791925" w:rsidP="00791925">
            <w:pPr>
              <w:pStyle w:val="TableTextCentred"/>
            </w:pPr>
            <w:r w:rsidRPr="00615BBE">
              <w:t>46</w:t>
            </w:r>
          </w:p>
        </w:tc>
      </w:tr>
      <w:tr w:rsidR="00791925" w:rsidRPr="00223F72" w14:paraId="1FB145FF" w14:textId="77777777" w:rsidTr="00791925">
        <w:trPr>
          <w:cantSplit/>
        </w:trPr>
        <w:tc>
          <w:tcPr>
            <w:tcW w:w="4592" w:type="dxa"/>
          </w:tcPr>
          <w:p w14:paraId="09F65878" w14:textId="77777777" w:rsidR="00791925" w:rsidRPr="00615BBE" w:rsidRDefault="00791925" w:rsidP="00791925">
            <w:pPr>
              <w:pStyle w:val="TableTextLeft"/>
            </w:pPr>
            <w:r w:rsidRPr="00615BBE">
              <w:t>Canada (Quality of Life Framework)</w:t>
            </w:r>
          </w:p>
        </w:tc>
        <w:tc>
          <w:tcPr>
            <w:tcW w:w="1279" w:type="dxa"/>
          </w:tcPr>
          <w:p w14:paraId="4AAC97EF" w14:textId="77777777" w:rsidR="00791925" w:rsidRPr="00615BBE" w:rsidRDefault="00791925" w:rsidP="00791925">
            <w:pPr>
              <w:pStyle w:val="TableTextCentred"/>
            </w:pPr>
            <w:r w:rsidRPr="00615BBE">
              <w:t>2019</w:t>
            </w:r>
          </w:p>
        </w:tc>
        <w:tc>
          <w:tcPr>
            <w:tcW w:w="852" w:type="dxa"/>
          </w:tcPr>
          <w:p w14:paraId="5A4D8955" w14:textId="14A28560" w:rsidR="00791925" w:rsidRPr="00615BBE" w:rsidRDefault="00A0180C" w:rsidP="00791925">
            <w:pPr>
              <w:pStyle w:val="TableTextCentred"/>
            </w:pPr>
            <w:r>
              <w:t>14</w:t>
            </w:r>
          </w:p>
        </w:tc>
        <w:tc>
          <w:tcPr>
            <w:tcW w:w="1010" w:type="dxa"/>
          </w:tcPr>
          <w:p w14:paraId="6B9A7617" w14:textId="77777777" w:rsidR="00791925" w:rsidRPr="00615BBE" w:rsidRDefault="00791925" w:rsidP="00791925">
            <w:pPr>
              <w:pStyle w:val="TableTextCentred"/>
            </w:pPr>
            <w:r w:rsidRPr="00615BBE">
              <w:t>83</w:t>
            </w:r>
          </w:p>
        </w:tc>
      </w:tr>
      <w:tr w:rsidR="00791925" w:rsidRPr="00223F72" w14:paraId="055A361B" w14:textId="77777777" w:rsidTr="00791925">
        <w:trPr>
          <w:cantSplit/>
        </w:trPr>
        <w:tc>
          <w:tcPr>
            <w:tcW w:w="4592" w:type="dxa"/>
          </w:tcPr>
          <w:p w14:paraId="6ED70201" w14:textId="69AA6F55" w:rsidR="00791925" w:rsidRPr="00615BBE" w:rsidRDefault="00791925" w:rsidP="00791925">
            <w:pPr>
              <w:pStyle w:val="TableTextLeft"/>
            </w:pPr>
            <w:r w:rsidRPr="00615BBE">
              <w:t>Iceland</w:t>
            </w:r>
            <w:r>
              <w:t xml:space="preserve"> (Well</w:t>
            </w:r>
            <w:r w:rsidR="00102E07">
              <w:noBreakHyphen/>
            </w:r>
            <w:r>
              <w:t>being in Iceland)</w:t>
            </w:r>
          </w:p>
        </w:tc>
        <w:tc>
          <w:tcPr>
            <w:tcW w:w="1279" w:type="dxa"/>
          </w:tcPr>
          <w:p w14:paraId="4974CD4F" w14:textId="77777777" w:rsidR="00791925" w:rsidRPr="00615BBE" w:rsidRDefault="00791925" w:rsidP="00791925">
            <w:pPr>
              <w:pStyle w:val="TableTextCentred"/>
            </w:pPr>
            <w:r w:rsidRPr="00615BBE">
              <w:t>2019</w:t>
            </w:r>
          </w:p>
        </w:tc>
        <w:tc>
          <w:tcPr>
            <w:tcW w:w="852" w:type="dxa"/>
          </w:tcPr>
          <w:p w14:paraId="20F52DBD" w14:textId="74463239" w:rsidR="00791925" w:rsidRPr="00615BBE" w:rsidRDefault="00AD69AA" w:rsidP="00791925">
            <w:pPr>
              <w:pStyle w:val="TableTextCentred"/>
            </w:pPr>
            <w:r>
              <w:t>1</w:t>
            </w:r>
            <w:r w:rsidR="00791925" w:rsidRPr="00615BBE">
              <w:t>3</w:t>
            </w:r>
          </w:p>
        </w:tc>
        <w:tc>
          <w:tcPr>
            <w:tcW w:w="1010" w:type="dxa"/>
          </w:tcPr>
          <w:p w14:paraId="78E85D8F" w14:textId="77777777" w:rsidR="00791925" w:rsidRPr="00615BBE" w:rsidRDefault="00791925" w:rsidP="00791925">
            <w:pPr>
              <w:pStyle w:val="TableTextCentred"/>
            </w:pPr>
            <w:r w:rsidRPr="00615BBE">
              <w:t>39</w:t>
            </w:r>
          </w:p>
        </w:tc>
      </w:tr>
    </w:tbl>
    <w:p w14:paraId="70DA66B9" w14:textId="19B720AD" w:rsidR="00791925" w:rsidRDefault="00791925" w:rsidP="00FB23B8">
      <w:pPr>
        <w:pStyle w:val="ChartandTableFootnote"/>
        <w:spacing w:before="0"/>
      </w:pPr>
      <w:r>
        <w:t xml:space="preserve">Note: </w:t>
      </w:r>
      <w:r w:rsidR="009D7043">
        <w:tab/>
      </w:r>
      <w:r>
        <w:t xml:space="preserve">Policy areas are </w:t>
      </w:r>
      <w:r w:rsidR="000D0B2B">
        <w:t>also</w:t>
      </w:r>
      <w:r>
        <w:t xml:space="preserve"> called </w:t>
      </w:r>
      <w:r w:rsidR="00102E07">
        <w:t>‘</w:t>
      </w:r>
      <w:r>
        <w:t>domains</w:t>
      </w:r>
      <w:r w:rsidR="00102E07">
        <w:t>’</w:t>
      </w:r>
      <w:r>
        <w:t xml:space="preserve"> in the </w:t>
      </w:r>
      <w:r w:rsidR="000D0B2B">
        <w:t>well</w:t>
      </w:r>
      <w:r w:rsidR="00102E07">
        <w:noBreakHyphen/>
      </w:r>
      <w:r w:rsidR="000D0B2B">
        <w:t xml:space="preserve">being </w:t>
      </w:r>
      <w:r>
        <w:t xml:space="preserve">literature. </w:t>
      </w:r>
      <w:r w:rsidR="00706053">
        <w:t xml:space="preserve">While the OECD has 36 headline indicators, it also has a number of </w:t>
      </w:r>
      <w:proofErr w:type="gramStart"/>
      <w:r w:rsidR="00706053">
        <w:t>sub</w:t>
      </w:r>
      <w:proofErr w:type="gramEnd"/>
      <w:r w:rsidR="00102E07">
        <w:noBreakHyphen/>
      </w:r>
      <w:r w:rsidR="00706053">
        <w:t>indicators, bringing the total to 8</w:t>
      </w:r>
      <w:r w:rsidR="005D0C7C">
        <w:t>2</w:t>
      </w:r>
      <w:r w:rsidR="00706053">
        <w:t>.</w:t>
      </w:r>
    </w:p>
    <w:p w14:paraId="05A3BAE6" w14:textId="66A21AD4" w:rsidR="00791925" w:rsidRDefault="00791925" w:rsidP="00021AE6">
      <w:pPr>
        <w:pStyle w:val="ChartandTableFootnote"/>
      </w:pPr>
      <w:r w:rsidRPr="00D73E6D">
        <w:t>Source:</w:t>
      </w:r>
      <w:r>
        <w:t xml:space="preserve"> </w:t>
      </w:r>
      <w:r w:rsidR="009D7043">
        <w:tab/>
      </w:r>
      <w:r>
        <w:t>National agencies; Centre for Policy Development (</w:t>
      </w:r>
      <w:hyperlink r:id="rId20" w:history="1">
        <w:r w:rsidRPr="00FC72E9">
          <w:rPr>
            <w:rStyle w:val="Hyperlink"/>
          </w:rPr>
          <w:t>2022</w:t>
        </w:r>
      </w:hyperlink>
      <w:r>
        <w:t>)</w:t>
      </w:r>
      <w:r w:rsidR="0001530B">
        <w:t xml:space="preserve">, </w:t>
      </w:r>
      <w:r w:rsidR="00102E07">
        <w:t>‘</w:t>
      </w:r>
      <w:r w:rsidR="0001530B">
        <w:t>Redefining Progress</w:t>
      </w:r>
      <w:r w:rsidR="00102E07">
        <w:t>’</w:t>
      </w:r>
    </w:p>
    <w:p w14:paraId="365738A5" w14:textId="77777777" w:rsidR="007E4F55" w:rsidRPr="00FF33A3" w:rsidRDefault="007E4F55" w:rsidP="00FF33A3">
      <w:pPr>
        <w:pStyle w:val="TableLine"/>
      </w:pPr>
    </w:p>
    <w:p w14:paraId="66C5B2F8" w14:textId="77777777" w:rsidR="00021AE6" w:rsidRPr="00021AE6" w:rsidRDefault="00021AE6" w:rsidP="00021AE6">
      <w:pPr>
        <w:pStyle w:val="SingleParagraph"/>
        <w:spacing w:before="0"/>
      </w:pPr>
    </w:p>
    <w:tbl>
      <w:tblPr>
        <w:tblW w:w="5000" w:type="pct"/>
        <w:shd w:val="clear" w:color="auto" w:fill="E6F2FF"/>
        <w:tblCellMar>
          <w:top w:w="284" w:type="dxa"/>
          <w:left w:w="284" w:type="dxa"/>
          <w:bottom w:w="284" w:type="dxa"/>
          <w:right w:w="284" w:type="dxa"/>
        </w:tblCellMar>
        <w:tblLook w:val="0000" w:firstRow="0" w:lastRow="0" w:firstColumn="0" w:lastColumn="0" w:noHBand="0" w:noVBand="0"/>
      </w:tblPr>
      <w:tblGrid>
        <w:gridCol w:w="7710"/>
      </w:tblGrid>
      <w:tr w:rsidR="00F54733" w14:paraId="50EFB617" w14:textId="77777777" w:rsidTr="007913DD">
        <w:trPr>
          <w:cantSplit/>
        </w:trPr>
        <w:tc>
          <w:tcPr>
            <w:tcW w:w="5000" w:type="pct"/>
            <w:shd w:val="clear" w:color="auto" w:fill="E6F2FF"/>
          </w:tcPr>
          <w:p w14:paraId="7037832B" w14:textId="794B95CE" w:rsidR="00F54733" w:rsidRPr="000B31CB" w:rsidRDefault="00F54733" w:rsidP="000B31CB">
            <w:pPr>
              <w:pStyle w:val="BoxHeading"/>
            </w:pPr>
            <w:r w:rsidRPr="000B31CB">
              <w:t>Box 4.</w:t>
            </w:r>
            <w:r w:rsidR="005C04A7">
              <w:t>2</w:t>
            </w:r>
            <w:r w:rsidRPr="000B31CB">
              <w:t xml:space="preserve">: </w:t>
            </w:r>
            <w:proofErr w:type="gramStart"/>
            <w:r w:rsidRPr="000B31CB">
              <w:t>Well</w:t>
            </w:r>
            <w:proofErr w:type="gramEnd"/>
            <w:r w:rsidR="00102E07">
              <w:noBreakHyphen/>
            </w:r>
            <w:r w:rsidRPr="000B31CB">
              <w:t>being Budgets – New Zealand and international developments</w:t>
            </w:r>
          </w:p>
          <w:p w14:paraId="1CAFFD5D" w14:textId="73EC18A5" w:rsidR="00F54733" w:rsidRPr="00282F2C" w:rsidRDefault="00F54733" w:rsidP="000B31CB">
            <w:pPr>
              <w:pStyle w:val="BoxText"/>
            </w:pPr>
            <w:r w:rsidRPr="00282F2C">
              <w:t xml:space="preserve">A few countries </w:t>
            </w:r>
            <w:r w:rsidR="004D7DB9">
              <w:t>have integrated</w:t>
            </w:r>
            <w:r w:rsidR="00DB7358">
              <w:t xml:space="preserve"> </w:t>
            </w:r>
            <w:r w:rsidR="00400911">
              <w:t xml:space="preserve">frameworks </w:t>
            </w:r>
            <w:r w:rsidR="004D7DB9">
              <w:t>with</w:t>
            </w:r>
            <w:r w:rsidRPr="00282F2C">
              <w:t xml:space="preserve"> decision</w:t>
            </w:r>
            <w:r w:rsidR="00102E07">
              <w:noBreakHyphen/>
            </w:r>
            <w:r w:rsidRPr="00282F2C">
              <w:t>making processes such as Budget</w:t>
            </w:r>
            <w:r w:rsidR="00E92E09">
              <w:t>s</w:t>
            </w:r>
            <w:r w:rsidRPr="00282F2C">
              <w:t xml:space="preserve"> (Table 4.</w:t>
            </w:r>
            <w:r w:rsidR="00DB0A19">
              <w:t>2</w:t>
            </w:r>
            <w:r w:rsidRPr="00282F2C">
              <w:t xml:space="preserve">). </w:t>
            </w:r>
            <w:r w:rsidR="003C5A97">
              <w:t xml:space="preserve">For example, </w:t>
            </w:r>
            <w:r w:rsidRPr="00282F2C">
              <w:t>New Zealand</w:t>
            </w:r>
            <w:r w:rsidR="00102E07">
              <w:t>’</w:t>
            </w:r>
            <w:r w:rsidR="003C5A97">
              <w:t>s</w:t>
            </w:r>
            <w:r w:rsidRPr="00282F2C">
              <w:t xml:space="preserve"> </w:t>
            </w:r>
            <w:r w:rsidR="00102E07">
              <w:t>‘</w:t>
            </w:r>
            <w:r w:rsidRPr="00282F2C">
              <w:t>Living Standards Framework</w:t>
            </w:r>
            <w:r w:rsidR="00102E07">
              <w:t>’</w:t>
            </w:r>
            <w:r w:rsidRPr="00282F2C">
              <w:t xml:space="preserve"> </w:t>
            </w:r>
            <w:r w:rsidR="003A6378">
              <w:t>includes</w:t>
            </w:r>
            <w:r w:rsidR="005B503B">
              <w:t>:</w:t>
            </w:r>
          </w:p>
          <w:p w14:paraId="26978C43" w14:textId="4625C945" w:rsidR="00F54733" w:rsidRPr="00282F2C" w:rsidRDefault="00F54733" w:rsidP="000B31CB">
            <w:pPr>
              <w:pStyle w:val="BoxBullet"/>
            </w:pPr>
            <w:r w:rsidRPr="00282F2C">
              <w:t xml:space="preserve">Goals: transitioning to </w:t>
            </w:r>
            <w:r w:rsidR="00A84A37">
              <w:t xml:space="preserve">a </w:t>
            </w:r>
            <w:r w:rsidRPr="00282F2C">
              <w:t>climate resilient economy, improving health outcomes, improving outcomes for Māori people, reducing child poverty, lifting productivity and wages.</w:t>
            </w:r>
          </w:p>
          <w:p w14:paraId="1EECB804" w14:textId="20EABF62" w:rsidR="00F54733" w:rsidRPr="00282F2C" w:rsidRDefault="00F54733" w:rsidP="000B31CB">
            <w:pPr>
              <w:pStyle w:val="BoxBullet"/>
            </w:pPr>
            <w:r w:rsidRPr="00282F2C">
              <w:t>Process: by law, all new policy proposals in</w:t>
            </w:r>
            <w:r w:rsidR="00A84A37">
              <w:t xml:space="preserve"> the</w:t>
            </w:r>
            <w:r w:rsidRPr="00282F2C">
              <w:t xml:space="preserve"> budget must state how they contribute to progress outcomes in the Framework. </w:t>
            </w:r>
          </w:p>
          <w:p w14:paraId="7A5C247A" w14:textId="437A65C8" w:rsidR="00F54733" w:rsidRPr="00282F2C" w:rsidRDefault="00F54733" w:rsidP="000B31CB">
            <w:pPr>
              <w:pStyle w:val="BoxBullet"/>
            </w:pPr>
            <w:r w:rsidRPr="00282F2C">
              <w:t xml:space="preserve">Reporting: annual budget describes how policy proposals contribute to progress outcomes with </w:t>
            </w:r>
            <w:r w:rsidR="00A84A37">
              <w:t>3</w:t>
            </w:r>
            <w:r w:rsidR="00102E07">
              <w:noBreakHyphen/>
            </w:r>
            <w:r w:rsidRPr="00282F2C">
              <w:t>yearly reviews evaluating the impact of policies on goals.</w:t>
            </w:r>
          </w:p>
          <w:p w14:paraId="3BF050E9" w14:textId="17F34484" w:rsidR="00F54733" w:rsidRDefault="00F54733" w:rsidP="00C211A0">
            <w:pPr>
              <w:pStyle w:val="BoxText"/>
            </w:pPr>
            <w:r w:rsidRPr="00D00FE8">
              <w:t>New Zealand</w:t>
            </w:r>
            <w:r w:rsidR="00BA5D6D">
              <w:t xml:space="preserve"> is the only country that r</w:t>
            </w:r>
            <w:r w:rsidRPr="00D00FE8">
              <w:t>equir</w:t>
            </w:r>
            <w:r w:rsidR="00BA5D6D">
              <w:t>es</w:t>
            </w:r>
            <w:r w:rsidRPr="00D00FE8">
              <w:t xml:space="preserve"> </w:t>
            </w:r>
            <w:r w:rsidR="00BA5D6D">
              <w:t>all</w:t>
            </w:r>
            <w:r w:rsidRPr="00D00FE8">
              <w:t xml:space="preserve"> new policy proposals to </w:t>
            </w:r>
            <w:r w:rsidR="00BA5D6D">
              <w:t>specify</w:t>
            </w:r>
            <w:r w:rsidR="00690968">
              <w:t xml:space="preserve"> </w:t>
            </w:r>
            <w:r w:rsidR="00BA5D6D">
              <w:t>the</w:t>
            </w:r>
            <w:r w:rsidR="00D90FF7">
              <w:t>ir</w:t>
            </w:r>
            <w:r w:rsidR="00690968">
              <w:t xml:space="preserve"> </w:t>
            </w:r>
            <w:r w:rsidRPr="00D00FE8">
              <w:t xml:space="preserve">contribution to </w:t>
            </w:r>
            <w:r w:rsidR="007C745E">
              <w:t>well</w:t>
            </w:r>
            <w:r w:rsidR="00102E07">
              <w:noBreakHyphen/>
            </w:r>
            <w:r w:rsidR="007C745E">
              <w:t xml:space="preserve">being </w:t>
            </w:r>
            <w:r w:rsidR="00D90FF7">
              <w:t>and be evaluated on this basis</w:t>
            </w:r>
            <w:r w:rsidRPr="00D00FE8">
              <w:t>.</w:t>
            </w:r>
          </w:p>
          <w:p w14:paraId="01D7DAC0" w14:textId="499F7C9A" w:rsidR="00645C8A" w:rsidRPr="00D00FE8" w:rsidRDefault="00645C8A" w:rsidP="00645C8A">
            <w:pPr>
              <w:pStyle w:val="ChartandTableFootnote"/>
              <w:spacing w:after="120"/>
            </w:pPr>
            <w:r w:rsidRPr="00D73E6D">
              <w:t>Source:</w:t>
            </w:r>
            <w:r>
              <w:t xml:space="preserve"> </w:t>
            </w:r>
            <w:r>
              <w:tab/>
              <w:t>New Zealand Treasury (</w:t>
            </w:r>
            <w:hyperlink r:id="rId21" w:history="1">
              <w:r w:rsidRPr="00645C8A">
                <w:rPr>
                  <w:rStyle w:val="Hyperlink"/>
                </w:rPr>
                <w:t>2021</w:t>
              </w:r>
            </w:hyperlink>
            <w:r>
              <w:t xml:space="preserve">), </w:t>
            </w:r>
            <w:r w:rsidR="00102E07">
              <w:t>‘</w:t>
            </w:r>
            <w:r>
              <w:t>Our Living Standard Framework</w:t>
            </w:r>
            <w:r w:rsidR="00102E07">
              <w:t>’</w:t>
            </w:r>
          </w:p>
        </w:tc>
      </w:tr>
    </w:tbl>
    <w:p w14:paraId="4351C45C" w14:textId="77777777" w:rsidR="00FF33A3" w:rsidRDefault="00FF33A3">
      <w:pPr>
        <w:spacing w:before="0" w:after="160" w:line="259" w:lineRule="auto"/>
      </w:pPr>
      <w:bookmarkStart w:id="7" w:name="_Toc117057000"/>
      <w:bookmarkStart w:id="8" w:name="_Toc117059944"/>
      <w:bookmarkStart w:id="9" w:name="_Toc110848265"/>
      <w:bookmarkStart w:id="10" w:name="_Toc114154968"/>
      <w:r>
        <w:rPr>
          <w:b/>
        </w:rPr>
        <w:br w:type="page"/>
      </w:r>
    </w:p>
    <w:p w14:paraId="18EF3E51" w14:textId="67EE7D82" w:rsidR="003630B4" w:rsidRDefault="003630B4" w:rsidP="0012337A">
      <w:pPr>
        <w:pStyle w:val="Heading1"/>
      </w:pPr>
      <w:r w:rsidRPr="00C15565">
        <w:rPr>
          <w:rStyle w:val="Heading1Char"/>
        </w:rPr>
        <w:lastRenderedPageBreak/>
        <w:t>The OECD Framework for Measuring Well</w:t>
      </w:r>
      <w:r w:rsidR="00102E07">
        <w:rPr>
          <w:rStyle w:val="Heading1Char"/>
        </w:rPr>
        <w:noBreakHyphen/>
      </w:r>
      <w:r w:rsidRPr="00C15565">
        <w:rPr>
          <w:rStyle w:val="Heading1Char"/>
        </w:rPr>
        <w:t>being and Progress</w:t>
      </w:r>
      <w:bookmarkEnd w:id="7"/>
      <w:bookmarkEnd w:id="8"/>
    </w:p>
    <w:p w14:paraId="2D3671CF" w14:textId="08FC6393" w:rsidR="003630B4" w:rsidRDefault="003630B4" w:rsidP="003630B4">
      <w:r w:rsidRPr="00FD7355">
        <w:t>The OECD Framework for Measuring Well</w:t>
      </w:r>
      <w:r w:rsidR="00102E07">
        <w:noBreakHyphen/>
      </w:r>
      <w:r>
        <w:t>b</w:t>
      </w:r>
      <w:r w:rsidRPr="00FD7355">
        <w:t>eing and Progress</w:t>
      </w:r>
      <w:r w:rsidRPr="00FD7355" w:rsidDel="00E567E6">
        <w:t xml:space="preserve"> </w:t>
      </w:r>
      <w:r w:rsidRPr="00FD7355">
        <w:t>can be used to understand how Australia performs on key policy areas compared to other OECD countries</w:t>
      </w:r>
      <w:r>
        <w:t>.</w:t>
      </w:r>
      <w:r>
        <w:rPr>
          <w:rStyle w:val="FootnoteReference"/>
        </w:rPr>
        <w:footnoteReference w:id="7"/>
      </w:r>
      <w:r w:rsidRPr="00FD7355">
        <w:t xml:space="preserve"> This section considers how Australia compares to the average outcome across the OECD and whether Australia is improving over time on the indicators. </w:t>
      </w:r>
    </w:p>
    <w:p w14:paraId="33B499A3" w14:textId="0D1890A7" w:rsidR="00F54733" w:rsidRPr="00406333" w:rsidRDefault="00F54733" w:rsidP="00573BA3">
      <w:pPr>
        <w:pStyle w:val="Heading2"/>
      </w:pPr>
      <w:bookmarkStart w:id="11" w:name="_Toc117059945"/>
      <w:bookmarkStart w:id="12" w:name="_Toc117071283"/>
      <w:r>
        <w:t xml:space="preserve">How Australia compares </w:t>
      </w:r>
      <w:r w:rsidRPr="00D00FE8">
        <w:t>internationally</w:t>
      </w:r>
      <w:bookmarkEnd w:id="9"/>
      <w:bookmarkEnd w:id="10"/>
      <w:bookmarkEnd w:id="11"/>
      <w:bookmarkEnd w:id="12"/>
    </w:p>
    <w:p w14:paraId="63E12137" w14:textId="3455735A" w:rsidR="000F06A8" w:rsidRPr="0066018F" w:rsidRDefault="000F06A8" w:rsidP="00D00FE8">
      <w:r w:rsidRPr="0066018F">
        <w:t>Overall, Australia is performing well</w:t>
      </w:r>
      <w:r w:rsidR="008A18F9" w:rsidRPr="0066018F">
        <w:t xml:space="preserve"> </w:t>
      </w:r>
      <w:r w:rsidR="65775FF1">
        <w:t xml:space="preserve">against the OECD Framework, </w:t>
      </w:r>
      <w:r w:rsidR="008A18F9" w:rsidRPr="0066018F">
        <w:t>but there is room for improvement</w:t>
      </w:r>
      <w:r w:rsidRPr="0066018F">
        <w:t>. Australia is at or better than the OECD average on 2</w:t>
      </w:r>
      <w:r w:rsidR="00683DBC" w:rsidRPr="0066018F">
        <w:t>1</w:t>
      </w:r>
      <w:r w:rsidRPr="0066018F">
        <w:t> of the 3</w:t>
      </w:r>
      <w:r w:rsidR="00564B7F" w:rsidRPr="0066018F">
        <w:t>2</w:t>
      </w:r>
      <w:r w:rsidRPr="0066018F">
        <w:t xml:space="preserve"> headline indicators</w:t>
      </w:r>
      <w:r w:rsidR="00564B7F" w:rsidRPr="0066018F">
        <w:t xml:space="preserve"> </w:t>
      </w:r>
      <w:r w:rsidR="007A3F78" w:rsidRPr="0066018F">
        <w:t>for which international comparison is possible</w:t>
      </w:r>
      <w:r w:rsidRPr="0066018F">
        <w:t>.</w:t>
      </w:r>
      <w:r w:rsidR="000C51F8" w:rsidRPr="0066018F">
        <w:t xml:space="preserve"> </w:t>
      </w:r>
      <w:r w:rsidR="000F1058" w:rsidRPr="0066018F">
        <w:t>This is based on the most recent year for which data was available</w:t>
      </w:r>
      <w:r w:rsidR="009F7C25" w:rsidRPr="0066018F">
        <w:t xml:space="preserve"> for Australia, and all other OECD countries</w:t>
      </w:r>
      <w:r w:rsidR="000F1058" w:rsidRPr="0066018F">
        <w:t xml:space="preserve">. </w:t>
      </w:r>
      <w:r w:rsidR="000C51F8" w:rsidRPr="0066018F">
        <w:t>Australia</w:t>
      </w:r>
      <w:r w:rsidR="00102E07">
        <w:t>’</w:t>
      </w:r>
      <w:r w:rsidR="006856FF">
        <w:t>s performance</w:t>
      </w:r>
      <w:r w:rsidR="000C51F8" w:rsidRPr="0066018F">
        <w:t xml:space="preserve"> is</w:t>
      </w:r>
      <w:r w:rsidR="000F1058" w:rsidRPr="0066018F">
        <w:t xml:space="preserve"> </w:t>
      </w:r>
      <w:r w:rsidR="006856FF">
        <w:t xml:space="preserve">also </w:t>
      </w:r>
      <w:r w:rsidR="00224125" w:rsidRPr="0066018F">
        <w:t>stable or</w:t>
      </w:r>
      <w:r w:rsidR="000F1058" w:rsidRPr="0066018F">
        <w:t xml:space="preserve"> </w:t>
      </w:r>
      <w:r w:rsidR="000C51F8" w:rsidRPr="0066018F">
        <w:t xml:space="preserve">improving </w:t>
      </w:r>
      <w:r w:rsidR="00CF491A">
        <w:t>for</w:t>
      </w:r>
      <w:r w:rsidR="000C51F8" w:rsidRPr="0066018F">
        <w:t xml:space="preserve"> 17 </w:t>
      </w:r>
      <w:r w:rsidR="00BE5DC2" w:rsidRPr="0066018F">
        <w:t xml:space="preserve">of the 31 headline indicators for which </w:t>
      </w:r>
      <w:r w:rsidR="00CF491A">
        <w:t>outcomes can be compared over time</w:t>
      </w:r>
      <w:r w:rsidR="00BE5DC2" w:rsidRPr="0066018F">
        <w:t>.</w:t>
      </w:r>
      <w:r w:rsidR="00E41D45" w:rsidRPr="0066018F">
        <w:t xml:space="preserve"> </w:t>
      </w:r>
    </w:p>
    <w:p w14:paraId="56C6BE37" w14:textId="0300B1AB" w:rsidR="00641E5F" w:rsidRDefault="00CF491A" w:rsidP="00D00FE8">
      <w:r>
        <w:t xml:space="preserve">Many of the outcomes </w:t>
      </w:r>
      <w:r w:rsidR="007145E9">
        <w:t xml:space="preserve">where </w:t>
      </w:r>
      <w:r w:rsidR="00286E2A" w:rsidRPr="00B7596B">
        <w:t>Australia</w:t>
      </w:r>
      <w:r w:rsidR="00102E07">
        <w:t>’</w:t>
      </w:r>
      <w:r w:rsidR="007145E9">
        <w:t>s performance</w:t>
      </w:r>
      <w:r w:rsidR="00286E2A" w:rsidRPr="00B7596B">
        <w:t xml:space="preserve"> </w:t>
      </w:r>
      <w:r w:rsidR="00BB0DC3" w:rsidRPr="00B7596B">
        <w:t>is</w:t>
      </w:r>
      <w:r w:rsidR="008E1364">
        <w:t xml:space="preserve"> at or</w:t>
      </w:r>
      <w:r w:rsidR="00BB0DC3" w:rsidRPr="00B7596B">
        <w:t xml:space="preserve"> </w:t>
      </w:r>
      <w:r w:rsidR="006722B0">
        <w:t>above the</w:t>
      </w:r>
      <w:r w:rsidR="00BB0DC3" w:rsidRPr="00B7596B">
        <w:t xml:space="preserve"> OECD average</w:t>
      </w:r>
      <w:r w:rsidR="00BB0DC3" w:rsidRPr="00B7596B" w:rsidDel="007145E9">
        <w:t xml:space="preserve"> </w:t>
      </w:r>
      <w:r w:rsidR="00BB0DC3">
        <w:t xml:space="preserve">and </w:t>
      </w:r>
      <w:r w:rsidR="00286E2A" w:rsidRPr="00B7596B">
        <w:t>improv</w:t>
      </w:r>
      <w:r w:rsidR="007145E9">
        <w:t>ing</w:t>
      </w:r>
      <w:r w:rsidR="00286E2A" w:rsidRPr="00B7596B">
        <w:t xml:space="preserve"> </w:t>
      </w:r>
      <w:r w:rsidR="00BB0DC3">
        <w:t xml:space="preserve">over time are </w:t>
      </w:r>
      <w:r w:rsidR="6EFE60D1">
        <w:t>more traditional</w:t>
      </w:r>
      <w:r w:rsidR="00564FB1">
        <w:t xml:space="preserve"> </w:t>
      </w:r>
      <w:r w:rsidR="00AF2063">
        <w:t>indicators</w:t>
      </w:r>
      <w:r w:rsidR="0094055B" w:rsidRPr="00B7596B">
        <w:t>. Th</w:t>
      </w:r>
      <w:r w:rsidR="00F276ED">
        <w:t xml:space="preserve">ese include </w:t>
      </w:r>
      <w:r w:rsidR="0094055B" w:rsidRPr="00B7596B">
        <w:t>household income, household wealth</w:t>
      </w:r>
      <w:r w:rsidR="00A56305" w:rsidRPr="00B7596B">
        <w:t xml:space="preserve">, employment rates and </w:t>
      </w:r>
      <w:r w:rsidR="00CE7C47" w:rsidRPr="00B7596B">
        <w:t xml:space="preserve">the </w:t>
      </w:r>
      <w:r w:rsidR="007E3FC5" w:rsidRPr="00B7596B">
        <w:t>capital base</w:t>
      </w:r>
      <w:r w:rsidR="00913942" w:rsidRPr="00B7596B">
        <w:t xml:space="preserve"> that supports the economy (</w:t>
      </w:r>
      <w:r w:rsidR="00165893" w:rsidRPr="00B7596B">
        <w:t xml:space="preserve">defined by the OECD </w:t>
      </w:r>
      <w:r w:rsidR="004B0D94" w:rsidRPr="00B7596B">
        <w:t xml:space="preserve">Framework </w:t>
      </w:r>
      <w:r w:rsidR="00165893" w:rsidRPr="00B7596B">
        <w:t xml:space="preserve">as </w:t>
      </w:r>
      <w:r w:rsidR="00102E07">
        <w:t>‘</w:t>
      </w:r>
      <w:r w:rsidR="00165893" w:rsidRPr="00B7596B">
        <w:t>produced fixed assets</w:t>
      </w:r>
      <w:r w:rsidR="00102E07">
        <w:t>’</w:t>
      </w:r>
      <w:r w:rsidR="00AB1667">
        <w:rPr>
          <w:rFonts w:ascii="ZWAdobeF" w:hAnsi="ZWAdobeF" w:cs="ZWAdobeF"/>
          <w:sz w:val="2"/>
          <w:szCs w:val="2"/>
        </w:rPr>
        <w:t>2F</w:t>
      </w:r>
      <w:r w:rsidR="002C12AA" w:rsidRPr="00B7596B">
        <w:rPr>
          <w:rStyle w:val="FootnoteReference"/>
        </w:rPr>
        <w:footnoteReference w:id="8"/>
      </w:r>
      <w:r w:rsidR="00165893" w:rsidRPr="00B7596B">
        <w:t xml:space="preserve">). </w:t>
      </w:r>
      <w:r w:rsidR="667A7714">
        <w:t>In addition,</w:t>
      </w:r>
      <w:r w:rsidR="00165893" w:rsidRPr="00B7596B">
        <w:t xml:space="preserve"> </w:t>
      </w:r>
      <w:r w:rsidR="00967050" w:rsidRPr="00B7596B">
        <w:t xml:space="preserve">Australia </w:t>
      </w:r>
      <w:r w:rsidR="00F276ED">
        <w:t xml:space="preserve">performs strongly on </w:t>
      </w:r>
      <w:r w:rsidR="00E37323" w:rsidRPr="00B7596B">
        <w:t xml:space="preserve">life expectancy, </w:t>
      </w:r>
      <w:r w:rsidR="008E1364">
        <w:t xml:space="preserve">time spent on </w:t>
      </w:r>
      <w:r w:rsidR="00845332" w:rsidRPr="00B7596B">
        <w:t xml:space="preserve">social </w:t>
      </w:r>
      <w:r w:rsidR="00796BDD" w:rsidRPr="00B7596B">
        <w:t>interactions</w:t>
      </w:r>
      <w:r w:rsidR="00845332" w:rsidRPr="00B7596B">
        <w:t xml:space="preserve"> and </w:t>
      </w:r>
      <w:r w:rsidR="00262D7E" w:rsidRPr="00B7596B">
        <w:t>premature mort</w:t>
      </w:r>
      <w:r w:rsidR="00DA2410" w:rsidRPr="00B7596B">
        <w:t>ality</w:t>
      </w:r>
      <w:r w:rsidR="00845332" w:rsidRPr="00B7596B">
        <w:t xml:space="preserve">. </w:t>
      </w:r>
    </w:p>
    <w:p w14:paraId="077372A2" w14:textId="7B4062DA" w:rsidR="00B746EC" w:rsidRPr="00B7596B" w:rsidRDefault="004C296F" w:rsidP="00D00FE8">
      <w:r>
        <w:t>For some areas where Australia</w:t>
      </w:r>
      <w:r w:rsidR="00804F4C">
        <w:t xml:space="preserve"> perf</w:t>
      </w:r>
      <w:r w:rsidR="00A513F8">
        <w:t xml:space="preserve">orms above </w:t>
      </w:r>
      <w:r w:rsidR="00976253">
        <w:t xml:space="preserve">the OECD average, </w:t>
      </w:r>
      <w:r w:rsidR="005463F2">
        <w:t xml:space="preserve">performance </w:t>
      </w:r>
      <w:r w:rsidR="005463F2" w:rsidRPr="00474974">
        <w:t>i</w:t>
      </w:r>
      <w:r w:rsidR="003740B1">
        <w:t>s</w:t>
      </w:r>
      <w:r w:rsidR="0027162E">
        <w:t xml:space="preserve"> </w:t>
      </w:r>
      <w:r w:rsidR="005463F2">
        <w:t>declining over time</w:t>
      </w:r>
      <w:r w:rsidR="005463F2" w:rsidRPr="00474974">
        <w:t>. These include measures of life satisfaction, the amount of social support Australians feel they can rely upon, and test scores for secondary school students. Voter turnout is another example where Australia</w:t>
      </w:r>
      <w:r w:rsidR="00102E07">
        <w:t>’</w:t>
      </w:r>
      <w:r w:rsidR="005463F2" w:rsidRPr="00474974">
        <w:t>s rank is stable at number one in the OECD, but the indicator is falling over time (from 95</w:t>
      </w:r>
      <w:r w:rsidR="00090955">
        <w:t> per cent</w:t>
      </w:r>
      <w:r w:rsidR="005463F2" w:rsidRPr="00474974">
        <w:t xml:space="preserve"> in 2007 to 90</w:t>
      </w:r>
      <w:r w:rsidR="00090955">
        <w:t> per cent</w:t>
      </w:r>
      <w:r w:rsidR="005463F2" w:rsidRPr="00474974">
        <w:t xml:space="preserve"> today).</w:t>
      </w:r>
      <w:r w:rsidR="00AB1667">
        <w:rPr>
          <w:rFonts w:ascii="ZWAdobeF" w:hAnsi="ZWAdobeF" w:cs="ZWAdobeF"/>
          <w:sz w:val="2"/>
          <w:szCs w:val="2"/>
        </w:rPr>
        <w:t>3F</w:t>
      </w:r>
      <w:r w:rsidR="005463F2" w:rsidRPr="00474974">
        <w:rPr>
          <w:rStyle w:val="FootnoteReference"/>
        </w:rPr>
        <w:footnoteReference w:id="9"/>
      </w:r>
    </w:p>
    <w:p w14:paraId="2B1EB15B" w14:textId="435F0B53" w:rsidR="00C970B9" w:rsidRPr="00474974" w:rsidRDefault="002279ED" w:rsidP="00E76A23">
      <w:r>
        <w:t xml:space="preserve">Areas where </w:t>
      </w:r>
      <w:r w:rsidR="00E17BD1">
        <w:t>Australia</w:t>
      </w:r>
      <w:r w:rsidR="003B712F">
        <w:t xml:space="preserve"> performs below the OECD average but is</w:t>
      </w:r>
      <w:r w:rsidR="003C599F">
        <w:t xml:space="preserve"> stable or </w:t>
      </w:r>
      <w:r w:rsidR="003B712F">
        <w:t>improving over time</w:t>
      </w:r>
      <w:r w:rsidR="008A3DA2" w:rsidRPr="0066018F">
        <w:t xml:space="preserve"> include gender parity outcomes in politics</w:t>
      </w:r>
      <w:r w:rsidR="008F209E">
        <w:t>,</w:t>
      </w:r>
      <w:r w:rsidR="008A3DA2" w:rsidRPr="0066018F">
        <w:t xml:space="preserve"> the number of people working long hours in paid employment</w:t>
      </w:r>
      <w:r w:rsidR="008F209E">
        <w:t xml:space="preserve"> and </w:t>
      </w:r>
      <w:r w:rsidR="008F209E" w:rsidRPr="0066018F">
        <w:t>greenhouse gas emissions per capita</w:t>
      </w:r>
      <w:r w:rsidR="008A3DA2" w:rsidRPr="0066018F">
        <w:t xml:space="preserve">. </w:t>
      </w:r>
    </w:p>
    <w:p w14:paraId="16F96ADA" w14:textId="5D9A80A5" w:rsidR="00066E37" w:rsidRPr="00F90878" w:rsidRDefault="00066E37" w:rsidP="00D00FE8">
      <w:r w:rsidRPr="00F90878">
        <w:t xml:space="preserve">For </w:t>
      </w:r>
      <w:r w:rsidR="00010EC5">
        <w:t>5</w:t>
      </w:r>
      <w:r w:rsidR="00010EC5" w:rsidRPr="00F90878">
        <w:t xml:space="preserve"> </w:t>
      </w:r>
      <w:r w:rsidRPr="00F90878">
        <w:t xml:space="preserve">indicators, Australia </w:t>
      </w:r>
      <w:r w:rsidR="00F05581" w:rsidRPr="00F90878">
        <w:t xml:space="preserve">has experienced declines in performance and is below the OECD average. </w:t>
      </w:r>
      <w:r w:rsidR="004E0841" w:rsidRPr="00F90878">
        <w:t xml:space="preserve">These include environmental indicators like </w:t>
      </w:r>
      <w:r w:rsidR="009C6302" w:rsidRPr="00F90878">
        <w:t xml:space="preserve">species extinction and the </w:t>
      </w:r>
      <w:r w:rsidR="00C519BA" w:rsidRPr="00F90878">
        <w:t>level</w:t>
      </w:r>
      <w:r w:rsidR="009C6302" w:rsidRPr="00F90878">
        <w:t xml:space="preserve"> of raw materials used per Australian </w:t>
      </w:r>
      <w:r w:rsidR="002268C1" w:rsidRPr="00F90878">
        <w:t xml:space="preserve">in everyday life (known as </w:t>
      </w:r>
      <w:r w:rsidR="00102E07">
        <w:t>‘</w:t>
      </w:r>
      <w:r w:rsidR="002268C1" w:rsidRPr="00F90878">
        <w:t>material footprint</w:t>
      </w:r>
      <w:r w:rsidR="00102E07">
        <w:t>’</w:t>
      </w:r>
      <w:r w:rsidR="002268C1" w:rsidRPr="00F90878">
        <w:t>)</w:t>
      </w:r>
      <w:r w:rsidR="00F25FB6" w:rsidRPr="00F90878">
        <w:t xml:space="preserve">. It also </w:t>
      </w:r>
      <w:r w:rsidR="00F25FB6" w:rsidRPr="00F90878">
        <w:lastRenderedPageBreak/>
        <w:t xml:space="preserve">includes </w:t>
      </w:r>
      <w:r w:rsidR="00266D54" w:rsidRPr="00F90878">
        <w:t xml:space="preserve">the gender gap between men and women who feel safe walking home at night and levels of household debt. </w:t>
      </w:r>
    </w:p>
    <w:p w14:paraId="36B3AAE3" w14:textId="6CB07B1A" w:rsidR="003C556A" w:rsidRPr="00F90878" w:rsidRDefault="000B5A9E" w:rsidP="00D00FE8">
      <w:r>
        <w:t xml:space="preserve">Finally, there are </w:t>
      </w:r>
      <w:r w:rsidR="004764AA">
        <w:t>4</w:t>
      </w:r>
      <w:r w:rsidR="004764AA" w:rsidRPr="00F90878">
        <w:t xml:space="preserve"> </w:t>
      </w:r>
      <w:r w:rsidR="00D57860" w:rsidRPr="00F90878">
        <w:t>indicators</w:t>
      </w:r>
      <w:r w:rsidR="00D96AD1" w:rsidRPr="00F90878">
        <w:t xml:space="preserve"> </w:t>
      </w:r>
      <w:r>
        <w:t xml:space="preserve">where </w:t>
      </w:r>
      <w:r w:rsidR="00411371">
        <w:t xml:space="preserve">comparison with the OECD </w:t>
      </w:r>
      <w:r w:rsidR="004021D4">
        <w:t>is not currently possible</w:t>
      </w:r>
      <w:r w:rsidR="00214A0D" w:rsidRPr="00F90878">
        <w:t xml:space="preserve">. </w:t>
      </w:r>
      <w:r w:rsidR="00D57406">
        <w:t xml:space="preserve">Differences in data </w:t>
      </w:r>
      <w:r w:rsidR="001F5DB6">
        <w:t xml:space="preserve">collection </w:t>
      </w:r>
      <w:r w:rsidR="007B3A49">
        <w:t xml:space="preserve">approaches </w:t>
      </w:r>
      <w:r w:rsidR="001F5DB6">
        <w:t xml:space="preserve">mean that </w:t>
      </w:r>
      <w:r w:rsidR="0057228B">
        <w:t xml:space="preserve">Australian measures of </w:t>
      </w:r>
      <w:r w:rsidR="00214A0D" w:rsidRPr="00F90878">
        <w:t>the gap in life expectancy by educational attainment, the level of trust in others, housing overcrowding rates and access to green space</w:t>
      </w:r>
      <w:r w:rsidR="00515F67" w:rsidRPr="00F90878">
        <w:t xml:space="preserve"> are not</w:t>
      </w:r>
      <w:r w:rsidR="007B3A49">
        <w:t xml:space="preserve"> directly</w:t>
      </w:r>
      <w:r w:rsidR="00515F67" w:rsidRPr="00F90878">
        <w:t xml:space="preserve"> comparable </w:t>
      </w:r>
      <w:r w:rsidR="208C8049">
        <w:t>to other countries based on</w:t>
      </w:r>
      <w:r w:rsidR="00515F67" w:rsidRPr="00F90878">
        <w:t xml:space="preserve"> the OECD</w:t>
      </w:r>
      <w:r w:rsidR="00102E07">
        <w:t>’</w:t>
      </w:r>
      <w:r w:rsidR="00402E99">
        <w:t>s</w:t>
      </w:r>
      <w:r w:rsidR="208C8049">
        <w:t xml:space="preserve"> Framework</w:t>
      </w:r>
      <w:r w:rsidR="00515F67" w:rsidRPr="00F90878">
        <w:t xml:space="preserve">. </w:t>
      </w:r>
    </w:p>
    <w:p w14:paraId="25AF8ED9" w14:textId="452BEA30" w:rsidR="001861C0" w:rsidRPr="005B12C0" w:rsidRDefault="00901EAD" w:rsidP="00892B8D">
      <w:r w:rsidRPr="0086517D">
        <w:t xml:space="preserve">Strong performance over time and relative to other countries does not mean better outcomes are not </w:t>
      </w:r>
      <w:r w:rsidR="556D0062" w:rsidRPr="0086517D">
        <w:t xml:space="preserve">needed or </w:t>
      </w:r>
      <w:r w:rsidR="00C05193">
        <w:t>that they</w:t>
      </w:r>
      <w:r w:rsidR="00ED41FF">
        <w:t xml:space="preserve"> are</w:t>
      </w:r>
      <w:r w:rsidR="00C05193">
        <w:t xml:space="preserve"> not </w:t>
      </w:r>
      <w:r w:rsidR="00C05193" w:rsidRPr="0086517D">
        <w:t>achievable.</w:t>
      </w:r>
      <w:r w:rsidRPr="0086517D">
        <w:t xml:space="preserve"> </w:t>
      </w:r>
      <w:r w:rsidR="00420A43" w:rsidRPr="0086517D">
        <w:t>Governments must make judgements about where further progress can and should be made.</w:t>
      </w:r>
      <w:r w:rsidRPr="0086517D">
        <w:t xml:space="preserve"> </w:t>
      </w:r>
      <w:r w:rsidR="000B174C" w:rsidRPr="0086517D">
        <w:t>For many indicators, further context and consideration is necessary to determine whether Australia</w:t>
      </w:r>
      <w:r w:rsidR="00102E07">
        <w:t>’</w:t>
      </w:r>
      <w:r w:rsidR="000B174C" w:rsidRPr="0086517D">
        <w:t>s performance is acceptable.</w:t>
      </w:r>
      <w:r w:rsidR="00892B8D" w:rsidRPr="0086517D">
        <w:t xml:space="preserve"> </w:t>
      </w:r>
      <w:r w:rsidRPr="0086517D">
        <w:t>An example is the gender pay gap</w:t>
      </w:r>
      <w:r w:rsidR="00AD4D6C" w:rsidRPr="0086517D">
        <w:t>.</w:t>
      </w:r>
      <w:r w:rsidR="00AD4D6C" w:rsidRPr="0086517D">
        <w:rPr>
          <w:rStyle w:val="FootnoteReference"/>
        </w:rPr>
        <w:footnoteReference w:id="10"/>
      </w:r>
      <w:r w:rsidR="00AD4D6C" w:rsidRPr="0086517D">
        <w:t xml:space="preserve"> </w:t>
      </w:r>
      <w:r w:rsidR="00944624" w:rsidRPr="0086517D">
        <w:t>The gender pay gap has been slowly narrowing over time, however it remains a significant barrier to women</w:t>
      </w:r>
      <w:r w:rsidR="00102E07">
        <w:t>’</w:t>
      </w:r>
      <w:r w:rsidR="00944624" w:rsidRPr="0086517D">
        <w:t>s economic equality</w:t>
      </w:r>
      <w:r w:rsidR="00C05193">
        <w:t>.</w:t>
      </w:r>
      <w:r w:rsidR="00D542AD" w:rsidRPr="0086517D">
        <w:t xml:space="preserve"> </w:t>
      </w:r>
      <w:r w:rsidR="00A61701" w:rsidRPr="0086517D">
        <w:t>Another example is greenhouse gas emissions</w:t>
      </w:r>
      <w:r w:rsidR="00E259C9" w:rsidRPr="0086517D">
        <w:t xml:space="preserve">. </w:t>
      </w:r>
      <w:r w:rsidR="003C062C" w:rsidRPr="0086517D">
        <w:t>While Australia</w:t>
      </w:r>
      <w:r w:rsidR="00102E07">
        <w:t>’</w:t>
      </w:r>
      <w:r w:rsidR="003C062C" w:rsidRPr="0086517D">
        <w:t>s per</w:t>
      </w:r>
      <w:r w:rsidR="00A82228">
        <w:t> </w:t>
      </w:r>
      <w:r w:rsidR="003C062C" w:rsidRPr="0086517D">
        <w:t xml:space="preserve">capita greenhouse gas emissions have fallen over the </w:t>
      </w:r>
      <w:r w:rsidR="00326B54">
        <w:t>p</w:t>
      </w:r>
      <w:r w:rsidR="003C062C" w:rsidRPr="0086517D">
        <w:t xml:space="preserve">ast </w:t>
      </w:r>
      <w:r w:rsidR="00326B54">
        <w:t>2</w:t>
      </w:r>
      <w:r w:rsidR="00326B54" w:rsidRPr="0086517D">
        <w:t xml:space="preserve"> </w:t>
      </w:r>
      <w:r w:rsidR="003C062C" w:rsidRPr="0086517D">
        <w:t xml:space="preserve">decades, </w:t>
      </w:r>
      <w:r w:rsidR="00D86713" w:rsidRPr="0086517D">
        <w:t>this measure</w:t>
      </w:r>
      <w:r w:rsidR="00834114" w:rsidRPr="0086517D">
        <w:t xml:space="preserve"> </w:t>
      </w:r>
      <w:r w:rsidR="003C062C" w:rsidRPr="0086517D">
        <w:t xml:space="preserve">provides </w:t>
      </w:r>
      <w:r w:rsidR="00A579F4" w:rsidRPr="0086517D">
        <w:t xml:space="preserve">no information on whether Australia has met its emissions </w:t>
      </w:r>
      <w:r w:rsidR="000F0C65" w:rsidRPr="0086517D">
        <w:t xml:space="preserve">reduction </w:t>
      </w:r>
      <w:r w:rsidR="00A579F4" w:rsidRPr="0086517D">
        <w:t xml:space="preserve">targets in the </w:t>
      </w:r>
      <w:proofErr w:type="gramStart"/>
      <w:r w:rsidR="00834114" w:rsidRPr="0086517D">
        <w:t>past</w:t>
      </w:r>
      <w:r w:rsidR="00D86713" w:rsidRPr="0086517D">
        <w:t>,</w:t>
      </w:r>
      <w:r w:rsidR="00834114" w:rsidRPr="0086517D">
        <w:t xml:space="preserve"> or</w:t>
      </w:r>
      <w:proofErr w:type="gramEnd"/>
      <w:r w:rsidR="00A579F4" w:rsidRPr="0086517D">
        <w:t xml:space="preserve"> is on track to meet future targets.</w:t>
      </w:r>
      <w:r w:rsidR="00E259C9" w:rsidRPr="0086517D">
        <w:t xml:space="preserve"> </w:t>
      </w:r>
    </w:p>
    <w:p w14:paraId="70ADB9BD" w14:textId="13142298" w:rsidR="00901EAD" w:rsidRPr="007631EE" w:rsidRDefault="00901EAD" w:rsidP="00901EAD">
      <w:r w:rsidRPr="00BB149B">
        <w:t>The nature of the data, including their quality, is important for interpreting performance. The timing of data collection, how it is collected, and at what level of detail</w:t>
      </w:r>
      <w:r w:rsidR="00C05193" w:rsidRPr="00BB149B">
        <w:t>,</w:t>
      </w:r>
      <w:r w:rsidRPr="00BB149B">
        <w:t xml:space="preserve"> is essential to understand when measuring progress and well</w:t>
      </w:r>
      <w:r w:rsidR="00102E07">
        <w:noBreakHyphen/>
      </w:r>
      <w:r w:rsidRPr="00BB149B">
        <w:t>being. Some of the key caveats in understanding the indicators are presented in Box 4.3. More detail on the indicators, their measurement, definition and specific caveats</w:t>
      </w:r>
      <w:r w:rsidRPr="00BB149B" w:rsidDel="00D93835">
        <w:t xml:space="preserve"> </w:t>
      </w:r>
      <w:r w:rsidRPr="00BB149B">
        <w:t>is presented online.</w:t>
      </w:r>
      <w:r w:rsidR="00AB1667">
        <w:rPr>
          <w:rFonts w:ascii="ZWAdobeF" w:hAnsi="ZWAdobeF" w:cs="ZWAdobeF"/>
          <w:sz w:val="2"/>
          <w:szCs w:val="2"/>
        </w:rPr>
        <w:t>5F</w:t>
      </w:r>
      <w:r w:rsidR="00BB0773" w:rsidRPr="00BB149B">
        <w:rPr>
          <w:rStyle w:val="FootnoteReference"/>
        </w:rPr>
        <w:footnoteReference w:id="11"/>
      </w:r>
    </w:p>
    <w:p w14:paraId="5820DEC6" w14:textId="18529A75" w:rsidR="00D00FE8" w:rsidRDefault="00D00FE8">
      <w:pPr>
        <w:spacing w:before="0" w:after="160" w:line="259" w:lineRule="auto"/>
        <w:rPr>
          <w:rFonts w:ascii="Arial" w:hAnsi="Arial"/>
          <w:b/>
          <w:sz w:val="20"/>
        </w:rPr>
      </w:pPr>
      <w:r>
        <w:br w:type="page"/>
      </w:r>
    </w:p>
    <w:p w14:paraId="3EC0C3B2" w14:textId="1C847EC6" w:rsidR="00F54733" w:rsidRDefault="00F54733" w:rsidP="00F54733">
      <w:pPr>
        <w:pStyle w:val="TableHeading"/>
      </w:pPr>
      <w:r w:rsidRPr="0066018F">
        <w:lastRenderedPageBreak/>
        <w:t>Figure 4.</w:t>
      </w:r>
      <w:r w:rsidR="00C4108A" w:rsidRPr="0066018F">
        <w:t>2</w:t>
      </w:r>
      <w:r w:rsidRPr="0066018F">
        <w:t>: Australia</w:t>
      </w:r>
      <w:r w:rsidR="00102E07">
        <w:t>’</w:t>
      </w:r>
      <w:r w:rsidRPr="0066018F">
        <w:t>s performance against OECD indicators</w:t>
      </w:r>
    </w:p>
    <w:tbl>
      <w:tblPr>
        <w:tblStyle w:val="TableGrid"/>
        <w:tblW w:w="5000" w:type="pct"/>
        <w:tblInd w:w="6" w:type="dxa"/>
        <w:tblLayout w:type="fixed"/>
        <w:tblCellMar>
          <w:left w:w="0" w:type="dxa"/>
          <w:right w:w="28" w:type="dxa"/>
        </w:tblCellMar>
        <w:tblLook w:val="04A0" w:firstRow="1" w:lastRow="0" w:firstColumn="1" w:lastColumn="0" w:noHBand="0" w:noVBand="1"/>
        <w:tblCaption w:val="Table"/>
      </w:tblPr>
      <w:tblGrid>
        <w:gridCol w:w="1536"/>
        <w:gridCol w:w="1541"/>
        <w:gridCol w:w="1453"/>
        <w:gridCol w:w="1443"/>
        <w:gridCol w:w="1727"/>
      </w:tblGrid>
      <w:tr w:rsidR="005969F8" w:rsidRPr="00910C16" w14:paraId="254EF07C" w14:textId="77777777" w:rsidTr="00A60900">
        <w:trPr>
          <w:trHeight w:val="582"/>
        </w:trPr>
        <w:tc>
          <w:tcPr>
            <w:tcW w:w="3080" w:type="dxa"/>
            <w:gridSpan w:val="2"/>
            <w:shd w:val="clear" w:color="auto" w:fill="293F5B" w:themeFill="text2"/>
            <w:vAlign w:val="center"/>
          </w:tcPr>
          <w:p w14:paraId="04204814" w14:textId="77777777" w:rsidR="00F54733" w:rsidRPr="005017E9" w:rsidRDefault="00F54733" w:rsidP="00BA5502">
            <w:pPr>
              <w:pStyle w:val="TableColumnHeadingCentred"/>
              <w:spacing w:before="0" w:after="0"/>
              <w:rPr>
                <w:color w:val="FFFFFF" w:themeColor="background1"/>
              </w:rPr>
            </w:pPr>
            <w:r w:rsidRPr="00AE29CC">
              <w:rPr>
                <w:color w:val="FFFFFF" w:themeColor="background1"/>
              </w:rPr>
              <w:t>At/better than OECD average and stable/improving</w:t>
            </w:r>
          </w:p>
        </w:tc>
        <w:tc>
          <w:tcPr>
            <w:tcW w:w="1455" w:type="dxa"/>
            <w:shd w:val="clear" w:color="auto" w:fill="293F5B" w:themeFill="text2"/>
            <w:vAlign w:val="center"/>
          </w:tcPr>
          <w:p w14:paraId="6579D485" w14:textId="77777777" w:rsidR="00F54733" w:rsidRPr="00AE29CC" w:rsidRDefault="00F54733" w:rsidP="00BA5502">
            <w:pPr>
              <w:pStyle w:val="TableColumnHeadingCentred"/>
              <w:spacing w:before="0" w:after="0"/>
              <w:rPr>
                <w:color w:val="FFFFFF" w:themeColor="background1"/>
              </w:rPr>
            </w:pPr>
            <w:r w:rsidRPr="00AE29CC">
              <w:rPr>
                <w:color w:val="FFFFFF" w:themeColor="background1"/>
              </w:rPr>
              <w:t>Worse than OECD average but stable/ improving</w:t>
            </w:r>
          </w:p>
        </w:tc>
        <w:tc>
          <w:tcPr>
            <w:tcW w:w="1444" w:type="dxa"/>
            <w:shd w:val="clear" w:color="auto" w:fill="293F5B" w:themeFill="text2"/>
            <w:vAlign w:val="center"/>
          </w:tcPr>
          <w:p w14:paraId="0DDAE76F" w14:textId="77777777" w:rsidR="00F54733" w:rsidRPr="00AE29CC" w:rsidRDefault="00F54733" w:rsidP="00BA5502">
            <w:pPr>
              <w:pStyle w:val="TableColumnHeadingCentred"/>
              <w:spacing w:before="0" w:after="0"/>
              <w:rPr>
                <w:color w:val="FFFFFF" w:themeColor="background1"/>
              </w:rPr>
            </w:pPr>
            <w:r w:rsidRPr="00AE29CC">
              <w:rPr>
                <w:color w:val="FFFFFF" w:themeColor="background1"/>
              </w:rPr>
              <w:t>At/better than OECD average, but declining</w:t>
            </w:r>
          </w:p>
        </w:tc>
        <w:tc>
          <w:tcPr>
            <w:tcW w:w="1729" w:type="dxa"/>
            <w:shd w:val="clear" w:color="auto" w:fill="293F5B" w:themeFill="text2"/>
            <w:vAlign w:val="center"/>
          </w:tcPr>
          <w:p w14:paraId="21ED3D21" w14:textId="77777777" w:rsidR="00F54733" w:rsidRPr="00AE29CC" w:rsidRDefault="00F54733" w:rsidP="00BA5502">
            <w:pPr>
              <w:pStyle w:val="TableColumnHeadingCentred"/>
              <w:spacing w:before="0" w:after="0"/>
              <w:rPr>
                <w:color w:val="FFFFFF" w:themeColor="background1"/>
              </w:rPr>
            </w:pPr>
            <w:r w:rsidRPr="00AE29CC">
              <w:rPr>
                <w:color w:val="FFFFFF" w:themeColor="background1"/>
              </w:rPr>
              <w:t>Worse than OECD average and declining</w:t>
            </w:r>
          </w:p>
        </w:tc>
      </w:tr>
      <w:tr w:rsidR="00226E7F" w:rsidRPr="008716FA" w14:paraId="36E5A7FE" w14:textId="77777777" w:rsidTr="00576C3E">
        <w:trPr>
          <w:trHeight w:val="936"/>
        </w:trPr>
        <w:tc>
          <w:tcPr>
            <w:tcW w:w="1537" w:type="dxa"/>
            <w:shd w:val="clear" w:color="auto" w:fill="B4FED5" w:themeFill="accent6" w:themeFillTint="33"/>
            <w:vAlign w:val="center"/>
          </w:tcPr>
          <w:p w14:paraId="606C8230" w14:textId="475EE30D" w:rsidR="00E15A1F" w:rsidRPr="00CC2893" w:rsidRDefault="00E15A1F" w:rsidP="005017E9">
            <w:pPr>
              <w:pStyle w:val="TableTextCentred"/>
            </w:pPr>
            <w:r w:rsidRPr="00CC2893">
              <w:t xml:space="preserve">Household </w:t>
            </w:r>
            <w:r w:rsidR="00DD1B60">
              <w:t>i</w:t>
            </w:r>
            <w:r w:rsidRPr="00CC2893">
              <w:t>ncome</w:t>
            </w:r>
          </w:p>
        </w:tc>
        <w:tc>
          <w:tcPr>
            <w:tcW w:w="1542" w:type="dxa"/>
            <w:shd w:val="clear" w:color="auto" w:fill="B4FED5" w:themeFill="accent6" w:themeFillTint="33"/>
            <w:vAlign w:val="center"/>
          </w:tcPr>
          <w:p w14:paraId="3DCB4DAB" w14:textId="5A5BC4AE" w:rsidR="00E15A1F" w:rsidRPr="00CC2893" w:rsidRDefault="0074554A" w:rsidP="005017E9">
            <w:pPr>
              <w:pStyle w:val="TableTextCentred"/>
            </w:pPr>
            <w:r>
              <w:t>Produced fixed assets</w:t>
            </w:r>
            <w:r w:rsidDel="0074554A">
              <w:t xml:space="preserve"> </w:t>
            </w:r>
          </w:p>
        </w:tc>
        <w:tc>
          <w:tcPr>
            <w:tcW w:w="1455" w:type="dxa"/>
            <w:shd w:val="clear" w:color="auto" w:fill="FFFFCC"/>
            <w:vAlign w:val="center"/>
          </w:tcPr>
          <w:p w14:paraId="3B6F77FB" w14:textId="5EC00023" w:rsidR="00E15A1F" w:rsidRPr="00CC2893" w:rsidRDefault="00E15A1F" w:rsidP="005017E9">
            <w:pPr>
              <w:pStyle w:val="TableTextCentred"/>
            </w:pPr>
            <w:r w:rsidRPr="00CC2893">
              <w:t>Gender parity in politics</w:t>
            </w:r>
          </w:p>
        </w:tc>
        <w:tc>
          <w:tcPr>
            <w:tcW w:w="1444" w:type="dxa"/>
            <w:shd w:val="clear" w:color="auto" w:fill="FFFFCC"/>
            <w:vAlign w:val="center"/>
          </w:tcPr>
          <w:p w14:paraId="3E5AB060" w14:textId="17B82D07" w:rsidR="00E15A1F" w:rsidRPr="00CC2893" w:rsidRDefault="00E15A1F" w:rsidP="005017E9">
            <w:pPr>
              <w:pStyle w:val="TableTextCentred"/>
            </w:pPr>
            <w:r w:rsidRPr="00CC2893">
              <w:t xml:space="preserve">Financial </w:t>
            </w:r>
            <w:r w:rsidR="00DD1B60">
              <w:t>n</w:t>
            </w:r>
            <w:r w:rsidRPr="00CC2893">
              <w:t xml:space="preserve">et </w:t>
            </w:r>
            <w:r w:rsidR="00DD1B60">
              <w:t>w</w:t>
            </w:r>
            <w:r w:rsidRPr="00CC2893">
              <w:t xml:space="preserve">orth of </w:t>
            </w:r>
            <w:r w:rsidR="00DD1B60">
              <w:t>g</w:t>
            </w:r>
            <w:r w:rsidRPr="00CC2893">
              <w:t xml:space="preserve">eneral </w:t>
            </w:r>
            <w:r w:rsidR="00DD1B60">
              <w:t>g</w:t>
            </w:r>
            <w:r w:rsidRPr="00CC2893">
              <w:t>overnments</w:t>
            </w:r>
          </w:p>
        </w:tc>
        <w:tc>
          <w:tcPr>
            <w:tcW w:w="1729" w:type="dxa"/>
            <w:shd w:val="clear" w:color="auto" w:fill="E5B9BA" w:themeFill="accent2" w:themeFillTint="66"/>
            <w:vAlign w:val="center"/>
          </w:tcPr>
          <w:p w14:paraId="382D24B3" w14:textId="77777777" w:rsidR="00E15A1F" w:rsidRPr="00CC2893" w:rsidRDefault="00E15A1F" w:rsidP="005017E9">
            <w:pPr>
              <w:pStyle w:val="TableTextCentred"/>
            </w:pPr>
            <w:r w:rsidRPr="00CC2893">
              <w:t>Red list index of threatened species</w:t>
            </w:r>
          </w:p>
        </w:tc>
      </w:tr>
      <w:tr w:rsidR="00226E7F" w:rsidRPr="008716FA" w14:paraId="3166EA84" w14:textId="77777777" w:rsidTr="00576C3E">
        <w:trPr>
          <w:trHeight w:val="936"/>
        </w:trPr>
        <w:tc>
          <w:tcPr>
            <w:tcW w:w="1537" w:type="dxa"/>
            <w:shd w:val="clear" w:color="auto" w:fill="B4FED5" w:themeFill="accent6" w:themeFillTint="33"/>
            <w:vAlign w:val="center"/>
          </w:tcPr>
          <w:p w14:paraId="236A8142" w14:textId="0FA42EAD" w:rsidR="00D4418E" w:rsidRPr="00CC2893" w:rsidRDefault="00D4418E" w:rsidP="005017E9">
            <w:pPr>
              <w:pStyle w:val="TableTextCentred"/>
            </w:pPr>
            <w:r w:rsidRPr="00CC2893">
              <w:t xml:space="preserve">Household </w:t>
            </w:r>
            <w:r w:rsidR="00DD1B60">
              <w:t>w</w:t>
            </w:r>
            <w:r w:rsidRPr="00CC2893">
              <w:t>ealth</w:t>
            </w:r>
          </w:p>
        </w:tc>
        <w:tc>
          <w:tcPr>
            <w:tcW w:w="1542" w:type="dxa"/>
            <w:shd w:val="clear" w:color="auto" w:fill="B4FED5" w:themeFill="accent6" w:themeFillTint="33"/>
            <w:vAlign w:val="center"/>
          </w:tcPr>
          <w:p w14:paraId="47ED8D7A" w14:textId="65026446" w:rsidR="00D4418E" w:rsidRPr="00CC2893" w:rsidRDefault="00D4418E" w:rsidP="005017E9">
            <w:pPr>
              <w:pStyle w:val="TableTextCentred"/>
            </w:pPr>
            <w:r w:rsidRPr="00CC2893">
              <w:t xml:space="preserve">Having a say in </w:t>
            </w:r>
            <w:r>
              <w:t>g</w:t>
            </w:r>
            <w:r w:rsidRPr="00CC2893">
              <w:t>overnment</w:t>
            </w:r>
            <w:r w:rsidRPr="00CC2893">
              <w:rPr>
                <w:b/>
                <w:bCs/>
              </w:rPr>
              <w:t>*</w:t>
            </w:r>
          </w:p>
        </w:tc>
        <w:tc>
          <w:tcPr>
            <w:tcW w:w="1455" w:type="dxa"/>
            <w:shd w:val="clear" w:color="auto" w:fill="FFFFCC"/>
            <w:vAlign w:val="center"/>
          </w:tcPr>
          <w:p w14:paraId="7F596C9D" w14:textId="77777777" w:rsidR="00D4418E" w:rsidRPr="00CC2893" w:rsidRDefault="00D4418E" w:rsidP="005017E9">
            <w:pPr>
              <w:pStyle w:val="TableTextCentred"/>
            </w:pPr>
            <w:r w:rsidRPr="00CC2893">
              <w:t>Long hours in paid work</w:t>
            </w:r>
          </w:p>
        </w:tc>
        <w:tc>
          <w:tcPr>
            <w:tcW w:w="1444" w:type="dxa"/>
            <w:shd w:val="clear" w:color="auto" w:fill="FFFFCC"/>
            <w:vAlign w:val="center"/>
          </w:tcPr>
          <w:p w14:paraId="24A8C76F" w14:textId="77777777" w:rsidR="00D4418E" w:rsidRPr="00CC2893" w:rsidRDefault="00D4418E" w:rsidP="005017E9">
            <w:pPr>
              <w:pStyle w:val="TableTextCentred"/>
            </w:pPr>
            <w:r w:rsidRPr="00CC2893">
              <w:t>Voter turnout</w:t>
            </w:r>
          </w:p>
        </w:tc>
        <w:tc>
          <w:tcPr>
            <w:tcW w:w="1729" w:type="dxa"/>
            <w:shd w:val="clear" w:color="auto" w:fill="E5B9BA" w:themeFill="accent2" w:themeFillTint="66"/>
            <w:vAlign w:val="center"/>
          </w:tcPr>
          <w:p w14:paraId="79F7C5A9" w14:textId="289F611D" w:rsidR="00D4418E" w:rsidRPr="00CC2893" w:rsidRDefault="00D4418E" w:rsidP="005017E9">
            <w:pPr>
              <w:pStyle w:val="TableTextCentred"/>
            </w:pPr>
            <w:r w:rsidRPr="00CC2893">
              <w:t xml:space="preserve">Household </w:t>
            </w:r>
            <w:r w:rsidR="00DD1B60">
              <w:t>d</w:t>
            </w:r>
            <w:r w:rsidRPr="00CC2893">
              <w:t>ebt</w:t>
            </w:r>
          </w:p>
        </w:tc>
      </w:tr>
      <w:tr w:rsidR="00226E7F" w:rsidRPr="008716FA" w14:paraId="544C7D33" w14:textId="77777777" w:rsidTr="00576C3E">
        <w:trPr>
          <w:trHeight w:val="936"/>
        </w:trPr>
        <w:tc>
          <w:tcPr>
            <w:tcW w:w="1537" w:type="dxa"/>
            <w:shd w:val="clear" w:color="auto" w:fill="B4FED5" w:themeFill="accent6" w:themeFillTint="33"/>
            <w:vAlign w:val="center"/>
          </w:tcPr>
          <w:p w14:paraId="543FA930" w14:textId="055D6D35" w:rsidR="00D4418E" w:rsidRPr="00CC2893" w:rsidRDefault="00D4418E" w:rsidP="005017E9">
            <w:pPr>
              <w:pStyle w:val="TableTextCentred"/>
            </w:pPr>
            <w:r w:rsidRPr="00CC2893">
              <w:t xml:space="preserve">Employment </w:t>
            </w:r>
            <w:r w:rsidR="00DD1B60">
              <w:t>r</w:t>
            </w:r>
            <w:r w:rsidRPr="00CC2893">
              <w:t>ate</w:t>
            </w:r>
          </w:p>
        </w:tc>
        <w:tc>
          <w:tcPr>
            <w:tcW w:w="1542" w:type="dxa"/>
            <w:shd w:val="clear" w:color="auto" w:fill="B4FED5" w:themeFill="accent6" w:themeFillTint="33"/>
            <w:vAlign w:val="center"/>
          </w:tcPr>
          <w:p w14:paraId="294A6B1C" w14:textId="77777777" w:rsidR="00D4418E" w:rsidRPr="00CC2893" w:rsidRDefault="00D4418E" w:rsidP="005017E9">
            <w:pPr>
              <w:pStyle w:val="TableTextCentred"/>
            </w:pPr>
            <w:r w:rsidRPr="00CC2893">
              <w:t>Homicides</w:t>
            </w:r>
          </w:p>
        </w:tc>
        <w:tc>
          <w:tcPr>
            <w:tcW w:w="1455" w:type="dxa"/>
            <w:shd w:val="clear" w:color="auto" w:fill="FFFFCC"/>
            <w:vAlign w:val="center"/>
          </w:tcPr>
          <w:p w14:paraId="26FBCE64" w14:textId="06528166" w:rsidR="00D4418E" w:rsidRPr="00CC2893" w:rsidRDefault="00B00F9F" w:rsidP="005017E9">
            <w:pPr>
              <w:pStyle w:val="TableTextCentred"/>
            </w:pPr>
            <w:r>
              <w:t>Time off</w:t>
            </w:r>
          </w:p>
        </w:tc>
        <w:tc>
          <w:tcPr>
            <w:tcW w:w="1444" w:type="dxa"/>
            <w:shd w:val="clear" w:color="auto" w:fill="FFFFCC"/>
            <w:vAlign w:val="center"/>
          </w:tcPr>
          <w:p w14:paraId="2529952B" w14:textId="6C332B4B" w:rsidR="00D4418E" w:rsidRPr="00CC2893" w:rsidRDefault="00D4418E" w:rsidP="005017E9">
            <w:pPr>
              <w:pStyle w:val="TableTextCentred"/>
            </w:pPr>
            <w:r w:rsidRPr="00CC2893">
              <w:t xml:space="preserve">Life </w:t>
            </w:r>
            <w:r w:rsidR="00DD1B60">
              <w:t>s</w:t>
            </w:r>
            <w:r w:rsidRPr="00CC2893">
              <w:t>atisfaction</w:t>
            </w:r>
          </w:p>
        </w:tc>
        <w:tc>
          <w:tcPr>
            <w:tcW w:w="1729" w:type="dxa"/>
            <w:shd w:val="clear" w:color="auto" w:fill="E5B9BA" w:themeFill="accent2" w:themeFillTint="66"/>
            <w:vAlign w:val="center"/>
          </w:tcPr>
          <w:p w14:paraId="474C46FF" w14:textId="77777777" w:rsidR="00D4418E" w:rsidRPr="00CC2893" w:rsidRDefault="00D4418E" w:rsidP="005017E9">
            <w:pPr>
              <w:pStyle w:val="TableTextCentred"/>
            </w:pPr>
            <w:r w:rsidRPr="00CC2893">
              <w:t>Gender gap in feeling safe</w:t>
            </w:r>
          </w:p>
        </w:tc>
      </w:tr>
      <w:tr w:rsidR="00226E7F" w:rsidRPr="008716FA" w14:paraId="3D59094C" w14:textId="77777777" w:rsidTr="00576C3E">
        <w:trPr>
          <w:trHeight w:val="936"/>
        </w:trPr>
        <w:tc>
          <w:tcPr>
            <w:tcW w:w="1537" w:type="dxa"/>
            <w:shd w:val="clear" w:color="auto" w:fill="B4FED5" w:themeFill="accent6" w:themeFillTint="33"/>
            <w:vAlign w:val="center"/>
          </w:tcPr>
          <w:p w14:paraId="156C0232" w14:textId="0210E06C" w:rsidR="00D4418E" w:rsidRPr="00CC2893" w:rsidRDefault="00D4418E" w:rsidP="005017E9">
            <w:pPr>
              <w:pStyle w:val="TableTextCentred"/>
            </w:pPr>
            <w:r w:rsidRPr="00CC2893">
              <w:t xml:space="preserve">Housing </w:t>
            </w:r>
            <w:r w:rsidR="00DD1B60">
              <w:t>a</w:t>
            </w:r>
            <w:r w:rsidRPr="00CC2893">
              <w:t>ffordability</w:t>
            </w:r>
          </w:p>
        </w:tc>
        <w:tc>
          <w:tcPr>
            <w:tcW w:w="1542" w:type="dxa"/>
            <w:shd w:val="clear" w:color="auto" w:fill="B4FED5" w:themeFill="accent6" w:themeFillTint="33"/>
            <w:vAlign w:val="center"/>
          </w:tcPr>
          <w:p w14:paraId="6B9CE485" w14:textId="77777777" w:rsidR="00D4418E" w:rsidRPr="00CC2893" w:rsidRDefault="00D4418E" w:rsidP="005017E9">
            <w:pPr>
              <w:pStyle w:val="TableTextCentred"/>
            </w:pPr>
            <w:r w:rsidRPr="00CC2893">
              <w:t>Premature mortality</w:t>
            </w:r>
          </w:p>
        </w:tc>
        <w:tc>
          <w:tcPr>
            <w:tcW w:w="1455" w:type="dxa"/>
            <w:shd w:val="clear" w:color="auto" w:fill="FFFFCC"/>
            <w:vAlign w:val="center"/>
          </w:tcPr>
          <w:p w14:paraId="7CF7B088" w14:textId="786062A5" w:rsidR="00D4418E" w:rsidRPr="00CC2893" w:rsidRDefault="00B00F9F" w:rsidP="005017E9">
            <w:pPr>
              <w:pStyle w:val="TableTextCentred"/>
            </w:pPr>
            <w:r w:rsidRPr="00B93EE3">
              <w:t>Greenhouse gas emissions</w:t>
            </w:r>
          </w:p>
        </w:tc>
        <w:tc>
          <w:tcPr>
            <w:tcW w:w="1444" w:type="dxa"/>
            <w:shd w:val="clear" w:color="auto" w:fill="FFFFCC"/>
            <w:vAlign w:val="center"/>
          </w:tcPr>
          <w:p w14:paraId="453C591A" w14:textId="77777777" w:rsidR="00D4418E" w:rsidRPr="00CC2893" w:rsidRDefault="00D4418E" w:rsidP="005017E9">
            <w:pPr>
              <w:pStyle w:val="TableTextCentred"/>
            </w:pPr>
            <w:r w:rsidRPr="00CC2893">
              <w:t>Social support</w:t>
            </w:r>
          </w:p>
        </w:tc>
        <w:tc>
          <w:tcPr>
            <w:tcW w:w="1729" w:type="dxa"/>
            <w:shd w:val="clear" w:color="auto" w:fill="E5B9BA" w:themeFill="accent2" w:themeFillTint="66"/>
            <w:vAlign w:val="center"/>
          </w:tcPr>
          <w:p w14:paraId="3733127D" w14:textId="3881F36C" w:rsidR="00D4418E" w:rsidRPr="00CC2893" w:rsidRDefault="00D4418E" w:rsidP="005017E9">
            <w:pPr>
              <w:pStyle w:val="TableTextCentred"/>
            </w:pPr>
            <w:r>
              <w:t>Labour underutilisation</w:t>
            </w:r>
          </w:p>
        </w:tc>
      </w:tr>
      <w:tr w:rsidR="00226E7F" w:rsidRPr="008716FA" w14:paraId="706B283D" w14:textId="77777777" w:rsidTr="00576C3E">
        <w:trPr>
          <w:trHeight w:val="936"/>
        </w:trPr>
        <w:tc>
          <w:tcPr>
            <w:tcW w:w="1537" w:type="dxa"/>
            <w:shd w:val="clear" w:color="auto" w:fill="B4FED5" w:themeFill="accent6" w:themeFillTint="33"/>
            <w:vAlign w:val="center"/>
          </w:tcPr>
          <w:p w14:paraId="1BC671D1" w14:textId="77777777" w:rsidR="00D4418E" w:rsidRPr="00CC2893" w:rsidRDefault="00D4418E" w:rsidP="005017E9">
            <w:pPr>
              <w:pStyle w:val="TableTextCentred"/>
            </w:pPr>
            <w:r>
              <w:t>Life expectancy at birth</w:t>
            </w:r>
          </w:p>
        </w:tc>
        <w:tc>
          <w:tcPr>
            <w:tcW w:w="1542" w:type="dxa"/>
            <w:shd w:val="clear" w:color="auto" w:fill="B4FED5" w:themeFill="accent6" w:themeFillTint="33"/>
            <w:vAlign w:val="center"/>
          </w:tcPr>
          <w:p w14:paraId="27092429" w14:textId="5C7E5298" w:rsidR="00D4418E" w:rsidRPr="00CC2893" w:rsidRDefault="00D4418E" w:rsidP="005017E9">
            <w:pPr>
              <w:pStyle w:val="TableTextCentred"/>
            </w:pPr>
            <w:r w:rsidRPr="00CC2893">
              <w:t xml:space="preserve">Exposure to outdoor </w:t>
            </w:r>
            <w:r w:rsidR="00DD1B60">
              <w:t>a</w:t>
            </w:r>
            <w:r w:rsidRPr="00CC2893">
              <w:t>ir pollution</w:t>
            </w:r>
          </w:p>
        </w:tc>
        <w:tc>
          <w:tcPr>
            <w:tcW w:w="1455" w:type="dxa"/>
            <w:shd w:val="clear" w:color="auto" w:fill="FFFFCC"/>
            <w:vAlign w:val="center"/>
          </w:tcPr>
          <w:p w14:paraId="24BD0C71" w14:textId="263AEA2B" w:rsidR="00D4418E" w:rsidRPr="00DA495F" w:rsidRDefault="00AE29CC" w:rsidP="005017E9">
            <w:pPr>
              <w:pStyle w:val="TableTextCentred"/>
            </w:pPr>
            <w:r w:rsidRPr="00CC2893">
              <w:t xml:space="preserve">80/20 income share </w:t>
            </w:r>
            <w:r w:rsidR="00B00F9F" w:rsidRPr="00CC2893">
              <w:t>ratio</w:t>
            </w:r>
          </w:p>
        </w:tc>
        <w:tc>
          <w:tcPr>
            <w:tcW w:w="1444" w:type="dxa"/>
            <w:shd w:val="clear" w:color="auto" w:fill="FFFFCC"/>
            <w:vAlign w:val="center"/>
          </w:tcPr>
          <w:p w14:paraId="039312D6" w14:textId="57F768D1" w:rsidR="00D4418E" w:rsidRPr="00CC2893" w:rsidRDefault="00452A4C" w:rsidP="005017E9">
            <w:pPr>
              <w:pStyle w:val="TableTextCentred"/>
            </w:pPr>
            <w:r w:rsidRPr="00CC2893">
              <w:t xml:space="preserve">Student skills in </w:t>
            </w:r>
            <w:r w:rsidR="00B00F9F" w:rsidRPr="00CC2893">
              <w:t>science</w:t>
            </w:r>
          </w:p>
        </w:tc>
        <w:tc>
          <w:tcPr>
            <w:tcW w:w="1729" w:type="dxa"/>
            <w:shd w:val="clear" w:color="auto" w:fill="E5B9BA" w:themeFill="accent2" w:themeFillTint="66"/>
            <w:vAlign w:val="center"/>
          </w:tcPr>
          <w:p w14:paraId="3C464FAB" w14:textId="31303EDB" w:rsidR="00D4418E" w:rsidRPr="00CC2893" w:rsidRDefault="00D4418E" w:rsidP="005017E9">
            <w:pPr>
              <w:pStyle w:val="TableTextCentred"/>
            </w:pPr>
            <w:r>
              <w:t>Material footprint</w:t>
            </w:r>
          </w:p>
        </w:tc>
      </w:tr>
      <w:tr w:rsidR="00226E7F" w:rsidRPr="008716FA" w14:paraId="37B2ADD7" w14:textId="77777777" w:rsidTr="00576C3E">
        <w:trPr>
          <w:trHeight w:val="936"/>
        </w:trPr>
        <w:tc>
          <w:tcPr>
            <w:tcW w:w="1537" w:type="dxa"/>
            <w:shd w:val="clear" w:color="auto" w:fill="B4FED5" w:themeFill="accent6" w:themeFillTint="33"/>
            <w:vAlign w:val="center"/>
          </w:tcPr>
          <w:p w14:paraId="59F3932F" w14:textId="3129B2F8" w:rsidR="0015543C" w:rsidRPr="00CC2893" w:rsidRDefault="0015543C" w:rsidP="005017E9">
            <w:pPr>
              <w:pStyle w:val="TableTextCentred"/>
            </w:pPr>
            <w:r w:rsidRPr="00CC2893">
              <w:t>Education attainment among young adults</w:t>
            </w:r>
          </w:p>
        </w:tc>
        <w:tc>
          <w:tcPr>
            <w:tcW w:w="1542" w:type="dxa"/>
            <w:shd w:val="clear" w:color="auto" w:fill="B4FED5" w:themeFill="accent6" w:themeFillTint="33"/>
            <w:vAlign w:val="center"/>
          </w:tcPr>
          <w:p w14:paraId="706268FC" w14:textId="31E11F26" w:rsidR="0015543C" w:rsidRPr="00CC2893" w:rsidRDefault="00114DBA" w:rsidP="005017E9">
            <w:pPr>
              <w:pStyle w:val="TableTextCentred"/>
            </w:pPr>
            <w:r>
              <w:t xml:space="preserve">Social </w:t>
            </w:r>
            <w:r w:rsidR="00DD1B60">
              <w:t>i</w:t>
            </w:r>
            <w:r>
              <w:t>nteractions</w:t>
            </w:r>
          </w:p>
        </w:tc>
        <w:tc>
          <w:tcPr>
            <w:tcW w:w="1455" w:type="dxa"/>
            <w:shd w:val="clear" w:color="auto" w:fill="FFFFCC"/>
            <w:vAlign w:val="center"/>
          </w:tcPr>
          <w:p w14:paraId="0A626F81" w14:textId="2F3CE071" w:rsidR="0015543C" w:rsidRPr="00CC2893" w:rsidRDefault="00B00F9F" w:rsidP="005017E9">
            <w:pPr>
              <w:pStyle w:val="TableTextCentred"/>
            </w:pPr>
            <w:r w:rsidRPr="00CC2893">
              <w:t xml:space="preserve">Gender </w:t>
            </w:r>
            <w:r>
              <w:t>w</w:t>
            </w:r>
            <w:r w:rsidRPr="00CC2893">
              <w:t xml:space="preserve">age </w:t>
            </w:r>
            <w:r>
              <w:t>g</w:t>
            </w:r>
            <w:r w:rsidRPr="00CC2893">
              <w:t>ap</w:t>
            </w:r>
          </w:p>
        </w:tc>
        <w:tc>
          <w:tcPr>
            <w:tcW w:w="1444" w:type="dxa"/>
            <w:shd w:val="clear" w:color="auto" w:fill="FFFFCC"/>
            <w:vAlign w:val="center"/>
          </w:tcPr>
          <w:p w14:paraId="7D5C6753" w14:textId="77777777" w:rsidR="0015543C" w:rsidRPr="00CC2893" w:rsidRDefault="0015543C" w:rsidP="005017E9">
            <w:pPr>
              <w:pStyle w:val="TableTextCentred"/>
            </w:pPr>
            <w:r w:rsidRPr="00CC2893">
              <w:t xml:space="preserve">Trust in </w:t>
            </w:r>
            <w:r>
              <w:t>g</w:t>
            </w:r>
            <w:r w:rsidRPr="00CC2893">
              <w:t>overnment</w:t>
            </w:r>
          </w:p>
        </w:tc>
        <w:tc>
          <w:tcPr>
            <w:tcW w:w="1729" w:type="dxa"/>
            <w:shd w:val="clear" w:color="auto" w:fill="auto"/>
            <w:vAlign w:val="center"/>
          </w:tcPr>
          <w:p w14:paraId="5CF4D595" w14:textId="77777777" w:rsidR="0015543C" w:rsidRPr="00CC2893" w:rsidRDefault="0015543C" w:rsidP="005017E9">
            <w:pPr>
              <w:pStyle w:val="TableTextCentred"/>
            </w:pPr>
          </w:p>
        </w:tc>
      </w:tr>
      <w:tr w:rsidR="00226E7F" w:rsidRPr="008716FA" w14:paraId="2CA9BE1A" w14:textId="77777777" w:rsidTr="00A60900">
        <w:trPr>
          <w:trHeight w:val="936"/>
        </w:trPr>
        <w:tc>
          <w:tcPr>
            <w:tcW w:w="1537" w:type="dxa"/>
            <w:shd w:val="clear" w:color="auto" w:fill="FFFFFF" w:themeFill="background1"/>
            <w:vAlign w:val="center"/>
          </w:tcPr>
          <w:p w14:paraId="5CC3DC7B" w14:textId="15A481A6" w:rsidR="0015543C" w:rsidRPr="00CC2893" w:rsidRDefault="0015543C" w:rsidP="005017E9">
            <w:pPr>
              <w:pStyle w:val="TableTextCentred"/>
            </w:pPr>
          </w:p>
        </w:tc>
        <w:tc>
          <w:tcPr>
            <w:tcW w:w="1542" w:type="dxa"/>
            <w:shd w:val="clear" w:color="auto" w:fill="FFFFFF" w:themeFill="background1"/>
            <w:vAlign w:val="center"/>
          </w:tcPr>
          <w:p w14:paraId="60EE508B" w14:textId="44C996AA" w:rsidR="0015543C" w:rsidRDefault="0015543C" w:rsidP="005017E9">
            <w:pPr>
              <w:pStyle w:val="TableTextCentred"/>
            </w:pPr>
          </w:p>
        </w:tc>
        <w:tc>
          <w:tcPr>
            <w:tcW w:w="1455" w:type="dxa"/>
            <w:shd w:val="clear" w:color="auto" w:fill="FFFFFF" w:themeFill="background1"/>
            <w:vAlign w:val="center"/>
          </w:tcPr>
          <w:p w14:paraId="3194D9FC" w14:textId="432487B2" w:rsidR="0015543C" w:rsidRPr="00CC2893" w:rsidRDefault="0015543C" w:rsidP="005017E9">
            <w:pPr>
              <w:pStyle w:val="TableTextCentred"/>
            </w:pPr>
          </w:p>
        </w:tc>
        <w:tc>
          <w:tcPr>
            <w:tcW w:w="1444" w:type="dxa"/>
            <w:shd w:val="clear" w:color="auto" w:fill="FFFFCC"/>
            <w:vAlign w:val="center"/>
          </w:tcPr>
          <w:p w14:paraId="367B6B32" w14:textId="5601E8A3" w:rsidR="0015543C" w:rsidRPr="00CC2893" w:rsidRDefault="00073D26" w:rsidP="005017E9">
            <w:pPr>
              <w:pStyle w:val="TableTextCentred"/>
            </w:pPr>
            <w:r>
              <w:t xml:space="preserve">Gender gap in hours </w:t>
            </w:r>
            <w:r w:rsidR="00B00F9F">
              <w:t>worked</w:t>
            </w:r>
          </w:p>
        </w:tc>
        <w:tc>
          <w:tcPr>
            <w:tcW w:w="1729" w:type="dxa"/>
            <w:shd w:val="clear" w:color="auto" w:fill="auto"/>
            <w:vAlign w:val="center"/>
          </w:tcPr>
          <w:p w14:paraId="37CC1E0E" w14:textId="77777777" w:rsidR="0015543C" w:rsidRPr="00CC2893" w:rsidRDefault="0015543C" w:rsidP="005017E9">
            <w:pPr>
              <w:pStyle w:val="TableTextCentred"/>
            </w:pPr>
          </w:p>
        </w:tc>
      </w:tr>
      <w:tr w:rsidR="00226E7F" w:rsidRPr="008716FA" w14:paraId="0F24F755" w14:textId="77777777" w:rsidTr="00A60900">
        <w:trPr>
          <w:trHeight w:val="936"/>
        </w:trPr>
        <w:tc>
          <w:tcPr>
            <w:tcW w:w="1537" w:type="dxa"/>
            <w:shd w:val="clear" w:color="auto" w:fill="FFFFFF" w:themeFill="background1"/>
            <w:vAlign w:val="center"/>
          </w:tcPr>
          <w:p w14:paraId="76E3BA84" w14:textId="77777777" w:rsidR="00686446" w:rsidRPr="00CC2893" w:rsidRDefault="00686446" w:rsidP="00686446">
            <w:pPr>
              <w:pStyle w:val="TableTextCentred"/>
            </w:pPr>
          </w:p>
        </w:tc>
        <w:tc>
          <w:tcPr>
            <w:tcW w:w="1542" w:type="dxa"/>
            <w:shd w:val="clear" w:color="auto" w:fill="FFFFFF" w:themeFill="background1"/>
            <w:vAlign w:val="center"/>
          </w:tcPr>
          <w:p w14:paraId="19774A46" w14:textId="77777777" w:rsidR="00686446" w:rsidRDefault="00686446" w:rsidP="00686446">
            <w:pPr>
              <w:pStyle w:val="TableTextCentred"/>
            </w:pPr>
          </w:p>
        </w:tc>
        <w:tc>
          <w:tcPr>
            <w:tcW w:w="1455" w:type="dxa"/>
            <w:shd w:val="clear" w:color="auto" w:fill="FFFFFF" w:themeFill="background1"/>
            <w:vAlign w:val="center"/>
          </w:tcPr>
          <w:p w14:paraId="10691DB3" w14:textId="2246944D" w:rsidR="00686446" w:rsidRPr="00CC2893" w:rsidRDefault="00686446" w:rsidP="00686446">
            <w:pPr>
              <w:pStyle w:val="TableTextCentred"/>
            </w:pPr>
          </w:p>
        </w:tc>
        <w:tc>
          <w:tcPr>
            <w:tcW w:w="1444" w:type="dxa"/>
            <w:shd w:val="clear" w:color="auto" w:fill="FFFFCC"/>
            <w:vAlign w:val="center"/>
          </w:tcPr>
          <w:p w14:paraId="2BA50D55" w14:textId="5F7F8461" w:rsidR="00686446" w:rsidRDefault="00452A4C" w:rsidP="00686446">
            <w:pPr>
              <w:pStyle w:val="TableTextCentred"/>
            </w:pPr>
            <w:r>
              <w:t>Students with low skills</w:t>
            </w:r>
          </w:p>
        </w:tc>
        <w:tc>
          <w:tcPr>
            <w:tcW w:w="1729" w:type="dxa"/>
            <w:shd w:val="clear" w:color="auto" w:fill="auto"/>
            <w:vAlign w:val="center"/>
          </w:tcPr>
          <w:p w14:paraId="75FD3D48" w14:textId="77777777" w:rsidR="00686446" w:rsidRPr="00CC2893" w:rsidRDefault="00686446" w:rsidP="00686446">
            <w:pPr>
              <w:pStyle w:val="TableTextCentred"/>
            </w:pPr>
          </w:p>
        </w:tc>
      </w:tr>
      <w:tr w:rsidR="0009470F" w:rsidRPr="008716FA" w14:paraId="3C7EEEA9" w14:textId="77777777" w:rsidTr="00A60900">
        <w:trPr>
          <w:trHeight w:val="936"/>
        </w:trPr>
        <w:tc>
          <w:tcPr>
            <w:tcW w:w="1537" w:type="dxa"/>
            <w:shd w:val="clear" w:color="auto" w:fill="FFFFFF" w:themeFill="background1"/>
            <w:vAlign w:val="center"/>
          </w:tcPr>
          <w:p w14:paraId="6815F169" w14:textId="77777777" w:rsidR="00FF56B2" w:rsidRPr="00CC2893" w:rsidRDefault="00FF56B2" w:rsidP="00FF56B2">
            <w:pPr>
              <w:pStyle w:val="TableTextCentred"/>
            </w:pPr>
          </w:p>
        </w:tc>
        <w:tc>
          <w:tcPr>
            <w:tcW w:w="1542" w:type="dxa"/>
            <w:shd w:val="clear" w:color="auto" w:fill="FFFFFF" w:themeFill="background1"/>
            <w:vAlign w:val="center"/>
          </w:tcPr>
          <w:p w14:paraId="2CDB40E2" w14:textId="77777777" w:rsidR="00FF56B2" w:rsidRDefault="00FF56B2" w:rsidP="00FF56B2">
            <w:pPr>
              <w:pStyle w:val="TableTextCentred"/>
            </w:pPr>
          </w:p>
        </w:tc>
        <w:tc>
          <w:tcPr>
            <w:tcW w:w="1455" w:type="dxa"/>
            <w:shd w:val="clear" w:color="auto" w:fill="FFFFFF" w:themeFill="background1"/>
            <w:vAlign w:val="center"/>
          </w:tcPr>
          <w:p w14:paraId="7254DB9D" w14:textId="0B08513E" w:rsidR="00FF56B2" w:rsidRDefault="00FF56B2" w:rsidP="00FF56B2">
            <w:pPr>
              <w:pStyle w:val="TableTextCentred"/>
            </w:pPr>
          </w:p>
        </w:tc>
        <w:tc>
          <w:tcPr>
            <w:tcW w:w="1444" w:type="dxa"/>
            <w:shd w:val="clear" w:color="auto" w:fill="FFFFCC"/>
            <w:vAlign w:val="center"/>
          </w:tcPr>
          <w:p w14:paraId="3C7A1B1C" w14:textId="0B48D9B0" w:rsidR="00FF56B2" w:rsidRDefault="00F53ED2" w:rsidP="00FF56B2">
            <w:pPr>
              <w:pStyle w:val="TableTextCentred"/>
            </w:pPr>
            <w:r w:rsidRPr="00CC2893">
              <w:t>Negative affect balance</w:t>
            </w:r>
          </w:p>
        </w:tc>
        <w:tc>
          <w:tcPr>
            <w:tcW w:w="1729" w:type="dxa"/>
            <w:shd w:val="clear" w:color="auto" w:fill="auto"/>
            <w:vAlign w:val="center"/>
          </w:tcPr>
          <w:p w14:paraId="336ECB6D" w14:textId="77777777" w:rsidR="00FF56B2" w:rsidRPr="00CC2893" w:rsidRDefault="00FF56B2" w:rsidP="00FF56B2">
            <w:pPr>
              <w:pStyle w:val="TableTextCentred"/>
            </w:pPr>
          </w:p>
        </w:tc>
      </w:tr>
    </w:tbl>
    <w:p w14:paraId="61644960" w14:textId="40C40170" w:rsidR="00F54733" w:rsidRDefault="00F54733" w:rsidP="00D00FE8">
      <w:pPr>
        <w:pStyle w:val="ChartandTableFootnote"/>
      </w:pPr>
      <w:r w:rsidRPr="00356EC3">
        <w:t xml:space="preserve">Note: </w:t>
      </w:r>
      <w:r w:rsidR="00240EA0">
        <w:tab/>
      </w:r>
      <w:r w:rsidRPr="00356EC3">
        <w:t xml:space="preserve">Asterisks denote assessment based on OECD average only. Indicators </w:t>
      </w:r>
      <w:r w:rsidR="00F642DD">
        <w:t>w</w:t>
      </w:r>
      <w:r w:rsidR="0075124B">
        <w:t>ithout</w:t>
      </w:r>
      <w:r w:rsidR="00F642DD" w:rsidRPr="00356EC3">
        <w:t xml:space="preserve"> </w:t>
      </w:r>
      <w:r w:rsidR="00090D36">
        <w:t xml:space="preserve">recent and </w:t>
      </w:r>
      <w:r w:rsidRPr="00356EC3">
        <w:t>consistent data</w:t>
      </w:r>
      <w:r w:rsidR="00F642DD">
        <w:t xml:space="preserve"> from the OECD</w:t>
      </w:r>
      <w:r w:rsidRPr="00356EC3">
        <w:t xml:space="preserve"> are not presented</w:t>
      </w:r>
      <w:r>
        <w:t xml:space="preserve">. This </w:t>
      </w:r>
      <w:r w:rsidRPr="00356EC3">
        <w:t>include</w:t>
      </w:r>
      <w:r>
        <w:t>s</w:t>
      </w:r>
      <w:r w:rsidR="00B23EB0">
        <w:t xml:space="preserve"> the following indicators:</w:t>
      </w:r>
      <w:r w:rsidRPr="00356EC3">
        <w:t xml:space="preserve"> </w:t>
      </w:r>
      <w:r w:rsidR="00F53F0B">
        <w:t>gap in life expectancy by education, trust in others</w:t>
      </w:r>
      <w:r w:rsidRPr="00356EC3">
        <w:t xml:space="preserve">, </w:t>
      </w:r>
      <w:r w:rsidR="00652358">
        <w:t xml:space="preserve">housing </w:t>
      </w:r>
      <w:r w:rsidR="00FA0FB2">
        <w:t>overcrowding rate</w:t>
      </w:r>
      <w:r w:rsidR="001D5D2A">
        <w:t xml:space="preserve">s </w:t>
      </w:r>
      <w:r w:rsidRPr="00356EC3">
        <w:t>and access to green space</w:t>
      </w:r>
      <w:r w:rsidR="005C17C7">
        <w:t xml:space="preserve">. </w:t>
      </w:r>
      <w:r w:rsidRPr="00356EC3">
        <w:br/>
        <w:t xml:space="preserve">Source: </w:t>
      </w:r>
      <w:hyperlink r:id="rId22" w:history="1">
        <w:r w:rsidRPr="00356EC3">
          <w:rPr>
            <w:rStyle w:val="Hyperlink"/>
            <w:szCs w:val="16"/>
          </w:rPr>
          <w:t>OECD 2022</w:t>
        </w:r>
      </w:hyperlink>
      <w:r w:rsidRPr="00356EC3">
        <w:t xml:space="preserve">, </w:t>
      </w:r>
      <w:hyperlink r:id="rId23" w:history="1">
        <w:r w:rsidR="005E7C56" w:rsidRPr="00F91D64">
          <w:rPr>
            <w:rStyle w:val="Hyperlink"/>
          </w:rPr>
          <w:t>ABS</w:t>
        </w:r>
        <w:r w:rsidR="003C6DFF" w:rsidRPr="00F91D64">
          <w:rPr>
            <w:rStyle w:val="Hyperlink"/>
          </w:rPr>
          <w:t xml:space="preserve"> Time Use Survey</w:t>
        </w:r>
      </w:hyperlink>
      <w:r w:rsidR="003C6DFF">
        <w:t xml:space="preserve">, </w:t>
      </w:r>
      <w:hyperlink r:id="rId24" w:history="1">
        <w:r w:rsidR="003C6DFF" w:rsidRPr="00F91D64">
          <w:rPr>
            <w:rStyle w:val="Hyperlink"/>
          </w:rPr>
          <w:t>ABS General Social Survey</w:t>
        </w:r>
      </w:hyperlink>
      <w:r w:rsidR="00CD6221">
        <w:t xml:space="preserve">, </w:t>
      </w:r>
      <w:hyperlink r:id="rId25" w:history="1">
        <w:r w:rsidR="00CD6221" w:rsidRPr="00CD6221">
          <w:rPr>
            <w:rStyle w:val="Hyperlink"/>
          </w:rPr>
          <w:t>AEC</w:t>
        </w:r>
      </w:hyperlink>
      <w:r w:rsidR="00CD6221">
        <w:t>.</w:t>
      </w:r>
    </w:p>
    <w:p w14:paraId="246759CF" w14:textId="77777777" w:rsidR="00407C48" w:rsidRPr="00407C48" w:rsidRDefault="00407C48" w:rsidP="00407C48">
      <w:pPr>
        <w:pStyle w:val="ChartLine"/>
      </w:pPr>
    </w:p>
    <w:tbl>
      <w:tblPr>
        <w:tblW w:w="5000" w:type="pct"/>
        <w:shd w:val="clear" w:color="auto" w:fill="E6F2FF"/>
        <w:tblCellMar>
          <w:top w:w="284" w:type="dxa"/>
          <w:left w:w="284" w:type="dxa"/>
          <w:bottom w:w="284" w:type="dxa"/>
          <w:right w:w="284" w:type="dxa"/>
        </w:tblCellMar>
        <w:tblLook w:val="0000" w:firstRow="0" w:lastRow="0" w:firstColumn="0" w:lastColumn="0" w:noHBand="0" w:noVBand="0"/>
      </w:tblPr>
      <w:tblGrid>
        <w:gridCol w:w="7710"/>
      </w:tblGrid>
      <w:tr w:rsidR="00F54733" w14:paraId="789AC078" w14:textId="77777777" w:rsidTr="007913DD">
        <w:trPr>
          <w:cantSplit/>
        </w:trPr>
        <w:tc>
          <w:tcPr>
            <w:tcW w:w="5000" w:type="pct"/>
            <w:shd w:val="clear" w:color="auto" w:fill="E6F2FF"/>
          </w:tcPr>
          <w:p w14:paraId="6A0E0686" w14:textId="192C8A22" w:rsidR="00F54733" w:rsidRDefault="00F54733" w:rsidP="000B0E42">
            <w:pPr>
              <w:pStyle w:val="BoxHeading"/>
            </w:pPr>
            <w:r w:rsidRPr="00AE14FC">
              <w:lastRenderedPageBreak/>
              <w:t xml:space="preserve">Box </w:t>
            </w:r>
            <w:r>
              <w:t>4.</w:t>
            </w:r>
            <w:r w:rsidR="005C04A7">
              <w:t>3</w:t>
            </w:r>
            <w:r w:rsidRPr="00AE14FC">
              <w:t xml:space="preserve">: </w:t>
            </w:r>
            <w:r>
              <w:t xml:space="preserve">Interpreting OECD indicators carefully </w:t>
            </w:r>
          </w:p>
          <w:p w14:paraId="5D0B61BE" w14:textId="77777777" w:rsidR="00F54733" w:rsidRPr="00A16B7E" w:rsidRDefault="00F54733" w:rsidP="00D00FE8">
            <w:pPr>
              <w:pStyle w:val="BoxText"/>
            </w:pPr>
            <w:r w:rsidRPr="00A16B7E">
              <w:t xml:space="preserve">OECD indicators should be interpreted carefully when considering performance. </w:t>
            </w:r>
          </w:p>
          <w:p w14:paraId="18B198B5" w14:textId="52045D1F" w:rsidR="00F54733" w:rsidRDefault="00F54733" w:rsidP="00D00FE8">
            <w:pPr>
              <w:pStyle w:val="BoxBullet"/>
            </w:pPr>
            <w:r w:rsidRPr="00BF3DA9">
              <w:rPr>
                <w:i/>
                <w:iCs/>
              </w:rPr>
              <w:t>Timing</w:t>
            </w:r>
            <w:r w:rsidRPr="00490BC1">
              <w:rPr>
                <w:i/>
                <w:iCs/>
              </w:rPr>
              <w:t>:</w:t>
            </w:r>
            <w:r w:rsidRPr="00490BC1">
              <w:t xml:space="preserve"> OECD data on progress and well</w:t>
            </w:r>
            <w:r w:rsidR="00102E07">
              <w:noBreakHyphen/>
            </w:r>
            <w:r w:rsidRPr="00490BC1">
              <w:t xml:space="preserve">being performance is often published with a delay. While most indicators have data up to 2020, </w:t>
            </w:r>
            <w:r w:rsidRPr="00490BC1" w:rsidDel="00826EFB">
              <w:t xml:space="preserve">some indicators </w:t>
            </w:r>
            <w:r>
              <w:t>do not have data since 2006</w:t>
            </w:r>
            <w:r w:rsidRPr="00490BC1">
              <w:t xml:space="preserve">. This reflects the time it takes to generate consistent, coherent and accurate data. </w:t>
            </w:r>
            <w:r>
              <w:t>This</w:t>
            </w:r>
            <w:r w:rsidRPr="003C165E">
              <w:t xml:space="preserve"> means that indicators are often </w:t>
            </w:r>
            <w:r w:rsidRPr="003C165E">
              <w:rPr>
                <w:i/>
              </w:rPr>
              <w:t>lagging</w:t>
            </w:r>
            <w:r w:rsidRPr="003C165E">
              <w:t xml:space="preserve"> indicators</w:t>
            </w:r>
            <w:r w:rsidR="005C17C7">
              <w:t xml:space="preserve"> – </w:t>
            </w:r>
            <w:r w:rsidRPr="003C165E">
              <w:t xml:space="preserve">useful to understand past performance but may not reflect events that are likely to drive </w:t>
            </w:r>
            <w:r>
              <w:t>progress</w:t>
            </w:r>
            <w:r w:rsidRPr="003C165E">
              <w:t>. For example, the impacts of COVID</w:t>
            </w:r>
            <w:r w:rsidR="00102E07">
              <w:noBreakHyphen/>
            </w:r>
            <w:r w:rsidRPr="003C165E">
              <w:t xml:space="preserve">19 and geopolitical instability have affected, and will continue to affect, </w:t>
            </w:r>
            <w:r>
              <w:t>progress</w:t>
            </w:r>
            <w:r w:rsidR="005C17C7">
              <w:t xml:space="preserve"> – </w:t>
            </w:r>
            <w:r w:rsidRPr="003C165E">
              <w:t xml:space="preserve">both in Australia and in OECD peers. </w:t>
            </w:r>
          </w:p>
          <w:p w14:paraId="703C13B2" w14:textId="77777777" w:rsidR="00F54733" w:rsidRPr="003C165E" w:rsidRDefault="00F54733" w:rsidP="00D00FE8">
            <w:pPr>
              <w:pStyle w:val="BoxBullet"/>
            </w:pPr>
            <w:r>
              <w:rPr>
                <w:i/>
                <w:iCs/>
              </w:rPr>
              <w:t>Comparability:</w:t>
            </w:r>
            <w:r>
              <w:t xml:space="preserve"> Data published by the OECD is often sourced from the national statistical agencies of different countries, or other government and community entities. The resourcing of these agencies and entities can vary, and with it the quality of data collection. This makes comparability between jurisdictions risky, as the data reported does not include any information as to the level of </w:t>
            </w:r>
            <w:r>
              <w:rPr>
                <w:i/>
                <w:iCs/>
              </w:rPr>
              <w:t>certainty</w:t>
            </w:r>
            <w:r>
              <w:t xml:space="preserve"> of result, especially where indicators rely on survey</w:t>
            </w:r>
            <w:r w:rsidR="00102E07">
              <w:noBreakHyphen/>
            </w:r>
            <w:r>
              <w:t xml:space="preserve">based approaches that are more accurate with a larger (but costlier) sample. </w:t>
            </w:r>
          </w:p>
          <w:p w14:paraId="4BCC797E" w14:textId="77777777" w:rsidR="00F54733" w:rsidRPr="003C165E" w:rsidRDefault="00F54733" w:rsidP="00D00FE8">
            <w:pPr>
              <w:pStyle w:val="BoxBullet"/>
            </w:pPr>
            <w:r w:rsidRPr="00E718D3">
              <w:rPr>
                <w:i/>
                <w:iCs/>
              </w:rPr>
              <w:t>Aggregation:</w:t>
            </w:r>
            <w:r w:rsidRPr="00E718D3">
              <w:t xml:space="preserve"> </w:t>
            </w:r>
            <w:r w:rsidRPr="003C165E">
              <w:t>The indicators are often for Australians on average</w:t>
            </w:r>
            <w:r>
              <w:t>. This</w:t>
            </w:r>
            <w:r w:rsidRPr="003C165E">
              <w:t xml:space="preserve"> may not reflect the </w:t>
            </w:r>
            <w:r>
              <w:t>circumstances</w:t>
            </w:r>
            <w:r w:rsidRPr="003C165E">
              <w:t xml:space="preserve"> of those at the margins, or specific groups in society. </w:t>
            </w:r>
            <w:r w:rsidRPr="00490BC1">
              <w:t>For example, aggregated data does not highlight the inequalities that lead to differing outcomes for groups such as First Nations people, women, people living with a disability and young people</w:t>
            </w:r>
            <w:r>
              <w:t>.</w:t>
            </w:r>
            <w:r w:rsidRPr="003C165E">
              <w:t xml:space="preserve"> Some indicators are better suited than others to provide insights for the </w:t>
            </w:r>
            <w:r>
              <w:t>quality of life</w:t>
            </w:r>
            <w:r w:rsidRPr="003C165E">
              <w:t xml:space="preserve"> of </w:t>
            </w:r>
            <w:r w:rsidR="00084393" w:rsidRPr="003C165E">
              <w:t>demographic</w:t>
            </w:r>
            <w:r>
              <w:t xml:space="preserve"> groups</w:t>
            </w:r>
            <w:r w:rsidRPr="003C165E">
              <w:t xml:space="preserve">. For example, the average amount of time off </w:t>
            </w:r>
            <w:r>
              <w:t xml:space="preserve">for </w:t>
            </w:r>
            <w:r w:rsidRPr="003C165E">
              <w:t>someone in full</w:t>
            </w:r>
            <w:r w:rsidR="00102E07">
              <w:noBreakHyphen/>
            </w:r>
            <w:r w:rsidRPr="003C165E">
              <w:t xml:space="preserve">time work, which is a social headline indicator, is useful to understand </w:t>
            </w:r>
            <w:r>
              <w:t>quality of life</w:t>
            </w:r>
            <w:r w:rsidRPr="003C165E">
              <w:t xml:space="preserve"> of those in paid employment, but less relevant for those outside the labour force, like retirees. </w:t>
            </w:r>
          </w:p>
          <w:p w14:paraId="7E5DAAEA" w14:textId="77777777" w:rsidR="00F54733" w:rsidRDefault="00F54733" w:rsidP="00D00FE8">
            <w:pPr>
              <w:pStyle w:val="BoxBullet"/>
            </w:pPr>
            <w:r w:rsidRPr="00523FBF">
              <w:rPr>
                <w:i/>
                <w:iCs/>
              </w:rPr>
              <w:t>Priority:</w:t>
            </w:r>
            <w:r>
              <w:t xml:space="preserve"> </w:t>
            </w:r>
            <w:r w:rsidRPr="003C165E">
              <w:t xml:space="preserve">Strong performance against a </w:t>
            </w:r>
            <w:r>
              <w:t>progress</w:t>
            </w:r>
            <w:r w:rsidRPr="003C165E">
              <w:t xml:space="preserve"> indicator does not necessarily mean there is less opportunity or need for further improvements in that field. </w:t>
            </w:r>
          </w:p>
          <w:p w14:paraId="6AE1EF00" w14:textId="3A7802E6" w:rsidR="00F54733" w:rsidRPr="008E6659" w:rsidRDefault="00F54733" w:rsidP="00FE3361">
            <w:pPr>
              <w:pStyle w:val="Source"/>
              <w:rPr>
                <w:szCs w:val="16"/>
              </w:rPr>
            </w:pPr>
            <w:r w:rsidRPr="008E6659">
              <w:rPr>
                <w:szCs w:val="16"/>
              </w:rPr>
              <w:t>Source:</w:t>
            </w:r>
            <w:r w:rsidR="00A05C59">
              <w:t xml:space="preserve"> </w:t>
            </w:r>
            <w:r w:rsidR="00A05C59">
              <w:tab/>
            </w:r>
            <w:r w:rsidRPr="00FE3361">
              <w:rPr>
                <w:szCs w:val="16"/>
              </w:rPr>
              <w:t>What Works Well</w:t>
            </w:r>
            <w:r w:rsidR="00102E07">
              <w:rPr>
                <w:szCs w:val="16"/>
              </w:rPr>
              <w:noBreakHyphen/>
            </w:r>
            <w:r w:rsidRPr="00FE3361">
              <w:rPr>
                <w:szCs w:val="16"/>
              </w:rPr>
              <w:t xml:space="preserve">being </w:t>
            </w:r>
            <w:r w:rsidR="00FE3361" w:rsidRPr="00FE3361">
              <w:rPr>
                <w:szCs w:val="16"/>
              </w:rPr>
              <w:t>(</w:t>
            </w:r>
            <w:hyperlink r:id="rId26" w:history="1">
              <w:r w:rsidRPr="00FE3361">
                <w:rPr>
                  <w:rStyle w:val="Hyperlink"/>
                  <w:szCs w:val="16"/>
                </w:rPr>
                <w:t>2022</w:t>
              </w:r>
            </w:hyperlink>
            <w:r w:rsidR="00FE3361" w:rsidRPr="00FE3361">
              <w:t xml:space="preserve">) </w:t>
            </w:r>
            <w:r w:rsidR="00102E07">
              <w:t>‘</w:t>
            </w:r>
            <w:r w:rsidR="00FE3361" w:rsidRPr="00FE3361">
              <w:t>Analysing and interpreting your results</w:t>
            </w:r>
            <w:r w:rsidR="00102E07">
              <w:t>’</w:t>
            </w:r>
            <w:r w:rsidRPr="008E6659">
              <w:rPr>
                <w:szCs w:val="16"/>
              </w:rPr>
              <w:t xml:space="preserve">, </w:t>
            </w:r>
            <w:hyperlink r:id="rId27" w:history="1">
              <w:r w:rsidR="00A013CB" w:rsidRPr="00A013CB">
                <w:t>OECD</w:t>
              </w:r>
            </w:hyperlink>
            <w:r w:rsidR="00A013CB" w:rsidRPr="00A013CB">
              <w:t xml:space="preserve"> (</w:t>
            </w:r>
            <w:hyperlink r:id="rId28" w:history="1">
              <w:r w:rsidR="00A013CB" w:rsidRPr="00A013CB">
                <w:rPr>
                  <w:rStyle w:val="Hyperlink"/>
                </w:rPr>
                <w:t>2022</w:t>
              </w:r>
            </w:hyperlink>
            <w:r w:rsidR="00A013CB" w:rsidRPr="00A013CB">
              <w:t xml:space="preserve">) </w:t>
            </w:r>
            <w:r w:rsidR="00102E07">
              <w:t>‘</w:t>
            </w:r>
            <w:r w:rsidR="00A013CB" w:rsidRPr="00A013CB">
              <w:t>Measuring Well</w:t>
            </w:r>
            <w:r w:rsidR="00102E07">
              <w:noBreakHyphen/>
            </w:r>
            <w:r w:rsidR="00A013CB" w:rsidRPr="00A013CB">
              <w:t>being and Progress: Well</w:t>
            </w:r>
            <w:r w:rsidR="00102E07">
              <w:noBreakHyphen/>
            </w:r>
            <w:r w:rsidR="00A013CB" w:rsidRPr="00A013CB">
              <w:t>being Research</w:t>
            </w:r>
            <w:r w:rsidR="00102E07">
              <w:t>’</w:t>
            </w:r>
            <w:r w:rsidRPr="008E6659">
              <w:rPr>
                <w:szCs w:val="16"/>
              </w:rPr>
              <w:t>, and Treasury</w:t>
            </w:r>
          </w:p>
        </w:tc>
      </w:tr>
    </w:tbl>
    <w:p w14:paraId="002B67ED" w14:textId="77777777" w:rsidR="00F54733" w:rsidRDefault="00F54733" w:rsidP="00573BA3">
      <w:pPr>
        <w:pStyle w:val="Heading2"/>
      </w:pPr>
      <w:bookmarkStart w:id="13" w:name="_Toc115968082"/>
      <w:bookmarkStart w:id="14" w:name="_Toc117023948"/>
      <w:bookmarkStart w:id="15" w:name="_Toc117024591"/>
      <w:bookmarkStart w:id="16" w:name="_Toc117057002"/>
      <w:bookmarkStart w:id="17" w:name="_Toc117059946"/>
      <w:bookmarkStart w:id="18" w:name="_Toc117071284"/>
      <w:r>
        <w:t>Limitations of the OECD Framework</w:t>
      </w:r>
      <w:bookmarkEnd w:id="13"/>
      <w:bookmarkEnd w:id="14"/>
      <w:bookmarkEnd w:id="15"/>
      <w:bookmarkEnd w:id="16"/>
      <w:bookmarkEnd w:id="17"/>
      <w:bookmarkEnd w:id="18"/>
    </w:p>
    <w:p w14:paraId="7B1783F2" w14:textId="77777777" w:rsidR="007C2B8A" w:rsidRDefault="00F54733" w:rsidP="00D00FE8">
      <w:r w:rsidRPr="00EF6BEE">
        <w:t xml:space="preserve">While the OECD Framework </w:t>
      </w:r>
      <w:r w:rsidR="00856DD8" w:rsidRPr="00EF6BEE">
        <w:t>allows for international comparisons</w:t>
      </w:r>
      <w:r w:rsidR="00EF6BEE" w:rsidRPr="00EF6BEE">
        <w:t xml:space="preserve">, </w:t>
      </w:r>
      <w:r w:rsidRPr="00EF6BEE">
        <w:t xml:space="preserve">it </w:t>
      </w:r>
      <w:r w:rsidR="00656A4B">
        <w:t xml:space="preserve">is only </w:t>
      </w:r>
      <w:r w:rsidRPr="00EF6BEE">
        <w:t>a starting point</w:t>
      </w:r>
      <w:r w:rsidR="00893401">
        <w:t xml:space="preserve"> </w:t>
      </w:r>
      <w:r w:rsidR="00F76323">
        <w:t>for</w:t>
      </w:r>
      <w:r w:rsidR="00893401">
        <w:t xml:space="preserve"> understanding Australia</w:t>
      </w:r>
      <w:r w:rsidR="00102E07">
        <w:t>’</w:t>
      </w:r>
      <w:r w:rsidR="00893401">
        <w:t>s quality of life and progress</w:t>
      </w:r>
      <w:r w:rsidRPr="00EF6BEE">
        <w:t xml:space="preserve">. </w:t>
      </w:r>
    </w:p>
    <w:p w14:paraId="502DE30F" w14:textId="291409E6" w:rsidR="00EE7607" w:rsidRDefault="00C3210D" w:rsidP="00D00FE8">
      <w:r>
        <w:t>The OECD</w:t>
      </w:r>
      <w:r w:rsidR="00F54733" w:rsidRPr="00EF6BEE">
        <w:t xml:space="preserve"> </w:t>
      </w:r>
      <w:r w:rsidR="00225A99">
        <w:t>F</w:t>
      </w:r>
      <w:r w:rsidR="00F54733" w:rsidRPr="00EF6BEE">
        <w:t>ramework is not tailored to Australia</w:t>
      </w:r>
      <w:r w:rsidR="00102E07">
        <w:t>’</w:t>
      </w:r>
      <w:r w:rsidR="00F54733" w:rsidRPr="00EF6BEE">
        <w:t>s circumstances</w:t>
      </w:r>
      <w:r w:rsidR="009D0B06">
        <w:t>,</w:t>
      </w:r>
      <w:r w:rsidR="00F54733" w:rsidRPr="00EF6BEE">
        <w:t xml:space="preserve"> </w:t>
      </w:r>
      <w:r w:rsidR="009D0B06">
        <w:t>so</w:t>
      </w:r>
      <w:r w:rsidR="009D0B06" w:rsidRPr="004C6D17">
        <w:t xml:space="preserve"> </w:t>
      </w:r>
      <w:r w:rsidR="009D0B06">
        <w:t xml:space="preserve">it </w:t>
      </w:r>
      <w:r w:rsidR="008C2824">
        <w:t xml:space="preserve">does not capture </w:t>
      </w:r>
      <w:r w:rsidR="00AD5A57">
        <w:t xml:space="preserve">important </w:t>
      </w:r>
      <w:r w:rsidR="009D0B06">
        <w:t xml:space="preserve">aspects of the Australian context and overlooks some of our national </w:t>
      </w:r>
      <w:r w:rsidR="00AD5A57">
        <w:t>priorities</w:t>
      </w:r>
      <w:r w:rsidR="00F54733" w:rsidRPr="004C6D17">
        <w:t xml:space="preserve">. </w:t>
      </w:r>
      <w:r w:rsidR="00CE471C">
        <w:t>For this reason, o</w:t>
      </w:r>
      <w:r w:rsidR="00F54733">
        <w:t xml:space="preserve">ther countries have </w:t>
      </w:r>
      <w:r w:rsidR="00157781">
        <w:t>a</w:t>
      </w:r>
      <w:r w:rsidR="00C725DC">
        <w:t xml:space="preserve">dapted the </w:t>
      </w:r>
      <w:r w:rsidR="00F54733">
        <w:t xml:space="preserve">OECD Framework </w:t>
      </w:r>
      <w:r w:rsidR="00C725DC">
        <w:t xml:space="preserve">to reflect </w:t>
      </w:r>
      <w:r w:rsidR="00F54733">
        <w:t xml:space="preserve">their </w:t>
      </w:r>
      <w:r w:rsidR="00F54733" w:rsidRPr="004C6D17">
        <w:t xml:space="preserve">specific objectives, policy areas and indicators. </w:t>
      </w:r>
      <w:r w:rsidR="00EE7607">
        <w:t xml:space="preserve">One example is climate change, which affects communities in different regions in different ways (Box 4.4). </w:t>
      </w:r>
    </w:p>
    <w:tbl>
      <w:tblPr>
        <w:tblpPr w:leftFromText="180" w:rightFromText="180" w:vertAnchor="text" w:horzAnchor="margin" w:tblpYSpec="bottom"/>
        <w:tblW w:w="5000" w:type="pct"/>
        <w:shd w:val="clear" w:color="auto" w:fill="E6F2FF"/>
        <w:tblCellMar>
          <w:top w:w="284" w:type="dxa"/>
          <w:left w:w="284" w:type="dxa"/>
          <w:bottom w:w="284" w:type="dxa"/>
          <w:right w:w="284" w:type="dxa"/>
        </w:tblCellMar>
        <w:tblLook w:val="0000" w:firstRow="0" w:lastRow="0" w:firstColumn="0" w:lastColumn="0" w:noHBand="0" w:noVBand="0"/>
      </w:tblPr>
      <w:tblGrid>
        <w:gridCol w:w="7710"/>
      </w:tblGrid>
      <w:tr w:rsidR="00EE7607" w:rsidRPr="00E45234" w14:paraId="7265B2CB" w14:textId="77777777" w:rsidTr="00BD691C">
        <w:trPr>
          <w:cantSplit/>
          <w:trHeight w:val="5528"/>
        </w:trPr>
        <w:tc>
          <w:tcPr>
            <w:tcW w:w="5000" w:type="pct"/>
            <w:shd w:val="clear" w:color="auto" w:fill="E6F2FF"/>
          </w:tcPr>
          <w:p w14:paraId="7727535A" w14:textId="3E56064D" w:rsidR="00EE7607" w:rsidRPr="00D6548C" w:rsidRDefault="00EE7607" w:rsidP="00672A24">
            <w:pPr>
              <w:pStyle w:val="BoxHeading"/>
              <w:keepNext w:val="0"/>
            </w:pPr>
            <w:r w:rsidRPr="00D6548C">
              <w:lastRenderedPageBreak/>
              <w:t>Box 4.</w:t>
            </w:r>
            <w:r w:rsidR="001B5204">
              <w:t>4</w:t>
            </w:r>
            <w:r w:rsidR="00A60281">
              <w:t>:</w:t>
            </w:r>
            <w:r w:rsidRPr="00D6548C">
              <w:t xml:space="preserve"> Climate change, the environment, and Australian quality of life</w:t>
            </w:r>
          </w:p>
          <w:p w14:paraId="3AB5919E" w14:textId="4113C9F0" w:rsidR="00EE7607" w:rsidRPr="00D6548C" w:rsidRDefault="00EE7607" w:rsidP="001B4268">
            <w:pPr>
              <w:pStyle w:val="BoxText"/>
            </w:pPr>
            <w:r w:rsidRPr="00D6548C">
              <w:t>A stable climate and healthy environment are intrinsic to the economy and Australians</w:t>
            </w:r>
            <w:r w:rsidR="00102E07">
              <w:t>’</w:t>
            </w:r>
            <w:r w:rsidRPr="00D6548C">
              <w:t xml:space="preserve"> quality of life. </w:t>
            </w:r>
          </w:p>
          <w:p w14:paraId="62A01FDB" w14:textId="169DF59F" w:rsidR="00BE620F" w:rsidRDefault="00BE620F" w:rsidP="001B4268">
            <w:pPr>
              <w:pStyle w:val="BoxText"/>
              <w:rPr>
                <w:vertAlign w:val="superscript"/>
              </w:rPr>
            </w:pPr>
            <w:r w:rsidRPr="00D6548C">
              <w:t>Australia</w:t>
            </w:r>
            <w:r w:rsidR="00102E07">
              <w:t>’</w:t>
            </w:r>
            <w:r w:rsidRPr="00D6548C">
              <w:t>s environment hosts recreational activities and cultural heritage. It also supports the economy and communities</w:t>
            </w:r>
            <w:r w:rsidR="00225A99">
              <w:t xml:space="preserve"> by</w:t>
            </w:r>
            <w:r w:rsidRPr="00D6548C">
              <w:t xml:space="preserve"> providing natural resources including food and fuels. However, recent reviews highlight that Australia</w:t>
            </w:r>
            <w:r w:rsidR="00102E07">
              <w:t>’</w:t>
            </w:r>
            <w:r w:rsidRPr="00D6548C">
              <w:t xml:space="preserve">s natural environment and iconic places are under threat, and the current environmental outlook is </w:t>
            </w:r>
            <w:r w:rsidR="005451C5">
              <w:t>poor.</w:t>
            </w:r>
            <w:r w:rsidR="005451C5" w:rsidRPr="131CAF00">
              <w:rPr>
                <w:vertAlign w:val="superscript"/>
              </w:rPr>
              <w:t>1</w:t>
            </w:r>
          </w:p>
          <w:p w14:paraId="33F2FD02" w14:textId="2B58721C" w:rsidR="00EE7607" w:rsidRPr="00D6548C" w:rsidRDefault="00EE7607" w:rsidP="001B4268">
            <w:pPr>
              <w:pStyle w:val="BoxText"/>
            </w:pPr>
            <w:r w:rsidRPr="00D6548C">
              <w:t xml:space="preserve">Climate change presents specific challenges to Australia, through physical and transitional impacts. Physical impacts are caused directly by a changing climate, for example a greater number of days of extreme heat that will limit productive working hours and impact </w:t>
            </w:r>
            <w:r>
              <w:t>individual</w:t>
            </w:r>
            <w:r w:rsidR="688D78F0">
              <w:t>s</w:t>
            </w:r>
            <w:r w:rsidR="00102E07">
              <w:t>’</w:t>
            </w:r>
            <w:r w:rsidRPr="00D6548C">
              <w:t xml:space="preserve"> health. Transition</w:t>
            </w:r>
            <w:r w:rsidR="00EF47ED">
              <w:t>al</w:t>
            </w:r>
            <w:r w:rsidRPr="00D6548C">
              <w:t xml:space="preserve"> impacts relate to global and domestic efforts to reduce greenhouse gas emissions</w:t>
            </w:r>
            <w:r w:rsidR="001A3BA3">
              <w:t>, and capture t</w:t>
            </w:r>
            <w:r w:rsidR="00204762">
              <w:t>he opportunities presented by a green economy</w:t>
            </w:r>
            <w:r w:rsidRPr="00D6548C">
              <w:t xml:space="preserve">. See Budget Statement 3 for additional information on </w:t>
            </w:r>
            <w:r w:rsidR="008B3E35">
              <w:t>the f</w:t>
            </w:r>
            <w:r w:rsidR="008B3E35" w:rsidRPr="00D6548C">
              <w:t xml:space="preserve">iscal </w:t>
            </w:r>
            <w:r w:rsidR="008B3E35">
              <w:t>i</w:t>
            </w:r>
            <w:r w:rsidR="008B3E35" w:rsidRPr="00D6548C">
              <w:t xml:space="preserve">mpacts of </w:t>
            </w:r>
            <w:r w:rsidR="008B3E35">
              <w:t>c</w:t>
            </w:r>
            <w:r w:rsidR="008B3E35" w:rsidRPr="00D6548C">
              <w:t xml:space="preserve">limate </w:t>
            </w:r>
            <w:r w:rsidR="008B3E35">
              <w:t>c</w:t>
            </w:r>
            <w:r w:rsidR="008B3E35" w:rsidRPr="00D6548C">
              <w:t>hange</w:t>
            </w:r>
            <w:r w:rsidR="0027162E">
              <w:t>.</w:t>
            </w:r>
            <w:r w:rsidR="008B3E35" w:rsidRPr="00D6548C" w:rsidDel="008B3E35">
              <w:t xml:space="preserve"> </w:t>
            </w:r>
          </w:p>
          <w:p w14:paraId="0BE11783" w14:textId="474CC82F" w:rsidR="00680432" w:rsidRDefault="00EE7607" w:rsidP="001B4268">
            <w:pPr>
              <w:pStyle w:val="BoxText"/>
            </w:pPr>
            <w:r w:rsidRPr="00D6548C">
              <w:t>Decarbonising, adapting to physical impacts, and adjusting the economy to take advantage of opportunities will be critical to the sustained well</w:t>
            </w:r>
            <w:r w:rsidR="00102E07">
              <w:noBreakHyphen/>
            </w:r>
            <w:r w:rsidRPr="00D6548C">
              <w:t xml:space="preserve">being of Australians. Global and domestic decarbonisation efforts </w:t>
            </w:r>
            <w:r w:rsidR="00DF6355">
              <w:t>also</w:t>
            </w:r>
            <w:r w:rsidR="00DF6355" w:rsidRPr="00D6548C">
              <w:t xml:space="preserve"> </w:t>
            </w:r>
            <w:r w:rsidRPr="00D6548C">
              <w:t xml:space="preserve">influence the </w:t>
            </w:r>
            <w:r w:rsidR="00DF155F">
              <w:t xml:space="preserve">extent </w:t>
            </w:r>
            <w:r w:rsidRPr="00D6548C">
              <w:t xml:space="preserve">of future physical impacts, and thus the amount of adaptation required. </w:t>
            </w:r>
          </w:p>
          <w:p w14:paraId="554FB1A3" w14:textId="77777777" w:rsidR="00583BCB" w:rsidRDefault="00117A60" w:rsidP="001B4268">
            <w:pPr>
              <w:pStyle w:val="BoxText"/>
            </w:pPr>
            <w:r>
              <w:t xml:space="preserve">Understanding climate change in the Australian context requires tracking </w:t>
            </w:r>
            <w:r w:rsidR="00182BC2">
              <w:t>Australia</w:t>
            </w:r>
            <w:r w:rsidR="00102E07">
              <w:t>’</w:t>
            </w:r>
            <w:r w:rsidR="00182BC2">
              <w:t xml:space="preserve">s progress towards its agreed emissions reduction goals, as well as understanding the impacts climate change is having on </w:t>
            </w:r>
            <w:r>
              <w:t xml:space="preserve">our natural environment </w:t>
            </w:r>
            <w:r w:rsidR="0056147D">
              <w:t xml:space="preserve">and communities, </w:t>
            </w:r>
            <w:r>
              <w:t xml:space="preserve">and </w:t>
            </w:r>
            <w:r w:rsidR="00951FAC">
              <w:t xml:space="preserve">how Australia is adapting to these changes. </w:t>
            </w:r>
          </w:p>
          <w:p w14:paraId="3F9FD972" w14:textId="48C5C7DD" w:rsidR="00EE7607" w:rsidRPr="00D6548C" w:rsidRDefault="00EE7607" w:rsidP="00BC061D">
            <w:pPr>
              <w:pStyle w:val="FootnoteText"/>
              <w:rPr>
                <w:szCs w:val="18"/>
              </w:rPr>
            </w:pPr>
            <w:r w:rsidRPr="00BC061D">
              <w:t>1</w:t>
            </w:r>
            <w:r w:rsidR="00BC061D" w:rsidRPr="00BC061D">
              <w:tab/>
            </w:r>
            <w:r w:rsidRPr="00D6548C">
              <w:t>Independent Review of the Environment Protection and Biodiversity Conservation Act 1999 and the most recent State of the Environment Report (2021)</w:t>
            </w:r>
          </w:p>
        </w:tc>
      </w:tr>
    </w:tbl>
    <w:p w14:paraId="149CF195" w14:textId="77777777" w:rsidR="00852A30" w:rsidRDefault="001554A1" w:rsidP="00573BA3">
      <w:pPr>
        <w:pStyle w:val="Heading2"/>
      </w:pPr>
      <w:bookmarkStart w:id="19" w:name="_Toc117023949"/>
      <w:bookmarkStart w:id="20" w:name="_Toc117024592"/>
      <w:bookmarkStart w:id="21" w:name="_Toc117057003"/>
      <w:bookmarkStart w:id="22" w:name="_Toc117059947"/>
      <w:bookmarkStart w:id="23" w:name="_Toc117071285"/>
      <w:r>
        <w:t>Applying</w:t>
      </w:r>
      <w:r w:rsidR="00C64E8B">
        <w:t xml:space="preserve"> OECD policy areas </w:t>
      </w:r>
      <w:r>
        <w:t xml:space="preserve">to a national </w:t>
      </w:r>
      <w:r w:rsidR="00C64E8B">
        <w:t>context</w:t>
      </w:r>
      <w:bookmarkEnd w:id="19"/>
      <w:bookmarkEnd w:id="20"/>
      <w:bookmarkEnd w:id="21"/>
      <w:bookmarkEnd w:id="22"/>
      <w:bookmarkEnd w:id="23"/>
    </w:p>
    <w:p w14:paraId="63ECA95C" w14:textId="67A88591" w:rsidR="00C57E1A" w:rsidRPr="00CC6BAB" w:rsidRDefault="00E1348F" w:rsidP="00046F4F">
      <w:r w:rsidRPr="00046F4F">
        <w:t>Australia</w:t>
      </w:r>
      <w:r w:rsidR="00102E07">
        <w:t>’</w:t>
      </w:r>
      <w:r w:rsidRPr="00046F4F">
        <w:t xml:space="preserve">s performance </w:t>
      </w:r>
      <w:r w:rsidR="00844719" w:rsidRPr="00046F4F">
        <w:t>against the OECD</w:t>
      </w:r>
      <w:r w:rsidR="00725178" w:rsidRPr="00046F4F">
        <w:t xml:space="preserve"> and other countries</w:t>
      </w:r>
      <w:r w:rsidR="005A7963" w:rsidRPr="00046F4F">
        <w:t xml:space="preserve"> should be </w:t>
      </w:r>
      <w:r w:rsidR="00200467" w:rsidRPr="00046F4F">
        <w:t>i</w:t>
      </w:r>
      <w:r w:rsidR="00D9579D" w:rsidRPr="00046F4F">
        <w:t xml:space="preserve">nterpreted </w:t>
      </w:r>
      <w:r w:rsidR="003048D3" w:rsidRPr="00046F4F">
        <w:t>carefully</w:t>
      </w:r>
      <w:r w:rsidR="004347A6" w:rsidRPr="00046F4F">
        <w:t xml:space="preserve"> given</w:t>
      </w:r>
      <w:r w:rsidR="00635D9F" w:rsidRPr="00046F4F">
        <w:t xml:space="preserve"> </w:t>
      </w:r>
      <w:r w:rsidR="00935711" w:rsidRPr="00046F4F">
        <w:t>Australia</w:t>
      </w:r>
      <w:r w:rsidR="00102E07">
        <w:t>’</w:t>
      </w:r>
      <w:r w:rsidR="00935711" w:rsidRPr="00046F4F">
        <w:t>s</w:t>
      </w:r>
      <w:r w:rsidR="00635D9F" w:rsidRPr="00046F4F">
        <w:t xml:space="preserve"> unique </w:t>
      </w:r>
      <w:r w:rsidR="00D9579D" w:rsidRPr="00046F4F">
        <w:t xml:space="preserve">context. This includes </w:t>
      </w:r>
      <w:r w:rsidR="009569AA" w:rsidRPr="00046F4F">
        <w:t xml:space="preserve">understanding </w:t>
      </w:r>
      <w:r w:rsidR="00392A4A" w:rsidRPr="00046F4F">
        <w:t xml:space="preserve">the limitations </w:t>
      </w:r>
      <w:r w:rsidR="004347A6" w:rsidRPr="00046F4F">
        <w:t xml:space="preserve">of the </w:t>
      </w:r>
      <w:r w:rsidR="00DD1BFB" w:rsidRPr="00046F4F">
        <w:t>O</w:t>
      </w:r>
      <w:r w:rsidR="005C20F2" w:rsidRPr="00046F4F">
        <w:t>ECD</w:t>
      </w:r>
      <w:r w:rsidR="00250170" w:rsidRPr="00046F4F">
        <w:t xml:space="preserve"> Framework</w:t>
      </w:r>
      <w:r w:rsidR="005C20F2" w:rsidRPr="00046F4F">
        <w:t xml:space="preserve"> for </w:t>
      </w:r>
      <w:r w:rsidR="003773A4" w:rsidRPr="00046F4F">
        <w:t xml:space="preserve">measuring </w:t>
      </w:r>
      <w:r w:rsidR="002C27D6" w:rsidRPr="00046F4F">
        <w:t>the</w:t>
      </w:r>
      <w:r w:rsidR="008F7BD3" w:rsidRPr="00046F4F">
        <w:t xml:space="preserve"> </w:t>
      </w:r>
      <w:r w:rsidR="00250170" w:rsidRPr="00046F4F">
        <w:t>progress and well</w:t>
      </w:r>
      <w:r w:rsidR="00102E07">
        <w:noBreakHyphen/>
      </w:r>
      <w:r w:rsidR="00250170" w:rsidRPr="00046F4F">
        <w:t>being</w:t>
      </w:r>
      <w:r w:rsidR="00DC33FA" w:rsidRPr="00046F4F">
        <w:t xml:space="preserve"> of</w:t>
      </w:r>
      <w:r w:rsidR="00250170" w:rsidRPr="00046F4F">
        <w:t xml:space="preserve"> </w:t>
      </w:r>
      <w:r w:rsidR="008036C6" w:rsidRPr="00046F4F">
        <w:t xml:space="preserve">different cohorts of </w:t>
      </w:r>
      <w:r w:rsidR="00900D78" w:rsidRPr="00046F4F">
        <w:t>Australia</w:t>
      </w:r>
      <w:r w:rsidR="00102E07">
        <w:t>’</w:t>
      </w:r>
      <w:r w:rsidR="00900D78" w:rsidRPr="00046F4F">
        <w:t>s</w:t>
      </w:r>
      <w:r w:rsidR="008036C6" w:rsidRPr="00046F4F">
        <w:t xml:space="preserve"> diverse </w:t>
      </w:r>
      <w:r w:rsidR="001F4A47" w:rsidRPr="00046F4F">
        <w:t>population</w:t>
      </w:r>
      <w:r w:rsidR="000A180D" w:rsidRPr="00046F4F">
        <w:t xml:space="preserve">. It also includes </w:t>
      </w:r>
      <w:r w:rsidR="000B32E2" w:rsidRPr="00046F4F">
        <w:t>taking account</w:t>
      </w:r>
      <w:r w:rsidR="0041065B" w:rsidRPr="00046F4F">
        <w:t xml:space="preserve"> of Australian </w:t>
      </w:r>
      <w:r w:rsidR="000B32E2" w:rsidRPr="00046F4F">
        <w:t>conditions</w:t>
      </w:r>
      <w:r w:rsidR="0041065B" w:rsidRPr="00046F4F">
        <w:t xml:space="preserve"> such as </w:t>
      </w:r>
      <w:r w:rsidR="001F4A47" w:rsidRPr="00046F4F">
        <w:t xml:space="preserve">the </w:t>
      </w:r>
      <w:r w:rsidR="00CA5090" w:rsidRPr="00046F4F">
        <w:t xml:space="preserve">structure of local </w:t>
      </w:r>
      <w:r w:rsidR="001F4A47" w:rsidRPr="00046F4F">
        <w:t>market</w:t>
      </w:r>
      <w:r w:rsidR="00CA5090" w:rsidRPr="00046F4F">
        <w:t>s</w:t>
      </w:r>
      <w:r w:rsidR="001F4A47" w:rsidRPr="00046F4F">
        <w:t xml:space="preserve"> and policy settings</w:t>
      </w:r>
      <w:r w:rsidR="0041065B" w:rsidRPr="00046F4F">
        <w:t xml:space="preserve">, </w:t>
      </w:r>
      <w:r w:rsidR="00FB6F38" w:rsidRPr="00046F4F">
        <w:t>community aspirations</w:t>
      </w:r>
      <w:r w:rsidR="00EC2C0A" w:rsidRPr="00046F4F">
        <w:t xml:space="preserve"> and social cohesion</w:t>
      </w:r>
      <w:r w:rsidR="00BD72CF" w:rsidRPr="00046F4F">
        <w:t>,</w:t>
      </w:r>
      <w:r w:rsidR="000B32E2" w:rsidRPr="00046F4F">
        <w:t xml:space="preserve"> and </w:t>
      </w:r>
      <w:r w:rsidR="00EC2C0A" w:rsidRPr="00046F4F">
        <w:t xml:space="preserve">resilience </w:t>
      </w:r>
      <w:r w:rsidR="00F80157" w:rsidRPr="00046F4F">
        <w:t xml:space="preserve">to natural </w:t>
      </w:r>
      <w:r w:rsidR="00EC2C0A" w:rsidRPr="00046F4F">
        <w:t>disaster</w:t>
      </w:r>
      <w:r w:rsidR="00F80157" w:rsidRPr="00046F4F">
        <w:t>s</w:t>
      </w:r>
      <w:r w:rsidR="00EC2C0A" w:rsidRPr="00046F4F">
        <w:t xml:space="preserve"> and climate change</w:t>
      </w:r>
      <w:r w:rsidR="000D697B" w:rsidRPr="00046F4F">
        <w:t>.</w:t>
      </w:r>
      <w:r w:rsidR="00FB6F38" w:rsidRPr="00046F4F">
        <w:t xml:space="preserve"> </w:t>
      </w:r>
      <w:r w:rsidR="009569AA" w:rsidRPr="00046F4F">
        <w:t>The following OECD</w:t>
      </w:r>
      <w:r w:rsidR="009569AA" w:rsidRPr="00250170">
        <w:t xml:space="preserve"> indicators </w:t>
      </w:r>
      <w:r w:rsidR="00BD72CF" w:rsidRPr="00250170">
        <w:t xml:space="preserve">demonstrate some of these nuances and challenges when adapting </w:t>
      </w:r>
      <w:r w:rsidR="0C19B46E">
        <w:t>the</w:t>
      </w:r>
      <w:r w:rsidR="00BD72CF">
        <w:t xml:space="preserve"> OECD</w:t>
      </w:r>
      <w:r w:rsidR="6A5D9186">
        <w:t xml:space="preserve"> Framework</w:t>
      </w:r>
      <w:r w:rsidR="00BD72CF" w:rsidRPr="00250170">
        <w:t xml:space="preserve"> to Australia</w:t>
      </w:r>
      <w:r w:rsidR="00EA4E53" w:rsidRPr="00250170">
        <w:t>.</w:t>
      </w:r>
      <w:r w:rsidR="00EA4E53" w:rsidRPr="00CC6BAB">
        <w:t xml:space="preserve"> </w:t>
      </w:r>
    </w:p>
    <w:p w14:paraId="6544B86B" w14:textId="00CC75F4" w:rsidR="00416A47" w:rsidRDefault="00416A47" w:rsidP="00153566">
      <w:pPr>
        <w:pStyle w:val="Heading3noTOC"/>
      </w:pPr>
      <w:bookmarkStart w:id="24" w:name="_Toc117023950"/>
      <w:bookmarkStart w:id="25" w:name="_Toc117024593"/>
      <w:r w:rsidRPr="002F3127">
        <w:t xml:space="preserve">Employment </w:t>
      </w:r>
      <w:r w:rsidR="002620EC">
        <w:t>r</w:t>
      </w:r>
      <w:r w:rsidRPr="002F3127">
        <w:t>ate and differences across cohorts</w:t>
      </w:r>
      <w:bookmarkEnd w:id="24"/>
      <w:bookmarkEnd w:id="25"/>
    </w:p>
    <w:p w14:paraId="1863D8FC" w14:textId="64D36482" w:rsidR="00920DDD" w:rsidRPr="00155976" w:rsidRDefault="004D2278" w:rsidP="002015CB">
      <w:r w:rsidRPr="00155976">
        <w:t xml:space="preserve">Measuring </w:t>
      </w:r>
      <w:r w:rsidR="00E61333" w:rsidRPr="00155976">
        <w:t>national</w:t>
      </w:r>
      <w:r w:rsidRPr="00155976">
        <w:t xml:space="preserve"> </w:t>
      </w:r>
      <w:r w:rsidR="00FB1199" w:rsidRPr="00155976">
        <w:t xml:space="preserve">employment </w:t>
      </w:r>
      <w:r w:rsidR="00DC1BE8" w:rsidRPr="00155976">
        <w:t>provides insights into</w:t>
      </w:r>
      <w:r w:rsidR="00FB1884" w:rsidRPr="00155976">
        <w:t xml:space="preserve"> </w:t>
      </w:r>
      <w:r w:rsidR="00887FD9" w:rsidRPr="00155976">
        <w:t xml:space="preserve">how </w:t>
      </w:r>
      <w:r w:rsidR="00FB1199" w:rsidRPr="00155976">
        <w:t>well</w:t>
      </w:r>
      <w:r w:rsidR="00A475FC" w:rsidRPr="00155976">
        <w:t xml:space="preserve"> </w:t>
      </w:r>
      <w:r w:rsidR="00CC04E0">
        <w:t>the nation</w:t>
      </w:r>
      <w:r w:rsidR="00102E07">
        <w:t>’</w:t>
      </w:r>
      <w:r w:rsidR="00CC04E0">
        <w:t>s</w:t>
      </w:r>
      <w:r w:rsidR="00A475FC" w:rsidRPr="00155976">
        <w:t xml:space="preserve"> </w:t>
      </w:r>
      <w:r w:rsidR="00FB1199" w:rsidRPr="00155976">
        <w:t>human</w:t>
      </w:r>
      <w:r w:rsidR="00887FD9" w:rsidRPr="00155976">
        <w:t xml:space="preserve"> capital</w:t>
      </w:r>
      <w:r w:rsidR="00CC04E0">
        <w:t xml:space="preserve"> is being used</w:t>
      </w:r>
      <w:r w:rsidR="00153566" w:rsidRPr="00155976">
        <w:t xml:space="preserve">. However, aggregate measures of employment obscure </w:t>
      </w:r>
      <w:r w:rsidR="00153566">
        <w:t xml:space="preserve">differences in </w:t>
      </w:r>
      <w:r w:rsidR="005C3DBB" w:rsidRPr="00155976">
        <w:t xml:space="preserve">outcomes </w:t>
      </w:r>
      <w:r w:rsidR="00153566">
        <w:t>across</w:t>
      </w:r>
      <w:r w:rsidR="00153566" w:rsidRPr="00155976">
        <w:t xml:space="preserve"> different groups.</w:t>
      </w:r>
      <w:r w:rsidR="005C3DBB" w:rsidRPr="00155976">
        <w:t xml:space="preserve"> </w:t>
      </w:r>
    </w:p>
    <w:p w14:paraId="4987F58B" w14:textId="10591BAA" w:rsidR="00416A47" w:rsidRPr="00F90C5E" w:rsidRDefault="00416A47" w:rsidP="002015CB">
      <w:r w:rsidRPr="00F90C5E">
        <w:lastRenderedPageBreak/>
        <w:t>The OECD employment rate indicator is the share of those aged 25</w:t>
      </w:r>
      <w:r w:rsidR="008628ED">
        <w:t>–</w:t>
      </w:r>
      <w:r w:rsidRPr="00F90C5E">
        <w:t xml:space="preserve">64 </w:t>
      </w:r>
      <w:r w:rsidR="00E61333" w:rsidRPr="00F90C5E">
        <w:t>who</w:t>
      </w:r>
      <w:r w:rsidRPr="00F90C5E">
        <w:t xml:space="preserve"> report having worked in paid</w:t>
      </w:r>
      <w:r w:rsidR="00A91C30" w:rsidRPr="00F90C5E">
        <w:t xml:space="preserve"> employment</w:t>
      </w:r>
      <w:r w:rsidRPr="00F90C5E">
        <w:t xml:space="preserve"> in the past week. Australia ranks well, with a level of employment above the OECD average for the past 16 years. </w:t>
      </w:r>
    </w:p>
    <w:p w14:paraId="7FE39F99" w14:textId="78DD3F9B" w:rsidR="00BC3B9D" w:rsidRPr="00F90C5E" w:rsidRDefault="00BE586A" w:rsidP="002015CB">
      <w:r w:rsidRPr="00F90C5E">
        <w:t xml:space="preserve">However, </w:t>
      </w:r>
      <w:r w:rsidR="00354036" w:rsidRPr="00F90C5E">
        <w:t xml:space="preserve">this metric </w:t>
      </w:r>
      <w:r w:rsidR="001E276D" w:rsidRPr="00F90C5E">
        <w:t xml:space="preserve">does not capture </w:t>
      </w:r>
      <w:r w:rsidR="00E61333" w:rsidRPr="00F90C5E">
        <w:t xml:space="preserve">some of </w:t>
      </w:r>
      <w:r w:rsidR="00357901" w:rsidRPr="00F90C5E">
        <w:t>the key challenges in Australia</w:t>
      </w:r>
      <w:r w:rsidR="00102E07">
        <w:t>’</w:t>
      </w:r>
      <w:r w:rsidR="00357901" w:rsidRPr="00F90C5E">
        <w:t>s labour market</w:t>
      </w:r>
      <w:r w:rsidR="00E61333" w:rsidRPr="00F90C5E">
        <w:t xml:space="preserve">. </w:t>
      </w:r>
      <w:r w:rsidR="00153566" w:rsidRPr="00F90C5E">
        <w:t>For example</w:t>
      </w:r>
      <w:r w:rsidR="00153566">
        <w:t>,</w:t>
      </w:r>
      <w:r w:rsidR="00153566" w:rsidRPr="00F90C5E">
        <w:t xml:space="preserve"> not all people have equal opportunities to participate in work</w:t>
      </w:r>
      <w:r w:rsidR="00153566">
        <w:t>.</w:t>
      </w:r>
      <w:r w:rsidR="545D78E8">
        <w:t xml:space="preserve"> </w:t>
      </w:r>
      <w:r w:rsidR="00416A47" w:rsidRPr="00F90C5E">
        <w:t>First Nations Australians and Australians with disability are much less likely to be employed. Women are also less likely to be employ</w:t>
      </w:r>
      <w:r w:rsidR="00E61333" w:rsidRPr="00F90C5E">
        <w:t>ed than</w:t>
      </w:r>
      <w:r w:rsidR="00416A47" w:rsidRPr="00F90C5E">
        <w:t xml:space="preserve"> men</w:t>
      </w:r>
      <w:r w:rsidR="008F4465" w:rsidRPr="00F90C5E">
        <w:t>.</w:t>
      </w:r>
    </w:p>
    <w:p w14:paraId="49E6928F" w14:textId="397193FE" w:rsidR="00416A47" w:rsidRDefault="00416A47" w:rsidP="00416A47">
      <w:pPr>
        <w:pStyle w:val="ChartHeading"/>
      </w:pPr>
      <w:r w:rsidRPr="00C5599E">
        <w:t xml:space="preserve">Chart </w:t>
      </w:r>
      <w:r>
        <w:t>4.1</w:t>
      </w:r>
      <w:r w:rsidRPr="00C5599E">
        <w:t>: Employment Rate</w:t>
      </w:r>
    </w:p>
    <w:tbl>
      <w:tblPr>
        <w:tblW w:w="5000" w:type="pct"/>
        <w:tblLook w:val="0000" w:firstRow="0" w:lastRow="0" w:firstColumn="0" w:lastColumn="0" w:noHBand="0" w:noVBand="0"/>
      </w:tblPr>
      <w:tblGrid>
        <w:gridCol w:w="3864"/>
        <w:gridCol w:w="3846"/>
      </w:tblGrid>
      <w:tr w:rsidR="006F1C63" w14:paraId="33FC53E1" w14:textId="77777777" w:rsidTr="00C25CCE">
        <w:trPr>
          <w:cantSplit/>
        </w:trPr>
        <w:tc>
          <w:tcPr>
            <w:tcW w:w="2564" w:type="pct"/>
          </w:tcPr>
          <w:p w14:paraId="3B5C16D8" w14:textId="0A7B527D" w:rsidR="006F1C63" w:rsidRDefault="00C94FEE">
            <w:pPr>
              <w:pStyle w:val="ChartGraphic"/>
            </w:pPr>
            <w:r>
              <w:rPr>
                <w:noProof/>
              </w:rPr>
              <w:drawing>
                <wp:inline distT="0" distB="0" distL="0" distR="0" wp14:anchorId="4DB1C930" wp14:editId="178708E5">
                  <wp:extent cx="2304415" cy="2304415"/>
                  <wp:effectExtent l="0" t="0" r="635" b="0"/>
                  <wp:docPr id="4" name="Picture 4" descr="This chart shows the employment rate of, in order of highest to lowest: Australians (2020), the OECD average (2020), Australian women (2021), First nations Australians (2021) and Australians that need assistance with core activities (202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is chart shows the employment rate of, in order of highest to lowest: Australians (2020), the OECD average (2020), Australian women (2021), First nations Australians (2021) and Australians that need assistance with core activities (2021).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04415" cy="2304415"/>
                          </a:xfrm>
                          <a:prstGeom prst="rect">
                            <a:avLst/>
                          </a:prstGeom>
                          <a:noFill/>
                          <a:ln>
                            <a:noFill/>
                          </a:ln>
                        </pic:spPr>
                      </pic:pic>
                    </a:graphicData>
                  </a:graphic>
                </wp:inline>
              </w:drawing>
            </w:r>
          </w:p>
        </w:tc>
        <w:tc>
          <w:tcPr>
            <w:tcW w:w="2436" w:type="pct"/>
          </w:tcPr>
          <w:p w14:paraId="56E54105" w14:textId="3565A5BF" w:rsidR="006F1C63" w:rsidRDefault="00C94FEE">
            <w:pPr>
              <w:pStyle w:val="ChartGraphic"/>
            </w:pPr>
            <w:r>
              <w:rPr>
                <w:noProof/>
              </w:rPr>
              <w:drawing>
                <wp:inline distT="0" distB="0" distL="0" distR="0" wp14:anchorId="55E49836" wp14:editId="328592B6">
                  <wp:extent cx="2304415" cy="2611755"/>
                  <wp:effectExtent l="0" t="0" r="635" b="0"/>
                  <wp:docPr id="5" name="Picture 5" descr="This chart shows the employment rate of, in order of highest to lowest: Australians (2020), the OECD average (2020), Australian women (2021), First nations Australians (2021) and Australians that need assistance with core activities (202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his chart shows the employment rate of, in order of highest to lowest: Australians (2020), the OECD average (2020), Australian women (2021), First nations Australians (2021) and Australians that need assistance with core activities (2021).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04415" cy="2611755"/>
                          </a:xfrm>
                          <a:prstGeom prst="rect">
                            <a:avLst/>
                          </a:prstGeom>
                          <a:noFill/>
                          <a:ln>
                            <a:noFill/>
                          </a:ln>
                        </pic:spPr>
                      </pic:pic>
                    </a:graphicData>
                  </a:graphic>
                </wp:inline>
              </w:drawing>
            </w:r>
          </w:p>
        </w:tc>
      </w:tr>
    </w:tbl>
    <w:p w14:paraId="7144E9D6" w14:textId="2AC11885" w:rsidR="00EF6861" w:rsidRPr="00F90C5E" w:rsidRDefault="001836C7" w:rsidP="00EB1631">
      <w:pPr>
        <w:pStyle w:val="Source"/>
        <w:spacing w:after="0"/>
      </w:pPr>
      <w:r w:rsidRPr="00F90C5E">
        <w:t>Note</w:t>
      </w:r>
      <w:r w:rsidR="00982498" w:rsidRPr="00F90C5E">
        <w:t>:</w:t>
      </w:r>
      <w:r w:rsidR="00FA3AF3" w:rsidRPr="00F90C5E">
        <w:t xml:space="preserve"> </w:t>
      </w:r>
      <w:r w:rsidR="00464B96" w:rsidRPr="00F90C5E">
        <w:tab/>
      </w:r>
      <w:r w:rsidR="00FA3AF3" w:rsidRPr="00F90C5E">
        <w:t xml:space="preserve">Data is </w:t>
      </w:r>
      <w:r w:rsidR="00EF63B6" w:rsidRPr="00F90C5E">
        <w:t xml:space="preserve">based </w:t>
      </w:r>
      <w:r w:rsidR="00FA3AF3" w:rsidRPr="00F90C5E">
        <w:t>on the OECD</w:t>
      </w:r>
      <w:r w:rsidR="00102E07">
        <w:t>’</w:t>
      </w:r>
      <w:r w:rsidR="00EF63B6" w:rsidRPr="00F90C5E">
        <w:t xml:space="preserve">s </w:t>
      </w:r>
      <w:r w:rsidR="00180524" w:rsidRPr="00F90C5E">
        <w:t>calculation</w:t>
      </w:r>
      <w:r w:rsidR="00EF63B6" w:rsidRPr="00F90C5E">
        <w:t xml:space="preserve"> of employment rates, which is</w:t>
      </w:r>
      <w:r w:rsidR="00FA3AF3" w:rsidRPr="00F90C5E">
        <w:t xml:space="preserve"> </w:t>
      </w:r>
      <w:r w:rsidR="00C65DA1" w:rsidRPr="00F90C5E">
        <w:t>employed peopl</w:t>
      </w:r>
      <w:r w:rsidR="0099652D" w:rsidRPr="00F90C5E">
        <w:t xml:space="preserve">e </w:t>
      </w:r>
      <w:r w:rsidR="00180524" w:rsidRPr="00F90C5E">
        <w:t>as a share</w:t>
      </w:r>
      <w:r w:rsidR="0099652D" w:rsidRPr="00F90C5E">
        <w:t xml:space="preserve"> of </w:t>
      </w:r>
      <w:r w:rsidR="00180524" w:rsidRPr="00F90C5E">
        <w:t>people</w:t>
      </w:r>
      <w:r w:rsidR="00FA3AF3" w:rsidRPr="00F90C5E">
        <w:t xml:space="preserve"> aged 25</w:t>
      </w:r>
      <w:r w:rsidR="008628ED">
        <w:t>–</w:t>
      </w:r>
      <w:r w:rsidR="00FA3AF3" w:rsidRPr="00F90C5E">
        <w:t>64</w:t>
      </w:r>
      <w:r w:rsidR="0099652D" w:rsidRPr="00F90C5E">
        <w:t xml:space="preserve"> years old</w:t>
      </w:r>
      <w:r w:rsidR="00FA3AF3" w:rsidRPr="00F90C5E">
        <w:t>.</w:t>
      </w:r>
      <w:r w:rsidR="00B92CAE" w:rsidRPr="00F90C5E">
        <w:t xml:space="preserve"> </w:t>
      </w:r>
      <w:r w:rsidR="00172A64" w:rsidRPr="00F90C5E">
        <w:t xml:space="preserve">While the </w:t>
      </w:r>
      <w:r w:rsidR="00214D92" w:rsidRPr="00F90C5E">
        <w:t>left</w:t>
      </w:r>
      <w:r w:rsidR="00102E07">
        <w:noBreakHyphen/>
      </w:r>
      <w:r w:rsidR="00214D92" w:rsidRPr="00F90C5E">
        <w:t xml:space="preserve">hand chart is based on </w:t>
      </w:r>
      <w:r w:rsidR="0099652D" w:rsidRPr="00F90C5E">
        <w:t xml:space="preserve">data from the </w:t>
      </w:r>
      <w:r w:rsidR="00214D92" w:rsidRPr="00F90C5E">
        <w:t>OECD, the right</w:t>
      </w:r>
      <w:r w:rsidR="00102E07">
        <w:noBreakHyphen/>
      </w:r>
      <w:r w:rsidR="00214D92" w:rsidRPr="00F90C5E">
        <w:t xml:space="preserve">hand </w:t>
      </w:r>
      <w:r w:rsidR="00EF63B6" w:rsidRPr="00F90C5E">
        <w:t>chart</w:t>
      </w:r>
      <w:r w:rsidR="00214D92" w:rsidRPr="00F90C5E">
        <w:t xml:space="preserve"> is based on the </w:t>
      </w:r>
      <w:r w:rsidR="00EF63B6" w:rsidRPr="00F90C5E">
        <w:t>most recent Australian</w:t>
      </w:r>
      <w:r w:rsidR="00214D92" w:rsidRPr="00F90C5E">
        <w:t xml:space="preserve"> </w:t>
      </w:r>
      <w:r w:rsidR="00E814C2">
        <w:t>C</w:t>
      </w:r>
      <w:r w:rsidR="00214D92" w:rsidRPr="00F90C5E">
        <w:t>ensus.</w:t>
      </w:r>
      <w:r w:rsidR="00B92CAE" w:rsidRPr="00F90C5E">
        <w:t xml:space="preserve"> </w:t>
      </w:r>
      <w:r w:rsidR="002C51EE">
        <w:t>Requiring a</w:t>
      </w:r>
      <w:r w:rsidR="00F22311" w:rsidRPr="00F90C5E">
        <w:t xml:space="preserve">ssistance with core activities is a narrow definition of </w:t>
      </w:r>
      <w:r w:rsidR="0019121F" w:rsidRPr="00F90C5E">
        <w:t>disability in the Australian Census; a</w:t>
      </w:r>
      <w:r w:rsidR="00770E44" w:rsidRPr="00F90C5E">
        <w:t xml:space="preserve"> broader measure </w:t>
      </w:r>
      <w:r w:rsidR="00321EAA" w:rsidRPr="00F90C5E">
        <w:t>indicates that around 4</w:t>
      </w:r>
      <w:r w:rsidR="001C1BE3" w:rsidRPr="00F90C5E">
        <w:t>8</w:t>
      </w:r>
      <w:r w:rsidR="008375D8">
        <w:t> per cent</w:t>
      </w:r>
      <w:r w:rsidR="001C1BE3" w:rsidRPr="00F90C5E">
        <w:t xml:space="preserve"> </w:t>
      </w:r>
      <w:r w:rsidR="00321EAA" w:rsidRPr="00F90C5E">
        <w:t xml:space="preserve">of Australians </w:t>
      </w:r>
      <w:r w:rsidR="00E43A36" w:rsidRPr="00F90C5E">
        <w:t>with a disability are employed</w:t>
      </w:r>
      <w:r w:rsidR="000D2510" w:rsidRPr="00F90C5E">
        <w:t xml:space="preserve"> (AIHW </w:t>
      </w:r>
      <w:hyperlink r:id="rId31" w:anchor="employment" w:history="1">
        <w:r w:rsidR="001C1BE3" w:rsidRPr="00F90C5E">
          <w:rPr>
            <w:rStyle w:val="Hyperlink"/>
          </w:rPr>
          <w:t>2021</w:t>
        </w:r>
      </w:hyperlink>
      <w:r w:rsidR="000D2510" w:rsidRPr="00F90C5E">
        <w:t>)</w:t>
      </w:r>
      <w:r w:rsidR="00FF3685" w:rsidRPr="00F90C5E">
        <w:t>.</w:t>
      </w:r>
    </w:p>
    <w:p w14:paraId="3988B4BD" w14:textId="0044C89D" w:rsidR="00416A47" w:rsidRPr="00F90C5E" w:rsidRDefault="00416A47" w:rsidP="00407C48">
      <w:pPr>
        <w:pStyle w:val="ChartandTableFootnote"/>
        <w:rPr>
          <w:szCs w:val="16"/>
        </w:rPr>
      </w:pPr>
      <w:r w:rsidRPr="00F90C5E">
        <w:rPr>
          <w:szCs w:val="16"/>
        </w:rPr>
        <w:t xml:space="preserve">Sources: </w:t>
      </w:r>
      <w:r w:rsidR="00D708C6" w:rsidRPr="00F90C5E">
        <w:rPr>
          <w:szCs w:val="16"/>
        </w:rPr>
        <w:tab/>
      </w:r>
      <w:r w:rsidRPr="00F90C5E">
        <w:rPr>
          <w:szCs w:val="16"/>
        </w:rPr>
        <w:t>OECD (</w:t>
      </w:r>
      <w:hyperlink r:id="rId32" w:history="1">
        <w:r w:rsidRPr="00F90C5E">
          <w:rPr>
            <w:rStyle w:val="Hyperlink"/>
            <w:szCs w:val="16"/>
          </w:rPr>
          <w:t>2022</w:t>
        </w:r>
      </w:hyperlink>
      <w:r w:rsidRPr="00F90C5E">
        <w:rPr>
          <w:szCs w:val="16"/>
        </w:rPr>
        <w:t xml:space="preserve">); </w:t>
      </w:r>
      <w:r w:rsidR="00172A64" w:rsidRPr="00F90C5E">
        <w:rPr>
          <w:szCs w:val="16"/>
        </w:rPr>
        <w:t>ABS</w:t>
      </w:r>
      <w:r w:rsidR="00A7180D" w:rsidRPr="00F90C5E">
        <w:rPr>
          <w:szCs w:val="16"/>
        </w:rPr>
        <w:t xml:space="preserve"> Census of Population and Housing</w:t>
      </w:r>
      <w:r w:rsidR="00172A64" w:rsidRPr="00F90C5E">
        <w:rPr>
          <w:szCs w:val="16"/>
        </w:rPr>
        <w:t xml:space="preserve"> (</w:t>
      </w:r>
      <w:hyperlink r:id="rId33" w:history="1">
        <w:r w:rsidR="00D02DA2" w:rsidRPr="00F90C5E">
          <w:rPr>
            <w:rStyle w:val="Hyperlink"/>
            <w:szCs w:val="16"/>
          </w:rPr>
          <w:t>2022</w:t>
        </w:r>
      </w:hyperlink>
      <w:r w:rsidR="00D02DA2" w:rsidRPr="00F90C5E">
        <w:rPr>
          <w:szCs w:val="16"/>
        </w:rPr>
        <w:t>)</w:t>
      </w:r>
    </w:p>
    <w:p w14:paraId="4379D1C2" w14:textId="77777777" w:rsidR="00407C48" w:rsidRPr="00F90C5E" w:rsidRDefault="00407C48" w:rsidP="00407C48">
      <w:pPr>
        <w:pStyle w:val="ChartLine"/>
      </w:pPr>
    </w:p>
    <w:p w14:paraId="5D965DE4" w14:textId="0E5ACCB3" w:rsidR="00DD520E" w:rsidRDefault="00DD520E" w:rsidP="0087093D">
      <w:pPr>
        <w:pStyle w:val="Heading3noTOC"/>
      </w:pPr>
      <w:r w:rsidRPr="00F90C5E">
        <w:t xml:space="preserve">Housing </w:t>
      </w:r>
      <w:r w:rsidR="009416FB" w:rsidRPr="00F90C5E">
        <w:t>a</w:t>
      </w:r>
      <w:r w:rsidRPr="00F90C5E">
        <w:t xml:space="preserve">ffordability </w:t>
      </w:r>
      <w:r w:rsidR="00A27C02" w:rsidRPr="00F90C5E">
        <w:t xml:space="preserve">in </w:t>
      </w:r>
      <w:r w:rsidR="00295555" w:rsidRPr="00F90C5E">
        <w:t xml:space="preserve">the Australian </w:t>
      </w:r>
      <w:r w:rsidRPr="00F90C5E">
        <w:t>context</w:t>
      </w:r>
    </w:p>
    <w:p w14:paraId="33730664" w14:textId="77777777" w:rsidR="002646CA" w:rsidRPr="00206EC2" w:rsidRDefault="004B3E13" w:rsidP="00D1327D">
      <w:r w:rsidRPr="00206EC2">
        <w:t xml:space="preserve">Measuring housing affordability goes beyond </w:t>
      </w:r>
      <w:r w:rsidR="00CA6BCB" w:rsidRPr="00206EC2">
        <w:t>house</w:t>
      </w:r>
      <w:r w:rsidRPr="00206EC2">
        <w:t xml:space="preserve"> </w:t>
      </w:r>
      <w:r w:rsidR="00424A9F" w:rsidRPr="00206EC2">
        <w:t>prices</w:t>
      </w:r>
      <w:r w:rsidR="00CA6BCB" w:rsidRPr="00206EC2">
        <w:t xml:space="preserve"> </w:t>
      </w:r>
      <w:r w:rsidR="00424A9F" w:rsidRPr="00206EC2">
        <w:t xml:space="preserve">and </w:t>
      </w:r>
      <w:r w:rsidR="00DC409E" w:rsidRPr="00206EC2">
        <w:t xml:space="preserve">rents. </w:t>
      </w:r>
      <w:r w:rsidR="00C32FFB" w:rsidRPr="00206EC2">
        <w:t xml:space="preserve">Affordability includes </w:t>
      </w:r>
      <w:r w:rsidR="00E51C39" w:rsidRPr="00206EC2">
        <w:t xml:space="preserve">the cost of maintaining a home, </w:t>
      </w:r>
      <w:r w:rsidR="006B2B33" w:rsidRPr="00206EC2">
        <w:t xml:space="preserve">obtaining finance and </w:t>
      </w:r>
      <w:r w:rsidR="00E51C39" w:rsidRPr="00206EC2">
        <w:t>servicing a mortgage</w:t>
      </w:r>
      <w:r w:rsidR="00FE5B3F" w:rsidRPr="00206EC2">
        <w:t xml:space="preserve">. </w:t>
      </w:r>
    </w:p>
    <w:p w14:paraId="5EC8F388" w14:textId="77777777" w:rsidR="002F5311" w:rsidRPr="00206EC2" w:rsidRDefault="00DD520E" w:rsidP="00D1327D">
      <w:r w:rsidRPr="00206EC2">
        <w:t xml:space="preserve">The OECD indicator on housing affordability </w:t>
      </w:r>
      <w:r w:rsidR="00CA6BCB" w:rsidRPr="00206EC2">
        <w:t xml:space="preserve">only </w:t>
      </w:r>
      <w:r w:rsidR="00FE5B3F" w:rsidRPr="00206EC2">
        <w:t>measure</w:t>
      </w:r>
      <w:r w:rsidR="009C1D47" w:rsidRPr="00206EC2">
        <w:t>s</w:t>
      </w:r>
      <w:r w:rsidR="00FE5B3F" w:rsidRPr="00206EC2">
        <w:t xml:space="preserve"> some of these factors. It assesses </w:t>
      </w:r>
      <w:r w:rsidRPr="00206EC2">
        <w:t xml:space="preserve">the share of household gross adjusted disposable income available after deducting housing costs. </w:t>
      </w:r>
      <w:r w:rsidR="00742E46" w:rsidRPr="00206EC2">
        <w:t xml:space="preserve">This </w:t>
      </w:r>
      <w:r w:rsidR="002F5311" w:rsidRPr="00206EC2">
        <w:t xml:space="preserve">includes </w:t>
      </w:r>
      <w:r w:rsidR="00742E46" w:rsidRPr="00206EC2">
        <w:t xml:space="preserve">rent (actual and imputed), maintenance and utilities which measure the servicing costs of housing. </w:t>
      </w:r>
      <w:r w:rsidR="00A653B9" w:rsidRPr="00206EC2">
        <w:t>For Australia, this measure has been stable and higher than the OECD average from 2004 to 2020 (last comparable year of data).</w:t>
      </w:r>
    </w:p>
    <w:p w14:paraId="5E339400" w14:textId="5AC00DE8" w:rsidR="004E7075" w:rsidRDefault="004E7075" w:rsidP="004E7075">
      <w:pPr>
        <w:rPr>
          <w:sz w:val="22"/>
          <w:szCs w:val="22"/>
        </w:rPr>
      </w:pPr>
      <w:r w:rsidRPr="00206EC2">
        <w:t>However, this metric is not effective at assessing housing affordability in Australia as</w:t>
      </w:r>
      <w:r w:rsidR="009A59D6" w:rsidRPr="00206EC2">
        <w:t xml:space="preserve"> </w:t>
      </w:r>
      <w:r w:rsidRPr="00206EC2">
        <w:t>it does not directly capture the upfront</w:t>
      </w:r>
      <w:r w:rsidRPr="00206EC2">
        <w:rPr>
          <w:strike/>
        </w:rPr>
        <w:t xml:space="preserve"> </w:t>
      </w:r>
      <w:r w:rsidRPr="00206EC2">
        <w:t>costs or mortgage serviceability costs of</w:t>
      </w:r>
      <w:r w:rsidR="00E47B65" w:rsidRPr="00206EC2">
        <w:t xml:space="preserve"> housing</w:t>
      </w:r>
      <w:r w:rsidRPr="00206EC2">
        <w:t xml:space="preserve">. </w:t>
      </w:r>
      <w:r w:rsidR="005F459B" w:rsidRPr="00206EC2">
        <w:t xml:space="preserve">For </w:t>
      </w:r>
      <w:r w:rsidR="005F459B" w:rsidRPr="00206EC2">
        <w:lastRenderedPageBreak/>
        <w:t xml:space="preserve">example, </w:t>
      </w:r>
      <w:r w:rsidRPr="00206EC2">
        <w:t>the time</w:t>
      </w:r>
      <w:r w:rsidR="007D3B1B">
        <w:t xml:space="preserve"> required</w:t>
      </w:r>
      <w:r w:rsidRPr="00206EC2">
        <w:t xml:space="preserve"> to save </w:t>
      </w:r>
      <w:r w:rsidR="005F459B" w:rsidRPr="00206EC2">
        <w:t xml:space="preserve">for </w:t>
      </w:r>
      <w:r w:rsidRPr="00206EC2">
        <w:t>a 20 per cent deposit has worsened since the start of the pandemic.</w:t>
      </w:r>
    </w:p>
    <w:p w14:paraId="084A963B" w14:textId="65CF63BE" w:rsidR="006E737B" w:rsidRPr="00647E31" w:rsidRDefault="001A10EC" w:rsidP="006E737B">
      <w:pPr>
        <w:rPr>
          <w:sz w:val="22"/>
        </w:rPr>
      </w:pPr>
      <w:r>
        <w:t xml:space="preserve">Further, focusing </w:t>
      </w:r>
      <w:r w:rsidR="00257A27">
        <w:t xml:space="preserve">on </w:t>
      </w:r>
      <w:r w:rsidR="00884028">
        <w:t>average</w:t>
      </w:r>
      <w:r w:rsidR="00257A27">
        <w:t xml:space="preserve"> disposable income after housing costs</w:t>
      </w:r>
      <w:r w:rsidR="0027162E">
        <w:t xml:space="preserve"> </w:t>
      </w:r>
      <w:r w:rsidR="00257A27">
        <w:t xml:space="preserve">does not capture variation </w:t>
      </w:r>
      <w:r w:rsidR="00257A27" w:rsidRPr="00BA50D6">
        <w:t>between income levels or quality of housing.</w:t>
      </w:r>
      <w:r w:rsidR="00CD6867">
        <w:rPr>
          <w:rStyle w:val="FootnoteReference"/>
        </w:rPr>
        <w:footnoteReference w:id="12"/>
      </w:r>
      <w:r w:rsidR="00257A27" w:rsidRPr="00BA50D6">
        <w:t xml:space="preserve"> Data from the Australian Institute of Health and Welfare shows that lower</w:t>
      </w:r>
      <w:r w:rsidR="00102E07">
        <w:noBreakHyphen/>
      </w:r>
      <w:r w:rsidR="00257A27" w:rsidRPr="00BA50D6">
        <w:t>income households are likely to spend greater proportions of income on housing costs.</w:t>
      </w:r>
      <w:r w:rsidR="00CD6867">
        <w:rPr>
          <w:rStyle w:val="FootnoteReference"/>
        </w:rPr>
        <w:footnoteReference w:id="13"/>
      </w:r>
      <w:r w:rsidR="00257A27" w:rsidRPr="00BA50D6">
        <w:t xml:space="preserve"> There are also variations between regions and capital cities, with housing ownership costs higher in capitals, particularly in Sydney and Melbourne.</w:t>
      </w:r>
      <w:r w:rsidR="00CD6867">
        <w:rPr>
          <w:rStyle w:val="FootnoteReference"/>
        </w:rPr>
        <w:footnoteReference w:id="14"/>
      </w:r>
      <w:r w:rsidR="00CA10F9">
        <w:t xml:space="preserve"> </w:t>
      </w:r>
    </w:p>
    <w:p w14:paraId="5A2B7806" w14:textId="75AF15E4" w:rsidR="00DD520E" w:rsidRDefault="00DD520E" w:rsidP="00DD520E">
      <w:pPr>
        <w:pStyle w:val="ChartHeading"/>
      </w:pPr>
      <w:r>
        <w:t xml:space="preserve">Chart 4.2: </w:t>
      </w:r>
      <w:r w:rsidR="00E05FB7" w:rsidRPr="00E05FB7">
        <w:t>Share of disposable income available after deducting housing costs</w:t>
      </w:r>
    </w:p>
    <w:p w14:paraId="50A85A1E" w14:textId="081AD92A" w:rsidR="00DD520E" w:rsidRDefault="00110D1D">
      <w:pPr>
        <w:pStyle w:val="ChartGraphic"/>
      </w:pPr>
      <w:r>
        <w:rPr>
          <w:noProof/>
        </w:rPr>
        <w:drawing>
          <wp:inline distT="0" distB="0" distL="0" distR="0" wp14:anchorId="2CA53F8B" wp14:editId="58DBC72B">
            <wp:extent cx="4674235" cy="2523490"/>
            <wp:effectExtent l="0" t="0" r="0" b="0"/>
            <wp:docPr id="6" name="Picture 6" descr="This chart shows Australia's the OECD's measure of housing affordability compared against the OECD average from 2004 to 2020. The OECD's measure of housing affordability is the share of disposable income available after deducting housing costs. The chart shows Australia consistently above the OECD average. Both Australia and the OECD average have been relatively during the period, with slight increases since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is chart shows Australia's the OECD's measure of housing affordability compared against the OECD average from 2004 to 2020. The OECD's measure of housing affordability is the share of disposable income available after deducting housing costs. The chart shows Australia consistently above the OECD average. Both Australia and the OECD average have been relatively during the period, with slight increases since 20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74235" cy="2523490"/>
                    </a:xfrm>
                    <a:prstGeom prst="rect">
                      <a:avLst/>
                    </a:prstGeom>
                    <a:noFill/>
                    <a:ln>
                      <a:noFill/>
                    </a:ln>
                  </pic:spPr>
                </pic:pic>
              </a:graphicData>
            </a:graphic>
          </wp:inline>
        </w:drawing>
      </w:r>
    </w:p>
    <w:p w14:paraId="659605DD" w14:textId="4CD6773D" w:rsidR="00DD520E" w:rsidRPr="00D00FE8" w:rsidRDefault="00DD520E" w:rsidP="00407C48">
      <w:pPr>
        <w:pStyle w:val="ChartandTableFootnote"/>
      </w:pPr>
      <w:r w:rsidRPr="00D00FE8">
        <w:t>Source:</w:t>
      </w:r>
      <w:r>
        <w:t xml:space="preserve"> </w:t>
      </w:r>
      <w:r>
        <w:tab/>
        <w:t xml:space="preserve"> OECD (</w:t>
      </w:r>
      <w:hyperlink r:id="rId35" w:history="1">
        <w:r w:rsidRPr="005E78C1">
          <w:rPr>
            <w:rStyle w:val="Hyperlink"/>
          </w:rPr>
          <w:t>2022</w:t>
        </w:r>
      </w:hyperlink>
      <w:r>
        <w:t xml:space="preserve">), </w:t>
      </w:r>
      <w:r w:rsidRPr="00D00FE8">
        <w:t>Treasury</w:t>
      </w:r>
    </w:p>
    <w:p w14:paraId="09202331" w14:textId="77777777" w:rsidR="00407C48" w:rsidRPr="00D00FE8" w:rsidRDefault="00407C48" w:rsidP="00407C48">
      <w:pPr>
        <w:pStyle w:val="ChartLine"/>
      </w:pPr>
    </w:p>
    <w:p w14:paraId="12B2A161" w14:textId="26D509B0" w:rsidR="00DD520E" w:rsidRDefault="00DD520E" w:rsidP="0087093D">
      <w:pPr>
        <w:pStyle w:val="Heading3noTOC"/>
      </w:pPr>
      <w:r>
        <w:t>Students</w:t>
      </w:r>
      <w:r w:rsidR="00102E07">
        <w:t>’</w:t>
      </w:r>
      <w:r>
        <w:t xml:space="preserve"> achievement</w:t>
      </w:r>
    </w:p>
    <w:p w14:paraId="58E483F6" w14:textId="77777777" w:rsidR="00133D3F" w:rsidRDefault="00DD520E" w:rsidP="00B4497F">
      <w:r w:rsidRPr="00DC33FA">
        <w:t>The OECD</w:t>
      </w:r>
      <w:r w:rsidR="00102E07">
        <w:t>’</w:t>
      </w:r>
      <w:r w:rsidRPr="00DC33FA">
        <w:t>s</w:t>
      </w:r>
      <w:r w:rsidR="00133D3F" w:rsidRPr="00DC33FA">
        <w:t xml:space="preserve"> student literacy measure </w:t>
      </w:r>
      <w:r w:rsidR="000B2624" w:rsidRPr="00DC33FA">
        <w:t>does not adjust for attendance levels. This is significant for Australia</w:t>
      </w:r>
      <w:r w:rsidR="00A45A5B" w:rsidRPr="00DC33FA">
        <w:t xml:space="preserve">, as </w:t>
      </w:r>
      <w:r w:rsidR="00737E2A" w:rsidRPr="00DC33FA">
        <w:t xml:space="preserve">it </w:t>
      </w:r>
      <w:r w:rsidR="00A45A5B" w:rsidRPr="00DC33FA">
        <w:t>does not adequately assess the circum</w:t>
      </w:r>
      <w:r w:rsidR="00737E2A" w:rsidRPr="00DC33FA">
        <w:t xml:space="preserve">stances </w:t>
      </w:r>
      <w:r w:rsidR="001D1C59" w:rsidRPr="00DC33FA">
        <w:t xml:space="preserve">of </w:t>
      </w:r>
      <w:r w:rsidR="00737E2A" w:rsidRPr="00DC33FA">
        <w:t>students in remote Australia, incl</w:t>
      </w:r>
      <w:r w:rsidR="00671FCF" w:rsidRPr="00DC33FA">
        <w:t>u</w:t>
      </w:r>
      <w:r w:rsidR="00737E2A" w:rsidRPr="00DC33FA">
        <w:t>ding First Nations</w:t>
      </w:r>
      <w:r w:rsidR="00E50CCD" w:rsidRPr="00DC33FA">
        <w:t xml:space="preserve"> Australians</w:t>
      </w:r>
      <w:r w:rsidR="001D1C59" w:rsidRPr="00DC33FA">
        <w:t xml:space="preserve"> who tend to have lower participation in formal education</w:t>
      </w:r>
      <w:r w:rsidR="00AB258B" w:rsidRPr="00DC33FA">
        <w:t xml:space="preserve"> (Chart 4.3)</w:t>
      </w:r>
      <w:r w:rsidR="00671FCF" w:rsidRPr="00DC33FA">
        <w:t>.</w:t>
      </w:r>
    </w:p>
    <w:p w14:paraId="51A75D1E" w14:textId="77777777" w:rsidR="00DD520E" w:rsidRDefault="00671FCF" w:rsidP="00B4497F">
      <w:r>
        <w:t>The OECD</w:t>
      </w:r>
      <w:r w:rsidR="00102E07">
        <w:t>’</w:t>
      </w:r>
      <w:r>
        <w:t>s</w:t>
      </w:r>
      <w:r w:rsidR="006A2F5C">
        <w:t xml:space="preserve"> </w:t>
      </w:r>
      <w:r w:rsidR="00DD520E" w:rsidRPr="00D00FE8">
        <w:t>Programme for International Student Assessment assesses 15</w:t>
      </w:r>
      <w:r w:rsidR="00102E07">
        <w:noBreakHyphen/>
      </w:r>
      <w:r w:rsidR="00DD520E" w:rsidRPr="00D00FE8">
        <w:t>year</w:t>
      </w:r>
      <w:r w:rsidR="00102E07">
        <w:noBreakHyphen/>
      </w:r>
      <w:r w:rsidR="00DD520E" w:rsidRPr="00D00FE8">
        <w:t>old students in reading literacy, mathematical literacy and scientific literacy. In 2018, 14,</w:t>
      </w:r>
      <w:r w:rsidR="00F4257D" w:rsidRPr="00D00FE8">
        <w:t>300</w:t>
      </w:r>
      <w:r w:rsidR="00F4257D">
        <w:t> </w:t>
      </w:r>
      <w:r w:rsidR="00DD520E" w:rsidRPr="00D00FE8">
        <w:t xml:space="preserve">students from 740 schools sat the test in Australia with data reported by jurisdiction, gender, socioeconomic background, First Nations status and geolocation. </w:t>
      </w:r>
    </w:p>
    <w:p w14:paraId="1CAC1F31" w14:textId="34E7C27C" w:rsidR="006F502A" w:rsidRPr="00D00FE8" w:rsidRDefault="006F502A" w:rsidP="00B4497F">
      <w:r w:rsidRPr="00D00FE8">
        <w:lastRenderedPageBreak/>
        <w:t>Australia</w:t>
      </w:r>
      <w:r w:rsidR="00102E07">
        <w:t>’</w:t>
      </w:r>
      <w:r w:rsidRPr="00D00FE8">
        <w:t>s performance has been mixed</w:t>
      </w:r>
      <w:r w:rsidR="003A60B2">
        <w:t xml:space="preserve"> and t</w:t>
      </w:r>
      <w:r w:rsidRPr="00D00FE8">
        <w:t>he proportion of students with low skills has been increasing</w:t>
      </w:r>
      <w:r w:rsidR="00470771">
        <w:t xml:space="preserve">. </w:t>
      </w:r>
      <w:r w:rsidR="00B85213">
        <w:t>In 2018, a</w:t>
      </w:r>
      <w:r w:rsidRPr="00D00FE8">
        <w:t xml:space="preserve">round 22 per cent </w:t>
      </w:r>
      <w:r w:rsidR="003A60B2">
        <w:t xml:space="preserve">of students </w:t>
      </w:r>
      <w:r w:rsidR="00B85213">
        <w:t xml:space="preserve">were </w:t>
      </w:r>
      <w:r w:rsidRPr="00D00FE8">
        <w:t>assessed as having low skills in mathematics literacy</w:t>
      </w:r>
      <w:r w:rsidR="002A42CA">
        <w:t xml:space="preserve"> (</w:t>
      </w:r>
      <w:r w:rsidR="00240608">
        <w:t>up from</w:t>
      </w:r>
      <w:r w:rsidR="002A42CA">
        <w:t xml:space="preserve"> </w:t>
      </w:r>
      <w:r w:rsidR="009606CB">
        <w:t>14 per cent in 2003)</w:t>
      </w:r>
      <w:r w:rsidRPr="00D00FE8">
        <w:t xml:space="preserve">, 20 per cent in reading literacy </w:t>
      </w:r>
      <w:r w:rsidR="009606CB">
        <w:t>(</w:t>
      </w:r>
      <w:r w:rsidR="00240608">
        <w:t>up from</w:t>
      </w:r>
      <w:r w:rsidR="005D7F15">
        <w:t xml:space="preserve"> </w:t>
      </w:r>
      <w:r w:rsidR="00DC180F">
        <w:t>14 per </w:t>
      </w:r>
      <w:r w:rsidR="001E14FA">
        <w:t>cent in 2009)</w:t>
      </w:r>
      <w:r w:rsidRPr="00D00FE8">
        <w:t xml:space="preserve"> and 1</w:t>
      </w:r>
      <w:r w:rsidR="00240608">
        <w:t>9</w:t>
      </w:r>
      <w:r w:rsidRPr="00D00FE8">
        <w:t xml:space="preserve"> per cent in science literacy</w:t>
      </w:r>
      <w:r w:rsidR="001E14FA">
        <w:t xml:space="preserve"> (</w:t>
      </w:r>
      <w:r w:rsidR="00240608">
        <w:t>up from</w:t>
      </w:r>
      <w:r w:rsidR="005D7F15">
        <w:t xml:space="preserve"> 1</w:t>
      </w:r>
      <w:r w:rsidR="00267E7E">
        <w:t>3</w:t>
      </w:r>
      <w:r w:rsidR="005D7F15">
        <w:t xml:space="preserve"> per cent in 2006)</w:t>
      </w:r>
      <w:r w:rsidRPr="00D00FE8">
        <w:t xml:space="preserve">. </w:t>
      </w:r>
      <w:r w:rsidR="001550AF">
        <w:t xml:space="preserve">Despite </w:t>
      </w:r>
      <w:r w:rsidR="00165F14">
        <w:t>this</w:t>
      </w:r>
      <w:r w:rsidR="001550AF">
        <w:t xml:space="preserve"> </w:t>
      </w:r>
      <w:r w:rsidR="00B35592">
        <w:t>worsening performance</w:t>
      </w:r>
      <w:r w:rsidR="00F30C80">
        <w:t xml:space="preserve"> over time</w:t>
      </w:r>
      <w:r w:rsidR="00FA4A9D">
        <w:t xml:space="preserve">, </w:t>
      </w:r>
      <w:r w:rsidRPr="00D00FE8">
        <w:t xml:space="preserve">Australia </w:t>
      </w:r>
      <w:r w:rsidR="00FA4A9D">
        <w:t>still</w:t>
      </w:r>
      <w:r w:rsidR="00F30C80">
        <w:t xml:space="preserve"> has </w:t>
      </w:r>
      <w:r w:rsidR="00252A54">
        <w:t xml:space="preserve">a lower </w:t>
      </w:r>
      <w:r w:rsidR="00A60483">
        <w:t>percentage of</w:t>
      </w:r>
      <w:r w:rsidR="00F30C80">
        <w:t xml:space="preserve"> </w:t>
      </w:r>
      <w:r w:rsidR="003E724C">
        <w:t>low</w:t>
      </w:r>
      <w:r w:rsidR="00102E07">
        <w:noBreakHyphen/>
      </w:r>
      <w:r w:rsidR="003E724C">
        <w:t xml:space="preserve">skilled </w:t>
      </w:r>
      <w:r w:rsidR="00165F14">
        <w:t xml:space="preserve">students than the average </w:t>
      </w:r>
      <w:r w:rsidR="00DC4480">
        <w:t xml:space="preserve">of </w:t>
      </w:r>
      <w:r w:rsidR="00165F14">
        <w:t>OECD countr</w:t>
      </w:r>
      <w:r w:rsidR="00090A67">
        <w:t>ies</w:t>
      </w:r>
      <w:r w:rsidR="00165F14">
        <w:t>.</w:t>
      </w:r>
    </w:p>
    <w:p w14:paraId="3C1F5D6F" w14:textId="29F97B4B" w:rsidR="006F502A" w:rsidRDefault="006F502A" w:rsidP="006F502A">
      <w:pPr>
        <w:pStyle w:val="ChartHeading"/>
      </w:pPr>
      <w:r>
        <w:t>Chart 4.3</w:t>
      </w:r>
      <w:r w:rsidR="00B4497F">
        <w:t>:</w:t>
      </w:r>
      <w:r>
        <w:t xml:space="preserve"> Year 10 </w:t>
      </w:r>
      <w:r w:rsidR="00FD06C0">
        <w:t>a</w:t>
      </w:r>
      <w:r>
        <w:t xml:space="preserve">ttendance </w:t>
      </w:r>
      <w:r w:rsidR="00FD06C0">
        <w:t>l</w:t>
      </w:r>
      <w:r>
        <w:t xml:space="preserve">evel </w:t>
      </w:r>
    </w:p>
    <w:p w14:paraId="1A5043D1" w14:textId="222EDF6B" w:rsidR="006F502A" w:rsidRDefault="008212FF">
      <w:pPr>
        <w:pStyle w:val="ChartGraphic"/>
      </w:pPr>
      <w:r>
        <w:rPr>
          <w:noProof/>
        </w:rPr>
        <w:drawing>
          <wp:inline distT="0" distB="0" distL="0" distR="0" wp14:anchorId="3AF3F8AF" wp14:editId="0F8B7556">
            <wp:extent cx="4674235" cy="2523490"/>
            <wp:effectExtent l="0" t="0" r="0" b="0"/>
            <wp:docPr id="7" name="Picture 7" descr="This chart shows the difference in attendance level of students between First Nations and non-indigenous students in different states of remoteness. First Nations students have lower attendance rates than those non-indigegnous students on average, worsening as remoteness incr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his chart shows the difference in attendance level of students between First Nations and non-indigenous students in different states of remoteness. First Nations students have lower attendance rates than those non-indigegnous students on average, worsening as remoteness increas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74235" cy="2523490"/>
                    </a:xfrm>
                    <a:prstGeom prst="rect">
                      <a:avLst/>
                    </a:prstGeom>
                    <a:noFill/>
                    <a:ln>
                      <a:noFill/>
                    </a:ln>
                  </pic:spPr>
                </pic:pic>
              </a:graphicData>
            </a:graphic>
          </wp:inline>
        </w:drawing>
      </w:r>
    </w:p>
    <w:p w14:paraId="14467043" w14:textId="42CB037F" w:rsidR="006F502A" w:rsidRDefault="006F502A" w:rsidP="006F502A">
      <w:pPr>
        <w:pStyle w:val="ChartandTableFootnote"/>
      </w:pPr>
      <w:r w:rsidRPr="00B16386">
        <w:t xml:space="preserve">Note: </w:t>
      </w:r>
      <w:r>
        <w:tab/>
      </w:r>
      <w:r w:rsidRPr="00B16386">
        <w:t>Attendance level is a measure of students that attend at least 90</w:t>
      </w:r>
      <w:r w:rsidR="00F47A3D">
        <w:t> per cent</w:t>
      </w:r>
      <w:r w:rsidRPr="00B16386">
        <w:t xml:space="preserve"> of school days </w:t>
      </w:r>
      <w:proofErr w:type="gramStart"/>
      <w:r w:rsidRPr="00B16386">
        <w:t>in a given</w:t>
      </w:r>
      <w:proofErr w:type="gramEnd"/>
      <w:r w:rsidRPr="00B16386">
        <w:t xml:space="preserve"> period. </w:t>
      </w:r>
    </w:p>
    <w:p w14:paraId="6D4D6AD1" w14:textId="62FBB440" w:rsidR="006F502A" w:rsidRDefault="006F502A" w:rsidP="00407C48">
      <w:pPr>
        <w:pStyle w:val="ChartandTableFootnote"/>
        <w:rPr>
          <w:spacing w:val="-4"/>
          <w:szCs w:val="16"/>
        </w:rPr>
      </w:pPr>
      <w:r w:rsidRPr="00B16386">
        <w:rPr>
          <w:spacing w:val="-4"/>
          <w:szCs w:val="16"/>
        </w:rPr>
        <w:t xml:space="preserve">Source: </w:t>
      </w:r>
      <w:r>
        <w:tab/>
      </w:r>
      <w:r w:rsidRPr="00B16386">
        <w:rPr>
          <w:spacing w:val="-4"/>
          <w:szCs w:val="16"/>
        </w:rPr>
        <w:t>ACARA (</w:t>
      </w:r>
      <w:hyperlink r:id="rId37" w:history="1">
        <w:r w:rsidRPr="00B16386">
          <w:rPr>
            <w:rStyle w:val="Hyperlink"/>
            <w:spacing w:val="-4"/>
            <w:szCs w:val="16"/>
          </w:rPr>
          <w:t>2022</w:t>
        </w:r>
      </w:hyperlink>
      <w:r w:rsidRPr="00B16386">
        <w:rPr>
          <w:spacing w:val="-4"/>
          <w:szCs w:val="16"/>
        </w:rPr>
        <w:t>)</w:t>
      </w:r>
    </w:p>
    <w:p w14:paraId="6B16FAD8" w14:textId="77777777" w:rsidR="00407C48" w:rsidRDefault="00407C48" w:rsidP="00407C48">
      <w:pPr>
        <w:pStyle w:val="ChartLine"/>
      </w:pPr>
    </w:p>
    <w:p w14:paraId="25872C86" w14:textId="6083C341" w:rsidR="007F7D17" w:rsidRDefault="00B479E7" w:rsidP="00B4497F">
      <w:r>
        <w:t>Australia</w:t>
      </w:r>
      <w:r w:rsidR="00102E07">
        <w:t>’</w:t>
      </w:r>
      <w:r>
        <w:t>s</w:t>
      </w:r>
      <w:r w:rsidRPr="004C6D17">
        <w:t xml:space="preserve"> </w:t>
      </w:r>
      <w:r w:rsidR="006F502A" w:rsidRPr="004C6D17">
        <w:t>National Assessment Program—Literacy and Numeracy (NAPLAN) test</w:t>
      </w:r>
      <w:r>
        <w:t xml:space="preserve"> results can</w:t>
      </w:r>
      <w:r w:rsidR="00711E9A">
        <w:t>not</w:t>
      </w:r>
      <w:r>
        <w:t xml:space="preserve"> easily be compared</w:t>
      </w:r>
      <w:r w:rsidR="00464011">
        <w:t xml:space="preserve"> </w:t>
      </w:r>
      <w:r w:rsidR="0083035A">
        <w:t>internationally but</w:t>
      </w:r>
      <w:r w:rsidR="00464011">
        <w:t xml:space="preserve"> provide valuable in</w:t>
      </w:r>
      <w:r w:rsidR="007A1BAD">
        <w:t xml:space="preserve">sights </w:t>
      </w:r>
      <w:r w:rsidR="00FD3318">
        <w:t xml:space="preserve">into </w:t>
      </w:r>
      <w:r w:rsidR="00D945A1">
        <w:t xml:space="preserve">the performance of </w:t>
      </w:r>
      <w:r w:rsidR="00870CBA">
        <w:t xml:space="preserve">Australian </w:t>
      </w:r>
      <w:r w:rsidR="00483294" w:rsidRPr="004C6D17">
        <w:t>student</w:t>
      </w:r>
      <w:r w:rsidR="00870CBA">
        <w:t>s</w:t>
      </w:r>
      <w:r w:rsidR="006F502A" w:rsidRPr="004C6D17">
        <w:t>.</w:t>
      </w:r>
      <w:r w:rsidR="00C8429E">
        <w:t xml:space="preserve"> </w:t>
      </w:r>
      <w:r w:rsidR="006F502A" w:rsidRPr="004C6D17">
        <w:t>Students are assessed in the domains of reading, writing, language conventions and numeracy</w:t>
      </w:r>
      <w:r w:rsidR="00B954A8">
        <w:t xml:space="preserve"> relative to a minimum standard</w:t>
      </w:r>
      <w:r w:rsidR="006B278D">
        <w:t>,</w:t>
      </w:r>
      <w:r w:rsidR="00B954A8">
        <w:t xml:space="preserve"> which is defined as the </w:t>
      </w:r>
      <w:r w:rsidR="006F502A" w:rsidRPr="004C6D17">
        <w:t>standard of knowledge and skills without which a student will have difficulty making sufficient progress at school.</w:t>
      </w:r>
      <w:r w:rsidR="00DD606F">
        <w:rPr>
          <w:rStyle w:val="FootnoteReference"/>
        </w:rPr>
        <w:footnoteReference w:id="15"/>
      </w:r>
      <w:r w:rsidR="006F502A" w:rsidRPr="004C6D17">
        <w:t xml:space="preserve"> </w:t>
      </w:r>
    </w:p>
    <w:p w14:paraId="69F2628F" w14:textId="6D3EEA71" w:rsidR="006D483F" w:rsidRDefault="006D483F" w:rsidP="003A6937">
      <w:r>
        <w:t>Australian data for Year 9 students between 2008</w:t>
      </w:r>
      <w:r w:rsidR="00B858B0">
        <w:t xml:space="preserve"> and </w:t>
      </w:r>
      <w:r>
        <w:t xml:space="preserve">2021 indicates no </w:t>
      </w:r>
      <w:r w:rsidRPr="003F71B7">
        <w:t xml:space="preserve">statistically significant </w:t>
      </w:r>
      <w:r>
        <w:t xml:space="preserve">change in the share of students achieving the minimum numeracy and spelling standard, but the share meeting reading standards has </w:t>
      </w:r>
      <w:r w:rsidRPr="003F71B7">
        <w:t>shown a statistically significant decline</w:t>
      </w:r>
      <w:r w:rsidR="0068132B" w:rsidRPr="003F71B7">
        <w:t>.</w:t>
      </w:r>
      <w:r w:rsidR="00517E77">
        <w:rPr>
          <w:rStyle w:val="FootnoteReference"/>
        </w:rPr>
        <w:footnoteReference w:id="16"/>
      </w:r>
      <w:r w:rsidR="0068132B" w:rsidRPr="003F71B7">
        <w:t xml:space="preserve"> </w:t>
      </w:r>
      <w:r w:rsidR="0068132B">
        <w:t>These measures are a valuable complement to internationally comparable measures such as attendance rates.</w:t>
      </w:r>
    </w:p>
    <w:p w14:paraId="5EE6B3DC" w14:textId="5B98400B" w:rsidR="007874C0" w:rsidRDefault="007874C0" w:rsidP="0087093D">
      <w:pPr>
        <w:pStyle w:val="Heading3noTOC"/>
      </w:pPr>
      <w:r>
        <w:lastRenderedPageBreak/>
        <w:t xml:space="preserve">Red List Index </w:t>
      </w:r>
    </w:p>
    <w:p w14:paraId="161F170F" w14:textId="4B513873" w:rsidR="003B0DB3" w:rsidRPr="00E5003F" w:rsidRDefault="002C5870" w:rsidP="00B4497F">
      <w:r w:rsidRPr="002C5870">
        <w:t>Australia has a unique natural environment, including an estimated 650,000 species, most of which are only found in Australia and most of which are yet to be formally described</w:t>
      </w:r>
      <w:r w:rsidR="008F1232">
        <w:t>.</w:t>
      </w:r>
      <w:r w:rsidR="009308C7">
        <w:rPr>
          <w:rStyle w:val="FootnoteReference"/>
        </w:rPr>
        <w:footnoteReference w:id="17"/>
      </w:r>
      <w:r w:rsidRPr="002C5870">
        <w:t xml:space="preserve"> For these reasons</w:t>
      </w:r>
      <w:r w:rsidR="007C27DE">
        <w:t>,</w:t>
      </w:r>
      <w:r w:rsidRPr="002C5870">
        <w:t xml:space="preserve"> </w:t>
      </w:r>
      <w:r w:rsidR="006872E0">
        <w:t>t</w:t>
      </w:r>
      <w:r w:rsidR="003B0DB3" w:rsidRPr="00E5003F">
        <w:t>he OECD</w:t>
      </w:r>
      <w:r w:rsidR="00102E07">
        <w:t>’</w:t>
      </w:r>
      <w:r w:rsidR="003B0DB3" w:rsidRPr="00E5003F">
        <w:t xml:space="preserve">s </w:t>
      </w:r>
      <w:r w:rsidR="00CA64F2">
        <w:t>internationally</w:t>
      </w:r>
      <w:r w:rsidR="00102E07">
        <w:noBreakHyphen/>
      </w:r>
      <w:r w:rsidR="00CA64F2">
        <w:t xml:space="preserve">comparable </w:t>
      </w:r>
      <w:r w:rsidR="003B0DB3" w:rsidRPr="00E5003F">
        <w:t xml:space="preserve">measure of ecosystem health </w:t>
      </w:r>
      <w:r w:rsidR="00CA64F2">
        <w:t xml:space="preserve">overlooks </w:t>
      </w:r>
      <w:proofErr w:type="gramStart"/>
      <w:r w:rsidR="00CA64F2">
        <w:t xml:space="preserve">a </w:t>
      </w:r>
      <w:r w:rsidR="006872E0">
        <w:t>number of</w:t>
      </w:r>
      <w:proofErr w:type="gramEnd"/>
      <w:r w:rsidR="006872E0">
        <w:t xml:space="preserve"> </w:t>
      </w:r>
      <w:r w:rsidR="00706B8A" w:rsidRPr="00E5003F">
        <w:t>Australia</w:t>
      </w:r>
      <w:r w:rsidR="00102E07">
        <w:t>’</w:t>
      </w:r>
      <w:r w:rsidR="00706B8A" w:rsidRPr="00E5003F">
        <w:t xml:space="preserve">s </w:t>
      </w:r>
      <w:r w:rsidR="006872E0">
        <w:t xml:space="preserve">specific </w:t>
      </w:r>
      <w:r w:rsidR="00706B8A" w:rsidRPr="00E5003F">
        <w:t xml:space="preserve">biodiversity </w:t>
      </w:r>
      <w:r w:rsidR="00574AAF" w:rsidRPr="00E5003F">
        <w:t>challenges</w:t>
      </w:r>
      <w:r w:rsidR="00123F28" w:rsidRPr="00E5003F">
        <w:t>.</w:t>
      </w:r>
      <w:r w:rsidR="00574AAF" w:rsidRPr="00E5003F">
        <w:t xml:space="preserve"> </w:t>
      </w:r>
    </w:p>
    <w:p w14:paraId="2A747B5F" w14:textId="79E56406" w:rsidR="00477D53" w:rsidRDefault="007874C0" w:rsidP="00F90C5E">
      <w:r w:rsidRPr="00E5003F">
        <w:t>The OECD indicator is based on the International Union for Conservation of Nature assessment of bird</w:t>
      </w:r>
      <w:r w:rsidR="00D17AE2">
        <w:t>s</w:t>
      </w:r>
      <w:r w:rsidRPr="00E5003F">
        <w:t>, mammals, amphibians, reef</w:t>
      </w:r>
      <w:r w:rsidR="00102E07">
        <w:noBreakHyphen/>
      </w:r>
      <w:r w:rsidRPr="00E5003F">
        <w:t>forming corals and cycads. It provides an internationally consistent approach to one</w:t>
      </w:r>
      <w:r w:rsidR="002B7EFF" w:rsidRPr="00E5003F">
        <w:t xml:space="preserve"> </w:t>
      </w:r>
      <w:r w:rsidRPr="00E5003F">
        <w:t xml:space="preserve">dimension of health of ecosystems and the environment, </w:t>
      </w:r>
      <w:r w:rsidR="00A62EC1">
        <w:t xml:space="preserve">and </w:t>
      </w:r>
      <w:r w:rsidRPr="00E5003F">
        <w:t xml:space="preserve">it is by no means a complete measure of environmental progress. The Index covers a wide range of life across different jurisdictions, </w:t>
      </w:r>
      <w:r w:rsidR="00A90324" w:rsidRPr="00E5003F">
        <w:t xml:space="preserve">but </w:t>
      </w:r>
      <w:r w:rsidRPr="00E5003F">
        <w:t xml:space="preserve">it does not include all species groups of significant conservation concern to Australia, like reptiles and the majority of plants native to Australia. </w:t>
      </w:r>
    </w:p>
    <w:p w14:paraId="51ADA73B" w14:textId="580B70E1" w:rsidR="00107551" w:rsidRDefault="00107551" w:rsidP="00107551">
      <w:r w:rsidRPr="00E5003F">
        <w:t>In Australia, the Red List Index is usually supplemented by other indicators, like the Australian Threatened Species Index</w:t>
      </w:r>
      <w:r w:rsidR="00863917">
        <w:t>,</w:t>
      </w:r>
      <w:r>
        <w:rPr>
          <w:rStyle w:val="FootnoteReference"/>
        </w:rPr>
        <w:footnoteReference w:id="18"/>
      </w:r>
      <w:r w:rsidRPr="00E5003F">
        <w:t xml:space="preserve"> for a more complete story. This is also used by government in Portfolio Budget Statement reporting.</w:t>
      </w:r>
    </w:p>
    <w:p w14:paraId="2C604885" w14:textId="2B232ADC" w:rsidR="007874C0" w:rsidRDefault="007874C0" w:rsidP="0087093D">
      <w:pPr>
        <w:pStyle w:val="Heading3noTOC"/>
      </w:pPr>
      <w:r>
        <w:t xml:space="preserve">Greenhouse Gas Emissions </w:t>
      </w:r>
    </w:p>
    <w:p w14:paraId="17C56686" w14:textId="77777777" w:rsidR="006F1C32" w:rsidRDefault="006F1C32" w:rsidP="00B4497F">
      <w:r w:rsidRPr="00E5003F">
        <w:t>The OECD measure</w:t>
      </w:r>
      <w:r w:rsidR="00A82691" w:rsidRPr="00E5003F">
        <w:t>s</w:t>
      </w:r>
      <w:r w:rsidRPr="00E5003F">
        <w:t xml:space="preserve"> </w:t>
      </w:r>
      <w:r w:rsidR="00A82691" w:rsidRPr="00E5003F">
        <w:t>greenhouse gas emissions per capita but d</w:t>
      </w:r>
      <w:r w:rsidR="001D1394" w:rsidRPr="00E5003F">
        <w:t>o</w:t>
      </w:r>
      <w:r w:rsidR="00A82691" w:rsidRPr="00E5003F">
        <w:t>es not assess the stock of greenhouse gases or their climat</w:t>
      </w:r>
      <w:r w:rsidR="00DF7136" w:rsidRPr="00E5003F">
        <w:t>e</w:t>
      </w:r>
      <w:r w:rsidR="00A82691" w:rsidRPr="00E5003F">
        <w:t xml:space="preserve"> impact</w:t>
      </w:r>
      <w:r w:rsidR="00FD7177" w:rsidRPr="00E5003F">
        <w:t>.</w:t>
      </w:r>
      <w:r w:rsidR="008D2E54" w:rsidRPr="00E5003F">
        <w:t xml:space="preserve"> While </w:t>
      </w:r>
      <w:r w:rsidR="00276F03" w:rsidRPr="00E5003F">
        <w:t xml:space="preserve">current </w:t>
      </w:r>
      <w:r w:rsidR="008D2E54" w:rsidRPr="00E5003F">
        <w:t xml:space="preserve">emissions are an important indicator of action on climate change, </w:t>
      </w:r>
      <w:r w:rsidR="00541C89" w:rsidRPr="00E5003F">
        <w:t xml:space="preserve">more is needed to understand and </w:t>
      </w:r>
      <w:r w:rsidR="008D2E54" w:rsidRPr="00E5003F">
        <w:t>fully illustrate climate change</w:t>
      </w:r>
      <w:r w:rsidR="00102E07">
        <w:t>’</w:t>
      </w:r>
      <w:r w:rsidR="008D2E54" w:rsidRPr="00E5003F">
        <w:t>s impact on quality of life.</w:t>
      </w:r>
    </w:p>
    <w:p w14:paraId="0AFAE9A4" w14:textId="639C46B4" w:rsidR="00511393" w:rsidRPr="00D57407" w:rsidRDefault="00622B4A" w:rsidP="00B4497F">
      <w:r>
        <w:t>While Australia has</w:t>
      </w:r>
      <w:r w:rsidRPr="00B05632">
        <w:t xml:space="preserve"> the highest </w:t>
      </w:r>
      <w:r w:rsidR="001452F3" w:rsidRPr="00D57407">
        <w:t xml:space="preserve">greenhouse gas </w:t>
      </w:r>
      <w:r w:rsidRPr="00B05632">
        <w:t>emissions per capita of OECD nations</w:t>
      </w:r>
      <w:r>
        <w:t>, t</w:t>
      </w:r>
      <w:r w:rsidR="00B63961" w:rsidRPr="00D57407">
        <w:t>he</w:t>
      </w:r>
      <w:r w:rsidR="00240379" w:rsidRPr="00D57407">
        <w:t xml:space="preserve"> OECD </w:t>
      </w:r>
      <w:r w:rsidR="009C7535" w:rsidRPr="00D57407">
        <w:t xml:space="preserve">indicator </w:t>
      </w:r>
      <w:r w:rsidR="00240379" w:rsidRPr="00D57407">
        <w:t xml:space="preserve">shows </w:t>
      </w:r>
      <w:r w:rsidR="009C7535" w:rsidRPr="00D57407">
        <w:t>Australia</w:t>
      </w:r>
      <w:r w:rsidR="00102E07">
        <w:t>’</w:t>
      </w:r>
      <w:r w:rsidR="009C7535" w:rsidRPr="00D57407">
        <w:t>s</w:t>
      </w:r>
      <w:r w:rsidR="00240379" w:rsidRPr="00D57407">
        <w:t xml:space="preserve"> emissions have fallen in </w:t>
      </w:r>
      <w:r w:rsidR="00E83C77" w:rsidRPr="00D57407">
        <w:t>recent</w:t>
      </w:r>
      <w:r w:rsidR="00240379" w:rsidRPr="00D57407">
        <w:t xml:space="preserve"> years</w:t>
      </w:r>
      <w:r w:rsidR="001277C1">
        <w:t>.</w:t>
      </w:r>
      <w:r w:rsidR="00B836B6" w:rsidRPr="00B05632">
        <w:t xml:space="preserve"> </w:t>
      </w:r>
      <w:r w:rsidR="00AE0BB3" w:rsidRPr="00D57407">
        <w:t>T</w:t>
      </w:r>
      <w:r w:rsidR="00B63961" w:rsidRPr="00D57407">
        <w:t xml:space="preserve">his </w:t>
      </w:r>
      <w:r w:rsidR="00F047E3" w:rsidRPr="00D57407">
        <w:t>should not be taken to imply that Australia is doing well or could not do better to meet</w:t>
      </w:r>
      <w:r w:rsidR="00F50E40" w:rsidRPr="00D57407">
        <w:t xml:space="preserve"> policy objectives or environmental outcomes</w:t>
      </w:r>
      <w:r w:rsidR="00B63961" w:rsidRPr="00D57407">
        <w:t xml:space="preserve">. </w:t>
      </w:r>
      <w:r w:rsidR="00A11E47" w:rsidRPr="00D57407">
        <w:t xml:space="preserve">The indicator does not </w:t>
      </w:r>
      <w:r w:rsidR="002B7EFF">
        <w:t xml:space="preserve">show </w:t>
      </w:r>
      <w:r w:rsidR="00A11E47">
        <w:t>whether Australia is on track to meet its</w:t>
      </w:r>
      <w:r w:rsidR="00731FAD" w:rsidRPr="00D57407">
        <w:t xml:space="preserve"> legislated </w:t>
      </w:r>
      <w:r w:rsidR="009C7535" w:rsidRPr="00D57407">
        <w:t xml:space="preserve">emissions reductions </w:t>
      </w:r>
      <w:r w:rsidR="00731FAD" w:rsidRPr="00D57407">
        <w:t>targets</w:t>
      </w:r>
      <w:r w:rsidR="008F5F8D">
        <w:t>,</w:t>
      </w:r>
      <w:r w:rsidR="00731FAD" w:rsidRPr="00D57407">
        <w:t xml:space="preserve"> or whether the </w:t>
      </w:r>
      <w:r w:rsidR="00710066" w:rsidRPr="00D57407">
        <w:t>cumulative</w:t>
      </w:r>
      <w:r w:rsidR="00731FAD" w:rsidRPr="00D57407">
        <w:t xml:space="preserve"> decline across OECD countries will be sufficient to reduce the impact of climate change</w:t>
      </w:r>
      <w:r w:rsidR="00640BFD">
        <w:t xml:space="preserve"> in line with the Paris Agreement</w:t>
      </w:r>
      <w:r w:rsidR="00731FAD" w:rsidRPr="00D57407">
        <w:t>.</w:t>
      </w:r>
    </w:p>
    <w:p w14:paraId="74F3C829" w14:textId="1E8D8838" w:rsidR="007874C0" w:rsidRDefault="007874C0" w:rsidP="007874C0">
      <w:pPr>
        <w:pStyle w:val="ChartHeading"/>
      </w:pPr>
      <w:r>
        <w:lastRenderedPageBreak/>
        <w:t>Chart 4.4</w:t>
      </w:r>
      <w:r w:rsidR="00EF1052">
        <w:t>:</w:t>
      </w:r>
      <w:r>
        <w:t xml:space="preserve"> Greenhouse gas emissions (CO</w:t>
      </w:r>
      <w:r w:rsidR="00E142ED">
        <w:rPr>
          <w:vertAlign w:val="subscript"/>
        </w:rPr>
        <w:t>2</w:t>
      </w:r>
      <w:r>
        <w:t>e)</w:t>
      </w:r>
    </w:p>
    <w:p w14:paraId="4752D411" w14:textId="592891E2" w:rsidR="007874C0" w:rsidRDefault="00765A11">
      <w:pPr>
        <w:pStyle w:val="ChartGraphic"/>
      </w:pPr>
      <w:r>
        <w:rPr>
          <w:noProof/>
        </w:rPr>
        <w:drawing>
          <wp:inline distT="0" distB="0" distL="0" distR="0" wp14:anchorId="571126C3" wp14:editId="0D45C2B5">
            <wp:extent cx="4674235" cy="2523490"/>
            <wp:effectExtent l="0" t="0" r="0" b="0"/>
            <wp:docPr id="8" name="Picture 8" descr="This chart shows tonnes of greenhouse gas emissions (measured as Co2-e) per capita for Australia compared to the OECD average from 1990 to 2020. Australia's level of greenhouse gas emissions per capita is higher than the OECD average throughout the entire period. Both Australia and the OECD average are on a slight downward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his chart shows tonnes of greenhouse gas emissions (measured as Co2-e) per capita for Australia compared to the OECD average from 1990 to 2020. Australia's level of greenhouse gas emissions per capita is higher than the OECD average throughout the entire period. Both Australia and the OECD average are on a slight downward tren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74235" cy="2523490"/>
                    </a:xfrm>
                    <a:prstGeom prst="rect">
                      <a:avLst/>
                    </a:prstGeom>
                    <a:noFill/>
                    <a:ln>
                      <a:noFill/>
                    </a:ln>
                  </pic:spPr>
                </pic:pic>
              </a:graphicData>
            </a:graphic>
          </wp:inline>
        </w:drawing>
      </w:r>
    </w:p>
    <w:p w14:paraId="4F9E5DBA" w14:textId="262A6E3D" w:rsidR="007874C0" w:rsidRDefault="007874C0" w:rsidP="00407C48">
      <w:pPr>
        <w:pStyle w:val="ChartandTableFootnote"/>
      </w:pPr>
      <w:r>
        <w:t xml:space="preserve">Source: </w:t>
      </w:r>
      <w:r>
        <w:tab/>
        <w:t>OECD (</w:t>
      </w:r>
      <w:hyperlink r:id="rId39" w:history="1">
        <w:r w:rsidRPr="003E3774">
          <w:rPr>
            <w:rStyle w:val="Hyperlink"/>
          </w:rPr>
          <w:t>2022</w:t>
        </w:r>
      </w:hyperlink>
      <w:r>
        <w:t>)</w:t>
      </w:r>
    </w:p>
    <w:p w14:paraId="44FBED38" w14:textId="77777777" w:rsidR="00407C48" w:rsidRDefault="00407C48" w:rsidP="00407C48">
      <w:pPr>
        <w:pStyle w:val="ChartLine"/>
      </w:pPr>
    </w:p>
    <w:p w14:paraId="40541E3C" w14:textId="19E019F1" w:rsidR="00C6409F" w:rsidRDefault="00C6409F" w:rsidP="00C6409F">
      <w:r w:rsidRPr="00A73966">
        <w:t>Stocks of greenhouse gases in the atmosphere are more relevant and informative indicators when it comes to progress in reducing greenhouse gas emissions in the context of addressing climate change</w:t>
      </w:r>
      <w:r>
        <w:t>.</w:t>
      </w:r>
    </w:p>
    <w:p w14:paraId="7618AEA6" w14:textId="2D0E8358" w:rsidR="006601EE" w:rsidRDefault="009F4E48" w:rsidP="00D00FE8">
      <w:r w:rsidRPr="00B26D63">
        <w:t>More broadly, understanding</w:t>
      </w:r>
      <w:r w:rsidR="007874C0" w:rsidRPr="00B26D63">
        <w:t xml:space="preserve"> the impact of climate change requires a suite of detailed, bespoke indicators. In Australia</w:t>
      </w:r>
      <w:r w:rsidR="00102E07">
        <w:t>’</w:t>
      </w:r>
      <w:r w:rsidR="007874C0" w:rsidRPr="00B26D63">
        <w:t>s case, the State of the Environment Report provides detail on Australia</w:t>
      </w:r>
      <w:r w:rsidR="00102E07">
        <w:t>’</w:t>
      </w:r>
      <w:r w:rsidR="007874C0" w:rsidRPr="00B26D63">
        <w:t>s environmental stock, reflecting the unique circumstances of Australia</w:t>
      </w:r>
      <w:r w:rsidR="00102E07">
        <w:t>’</w:t>
      </w:r>
      <w:r w:rsidR="007874C0" w:rsidRPr="00B26D63">
        <w:t xml:space="preserve">s natural ecosystems. Australia is also implementing a system of Environmental Economic Accounting, which will address this </w:t>
      </w:r>
      <w:proofErr w:type="gramStart"/>
      <w:r w:rsidR="007874C0" w:rsidRPr="00B26D63">
        <w:t>particular issue</w:t>
      </w:r>
      <w:proofErr w:type="gramEnd"/>
      <w:r w:rsidR="007874C0" w:rsidRPr="00B26D63">
        <w:t xml:space="preserve"> by providing a more complete picture of the environment</w:t>
      </w:r>
      <w:r w:rsidR="00102E07">
        <w:t>’</w:t>
      </w:r>
      <w:r w:rsidR="007874C0" w:rsidRPr="00B26D63">
        <w:t xml:space="preserve">s contribution to economic and human activity and the impact that </w:t>
      </w:r>
      <w:r w:rsidR="00221BCF" w:rsidRPr="00B26D63">
        <w:t xml:space="preserve">the </w:t>
      </w:r>
      <w:r w:rsidR="007874C0" w:rsidRPr="00B26D63">
        <w:t>economy has on the environment.</w:t>
      </w:r>
      <w:r w:rsidR="00DB2FFC" w:rsidRPr="00B26D63">
        <w:t xml:space="preserve"> A large proportion of GDP is dependent on nature</w:t>
      </w:r>
      <w:r w:rsidR="007C672F" w:rsidRPr="00B26D63">
        <w:t>, and so</w:t>
      </w:r>
      <w:r w:rsidR="001230F4" w:rsidRPr="00B26D63">
        <w:t xml:space="preserve"> </w:t>
      </w:r>
      <w:r w:rsidR="00DB2FFC" w:rsidRPr="00B26D63">
        <w:t>a healthy natural capital base is fundamental to Australia</w:t>
      </w:r>
      <w:r w:rsidR="00102E07">
        <w:t>’</w:t>
      </w:r>
      <w:r w:rsidR="00DB2FFC" w:rsidRPr="00B26D63">
        <w:t>s economic success and well</w:t>
      </w:r>
      <w:r w:rsidR="00102E07">
        <w:noBreakHyphen/>
      </w:r>
      <w:r w:rsidR="00DB2FFC" w:rsidRPr="00B26D63">
        <w:t>being</w:t>
      </w:r>
      <w:r w:rsidR="009E713B" w:rsidRPr="00B26D63">
        <w:t>.</w:t>
      </w:r>
      <w:r w:rsidR="004E4F42" w:rsidRPr="00B26D63">
        <w:t xml:space="preserve"> </w:t>
      </w:r>
      <w:r w:rsidR="005D3AEF" w:rsidRPr="00B26D63">
        <w:t>Fundamentally, every aspect of our civilisation relies on the natural environment.</w:t>
      </w:r>
    </w:p>
    <w:p w14:paraId="72E663A6" w14:textId="77777777" w:rsidR="00500CDF" w:rsidRPr="00D45B8A" w:rsidRDefault="00500CDF" w:rsidP="00043FEA">
      <w:pPr>
        <w:pStyle w:val="Heading1"/>
      </w:pPr>
      <w:bookmarkStart w:id="26" w:name="_Toc115968083"/>
      <w:bookmarkStart w:id="27" w:name="_Toc117057004"/>
      <w:bookmarkStart w:id="28" w:name="_Toc117059948"/>
      <w:bookmarkStart w:id="29" w:name="_Toc110848268"/>
      <w:bookmarkStart w:id="30" w:name="_Toc114154970"/>
      <w:r w:rsidRPr="00D45B8A">
        <w:t>Australian measurement approaches</w:t>
      </w:r>
      <w:bookmarkEnd w:id="26"/>
      <w:bookmarkEnd w:id="27"/>
      <w:bookmarkEnd w:id="28"/>
    </w:p>
    <w:p w14:paraId="44A1FC35" w14:textId="77777777" w:rsidR="00FA0AAA" w:rsidRDefault="00500CDF" w:rsidP="0020524C">
      <w:r w:rsidRPr="007515F9">
        <w:t xml:space="preserve">Australia </w:t>
      </w:r>
      <w:r>
        <w:t xml:space="preserve">has </w:t>
      </w:r>
      <w:proofErr w:type="gramStart"/>
      <w:r>
        <w:t>a number of</w:t>
      </w:r>
      <w:proofErr w:type="gramEnd"/>
      <w:r>
        <w:t xml:space="preserve"> processes and </w:t>
      </w:r>
      <w:r w:rsidRPr="007515F9">
        <w:t xml:space="preserve">reporting frameworks aimed at informing progress </w:t>
      </w:r>
      <w:r>
        <w:t>related outcomes</w:t>
      </w:r>
      <w:r w:rsidRPr="007515F9">
        <w:t xml:space="preserve"> (Table</w:t>
      </w:r>
      <w:r>
        <w:t> 4.</w:t>
      </w:r>
      <w:r w:rsidR="001E7167">
        <w:t>3</w:t>
      </w:r>
      <w:r w:rsidRPr="007515F9">
        <w:t xml:space="preserve">). </w:t>
      </w:r>
      <w:r>
        <w:t>These include economic and non</w:t>
      </w:r>
      <w:r w:rsidR="00102E07">
        <w:noBreakHyphen/>
      </w:r>
      <w:r>
        <w:t xml:space="preserve">economic measures. </w:t>
      </w:r>
      <w:r w:rsidRPr="007515F9">
        <w:t xml:space="preserve">Some examples include life outcomes of First Nations peoples (Closing the Gap), </w:t>
      </w:r>
      <w:r>
        <w:t xml:space="preserve">cognitive development of </w:t>
      </w:r>
      <w:r w:rsidRPr="007515F9">
        <w:t>children as they commence their first year of full</w:t>
      </w:r>
      <w:r w:rsidR="00102E07">
        <w:noBreakHyphen/>
      </w:r>
      <w:r w:rsidRPr="007515F9">
        <w:t>time school (Australian Early Development Census), and the natural environment (State of the Environment Report).</w:t>
      </w:r>
      <w:r w:rsidR="0072391C">
        <w:t xml:space="preserve"> </w:t>
      </w:r>
    </w:p>
    <w:p w14:paraId="15554FD4" w14:textId="77777777" w:rsidR="00B61E3D" w:rsidRDefault="00FF6487" w:rsidP="00FF6487">
      <w:pPr>
        <w:spacing w:before="120" w:after="160" w:line="259" w:lineRule="auto"/>
      </w:pPr>
      <w:r w:rsidRPr="00E403C3">
        <w:t xml:space="preserve">Progress frameworks are not a replacement for </w:t>
      </w:r>
      <w:r w:rsidR="00B92140">
        <w:t xml:space="preserve">these detailed </w:t>
      </w:r>
      <w:r w:rsidRPr="00E403C3">
        <w:t>reporting processes. Their high</w:t>
      </w:r>
      <w:r w:rsidR="00102E07">
        <w:noBreakHyphen/>
      </w:r>
      <w:r w:rsidRPr="00E403C3">
        <w:t xml:space="preserve">level nature provides a </w:t>
      </w:r>
      <w:r w:rsidR="00B73812">
        <w:t>comprehensive</w:t>
      </w:r>
      <w:r w:rsidRPr="00E403C3">
        <w:t xml:space="preserve"> view of how broad policy decisions can affect quality of life. This means there </w:t>
      </w:r>
      <w:r w:rsidR="00EE644F">
        <w:t xml:space="preserve">is </w:t>
      </w:r>
      <w:r w:rsidRPr="00E403C3">
        <w:t>an important role for other reporting and measurement</w:t>
      </w:r>
      <w:r>
        <w:t xml:space="preserve"> – </w:t>
      </w:r>
      <w:r w:rsidRPr="00E403C3">
        <w:lastRenderedPageBreak/>
        <w:t>particularly at finer levels of detail</w:t>
      </w:r>
      <w:r>
        <w:t xml:space="preserve"> – </w:t>
      </w:r>
      <w:r w:rsidRPr="00E403C3">
        <w:t>to help complement the effectiveness of frameworks. Such reporting may go to detail of outcomes underneath the aggregates, in terms of geographic or cohort outcomes, or detail to better identify the specific problem needing to be addressed</w:t>
      </w:r>
      <w:r>
        <w:t xml:space="preserve">. </w:t>
      </w:r>
    </w:p>
    <w:p w14:paraId="04E431F0" w14:textId="3476611F" w:rsidR="00FC0729" w:rsidRPr="002800DA" w:rsidRDefault="00FC0729" w:rsidP="00FC0729">
      <w:pPr>
        <w:spacing w:before="120" w:after="160" w:line="259" w:lineRule="auto"/>
      </w:pPr>
      <w:r w:rsidRPr="000B31CB">
        <w:t xml:space="preserve">There are also processes </w:t>
      </w:r>
      <w:r w:rsidRPr="002800DA">
        <w:t>that use progress and well</w:t>
      </w:r>
      <w:r w:rsidR="00102E07">
        <w:noBreakHyphen/>
      </w:r>
      <w:r w:rsidRPr="002800DA">
        <w:t>being related metrics in policy design, implementation and evaluation. These include the Commonwealth Performance Framework, performance reporting and evaluation for individual policies and programs</w:t>
      </w:r>
      <w:r w:rsidR="00017CA5">
        <w:t>,</w:t>
      </w:r>
      <w:r w:rsidRPr="002800DA">
        <w:t xml:space="preserve"> and some intergovernmental agreements (Box 4.5). These reporting regimes aim to enhance accountability and support decision</w:t>
      </w:r>
      <w:r w:rsidR="00102E07">
        <w:noBreakHyphen/>
      </w:r>
      <w:r w:rsidRPr="002800DA">
        <w:t>making in individual policy areas.</w:t>
      </w:r>
      <w:r w:rsidRPr="001F7B81">
        <w:t xml:space="preserve"> </w:t>
      </w:r>
    </w:p>
    <w:p w14:paraId="415C8753" w14:textId="3287E5E2" w:rsidR="009B65B4" w:rsidRDefault="00FC0729" w:rsidP="00FC0729">
      <w:r w:rsidRPr="002800DA">
        <w:t>Australia does not have an overarching progress and well</w:t>
      </w:r>
      <w:r w:rsidR="00102E07">
        <w:noBreakHyphen/>
      </w:r>
      <w:r w:rsidRPr="002800DA">
        <w:t>being national framework or centralised set of indicators.</w:t>
      </w:r>
    </w:p>
    <w:p w14:paraId="11593741" w14:textId="77777777" w:rsidR="009B65B4" w:rsidRDefault="009B65B4">
      <w:pPr>
        <w:spacing w:before="0" w:after="160" w:line="259" w:lineRule="auto"/>
      </w:pPr>
      <w:r>
        <w:br w:type="page"/>
      </w:r>
    </w:p>
    <w:p w14:paraId="6DF642C8" w14:textId="534D24D4" w:rsidR="00500CDF" w:rsidRPr="00425A4B" w:rsidRDefault="00500CDF" w:rsidP="00500CDF">
      <w:pPr>
        <w:pStyle w:val="TableHeading"/>
      </w:pPr>
      <w:r w:rsidRPr="00425A4B">
        <w:lastRenderedPageBreak/>
        <w:t>Table 4.</w:t>
      </w:r>
      <w:r w:rsidR="001E7167" w:rsidRPr="00425A4B">
        <w:t>3</w:t>
      </w:r>
      <w:r w:rsidRPr="00425A4B">
        <w:t xml:space="preserve"> – </w:t>
      </w:r>
      <w:r w:rsidR="007C3501" w:rsidRPr="00425A4B">
        <w:t xml:space="preserve">Example </w:t>
      </w:r>
      <w:r w:rsidRPr="00425A4B">
        <w:t>processes and reporting related to progress</w:t>
      </w:r>
      <w:r w:rsidRPr="00425A4B" w:rsidDel="00016071">
        <w:t xml:space="preserve"> </w:t>
      </w:r>
    </w:p>
    <w:tbl>
      <w:tblPr>
        <w:tblW w:w="5008" w:type="pct"/>
        <w:shd w:val="clear" w:color="auto" w:fill="E6F2FF"/>
        <w:tblCellMar>
          <w:top w:w="284" w:type="dxa"/>
          <w:left w:w="284" w:type="dxa"/>
          <w:bottom w:w="284" w:type="dxa"/>
          <w:right w:w="284" w:type="dxa"/>
        </w:tblCellMar>
        <w:tblLook w:val="01E0" w:firstRow="1" w:lastRow="1" w:firstColumn="1" w:lastColumn="1" w:noHBand="0" w:noVBand="0"/>
      </w:tblPr>
      <w:tblGrid>
        <w:gridCol w:w="3639"/>
        <w:gridCol w:w="397"/>
        <w:gridCol w:w="3686"/>
      </w:tblGrid>
      <w:tr w:rsidR="00500CDF" w:rsidRPr="00425A4B" w14:paraId="2C09D7E0" w14:textId="77777777" w:rsidTr="002A4A95">
        <w:tc>
          <w:tcPr>
            <w:tcW w:w="2295" w:type="pct"/>
            <w:shd w:val="clear" w:color="auto" w:fill="E6F2FF"/>
          </w:tcPr>
          <w:p w14:paraId="1B6CF6FB" w14:textId="00605034" w:rsidR="00500CDF" w:rsidRPr="00681499" w:rsidRDefault="00500CDF" w:rsidP="00D626A9">
            <w:pPr>
              <w:pStyle w:val="BoxBullet"/>
              <w:rPr>
                <w:bCs/>
              </w:rPr>
            </w:pPr>
            <w:r w:rsidRPr="00681499">
              <w:t>Australia</w:t>
            </w:r>
            <w:r w:rsidR="00102E07">
              <w:t>’</w:t>
            </w:r>
            <w:r w:rsidRPr="00681499">
              <w:t>s Welfare Report (1993</w:t>
            </w:r>
            <w:r w:rsidR="00FE6CD9">
              <w:t>–</w:t>
            </w:r>
            <w:r w:rsidRPr="00681499">
              <w:t>present)</w:t>
            </w:r>
          </w:p>
          <w:p w14:paraId="60B1FE94" w14:textId="09F190C5" w:rsidR="00D626A9" w:rsidRPr="00681499" w:rsidRDefault="00D626A9" w:rsidP="00DC4A73">
            <w:pPr>
              <w:pStyle w:val="BoxBullet"/>
            </w:pPr>
            <w:r w:rsidRPr="00681499">
              <w:t>Report on Government Services (1995</w:t>
            </w:r>
            <w:r w:rsidR="00FE6CD9">
              <w:t>–</w:t>
            </w:r>
            <w:r w:rsidRPr="00681499">
              <w:t>present)</w:t>
            </w:r>
          </w:p>
          <w:p w14:paraId="7CF62755" w14:textId="134B79B0" w:rsidR="00500CDF" w:rsidRPr="00681499" w:rsidRDefault="00500CDF" w:rsidP="00D626A9">
            <w:pPr>
              <w:pStyle w:val="BoxBullet"/>
            </w:pPr>
            <w:r w:rsidRPr="00681499">
              <w:t>State of the Environment Report (1999</w:t>
            </w:r>
            <w:r w:rsidR="00FE6CD9">
              <w:t>–</w:t>
            </w:r>
            <w:r w:rsidRPr="00681499">
              <w:t>present)</w:t>
            </w:r>
          </w:p>
          <w:p w14:paraId="0A4FE8D6" w14:textId="5188058E" w:rsidR="00500CDF" w:rsidRPr="00681499" w:rsidRDefault="00500CDF" w:rsidP="00D626A9">
            <w:pPr>
              <w:pStyle w:val="BoxBullet"/>
            </w:pPr>
            <w:r w:rsidRPr="00681499">
              <w:t>Household, Income and Labour Dynamics in Australia (2001</w:t>
            </w:r>
            <w:r w:rsidR="00FE6CD9">
              <w:t>–</w:t>
            </w:r>
            <w:r w:rsidRPr="00681499">
              <w:t>present)</w:t>
            </w:r>
          </w:p>
          <w:p w14:paraId="4B9DB7EE" w14:textId="6A4A051E" w:rsidR="00500CDF" w:rsidRPr="00681499" w:rsidRDefault="00500CDF" w:rsidP="00D626A9">
            <w:pPr>
              <w:pStyle w:val="BoxBullet"/>
            </w:pPr>
            <w:r w:rsidRPr="00681499">
              <w:t>Footprints in Time: Longitudinal Study of Indigenous Children (2008</w:t>
            </w:r>
            <w:r w:rsidR="00FE6CD9">
              <w:t>–</w:t>
            </w:r>
            <w:r w:rsidRPr="00681499">
              <w:t>present)</w:t>
            </w:r>
          </w:p>
          <w:p w14:paraId="7CA5F4BB" w14:textId="34B3410B" w:rsidR="00500CDF" w:rsidRPr="00681499" w:rsidRDefault="00500CDF" w:rsidP="00D626A9">
            <w:pPr>
              <w:pStyle w:val="BoxBullet"/>
            </w:pPr>
            <w:r w:rsidRPr="00681499">
              <w:t>Australian Early Development Census (2015</w:t>
            </w:r>
            <w:r w:rsidR="00FE6CD9">
              <w:t>–</w:t>
            </w:r>
            <w:r w:rsidRPr="00681499">
              <w:t>present)</w:t>
            </w:r>
          </w:p>
          <w:p w14:paraId="005086D4" w14:textId="5BD3011C" w:rsidR="00500CDF" w:rsidRPr="00681499" w:rsidRDefault="00500CDF" w:rsidP="00D626A9">
            <w:pPr>
              <w:pStyle w:val="BoxBullet"/>
            </w:pPr>
            <w:r w:rsidRPr="00681499">
              <w:t>Environmental Economic Accounting Strategy and Action Plan (2018</w:t>
            </w:r>
            <w:r w:rsidR="00FE6CD9">
              <w:t>–</w:t>
            </w:r>
            <w:r w:rsidRPr="00681499">
              <w:t>present)</w:t>
            </w:r>
          </w:p>
          <w:p w14:paraId="3D61826D" w14:textId="48DE7F44" w:rsidR="00500CDF" w:rsidRPr="00681499" w:rsidRDefault="00500CDF" w:rsidP="00D626A9">
            <w:pPr>
              <w:pStyle w:val="BoxBullet"/>
            </w:pPr>
            <w:r w:rsidRPr="00681499">
              <w:t>National Housing and Homelessness Agreement (2018</w:t>
            </w:r>
            <w:r w:rsidR="00FE6CD9">
              <w:t>–</w:t>
            </w:r>
            <w:r w:rsidRPr="00681499">
              <w:t>present)</w:t>
            </w:r>
          </w:p>
        </w:tc>
        <w:tc>
          <w:tcPr>
            <w:tcW w:w="250" w:type="pct"/>
            <w:shd w:val="clear" w:color="auto" w:fill="E6F2FF"/>
            <w:tcMar>
              <w:left w:w="0" w:type="dxa"/>
              <w:right w:w="0" w:type="dxa"/>
            </w:tcMar>
          </w:tcPr>
          <w:p w14:paraId="60D56012" w14:textId="77777777" w:rsidR="00500CDF" w:rsidRPr="00681499" w:rsidRDefault="00500CDF" w:rsidP="002A4A95">
            <w:pPr>
              <w:pStyle w:val="BoxText"/>
              <w:rPr>
                <w:sz w:val="4"/>
                <w:szCs w:val="4"/>
              </w:rPr>
            </w:pPr>
          </w:p>
        </w:tc>
        <w:tc>
          <w:tcPr>
            <w:tcW w:w="2324" w:type="pct"/>
            <w:shd w:val="clear" w:color="auto" w:fill="E6F2FF"/>
          </w:tcPr>
          <w:p w14:paraId="136E8801" w14:textId="1AC5235B" w:rsidR="000C39EE" w:rsidRPr="00681499" w:rsidRDefault="000C39EE" w:rsidP="000C39EE">
            <w:pPr>
              <w:pStyle w:val="BoxBullet"/>
            </w:pPr>
            <w:r w:rsidRPr="00681499">
              <w:t>National Agreement on Closing the Gap (2008</w:t>
            </w:r>
            <w:r w:rsidR="00FE6CD9">
              <w:t>–</w:t>
            </w:r>
            <w:r w:rsidRPr="00681499">
              <w:t>present)</w:t>
            </w:r>
          </w:p>
          <w:p w14:paraId="74D36F86" w14:textId="17EA10C2" w:rsidR="00500CDF" w:rsidRPr="00681499" w:rsidRDefault="00500CDF" w:rsidP="002A4A95">
            <w:pPr>
              <w:pStyle w:val="BoxBullet"/>
            </w:pPr>
            <w:r w:rsidRPr="00681499">
              <w:t>The National School Reform Agreement (2019</w:t>
            </w:r>
            <w:r w:rsidR="00FE6CD9">
              <w:t>–</w:t>
            </w:r>
            <w:r w:rsidRPr="00681499">
              <w:t>2023)</w:t>
            </w:r>
          </w:p>
          <w:p w14:paraId="7FC4A170" w14:textId="77777777" w:rsidR="00500CDF" w:rsidRPr="00681499" w:rsidRDefault="00500CDF" w:rsidP="002A4A95">
            <w:pPr>
              <w:pStyle w:val="BoxBullet"/>
            </w:pPr>
            <w:r w:rsidRPr="00681499">
              <w:t>2020–25 National Health Reform Agreement</w:t>
            </w:r>
          </w:p>
          <w:p w14:paraId="62ACCAA3" w14:textId="0991ACE2" w:rsidR="00500CDF" w:rsidRPr="00681499" w:rsidRDefault="00500CDF" w:rsidP="002A4A95">
            <w:pPr>
              <w:pStyle w:val="BoxBullet"/>
            </w:pPr>
            <w:r w:rsidRPr="00681499">
              <w:t>National Aboriginal and Torres Strait Islander Early Childhood Strategy (2021</w:t>
            </w:r>
            <w:r w:rsidR="00FE6CD9">
              <w:t>–</w:t>
            </w:r>
            <w:r w:rsidRPr="00681499">
              <w:t>present)</w:t>
            </w:r>
          </w:p>
          <w:p w14:paraId="19E6AE74" w14:textId="34A21BBD" w:rsidR="00500CDF" w:rsidRPr="00681499" w:rsidRDefault="00500CDF" w:rsidP="002A4A95">
            <w:pPr>
              <w:pStyle w:val="BoxBullet"/>
            </w:pPr>
            <w:r w:rsidRPr="00681499">
              <w:t>National Preventive Health Strategy 2021</w:t>
            </w:r>
            <w:r w:rsidR="00FE6CD9">
              <w:t>–</w:t>
            </w:r>
            <w:r w:rsidRPr="00681499">
              <w:t>2030</w:t>
            </w:r>
          </w:p>
          <w:p w14:paraId="41BF4672" w14:textId="4A0EFFFF" w:rsidR="00500CDF" w:rsidRPr="00681499" w:rsidRDefault="00500CDF" w:rsidP="002A4A95">
            <w:pPr>
              <w:pStyle w:val="BoxBullet"/>
            </w:pPr>
            <w:r w:rsidRPr="00681499">
              <w:t>Australian Disability Strategy 2021</w:t>
            </w:r>
            <w:r w:rsidR="00FE6CD9">
              <w:t>–</w:t>
            </w:r>
            <w:r w:rsidRPr="00681499">
              <w:t>2031</w:t>
            </w:r>
          </w:p>
          <w:p w14:paraId="77C20778" w14:textId="3C7FA76A" w:rsidR="00500CDF" w:rsidRPr="00681499" w:rsidRDefault="00500CDF" w:rsidP="002A4A95">
            <w:pPr>
              <w:pStyle w:val="BoxBullet"/>
            </w:pPr>
            <w:r w:rsidRPr="00681499">
              <w:t>National Mental Health and Suicide Prevention Agreement (2022</w:t>
            </w:r>
            <w:r w:rsidR="00FE6CD9">
              <w:t>–</w:t>
            </w:r>
            <w:r w:rsidRPr="00681499">
              <w:t>2026)</w:t>
            </w:r>
          </w:p>
          <w:p w14:paraId="7B6F11A3" w14:textId="77777777" w:rsidR="00500CDF" w:rsidRPr="00681499" w:rsidRDefault="00500CDF" w:rsidP="002A4A95">
            <w:pPr>
              <w:pStyle w:val="BoxBullet"/>
            </w:pPr>
            <w:r w:rsidRPr="00681499">
              <w:t>Women</w:t>
            </w:r>
            <w:r w:rsidR="00102E07">
              <w:t>’</w:t>
            </w:r>
            <w:r w:rsidRPr="00681499">
              <w:t>s Budget Statement (ongoing)</w:t>
            </w:r>
          </w:p>
          <w:p w14:paraId="77B669E8" w14:textId="483D3484" w:rsidR="00D626A9" w:rsidRPr="00681499" w:rsidRDefault="00BA263C" w:rsidP="002A4A95">
            <w:pPr>
              <w:pStyle w:val="BoxBullet"/>
            </w:pPr>
            <w:r w:rsidRPr="00681499">
              <w:t xml:space="preserve">Annual </w:t>
            </w:r>
            <w:r w:rsidR="00435548" w:rsidRPr="00681499">
              <w:t>Climate Change Statement (</w:t>
            </w:r>
            <w:r w:rsidR="000D5327" w:rsidRPr="00681499">
              <w:t>by end of 2022)</w:t>
            </w:r>
          </w:p>
        </w:tc>
      </w:tr>
    </w:tbl>
    <w:p w14:paraId="10AB8A1D" w14:textId="5579E866" w:rsidR="00500CDF" w:rsidRDefault="00500CDF" w:rsidP="00407C48">
      <w:pPr>
        <w:pStyle w:val="ChartandTableFootnote"/>
      </w:pPr>
      <w:r w:rsidRPr="00425A4B">
        <w:t xml:space="preserve">Sources: </w:t>
      </w:r>
      <w:r w:rsidRPr="00425A4B">
        <w:tab/>
      </w:r>
      <w:r w:rsidR="00E94E21">
        <w:t>Au</w:t>
      </w:r>
      <w:r w:rsidR="00154632">
        <w:t>stralian</w:t>
      </w:r>
      <w:r w:rsidR="007A4618">
        <w:t xml:space="preserve"> and state/territory government agencies,</w:t>
      </w:r>
      <w:r w:rsidR="00154632">
        <w:t xml:space="preserve"> </w:t>
      </w:r>
      <w:r w:rsidR="00716E4B">
        <w:t>Melbourne Institute</w:t>
      </w:r>
      <w:r w:rsidR="00A136EC">
        <w:t>:</w:t>
      </w:r>
      <w:r w:rsidR="00716E4B">
        <w:t xml:space="preserve"> Applied Economic and Social Research</w:t>
      </w:r>
    </w:p>
    <w:p w14:paraId="132A3EBC" w14:textId="77777777" w:rsidR="00407C48" w:rsidRDefault="00407C48" w:rsidP="00407C48">
      <w:pPr>
        <w:pStyle w:val="TableLine"/>
      </w:pPr>
    </w:p>
    <w:p w14:paraId="6A6C706C" w14:textId="7D57AA5A" w:rsidR="00F432BD" w:rsidRPr="00942B8F" w:rsidRDefault="00F432BD" w:rsidP="00F432BD">
      <w:r w:rsidRPr="002800DA">
        <w:t xml:space="preserve">The Australian Institute of Health and Welfare </w:t>
      </w:r>
      <w:r w:rsidR="00102E07">
        <w:t>‘</w:t>
      </w:r>
      <w:r w:rsidRPr="002800DA">
        <w:t>Australia</w:t>
      </w:r>
      <w:r w:rsidR="00102E07">
        <w:t>’</w:t>
      </w:r>
      <w:r w:rsidRPr="002800DA">
        <w:t>s Welfare Report</w:t>
      </w:r>
      <w:r w:rsidR="00102E07">
        <w:t>’</w:t>
      </w:r>
      <w:r w:rsidRPr="002800DA">
        <w:t xml:space="preserve"> is the only report that looks at national progress and well</w:t>
      </w:r>
      <w:r w:rsidR="00102E07">
        <w:noBreakHyphen/>
      </w:r>
      <w:r w:rsidRPr="002800DA">
        <w:t xml:space="preserve">being in </w:t>
      </w:r>
      <w:r w:rsidR="00B65E49">
        <w:t xml:space="preserve">a </w:t>
      </w:r>
      <w:r w:rsidRPr="002800DA">
        <w:t>broad</w:t>
      </w:r>
      <w:r w:rsidR="00B65E49">
        <w:t xml:space="preserve"> sense</w:t>
      </w:r>
      <w:r w:rsidRPr="002800DA">
        <w:t>. The report</w:t>
      </w:r>
      <w:r w:rsidRPr="00CA285A">
        <w:t xml:space="preserve"> presents a broad range of information on </w:t>
      </w:r>
      <w:r w:rsidRPr="00942B8F">
        <w:t>progress and living standards, their determinants, the welfare system and contextual factors (such as demography and socioeconomic factors). The Institute</w:t>
      </w:r>
      <w:r w:rsidR="00102E07">
        <w:t>’</w:t>
      </w:r>
      <w:r w:rsidRPr="00942B8F">
        <w:t xml:space="preserve">s approach uses </w:t>
      </w:r>
      <w:proofErr w:type="gramStart"/>
      <w:r w:rsidRPr="00942B8F">
        <w:t>a number of</w:t>
      </w:r>
      <w:proofErr w:type="gramEnd"/>
      <w:r w:rsidRPr="00942B8F">
        <w:t xml:space="preserve"> measures commonly reported internationally</w:t>
      </w:r>
      <w:r>
        <w:t xml:space="preserve">, which are </w:t>
      </w:r>
      <w:r w:rsidRPr="00942B8F">
        <w:t>supplemented with other Australian</w:t>
      </w:r>
      <w:r w:rsidR="00102E07">
        <w:noBreakHyphen/>
      </w:r>
      <w:r w:rsidRPr="00942B8F">
        <w:t>specific data and indicators</w:t>
      </w:r>
      <w:r>
        <w:t xml:space="preserve"> that</w:t>
      </w:r>
      <w:r w:rsidRPr="00942B8F">
        <w:t xml:space="preserve"> cannot be readily compared against other jurisdictions.</w:t>
      </w:r>
    </w:p>
    <w:p w14:paraId="6896B6BA" w14:textId="77777777" w:rsidR="00500CDF" w:rsidRDefault="001D53D2" w:rsidP="00500CDF">
      <w:r w:rsidRPr="00942B8F">
        <w:t>T</w:t>
      </w:r>
      <w:r w:rsidR="00500CDF" w:rsidRPr="00942B8F">
        <w:t xml:space="preserve">he ABS has </w:t>
      </w:r>
      <w:r w:rsidRPr="00942B8F">
        <w:t xml:space="preserve">also </w:t>
      </w:r>
      <w:r w:rsidR="00500CDF" w:rsidRPr="00942B8F">
        <w:t xml:space="preserve">looked at overall national measures through the </w:t>
      </w:r>
      <w:r w:rsidR="00102E07">
        <w:t>‘</w:t>
      </w:r>
      <w:r w:rsidR="00500CDF" w:rsidRPr="00942B8F">
        <w:t>Measures of Australia</w:t>
      </w:r>
      <w:r w:rsidR="00102E07">
        <w:t>’</w:t>
      </w:r>
      <w:r w:rsidR="00500CDF" w:rsidRPr="00942B8F">
        <w:t>s Progress</w:t>
      </w:r>
      <w:r w:rsidR="00102E07">
        <w:t>’</w:t>
      </w:r>
      <w:r w:rsidR="00500CDF" w:rsidRPr="00942B8F">
        <w:t xml:space="preserve"> framework.</w:t>
      </w:r>
      <w:r w:rsidR="00D80416">
        <w:rPr>
          <w:rStyle w:val="FootnoteReference"/>
        </w:rPr>
        <w:footnoteReference w:id="19"/>
      </w:r>
      <w:r w:rsidR="00500CDF" w:rsidRPr="00942B8F">
        <w:t xml:space="preserve"> This included topics on society, the economy, the environment and governance. </w:t>
      </w:r>
    </w:p>
    <w:p w14:paraId="25D34A4B" w14:textId="77777777" w:rsidR="002800DA" w:rsidRPr="00942B8F" w:rsidRDefault="002800DA" w:rsidP="00C308C5">
      <w:pPr>
        <w:keepNext/>
      </w:pPr>
      <w:r w:rsidRPr="00942B8F" w:rsidDel="00C50C9C">
        <w:lastRenderedPageBreak/>
        <w:t>Australia</w:t>
      </w:r>
      <w:r w:rsidRPr="00942B8F" w:rsidDel="002C2A09">
        <w:t xml:space="preserve"> </w:t>
      </w:r>
      <w:r w:rsidRPr="00942B8F">
        <w:t xml:space="preserve">stands to benefit from a national framework or </w:t>
      </w:r>
      <w:r w:rsidR="00D97354">
        <w:t xml:space="preserve">central </w:t>
      </w:r>
      <w:r w:rsidRPr="00942B8F">
        <w:t xml:space="preserve">set of indicators. Overseas, such frameworks </w:t>
      </w:r>
      <w:r w:rsidR="00D97354">
        <w:t xml:space="preserve">and indicators </w:t>
      </w:r>
      <w:r w:rsidRPr="00942B8F">
        <w:t xml:space="preserve">have helped: </w:t>
      </w:r>
    </w:p>
    <w:p w14:paraId="35D5ED19" w14:textId="15FEA104" w:rsidR="002800DA" w:rsidRPr="00942B8F" w:rsidRDefault="002800DA" w:rsidP="002800DA">
      <w:pPr>
        <w:pStyle w:val="Bullet"/>
      </w:pPr>
      <w:r w:rsidRPr="00942B8F" w:rsidDel="004C309D">
        <w:t>p</w:t>
      </w:r>
      <w:r w:rsidRPr="00942B8F" w:rsidDel="00486FF7">
        <w:t>rovid</w:t>
      </w:r>
      <w:r w:rsidRPr="00942B8F">
        <w:t>e common understanding of objectives across levels of government (an important feature for Australia</w:t>
      </w:r>
      <w:r w:rsidR="00102E07">
        <w:t>’</w:t>
      </w:r>
      <w:r w:rsidRPr="00942B8F">
        <w:t>s federal system, with delivery responsibilities between governments)</w:t>
      </w:r>
    </w:p>
    <w:p w14:paraId="6AF5A75B" w14:textId="6473D64A" w:rsidR="002800DA" w:rsidRPr="00942B8F" w:rsidRDefault="002800DA" w:rsidP="0075455D">
      <w:pPr>
        <w:pStyle w:val="Bullet"/>
      </w:pPr>
      <w:r w:rsidRPr="00942B8F">
        <w:t>enable more consistent evaluation of policy against progress, which can help to inform who is best placed to take policy action and address issues with policy implementation</w:t>
      </w:r>
    </w:p>
    <w:p w14:paraId="6D222EA4" w14:textId="77777777" w:rsidR="004C34FE" w:rsidRDefault="002800DA" w:rsidP="0075455D">
      <w:pPr>
        <w:pStyle w:val="Bullet"/>
      </w:pPr>
      <w:r w:rsidRPr="0075455D">
        <w:t xml:space="preserve">highlight the interactions between different policy levers and how they impact people, to improve quality of life while avoiding unintended consequences. </w:t>
      </w:r>
    </w:p>
    <w:tbl>
      <w:tblPr>
        <w:tblpPr w:leftFromText="180" w:rightFromText="180" w:vertAnchor="text" w:horzAnchor="margin" w:tblpYSpec="bottom"/>
        <w:tblW w:w="5000" w:type="pct"/>
        <w:shd w:val="clear" w:color="auto" w:fill="E6F2FF"/>
        <w:tblCellMar>
          <w:top w:w="284" w:type="dxa"/>
          <w:left w:w="284" w:type="dxa"/>
          <w:bottom w:w="284" w:type="dxa"/>
          <w:right w:w="284" w:type="dxa"/>
        </w:tblCellMar>
        <w:tblLook w:val="0000" w:firstRow="0" w:lastRow="0" w:firstColumn="0" w:lastColumn="0" w:noHBand="0" w:noVBand="0"/>
      </w:tblPr>
      <w:tblGrid>
        <w:gridCol w:w="7710"/>
      </w:tblGrid>
      <w:tr w:rsidR="004C34FE" w:rsidRPr="00E45234" w14:paraId="7BE31D14" w14:textId="77777777" w:rsidTr="00CE6724">
        <w:trPr>
          <w:cantSplit/>
          <w:trHeight w:val="5528"/>
        </w:trPr>
        <w:tc>
          <w:tcPr>
            <w:tcW w:w="5000" w:type="pct"/>
            <w:shd w:val="clear" w:color="auto" w:fill="E6F2FF"/>
          </w:tcPr>
          <w:p w14:paraId="0C9539E5" w14:textId="533C8F2F" w:rsidR="004C34FE" w:rsidRPr="00D6548C" w:rsidRDefault="004C34FE" w:rsidP="00CE6724">
            <w:pPr>
              <w:pStyle w:val="BoxHeading"/>
              <w:keepNext w:val="0"/>
            </w:pPr>
            <w:r w:rsidRPr="00D6548C">
              <w:t>Box 4.</w:t>
            </w:r>
            <w:r w:rsidR="003C1CB3">
              <w:t>5</w:t>
            </w:r>
            <w:r w:rsidR="00336157">
              <w:t>:</w:t>
            </w:r>
            <w:r w:rsidR="004B53DD">
              <w:t xml:space="preserve"> Australian Government Reporting and Progress Measurement</w:t>
            </w:r>
          </w:p>
          <w:p w14:paraId="2FBFB9E6" w14:textId="77777777" w:rsidR="003C1CB3" w:rsidRPr="00CD37AA" w:rsidRDefault="003C1CB3" w:rsidP="003C1CB3">
            <w:pPr>
              <w:pStyle w:val="BoxSubHeading"/>
              <w:spacing w:after="0"/>
            </w:pPr>
            <w:r w:rsidRPr="00CD37AA">
              <w:t>Commonwealth Performance Framework</w:t>
            </w:r>
          </w:p>
          <w:p w14:paraId="694B75D5" w14:textId="77777777" w:rsidR="003C1CB3" w:rsidRDefault="003C1CB3" w:rsidP="003C1CB3">
            <w:pPr>
              <w:pStyle w:val="BoxText"/>
              <w:spacing w:after="0"/>
            </w:pPr>
            <w:r>
              <w:t xml:space="preserve">The Commonwealth Performance Framework requires Commonwealth entities and companies to report on how their performance is measured and assessed under the </w:t>
            </w:r>
            <w:r>
              <w:rPr>
                <w:i/>
                <w:iCs/>
              </w:rPr>
              <w:t xml:space="preserve">Public Governance, Performance and Accountability Act 2014 </w:t>
            </w:r>
            <w:r>
              <w:t xml:space="preserve">and the </w:t>
            </w:r>
            <w:r>
              <w:rPr>
                <w:i/>
                <w:iCs/>
              </w:rPr>
              <w:t>Public Governance, Performance and Accountability Rule 2014</w:t>
            </w:r>
            <w:r>
              <w:t>. They include the following elements</w:t>
            </w:r>
            <w:r w:rsidR="007F1EFE">
              <w:t>:</w:t>
            </w:r>
          </w:p>
          <w:p w14:paraId="0EF45EF3" w14:textId="40D56BF1" w:rsidR="003C1CB3" w:rsidRDefault="003C1CB3" w:rsidP="009C15B8">
            <w:pPr>
              <w:pStyle w:val="BoxBullet"/>
            </w:pPr>
            <w:r w:rsidRPr="00E23AEB">
              <w:t>Portfolio Budget Statements</w:t>
            </w:r>
            <w:r>
              <w:t xml:space="preserve"> (PBS) are portfolio based and provide high level non</w:t>
            </w:r>
            <w:r w:rsidR="00102E07">
              <w:noBreakHyphen/>
            </w:r>
            <w:r>
              <w:t>financial performance information, including key activities, performance measures and targets for current and ongoing programs, and the expected performance for the current year. The key activities, performance measures and targets must be mapped to the Corporate Plan. The PBS must also provide prospective performance information for proposed new budget measures that require a new program or significantly change an existing program.</w:t>
            </w:r>
          </w:p>
          <w:p w14:paraId="4FEB3956" w14:textId="569AE30D" w:rsidR="003C1CB3" w:rsidRDefault="003C1CB3" w:rsidP="009C15B8">
            <w:pPr>
              <w:pStyle w:val="BoxBullet"/>
            </w:pPr>
            <w:r>
              <w:t xml:space="preserve">Corporate Plans are entity based and the primary planning document of Commonwealth entities. The Corporate Plan is forward looking and sets out the purpose(s) and the key activities that will achieve the purpose(s), and how performance will be measured and assessed for the reporting period (a minimum </w:t>
            </w:r>
            <w:r w:rsidR="00AF4081">
              <w:t>4</w:t>
            </w:r>
            <w:r w:rsidR="00102E07">
              <w:noBreakHyphen/>
            </w:r>
            <w:r>
              <w:t>year period). The Corporate Plan also describes the operating context</w:t>
            </w:r>
            <w:r w:rsidR="00335679">
              <w:t>,</w:t>
            </w:r>
            <w:r>
              <w:t xml:space="preserve"> including the environment in which the entity will operate, the capability and cooperation with others required to undertake its key activities, the key risks and risk management approach, and how any subsidiaries will contribute to achieving the </w:t>
            </w:r>
            <w:r w:rsidR="0095458D">
              <w:t>entity</w:t>
            </w:r>
            <w:r w:rsidR="00102E07">
              <w:t>’</w:t>
            </w:r>
            <w:r w:rsidR="0095458D">
              <w:t>s</w:t>
            </w:r>
            <w:r>
              <w:t xml:space="preserve"> purpose(s). </w:t>
            </w:r>
          </w:p>
          <w:p w14:paraId="5E3394DF" w14:textId="3D41D36E" w:rsidR="004C34FE" w:rsidRPr="00D6548C" w:rsidRDefault="00CA0D43" w:rsidP="00CA0D43">
            <w:pPr>
              <w:pStyle w:val="Box-continuedon"/>
            </w:pPr>
            <w:proofErr w:type="gramStart"/>
            <w:r>
              <w:t>continued on</w:t>
            </w:r>
            <w:proofErr w:type="gramEnd"/>
            <w:r>
              <w:t xml:space="preserve"> next page</w:t>
            </w:r>
          </w:p>
        </w:tc>
      </w:tr>
    </w:tbl>
    <w:p w14:paraId="322E2E79" w14:textId="77777777" w:rsidR="002800DA" w:rsidRPr="00942B8F" w:rsidRDefault="002800DA" w:rsidP="00500CDF"/>
    <w:tbl>
      <w:tblPr>
        <w:tblpPr w:leftFromText="180" w:rightFromText="180" w:vertAnchor="text" w:horzAnchor="margin" w:tblpY="-53"/>
        <w:tblW w:w="5000" w:type="pct"/>
        <w:shd w:val="clear" w:color="auto" w:fill="E6F2FF"/>
        <w:tblCellMar>
          <w:top w:w="284" w:type="dxa"/>
          <w:left w:w="284" w:type="dxa"/>
          <w:bottom w:w="284" w:type="dxa"/>
          <w:right w:w="284" w:type="dxa"/>
        </w:tblCellMar>
        <w:tblLook w:val="0000" w:firstRow="0" w:lastRow="0" w:firstColumn="0" w:lastColumn="0" w:noHBand="0" w:noVBand="0"/>
      </w:tblPr>
      <w:tblGrid>
        <w:gridCol w:w="7710"/>
      </w:tblGrid>
      <w:tr w:rsidR="009A662A" w14:paraId="5F484672" w14:textId="77777777" w:rsidTr="009A662A">
        <w:trPr>
          <w:cantSplit/>
          <w:trHeight w:val="145"/>
        </w:trPr>
        <w:tc>
          <w:tcPr>
            <w:tcW w:w="5000" w:type="pct"/>
            <w:shd w:val="clear" w:color="auto" w:fill="E6F2FF"/>
          </w:tcPr>
          <w:p w14:paraId="4D27A185" w14:textId="67F4662A" w:rsidR="009A662A" w:rsidRDefault="009A662A" w:rsidP="009A662A">
            <w:pPr>
              <w:pStyle w:val="BoxHeading"/>
              <w:spacing w:after="0"/>
            </w:pPr>
            <w:r w:rsidRPr="00E23AEB">
              <w:lastRenderedPageBreak/>
              <w:t xml:space="preserve">Box </w:t>
            </w:r>
            <w:r>
              <w:t>4.</w:t>
            </w:r>
            <w:r w:rsidR="005258BF">
              <w:t>5</w:t>
            </w:r>
            <w:r w:rsidR="003C1CB3">
              <w:t>:</w:t>
            </w:r>
            <w:r w:rsidRPr="00E23AEB">
              <w:t xml:space="preserve"> </w:t>
            </w:r>
            <w:r w:rsidR="00A337CA">
              <w:t xml:space="preserve">Australian Government Reporting and Progress Measurement </w:t>
            </w:r>
            <w:r w:rsidR="003C1CB3">
              <w:t>(continued)</w:t>
            </w:r>
            <w:r w:rsidRPr="000513C7">
              <w:t xml:space="preserve"> </w:t>
            </w:r>
          </w:p>
          <w:p w14:paraId="10E78518" w14:textId="6ADB9885" w:rsidR="00B87252" w:rsidRDefault="00B87252" w:rsidP="009C15B8">
            <w:pPr>
              <w:pStyle w:val="BoxBullet"/>
            </w:pPr>
            <w:r>
              <w:t>Annual Performance Statements are backwards looking and report on the actual performance results for the past year against the performance measures and targets in the Corporate Plan</w:t>
            </w:r>
            <w:r w:rsidR="00157301">
              <w:t xml:space="preserve"> and</w:t>
            </w:r>
            <w:r w:rsidR="00B90270">
              <w:t xml:space="preserve"> </w:t>
            </w:r>
            <w:r w:rsidR="00335679">
              <w:t>PBSs</w:t>
            </w:r>
            <w:r>
              <w:t>. They also include an analysis of the factors that have contributed to the entity</w:t>
            </w:r>
            <w:r w:rsidR="00102E07">
              <w:t>’</w:t>
            </w:r>
            <w:r>
              <w:t>s performance results. The Annual Performance Statements are published as part of Annual Report</w:t>
            </w:r>
            <w:r w:rsidR="00294016">
              <w:t>s</w:t>
            </w:r>
            <w:r>
              <w:t>.</w:t>
            </w:r>
          </w:p>
          <w:p w14:paraId="1CE9AE0E" w14:textId="77777777" w:rsidR="009A662A" w:rsidRPr="00CD37AA" w:rsidRDefault="009A662A" w:rsidP="009A662A">
            <w:pPr>
              <w:pStyle w:val="BoxSubHeading"/>
              <w:spacing w:after="0"/>
            </w:pPr>
            <w:r>
              <w:t>Policy and program development and evaluation</w:t>
            </w:r>
          </w:p>
          <w:p w14:paraId="4BC71BBD" w14:textId="107E7DD3" w:rsidR="009A662A" w:rsidRPr="00E23AEB" w:rsidRDefault="009A662A" w:rsidP="009A662A">
            <w:pPr>
              <w:pStyle w:val="BoxText"/>
              <w:spacing w:after="0"/>
            </w:pPr>
            <w:r w:rsidRPr="00E23AEB">
              <w:t>Measures of progress are</w:t>
            </w:r>
            <w:r>
              <w:t xml:space="preserve"> often</w:t>
            </w:r>
            <w:r w:rsidRPr="00E23AEB">
              <w:t xml:space="preserve"> included in </w:t>
            </w:r>
            <w:r>
              <w:t>program and</w:t>
            </w:r>
            <w:r w:rsidRPr="00E23AEB">
              <w:t xml:space="preserve"> policy advice to government (</w:t>
            </w:r>
            <w:proofErr w:type="gramStart"/>
            <w:r w:rsidRPr="00E23AEB">
              <w:t>e.g.</w:t>
            </w:r>
            <w:proofErr w:type="gramEnd"/>
            <w:r w:rsidRPr="00E23AEB">
              <w:t xml:space="preserve"> briefings, reports and </w:t>
            </w:r>
            <w:r w:rsidR="00A11529">
              <w:t>C</w:t>
            </w:r>
            <w:r w:rsidRPr="00E23AEB">
              <w:t>abinet submissions, including regulatory impact statements). Departments</w:t>
            </w:r>
            <w:r w:rsidR="00102E07">
              <w:t>’</w:t>
            </w:r>
            <w:r w:rsidRPr="00E23AEB">
              <w:t xml:space="preserve"> routine policy and program design, implementation and evaluation activities</w:t>
            </w:r>
            <w:r>
              <w:t xml:space="preserve"> may</w:t>
            </w:r>
            <w:r w:rsidRPr="00E23AEB">
              <w:t xml:space="preserve"> draw on data related to progress outcomes, including official </w:t>
            </w:r>
            <w:r w:rsidRPr="004A69B5">
              <w:t>sources such as the ABS and Productivity Commission Report on Government Services.</w:t>
            </w:r>
            <w:r w:rsidR="007A1A3B" w:rsidRPr="004A69B5">
              <w:t xml:space="preserve"> </w:t>
            </w:r>
            <w:r w:rsidR="00F362A0" w:rsidRPr="004A69B5">
              <w:t xml:space="preserve">The Government has committed to embedding a culture of evaluation in the Australian Public Service (APS) to support better outcomes for Australians and </w:t>
            </w:r>
            <w:proofErr w:type="gramStart"/>
            <w:r w:rsidR="00F362A0" w:rsidRPr="004A69B5">
              <w:t>better quality</w:t>
            </w:r>
            <w:proofErr w:type="gramEnd"/>
            <w:r w:rsidR="00F362A0" w:rsidRPr="004A69B5">
              <w:t xml:space="preserve"> government spending. Funding in the 2022</w:t>
            </w:r>
            <w:r w:rsidR="00D40BDC">
              <w:t>–</w:t>
            </w:r>
            <w:r w:rsidR="00F362A0" w:rsidRPr="004A69B5">
              <w:t>23 October Budget will help to identify priority areas for improvement, and support reinvestment in APS capability, including best</w:t>
            </w:r>
            <w:r w:rsidR="00102E07">
              <w:noBreakHyphen/>
            </w:r>
            <w:r w:rsidR="00F362A0" w:rsidRPr="004A69B5">
              <w:t>practice program development, evaluation and delivery.</w:t>
            </w:r>
          </w:p>
          <w:p w14:paraId="307FF488" w14:textId="77777777" w:rsidR="009A662A" w:rsidRPr="00CD37AA" w:rsidRDefault="009A662A" w:rsidP="009A662A">
            <w:pPr>
              <w:pStyle w:val="BoxSubHeading"/>
              <w:spacing w:after="0"/>
            </w:pPr>
            <w:r w:rsidRPr="00CD37AA">
              <w:t>Intergovernmenta</w:t>
            </w:r>
            <w:r w:rsidR="0032564E">
              <w:t xml:space="preserve">l </w:t>
            </w:r>
            <w:r>
              <w:t>a</w:t>
            </w:r>
            <w:r w:rsidRPr="00CD37AA">
              <w:t>greements</w:t>
            </w:r>
          </w:p>
          <w:p w14:paraId="37D4DB33" w14:textId="5FADBFB2" w:rsidR="009A662A" w:rsidRDefault="009A662A" w:rsidP="009A662A">
            <w:pPr>
              <w:pStyle w:val="BoxText"/>
            </w:pPr>
            <w:r w:rsidRPr="00044E0C">
              <w:t>The Australian Government makes use of progress and well</w:t>
            </w:r>
            <w:r w:rsidR="00102E07">
              <w:noBreakHyphen/>
            </w:r>
            <w:r w:rsidRPr="00044E0C">
              <w:t xml:space="preserve">being related metrics in policy design, implementation and evaluation in several </w:t>
            </w:r>
            <w:r w:rsidR="00A11529">
              <w:t>i</w:t>
            </w:r>
            <w:r w:rsidRPr="00044E0C">
              <w:t xml:space="preserve">ntergovernmental agreements. </w:t>
            </w:r>
            <w:r>
              <w:t xml:space="preserve">Examples include </w:t>
            </w:r>
            <w:r w:rsidR="00A11529">
              <w:t xml:space="preserve">the </w:t>
            </w:r>
            <w:r w:rsidRPr="002804B6">
              <w:t>National Housing and Homelessness Agreement and the National School Reform Agreement</w:t>
            </w:r>
            <w:r>
              <w:t>.</w:t>
            </w:r>
            <w:r w:rsidRPr="002804B6">
              <w:t xml:space="preserve"> Progress metrics that relate to policy areas (</w:t>
            </w:r>
            <w:proofErr w:type="gramStart"/>
            <w:r w:rsidRPr="002804B6">
              <w:t>e.g.</w:t>
            </w:r>
            <w:proofErr w:type="gramEnd"/>
            <w:r w:rsidRPr="002804B6">
              <w:t> health, education, employment) are captured in these processes.</w:t>
            </w:r>
          </w:p>
          <w:p w14:paraId="6F20FAF4" w14:textId="27A00AC6" w:rsidR="009A662A" w:rsidRPr="006246D6" w:rsidRDefault="009A662A" w:rsidP="009A662A">
            <w:pPr>
              <w:pStyle w:val="Source"/>
              <w:spacing w:after="0"/>
              <w:rPr>
                <w:szCs w:val="16"/>
              </w:rPr>
            </w:pPr>
            <w:r w:rsidRPr="006246D6">
              <w:rPr>
                <w:szCs w:val="16"/>
              </w:rPr>
              <w:t xml:space="preserve">Source: </w:t>
            </w:r>
            <w:r w:rsidRPr="006246D6">
              <w:rPr>
                <w:szCs w:val="16"/>
              </w:rPr>
              <w:tab/>
              <w:t>Treasury (</w:t>
            </w:r>
            <w:hyperlink r:id="rId40" w:history="1">
              <w:r w:rsidRPr="006246D6">
                <w:rPr>
                  <w:rStyle w:val="Hyperlink"/>
                  <w:szCs w:val="16"/>
                </w:rPr>
                <w:t>2022</w:t>
              </w:r>
            </w:hyperlink>
            <w:r w:rsidRPr="006246D6">
              <w:rPr>
                <w:szCs w:val="16"/>
              </w:rPr>
              <w:t>); Department of Finance (</w:t>
            </w:r>
            <w:hyperlink r:id="rId41" w:history="1">
              <w:r w:rsidRPr="006246D6">
                <w:rPr>
                  <w:rStyle w:val="Hyperlink"/>
                  <w:szCs w:val="16"/>
                </w:rPr>
                <w:t>2021</w:t>
              </w:r>
            </w:hyperlink>
            <w:r w:rsidRPr="006246D6">
              <w:rPr>
                <w:szCs w:val="16"/>
              </w:rPr>
              <w:t xml:space="preserve">, </w:t>
            </w:r>
            <w:hyperlink r:id="rId42" w:history="1">
              <w:r w:rsidRPr="006246D6">
                <w:rPr>
                  <w:rStyle w:val="Hyperlink"/>
                  <w:szCs w:val="16"/>
                </w:rPr>
                <w:t>2022</w:t>
              </w:r>
            </w:hyperlink>
            <w:r w:rsidRPr="006246D6">
              <w:rPr>
                <w:szCs w:val="16"/>
              </w:rPr>
              <w:t>)</w:t>
            </w:r>
          </w:p>
        </w:tc>
      </w:tr>
    </w:tbl>
    <w:p w14:paraId="15CE4AA7" w14:textId="77777777" w:rsidR="00A337CA" w:rsidRDefault="00A337CA" w:rsidP="00A337CA">
      <w:pPr>
        <w:pStyle w:val="SingleParagraph"/>
      </w:pPr>
      <w:bookmarkStart w:id="31" w:name="_Toc115968084"/>
      <w:bookmarkStart w:id="32" w:name="_Toc117057005"/>
      <w:bookmarkStart w:id="33" w:name="_Toc117059949"/>
      <w:bookmarkStart w:id="34" w:name="_Hlk117019050"/>
    </w:p>
    <w:p w14:paraId="624535DD" w14:textId="6D70A747" w:rsidR="00011652" w:rsidRPr="005E2A3A" w:rsidRDefault="00011652" w:rsidP="00A348B5">
      <w:pPr>
        <w:pStyle w:val="Heading1"/>
      </w:pPr>
      <w:r w:rsidRPr="005E2A3A">
        <w:t>A way forward</w:t>
      </w:r>
      <w:bookmarkEnd w:id="29"/>
      <w:bookmarkEnd w:id="30"/>
      <w:bookmarkEnd w:id="31"/>
      <w:bookmarkEnd w:id="32"/>
      <w:bookmarkEnd w:id="33"/>
    </w:p>
    <w:bookmarkEnd w:id="34"/>
    <w:p w14:paraId="1F24FB13" w14:textId="12C70EB4" w:rsidR="00BD0EA4" w:rsidRPr="005E2A3A" w:rsidRDefault="00A91519" w:rsidP="00011652">
      <w:r w:rsidRPr="005E2A3A">
        <w:t xml:space="preserve">Countries around the world are exploring </w:t>
      </w:r>
      <w:r w:rsidR="00C11719" w:rsidRPr="005E2A3A">
        <w:t xml:space="preserve">ways to better </w:t>
      </w:r>
      <w:r w:rsidRPr="005E2A3A">
        <w:t>m</w:t>
      </w:r>
      <w:r w:rsidR="003C237B" w:rsidRPr="005E2A3A">
        <w:t>easur</w:t>
      </w:r>
      <w:r w:rsidR="00C11719" w:rsidRPr="005E2A3A">
        <w:t>e</w:t>
      </w:r>
      <w:r w:rsidR="003C237B" w:rsidRPr="005E2A3A">
        <w:t xml:space="preserve"> what </w:t>
      </w:r>
      <w:proofErr w:type="gramStart"/>
      <w:r w:rsidR="00E752F6" w:rsidRPr="005E2A3A">
        <w:t>matters</w:t>
      </w:r>
      <w:proofErr w:type="gramEnd"/>
      <w:r w:rsidR="00D97354" w:rsidRPr="005E2A3A">
        <w:t xml:space="preserve"> and </w:t>
      </w:r>
      <w:r w:rsidR="00C40379" w:rsidRPr="005E2A3A">
        <w:t xml:space="preserve">Australia </w:t>
      </w:r>
      <w:r w:rsidR="00CE7FE2" w:rsidRPr="005E2A3A">
        <w:t xml:space="preserve">can </w:t>
      </w:r>
      <w:r w:rsidR="00C40379" w:rsidRPr="005E2A3A">
        <w:t>learn from their experience</w:t>
      </w:r>
      <w:r w:rsidR="00C11719" w:rsidRPr="005E2A3A">
        <w:t xml:space="preserve">. </w:t>
      </w:r>
    </w:p>
    <w:p w14:paraId="68C0C1BF" w14:textId="7C717EE1" w:rsidR="00EE1D82" w:rsidRPr="005E2A3A" w:rsidRDefault="00FC4584" w:rsidP="00011652">
      <w:r w:rsidRPr="005E2A3A">
        <w:t>The international frameworks analysed</w:t>
      </w:r>
      <w:r w:rsidR="00C81EDF" w:rsidRPr="005E2A3A">
        <w:t xml:space="preserve"> </w:t>
      </w:r>
      <w:r w:rsidR="00021DA6" w:rsidRPr="005E2A3A">
        <w:t xml:space="preserve">in this statement </w:t>
      </w:r>
      <w:r w:rsidR="00023089" w:rsidRPr="005E2A3A">
        <w:t xml:space="preserve">cover a similar set of </w:t>
      </w:r>
      <w:r w:rsidR="00DA0B01" w:rsidRPr="005E2A3A">
        <w:t>policy areas</w:t>
      </w:r>
      <w:r w:rsidR="001667E4" w:rsidRPr="005E2A3A">
        <w:t xml:space="preserve">, and often </w:t>
      </w:r>
      <w:r w:rsidR="0035564D" w:rsidRPr="005E2A3A">
        <w:t>encompass</w:t>
      </w:r>
      <w:r w:rsidR="0012480B" w:rsidRPr="005E2A3A">
        <w:t xml:space="preserve"> </w:t>
      </w:r>
      <w:r w:rsidR="007F0EE9" w:rsidRPr="005E2A3A">
        <w:t>both</w:t>
      </w:r>
      <w:r w:rsidR="002E4839" w:rsidRPr="005E2A3A">
        <w:t xml:space="preserve"> </w:t>
      </w:r>
      <w:r w:rsidR="132E04DA" w:rsidRPr="005E2A3A">
        <w:t>traditional</w:t>
      </w:r>
      <w:r w:rsidR="0012480B" w:rsidRPr="005E2A3A">
        <w:t xml:space="preserve"> </w:t>
      </w:r>
      <w:r w:rsidR="00164C0E" w:rsidRPr="005E2A3A">
        <w:t>macroeconomic</w:t>
      </w:r>
      <w:r w:rsidR="132E04DA" w:rsidRPr="005E2A3A">
        <w:t xml:space="preserve"> </w:t>
      </w:r>
      <w:r w:rsidR="004539CC" w:rsidRPr="005E2A3A">
        <w:t>indicators</w:t>
      </w:r>
      <w:r w:rsidR="0090AF01" w:rsidRPr="005E2A3A">
        <w:t xml:space="preserve"> and broader </w:t>
      </w:r>
      <w:r w:rsidR="00164C0E">
        <w:t>metrics</w:t>
      </w:r>
      <w:r w:rsidR="00164C0E" w:rsidRPr="005E2A3A">
        <w:t xml:space="preserve"> of well</w:t>
      </w:r>
      <w:r w:rsidR="00102E07">
        <w:noBreakHyphen/>
      </w:r>
      <w:r w:rsidR="00164C0E" w:rsidRPr="005E2A3A">
        <w:t>being and progress.</w:t>
      </w:r>
      <w:r w:rsidR="00B50816" w:rsidRPr="005E2A3A">
        <w:t xml:space="preserve"> Th</w:t>
      </w:r>
      <w:r w:rsidR="00167ADD" w:rsidRPr="005E2A3A">
        <w:t>ese</w:t>
      </w:r>
      <w:r w:rsidR="00AD3E73" w:rsidRPr="005E2A3A">
        <w:t xml:space="preserve"> include</w:t>
      </w:r>
      <w:r w:rsidR="003E057E" w:rsidRPr="005E2A3A">
        <w:t xml:space="preserve"> measurements of</w:t>
      </w:r>
      <w:r w:rsidR="00167ADD" w:rsidRPr="005E2A3A">
        <w:t xml:space="preserve"> </w:t>
      </w:r>
      <w:r w:rsidR="00B50816" w:rsidRPr="005E2A3A">
        <w:t>income and employment</w:t>
      </w:r>
      <w:r w:rsidR="00A9386D" w:rsidRPr="005E2A3A">
        <w:t xml:space="preserve">, </w:t>
      </w:r>
      <w:r w:rsidR="00635828" w:rsidRPr="005E2A3A">
        <w:t>personal and community safety</w:t>
      </w:r>
      <w:r w:rsidR="00D22050" w:rsidRPr="005E2A3A">
        <w:t>,</w:t>
      </w:r>
      <w:r w:rsidR="00E04501" w:rsidRPr="005E2A3A">
        <w:t xml:space="preserve"> political engagement</w:t>
      </w:r>
      <w:r w:rsidR="007B4759" w:rsidRPr="005E2A3A">
        <w:t>, health</w:t>
      </w:r>
      <w:r w:rsidR="00FD3440" w:rsidRPr="005E2A3A">
        <w:t>,</w:t>
      </w:r>
      <w:r w:rsidR="007B4759" w:rsidRPr="005E2A3A">
        <w:t xml:space="preserve"> education and</w:t>
      </w:r>
      <w:r w:rsidR="00D22050" w:rsidRPr="005E2A3A">
        <w:t xml:space="preserve"> climate change.</w:t>
      </w:r>
      <w:r w:rsidR="00910D0F" w:rsidRPr="005E2A3A">
        <w:t xml:space="preserve"> </w:t>
      </w:r>
    </w:p>
    <w:p w14:paraId="45D59EEB" w14:textId="4CAA7769" w:rsidR="0080586E" w:rsidRPr="005E2A3A" w:rsidRDefault="000D22CB">
      <w:r w:rsidRPr="005E2A3A">
        <w:t>The OECD</w:t>
      </w:r>
      <w:r w:rsidR="008A0906">
        <w:t xml:space="preserve"> </w:t>
      </w:r>
      <w:r w:rsidR="00CE3E09" w:rsidRPr="005E2A3A">
        <w:t>Framework for Measuring Well</w:t>
      </w:r>
      <w:r w:rsidR="00102E07">
        <w:noBreakHyphen/>
      </w:r>
      <w:r w:rsidR="00CE3E09" w:rsidRPr="005E2A3A">
        <w:t xml:space="preserve">being and Progress </w:t>
      </w:r>
      <w:r w:rsidRPr="005E2A3A">
        <w:t xml:space="preserve">provides an indication of what </w:t>
      </w:r>
      <w:r w:rsidR="00531906" w:rsidRPr="005E2A3A">
        <w:t xml:space="preserve">Australia </w:t>
      </w:r>
      <w:r w:rsidRPr="005E2A3A">
        <w:t xml:space="preserve">might learn from </w:t>
      </w:r>
      <w:r w:rsidR="00531906" w:rsidRPr="005E2A3A">
        <w:t>adopting such a framework</w:t>
      </w:r>
      <w:r w:rsidR="00E2487F" w:rsidRPr="005E2A3A">
        <w:t>.</w:t>
      </w:r>
      <w:r w:rsidR="00450BFA" w:rsidRPr="005E2A3A">
        <w:t xml:space="preserve"> </w:t>
      </w:r>
      <w:r w:rsidR="004B5917" w:rsidRPr="005E2A3A">
        <w:t xml:space="preserve">It </w:t>
      </w:r>
      <w:r w:rsidR="006E7CC2" w:rsidRPr="005E2A3A">
        <w:t>shows</w:t>
      </w:r>
      <w:r w:rsidR="004B5917" w:rsidRPr="005E2A3A">
        <w:t xml:space="preserve"> </w:t>
      </w:r>
      <w:r w:rsidR="00D942C9" w:rsidRPr="005E2A3A">
        <w:t xml:space="preserve">that </w:t>
      </w:r>
      <w:r w:rsidR="0001407A" w:rsidRPr="005E2A3A">
        <w:t xml:space="preserve">Australia is making progress on some issues, like </w:t>
      </w:r>
      <w:r w:rsidR="007A65FA" w:rsidRPr="005E2A3A">
        <w:t xml:space="preserve">life expectancy and </w:t>
      </w:r>
      <w:r w:rsidR="00FF2177" w:rsidRPr="005E2A3A">
        <w:t>wealth</w:t>
      </w:r>
      <w:r w:rsidR="0001407A" w:rsidRPr="005E2A3A">
        <w:t xml:space="preserve">, and highlights further </w:t>
      </w:r>
      <w:r w:rsidR="0001407A" w:rsidRPr="005E2A3A">
        <w:lastRenderedPageBreak/>
        <w:t>room for improvement on others</w:t>
      </w:r>
      <w:r w:rsidR="00B150B6" w:rsidRPr="005E2A3A">
        <w:t>, such as</w:t>
      </w:r>
      <w:r w:rsidR="006E7CC2" w:rsidRPr="005E2A3A">
        <w:t xml:space="preserve"> </w:t>
      </w:r>
      <w:r w:rsidR="000D294C" w:rsidRPr="005E2A3A">
        <w:t>gender parity in politics, women</w:t>
      </w:r>
      <w:r w:rsidR="00102E07">
        <w:t>’</w:t>
      </w:r>
      <w:r w:rsidR="000D294C" w:rsidRPr="005E2A3A">
        <w:t xml:space="preserve">s </w:t>
      </w:r>
      <w:r w:rsidR="00EA58EA" w:rsidRPr="005E2A3A">
        <w:t xml:space="preserve">safety and </w:t>
      </w:r>
      <w:r w:rsidR="003E281B" w:rsidRPr="005E2A3A">
        <w:t>household d</w:t>
      </w:r>
      <w:r w:rsidR="0070511C">
        <w:t>ebt.</w:t>
      </w:r>
    </w:p>
    <w:p w14:paraId="2F3E71BE" w14:textId="4988B277" w:rsidR="00813EEA" w:rsidRPr="005E2A3A" w:rsidRDefault="00F21728" w:rsidP="005B6A25">
      <w:r w:rsidRPr="005E2A3A">
        <w:t>M</w:t>
      </w:r>
      <w:r w:rsidR="009F5B8C" w:rsidRPr="005E2A3A">
        <w:t xml:space="preserve">any countries have taken inspiration from the OECD </w:t>
      </w:r>
      <w:proofErr w:type="gramStart"/>
      <w:r w:rsidR="0070511C">
        <w:t>F</w:t>
      </w:r>
      <w:r w:rsidR="009F5B8C" w:rsidRPr="005E2A3A">
        <w:t>ramework</w:t>
      </w:r>
      <w:r w:rsidR="00C8334A" w:rsidRPr="005E2A3A">
        <w:t>,</w:t>
      </w:r>
      <w:r w:rsidR="009F0834" w:rsidRPr="005E2A3A">
        <w:t xml:space="preserve"> but</w:t>
      </w:r>
      <w:proofErr w:type="gramEnd"/>
      <w:r w:rsidR="009F0834" w:rsidRPr="005E2A3A">
        <w:t xml:space="preserve"> adjusted and extended </w:t>
      </w:r>
      <w:r w:rsidR="009F5B8C" w:rsidRPr="005E2A3A">
        <w:t xml:space="preserve">the specific indicators </w:t>
      </w:r>
      <w:r w:rsidR="00FD5891" w:rsidRPr="005E2A3A">
        <w:t xml:space="preserve">to </w:t>
      </w:r>
      <w:r w:rsidR="00D11C32" w:rsidRPr="005E2A3A">
        <w:t>properly capture the</w:t>
      </w:r>
      <w:r w:rsidR="009F0834" w:rsidRPr="005E2A3A">
        <w:t>ir</w:t>
      </w:r>
      <w:r w:rsidR="00D11C32" w:rsidRPr="005E2A3A">
        <w:t xml:space="preserve"> </w:t>
      </w:r>
      <w:r w:rsidR="00FD5891" w:rsidRPr="005E2A3A">
        <w:t>loca</w:t>
      </w:r>
      <w:r w:rsidR="00C86353" w:rsidRPr="005E2A3A">
        <w:t xml:space="preserve">l context. </w:t>
      </w:r>
      <w:r w:rsidR="00D77E2E" w:rsidRPr="005E2A3A">
        <w:t xml:space="preserve">The international comparability of </w:t>
      </w:r>
      <w:r w:rsidR="00C8334A" w:rsidRPr="005E2A3A">
        <w:t>the OECD</w:t>
      </w:r>
      <w:r w:rsidR="00102E07">
        <w:t>’</w:t>
      </w:r>
      <w:r w:rsidR="00C8334A" w:rsidRPr="005E2A3A">
        <w:t xml:space="preserve">s </w:t>
      </w:r>
      <w:r w:rsidR="00D77E2E" w:rsidRPr="005E2A3A">
        <w:t xml:space="preserve">metrics </w:t>
      </w:r>
      <w:proofErr w:type="gramStart"/>
      <w:r w:rsidR="00D77E2E" w:rsidRPr="005E2A3A">
        <w:t>make</w:t>
      </w:r>
      <w:proofErr w:type="gramEnd"/>
      <w:r w:rsidR="00D77E2E" w:rsidRPr="005E2A3A">
        <w:t xml:space="preserve"> them an ideal starting point, </w:t>
      </w:r>
      <w:r w:rsidR="00443B5D" w:rsidRPr="005E2A3A">
        <w:t xml:space="preserve">but </w:t>
      </w:r>
      <w:r w:rsidR="003360DB" w:rsidRPr="005E2A3A">
        <w:t>some</w:t>
      </w:r>
      <w:r w:rsidR="00443B5D" w:rsidRPr="005E2A3A">
        <w:t xml:space="preserve"> need to be adapted to properly </w:t>
      </w:r>
      <w:r w:rsidR="00F570F0" w:rsidRPr="005E2A3A">
        <w:t>capture</w:t>
      </w:r>
      <w:r w:rsidR="00F32539" w:rsidRPr="005E2A3A">
        <w:t xml:space="preserve"> Australia</w:t>
      </w:r>
      <w:r w:rsidR="00102E07">
        <w:t>’</w:t>
      </w:r>
      <w:r w:rsidR="00F32539" w:rsidRPr="005E2A3A">
        <w:t>s priorities</w:t>
      </w:r>
      <w:r w:rsidR="00443B5D" w:rsidRPr="005E2A3A">
        <w:t xml:space="preserve">. </w:t>
      </w:r>
      <w:r w:rsidR="00813EEA" w:rsidRPr="005E2A3A">
        <w:t>In Australia, particular attention would need to be paid to our unique natural environment, variation in outcomes across key cohorts and the specific characteristics of our economy</w:t>
      </w:r>
      <w:r w:rsidR="00AF7757" w:rsidRPr="005E2A3A">
        <w:t>.</w:t>
      </w:r>
      <w:r w:rsidR="006A0A8A" w:rsidRPr="005E2A3A">
        <w:t xml:space="preserve"> </w:t>
      </w:r>
    </w:p>
    <w:p w14:paraId="099E4DBC" w14:textId="366D493F" w:rsidR="00842B37" w:rsidRPr="005E2A3A" w:rsidRDefault="009A2E70" w:rsidP="00842B37">
      <w:r w:rsidRPr="005E2A3A">
        <w:t xml:space="preserve">An Australian framework would </w:t>
      </w:r>
      <w:r w:rsidR="00616F5F" w:rsidRPr="005E2A3A">
        <w:t xml:space="preserve">aim to </w:t>
      </w:r>
      <w:r w:rsidR="00530ECE" w:rsidRPr="005E2A3A">
        <w:t>provide a high</w:t>
      </w:r>
      <w:r w:rsidR="00102E07">
        <w:noBreakHyphen/>
      </w:r>
      <w:r w:rsidR="00530ECE" w:rsidRPr="005E2A3A">
        <w:t>level view of Australia</w:t>
      </w:r>
      <w:r w:rsidR="00102E07">
        <w:t>’</w:t>
      </w:r>
      <w:r w:rsidR="00530ECE" w:rsidRPr="005E2A3A">
        <w:t xml:space="preserve">s </w:t>
      </w:r>
      <w:r w:rsidR="009722F4" w:rsidRPr="005E2A3A">
        <w:t>progress and well</w:t>
      </w:r>
      <w:r w:rsidR="00102E07">
        <w:noBreakHyphen/>
      </w:r>
      <w:r w:rsidR="009722F4" w:rsidRPr="005E2A3A">
        <w:t>being</w:t>
      </w:r>
      <w:r w:rsidR="00704412" w:rsidRPr="005E2A3A">
        <w:t xml:space="preserve"> to </w:t>
      </w:r>
      <w:r w:rsidR="00C7119B" w:rsidRPr="005E2A3A">
        <w:t xml:space="preserve">improve visibility of key </w:t>
      </w:r>
      <w:r w:rsidR="00E206EA" w:rsidRPr="005E2A3A">
        <w:t>indicators</w:t>
      </w:r>
      <w:r w:rsidR="00270B3E" w:rsidRPr="005E2A3A">
        <w:t xml:space="preserve"> at a national level</w:t>
      </w:r>
      <w:r w:rsidR="009722F4" w:rsidRPr="005E2A3A">
        <w:t>. It would</w:t>
      </w:r>
      <w:r w:rsidR="00616F5F" w:rsidRPr="005E2A3A">
        <w:t xml:space="preserve"> complement</w:t>
      </w:r>
      <w:r w:rsidR="00842B37" w:rsidRPr="005E2A3A">
        <w:t>, rather than replace</w:t>
      </w:r>
      <w:r w:rsidR="00C46B80">
        <w:t>,</w:t>
      </w:r>
      <w:r w:rsidR="009722F4" w:rsidRPr="005E2A3A">
        <w:t xml:space="preserve"> the</w:t>
      </w:r>
      <w:r w:rsidR="00616F5F" w:rsidRPr="005E2A3A">
        <w:t xml:space="preserve"> rich set of </w:t>
      </w:r>
      <w:r w:rsidR="00842B37" w:rsidRPr="005E2A3A">
        <w:t xml:space="preserve">specialised reporting </w:t>
      </w:r>
      <w:r w:rsidR="009722F4" w:rsidRPr="005E2A3A">
        <w:t xml:space="preserve">processes </w:t>
      </w:r>
      <w:r w:rsidRPr="005E2A3A">
        <w:t xml:space="preserve">such as Closing the Gap and the State of the Environment reports. </w:t>
      </w:r>
      <w:r w:rsidR="009722F4" w:rsidRPr="005E2A3A">
        <w:t xml:space="preserve">These and other </w:t>
      </w:r>
      <w:r w:rsidR="008E5183" w:rsidRPr="005E2A3A">
        <w:t>in</w:t>
      </w:r>
      <w:r w:rsidR="00102E07">
        <w:noBreakHyphen/>
      </w:r>
      <w:r w:rsidR="008E5183" w:rsidRPr="005E2A3A">
        <w:t xml:space="preserve">depth reporting processes </w:t>
      </w:r>
      <w:r w:rsidR="00704412" w:rsidRPr="005E2A3A">
        <w:t xml:space="preserve">will remain essential to provide finer levels of detail </w:t>
      </w:r>
      <w:r w:rsidR="00D12C16" w:rsidRPr="005E2A3A">
        <w:t xml:space="preserve">on specific policy </w:t>
      </w:r>
      <w:r w:rsidR="00CA2185" w:rsidRPr="005E2A3A">
        <w:t>areas</w:t>
      </w:r>
      <w:r w:rsidR="00704412" w:rsidRPr="005E2A3A">
        <w:t>.</w:t>
      </w:r>
    </w:p>
    <w:p w14:paraId="1918D242" w14:textId="3FDD50C1" w:rsidR="00B105D9" w:rsidRPr="005E2A3A" w:rsidRDefault="00212EE6" w:rsidP="00796D6B">
      <w:r w:rsidRPr="005E2A3A">
        <w:t>In 2023, t</w:t>
      </w:r>
      <w:r w:rsidR="00EA2B67" w:rsidRPr="005E2A3A">
        <w:t xml:space="preserve">he Government will </w:t>
      </w:r>
      <w:r w:rsidR="00E95D07" w:rsidRPr="005E2A3A">
        <w:t>release</w:t>
      </w:r>
      <w:r w:rsidR="001A5326" w:rsidRPr="005E2A3A">
        <w:t xml:space="preserve"> a </w:t>
      </w:r>
      <w:r w:rsidR="00E95D07" w:rsidRPr="005E2A3A">
        <w:t xml:space="preserve">new </w:t>
      </w:r>
      <w:r w:rsidR="001A5326" w:rsidRPr="005E2A3A" w:rsidDel="00E95D07">
        <w:t>stand</w:t>
      </w:r>
      <w:r w:rsidR="00102E07">
        <w:noBreakHyphen/>
      </w:r>
      <w:r w:rsidR="001A5326" w:rsidRPr="005E2A3A" w:rsidDel="00E95D07">
        <w:t>alone</w:t>
      </w:r>
      <w:r w:rsidR="00190574" w:rsidRPr="005E2A3A" w:rsidDel="00E95D07">
        <w:t xml:space="preserve"> </w:t>
      </w:r>
      <w:r w:rsidR="00CE576B" w:rsidRPr="005E2A3A">
        <w:t>M</w:t>
      </w:r>
      <w:r w:rsidR="00E95D07" w:rsidRPr="005E2A3A">
        <w:t xml:space="preserve">easuring </w:t>
      </w:r>
      <w:r w:rsidR="00CE576B" w:rsidRPr="005E2A3A">
        <w:t>W</w:t>
      </w:r>
      <w:r w:rsidR="00E95D07" w:rsidRPr="005E2A3A">
        <w:t xml:space="preserve">hat </w:t>
      </w:r>
      <w:r w:rsidR="00CE576B" w:rsidRPr="005E2A3A">
        <w:t>M</w:t>
      </w:r>
      <w:r w:rsidR="00E95D07" w:rsidRPr="005E2A3A">
        <w:t xml:space="preserve">atters </w:t>
      </w:r>
      <w:r w:rsidR="00F33026" w:rsidRPr="005E2A3A">
        <w:t>S</w:t>
      </w:r>
      <w:r w:rsidR="001A5326" w:rsidRPr="005E2A3A">
        <w:t>tatement</w:t>
      </w:r>
      <w:r w:rsidR="000D272C" w:rsidRPr="005E2A3A">
        <w:t xml:space="preserve"> tailored to </w:t>
      </w:r>
      <w:r w:rsidR="001B59B4" w:rsidRPr="005E2A3A">
        <w:t>Australia</w:t>
      </w:r>
      <w:r w:rsidR="005E75EF" w:rsidRPr="005E2A3A">
        <w:t xml:space="preserve">. </w:t>
      </w:r>
      <w:r w:rsidR="001F5FAE" w:rsidRPr="005E2A3A">
        <w:t xml:space="preserve">Treasury will continue to </w:t>
      </w:r>
      <w:r w:rsidR="00887EBC" w:rsidRPr="005E2A3A">
        <w:t xml:space="preserve">research and </w:t>
      </w:r>
      <w:r w:rsidR="001824D5" w:rsidRPr="005E2A3A">
        <w:t>consult</w:t>
      </w:r>
      <w:r w:rsidR="001F5FAE" w:rsidRPr="005E2A3A">
        <w:t xml:space="preserve"> </w:t>
      </w:r>
      <w:r w:rsidR="00FA5C04" w:rsidRPr="005E2A3A">
        <w:t>experts and other stakeholders on</w:t>
      </w:r>
      <w:r w:rsidR="00011652" w:rsidRPr="005E2A3A">
        <w:t xml:space="preserve"> </w:t>
      </w:r>
      <w:r w:rsidR="00E17D8E" w:rsidRPr="005E2A3A">
        <w:t>what</w:t>
      </w:r>
      <w:r w:rsidR="00A4715C" w:rsidRPr="005E2A3A">
        <w:t xml:space="preserve"> the Statement</w:t>
      </w:r>
      <w:r w:rsidR="00867739" w:rsidRPr="005E2A3A">
        <w:t xml:space="preserve"> </w:t>
      </w:r>
      <w:r w:rsidR="00E40578" w:rsidRPr="005E2A3A">
        <w:t>should measure</w:t>
      </w:r>
      <w:r w:rsidR="00A2189F" w:rsidRPr="005E2A3A">
        <w:t xml:space="preserve">, </w:t>
      </w:r>
      <w:r w:rsidR="00785CFB" w:rsidRPr="005E2A3A">
        <w:t xml:space="preserve">how the </w:t>
      </w:r>
      <w:r w:rsidR="001A289D" w:rsidRPr="005E2A3A">
        <w:t>S</w:t>
      </w:r>
      <w:r w:rsidR="00785CFB" w:rsidRPr="005E2A3A">
        <w:t>tatement should link to other frameworks and goals</w:t>
      </w:r>
      <w:r w:rsidR="00715C13">
        <w:t xml:space="preserve"> – </w:t>
      </w:r>
      <w:r w:rsidR="00235AAA" w:rsidRPr="005E2A3A">
        <w:t>including at the state and territory level</w:t>
      </w:r>
      <w:r w:rsidR="00715C13">
        <w:t xml:space="preserve"> – </w:t>
      </w:r>
      <w:r w:rsidR="00796D6B" w:rsidRPr="005E2A3A">
        <w:t>and</w:t>
      </w:r>
      <w:r w:rsidR="00A2189F" w:rsidRPr="005E2A3A">
        <w:t xml:space="preserve"> </w:t>
      </w:r>
      <w:r w:rsidR="002D16D6" w:rsidRPr="005E2A3A">
        <w:t xml:space="preserve">how the Statement should </w:t>
      </w:r>
      <w:r w:rsidR="00041F31" w:rsidRPr="005E2A3A">
        <w:t>be communicated</w:t>
      </w:r>
      <w:r w:rsidR="002D16D6" w:rsidRPr="005E2A3A">
        <w:t>.</w:t>
      </w:r>
    </w:p>
    <w:p w14:paraId="452F6C1B" w14:textId="61459E56" w:rsidR="007E5104" w:rsidRPr="007E5104" w:rsidRDefault="00CA6CDC" w:rsidP="0072278D">
      <w:pPr>
        <w:spacing w:before="0" w:after="160" w:line="259" w:lineRule="auto"/>
      </w:pPr>
      <w:r w:rsidRPr="005E2A3A">
        <w:t xml:space="preserve">The </w:t>
      </w:r>
      <w:r w:rsidR="00162A39" w:rsidRPr="005E2A3A">
        <w:t xml:space="preserve">2023 </w:t>
      </w:r>
      <w:r w:rsidR="00AA1647" w:rsidRPr="005E2A3A">
        <w:t>Measuring What Matters Stateme</w:t>
      </w:r>
      <w:r w:rsidR="004B1B63" w:rsidRPr="005E2A3A">
        <w:t>nt</w:t>
      </w:r>
      <w:r w:rsidRPr="005E2A3A">
        <w:t xml:space="preserve"> will be an important next step </w:t>
      </w:r>
      <w:r w:rsidR="00A2189F" w:rsidRPr="005E2A3A">
        <w:t xml:space="preserve">in facilitating a more </w:t>
      </w:r>
      <w:r w:rsidR="00E467B6" w:rsidRPr="005E2A3A">
        <w:t xml:space="preserve">informed and </w:t>
      </w:r>
      <w:r w:rsidR="00A2189F" w:rsidRPr="005E2A3A">
        <w:t>inclusive policy dialogue</w:t>
      </w:r>
      <w:r w:rsidR="00C546B0" w:rsidRPr="005E2A3A">
        <w:t xml:space="preserve"> on how to improve the </w:t>
      </w:r>
      <w:r w:rsidR="00DE03EB" w:rsidRPr="005E2A3A">
        <w:t>quality of life</w:t>
      </w:r>
      <w:r w:rsidR="00C546B0" w:rsidRPr="005E2A3A">
        <w:t xml:space="preserve"> of </w:t>
      </w:r>
      <w:r w:rsidR="008724D0" w:rsidRPr="005E2A3A">
        <w:t xml:space="preserve">all </w:t>
      </w:r>
      <w:r w:rsidR="00C546B0" w:rsidRPr="005E2A3A">
        <w:t>Australians</w:t>
      </w:r>
      <w:r w:rsidR="003D784C" w:rsidRPr="005E2A3A">
        <w:t xml:space="preserve">. </w:t>
      </w:r>
      <w:r w:rsidRPr="005E2A3A">
        <w:t>Treasury looks forward to working with stakeholders and experts on this important project.</w:t>
      </w:r>
      <w:r w:rsidR="00AB1667" w:rsidRPr="005E2A3A">
        <w:rPr>
          <w:rFonts w:ascii="ZWAdobeF" w:hAnsi="ZWAdobeF" w:cs="ZWAdobeF"/>
          <w:sz w:val="2"/>
          <w:szCs w:val="2"/>
        </w:rPr>
        <w:t>7F</w:t>
      </w:r>
      <w:r w:rsidR="000E74AD" w:rsidRPr="005E2A3A">
        <w:rPr>
          <w:rStyle w:val="FootnoteReference"/>
        </w:rPr>
        <w:footnoteReference w:id="20"/>
      </w:r>
    </w:p>
    <w:sectPr w:rsidR="007E5104" w:rsidRPr="007E5104" w:rsidSect="00824BF0">
      <w:headerReference w:type="even" r:id="rId43"/>
      <w:headerReference w:type="default" r:id="rId44"/>
      <w:footerReference w:type="even" r:id="rId45"/>
      <w:footerReference w:type="default" r:id="rId46"/>
      <w:headerReference w:type="first" r:id="rId47"/>
      <w:footerReference w:type="first" r:id="rId48"/>
      <w:footnotePr>
        <w:numStart w:val="8"/>
      </w:footnotePr>
      <w:type w:val="oddPage"/>
      <w:pgSz w:w="11906" w:h="16838" w:code="9"/>
      <w:pgMar w:top="2835" w:right="2098" w:bottom="2466" w:left="2098" w:header="1814" w:footer="18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FDDE3" w14:textId="77777777" w:rsidR="00D944F8" w:rsidRDefault="00D944F8" w:rsidP="00E40261">
      <w:pPr>
        <w:spacing w:after="0" w:line="240" w:lineRule="auto"/>
      </w:pPr>
      <w:r>
        <w:separator/>
      </w:r>
    </w:p>
  </w:endnote>
  <w:endnote w:type="continuationSeparator" w:id="0">
    <w:p w14:paraId="79D3B262" w14:textId="77777777" w:rsidR="00D944F8" w:rsidRDefault="00D944F8" w:rsidP="00E40261">
      <w:pPr>
        <w:spacing w:after="0" w:line="240" w:lineRule="auto"/>
      </w:pPr>
      <w:r>
        <w:continuationSeparator/>
      </w:r>
    </w:p>
  </w:endnote>
  <w:endnote w:type="continuationNotice" w:id="1">
    <w:p w14:paraId="507E9E07" w14:textId="77777777" w:rsidR="00D944F8" w:rsidRDefault="00D944F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ZWAdobeF">
    <w:panose1 w:val="00000000000000000000"/>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4AF1F" w14:textId="1725FCBD" w:rsidR="00D81A31" w:rsidRPr="001A7712" w:rsidRDefault="00BA71CC" w:rsidP="002C596C">
    <w:pPr>
      <w:pStyle w:val="FooterOddWHITE"/>
    </w:pPr>
    <w:fldSimple w:instr="SUBJECT   \* MERGEFORMAT">
      <w:r w:rsidR="00905DF0">
        <w:t>Statement 4: Measuring What Matters</w:t>
      </w:r>
    </w:fldSimple>
    <w:r w:rsidR="002C596C" w:rsidRPr="001A7712">
      <w:t xml:space="preserve">  |  </w:t>
    </w:r>
    <w:r w:rsidR="002C596C" w:rsidRPr="008F4900">
      <w:rPr>
        <w:b/>
        <w:bCs/>
      </w:rPr>
      <w:t xml:space="preserve">Page </w:t>
    </w:r>
    <w:r w:rsidR="002C596C" w:rsidRPr="008F4900">
      <w:rPr>
        <w:b/>
        <w:bCs/>
      </w:rPr>
      <w:fldChar w:fldCharType="begin"/>
    </w:r>
    <w:r w:rsidR="002C596C" w:rsidRPr="008F4900">
      <w:rPr>
        <w:b/>
        <w:bCs/>
      </w:rPr>
      <w:instrText xml:space="preserve"> PAGE  \* Arabic  \* MERGEFORMAT </w:instrText>
    </w:r>
    <w:r w:rsidR="002C596C" w:rsidRPr="008F4900">
      <w:rPr>
        <w:b/>
        <w:bCs/>
      </w:rPr>
      <w:fldChar w:fldCharType="separate"/>
    </w:r>
    <w:r w:rsidR="002C596C" w:rsidRPr="008F4900">
      <w:rPr>
        <w:b/>
        <w:bCs/>
      </w:rPr>
      <w:t>1</w:t>
    </w:r>
    <w:r w:rsidR="002C596C" w:rsidRPr="008F4900">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52DB8" w14:textId="5022E7B1" w:rsidR="00D81A31" w:rsidRPr="00B34A54" w:rsidRDefault="00BA71CC" w:rsidP="00CA4D30">
    <w:pPr>
      <w:pStyle w:val="FooterOdd"/>
    </w:pPr>
    <w:fldSimple w:instr="SUBJECT   \* MERGEFORMAT">
      <w:r w:rsidR="00905DF0">
        <w:t>Statement 4: Measuring What Matters</w:t>
      </w:r>
    </w:fldSimple>
    <w:r w:rsidR="00D81A31" w:rsidRPr="00B34A54">
      <w:t xml:space="preserve">  |  </w:t>
    </w:r>
    <w:r w:rsidR="00D81A31" w:rsidRPr="00B34A54">
      <w:rPr>
        <w:b/>
      </w:rPr>
      <w:t xml:space="preserve">Page </w:t>
    </w:r>
    <w:r w:rsidR="00D81A31" w:rsidRPr="00B34A54">
      <w:rPr>
        <w:b/>
      </w:rPr>
      <w:fldChar w:fldCharType="begin"/>
    </w:r>
    <w:r w:rsidR="00D81A31" w:rsidRPr="00B34A54">
      <w:rPr>
        <w:b/>
      </w:rPr>
      <w:instrText xml:space="preserve"> PAGE  \* Arabic  \* MERGEFORMAT </w:instrText>
    </w:r>
    <w:r w:rsidR="00D81A31" w:rsidRPr="00B34A54">
      <w:rPr>
        <w:b/>
      </w:rPr>
      <w:fldChar w:fldCharType="separate"/>
    </w:r>
    <w:r w:rsidR="00D81A31" w:rsidRPr="00B34A54">
      <w:rPr>
        <w:b/>
      </w:rPr>
      <w:t>7</w:t>
    </w:r>
    <w:r w:rsidR="00D81A31" w:rsidRPr="00B34A54">
      <w:rPr>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05AC1" w14:textId="1136C123" w:rsidR="00A97B94" w:rsidRDefault="00021F39" w:rsidP="00021F39">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B3705D">
      <w:t xml:space="preserve">  |  </w:t>
    </w:r>
    <w:fldSimple w:instr=" SUBJECT   \* MERGEFORMAT ">
      <w:r w:rsidR="00905DF0">
        <w:t>Statement 4: Measuring What Matters</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10B9D" w14:textId="77777777" w:rsidR="00251DC9" w:rsidRPr="005E792C" w:rsidRDefault="00251DC9">
    <w:pPr>
      <w:pStyle w:val="Footer"/>
      <w:rPr>
        <w:noProof/>
        <w:sz w:val="2"/>
        <w:szCs w:val="2"/>
      </w:rPr>
    </w:pPr>
  </w:p>
  <w:p w14:paraId="34199C14" w14:textId="0AE59221" w:rsidR="00A97B94" w:rsidRDefault="00BA71CC" w:rsidP="007B705B">
    <w:pPr>
      <w:pStyle w:val="FooterOdd"/>
    </w:pPr>
    <w:fldSimple w:instr=" SUBJECT   \* MERGEFORMAT ">
      <w:r w:rsidR="00905DF0">
        <w:t>Statement 4: Measuring What Matters</w:t>
      </w:r>
    </w:fldSimple>
    <w:r w:rsidR="00A615F2" w:rsidRPr="00B3705D">
      <w:t xml:space="preserve">  |  </w:t>
    </w:r>
    <w:r w:rsidR="00A615F2" w:rsidRPr="00B3705D">
      <w:rPr>
        <w:b/>
        <w:bCs/>
      </w:rPr>
      <w:t xml:space="preserve">Page </w:t>
    </w:r>
    <w:r w:rsidR="00A615F2" w:rsidRPr="00B3705D">
      <w:rPr>
        <w:b/>
        <w:bCs/>
      </w:rPr>
      <w:fldChar w:fldCharType="begin"/>
    </w:r>
    <w:r w:rsidR="00A615F2" w:rsidRPr="00B3705D">
      <w:rPr>
        <w:b/>
        <w:bCs/>
      </w:rPr>
      <w:instrText xml:space="preserve"> PAGE  \* Arabic  \* MERGEFORMAT </w:instrText>
    </w:r>
    <w:r w:rsidR="00A615F2" w:rsidRPr="00B3705D">
      <w:rPr>
        <w:b/>
        <w:bCs/>
      </w:rPr>
      <w:fldChar w:fldCharType="separate"/>
    </w:r>
    <w:r w:rsidR="00A615F2">
      <w:rPr>
        <w:b/>
        <w:bCs/>
      </w:rPr>
      <w:t>1</w:t>
    </w:r>
    <w:r w:rsidR="00A615F2" w:rsidRPr="00B3705D">
      <w:rPr>
        <w:b/>
        <w:b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9E716" w14:textId="0A599F86" w:rsidR="00A16376" w:rsidRDefault="00BA71CC" w:rsidP="00BD6BA7">
    <w:pPr>
      <w:pStyle w:val="FooterOdd"/>
    </w:pPr>
    <w:fldSimple w:instr=" SUBJECT   \* MERGEFORMAT ">
      <w:r w:rsidR="00905DF0">
        <w:t>Statement 4: Measuring What Matters</w:t>
      </w:r>
    </w:fldSimple>
    <w:r w:rsidR="00A615F2" w:rsidRPr="00B3705D">
      <w:t xml:space="preserve">  |  </w:t>
    </w:r>
    <w:r w:rsidR="00A615F2" w:rsidRPr="00B3705D">
      <w:rPr>
        <w:b/>
        <w:bCs/>
      </w:rPr>
      <w:t xml:space="preserve">Page </w:t>
    </w:r>
    <w:r w:rsidR="00A615F2" w:rsidRPr="00B3705D">
      <w:rPr>
        <w:b/>
        <w:bCs/>
      </w:rPr>
      <w:fldChar w:fldCharType="begin"/>
    </w:r>
    <w:r w:rsidR="00A615F2" w:rsidRPr="00B3705D">
      <w:rPr>
        <w:b/>
        <w:bCs/>
      </w:rPr>
      <w:instrText xml:space="preserve"> PAGE  \* Arabic  \* MERGEFORMAT </w:instrText>
    </w:r>
    <w:r w:rsidR="00A615F2" w:rsidRPr="00B3705D">
      <w:rPr>
        <w:b/>
        <w:bCs/>
      </w:rPr>
      <w:fldChar w:fldCharType="separate"/>
    </w:r>
    <w:r w:rsidR="00A615F2">
      <w:rPr>
        <w:b/>
        <w:bCs/>
      </w:rPr>
      <w:t>1</w:t>
    </w:r>
    <w:r w:rsidR="00A615F2" w:rsidRPr="00B3705D">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15E7D" w14:textId="77777777" w:rsidR="00D944F8" w:rsidRPr="003C1CA4" w:rsidRDefault="00D944F8" w:rsidP="00EB6597">
      <w:pPr>
        <w:spacing w:after="0" w:line="240" w:lineRule="auto"/>
        <w:ind w:right="8277"/>
        <w:rPr>
          <w:rFonts w:asciiTheme="majorHAnsi" w:hAnsiTheme="majorHAnsi"/>
          <w:color w:val="E1E3E6" w:themeColor="background2" w:themeTint="33"/>
        </w:rPr>
      </w:pPr>
      <w:r w:rsidRPr="003C1CA4">
        <w:rPr>
          <w:rFonts w:asciiTheme="majorHAnsi" w:hAnsiTheme="majorHAnsi"/>
          <w:color w:val="E1E3E6" w:themeColor="background2" w:themeTint="33"/>
        </w:rPr>
        <w:t>—</w:t>
      </w:r>
    </w:p>
  </w:footnote>
  <w:footnote w:type="continuationSeparator" w:id="0">
    <w:p w14:paraId="74B1316A" w14:textId="77777777" w:rsidR="00D944F8" w:rsidRDefault="00D944F8" w:rsidP="00E40261">
      <w:pPr>
        <w:spacing w:after="0" w:line="240" w:lineRule="auto"/>
      </w:pPr>
      <w:r>
        <w:continuationSeparator/>
      </w:r>
    </w:p>
  </w:footnote>
  <w:footnote w:type="continuationNotice" w:id="1">
    <w:p w14:paraId="399C179D" w14:textId="77777777" w:rsidR="00D944F8" w:rsidRDefault="00D944F8">
      <w:pPr>
        <w:spacing w:before="0" w:after="0" w:line="240" w:lineRule="auto"/>
      </w:pPr>
    </w:p>
  </w:footnote>
  <w:footnote w:id="2">
    <w:p w14:paraId="37E28886" w14:textId="1AB5882F" w:rsidR="004A19C2" w:rsidRPr="00EF3296" w:rsidRDefault="004F5C8D" w:rsidP="004A19C2">
      <w:pPr>
        <w:pStyle w:val="FootnoteText"/>
        <w:rPr>
          <w:color w:val="FFFFFF" w:themeColor="background1"/>
        </w:rPr>
      </w:pPr>
      <w:r w:rsidRPr="00E52762">
        <w:rPr>
          <w:rStyle w:val="FootnoteReference"/>
          <w:color w:val="FFFFFF" w:themeColor="background1"/>
          <w:vertAlign w:val="baseline"/>
        </w:rPr>
        <w:footnoteRef/>
      </w:r>
      <w:r w:rsidR="004A19C2" w:rsidRPr="00E52762" w:rsidDel="005A0B80">
        <w:rPr>
          <w:color w:val="FFFFFF" w:themeColor="background1"/>
        </w:rPr>
        <w:t xml:space="preserve"> </w:t>
      </w:r>
      <w:r w:rsidR="001707FD" w:rsidRPr="00E52762">
        <w:rPr>
          <w:color w:val="FFFFFF" w:themeColor="background1"/>
        </w:rPr>
        <w:tab/>
      </w:r>
      <w:r w:rsidR="004A19C2" w:rsidRPr="00E52762">
        <w:rPr>
          <w:color w:val="FFFFFF" w:themeColor="background1"/>
        </w:rPr>
        <w:t>More on Australia</w:t>
      </w:r>
      <w:r w:rsidR="00102E07" w:rsidRPr="00E52762">
        <w:rPr>
          <w:color w:val="FFFFFF" w:themeColor="background1"/>
        </w:rPr>
        <w:t>’</w:t>
      </w:r>
      <w:r w:rsidR="004A19C2" w:rsidRPr="00E52762">
        <w:rPr>
          <w:color w:val="FFFFFF" w:themeColor="background1"/>
        </w:rPr>
        <w:t xml:space="preserve">s performance against the OECD Framework and next steps on Measuring What Matters is available here: </w:t>
      </w:r>
      <w:hyperlink r:id="rId1" w:history="1">
        <w:r w:rsidR="00AD3CBF" w:rsidRPr="00E52762">
          <w:rPr>
            <w:rStyle w:val="Hyperlink"/>
            <w:color w:val="FFFFFF" w:themeColor="background1"/>
          </w:rPr>
          <w:t>www.treasury.gov.au/consultation/measuring-what-matters-2022</w:t>
        </w:r>
      </w:hyperlink>
    </w:p>
  </w:footnote>
  <w:footnote w:id="3">
    <w:p w14:paraId="1AFB62B5" w14:textId="4D1B697F" w:rsidR="00922678" w:rsidRDefault="00AB324B" w:rsidP="00AB324B">
      <w:pPr>
        <w:pStyle w:val="FootnoteText"/>
      </w:pPr>
      <w:r w:rsidRPr="00AB324B">
        <w:rPr>
          <w:rStyle w:val="FootnoteReference"/>
          <w:vertAlign w:val="baseline"/>
        </w:rPr>
        <w:footnoteRef/>
      </w:r>
      <w:r w:rsidR="00922678">
        <w:t xml:space="preserve"> </w:t>
      </w:r>
      <w:r>
        <w:tab/>
      </w:r>
      <w:r w:rsidR="00922678">
        <w:t>T</w:t>
      </w:r>
      <w:r w:rsidR="00922678" w:rsidRPr="00BD5AC6">
        <w:t>he Heckman Curve shows a</w:t>
      </w:r>
      <w:r w:rsidR="00610343">
        <w:t xml:space="preserve">ge affects the </w:t>
      </w:r>
      <w:r w:rsidR="00922678" w:rsidRPr="00BD5AC6">
        <w:t xml:space="preserve">return on education (Heckman </w:t>
      </w:r>
      <w:hyperlink r:id="rId2">
        <w:r w:rsidR="00922678" w:rsidRPr="00996009">
          <w:rPr>
            <w:rStyle w:val="Hyperlink"/>
            <w:szCs w:val="18"/>
          </w:rPr>
          <w:t>2022</w:t>
        </w:r>
      </w:hyperlink>
      <w:r w:rsidR="00922678" w:rsidRPr="00BD5AC6">
        <w:t xml:space="preserve">). </w:t>
      </w:r>
      <w:r w:rsidR="00610343">
        <w:t>E</w:t>
      </w:r>
      <w:r w:rsidR="00922678" w:rsidRPr="00BD5AC6">
        <w:t>arlier investment in a child</w:t>
      </w:r>
      <w:r w:rsidR="00102E07">
        <w:t>’</w:t>
      </w:r>
      <w:r w:rsidR="00922678" w:rsidRPr="00BD5AC6">
        <w:t>s development</w:t>
      </w:r>
      <w:r w:rsidR="00610343">
        <w:t xml:space="preserve"> lead</w:t>
      </w:r>
      <w:r w:rsidR="00BB4C16">
        <w:t>s</w:t>
      </w:r>
      <w:r w:rsidR="00610343">
        <w:t xml:space="preserve"> to higher</w:t>
      </w:r>
      <w:r w:rsidR="00922678" w:rsidRPr="00BD5AC6">
        <w:t xml:space="preserve"> lifetime earnings, tax revenue, </w:t>
      </w:r>
      <w:r w:rsidR="0062572D">
        <w:t xml:space="preserve">quality of life and productivity, reducing </w:t>
      </w:r>
      <w:r w:rsidR="007C7228">
        <w:t xml:space="preserve">health, welfare and </w:t>
      </w:r>
      <w:r w:rsidR="00922678" w:rsidRPr="00BD5AC6">
        <w:t>corrective service costs.</w:t>
      </w:r>
    </w:p>
  </w:footnote>
  <w:footnote w:id="4">
    <w:p w14:paraId="24BED759" w14:textId="71C4B757" w:rsidR="00CD1B3D" w:rsidRDefault="00AB324B" w:rsidP="00CD1B3D">
      <w:pPr>
        <w:pStyle w:val="FootnoteText"/>
      </w:pPr>
      <w:r w:rsidRPr="00AB324B">
        <w:rPr>
          <w:rStyle w:val="FootnoteReference"/>
          <w:vertAlign w:val="baseline"/>
        </w:rPr>
        <w:footnoteRef/>
      </w:r>
      <w:r w:rsidR="00CD1B3D">
        <w:t xml:space="preserve"> </w:t>
      </w:r>
      <w:r w:rsidR="0093571E">
        <w:tab/>
      </w:r>
      <w:r w:rsidR="00CD1B3D">
        <w:t>OECD (</w:t>
      </w:r>
      <w:hyperlink r:id="rId3" w:history="1">
        <w:r w:rsidR="00CD1B3D" w:rsidRPr="00CD1B3D">
          <w:rPr>
            <w:rStyle w:val="Hyperlink"/>
          </w:rPr>
          <w:t>2011</w:t>
        </w:r>
      </w:hyperlink>
      <w:r w:rsidR="00CD1B3D">
        <w:t xml:space="preserve">), </w:t>
      </w:r>
      <w:r w:rsidR="00102E07">
        <w:t>‘</w:t>
      </w:r>
      <w:r w:rsidR="00CD1B3D">
        <w:t>OECD Framework for Statistics on the Distribution of Household Income, Consumption and Wealth</w:t>
      </w:r>
      <w:r w:rsidR="00102E07">
        <w:t>’</w:t>
      </w:r>
      <w:r w:rsidR="00D71ED4">
        <w:t>.</w:t>
      </w:r>
    </w:p>
  </w:footnote>
  <w:footnote w:id="5">
    <w:p w14:paraId="4858331E" w14:textId="1508F701" w:rsidR="00CD1B3D" w:rsidRDefault="00AB324B">
      <w:pPr>
        <w:pStyle w:val="FootnoteText"/>
      </w:pPr>
      <w:r w:rsidRPr="00AB324B">
        <w:rPr>
          <w:rStyle w:val="FootnoteReference"/>
          <w:vertAlign w:val="baseline"/>
        </w:rPr>
        <w:footnoteRef/>
      </w:r>
      <w:r w:rsidR="00CD1B3D">
        <w:t xml:space="preserve"> </w:t>
      </w:r>
      <w:r w:rsidR="0093571E">
        <w:tab/>
      </w:r>
      <w:r w:rsidR="001176A7">
        <w:t>New Zealand Treasury (</w:t>
      </w:r>
      <w:hyperlink r:id="rId4" w:history="1">
        <w:r w:rsidR="001176A7" w:rsidRPr="001176A7">
          <w:rPr>
            <w:rStyle w:val="Hyperlink"/>
          </w:rPr>
          <w:t>2019</w:t>
        </w:r>
      </w:hyperlink>
      <w:r w:rsidR="001176A7">
        <w:t xml:space="preserve">), </w:t>
      </w:r>
      <w:r w:rsidR="00102E07">
        <w:t>‘</w:t>
      </w:r>
      <w:r w:rsidR="001176A7">
        <w:t>The Well</w:t>
      </w:r>
      <w:r w:rsidR="00102E07">
        <w:noBreakHyphen/>
      </w:r>
      <w:r w:rsidR="001176A7">
        <w:t>being Budget</w:t>
      </w:r>
      <w:r w:rsidR="00102E07">
        <w:t>’</w:t>
      </w:r>
      <w:r w:rsidR="00D71ED4">
        <w:t>.</w:t>
      </w:r>
    </w:p>
  </w:footnote>
  <w:footnote w:id="6">
    <w:p w14:paraId="7AADF22B" w14:textId="50C324D2" w:rsidR="003353DC" w:rsidRDefault="00AB324B" w:rsidP="003353DC">
      <w:pPr>
        <w:pStyle w:val="FootnoteText"/>
      </w:pPr>
      <w:r w:rsidRPr="00AB324B">
        <w:rPr>
          <w:rStyle w:val="FootnoteReference"/>
          <w:vertAlign w:val="baseline"/>
        </w:rPr>
        <w:footnoteRef/>
      </w:r>
      <w:r w:rsidR="003353DC">
        <w:t xml:space="preserve"> </w:t>
      </w:r>
      <w:r w:rsidR="0093571E">
        <w:tab/>
      </w:r>
      <w:r w:rsidR="003353DC" w:rsidRPr="0064167E">
        <w:t xml:space="preserve">ABS </w:t>
      </w:r>
      <w:r w:rsidR="003353DC">
        <w:t>(</w:t>
      </w:r>
      <w:hyperlink r:id="rId5" w:history="1">
        <w:r w:rsidR="003353DC" w:rsidRPr="001C513A">
          <w:rPr>
            <w:rStyle w:val="Hyperlink"/>
          </w:rPr>
          <w:t>2001</w:t>
        </w:r>
      </w:hyperlink>
      <w:r w:rsidR="003353DC">
        <w:t>),</w:t>
      </w:r>
      <w:r w:rsidR="003353DC" w:rsidRPr="0064167E">
        <w:t xml:space="preserve"> </w:t>
      </w:r>
      <w:r w:rsidR="00102E07">
        <w:t>‘</w:t>
      </w:r>
      <w:r w:rsidR="003353DC" w:rsidRPr="0064167E">
        <w:t>Measuring Well</w:t>
      </w:r>
      <w:r w:rsidR="00102E07">
        <w:noBreakHyphen/>
      </w:r>
      <w:r w:rsidR="003353DC" w:rsidRPr="0064167E">
        <w:t>being, Frameworks for Australian Social Statistics</w:t>
      </w:r>
      <w:r w:rsidR="00102E07">
        <w:t>’</w:t>
      </w:r>
      <w:r w:rsidR="00D71ED4">
        <w:t>.</w:t>
      </w:r>
    </w:p>
  </w:footnote>
  <w:footnote w:id="7">
    <w:p w14:paraId="1CB8D783" w14:textId="1C48FD5E" w:rsidR="003630B4" w:rsidRDefault="00AB324B" w:rsidP="003630B4">
      <w:pPr>
        <w:pStyle w:val="FootnoteText"/>
      </w:pPr>
      <w:r w:rsidRPr="00AB324B">
        <w:rPr>
          <w:rStyle w:val="FootnoteReference"/>
          <w:vertAlign w:val="baseline"/>
        </w:rPr>
        <w:footnoteRef/>
      </w:r>
      <w:r w:rsidR="003630B4">
        <w:t xml:space="preserve"> </w:t>
      </w:r>
      <w:r w:rsidR="00B6028B">
        <w:tab/>
      </w:r>
      <w:r w:rsidR="003630B4">
        <w:t>OECD (</w:t>
      </w:r>
      <w:hyperlink r:id="rId6" w:history="1">
        <w:r w:rsidR="003630B4" w:rsidRPr="00390502">
          <w:rPr>
            <w:rStyle w:val="Hyperlink"/>
          </w:rPr>
          <w:t>2020</w:t>
        </w:r>
      </w:hyperlink>
      <w:r w:rsidR="003630B4">
        <w:t xml:space="preserve">), </w:t>
      </w:r>
      <w:r w:rsidR="00102E07">
        <w:t>‘</w:t>
      </w:r>
      <w:r w:rsidR="003630B4" w:rsidRPr="00390502">
        <w:t>Better Life Initiative: Measuring Well</w:t>
      </w:r>
      <w:r w:rsidR="00102E07">
        <w:noBreakHyphen/>
      </w:r>
      <w:r w:rsidR="003630B4" w:rsidRPr="00390502">
        <w:t>Being and Progress</w:t>
      </w:r>
      <w:r w:rsidR="00102E07">
        <w:t>’</w:t>
      </w:r>
      <w:r w:rsidR="003630B4">
        <w:t>.</w:t>
      </w:r>
    </w:p>
  </w:footnote>
  <w:footnote w:id="8">
    <w:p w14:paraId="1E6C681F" w14:textId="0C772F1B" w:rsidR="002C12AA" w:rsidRDefault="00AB324B">
      <w:pPr>
        <w:pStyle w:val="FootnoteText"/>
      </w:pPr>
      <w:r w:rsidRPr="00AB324B">
        <w:rPr>
          <w:rStyle w:val="FootnoteReference"/>
          <w:vertAlign w:val="baseline"/>
        </w:rPr>
        <w:footnoteRef/>
      </w:r>
      <w:r w:rsidR="002C12AA">
        <w:t xml:space="preserve"> </w:t>
      </w:r>
      <w:r w:rsidR="00B6028B">
        <w:tab/>
      </w:r>
      <w:r w:rsidR="00060B47">
        <w:t xml:space="preserve">Produced Fixed Assets </w:t>
      </w:r>
      <w:r w:rsidR="00D024D8">
        <w:t>are the value of a country</w:t>
      </w:r>
      <w:r w:rsidR="00102E07">
        <w:t>’</w:t>
      </w:r>
      <w:r w:rsidR="00D024D8">
        <w:t>s stock of produced economic assets (</w:t>
      </w:r>
      <w:r w:rsidR="008A7EC7">
        <w:t>including</w:t>
      </w:r>
      <w:r w:rsidR="00D024D8">
        <w:t xml:space="preserve"> </w:t>
      </w:r>
      <w:r w:rsidR="00E55B41">
        <w:t>b</w:t>
      </w:r>
      <w:r w:rsidR="00D024D8">
        <w:t xml:space="preserve">uildings, machines, </w:t>
      </w:r>
      <w:r w:rsidR="00E358E2">
        <w:t>software</w:t>
      </w:r>
      <w:r w:rsidR="009B03E4">
        <w:t xml:space="preserve">, </w:t>
      </w:r>
      <w:r w:rsidR="008A7EC7">
        <w:t xml:space="preserve">and </w:t>
      </w:r>
      <w:r w:rsidR="009B03E4">
        <w:t xml:space="preserve">inventories). </w:t>
      </w:r>
    </w:p>
  </w:footnote>
  <w:footnote w:id="9">
    <w:p w14:paraId="2D32E7C4" w14:textId="216D40C6" w:rsidR="005463F2" w:rsidRDefault="00AB324B" w:rsidP="005463F2">
      <w:pPr>
        <w:pStyle w:val="FootnoteText"/>
      </w:pPr>
      <w:r w:rsidRPr="00AB324B">
        <w:rPr>
          <w:rStyle w:val="FootnoteReference"/>
          <w:vertAlign w:val="baseline"/>
        </w:rPr>
        <w:footnoteRef/>
      </w:r>
      <w:r w:rsidR="005463F2">
        <w:t xml:space="preserve"> </w:t>
      </w:r>
      <w:r w:rsidR="00B6028B">
        <w:tab/>
      </w:r>
      <w:r w:rsidR="005463F2">
        <w:t>OECD (</w:t>
      </w:r>
      <w:hyperlink r:id="rId7" w:history="1">
        <w:r w:rsidR="005463F2" w:rsidRPr="00C542B7">
          <w:rPr>
            <w:rStyle w:val="Hyperlink"/>
          </w:rPr>
          <w:t>2021</w:t>
        </w:r>
      </w:hyperlink>
      <w:r w:rsidR="005463F2">
        <w:t>)</w:t>
      </w:r>
      <w:r w:rsidR="00791D7D">
        <w:t xml:space="preserve">, </w:t>
      </w:r>
      <w:r w:rsidR="00102E07">
        <w:t>‘</w:t>
      </w:r>
      <w:r w:rsidR="00791D7D">
        <w:t>How</w:t>
      </w:r>
      <w:r w:rsidR="00102E07">
        <w:t>’</w:t>
      </w:r>
      <w:r w:rsidR="00791D7D">
        <w:t>s Life</w:t>
      </w:r>
      <w:r w:rsidR="004A6B66">
        <w:t xml:space="preserve">? </w:t>
      </w:r>
      <w:proofErr w:type="gramStart"/>
      <w:r w:rsidR="004A6B66">
        <w:t>Well</w:t>
      </w:r>
      <w:proofErr w:type="gramEnd"/>
      <w:r w:rsidR="00102E07">
        <w:noBreakHyphen/>
      </w:r>
      <w:r w:rsidR="004A6B66">
        <w:t>Being</w:t>
      </w:r>
      <w:r w:rsidR="00102E07">
        <w:t>’</w:t>
      </w:r>
      <w:r w:rsidR="005463F2">
        <w:t>; AEC (</w:t>
      </w:r>
      <w:hyperlink r:id="rId8" w:history="1">
        <w:r w:rsidR="005463F2" w:rsidRPr="001E6E6A">
          <w:rPr>
            <w:rStyle w:val="Hyperlink"/>
          </w:rPr>
          <w:t>2022</w:t>
        </w:r>
      </w:hyperlink>
      <w:r w:rsidR="005463F2">
        <w:t>)</w:t>
      </w:r>
      <w:r w:rsidR="004903B2">
        <w:t xml:space="preserve">, </w:t>
      </w:r>
      <w:r w:rsidR="00102E07">
        <w:t>‘</w:t>
      </w:r>
      <w:r w:rsidR="004903B2">
        <w:t>Voter turnout</w:t>
      </w:r>
      <w:r w:rsidR="003831E0">
        <w:t xml:space="preserve"> </w:t>
      </w:r>
      <w:r w:rsidR="0050576A">
        <w:t>–</w:t>
      </w:r>
      <w:r w:rsidR="004903B2">
        <w:t xml:space="preserve"> previous events</w:t>
      </w:r>
      <w:r w:rsidR="00102E07">
        <w:t>’</w:t>
      </w:r>
      <w:r w:rsidR="004903B2">
        <w:t>.</w:t>
      </w:r>
    </w:p>
  </w:footnote>
  <w:footnote w:id="10">
    <w:p w14:paraId="582E9F97" w14:textId="0194F60B" w:rsidR="00AD4D6C" w:rsidRDefault="00AB324B" w:rsidP="00AD4D6C">
      <w:pPr>
        <w:pStyle w:val="FootnoteText"/>
      </w:pPr>
      <w:r w:rsidRPr="00AB324B">
        <w:rPr>
          <w:rStyle w:val="FootnoteReference"/>
          <w:vertAlign w:val="baseline"/>
        </w:rPr>
        <w:footnoteRef/>
      </w:r>
      <w:r w:rsidR="00AD4D6C">
        <w:t xml:space="preserve"> </w:t>
      </w:r>
      <w:r w:rsidR="00AD4D6C">
        <w:tab/>
        <w:t>Defined by the OECD as t</w:t>
      </w:r>
      <w:r w:rsidR="00AD4D6C" w:rsidRPr="00646760">
        <w:t xml:space="preserve">he difference between male and female median wages as </w:t>
      </w:r>
      <w:r w:rsidR="00B75085">
        <w:t xml:space="preserve">a </w:t>
      </w:r>
      <w:r w:rsidR="00AD4D6C" w:rsidRPr="00646760">
        <w:t>share of the male median wage for full</w:t>
      </w:r>
      <w:r w:rsidR="00102E07">
        <w:noBreakHyphen/>
      </w:r>
      <w:r w:rsidR="00AD4D6C" w:rsidRPr="00646760">
        <w:t>time employees.</w:t>
      </w:r>
    </w:p>
  </w:footnote>
  <w:footnote w:id="11">
    <w:p w14:paraId="04BCDDEA" w14:textId="266D9CA3" w:rsidR="00BB0773" w:rsidRDefault="00AB324B">
      <w:pPr>
        <w:pStyle w:val="FootnoteText"/>
      </w:pPr>
      <w:r w:rsidRPr="00AB324B">
        <w:rPr>
          <w:rStyle w:val="FootnoteReference"/>
          <w:vertAlign w:val="baseline"/>
        </w:rPr>
        <w:footnoteRef/>
      </w:r>
      <w:r w:rsidR="00BB0773">
        <w:t xml:space="preserve"> </w:t>
      </w:r>
      <w:r w:rsidR="00E832AE">
        <w:tab/>
      </w:r>
      <w:r w:rsidR="00BB0773">
        <w:t xml:space="preserve">More information is provided online at </w:t>
      </w:r>
      <w:hyperlink r:id="rId9" w:history="1">
        <w:r w:rsidR="00AD3CBF" w:rsidRPr="00AD3CBF">
          <w:rPr>
            <w:rStyle w:val="Hyperlink"/>
          </w:rPr>
          <w:t>www.treasury.gov.au/consultation/measuring-what-matters-2022</w:t>
        </w:r>
      </w:hyperlink>
      <w:r w:rsidR="00AD3CBF">
        <w:t>.</w:t>
      </w:r>
    </w:p>
  </w:footnote>
  <w:footnote w:id="12">
    <w:p w14:paraId="307207F0" w14:textId="2BE4B9B2" w:rsidR="00CD6867" w:rsidRDefault="00AB324B">
      <w:pPr>
        <w:pStyle w:val="FootnoteText"/>
      </w:pPr>
      <w:r w:rsidRPr="00AB324B">
        <w:rPr>
          <w:rStyle w:val="FootnoteReference"/>
          <w:vertAlign w:val="baseline"/>
        </w:rPr>
        <w:footnoteRef/>
      </w:r>
      <w:r w:rsidR="00CD6867">
        <w:t xml:space="preserve"> </w:t>
      </w:r>
      <w:r w:rsidR="009173A4">
        <w:tab/>
      </w:r>
      <w:r w:rsidR="00922239">
        <w:t>OECD (</w:t>
      </w:r>
      <w:hyperlink r:id="rId10" w:history="1">
        <w:r w:rsidR="00922239" w:rsidRPr="00B22F34">
          <w:rPr>
            <w:rStyle w:val="Hyperlink"/>
          </w:rPr>
          <w:t>2021</w:t>
        </w:r>
      </w:hyperlink>
      <w:r w:rsidR="004A79C9">
        <w:t xml:space="preserve">), </w:t>
      </w:r>
      <w:r w:rsidR="00102E07">
        <w:t>‘</w:t>
      </w:r>
      <w:r w:rsidR="004A79C9">
        <w:t>Selection of housing affordability measures used in OECD and EU countries</w:t>
      </w:r>
      <w:r w:rsidR="00102E07">
        <w:t>’</w:t>
      </w:r>
      <w:r w:rsidR="00A17CFD">
        <w:t>.</w:t>
      </w:r>
    </w:p>
  </w:footnote>
  <w:footnote w:id="13">
    <w:p w14:paraId="21A74600" w14:textId="1E0CBE9F" w:rsidR="00CD6867" w:rsidRDefault="00AB324B">
      <w:pPr>
        <w:pStyle w:val="FootnoteText"/>
      </w:pPr>
      <w:r w:rsidRPr="00AB324B">
        <w:rPr>
          <w:rStyle w:val="FootnoteReference"/>
          <w:vertAlign w:val="baseline"/>
        </w:rPr>
        <w:footnoteRef/>
      </w:r>
      <w:r w:rsidR="00CD6867">
        <w:t xml:space="preserve"> </w:t>
      </w:r>
      <w:r w:rsidR="009173A4">
        <w:tab/>
      </w:r>
      <w:r w:rsidR="006B467B">
        <w:t>AIHW (</w:t>
      </w:r>
      <w:hyperlink r:id="rId11" w:history="1">
        <w:r w:rsidR="006B467B" w:rsidRPr="00712671">
          <w:rPr>
            <w:rStyle w:val="Hyperlink"/>
          </w:rPr>
          <w:t>2022</w:t>
        </w:r>
      </w:hyperlink>
      <w:r w:rsidR="006B467B">
        <w:t xml:space="preserve">), </w:t>
      </w:r>
      <w:r w:rsidR="00102E07">
        <w:t>‘</w:t>
      </w:r>
      <w:r w:rsidR="006B467B">
        <w:t>Housing affordability</w:t>
      </w:r>
      <w:r w:rsidR="00102E07">
        <w:t>’</w:t>
      </w:r>
      <w:r w:rsidR="00BC0338">
        <w:t>; OECD (</w:t>
      </w:r>
      <w:hyperlink r:id="rId12" w:history="1">
        <w:r w:rsidR="00BC0338" w:rsidRPr="00E95653">
          <w:rPr>
            <w:rStyle w:val="Hyperlink"/>
          </w:rPr>
          <w:t>2020</w:t>
        </w:r>
      </w:hyperlink>
      <w:r w:rsidR="004A79C9">
        <w:t>),</w:t>
      </w:r>
      <w:r w:rsidR="00855DFA">
        <w:t xml:space="preserve"> ‘A</w:t>
      </w:r>
      <w:r w:rsidR="004A79C9">
        <w:t>ffordable Housing Database</w:t>
      </w:r>
      <w:r w:rsidR="00102E07">
        <w:t>’</w:t>
      </w:r>
      <w:r w:rsidR="00A17CFD">
        <w:t>.</w:t>
      </w:r>
    </w:p>
  </w:footnote>
  <w:footnote w:id="14">
    <w:p w14:paraId="2935303D" w14:textId="2EBE2A3B" w:rsidR="00CD6867" w:rsidRDefault="00AB324B">
      <w:pPr>
        <w:pStyle w:val="FootnoteText"/>
      </w:pPr>
      <w:r w:rsidRPr="00AB324B">
        <w:rPr>
          <w:rStyle w:val="FootnoteReference"/>
          <w:vertAlign w:val="baseline"/>
        </w:rPr>
        <w:footnoteRef/>
      </w:r>
      <w:r w:rsidR="00CD6867">
        <w:t xml:space="preserve"> </w:t>
      </w:r>
      <w:r w:rsidR="009173A4">
        <w:tab/>
      </w:r>
      <w:r w:rsidR="00BC0338">
        <w:t>AIHW (</w:t>
      </w:r>
      <w:hyperlink r:id="rId13" w:history="1">
        <w:r w:rsidR="00BC0338" w:rsidRPr="00712671">
          <w:rPr>
            <w:rStyle w:val="Hyperlink"/>
          </w:rPr>
          <w:t>2022</w:t>
        </w:r>
      </w:hyperlink>
      <w:r w:rsidR="004A79C9">
        <w:t xml:space="preserve">), </w:t>
      </w:r>
      <w:r w:rsidR="00102E07">
        <w:t>‘</w:t>
      </w:r>
      <w:r w:rsidR="004A79C9">
        <w:t>Housing affordability</w:t>
      </w:r>
      <w:r w:rsidR="00102E07">
        <w:t>’</w:t>
      </w:r>
      <w:r w:rsidR="00A17CFD">
        <w:t>.</w:t>
      </w:r>
    </w:p>
  </w:footnote>
  <w:footnote w:id="15">
    <w:p w14:paraId="6EB2B160" w14:textId="14ACA061" w:rsidR="00DD606F" w:rsidRDefault="00AB324B" w:rsidP="00254814">
      <w:pPr>
        <w:pStyle w:val="FootnoteText"/>
      </w:pPr>
      <w:r w:rsidRPr="00AB324B">
        <w:rPr>
          <w:rStyle w:val="FootnoteReference"/>
          <w:vertAlign w:val="baseline"/>
        </w:rPr>
        <w:footnoteRef/>
      </w:r>
      <w:r w:rsidR="00DD606F">
        <w:t xml:space="preserve"> </w:t>
      </w:r>
      <w:r w:rsidR="00594014">
        <w:tab/>
      </w:r>
      <w:r w:rsidR="00DD606F">
        <w:t>A</w:t>
      </w:r>
      <w:r w:rsidR="00254814">
        <w:t>CARA (</w:t>
      </w:r>
      <w:hyperlink r:id="rId14" w:history="1">
        <w:r w:rsidR="00254814" w:rsidRPr="008A7C0D">
          <w:rPr>
            <w:rStyle w:val="Hyperlink"/>
          </w:rPr>
          <w:t>2021</w:t>
        </w:r>
      </w:hyperlink>
      <w:r w:rsidR="00254814">
        <w:t xml:space="preserve">), </w:t>
      </w:r>
      <w:r w:rsidR="00102E07">
        <w:t>‘</w:t>
      </w:r>
      <w:r w:rsidR="00254814">
        <w:t>National Assessment Program—Literacy and Numeracy Achievement in Reading, Writing, Language Conventions and Numeracy: National Report for 2021</w:t>
      </w:r>
      <w:r w:rsidR="00102E07">
        <w:t>’</w:t>
      </w:r>
      <w:r w:rsidR="00B858B0">
        <w:t>.</w:t>
      </w:r>
    </w:p>
  </w:footnote>
  <w:footnote w:id="16">
    <w:p w14:paraId="7CF61F32" w14:textId="2D11E464" w:rsidR="00517E77" w:rsidRDefault="00AB324B" w:rsidP="00517E77">
      <w:pPr>
        <w:pStyle w:val="FootnoteText"/>
      </w:pPr>
      <w:r w:rsidRPr="00AB324B">
        <w:rPr>
          <w:rStyle w:val="FootnoteReference"/>
          <w:vertAlign w:val="baseline"/>
        </w:rPr>
        <w:footnoteRef/>
      </w:r>
      <w:r w:rsidR="00517E77">
        <w:t xml:space="preserve"> </w:t>
      </w:r>
      <w:r w:rsidR="00517E77">
        <w:tab/>
        <w:t>ACARA (</w:t>
      </w:r>
      <w:hyperlink r:id="rId15" w:history="1">
        <w:r w:rsidR="00517E77" w:rsidRPr="0081128E">
          <w:rPr>
            <w:rStyle w:val="Hyperlink"/>
          </w:rPr>
          <w:t>2022</w:t>
        </w:r>
      </w:hyperlink>
      <w:r w:rsidR="00517E77">
        <w:t xml:space="preserve">) </w:t>
      </w:r>
      <w:r w:rsidR="00102E07">
        <w:t>‘</w:t>
      </w:r>
      <w:r w:rsidR="00517E77">
        <w:t>Time Series</w:t>
      </w:r>
      <w:r w:rsidR="00102E07">
        <w:t>’</w:t>
      </w:r>
      <w:r w:rsidR="00517E77">
        <w:t>.</w:t>
      </w:r>
    </w:p>
  </w:footnote>
  <w:footnote w:id="17">
    <w:p w14:paraId="61E2EDDF" w14:textId="6F2154CC" w:rsidR="009308C7" w:rsidRDefault="00AB324B">
      <w:pPr>
        <w:pStyle w:val="FootnoteText"/>
      </w:pPr>
      <w:r w:rsidRPr="00AB324B">
        <w:rPr>
          <w:rStyle w:val="FootnoteReference"/>
          <w:vertAlign w:val="baseline"/>
        </w:rPr>
        <w:footnoteRef/>
      </w:r>
      <w:r w:rsidR="009308C7">
        <w:t xml:space="preserve"> </w:t>
      </w:r>
      <w:r w:rsidR="00487995">
        <w:tab/>
        <w:t>DCCE</w:t>
      </w:r>
      <w:r w:rsidR="001D2E54">
        <w:t>E</w:t>
      </w:r>
      <w:r w:rsidR="00487995">
        <w:t>W</w:t>
      </w:r>
      <w:r w:rsidR="001D2E54">
        <w:t xml:space="preserve"> (</w:t>
      </w:r>
      <w:hyperlink r:id="rId16" w:history="1">
        <w:r w:rsidR="001D2E54" w:rsidRPr="00C62587">
          <w:rPr>
            <w:rStyle w:val="Hyperlink"/>
          </w:rPr>
          <w:t>2021</w:t>
        </w:r>
      </w:hyperlink>
      <w:r w:rsidR="001D2E54">
        <w:t xml:space="preserve">) </w:t>
      </w:r>
      <w:r w:rsidR="00102E07">
        <w:t>‘</w:t>
      </w:r>
      <w:r w:rsidR="00CA3D69">
        <w:t>Australia State of the Environment</w:t>
      </w:r>
      <w:r w:rsidR="00102E07">
        <w:t>’</w:t>
      </w:r>
      <w:r w:rsidR="006C595E">
        <w:t>.</w:t>
      </w:r>
    </w:p>
  </w:footnote>
  <w:footnote w:id="18">
    <w:p w14:paraId="0DF5535C" w14:textId="2802C6B5" w:rsidR="00107551" w:rsidRDefault="00AB324B" w:rsidP="00107551">
      <w:pPr>
        <w:pStyle w:val="FootnoteText"/>
      </w:pPr>
      <w:r w:rsidRPr="00AB324B">
        <w:rPr>
          <w:rStyle w:val="FootnoteReference"/>
          <w:vertAlign w:val="baseline"/>
        </w:rPr>
        <w:footnoteRef/>
      </w:r>
      <w:r w:rsidR="00107551">
        <w:t xml:space="preserve"> </w:t>
      </w:r>
      <w:r w:rsidR="00107551">
        <w:tab/>
        <w:t>TSX (</w:t>
      </w:r>
      <w:hyperlink r:id="rId17" w:anchor="/" w:history="1">
        <w:r w:rsidR="00107551" w:rsidRPr="007424E6">
          <w:rPr>
            <w:rStyle w:val="Hyperlink"/>
          </w:rPr>
          <w:t>2020</w:t>
        </w:r>
      </w:hyperlink>
      <w:r w:rsidR="00107551">
        <w:t xml:space="preserve">), </w:t>
      </w:r>
      <w:r w:rsidR="00102E07">
        <w:t>‘</w:t>
      </w:r>
      <w:r w:rsidR="00107551">
        <w:t>The Australian Threatened Species Index</w:t>
      </w:r>
      <w:r w:rsidR="00102E07">
        <w:t>’</w:t>
      </w:r>
      <w:r w:rsidR="00107551">
        <w:t>.</w:t>
      </w:r>
    </w:p>
  </w:footnote>
  <w:footnote w:id="19">
    <w:p w14:paraId="78ECF00F" w14:textId="0570C3E5" w:rsidR="00D80416" w:rsidRDefault="00AB324B">
      <w:pPr>
        <w:pStyle w:val="FootnoteText"/>
      </w:pPr>
      <w:r w:rsidRPr="00AB324B">
        <w:rPr>
          <w:rStyle w:val="FootnoteReference"/>
          <w:vertAlign w:val="baseline"/>
        </w:rPr>
        <w:footnoteRef/>
      </w:r>
      <w:r w:rsidR="00D80416">
        <w:t xml:space="preserve"> ABS (</w:t>
      </w:r>
      <w:hyperlink r:id="rId18" w:history="1">
        <w:r w:rsidR="00D80416" w:rsidRPr="00D80416">
          <w:rPr>
            <w:rStyle w:val="Hyperlink"/>
          </w:rPr>
          <w:t>2014</w:t>
        </w:r>
      </w:hyperlink>
      <w:r w:rsidR="002958D0">
        <w:t xml:space="preserve">), </w:t>
      </w:r>
      <w:r w:rsidR="00102E07">
        <w:t>‘</w:t>
      </w:r>
      <w:r w:rsidR="002958D0">
        <w:t>Measures of Australia</w:t>
      </w:r>
      <w:r w:rsidR="00102E07">
        <w:t>’</w:t>
      </w:r>
      <w:r w:rsidR="002958D0">
        <w:t>s Progress</w:t>
      </w:r>
      <w:r w:rsidR="00102E07">
        <w:t>’</w:t>
      </w:r>
      <w:r w:rsidR="00FC2E37">
        <w:t>.</w:t>
      </w:r>
    </w:p>
  </w:footnote>
  <w:footnote w:id="20">
    <w:p w14:paraId="022CF1DA" w14:textId="37412A03" w:rsidR="000E74AD" w:rsidRDefault="00AB324B">
      <w:pPr>
        <w:pStyle w:val="FootnoteText"/>
      </w:pPr>
      <w:r w:rsidRPr="00AB324B">
        <w:rPr>
          <w:rStyle w:val="FootnoteReference"/>
          <w:vertAlign w:val="baseline"/>
        </w:rPr>
        <w:footnoteRef/>
      </w:r>
      <w:r w:rsidR="000E74AD">
        <w:t xml:space="preserve"> </w:t>
      </w:r>
      <w:r w:rsidR="000E74AD">
        <w:tab/>
      </w:r>
      <w:r w:rsidR="00E47FF3">
        <w:t xml:space="preserve">The </w:t>
      </w:r>
      <w:r w:rsidR="000E74AD">
        <w:t xml:space="preserve">Treasury invites views on this Budget Statement and </w:t>
      </w:r>
      <w:r w:rsidR="007D7BD1">
        <w:t>the development</w:t>
      </w:r>
      <w:r w:rsidR="00AF2317">
        <w:t xml:space="preserve"> of a </w:t>
      </w:r>
      <w:r w:rsidR="00B87840">
        <w:t>Measuring What Matters</w:t>
      </w:r>
      <w:r w:rsidR="00AF2317">
        <w:t xml:space="preserve"> </w:t>
      </w:r>
      <w:r w:rsidR="0069026E">
        <w:t>S</w:t>
      </w:r>
      <w:r w:rsidR="00AF2317">
        <w:t>tatement in 2023.</w:t>
      </w:r>
      <w:r w:rsidR="006B3E15">
        <w:t xml:space="preserve"> Feedback can be provided at </w:t>
      </w:r>
      <w:hyperlink r:id="rId19" w:history="1">
        <w:r w:rsidR="00AD3CBF" w:rsidRPr="00AD3CBF">
          <w:rPr>
            <w:rStyle w:val="Hyperlink"/>
          </w:rPr>
          <w:t>www.treasury.gov.au/consultation/measuring-what-matters-2022</w:t>
        </w:r>
      </w:hyperlink>
      <w:r w:rsidR="00AD3CBF">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359A8" w14:textId="1BA76A2D" w:rsidR="00D81A31" w:rsidRPr="000004EA" w:rsidRDefault="003F42F4" w:rsidP="00AB516D">
    <w:pPr>
      <w:pStyle w:val="Header"/>
      <w:tabs>
        <w:tab w:val="clear" w:pos="4153"/>
        <w:tab w:val="clear" w:pos="8306"/>
        <w:tab w:val="center" w:pos="3855"/>
      </w:tabs>
    </w:pPr>
    <w:r>
      <w:rPr>
        <w:noProof/>
      </w:rPr>
      <mc:AlternateContent>
        <mc:Choice Requires="wps">
          <w:drawing>
            <wp:anchor distT="0" distB="0" distL="114300" distR="114300" simplePos="0" relativeHeight="251658241" behindDoc="1" locked="0" layoutInCell="1" allowOverlap="1" wp14:anchorId="1F63C85A" wp14:editId="484B62A9">
              <wp:simplePos x="0" y="0"/>
              <wp:positionH relativeFrom="page">
                <wp:align>center</wp:align>
              </wp:positionH>
              <wp:positionV relativeFrom="page">
                <wp:align>top</wp:align>
              </wp:positionV>
              <wp:extent cx="7560000" cy="10692000"/>
              <wp:effectExtent l="0" t="0" r="3175" b="0"/>
              <wp:wrapNone/>
              <wp:docPr id="13" name="Rectangle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4828FA" id="Rectangle 13" o:spid="_x0000_s1026" alt="&quot;&quot;" style="position:absolute;margin-left:0;margin-top:0;width:595.3pt;height:841.9pt;z-index:-251658239;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U9afQIAAGAFAAAOAAAAZHJzL2Uyb0RvYy54bWysVE1v2zAMvQ/YfxB0X+0E/ViDOkXQosOA&#10;oi2WDj2rslQLkEWNUuJkv36U/JGuK3YYloMimY+P5BOpi8tda9lWYTDgKj47KjlTTkJt3EvFvz/e&#10;fPrMWYjC1cKCUxXfq8Avlx8/XHR+oebQgK0VMiJxYdH5ijcx+kVRBNmoVoQj8MqRUQO2ItIRX4oa&#10;RUfsrS3mZXladIC1R5AqBPp63Rv5MvNrrWS81zqoyGzFKbeYV8zrc1qL5YVYvKDwjZFDGuIfsmiF&#10;cRR0oroWUbANmj+oWiMRAuh4JKEtQGsjVa6BqpmVb6pZN8KrXAuJE/wkU/h/tPJuu/YPSDJ0PiwC&#10;bVMVO41t+qf82C6LtZ/EUrvIJH08Ozkt6ceZJNusPD2n68h6Fgd/jyF+UdCytKk40nVklcT2NkSK&#10;SdARksIFsKa+MdbmQ2oBdWWRbQVdXtzN02WRx28o6xLWQfLqzelLcSgm7+LeqoSz7pvSzNSU/jwn&#10;kvvsEERIqVyc9aZG1KqPfZILHaKPaeVcMmFi1hR/4h4IRmRPMnL3NAM+uarcppNz+bfEeufJI0cG&#10;Fyfn1jjA9wgsVTVE7vGjSL00SaVnqPcPyBD6IQle3hi6tlsR4oNAmgq6a5r0eE+LttBVHIYdZw3g&#10;z/e+Jzw1K1k562jKKh5+bAQqzuxXR218Pjs+TmOZD8cnZ3M64GvL82uL27RXQL0wozfFy7xN+GjH&#10;rUZon+hBWKWoZBJOUuyKy4jj4Sr2009PilSrVYbRKHoRb93ay0SeVE1t+bh7EuiH3o3U93cwTqRY&#10;vGnhHps8Haw2EbTJ/X3QddCbxjg3zvDkpHfi9TmjDg/j8hcAAAD//wMAUEsDBBQABgAIAAAAIQCF&#10;Vves3gAAAAcBAAAPAAAAZHJzL2Rvd25yZXYueG1sTI9BS8NAEIXvgv9hGcGb3bRCSGI2RQQPIiK2&#10;RfS2yY7Z2OxsyG6b6K936kUvwxve8N435Xp2vTjiGDpPCpaLBARS401HrYLd9v4qAxGiJqN7T6jg&#10;CwOsq/OzUhfGT/SCx01sBYdQKLQCG+NQSBkai06HhR+Q2Pvwo9OR17GVZtQTh7terpIklU53xA1W&#10;D3hnsdlvDk6B//zOd4/T077e2rx5fV+1bw/Pk1KXF/PtDYiIc/w7hhM+o0PFTLU/kAmiV8CPxN95&#10;8pZ5koKoWaXZdQayKuV//uoHAAD//wMAUEsBAi0AFAAGAAgAAAAhALaDOJL+AAAA4QEAABMAAAAA&#10;AAAAAAAAAAAAAAAAAFtDb250ZW50X1R5cGVzXS54bWxQSwECLQAUAAYACAAAACEAOP0h/9YAAACU&#10;AQAACwAAAAAAAAAAAAAAAAAvAQAAX3JlbHMvLnJlbHNQSwECLQAUAAYACAAAACEAti1PWn0CAABg&#10;BQAADgAAAAAAAAAAAAAAAAAuAgAAZHJzL2Uyb0RvYy54bWxQSwECLQAUAAYACAAAACEAhVb3rN4A&#10;AAAHAQAADwAAAAAAAAAAAAAAAADXBAAAZHJzL2Rvd25yZXYueG1sUEsFBgAAAAAEAAQA8wAAAOIF&#10;AAAAAA==&#10;" fillcolor="#293f5b [3215]" stroked="f" strokeweight="1pt">
              <w10:wrap anchorx="page" anchory="page"/>
            </v:rect>
          </w:pict>
        </mc:Fallback>
      </mc:AlternateContent>
    </w:r>
    <w:r w:rsidR="00AB516D">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37E67" w14:textId="7E795C43" w:rsidR="000004EA" w:rsidRDefault="000004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5B2F30" w14:paraId="52B5B4F3" w14:textId="77777777" w:rsidTr="002A6A16">
      <w:trPr>
        <w:trHeight w:hRule="exact" w:val="340"/>
      </w:trPr>
      <w:tc>
        <w:tcPr>
          <w:tcW w:w="7797" w:type="dxa"/>
        </w:tcPr>
        <w:p w14:paraId="353F2686" w14:textId="00C24FDE" w:rsidR="005B2F30" w:rsidRDefault="005B2F30" w:rsidP="000635BE">
          <w:pPr>
            <w:pStyle w:val="HeaderOdd"/>
          </w:pPr>
        </w:p>
      </w:tc>
    </w:tr>
  </w:tbl>
  <w:p w14:paraId="1FEBB90D" w14:textId="77777777" w:rsidR="00D81A31" w:rsidRPr="00BE7EBB" w:rsidRDefault="00D81A31" w:rsidP="00A615F2">
    <w:pPr>
      <w:pStyle w:val="HeaderOdd"/>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E71DB" w14:textId="3327D69A" w:rsidR="00A97B94" w:rsidRPr="00AA5439" w:rsidRDefault="00A97B94" w:rsidP="00AA5439">
    <w:pPr>
      <w:pStyle w:val="HeaderEven"/>
      <w:rPr>
        <w:sz w:val="2"/>
        <w:szCs w:val="2"/>
      </w:rPr>
    </w:pPr>
    <w:r>
      <w:rPr>
        <w:sz w:val="2"/>
        <w:szCs w:val="2"/>
      </w:rPr>
      <w:t>9</w:t>
    </w:r>
  </w:p>
  <w:p w14:paraId="2BD2D266" w14:textId="77777777" w:rsidR="00A97B94" w:rsidRPr="00AA5439" w:rsidRDefault="00A97B94" w:rsidP="00AA5439">
    <w:pPr>
      <w:pStyle w:val="HeaderEven"/>
      <w:rPr>
        <w:sz w:val="2"/>
        <w:szCs w:val="4"/>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021F39" w14:paraId="7F5DB46E" w14:textId="77777777" w:rsidTr="002A6A16">
      <w:trPr>
        <w:trHeight w:hRule="exact" w:val="340"/>
      </w:trPr>
      <w:tc>
        <w:tcPr>
          <w:tcW w:w="7797" w:type="dxa"/>
        </w:tcPr>
        <w:p w14:paraId="429C405B" w14:textId="58E03DC4" w:rsidR="00021F39" w:rsidRDefault="00021F39" w:rsidP="008F55F8">
          <w:pPr>
            <w:pStyle w:val="HeaderEven"/>
            <w:ind w:left="-113"/>
          </w:pPr>
          <w:r w:rsidRPr="00D47C6E">
            <w:rPr>
              <w:noProof/>
              <w:position w:val="-6"/>
            </w:rPr>
            <w:drawing>
              <wp:inline distT="0" distB="0" distL="0" distR="0" wp14:anchorId="48DFCF4E" wp14:editId="0F14BD1F">
                <wp:extent cx="1350000" cy="126000"/>
                <wp:effectExtent l="0" t="0" r="3175" b="7620"/>
                <wp:docPr id="2"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0000" cy="126000"/>
                        </a:xfrm>
                        <a:prstGeom prst="rect">
                          <a:avLst/>
                        </a:prstGeom>
                      </pic:spPr>
                    </pic:pic>
                  </a:graphicData>
                </a:graphic>
              </wp:inline>
            </w:drawing>
          </w:r>
          <w:r>
            <w:t xml:space="preserve">  |  </w:t>
          </w:r>
          <w:fldSimple w:instr=" TITLE   \* MERGEFORMAT ">
            <w:r w:rsidR="00905DF0">
              <w:t>Budget Paper No. 1</w:t>
            </w:r>
          </w:fldSimple>
        </w:p>
      </w:tc>
    </w:tr>
  </w:tbl>
  <w:p w14:paraId="51DE65DA" w14:textId="77777777" w:rsidR="00A97B94" w:rsidRDefault="00A97B94" w:rsidP="007703C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AB02A" w14:textId="36F5A4A2" w:rsidR="00D73A86" w:rsidRDefault="00D73A86" w:rsidP="000635BE">
    <w:pPr>
      <w:pStyle w:val="HeaderOdd"/>
      <w:rPr>
        <w:sz w:val="2"/>
        <w:szCs w:val="4"/>
      </w:rPr>
    </w:pPr>
  </w:p>
  <w:p w14:paraId="799BED09" w14:textId="7A269510" w:rsidR="00A97B94" w:rsidRPr="000635BE" w:rsidRDefault="00A97B94" w:rsidP="000635BE">
    <w:pPr>
      <w:pStyle w:val="HeaderOdd"/>
      <w:rPr>
        <w:sz w:val="2"/>
        <w:szCs w:val="4"/>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021F39" w14:paraId="47AD09A5" w14:textId="77777777" w:rsidTr="002A6A16">
      <w:trPr>
        <w:trHeight w:hRule="exact" w:val="340"/>
      </w:trPr>
      <w:tc>
        <w:tcPr>
          <w:tcW w:w="7797" w:type="dxa"/>
        </w:tcPr>
        <w:p w14:paraId="0E860CFD" w14:textId="19AE66BC" w:rsidR="00021F39" w:rsidRDefault="00BA71CC" w:rsidP="000635BE">
          <w:pPr>
            <w:pStyle w:val="HeaderOdd"/>
          </w:pPr>
          <w:fldSimple w:instr=" TITLE   \* MERGEFORMAT ">
            <w:r w:rsidR="00905DF0">
              <w:t>Budget Paper No. 1</w:t>
            </w:r>
          </w:fldSimple>
          <w:r w:rsidR="00021F39">
            <w:t xml:space="preserve">  |  </w:t>
          </w:r>
          <w:r w:rsidR="00021F39" w:rsidRPr="00D47C6E">
            <w:rPr>
              <w:noProof/>
              <w:position w:val="-6"/>
            </w:rPr>
            <w:drawing>
              <wp:inline distT="0" distB="0" distL="0" distR="0" wp14:anchorId="5457E092" wp14:editId="29A80BEE">
                <wp:extent cx="1350000" cy="126000"/>
                <wp:effectExtent l="0" t="0" r="3175" b="7620"/>
                <wp:docPr id="3"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0000" cy="126000"/>
                        </a:xfrm>
                        <a:prstGeom prst="rect">
                          <a:avLst/>
                        </a:prstGeom>
                      </pic:spPr>
                    </pic:pic>
                  </a:graphicData>
                </a:graphic>
              </wp:inline>
            </w:drawing>
          </w:r>
        </w:p>
      </w:tc>
    </w:tr>
  </w:tbl>
  <w:p w14:paraId="6DE17E02" w14:textId="77777777" w:rsidR="00A97B94" w:rsidRDefault="00A97B94" w:rsidP="00AA543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87561" w14:textId="25265280" w:rsidR="00AA3640" w:rsidRDefault="00AA3640">
    <w:pPr>
      <w:pStyle w:val="Header"/>
      <w:rPr>
        <w:sz w:val="2"/>
        <w:szCs w:val="2"/>
      </w:rPr>
    </w:pPr>
  </w:p>
  <w:p w14:paraId="6FD37C9A" w14:textId="76CE363D" w:rsidR="00A16376" w:rsidRPr="00132185" w:rsidRDefault="00A16376" w:rsidP="001321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FF267C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68E55A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42251A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BE4680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BAE074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96D84A"/>
    <w:lvl w:ilvl="0">
      <w:start w:val="1"/>
      <w:numFmt w:val="bullet"/>
      <w:pStyle w:val="FileProperties"/>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9D0B1A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4F8FD8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99A6C5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407F4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0F3EBF"/>
    <w:multiLevelType w:val="hybridMultilevel"/>
    <w:tmpl w:val="A4FA80FC"/>
    <w:lvl w:ilvl="0" w:tplc="0C090001">
      <w:start w:val="33"/>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EC42909"/>
    <w:multiLevelType w:val="multilevel"/>
    <w:tmpl w:val="9828D65A"/>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2"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13" w15:restartNumberingAfterBreak="0">
    <w:nsid w:val="1F9D1274"/>
    <w:multiLevelType w:val="hybridMultilevel"/>
    <w:tmpl w:val="D82A4BF8"/>
    <w:lvl w:ilvl="0" w:tplc="E37CBDDA">
      <w:start w:val="4"/>
      <w:numFmt w:val="bullet"/>
      <w:lvlText w:val="-"/>
      <w:lvlJc w:val="left"/>
      <w:pPr>
        <w:ind w:left="720" w:hanging="360"/>
      </w:pPr>
      <w:rPr>
        <w:rFonts w:ascii="Book Antiqua" w:eastAsia="Times New Roman" w:hAnsi="Book Antiqua"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31210FD"/>
    <w:multiLevelType w:val="multilevel"/>
    <w:tmpl w:val="25DCC5B8"/>
    <w:name w:val="StandardBulletedList"/>
    <w:lvl w:ilvl="0">
      <w:start w:val="1"/>
      <w:numFmt w:val="bullet"/>
      <w:lvlText w:val="•"/>
      <w:lvlJc w:val="left"/>
      <w:pPr>
        <w:tabs>
          <w:tab w:val="num" w:pos="472"/>
        </w:tabs>
        <w:ind w:left="472" w:hanging="472"/>
      </w:pPr>
      <w:rPr>
        <w:rFonts w:ascii="Times New Roman" w:hAnsi="Times New Roman" w:cs="Times New Roman" w:hint="default"/>
      </w:rPr>
    </w:lvl>
    <w:lvl w:ilvl="1">
      <w:start w:val="1"/>
      <w:numFmt w:val="bullet"/>
      <w:lvlText w:val="–"/>
      <w:lvlJc w:val="left"/>
      <w:pPr>
        <w:tabs>
          <w:tab w:val="num" w:pos="944"/>
        </w:tabs>
        <w:ind w:left="944" w:hanging="472"/>
      </w:pPr>
      <w:rPr>
        <w:rFonts w:ascii="Times New Roman" w:hAnsi="Times New Roman" w:cs="Times New Roman" w:hint="default"/>
      </w:rPr>
    </w:lvl>
    <w:lvl w:ilvl="2">
      <w:start w:val="1"/>
      <w:numFmt w:val="bullet"/>
      <w:lvlText w:val=":"/>
      <w:lvlJc w:val="left"/>
      <w:pPr>
        <w:tabs>
          <w:tab w:val="num" w:pos="1416"/>
        </w:tabs>
        <w:ind w:left="1416" w:hanging="472"/>
      </w:pPr>
      <w:rPr>
        <w:rFonts w:ascii="Times New Roman" w:hAnsi="Times New Roman" w:cs="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4D923BD"/>
    <w:multiLevelType w:val="hybridMultilevel"/>
    <w:tmpl w:val="67A833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B2E19AC"/>
    <w:multiLevelType w:val="singleLevel"/>
    <w:tmpl w:val="C64E315A"/>
    <w:lvl w:ilvl="0">
      <w:start w:val="1"/>
      <w:numFmt w:val="lowerLetter"/>
      <w:pStyle w:val="ChartandTableFootnoteAlpha"/>
      <w:lvlText w:val="%1)"/>
      <w:lvlJc w:val="left"/>
      <w:pPr>
        <w:ind w:left="360" w:hanging="360"/>
      </w:pPr>
      <w:rPr>
        <w:b w:val="0"/>
        <w:i w:val="0"/>
        <w:color w:val="000000"/>
        <w:sz w:val="16"/>
      </w:rPr>
    </w:lvl>
  </w:abstractNum>
  <w:abstractNum w:abstractNumId="17" w15:restartNumberingAfterBreak="0">
    <w:nsid w:val="3FBD7996"/>
    <w:multiLevelType w:val="multilevel"/>
    <w:tmpl w:val="CA72120C"/>
    <w:lvl w:ilvl="0">
      <w:start w:val="1"/>
      <w:numFmt w:val="bullet"/>
      <w:lvlText w:val="•"/>
      <w:lvlJc w:val="left"/>
      <w:pPr>
        <w:tabs>
          <w:tab w:val="num" w:pos="567"/>
        </w:tabs>
        <w:ind w:left="567" w:hanging="567"/>
      </w:pPr>
      <w:rPr>
        <w:rFonts w:ascii="Times New Roman" w:hAnsi="Times New Roman" w:cs="Times New Roman" w:hint="default"/>
      </w:rPr>
    </w:lvl>
    <w:lvl w:ilvl="1">
      <w:start w:val="1"/>
      <w:numFmt w:val="bullet"/>
      <w:lvlText w:val="–"/>
      <w:lvlJc w:val="left"/>
      <w:pPr>
        <w:tabs>
          <w:tab w:val="num" w:pos="1134"/>
        </w:tabs>
        <w:ind w:left="1134" w:hanging="567"/>
      </w:pPr>
      <w:rPr>
        <w:rFonts w:ascii="Times New Roman" w:hAnsi="Times New Roman" w:cs="Times New Roman"/>
      </w:rPr>
    </w:lvl>
    <w:lvl w:ilvl="2">
      <w:start w:val="1"/>
      <w:numFmt w:val="bullet"/>
      <w:lvlText w:val=":"/>
      <w:lvlJc w:val="left"/>
      <w:pPr>
        <w:tabs>
          <w:tab w:val="num" w:pos="1701"/>
        </w:tabs>
        <w:ind w:left="1701" w:hanging="567"/>
      </w:pPr>
      <w:rPr>
        <w:rFonts w:ascii="Times New Roman" w:hAnsi="Times New Roman" w:cs="Times New Roman"/>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19" w15:restartNumberingAfterBreak="0">
    <w:nsid w:val="4D784941"/>
    <w:multiLevelType w:val="multilevel"/>
    <w:tmpl w:val="7FC4E53E"/>
    <w:lvl w:ilvl="0">
      <w:start w:val="1"/>
      <w:numFmt w:val="bullet"/>
      <w:lvlText w:val="•"/>
      <w:lvlJc w:val="left"/>
      <w:pPr>
        <w:tabs>
          <w:tab w:val="num" w:pos="449"/>
        </w:tabs>
        <w:ind w:left="449" w:hanging="449"/>
      </w:pPr>
      <w:rPr>
        <w:rFonts w:ascii="Times New Roman" w:hAnsi="Times New Roman" w:cs="Times New Roman"/>
      </w:rPr>
    </w:lvl>
    <w:lvl w:ilvl="1">
      <w:start w:val="1"/>
      <w:numFmt w:val="bullet"/>
      <w:lvlText w:val="–"/>
      <w:lvlJc w:val="left"/>
      <w:pPr>
        <w:tabs>
          <w:tab w:val="num" w:pos="898"/>
        </w:tabs>
        <w:ind w:left="898" w:hanging="449"/>
      </w:pPr>
      <w:rPr>
        <w:rFonts w:ascii="Times New Roman" w:hAnsi="Times New Roman" w:cs="Times New Roman"/>
      </w:rPr>
    </w:lvl>
    <w:lvl w:ilvl="2">
      <w:start w:val="1"/>
      <w:numFmt w:val="bullet"/>
      <w:lvlText w:val=":"/>
      <w:lvlJc w:val="left"/>
      <w:pPr>
        <w:tabs>
          <w:tab w:val="num" w:pos="1347"/>
        </w:tabs>
        <w:ind w:left="1347" w:hanging="449"/>
      </w:pPr>
      <w:rPr>
        <w:rFonts w:ascii="Times New Roman" w:hAnsi="Times New Roman" w:cs="Times New Roman"/>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abstractNum w:abstractNumId="21" w15:restartNumberingAfterBreak="0">
    <w:nsid w:val="765B4377"/>
    <w:multiLevelType w:val="hybridMultilevel"/>
    <w:tmpl w:val="4358DE7C"/>
    <w:lvl w:ilvl="0" w:tplc="0C090001">
      <w:start w:val="33"/>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8"/>
  </w:num>
  <w:num w:numId="2">
    <w:abstractNumId w:val="12"/>
  </w:num>
  <w:num w:numId="3">
    <w:abstractNumId w:val="11"/>
  </w:num>
  <w:num w:numId="4">
    <w:abstractNumId w:val="16"/>
  </w:num>
  <w:num w:numId="5">
    <w:abstractNumId w:val="20"/>
  </w:num>
  <w:num w:numId="6">
    <w:abstractNumId w:val="14"/>
  </w:num>
  <w:num w:numId="7">
    <w:abstractNumId w:val="15"/>
  </w:num>
  <w:num w:numId="8">
    <w:abstractNumId w:val="13"/>
  </w:num>
  <w:num w:numId="9">
    <w:abstractNumId w:val="21"/>
  </w:num>
  <w:num w:numId="10">
    <w:abstractNumId w:val="19"/>
  </w:num>
  <w:num w:numId="11">
    <w:abstractNumId w:val="10"/>
  </w:num>
  <w:num w:numId="12">
    <w:abstractNumId w:val="6"/>
  </w:num>
  <w:num w:numId="13">
    <w:abstractNumId w:val="17"/>
  </w:num>
  <w:num w:numId="14">
    <w:abstractNumId w:val="9"/>
  </w:num>
  <w:num w:numId="15">
    <w:abstractNumId w:val="7"/>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mirrorMargins/>
  <w:proofState w:spelling="clean" w:grammar="clean"/>
  <w:attachedTemplate r:id="rId1"/>
  <w:documentProtection w:edit="readOnly" w:enforcement="0"/>
  <w:defaultTabStop w:val="720"/>
  <w:evenAndOddHeaders/>
  <w:characterSpacingControl w:val="doNotCompress"/>
  <w:hdrShapeDefaults>
    <o:shapedefaults v:ext="edit" spidmax="2050"/>
  </w:hdrShapeDefaults>
  <w:footnotePr>
    <w:numStart w:val="8"/>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ecurityClassificationInHeader" w:val="False"/>
  </w:docVars>
  <w:rsids>
    <w:rsidRoot w:val="00632D71"/>
    <w:rsid w:val="00000214"/>
    <w:rsid w:val="0000048A"/>
    <w:rsid w:val="000004EA"/>
    <w:rsid w:val="00000869"/>
    <w:rsid w:val="00000DFC"/>
    <w:rsid w:val="000015BE"/>
    <w:rsid w:val="00001D5B"/>
    <w:rsid w:val="00002212"/>
    <w:rsid w:val="0000279D"/>
    <w:rsid w:val="000032DF"/>
    <w:rsid w:val="00003D43"/>
    <w:rsid w:val="00003E8B"/>
    <w:rsid w:val="00003EA4"/>
    <w:rsid w:val="00004342"/>
    <w:rsid w:val="000045F2"/>
    <w:rsid w:val="00004BE5"/>
    <w:rsid w:val="00005055"/>
    <w:rsid w:val="00005761"/>
    <w:rsid w:val="0000629F"/>
    <w:rsid w:val="00007189"/>
    <w:rsid w:val="00010536"/>
    <w:rsid w:val="00010A0B"/>
    <w:rsid w:val="00010D11"/>
    <w:rsid w:val="00010EC5"/>
    <w:rsid w:val="00011652"/>
    <w:rsid w:val="000116D5"/>
    <w:rsid w:val="00011D36"/>
    <w:rsid w:val="00011DBB"/>
    <w:rsid w:val="00011FE7"/>
    <w:rsid w:val="00012398"/>
    <w:rsid w:val="00012965"/>
    <w:rsid w:val="00012A3C"/>
    <w:rsid w:val="00012A9A"/>
    <w:rsid w:val="00012F61"/>
    <w:rsid w:val="00013000"/>
    <w:rsid w:val="0001303F"/>
    <w:rsid w:val="00013805"/>
    <w:rsid w:val="00013B04"/>
    <w:rsid w:val="00013EA8"/>
    <w:rsid w:val="00013FFF"/>
    <w:rsid w:val="0001407A"/>
    <w:rsid w:val="000141A4"/>
    <w:rsid w:val="000145D4"/>
    <w:rsid w:val="00014B5C"/>
    <w:rsid w:val="00014E25"/>
    <w:rsid w:val="00014F36"/>
    <w:rsid w:val="00015144"/>
    <w:rsid w:val="0001530B"/>
    <w:rsid w:val="000153C6"/>
    <w:rsid w:val="00015886"/>
    <w:rsid w:val="000159A0"/>
    <w:rsid w:val="00016637"/>
    <w:rsid w:val="0001688D"/>
    <w:rsid w:val="00016B01"/>
    <w:rsid w:val="00016CE9"/>
    <w:rsid w:val="00017981"/>
    <w:rsid w:val="00017CA5"/>
    <w:rsid w:val="00017E1F"/>
    <w:rsid w:val="0002003D"/>
    <w:rsid w:val="00020217"/>
    <w:rsid w:val="00020C62"/>
    <w:rsid w:val="000214C2"/>
    <w:rsid w:val="000219DE"/>
    <w:rsid w:val="00021AE6"/>
    <w:rsid w:val="00021DA6"/>
    <w:rsid w:val="00021F39"/>
    <w:rsid w:val="0002241C"/>
    <w:rsid w:val="00022610"/>
    <w:rsid w:val="00022E79"/>
    <w:rsid w:val="00023089"/>
    <w:rsid w:val="000231A8"/>
    <w:rsid w:val="000231AF"/>
    <w:rsid w:val="000233EC"/>
    <w:rsid w:val="0002341F"/>
    <w:rsid w:val="0002391D"/>
    <w:rsid w:val="00023BC9"/>
    <w:rsid w:val="00024712"/>
    <w:rsid w:val="00024722"/>
    <w:rsid w:val="00024B4D"/>
    <w:rsid w:val="000252B0"/>
    <w:rsid w:val="0002569E"/>
    <w:rsid w:val="00025927"/>
    <w:rsid w:val="00025A04"/>
    <w:rsid w:val="0002615E"/>
    <w:rsid w:val="00026363"/>
    <w:rsid w:val="00026BB0"/>
    <w:rsid w:val="00026CDB"/>
    <w:rsid w:val="000273B8"/>
    <w:rsid w:val="000277BC"/>
    <w:rsid w:val="00027975"/>
    <w:rsid w:val="00027FAB"/>
    <w:rsid w:val="000307C1"/>
    <w:rsid w:val="000309F9"/>
    <w:rsid w:val="00030D08"/>
    <w:rsid w:val="00032283"/>
    <w:rsid w:val="00032894"/>
    <w:rsid w:val="00032D90"/>
    <w:rsid w:val="00032E43"/>
    <w:rsid w:val="000330B2"/>
    <w:rsid w:val="0003325B"/>
    <w:rsid w:val="000339D7"/>
    <w:rsid w:val="00034B34"/>
    <w:rsid w:val="00034BC2"/>
    <w:rsid w:val="00035192"/>
    <w:rsid w:val="00035A4E"/>
    <w:rsid w:val="00035D8D"/>
    <w:rsid w:val="000363E2"/>
    <w:rsid w:val="00036851"/>
    <w:rsid w:val="000369EE"/>
    <w:rsid w:val="000370AF"/>
    <w:rsid w:val="000372C9"/>
    <w:rsid w:val="000373AC"/>
    <w:rsid w:val="00040320"/>
    <w:rsid w:val="00040536"/>
    <w:rsid w:val="00040E7F"/>
    <w:rsid w:val="00040F58"/>
    <w:rsid w:val="000410E6"/>
    <w:rsid w:val="00041CF5"/>
    <w:rsid w:val="00041CFD"/>
    <w:rsid w:val="00041F1E"/>
    <w:rsid w:val="00041F31"/>
    <w:rsid w:val="00042099"/>
    <w:rsid w:val="0004215B"/>
    <w:rsid w:val="00042502"/>
    <w:rsid w:val="000428FA"/>
    <w:rsid w:val="000436F7"/>
    <w:rsid w:val="0004379B"/>
    <w:rsid w:val="00043FEA"/>
    <w:rsid w:val="00044A5D"/>
    <w:rsid w:val="00044B0B"/>
    <w:rsid w:val="0004663B"/>
    <w:rsid w:val="00046F4F"/>
    <w:rsid w:val="000470EC"/>
    <w:rsid w:val="00047A1C"/>
    <w:rsid w:val="00047BA8"/>
    <w:rsid w:val="00047DA5"/>
    <w:rsid w:val="00050C70"/>
    <w:rsid w:val="00050D21"/>
    <w:rsid w:val="00050D72"/>
    <w:rsid w:val="00050FAB"/>
    <w:rsid w:val="00050FE1"/>
    <w:rsid w:val="0005141B"/>
    <w:rsid w:val="00051A20"/>
    <w:rsid w:val="00051C72"/>
    <w:rsid w:val="00051F5B"/>
    <w:rsid w:val="00052172"/>
    <w:rsid w:val="00052F14"/>
    <w:rsid w:val="000530C0"/>
    <w:rsid w:val="000536CD"/>
    <w:rsid w:val="00053893"/>
    <w:rsid w:val="00053912"/>
    <w:rsid w:val="00054383"/>
    <w:rsid w:val="00054571"/>
    <w:rsid w:val="000548B1"/>
    <w:rsid w:val="00054ECB"/>
    <w:rsid w:val="00055587"/>
    <w:rsid w:val="0005726A"/>
    <w:rsid w:val="0005733C"/>
    <w:rsid w:val="000577A3"/>
    <w:rsid w:val="00057971"/>
    <w:rsid w:val="00057BAF"/>
    <w:rsid w:val="000600DA"/>
    <w:rsid w:val="00060543"/>
    <w:rsid w:val="00060771"/>
    <w:rsid w:val="00060B46"/>
    <w:rsid w:val="00060B47"/>
    <w:rsid w:val="00060B81"/>
    <w:rsid w:val="00060D94"/>
    <w:rsid w:val="00060EDA"/>
    <w:rsid w:val="00061C26"/>
    <w:rsid w:val="00061D06"/>
    <w:rsid w:val="00062092"/>
    <w:rsid w:val="00062202"/>
    <w:rsid w:val="000622DA"/>
    <w:rsid w:val="00062F44"/>
    <w:rsid w:val="00062F58"/>
    <w:rsid w:val="00063294"/>
    <w:rsid w:val="0006352C"/>
    <w:rsid w:val="000635BE"/>
    <w:rsid w:val="000635C3"/>
    <w:rsid w:val="00063C2E"/>
    <w:rsid w:val="0006457F"/>
    <w:rsid w:val="00064B0F"/>
    <w:rsid w:val="00064B66"/>
    <w:rsid w:val="00064C86"/>
    <w:rsid w:val="00064F6F"/>
    <w:rsid w:val="0006507C"/>
    <w:rsid w:val="000650C7"/>
    <w:rsid w:val="0006542C"/>
    <w:rsid w:val="00065DE2"/>
    <w:rsid w:val="0006634D"/>
    <w:rsid w:val="00066827"/>
    <w:rsid w:val="00066E37"/>
    <w:rsid w:val="00066EFC"/>
    <w:rsid w:val="0006704A"/>
    <w:rsid w:val="000675B2"/>
    <w:rsid w:val="00067957"/>
    <w:rsid w:val="00067AFD"/>
    <w:rsid w:val="00070563"/>
    <w:rsid w:val="000709CE"/>
    <w:rsid w:val="00070B16"/>
    <w:rsid w:val="00070D50"/>
    <w:rsid w:val="00070FB7"/>
    <w:rsid w:val="000720AF"/>
    <w:rsid w:val="0007287F"/>
    <w:rsid w:val="00072B40"/>
    <w:rsid w:val="00072B59"/>
    <w:rsid w:val="00072C6A"/>
    <w:rsid w:val="00072D7C"/>
    <w:rsid w:val="000730B0"/>
    <w:rsid w:val="00073948"/>
    <w:rsid w:val="00073B76"/>
    <w:rsid w:val="00073D26"/>
    <w:rsid w:val="00075289"/>
    <w:rsid w:val="00075855"/>
    <w:rsid w:val="000758F1"/>
    <w:rsid w:val="00075CE6"/>
    <w:rsid w:val="00075EAA"/>
    <w:rsid w:val="00075F26"/>
    <w:rsid w:val="0007658E"/>
    <w:rsid w:val="00076DC9"/>
    <w:rsid w:val="00077A7F"/>
    <w:rsid w:val="00077D65"/>
    <w:rsid w:val="0008036C"/>
    <w:rsid w:val="00080401"/>
    <w:rsid w:val="0008051C"/>
    <w:rsid w:val="000808A0"/>
    <w:rsid w:val="000813E9"/>
    <w:rsid w:val="00081850"/>
    <w:rsid w:val="00081C96"/>
    <w:rsid w:val="00081EF1"/>
    <w:rsid w:val="00082203"/>
    <w:rsid w:val="0008239F"/>
    <w:rsid w:val="00082A6C"/>
    <w:rsid w:val="00082BD5"/>
    <w:rsid w:val="00082FCB"/>
    <w:rsid w:val="00083151"/>
    <w:rsid w:val="0008335D"/>
    <w:rsid w:val="000836E2"/>
    <w:rsid w:val="00083854"/>
    <w:rsid w:val="00084126"/>
    <w:rsid w:val="00084157"/>
    <w:rsid w:val="00084393"/>
    <w:rsid w:val="0008491B"/>
    <w:rsid w:val="00084BCC"/>
    <w:rsid w:val="00085068"/>
    <w:rsid w:val="00085F9F"/>
    <w:rsid w:val="0008702B"/>
    <w:rsid w:val="00087655"/>
    <w:rsid w:val="000877A5"/>
    <w:rsid w:val="000877BE"/>
    <w:rsid w:val="000877E4"/>
    <w:rsid w:val="000901F3"/>
    <w:rsid w:val="000905D1"/>
    <w:rsid w:val="00090817"/>
    <w:rsid w:val="0009083C"/>
    <w:rsid w:val="00090955"/>
    <w:rsid w:val="00090A67"/>
    <w:rsid w:val="00090B3A"/>
    <w:rsid w:val="00090BE2"/>
    <w:rsid w:val="00090D36"/>
    <w:rsid w:val="00090F77"/>
    <w:rsid w:val="0009103F"/>
    <w:rsid w:val="0009119C"/>
    <w:rsid w:val="00091211"/>
    <w:rsid w:val="000919BD"/>
    <w:rsid w:val="0009218D"/>
    <w:rsid w:val="00092A81"/>
    <w:rsid w:val="00092B56"/>
    <w:rsid w:val="00092D1C"/>
    <w:rsid w:val="00092D92"/>
    <w:rsid w:val="00092E50"/>
    <w:rsid w:val="00092EF3"/>
    <w:rsid w:val="000931A7"/>
    <w:rsid w:val="0009325A"/>
    <w:rsid w:val="000935FC"/>
    <w:rsid w:val="000938EC"/>
    <w:rsid w:val="00093E70"/>
    <w:rsid w:val="00093F6B"/>
    <w:rsid w:val="0009408A"/>
    <w:rsid w:val="0009470F"/>
    <w:rsid w:val="000948F1"/>
    <w:rsid w:val="0009546E"/>
    <w:rsid w:val="00095CC8"/>
    <w:rsid w:val="0009600B"/>
    <w:rsid w:val="00096254"/>
    <w:rsid w:val="00096272"/>
    <w:rsid w:val="000967C7"/>
    <w:rsid w:val="00096C0C"/>
    <w:rsid w:val="00096E7B"/>
    <w:rsid w:val="00096E88"/>
    <w:rsid w:val="000970B6"/>
    <w:rsid w:val="000977E1"/>
    <w:rsid w:val="00097810"/>
    <w:rsid w:val="00097848"/>
    <w:rsid w:val="00097FE3"/>
    <w:rsid w:val="000A172E"/>
    <w:rsid w:val="000A1791"/>
    <w:rsid w:val="000A180D"/>
    <w:rsid w:val="000A1C1E"/>
    <w:rsid w:val="000A1C4E"/>
    <w:rsid w:val="000A1E1A"/>
    <w:rsid w:val="000A214F"/>
    <w:rsid w:val="000A2196"/>
    <w:rsid w:val="000A324F"/>
    <w:rsid w:val="000A354D"/>
    <w:rsid w:val="000A35FD"/>
    <w:rsid w:val="000A3899"/>
    <w:rsid w:val="000A4965"/>
    <w:rsid w:val="000A4D5F"/>
    <w:rsid w:val="000A5400"/>
    <w:rsid w:val="000A57EB"/>
    <w:rsid w:val="000A5911"/>
    <w:rsid w:val="000A5B45"/>
    <w:rsid w:val="000A5BD4"/>
    <w:rsid w:val="000A5D07"/>
    <w:rsid w:val="000A5F9E"/>
    <w:rsid w:val="000A60A4"/>
    <w:rsid w:val="000A6559"/>
    <w:rsid w:val="000A65B5"/>
    <w:rsid w:val="000A686A"/>
    <w:rsid w:val="000A6EF9"/>
    <w:rsid w:val="000A7028"/>
    <w:rsid w:val="000A7166"/>
    <w:rsid w:val="000A7452"/>
    <w:rsid w:val="000A7AFC"/>
    <w:rsid w:val="000A7C7A"/>
    <w:rsid w:val="000A7DDC"/>
    <w:rsid w:val="000A7F0E"/>
    <w:rsid w:val="000B0BE5"/>
    <w:rsid w:val="000B0E42"/>
    <w:rsid w:val="000B12A3"/>
    <w:rsid w:val="000B174C"/>
    <w:rsid w:val="000B180E"/>
    <w:rsid w:val="000B1A9E"/>
    <w:rsid w:val="000B1F52"/>
    <w:rsid w:val="000B21D3"/>
    <w:rsid w:val="000B239C"/>
    <w:rsid w:val="000B24EF"/>
    <w:rsid w:val="000B2624"/>
    <w:rsid w:val="000B2649"/>
    <w:rsid w:val="000B2E5D"/>
    <w:rsid w:val="000B2F5A"/>
    <w:rsid w:val="000B31CB"/>
    <w:rsid w:val="000B32E2"/>
    <w:rsid w:val="000B3455"/>
    <w:rsid w:val="000B3521"/>
    <w:rsid w:val="000B3F08"/>
    <w:rsid w:val="000B3F97"/>
    <w:rsid w:val="000B41C5"/>
    <w:rsid w:val="000B4511"/>
    <w:rsid w:val="000B4906"/>
    <w:rsid w:val="000B49EA"/>
    <w:rsid w:val="000B50DF"/>
    <w:rsid w:val="000B5641"/>
    <w:rsid w:val="000B5A9E"/>
    <w:rsid w:val="000B5DAA"/>
    <w:rsid w:val="000B5DD9"/>
    <w:rsid w:val="000B5F05"/>
    <w:rsid w:val="000B647F"/>
    <w:rsid w:val="000B6A68"/>
    <w:rsid w:val="000B6E79"/>
    <w:rsid w:val="000B7225"/>
    <w:rsid w:val="000C0A0B"/>
    <w:rsid w:val="000C0DCB"/>
    <w:rsid w:val="000C0EC9"/>
    <w:rsid w:val="000C141E"/>
    <w:rsid w:val="000C1C4A"/>
    <w:rsid w:val="000C1CA7"/>
    <w:rsid w:val="000C2471"/>
    <w:rsid w:val="000C2A90"/>
    <w:rsid w:val="000C39DD"/>
    <w:rsid w:val="000C39EE"/>
    <w:rsid w:val="000C3B06"/>
    <w:rsid w:val="000C43FB"/>
    <w:rsid w:val="000C4564"/>
    <w:rsid w:val="000C48F6"/>
    <w:rsid w:val="000C495D"/>
    <w:rsid w:val="000C4ADC"/>
    <w:rsid w:val="000C4B93"/>
    <w:rsid w:val="000C4C17"/>
    <w:rsid w:val="000C4F04"/>
    <w:rsid w:val="000C4F3A"/>
    <w:rsid w:val="000C4F48"/>
    <w:rsid w:val="000C51F8"/>
    <w:rsid w:val="000C55B0"/>
    <w:rsid w:val="000C5A64"/>
    <w:rsid w:val="000C5B55"/>
    <w:rsid w:val="000C5DB6"/>
    <w:rsid w:val="000C68BD"/>
    <w:rsid w:val="000C6B05"/>
    <w:rsid w:val="000C6C88"/>
    <w:rsid w:val="000C715E"/>
    <w:rsid w:val="000C72A8"/>
    <w:rsid w:val="000D0605"/>
    <w:rsid w:val="000D07BA"/>
    <w:rsid w:val="000D0B2B"/>
    <w:rsid w:val="000D0EA8"/>
    <w:rsid w:val="000D13B4"/>
    <w:rsid w:val="000D14EB"/>
    <w:rsid w:val="000D1663"/>
    <w:rsid w:val="000D1D3A"/>
    <w:rsid w:val="000D22CB"/>
    <w:rsid w:val="000D2423"/>
    <w:rsid w:val="000D244D"/>
    <w:rsid w:val="000D2510"/>
    <w:rsid w:val="000D26BB"/>
    <w:rsid w:val="000D272C"/>
    <w:rsid w:val="000D2815"/>
    <w:rsid w:val="000D294C"/>
    <w:rsid w:val="000D2C13"/>
    <w:rsid w:val="000D2E68"/>
    <w:rsid w:val="000D3181"/>
    <w:rsid w:val="000D3459"/>
    <w:rsid w:val="000D3B86"/>
    <w:rsid w:val="000D40B7"/>
    <w:rsid w:val="000D45DC"/>
    <w:rsid w:val="000D4986"/>
    <w:rsid w:val="000D4B6F"/>
    <w:rsid w:val="000D4F0B"/>
    <w:rsid w:val="000D5327"/>
    <w:rsid w:val="000D57F3"/>
    <w:rsid w:val="000D5BE0"/>
    <w:rsid w:val="000D5F1A"/>
    <w:rsid w:val="000D5FB3"/>
    <w:rsid w:val="000D60DA"/>
    <w:rsid w:val="000D60FF"/>
    <w:rsid w:val="000D63DF"/>
    <w:rsid w:val="000D6549"/>
    <w:rsid w:val="000D697B"/>
    <w:rsid w:val="000D7195"/>
    <w:rsid w:val="000D7240"/>
    <w:rsid w:val="000D7638"/>
    <w:rsid w:val="000D7866"/>
    <w:rsid w:val="000D7D6D"/>
    <w:rsid w:val="000E010C"/>
    <w:rsid w:val="000E0411"/>
    <w:rsid w:val="000E0642"/>
    <w:rsid w:val="000E0B9D"/>
    <w:rsid w:val="000E105B"/>
    <w:rsid w:val="000E149B"/>
    <w:rsid w:val="000E15F2"/>
    <w:rsid w:val="000E1824"/>
    <w:rsid w:val="000E1852"/>
    <w:rsid w:val="000E198B"/>
    <w:rsid w:val="000E19BF"/>
    <w:rsid w:val="000E1E6F"/>
    <w:rsid w:val="000E1FAD"/>
    <w:rsid w:val="000E227E"/>
    <w:rsid w:val="000E2376"/>
    <w:rsid w:val="000E2686"/>
    <w:rsid w:val="000E2B9A"/>
    <w:rsid w:val="000E2D03"/>
    <w:rsid w:val="000E2F7F"/>
    <w:rsid w:val="000E3263"/>
    <w:rsid w:val="000E3922"/>
    <w:rsid w:val="000E42D2"/>
    <w:rsid w:val="000E45BE"/>
    <w:rsid w:val="000E49FC"/>
    <w:rsid w:val="000E4AFD"/>
    <w:rsid w:val="000E523C"/>
    <w:rsid w:val="000E5C8A"/>
    <w:rsid w:val="000E5D5A"/>
    <w:rsid w:val="000E5F71"/>
    <w:rsid w:val="000E70B9"/>
    <w:rsid w:val="000E7494"/>
    <w:rsid w:val="000E74AD"/>
    <w:rsid w:val="000E7708"/>
    <w:rsid w:val="000E799C"/>
    <w:rsid w:val="000E7FB9"/>
    <w:rsid w:val="000F0081"/>
    <w:rsid w:val="000F0233"/>
    <w:rsid w:val="000F06A8"/>
    <w:rsid w:val="000F095A"/>
    <w:rsid w:val="000F0C65"/>
    <w:rsid w:val="000F0EB6"/>
    <w:rsid w:val="000F1058"/>
    <w:rsid w:val="000F1776"/>
    <w:rsid w:val="000F225C"/>
    <w:rsid w:val="000F2AFC"/>
    <w:rsid w:val="000F30B2"/>
    <w:rsid w:val="000F3B18"/>
    <w:rsid w:val="000F3D98"/>
    <w:rsid w:val="000F4339"/>
    <w:rsid w:val="000F43E3"/>
    <w:rsid w:val="000F450E"/>
    <w:rsid w:val="000F4E2C"/>
    <w:rsid w:val="000F4E36"/>
    <w:rsid w:val="000F4FC4"/>
    <w:rsid w:val="000F5598"/>
    <w:rsid w:val="000F56AF"/>
    <w:rsid w:val="000F578E"/>
    <w:rsid w:val="000F5A70"/>
    <w:rsid w:val="000F5E81"/>
    <w:rsid w:val="000F66FA"/>
    <w:rsid w:val="000F68AA"/>
    <w:rsid w:val="000F6DBE"/>
    <w:rsid w:val="000F78FA"/>
    <w:rsid w:val="001000E8"/>
    <w:rsid w:val="0010029F"/>
    <w:rsid w:val="00101C7D"/>
    <w:rsid w:val="00102473"/>
    <w:rsid w:val="00102582"/>
    <w:rsid w:val="0010280D"/>
    <w:rsid w:val="001029F5"/>
    <w:rsid w:val="00102DFD"/>
    <w:rsid w:val="00102E07"/>
    <w:rsid w:val="00103187"/>
    <w:rsid w:val="00103203"/>
    <w:rsid w:val="0010322A"/>
    <w:rsid w:val="001032E8"/>
    <w:rsid w:val="00103F65"/>
    <w:rsid w:val="00103FD2"/>
    <w:rsid w:val="0010411C"/>
    <w:rsid w:val="00104D34"/>
    <w:rsid w:val="00105406"/>
    <w:rsid w:val="0010596C"/>
    <w:rsid w:val="001059B9"/>
    <w:rsid w:val="001059C8"/>
    <w:rsid w:val="00106730"/>
    <w:rsid w:val="001070C5"/>
    <w:rsid w:val="00107305"/>
    <w:rsid w:val="00107551"/>
    <w:rsid w:val="001077C0"/>
    <w:rsid w:val="00107822"/>
    <w:rsid w:val="00107C69"/>
    <w:rsid w:val="001108E4"/>
    <w:rsid w:val="00110D1D"/>
    <w:rsid w:val="00110E56"/>
    <w:rsid w:val="0011175D"/>
    <w:rsid w:val="00111AB2"/>
    <w:rsid w:val="001120C9"/>
    <w:rsid w:val="00112727"/>
    <w:rsid w:val="00112A2F"/>
    <w:rsid w:val="00112E77"/>
    <w:rsid w:val="00112F7E"/>
    <w:rsid w:val="00113658"/>
    <w:rsid w:val="00114171"/>
    <w:rsid w:val="0011480A"/>
    <w:rsid w:val="00114944"/>
    <w:rsid w:val="001149B5"/>
    <w:rsid w:val="00114B09"/>
    <w:rsid w:val="00114DBA"/>
    <w:rsid w:val="001153F1"/>
    <w:rsid w:val="0011570A"/>
    <w:rsid w:val="00115862"/>
    <w:rsid w:val="0011588A"/>
    <w:rsid w:val="00115BD0"/>
    <w:rsid w:val="001160E8"/>
    <w:rsid w:val="001165E1"/>
    <w:rsid w:val="00116764"/>
    <w:rsid w:val="00116A4E"/>
    <w:rsid w:val="00116E9B"/>
    <w:rsid w:val="001172ED"/>
    <w:rsid w:val="00117315"/>
    <w:rsid w:val="001176A7"/>
    <w:rsid w:val="00117A2F"/>
    <w:rsid w:val="00117A60"/>
    <w:rsid w:val="00117C9D"/>
    <w:rsid w:val="001201D8"/>
    <w:rsid w:val="001202A3"/>
    <w:rsid w:val="00120499"/>
    <w:rsid w:val="00120527"/>
    <w:rsid w:val="001211FA"/>
    <w:rsid w:val="00121894"/>
    <w:rsid w:val="00122108"/>
    <w:rsid w:val="001222EC"/>
    <w:rsid w:val="00122C03"/>
    <w:rsid w:val="00122D3C"/>
    <w:rsid w:val="001230F4"/>
    <w:rsid w:val="0012337A"/>
    <w:rsid w:val="001239F2"/>
    <w:rsid w:val="00123B7C"/>
    <w:rsid w:val="00123E4C"/>
    <w:rsid w:val="00123F28"/>
    <w:rsid w:val="00123FCC"/>
    <w:rsid w:val="001240EB"/>
    <w:rsid w:val="0012459E"/>
    <w:rsid w:val="0012480B"/>
    <w:rsid w:val="0012595A"/>
    <w:rsid w:val="00125B85"/>
    <w:rsid w:val="00125E31"/>
    <w:rsid w:val="001268D4"/>
    <w:rsid w:val="00127340"/>
    <w:rsid w:val="0012743C"/>
    <w:rsid w:val="00127490"/>
    <w:rsid w:val="001274DF"/>
    <w:rsid w:val="0012750D"/>
    <w:rsid w:val="00127552"/>
    <w:rsid w:val="0012775B"/>
    <w:rsid w:val="001277C1"/>
    <w:rsid w:val="00127E3F"/>
    <w:rsid w:val="00127E7C"/>
    <w:rsid w:val="00130C42"/>
    <w:rsid w:val="00131031"/>
    <w:rsid w:val="00131EB3"/>
    <w:rsid w:val="00131FA5"/>
    <w:rsid w:val="00132185"/>
    <w:rsid w:val="00132316"/>
    <w:rsid w:val="001323D0"/>
    <w:rsid w:val="0013257B"/>
    <w:rsid w:val="00132DAA"/>
    <w:rsid w:val="001335B5"/>
    <w:rsid w:val="00133D3F"/>
    <w:rsid w:val="00135307"/>
    <w:rsid w:val="00135475"/>
    <w:rsid w:val="001354F0"/>
    <w:rsid w:val="001354FA"/>
    <w:rsid w:val="0013588A"/>
    <w:rsid w:val="0013597D"/>
    <w:rsid w:val="00135CA9"/>
    <w:rsid w:val="00135E26"/>
    <w:rsid w:val="00135F92"/>
    <w:rsid w:val="001367CC"/>
    <w:rsid w:val="00136A66"/>
    <w:rsid w:val="00136FAA"/>
    <w:rsid w:val="0013794D"/>
    <w:rsid w:val="00137ADF"/>
    <w:rsid w:val="00137F9A"/>
    <w:rsid w:val="00140141"/>
    <w:rsid w:val="00140151"/>
    <w:rsid w:val="00140308"/>
    <w:rsid w:val="00140D97"/>
    <w:rsid w:val="001410F2"/>
    <w:rsid w:val="001412F2"/>
    <w:rsid w:val="001414A2"/>
    <w:rsid w:val="00141B3B"/>
    <w:rsid w:val="001420C5"/>
    <w:rsid w:val="001420CA"/>
    <w:rsid w:val="00142945"/>
    <w:rsid w:val="00142CF5"/>
    <w:rsid w:val="00142F0B"/>
    <w:rsid w:val="00142FB0"/>
    <w:rsid w:val="0014358B"/>
    <w:rsid w:val="00143884"/>
    <w:rsid w:val="00143BB2"/>
    <w:rsid w:val="00143D23"/>
    <w:rsid w:val="0014440C"/>
    <w:rsid w:val="0014523D"/>
    <w:rsid w:val="001452F3"/>
    <w:rsid w:val="0014618E"/>
    <w:rsid w:val="001462D8"/>
    <w:rsid w:val="00147113"/>
    <w:rsid w:val="001473C1"/>
    <w:rsid w:val="00147AEC"/>
    <w:rsid w:val="00147E3A"/>
    <w:rsid w:val="00147E81"/>
    <w:rsid w:val="00147F17"/>
    <w:rsid w:val="00147F69"/>
    <w:rsid w:val="00150289"/>
    <w:rsid w:val="00150480"/>
    <w:rsid w:val="00150868"/>
    <w:rsid w:val="00150BAE"/>
    <w:rsid w:val="0015141A"/>
    <w:rsid w:val="001517EA"/>
    <w:rsid w:val="00151991"/>
    <w:rsid w:val="0015246D"/>
    <w:rsid w:val="00152576"/>
    <w:rsid w:val="0015299E"/>
    <w:rsid w:val="00152AF2"/>
    <w:rsid w:val="00152BB6"/>
    <w:rsid w:val="00152D09"/>
    <w:rsid w:val="00153566"/>
    <w:rsid w:val="00154483"/>
    <w:rsid w:val="00154632"/>
    <w:rsid w:val="00154C58"/>
    <w:rsid w:val="001550AF"/>
    <w:rsid w:val="0015512D"/>
    <w:rsid w:val="001552CE"/>
    <w:rsid w:val="0015543C"/>
    <w:rsid w:val="001554A1"/>
    <w:rsid w:val="00155976"/>
    <w:rsid w:val="0015601F"/>
    <w:rsid w:val="0015620D"/>
    <w:rsid w:val="00156322"/>
    <w:rsid w:val="00156540"/>
    <w:rsid w:val="00156880"/>
    <w:rsid w:val="00157301"/>
    <w:rsid w:val="00157302"/>
    <w:rsid w:val="0015732E"/>
    <w:rsid w:val="0015773F"/>
    <w:rsid w:val="00157781"/>
    <w:rsid w:val="0016026E"/>
    <w:rsid w:val="00160C1A"/>
    <w:rsid w:val="00160CB5"/>
    <w:rsid w:val="00161117"/>
    <w:rsid w:val="001615F9"/>
    <w:rsid w:val="00161767"/>
    <w:rsid w:val="001626C1"/>
    <w:rsid w:val="00162A39"/>
    <w:rsid w:val="00163482"/>
    <w:rsid w:val="00163DF9"/>
    <w:rsid w:val="0016406B"/>
    <w:rsid w:val="00164545"/>
    <w:rsid w:val="00164C0E"/>
    <w:rsid w:val="00165893"/>
    <w:rsid w:val="00165F14"/>
    <w:rsid w:val="00166076"/>
    <w:rsid w:val="001667E4"/>
    <w:rsid w:val="00166DE5"/>
    <w:rsid w:val="00167732"/>
    <w:rsid w:val="00167ADD"/>
    <w:rsid w:val="001706EB"/>
    <w:rsid w:val="001707FD"/>
    <w:rsid w:val="0017121B"/>
    <w:rsid w:val="0017184E"/>
    <w:rsid w:val="00171D7E"/>
    <w:rsid w:val="00172706"/>
    <w:rsid w:val="0017285B"/>
    <w:rsid w:val="0017291A"/>
    <w:rsid w:val="00172A64"/>
    <w:rsid w:val="00172CFE"/>
    <w:rsid w:val="001739A4"/>
    <w:rsid w:val="00173C22"/>
    <w:rsid w:val="00173CC3"/>
    <w:rsid w:val="001740F3"/>
    <w:rsid w:val="00174121"/>
    <w:rsid w:val="0017431F"/>
    <w:rsid w:val="00174859"/>
    <w:rsid w:val="001754EE"/>
    <w:rsid w:val="001757B3"/>
    <w:rsid w:val="00175A77"/>
    <w:rsid w:val="00176068"/>
    <w:rsid w:val="00176C80"/>
    <w:rsid w:val="00176E8A"/>
    <w:rsid w:val="001772CC"/>
    <w:rsid w:val="0017758D"/>
    <w:rsid w:val="00177590"/>
    <w:rsid w:val="00177920"/>
    <w:rsid w:val="00177D41"/>
    <w:rsid w:val="00177FD4"/>
    <w:rsid w:val="00180290"/>
    <w:rsid w:val="00180524"/>
    <w:rsid w:val="0018063A"/>
    <w:rsid w:val="00180688"/>
    <w:rsid w:val="00180C7C"/>
    <w:rsid w:val="00180FB2"/>
    <w:rsid w:val="001812EA"/>
    <w:rsid w:val="0018141E"/>
    <w:rsid w:val="00181A1B"/>
    <w:rsid w:val="00181A40"/>
    <w:rsid w:val="00181ADE"/>
    <w:rsid w:val="00181E25"/>
    <w:rsid w:val="00181F3E"/>
    <w:rsid w:val="00181FA3"/>
    <w:rsid w:val="001820DF"/>
    <w:rsid w:val="001822EC"/>
    <w:rsid w:val="00182327"/>
    <w:rsid w:val="001824D5"/>
    <w:rsid w:val="0018263D"/>
    <w:rsid w:val="001827D1"/>
    <w:rsid w:val="001827E7"/>
    <w:rsid w:val="00182BC2"/>
    <w:rsid w:val="001833D3"/>
    <w:rsid w:val="00183624"/>
    <w:rsid w:val="001836C7"/>
    <w:rsid w:val="00183EA7"/>
    <w:rsid w:val="00184231"/>
    <w:rsid w:val="00184390"/>
    <w:rsid w:val="00184658"/>
    <w:rsid w:val="001848C7"/>
    <w:rsid w:val="00184962"/>
    <w:rsid w:val="00184DDB"/>
    <w:rsid w:val="001852AB"/>
    <w:rsid w:val="001861C0"/>
    <w:rsid w:val="001868CF"/>
    <w:rsid w:val="00186E15"/>
    <w:rsid w:val="00186FAA"/>
    <w:rsid w:val="001872D3"/>
    <w:rsid w:val="0018756E"/>
    <w:rsid w:val="00187746"/>
    <w:rsid w:val="00190574"/>
    <w:rsid w:val="00190AF6"/>
    <w:rsid w:val="00190CB4"/>
    <w:rsid w:val="0019115B"/>
    <w:rsid w:val="0019121F"/>
    <w:rsid w:val="001919D9"/>
    <w:rsid w:val="001920D7"/>
    <w:rsid w:val="00192274"/>
    <w:rsid w:val="0019258A"/>
    <w:rsid w:val="001926B8"/>
    <w:rsid w:val="00192E75"/>
    <w:rsid w:val="0019323A"/>
    <w:rsid w:val="001932D3"/>
    <w:rsid w:val="0019364B"/>
    <w:rsid w:val="001939BD"/>
    <w:rsid w:val="00193BB4"/>
    <w:rsid w:val="00194C71"/>
    <w:rsid w:val="0019504C"/>
    <w:rsid w:val="00195460"/>
    <w:rsid w:val="001956CB"/>
    <w:rsid w:val="00195B57"/>
    <w:rsid w:val="0019609B"/>
    <w:rsid w:val="0019639E"/>
    <w:rsid w:val="0019680F"/>
    <w:rsid w:val="00196D06"/>
    <w:rsid w:val="001970E6"/>
    <w:rsid w:val="00197452"/>
    <w:rsid w:val="0019751F"/>
    <w:rsid w:val="00197884"/>
    <w:rsid w:val="00197AF7"/>
    <w:rsid w:val="00197B3B"/>
    <w:rsid w:val="00197B56"/>
    <w:rsid w:val="00197EC5"/>
    <w:rsid w:val="00197FA6"/>
    <w:rsid w:val="001A045C"/>
    <w:rsid w:val="001A0698"/>
    <w:rsid w:val="001A0853"/>
    <w:rsid w:val="001A0A59"/>
    <w:rsid w:val="001A0A78"/>
    <w:rsid w:val="001A0CD6"/>
    <w:rsid w:val="001A0D90"/>
    <w:rsid w:val="001A10EC"/>
    <w:rsid w:val="001A14BD"/>
    <w:rsid w:val="001A2106"/>
    <w:rsid w:val="001A26E0"/>
    <w:rsid w:val="001A289D"/>
    <w:rsid w:val="001A2F05"/>
    <w:rsid w:val="001A3754"/>
    <w:rsid w:val="001A3BA3"/>
    <w:rsid w:val="001A3DBC"/>
    <w:rsid w:val="001A4528"/>
    <w:rsid w:val="001A46CC"/>
    <w:rsid w:val="001A4DF5"/>
    <w:rsid w:val="001A5326"/>
    <w:rsid w:val="001A5725"/>
    <w:rsid w:val="001A5DC2"/>
    <w:rsid w:val="001A6334"/>
    <w:rsid w:val="001A66B7"/>
    <w:rsid w:val="001A711F"/>
    <w:rsid w:val="001A7249"/>
    <w:rsid w:val="001A7426"/>
    <w:rsid w:val="001A7712"/>
    <w:rsid w:val="001A77D4"/>
    <w:rsid w:val="001A7A0F"/>
    <w:rsid w:val="001A7D1E"/>
    <w:rsid w:val="001B0183"/>
    <w:rsid w:val="001B0AA3"/>
    <w:rsid w:val="001B0BA7"/>
    <w:rsid w:val="001B0DA4"/>
    <w:rsid w:val="001B0E65"/>
    <w:rsid w:val="001B0E7E"/>
    <w:rsid w:val="001B107B"/>
    <w:rsid w:val="001B10C5"/>
    <w:rsid w:val="001B1E6B"/>
    <w:rsid w:val="001B20B2"/>
    <w:rsid w:val="001B21F7"/>
    <w:rsid w:val="001B2758"/>
    <w:rsid w:val="001B4268"/>
    <w:rsid w:val="001B4472"/>
    <w:rsid w:val="001B484F"/>
    <w:rsid w:val="001B4BFD"/>
    <w:rsid w:val="001B4DE1"/>
    <w:rsid w:val="001B4F88"/>
    <w:rsid w:val="001B5204"/>
    <w:rsid w:val="001B59B4"/>
    <w:rsid w:val="001B604F"/>
    <w:rsid w:val="001B607C"/>
    <w:rsid w:val="001B64C1"/>
    <w:rsid w:val="001B67E5"/>
    <w:rsid w:val="001B6FA3"/>
    <w:rsid w:val="001B75AD"/>
    <w:rsid w:val="001B7757"/>
    <w:rsid w:val="001C0CE0"/>
    <w:rsid w:val="001C124C"/>
    <w:rsid w:val="001C13ED"/>
    <w:rsid w:val="001C1BE3"/>
    <w:rsid w:val="001C1D4A"/>
    <w:rsid w:val="001C1DAF"/>
    <w:rsid w:val="001C1E3A"/>
    <w:rsid w:val="001C1FB5"/>
    <w:rsid w:val="001C2810"/>
    <w:rsid w:val="001C29BA"/>
    <w:rsid w:val="001C3386"/>
    <w:rsid w:val="001C37DD"/>
    <w:rsid w:val="001C3DCE"/>
    <w:rsid w:val="001C4FF8"/>
    <w:rsid w:val="001C513A"/>
    <w:rsid w:val="001C5958"/>
    <w:rsid w:val="001C5A65"/>
    <w:rsid w:val="001C752B"/>
    <w:rsid w:val="001C7706"/>
    <w:rsid w:val="001C7B67"/>
    <w:rsid w:val="001D0710"/>
    <w:rsid w:val="001D076F"/>
    <w:rsid w:val="001D0AD4"/>
    <w:rsid w:val="001D0BAB"/>
    <w:rsid w:val="001D1394"/>
    <w:rsid w:val="001D13B0"/>
    <w:rsid w:val="001D1454"/>
    <w:rsid w:val="001D160E"/>
    <w:rsid w:val="001D1630"/>
    <w:rsid w:val="001D1C59"/>
    <w:rsid w:val="001D211C"/>
    <w:rsid w:val="001D21C5"/>
    <w:rsid w:val="001D221D"/>
    <w:rsid w:val="001D23B6"/>
    <w:rsid w:val="001D2849"/>
    <w:rsid w:val="001D28E3"/>
    <w:rsid w:val="001D2E54"/>
    <w:rsid w:val="001D3237"/>
    <w:rsid w:val="001D33D6"/>
    <w:rsid w:val="001D39FD"/>
    <w:rsid w:val="001D3C73"/>
    <w:rsid w:val="001D3D42"/>
    <w:rsid w:val="001D4DCC"/>
    <w:rsid w:val="001D53D2"/>
    <w:rsid w:val="001D559C"/>
    <w:rsid w:val="001D55A3"/>
    <w:rsid w:val="001D5B31"/>
    <w:rsid w:val="001D5B61"/>
    <w:rsid w:val="001D5D2A"/>
    <w:rsid w:val="001D6024"/>
    <w:rsid w:val="001D6472"/>
    <w:rsid w:val="001D6565"/>
    <w:rsid w:val="001D6D55"/>
    <w:rsid w:val="001D70DB"/>
    <w:rsid w:val="001D72E8"/>
    <w:rsid w:val="001D7583"/>
    <w:rsid w:val="001D77C3"/>
    <w:rsid w:val="001D7926"/>
    <w:rsid w:val="001E0DF0"/>
    <w:rsid w:val="001E1240"/>
    <w:rsid w:val="001E1458"/>
    <w:rsid w:val="001E14FA"/>
    <w:rsid w:val="001E16CC"/>
    <w:rsid w:val="001E1EFD"/>
    <w:rsid w:val="001E1F96"/>
    <w:rsid w:val="001E217E"/>
    <w:rsid w:val="001E276D"/>
    <w:rsid w:val="001E29A3"/>
    <w:rsid w:val="001E2BAA"/>
    <w:rsid w:val="001E2CEB"/>
    <w:rsid w:val="001E2ECA"/>
    <w:rsid w:val="001E3994"/>
    <w:rsid w:val="001E40E3"/>
    <w:rsid w:val="001E43ED"/>
    <w:rsid w:val="001E49DA"/>
    <w:rsid w:val="001E4A42"/>
    <w:rsid w:val="001E54C9"/>
    <w:rsid w:val="001E56B4"/>
    <w:rsid w:val="001E5866"/>
    <w:rsid w:val="001E5FBC"/>
    <w:rsid w:val="001E63DD"/>
    <w:rsid w:val="001E694D"/>
    <w:rsid w:val="001E6A54"/>
    <w:rsid w:val="001E6E6A"/>
    <w:rsid w:val="001E6F3B"/>
    <w:rsid w:val="001E6FBA"/>
    <w:rsid w:val="001E6FD3"/>
    <w:rsid w:val="001E70D1"/>
    <w:rsid w:val="001E713C"/>
    <w:rsid w:val="001E7167"/>
    <w:rsid w:val="001E7516"/>
    <w:rsid w:val="001E76CD"/>
    <w:rsid w:val="001E788F"/>
    <w:rsid w:val="001E7AE3"/>
    <w:rsid w:val="001E7E3D"/>
    <w:rsid w:val="001F08E1"/>
    <w:rsid w:val="001F0ADD"/>
    <w:rsid w:val="001F0BC1"/>
    <w:rsid w:val="001F0DF4"/>
    <w:rsid w:val="001F0E6B"/>
    <w:rsid w:val="001F164E"/>
    <w:rsid w:val="001F1826"/>
    <w:rsid w:val="001F1850"/>
    <w:rsid w:val="001F1A94"/>
    <w:rsid w:val="001F1B99"/>
    <w:rsid w:val="001F1D1C"/>
    <w:rsid w:val="001F1D1D"/>
    <w:rsid w:val="001F2642"/>
    <w:rsid w:val="001F2EAC"/>
    <w:rsid w:val="001F37C7"/>
    <w:rsid w:val="001F434D"/>
    <w:rsid w:val="001F4707"/>
    <w:rsid w:val="001F4A47"/>
    <w:rsid w:val="001F4C09"/>
    <w:rsid w:val="001F4FB3"/>
    <w:rsid w:val="001F558D"/>
    <w:rsid w:val="001F5DB6"/>
    <w:rsid w:val="001F5F66"/>
    <w:rsid w:val="001F5FAE"/>
    <w:rsid w:val="001F5FC7"/>
    <w:rsid w:val="001F600E"/>
    <w:rsid w:val="001F624B"/>
    <w:rsid w:val="001F63A6"/>
    <w:rsid w:val="001F63AA"/>
    <w:rsid w:val="001F66D8"/>
    <w:rsid w:val="001F6A0E"/>
    <w:rsid w:val="001F721B"/>
    <w:rsid w:val="001F7718"/>
    <w:rsid w:val="001F7746"/>
    <w:rsid w:val="001F79B8"/>
    <w:rsid w:val="001F7B81"/>
    <w:rsid w:val="001F7BA0"/>
    <w:rsid w:val="00200212"/>
    <w:rsid w:val="00200372"/>
    <w:rsid w:val="00200467"/>
    <w:rsid w:val="00200EB9"/>
    <w:rsid w:val="002015CB"/>
    <w:rsid w:val="00201C7A"/>
    <w:rsid w:val="00202252"/>
    <w:rsid w:val="0020286F"/>
    <w:rsid w:val="00202A97"/>
    <w:rsid w:val="00203F18"/>
    <w:rsid w:val="00203F78"/>
    <w:rsid w:val="00204762"/>
    <w:rsid w:val="00204C62"/>
    <w:rsid w:val="00204CA5"/>
    <w:rsid w:val="00204DCD"/>
    <w:rsid w:val="00204E9B"/>
    <w:rsid w:val="0020524C"/>
    <w:rsid w:val="00205A7E"/>
    <w:rsid w:val="00205CBB"/>
    <w:rsid w:val="00205D88"/>
    <w:rsid w:val="0020607B"/>
    <w:rsid w:val="0020615D"/>
    <w:rsid w:val="002063ED"/>
    <w:rsid w:val="002065C2"/>
    <w:rsid w:val="00206EC2"/>
    <w:rsid w:val="00207305"/>
    <w:rsid w:val="0020746C"/>
    <w:rsid w:val="002076AD"/>
    <w:rsid w:val="002100A7"/>
    <w:rsid w:val="0021028A"/>
    <w:rsid w:val="00210298"/>
    <w:rsid w:val="00210771"/>
    <w:rsid w:val="002109FC"/>
    <w:rsid w:val="00210E8D"/>
    <w:rsid w:val="00211263"/>
    <w:rsid w:val="00211405"/>
    <w:rsid w:val="00211743"/>
    <w:rsid w:val="002123B7"/>
    <w:rsid w:val="002129D4"/>
    <w:rsid w:val="00212BB2"/>
    <w:rsid w:val="00212BE2"/>
    <w:rsid w:val="00212EE6"/>
    <w:rsid w:val="00213131"/>
    <w:rsid w:val="00213456"/>
    <w:rsid w:val="00213559"/>
    <w:rsid w:val="00214119"/>
    <w:rsid w:val="00214751"/>
    <w:rsid w:val="00214A0D"/>
    <w:rsid w:val="00214A76"/>
    <w:rsid w:val="00214D92"/>
    <w:rsid w:val="00214F19"/>
    <w:rsid w:val="00214FF6"/>
    <w:rsid w:val="002152D7"/>
    <w:rsid w:val="00215756"/>
    <w:rsid w:val="00215A5E"/>
    <w:rsid w:val="002160EE"/>
    <w:rsid w:val="002167D0"/>
    <w:rsid w:val="00216B77"/>
    <w:rsid w:val="0021701E"/>
    <w:rsid w:val="0021741F"/>
    <w:rsid w:val="00217864"/>
    <w:rsid w:val="00217DE0"/>
    <w:rsid w:val="00217ED4"/>
    <w:rsid w:val="00220007"/>
    <w:rsid w:val="00220455"/>
    <w:rsid w:val="00220765"/>
    <w:rsid w:val="00220ACD"/>
    <w:rsid w:val="00220D90"/>
    <w:rsid w:val="0022133A"/>
    <w:rsid w:val="00221722"/>
    <w:rsid w:val="00221BC3"/>
    <w:rsid w:val="00221BCF"/>
    <w:rsid w:val="00223111"/>
    <w:rsid w:val="0022362D"/>
    <w:rsid w:val="002239FF"/>
    <w:rsid w:val="00223C11"/>
    <w:rsid w:val="00223C29"/>
    <w:rsid w:val="00224051"/>
    <w:rsid w:val="00224125"/>
    <w:rsid w:val="0022415C"/>
    <w:rsid w:val="00224C84"/>
    <w:rsid w:val="00224E9E"/>
    <w:rsid w:val="00224F99"/>
    <w:rsid w:val="0022573D"/>
    <w:rsid w:val="00225A64"/>
    <w:rsid w:val="00225A99"/>
    <w:rsid w:val="00225D3E"/>
    <w:rsid w:val="002267DB"/>
    <w:rsid w:val="002268C1"/>
    <w:rsid w:val="00226DAA"/>
    <w:rsid w:val="00226E7F"/>
    <w:rsid w:val="00226EC0"/>
    <w:rsid w:val="00227003"/>
    <w:rsid w:val="0022701E"/>
    <w:rsid w:val="00227167"/>
    <w:rsid w:val="00227193"/>
    <w:rsid w:val="002279ED"/>
    <w:rsid w:val="00227E31"/>
    <w:rsid w:val="002300D8"/>
    <w:rsid w:val="002302B3"/>
    <w:rsid w:val="0023059F"/>
    <w:rsid w:val="00230673"/>
    <w:rsid w:val="0023077D"/>
    <w:rsid w:val="0023100A"/>
    <w:rsid w:val="002311AA"/>
    <w:rsid w:val="00231311"/>
    <w:rsid w:val="002317E4"/>
    <w:rsid w:val="00231825"/>
    <w:rsid w:val="00231863"/>
    <w:rsid w:val="002318FD"/>
    <w:rsid w:val="0023246C"/>
    <w:rsid w:val="0023249B"/>
    <w:rsid w:val="0023260C"/>
    <w:rsid w:val="002326F4"/>
    <w:rsid w:val="0023276C"/>
    <w:rsid w:val="002335E0"/>
    <w:rsid w:val="00233B61"/>
    <w:rsid w:val="00233BB5"/>
    <w:rsid w:val="00233F84"/>
    <w:rsid w:val="00234119"/>
    <w:rsid w:val="00234255"/>
    <w:rsid w:val="002346B3"/>
    <w:rsid w:val="00234861"/>
    <w:rsid w:val="00234877"/>
    <w:rsid w:val="00234F86"/>
    <w:rsid w:val="00235220"/>
    <w:rsid w:val="00235AAA"/>
    <w:rsid w:val="00235C0F"/>
    <w:rsid w:val="00235F46"/>
    <w:rsid w:val="0023619E"/>
    <w:rsid w:val="00236A11"/>
    <w:rsid w:val="00236BD2"/>
    <w:rsid w:val="00236BE2"/>
    <w:rsid w:val="00236D8C"/>
    <w:rsid w:val="002374DE"/>
    <w:rsid w:val="00237BB9"/>
    <w:rsid w:val="00237F04"/>
    <w:rsid w:val="00240379"/>
    <w:rsid w:val="00240608"/>
    <w:rsid w:val="00240DD7"/>
    <w:rsid w:val="00240E1B"/>
    <w:rsid w:val="00240EA0"/>
    <w:rsid w:val="00242B4D"/>
    <w:rsid w:val="00242BE8"/>
    <w:rsid w:val="00242E3C"/>
    <w:rsid w:val="002437BF"/>
    <w:rsid w:val="002438FA"/>
    <w:rsid w:val="00243A13"/>
    <w:rsid w:val="00243C07"/>
    <w:rsid w:val="00244517"/>
    <w:rsid w:val="00244F87"/>
    <w:rsid w:val="002454B4"/>
    <w:rsid w:val="00245579"/>
    <w:rsid w:val="00245A8A"/>
    <w:rsid w:val="00245AD1"/>
    <w:rsid w:val="00245BA4"/>
    <w:rsid w:val="0024634F"/>
    <w:rsid w:val="002465D4"/>
    <w:rsid w:val="00246633"/>
    <w:rsid w:val="0024670B"/>
    <w:rsid w:val="00246882"/>
    <w:rsid w:val="00246CCA"/>
    <w:rsid w:val="00246EBF"/>
    <w:rsid w:val="0024715B"/>
    <w:rsid w:val="00247360"/>
    <w:rsid w:val="00247FCD"/>
    <w:rsid w:val="00250117"/>
    <w:rsid w:val="00250170"/>
    <w:rsid w:val="00250506"/>
    <w:rsid w:val="00250AD0"/>
    <w:rsid w:val="00250C26"/>
    <w:rsid w:val="00250EC9"/>
    <w:rsid w:val="0025103D"/>
    <w:rsid w:val="00251155"/>
    <w:rsid w:val="00251475"/>
    <w:rsid w:val="0025197B"/>
    <w:rsid w:val="00251DC9"/>
    <w:rsid w:val="002521F2"/>
    <w:rsid w:val="0025244D"/>
    <w:rsid w:val="00252A54"/>
    <w:rsid w:val="00252AC4"/>
    <w:rsid w:val="00253392"/>
    <w:rsid w:val="002533D8"/>
    <w:rsid w:val="0025341F"/>
    <w:rsid w:val="00254044"/>
    <w:rsid w:val="002541B4"/>
    <w:rsid w:val="00254683"/>
    <w:rsid w:val="00254696"/>
    <w:rsid w:val="00254814"/>
    <w:rsid w:val="0025482A"/>
    <w:rsid w:val="00254C20"/>
    <w:rsid w:val="00254C92"/>
    <w:rsid w:val="002554D1"/>
    <w:rsid w:val="002555F3"/>
    <w:rsid w:val="00255B16"/>
    <w:rsid w:val="00255D1D"/>
    <w:rsid w:val="00255EBD"/>
    <w:rsid w:val="00256BAC"/>
    <w:rsid w:val="00256E3B"/>
    <w:rsid w:val="0025706E"/>
    <w:rsid w:val="002572A8"/>
    <w:rsid w:val="00257316"/>
    <w:rsid w:val="00257605"/>
    <w:rsid w:val="00257749"/>
    <w:rsid w:val="00257A27"/>
    <w:rsid w:val="00257BB1"/>
    <w:rsid w:val="00257D56"/>
    <w:rsid w:val="0026015C"/>
    <w:rsid w:val="00260238"/>
    <w:rsid w:val="00260321"/>
    <w:rsid w:val="002606B9"/>
    <w:rsid w:val="00260919"/>
    <w:rsid w:val="002614ED"/>
    <w:rsid w:val="00261555"/>
    <w:rsid w:val="002616D5"/>
    <w:rsid w:val="00261BDF"/>
    <w:rsid w:val="00261C76"/>
    <w:rsid w:val="00261EB9"/>
    <w:rsid w:val="00261F5F"/>
    <w:rsid w:val="002620EC"/>
    <w:rsid w:val="002623D6"/>
    <w:rsid w:val="0026288D"/>
    <w:rsid w:val="00262D7E"/>
    <w:rsid w:val="002639B6"/>
    <w:rsid w:val="00264570"/>
    <w:rsid w:val="002646CA"/>
    <w:rsid w:val="00265249"/>
    <w:rsid w:val="002655F5"/>
    <w:rsid w:val="002656C3"/>
    <w:rsid w:val="0026578E"/>
    <w:rsid w:val="00265821"/>
    <w:rsid w:val="00265A6E"/>
    <w:rsid w:val="00265FB8"/>
    <w:rsid w:val="00266339"/>
    <w:rsid w:val="002668A6"/>
    <w:rsid w:val="002668C4"/>
    <w:rsid w:val="00266A7C"/>
    <w:rsid w:val="00266C90"/>
    <w:rsid w:val="00266D54"/>
    <w:rsid w:val="00267133"/>
    <w:rsid w:val="00267200"/>
    <w:rsid w:val="00267D50"/>
    <w:rsid w:val="00267E7E"/>
    <w:rsid w:val="002702DD"/>
    <w:rsid w:val="00270372"/>
    <w:rsid w:val="002709E1"/>
    <w:rsid w:val="00270B3E"/>
    <w:rsid w:val="00270C21"/>
    <w:rsid w:val="00270D9E"/>
    <w:rsid w:val="002710F3"/>
    <w:rsid w:val="00271316"/>
    <w:rsid w:val="0027162E"/>
    <w:rsid w:val="00271A10"/>
    <w:rsid w:val="00271E5F"/>
    <w:rsid w:val="00271EFA"/>
    <w:rsid w:val="00272210"/>
    <w:rsid w:val="00272292"/>
    <w:rsid w:val="0027232D"/>
    <w:rsid w:val="002727FB"/>
    <w:rsid w:val="00273432"/>
    <w:rsid w:val="00273854"/>
    <w:rsid w:val="00273CB3"/>
    <w:rsid w:val="00273F9E"/>
    <w:rsid w:val="0027452F"/>
    <w:rsid w:val="00274B70"/>
    <w:rsid w:val="002750B2"/>
    <w:rsid w:val="002750FD"/>
    <w:rsid w:val="00275353"/>
    <w:rsid w:val="00275989"/>
    <w:rsid w:val="00275CB6"/>
    <w:rsid w:val="00275FA1"/>
    <w:rsid w:val="002760A0"/>
    <w:rsid w:val="002761FC"/>
    <w:rsid w:val="002763C4"/>
    <w:rsid w:val="002768A5"/>
    <w:rsid w:val="00276C13"/>
    <w:rsid w:val="00276F03"/>
    <w:rsid w:val="00277241"/>
    <w:rsid w:val="00277668"/>
    <w:rsid w:val="002776FE"/>
    <w:rsid w:val="0027778A"/>
    <w:rsid w:val="00277899"/>
    <w:rsid w:val="00277C30"/>
    <w:rsid w:val="002800DA"/>
    <w:rsid w:val="00280A92"/>
    <w:rsid w:val="00281312"/>
    <w:rsid w:val="00281682"/>
    <w:rsid w:val="00281716"/>
    <w:rsid w:val="002825CA"/>
    <w:rsid w:val="002827BF"/>
    <w:rsid w:val="0028295D"/>
    <w:rsid w:val="002833FB"/>
    <w:rsid w:val="002836B0"/>
    <w:rsid w:val="00283ACC"/>
    <w:rsid w:val="00283B5C"/>
    <w:rsid w:val="00283BB2"/>
    <w:rsid w:val="00284157"/>
    <w:rsid w:val="002842FF"/>
    <w:rsid w:val="002844EA"/>
    <w:rsid w:val="00284E2B"/>
    <w:rsid w:val="00285913"/>
    <w:rsid w:val="00285CAC"/>
    <w:rsid w:val="00286554"/>
    <w:rsid w:val="00286A2C"/>
    <w:rsid w:val="00286E2A"/>
    <w:rsid w:val="002874A5"/>
    <w:rsid w:val="00287ABC"/>
    <w:rsid w:val="00287B67"/>
    <w:rsid w:val="00287C24"/>
    <w:rsid w:val="00290068"/>
    <w:rsid w:val="0029049D"/>
    <w:rsid w:val="00290DB2"/>
    <w:rsid w:val="00291805"/>
    <w:rsid w:val="00291B23"/>
    <w:rsid w:val="00291C56"/>
    <w:rsid w:val="00292089"/>
    <w:rsid w:val="002924EF"/>
    <w:rsid w:val="0029261E"/>
    <w:rsid w:val="002926EB"/>
    <w:rsid w:val="00292AF7"/>
    <w:rsid w:val="00292BEF"/>
    <w:rsid w:val="00292C59"/>
    <w:rsid w:val="00293DD9"/>
    <w:rsid w:val="00294016"/>
    <w:rsid w:val="00294040"/>
    <w:rsid w:val="002942ED"/>
    <w:rsid w:val="002943C9"/>
    <w:rsid w:val="00294956"/>
    <w:rsid w:val="00294A46"/>
    <w:rsid w:val="00294B45"/>
    <w:rsid w:val="00294CD4"/>
    <w:rsid w:val="002952D7"/>
    <w:rsid w:val="002953AF"/>
    <w:rsid w:val="00295555"/>
    <w:rsid w:val="002958D0"/>
    <w:rsid w:val="00295B91"/>
    <w:rsid w:val="002961D6"/>
    <w:rsid w:val="0029644D"/>
    <w:rsid w:val="0029647A"/>
    <w:rsid w:val="0029648B"/>
    <w:rsid w:val="00296695"/>
    <w:rsid w:val="002968EA"/>
    <w:rsid w:val="00296D2B"/>
    <w:rsid w:val="00296D5C"/>
    <w:rsid w:val="00297379"/>
    <w:rsid w:val="00297491"/>
    <w:rsid w:val="00297BC9"/>
    <w:rsid w:val="002A011B"/>
    <w:rsid w:val="002A0522"/>
    <w:rsid w:val="002A0C36"/>
    <w:rsid w:val="002A0DC6"/>
    <w:rsid w:val="002A1144"/>
    <w:rsid w:val="002A12FD"/>
    <w:rsid w:val="002A16DD"/>
    <w:rsid w:val="002A19F8"/>
    <w:rsid w:val="002A1CDD"/>
    <w:rsid w:val="002A26B6"/>
    <w:rsid w:val="002A2A07"/>
    <w:rsid w:val="002A2F87"/>
    <w:rsid w:val="002A3B4A"/>
    <w:rsid w:val="002A3C84"/>
    <w:rsid w:val="002A3DEB"/>
    <w:rsid w:val="002A4141"/>
    <w:rsid w:val="002A41F4"/>
    <w:rsid w:val="002A425A"/>
    <w:rsid w:val="002A42CA"/>
    <w:rsid w:val="002A4A95"/>
    <w:rsid w:val="002A4C59"/>
    <w:rsid w:val="002A5988"/>
    <w:rsid w:val="002A5A67"/>
    <w:rsid w:val="002A61B7"/>
    <w:rsid w:val="002A638B"/>
    <w:rsid w:val="002A6A16"/>
    <w:rsid w:val="002A71A8"/>
    <w:rsid w:val="002A78B7"/>
    <w:rsid w:val="002A7C66"/>
    <w:rsid w:val="002B0601"/>
    <w:rsid w:val="002B1195"/>
    <w:rsid w:val="002B1321"/>
    <w:rsid w:val="002B13B0"/>
    <w:rsid w:val="002B1F85"/>
    <w:rsid w:val="002B1FAF"/>
    <w:rsid w:val="002B217C"/>
    <w:rsid w:val="002B2FA5"/>
    <w:rsid w:val="002B30F6"/>
    <w:rsid w:val="002B3927"/>
    <w:rsid w:val="002B394A"/>
    <w:rsid w:val="002B39F5"/>
    <w:rsid w:val="002B3BF0"/>
    <w:rsid w:val="002B3DFA"/>
    <w:rsid w:val="002B4FC1"/>
    <w:rsid w:val="002B5571"/>
    <w:rsid w:val="002B5BF7"/>
    <w:rsid w:val="002B5C53"/>
    <w:rsid w:val="002B5EB1"/>
    <w:rsid w:val="002B6066"/>
    <w:rsid w:val="002B6106"/>
    <w:rsid w:val="002B615D"/>
    <w:rsid w:val="002B61E0"/>
    <w:rsid w:val="002B67D6"/>
    <w:rsid w:val="002B6AED"/>
    <w:rsid w:val="002B6C6C"/>
    <w:rsid w:val="002B6E9F"/>
    <w:rsid w:val="002B724C"/>
    <w:rsid w:val="002B73D1"/>
    <w:rsid w:val="002B7EFF"/>
    <w:rsid w:val="002B7FCE"/>
    <w:rsid w:val="002C0983"/>
    <w:rsid w:val="002C0E35"/>
    <w:rsid w:val="002C12AA"/>
    <w:rsid w:val="002C1712"/>
    <w:rsid w:val="002C1724"/>
    <w:rsid w:val="002C1DA4"/>
    <w:rsid w:val="002C2113"/>
    <w:rsid w:val="002C24AC"/>
    <w:rsid w:val="002C261C"/>
    <w:rsid w:val="002C27D6"/>
    <w:rsid w:val="002C2A09"/>
    <w:rsid w:val="002C2E5B"/>
    <w:rsid w:val="002C35B3"/>
    <w:rsid w:val="002C382D"/>
    <w:rsid w:val="002C3DEB"/>
    <w:rsid w:val="002C3F15"/>
    <w:rsid w:val="002C4CC4"/>
    <w:rsid w:val="002C4E24"/>
    <w:rsid w:val="002C51EE"/>
    <w:rsid w:val="002C5870"/>
    <w:rsid w:val="002C596C"/>
    <w:rsid w:val="002C61E6"/>
    <w:rsid w:val="002C66D1"/>
    <w:rsid w:val="002C67EC"/>
    <w:rsid w:val="002C6DDE"/>
    <w:rsid w:val="002D0B89"/>
    <w:rsid w:val="002D14DA"/>
    <w:rsid w:val="002D1572"/>
    <w:rsid w:val="002D16D6"/>
    <w:rsid w:val="002D174F"/>
    <w:rsid w:val="002D17FA"/>
    <w:rsid w:val="002D197B"/>
    <w:rsid w:val="002D1FD3"/>
    <w:rsid w:val="002D2355"/>
    <w:rsid w:val="002D2D67"/>
    <w:rsid w:val="002D2DF2"/>
    <w:rsid w:val="002D2F00"/>
    <w:rsid w:val="002D38EF"/>
    <w:rsid w:val="002D4758"/>
    <w:rsid w:val="002D4E93"/>
    <w:rsid w:val="002D5AF9"/>
    <w:rsid w:val="002D5E25"/>
    <w:rsid w:val="002D6942"/>
    <w:rsid w:val="002D6A2E"/>
    <w:rsid w:val="002D6DBE"/>
    <w:rsid w:val="002D6F07"/>
    <w:rsid w:val="002D7084"/>
    <w:rsid w:val="002D7130"/>
    <w:rsid w:val="002D7298"/>
    <w:rsid w:val="002D731F"/>
    <w:rsid w:val="002D7355"/>
    <w:rsid w:val="002D75B6"/>
    <w:rsid w:val="002D7B01"/>
    <w:rsid w:val="002D7B7D"/>
    <w:rsid w:val="002D7ED9"/>
    <w:rsid w:val="002D7FAF"/>
    <w:rsid w:val="002E03CD"/>
    <w:rsid w:val="002E0450"/>
    <w:rsid w:val="002E0460"/>
    <w:rsid w:val="002E08B6"/>
    <w:rsid w:val="002E0FA6"/>
    <w:rsid w:val="002E1386"/>
    <w:rsid w:val="002E13A6"/>
    <w:rsid w:val="002E19D5"/>
    <w:rsid w:val="002E1B6F"/>
    <w:rsid w:val="002E1BE3"/>
    <w:rsid w:val="002E2448"/>
    <w:rsid w:val="002E2648"/>
    <w:rsid w:val="002E2898"/>
    <w:rsid w:val="002E2A67"/>
    <w:rsid w:val="002E2B58"/>
    <w:rsid w:val="002E2E0F"/>
    <w:rsid w:val="002E3AC9"/>
    <w:rsid w:val="002E4454"/>
    <w:rsid w:val="002E4548"/>
    <w:rsid w:val="002E464E"/>
    <w:rsid w:val="002E4839"/>
    <w:rsid w:val="002E49B9"/>
    <w:rsid w:val="002E4AB3"/>
    <w:rsid w:val="002E4E80"/>
    <w:rsid w:val="002E4F29"/>
    <w:rsid w:val="002E51A0"/>
    <w:rsid w:val="002E5288"/>
    <w:rsid w:val="002E54A2"/>
    <w:rsid w:val="002E5657"/>
    <w:rsid w:val="002E56A1"/>
    <w:rsid w:val="002E5B97"/>
    <w:rsid w:val="002E5D49"/>
    <w:rsid w:val="002E6035"/>
    <w:rsid w:val="002E6129"/>
    <w:rsid w:val="002E613D"/>
    <w:rsid w:val="002E62B2"/>
    <w:rsid w:val="002E638A"/>
    <w:rsid w:val="002E6791"/>
    <w:rsid w:val="002E6830"/>
    <w:rsid w:val="002E6F19"/>
    <w:rsid w:val="002E71B5"/>
    <w:rsid w:val="002E7601"/>
    <w:rsid w:val="002E7B71"/>
    <w:rsid w:val="002E7FB8"/>
    <w:rsid w:val="002F0570"/>
    <w:rsid w:val="002F1279"/>
    <w:rsid w:val="002F15F6"/>
    <w:rsid w:val="002F1BB4"/>
    <w:rsid w:val="002F1DD0"/>
    <w:rsid w:val="002F2106"/>
    <w:rsid w:val="002F2565"/>
    <w:rsid w:val="002F2BE5"/>
    <w:rsid w:val="002F2FD5"/>
    <w:rsid w:val="002F3127"/>
    <w:rsid w:val="002F390F"/>
    <w:rsid w:val="002F3951"/>
    <w:rsid w:val="002F4434"/>
    <w:rsid w:val="002F4D9A"/>
    <w:rsid w:val="002F4EE6"/>
    <w:rsid w:val="002F51A5"/>
    <w:rsid w:val="002F5311"/>
    <w:rsid w:val="002F57C7"/>
    <w:rsid w:val="002F5AB8"/>
    <w:rsid w:val="002F61DF"/>
    <w:rsid w:val="002F6241"/>
    <w:rsid w:val="002F66AC"/>
    <w:rsid w:val="002F6972"/>
    <w:rsid w:val="002F70ED"/>
    <w:rsid w:val="002F74FA"/>
    <w:rsid w:val="002F766C"/>
    <w:rsid w:val="003000E0"/>
    <w:rsid w:val="00300325"/>
    <w:rsid w:val="00300544"/>
    <w:rsid w:val="00301169"/>
    <w:rsid w:val="0030147D"/>
    <w:rsid w:val="00301736"/>
    <w:rsid w:val="0030182C"/>
    <w:rsid w:val="00301E31"/>
    <w:rsid w:val="0030273F"/>
    <w:rsid w:val="0030309A"/>
    <w:rsid w:val="0030368A"/>
    <w:rsid w:val="00303840"/>
    <w:rsid w:val="0030393F"/>
    <w:rsid w:val="00304242"/>
    <w:rsid w:val="00304446"/>
    <w:rsid w:val="003048D3"/>
    <w:rsid w:val="00305105"/>
    <w:rsid w:val="003060B9"/>
    <w:rsid w:val="00306706"/>
    <w:rsid w:val="00306920"/>
    <w:rsid w:val="00307264"/>
    <w:rsid w:val="003076FA"/>
    <w:rsid w:val="00307C6D"/>
    <w:rsid w:val="0031009D"/>
    <w:rsid w:val="00310131"/>
    <w:rsid w:val="003103ED"/>
    <w:rsid w:val="003104D6"/>
    <w:rsid w:val="00310D11"/>
    <w:rsid w:val="00310DFD"/>
    <w:rsid w:val="0031191F"/>
    <w:rsid w:val="00311BBB"/>
    <w:rsid w:val="00311BDE"/>
    <w:rsid w:val="00311E78"/>
    <w:rsid w:val="00311FB2"/>
    <w:rsid w:val="00312BBD"/>
    <w:rsid w:val="0031330A"/>
    <w:rsid w:val="00313358"/>
    <w:rsid w:val="00313FFA"/>
    <w:rsid w:val="0031403B"/>
    <w:rsid w:val="003143A3"/>
    <w:rsid w:val="003144DF"/>
    <w:rsid w:val="003144E8"/>
    <w:rsid w:val="00314701"/>
    <w:rsid w:val="003159B1"/>
    <w:rsid w:val="00315E2F"/>
    <w:rsid w:val="0031608E"/>
    <w:rsid w:val="00316263"/>
    <w:rsid w:val="00316601"/>
    <w:rsid w:val="00316708"/>
    <w:rsid w:val="00316A95"/>
    <w:rsid w:val="00320102"/>
    <w:rsid w:val="00320175"/>
    <w:rsid w:val="00320DB4"/>
    <w:rsid w:val="00320E52"/>
    <w:rsid w:val="00320E6D"/>
    <w:rsid w:val="00320FF9"/>
    <w:rsid w:val="0032100F"/>
    <w:rsid w:val="00321452"/>
    <w:rsid w:val="0032165A"/>
    <w:rsid w:val="00321EAA"/>
    <w:rsid w:val="00322173"/>
    <w:rsid w:val="00322875"/>
    <w:rsid w:val="00322950"/>
    <w:rsid w:val="00322A79"/>
    <w:rsid w:val="003238DE"/>
    <w:rsid w:val="003241C1"/>
    <w:rsid w:val="00324293"/>
    <w:rsid w:val="00324359"/>
    <w:rsid w:val="00324883"/>
    <w:rsid w:val="00324A4F"/>
    <w:rsid w:val="00324B65"/>
    <w:rsid w:val="00324BF2"/>
    <w:rsid w:val="003251A5"/>
    <w:rsid w:val="0032564E"/>
    <w:rsid w:val="0032583D"/>
    <w:rsid w:val="003261C1"/>
    <w:rsid w:val="00326524"/>
    <w:rsid w:val="00326B54"/>
    <w:rsid w:val="00326B65"/>
    <w:rsid w:val="00327747"/>
    <w:rsid w:val="0032785F"/>
    <w:rsid w:val="00330214"/>
    <w:rsid w:val="003303B0"/>
    <w:rsid w:val="00330C43"/>
    <w:rsid w:val="00331175"/>
    <w:rsid w:val="0033157F"/>
    <w:rsid w:val="00331A2E"/>
    <w:rsid w:val="00331AF8"/>
    <w:rsid w:val="00331D87"/>
    <w:rsid w:val="00331E7F"/>
    <w:rsid w:val="003323A4"/>
    <w:rsid w:val="003329F4"/>
    <w:rsid w:val="00332F3C"/>
    <w:rsid w:val="00333413"/>
    <w:rsid w:val="0033344F"/>
    <w:rsid w:val="00333674"/>
    <w:rsid w:val="00333E5A"/>
    <w:rsid w:val="00333F25"/>
    <w:rsid w:val="003342B8"/>
    <w:rsid w:val="00334453"/>
    <w:rsid w:val="00335034"/>
    <w:rsid w:val="003352DF"/>
    <w:rsid w:val="003353DC"/>
    <w:rsid w:val="00335679"/>
    <w:rsid w:val="00335C47"/>
    <w:rsid w:val="00335D32"/>
    <w:rsid w:val="00335D54"/>
    <w:rsid w:val="003360DB"/>
    <w:rsid w:val="00336157"/>
    <w:rsid w:val="00336EA7"/>
    <w:rsid w:val="0033751A"/>
    <w:rsid w:val="00337538"/>
    <w:rsid w:val="00337540"/>
    <w:rsid w:val="00337748"/>
    <w:rsid w:val="0033778B"/>
    <w:rsid w:val="0033786C"/>
    <w:rsid w:val="00337C00"/>
    <w:rsid w:val="0034014B"/>
    <w:rsid w:val="0034018F"/>
    <w:rsid w:val="003402E3"/>
    <w:rsid w:val="00340960"/>
    <w:rsid w:val="0034096F"/>
    <w:rsid w:val="00340CCA"/>
    <w:rsid w:val="00340FD6"/>
    <w:rsid w:val="0034122A"/>
    <w:rsid w:val="003421CD"/>
    <w:rsid w:val="00342282"/>
    <w:rsid w:val="00342920"/>
    <w:rsid w:val="00342F28"/>
    <w:rsid w:val="003431DE"/>
    <w:rsid w:val="0034350C"/>
    <w:rsid w:val="0034372B"/>
    <w:rsid w:val="0034384F"/>
    <w:rsid w:val="0034397F"/>
    <w:rsid w:val="00344CCF"/>
    <w:rsid w:val="003451F5"/>
    <w:rsid w:val="00345220"/>
    <w:rsid w:val="0034547C"/>
    <w:rsid w:val="00345624"/>
    <w:rsid w:val="0034565D"/>
    <w:rsid w:val="00345660"/>
    <w:rsid w:val="00345792"/>
    <w:rsid w:val="003459F4"/>
    <w:rsid w:val="00345B56"/>
    <w:rsid w:val="0034610B"/>
    <w:rsid w:val="00346BE2"/>
    <w:rsid w:val="003478ED"/>
    <w:rsid w:val="00347BB1"/>
    <w:rsid w:val="00347F0C"/>
    <w:rsid w:val="00350062"/>
    <w:rsid w:val="003501CF"/>
    <w:rsid w:val="003506C0"/>
    <w:rsid w:val="00350C8D"/>
    <w:rsid w:val="00350DD6"/>
    <w:rsid w:val="00350FE5"/>
    <w:rsid w:val="003511BE"/>
    <w:rsid w:val="003512D6"/>
    <w:rsid w:val="003518E5"/>
    <w:rsid w:val="00351980"/>
    <w:rsid w:val="003519A4"/>
    <w:rsid w:val="00352026"/>
    <w:rsid w:val="0035257E"/>
    <w:rsid w:val="00352709"/>
    <w:rsid w:val="00352D3B"/>
    <w:rsid w:val="00354036"/>
    <w:rsid w:val="00354278"/>
    <w:rsid w:val="003546F4"/>
    <w:rsid w:val="00354887"/>
    <w:rsid w:val="00354B04"/>
    <w:rsid w:val="00354F22"/>
    <w:rsid w:val="003551B5"/>
    <w:rsid w:val="0035561D"/>
    <w:rsid w:val="0035564D"/>
    <w:rsid w:val="003557FC"/>
    <w:rsid w:val="003558B2"/>
    <w:rsid w:val="00355ECA"/>
    <w:rsid w:val="00355FA9"/>
    <w:rsid w:val="003567BE"/>
    <w:rsid w:val="00357173"/>
    <w:rsid w:val="00357422"/>
    <w:rsid w:val="0035768C"/>
    <w:rsid w:val="00357872"/>
    <w:rsid w:val="00357901"/>
    <w:rsid w:val="00357BB7"/>
    <w:rsid w:val="00360210"/>
    <w:rsid w:val="0036054B"/>
    <w:rsid w:val="00360947"/>
    <w:rsid w:val="00360F47"/>
    <w:rsid w:val="003610DA"/>
    <w:rsid w:val="00361242"/>
    <w:rsid w:val="003615E9"/>
    <w:rsid w:val="0036192A"/>
    <w:rsid w:val="00361D44"/>
    <w:rsid w:val="00361F1A"/>
    <w:rsid w:val="00362D00"/>
    <w:rsid w:val="00362F07"/>
    <w:rsid w:val="0036302E"/>
    <w:rsid w:val="003630B4"/>
    <w:rsid w:val="0036336E"/>
    <w:rsid w:val="0036344D"/>
    <w:rsid w:val="00363A26"/>
    <w:rsid w:val="00363CA3"/>
    <w:rsid w:val="00363CB2"/>
    <w:rsid w:val="003640E2"/>
    <w:rsid w:val="00364192"/>
    <w:rsid w:val="003641F8"/>
    <w:rsid w:val="00364287"/>
    <w:rsid w:val="003647EF"/>
    <w:rsid w:val="00364C06"/>
    <w:rsid w:val="00364DFC"/>
    <w:rsid w:val="0036538F"/>
    <w:rsid w:val="0036579B"/>
    <w:rsid w:val="003658F5"/>
    <w:rsid w:val="00365B45"/>
    <w:rsid w:val="00366957"/>
    <w:rsid w:val="00366AD6"/>
    <w:rsid w:val="003679B4"/>
    <w:rsid w:val="003679D7"/>
    <w:rsid w:val="00367B0F"/>
    <w:rsid w:val="003702C9"/>
    <w:rsid w:val="003703C0"/>
    <w:rsid w:val="00370FEC"/>
    <w:rsid w:val="00371014"/>
    <w:rsid w:val="00371BAE"/>
    <w:rsid w:val="00371F0F"/>
    <w:rsid w:val="0037216D"/>
    <w:rsid w:val="00372969"/>
    <w:rsid w:val="00372B38"/>
    <w:rsid w:val="00372BFA"/>
    <w:rsid w:val="00372EA2"/>
    <w:rsid w:val="00373840"/>
    <w:rsid w:val="00373B95"/>
    <w:rsid w:val="00373CB8"/>
    <w:rsid w:val="00373F34"/>
    <w:rsid w:val="00373F9D"/>
    <w:rsid w:val="003740B1"/>
    <w:rsid w:val="00374246"/>
    <w:rsid w:val="00374247"/>
    <w:rsid w:val="003742E7"/>
    <w:rsid w:val="00374487"/>
    <w:rsid w:val="00374703"/>
    <w:rsid w:val="00374F57"/>
    <w:rsid w:val="00375131"/>
    <w:rsid w:val="0037557C"/>
    <w:rsid w:val="003757CA"/>
    <w:rsid w:val="00375858"/>
    <w:rsid w:val="00375911"/>
    <w:rsid w:val="00375BBA"/>
    <w:rsid w:val="00376617"/>
    <w:rsid w:val="0037699F"/>
    <w:rsid w:val="00376C6B"/>
    <w:rsid w:val="00377023"/>
    <w:rsid w:val="003773A4"/>
    <w:rsid w:val="0037755E"/>
    <w:rsid w:val="0037783C"/>
    <w:rsid w:val="00377927"/>
    <w:rsid w:val="00377C15"/>
    <w:rsid w:val="00380A1B"/>
    <w:rsid w:val="003817E0"/>
    <w:rsid w:val="00381A3D"/>
    <w:rsid w:val="00381D29"/>
    <w:rsid w:val="003820BB"/>
    <w:rsid w:val="00382A6E"/>
    <w:rsid w:val="00382BC3"/>
    <w:rsid w:val="00382E3D"/>
    <w:rsid w:val="0038308E"/>
    <w:rsid w:val="003831E0"/>
    <w:rsid w:val="00383B89"/>
    <w:rsid w:val="00383C7D"/>
    <w:rsid w:val="00383D79"/>
    <w:rsid w:val="003840DD"/>
    <w:rsid w:val="00384FDE"/>
    <w:rsid w:val="00385083"/>
    <w:rsid w:val="00385461"/>
    <w:rsid w:val="003855AD"/>
    <w:rsid w:val="00385E50"/>
    <w:rsid w:val="0038617E"/>
    <w:rsid w:val="003863F0"/>
    <w:rsid w:val="003866FF"/>
    <w:rsid w:val="00386C31"/>
    <w:rsid w:val="00386DF6"/>
    <w:rsid w:val="00387017"/>
    <w:rsid w:val="003874A6"/>
    <w:rsid w:val="00387601"/>
    <w:rsid w:val="0038772F"/>
    <w:rsid w:val="0038777A"/>
    <w:rsid w:val="00390329"/>
    <w:rsid w:val="00390502"/>
    <w:rsid w:val="0039220E"/>
    <w:rsid w:val="00392355"/>
    <w:rsid w:val="0039240B"/>
    <w:rsid w:val="0039268C"/>
    <w:rsid w:val="00392747"/>
    <w:rsid w:val="00392872"/>
    <w:rsid w:val="00392A4A"/>
    <w:rsid w:val="0039316A"/>
    <w:rsid w:val="00393187"/>
    <w:rsid w:val="003932FE"/>
    <w:rsid w:val="003933A8"/>
    <w:rsid w:val="00393698"/>
    <w:rsid w:val="00394506"/>
    <w:rsid w:val="003945A6"/>
    <w:rsid w:val="003946B6"/>
    <w:rsid w:val="00394CA4"/>
    <w:rsid w:val="003951EB"/>
    <w:rsid w:val="003955B5"/>
    <w:rsid w:val="00395A90"/>
    <w:rsid w:val="0039629A"/>
    <w:rsid w:val="0039651D"/>
    <w:rsid w:val="003972B6"/>
    <w:rsid w:val="0039740C"/>
    <w:rsid w:val="0039745E"/>
    <w:rsid w:val="003975D7"/>
    <w:rsid w:val="00397F56"/>
    <w:rsid w:val="003A09DF"/>
    <w:rsid w:val="003A11C0"/>
    <w:rsid w:val="003A11DD"/>
    <w:rsid w:val="003A1225"/>
    <w:rsid w:val="003A1240"/>
    <w:rsid w:val="003A1A87"/>
    <w:rsid w:val="003A2FE8"/>
    <w:rsid w:val="003A3003"/>
    <w:rsid w:val="003A3026"/>
    <w:rsid w:val="003A306E"/>
    <w:rsid w:val="003A357D"/>
    <w:rsid w:val="003A36CC"/>
    <w:rsid w:val="003A3894"/>
    <w:rsid w:val="003A3AC2"/>
    <w:rsid w:val="003A3DAB"/>
    <w:rsid w:val="003A3DF7"/>
    <w:rsid w:val="003A4C13"/>
    <w:rsid w:val="003A4D9C"/>
    <w:rsid w:val="003A5419"/>
    <w:rsid w:val="003A542F"/>
    <w:rsid w:val="003A555D"/>
    <w:rsid w:val="003A5595"/>
    <w:rsid w:val="003A5A73"/>
    <w:rsid w:val="003A60B2"/>
    <w:rsid w:val="003A6378"/>
    <w:rsid w:val="003A6937"/>
    <w:rsid w:val="003A6BA1"/>
    <w:rsid w:val="003A7F1A"/>
    <w:rsid w:val="003B0040"/>
    <w:rsid w:val="003B0360"/>
    <w:rsid w:val="003B048D"/>
    <w:rsid w:val="003B0BF4"/>
    <w:rsid w:val="003B0DB3"/>
    <w:rsid w:val="003B25A6"/>
    <w:rsid w:val="003B2620"/>
    <w:rsid w:val="003B293D"/>
    <w:rsid w:val="003B29F9"/>
    <w:rsid w:val="003B30CC"/>
    <w:rsid w:val="003B342D"/>
    <w:rsid w:val="003B3670"/>
    <w:rsid w:val="003B3E03"/>
    <w:rsid w:val="003B447E"/>
    <w:rsid w:val="003B47BB"/>
    <w:rsid w:val="003B57B6"/>
    <w:rsid w:val="003B5E98"/>
    <w:rsid w:val="003B603E"/>
    <w:rsid w:val="003B6467"/>
    <w:rsid w:val="003B6E03"/>
    <w:rsid w:val="003B6FA2"/>
    <w:rsid w:val="003B712F"/>
    <w:rsid w:val="003B77F4"/>
    <w:rsid w:val="003B7A62"/>
    <w:rsid w:val="003B7D71"/>
    <w:rsid w:val="003C05DE"/>
    <w:rsid w:val="003C062C"/>
    <w:rsid w:val="003C08DC"/>
    <w:rsid w:val="003C0990"/>
    <w:rsid w:val="003C0BE9"/>
    <w:rsid w:val="003C0F30"/>
    <w:rsid w:val="003C12A5"/>
    <w:rsid w:val="003C1511"/>
    <w:rsid w:val="003C193C"/>
    <w:rsid w:val="003C1A49"/>
    <w:rsid w:val="003C1C29"/>
    <w:rsid w:val="003C1C62"/>
    <w:rsid w:val="003C1CA4"/>
    <w:rsid w:val="003C1CB3"/>
    <w:rsid w:val="003C1FF3"/>
    <w:rsid w:val="003C20AC"/>
    <w:rsid w:val="003C227B"/>
    <w:rsid w:val="003C22A2"/>
    <w:rsid w:val="003C237B"/>
    <w:rsid w:val="003C24CB"/>
    <w:rsid w:val="003C26EB"/>
    <w:rsid w:val="003C27AA"/>
    <w:rsid w:val="003C2CF4"/>
    <w:rsid w:val="003C2DED"/>
    <w:rsid w:val="003C30B7"/>
    <w:rsid w:val="003C3B6F"/>
    <w:rsid w:val="003C3EEB"/>
    <w:rsid w:val="003C46A0"/>
    <w:rsid w:val="003C488F"/>
    <w:rsid w:val="003C48B0"/>
    <w:rsid w:val="003C49D4"/>
    <w:rsid w:val="003C5057"/>
    <w:rsid w:val="003C556A"/>
    <w:rsid w:val="003C56CB"/>
    <w:rsid w:val="003C599F"/>
    <w:rsid w:val="003C5A97"/>
    <w:rsid w:val="003C5AC6"/>
    <w:rsid w:val="003C5CB8"/>
    <w:rsid w:val="003C603E"/>
    <w:rsid w:val="003C616C"/>
    <w:rsid w:val="003C65E3"/>
    <w:rsid w:val="003C6B3B"/>
    <w:rsid w:val="003C6DFF"/>
    <w:rsid w:val="003C72CA"/>
    <w:rsid w:val="003C74BB"/>
    <w:rsid w:val="003C7F18"/>
    <w:rsid w:val="003D018B"/>
    <w:rsid w:val="003D01CE"/>
    <w:rsid w:val="003D024C"/>
    <w:rsid w:val="003D0D84"/>
    <w:rsid w:val="003D1059"/>
    <w:rsid w:val="003D13F9"/>
    <w:rsid w:val="003D1BF7"/>
    <w:rsid w:val="003D1EED"/>
    <w:rsid w:val="003D2AB1"/>
    <w:rsid w:val="003D2CC7"/>
    <w:rsid w:val="003D2DD1"/>
    <w:rsid w:val="003D2F7D"/>
    <w:rsid w:val="003D2FBC"/>
    <w:rsid w:val="003D357B"/>
    <w:rsid w:val="003D3FE1"/>
    <w:rsid w:val="003D4172"/>
    <w:rsid w:val="003D4902"/>
    <w:rsid w:val="003D5099"/>
    <w:rsid w:val="003D57CD"/>
    <w:rsid w:val="003D5C71"/>
    <w:rsid w:val="003D68C4"/>
    <w:rsid w:val="003D6C59"/>
    <w:rsid w:val="003D6E6A"/>
    <w:rsid w:val="003D74E7"/>
    <w:rsid w:val="003D7699"/>
    <w:rsid w:val="003D784C"/>
    <w:rsid w:val="003D7EDD"/>
    <w:rsid w:val="003D7F6E"/>
    <w:rsid w:val="003E026F"/>
    <w:rsid w:val="003E0414"/>
    <w:rsid w:val="003E057E"/>
    <w:rsid w:val="003E070F"/>
    <w:rsid w:val="003E0C17"/>
    <w:rsid w:val="003E0C26"/>
    <w:rsid w:val="003E1000"/>
    <w:rsid w:val="003E11F9"/>
    <w:rsid w:val="003E196A"/>
    <w:rsid w:val="003E1D1D"/>
    <w:rsid w:val="003E216D"/>
    <w:rsid w:val="003E21CF"/>
    <w:rsid w:val="003E281B"/>
    <w:rsid w:val="003E2CA9"/>
    <w:rsid w:val="003E2E27"/>
    <w:rsid w:val="003E3774"/>
    <w:rsid w:val="003E384A"/>
    <w:rsid w:val="003E3CE2"/>
    <w:rsid w:val="003E3D13"/>
    <w:rsid w:val="003E4290"/>
    <w:rsid w:val="003E4DBD"/>
    <w:rsid w:val="003E6426"/>
    <w:rsid w:val="003E6614"/>
    <w:rsid w:val="003E6DBB"/>
    <w:rsid w:val="003E704C"/>
    <w:rsid w:val="003E71B7"/>
    <w:rsid w:val="003E724C"/>
    <w:rsid w:val="003E762B"/>
    <w:rsid w:val="003F00F7"/>
    <w:rsid w:val="003F021D"/>
    <w:rsid w:val="003F0602"/>
    <w:rsid w:val="003F154A"/>
    <w:rsid w:val="003F15AC"/>
    <w:rsid w:val="003F1655"/>
    <w:rsid w:val="003F1890"/>
    <w:rsid w:val="003F193E"/>
    <w:rsid w:val="003F1ABF"/>
    <w:rsid w:val="003F1EAC"/>
    <w:rsid w:val="003F37B4"/>
    <w:rsid w:val="003F42DB"/>
    <w:rsid w:val="003F42F4"/>
    <w:rsid w:val="003F469E"/>
    <w:rsid w:val="003F4CFE"/>
    <w:rsid w:val="003F6032"/>
    <w:rsid w:val="003F6357"/>
    <w:rsid w:val="003F63FD"/>
    <w:rsid w:val="003F6894"/>
    <w:rsid w:val="003F6C25"/>
    <w:rsid w:val="003F6D6F"/>
    <w:rsid w:val="003F6EA9"/>
    <w:rsid w:val="003F6FF4"/>
    <w:rsid w:val="003F71B7"/>
    <w:rsid w:val="003F7392"/>
    <w:rsid w:val="003F7908"/>
    <w:rsid w:val="003F7929"/>
    <w:rsid w:val="003F7C7B"/>
    <w:rsid w:val="003F7CDD"/>
    <w:rsid w:val="00400247"/>
    <w:rsid w:val="004004F4"/>
    <w:rsid w:val="0040082E"/>
    <w:rsid w:val="00400911"/>
    <w:rsid w:val="00400BD7"/>
    <w:rsid w:val="00400EEF"/>
    <w:rsid w:val="004012AA"/>
    <w:rsid w:val="004014EA"/>
    <w:rsid w:val="00401731"/>
    <w:rsid w:val="00402030"/>
    <w:rsid w:val="004021D4"/>
    <w:rsid w:val="0040222B"/>
    <w:rsid w:val="00402290"/>
    <w:rsid w:val="00402E99"/>
    <w:rsid w:val="00403959"/>
    <w:rsid w:val="00403A43"/>
    <w:rsid w:val="00404224"/>
    <w:rsid w:val="004042FA"/>
    <w:rsid w:val="004046E5"/>
    <w:rsid w:val="004046ED"/>
    <w:rsid w:val="00404B78"/>
    <w:rsid w:val="00404D82"/>
    <w:rsid w:val="00404F6C"/>
    <w:rsid w:val="004052A6"/>
    <w:rsid w:val="00405AE4"/>
    <w:rsid w:val="00405E79"/>
    <w:rsid w:val="004062FF"/>
    <w:rsid w:val="004068E5"/>
    <w:rsid w:val="00406F6A"/>
    <w:rsid w:val="004075CB"/>
    <w:rsid w:val="00407C48"/>
    <w:rsid w:val="004100F8"/>
    <w:rsid w:val="0041065B"/>
    <w:rsid w:val="00410723"/>
    <w:rsid w:val="00410788"/>
    <w:rsid w:val="00410807"/>
    <w:rsid w:val="00410B3D"/>
    <w:rsid w:val="00410B85"/>
    <w:rsid w:val="00411371"/>
    <w:rsid w:val="0041137B"/>
    <w:rsid w:val="00411435"/>
    <w:rsid w:val="004117C5"/>
    <w:rsid w:val="0041194E"/>
    <w:rsid w:val="00411E49"/>
    <w:rsid w:val="00412314"/>
    <w:rsid w:val="0041285C"/>
    <w:rsid w:val="00412AD4"/>
    <w:rsid w:val="00412AF1"/>
    <w:rsid w:val="00412D7A"/>
    <w:rsid w:val="00412EFC"/>
    <w:rsid w:val="00413150"/>
    <w:rsid w:val="00413563"/>
    <w:rsid w:val="004142E2"/>
    <w:rsid w:val="004145E9"/>
    <w:rsid w:val="00414AF0"/>
    <w:rsid w:val="00414D61"/>
    <w:rsid w:val="004150A7"/>
    <w:rsid w:val="004153B0"/>
    <w:rsid w:val="0041572E"/>
    <w:rsid w:val="00415730"/>
    <w:rsid w:val="00415A26"/>
    <w:rsid w:val="00415A63"/>
    <w:rsid w:val="00415C66"/>
    <w:rsid w:val="00416335"/>
    <w:rsid w:val="0041674C"/>
    <w:rsid w:val="004169A7"/>
    <w:rsid w:val="00416A47"/>
    <w:rsid w:val="00417110"/>
    <w:rsid w:val="00417E5A"/>
    <w:rsid w:val="00420130"/>
    <w:rsid w:val="00420A43"/>
    <w:rsid w:val="00421043"/>
    <w:rsid w:val="00421072"/>
    <w:rsid w:val="0042168B"/>
    <w:rsid w:val="00421AD8"/>
    <w:rsid w:val="00421B82"/>
    <w:rsid w:val="00421FED"/>
    <w:rsid w:val="00422375"/>
    <w:rsid w:val="004223EC"/>
    <w:rsid w:val="004233DE"/>
    <w:rsid w:val="004234AF"/>
    <w:rsid w:val="00423629"/>
    <w:rsid w:val="004236C5"/>
    <w:rsid w:val="00423CCC"/>
    <w:rsid w:val="00423FB9"/>
    <w:rsid w:val="0042420E"/>
    <w:rsid w:val="00424621"/>
    <w:rsid w:val="004247AF"/>
    <w:rsid w:val="00424A9F"/>
    <w:rsid w:val="00424EAA"/>
    <w:rsid w:val="00424FC3"/>
    <w:rsid w:val="0042517B"/>
    <w:rsid w:val="00425A4B"/>
    <w:rsid w:val="00425B06"/>
    <w:rsid w:val="00425E00"/>
    <w:rsid w:val="00427132"/>
    <w:rsid w:val="004271CA"/>
    <w:rsid w:val="00427212"/>
    <w:rsid w:val="0042794E"/>
    <w:rsid w:val="00427A66"/>
    <w:rsid w:val="00427B93"/>
    <w:rsid w:val="004309AA"/>
    <w:rsid w:val="004316DC"/>
    <w:rsid w:val="00431B77"/>
    <w:rsid w:val="00432125"/>
    <w:rsid w:val="004326B8"/>
    <w:rsid w:val="004329F3"/>
    <w:rsid w:val="00432E27"/>
    <w:rsid w:val="004334E2"/>
    <w:rsid w:val="00433F2F"/>
    <w:rsid w:val="00433F93"/>
    <w:rsid w:val="0043419D"/>
    <w:rsid w:val="00434783"/>
    <w:rsid w:val="004347A6"/>
    <w:rsid w:val="004348B8"/>
    <w:rsid w:val="0043493E"/>
    <w:rsid w:val="00434B4B"/>
    <w:rsid w:val="00435033"/>
    <w:rsid w:val="0043507F"/>
    <w:rsid w:val="00435240"/>
    <w:rsid w:val="00435382"/>
    <w:rsid w:val="00435548"/>
    <w:rsid w:val="004365D9"/>
    <w:rsid w:val="004366FC"/>
    <w:rsid w:val="00436A7F"/>
    <w:rsid w:val="00436E72"/>
    <w:rsid w:val="00437221"/>
    <w:rsid w:val="004375C4"/>
    <w:rsid w:val="00437670"/>
    <w:rsid w:val="0044013E"/>
    <w:rsid w:val="004403C6"/>
    <w:rsid w:val="004404EE"/>
    <w:rsid w:val="0044071E"/>
    <w:rsid w:val="00440C01"/>
    <w:rsid w:val="00440CCB"/>
    <w:rsid w:val="00440EF3"/>
    <w:rsid w:val="00441213"/>
    <w:rsid w:val="00441518"/>
    <w:rsid w:val="00441931"/>
    <w:rsid w:val="00441D02"/>
    <w:rsid w:val="00441DEC"/>
    <w:rsid w:val="00442164"/>
    <w:rsid w:val="00442470"/>
    <w:rsid w:val="0044252B"/>
    <w:rsid w:val="00442895"/>
    <w:rsid w:val="00443229"/>
    <w:rsid w:val="00443B5D"/>
    <w:rsid w:val="00443BF8"/>
    <w:rsid w:val="00443F45"/>
    <w:rsid w:val="004441B5"/>
    <w:rsid w:val="0044425E"/>
    <w:rsid w:val="0044439B"/>
    <w:rsid w:val="00444438"/>
    <w:rsid w:val="0044495F"/>
    <w:rsid w:val="00444D72"/>
    <w:rsid w:val="00444F2C"/>
    <w:rsid w:val="004450DC"/>
    <w:rsid w:val="00445E0C"/>
    <w:rsid w:val="00445E72"/>
    <w:rsid w:val="004465A4"/>
    <w:rsid w:val="004466C9"/>
    <w:rsid w:val="00446783"/>
    <w:rsid w:val="00446EC7"/>
    <w:rsid w:val="00446FC3"/>
    <w:rsid w:val="004471BF"/>
    <w:rsid w:val="0044739E"/>
    <w:rsid w:val="00447576"/>
    <w:rsid w:val="00447680"/>
    <w:rsid w:val="00447E08"/>
    <w:rsid w:val="00447E2C"/>
    <w:rsid w:val="00450565"/>
    <w:rsid w:val="00450582"/>
    <w:rsid w:val="00450BFA"/>
    <w:rsid w:val="00451565"/>
    <w:rsid w:val="004516EA"/>
    <w:rsid w:val="004519F1"/>
    <w:rsid w:val="00451BEB"/>
    <w:rsid w:val="00451C18"/>
    <w:rsid w:val="00452420"/>
    <w:rsid w:val="004528A2"/>
    <w:rsid w:val="00452A4C"/>
    <w:rsid w:val="00452BBA"/>
    <w:rsid w:val="00452EDB"/>
    <w:rsid w:val="00452FDF"/>
    <w:rsid w:val="00453380"/>
    <w:rsid w:val="004539B9"/>
    <w:rsid w:val="004539CC"/>
    <w:rsid w:val="00453D18"/>
    <w:rsid w:val="00453FEA"/>
    <w:rsid w:val="00454052"/>
    <w:rsid w:val="0045432A"/>
    <w:rsid w:val="004544BC"/>
    <w:rsid w:val="0045470B"/>
    <w:rsid w:val="00454C83"/>
    <w:rsid w:val="00455B09"/>
    <w:rsid w:val="00455E8C"/>
    <w:rsid w:val="004566FC"/>
    <w:rsid w:val="004569D7"/>
    <w:rsid w:val="00456C60"/>
    <w:rsid w:val="00456DAD"/>
    <w:rsid w:val="00460246"/>
    <w:rsid w:val="00460EE2"/>
    <w:rsid w:val="00460F28"/>
    <w:rsid w:val="00461344"/>
    <w:rsid w:val="0046158E"/>
    <w:rsid w:val="00461A50"/>
    <w:rsid w:val="00461DFD"/>
    <w:rsid w:val="00462366"/>
    <w:rsid w:val="0046238A"/>
    <w:rsid w:val="004628A2"/>
    <w:rsid w:val="004628F6"/>
    <w:rsid w:val="00463085"/>
    <w:rsid w:val="004630A3"/>
    <w:rsid w:val="0046311F"/>
    <w:rsid w:val="004637FF"/>
    <w:rsid w:val="0046391C"/>
    <w:rsid w:val="00463B13"/>
    <w:rsid w:val="00464011"/>
    <w:rsid w:val="00464B96"/>
    <w:rsid w:val="00465062"/>
    <w:rsid w:val="00465384"/>
    <w:rsid w:val="0046573F"/>
    <w:rsid w:val="0046643C"/>
    <w:rsid w:val="00466498"/>
    <w:rsid w:val="004665B1"/>
    <w:rsid w:val="00466898"/>
    <w:rsid w:val="00467112"/>
    <w:rsid w:val="0046760E"/>
    <w:rsid w:val="004677AE"/>
    <w:rsid w:val="00470771"/>
    <w:rsid w:val="00470CF7"/>
    <w:rsid w:val="00471373"/>
    <w:rsid w:val="00471A51"/>
    <w:rsid w:val="00471E7A"/>
    <w:rsid w:val="004720A2"/>
    <w:rsid w:val="004721A7"/>
    <w:rsid w:val="004721C2"/>
    <w:rsid w:val="00472246"/>
    <w:rsid w:val="004722BC"/>
    <w:rsid w:val="00472AC9"/>
    <w:rsid w:val="00472BBF"/>
    <w:rsid w:val="00472DFD"/>
    <w:rsid w:val="00472E40"/>
    <w:rsid w:val="00472ED8"/>
    <w:rsid w:val="00473074"/>
    <w:rsid w:val="00473981"/>
    <w:rsid w:val="00473AE4"/>
    <w:rsid w:val="00473D65"/>
    <w:rsid w:val="00473E99"/>
    <w:rsid w:val="0047445E"/>
    <w:rsid w:val="004744A6"/>
    <w:rsid w:val="00474725"/>
    <w:rsid w:val="00474940"/>
    <w:rsid w:val="00474974"/>
    <w:rsid w:val="004749E5"/>
    <w:rsid w:val="00474B3A"/>
    <w:rsid w:val="00474CBF"/>
    <w:rsid w:val="004757A0"/>
    <w:rsid w:val="004764AA"/>
    <w:rsid w:val="0047655E"/>
    <w:rsid w:val="00476AA1"/>
    <w:rsid w:val="00477536"/>
    <w:rsid w:val="004775B1"/>
    <w:rsid w:val="004776F8"/>
    <w:rsid w:val="004779EA"/>
    <w:rsid w:val="00477B6C"/>
    <w:rsid w:val="00477D53"/>
    <w:rsid w:val="0048073C"/>
    <w:rsid w:val="00480BE5"/>
    <w:rsid w:val="00480D38"/>
    <w:rsid w:val="00481AA1"/>
    <w:rsid w:val="00481BAF"/>
    <w:rsid w:val="00481DC8"/>
    <w:rsid w:val="004821A4"/>
    <w:rsid w:val="00482533"/>
    <w:rsid w:val="004828A5"/>
    <w:rsid w:val="004831F1"/>
    <w:rsid w:val="00483294"/>
    <w:rsid w:val="004837D9"/>
    <w:rsid w:val="00483B30"/>
    <w:rsid w:val="00484D5A"/>
    <w:rsid w:val="00484DE5"/>
    <w:rsid w:val="00485325"/>
    <w:rsid w:val="00485579"/>
    <w:rsid w:val="0048563A"/>
    <w:rsid w:val="00485875"/>
    <w:rsid w:val="004859B8"/>
    <w:rsid w:val="00485F61"/>
    <w:rsid w:val="00486709"/>
    <w:rsid w:val="00486867"/>
    <w:rsid w:val="00486FF7"/>
    <w:rsid w:val="004870A6"/>
    <w:rsid w:val="00487995"/>
    <w:rsid w:val="00487B38"/>
    <w:rsid w:val="004903B2"/>
    <w:rsid w:val="004904E2"/>
    <w:rsid w:val="00490647"/>
    <w:rsid w:val="00490665"/>
    <w:rsid w:val="00490738"/>
    <w:rsid w:val="0049083B"/>
    <w:rsid w:val="00490987"/>
    <w:rsid w:val="00490CD9"/>
    <w:rsid w:val="00490E62"/>
    <w:rsid w:val="00491496"/>
    <w:rsid w:val="00491C7B"/>
    <w:rsid w:val="00491CF9"/>
    <w:rsid w:val="00492311"/>
    <w:rsid w:val="00492606"/>
    <w:rsid w:val="004934FB"/>
    <w:rsid w:val="0049409C"/>
    <w:rsid w:val="004941C6"/>
    <w:rsid w:val="004950CE"/>
    <w:rsid w:val="0049553A"/>
    <w:rsid w:val="0049556D"/>
    <w:rsid w:val="004959CC"/>
    <w:rsid w:val="00495EBB"/>
    <w:rsid w:val="004963BB"/>
    <w:rsid w:val="00496C05"/>
    <w:rsid w:val="00496F22"/>
    <w:rsid w:val="00496F87"/>
    <w:rsid w:val="00497883"/>
    <w:rsid w:val="00497BAC"/>
    <w:rsid w:val="00497BBE"/>
    <w:rsid w:val="00497F30"/>
    <w:rsid w:val="004A1523"/>
    <w:rsid w:val="004A19C2"/>
    <w:rsid w:val="004A1F96"/>
    <w:rsid w:val="004A20DE"/>
    <w:rsid w:val="004A22B0"/>
    <w:rsid w:val="004A293A"/>
    <w:rsid w:val="004A2C70"/>
    <w:rsid w:val="004A2F38"/>
    <w:rsid w:val="004A3981"/>
    <w:rsid w:val="004A3D63"/>
    <w:rsid w:val="004A4249"/>
    <w:rsid w:val="004A438B"/>
    <w:rsid w:val="004A4942"/>
    <w:rsid w:val="004A4A5E"/>
    <w:rsid w:val="004A5490"/>
    <w:rsid w:val="004A5A73"/>
    <w:rsid w:val="004A5B66"/>
    <w:rsid w:val="004A60FF"/>
    <w:rsid w:val="004A69B5"/>
    <w:rsid w:val="004A6AA9"/>
    <w:rsid w:val="004A6B66"/>
    <w:rsid w:val="004A6C16"/>
    <w:rsid w:val="004A6E0F"/>
    <w:rsid w:val="004A6EE6"/>
    <w:rsid w:val="004A6F32"/>
    <w:rsid w:val="004A7525"/>
    <w:rsid w:val="004A79C9"/>
    <w:rsid w:val="004A7BCA"/>
    <w:rsid w:val="004A7D59"/>
    <w:rsid w:val="004B02EB"/>
    <w:rsid w:val="004B0372"/>
    <w:rsid w:val="004B0612"/>
    <w:rsid w:val="004B07DB"/>
    <w:rsid w:val="004B087A"/>
    <w:rsid w:val="004B0D94"/>
    <w:rsid w:val="004B0DB0"/>
    <w:rsid w:val="004B18C4"/>
    <w:rsid w:val="004B1B63"/>
    <w:rsid w:val="004B1E75"/>
    <w:rsid w:val="004B39BD"/>
    <w:rsid w:val="004B3BBB"/>
    <w:rsid w:val="004B3E13"/>
    <w:rsid w:val="004B42EF"/>
    <w:rsid w:val="004B472D"/>
    <w:rsid w:val="004B4CDC"/>
    <w:rsid w:val="004B503B"/>
    <w:rsid w:val="004B53DD"/>
    <w:rsid w:val="004B5789"/>
    <w:rsid w:val="004B5839"/>
    <w:rsid w:val="004B5917"/>
    <w:rsid w:val="004B5ADD"/>
    <w:rsid w:val="004B5D46"/>
    <w:rsid w:val="004B5D74"/>
    <w:rsid w:val="004B6AE3"/>
    <w:rsid w:val="004B6EF2"/>
    <w:rsid w:val="004B7F7D"/>
    <w:rsid w:val="004C01C0"/>
    <w:rsid w:val="004C050E"/>
    <w:rsid w:val="004C0F1A"/>
    <w:rsid w:val="004C0F4A"/>
    <w:rsid w:val="004C1009"/>
    <w:rsid w:val="004C1776"/>
    <w:rsid w:val="004C1B5D"/>
    <w:rsid w:val="004C1E42"/>
    <w:rsid w:val="004C1EE2"/>
    <w:rsid w:val="004C25DB"/>
    <w:rsid w:val="004C296F"/>
    <w:rsid w:val="004C2D0C"/>
    <w:rsid w:val="004C2FC7"/>
    <w:rsid w:val="004C309D"/>
    <w:rsid w:val="004C34FE"/>
    <w:rsid w:val="004C3524"/>
    <w:rsid w:val="004C3552"/>
    <w:rsid w:val="004C3585"/>
    <w:rsid w:val="004C370D"/>
    <w:rsid w:val="004C3E83"/>
    <w:rsid w:val="004C44B1"/>
    <w:rsid w:val="004C4B13"/>
    <w:rsid w:val="004C4CBC"/>
    <w:rsid w:val="004C4DB7"/>
    <w:rsid w:val="004C590A"/>
    <w:rsid w:val="004C5B7F"/>
    <w:rsid w:val="004C6414"/>
    <w:rsid w:val="004C684A"/>
    <w:rsid w:val="004C6E89"/>
    <w:rsid w:val="004C7396"/>
    <w:rsid w:val="004C77A2"/>
    <w:rsid w:val="004C7877"/>
    <w:rsid w:val="004C7890"/>
    <w:rsid w:val="004C7902"/>
    <w:rsid w:val="004C79B6"/>
    <w:rsid w:val="004C7F4F"/>
    <w:rsid w:val="004D0AAD"/>
    <w:rsid w:val="004D112D"/>
    <w:rsid w:val="004D1AEF"/>
    <w:rsid w:val="004D1CEF"/>
    <w:rsid w:val="004D2278"/>
    <w:rsid w:val="004D2353"/>
    <w:rsid w:val="004D29CF"/>
    <w:rsid w:val="004D384A"/>
    <w:rsid w:val="004D38CE"/>
    <w:rsid w:val="004D3E93"/>
    <w:rsid w:val="004D4043"/>
    <w:rsid w:val="004D43A9"/>
    <w:rsid w:val="004D44C2"/>
    <w:rsid w:val="004D468C"/>
    <w:rsid w:val="004D4952"/>
    <w:rsid w:val="004D4B2A"/>
    <w:rsid w:val="004D5133"/>
    <w:rsid w:val="004D5210"/>
    <w:rsid w:val="004D571A"/>
    <w:rsid w:val="004D5AF6"/>
    <w:rsid w:val="004D5EF8"/>
    <w:rsid w:val="004D6629"/>
    <w:rsid w:val="004D6D05"/>
    <w:rsid w:val="004D6E69"/>
    <w:rsid w:val="004D7DB9"/>
    <w:rsid w:val="004E011A"/>
    <w:rsid w:val="004E0841"/>
    <w:rsid w:val="004E0843"/>
    <w:rsid w:val="004E0D4D"/>
    <w:rsid w:val="004E1076"/>
    <w:rsid w:val="004E1613"/>
    <w:rsid w:val="004E1BBF"/>
    <w:rsid w:val="004E1C7A"/>
    <w:rsid w:val="004E2006"/>
    <w:rsid w:val="004E21AC"/>
    <w:rsid w:val="004E2B72"/>
    <w:rsid w:val="004E3115"/>
    <w:rsid w:val="004E32E9"/>
    <w:rsid w:val="004E336D"/>
    <w:rsid w:val="004E34F4"/>
    <w:rsid w:val="004E411E"/>
    <w:rsid w:val="004E4344"/>
    <w:rsid w:val="004E4831"/>
    <w:rsid w:val="004E4AEC"/>
    <w:rsid w:val="004E4B61"/>
    <w:rsid w:val="004E4F42"/>
    <w:rsid w:val="004E50F8"/>
    <w:rsid w:val="004E52C3"/>
    <w:rsid w:val="004E5337"/>
    <w:rsid w:val="004E547C"/>
    <w:rsid w:val="004E585A"/>
    <w:rsid w:val="004E5977"/>
    <w:rsid w:val="004E59E2"/>
    <w:rsid w:val="004E5B99"/>
    <w:rsid w:val="004E63C0"/>
    <w:rsid w:val="004E63D4"/>
    <w:rsid w:val="004E6503"/>
    <w:rsid w:val="004E6630"/>
    <w:rsid w:val="004E6A18"/>
    <w:rsid w:val="004E6EE2"/>
    <w:rsid w:val="004E703D"/>
    <w:rsid w:val="004E7075"/>
    <w:rsid w:val="004E7F56"/>
    <w:rsid w:val="004E7FEF"/>
    <w:rsid w:val="004F0745"/>
    <w:rsid w:val="004F0D47"/>
    <w:rsid w:val="004F167B"/>
    <w:rsid w:val="004F1A31"/>
    <w:rsid w:val="004F1AC0"/>
    <w:rsid w:val="004F1ED0"/>
    <w:rsid w:val="004F1F30"/>
    <w:rsid w:val="004F286D"/>
    <w:rsid w:val="004F288A"/>
    <w:rsid w:val="004F2D11"/>
    <w:rsid w:val="004F2E25"/>
    <w:rsid w:val="004F2F37"/>
    <w:rsid w:val="004F2F9C"/>
    <w:rsid w:val="004F311F"/>
    <w:rsid w:val="004F3168"/>
    <w:rsid w:val="004F3FD9"/>
    <w:rsid w:val="004F42CA"/>
    <w:rsid w:val="004F43AF"/>
    <w:rsid w:val="004F44AB"/>
    <w:rsid w:val="004F45A7"/>
    <w:rsid w:val="004F48A0"/>
    <w:rsid w:val="004F53C3"/>
    <w:rsid w:val="004F58F1"/>
    <w:rsid w:val="004F5C8D"/>
    <w:rsid w:val="004F5E44"/>
    <w:rsid w:val="004F5E8A"/>
    <w:rsid w:val="004F5F7E"/>
    <w:rsid w:val="004F60DD"/>
    <w:rsid w:val="004F642A"/>
    <w:rsid w:val="004F697E"/>
    <w:rsid w:val="004F6A28"/>
    <w:rsid w:val="004F6A46"/>
    <w:rsid w:val="004F6BD0"/>
    <w:rsid w:val="004F6FC4"/>
    <w:rsid w:val="004F70FA"/>
    <w:rsid w:val="004F729B"/>
    <w:rsid w:val="004F7353"/>
    <w:rsid w:val="004F755E"/>
    <w:rsid w:val="004F766D"/>
    <w:rsid w:val="004F7688"/>
    <w:rsid w:val="004F7CF4"/>
    <w:rsid w:val="004F7DA6"/>
    <w:rsid w:val="004F7F39"/>
    <w:rsid w:val="0050019F"/>
    <w:rsid w:val="005002F4"/>
    <w:rsid w:val="00500C4C"/>
    <w:rsid w:val="00500CDF"/>
    <w:rsid w:val="0050100D"/>
    <w:rsid w:val="005011AB"/>
    <w:rsid w:val="00501611"/>
    <w:rsid w:val="005017E9"/>
    <w:rsid w:val="00501879"/>
    <w:rsid w:val="00502579"/>
    <w:rsid w:val="00502893"/>
    <w:rsid w:val="00503D36"/>
    <w:rsid w:val="0050461C"/>
    <w:rsid w:val="00504827"/>
    <w:rsid w:val="00504AB6"/>
    <w:rsid w:val="00504F3F"/>
    <w:rsid w:val="00505526"/>
    <w:rsid w:val="0050576A"/>
    <w:rsid w:val="005057BA"/>
    <w:rsid w:val="005057FC"/>
    <w:rsid w:val="00505A09"/>
    <w:rsid w:val="00506295"/>
    <w:rsid w:val="0050635A"/>
    <w:rsid w:val="005063FC"/>
    <w:rsid w:val="00506B68"/>
    <w:rsid w:val="0050753C"/>
    <w:rsid w:val="005075DF"/>
    <w:rsid w:val="00507D0F"/>
    <w:rsid w:val="00507D90"/>
    <w:rsid w:val="00507F85"/>
    <w:rsid w:val="00510209"/>
    <w:rsid w:val="005105FE"/>
    <w:rsid w:val="0051103F"/>
    <w:rsid w:val="00511393"/>
    <w:rsid w:val="005113D6"/>
    <w:rsid w:val="00511AC7"/>
    <w:rsid w:val="005125EE"/>
    <w:rsid w:val="005128D2"/>
    <w:rsid w:val="005129AC"/>
    <w:rsid w:val="005130D6"/>
    <w:rsid w:val="00513165"/>
    <w:rsid w:val="005138C7"/>
    <w:rsid w:val="0051425C"/>
    <w:rsid w:val="0051444C"/>
    <w:rsid w:val="00514710"/>
    <w:rsid w:val="00514F25"/>
    <w:rsid w:val="00514F94"/>
    <w:rsid w:val="00515185"/>
    <w:rsid w:val="005151BB"/>
    <w:rsid w:val="005151D9"/>
    <w:rsid w:val="00515712"/>
    <w:rsid w:val="005158EB"/>
    <w:rsid w:val="00515A4E"/>
    <w:rsid w:val="00515B44"/>
    <w:rsid w:val="00515C40"/>
    <w:rsid w:val="00515CA5"/>
    <w:rsid w:val="00515F67"/>
    <w:rsid w:val="00515F68"/>
    <w:rsid w:val="005168BC"/>
    <w:rsid w:val="00516E8D"/>
    <w:rsid w:val="0051775B"/>
    <w:rsid w:val="00517E66"/>
    <w:rsid w:val="00517E77"/>
    <w:rsid w:val="005203F7"/>
    <w:rsid w:val="0052073B"/>
    <w:rsid w:val="00520E67"/>
    <w:rsid w:val="00521374"/>
    <w:rsid w:val="005219FE"/>
    <w:rsid w:val="00521B1C"/>
    <w:rsid w:val="00521BA0"/>
    <w:rsid w:val="00521DC5"/>
    <w:rsid w:val="00522354"/>
    <w:rsid w:val="00522915"/>
    <w:rsid w:val="00522EEA"/>
    <w:rsid w:val="00522F7E"/>
    <w:rsid w:val="005234C9"/>
    <w:rsid w:val="00523849"/>
    <w:rsid w:val="005238E2"/>
    <w:rsid w:val="00523BB8"/>
    <w:rsid w:val="00523EC4"/>
    <w:rsid w:val="005244D5"/>
    <w:rsid w:val="005246F6"/>
    <w:rsid w:val="005249D3"/>
    <w:rsid w:val="00524A63"/>
    <w:rsid w:val="0052517D"/>
    <w:rsid w:val="00525398"/>
    <w:rsid w:val="005258BF"/>
    <w:rsid w:val="00525F9E"/>
    <w:rsid w:val="00525FBE"/>
    <w:rsid w:val="00526627"/>
    <w:rsid w:val="00526891"/>
    <w:rsid w:val="00526E92"/>
    <w:rsid w:val="00527122"/>
    <w:rsid w:val="00527793"/>
    <w:rsid w:val="005307A4"/>
    <w:rsid w:val="00530C65"/>
    <w:rsid w:val="00530E55"/>
    <w:rsid w:val="00530E91"/>
    <w:rsid w:val="00530ECE"/>
    <w:rsid w:val="00531023"/>
    <w:rsid w:val="005311C7"/>
    <w:rsid w:val="00531906"/>
    <w:rsid w:val="0053197E"/>
    <w:rsid w:val="00531CD5"/>
    <w:rsid w:val="00531D85"/>
    <w:rsid w:val="00533201"/>
    <w:rsid w:val="005334B3"/>
    <w:rsid w:val="005337E3"/>
    <w:rsid w:val="00533A4F"/>
    <w:rsid w:val="00533C5D"/>
    <w:rsid w:val="00533F1B"/>
    <w:rsid w:val="005343BB"/>
    <w:rsid w:val="00534A34"/>
    <w:rsid w:val="00534C65"/>
    <w:rsid w:val="005352D9"/>
    <w:rsid w:val="00536D9A"/>
    <w:rsid w:val="00536EEC"/>
    <w:rsid w:val="005372F9"/>
    <w:rsid w:val="005400D2"/>
    <w:rsid w:val="005401D8"/>
    <w:rsid w:val="005403C4"/>
    <w:rsid w:val="0054041A"/>
    <w:rsid w:val="00540FC0"/>
    <w:rsid w:val="0054162C"/>
    <w:rsid w:val="00541B7A"/>
    <w:rsid w:val="00541C89"/>
    <w:rsid w:val="00541E6A"/>
    <w:rsid w:val="00541F41"/>
    <w:rsid w:val="00542415"/>
    <w:rsid w:val="005426D7"/>
    <w:rsid w:val="00542755"/>
    <w:rsid w:val="00542999"/>
    <w:rsid w:val="00542A94"/>
    <w:rsid w:val="00542B51"/>
    <w:rsid w:val="00542F4D"/>
    <w:rsid w:val="0054305F"/>
    <w:rsid w:val="00543158"/>
    <w:rsid w:val="00543D03"/>
    <w:rsid w:val="00543E11"/>
    <w:rsid w:val="00543EF8"/>
    <w:rsid w:val="00543F09"/>
    <w:rsid w:val="00543F59"/>
    <w:rsid w:val="0054492A"/>
    <w:rsid w:val="005451C5"/>
    <w:rsid w:val="00545B8A"/>
    <w:rsid w:val="005463F2"/>
    <w:rsid w:val="00546845"/>
    <w:rsid w:val="00546879"/>
    <w:rsid w:val="00546960"/>
    <w:rsid w:val="00546A8D"/>
    <w:rsid w:val="00546D3E"/>
    <w:rsid w:val="00546F9B"/>
    <w:rsid w:val="00547167"/>
    <w:rsid w:val="005474E5"/>
    <w:rsid w:val="00547603"/>
    <w:rsid w:val="00547963"/>
    <w:rsid w:val="00547ACA"/>
    <w:rsid w:val="00547BF9"/>
    <w:rsid w:val="00547E6B"/>
    <w:rsid w:val="00547F92"/>
    <w:rsid w:val="0055002C"/>
    <w:rsid w:val="005500B1"/>
    <w:rsid w:val="0055044D"/>
    <w:rsid w:val="00550820"/>
    <w:rsid w:val="00550845"/>
    <w:rsid w:val="005508B7"/>
    <w:rsid w:val="00551246"/>
    <w:rsid w:val="00551580"/>
    <w:rsid w:val="005519B2"/>
    <w:rsid w:val="00552806"/>
    <w:rsid w:val="00552846"/>
    <w:rsid w:val="0055299B"/>
    <w:rsid w:val="00552A0C"/>
    <w:rsid w:val="00552A29"/>
    <w:rsid w:val="00552A9A"/>
    <w:rsid w:val="00552ADF"/>
    <w:rsid w:val="00552EC7"/>
    <w:rsid w:val="0055339E"/>
    <w:rsid w:val="005537FF"/>
    <w:rsid w:val="00553871"/>
    <w:rsid w:val="0055411B"/>
    <w:rsid w:val="00554210"/>
    <w:rsid w:val="00554233"/>
    <w:rsid w:val="005548AB"/>
    <w:rsid w:val="00554B83"/>
    <w:rsid w:val="00554BEE"/>
    <w:rsid w:val="005551D0"/>
    <w:rsid w:val="005552EA"/>
    <w:rsid w:val="00555AB3"/>
    <w:rsid w:val="00555AF8"/>
    <w:rsid w:val="00555CD4"/>
    <w:rsid w:val="005563E0"/>
    <w:rsid w:val="005564B9"/>
    <w:rsid w:val="00556605"/>
    <w:rsid w:val="00556905"/>
    <w:rsid w:val="00556C33"/>
    <w:rsid w:val="00557D6A"/>
    <w:rsid w:val="005602BA"/>
    <w:rsid w:val="005602E5"/>
    <w:rsid w:val="005607FC"/>
    <w:rsid w:val="005608CA"/>
    <w:rsid w:val="0056122C"/>
    <w:rsid w:val="0056147D"/>
    <w:rsid w:val="00561CFD"/>
    <w:rsid w:val="00561F91"/>
    <w:rsid w:val="00562221"/>
    <w:rsid w:val="0056247A"/>
    <w:rsid w:val="0056247D"/>
    <w:rsid w:val="00562895"/>
    <w:rsid w:val="00562D2D"/>
    <w:rsid w:val="005630A0"/>
    <w:rsid w:val="0056330B"/>
    <w:rsid w:val="005642C7"/>
    <w:rsid w:val="00564381"/>
    <w:rsid w:val="005646B0"/>
    <w:rsid w:val="00564B7F"/>
    <w:rsid w:val="00564E67"/>
    <w:rsid w:val="00564FB1"/>
    <w:rsid w:val="00564FD2"/>
    <w:rsid w:val="005651FF"/>
    <w:rsid w:val="00565624"/>
    <w:rsid w:val="00565957"/>
    <w:rsid w:val="00566092"/>
    <w:rsid w:val="005660B8"/>
    <w:rsid w:val="00567DBB"/>
    <w:rsid w:val="0057025E"/>
    <w:rsid w:val="005706CE"/>
    <w:rsid w:val="005708B6"/>
    <w:rsid w:val="00570C5B"/>
    <w:rsid w:val="00570CB1"/>
    <w:rsid w:val="00570FE8"/>
    <w:rsid w:val="0057110B"/>
    <w:rsid w:val="00571BEE"/>
    <w:rsid w:val="0057204F"/>
    <w:rsid w:val="00572244"/>
    <w:rsid w:val="0057228B"/>
    <w:rsid w:val="00572712"/>
    <w:rsid w:val="0057278B"/>
    <w:rsid w:val="00572BC6"/>
    <w:rsid w:val="005734B9"/>
    <w:rsid w:val="005734C2"/>
    <w:rsid w:val="0057371C"/>
    <w:rsid w:val="00573BA3"/>
    <w:rsid w:val="0057402F"/>
    <w:rsid w:val="005740D8"/>
    <w:rsid w:val="0057428B"/>
    <w:rsid w:val="005744FA"/>
    <w:rsid w:val="00574784"/>
    <w:rsid w:val="00574AAF"/>
    <w:rsid w:val="005759F5"/>
    <w:rsid w:val="005762C2"/>
    <w:rsid w:val="00576A61"/>
    <w:rsid w:val="00576BF3"/>
    <w:rsid w:val="00576C3E"/>
    <w:rsid w:val="00576D16"/>
    <w:rsid w:val="00576F95"/>
    <w:rsid w:val="00577D1E"/>
    <w:rsid w:val="00577F5C"/>
    <w:rsid w:val="00580067"/>
    <w:rsid w:val="0058018F"/>
    <w:rsid w:val="00580783"/>
    <w:rsid w:val="00580815"/>
    <w:rsid w:val="00581045"/>
    <w:rsid w:val="00581048"/>
    <w:rsid w:val="00581136"/>
    <w:rsid w:val="00581168"/>
    <w:rsid w:val="00581A78"/>
    <w:rsid w:val="00582228"/>
    <w:rsid w:val="00582372"/>
    <w:rsid w:val="0058264E"/>
    <w:rsid w:val="005827BE"/>
    <w:rsid w:val="00583346"/>
    <w:rsid w:val="005834F5"/>
    <w:rsid w:val="005839BA"/>
    <w:rsid w:val="00583BCB"/>
    <w:rsid w:val="0058418F"/>
    <w:rsid w:val="0058435F"/>
    <w:rsid w:val="00584791"/>
    <w:rsid w:val="005848CF"/>
    <w:rsid w:val="005855DA"/>
    <w:rsid w:val="00585AC9"/>
    <w:rsid w:val="00585E51"/>
    <w:rsid w:val="00586114"/>
    <w:rsid w:val="00586386"/>
    <w:rsid w:val="005863A5"/>
    <w:rsid w:val="00586B11"/>
    <w:rsid w:val="0058703D"/>
    <w:rsid w:val="0058729F"/>
    <w:rsid w:val="0058771F"/>
    <w:rsid w:val="00587DCF"/>
    <w:rsid w:val="00590B1B"/>
    <w:rsid w:val="00590F8F"/>
    <w:rsid w:val="00591AA1"/>
    <w:rsid w:val="005921D2"/>
    <w:rsid w:val="00592811"/>
    <w:rsid w:val="0059305F"/>
    <w:rsid w:val="005932BE"/>
    <w:rsid w:val="00593B00"/>
    <w:rsid w:val="00594014"/>
    <w:rsid w:val="00594337"/>
    <w:rsid w:val="00594721"/>
    <w:rsid w:val="0059497D"/>
    <w:rsid w:val="00595327"/>
    <w:rsid w:val="00595E76"/>
    <w:rsid w:val="005960D3"/>
    <w:rsid w:val="0059621B"/>
    <w:rsid w:val="005966F3"/>
    <w:rsid w:val="005969F8"/>
    <w:rsid w:val="00596C0C"/>
    <w:rsid w:val="00596E54"/>
    <w:rsid w:val="005976CF"/>
    <w:rsid w:val="005A01DE"/>
    <w:rsid w:val="005A035B"/>
    <w:rsid w:val="005A0696"/>
    <w:rsid w:val="005A08C2"/>
    <w:rsid w:val="005A0903"/>
    <w:rsid w:val="005A0953"/>
    <w:rsid w:val="005A0971"/>
    <w:rsid w:val="005A0B80"/>
    <w:rsid w:val="005A1182"/>
    <w:rsid w:val="005A11ED"/>
    <w:rsid w:val="005A1267"/>
    <w:rsid w:val="005A1962"/>
    <w:rsid w:val="005A1C14"/>
    <w:rsid w:val="005A208D"/>
    <w:rsid w:val="005A20A0"/>
    <w:rsid w:val="005A23ED"/>
    <w:rsid w:val="005A247A"/>
    <w:rsid w:val="005A253E"/>
    <w:rsid w:val="005A2D4C"/>
    <w:rsid w:val="005A332B"/>
    <w:rsid w:val="005A370A"/>
    <w:rsid w:val="005A3769"/>
    <w:rsid w:val="005A37C0"/>
    <w:rsid w:val="005A3CC6"/>
    <w:rsid w:val="005A4178"/>
    <w:rsid w:val="005A41F7"/>
    <w:rsid w:val="005A43A4"/>
    <w:rsid w:val="005A449B"/>
    <w:rsid w:val="005A498D"/>
    <w:rsid w:val="005A4BF1"/>
    <w:rsid w:val="005A5193"/>
    <w:rsid w:val="005A540F"/>
    <w:rsid w:val="005A5773"/>
    <w:rsid w:val="005A671F"/>
    <w:rsid w:val="005A73D0"/>
    <w:rsid w:val="005A7426"/>
    <w:rsid w:val="005A7963"/>
    <w:rsid w:val="005A7994"/>
    <w:rsid w:val="005B0138"/>
    <w:rsid w:val="005B070B"/>
    <w:rsid w:val="005B09DA"/>
    <w:rsid w:val="005B0B26"/>
    <w:rsid w:val="005B0C5F"/>
    <w:rsid w:val="005B0E36"/>
    <w:rsid w:val="005B106E"/>
    <w:rsid w:val="005B107E"/>
    <w:rsid w:val="005B1111"/>
    <w:rsid w:val="005B12C0"/>
    <w:rsid w:val="005B1A71"/>
    <w:rsid w:val="005B22D6"/>
    <w:rsid w:val="005B24AE"/>
    <w:rsid w:val="005B24D5"/>
    <w:rsid w:val="005B2856"/>
    <w:rsid w:val="005B2BB8"/>
    <w:rsid w:val="005B2F30"/>
    <w:rsid w:val="005B2F67"/>
    <w:rsid w:val="005B3010"/>
    <w:rsid w:val="005B3043"/>
    <w:rsid w:val="005B3466"/>
    <w:rsid w:val="005B384D"/>
    <w:rsid w:val="005B40B9"/>
    <w:rsid w:val="005B4270"/>
    <w:rsid w:val="005B44F4"/>
    <w:rsid w:val="005B487B"/>
    <w:rsid w:val="005B503B"/>
    <w:rsid w:val="005B50FE"/>
    <w:rsid w:val="005B52C2"/>
    <w:rsid w:val="005B55D1"/>
    <w:rsid w:val="005B56D5"/>
    <w:rsid w:val="005B56EE"/>
    <w:rsid w:val="005B5843"/>
    <w:rsid w:val="005B6232"/>
    <w:rsid w:val="005B62EF"/>
    <w:rsid w:val="005B6506"/>
    <w:rsid w:val="005B6A25"/>
    <w:rsid w:val="005B6AE9"/>
    <w:rsid w:val="005B7460"/>
    <w:rsid w:val="005B7FE9"/>
    <w:rsid w:val="005C0318"/>
    <w:rsid w:val="005C04A7"/>
    <w:rsid w:val="005C0884"/>
    <w:rsid w:val="005C0904"/>
    <w:rsid w:val="005C0D01"/>
    <w:rsid w:val="005C107E"/>
    <w:rsid w:val="005C1273"/>
    <w:rsid w:val="005C17C7"/>
    <w:rsid w:val="005C20F2"/>
    <w:rsid w:val="005C2470"/>
    <w:rsid w:val="005C27D9"/>
    <w:rsid w:val="005C3299"/>
    <w:rsid w:val="005C3365"/>
    <w:rsid w:val="005C3561"/>
    <w:rsid w:val="005C3567"/>
    <w:rsid w:val="005C38A9"/>
    <w:rsid w:val="005C39B6"/>
    <w:rsid w:val="005C3C6C"/>
    <w:rsid w:val="005C3DBB"/>
    <w:rsid w:val="005C3E4C"/>
    <w:rsid w:val="005C4204"/>
    <w:rsid w:val="005C43DC"/>
    <w:rsid w:val="005C49D2"/>
    <w:rsid w:val="005C4EC4"/>
    <w:rsid w:val="005C5AF2"/>
    <w:rsid w:val="005C5FE5"/>
    <w:rsid w:val="005C6451"/>
    <w:rsid w:val="005C6853"/>
    <w:rsid w:val="005C69F2"/>
    <w:rsid w:val="005C6AAD"/>
    <w:rsid w:val="005C6D56"/>
    <w:rsid w:val="005C6DB6"/>
    <w:rsid w:val="005C6F57"/>
    <w:rsid w:val="005C74D1"/>
    <w:rsid w:val="005C79F3"/>
    <w:rsid w:val="005C7B00"/>
    <w:rsid w:val="005D046E"/>
    <w:rsid w:val="005D0C7C"/>
    <w:rsid w:val="005D0E1F"/>
    <w:rsid w:val="005D0E3B"/>
    <w:rsid w:val="005D0FA1"/>
    <w:rsid w:val="005D1074"/>
    <w:rsid w:val="005D1748"/>
    <w:rsid w:val="005D1801"/>
    <w:rsid w:val="005D1892"/>
    <w:rsid w:val="005D1FA4"/>
    <w:rsid w:val="005D23CB"/>
    <w:rsid w:val="005D3144"/>
    <w:rsid w:val="005D3AC5"/>
    <w:rsid w:val="005D3AEF"/>
    <w:rsid w:val="005D3DFA"/>
    <w:rsid w:val="005D3E27"/>
    <w:rsid w:val="005D43B5"/>
    <w:rsid w:val="005D4673"/>
    <w:rsid w:val="005D480E"/>
    <w:rsid w:val="005D48CE"/>
    <w:rsid w:val="005D4A33"/>
    <w:rsid w:val="005D4DE9"/>
    <w:rsid w:val="005D580F"/>
    <w:rsid w:val="005D5CC7"/>
    <w:rsid w:val="005D64F8"/>
    <w:rsid w:val="005D65E8"/>
    <w:rsid w:val="005D6C85"/>
    <w:rsid w:val="005D6DF9"/>
    <w:rsid w:val="005D6E36"/>
    <w:rsid w:val="005D7026"/>
    <w:rsid w:val="005D7303"/>
    <w:rsid w:val="005D7680"/>
    <w:rsid w:val="005D7701"/>
    <w:rsid w:val="005D7DBC"/>
    <w:rsid w:val="005D7F15"/>
    <w:rsid w:val="005D7FFB"/>
    <w:rsid w:val="005E0218"/>
    <w:rsid w:val="005E04F7"/>
    <w:rsid w:val="005E0B6A"/>
    <w:rsid w:val="005E11CE"/>
    <w:rsid w:val="005E12DA"/>
    <w:rsid w:val="005E1EC0"/>
    <w:rsid w:val="005E206B"/>
    <w:rsid w:val="005E2581"/>
    <w:rsid w:val="005E2881"/>
    <w:rsid w:val="005E2A3A"/>
    <w:rsid w:val="005E2B0F"/>
    <w:rsid w:val="005E3721"/>
    <w:rsid w:val="005E3921"/>
    <w:rsid w:val="005E3BD3"/>
    <w:rsid w:val="005E3CCE"/>
    <w:rsid w:val="005E40DD"/>
    <w:rsid w:val="005E4968"/>
    <w:rsid w:val="005E4CA5"/>
    <w:rsid w:val="005E4E83"/>
    <w:rsid w:val="005E5308"/>
    <w:rsid w:val="005E5501"/>
    <w:rsid w:val="005E6203"/>
    <w:rsid w:val="005E68FC"/>
    <w:rsid w:val="005E7058"/>
    <w:rsid w:val="005E70BC"/>
    <w:rsid w:val="005E74FD"/>
    <w:rsid w:val="005E75EF"/>
    <w:rsid w:val="005E78C1"/>
    <w:rsid w:val="005E792C"/>
    <w:rsid w:val="005E7C56"/>
    <w:rsid w:val="005E7CF5"/>
    <w:rsid w:val="005E7DF0"/>
    <w:rsid w:val="005F073E"/>
    <w:rsid w:val="005F0AFF"/>
    <w:rsid w:val="005F1474"/>
    <w:rsid w:val="005F18C8"/>
    <w:rsid w:val="005F1EC8"/>
    <w:rsid w:val="005F26C8"/>
    <w:rsid w:val="005F2701"/>
    <w:rsid w:val="005F2A22"/>
    <w:rsid w:val="005F3023"/>
    <w:rsid w:val="005F32F1"/>
    <w:rsid w:val="005F3508"/>
    <w:rsid w:val="005F36DE"/>
    <w:rsid w:val="005F3D8D"/>
    <w:rsid w:val="005F3EC0"/>
    <w:rsid w:val="005F428F"/>
    <w:rsid w:val="005F459B"/>
    <w:rsid w:val="005F4A33"/>
    <w:rsid w:val="005F4FB6"/>
    <w:rsid w:val="005F50B8"/>
    <w:rsid w:val="005F5309"/>
    <w:rsid w:val="005F56C5"/>
    <w:rsid w:val="005F5841"/>
    <w:rsid w:val="005F5E24"/>
    <w:rsid w:val="005F6764"/>
    <w:rsid w:val="005F68AF"/>
    <w:rsid w:val="005F6B50"/>
    <w:rsid w:val="005F71A9"/>
    <w:rsid w:val="005F7AA5"/>
    <w:rsid w:val="005F7C96"/>
    <w:rsid w:val="005F7D2F"/>
    <w:rsid w:val="006001EB"/>
    <w:rsid w:val="00600A4A"/>
    <w:rsid w:val="00600C76"/>
    <w:rsid w:val="00601ABF"/>
    <w:rsid w:val="00601CC1"/>
    <w:rsid w:val="00601D59"/>
    <w:rsid w:val="00601F54"/>
    <w:rsid w:val="00601FE9"/>
    <w:rsid w:val="00602146"/>
    <w:rsid w:val="00602335"/>
    <w:rsid w:val="006024BF"/>
    <w:rsid w:val="006029E2"/>
    <w:rsid w:val="00602D56"/>
    <w:rsid w:val="00602F1A"/>
    <w:rsid w:val="0060305C"/>
    <w:rsid w:val="00603334"/>
    <w:rsid w:val="006036CD"/>
    <w:rsid w:val="0060394D"/>
    <w:rsid w:val="00603985"/>
    <w:rsid w:val="00603BB7"/>
    <w:rsid w:val="00603C4E"/>
    <w:rsid w:val="00604629"/>
    <w:rsid w:val="00604673"/>
    <w:rsid w:val="006046D1"/>
    <w:rsid w:val="006047E1"/>
    <w:rsid w:val="006049FD"/>
    <w:rsid w:val="00604AFC"/>
    <w:rsid w:val="00605503"/>
    <w:rsid w:val="00605E42"/>
    <w:rsid w:val="00606215"/>
    <w:rsid w:val="006065AC"/>
    <w:rsid w:val="00606A5E"/>
    <w:rsid w:val="00606BC3"/>
    <w:rsid w:val="00606FF6"/>
    <w:rsid w:val="00607384"/>
    <w:rsid w:val="00607E79"/>
    <w:rsid w:val="00607ED7"/>
    <w:rsid w:val="00610071"/>
    <w:rsid w:val="00610343"/>
    <w:rsid w:val="0061034E"/>
    <w:rsid w:val="006106BD"/>
    <w:rsid w:val="00610785"/>
    <w:rsid w:val="00610AF5"/>
    <w:rsid w:val="00610BDA"/>
    <w:rsid w:val="00610F70"/>
    <w:rsid w:val="00610FF4"/>
    <w:rsid w:val="00611F4B"/>
    <w:rsid w:val="006120A6"/>
    <w:rsid w:val="006126F7"/>
    <w:rsid w:val="00612844"/>
    <w:rsid w:val="00612D07"/>
    <w:rsid w:val="00613047"/>
    <w:rsid w:val="00613140"/>
    <w:rsid w:val="00613330"/>
    <w:rsid w:val="00613875"/>
    <w:rsid w:val="00613921"/>
    <w:rsid w:val="00614554"/>
    <w:rsid w:val="006147B0"/>
    <w:rsid w:val="0061485E"/>
    <w:rsid w:val="0061499B"/>
    <w:rsid w:val="00615039"/>
    <w:rsid w:val="006153D5"/>
    <w:rsid w:val="00615461"/>
    <w:rsid w:val="00615592"/>
    <w:rsid w:val="00615640"/>
    <w:rsid w:val="00616865"/>
    <w:rsid w:val="00616F5F"/>
    <w:rsid w:val="00616F75"/>
    <w:rsid w:val="00617415"/>
    <w:rsid w:val="00617E3B"/>
    <w:rsid w:val="00617FD7"/>
    <w:rsid w:val="0062024B"/>
    <w:rsid w:val="006209BB"/>
    <w:rsid w:val="00620B5A"/>
    <w:rsid w:val="0062151B"/>
    <w:rsid w:val="00621ADF"/>
    <w:rsid w:val="00622B4A"/>
    <w:rsid w:val="00622CA6"/>
    <w:rsid w:val="00622CDB"/>
    <w:rsid w:val="00622F56"/>
    <w:rsid w:val="006230D2"/>
    <w:rsid w:val="00623B97"/>
    <w:rsid w:val="00624105"/>
    <w:rsid w:val="00624605"/>
    <w:rsid w:val="006246D6"/>
    <w:rsid w:val="00624AB3"/>
    <w:rsid w:val="00624BC5"/>
    <w:rsid w:val="00624C14"/>
    <w:rsid w:val="00624FF0"/>
    <w:rsid w:val="0062572D"/>
    <w:rsid w:val="006257BE"/>
    <w:rsid w:val="006259A1"/>
    <w:rsid w:val="00625A9B"/>
    <w:rsid w:val="006263BC"/>
    <w:rsid w:val="006264A1"/>
    <w:rsid w:val="0062652E"/>
    <w:rsid w:val="00626C83"/>
    <w:rsid w:val="00626D25"/>
    <w:rsid w:val="00627035"/>
    <w:rsid w:val="0062787A"/>
    <w:rsid w:val="00627CC1"/>
    <w:rsid w:val="00627E95"/>
    <w:rsid w:val="006300FA"/>
    <w:rsid w:val="0063018F"/>
    <w:rsid w:val="0063027C"/>
    <w:rsid w:val="00630469"/>
    <w:rsid w:val="006308B7"/>
    <w:rsid w:val="00630C70"/>
    <w:rsid w:val="00630E06"/>
    <w:rsid w:val="00630F06"/>
    <w:rsid w:val="00630F16"/>
    <w:rsid w:val="00630F1D"/>
    <w:rsid w:val="0063121B"/>
    <w:rsid w:val="00631450"/>
    <w:rsid w:val="006314BF"/>
    <w:rsid w:val="00631575"/>
    <w:rsid w:val="00631B6C"/>
    <w:rsid w:val="00631C1A"/>
    <w:rsid w:val="00631CF3"/>
    <w:rsid w:val="00631E0A"/>
    <w:rsid w:val="006321CE"/>
    <w:rsid w:val="00632488"/>
    <w:rsid w:val="006325EB"/>
    <w:rsid w:val="006326C4"/>
    <w:rsid w:val="00632D71"/>
    <w:rsid w:val="006337A2"/>
    <w:rsid w:val="0063397E"/>
    <w:rsid w:val="00633DDC"/>
    <w:rsid w:val="00633E9A"/>
    <w:rsid w:val="00634128"/>
    <w:rsid w:val="00634413"/>
    <w:rsid w:val="0063477F"/>
    <w:rsid w:val="00635828"/>
    <w:rsid w:val="00635D9F"/>
    <w:rsid w:val="0063611B"/>
    <w:rsid w:val="0063620B"/>
    <w:rsid w:val="0063676F"/>
    <w:rsid w:val="0063699A"/>
    <w:rsid w:val="006375B9"/>
    <w:rsid w:val="00637807"/>
    <w:rsid w:val="00637EA3"/>
    <w:rsid w:val="00640102"/>
    <w:rsid w:val="006407C4"/>
    <w:rsid w:val="00640856"/>
    <w:rsid w:val="00640BFD"/>
    <w:rsid w:val="00640EB7"/>
    <w:rsid w:val="00641047"/>
    <w:rsid w:val="0064121A"/>
    <w:rsid w:val="00641358"/>
    <w:rsid w:val="0064142C"/>
    <w:rsid w:val="0064167E"/>
    <w:rsid w:val="00641C32"/>
    <w:rsid w:val="00641DEA"/>
    <w:rsid w:val="00641E5F"/>
    <w:rsid w:val="00641EC8"/>
    <w:rsid w:val="0064288A"/>
    <w:rsid w:val="00643402"/>
    <w:rsid w:val="00643746"/>
    <w:rsid w:val="0064376E"/>
    <w:rsid w:val="00643997"/>
    <w:rsid w:val="00644428"/>
    <w:rsid w:val="00644854"/>
    <w:rsid w:val="00644E22"/>
    <w:rsid w:val="006459DE"/>
    <w:rsid w:val="00645C8A"/>
    <w:rsid w:val="00645F74"/>
    <w:rsid w:val="00645F95"/>
    <w:rsid w:val="00645FDF"/>
    <w:rsid w:val="006466DE"/>
    <w:rsid w:val="00646764"/>
    <w:rsid w:val="00646FE1"/>
    <w:rsid w:val="006470F6"/>
    <w:rsid w:val="00647E31"/>
    <w:rsid w:val="00650569"/>
    <w:rsid w:val="0065077F"/>
    <w:rsid w:val="00650924"/>
    <w:rsid w:val="00650F26"/>
    <w:rsid w:val="006513AC"/>
    <w:rsid w:val="0065179E"/>
    <w:rsid w:val="006522A7"/>
    <w:rsid w:val="00652358"/>
    <w:rsid w:val="00653148"/>
    <w:rsid w:val="0065348F"/>
    <w:rsid w:val="0065356B"/>
    <w:rsid w:val="00653719"/>
    <w:rsid w:val="006544CF"/>
    <w:rsid w:val="00654713"/>
    <w:rsid w:val="00654915"/>
    <w:rsid w:val="00654A41"/>
    <w:rsid w:val="00654C1B"/>
    <w:rsid w:val="00655A4A"/>
    <w:rsid w:val="00655D4C"/>
    <w:rsid w:val="00655DD1"/>
    <w:rsid w:val="00656866"/>
    <w:rsid w:val="006568AA"/>
    <w:rsid w:val="00656A4B"/>
    <w:rsid w:val="00656A99"/>
    <w:rsid w:val="0065741C"/>
    <w:rsid w:val="0065751E"/>
    <w:rsid w:val="00657A08"/>
    <w:rsid w:val="00657A71"/>
    <w:rsid w:val="00657D5B"/>
    <w:rsid w:val="0066018F"/>
    <w:rsid w:val="006601DE"/>
    <w:rsid w:val="006601EE"/>
    <w:rsid w:val="00660995"/>
    <w:rsid w:val="00660B36"/>
    <w:rsid w:val="00660BD2"/>
    <w:rsid w:val="00660C5E"/>
    <w:rsid w:val="00660CA5"/>
    <w:rsid w:val="00660FA9"/>
    <w:rsid w:val="006610F4"/>
    <w:rsid w:val="006611FC"/>
    <w:rsid w:val="00661445"/>
    <w:rsid w:val="00661771"/>
    <w:rsid w:val="00661EC6"/>
    <w:rsid w:val="006621D5"/>
    <w:rsid w:val="00662477"/>
    <w:rsid w:val="006626BD"/>
    <w:rsid w:val="00662995"/>
    <w:rsid w:val="00662C38"/>
    <w:rsid w:val="006630EC"/>
    <w:rsid w:val="00663408"/>
    <w:rsid w:val="006637A6"/>
    <w:rsid w:val="00663961"/>
    <w:rsid w:val="00664114"/>
    <w:rsid w:val="00664223"/>
    <w:rsid w:val="00664A81"/>
    <w:rsid w:val="00664AAE"/>
    <w:rsid w:val="00664F1B"/>
    <w:rsid w:val="00664F7E"/>
    <w:rsid w:val="0066509B"/>
    <w:rsid w:val="0066570F"/>
    <w:rsid w:val="0066571B"/>
    <w:rsid w:val="00665BE1"/>
    <w:rsid w:val="00665E20"/>
    <w:rsid w:val="0066675D"/>
    <w:rsid w:val="00666851"/>
    <w:rsid w:val="006669D4"/>
    <w:rsid w:val="00666C36"/>
    <w:rsid w:val="006679A3"/>
    <w:rsid w:val="006700E5"/>
    <w:rsid w:val="00670118"/>
    <w:rsid w:val="0067047D"/>
    <w:rsid w:val="00670880"/>
    <w:rsid w:val="006708EA"/>
    <w:rsid w:val="00670922"/>
    <w:rsid w:val="006709F9"/>
    <w:rsid w:val="00670FAA"/>
    <w:rsid w:val="00671229"/>
    <w:rsid w:val="00671B38"/>
    <w:rsid w:val="00671BDA"/>
    <w:rsid w:val="00671CEB"/>
    <w:rsid w:val="00671D28"/>
    <w:rsid w:val="00671E1E"/>
    <w:rsid w:val="00671FCF"/>
    <w:rsid w:val="00671FE0"/>
    <w:rsid w:val="006722B0"/>
    <w:rsid w:val="0067249D"/>
    <w:rsid w:val="00672620"/>
    <w:rsid w:val="00672A24"/>
    <w:rsid w:val="00673901"/>
    <w:rsid w:val="00673910"/>
    <w:rsid w:val="00673C0C"/>
    <w:rsid w:val="00673E16"/>
    <w:rsid w:val="00673E8F"/>
    <w:rsid w:val="00674E43"/>
    <w:rsid w:val="00674EE4"/>
    <w:rsid w:val="00674FD1"/>
    <w:rsid w:val="00675564"/>
    <w:rsid w:val="0067621B"/>
    <w:rsid w:val="00676274"/>
    <w:rsid w:val="006762B0"/>
    <w:rsid w:val="00677029"/>
    <w:rsid w:val="00677E0E"/>
    <w:rsid w:val="00677E64"/>
    <w:rsid w:val="00677EBB"/>
    <w:rsid w:val="006802CD"/>
    <w:rsid w:val="00680432"/>
    <w:rsid w:val="0068061B"/>
    <w:rsid w:val="00680768"/>
    <w:rsid w:val="006808D7"/>
    <w:rsid w:val="006809AF"/>
    <w:rsid w:val="00680A96"/>
    <w:rsid w:val="00680BD5"/>
    <w:rsid w:val="00680E38"/>
    <w:rsid w:val="00680E6A"/>
    <w:rsid w:val="0068132B"/>
    <w:rsid w:val="00681499"/>
    <w:rsid w:val="006814C7"/>
    <w:rsid w:val="00681E01"/>
    <w:rsid w:val="006824A4"/>
    <w:rsid w:val="0068261D"/>
    <w:rsid w:val="00682B35"/>
    <w:rsid w:val="00682B6A"/>
    <w:rsid w:val="00682D05"/>
    <w:rsid w:val="00682DD4"/>
    <w:rsid w:val="006830AA"/>
    <w:rsid w:val="00683712"/>
    <w:rsid w:val="00683DBC"/>
    <w:rsid w:val="00683DF7"/>
    <w:rsid w:val="00683FF6"/>
    <w:rsid w:val="00684042"/>
    <w:rsid w:val="0068457F"/>
    <w:rsid w:val="00684901"/>
    <w:rsid w:val="00684B03"/>
    <w:rsid w:val="00684BBB"/>
    <w:rsid w:val="00685423"/>
    <w:rsid w:val="006856FF"/>
    <w:rsid w:val="00685EB5"/>
    <w:rsid w:val="006860B9"/>
    <w:rsid w:val="00686446"/>
    <w:rsid w:val="00686806"/>
    <w:rsid w:val="006872E0"/>
    <w:rsid w:val="0068743B"/>
    <w:rsid w:val="00687717"/>
    <w:rsid w:val="00687AAF"/>
    <w:rsid w:val="006901CC"/>
    <w:rsid w:val="0069026E"/>
    <w:rsid w:val="00690432"/>
    <w:rsid w:val="00690968"/>
    <w:rsid w:val="00690BDF"/>
    <w:rsid w:val="00690D2A"/>
    <w:rsid w:val="0069101B"/>
    <w:rsid w:val="0069141B"/>
    <w:rsid w:val="00692004"/>
    <w:rsid w:val="00692105"/>
    <w:rsid w:val="0069230F"/>
    <w:rsid w:val="00692372"/>
    <w:rsid w:val="00692FEC"/>
    <w:rsid w:val="00693020"/>
    <w:rsid w:val="006930ED"/>
    <w:rsid w:val="006936D7"/>
    <w:rsid w:val="0069397C"/>
    <w:rsid w:val="0069403E"/>
    <w:rsid w:val="0069431E"/>
    <w:rsid w:val="00694450"/>
    <w:rsid w:val="006946E2"/>
    <w:rsid w:val="00694CE6"/>
    <w:rsid w:val="006951E3"/>
    <w:rsid w:val="006951E8"/>
    <w:rsid w:val="0069541E"/>
    <w:rsid w:val="00695435"/>
    <w:rsid w:val="006955FC"/>
    <w:rsid w:val="00695A93"/>
    <w:rsid w:val="00695E5B"/>
    <w:rsid w:val="006962C9"/>
    <w:rsid w:val="00696D9D"/>
    <w:rsid w:val="00697209"/>
    <w:rsid w:val="006976E8"/>
    <w:rsid w:val="006A099F"/>
    <w:rsid w:val="006A0A8A"/>
    <w:rsid w:val="006A1068"/>
    <w:rsid w:val="006A106F"/>
    <w:rsid w:val="006A122F"/>
    <w:rsid w:val="006A1900"/>
    <w:rsid w:val="006A1A34"/>
    <w:rsid w:val="006A1ACE"/>
    <w:rsid w:val="006A1AF8"/>
    <w:rsid w:val="006A1B51"/>
    <w:rsid w:val="006A1C18"/>
    <w:rsid w:val="006A1CA9"/>
    <w:rsid w:val="006A2217"/>
    <w:rsid w:val="006A2948"/>
    <w:rsid w:val="006A2972"/>
    <w:rsid w:val="006A2BC6"/>
    <w:rsid w:val="006A2D4A"/>
    <w:rsid w:val="006A2E7F"/>
    <w:rsid w:val="006A2F5C"/>
    <w:rsid w:val="006A2FE2"/>
    <w:rsid w:val="006A31E4"/>
    <w:rsid w:val="006A36D5"/>
    <w:rsid w:val="006A37B9"/>
    <w:rsid w:val="006A3968"/>
    <w:rsid w:val="006A459A"/>
    <w:rsid w:val="006A46AA"/>
    <w:rsid w:val="006A46CC"/>
    <w:rsid w:val="006A4B17"/>
    <w:rsid w:val="006A4BE9"/>
    <w:rsid w:val="006A4C81"/>
    <w:rsid w:val="006A55BB"/>
    <w:rsid w:val="006A5680"/>
    <w:rsid w:val="006A5955"/>
    <w:rsid w:val="006A61F3"/>
    <w:rsid w:val="006A65DF"/>
    <w:rsid w:val="006A69B9"/>
    <w:rsid w:val="006A6D04"/>
    <w:rsid w:val="006A73B5"/>
    <w:rsid w:val="006A7BBC"/>
    <w:rsid w:val="006A7D6A"/>
    <w:rsid w:val="006B056A"/>
    <w:rsid w:val="006B0DC1"/>
    <w:rsid w:val="006B11B2"/>
    <w:rsid w:val="006B1344"/>
    <w:rsid w:val="006B145E"/>
    <w:rsid w:val="006B1534"/>
    <w:rsid w:val="006B1DEA"/>
    <w:rsid w:val="006B22C7"/>
    <w:rsid w:val="006B22E3"/>
    <w:rsid w:val="006B278D"/>
    <w:rsid w:val="006B2AF5"/>
    <w:rsid w:val="006B2B33"/>
    <w:rsid w:val="006B2CDE"/>
    <w:rsid w:val="006B3072"/>
    <w:rsid w:val="006B323E"/>
    <w:rsid w:val="006B343A"/>
    <w:rsid w:val="006B3447"/>
    <w:rsid w:val="006B3E15"/>
    <w:rsid w:val="006B407F"/>
    <w:rsid w:val="006B4581"/>
    <w:rsid w:val="006B467B"/>
    <w:rsid w:val="006B4923"/>
    <w:rsid w:val="006B4C9B"/>
    <w:rsid w:val="006B5415"/>
    <w:rsid w:val="006B5514"/>
    <w:rsid w:val="006B595B"/>
    <w:rsid w:val="006B5BB7"/>
    <w:rsid w:val="006B62B2"/>
    <w:rsid w:val="006B6709"/>
    <w:rsid w:val="006B6998"/>
    <w:rsid w:val="006B6C46"/>
    <w:rsid w:val="006B6D6E"/>
    <w:rsid w:val="006B7954"/>
    <w:rsid w:val="006C005D"/>
    <w:rsid w:val="006C01AF"/>
    <w:rsid w:val="006C0443"/>
    <w:rsid w:val="006C1301"/>
    <w:rsid w:val="006C1A3A"/>
    <w:rsid w:val="006C1BA2"/>
    <w:rsid w:val="006C1F94"/>
    <w:rsid w:val="006C2316"/>
    <w:rsid w:val="006C2435"/>
    <w:rsid w:val="006C2919"/>
    <w:rsid w:val="006C3606"/>
    <w:rsid w:val="006C3A35"/>
    <w:rsid w:val="006C3E1F"/>
    <w:rsid w:val="006C44AD"/>
    <w:rsid w:val="006C44F1"/>
    <w:rsid w:val="006C48DE"/>
    <w:rsid w:val="006C4A90"/>
    <w:rsid w:val="006C4F49"/>
    <w:rsid w:val="006C4F8D"/>
    <w:rsid w:val="006C52DB"/>
    <w:rsid w:val="006C52E7"/>
    <w:rsid w:val="006C5305"/>
    <w:rsid w:val="006C5324"/>
    <w:rsid w:val="006C5795"/>
    <w:rsid w:val="006C595E"/>
    <w:rsid w:val="006C5DE3"/>
    <w:rsid w:val="006C5DFA"/>
    <w:rsid w:val="006C5F10"/>
    <w:rsid w:val="006C60C9"/>
    <w:rsid w:val="006C6137"/>
    <w:rsid w:val="006C647C"/>
    <w:rsid w:val="006C75A4"/>
    <w:rsid w:val="006D0553"/>
    <w:rsid w:val="006D055B"/>
    <w:rsid w:val="006D05BC"/>
    <w:rsid w:val="006D0888"/>
    <w:rsid w:val="006D0BD9"/>
    <w:rsid w:val="006D0F9E"/>
    <w:rsid w:val="006D1168"/>
    <w:rsid w:val="006D12FC"/>
    <w:rsid w:val="006D18A9"/>
    <w:rsid w:val="006D1FA5"/>
    <w:rsid w:val="006D2D1F"/>
    <w:rsid w:val="006D30F6"/>
    <w:rsid w:val="006D325C"/>
    <w:rsid w:val="006D379B"/>
    <w:rsid w:val="006D483F"/>
    <w:rsid w:val="006D49FB"/>
    <w:rsid w:val="006D4ACB"/>
    <w:rsid w:val="006D4BD6"/>
    <w:rsid w:val="006D4C01"/>
    <w:rsid w:val="006D52F3"/>
    <w:rsid w:val="006D530B"/>
    <w:rsid w:val="006D589C"/>
    <w:rsid w:val="006D5904"/>
    <w:rsid w:val="006D595B"/>
    <w:rsid w:val="006D5BC0"/>
    <w:rsid w:val="006D5E8F"/>
    <w:rsid w:val="006D5FEB"/>
    <w:rsid w:val="006D662A"/>
    <w:rsid w:val="006D6E63"/>
    <w:rsid w:val="006D77A2"/>
    <w:rsid w:val="006E11CE"/>
    <w:rsid w:val="006E1323"/>
    <w:rsid w:val="006E15B1"/>
    <w:rsid w:val="006E1DBB"/>
    <w:rsid w:val="006E1EBD"/>
    <w:rsid w:val="006E2489"/>
    <w:rsid w:val="006E2E20"/>
    <w:rsid w:val="006E3018"/>
    <w:rsid w:val="006E3288"/>
    <w:rsid w:val="006E3635"/>
    <w:rsid w:val="006E375F"/>
    <w:rsid w:val="006E3BDC"/>
    <w:rsid w:val="006E4898"/>
    <w:rsid w:val="006E497B"/>
    <w:rsid w:val="006E54BA"/>
    <w:rsid w:val="006E5798"/>
    <w:rsid w:val="006E5AFB"/>
    <w:rsid w:val="006E5DEA"/>
    <w:rsid w:val="006E607C"/>
    <w:rsid w:val="006E61EE"/>
    <w:rsid w:val="006E64C8"/>
    <w:rsid w:val="006E6C8A"/>
    <w:rsid w:val="006E6D51"/>
    <w:rsid w:val="006E737B"/>
    <w:rsid w:val="006E7549"/>
    <w:rsid w:val="006E7B39"/>
    <w:rsid w:val="006E7BBB"/>
    <w:rsid w:val="006E7CC2"/>
    <w:rsid w:val="006E7F46"/>
    <w:rsid w:val="006F078C"/>
    <w:rsid w:val="006F0AC2"/>
    <w:rsid w:val="006F0DBD"/>
    <w:rsid w:val="006F0DC1"/>
    <w:rsid w:val="006F13BB"/>
    <w:rsid w:val="006F18C8"/>
    <w:rsid w:val="006F1A64"/>
    <w:rsid w:val="006F1C32"/>
    <w:rsid w:val="006F1C63"/>
    <w:rsid w:val="006F23E8"/>
    <w:rsid w:val="006F2615"/>
    <w:rsid w:val="006F2F5D"/>
    <w:rsid w:val="006F3783"/>
    <w:rsid w:val="006F3811"/>
    <w:rsid w:val="006F3910"/>
    <w:rsid w:val="006F484C"/>
    <w:rsid w:val="006F4BBF"/>
    <w:rsid w:val="006F4BE3"/>
    <w:rsid w:val="006F4D37"/>
    <w:rsid w:val="006F4DE1"/>
    <w:rsid w:val="006F502A"/>
    <w:rsid w:val="006F50EA"/>
    <w:rsid w:val="006F525B"/>
    <w:rsid w:val="006F59AF"/>
    <w:rsid w:val="006F5B92"/>
    <w:rsid w:val="006F650C"/>
    <w:rsid w:val="006F6636"/>
    <w:rsid w:val="006F6C73"/>
    <w:rsid w:val="006F7787"/>
    <w:rsid w:val="006F7B72"/>
    <w:rsid w:val="006F7BB4"/>
    <w:rsid w:val="006F7D06"/>
    <w:rsid w:val="006F7D69"/>
    <w:rsid w:val="006F7E2A"/>
    <w:rsid w:val="006F7FC9"/>
    <w:rsid w:val="007003DA"/>
    <w:rsid w:val="007007B3"/>
    <w:rsid w:val="00700A26"/>
    <w:rsid w:val="00700AC2"/>
    <w:rsid w:val="00700D6C"/>
    <w:rsid w:val="00700E71"/>
    <w:rsid w:val="007014E7"/>
    <w:rsid w:val="00701EB3"/>
    <w:rsid w:val="00702304"/>
    <w:rsid w:val="007028B1"/>
    <w:rsid w:val="00702E30"/>
    <w:rsid w:val="00703129"/>
    <w:rsid w:val="00704412"/>
    <w:rsid w:val="00704539"/>
    <w:rsid w:val="00704932"/>
    <w:rsid w:val="00704A8B"/>
    <w:rsid w:val="00704EFD"/>
    <w:rsid w:val="00704F1E"/>
    <w:rsid w:val="0070511C"/>
    <w:rsid w:val="0070591D"/>
    <w:rsid w:val="00705B1E"/>
    <w:rsid w:val="00705CE9"/>
    <w:rsid w:val="00706053"/>
    <w:rsid w:val="00706207"/>
    <w:rsid w:val="00706B8A"/>
    <w:rsid w:val="00706B99"/>
    <w:rsid w:val="00707425"/>
    <w:rsid w:val="0070778E"/>
    <w:rsid w:val="00710066"/>
    <w:rsid w:val="007100C3"/>
    <w:rsid w:val="007112A7"/>
    <w:rsid w:val="007113DE"/>
    <w:rsid w:val="0071149A"/>
    <w:rsid w:val="00711583"/>
    <w:rsid w:val="007117DC"/>
    <w:rsid w:val="00711E9A"/>
    <w:rsid w:val="00712671"/>
    <w:rsid w:val="0071270E"/>
    <w:rsid w:val="00712764"/>
    <w:rsid w:val="00712A98"/>
    <w:rsid w:val="007137C1"/>
    <w:rsid w:val="00713B1C"/>
    <w:rsid w:val="00714235"/>
    <w:rsid w:val="007145E9"/>
    <w:rsid w:val="00715801"/>
    <w:rsid w:val="00715879"/>
    <w:rsid w:val="00715C13"/>
    <w:rsid w:val="00715E5E"/>
    <w:rsid w:val="00715F42"/>
    <w:rsid w:val="0071603F"/>
    <w:rsid w:val="007164B6"/>
    <w:rsid w:val="00716532"/>
    <w:rsid w:val="00716ACA"/>
    <w:rsid w:val="00716B15"/>
    <w:rsid w:val="00716CA1"/>
    <w:rsid w:val="00716E4B"/>
    <w:rsid w:val="00716F4E"/>
    <w:rsid w:val="0071705F"/>
    <w:rsid w:val="00717231"/>
    <w:rsid w:val="0071769A"/>
    <w:rsid w:val="007177E0"/>
    <w:rsid w:val="007204A4"/>
    <w:rsid w:val="00720C70"/>
    <w:rsid w:val="00721587"/>
    <w:rsid w:val="007216B0"/>
    <w:rsid w:val="00721B3D"/>
    <w:rsid w:val="0072205F"/>
    <w:rsid w:val="00722347"/>
    <w:rsid w:val="0072278D"/>
    <w:rsid w:val="007229DB"/>
    <w:rsid w:val="0072381C"/>
    <w:rsid w:val="0072391C"/>
    <w:rsid w:val="00723B42"/>
    <w:rsid w:val="00723F39"/>
    <w:rsid w:val="00723F8E"/>
    <w:rsid w:val="00724098"/>
    <w:rsid w:val="007241CC"/>
    <w:rsid w:val="0072449F"/>
    <w:rsid w:val="007244BD"/>
    <w:rsid w:val="00724936"/>
    <w:rsid w:val="00724EB4"/>
    <w:rsid w:val="00724EC7"/>
    <w:rsid w:val="00725178"/>
    <w:rsid w:val="007254AC"/>
    <w:rsid w:val="00725526"/>
    <w:rsid w:val="00725640"/>
    <w:rsid w:val="00725B21"/>
    <w:rsid w:val="00725D9A"/>
    <w:rsid w:val="007264A0"/>
    <w:rsid w:val="00726BE3"/>
    <w:rsid w:val="0072725D"/>
    <w:rsid w:val="00727A86"/>
    <w:rsid w:val="00727BC9"/>
    <w:rsid w:val="00727F00"/>
    <w:rsid w:val="0073046E"/>
    <w:rsid w:val="00730968"/>
    <w:rsid w:val="00730B11"/>
    <w:rsid w:val="00731575"/>
    <w:rsid w:val="00731C25"/>
    <w:rsid w:val="00731F9A"/>
    <w:rsid w:val="00731FAD"/>
    <w:rsid w:val="00731FC2"/>
    <w:rsid w:val="0073218D"/>
    <w:rsid w:val="007323D4"/>
    <w:rsid w:val="007325A9"/>
    <w:rsid w:val="00732B5C"/>
    <w:rsid w:val="00732D56"/>
    <w:rsid w:val="00732E8B"/>
    <w:rsid w:val="007331C2"/>
    <w:rsid w:val="00733994"/>
    <w:rsid w:val="007339CB"/>
    <w:rsid w:val="00733A41"/>
    <w:rsid w:val="00733BEA"/>
    <w:rsid w:val="00733D67"/>
    <w:rsid w:val="00734842"/>
    <w:rsid w:val="00734885"/>
    <w:rsid w:val="00734AEC"/>
    <w:rsid w:val="007352EA"/>
    <w:rsid w:val="007355D4"/>
    <w:rsid w:val="007356C0"/>
    <w:rsid w:val="00735CDA"/>
    <w:rsid w:val="007365A2"/>
    <w:rsid w:val="0073767F"/>
    <w:rsid w:val="00737802"/>
    <w:rsid w:val="00737837"/>
    <w:rsid w:val="00737CD0"/>
    <w:rsid w:val="00737D80"/>
    <w:rsid w:val="00737E2A"/>
    <w:rsid w:val="0074050E"/>
    <w:rsid w:val="007408F8"/>
    <w:rsid w:val="00740A5C"/>
    <w:rsid w:val="00740D57"/>
    <w:rsid w:val="00741071"/>
    <w:rsid w:val="0074149B"/>
    <w:rsid w:val="007414A1"/>
    <w:rsid w:val="007415B1"/>
    <w:rsid w:val="0074179D"/>
    <w:rsid w:val="00741986"/>
    <w:rsid w:val="00741C52"/>
    <w:rsid w:val="00741F18"/>
    <w:rsid w:val="00742050"/>
    <w:rsid w:val="007420F9"/>
    <w:rsid w:val="007424E6"/>
    <w:rsid w:val="00742A5F"/>
    <w:rsid w:val="00742E46"/>
    <w:rsid w:val="00742EEA"/>
    <w:rsid w:val="007430B7"/>
    <w:rsid w:val="00743871"/>
    <w:rsid w:val="00743A81"/>
    <w:rsid w:val="00743D6C"/>
    <w:rsid w:val="00743FEC"/>
    <w:rsid w:val="00744179"/>
    <w:rsid w:val="007452D7"/>
    <w:rsid w:val="0074537C"/>
    <w:rsid w:val="0074554A"/>
    <w:rsid w:val="00745827"/>
    <w:rsid w:val="00745D90"/>
    <w:rsid w:val="00745EAA"/>
    <w:rsid w:val="00746224"/>
    <w:rsid w:val="00746355"/>
    <w:rsid w:val="00746364"/>
    <w:rsid w:val="007464DD"/>
    <w:rsid w:val="007468BD"/>
    <w:rsid w:val="00746B0D"/>
    <w:rsid w:val="007478F1"/>
    <w:rsid w:val="00747B4F"/>
    <w:rsid w:val="007506C8"/>
    <w:rsid w:val="00750DBE"/>
    <w:rsid w:val="0075124B"/>
    <w:rsid w:val="0075132E"/>
    <w:rsid w:val="00751A99"/>
    <w:rsid w:val="00752179"/>
    <w:rsid w:val="00752655"/>
    <w:rsid w:val="00753FDC"/>
    <w:rsid w:val="007544A0"/>
    <w:rsid w:val="007544DB"/>
    <w:rsid w:val="0075455D"/>
    <w:rsid w:val="00754C16"/>
    <w:rsid w:val="00754CF2"/>
    <w:rsid w:val="007551E1"/>
    <w:rsid w:val="0075554B"/>
    <w:rsid w:val="00755AE6"/>
    <w:rsid w:val="00755D24"/>
    <w:rsid w:val="00755F34"/>
    <w:rsid w:val="00756095"/>
    <w:rsid w:val="007563B3"/>
    <w:rsid w:val="00756A31"/>
    <w:rsid w:val="00756B03"/>
    <w:rsid w:val="00760470"/>
    <w:rsid w:val="007604D0"/>
    <w:rsid w:val="007605DC"/>
    <w:rsid w:val="00760A43"/>
    <w:rsid w:val="00760BFC"/>
    <w:rsid w:val="0076103C"/>
    <w:rsid w:val="0076141D"/>
    <w:rsid w:val="007615BA"/>
    <w:rsid w:val="00761A7C"/>
    <w:rsid w:val="007620EE"/>
    <w:rsid w:val="007621AE"/>
    <w:rsid w:val="007625F1"/>
    <w:rsid w:val="00762C75"/>
    <w:rsid w:val="00762E0D"/>
    <w:rsid w:val="007631EE"/>
    <w:rsid w:val="007634E5"/>
    <w:rsid w:val="00763ED9"/>
    <w:rsid w:val="007644D1"/>
    <w:rsid w:val="00764BE4"/>
    <w:rsid w:val="00764C13"/>
    <w:rsid w:val="00764D62"/>
    <w:rsid w:val="00764E81"/>
    <w:rsid w:val="00764ED1"/>
    <w:rsid w:val="007651E2"/>
    <w:rsid w:val="00765A11"/>
    <w:rsid w:val="00765A3E"/>
    <w:rsid w:val="00766154"/>
    <w:rsid w:val="00766C50"/>
    <w:rsid w:val="007678CA"/>
    <w:rsid w:val="00767B81"/>
    <w:rsid w:val="00770179"/>
    <w:rsid w:val="007703C7"/>
    <w:rsid w:val="00770E44"/>
    <w:rsid w:val="007711FC"/>
    <w:rsid w:val="00771515"/>
    <w:rsid w:val="00771857"/>
    <w:rsid w:val="007721AD"/>
    <w:rsid w:val="0077353A"/>
    <w:rsid w:val="00773F3B"/>
    <w:rsid w:val="0077453E"/>
    <w:rsid w:val="007748E7"/>
    <w:rsid w:val="00774CB0"/>
    <w:rsid w:val="007750EF"/>
    <w:rsid w:val="00775125"/>
    <w:rsid w:val="0077517C"/>
    <w:rsid w:val="007757F2"/>
    <w:rsid w:val="007758CA"/>
    <w:rsid w:val="00775AA2"/>
    <w:rsid w:val="0077604F"/>
    <w:rsid w:val="007769CC"/>
    <w:rsid w:val="0077723A"/>
    <w:rsid w:val="007772BF"/>
    <w:rsid w:val="0077745F"/>
    <w:rsid w:val="00777E62"/>
    <w:rsid w:val="00777E6E"/>
    <w:rsid w:val="00777FB5"/>
    <w:rsid w:val="00780843"/>
    <w:rsid w:val="00780A01"/>
    <w:rsid w:val="00780D11"/>
    <w:rsid w:val="00780EB6"/>
    <w:rsid w:val="00781287"/>
    <w:rsid w:val="00781513"/>
    <w:rsid w:val="007817F5"/>
    <w:rsid w:val="00781868"/>
    <w:rsid w:val="00782178"/>
    <w:rsid w:val="007822A2"/>
    <w:rsid w:val="007825E8"/>
    <w:rsid w:val="007826E4"/>
    <w:rsid w:val="007829A3"/>
    <w:rsid w:val="00782F51"/>
    <w:rsid w:val="00783155"/>
    <w:rsid w:val="00783160"/>
    <w:rsid w:val="007834EA"/>
    <w:rsid w:val="00783FDB"/>
    <w:rsid w:val="0078529A"/>
    <w:rsid w:val="007853AC"/>
    <w:rsid w:val="00785570"/>
    <w:rsid w:val="00785737"/>
    <w:rsid w:val="00785CFB"/>
    <w:rsid w:val="00785D09"/>
    <w:rsid w:val="00785D2D"/>
    <w:rsid w:val="00785E1C"/>
    <w:rsid w:val="0078645A"/>
    <w:rsid w:val="00786603"/>
    <w:rsid w:val="00786CDD"/>
    <w:rsid w:val="00786E68"/>
    <w:rsid w:val="007870A9"/>
    <w:rsid w:val="00787205"/>
    <w:rsid w:val="007874C0"/>
    <w:rsid w:val="00787FEF"/>
    <w:rsid w:val="00790231"/>
    <w:rsid w:val="00790370"/>
    <w:rsid w:val="00791119"/>
    <w:rsid w:val="00791275"/>
    <w:rsid w:val="007913DD"/>
    <w:rsid w:val="007914C8"/>
    <w:rsid w:val="0079152A"/>
    <w:rsid w:val="00791925"/>
    <w:rsid w:val="00791B2F"/>
    <w:rsid w:val="00791D7D"/>
    <w:rsid w:val="007924BE"/>
    <w:rsid w:val="00792948"/>
    <w:rsid w:val="00792CC4"/>
    <w:rsid w:val="00792F0C"/>
    <w:rsid w:val="00792FBB"/>
    <w:rsid w:val="00793019"/>
    <w:rsid w:val="0079375C"/>
    <w:rsid w:val="00793939"/>
    <w:rsid w:val="00793A46"/>
    <w:rsid w:val="00793D8E"/>
    <w:rsid w:val="00793DFF"/>
    <w:rsid w:val="007945DD"/>
    <w:rsid w:val="00794FD5"/>
    <w:rsid w:val="0079514F"/>
    <w:rsid w:val="007951C3"/>
    <w:rsid w:val="00795242"/>
    <w:rsid w:val="007957BE"/>
    <w:rsid w:val="00795FF5"/>
    <w:rsid w:val="007967CA"/>
    <w:rsid w:val="00796BDD"/>
    <w:rsid w:val="00796D6B"/>
    <w:rsid w:val="00796EA8"/>
    <w:rsid w:val="007970A9"/>
    <w:rsid w:val="007978D5"/>
    <w:rsid w:val="00797B47"/>
    <w:rsid w:val="00797B72"/>
    <w:rsid w:val="007A033F"/>
    <w:rsid w:val="007A0A30"/>
    <w:rsid w:val="007A1118"/>
    <w:rsid w:val="007A1A3B"/>
    <w:rsid w:val="007A1BAD"/>
    <w:rsid w:val="007A1C3F"/>
    <w:rsid w:val="007A1D31"/>
    <w:rsid w:val="007A1F9C"/>
    <w:rsid w:val="007A2473"/>
    <w:rsid w:val="007A275B"/>
    <w:rsid w:val="007A2D52"/>
    <w:rsid w:val="007A2FB7"/>
    <w:rsid w:val="007A3144"/>
    <w:rsid w:val="007A3170"/>
    <w:rsid w:val="007A3204"/>
    <w:rsid w:val="007A363E"/>
    <w:rsid w:val="007A3F78"/>
    <w:rsid w:val="007A4618"/>
    <w:rsid w:val="007A4729"/>
    <w:rsid w:val="007A4C72"/>
    <w:rsid w:val="007A4EE8"/>
    <w:rsid w:val="007A576B"/>
    <w:rsid w:val="007A57E2"/>
    <w:rsid w:val="007A5985"/>
    <w:rsid w:val="007A5C6E"/>
    <w:rsid w:val="007A6248"/>
    <w:rsid w:val="007A625B"/>
    <w:rsid w:val="007A65FA"/>
    <w:rsid w:val="007A68AB"/>
    <w:rsid w:val="007A784D"/>
    <w:rsid w:val="007A7900"/>
    <w:rsid w:val="007B027E"/>
    <w:rsid w:val="007B06D1"/>
    <w:rsid w:val="007B0C47"/>
    <w:rsid w:val="007B0FEC"/>
    <w:rsid w:val="007B1683"/>
    <w:rsid w:val="007B186C"/>
    <w:rsid w:val="007B18B9"/>
    <w:rsid w:val="007B1BE5"/>
    <w:rsid w:val="007B1C54"/>
    <w:rsid w:val="007B2041"/>
    <w:rsid w:val="007B38A6"/>
    <w:rsid w:val="007B392E"/>
    <w:rsid w:val="007B3A49"/>
    <w:rsid w:val="007B3D60"/>
    <w:rsid w:val="007B4759"/>
    <w:rsid w:val="007B4DB6"/>
    <w:rsid w:val="007B5128"/>
    <w:rsid w:val="007B5168"/>
    <w:rsid w:val="007B5D7F"/>
    <w:rsid w:val="007B5DFF"/>
    <w:rsid w:val="007B6BFA"/>
    <w:rsid w:val="007B6C55"/>
    <w:rsid w:val="007B6D47"/>
    <w:rsid w:val="007B7022"/>
    <w:rsid w:val="007B705B"/>
    <w:rsid w:val="007B71A1"/>
    <w:rsid w:val="007B73D9"/>
    <w:rsid w:val="007B740B"/>
    <w:rsid w:val="007C0465"/>
    <w:rsid w:val="007C06BD"/>
    <w:rsid w:val="007C0E77"/>
    <w:rsid w:val="007C0E92"/>
    <w:rsid w:val="007C165D"/>
    <w:rsid w:val="007C20D5"/>
    <w:rsid w:val="007C2129"/>
    <w:rsid w:val="007C243E"/>
    <w:rsid w:val="007C27DE"/>
    <w:rsid w:val="007C28B0"/>
    <w:rsid w:val="007C2B8A"/>
    <w:rsid w:val="007C3035"/>
    <w:rsid w:val="007C3220"/>
    <w:rsid w:val="007C3501"/>
    <w:rsid w:val="007C414E"/>
    <w:rsid w:val="007C471C"/>
    <w:rsid w:val="007C4883"/>
    <w:rsid w:val="007C5075"/>
    <w:rsid w:val="007C51B2"/>
    <w:rsid w:val="007C55FE"/>
    <w:rsid w:val="007C57F9"/>
    <w:rsid w:val="007C58FD"/>
    <w:rsid w:val="007C5D95"/>
    <w:rsid w:val="007C61EE"/>
    <w:rsid w:val="007C644A"/>
    <w:rsid w:val="007C672F"/>
    <w:rsid w:val="007C6B90"/>
    <w:rsid w:val="007C712F"/>
    <w:rsid w:val="007C7228"/>
    <w:rsid w:val="007C745E"/>
    <w:rsid w:val="007C79ED"/>
    <w:rsid w:val="007D08D7"/>
    <w:rsid w:val="007D0AF1"/>
    <w:rsid w:val="007D0F7E"/>
    <w:rsid w:val="007D0F9D"/>
    <w:rsid w:val="007D1027"/>
    <w:rsid w:val="007D1C0E"/>
    <w:rsid w:val="007D1C94"/>
    <w:rsid w:val="007D1F77"/>
    <w:rsid w:val="007D226C"/>
    <w:rsid w:val="007D293A"/>
    <w:rsid w:val="007D3B1B"/>
    <w:rsid w:val="007D3DF0"/>
    <w:rsid w:val="007D427B"/>
    <w:rsid w:val="007D4DB2"/>
    <w:rsid w:val="007D4DC0"/>
    <w:rsid w:val="007D4DE9"/>
    <w:rsid w:val="007D516D"/>
    <w:rsid w:val="007D561A"/>
    <w:rsid w:val="007D5AEF"/>
    <w:rsid w:val="007D685D"/>
    <w:rsid w:val="007D6A98"/>
    <w:rsid w:val="007D6B2A"/>
    <w:rsid w:val="007D6BF4"/>
    <w:rsid w:val="007D6C22"/>
    <w:rsid w:val="007D6C80"/>
    <w:rsid w:val="007D6DEE"/>
    <w:rsid w:val="007D71A8"/>
    <w:rsid w:val="007D78C5"/>
    <w:rsid w:val="007D7A95"/>
    <w:rsid w:val="007D7B72"/>
    <w:rsid w:val="007D7BD1"/>
    <w:rsid w:val="007E0A9E"/>
    <w:rsid w:val="007E0D05"/>
    <w:rsid w:val="007E145A"/>
    <w:rsid w:val="007E147A"/>
    <w:rsid w:val="007E15AB"/>
    <w:rsid w:val="007E1E5D"/>
    <w:rsid w:val="007E20BA"/>
    <w:rsid w:val="007E26C8"/>
    <w:rsid w:val="007E27DD"/>
    <w:rsid w:val="007E28F6"/>
    <w:rsid w:val="007E2F33"/>
    <w:rsid w:val="007E382A"/>
    <w:rsid w:val="007E382D"/>
    <w:rsid w:val="007E38CC"/>
    <w:rsid w:val="007E399D"/>
    <w:rsid w:val="007E39CF"/>
    <w:rsid w:val="007E3CF8"/>
    <w:rsid w:val="007E3EFF"/>
    <w:rsid w:val="007E3FC5"/>
    <w:rsid w:val="007E4247"/>
    <w:rsid w:val="007E4821"/>
    <w:rsid w:val="007E4BE4"/>
    <w:rsid w:val="007E4F55"/>
    <w:rsid w:val="007E5104"/>
    <w:rsid w:val="007E5398"/>
    <w:rsid w:val="007E53F6"/>
    <w:rsid w:val="007E568D"/>
    <w:rsid w:val="007E570C"/>
    <w:rsid w:val="007E5CDA"/>
    <w:rsid w:val="007E62AF"/>
    <w:rsid w:val="007E62C4"/>
    <w:rsid w:val="007E66FA"/>
    <w:rsid w:val="007E6722"/>
    <w:rsid w:val="007E6946"/>
    <w:rsid w:val="007E74B3"/>
    <w:rsid w:val="007E785B"/>
    <w:rsid w:val="007E7CB2"/>
    <w:rsid w:val="007E7F20"/>
    <w:rsid w:val="007F0478"/>
    <w:rsid w:val="007F07C6"/>
    <w:rsid w:val="007F07FA"/>
    <w:rsid w:val="007F0EE9"/>
    <w:rsid w:val="007F10AA"/>
    <w:rsid w:val="007F1210"/>
    <w:rsid w:val="007F152D"/>
    <w:rsid w:val="007F1669"/>
    <w:rsid w:val="007F1718"/>
    <w:rsid w:val="007F1D25"/>
    <w:rsid w:val="007F1D8E"/>
    <w:rsid w:val="007F1E86"/>
    <w:rsid w:val="007F1EFE"/>
    <w:rsid w:val="007F222A"/>
    <w:rsid w:val="007F329F"/>
    <w:rsid w:val="007F4148"/>
    <w:rsid w:val="007F4490"/>
    <w:rsid w:val="007F47AD"/>
    <w:rsid w:val="007F4C83"/>
    <w:rsid w:val="007F505F"/>
    <w:rsid w:val="007F5717"/>
    <w:rsid w:val="007F59E0"/>
    <w:rsid w:val="007F5A40"/>
    <w:rsid w:val="007F5A96"/>
    <w:rsid w:val="007F62EC"/>
    <w:rsid w:val="007F691C"/>
    <w:rsid w:val="007F6B5C"/>
    <w:rsid w:val="007F6BCD"/>
    <w:rsid w:val="007F6F43"/>
    <w:rsid w:val="007F7296"/>
    <w:rsid w:val="007F7CA4"/>
    <w:rsid w:val="007F7CDB"/>
    <w:rsid w:val="007F7D17"/>
    <w:rsid w:val="0080096A"/>
    <w:rsid w:val="008009A5"/>
    <w:rsid w:val="00800FA0"/>
    <w:rsid w:val="008010C3"/>
    <w:rsid w:val="008011DE"/>
    <w:rsid w:val="0080183B"/>
    <w:rsid w:val="0080295E"/>
    <w:rsid w:val="00802A08"/>
    <w:rsid w:val="00802E76"/>
    <w:rsid w:val="008031CC"/>
    <w:rsid w:val="008034BB"/>
    <w:rsid w:val="008035BC"/>
    <w:rsid w:val="008036C6"/>
    <w:rsid w:val="00803A73"/>
    <w:rsid w:val="00803B83"/>
    <w:rsid w:val="00803EEB"/>
    <w:rsid w:val="00804363"/>
    <w:rsid w:val="00804920"/>
    <w:rsid w:val="00804BB5"/>
    <w:rsid w:val="00804C87"/>
    <w:rsid w:val="00804F4C"/>
    <w:rsid w:val="0080586E"/>
    <w:rsid w:val="00805965"/>
    <w:rsid w:val="00805A47"/>
    <w:rsid w:val="00805DA0"/>
    <w:rsid w:val="00805F4A"/>
    <w:rsid w:val="00806B01"/>
    <w:rsid w:val="0080725C"/>
    <w:rsid w:val="008072AA"/>
    <w:rsid w:val="00807CA9"/>
    <w:rsid w:val="008100A0"/>
    <w:rsid w:val="00810395"/>
    <w:rsid w:val="008103A7"/>
    <w:rsid w:val="00810711"/>
    <w:rsid w:val="008109EA"/>
    <w:rsid w:val="00810CE0"/>
    <w:rsid w:val="00811030"/>
    <w:rsid w:val="0081104D"/>
    <w:rsid w:val="0081128E"/>
    <w:rsid w:val="0081160A"/>
    <w:rsid w:val="00811764"/>
    <w:rsid w:val="00811B1A"/>
    <w:rsid w:val="0081247D"/>
    <w:rsid w:val="00812927"/>
    <w:rsid w:val="00812E55"/>
    <w:rsid w:val="0081309A"/>
    <w:rsid w:val="00813503"/>
    <w:rsid w:val="00813766"/>
    <w:rsid w:val="00813861"/>
    <w:rsid w:val="00813EEA"/>
    <w:rsid w:val="00813F7B"/>
    <w:rsid w:val="00814130"/>
    <w:rsid w:val="008143CA"/>
    <w:rsid w:val="00814436"/>
    <w:rsid w:val="00814F1C"/>
    <w:rsid w:val="00815441"/>
    <w:rsid w:val="0081551F"/>
    <w:rsid w:val="0081580D"/>
    <w:rsid w:val="00815B15"/>
    <w:rsid w:val="00815BA5"/>
    <w:rsid w:val="00815C46"/>
    <w:rsid w:val="008161DD"/>
    <w:rsid w:val="008163E6"/>
    <w:rsid w:val="00816FD9"/>
    <w:rsid w:val="00817068"/>
    <w:rsid w:val="00817185"/>
    <w:rsid w:val="00817191"/>
    <w:rsid w:val="00817A95"/>
    <w:rsid w:val="00817D08"/>
    <w:rsid w:val="00817D22"/>
    <w:rsid w:val="00817E84"/>
    <w:rsid w:val="00820482"/>
    <w:rsid w:val="00820790"/>
    <w:rsid w:val="00820B1B"/>
    <w:rsid w:val="008212FF"/>
    <w:rsid w:val="00821595"/>
    <w:rsid w:val="00821BA8"/>
    <w:rsid w:val="00821CE5"/>
    <w:rsid w:val="00821E87"/>
    <w:rsid w:val="00822254"/>
    <w:rsid w:val="0082236A"/>
    <w:rsid w:val="00822590"/>
    <w:rsid w:val="0082296D"/>
    <w:rsid w:val="00822CC9"/>
    <w:rsid w:val="0082369C"/>
    <w:rsid w:val="008239F6"/>
    <w:rsid w:val="00824770"/>
    <w:rsid w:val="00824A3C"/>
    <w:rsid w:val="00824BF0"/>
    <w:rsid w:val="00824E07"/>
    <w:rsid w:val="00824E46"/>
    <w:rsid w:val="00825138"/>
    <w:rsid w:val="008253FB"/>
    <w:rsid w:val="008259D2"/>
    <w:rsid w:val="00825E2A"/>
    <w:rsid w:val="00825E7C"/>
    <w:rsid w:val="0082625A"/>
    <w:rsid w:val="0082669C"/>
    <w:rsid w:val="008266DB"/>
    <w:rsid w:val="0082689D"/>
    <w:rsid w:val="00826994"/>
    <w:rsid w:val="00826D2F"/>
    <w:rsid w:val="00826D98"/>
    <w:rsid w:val="00826E46"/>
    <w:rsid w:val="00826E97"/>
    <w:rsid w:val="00827425"/>
    <w:rsid w:val="0082753A"/>
    <w:rsid w:val="0082767D"/>
    <w:rsid w:val="008276E7"/>
    <w:rsid w:val="0082774A"/>
    <w:rsid w:val="0082786F"/>
    <w:rsid w:val="00827F5E"/>
    <w:rsid w:val="00827F7C"/>
    <w:rsid w:val="00827FC0"/>
    <w:rsid w:val="0083035A"/>
    <w:rsid w:val="00830761"/>
    <w:rsid w:val="00830ADB"/>
    <w:rsid w:val="00831113"/>
    <w:rsid w:val="008324BD"/>
    <w:rsid w:val="0083341F"/>
    <w:rsid w:val="00833A86"/>
    <w:rsid w:val="00833C26"/>
    <w:rsid w:val="00833C49"/>
    <w:rsid w:val="00833C6F"/>
    <w:rsid w:val="00834114"/>
    <w:rsid w:val="0083441D"/>
    <w:rsid w:val="00834463"/>
    <w:rsid w:val="00834766"/>
    <w:rsid w:val="008347AE"/>
    <w:rsid w:val="008348FE"/>
    <w:rsid w:val="00835238"/>
    <w:rsid w:val="00835C76"/>
    <w:rsid w:val="00836542"/>
    <w:rsid w:val="008374C8"/>
    <w:rsid w:val="008375D8"/>
    <w:rsid w:val="0083786C"/>
    <w:rsid w:val="0083797F"/>
    <w:rsid w:val="00837AC2"/>
    <w:rsid w:val="0084037E"/>
    <w:rsid w:val="0084039A"/>
    <w:rsid w:val="008405ED"/>
    <w:rsid w:val="00841476"/>
    <w:rsid w:val="0084165F"/>
    <w:rsid w:val="008418CB"/>
    <w:rsid w:val="0084239E"/>
    <w:rsid w:val="008427CB"/>
    <w:rsid w:val="008428B9"/>
    <w:rsid w:val="008429E1"/>
    <w:rsid w:val="00842B37"/>
    <w:rsid w:val="00842BA5"/>
    <w:rsid w:val="00842D7D"/>
    <w:rsid w:val="00843167"/>
    <w:rsid w:val="0084388F"/>
    <w:rsid w:val="00843B15"/>
    <w:rsid w:val="00844212"/>
    <w:rsid w:val="00844719"/>
    <w:rsid w:val="00844BF7"/>
    <w:rsid w:val="00844C5A"/>
    <w:rsid w:val="00844D07"/>
    <w:rsid w:val="00845321"/>
    <w:rsid w:val="00845332"/>
    <w:rsid w:val="00845EA0"/>
    <w:rsid w:val="00846454"/>
    <w:rsid w:val="00846942"/>
    <w:rsid w:val="00846B22"/>
    <w:rsid w:val="008478D3"/>
    <w:rsid w:val="00847C06"/>
    <w:rsid w:val="00847E1A"/>
    <w:rsid w:val="0085002A"/>
    <w:rsid w:val="0085007C"/>
    <w:rsid w:val="00850140"/>
    <w:rsid w:val="008502B6"/>
    <w:rsid w:val="0085036B"/>
    <w:rsid w:val="0085124D"/>
    <w:rsid w:val="00851255"/>
    <w:rsid w:val="00851337"/>
    <w:rsid w:val="0085140E"/>
    <w:rsid w:val="008517B4"/>
    <w:rsid w:val="008521F9"/>
    <w:rsid w:val="00852967"/>
    <w:rsid w:val="00852A30"/>
    <w:rsid w:val="00852B28"/>
    <w:rsid w:val="00852E32"/>
    <w:rsid w:val="00852E60"/>
    <w:rsid w:val="00852F21"/>
    <w:rsid w:val="00852F36"/>
    <w:rsid w:val="0085308C"/>
    <w:rsid w:val="00853358"/>
    <w:rsid w:val="008540D3"/>
    <w:rsid w:val="00854139"/>
    <w:rsid w:val="008541D6"/>
    <w:rsid w:val="00854C2B"/>
    <w:rsid w:val="008551A7"/>
    <w:rsid w:val="00855291"/>
    <w:rsid w:val="00855D25"/>
    <w:rsid w:val="00855DFA"/>
    <w:rsid w:val="00855E28"/>
    <w:rsid w:val="0085658A"/>
    <w:rsid w:val="0085674E"/>
    <w:rsid w:val="0085696D"/>
    <w:rsid w:val="00856DD8"/>
    <w:rsid w:val="00856E8B"/>
    <w:rsid w:val="00857139"/>
    <w:rsid w:val="0085722C"/>
    <w:rsid w:val="0085730D"/>
    <w:rsid w:val="008577A9"/>
    <w:rsid w:val="008577DE"/>
    <w:rsid w:val="008578D8"/>
    <w:rsid w:val="008605BF"/>
    <w:rsid w:val="008608F3"/>
    <w:rsid w:val="00860A6F"/>
    <w:rsid w:val="00860B21"/>
    <w:rsid w:val="008614E5"/>
    <w:rsid w:val="00861BE7"/>
    <w:rsid w:val="0086248D"/>
    <w:rsid w:val="008628ED"/>
    <w:rsid w:val="00862B27"/>
    <w:rsid w:val="00863021"/>
    <w:rsid w:val="008630E0"/>
    <w:rsid w:val="00863561"/>
    <w:rsid w:val="00863917"/>
    <w:rsid w:val="0086414C"/>
    <w:rsid w:val="008646FB"/>
    <w:rsid w:val="0086496D"/>
    <w:rsid w:val="00864BEC"/>
    <w:rsid w:val="0086517D"/>
    <w:rsid w:val="008651E7"/>
    <w:rsid w:val="00865F1A"/>
    <w:rsid w:val="00866204"/>
    <w:rsid w:val="0086620A"/>
    <w:rsid w:val="00866C7E"/>
    <w:rsid w:val="00866D48"/>
    <w:rsid w:val="008671B6"/>
    <w:rsid w:val="008676D7"/>
    <w:rsid w:val="00867739"/>
    <w:rsid w:val="00867902"/>
    <w:rsid w:val="00867BA5"/>
    <w:rsid w:val="008701E2"/>
    <w:rsid w:val="0087083F"/>
    <w:rsid w:val="0087093D"/>
    <w:rsid w:val="00870AD4"/>
    <w:rsid w:val="00870CBA"/>
    <w:rsid w:val="00871A28"/>
    <w:rsid w:val="00871BBB"/>
    <w:rsid w:val="00871C84"/>
    <w:rsid w:val="008724B9"/>
    <w:rsid w:val="008724D0"/>
    <w:rsid w:val="00872658"/>
    <w:rsid w:val="00872C1D"/>
    <w:rsid w:val="00872C3A"/>
    <w:rsid w:val="00873090"/>
    <w:rsid w:val="008735BC"/>
    <w:rsid w:val="00873A89"/>
    <w:rsid w:val="008741CD"/>
    <w:rsid w:val="00874F8B"/>
    <w:rsid w:val="008753D1"/>
    <w:rsid w:val="0087597E"/>
    <w:rsid w:val="00875DB1"/>
    <w:rsid w:val="00875E25"/>
    <w:rsid w:val="00875FE8"/>
    <w:rsid w:val="008765AF"/>
    <w:rsid w:val="00876B92"/>
    <w:rsid w:val="00876DEF"/>
    <w:rsid w:val="0087731C"/>
    <w:rsid w:val="008774E1"/>
    <w:rsid w:val="00877882"/>
    <w:rsid w:val="00877948"/>
    <w:rsid w:val="00877A70"/>
    <w:rsid w:val="008806F3"/>
    <w:rsid w:val="00880A36"/>
    <w:rsid w:val="0088153F"/>
    <w:rsid w:val="0088155F"/>
    <w:rsid w:val="008817BA"/>
    <w:rsid w:val="00881D59"/>
    <w:rsid w:val="00882A20"/>
    <w:rsid w:val="00883073"/>
    <w:rsid w:val="0088327E"/>
    <w:rsid w:val="00883638"/>
    <w:rsid w:val="00883738"/>
    <w:rsid w:val="00883994"/>
    <w:rsid w:val="00883D27"/>
    <w:rsid w:val="00883F57"/>
    <w:rsid w:val="00884028"/>
    <w:rsid w:val="00884344"/>
    <w:rsid w:val="008846F4"/>
    <w:rsid w:val="008853AE"/>
    <w:rsid w:val="00885620"/>
    <w:rsid w:val="008859A2"/>
    <w:rsid w:val="00885BEF"/>
    <w:rsid w:val="00886116"/>
    <w:rsid w:val="008863C1"/>
    <w:rsid w:val="008868A9"/>
    <w:rsid w:val="00886A6F"/>
    <w:rsid w:val="00887BFF"/>
    <w:rsid w:val="00887EBC"/>
    <w:rsid w:val="00887FD9"/>
    <w:rsid w:val="0089005C"/>
    <w:rsid w:val="008902D2"/>
    <w:rsid w:val="008909E5"/>
    <w:rsid w:val="00890C60"/>
    <w:rsid w:val="0089139B"/>
    <w:rsid w:val="008914A7"/>
    <w:rsid w:val="0089192D"/>
    <w:rsid w:val="0089225E"/>
    <w:rsid w:val="00892899"/>
    <w:rsid w:val="00892B8D"/>
    <w:rsid w:val="00893401"/>
    <w:rsid w:val="008938FD"/>
    <w:rsid w:val="00893DF6"/>
    <w:rsid w:val="0089456B"/>
    <w:rsid w:val="00894ADE"/>
    <w:rsid w:val="00894EA5"/>
    <w:rsid w:val="008954F9"/>
    <w:rsid w:val="00895788"/>
    <w:rsid w:val="00895895"/>
    <w:rsid w:val="00895F97"/>
    <w:rsid w:val="008964E5"/>
    <w:rsid w:val="00897069"/>
    <w:rsid w:val="008973E2"/>
    <w:rsid w:val="008A0906"/>
    <w:rsid w:val="008A0C6C"/>
    <w:rsid w:val="008A137E"/>
    <w:rsid w:val="008A13F0"/>
    <w:rsid w:val="008A13F8"/>
    <w:rsid w:val="008A18F9"/>
    <w:rsid w:val="008A1DFF"/>
    <w:rsid w:val="008A1FE9"/>
    <w:rsid w:val="008A2507"/>
    <w:rsid w:val="008A257B"/>
    <w:rsid w:val="008A287C"/>
    <w:rsid w:val="008A2C4C"/>
    <w:rsid w:val="008A301F"/>
    <w:rsid w:val="008A359D"/>
    <w:rsid w:val="008A3807"/>
    <w:rsid w:val="008A392F"/>
    <w:rsid w:val="008A3DA2"/>
    <w:rsid w:val="008A3E81"/>
    <w:rsid w:val="008A4170"/>
    <w:rsid w:val="008A4426"/>
    <w:rsid w:val="008A493C"/>
    <w:rsid w:val="008A4FEC"/>
    <w:rsid w:val="008A54DA"/>
    <w:rsid w:val="008A5E35"/>
    <w:rsid w:val="008A6006"/>
    <w:rsid w:val="008A6308"/>
    <w:rsid w:val="008A649C"/>
    <w:rsid w:val="008A6D32"/>
    <w:rsid w:val="008A6EDB"/>
    <w:rsid w:val="008A6EED"/>
    <w:rsid w:val="008A6EFD"/>
    <w:rsid w:val="008A7438"/>
    <w:rsid w:val="008A763A"/>
    <w:rsid w:val="008A7742"/>
    <w:rsid w:val="008A7895"/>
    <w:rsid w:val="008A7C0D"/>
    <w:rsid w:val="008A7D01"/>
    <w:rsid w:val="008A7EC7"/>
    <w:rsid w:val="008B0997"/>
    <w:rsid w:val="008B0E88"/>
    <w:rsid w:val="008B18D3"/>
    <w:rsid w:val="008B19CD"/>
    <w:rsid w:val="008B215E"/>
    <w:rsid w:val="008B2AB1"/>
    <w:rsid w:val="008B2AEA"/>
    <w:rsid w:val="008B2CBA"/>
    <w:rsid w:val="008B3268"/>
    <w:rsid w:val="008B3681"/>
    <w:rsid w:val="008B3A31"/>
    <w:rsid w:val="008B3E35"/>
    <w:rsid w:val="008B3F72"/>
    <w:rsid w:val="008B3FFA"/>
    <w:rsid w:val="008B424E"/>
    <w:rsid w:val="008B432D"/>
    <w:rsid w:val="008B44E7"/>
    <w:rsid w:val="008B45EA"/>
    <w:rsid w:val="008B4896"/>
    <w:rsid w:val="008B5061"/>
    <w:rsid w:val="008B5158"/>
    <w:rsid w:val="008B6154"/>
    <w:rsid w:val="008B6C84"/>
    <w:rsid w:val="008B7264"/>
    <w:rsid w:val="008B740E"/>
    <w:rsid w:val="008B7428"/>
    <w:rsid w:val="008B7779"/>
    <w:rsid w:val="008B7DE4"/>
    <w:rsid w:val="008C03B2"/>
    <w:rsid w:val="008C0721"/>
    <w:rsid w:val="008C0F86"/>
    <w:rsid w:val="008C0FCD"/>
    <w:rsid w:val="008C154C"/>
    <w:rsid w:val="008C1C6C"/>
    <w:rsid w:val="008C24A0"/>
    <w:rsid w:val="008C2665"/>
    <w:rsid w:val="008C2824"/>
    <w:rsid w:val="008C326A"/>
    <w:rsid w:val="008C3C29"/>
    <w:rsid w:val="008C44B2"/>
    <w:rsid w:val="008C47BA"/>
    <w:rsid w:val="008C5729"/>
    <w:rsid w:val="008C5965"/>
    <w:rsid w:val="008C5A4D"/>
    <w:rsid w:val="008C5F56"/>
    <w:rsid w:val="008C6329"/>
    <w:rsid w:val="008C645C"/>
    <w:rsid w:val="008C6AE3"/>
    <w:rsid w:val="008C7158"/>
    <w:rsid w:val="008C7195"/>
    <w:rsid w:val="008C7271"/>
    <w:rsid w:val="008C74C2"/>
    <w:rsid w:val="008C75CF"/>
    <w:rsid w:val="008C75FE"/>
    <w:rsid w:val="008C7ABC"/>
    <w:rsid w:val="008D054E"/>
    <w:rsid w:val="008D090E"/>
    <w:rsid w:val="008D096E"/>
    <w:rsid w:val="008D0C80"/>
    <w:rsid w:val="008D0F27"/>
    <w:rsid w:val="008D1ADD"/>
    <w:rsid w:val="008D1C0C"/>
    <w:rsid w:val="008D1E6F"/>
    <w:rsid w:val="008D2556"/>
    <w:rsid w:val="008D2C10"/>
    <w:rsid w:val="008D2E54"/>
    <w:rsid w:val="008D35E8"/>
    <w:rsid w:val="008D37F6"/>
    <w:rsid w:val="008D3CA1"/>
    <w:rsid w:val="008D3CE7"/>
    <w:rsid w:val="008D4159"/>
    <w:rsid w:val="008D45DE"/>
    <w:rsid w:val="008D4B23"/>
    <w:rsid w:val="008D4BA7"/>
    <w:rsid w:val="008D4CB7"/>
    <w:rsid w:val="008D4D1C"/>
    <w:rsid w:val="008D4F2D"/>
    <w:rsid w:val="008D5455"/>
    <w:rsid w:val="008D556C"/>
    <w:rsid w:val="008D5693"/>
    <w:rsid w:val="008D581D"/>
    <w:rsid w:val="008D5940"/>
    <w:rsid w:val="008D6039"/>
    <w:rsid w:val="008D6316"/>
    <w:rsid w:val="008D656A"/>
    <w:rsid w:val="008D6D4C"/>
    <w:rsid w:val="008D6F02"/>
    <w:rsid w:val="008D6FEA"/>
    <w:rsid w:val="008D71E5"/>
    <w:rsid w:val="008D73AE"/>
    <w:rsid w:val="008D7454"/>
    <w:rsid w:val="008E02E1"/>
    <w:rsid w:val="008E0556"/>
    <w:rsid w:val="008E0AEF"/>
    <w:rsid w:val="008E1319"/>
    <w:rsid w:val="008E1364"/>
    <w:rsid w:val="008E1A32"/>
    <w:rsid w:val="008E1A77"/>
    <w:rsid w:val="008E1D40"/>
    <w:rsid w:val="008E1E6A"/>
    <w:rsid w:val="008E1EE4"/>
    <w:rsid w:val="008E1EF6"/>
    <w:rsid w:val="008E25CF"/>
    <w:rsid w:val="008E2B7F"/>
    <w:rsid w:val="008E31D8"/>
    <w:rsid w:val="008E3808"/>
    <w:rsid w:val="008E3DEA"/>
    <w:rsid w:val="008E3E8B"/>
    <w:rsid w:val="008E3FFF"/>
    <w:rsid w:val="008E45F5"/>
    <w:rsid w:val="008E494A"/>
    <w:rsid w:val="008E5183"/>
    <w:rsid w:val="008E51AA"/>
    <w:rsid w:val="008E51EC"/>
    <w:rsid w:val="008E582D"/>
    <w:rsid w:val="008E6022"/>
    <w:rsid w:val="008E664F"/>
    <w:rsid w:val="008E6659"/>
    <w:rsid w:val="008E6678"/>
    <w:rsid w:val="008E6BDA"/>
    <w:rsid w:val="008E7225"/>
    <w:rsid w:val="008E7304"/>
    <w:rsid w:val="008E746C"/>
    <w:rsid w:val="008E7484"/>
    <w:rsid w:val="008E79A9"/>
    <w:rsid w:val="008E7A8D"/>
    <w:rsid w:val="008E7EF3"/>
    <w:rsid w:val="008F078F"/>
    <w:rsid w:val="008F09F2"/>
    <w:rsid w:val="008F0A4A"/>
    <w:rsid w:val="008F0AAB"/>
    <w:rsid w:val="008F0C6E"/>
    <w:rsid w:val="008F0CC6"/>
    <w:rsid w:val="008F0F4C"/>
    <w:rsid w:val="008F109B"/>
    <w:rsid w:val="008F1177"/>
    <w:rsid w:val="008F1178"/>
    <w:rsid w:val="008F1232"/>
    <w:rsid w:val="008F12D8"/>
    <w:rsid w:val="008F1AE9"/>
    <w:rsid w:val="008F1AF9"/>
    <w:rsid w:val="008F209E"/>
    <w:rsid w:val="008F280B"/>
    <w:rsid w:val="008F2A8F"/>
    <w:rsid w:val="008F313C"/>
    <w:rsid w:val="008F3259"/>
    <w:rsid w:val="008F3D0C"/>
    <w:rsid w:val="008F3D9F"/>
    <w:rsid w:val="008F3FA0"/>
    <w:rsid w:val="008F41B7"/>
    <w:rsid w:val="008F4465"/>
    <w:rsid w:val="008F4753"/>
    <w:rsid w:val="008F4900"/>
    <w:rsid w:val="008F4DB1"/>
    <w:rsid w:val="008F4E83"/>
    <w:rsid w:val="008F537D"/>
    <w:rsid w:val="008F55F8"/>
    <w:rsid w:val="008F56DA"/>
    <w:rsid w:val="008F5F7A"/>
    <w:rsid w:val="008F5F8D"/>
    <w:rsid w:val="008F61B5"/>
    <w:rsid w:val="008F68AB"/>
    <w:rsid w:val="008F6B2D"/>
    <w:rsid w:val="008F6CB1"/>
    <w:rsid w:val="008F7BD3"/>
    <w:rsid w:val="008F7F09"/>
    <w:rsid w:val="009003EA"/>
    <w:rsid w:val="00900642"/>
    <w:rsid w:val="00900AC8"/>
    <w:rsid w:val="00900D78"/>
    <w:rsid w:val="0090120F"/>
    <w:rsid w:val="00901277"/>
    <w:rsid w:val="00901742"/>
    <w:rsid w:val="009018A2"/>
    <w:rsid w:val="00901AA7"/>
    <w:rsid w:val="00901EAD"/>
    <w:rsid w:val="0090284E"/>
    <w:rsid w:val="009028D9"/>
    <w:rsid w:val="00902EBA"/>
    <w:rsid w:val="0090330F"/>
    <w:rsid w:val="00903632"/>
    <w:rsid w:val="00904FC1"/>
    <w:rsid w:val="00904FCF"/>
    <w:rsid w:val="00905DF0"/>
    <w:rsid w:val="00906837"/>
    <w:rsid w:val="0090686E"/>
    <w:rsid w:val="00906E97"/>
    <w:rsid w:val="009071F8"/>
    <w:rsid w:val="009072FA"/>
    <w:rsid w:val="00907670"/>
    <w:rsid w:val="0090AF01"/>
    <w:rsid w:val="009103C8"/>
    <w:rsid w:val="0091061A"/>
    <w:rsid w:val="0091089B"/>
    <w:rsid w:val="00910904"/>
    <w:rsid w:val="00910998"/>
    <w:rsid w:val="00910AF6"/>
    <w:rsid w:val="00910D0F"/>
    <w:rsid w:val="00910D86"/>
    <w:rsid w:val="009112D6"/>
    <w:rsid w:val="00911335"/>
    <w:rsid w:val="00911378"/>
    <w:rsid w:val="00911BD8"/>
    <w:rsid w:val="00911CC7"/>
    <w:rsid w:val="00911E15"/>
    <w:rsid w:val="009122AE"/>
    <w:rsid w:val="0091291B"/>
    <w:rsid w:val="00912F10"/>
    <w:rsid w:val="00912FFA"/>
    <w:rsid w:val="009130E6"/>
    <w:rsid w:val="0091317A"/>
    <w:rsid w:val="009133E1"/>
    <w:rsid w:val="00913894"/>
    <w:rsid w:val="009138DA"/>
    <w:rsid w:val="00913942"/>
    <w:rsid w:val="009140F2"/>
    <w:rsid w:val="0091432D"/>
    <w:rsid w:val="00914383"/>
    <w:rsid w:val="0091443A"/>
    <w:rsid w:val="00915751"/>
    <w:rsid w:val="00915BF0"/>
    <w:rsid w:val="00915FF0"/>
    <w:rsid w:val="0091640F"/>
    <w:rsid w:val="0091657D"/>
    <w:rsid w:val="009169D8"/>
    <w:rsid w:val="00917114"/>
    <w:rsid w:val="009173A4"/>
    <w:rsid w:val="00917635"/>
    <w:rsid w:val="00917AB7"/>
    <w:rsid w:val="00917EC1"/>
    <w:rsid w:val="00920253"/>
    <w:rsid w:val="009205C0"/>
    <w:rsid w:val="00920C11"/>
    <w:rsid w:val="00920DDD"/>
    <w:rsid w:val="00921550"/>
    <w:rsid w:val="00921AC9"/>
    <w:rsid w:val="00921F6E"/>
    <w:rsid w:val="00922061"/>
    <w:rsid w:val="00922239"/>
    <w:rsid w:val="00922678"/>
    <w:rsid w:val="009231F4"/>
    <w:rsid w:val="0092322D"/>
    <w:rsid w:val="00923349"/>
    <w:rsid w:val="00923AF9"/>
    <w:rsid w:val="0092420F"/>
    <w:rsid w:val="009245BA"/>
    <w:rsid w:val="00924B23"/>
    <w:rsid w:val="00924D3C"/>
    <w:rsid w:val="00924D97"/>
    <w:rsid w:val="009259DC"/>
    <w:rsid w:val="00925B89"/>
    <w:rsid w:val="00925BE8"/>
    <w:rsid w:val="00925CAB"/>
    <w:rsid w:val="0092606C"/>
    <w:rsid w:val="009265C6"/>
    <w:rsid w:val="009266F1"/>
    <w:rsid w:val="00926B81"/>
    <w:rsid w:val="00926ED2"/>
    <w:rsid w:val="00927472"/>
    <w:rsid w:val="00927A6E"/>
    <w:rsid w:val="00927BFF"/>
    <w:rsid w:val="00927E61"/>
    <w:rsid w:val="00927F0B"/>
    <w:rsid w:val="00927FEA"/>
    <w:rsid w:val="009304B7"/>
    <w:rsid w:val="0093078D"/>
    <w:rsid w:val="009308C7"/>
    <w:rsid w:val="00930F91"/>
    <w:rsid w:val="0093121A"/>
    <w:rsid w:val="009312BF"/>
    <w:rsid w:val="00931342"/>
    <w:rsid w:val="00931949"/>
    <w:rsid w:val="00931DA5"/>
    <w:rsid w:val="00931F43"/>
    <w:rsid w:val="00932170"/>
    <w:rsid w:val="00932293"/>
    <w:rsid w:val="009328A8"/>
    <w:rsid w:val="0093362D"/>
    <w:rsid w:val="0093363A"/>
    <w:rsid w:val="0093454E"/>
    <w:rsid w:val="009345C5"/>
    <w:rsid w:val="00934B8A"/>
    <w:rsid w:val="00934D1E"/>
    <w:rsid w:val="0093524F"/>
    <w:rsid w:val="00935278"/>
    <w:rsid w:val="00935711"/>
    <w:rsid w:val="0093571E"/>
    <w:rsid w:val="00935780"/>
    <w:rsid w:val="00935805"/>
    <w:rsid w:val="0093657D"/>
    <w:rsid w:val="00936919"/>
    <w:rsid w:val="00937B5C"/>
    <w:rsid w:val="00937BF0"/>
    <w:rsid w:val="00937F30"/>
    <w:rsid w:val="00940023"/>
    <w:rsid w:val="0094055B"/>
    <w:rsid w:val="0094090A"/>
    <w:rsid w:val="009409DB"/>
    <w:rsid w:val="00940A30"/>
    <w:rsid w:val="00940D4A"/>
    <w:rsid w:val="00940E0D"/>
    <w:rsid w:val="00940FE5"/>
    <w:rsid w:val="0094133C"/>
    <w:rsid w:val="00941388"/>
    <w:rsid w:val="009413EA"/>
    <w:rsid w:val="009416FB"/>
    <w:rsid w:val="00941B5A"/>
    <w:rsid w:val="00941E30"/>
    <w:rsid w:val="00941F1A"/>
    <w:rsid w:val="009421B8"/>
    <w:rsid w:val="009424DC"/>
    <w:rsid w:val="00942B8F"/>
    <w:rsid w:val="00942CB2"/>
    <w:rsid w:val="00943449"/>
    <w:rsid w:val="00943513"/>
    <w:rsid w:val="00943906"/>
    <w:rsid w:val="00943A44"/>
    <w:rsid w:val="00943BF0"/>
    <w:rsid w:val="00943C84"/>
    <w:rsid w:val="00943C8B"/>
    <w:rsid w:val="00943E2C"/>
    <w:rsid w:val="00943F2F"/>
    <w:rsid w:val="00944624"/>
    <w:rsid w:val="009446AA"/>
    <w:rsid w:val="009446D7"/>
    <w:rsid w:val="00945482"/>
    <w:rsid w:val="0094549E"/>
    <w:rsid w:val="009456C1"/>
    <w:rsid w:val="009458A4"/>
    <w:rsid w:val="00945C01"/>
    <w:rsid w:val="00945DFA"/>
    <w:rsid w:val="00946016"/>
    <w:rsid w:val="009462DF"/>
    <w:rsid w:val="00946507"/>
    <w:rsid w:val="0094685E"/>
    <w:rsid w:val="00946A78"/>
    <w:rsid w:val="00946A87"/>
    <w:rsid w:val="00946E60"/>
    <w:rsid w:val="00946EF6"/>
    <w:rsid w:val="0094776C"/>
    <w:rsid w:val="00947CF9"/>
    <w:rsid w:val="00947E47"/>
    <w:rsid w:val="00947EB0"/>
    <w:rsid w:val="0095015C"/>
    <w:rsid w:val="00950318"/>
    <w:rsid w:val="0095037A"/>
    <w:rsid w:val="009506B8"/>
    <w:rsid w:val="0095095E"/>
    <w:rsid w:val="0095099A"/>
    <w:rsid w:val="00950CA8"/>
    <w:rsid w:val="00950DD5"/>
    <w:rsid w:val="00951259"/>
    <w:rsid w:val="009513EF"/>
    <w:rsid w:val="0095143B"/>
    <w:rsid w:val="009516D4"/>
    <w:rsid w:val="00951A9B"/>
    <w:rsid w:val="00951FAC"/>
    <w:rsid w:val="00952AFC"/>
    <w:rsid w:val="00952D5C"/>
    <w:rsid w:val="00952EC5"/>
    <w:rsid w:val="009530C2"/>
    <w:rsid w:val="00953166"/>
    <w:rsid w:val="00953448"/>
    <w:rsid w:val="009534CF"/>
    <w:rsid w:val="00953B94"/>
    <w:rsid w:val="00953F6A"/>
    <w:rsid w:val="009544B3"/>
    <w:rsid w:val="0095458D"/>
    <w:rsid w:val="009548BE"/>
    <w:rsid w:val="00954AEF"/>
    <w:rsid w:val="00954C2F"/>
    <w:rsid w:val="00954CCB"/>
    <w:rsid w:val="00954E6C"/>
    <w:rsid w:val="00954E7C"/>
    <w:rsid w:val="00954EB2"/>
    <w:rsid w:val="0095516B"/>
    <w:rsid w:val="0095591B"/>
    <w:rsid w:val="00955BA3"/>
    <w:rsid w:val="00955C78"/>
    <w:rsid w:val="00955DB1"/>
    <w:rsid w:val="00955F09"/>
    <w:rsid w:val="0095614E"/>
    <w:rsid w:val="00956876"/>
    <w:rsid w:val="009569A5"/>
    <w:rsid w:val="009569AA"/>
    <w:rsid w:val="00956B40"/>
    <w:rsid w:val="00956F4C"/>
    <w:rsid w:val="00956FC2"/>
    <w:rsid w:val="00957039"/>
    <w:rsid w:val="0095778E"/>
    <w:rsid w:val="00957C66"/>
    <w:rsid w:val="00957CC3"/>
    <w:rsid w:val="009606CB"/>
    <w:rsid w:val="0096074D"/>
    <w:rsid w:val="009608A6"/>
    <w:rsid w:val="00960ED1"/>
    <w:rsid w:val="00960FEF"/>
    <w:rsid w:val="00961850"/>
    <w:rsid w:val="00961F76"/>
    <w:rsid w:val="00962022"/>
    <w:rsid w:val="009620DE"/>
    <w:rsid w:val="0096213C"/>
    <w:rsid w:val="0096234F"/>
    <w:rsid w:val="009623D5"/>
    <w:rsid w:val="00962A45"/>
    <w:rsid w:val="00962C9C"/>
    <w:rsid w:val="00962EE8"/>
    <w:rsid w:val="00962FE4"/>
    <w:rsid w:val="0096350B"/>
    <w:rsid w:val="00963DE3"/>
    <w:rsid w:val="00963FEA"/>
    <w:rsid w:val="0096426C"/>
    <w:rsid w:val="00964979"/>
    <w:rsid w:val="0096570D"/>
    <w:rsid w:val="009658FB"/>
    <w:rsid w:val="00965FC6"/>
    <w:rsid w:val="009661D4"/>
    <w:rsid w:val="0096633F"/>
    <w:rsid w:val="009669C2"/>
    <w:rsid w:val="00966A69"/>
    <w:rsid w:val="00967050"/>
    <w:rsid w:val="00967673"/>
    <w:rsid w:val="00970379"/>
    <w:rsid w:val="0097061F"/>
    <w:rsid w:val="009707C5"/>
    <w:rsid w:val="00970B2E"/>
    <w:rsid w:val="0097140B"/>
    <w:rsid w:val="0097159E"/>
    <w:rsid w:val="0097162A"/>
    <w:rsid w:val="009716D5"/>
    <w:rsid w:val="00971F48"/>
    <w:rsid w:val="009722F4"/>
    <w:rsid w:val="00973183"/>
    <w:rsid w:val="009733BA"/>
    <w:rsid w:val="009734EE"/>
    <w:rsid w:val="00973E3F"/>
    <w:rsid w:val="009749C9"/>
    <w:rsid w:val="00974CED"/>
    <w:rsid w:val="00975B5E"/>
    <w:rsid w:val="00975E13"/>
    <w:rsid w:val="00975E85"/>
    <w:rsid w:val="00975E97"/>
    <w:rsid w:val="00975FBD"/>
    <w:rsid w:val="0097618B"/>
    <w:rsid w:val="00976191"/>
    <w:rsid w:val="00976253"/>
    <w:rsid w:val="009764D5"/>
    <w:rsid w:val="00976504"/>
    <w:rsid w:val="00976709"/>
    <w:rsid w:val="0097704F"/>
    <w:rsid w:val="00977994"/>
    <w:rsid w:val="009779EF"/>
    <w:rsid w:val="009800F6"/>
    <w:rsid w:val="009804F5"/>
    <w:rsid w:val="009808C9"/>
    <w:rsid w:val="00980C73"/>
    <w:rsid w:val="0098112B"/>
    <w:rsid w:val="0098169E"/>
    <w:rsid w:val="00981C9C"/>
    <w:rsid w:val="00981E59"/>
    <w:rsid w:val="0098206C"/>
    <w:rsid w:val="00982498"/>
    <w:rsid w:val="009824D9"/>
    <w:rsid w:val="00982A4B"/>
    <w:rsid w:val="00982DC6"/>
    <w:rsid w:val="009830A2"/>
    <w:rsid w:val="009839AC"/>
    <w:rsid w:val="00983B35"/>
    <w:rsid w:val="00984D75"/>
    <w:rsid w:val="00984F91"/>
    <w:rsid w:val="00985972"/>
    <w:rsid w:val="00985D80"/>
    <w:rsid w:val="00986D1B"/>
    <w:rsid w:val="00986DBD"/>
    <w:rsid w:val="00986F2C"/>
    <w:rsid w:val="00987099"/>
    <w:rsid w:val="00987151"/>
    <w:rsid w:val="009871B4"/>
    <w:rsid w:val="0098729C"/>
    <w:rsid w:val="00987333"/>
    <w:rsid w:val="0098736B"/>
    <w:rsid w:val="009873C5"/>
    <w:rsid w:val="00987453"/>
    <w:rsid w:val="0098798E"/>
    <w:rsid w:val="00987EEC"/>
    <w:rsid w:val="0099030A"/>
    <w:rsid w:val="0099072F"/>
    <w:rsid w:val="0099085A"/>
    <w:rsid w:val="00990AC4"/>
    <w:rsid w:val="0099136E"/>
    <w:rsid w:val="009919BB"/>
    <w:rsid w:val="00992079"/>
    <w:rsid w:val="00992143"/>
    <w:rsid w:val="009924DA"/>
    <w:rsid w:val="009928DD"/>
    <w:rsid w:val="00992B92"/>
    <w:rsid w:val="00993168"/>
    <w:rsid w:val="0099374E"/>
    <w:rsid w:val="0099382D"/>
    <w:rsid w:val="00993937"/>
    <w:rsid w:val="009941EF"/>
    <w:rsid w:val="009944CF"/>
    <w:rsid w:val="0099470F"/>
    <w:rsid w:val="00995022"/>
    <w:rsid w:val="00995843"/>
    <w:rsid w:val="00996009"/>
    <w:rsid w:val="0099652D"/>
    <w:rsid w:val="0099671A"/>
    <w:rsid w:val="00996806"/>
    <w:rsid w:val="00996D1C"/>
    <w:rsid w:val="00997346"/>
    <w:rsid w:val="009974FC"/>
    <w:rsid w:val="00997851"/>
    <w:rsid w:val="00997963"/>
    <w:rsid w:val="00997BB1"/>
    <w:rsid w:val="009A0DB8"/>
    <w:rsid w:val="009A1004"/>
    <w:rsid w:val="009A1019"/>
    <w:rsid w:val="009A125F"/>
    <w:rsid w:val="009A1644"/>
    <w:rsid w:val="009A1B8F"/>
    <w:rsid w:val="009A1FE2"/>
    <w:rsid w:val="009A2020"/>
    <w:rsid w:val="009A2B34"/>
    <w:rsid w:val="009A2E70"/>
    <w:rsid w:val="009A349F"/>
    <w:rsid w:val="009A39D7"/>
    <w:rsid w:val="009A3B3C"/>
    <w:rsid w:val="009A4159"/>
    <w:rsid w:val="009A47AB"/>
    <w:rsid w:val="009A47E0"/>
    <w:rsid w:val="009A553C"/>
    <w:rsid w:val="009A59D6"/>
    <w:rsid w:val="009A5F9A"/>
    <w:rsid w:val="009A662A"/>
    <w:rsid w:val="009A6C25"/>
    <w:rsid w:val="009A6D6E"/>
    <w:rsid w:val="009A6D80"/>
    <w:rsid w:val="009A7034"/>
    <w:rsid w:val="009A7052"/>
    <w:rsid w:val="009A71DA"/>
    <w:rsid w:val="009A71DB"/>
    <w:rsid w:val="009A7EB7"/>
    <w:rsid w:val="009B02D3"/>
    <w:rsid w:val="009B03E4"/>
    <w:rsid w:val="009B0580"/>
    <w:rsid w:val="009B06BF"/>
    <w:rsid w:val="009B08EF"/>
    <w:rsid w:val="009B0B6B"/>
    <w:rsid w:val="009B100A"/>
    <w:rsid w:val="009B1DF5"/>
    <w:rsid w:val="009B1E7D"/>
    <w:rsid w:val="009B2232"/>
    <w:rsid w:val="009B28F8"/>
    <w:rsid w:val="009B2CFA"/>
    <w:rsid w:val="009B2FBB"/>
    <w:rsid w:val="009B3103"/>
    <w:rsid w:val="009B354A"/>
    <w:rsid w:val="009B36EA"/>
    <w:rsid w:val="009B374B"/>
    <w:rsid w:val="009B37CA"/>
    <w:rsid w:val="009B3B41"/>
    <w:rsid w:val="009B3DF5"/>
    <w:rsid w:val="009B4101"/>
    <w:rsid w:val="009B4E65"/>
    <w:rsid w:val="009B4EEF"/>
    <w:rsid w:val="009B5354"/>
    <w:rsid w:val="009B5F63"/>
    <w:rsid w:val="009B61A8"/>
    <w:rsid w:val="009B65B4"/>
    <w:rsid w:val="009B67DD"/>
    <w:rsid w:val="009B701C"/>
    <w:rsid w:val="009B7130"/>
    <w:rsid w:val="009B713E"/>
    <w:rsid w:val="009B740B"/>
    <w:rsid w:val="009B752D"/>
    <w:rsid w:val="009B7AE2"/>
    <w:rsid w:val="009C01E4"/>
    <w:rsid w:val="009C0289"/>
    <w:rsid w:val="009C0D16"/>
    <w:rsid w:val="009C10A3"/>
    <w:rsid w:val="009C10AD"/>
    <w:rsid w:val="009C1526"/>
    <w:rsid w:val="009C15B8"/>
    <w:rsid w:val="009C1955"/>
    <w:rsid w:val="009C1D47"/>
    <w:rsid w:val="009C22D1"/>
    <w:rsid w:val="009C284F"/>
    <w:rsid w:val="009C2FD6"/>
    <w:rsid w:val="009C30A3"/>
    <w:rsid w:val="009C332A"/>
    <w:rsid w:val="009C3461"/>
    <w:rsid w:val="009C37E9"/>
    <w:rsid w:val="009C38B4"/>
    <w:rsid w:val="009C3A40"/>
    <w:rsid w:val="009C3E6D"/>
    <w:rsid w:val="009C405C"/>
    <w:rsid w:val="009C4642"/>
    <w:rsid w:val="009C4905"/>
    <w:rsid w:val="009C49B4"/>
    <w:rsid w:val="009C4BAB"/>
    <w:rsid w:val="009C4C78"/>
    <w:rsid w:val="009C4D8E"/>
    <w:rsid w:val="009C4F21"/>
    <w:rsid w:val="009C54E5"/>
    <w:rsid w:val="009C5702"/>
    <w:rsid w:val="009C5B41"/>
    <w:rsid w:val="009C6302"/>
    <w:rsid w:val="009C63A8"/>
    <w:rsid w:val="009C63DC"/>
    <w:rsid w:val="009C63ED"/>
    <w:rsid w:val="009C6CD1"/>
    <w:rsid w:val="009C6D54"/>
    <w:rsid w:val="009C6D80"/>
    <w:rsid w:val="009C73B4"/>
    <w:rsid w:val="009C7535"/>
    <w:rsid w:val="009C76F3"/>
    <w:rsid w:val="009C77AB"/>
    <w:rsid w:val="009D0096"/>
    <w:rsid w:val="009D081D"/>
    <w:rsid w:val="009D0A53"/>
    <w:rsid w:val="009D0B06"/>
    <w:rsid w:val="009D0D5A"/>
    <w:rsid w:val="009D0F8F"/>
    <w:rsid w:val="009D16A7"/>
    <w:rsid w:val="009D1FC1"/>
    <w:rsid w:val="009D20FF"/>
    <w:rsid w:val="009D2B15"/>
    <w:rsid w:val="009D2D37"/>
    <w:rsid w:val="009D3368"/>
    <w:rsid w:val="009D376E"/>
    <w:rsid w:val="009D37A7"/>
    <w:rsid w:val="009D37CF"/>
    <w:rsid w:val="009D398D"/>
    <w:rsid w:val="009D3EB0"/>
    <w:rsid w:val="009D488A"/>
    <w:rsid w:val="009D4B67"/>
    <w:rsid w:val="009D4F34"/>
    <w:rsid w:val="009D5078"/>
    <w:rsid w:val="009D5415"/>
    <w:rsid w:val="009D5C3D"/>
    <w:rsid w:val="009D5E30"/>
    <w:rsid w:val="009D6346"/>
    <w:rsid w:val="009D6CB7"/>
    <w:rsid w:val="009D6F9C"/>
    <w:rsid w:val="009D7043"/>
    <w:rsid w:val="009D747F"/>
    <w:rsid w:val="009D7630"/>
    <w:rsid w:val="009D7662"/>
    <w:rsid w:val="009D7670"/>
    <w:rsid w:val="009D777B"/>
    <w:rsid w:val="009D7846"/>
    <w:rsid w:val="009D7B7D"/>
    <w:rsid w:val="009E0018"/>
    <w:rsid w:val="009E0379"/>
    <w:rsid w:val="009E048F"/>
    <w:rsid w:val="009E0918"/>
    <w:rsid w:val="009E0A5B"/>
    <w:rsid w:val="009E0FA7"/>
    <w:rsid w:val="009E0FEA"/>
    <w:rsid w:val="009E0FFF"/>
    <w:rsid w:val="009E16F0"/>
    <w:rsid w:val="009E18F7"/>
    <w:rsid w:val="009E2132"/>
    <w:rsid w:val="009E2940"/>
    <w:rsid w:val="009E2BC7"/>
    <w:rsid w:val="009E2C15"/>
    <w:rsid w:val="009E2D58"/>
    <w:rsid w:val="009E3234"/>
    <w:rsid w:val="009E3269"/>
    <w:rsid w:val="009E3E7E"/>
    <w:rsid w:val="009E3FBC"/>
    <w:rsid w:val="009E4384"/>
    <w:rsid w:val="009E444A"/>
    <w:rsid w:val="009E4807"/>
    <w:rsid w:val="009E4B29"/>
    <w:rsid w:val="009E51F9"/>
    <w:rsid w:val="009E588B"/>
    <w:rsid w:val="009E5897"/>
    <w:rsid w:val="009E5BD5"/>
    <w:rsid w:val="009E5C04"/>
    <w:rsid w:val="009E6109"/>
    <w:rsid w:val="009E6174"/>
    <w:rsid w:val="009E64FD"/>
    <w:rsid w:val="009E68EF"/>
    <w:rsid w:val="009E69FA"/>
    <w:rsid w:val="009E6D4E"/>
    <w:rsid w:val="009E713B"/>
    <w:rsid w:val="009E718E"/>
    <w:rsid w:val="009E7235"/>
    <w:rsid w:val="009E736A"/>
    <w:rsid w:val="009E766A"/>
    <w:rsid w:val="009E795B"/>
    <w:rsid w:val="009E7963"/>
    <w:rsid w:val="009E7B10"/>
    <w:rsid w:val="009E7D65"/>
    <w:rsid w:val="009F004C"/>
    <w:rsid w:val="009F0096"/>
    <w:rsid w:val="009F02CB"/>
    <w:rsid w:val="009F02F1"/>
    <w:rsid w:val="009F0834"/>
    <w:rsid w:val="009F0882"/>
    <w:rsid w:val="009F094C"/>
    <w:rsid w:val="009F0CAF"/>
    <w:rsid w:val="009F0E71"/>
    <w:rsid w:val="009F0E96"/>
    <w:rsid w:val="009F0F1A"/>
    <w:rsid w:val="009F114E"/>
    <w:rsid w:val="009F1BB4"/>
    <w:rsid w:val="009F1D23"/>
    <w:rsid w:val="009F22B0"/>
    <w:rsid w:val="009F2501"/>
    <w:rsid w:val="009F2784"/>
    <w:rsid w:val="009F2896"/>
    <w:rsid w:val="009F2E8B"/>
    <w:rsid w:val="009F2EE5"/>
    <w:rsid w:val="009F3548"/>
    <w:rsid w:val="009F38B2"/>
    <w:rsid w:val="009F3E23"/>
    <w:rsid w:val="009F405E"/>
    <w:rsid w:val="009F4207"/>
    <w:rsid w:val="009F4561"/>
    <w:rsid w:val="009F4E48"/>
    <w:rsid w:val="009F4F4B"/>
    <w:rsid w:val="009F4F7A"/>
    <w:rsid w:val="009F5174"/>
    <w:rsid w:val="009F58AC"/>
    <w:rsid w:val="009F5B8C"/>
    <w:rsid w:val="009F5BAE"/>
    <w:rsid w:val="009F5BE8"/>
    <w:rsid w:val="009F687C"/>
    <w:rsid w:val="009F7006"/>
    <w:rsid w:val="009F7C25"/>
    <w:rsid w:val="009F7C96"/>
    <w:rsid w:val="009F7ED4"/>
    <w:rsid w:val="00A00159"/>
    <w:rsid w:val="00A00195"/>
    <w:rsid w:val="00A003A5"/>
    <w:rsid w:val="00A003D4"/>
    <w:rsid w:val="00A009E0"/>
    <w:rsid w:val="00A00B46"/>
    <w:rsid w:val="00A013CB"/>
    <w:rsid w:val="00A01683"/>
    <w:rsid w:val="00A0180C"/>
    <w:rsid w:val="00A01CE5"/>
    <w:rsid w:val="00A02A16"/>
    <w:rsid w:val="00A02B98"/>
    <w:rsid w:val="00A03EB7"/>
    <w:rsid w:val="00A041B7"/>
    <w:rsid w:val="00A04281"/>
    <w:rsid w:val="00A04B53"/>
    <w:rsid w:val="00A04C9F"/>
    <w:rsid w:val="00A050B0"/>
    <w:rsid w:val="00A0573D"/>
    <w:rsid w:val="00A05C59"/>
    <w:rsid w:val="00A0613A"/>
    <w:rsid w:val="00A062D4"/>
    <w:rsid w:val="00A064C0"/>
    <w:rsid w:val="00A064DC"/>
    <w:rsid w:val="00A067A6"/>
    <w:rsid w:val="00A067B9"/>
    <w:rsid w:val="00A07085"/>
    <w:rsid w:val="00A077E1"/>
    <w:rsid w:val="00A079E1"/>
    <w:rsid w:val="00A07EDA"/>
    <w:rsid w:val="00A07FF3"/>
    <w:rsid w:val="00A10143"/>
    <w:rsid w:val="00A1074E"/>
    <w:rsid w:val="00A10AD6"/>
    <w:rsid w:val="00A10F50"/>
    <w:rsid w:val="00A10FB4"/>
    <w:rsid w:val="00A11529"/>
    <w:rsid w:val="00A11544"/>
    <w:rsid w:val="00A11904"/>
    <w:rsid w:val="00A11B70"/>
    <w:rsid w:val="00A11E47"/>
    <w:rsid w:val="00A120E7"/>
    <w:rsid w:val="00A12309"/>
    <w:rsid w:val="00A12A9A"/>
    <w:rsid w:val="00A12AAA"/>
    <w:rsid w:val="00A12AAC"/>
    <w:rsid w:val="00A12FBA"/>
    <w:rsid w:val="00A13328"/>
    <w:rsid w:val="00A133A3"/>
    <w:rsid w:val="00A136C1"/>
    <w:rsid w:val="00A136EC"/>
    <w:rsid w:val="00A1391E"/>
    <w:rsid w:val="00A13A74"/>
    <w:rsid w:val="00A13C29"/>
    <w:rsid w:val="00A13C42"/>
    <w:rsid w:val="00A13FE6"/>
    <w:rsid w:val="00A1480B"/>
    <w:rsid w:val="00A14888"/>
    <w:rsid w:val="00A14AE1"/>
    <w:rsid w:val="00A14EF8"/>
    <w:rsid w:val="00A152DE"/>
    <w:rsid w:val="00A152FD"/>
    <w:rsid w:val="00A15BAD"/>
    <w:rsid w:val="00A15C57"/>
    <w:rsid w:val="00A16376"/>
    <w:rsid w:val="00A167D4"/>
    <w:rsid w:val="00A16A8A"/>
    <w:rsid w:val="00A173C8"/>
    <w:rsid w:val="00A175A0"/>
    <w:rsid w:val="00A175AC"/>
    <w:rsid w:val="00A17CFD"/>
    <w:rsid w:val="00A17E07"/>
    <w:rsid w:val="00A17F0F"/>
    <w:rsid w:val="00A2034B"/>
    <w:rsid w:val="00A203B4"/>
    <w:rsid w:val="00A2068B"/>
    <w:rsid w:val="00A20C28"/>
    <w:rsid w:val="00A20E84"/>
    <w:rsid w:val="00A20ECC"/>
    <w:rsid w:val="00A2189F"/>
    <w:rsid w:val="00A21A86"/>
    <w:rsid w:val="00A21B86"/>
    <w:rsid w:val="00A22578"/>
    <w:rsid w:val="00A22D38"/>
    <w:rsid w:val="00A23053"/>
    <w:rsid w:val="00A23066"/>
    <w:rsid w:val="00A234C8"/>
    <w:rsid w:val="00A237E0"/>
    <w:rsid w:val="00A238FF"/>
    <w:rsid w:val="00A23E80"/>
    <w:rsid w:val="00A23F17"/>
    <w:rsid w:val="00A242A4"/>
    <w:rsid w:val="00A242EA"/>
    <w:rsid w:val="00A2483F"/>
    <w:rsid w:val="00A258C3"/>
    <w:rsid w:val="00A258FE"/>
    <w:rsid w:val="00A260B3"/>
    <w:rsid w:val="00A26669"/>
    <w:rsid w:val="00A268AC"/>
    <w:rsid w:val="00A273AF"/>
    <w:rsid w:val="00A2793E"/>
    <w:rsid w:val="00A2799E"/>
    <w:rsid w:val="00A27A79"/>
    <w:rsid w:val="00A27C01"/>
    <w:rsid w:val="00A27C02"/>
    <w:rsid w:val="00A30134"/>
    <w:rsid w:val="00A301DC"/>
    <w:rsid w:val="00A303D3"/>
    <w:rsid w:val="00A30A4F"/>
    <w:rsid w:val="00A30BC8"/>
    <w:rsid w:val="00A30D6B"/>
    <w:rsid w:val="00A3113F"/>
    <w:rsid w:val="00A320D1"/>
    <w:rsid w:val="00A32D6F"/>
    <w:rsid w:val="00A32D97"/>
    <w:rsid w:val="00A32E49"/>
    <w:rsid w:val="00A33251"/>
    <w:rsid w:val="00A3357E"/>
    <w:rsid w:val="00A336B8"/>
    <w:rsid w:val="00A33789"/>
    <w:rsid w:val="00A337CA"/>
    <w:rsid w:val="00A338E0"/>
    <w:rsid w:val="00A33A3D"/>
    <w:rsid w:val="00A33B50"/>
    <w:rsid w:val="00A33E43"/>
    <w:rsid w:val="00A340D6"/>
    <w:rsid w:val="00A343EF"/>
    <w:rsid w:val="00A345E7"/>
    <w:rsid w:val="00A348B5"/>
    <w:rsid w:val="00A35F76"/>
    <w:rsid w:val="00A36804"/>
    <w:rsid w:val="00A36880"/>
    <w:rsid w:val="00A36D1C"/>
    <w:rsid w:val="00A36FE6"/>
    <w:rsid w:val="00A37713"/>
    <w:rsid w:val="00A37900"/>
    <w:rsid w:val="00A37939"/>
    <w:rsid w:val="00A37A11"/>
    <w:rsid w:val="00A37C18"/>
    <w:rsid w:val="00A37F09"/>
    <w:rsid w:val="00A37FAB"/>
    <w:rsid w:val="00A40319"/>
    <w:rsid w:val="00A4031E"/>
    <w:rsid w:val="00A4046A"/>
    <w:rsid w:val="00A411E5"/>
    <w:rsid w:val="00A413A3"/>
    <w:rsid w:val="00A415AF"/>
    <w:rsid w:val="00A41A32"/>
    <w:rsid w:val="00A41E2D"/>
    <w:rsid w:val="00A422CE"/>
    <w:rsid w:val="00A4230D"/>
    <w:rsid w:val="00A42331"/>
    <w:rsid w:val="00A42880"/>
    <w:rsid w:val="00A42B6A"/>
    <w:rsid w:val="00A435A7"/>
    <w:rsid w:val="00A43DC2"/>
    <w:rsid w:val="00A442A7"/>
    <w:rsid w:val="00A44775"/>
    <w:rsid w:val="00A44779"/>
    <w:rsid w:val="00A44F12"/>
    <w:rsid w:val="00A45275"/>
    <w:rsid w:val="00A456A9"/>
    <w:rsid w:val="00A45A5B"/>
    <w:rsid w:val="00A45B7F"/>
    <w:rsid w:val="00A45EA1"/>
    <w:rsid w:val="00A45F02"/>
    <w:rsid w:val="00A4603D"/>
    <w:rsid w:val="00A468C6"/>
    <w:rsid w:val="00A4694C"/>
    <w:rsid w:val="00A46A3A"/>
    <w:rsid w:val="00A4715C"/>
    <w:rsid w:val="00A475FC"/>
    <w:rsid w:val="00A4769B"/>
    <w:rsid w:val="00A47835"/>
    <w:rsid w:val="00A47A11"/>
    <w:rsid w:val="00A47ACF"/>
    <w:rsid w:val="00A5003B"/>
    <w:rsid w:val="00A50996"/>
    <w:rsid w:val="00A50C54"/>
    <w:rsid w:val="00A50EBC"/>
    <w:rsid w:val="00A5104A"/>
    <w:rsid w:val="00A51141"/>
    <w:rsid w:val="00A513F8"/>
    <w:rsid w:val="00A518BA"/>
    <w:rsid w:val="00A523A8"/>
    <w:rsid w:val="00A527AE"/>
    <w:rsid w:val="00A53470"/>
    <w:rsid w:val="00A5347A"/>
    <w:rsid w:val="00A53870"/>
    <w:rsid w:val="00A543CD"/>
    <w:rsid w:val="00A54ECD"/>
    <w:rsid w:val="00A54ECF"/>
    <w:rsid w:val="00A54EFC"/>
    <w:rsid w:val="00A54F79"/>
    <w:rsid w:val="00A55227"/>
    <w:rsid w:val="00A554E5"/>
    <w:rsid w:val="00A554EB"/>
    <w:rsid w:val="00A5555A"/>
    <w:rsid w:val="00A555DF"/>
    <w:rsid w:val="00A55779"/>
    <w:rsid w:val="00A5579D"/>
    <w:rsid w:val="00A5596A"/>
    <w:rsid w:val="00A5604B"/>
    <w:rsid w:val="00A56305"/>
    <w:rsid w:val="00A56624"/>
    <w:rsid w:val="00A57222"/>
    <w:rsid w:val="00A579F4"/>
    <w:rsid w:val="00A60281"/>
    <w:rsid w:val="00A60483"/>
    <w:rsid w:val="00A60900"/>
    <w:rsid w:val="00A60C56"/>
    <w:rsid w:val="00A60CD6"/>
    <w:rsid w:val="00A61246"/>
    <w:rsid w:val="00A613DA"/>
    <w:rsid w:val="00A615F2"/>
    <w:rsid w:val="00A61701"/>
    <w:rsid w:val="00A61AA2"/>
    <w:rsid w:val="00A623F9"/>
    <w:rsid w:val="00A62414"/>
    <w:rsid w:val="00A62542"/>
    <w:rsid w:val="00A62948"/>
    <w:rsid w:val="00A62A04"/>
    <w:rsid w:val="00A62A49"/>
    <w:rsid w:val="00A62EC1"/>
    <w:rsid w:val="00A63466"/>
    <w:rsid w:val="00A63710"/>
    <w:rsid w:val="00A648BA"/>
    <w:rsid w:val="00A653B9"/>
    <w:rsid w:val="00A65574"/>
    <w:rsid w:val="00A65D5E"/>
    <w:rsid w:val="00A65E60"/>
    <w:rsid w:val="00A665F2"/>
    <w:rsid w:val="00A6675E"/>
    <w:rsid w:val="00A66778"/>
    <w:rsid w:val="00A66810"/>
    <w:rsid w:val="00A66A42"/>
    <w:rsid w:val="00A66CC1"/>
    <w:rsid w:val="00A66D26"/>
    <w:rsid w:val="00A66EED"/>
    <w:rsid w:val="00A66F84"/>
    <w:rsid w:val="00A674DA"/>
    <w:rsid w:val="00A67726"/>
    <w:rsid w:val="00A67762"/>
    <w:rsid w:val="00A67781"/>
    <w:rsid w:val="00A67913"/>
    <w:rsid w:val="00A67B6A"/>
    <w:rsid w:val="00A71196"/>
    <w:rsid w:val="00A7180D"/>
    <w:rsid w:val="00A71958"/>
    <w:rsid w:val="00A71D9C"/>
    <w:rsid w:val="00A71E58"/>
    <w:rsid w:val="00A7218B"/>
    <w:rsid w:val="00A72A0C"/>
    <w:rsid w:val="00A73864"/>
    <w:rsid w:val="00A73966"/>
    <w:rsid w:val="00A739E3"/>
    <w:rsid w:val="00A73BE7"/>
    <w:rsid w:val="00A74666"/>
    <w:rsid w:val="00A7474A"/>
    <w:rsid w:val="00A74A29"/>
    <w:rsid w:val="00A750F1"/>
    <w:rsid w:val="00A7512C"/>
    <w:rsid w:val="00A76273"/>
    <w:rsid w:val="00A76E6E"/>
    <w:rsid w:val="00A77163"/>
    <w:rsid w:val="00A773B0"/>
    <w:rsid w:val="00A77683"/>
    <w:rsid w:val="00A77CE4"/>
    <w:rsid w:val="00A77F3B"/>
    <w:rsid w:val="00A80A16"/>
    <w:rsid w:val="00A812CE"/>
    <w:rsid w:val="00A819BF"/>
    <w:rsid w:val="00A81EC9"/>
    <w:rsid w:val="00A82104"/>
    <w:rsid w:val="00A82228"/>
    <w:rsid w:val="00A82691"/>
    <w:rsid w:val="00A82967"/>
    <w:rsid w:val="00A82BC5"/>
    <w:rsid w:val="00A82CF7"/>
    <w:rsid w:val="00A83190"/>
    <w:rsid w:val="00A8357B"/>
    <w:rsid w:val="00A83FC8"/>
    <w:rsid w:val="00A8453B"/>
    <w:rsid w:val="00A849FE"/>
    <w:rsid w:val="00A84A37"/>
    <w:rsid w:val="00A85123"/>
    <w:rsid w:val="00A8512F"/>
    <w:rsid w:val="00A85DD7"/>
    <w:rsid w:val="00A86244"/>
    <w:rsid w:val="00A86488"/>
    <w:rsid w:val="00A86BC5"/>
    <w:rsid w:val="00A86E0D"/>
    <w:rsid w:val="00A8754F"/>
    <w:rsid w:val="00A87B54"/>
    <w:rsid w:val="00A9024E"/>
    <w:rsid w:val="00A90324"/>
    <w:rsid w:val="00A90378"/>
    <w:rsid w:val="00A90ABB"/>
    <w:rsid w:val="00A911BE"/>
    <w:rsid w:val="00A913D7"/>
    <w:rsid w:val="00A91519"/>
    <w:rsid w:val="00A91951"/>
    <w:rsid w:val="00A91C30"/>
    <w:rsid w:val="00A920B5"/>
    <w:rsid w:val="00A924F2"/>
    <w:rsid w:val="00A92954"/>
    <w:rsid w:val="00A92AC0"/>
    <w:rsid w:val="00A92AF4"/>
    <w:rsid w:val="00A92E5C"/>
    <w:rsid w:val="00A93441"/>
    <w:rsid w:val="00A9386D"/>
    <w:rsid w:val="00A93A46"/>
    <w:rsid w:val="00A93A6E"/>
    <w:rsid w:val="00A93A9A"/>
    <w:rsid w:val="00A941D9"/>
    <w:rsid w:val="00A94BD0"/>
    <w:rsid w:val="00A9563D"/>
    <w:rsid w:val="00A959DF"/>
    <w:rsid w:val="00A962C3"/>
    <w:rsid w:val="00A964DF"/>
    <w:rsid w:val="00A9665F"/>
    <w:rsid w:val="00A96B27"/>
    <w:rsid w:val="00A96C8C"/>
    <w:rsid w:val="00A96D39"/>
    <w:rsid w:val="00A96E2D"/>
    <w:rsid w:val="00A96F11"/>
    <w:rsid w:val="00A96FD4"/>
    <w:rsid w:val="00A97119"/>
    <w:rsid w:val="00A975EC"/>
    <w:rsid w:val="00A9761C"/>
    <w:rsid w:val="00A97945"/>
    <w:rsid w:val="00A97AB5"/>
    <w:rsid w:val="00A97B94"/>
    <w:rsid w:val="00AA00A0"/>
    <w:rsid w:val="00AA0120"/>
    <w:rsid w:val="00AA02AD"/>
    <w:rsid w:val="00AA02D4"/>
    <w:rsid w:val="00AA0600"/>
    <w:rsid w:val="00AA0A7A"/>
    <w:rsid w:val="00AA0BE7"/>
    <w:rsid w:val="00AA1053"/>
    <w:rsid w:val="00AA1599"/>
    <w:rsid w:val="00AA1647"/>
    <w:rsid w:val="00AA2172"/>
    <w:rsid w:val="00AA21E9"/>
    <w:rsid w:val="00AA2469"/>
    <w:rsid w:val="00AA27AB"/>
    <w:rsid w:val="00AA28CA"/>
    <w:rsid w:val="00AA29B3"/>
    <w:rsid w:val="00AA29CE"/>
    <w:rsid w:val="00AA2F9A"/>
    <w:rsid w:val="00AA3329"/>
    <w:rsid w:val="00AA352E"/>
    <w:rsid w:val="00AA3640"/>
    <w:rsid w:val="00AA3824"/>
    <w:rsid w:val="00AA45D0"/>
    <w:rsid w:val="00AA4BE0"/>
    <w:rsid w:val="00AA4F44"/>
    <w:rsid w:val="00AA5271"/>
    <w:rsid w:val="00AA53E9"/>
    <w:rsid w:val="00AA5439"/>
    <w:rsid w:val="00AA56BD"/>
    <w:rsid w:val="00AA57A3"/>
    <w:rsid w:val="00AA58AF"/>
    <w:rsid w:val="00AA5BE6"/>
    <w:rsid w:val="00AA6699"/>
    <w:rsid w:val="00AA6FB6"/>
    <w:rsid w:val="00AA700C"/>
    <w:rsid w:val="00AA706E"/>
    <w:rsid w:val="00AA7220"/>
    <w:rsid w:val="00AA7B06"/>
    <w:rsid w:val="00AB07C6"/>
    <w:rsid w:val="00AB0A7B"/>
    <w:rsid w:val="00AB0F5F"/>
    <w:rsid w:val="00AB1667"/>
    <w:rsid w:val="00AB19F5"/>
    <w:rsid w:val="00AB1B09"/>
    <w:rsid w:val="00AB21F1"/>
    <w:rsid w:val="00AB2535"/>
    <w:rsid w:val="00AB258B"/>
    <w:rsid w:val="00AB2A03"/>
    <w:rsid w:val="00AB2B2F"/>
    <w:rsid w:val="00AB2B95"/>
    <w:rsid w:val="00AB324B"/>
    <w:rsid w:val="00AB3318"/>
    <w:rsid w:val="00AB3CE6"/>
    <w:rsid w:val="00AB4105"/>
    <w:rsid w:val="00AB4176"/>
    <w:rsid w:val="00AB418E"/>
    <w:rsid w:val="00AB43B1"/>
    <w:rsid w:val="00AB45FA"/>
    <w:rsid w:val="00AB4690"/>
    <w:rsid w:val="00AB4737"/>
    <w:rsid w:val="00AB47F0"/>
    <w:rsid w:val="00AB4C32"/>
    <w:rsid w:val="00AB50DF"/>
    <w:rsid w:val="00AB510B"/>
    <w:rsid w:val="00AB516D"/>
    <w:rsid w:val="00AB528F"/>
    <w:rsid w:val="00AB5324"/>
    <w:rsid w:val="00AB53B3"/>
    <w:rsid w:val="00AB5427"/>
    <w:rsid w:val="00AB54E8"/>
    <w:rsid w:val="00AB5E51"/>
    <w:rsid w:val="00AB6227"/>
    <w:rsid w:val="00AB63E5"/>
    <w:rsid w:val="00AB6594"/>
    <w:rsid w:val="00AB6799"/>
    <w:rsid w:val="00AB7622"/>
    <w:rsid w:val="00AB774A"/>
    <w:rsid w:val="00AB77CD"/>
    <w:rsid w:val="00AB7E41"/>
    <w:rsid w:val="00AC09E0"/>
    <w:rsid w:val="00AC13A6"/>
    <w:rsid w:val="00AC1F76"/>
    <w:rsid w:val="00AC23D5"/>
    <w:rsid w:val="00AC27A4"/>
    <w:rsid w:val="00AC28F2"/>
    <w:rsid w:val="00AC2BB8"/>
    <w:rsid w:val="00AC3443"/>
    <w:rsid w:val="00AC344C"/>
    <w:rsid w:val="00AC362C"/>
    <w:rsid w:val="00AC3870"/>
    <w:rsid w:val="00AC3C86"/>
    <w:rsid w:val="00AC3D70"/>
    <w:rsid w:val="00AC3E00"/>
    <w:rsid w:val="00AC43E3"/>
    <w:rsid w:val="00AC4953"/>
    <w:rsid w:val="00AC49F5"/>
    <w:rsid w:val="00AC5096"/>
    <w:rsid w:val="00AC527C"/>
    <w:rsid w:val="00AC5319"/>
    <w:rsid w:val="00AC54FF"/>
    <w:rsid w:val="00AC5C3C"/>
    <w:rsid w:val="00AC5FAF"/>
    <w:rsid w:val="00AC6316"/>
    <w:rsid w:val="00AC6416"/>
    <w:rsid w:val="00AC6519"/>
    <w:rsid w:val="00AC667A"/>
    <w:rsid w:val="00AC67D2"/>
    <w:rsid w:val="00AC6DBF"/>
    <w:rsid w:val="00AC7486"/>
    <w:rsid w:val="00AC792B"/>
    <w:rsid w:val="00AD0335"/>
    <w:rsid w:val="00AD07E2"/>
    <w:rsid w:val="00AD08F7"/>
    <w:rsid w:val="00AD09B5"/>
    <w:rsid w:val="00AD0B9C"/>
    <w:rsid w:val="00AD0EC8"/>
    <w:rsid w:val="00AD1415"/>
    <w:rsid w:val="00AD141E"/>
    <w:rsid w:val="00AD18DF"/>
    <w:rsid w:val="00AD216C"/>
    <w:rsid w:val="00AD244C"/>
    <w:rsid w:val="00AD2DB5"/>
    <w:rsid w:val="00AD3505"/>
    <w:rsid w:val="00AD374D"/>
    <w:rsid w:val="00AD376A"/>
    <w:rsid w:val="00AD377E"/>
    <w:rsid w:val="00AD3C16"/>
    <w:rsid w:val="00AD3CBF"/>
    <w:rsid w:val="00AD3E73"/>
    <w:rsid w:val="00AD42AB"/>
    <w:rsid w:val="00AD43F3"/>
    <w:rsid w:val="00AD4852"/>
    <w:rsid w:val="00AD4D6C"/>
    <w:rsid w:val="00AD4D71"/>
    <w:rsid w:val="00AD4E9B"/>
    <w:rsid w:val="00AD530F"/>
    <w:rsid w:val="00AD5455"/>
    <w:rsid w:val="00AD5877"/>
    <w:rsid w:val="00AD5A57"/>
    <w:rsid w:val="00AD5B4A"/>
    <w:rsid w:val="00AD5E18"/>
    <w:rsid w:val="00AD61B2"/>
    <w:rsid w:val="00AD62CB"/>
    <w:rsid w:val="00AD62F8"/>
    <w:rsid w:val="00AD68CD"/>
    <w:rsid w:val="00AD68DA"/>
    <w:rsid w:val="00AD69AA"/>
    <w:rsid w:val="00AD6C18"/>
    <w:rsid w:val="00AD7243"/>
    <w:rsid w:val="00AD740A"/>
    <w:rsid w:val="00AD7722"/>
    <w:rsid w:val="00AD79F9"/>
    <w:rsid w:val="00AD7A72"/>
    <w:rsid w:val="00AD7F9B"/>
    <w:rsid w:val="00AE01BC"/>
    <w:rsid w:val="00AE03B8"/>
    <w:rsid w:val="00AE0610"/>
    <w:rsid w:val="00AE0BB3"/>
    <w:rsid w:val="00AE0BEA"/>
    <w:rsid w:val="00AE0CB6"/>
    <w:rsid w:val="00AE184E"/>
    <w:rsid w:val="00AE1AB7"/>
    <w:rsid w:val="00AE1AD0"/>
    <w:rsid w:val="00AE1C1A"/>
    <w:rsid w:val="00AE24B1"/>
    <w:rsid w:val="00AE25FB"/>
    <w:rsid w:val="00AE26DB"/>
    <w:rsid w:val="00AE2777"/>
    <w:rsid w:val="00AE29CC"/>
    <w:rsid w:val="00AE2E78"/>
    <w:rsid w:val="00AE3048"/>
    <w:rsid w:val="00AE37BB"/>
    <w:rsid w:val="00AE3831"/>
    <w:rsid w:val="00AE40D9"/>
    <w:rsid w:val="00AE4196"/>
    <w:rsid w:val="00AE41B2"/>
    <w:rsid w:val="00AE478F"/>
    <w:rsid w:val="00AE491B"/>
    <w:rsid w:val="00AE4BD2"/>
    <w:rsid w:val="00AE50E1"/>
    <w:rsid w:val="00AE52EC"/>
    <w:rsid w:val="00AE54C5"/>
    <w:rsid w:val="00AE565F"/>
    <w:rsid w:val="00AE5870"/>
    <w:rsid w:val="00AE5932"/>
    <w:rsid w:val="00AE5A31"/>
    <w:rsid w:val="00AE5BA5"/>
    <w:rsid w:val="00AE5C82"/>
    <w:rsid w:val="00AE5D5A"/>
    <w:rsid w:val="00AE678A"/>
    <w:rsid w:val="00AE67EF"/>
    <w:rsid w:val="00AE6B10"/>
    <w:rsid w:val="00AE6C10"/>
    <w:rsid w:val="00AE6C3E"/>
    <w:rsid w:val="00AE7148"/>
    <w:rsid w:val="00AE719D"/>
    <w:rsid w:val="00AE7953"/>
    <w:rsid w:val="00AE7E75"/>
    <w:rsid w:val="00AF0007"/>
    <w:rsid w:val="00AF0197"/>
    <w:rsid w:val="00AF06A3"/>
    <w:rsid w:val="00AF0C95"/>
    <w:rsid w:val="00AF0D8A"/>
    <w:rsid w:val="00AF0EE9"/>
    <w:rsid w:val="00AF0FDD"/>
    <w:rsid w:val="00AF113A"/>
    <w:rsid w:val="00AF1A7E"/>
    <w:rsid w:val="00AF1C7D"/>
    <w:rsid w:val="00AF1E64"/>
    <w:rsid w:val="00AF1EDC"/>
    <w:rsid w:val="00AF2063"/>
    <w:rsid w:val="00AF2317"/>
    <w:rsid w:val="00AF2497"/>
    <w:rsid w:val="00AF2603"/>
    <w:rsid w:val="00AF2EE9"/>
    <w:rsid w:val="00AF32C7"/>
    <w:rsid w:val="00AF3354"/>
    <w:rsid w:val="00AF38B2"/>
    <w:rsid w:val="00AF4081"/>
    <w:rsid w:val="00AF424A"/>
    <w:rsid w:val="00AF453A"/>
    <w:rsid w:val="00AF47F1"/>
    <w:rsid w:val="00AF47FA"/>
    <w:rsid w:val="00AF4970"/>
    <w:rsid w:val="00AF4A91"/>
    <w:rsid w:val="00AF529F"/>
    <w:rsid w:val="00AF612F"/>
    <w:rsid w:val="00AF61CE"/>
    <w:rsid w:val="00AF6430"/>
    <w:rsid w:val="00AF66CF"/>
    <w:rsid w:val="00AF6E1D"/>
    <w:rsid w:val="00AF72DC"/>
    <w:rsid w:val="00AF7757"/>
    <w:rsid w:val="00AF7806"/>
    <w:rsid w:val="00AF79CC"/>
    <w:rsid w:val="00AF7E86"/>
    <w:rsid w:val="00B00010"/>
    <w:rsid w:val="00B0011F"/>
    <w:rsid w:val="00B00815"/>
    <w:rsid w:val="00B00D3B"/>
    <w:rsid w:val="00B00F11"/>
    <w:rsid w:val="00B00F9F"/>
    <w:rsid w:val="00B010A5"/>
    <w:rsid w:val="00B01F92"/>
    <w:rsid w:val="00B025DD"/>
    <w:rsid w:val="00B02AFD"/>
    <w:rsid w:val="00B034E4"/>
    <w:rsid w:val="00B035CF"/>
    <w:rsid w:val="00B03A06"/>
    <w:rsid w:val="00B03E9F"/>
    <w:rsid w:val="00B03F3F"/>
    <w:rsid w:val="00B03F7B"/>
    <w:rsid w:val="00B040C6"/>
    <w:rsid w:val="00B042A6"/>
    <w:rsid w:val="00B045B1"/>
    <w:rsid w:val="00B04693"/>
    <w:rsid w:val="00B04940"/>
    <w:rsid w:val="00B04A1D"/>
    <w:rsid w:val="00B04B12"/>
    <w:rsid w:val="00B04D1C"/>
    <w:rsid w:val="00B04ECB"/>
    <w:rsid w:val="00B051A6"/>
    <w:rsid w:val="00B05617"/>
    <w:rsid w:val="00B0567B"/>
    <w:rsid w:val="00B0598D"/>
    <w:rsid w:val="00B05B70"/>
    <w:rsid w:val="00B05C3D"/>
    <w:rsid w:val="00B06289"/>
    <w:rsid w:val="00B0643F"/>
    <w:rsid w:val="00B07249"/>
    <w:rsid w:val="00B07383"/>
    <w:rsid w:val="00B0782D"/>
    <w:rsid w:val="00B103C6"/>
    <w:rsid w:val="00B105D9"/>
    <w:rsid w:val="00B10E55"/>
    <w:rsid w:val="00B117E4"/>
    <w:rsid w:val="00B119D8"/>
    <w:rsid w:val="00B121E5"/>
    <w:rsid w:val="00B129D1"/>
    <w:rsid w:val="00B12C14"/>
    <w:rsid w:val="00B12D7E"/>
    <w:rsid w:val="00B12DB9"/>
    <w:rsid w:val="00B12F69"/>
    <w:rsid w:val="00B1318F"/>
    <w:rsid w:val="00B13225"/>
    <w:rsid w:val="00B1331B"/>
    <w:rsid w:val="00B13446"/>
    <w:rsid w:val="00B13979"/>
    <w:rsid w:val="00B13B5F"/>
    <w:rsid w:val="00B14370"/>
    <w:rsid w:val="00B148C3"/>
    <w:rsid w:val="00B14CDC"/>
    <w:rsid w:val="00B14D2B"/>
    <w:rsid w:val="00B150B6"/>
    <w:rsid w:val="00B158DE"/>
    <w:rsid w:val="00B15ADA"/>
    <w:rsid w:val="00B15D69"/>
    <w:rsid w:val="00B16069"/>
    <w:rsid w:val="00B16179"/>
    <w:rsid w:val="00B168D5"/>
    <w:rsid w:val="00B16B56"/>
    <w:rsid w:val="00B16D20"/>
    <w:rsid w:val="00B17225"/>
    <w:rsid w:val="00B17D99"/>
    <w:rsid w:val="00B200E5"/>
    <w:rsid w:val="00B21EF3"/>
    <w:rsid w:val="00B22349"/>
    <w:rsid w:val="00B226AB"/>
    <w:rsid w:val="00B226F9"/>
    <w:rsid w:val="00B229EA"/>
    <w:rsid w:val="00B22C71"/>
    <w:rsid w:val="00B22F34"/>
    <w:rsid w:val="00B232CC"/>
    <w:rsid w:val="00B233D9"/>
    <w:rsid w:val="00B23544"/>
    <w:rsid w:val="00B237D3"/>
    <w:rsid w:val="00B23EB0"/>
    <w:rsid w:val="00B24447"/>
    <w:rsid w:val="00B2465E"/>
    <w:rsid w:val="00B24D22"/>
    <w:rsid w:val="00B24ED9"/>
    <w:rsid w:val="00B252B7"/>
    <w:rsid w:val="00B25B24"/>
    <w:rsid w:val="00B25BFE"/>
    <w:rsid w:val="00B25C04"/>
    <w:rsid w:val="00B25D64"/>
    <w:rsid w:val="00B25EB0"/>
    <w:rsid w:val="00B26096"/>
    <w:rsid w:val="00B26D63"/>
    <w:rsid w:val="00B272FE"/>
    <w:rsid w:val="00B273B3"/>
    <w:rsid w:val="00B27431"/>
    <w:rsid w:val="00B275B4"/>
    <w:rsid w:val="00B27798"/>
    <w:rsid w:val="00B30524"/>
    <w:rsid w:val="00B30A53"/>
    <w:rsid w:val="00B30B0F"/>
    <w:rsid w:val="00B316C7"/>
    <w:rsid w:val="00B32757"/>
    <w:rsid w:val="00B336D2"/>
    <w:rsid w:val="00B33FF7"/>
    <w:rsid w:val="00B340C1"/>
    <w:rsid w:val="00B341A4"/>
    <w:rsid w:val="00B341DC"/>
    <w:rsid w:val="00B344EC"/>
    <w:rsid w:val="00B34722"/>
    <w:rsid w:val="00B34829"/>
    <w:rsid w:val="00B350DC"/>
    <w:rsid w:val="00B353DB"/>
    <w:rsid w:val="00B35560"/>
    <w:rsid w:val="00B35592"/>
    <w:rsid w:val="00B355F1"/>
    <w:rsid w:val="00B356C5"/>
    <w:rsid w:val="00B35F04"/>
    <w:rsid w:val="00B364E1"/>
    <w:rsid w:val="00B367DC"/>
    <w:rsid w:val="00B367FF"/>
    <w:rsid w:val="00B368C6"/>
    <w:rsid w:val="00B37449"/>
    <w:rsid w:val="00B374B1"/>
    <w:rsid w:val="00B40BAF"/>
    <w:rsid w:val="00B40D43"/>
    <w:rsid w:val="00B414F3"/>
    <w:rsid w:val="00B41664"/>
    <w:rsid w:val="00B41799"/>
    <w:rsid w:val="00B419C2"/>
    <w:rsid w:val="00B41C58"/>
    <w:rsid w:val="00B4280D"/>
    <w:rsid w:val="00B42C07"/>
    <w:rsid w:val="00B43152"/>
    <w:rsid w:val="00B432FD"/>
    <w:rsid w:val="00B433F9"/>
    <w:rsid w:val="00B437A5"/>
    <w:rsid w:val="00B43AE7"/>
    <w:rsid w:val="00B43DB2"/>
    <w:rsid w:val="00B43DD3"/>
    <w:rsid w:val="00B446BA"/>
    <w:rsid w:val="00B447C9"/>
    <w:rsid w:val="00B4497F"/>
    <w:rsid w:val="00B44B7F"/>
    <w:rsid w:val="00B44C92"/>
    <w:rsid w:val="00B451D6"/>
    <w:rsid w:val="00B4522C"/>
    <w:rsid w:val="00B4537C"/>
    <w:rsid w:val="00B45AE6"/>
    <w:rsid w:val="00B4685C"/>
    <w:rsid w:val="00B46881"/>
    <w:rsid w:val="00B47000"/>
    <w:rsid w:val="00B4700D"/>
    <w:rsid w:val="00B47312"/>
    <w:rsid w:val="00B479E7"/>
    <w:rsid w:val="00B47EB3"/>
    <w:rsid w:val="00B5025A"/>
    <w:rsid w:val="00B50558"/>
    <w:rsid w:val="00B50714"/>
    <w:rsid w:val="00B50816"/>
    <w:rsid w:val="00B5082C"/>
    <w:rsid w:val="00B5092A"/>
    <w:rsid w:val="00B51001"/>
    <w:rsid w:val="00B5103B"/>
    <w:rsid w:val="00B51DD0"/>
    <w:rsid w:val="00B51DF9"/>
    <w:rsid w:val="00B51E01"/>
    <w:rsid w:val="00B52502"/>
    <w:rsid w:val="00B52AF2"/>
    <w:rsid w:val="00B5304F"/>
    <w:rsid w:val="00B530F9"/>
    <w:rsid w:val="00B538B8"/>
    <w:rsid w:val="00B539DF"/>
    <w:rsid w:val="00B5405D"/>
    <w:rsid w:val="00B54184"/>
    <w:rsid w:val="00B55515"/>
    <w:rsid w:val="00B567B1"/>
    <w:rsid w:val="00B56E36"/>
    <w:rsid w:val="00B60144"/>
    <w:rsid w:val="00B6028B"/>
    <w:rsid w:val="00B608C3"/>
    <w:rsid w:val="00B60A17"/>
    <w:rsid w:val="00B61562"/>
    <w:rsid w:val="00B61E3D"/>
    <w:rsid w:val="00B622E1"/>
    <w:rsid w:val="00B6230A"/>
    <w:rsid w:val="00B62317"/>
    <w:rsid w:val="00B62339"/>
    <w:rsid w:val="00B626F8"/>
    <w:rsid w:val="00B62993"/>
    <w:rsid w:val="00B63035"/>
    <w:rsid w:val="00B63453"/>
    <w:rsid w:val="00B63961"/>
    <w:rsid w:val="00B63DA1"/>
    <w:rsid w:val="00B64046"/>
    <w:rsid w:val="00B6427F"/>
    <w:rsid w:val="00B64536"/>
    <w:rsid w:val="00B649E8"/>
    <w:rsid w:val="00B64A1C"/>
    <w:rsid w:val="00B64D06"/>
    <w:rsid w:val="00B64F0C"/>
    <w:rsid w:val="00B651F3"/>
    <w:rsid w:val="00B65B13"/>
    <w:rsid w:val="00B65E23"/>
    <w:rsid w:val="00B65E49"/>
    <w:rsid w:val="00B666BE"/>
    <w:rsid w:val="00B66850"/>
    <w:rsid w:val="00B66E43"/>
    <w:rsid w:val="00B66EFA"/>
    <w:rsid w:val="00B67120"/>
    <w:rsid w:val="00B6782F"/>
    <w:rsid w:val="00B67BB0"/>
    <w:rsid w:val="00B67C4E"/>
    <w:rsid w:val="00B67D5B"/>
    <w:rsid w:val="00B67DB2"/>
    <w:rsid w:val="00B67FA3"/>
    <w:rsid w:val="00B67FE9"/>
    <w:rsid w:val="00B67FF4"/>
    <w:rsid w:val="00B70075"/>
    <w:rsid w:val="00B70156"/>
    <w:rsid w:val="00B701EA"/>
    <w:rsid w:val="00B7040F"/>
    <w:rsid w:val="00B706BC"/>
    <w:rsid w:val="00B70C28"/>
    <w:rsid w:val="00B71045"/>
    <w:rsid w:val="00B71522"/>
    <w:rsid w:val="00B71537"/>
    <w:rsid w:val="00B71E7A"/>
    <w:rsid w:val="00B71F41"/>
    <w:rsid w:val="00B722B5"/>
    <w:rsid w:val="00B72667"/>
    <w:rsid w:val="00B727E4"/>
    <w:rsid w:val="00B72B0E"/>
    <w:rsid w:val="00B73242"/>
    <w:rsid w:val="00B73812"/>
    <w:rsid w:val="00B74223"/>
    <w:rsid w:val="00B742E3"/>
    <w:rsid w:val="00B7445F"/>
    <w:rsid w:val="00B744C8"/>
    <w:rsid w:val="00B745B7"/>
    <w:rsid w:val="00B74686"/>
    <w:rsid w:val="00B746EC"/>
    <w:rsid w:val="00B74962"/>
    <w:rsid w:val="00B74FAA"/>
    <w:rsid w:val="00B75085"/>
    <w:rsid w:val="00B752AA"/>
    <w:rsid w:val="00B7596B"/>
    <w:rsid w:val="00B7665B"/>
    <w:rsid w:val="00B768AC"/>
    <w:rsid w:val="00B76F1D"/>
    <w:rsid w:val="00B773A4"/>
    <w:rsid w:val="00B77989"/>
    <w:rsid w:val="00B77D4F"/>
    <w:rsid w:val="00B77EB4"/>
    <w:rsid w:val="00B8006A"/>
    <w:rsid w:val="00B800A5"/>
    <w:rsid w:val="00B80100"/>
    <w:rsid w:val="00B81477"/>
    <w:rsid w:val="00B815A8"/>
    <w:rsid w:val="00B818BE"/>
    <w:rsid w:val="00B822A7"/>
    <w:rsid w:val="00B826E7"/>
    <w:rsid w:val="00B82B13"/>
    <w:rsid w:val="00B83105"/>
    <w:rsid w:val="00B83157"/>
    <w:rsid w:val="00B836B6"/>
    <w:rsid w:val="00B83E07"/>
    <w:rsid w:val="00B83E27"/>
    <w:rsid w:val="00B8445E"/>
    <w:rsid w:val="00B846B4"/>
    <w:rsid w:val="00B849FD"/>
    <w:rsid w:val="00B85040"/>
    <w:rsid w:val="00B85209"/>
    <w:rsid w:val="00B85213"/>
    <w:rsid w:val="00B858B0"/>
    <w:rsid w:val="00B85966"/>
    <w:rsid w:val="00B85968"/>
    <w:rsid w:val="00B868D9"/>
    <w:rsid w:val="00B869AD"/>
    <w:rsid w:val="00B86B42"/>
    <w:rsid w:val="00B86D16"/>
    <w:rsid w:val="00B86E28"/>
    <w:rsid w:val="00B87252"/>
    <w:rsid w:val="00B87840"/>
    <w:rsid w:val="00B90270"/>
    <w:rsid w:val="00B9045C"/>
    <w:rsid w:val="00B907A5"/>
    <w:rsid w:val="00B9085E"/>
    <w:rsid w:val="00B90B10"/>
    <w:rsid w:val="00B912C9"/>
    <w:rsid w:val="00B9143C"/>
    <w:rsid w:val="00B91532"/>
    <w:rsid w:val="00B91654"/>
    <w:rsid w:val="00B91935"/>
    <w:rsid w:val="00B91937"/>
    <w:rsid w:val="00B91AED"/>
    <w:rsid w:val="00B91D06"/>
    <w:rsid w:val="00B920A7"/>
    <w:rsid w:val="00B92140"/>
    <w:rsid w:val="00B9282F"/>
    <w:rsid w:val="00B92AD7"/>
    <w:rsid w:val="00B92CAE"/>
    <w:rsid w:val="00B931E6"/>
    <w:rsid w:val="00B933D4"/>
    <w:rsid w:val="00B93997"/>
    <w:rsid w:val="00B93C06"/>
    <w:rsid w:val="00B93EE3"/>
    <w:rsid w:val="00B93F65"/>
    <w:rsid w:val="00B94050"/>
    <w:rsid w:val="00B941C3"/>
    <w:rsid w:val="00B94288"/>
    <w:rsid w:val="00B942E7"/>
    <w:rsid w:val="00B947F5"/>
    <w:rsid w:val="00B94FA9"/>
    <w:rsid w:val="00B950A1"/>
    <w:rsid w:val="00B952AC"/>
    <w:rsid w:val="00B954A8"/>
    <w:rsid w:val="00B955BA"/>
    <w:rsid w:val="00B957BD"/>
    <w:rsid w:val="00B9594A"/>
    <w:rsid w:val="00B95D7A"/>
    <w:rsid w:val="00B95FF4"/>
    <w:rsid w:val="00B9648D"/>
    <w:rsid w:val="00B9663B"/>
    <w:rsid w:val="00B967D6"/>
    <w:rsid w:val="00B96855"/>
    <w:rsid w:val="00B96A23"/>
    <w:rsid w:val="00B96B8F"/>
    <w:rsid w:val="00B96DD1"/>
    <w:rsid w:val="00B97417"/>
    <w:rsid w:val="00B977A8"/>
    <w:rsid w:val="00B97B1F"/>
    <w:rsid w:val="00B97FEA"/>
    <w:rsid w:val="00BA0257"/>
    <w:rsid w:val="00BA04D3"/>
    <w:rsid w:val="00BA0E49"/>
    <w:rsid w:val="00BA0E8F"/>
    <w:rsid w:val="00BA0F7E"/>
    <w:rsid w:val="00BA0FEE"/>
    <w:rsid w:val="00BA16E2"/>
    <w:rsid w:val="00BA1B50"/>
    <w:rsid w:val="00BA1EDD"/>
    <w:rsid w:val="00BA1FC2"/>
    <w:rsid w:val="00BA21BC"/>
    <w:rsid w:val="00BA25BE"/>
    <w:rsid w:val="00BA263C"/>
    <w:rsid w:val="00BA2C59"/>
    <w:rsid w:val="00BA3492"/>
    <w:rsid w:val="00BA379B"/>
    <w:rsid w:val="00BA42ED"/>
    <w:rsid w:val="00BA43B9"/>
    <w:rsid w:val="00BA4653"/>
    <w:rsid w:val="00BA47C4"/>
    <w:rsid w:val="00BA4B70"/>
    <w:rsid w:val="00BA53B2"/>
    <w:rsid w:val="00BA54CD"/>
    <w:rsid w:val="00BA5502"/>
    <w:rsid w:val="00BA558E"/>
    <w:rsid w:val="00BA572C"/>
    <w:rsid w:val="00BA5A0F"/>
    <w:rsid w:val="00BA5D6D"/>
    <w:rsid w:val="00BA622C"/>
    <w:rsid w:val="00BA66B7"/>
    <w:rsid w:val="00BA690B"/>
    <w:rsid w:val="00BA6EEC"/>
    <w:rsid w:val="00BA71CC"/>
    <w:rsid w:val="00BA7B6D"/>
    <w:rsid w:val="00BA7E2D"/>
    <w:rsid w:val="00BA7E83"/>
    <w:rsid w:val="00BB040B"/>
    <w:rsid w:val="00BB0773"/>
    <w:rsid w:val="00BB0DC3"/>
    <w:rsid w:val="00BB0E4D"/>
    <w:rsid w:val="00BB0EAC"/>
    <w:rsid w:val="00BB149B"/>
    <w:rsid w:val="00BB1D9F"/>
    <w:rsid w:val="00BB201E"/>
    <w:rsid w:val="00BB207D"/>
    <w:rsid w:val="00BB20B5"/>
    <w:rsid w:val="00BB2B20"/>
    <w:rsid w:val="00BB2B63"/>
    <w:rsid w:val="00BB3210"/>
    <w:rsid w:val="00BB396D"/>
    <w:rsid w:val="00BB3976"/>
    <w:rsid w:val="00BB3B9E"/>
    <w:rsid w:val="00BB3C89"/>
    <w:rsid w:val="00BB3EBB"/>
    <w:rsid w:val="00BB4090"/>
    <w:rsid w:val="00BB4414"/>
    <w:rsid w:val="00BB4C16"/>
    <w:rsid w:val="00BB4DD0"/>
    <w:rsid w:val="00BB5231"/>
    <w:rsid w:val="00BB5519"/>
    <w:rsid w:val="00BB5714"/>
    <w:rsid w:val="00BB5D6F"/>
    <w:rsid w:val="00BB5E65"/>
    <w:rsid w:val="00BB5FFC"/>
    <w:rsid w:val="00BB6988"/>
    <w:rsid w:val="00BB6BD9"/>
    <w:rsid w:val="00BB6DAB"/>
    <w:rsid w:val="00BB6E3A"/>
    <w:rsid w:val="00BB7353"/>
    <w:rsid w:val="00BB73EE"/>
    <w:rsid w:val="00BB75BF"/>
    <w:rsid w:val="00BB7E53"/>
    <w:rsid w:val="00BB7EE3"/>
    <w:rsid w:val="00BC017F"/>
    <w:rsid w:val="00BC0338"/>
    <w:rsid w:val="00BC053E"/>
    <w:rsid w:val="00BC061D"/>
    <w:rsid w:val="00BC09EB"/>
    <w:rsid w:val="00BC0A8A"/>
    <w:rsid w:val="00BC0D17"/>
    <w:rsid w:val="00BC152F"/>
    <w:rsid w:val="00BC1BC6"/>
    <w:rsid w:val="00BC2009"/>
    <w:rsid w:val="00BC2208"/>
    <w:rsid w:val="00BC2617"/>
    <w:rsid w:val="00BC2BD8"/>
    <w:rsid w:val="00BC2E77"/>
    <w:rsid w:val="00BC3B9D"/>
    <w:rsid w:val="00BC439A"/>
    <w:rsid w:val="00BC4B1D"/>
    <w:rsid w:val="00BC4CDF"/>
    <w:rsid w:val="00BC523E"/>
    <w:rsid w:val="00BC5357"/>
    <w:rsid w:val="00BC5380"/>
    <w:rsid w:val="00BC5649"/>
    <w:rsid w:val="00BC6156"/>
    <w:rsid w:val="00BC6656"/>
    <w:rsid w:val="00BC69BE"/>
    <w:rsid w:val="00BC6D2B"/>
    <w:rsid w:val="00BC7367"/>
    <w:rsid w:val="00BC7497"/>
    <w:rsid w:val="00BC7C5E"/>
    <w:rsid w:val="00BC7DD5"/>
    <w:rsid w:val="00BC7E55"/>
    <w:rsid w:val="00BC7E70"/>
    <w:rsid w:val="00BD04D0"/>
    <w:rsid w:val="00BD04FD"/>
    <w:rsid w:val="00BD067E"/>
    <w:rsid w:val="00BD0D7D"/>
    <w:rsid w:val="00BD0EA4"/>
    <w:rsid w:val="00BD171A"/>
    <w:rsid w:val="00BD2973"/>
    <w:rsid w:val="00BD29C9"/>
    <w:rsid w:val="00BD29E6"/>
    <w:rsid w:val="00BD4203"/>
    <w:rsid w:val="00BD42C0"/>
    <w:rsid w:val="00BD453D"/>
    <w:rsid w:val="00BD4919"/>
    <w:rsid w:val="00BD5028"/>
    <w:rsid w:val="00BD5100"/>
    <w:rsid w:val="00BD513E"/>
    <w:rsid w:val="00BD57E3"/>
    <w:rsid w:val="00BD691C"/>
    <w:rsid w:val="00BD69BB"/>
    <w:rsid w:val="00BD6BA7"/>
    <w:rsid w:val="00BD6F8C"/>
    <w:rsid w:val="00BD6FF4"/>
    <w:rsid w:val="00BD727E"/>
    <w:rsid w:val="00BD72CF"/>
    <w:rsid w:val="00BD760F"/>
    <w:rsid w:val="00BD7B9C"/>
    <w:rsid w:val="00BE0094"/>
    <w:rsid w:val="00BE02DF"/>
    <w:rsid w:val="00BE0306"/>
    <w:rsid w:val="00BE0417"/>
    <w:rsid w:val="00BE0AEC"/>
    <w:rsid w:val="00BE0D49"/>
    <w:rsid w:val="00BE0E7A"/>
    <w:rsid w:val="00BE1256"/>
    <w:rsid w:val="00BE12E9"/>
    <w:rsid w:val="00BE13BD"/>
    <w:rsid w:val="00BE13F8"/>
    <w:rsid w:val="00BE18B0"/>
    <w:rsid w:val="00BE1976"/>
    <w:rsid w:val="00BE1AE0"/>
    <w:rsid w:val="00BE23BD"/>
    <w:rsid w:val="00BE2DE8"/>
    <w:rsid w:val="00BE2E50"/>
    <w:rsid w:val="00BE3077"/>
    <w:rsid w:val="00BE31BA"/>
    <w:rsid w:val="00BE3CEA"/>
    <w:rsid w:val="00BE3E66"/>
    <w:rsid w:val="00BE3F59"/>
    <w:rsid w:val="00BE420E"/>
    <w:rsid w:val="00BE46AC"/>
    <w:rsid w:val="00BE4A2E"/>
    <w:rsid w:val="00BE4C84"/>
    <w:rsid w:val="00BE5369"/>
    <w:rsid w:val="00BE5445"/>
    <w:rsid w:val="00BE54C3"/>
    <w:rsid w:val="00BE56B3"/>
    <w:rsid w:val="00BE586A"/>
    <w:rsid w:val="00BE5CA7"/>
    <w:rsid w:val="00BE5DC2"/>
    <w:rsid w:val="00BE620F"/>
    <w:rsid w:val="00BE62CC"/>
    <w:rsid w:val="00BE670E"/>
    <w:rsid w:val="00BE671A"/>
    <w:rsid w:val="00BE68FD"/>
    <w:rsid w:val="00BE69DE"/>
    <w:rsid w:val="00BE6DD0"/>
    <w:rsid w:val="00BE6E70"/>
    <w:rsid w:val="00BE6F3C"/>
    <w:rsid w:val="00BE7814"/>
    <w:rsid w:val="00BE7A37"/>
    <w:rsid w:val="00BE7E06"/>
    <w:rsid w:val="00BF0CFE"/>
    <w:rsid w:val="00BF0E01"/>
    <w:rsid w:val="00BF0EA4"/>
    <w:rsid w:val="00BF2219"/>
    <w:rsid w:val="00BF287C"/>
    <w:rsid w:val="00BF2A41"/>
    <w:rsid w:val="00BF2D33"/>
    <w:rsid w:val="00BF312B"/>
    <w:rsid w:val="00BF3459"/>
    <w:rsid w:val="00BF4DA6"/>
    <w:rsid w:val="00BF4EE3"/>
    <w:rsid w:val="00BF508F"/>
    <w:rsid w:val="00BF5B78"/>
    <w:rsid w:val="00BF6AA0"/>
    <w:rsid w:val="00BF6B6C"/>
    <w:rsid w:val="00BF6B7A"/>
    <w:rsid w:val="00BF6D34"/>
    <w:rsid w:val="00BF71AB"/>
    <w:rsid w:val="00BF7D02"/>
    <w:rsid w:val="00C00686"/>
    <w:rsid w:val="00C00EC4"/>
    <w:rsid w:val="00C019F8"/>
    <w:rsid w:val="00C019F9"/>
    <w:rsid w:val="00C020D8"/>
    <w:rsid w:val="00C020F6"/>
    <w:rsid w:val="00C029A7"/>
    <w:rsid w:val="00C0317E"/>
    <w:rsid w:val="00C03908"/>
    <w:rsid w:val="00C0396C"/>
    <w:rsid w:val="00C03BF8"/>
    <w:rsid w:val="00C03F24"/>
    <w:rsid w:val="00C03FBA"/>
    <w:rsid w:val="00C04086"/>
    <w:rsid w:val="00C0423B"/>
    <w:rsid w:val="00C04255"/>
    <w:rsid w:val="00C0446C"/>
    <w:rsid w:val="00C04ABA"/>
    <w:rsid w:val="00C04F02"/>
    <w:rsid w:val="00C05193"/>
    <w:rsid w:val="00C0538F"/>
    <w:rsid w:val="00C05F3B"/>
    <w:rsid w:val="00C060D7"/>
    <w:rsid w:val="00C0624B"/>
    <w:rsid w:val="00C0688A"/>
    <w:rsid w:val="00C069BB"/>
    <w:rsid w:val="00C0757E"/>
    <w:rsid w:val="00C076BF"/>
    <w:rsid w:val="00C07EF6"/>
    <w:rsid w:val="00C108E9"/>
    <w:rsid w:val="00C115E7"/>
    <w:rsid w:val="00C11719"/>
    <w:rsid w:val="00C118C6"/>
    <w:rsid w:val="00C11A88"/>
    <w:rsid w:val="00C11E9C"/>
    <w:rsid w:val="00C11F96"/>
    <w:rsid w:val="00C12045"/>
    <w:rsid w:val="00C123A1"/>
    <w:rsid w:val="00C124D9"/>
    <w:rsid w:val="00C126F1"/>
    <w:rsid w:val="00C1278F"/>
    <w:rsid w:val="00C12894"/>
    <w:rsid w:val="00C12A48"/>
    <w:rsid w:val="00C12C98"/>
    <w:rsid w:val="00C137A1"/>
    <w:rsid w:val="00C13F0E"/>
    <w:rsid w:val="00C157FB"/>
    <w:rsid w:val="00C158E3"/>
    <w:rsid w:val="00C159FE"/>
    <w:rsid w:val="00C15B37"/>
    <w:rsid w:val="00C161FB"/>
    <w:rsid w:val="00C16AA7"/>
    <w:rsid w:val="00C16C41"/>
    <w:rsid w:val="00C16C4A"/>
    <w:rsid w:val="00C17677"/>
    <w:rsid w:val="00C178B4"/>
    <w:rsid w:val="00C17BEE"/>
    <w:rsid w:val="00C17FA6"/>
    <w:rsid w:val="00C20B4F"/>
    <w:rsid w:val="00C211A0"/>
    <w:rsid w:val="00C21635"/>
    <w:rsid w:val="00C21CF1"/>
    <w:rsid w:val="00C21D5C"/>
    <w:rsid w:val="00C21F8F"/>
    <w:rsid w:val="00C220A8"/>
    <w:rsid w:val="00C2259E"/>
    <w:rsid w:val="00C2294F"/>
    <w:rsid w:val="00C234EB"/>
    <w:rsid w:val="00C235B4"/>
    <w:rsid w:val="00C235C7"/>
    <w:rsid w:val="00C23B7F"/>
    <w:rsid w:val="00C23DCE"/>
    <w:rsid w:val="00C23FD0"/>
    <w:rsid w:val="00C242E7"/>
    <w:rsid w:val="00C2439B"/>
    <w:rsid w:val="00C24828"/>
    <w:rsid w:val="00C24C07"/>
    <w:rsid w:val="00C253E8"/>
    <w:rsid w:val="00C25748"/>
    <w:rsid w:val="00C25BE0"/>
    <w:rsid w:val="00C25CCE"/>
    <w:rsid w:val="00C25E68"/>
    <w:rsid w:val="00C25EBE"/>
    <w:rsid w:val="00C265A8"/>
    <w:rsid w:val="00C26643"/>
    <w:rsid w:val="00C26A22"/>
    <w:rsid w:val="00C26EE5"/>
    <w:rsid w:val="00C27140"/>
    <w:rsid w:val="00C27743"/>
    <w:rsid w:val="00C27CE5"/>
    <w:rsid w:val="00C27EDC"/>
    <w:rsid w:val="00C27F8A"/>
    <w:rsid w:val="00C27FC4"/>
    <w:rsid w:val="00C30579"/>
    <w:rsid w:val="00C30682"/>
    <w:rsid w:val="00C307DB"/>
    <w:rsid w:val="00C308C5"/>
    <w:rsid w:val="00C309E8"/>
    <w:rsid w:val="00C3109D"/>
    <w:rsid w:val="00C3125E"/>
    <w:rsid w:val="00C31BB6"/>
    <w:rsid w:val="00C32015"/>
    <w:rsid w:val="00C3210D"/>
    <w:rsid w:val="00C32314"/>
    <w:rsid w:val="00C323EF"/>
    <w:rsid w:val="00C32608"/>
    <w:rsid w:val="00C32A94"/>
    <w:rsid w:val="00C32D24"/>
    <w:rsid w:val="00C32FFB"/>
    <w:rsid w:val="00C33129"/>
    <w:rsid w:val="00C332CA"/>
    <w:rsid w:val="00C335C2"/>
    <w:rsid w:val="00C3364B"/>
    <w:rsid w:val="00C33A49"/>
    <w:rsid w:val="00C340C3"/>
    <w:rsid w:val="00C343C0"/>
    <w:rsid w:val="00C34528"/>
    <w:rsid w:val="00C3452C"/>
    <w:rsid w:val="00C34DBE"/>
    <w:rsid w:val="00C35530"/>
    <w:rsid w:val="00C35835"/>
    <w:rsid w:val="00C3587C"/>
    <w:rsid w:val="00C36101"/>
    <w:rsid w:val="00C36285"/>
    <w:rsid w:val="00C362F1"/>
    <w:rsid w:val="00C36351"/>
    <w:rsid w:val="00C36543"/>
    <w:rsid w:val="00C36C2C"/>
    <w:rsid w:val="00C36CF8"/>
    <w:rsid w:val="00C36ECE"/>
    <w:rsid w:val="00C36EE4"/>
    <w:rsid w:val="00C3751E"/>
    <w:rsid w:val="00C37BBD"/>
    <w:rsid w:val="00C37F92"/>
    <w:rsid w:val="00C402FE"/>
    <w:rsid w:val="00C40379"/>
    <w:rsid w:val="00C4077C"/>
    <w:rsid w:val="00C40DCF"/>
    <w:rsid w:val="00C40E9D"/>
    <w:rsid w:val="00C4108A"/>
    <w:rsid w:val="00C41BF9"/>
    <w:rsid w:val="00C4217A"/>
    <w:rsid w:val="00C423B1"/>
    <w:rsid w:val="00C4293F"/>
    <w:rsid w:val="00C43595"/>
    <w:rsid w:val="00C43618"/>
    <w:rsid w:val="00C439A4"/>
    <w:rsid w:val="00C43A48"/>
    <w:rsid w:val="00C440B8"/>
    <w:rsid w:val="00C44195"/>
    <w:rsid w:val="00C445E2"/>
    <w:rsid w:val="00C448B7"/>
    <w:rsid w:val="00C44A00"/>
    <w:rsid w:val="00C44B05"/>
    <w:rsid w:val="00C45621"/>
    <w:rsid w:val="00C459FA"/>
    <w:rsid w:val="00C45C94"/>
    <w:rsid w:val="00C460C2"/>
    <w:rsid w:val="00C46137"/>
    <w:rsid w:val="00C461BE"/>
    <w:rsid w:val="00C467AA"/>
    <w:rsid w:val="00C46858"/>
    <w:rsid w:val="00C46B80"/>
    <w:rsid w:val="00C46C4F"/>
    <w:rsid w:val="00C46CE5"/>
    <w:rsid w:val="00C471EC"/>
    <w:rsid w:val="00C47217"/>
    <w:rsid w:val="00C4725B"/>
    <w:rsid w:val="00C47713"/>
    <w:rsid w:val="00C5021A"/>
    <w:rsid w:val="00C50718"/>
    <w:rsid w:val="00C508C3"/>
    <w:rsid w:val="00C50AAC"/>
    <w:rsid w:val="00C50B3F"/>
    <w:rsid w:val="00C50C9C"/>
    <w:rsid w:val="00C50D6F"/>
    <w:rsid w:val="00C512E8"/>
    <w:rsid w:val="00C51789"/>
    <w:rsid w:val="00C5187B"/>
    <w:rsid w:val="00C519BA"/>
    <w:rsid w:val="00C51B89"/>
    <w:rsid w:val="00C51F4B"/>
    <w:rsid w:val="00C525DE"/>
    <w:rsid w:val="00C52770"/>
    <w:rsid w:val="00C52899"/>
    <w:rsid w:val="00C52F60"/>
    <w:rsid w:val="00C5313D"/>
    <w:rsid w:val="00C5334A"/>
    <w:rsid w:val="00C533E9"/>
    <w:rsid w:val="00C5381E"/>
    <w:rsid w:val="00C53AE1"/>
    <w:rsid w:val="00C53B18"/>
    <w:rsid w:val="00C53CFA"/>
    <w:rsid w:val="00C54289"/>
    <w:rsid w:val="00C542B7"/>
    <w:rsid w:val="00C544D4"/>
    <w:rsid w:val="00C544D8"/>
    <w:rsid w:val="00C5455D"/>
    <w:rsid w:val="00C546B0"/>
    <w:rsid w:val="00C549EF"/>
    <w:rsid w:val="00C54FF7"/>
    <w:rsid w:val="00C55409"/>
    <w:rsid w:val="00C55835"/>
    <w:rsid w:val="00C56160"/>
    <w:rsid w:val="00C5661F"/>
    <w:rsid w:val="00C56C3D"/>
    <w:rsid w:val="00C572BC"/>
    <w:rsid w:val="00C57470"/>
    <w:rsid w:val="00C57DE3"/>
    <w:rsid w:val="00C57E1A"/>
    <w:rsid w:val="00C600AD"/>
    <w:rsid w:val="00C601D0"/>
    <w:rsid w:val="00C6098B"/>
    <w:rsid w:val="00C60E5F"/>
    <w:rsid w:val="00C60FDF"/>
    <w:rsid w:val="00C6103C"/>
    <w:rsid w:val="00C61883"/>
    <w:rsid w:val="00C61DA3"/>
    <w:rsid w:val="00C61DB6"/>
    <w:rsid w:val="00C61E3D"/>
    <w:rsid w:val="00C61E59"/>
    <w:rsid w:val="00C61FC3"/>
    <w:rsid w:val="00C61FFF"/>
    <w:rsid w:val="00C6214E"/>
    <w:rsid w:val="00C62587"/>
    <w:rsid w:val="00C625F6"/>
    <w:rsid w:val="00C626C8"/>
    <w:rsid w:val="00C62769"/>
    <w:rsid w:val="00C62872"/>
    <w:rsid w:val="00C62C5D"/>
    <w:rsid w:val="00C62FC6"/>
    <w:rsid w:val="00C632CF"/>
    <w:rsid w:val="00C63A5D"/>
    <w:rsid w:val="00C63E4F"/>
    <w:rsid w:val="00C63E62"/>
    <w:rsid w:val="00C6409F"/>
    <w:rsid w:val="00C64113"/>
    <w:rsid w:val="00C642A5"/>
    <w:rsid w:val="00C644BB"/>
    <w:rsid w:val="00C64CC1"/>
    <w:rsid w:val="00C64E07"/>
    <w:rsid w:val="00C64E8B"/>
    <w:rsid w:val="00C65317"/>
    <w:rsid w:val="00C65DA1"/>
    <w:rsid w:val="00C66298"/>
    <w:rsid w:val="00C664A0"/>
    <w:rsid w:val="00C66AD8"/>
    <w:rsid w:val="00C66F3B"/>
    <w:rsid w:val="00C67A71"/>
    <w:rsid w:val="00C67BBF"/>
    <w:rsid w:val="00C70286"/>
    <w:rsid w:val="00C704A6"/>
    <w:rsid w:val="00C70975"/>
    <w:rsid w:val="00C70B2A"/>
    <w:rsid w:val="00C70E41"/>
    <w:rsid w:val="00C7119B"/>
    <w:rsid w:val="00C71923"/>
    <w:rsid w:val="00C719BE"/>
    <w:rsid w:val="00C725DC"/>
    <w:rsid w:val="00C72F36"/>
    <w:rsid w:val="00C7333F"/>
    <w:rsid w:val="00C735D5"/>
    <w:rsid w:val="00C739C6"/>
    <w:rsid w:val="00C739FD"/>
    <w:rsid w:val="00C73A54"/>
    <w:rsid w:val="00C73DBB"/>
    <w:rsid w:val="00C7414F"/>
    <w:rsid w:val="00C743D8"/>
    <w:rsid w:val="00C7446C"/>
    <w:rsid w:val="00C74573"/>
    <w:rsid w:val="00C746EF"/>
    <w:rsid w:val="00C74AF1"/>
    <w:rsid w:val="00C74ED7"/>
    <w:rsid w:val="00C75461"/>
    <w:rsid w:val="00C756F4"/>
    <w:rsid w:val="00C75ABC"/>
    <w:rsid w:val="00C76517"/>
    <w:rsid w:val="00C7716C"/>
    <w:rsid w:val="00C77909"/>
    <w:rsid w:val="00C77A62"/>
    <w:rsid w:val="00C77B4A"/>
    <w:rsid w:val="00C77C7E"/>
    <w:rsid w:val="00C804D2"/>
    <w:rsid w:val="00C80659"/>
    <w:rsid w:val="00C80D18"/>
    <w:rsid w:val="00C80D9F"/>
    <w:rsid w:val="00C80DCF"/>
    <w:rsid w:val="00C80ED3"/>
    <w:rsid w:val="00C81055"/>
    <w:rsid w:val="00C812BF"/>
    <w:rsid w:val="00C81345"/>
    <w:rsid w:val="00C81CDD"/>
    <w:rsid w:val="00C81EDF"/>
    <w:rsid w:val="00C82359"/>
    <w:rsid w:val="00C826A3"/>
    <w:rsid w:val="00C82849"/>
    <w:rsid w:val="00C82B84"/>
    <w:rsid w:val="00C82B8C"/>
    <w:rsid w:val="00C82F7E"/>
    <w:rsid w:val="00C82FCE"/>
    <w:rsid w:val="00C8334A"/>
    <w:rsid w:val="00C83A21"/>
    <w:rsid w:val="00C83B39"/>
    <w:rsid w:val="00C83E49"/>
    <w:rsid w:val="00C8429E"/>
    <w:rsid w:val="00C84581"/>
    <w:rsid w:val="00C845FF"/>
    <w:rsid w:val="00C84708"/>
    <w:rsid w:val="00C84ADB"/>
    <w:rsid w:val="00C84D21"/>
    <w:rsid w:val="00C84D62"/>
    <w:rsid w:val="00C8502D"/>
    <w:rsid w:val="00C8522B"/>
    <w:rsid w:val="00C8577A"/>
    <w:rsid w:val="00C85C4B"/>
    <w:rsid w:val="00C85EBE"/>
    <w:rsid w:val="00C85EE6"/>
    <w:rsid w:val="00C85F1D"/>
    <w:rsid w:val="00C86042"/>
    <w:rsid w:val="00C86353"/>
    <w:rsid w:val="00C863AA"/>
    <w:rsid w:val="00C864FF"/>
    <w:rsid w:val="00C86838"/>
    <w:rsid w:val="00C868A7"/>
    <w:rsid w:val="00C86EA1"/>
    <w:rsid w:val="00C87173"/>
    <w:rsid w:val="00C87286"/>
    <w:rsid w:val="00C877AA"/>
    <w:rsid w:val="00C87AB5"/>
    <w:rsid w:val="00C87E3E"/>
    <w:rsid w:val="00C902E4"/>
    <w:rsid w:val="00C90D25"/>
    <w:rsid w:val="00C90ECF"/>
    <w:rsid w:val="00C9103F"/>
    <w:rsid w:val="00C9111C"/>
    <w:rsid w:val="00C917F8"/>
    <w:rsid w:val="00C91BA9"/>
    <w:rsid w:val="00C91CFE"/>
    <w:rsid w:val="00C91D08"/>
    <w:rsid w:val="00C92492"/>
    <w:rsid w:val="00C924D6"/>
    <w:rsid w:val="00C92910"/>
    <w:rsid w:val="00C92B1A"/>
    <w:rsid w:val="00C92B2A"/>
    <w:rsid w:val="00C92B79"/>
    <w:rsid w:val="00C92E26"/>
    <w:rsid w:val="00C93398"/>
    <w:rsid w:val="00C9355F"/>
    <w:rsid w:val="00C93673"/>
    <w:rsid w:val="00C93739"/>
    <w:rsid w:val="00C938EC"/>
    <w:rsid w:val="00C93A74"/>
    <w:rsid w:val="00C93F4C"/>
    <w:rsid w:val="00C93FE7"/>
    <w:rsid w:val="00C9497B"/>
    <w:rsid w:val="00C94FEE"/>
    <w:rsid w:val="00C957BE"/>
    <w:rsid w:val="00C958D9"/>
    <w:rsid w:val="00C95BB2"/>
    <w:rsid w:val="00C95BF7"/>
    <w:rsid w:val="00C95C0C"/>
    <w:rsid w:val="00C95D80"/>
    <w:rsid w:val="00C9601D"/>
    <w:rsid w:val="00C96429"/>
    <w:rsid w:val="00C9677B"/>
    <w:rsid w:val="00C96B99"/>
    <w:rsid w:val="00C970B9"/>
    <w:rsid w:val="00C97104"/>
    <w:rsid w:val="00C974FA"/>
    <w:rsid w:val="00C97CEC"/>
    <w:rsid w:val="00CA0040"/>
    <w:rsid w:val="00CA023A"/>
    <w:rsid w:val="00CA03FD"/>
    <w:rsid w:val="00CA0D43"/>
    <w:rsid w:val="00CA0F0A"/>
    <w:rsid w:val="00CA10F9"/>
    <w:rsid w:val="00CA12E0"/>
    <w:rsid w:val="00CA13A4"/>
    <w:rsid w:val="00CA153F"/>
    <w:rsid w:val="00CA18CC"/>
    <w:rsid w:val="00CA1EFC"/>
    <w:rsid w:val="00CA20C2"/>
    <w:rsid w:val="00CA2185"/>
    <w:rsid w:val="00CA289A"/>
    <w:rsid w:val="00CA2EF8"/>
    <w:rsid w:val="00CA31A0"/>
    <w:rsid w:val="00CA3573"/>
    <w:rsid w:val="00CA3D69"/>
    <w:rsid w:val="00CA40ED"/>
    <w:rsid w:val="00CA4248"/>
    <w:rsid w:val="00CA438E"/>
    <w:rsid w:val="00CA4697"/>
    <w:rsid w:val="00CA4915"/>
    <w:rsid w:val="00CA4C4A"/>
    <w:rsid w:val="00CA4D30"/>
    <w:rsid w:val="00CA5090"/>
    <w:rsid w:val="00CA52A5"/>
    <w:rsid w:val="00CA5394"/>
    <w:rsid w:val="00CA53EA"/>
    <w:rsid w:val="00CA5826"/>
    <w:rsid w:val="00CA5E03"/>
    <w:rsid w:val="00CA5E60"/>
    <w:rsid w:val="00CA6090"/>
    <w:rsid w:val="00CA64F2"/>
    <w:rsid w:val="00CA6BCB"/>
    <w:rsid w:val="00CA6CDC"/>
    <w:rsid w:val="00CA6D1E"/>
    <w:rsid w:val="00CA7258"/>
    <w:rsid w:val="00CA78CF"/>
    <w:rsid w:val="00CB01D5"/>
    <w:rsid w:val="00CB0B98"/>
    <w:rsid w:val="00CB1126"/>
    <w:rsid w:val="00CB1786"/>
    <w:rsid w:val="00CB19D4"/>
    <w:rsid w:val="00CB1B3E"/>
    <w:rsid w:val="00CB20C4"/>
    <w:rsid w:val="00CB2753"/>
    <w:rsid w:val="00CB2EED"/>
    <w:rsid w:val="00CB34F9"/>
    <w:rsid w:val="00CB3C56"/>
    <w:rsid w:val="00CB465C"/>
    <w:rsid w:val="00CB5246"/>
    <w:rsid w:val="00CB5526"/>
    <w:rsid w:val="00CB5576"/>
    <w:rsid w:val="00CB55F9"/>
    <w:rsid w:val="00CB57A8"/>
    <w:rsid w:val="00CB5A12"/>
    <w:rsid w:val="00CB66DA"/>
    <w:rsid w:val="00CB6749"/>
    <w:rsid w:val="00CB6900"/>
    <w:rsid w:val="00CB6952"/>
    <w:rsid w:val="00CB6BC0"/>
    <w:rsid w:val="00CB6D91"/>
    <w:rsid w:val="00CB768F"/>
    <w:rsid w:val="00CB7A61"/>
    <w:rsid w:val="00CB7ADB"/>
    <w:rsid w:val="00CB7EC5"/>
    <w:rsid w:val="00CC00A0"/>
    <w:rsid w:val="00CC01F0"/>
    <w:rsid w:val="00CC04E0"/>
    <w:rsid w:val="00CC07D0"/>
    <w:rsid w:val="00CC0946"/>
    <w:rsid w:val="00CC0A21"/>
    <w:rsid w:val="00CC1BDD"/>
    <w:rsid w:val="00CC1D77"/>
    <w:rsid w:val="00CC2557"/>
    <w:rsid w:val="00CC2A04"/>
    <w:rsid w:val="00CC2C57"/>
    <w:rsid w:val="00CC35FA"/>
    <w:rsid w:val="00CC37B6"/>
    <w:rsid w:val="00CC3C2A"/>
    <w:rsid w:val="00CC3D99"/>
    <w:rsid w:val="00CC451E"/>
    <w:rsid w:val="00CC485A"/>
    <w:rsid w:val="00CC5149"/>
    <w:rsid w:val="00CC596E"/>
    <w:rsid w:val="00CC59F7"/>
    <w:rsid w:val="00CC5CA7"/>
    <w:rsid w:val="00CC5D45"/>
    <w:rsid w:val="00CC5DC3"/>
    <w:rsid w:val="00CC5E40"/>
    <w:rsid w:val="00CC5F14"/>
    <w:rsid w:val="00CC6004"/>
    <w:rsid w:val="00CC634E"/>
    <w:rsid w:val="00CC6766"/>
    <w:rsid w:val="00CC678B"/>
    <w:rsid w:val="00CC6B2A"/>
    <w:rsid w:val="00CC6BAB"/>
    <w:rsid w:val="00CC6CB9"/>
    <w:rsid w:val="00CC767A"/>
    <w:rsid w:val="00CC7B9C"/>
    <w:rsid w:val="00CC7C4D"/>
    <w:rsid w:val="00CC7D12"/>
    <w:rsid w:val="00CD01FC"/>
    <w:rsid w:val="00CD02E8"/>
    <w:rsid w:val="00CD0328"/>
    <w:rsid w:val="00CD0713"/>
    <w:rsid w:val="00CD0785"/>
    <w:rsid w:val="00CD111A"/>
    <w:rsid w:val="00CD13E1"/>
    <w:rsid w:val="00CD1811"/>
    <w:rsid w:val="00CD1B3D"/>
    <w:rsid w:val="00CD1BF2"/>
    <w:rsid w:val="00CD1E29"/>
    <w:rsid w:val="00CD2075"/>
    <w:rsid w:val="00CD220E"/>
    <w:rsid w:val="00CD23B7"/>
    <w:rsid w:val="00CD30EE"/>
    <w:rsid w:val="00CD312D"/>
    <w:rsid w:val="00CD325D"/>
    <w:rsid w:val="00CD37CC"/>
    <w:rsid w:val="00CD3A06"/>
    <w:rsid w:val="00CD3F20"/>
    <w:rsid w:val="00CD41F1"/>
    <w:rsid w:val="00CD4A6C"/>
    <w:rsid w:val="00CD4BF4"/>
    <w:rsid w:val="00CD50E6"/>
    <w:rsid w:val="00CD5477"/>
    <w:rsid w:val="00CD5827"/>
    <w:rsid w:val="00CD583E"/>
    <w:rsid w:val="00CD5929"/>
    <w:rsid w:val="00CD5AB8"/>
    <w:rsid w:val="00CD5E4C"/>
    <w:rsid w:val="00CD6003"/>
    <w:rsid w:val="00CD6221"/>
    <w:rsid w:val="00CD63EC"/>
    <w:rsid w:val="00CD6655"/>
    <w:rsid w:val="00CD67D3"/>
    <w:rsid w:val="00CD6867"/>
    <w:rsid w:val="00CD6A5C"/>
    <w:rsid w:val="00CD6C63"/>
    <w:rsid w:val="00CD71DC"/>
    <w:rsid w:val="00CD7424"/>
    <w:rsid w:val="00CD7AB9"/>
    <w:rsid w:val="00CD7AF9"/>
    <w:rsid w:val="00CD7CC8"/>
    <w:rsid w:val="00CD7EF2"/>
    <w:rsid w:val="00CE030D"/>
    <w:rsid w:val="00CE0314"/>
    <w:rsid w:val="00CE0A19"/>
    <w:rsid w:val="00CE0BC5"/>
    <w:rsid w:val="00CE0C8E"/>
    <w:rsid w:val="00CE10D1"/>
    <w:rsid w:val="00CE114E"/>
    <w:rsid w:val="00CE1620"/>
    <w:rsid w:val="00CE18A1"/>
    <w:rsid w:val="00CE1D5E"/>
    <w:rsid w:val="00CE1D96"/>
    <w:rsid w:val="00CE2468"/>
    <w:rsid w:val="00CE25D2"/>
    <w:rsid w:val="00CE2D7E"/>
    <w:rsid w:val="00CE33FD"/>
    <w:rsid w:val="00CE3640"/>
    <w:rsid w:val="00CE3A33"/>
    <w:rsid w:val="00CE3E09"/>
    <w:rsid w:val="00CE471C"/>
    <w:rsid w:val="00CE4BB7"/>
    <w:rsid w:val="00CE53D5"/>
    <w:rsid w:val="00CE5750"/>
    <w:rsid w:val="00CE576B"/>
    <w:rsid w:val="00CE6724"/>
    <w:rsid w:val="00CE6892"/>
    <w:rsid w:val="00CE6DAF"/>
    <w:rsid w:val="00CE6EA7"/>
    <w:rsid w:val="00CE70AE"/>
    <w:rsid w:val="00CE7321"/>
    <w:rsid w:val="00CE7928"/>
    <w:rsid w:val="00CE7A04"/>
    <w:rsid w:val="00CE7C32"/>
    <w:rsid w:val="00CE7C47"/>
    <w:rsid w:val="00CE7FE2"/>
    <w:rsid w:val="00CF0697"/>
    <w:rsid w:val="00CF0836"/>
    <w:rsid w:val="00CF0B27"/>
    <w:rsid w:val="00CF0B72"/>
    <w:rsid w:val="00CF143F"/>
    <w:rsid w:val="00CF15B0"/>
    <w:rsid w:val="00CF25D2"/>
    <w:rsid w:val="00CF29CB"/>
    <w:rsid w:val="00CF2ABB"/>
    <w:rsid w:val="00CF2F3A"/>
    <w:rsid w:val="00CF444A"/>
    <w:rsid w:val="00CF449A"/>
    <w:rsid w:val="00CF44C3"/>
    <w:rsid w:val="00CF491A"/>
    <w:rsid w:val="00CF4E48"/>
    <w:rsid w:val="00CF50A6"/>
    <w:rsid w:val="00CF5977"/>
    <w:rsid w:val="00CF5BA3"/>
    <w:rsid w:val="00CF5E02"/>
    <w:rsid w:val="00CF600E"/>
    <w:rsid w:val="00CF60F4"/>
    <w:rsid w:val="00CF6284"/>
    <w:rsid w:val="00CF6EF9"/>
    <w:rsid w:val="00CF742E"/>
    <w:rsid w:val="00CF766B"/>
    <w:rsid w:val="00CF790A"/>
    <w:rsid w:val="00CF7A4B"/>
    <w:rsid w:val="00D00748"/>
    <w:rsid w:val="00D00D74"/>
    <w:rsid w:val="00D00FE8"/>
    <w:rsid w:val="00D01032"/>
    <w:rsid w:val="00D010B9"/>
    <w:rsid w:val="00D0193C"/>
    <w:rsid w:val="00D01F36"/>
    <w:rsid w:val="00D0215D"/>
    <w:rsid w:val="00D02315"/>
    <w:rsid w:val="00D024D8"/>
    <w:rsid w:val="00D025D0"/>
    <w:rsid w:val="00D026D1"/>
    <w:rsid w:val="00D02DA2"/>
    <w:rsid w:val="00D03193"/>
    <w:rsid w:val="00D03495"/>
    <w:rsid w:val="00D03BA5"/>
    <w:rsid w:val="00D03D68"/>
    <w:rsid w:val="00D03ED4"/>
    <w:rsid w:val="00D0401C"/>
    <w:rsid w:val="00D04447"/>
    <w:rsid w:val="00D0458A"/>
    <w:rsid w:val="00D046B3"/>
    <w:rsid w:val="00D04A41"/>
    <w:rsid w:val="00D04AAD"/>
    <w:rsid w:val="00D04EF6"/>
    <w:rsid w:val="00D04F0A"/>
    <w:rsid w:val="00D055D5"/>
    <w:rsid w:val="00D064E0"/>
    <w:rsid w:val="00D06B76"/>
    <w:rsid w:val="00D06D24"/>
    <w:rsid w:val="00D06DBF"/>
    <w:rsid w:val="00D06E39"/>
    <w:rsid w:val="00D07317"/>
    <w:rsid w:val="00D0737A"/>
    <w:rsid w:val="00D07FF7"/>
    <w:rsid w:val="00D1028F"/>
    <w:rsid w:val="00D104BB"/>
    <w:rsid w:val="00D114AE"/>
    <w:rsid w:val="00D115B8"/>
    <w:rsid w:val="00D11705"/>
    <w:rsid w:val="00D118D3"/>
    <w:rsid w:val="00D11C32"/>
    <w:rsid w:val="00D12648"/>
    <w:rsid w:val="00D1289A"/>
    <w:rsid w:val="00D12C16"/>
    <w:rsid w:val="00D12D0C"/>
    <w:rsid w:val="00D13149"/>
    <w:rsid w:val="00D1327D"/>
    <w:rsid w:val="00D13A17"/>
    <w:rsid w:val="00D13A1A"/>
    <w:rsid w:val="00D140C3"/>
    <w:rsid w:val="00D142A9"/>
    <w:rsid w:val="00D14596"/>
    <w:rsid w:val="00D14CC8"/>
    <w:rsid w:val="00D15B0D"/>
    <w:rsid w:val="00D15B42"/>
    <w:rsid w:val="00D15D98"/>
    <w:rsid w:val="00D1618D"/>
    <w:rsid w:val="00D1685E"/>
    <w:rsid w:val="00D16862"/>
    <w:rsid w:val="00D16C01"/>
    <w:rsid w:val="00D17370"/>
    <w:rsid w:val="00D17427"/>
    <w:rsid w:val="00D177D9"/>
    <w:rsid w:val="00D17AE2"/>
    <w:rsid w:val="00D17C6F"/>
    <w:rsid w:val="00D17CF5"/>
    <w:rsid w:val="00D17E3E"/>
    <w:rsid w:val="00D205D5"/>
    <w:rsid w:val="00D208CC"/>
    <w:rsid w:val="00D20B4E"/>
    <w:rsid w:val="00D20CAB"/>
    <w:rsid w:val="00D20E33"/>
    <w:rsid w:val="00D212B4"/>
    <w:rsid w:val="00D21658"/>
    <w:rsid w:val="00D21843"/>
    <w:rsid w:val="00D21B37"/>
    <w:rsid w:val="00D22050"/>
    <w:rsid w:val="00D2254B"/>
    <w:rsid w:val="00D225D0"/>
    <w:rsid w:val="00D22D79"/>
    <w:rsid w:val="00D235AE"/>
    <w:rsid w:val="00D238A6"/>
    <w:rsid w:val="00D238D3"/>
    <w:rsid w:val="00D242A7"/>
    <w:rsid w:val="00D2494B"/>
    <w:rsid w:val="00D249E7"/>
    <w:rsid w:val="00D24CAE"/>
    <w:rsid w:val="00D24EDF"/>
    <w:rsid w:val="00D254CF"/>
    <w:rsid w:val="00D25E66"/>
    <w:rsid w:val="00D26AB5"/>
    <w:rsid w:val="00D26C7C"/>
    <w:rsid w:val="00D26D3A"/>
    <w:rsid w:val="00D26DBA"/>
    <w:rsid w:val="00D27078"/>
    <w:rsid w:val="00D276E9"/>
    <w:rsid w:val="00D2771E"/>
    <w:rsid w:val="00D27896"/>
    <w:rsid w:val="00D27FD7"/>
    <w:rsid w:val="00D30A21"/>
    <w:rsid w:val="00D30FAC"/>
    <w:rsid w:val="00D31819"/>
    <w:rsid w:val="00D318B9"/>
    <w:rsid w:val="00D31D27"/>
    <w:rsid w:val="00D31D5F"/>
    <w:rsid w:val="00D31E79"/>
    <w:rsid w:val="00D31F5F"/>
    <w:rsid w:val="00D32025"/>
    <w:rsid w:val="00D3261B"/>
    <w:rsid w:val="00D32A3C"/>
    <w:rsid w:val="00D32B36"/>
    <w:rsid w:val="00D32D18"/>
    <w:rsid w:val="00D331FB"/>
    <w:rsid w:val="00D33230"/>
    <w:rsid w:val="00D33714"/>
    <w:rsid w:val="00D33A1C"/>
    <w:rsid w:val="00D33AF5"/>
    <w:rsid w:val="00D33C96"/>
    <w:rsid w:val="00D347A8"/>
    <w:rsid w:val="00D34C5D"/>
    <w:rsid w:val="00D35178"/>
    <w:rsid w:val="00D3527B"/>
    <w:rsid w:val="00D3568B"/>
    <w:rsid w:val="00D356CD"/>
    <w:rsid w:val="00D35807"/>
    <w:rsid w:val="00D35AB4"/>
    <w:rsid w:val="00D35C02"/>
    <w:rsid w:val="00D35D7D"/>
    <w:rsid w:val="00D35F1E"/>
    <w:rsid w:val="00D3628B"/>
    <w:rsid w:val="00D36DEF"/>
    <w:rsid w:val="00D36F2F"/>
    <w:rsid w:val="00D376B3"/>
    <w:rsid w:val="00D376B5"/>
    <w:rsid w:val="00D37BD3"/>
    <w:rsid w:val="00D4008A"/>
    <w:rsid w:val="00D40BDC"/>
    <w:rsid w:val="00D410F9"/>
    <w:rsid w:val="00D412A8"/>
    <w:rsid w:val="00D41585"/>
    <w:rsid w:val="00D418FF"/>
    <w:rsid w:val="00D41C59"/>
    <w:rsid w:val="00D420DA"/>
    <w:rsid w:val="00D42289"/>
    <w:rsid w:val="00D428BF"/>
    <w:rsid w:val="00D42A8E"/>
    <w:rsid w:val="00D42AC7"/>
    <w:rsid w:val="00D430A5"/>
    <w:rsid w:val="00D438FB"/>
    <w:rsid w:val="00D43A70"/>
    <w:rsid w:val="00D43DB4"/>
    <w:rsid w:val="00D4418E"/>
    <w:rsid w:val="00D44224"/>
    <w:rsid w:val="00D44586"/>
    <w:rsid w:val="00D44FE3"/>
    <w:rsid w:val="00D458C6"/>
    <w:rsid w:val="00D45CC6"/>
    <w:rsid w:val="00D45CD6"/>
    <w:rsid w:val="00D45EED"/>
    <w:rsid w:val="00D46507"/>
    <w:rsid w:val="00D46656"/>
    <w:rsid w:val="00D46812"/>
    <w:rsid w:val="00D46E8D"/>
    <w:rsid w:val="00D474E3"/>
    <w:rsid w:val="00D47C6E"/>
    <w:rsid w:val="00D47E26"/>
    <w:rsid w:val="00D5063C"/>
    <w:rsid w:val="00D50845"/>
    <w:rsid w:val="00D50AD9"/>
    <w:rsid w:val="00D50B3D"/>
    <w:rsid w:val="00D50E3C"/>
    <w:rsid w:val="00D5131A"/>
    <w:rsid w:val="00D51547"/>
    <w:rsid w:val="00D51601"/>
    <w:rsid w:val="00D51824"/>
    <w:rsid w:val="00D51A7D"/>
    <w:rsid w:val="00D527EF"/>
    <w:rsid w:val="00D52EFB"/>
    <w:rsid w:val="00D53393"/>
    <w:rsid w:val="00D5339C"/>
    <w:rsid w:val="00D53664"/>
    <w:rsid w:val="00D53E2D"/>
    <w:rsid w:val="00D542AD"/>
    <w:rsid w:val="00D5485A"/>
    <w:rsid w:val="00D54A2A"/>
    <w:rsid w:val="00D5543F"/>
    <w:rsid w:val="00D561AD"/>
    <w:rsid w:val="00D561B7"/>
    <w:rsid w:val="00D56504"/>
    <w:rsid w:val="00D56714"/>
    <w:rsid w:val="00D5681C"/>
    <w:rsid w:val="00D56927"/>
    <w:rsid w:val="00D5722D"/>
    <w:rsid w:val="00D57406"/>
    <w:rsid w:val="00D57407"/>
    <w:rsid w:val="00D5752D"/>
    <w:rsid w:val="00D57860"/>
    <w:rsid w:val="00D6006C"/>
    <w:rsid w:val="00D6039D"/>
    <w:rsid w:val="00D60852"/>
    <w:rsid w:val="00D608F6"/>
    <w:rsid w:val="00D609EB"/>
    <w:rsid w:val="00D60D1C"/>
    <w:rsid w:val="00D61A81"/>
    <w:rsid w:val="00D626A9"/>
    <w:rsid w:val="00D62850"/>
    <w:rsid w:val="00D62BB2"/>
    <w:rsid w:val="00D62D5C"/>
    <w:rsid w:val="00D635B1"/>
    <w:rsid w:val="00D63A7B"/>
    <w:rsid w:val="00D63B42"/>
    <w:rsid w:val="00D63BD0"/>
    <w:rsid w:val="00D63E11"/>
    <w:rsid w:val="00D64002"/>
    <w:rsid w:val="00D64257"/>
    <w:rsid w:val="00D64CC0"/>
    <w:rsid w:val="00D64D3B"/>
    <w:rsid w:val="00D6507C"/>
    <w:rsid w:val="00D65290"/>
    <w:rsid w:val="00D6548C"/>
    <w:rsid w:val="00D658AE"/>
    <w:rsid w:val="00D65949"/>
    <w:rsid w:val="00D668AD"/>
    <w:rsid w:val="00D66917"/>
    <w:rsid w:val="00D66E1F"/>
    <w:rsid w:val="00D66E68"/>
    <w:rsid w:val="00D670DE"/>
    <w:rsid w:val="00D67466"/>
    <w:rsid w:val="00D677EE"/>
    <w:rsid w:val="00D679A5"/>
    <w:rsid w:val="00D67ABA"/>
    <w:rsid w:val="00D70874"/>
    <w:rsid w:val="00D708C6"/>
    <w:rsid w:val="00D709FF"/>
    <w:rsid w:val="00D70A75"/>
    <w:rsid w:val="00D71134"/>
    <w:rsid w:val="00D71165"/>
    <w:rsid w:val="00D71600"/>
    <w:rsid w:val="00D71639"/>
    <w:rsid w:val="00D71692"/>
    <w:rsid w:val="00D71ED4"/>
    <w:rsid w:val="00D73265"/>
    <w:rsid w:val="00D7374E"/>
    <w:rsid w:val="00D73764"/>
    <w:rsid w:val="00D7395C"/>
    <w:rsid w:val="00D73A86"/>
    <w:rsid w:val="00D74441"/>
    <w:rsid w:val="00D74466"/>
    <w:rsid w:val="00D7533A"/>
    <w:rsid w:val="00D75568"/>
    <w:rsid w:val="00D75BF5"/>
    <w:rsid w:val="00D75D19"/>
    <w:rsid w:val="00D75DB3"/>
    <w:rsid w:val="00D760D0"/>
    <w:rsid w:val="00D768BC"/>
    <w:rsid w:val="00D76973"/>
    <w:rsid w:val="00D76EC8"/>
    <w:rsid w:val="00D771D7"/>
    <w:rsid w:val="00D77599"/>
    <w:rsid w:val="00D778EB"/>
    <w:rsid w:val="00D77AF0"/>
    <w:rsid w:val="00D77E2E"/>
    <w:rsid w:val="00D80416"/>
    <w:rsid w:val="00D80463"/>
    <w:rsid w:val="00D80464"/>
    <w:rsid w:val="00D808F1"/>
    <w:rsid w:val="00D80B2D"/>
    <w:rsid w:val="00D80EE5"/>
    <w:rsid w:val="00D811DA"/>
    <w:rsid w:val="00D81373"/>
    <w:rsid w:val="00D81A31"/>
    <w:rsid w:val="00D81D3E"/>
    <w:rsid w:val="00D81DFC"/>
    <w:rsid w:val="00D820EC"/>
    <w:rsid w:val="00D82B0F"/>
    <w:rsid w:val="00D834B7"/>
    <w:rsid w:val="00D849A0"/>
    <w:rsid w:val="00D84ACA"/>
    <w:rsid w:val="00D8514E"/>
    <w:rsid w:val="00D85B51"/>
    <w:rsid w:val="00D85C26"/>
    <w:rsid w:val="00D85DDA"/>
    <w:rsid w:val="00D86713"/>
    <w:rsid w:val="00D86E8B"/>
    <w:rsid w:val="00D86F58"/>
    <w:rsid w:val="00D86F8B"/>
    <w:rsid w:val="00D87188"/>
    <w:rsid w:val="00D87898"/>
    <w:rsid w:val="00D87DC5"/>
    <w:rsid w:val="00D87DDF"/>
    <w:rsid w:val="00D87F5E"/>
    <w:rsid w:val="00D9033B"/>
    <w:rsid w:val="00D90835"/>
    <w:rsid w:val="00D90875"/>
    <w:rsid w:val="00D90AC8"/>
    <w:rsid w:val="00D90D52"/>
    <w:rsid w:val="00D90FF7"/>
    <w:rsid w:val="00D91326"/>
    <w:rsid w:val="00D91C19"/>
    <w:rsid w:val="00D92384"/>
    <w:rsid w:val="00D924F6"/>
    <w:rsid w:val="00D92A0E"/>
    <w:rsid w:val="00D92CFB"/>
    <w:rsid w:val="00D9313D"/>
    <w:rsid w:val="00D931F0"/>
    <w:rsid w:val="00D93647"/>
    <w:rsid w:val="00D93652"/>
    <w:rsid w:val="00D936B7"/>
    <w:rsid w:val="00D93846"/>
    <w:rsid w:val="00D93989"/>
    <w:rsid w:val="00D93C75"/>
    <w:rsid w:val="00D94061"/>
    <w:rsid w:val="00D940F3"/>
    <w:rsid w:val="00D942C9"/>
    <w:rsid w:val="00D943A4"/>
    <w:rsid w:val="00D944F8"/>
    <w:rsid w:val="00D945A1"/>
    <w:rsid w:val="00D9472E"/>
    <w:rsid w:val="00D94A0F"/>
    <w:rsid w:val="00D94B27"/>
    <w:rsid w:val="00D954D6"/>
    <w:rsid w:val="00D954EC"/>
    <w:rsid w:val="00D9579D"/>
    <w:rsid w:val="00D95D9D"/>
    <w:rsid w:val="00D96052"/>
    <w:rsid w:val="00D962C5"/>
    <w:rsid w:val="00D9634E"/>
    <w:rsid w:val="00D96687"/>
    <w:rsid w:val="00D96AD1"/>
    <w:rsid w:val="00D96D14"/>
    <w:rsid w:val="00D971EA"/>
    <w:rsid w:val="00D97354"/>
    <w:rsid w:val="00D97AD8"/>
    <w:rsid w:val="00DA0193"/>
    <w:rsid w:val="00DA028F"/>
    <w:rsid w:val="00DA056C"/>
    <w:rsid w:val="00DA0A32"/>
    <w:rsid w:val="00DA0B01"/>
    <w:rsid w:val="00DA0FD2"/>
    <w:rsid w:val="00DA11F7"/>
    <w:rsid w:val="00DA12BE"/>
    <w:rsid w:val="00DA1BCA"/>
    <w:rsid w:val="00DA1DFB"/>
    <w:rsid w:val="00DA23A5"/>
    <w:rsid w:val="00DA2410"/>
    <w:rsid w:val="00DA251A"/>
    <w:rsid w:val="00DA2522"/>
    <w:rsid w:val="00DA2805"/>
    <w:rsid w:val="00DA2B1C"/>
    <w:rsid w:val="00DA2DD6"/>
    <w:rsid w:val="00DA342D"/>
    <w:rsid w:val="00DA3613"/>
    <w:rsid w:val="00DA3768"/>
    <w:rsid w:val="00DA3B8B"/>
    <w:rsid w:val="00DA3C76"/>
    <w:rsid w:val="00DA3EDB"/>
    <w:rsid w:val="00DA42A3"/>
    <w:rsid w:val="00DA4343"/>
    <w:rsid w:val="00DA4577"/>
    <w:rsid w:val="00DA4663"/>
    <w:rsid w:val="00DA495F"/>
    <w:rsid w:val="00DA4A77"/>
    <w:rsid w:val="00DA4AA8"/>
    <w:rsid w:val="00DA4B1C"/>
    <w:rsid w:val="00DA509E"/>
    <w:rsid w:val="00DA58C6"/>
    <w:rsid w:val="00DA63A3"/>
    <w:rsid w:val="00DA6879"/>
    <w:rsid w:val="00DA68AA"/>
    <w:rsid w:val="00DA6CD2"/>
    <w:rsid w:val="00DB0308"/>
    <w:rsid w:val="00DB0464"/>
    <w:rsid w:val="00DB0A19"/>
    <w:rsid w:val="00DB0AFD"/>
    <w:rsid w:val="00DB0E05"/>
    <w:rsid w:val="00DB18FA"/>
    <w:rsid w:val="00DB1F75"/>
    <w:rsid w:val="00DB21CE"/>
    <w:rsid w:val="00DB2AE4"/>
    <w:rsid w:val="00DB2DFC"/>
    <w:rsid w:val="00DB2FFC"/>
    <w:rsid w:val="00DB31A8"/>
    <w:rsid w:val="00DB3C3C"/>
    <w:rsid w:val="00DB3EED"/>
    <w:rsid w:val="00DB3F8D"/>
    <w:rsid w:val="00DB3FC5"/>
    <w:rsid w:val="00DB44B4"/>
    <w:rsid w:val="00DB4605"/>
    <w:rsid w:val="00DB46FE"/>
    <w:rsid w:val="00DB4BFF"/>
    <w:rsid w:val="00DB5306"/>
    <w:rsid w:val="00DB58B1"/>
    <w:rsid w:val="00DB58C7"/>
    <w:rsid w:val="00DB592E"/>
    <w:rsid w:val="00DB60C8"/>
    <w:rsid w:val="00DB63E8"/>
    <w:rsid w:val="00DB6828"/>
    <w:rsid w:val="00DB6BDA"/>
    <w:rsid w:val="00DB6EB2"/>
    <w:rsid w:val="00DB7070"/>
    <w:rsid w:val="00DB727D"/>
    <w:rsid w:val="00DB7358"/>
    <w:rsid w:val="00DB7B23"/>
    <w:rsid w:val="00DC00C3"/>
    <w:rsid w:val="00DC06CA"/>
    <w:rsid w:val="00DC0B7D"/>
    <w:rsid w:val="00DC1482"/>
    <w:rsid w:val="00DC1604"/>
    <w:rsid w:val="00DC180F"/>
    <w:rsid w:val="00DC1922"/>
    <w:rsid w:val="00DC1B5D"/>
    <w:rsid w:val="00DC1BE8"/>
    <w:rsid w:val="00DC1C19"/>
    <w:rsid w:val="00DC25E1"/>
    <w:rsid w:val="00DC29D7"/>
    <w:rsid w:val="00DC2B88"/>
    <w:rsid w:val="00DC2D81"/>
    <w:rsid w:val="00DC33FA"/>
    <w:rsid w:val="00DC384E"/>
    <w:rsid w:val="00DC3B28"/>
    <w:rsid w:val="00DC3BF4"/>
    <w:rsid w:val="00DC409E"/>
    <w:rsid w:val="00DC4480"/>
    <w:rsid w:val="00DC4A73"/>
    <w:rsid w:val="00DC4D9B"/>
    <w:rsid w:val="00DC54D1"/>
    <w:rsid w:val="00DC5934"/>
    <w:rsid w:val="00DC5FDE"/>
    <w:rsid w:val="00DC6168"/>
    <w:rsid w:val="00DC6840"/>
    <w:rsid w:val="00DC6921"/>
    <w:rsid w:val="00DC6C13"/>
    <w:rsid w:val="00DC71B7"/>
    <w:rsid w:val="00DC7340"/>
    <w:rsid w:val="00DC7B3A"/>
    <w:rsid w:val="00DC7D93"/>
    <w:rsid w:val="00DC7EC4"/>
    <w:rsid w:val="00DC7EE4"/>
    <w:rsid w:val="00DD016A"/>
    <w:rsid w:val="00DD031A"/>
    <w:rsid w:val="00DD076A"/>
    <w:rsid w:val="00DD15CD"/>
    <w:rsid w:val="00DD187E"/>
    <w:rsid w:val="00DD1B60"/>
    <w:rsid w:val="00DD1BFB"/>
    <w:rsid w:val="00DD1CEB"/>
    <w:rsid w:val="00DD1E0A"/>
    <w:rsid w:val="00DD2703"/>
    <w:rsid w:val="00DD2ADF"/>
    <w:rsid w:val="00DD2B6E"/>
    <w:rsid w:val="00DD2C82"/>
    <w:rsid w:val="00DD351D"/>
    <w:rsid w:val="00DD3772"/>
    <w:rsid w:val="00DD3807"/>
    <w:rsid w:val="00DD3BAA"/>
    <w:rsid w:val="00DD3F0F"/>
    <w:rsid w:val="00DD4261"/>
    <w:rsid w:val="00DD455B"/>
    <w:rsid w:val="00DD5015"/>
    <w:rsid w:val="00DD5045"/>
    <w:rsid w:val="00DD520E"/>
    <w:rsid w:val="00DD59FF"/>
    <w:rsid w:val="00DD606F"/>
    <w:rsid w:val="00DD6472"/>
    <w:rsid w:val="00DD72DF"/>
    <w:rsid w:val="00DD75DC"/>
    <w:rsid w:val="00DE0347"/>
    <w:rsid w:val="00DE03EB"/>
    <w:rsid w:val="00DE05F4"/>
    <w:rsid w:val="00DE15B7"/>
    <w:rsid w:val="00DE17EC"/>
    <w:rsid w:val="00DE189B"/>
    <w:rsid w:val="00DE213A"/>
    <w:rsid w:val="00DE234A"/>
    <w:rsid w:val="00DE2668"/>
    <w:rsid w:val="00DE2702"/>
    <w:rsid w:val="00DE2D00"/>
    <w:rsid w:val="00DE2F65"/>
    <w:rsid w:val="00DE31A6"/>
    <w:rsid w:val="00DE323E"/>
    <w:rsid w:val="00DE339A"/>
    <w:rsid w:val="00DE356E"/>
    <w:rsid w:val="00DE36BA"/>
    <w:rsid w:val="00DE396E"/>
    <w:rsid w:val="00DE4036"/>
    <w:rsid w:val="00DE459A"/>
    <w:rsid w:val="00DE4CF7"/>
    <w:rsid w:val="00DE4D16"/>
    <w:rsid w:val="00DE4DC1"/>
    <w:rsid w:val="00DE4FD8"/>
    <w:rsid w:val="00DE504B"/>
    <w:rsid w:val="00DE5697"/>
    <w:rsid w:val="00DE5765"/>
    <w:rsid w:val="00DE5AC1"/>
    <w:rsid w:val="00DE5B3F"/>
    <w:rsid w:val="00DE67AF"/>
    <w:rsid w:val="00DE6DF8"/>
    <w:rsid w:val="00DE71D2"/>
    <w:rsid w:val="00DE73BD"/>
    <w:rsid w:val="00DE7582"/>
    <w:rsid w:val="00DF0329"/>
    <w:rsid w:val="00DF0645"/>
    <w:rsid w:val="00DF0D04"/>
    <w:rsid w:val="00DF101A"/>
    <w:rsid w:val="00DF101F"/>
    <w:rsid w:val="00DF1151"/>
    <w:rsid w:val="00DF13BC"/>
    <w:rsid w:val="00DF155F"/>
    <w:rsid w:val="00DF1C95"/>
    <w:rsid w:val="00DF1CA1"/>
    <w:rsid w:val="00DF1E23"/>
    <w:rsid w:val="00DF21FD"/>
    <w:rsid w:val="00DF2654"/>
    <w:rsid w:val="00DF2D2A"/>
    <w:rsid w:val="00DF341C"/>
    <w:rsid w:val="00DF3A12"/>
    <w:rsid w:val="00DF48DC"/>
    <w:rsid w:val="00DF4B33"/>
    <w:rsid w:val="00DF510A"/>
    <w:rsid w:val="00DF5581"/>
    <w:rsid w:val="00DF58D1"/>
    <w:rsid w:val="00DF5A91"/>
    <w:rsid w:val="00DF5E7C"/>
    <w:rsid w:val="00DF5EC0"/>
    <w:rsid w:val="00DF6036"/>
    <w:rsid w:val="00DF6355"/>
    <w:rsid w:val="00DF65C3"/>
    <w:rsid w:val="00DF6A9E"/>
    <w:rsid w:val="00DF6C47"/>
    <w:rsid w:val="00DF7136"/>
    <w:rsid w:val="00DF71B0"/>
    <w:rsid w:val="00DF79AD"/>
    <w:rsid w:val="00E0015F"/>
    <w:rsid w:val="00E00349"/>
    <w:rsid w:val="00E0084A"/>
    <w:rsid w:val="00E00B5A"/>
    <w:rsid w:val="00E01A1F"/>
    <w:rsid w:val="00E01D5D"/>
    <w:rsid w:val="00E01EF3"/>
    <w:rsid w:val="00E0200F"/>
    <w:rsid w:val="00E0207A"/>
    <w:rsid w:val="00E0208F"/>
    <w:rsid w:val="00E02175"/>
    <w:rsid w:val="00E02D97"/>
    <w:rsid w:val="00E02EFC"/>
    <w:rsid w:val="00E03683"/>
    <w:rsid w:val="00E03A9D"/>
    <w:rsid w:val="00E03ABB"/>
    <w:rsid w:val="00E03C03"/>
    <w:rsid w:val="00E03DE3"/>
    <w:rsid w:val="00E03E8C"/>
    <w:rsid w:val="00E03F43"/>
    <w:rsid w:val="00E04132"/>
    <w:rsid w:val="00E04355"/>
    <w:rsid w:val="00E04501"/>
    <w:rsid w:val="00E047CF"/>
    <w:rsid w:val="00E04A55"/>
    <w:rsid w:val="00E04CC3"/>
    <w:rsid w:val="00E05961"/>
    <w:rsid w:val="00E05EB5"/>
    <w:rsid w:val="00E05FB7"/>
    <w:rsid w:val="00E066CA"/>
    <w:rsid w:val="00E06863"/>
    <w:rsid w:val="00E06A3B"/>
    <w:rsid w:val="00E0711E"/>
    <w:rsid w:val="00E071F8"/>
    <w:rsid w:val="00E077FF"/>
    <w:rsid w:val="00E078FA"/>
    <w:rsid w:val="00E07A42"/>
    <w:rsid w:val="00E07AE3"/>
    <w:rsid w:val="00E102AE"/>
    <w:rsid w:val="00E10AB3"/>
    <w:rsid w:val="00E1114B"/>
    <w:rsid w:val="00E116D1"/>
    <w:rsid w:val="00E11AF6"/>
    <w:rsid w:val="00E11B06"/>
    <w:rsid w:val="00E11BCE"/>
    <w:rsid w:val="00E11D30"/>
    <w:rsid w:val="00E11FAE"/>
    <w:rsid w:val="00E1238A"/>
    <w:rsid w:val="00E12706"/>
    <w:rsid w:val="00E12805"/>
    <w:rsid w:val="00E129D2"/>
    <w:rsid w:val="00E12DBA"/>
    <w:rsid w:val="00E13036"/>
    <w:rsid w:val="00E133A9"/>
    <w:rsid w:val="00E1348F"/>
    <w:rsid w:val="00E13A47"/>
    <w:rsid w:val="00E13AAE"/>
    <w:rsid w:val="00E13D20"/>
    <w:rsid w:val="00E14276"/>
    <w:rsid w:val="00E142ED"/>
    <w:rsid w:val="00E15330"/>
    <w:rsid w:val="00E15858"/>
    <w:rsid w:val="00E158A4"/>
    <w:rsid w:val="00E15A1F"/>
    <w:rsid w:val="00E15A78"/>
    <w:rsid w:val="00E1602F"/>
    <w:rsid w:val="00E16056"/>
    <w:rsid w:val="00E1643E"/>
    <w:rsid w:val="00E16BF8"/>
    <w:rsid w:val="00E17559"/>
    <w:rsid w:val="00E1767D"/>
    <w:rsid w:val="00E178F2"/>
    <w:rsid w:val="00E17AC7"/>
    <w:rsid w:val="00E17BD1"/>
    <w:rsid w:val="00E17D8E"/>
    <w:rsid w:val="00E206EA"/>
    <w:rsid w:val="00E20EF5"/>
    <w:rsid w:val="00E21925"/>
    <w:rsid w:val="00E2196C"/>
    <w:rsid w:val="00E21E77"/>
    <w:rsid w:val="00E22663"/>
    <w:rsid w:val="00E229DB"/>
    <w:rsid w:val="00E22AC8"/>
    <w:rsid w:val="00E23260"/>
    <w:rsid w:val="00E23354"/>
    <w:rsid w:val="00E23C1C"/>
    <w:rsid w:val="00E23CD9"/>
    <w:rsid w:val="00E24347"/>
    <w:rsid w:val="00E243F4"/>
    <w:rsid w:val="00E24614"/>
    <w:rsid w:val="00E2487F"/>
    <w:rsid w:val="00E24AB6"/>
    <w:rsid w:val="00E24E4D"/>
    <w:rsid w:val="00E252A1"/>
    <w:rsid w:val="00E25334"/>
    <w:rsid w:val="00E2587C"/>
    <w:rsid w:val="00E259C9"/>
    <w:rsid w:val="00E26127"/>
    <w:rsid w:val="00E26675"/>
    <w:rsid w:val="00E26790"/>
    <w:rsid w:val="00E2698C"/>
    <w:rsid w:val="00E2748A"/>
    <w:rsid w:val="00E279B5"/>
    <w:rsid w:val="00E27A4F"/>
    <w:rsid w:val="00E27A99"/>
    <w:rsid w:val="00E27E2E"/>
    <w:rsid w:val="00E308B3"/>
    <w:rsid w:val="00E30E3E"/>
    <w:rsid w:val="00E315A9"/>
    <w:rsid w:val="00E316D2"/>
    <w:rsid w:val="00E31D4B"/>
    <w:rsid w:val="00E32BE9"/>
    <w:rsid w:val="00E32DC2"/>
    <w:rsid w:val="00E32DF4"/>
    <w:rsid w:val="00E339C1"/>
    <w:rsid w:val="00E33D95"/>
    <w:rsid w:val="00E3411F"/>
    <w:rsid w:val="00E3425E"/>
    <w:rsid w:val="00E342C4"/>
    <w:rsid w:val="00E34593"/>
    <w:rsid w:val="00E34880"/>
    <w:rsid w:val="00E34D08"/>
    <w:rsid w:val="00E34ECF"/>
    <w:rsid w:val="00E350DE"/>
    <w:rsid w:val="00E3520F"/>
    <w:rsid w:val="00E358E2"/>
    <w:rsid w:val="00E3597B"/>
    <w:rsid w:val="00E35A87"/>
    <w:rsid w:val="00E35F2F"/>
    <w:rsid w:val="00E3626A"/>
    <w:rsid w:val="00E36844"/>
    <w:rsid w:val="00E3689B"/>
    <w:rsid w:val="00E370A1"/>
    <w:rsid w:val="00E37323"/>
    <w:rsid w:val="00E37665"/>
    <w:rsid w:val="00E37829"/>
    <w:rsid w:val="00E37AB5"/>
    <w:rsid w:val="00E37B03"/>
    <w:rsid w:val="00E37E0E"/>
    <w:rsid w:val="00E401FF"/>
    <w:rsid w:val="00E40261"/>
    <w:rsid w:val="00E40452"/>
    <w:rsid w:val="00E40578"/>
    <w:rsid w:val="00E40C06"/>
    <w:rsid w:val="00E416B6"/>
    <w:rsid w:val="00E41746"/>
    <w:rsid w:val="00E41B59"/>
    <w:rsid w:val="00E41BA2"/>
    <w:rsid w:val="00E41D09"/>
    <w:rsid w:val="00E41D45"/>
    <w:rsid w:val="00E42474"/>
    <w:rsid w:val="00E42676"/>
    <w:rsid w:val="00E42790"/>
    <w:rsid w:val="00E42816"/>
    <w:rsid w:val="00E42A32"/>
    <w:rsid w:val="00E42AD0"/>
    <w:rsid w:val="00E42DF3"/>
    <w:rsid w:val="00E42EFC"/>
    <w:rsid w:val="00E43183"/>
    <w:rsid w:val="00E43305"/>
    <w:rsid w:val="00E43484"/>
    <w:rsid w:val="00E43A36"/>
    <w:rsid w:val="00E43E5E"/>
    <w:rsid w:val="00E43F3B"/>
    <w:rsid w:val="00E45234"/>
    <w:rsid w:val="00E45242"/>
    <w:rsid w:val="00E45863"/>
    <w:rsid w:val="00E4595D"/>
    <w:rsid w:val="00E45AED"/>
    <w:rsid w:val="00E45B15"/>
    <w:rsid w:val="00E46740"/>
    <w:rsid w:val="00E467B6"/>
    <w:rsid w:val="00E4685E"/>
    <w:rsid w:val="00E47038"/>
    <w:rsid w:val="00E47083"/>
    <w:rsid w:val="00E47A1D"/>
    <w:rsid w:val="00E47AB2"/>
    <w:rsid w:val="00E47B27"/>
    <w:rsid w:val="00E47B65"/>
    <w:rsid w:val="00E47DB5"/>
    <w:rsid w:val="00E47E53"/>
    <w:rsid w:val="00E47FF3"/>
    <w:rsid w:val="00E5003F"/>
    <w:rsid w:val="00E50402"/>
    <w:rsid w:val="00E505F6"/>
    <w:rsid w:val="00E50633"/>
    <w:rsid w:val="00E50718"/>
    <w:rsid w:val="00E507BB"/>
    <w:rsid w:val="00E50BAA"/>
    <w:rsid w:val="00E50CCD"/>
    <w:rsid w:val="00E50D9A"/>
    <w:rsid w:val="00E50E88"/>
    <w:rsid w:val="00E51060"/>
    <w:rsid w:val="00E5189F"/>
    <w:rsid w:val="00E51C39"/>
    <w:rsid w:val="00E52762"/>
    <w:rsid w:val="00E559E9"/>
    <w:rsid w:val="00E55B2B"/>
    <w:rsid w:val="00E55B41"/>
    <w:rsid w:val="00E56452"/>
    <w:rsid w:val="00E567E6"/>
    <w:rsid w:val="00E5746C"/>
    <w:rsid w:val="00E575CD"/>
    <w:rsid w:val="00E57E54"/>
    <w:rsid w:val="00E60061"/>
    <w:rsid w:val="00E60282"/>
    <w:rsid w:val="00E6054F"/>
    <w:rsid w:val="00E60A7E"/>
    <w:rsid w:val="00E60D1D"/>
    <w:rsid w:val="00E60DCD"/>
    <w:rsid w:val="00E6109C"/>
    <w:rsid w:val="00E610E9"/>
    <w:rsid w:val="00E61333"/>
    <w:rsid w:val="00E61344"/>
    <w:rsid w:val="00E61852"/>
    <w:rsid w:val="00E6190A"/>
    <w:rsid w:val="00E6291A"/>
    <w:rsid w:val="00E629E8"/>
    <w:rsid w:val="00E62B46"/>
    <w:rsid w:val="00E62EA6"/>
    <w:rsid w:val="00E6358D"/>
    <w:rsid w:val="00E6362F"/>
    <w:rsid w:val="00E6397B"/>
    <w:rsid w:val="00E63A59"/>
    <w:rsid w:val="00E64508"/>
    <w:rsid w:val="00E646E1"/>
    <w:rsid w:val="00E65475"/>
    <w:rsid w:val="00E65A52"/>
    <w:rsid w:val="00E6622C"/>
    <w:rsid w:val="00E6633C"/>
    <w:rsid w:val="00E66486"/>
    <w:rsid w:val="00E665EC"/>
    <w:rsid w:val="00E66774"/>
    <w:rsid w:val="00E66821"/>
    <w:rsid w:val="00E66A10"/>
    <w:rsid w:val="00E66C04"/>
    <w:rsid w:val="00E66F99"/>
    <w:rsid w:val="00E6708A"/>
    <w:rsid w:val="00E671A9"/>
    <w:rsid w:val="00E67342"/>
    <w:rsid w:val="00E67361"/>
    <w:rsid w:val="00E6793D"/>
    <w:rsid w:val="00E67979"/>
    <w:rsid w:val="00E67F63"/>
    <w:rsid w:val="00E703EB"/>
    <w:rsid w:val="00E70627"/>
    <w:rsid w:val="00E7092C"/>
    <w:rsid w:val="00E70E89"/>
    <w:rsid w:val="00E71045"/>
    <w:rsid w:val="00E7109B"/>
    <w:rsid w:val="00E7149F"/>
    <w:rsid w:val="00E714B9"/>
    <w:rsid w:val="00E7239C"/>
    <w:rsid w:val="00E7247F"/>
    <w:rsid w:val="00E725E1"/>
    <w:rsid w:val="00E73176"/>
    <w:rsid w:val="00E731AE"/>
    <w:rsid w:val="00E732F0"/>
    <w:rsid w:val="00E73A53"/>
    <w:rsid w:val="00E73FA1"/>
    <w:rsid w:val="00E73FB0"/>
    <w:rsid w:val="00E7413F"/>
    <w:rsid w:val="00E74308"/>
    <w:rsid w:val="00E74365"/>
    <w:rsid w:val="00E746C3"/>
    <w:rsid w:val="00E74A1D"/>
    <w:rsid w:val="00E74B65"/>
    <w:rsid w:val="00E752F6"/>
    <w:rsid w:val="00E753D7"/>
    <w:rsid w:val="00E75531"/>
    <w:rsid w:val="00E75627"/>
    <w:rsid w:val="00E75766"/>
    <w:rsid w:val="00E75F08"/>
    <w:rsid w:val="00E76099"/>
    <w:rsid w:val="00E7612F"/>
    <w:rsid w:val="00E764DD"/>
    <w:rsid w:val="00E7672B"/>
    <w:rsid w:val="00E76A23"/>
    <w:rsid w:val="00E76D12"/>
    <w:rsid w:val="00E76E1C"/>
    <w:rsid w:val="00E770A1"/>
    <w:rsid w:val="00E77623"/>
    <w:rsid w:val="00E778DC"/>
    <w:rsid w:val="00E77E8B"/>
    <w:rsid w:val="00E80210"/>
    <w:rsid w:val="00E80533"/>
    <w:rsid w:val="00E80534"/>
    <w:rsid w:val="00E80CD5"/>
    <w:rsid w:val="00E80E9A"/>
    <w:rsid w:val="00E8111E"/>
    <w:rsid w:val="00E814C2"/>
    <w:rsid w:val="00E816C9"/>
    <w:rsid w:val="00E81CDC"/>
    <w:rsid w:val="00E8226B"/>
    <w:rsid w:val="00E82954"/>
    <w:rsid w:val="00E82E6B"/>
    <w:rsid w:val="00E831D8"/>
    <w:rsid w:val="00E8321D"/>
    <w:rsid w:val="00E832AE"/>
    <w:rsid w:val="00E8339A"/>
    <w:rsid w:val="00E8359B"/>
    <w:rsid w:val="00E836E8"/>
    <w:rsid w:val="00E838A9"/>
    <w:rsid w:val="00E83C77"/>
    <w:rsid w:val="00E84255"/>
    <w:rsid w:val="00E8430D"/>
    <w:rsid w:val="00E8495C"/>
    <w:rsid w:val="00E84E26"/>
    <w:rsid w:val="00E84EF1"/>
    <w:rsid w:val="00E85029"/>
    <w:rsid w:val="00E85A84"/>
    <w:rsid w:val="00E86717"/>
    <w:rsid w:val="00E869DB"/>
    <w:rsid w:val="00E86B35"/>
    <w:rsid w:val="00E8718F"/>
    <w:rsid w:val="00E874F3"/>
    <w:rsid w:val="00E87BA1"/>
    <w:rsid w:val="00E9043E"/>
    <w:rsid w:val="00E9066F"/>
    <w:rsid w:val="00E908F9"/>
    <w:rsid w:val="00E91008"/>
    <w:rsid w:val="00E911B6"/>
    <w:rsid w:val="00E9130B"/>
    <w:rsid w:val="00E9150A"/>
    <w:rsid w:val="00E91695"/>
    <w:rsid w:val="00E91767"/>
    <w:rsid w:val="00E91D57"/>
    <w:rsid w:val="00E91D75"/>
    <w:rsid w:val="00E91FE0"/>
    <w:rsid w:val="00E92314"/>
    <w:rsid w:val="00E9260B"/>
    <w:rsid w:val="00E92627"/>
    <w:rsid w:val="00E9299C"/>
    <w:rsid w:val="00E92AE4"/>
    <w:rsid w:val="00E92E09"/>
    <w:rsid w:val="00E931C4"/>
    <w:rsid w:val="00E93207"/>
    <w:rsid w:val="00E932CB"/>
    <w:rsid w:val="00E9374C"/>
    <w:rsid w:val="00E940F6"/>
    <w:rsid w:val="00E9433D"/>
    <w:rsid w:val="00E943BF"/>
    <w:rsid w:val="00E94E21"/>
    <w:rsid w:val="00E94E31"/>
    <w:rsid w:val="00E95025"/>
    <w:rsid w:val="00E952EE"/>
    <w:rsid w:val="00E95653"/>
    <w:rsid w:val="00E956CE"/>
    <w:rsid w:val="00E95A14"/>
    <w:rsid w:val="00E95D07"/>
    <w:rsid w:val="00E95DCB"/>
    <w:rsid w:val="00E966EE"/>
    <w:rsid w:val="00E96972"/>
    <w:rsid w:val="00E969FD"/>
    <w:rsid w:val="00E96A72"/>
    <w:rsid w:val="00E96F6E"/>
    <w:rsid w:val="00E96FB4"/>
    <w:rsid w:val="00E97578"/>
    <w:rsid w:val="00EA03E5"/>
    <w:rsid w:val="00EA06FA"/>
    <w:rsid w:val="00EA0A85"/>
    <w:rsid w:val="00EA0BD9"/>
    <w:rsid w:val="00EA0C18"/>
    <w:rsid w:val="00EA12B3"/>
    <w:rsid w:val="00EA183E"/>
    <w:rsid w:val="00EA1EFA"/>
    <w:rsid w:val="00EA250E"/>
    <w:rsid w:val="00EA2A90"/>
    <w:rsid w:val="00EA2B67"/>
    <w:rsid w:val="00EA2BBB"/>
    <w:rsid w:val="00EA2C91"/>
    <w:rsid w:val="00EA30E9"/>
    <w:rsid w:val="00EA3D3E"/>
    <w:rsid w:val="00EA44E0"/>
    <w:rsid w:val="00EA4E53"/>
    <w:rsid w:val="00EA4FD5"/>
    <w:rsid w:val="00EA52E4"/>
    <w:rsid w:val="00EA54E3"/>
    <w:rsid w:val="00EA57A8"/>
    <w:rsid w:val="00EA58EA"/>
    <w:rsid w:val="00EA5B8D"/>
    <w:rsid w:val="00EA6591"/>
    <w:rsid w:val="00EA6EC0"/>
    <w:rsid w:val="00EA766D"/>
    <w:rsid w:val="00EA784A"/>
    <w:rsid w:val="00EA7D8F"/>
    <w:rsid w:val="00EA7E5F"/>
    <w:rsid w:val="00EB088E"/>
    <w:rsid w:val="00EB11E1"/>
    <w:rsid w:val="00EB1631"/>
    <w:rsid w:val="00EB23EE"/>
    <w:rsid w:val="00EB24C4"/>
    <w:rsid w:val="00EB2904"/>
    <w:rsid w:val="00EB2CC8"/>
    <w:rsid w:val="00EB2F07"/>
    <w:rsid w:val="00EB2F0C"/>
    <w:rsid w:val="00EB356E"/>
    <w:rsid w:val="00EB3FD2"/>
    <w:rsid w:val="00EB4216"/>
    <w:rsid w:val="00EB470A"/>
    <w:rsid w:val="00EB4CAC"/>
    <w:rsid w:val="00EB4F70"/>
    <w:rsid w:val="00EB4F82"/>
    <w:rsid w:val="00EB5173"/>
    <w:rsid w:val="00EB6518"/>
    <w:rsid w:val="00EB6597"/>
    <w:rsid w:val="00EB687C"/>
    <w:rsid w:val="00EB68F6"/>
    <w:rsid w:val="00EB6BDA"/>
    <w:rsid w:val="00EB6E74"/>
    <w:rsid w:val="00EB70FF"/>
    <w:rsid w:val="00EB744A"/>
    <w:rsid w:val="00EB79A9"/>
    <w:rsid w:val="00EB7A8E"/>
    <w:rsid w:val="00EB7ABB"/>
    <w:rsid w:val="00EB7D7D"/>
    <w:rsid w:val="00EB7DDC"/>
    <w:rsid w:val="00EC05C8"/>
    <w:rsid w:val="00EC0602"/>
    <w:rsid w:val="00EC07D2"/>
    <w:rsid w:val="00EC09BA"/>
    <w:rsid w:val="00EC0B71"/>
    <w:rsid w:val="00EC12BB"/>
    <w:rsid w:val="00EC13FA"/>
    <w:rsid w:val="00EC1892"/>
    <w:rsid w:val="00EC18B5"/>
    <w:rsid w:val="00EC1BA7"/>
    <w:rsid w:val="00EC2160"/>
    <w:rsid w:val="00EC2C0A"/>
    <w:rsid w:val="00EC3092"/>
    <w:rsid w:val="00EC3381"/>
    <w:rsid w:val="00EC3444"/>
    <w:rsid w:val="00EC346E"/>
    <w:rsid w:val="00EC3581"/>
    <w:rsid w:val="00EC3928"/>
    <w:rsid w:val="00EC3958"/>
    <w:rsid w:val="00EC39ED"/>
    <w:rsid w:val="00EC3E66"/>
    <w:rsid w:val="00EC4883"/>
    <w:rsid w:val="00EC4B40"/>
    <w:rsid w:val="00EC4C0A"/>
    <w:rsid w:val="00EC4D8A"/>
    <w:rsid w:val="00EC4D8B"/>
    <w:rsid w:val="00EC4F2C"/>
    <w:rsid w:val="00EC5056"/>
    <w:rsid w:val="00EC5581"/>
    <w:rsid w:val="00EC624F"/>
    <w:rsid w:val="00EC6383"/>
    <w:rsid w:val="00EC6945"/>
    <w:rsid w:val="00EC6D3E"/>
    <w:rsid w:val="00EC6EFD"/>
    <w:rsid w:val="00EC718B"/>
    <w:rsid w:val="00EC726E"/>
    <w:rsid w:val="00EC7B65"/>
    <w:rsid w:val="00EC7C6F"/>
    <w:rsid w:val="00ED0358"/>
    <w:rsid w:val="00ED0465"/>
    <w:rsid w:val="00ED0563"/>
    <w:rsid w:val="00ED0C40"/>
    <w:rsid w:val="00ED0C64"/>
    <w:rsid w:val="00ED0C7B"/>
    <w:rsid w:val="00ED0EBF"/>
    <w:rsid w:val="00ED1431"/>
    <w:rsid w:val="00ED149F"/>
    <w:rsid w:val="00ED18AB"/>
    <w:rsid w:val="00ED1F9A"/>
    <w:rsid w:val="00ED25C1"/>
    <w:rsid w:val="00ED26DE"/>
    <w:rsid w:val="00ED28DB"/>
    <w:rsid w:val="00ED2AE6"/>
    <w:rsid w:val="00ED2BD5"/>
    <w:rsid w:val="00ED2DDE"/>
    <w:rsid w:val="00ED308F"/>
    <w:rsid w:val="00ED3459"/>
    <w:rsid w:val="00ED3AEC"/>
    <w:rsid w:val="00ED3B64"/>
    <w:rsid w:val="00ED3E4C"/>
    <w:rsid w:val="00ED41FF"/>
    <w:rsid w:val="00ED4FD4"/>
    <w:rsid w:val="00ED5258"/>
    <w:rsid w:val="00ED57D1"/>
    <w:rsid w:val="00ED5B41"/>
    <w:rsid w:val="00ED6551"/>
    <w:rsid w:val="00ED6867"/>
    <w:rsid w:val="00ED6D7B"/>
    <w:rsid w:val="00ED7188"/>
    <w:rsid w:val="00ED7236"/>
    <w:rsid w:val="00ED782F"/>
    <w:rsid w:val="00ED7C26"/>
    <w:rsid w:val="00ED7EB0"/>
    <w:rsid w:val="00EE139E"/>
    <w:rsid w:val="00EE153B"/>
    <w:rsid w:val="00EE1944"/>
    <w:rsid w:val="00EE1D82"/>
    <w:rsid w:val="00EE20AE"/>
    <w:rsid w:val="00EE220E"/>
    <w:rsid w:val="00EE236C"/>
    <w:rsid w:val="00EE23E3"/>
    <w:rsid w:val="00EE2A02"/>
    <w:rsid w:val="00EE2DAB"/>
    <w:rsid w:val="00EE3801"/>
    <w:rsid w:val="00EE3971"/>
    <w:rsid w:val="00EE3B32"/>
    <w:rsid w:val="00EE3C48"/>
    <w:rsid w:val="00EE3E4C"/>
    <w:rsid w:val="00EE4203"/>
    <w:rsid w:val="00EE449D"/>
    <w:rsid w:val="00EE44FC"/>
    <w:rsid w:val="00EE4518"/>
    <w:rsid w:val="00EE4883"/>
    <w:rsid w:val="00EE490C"/>
    <w:rsid w:val="00EE4D95"/>
    <w:rsid w:val="00EE52A0"/>
    <w:rsid w:val="00EE5C7D"/>
    <w:rsid w:val="00EE60F4"/>
    <w:rsid w:val="00EE642B"/>
    <w:rsid w:val="00EE644F"/>
    <w:rsid w:val="00EE6456"/>
    <w:rsid w:val="00EE736D"/>
    <w:rsid w:val="00EE7607"/>
    <w:rsid w:val="00EE77A9"/>
    <w:rsid w:val="00EE78E4"/>
    <w:rsid w:val="00EE790A"/>
    <w:rsid w:val="00EE7AE3"/>
    <w:rsid w:val="00EE7C94"/>
    <w:rsid w:val="00EF061E"/>
    <w:rsid w:val="00EF0BC3"/>
    <w:rsid w:val="00EF1052"/>
    <w:rsid w:val="00EF1498"/>
    <w:rsid w:val="00EF1606"/>
    <w:rsid w:val="00EF168A"/>
    <w:rsid w:val="00EF1BF8"/>
    <w:rsid w:val="00EF206B"/>
    <w:rsid w:val="00EF213D"/>
    <w:rsid w:val="00EF2487"/>
    <w:rsid w:val="00EF314D"/>
    <w:rsid w:val="00EF3296"/>
    <w:rsid w:val="00EF352D"/>
    <w:rsid w:val="00EF3955"/>
    <w:rsid w:val="00EF3AC9"/>
    <w:rsid w:val="00EF400C"/>
    <w:rsid w:val="00EF46BF"/>
    <w:rsid w:val="00EF47ED"/>
    <w:rsid w:val="00EF48C0"/>
    <w:rsid w:val="00EF4A57"/>
    <w:rsid w:val="00EF4C8A"/>
    <w:rsid w:val="00EF4DF7"/>
    <w:rsid w:val="00EF4E80"/>
    <w:rsid w:val="00EF5066"/>
    <w:rsid w:val="00EF5161"/>
    <w:rsid w:val="00EF56D6"/>
    <w:rsid w:val="00EF5A91"/>
    <w:rsid w:val="00EF5C38"/>
    <w:rsid w:val="00EF5C69"/>
    <w:rsid w:val="00EF5FBB"/>
    <w:rsid w:val="00EF60F5"/>
    <w:rsid w:val="00EF61C1"/>
    <w:rsid w:val="00EF63B6"/>
    <w:rsid w:val="00EF6861"/>
    <w:rsid w:val="00EF6BEE"/>
    <w:rsid w:val="00EF7A07"/>
    <w:rsid w:val="00EF7BC3"/>
    <w:rsid w:val="00EF7CA2"/>
    <w:rsid w:val="00F008DF"/>
    <w:rsid w:val="00F009D3"/>
    <w:rsid w:val="00F01076"/>
    <w:rsid w:val="00F01514"/>
    <w:rsid w:val="00F01A4B"/>
    <w:rsid w:val="00F024CB"/>
    <w:rsid w:val="00F03053"/>
    <w:rsid w:val="00F03DF5"/>
    <w:rsid w:val="00F04240"/>
    <w:rsid w:val="00F0437B"/>
    <w:rsid w:val="00F047E3"/>
    <w:rsid w:val="00F04C5B"/>
    <w:rsid w:val="00F05565"/>
    <w:rsid w:val="00F05581"/>
    <w:rsid w:val="00F062CF"/>
    <w:rsid w:val="00F066F1"/>
    <w:rsid w:val="00F06C53"/>
    <w:rsid w:val="00F07224"/>
    <w:rsid w:val="00F07430"/>
    <w:rsid w:val="00F07651"/>
    <w:rsid w:val="00F07930"/>
    <w:rsid w:val="00F07976"/>
    <w:rsid w:val="00F07A06"/>
    <w:rsid w:val="00F07CFC"/>
    <w:rsid w:val="00F109B1"/>
    <w:rsid w:val="00F10D4A"/>
    <w:rsid w:val="00F10F2F"/>
    <w:rsid w:val="00F116DD"/>
    <w:rsid w:val="00F11808"/>
    <w:rsid w:val="00F118C2"/>
    <w:rsid w:val="00F11AB5"/>
    <w:rsid w:val="00F11B58"/>
    <w:rsid w:val="00F11C7C"/>
    <w:rsid w:val="00F11EB3"/>
    <w:rsid w:val="00F11F41"/>
    <w:rsid w:val="00F1226B"/>
    <w:rsid w:val="00F12612"/>
    <w:rsid w:val="00F1284D"/>
    <w:rsid w:val="00F1292D"/>
    <w:rsid w:val="00F12C41"/>
    <w:rsid w:val="00F13670"/>
    <w:rsid w:val="00F13B68"/>
    <w:rsid w:val="00F140BC"/>
    <w:rsid w:val="00F148B6"/>
    <w:rsid w:val="00F148D0"/>
    <w:rsid w:val="00F14E3B"/>
    <w:rsid w:val="00F14FDD"/>
    <w:rsid w:val="00F15297"/>
    <w:rsid w:val="00F154DD"/>
    <w:rsid w:val="00F15831"/>
    <w:rsid w:val="00F1605F"/>
    <w:rsid w:val="00F166A2"/>
    <w:rsid w:val="00F16B25"/>
    <w:rsid w:val="00F17326"/>
    <w:rsid w:val="00F175A2"/>
    <w:rsid w:val="00F179B7"/>
    <w:rsid w:val="00F203A7"/>
    <w:rsid w:val="00F2084C"/>
    <w:rsid w:val="00F20983"/>
    <w:rsid w:val="00F20A8C"/>
    <w:rsid w:val="00F20BCF"/>
    <w:rsid w:val="00F21175"/>
    <w:rsid w:val="00F212CC"/>
    <w:rsid w:val="00F21541"/>
    <w:rsid w:val="00F21728"/>
    <w:rsid w:val="00F219D1"/>
    <w:rsid w:val="00F21D11"/>
    <w:rsid w:val="00F22311"/>
    <w:rsid w:val="00F226D0"/>
    <w:rsid w:val="00F22E56"/>
    <w:rsid w:val="00F22E5D"/>
    <w:rsid w:val="00F232D1"/>
    <w:rsid w:val="00F23464"/>
    <w:rsid w:val="00F23C12"/>
    <w:rsid w:val="00F23EA0"/>
    <w:rsid w:val="00F23F67"/>
    <w:rsid w:val="00F24282"/>
    <w:rsid w:val="00F2555F"/>
    <w:rsid w:val="00F25A7A"/>
    <w:rsid w:val="00F25AC9"/>
    <w:rsid w:val="00F25FB6"/>
    <w:rsid w:val="00F26904"/>
    <w:rsid w:val="00F26D76"/>
    <w:rsid w:val="00F26EA8"/>
    <w:rsid w:val="00F2705A"/>
    <w:rsid w:val="00F27187"/>
    <w:rsid w:val="00F2724B"/>
    <w:rsid w:val="00F272EF"/>
    <w:rsid w:val="00F2752C"/>
    <w:rsid w:val="00F2765B"/>
    <w:rsid w:val="00F276ED"/>
    <w:rsid w:val="00F278F6"/>
    <w:rsid w:val="00F279B5"/>
    <w:rsid w:val="00F30430"/>
    <w:rsid w:val="00F30C80"/>
    <w:rsid w:val="00F30CC9"/>
    <w:rsid w:val="00F30E8E"/>
    <w:rsid w:val="00F3119E"/>
    <w:rsid w:val="00F31653"/>
    <w:rsid w:val="00F31714"/>
    <w:rsid w:val="00F31942"/>
    <w:rsid w:val="00F31A04"/>
    <w:rsid w:val="00F320E8"/>
    <w:rsid w:val="00F32312"/>
    <w:rsid w:val="00F32539"/>
    <w:rsid w:val="00F3257F"/>
    <w:rsid w:val="00F327BA"/>
    <w:rsid w:val="00F32AAD"/>
    <w:rsid w:val="00F33026"/>
    <w:rsid w:val="00F33400"/>
    <w:rsid w:val="00F33A36"/>
    <w:rsid w:val="00F33D01"/>
    <w:rsid w:val="00F33D5E"/>
    <w:rsid w:val="00F33D81"/>
    <w:rsid w:val="00F34240"/>
    <w:rsid w:val="00F345CC"/>
    <w:rsid w:val="00F3498E"/>
    <w:rsid w:val="00F35200"/>
    <w:rsid w:val="00F3555D"/>
    <w:rsid w:val="00F3586C"/>
    <w:rsid w:val="00F35AE9"/>
    <w:rsid w:val="00F35CA2"/>
    <w:rsid w:val="00F35CBA"/>
    <w:rsid w:val="00F35F97"/>
    <w:rsid w:val="00F362A0"/>
    <w:rsid w:val="00F362DE"/>
    <w:rsid w:val="00F36667"/>
    <w:rsid w:val="00F36C48"/>
    <w:rsid w:val="00F36D82"/>
    <w:rsid w:val="00F3728D"/>
    <w:rsid w:val="00F37399"/>
    <w:rsid w:val="00F3759D"/>
    <w:rsid w:val="00F4040F"/>
    <w:rsid w:val="00F404C6"/>
    <w:rsid w:val="00F40860"/>
    <w:rsid w:val="00F40C56"/>
    <w:rsid w:val="00F40F59"/>
    <w:rsid w:val="00F41040"/>
    <w:rsid w:val="00F4134F"/>
    <w:rsid w:val="00F41630"/>
    <w:rsid w:val="00F4178D"/>
    <w:rsid w:val="00F41DA4"/>
    <w:rsid w:val="00F42277"/>
    <w:rsid w:val="00F42289"/>
    <w:rsid w:val="00F4257D"/>
    <w:rsid w:val="00F4291A"/>
    <w:rsid w:val="00F42BE9"/>
    <w:rsid w:val="00F42C53"/>
    <w:rsid w:val="00F43008"/>
    <w:rsid w:val="00F432BD"/>
    <w:rsid w:val="00F432DE"/>
    <w:rsid w:val="00F43434"/>
    <w:rsid w:val="00F4346F"/>
    <w:rsid w:val="00F439E2"/>
    <w:rsid w:val="00F43B3A"/>
    <w:rsid w:val="00F43E67"/>
    <w:rsid w:val="00F443F2"/>
    <w:rsid w:val="00F44F7C"/>
    <w:rsid w:val="00F45270"/>
    <w:rsid w:val="00F45C59"/>
    <w:rsid w:val="00F46DBB"/>
    <w:rsid w:val="00F47172"/>
    <w:rsid w:val="00F476A7"/>
    <w:rsid w:val="00F476E0"/>
    <w:rsid w:val="00F47A3D"/>
    <w:rsid w:val="00F47CF3"/>
    <w:rsid w:val="00F47EB9"/>
    <w:rsid w:val="00F501AB"/>
    <w:rsid w:val="00F50D2F"/>
    <w:rsid w:val="00F50DD3"/>
    <w:rsid w:val="00F50E40"/>
    <w:rsid w:val="00F51DA2"/>
    <w:rsid w:val="00F51DF1"/>
    <w:rsid w:val="00F52842"/>
    <w:rsid w:val="00F52AD2"/>
    <w:rsid w:val="00F530A8"/>
    <w:rsid w:val="00F536A3"/>
    <w:rsid w:val="00F53D84"/>
    <w:rsid w:val="00F53ED2"/>
    <w:rsid w:val="00F53F0B"/>
    <w:rsid w:val="00F54468"/>
    <w:rsid w:val="00F54733"/>
    <w:rsid w:val="00F547C1"/>
    <w:rsid w:val="00F547EC"/>
    <w:rsid w:val="00F5503E"/>
    <w:rsid w:val="00F55429"/>
    <w:rsid w:val="00F55721"/>
    <w:rsid w:val="00F55E32"/>
    <w:rsid w:val="00F5605B"/>
    <w:rsid w:val="00F563F7"/>
    <w:rsid w:val="00F5685C"/>
    <w:rsid w:val="00F56986"/>
    <w:rsid w:val="00F56D82"/>
    <w:rsid w:val="00F56FEA"/>
    <w:rsid w:val="00F570F0"/>
    <w:rsid w:val="00F57515"/>
    <w:rsid w:val="00F57D14"/>
    <w:rsid w:val="00F57FF4"/>
    <w:rsid w:val="00F6048A"/>
    <w:rsid w:val="00F6054E"/>
    <w:rsid w:val="00F607FD"/>
    <w:rsid w:val="00F60DE8"/>
    <w:rsid w:val="00F60DEA"/>
    <w:rsid w:val="00F611C5"/>
    <w:rsid w:val="00F611EE"/>
    <w:rsid w:val="00F61444"/>
    <w:rsid w:val="00F61715"/>
    <w:rsid w:val="00F617EA"/>
    <w:rsid w:val="00F6193F"/>
    <w:rsid w:val="00F61D35"/>
    <w:rsid w:val="00F624E1"/>
    <w:rsid w:val="00F6302F"/>
    <w:rsid w:val="00F63531"/>
    <w:rsid w:val="00F63AE5"/>
    <w:rsid w:val="00F640F5"/>
    <w:rsid w:val="00F642DD"/>
    <w:rsid w:val="00F643D5"/>
    <w:rsid w:val="00F64784"/>
    <w:rsid w:val="00F647FC"/>
    <w:rsid w:val="00F64A2E"/>
    <w:rsid w:val="00F64A68"/>
    <w:rsid w:val="00F650B9"/>
    <w:rsid w:val="00F651C6"/>
    <w:rsid w:val="00F6535B"/>
    <w:rsid w:val="00F65E06"/>
    <w:rsid w:val="00F660D7"/>
    <w:rsid w:val="00F663FC"/>
    <w:rsid w:val="00F66F83"/>
    <w:rsid w:val="00F67928"/>
    <w:rsid w:val="00F67DAC"/>
    <w:rsid w:val="00F7032A"/>
    <w:rsid w:val="00F7045E"/>
    <w:rsid w:val="00F70850"/>
    <w:rsid w:val="00F70E93"/>
    <w:rsid w:val="00F70FDD"/>
    <w:rsid w:val="00F71161"/>
    <w:rsid w:val="00F7125A"/>
    <w:rsid w:val="00F71EB0"/>
    <w:rsid w:val="00F72B51"/>
    <w:rsid w:val="00F73211"/>
    <w:rsid w:val="00F735AF"/>
    <w:rsid w:val="00F73BB3"/>
    <w:rsid w:val="00F73EFA"/>
    <w:rsid w:val="00F74BB2"/>
    <w:rsid w:val="00F74C78"/>
    <w:rsid w:val="00F74D47"/>
    <w:rsid w:val="00F74F59"/>
    <w:rsid w:val="00F752CE"/>
    <w:rsid w:val="00F75744"/>
    <w:rsid w:val="00F758E7"/>
    <w:rsid w:val="00F75CE0"/>
    <w:rsid w:val="00F76323"/>
    <w:rsid w:val="00F7649C"/>
    <w:rsid w:val="00F7650A"/>
    <w:rsid w:val="00F76F99"/>
    <w:rsid w:val="00F7759F"/>
    <w:rsid w:val="00F80157"/>
    <w:rsid w:val="00F80222"/>
    <w:rsid w:val="00F8060D"/>
    <w:rsid w:val="00F80789"/>
    <w:rsid w:val="00F80B89"/>
    <w:rsid w:val="00F80CCD"/>
    <w:rsid w:val="00F80ECA"/>
    <w:rsid w:val="00F81213"/>
    <w:rsid w:val="00F81C84"/>
    <w:rsid w:val="00F821A8"/>
    <w:rsid w:val="00F82255"/>
    <w:rsid w:val="00F822E9"/>
    <w:rsid w:val="00F828D6"/>
    <w:rsid w:val="00F83157"/>
    <w:rsid w:val="00F83940"/>
    <w:rsid w:val="00F83ADD"/>
    <w:rsid w:val="00F83F3D"/>
    <w:rsid w:val="00F83F53"/>
    <w:rsid w:val="00F84106"/>
    <w:rsid w:val="00F84A20"/>
    <w:rsid w:val="00F84A62"/>
    <w:rsid w:val="00F84F40"/>
    <w:rsid w:val="00F86372"/>
    <w:rsid w:val="00F86A3A"/>
    <w:rsid w:val="00F86C80"/>
    <w:rsid w:val="00F86CF7"/>
    <w:rsid w:val="00F86D25"/>
    <w:rsid w:val="00F875E1"/>
    <w:rsid w:val="00F87729"/>
    <w:rsid w:val="00F87C1B"/>
    <w:rsid w:val="00F87C7B"/>
    <w:rsid w:val="00F901D2"/>
    <w:rsid w:val="00F905BB"/>
    <w:rsid w:val="00F90878"/>
    <w:rsid w:val="00F90C5E"/>
    <w:rsid w:val="00F90EF7"/>
    <w:rsid w:val="00F90F8B"/>
    <w:rsid w:val="00F911B5"/>
    <w:rsid w:val="00F9128D"/>
    <w:rsid w:val="00F915D1"/>
    <w:rsid w:val="00F91C15"/>
    <w:rsid w:val="00F91C64"/>
    <w:rsid w:val="00F91CF3"/>
    <w:rsid w:val="00F91D64"/>
    <w:rsid w:val="00F91D83"/>
    <w:rsid w:val="00F926FD"/>
    <w:rsid w:val="00F92836"/>
    <w:rsid w:val="00F93D86"/>
    <w:rsid w:val="00F93F5A"/>
    <w:rsid w:val="00F93F79"/>
    <w:rsid w:val="00F94235"/>
    <w:rsid w:val="00F944EF"/>
    <w:rsid w:val="00F94986"/>
    <w:rsid w:val="00F94A04"/>
    <w:rsid w:val="00F94CA4"/>
    <w:rsid w:val="00F94DC5"/>
    <w:rsid w:val="00F94FAB"/>
    <w:rsid w:val="00F9558A"/>
    <w:rsid w:val="00F95CE7"/>
    <w:rsid w:val="00F95D63"/>
    <w:rsid w:val="00F95ED3"/>
    <w:rsid w:val="00F95F0A"/>
    <w:rsid w:val="00F96598"/>
    <w:rsid w:val="00F9676D"/>
    <w:rsid w:val="00F96A6C"/>
    <w:rsid w:val="00F96B1D"/>
    <w:rsid w:val="00F96F64"/>
    <w:rsid w:val="00F96F9E"/>
    <w:rsid w:val="00F97356"/>
    <w:rsid w:val="00F97D47"/>
    <w:rsid w:val="00FA03F2"/>
    <w:rsid w:val="00FA0679"/>
    <w:rsid w:val="00FA07A0"/>
    <w:rsid w:val="00FA0AAA"/>
    <w:rsid w:val="00FA0BEC"/>
    <w:rsid w:val="00FA0EFD"/>
    <w:rsid w:val="00FA0FB2"/>
    <w:rsid w:val="00FA141C"/>
    <w:rsid w:val="00FA1F2D"/>
    <w:rsid w:val="00FA2479"/>
    <w:rsid w:val="00FA2E1E"/>
    <w:rsid w:val="00FA3169"/>
    <w:rsid w:val="00FA3959"/>
    <w:rsid w:val="00FA3AF3"/>
    <w:rsid w:val="00FA3E9E"/>
    <w:rsid w:val="00FA4A9D"/>
    <w:rsid w:val="00FA4FF4"/>
    <w:rsid w:val="00FA50B4"/>
    <w:rsid w:val="00FA52C9"/>
    <w:rsid w:val="00FA5746"/>
    <w:rsid w:val="00FA577E"/>
    <w:rsid w:val="00FA5C04"/>
    <w:rsid w:val="00FA5E27"/>
    <w:rsid w:val="00FA6662"/>
    <w:rsid w:val="00FA6E6C"/>
    <w:rsid w:val="00FA6F5A"/>
    <w:rsid w:val="00FA79E8"/>
    <w:rsid w:val="00FA7C02"/>
    <w:rsid w:val="00FA7D2B"/>
    <w:rsid w:val="00FA7E35"/>
    <w:rsid w:val="00FA7EC2"/>
    <w:rsid w:val="00FB1199"/>
    <w:rsid w:val="00FB16AE"/>
    <w:rsid w:val="00FB1884"/>
    <w:rsid w:val="00FB1A3F"/>
    <w:rsid w:val="00FB1F86"/>
    <w:rsid w:val="00FB23B8"/>
    <w:rsid w:val="00FB24C7"/>
    <w:rsid w:val="00FB2E62"/>
    <w:rsid w:val="00FB32DF"/>
    <w:rsid w:val="00FB3318"/>
    <w:rsid w:val="00FB3453"/>
    <w:rsid w:val="00FB35EE"/>
    <w:rsid w:val="00FB364E"/>
    <w:rsid w:val="00FB3761"/>
    <w:rsid w:val="00FB38FC"/>
    <w:rsid w:val="00FB40EF"/>
    <w:rsid w:val="00FB41FA"/>
    <w:rsid w:val="00FB47FA"/>
    <w:rsid w:val="00FB489F"/>
    <w:rsid w:val="00FB4D14"/>
    <w:rsid w:val="00FB56CD"/>
    <w:rsid w:val="00FB57ED"/>
    <w:rsid w:val="00FB5AB6"/>
    <w:rsid w:val="00FB5E23"/>
    <w:rsid w:val="00FB5E9D"/>
    <w:rsid w:val="00FB5EAE"/>
    <w:rsid w:val="00FB649F"/>
    <w:rsid w:val="00FB6AF6"/>
    <w:rsid w:val="00FB6B72"/>
    <w:rsid w:val="00FB6D30"/>
    <w:rsid w:val="00FB6F38"/>
    <w:rsid w:val="00FB740E"/>
    <w:rsid w:val="00FB776F"/>
    <w:rsid w:val="00FB7829"/>
    <w:rsid w:val="00FB787C"/>
    <w:rsid w:val="00FB7ABF"/>
    <w:rsid w:val="00FB7E9C"/>
    <w:rsid w:val="00FC0729"/>
    <w:rsid w:val="00FC0949"/>
    <w:rsid w:val="00FC0EB2"/>
    <w:rsid w:val="00FC1097"/>
    <w:rsid w:val="00FC1736"/>
    <w:rsid w:val="00FC23AE"/>
    <w:rsid w:val="00FC2A8D"/>
    <w:rsid w:val="00FC2A9D"/>
    <w:rsid w:val="00FC2E37"/>
    <w:rsid w:val="00FC3173"/>
    <w:rsid w:val="00FC332B"/>
    <w:rsid w:val="00FC35DA"/>
    <w:rsid w:val="00FC43DC"/>
    <w:rsid w:val="00FC4584"/>
    <w:rsid w:val="00FC4A98"/>
    <w:rsid w:val="00FC4C8A"/>
    <w:rsid w:val="00FC4E60"/>
    <w:rsid w:val="00FC4F30"/>
    <w:rsid w:val="00FC4FAF"/>
    <w:rsid w:val="00FC580C"/>
    <w:rsid w:val="00FC5A92"/>
    <w:rsid w:val="00FC5C35"/>
    <w:rsid w:val="00FC5C68"/>
    <w:rsid w:val="00FC5D5C"/>
    <w:rsid w:val="00FC5DA4"/>
    <w:rsid w:val="00FC6066"/>
    <w:rsid w:val="00FC6111"/>
    <w:rsid w:val="00FC64FB"/>
    <w:rsid w:val="00FC6666"/>
    <w:rsid w:val="00FC66CC"/>
    <w:rsid w:val="00FC6FEF"/>
    <w:rsid w:val="00FC7292"/>
    <w:rsid w:val="00FC72E9"/>
    <w:rsid w:val="00FC7371"/>
    <w:rsid w:val="00FC7A2C"/>
    <w:rsid w:val="00FC7D58"/>
    <w:rsid w:val="00FD0352"/>
    <w:rsid w:val="00FD06C0"/>
    <w:rsid w:val="00FD08B5"/>
    <w:rsid w:val="00FD0C5F"/>
    <w:rsid w:val="00FD0E83"/>
    <w:rsid w:val="00FD1A6A"/>
    <w:rsid w:val="00FD1E82"/>
    <w:rsid w:val="00FD23A7"/>
    <w:rsid w:val="00FD255B"/>
    <w:rsid w:val="00FD26C0"/>
    <w:rsid w:val="00FD26E3"/>
    <w:rsid w:val="00FD2895"/>
    <w:rsid w:val="00FD2F4A"/>
    <w:rsid w:val="00FD30BF"/>
    <w:rsid w:val="00FD31B3"/>
    <w:rsid w:val="00FD3318"/>
    <w:rsid w:val="00FD339A"/>
    <w:rsid w:val="00FD3440"/>
    <w:rsid w:val="00FD3490"/>
    <w:rsid w:val="00FD364D"/>
    <w:rsid w:val="00FD3829"/>
    <w:rsid w:val="00FD3CC1"/>
    <w:rsid w:val="00FD4014"/>
    <w:rsid w:val="00FD42E7"/>
    <w:rsid w:val="00FD4399"/>
    <w:rsid w:val="00FD460A"/>
    <w:rsid w:val="00FD4834"/>
    <w:rsid w:val="00FD4878"/>
    <w:rsid w:val="00FD4D57"/>
    <w:rsid w:val="00FD586E"/>
    <w:rsid w:val="00FD5891"/>
    <w:rsid w:val="00FD58AE"/>
    <w:rsid w:val="00FD5BB0"/>
    <w:rsid w:val="00FD5DB0"/>
    <w:rsid w:val="00FD6DF5"/>
    <w:rsid w:val="00FD6F06"/>
    <w:rsid w:val="00FD7177"/>
    <w:rsid w:val="00FD7355"/>
    <w:rsid w:val="00FD74C7"/>
    <w:rsid w:val="00FD79F9"/>
    <w:rsid w:val="00FD7A66"/>
    <w:rsid w:val="00FD7AA4"/>
    <w:rsid w:val="00FD7E9A"/>
    <w:rsid w:val="00FD7EF7"/>
    <w:rsid w:val="00FD7F97"/>
    <w:rsid w:val="00FE0202"/>
    <w:rsid w:val="00FE0672"/>
    <w:rsid w:val="00FE15A8"/>
    <w:rsid w:val="00FE17AD"/>
    <w:rsid w:val="00FE1992"/>
    <w:rsid w:val="00FE1BE5"/>
    <w:rsid w:val="00FE232B"/>
    <w:rsid w:val="00FE3026"/>
    <w:rsid w:val="00FE3046"/>
    <w:rsid w:val="00FE3259"/>
    <w:rsid w:val="00FE3360"/>
    <w:rsid w:val="00FE3361"/>
    <w:rsid w:val="00FE45DE"/>
    <w:rsid w:val="00FE48A3"/>
    <w:rsid w:val="00FE51F5"/>
    <w:rsid w:val="00FE5273"/>
    <w:rsid w:val="00FE5805"/>
    <w:rsid w:val="00FE5B2A"/>
    <w:rsid w:val="00FE5B3F"/>
    <w:rsid w:val="00FE5E34"/>
    <w:rsid w:val="00FE61F8"/>
    <w:rsid w:val="00FE647C"/>
    <w:rsid w:val="00FE67E6"/>
    <w:rsid w:val="00FE68DC"/>
    <w:rsid w:val="00FE6BAF"/>
    <w:rsid w:val="00FE6C49"/>
    <w:rsid w:val="00FE6CB3"/>
    <w:rsid w:val="00FE6CD9"/>
    <w:rsid w:val="00FE6EBA"/>
    <w:rsid w:val="00FE76D7"/>
    <w:rsid w:val="00FE77EE"/>
    <w:rsid w:val="00FE7B25"/>
    <w:rsid w:val="00FF0223"/>
    <w:rsid w:val="00FF034C"/>
    <w:rsid w:val="00FF0461"/>
    <w:rsid w:val="00FF058B"/>
    <w:rsid w:val="00FF07A1"/>
    <w:rsid w:val="00FF0BA5"/>
    <w:rsid w:val="00FF1018"/>
    <w:rsid w:val="00FF12B9"/>
    <w:rsid w:val="00FF1466"/>
    <w:rsid w:val="00FF1AE5"/>
    <w:rsid w:val="00FF1C60"/>
    <w:rsid w:val="00FF1FB5"/>
    <w:rsid w:val="00FF1FB8"/>
    <w:rsid w:val="00FF2115"/>
    <w:rsid w:val="00FF2177"/>
    <w:rsid w:val="00FF228F"/>
    <w:rsid w:val="00FF31CE"/>
    <w:rsid w:val="00FF33A3"/>
    <w:rsid w:val="00FF34E1"/>
    <w:rsid w:val="00FF3685"/>
    <w:rsid w:val="00FF4B64"/>
    <w:rsid w:val="00FF4C7D"/>
    <w:rsid w:val="00FF5083"/>
    <w:rsid w:val="00FF5568"/>
    <w:rsid w:val="00FF5683"/>
    <w:rsid w:val="00FF56B2"/>
    <w:rsid w:val="00FF583C"/>
    <w:rsid w:val="00FF59F9"/>
    <w:rsid w:val="00FF6190"/>
    <w:rsid w:val="00FF621E"/>
    <w:rsid w:val="00FF6487"/>
    <w:rsid w:val="00FF7371"/>
    <w:rsid w:val="00FF77FB"/>
    <w:rsid w:val="00FF7995"/>
    <w:rsid w:val="00FF7D30"/>
    <w:rsid w:val="0396EB30"/>
    <w:rsid w:val="039E4043"/>
    <w:rsid w:val="03B0DB76"/>
    <w:rsid w:val="03B6988F"/>
    <w:rsid w:val="048D0540"/>
    <w:rsid w:val="04CEA7F8"/>
    <w:rsid w:val="04E4708E"/>
    <w:rsid w:val="04FC9CCC"/>
    <w:rsid w:val="05663478"/>
    <w:rsid w:val="05906F73"/>
    <w:rsid w:val="059A442F"/>
    <w:rsid w:val="05CFE154"/>
    <w:rsid w:val="05DA2BBF"/>
    <w:rsid w:val="06C1A33F"/>
    <w:rsid w:val="06C6BB96"/>
    <w:rsid w:val="08751EA3"/>
    <w:rsid w:val="09C97343"/>
    <w:rsid w:val="0A56D3A4"/>
    <w:rsid w:val="0B4A592E"/>
    <w:rsid w:val="0B9A359F"/>
    <w:rsid w:val="0C19B46E"/>
    <w:rsid w:val="0C8CA392"/>
    <w:rsid w:val="0E7B7E8B"/>
    <w:rsid w:val="102BAC24"/>
    <w:rsid w:val="119FB7BF"/>
    <w:rsid w:val="12865470"/>
    <w:rsid w:val="12D8C790"/>
    <w:rsid w:val="132E04DA"/>
    <w:rsid w:val="13872EED"/>
    <w:rsid w:val="13BF0D57"/>
    <w:rsid w:val="13C6C80C"/>
    <w:rsid w:val="144F7841"/>
    <w:rsid w:val="14F4412C"/>
    <w:rsid w:val="15CAD9EB"/>
    <w:rsid w:val="15F7D76D"/>
    <w:rsid w:val="15FFC4F3"/>
    <w:rsid w:val="16224539"/>
    <w:rsid w:val="16ED929E"/>
    <w:rsid w:val="1800028C"/>
    <w:rsid w:val="18D7A83A"/>
    <w:rsid w:val="194969DA"/>
    <w:rsid w:val="198DB6FD"/>
    <w:rsid w:val="19A88FDD"/>
    <w:rsid w:val="1AA93789"/>
    <w:rsid w:val="1B2AFB73"/>
    <w:rsid w:val="1B9EF2BA"/>
    <w:rsid w:val="1D366265"/>
    <w:rsid w:val="1DB37622"/>
    <w:rsid w:val="1DC57B42"/>
    <w:rsid w:val="1DFD59AC"/>
    <w:rsid w:val="1E155319"/>
    <w:rsid w:val="1E98BFCA"/>
    <w:rsid w:val="1FEF9BEE"/>
    <w:rsid w:val="204E1D2F"/>
    <w:rsid w:val="20788AFB"/>
    <w:rsid w:val="208C8049"/>
    <w:rsid w:val="20A5887D"/>
    <w:rsid w:val="21219488"/>
    <w:rsid w:val="223CC557"/>
    <w:rsid w:val="2333BE2A"/>
    <w:rsid w:val="236A9D56"/>
    <w:rsid w:val="23AD916F"/>
    <w:rsid w:val="23D61C94"/>
    <w:rsid w:val="24605887"/>
    <w:rsid w:val="25167F66"/>
    <w:rsid w:val="25D879B2"/>
    <w:rsid w:val="2708AE96"/>
    <w:rsid w:val="281AE4D2"/>
    <w:rsid w:val="28B87F95"/>
    <w:rsid w:val="2976BDC3"/>
    <w:rsid w:val="2B0618AA"/>
    <w:rsid w:val="2B20A1CD"/>
    <w:rsid w:val="2BD44DDC"/>
    <w:rsid w:val="2CAD8702"/>
    <w:rsid w:val="2CB59209"/>
    <w:rsid w:val="2DCC3EBC"/>
    <w:rsid w:val="2E3CEF23"/>
    <w:rsid w:val="2EE1A284"/>
    <w:rsid w:val="2F28706E"/>
    <w:rsid w:val="3073B663"/>
    <w:rsid w:val="309E8DEF"/>
    <w:rsid w:val="31CA245E"/>
    <w:rsid w:val="3201A172"/>
    <w:rsid w:val="32086387"/>
    <w:rsid w:val="32C4B7CA"/>
    <w:rsid w:val="330B6818"/>
    <w:rsid w:val="34240931"/>
    <w:rsid w:val="343972E8"/>
    <w:rsid w:val="3455FEE1"/>
    <w:rsid w:val="359967D5"/>
    <w:rsid w:val="362ADD97"/>
    <w:rsid w:val="377C82DF"/>
    <w:rsid w:val="3797B838"/>
    <w:rsid w:val="3831B1FD"/>
    <w:rsid w:val="389367B6"/>
    <w:rsid w:val="3B261032"/>
    <w:rsid w:val="3B434DC0"/>
    <w:rsid w:val="3BCA3E2F"/>
    <w:rsid w:val="3BCCCDE5"/>
    <w:rsid w:val="3C0F024D"/>
    <w:rsid w:val="3C9B7FE1"/>
    <w:rsid w:val="3D100F9B"/>
    <w:rsid w:val="3EEA73DC"/>
    <w:rsid w:val="3EEC4364"/>
    <w:rsid w:val="401A2E42"/>
    <w:rsid w:val="40A2D11B"/>
    <w:rsid w:val="40AF6486"/>
    <w:rsid w:val="41DE55BF"/>
    <w:rsid w:val="429A067C"/>
    <w:rsid w:val="4438FE0B"/>
    <w:rsid w:val="44F113F4"/>
    <w:rsid w:val="4665480F"/>
    <w:rsid w:val="46657AE0"/>
    <w:rsid w:val="46800403"/>
    <w:rsid w:val="4776B8EF"/>
    <w:rsid w:val="479550E5"/>
    <w:rsid w:val="47CCF7B1"/>
    <w:rsid w:val="487E90D4"/>
    <w:rsid w:val="4880C1AB"/>
    <w:rsid w:val="48DB8130"/>
    <w:rsid w:val="492A8FB9"/>
    <w:rsid w:val="4949DE39"/>
    <w:rsid w:val="49F4AFD3"/>
    <w:rsid w:val="4A426C51"/>
    <w:rsid w:val="4A48E137"/>
    <w:rsid w:val="4ABAB358"/>
    <w:rsid w:val="4B5E2ED0"/>
    <w:rsid w:val="4C079DFF"/>
    <w:rsid w:val="4C0A6086"/>
    <w:rsid w:val="4C740D62"/>
    <w:rsid w:val="4D7A074B"/>
    <w:rsid w:val="4D9C7DF4"/>
    <w:rsid w:val="4E0E7265"/>
    <w:rsid w:val="4E50412B"/>
    <w:rsid w:val="4ED43ABC"/>
    <w:rsid w:val="4F6BA4CB"/>
    <w:rsid w:val="4F859385"/>
    <w:rsid w:val="4FD51539"/>
    <w:rsid w:val="503EBD45"/>
    <w:rsid w:val="51422778"/>
    <w:rsid w:val="51F63FF1"/>
    <w:rsid w:val="5340A3E9"/>
    <w:rsid w:val="53892FEB"/>
    <w:rsid w:val="545D78E8"/>
    <w:rsid w:val="54E09797"/>
    <w:rsid w:val="55229FF1"/>
    <w:rsid w:val="556D0062"/>
    <w:rsid w:val="55917D97"/>
    <w:rsid w:val="55F67629"/>
    <w:rsid w:val="563ADB68"/>
    <w:rsid w:val="565DE3C1"/>
    <w:rsid w:val="58121BDD"/>
    <w:rsid w:val="58B8FB4C"/>
    <w:rsid w:val="5A7D9B4A"/>
    <w:rsid w:val="5B1D1F3A"/>
    <w:rsid w:val="5B963C63"/>
    <w:rsid w:val="5BDD1473"/>
    <w:rsid w:val="5C9C037B"/>
    <w:rsid w:val="5ED75D47"/>
    <w:rsid w:val="5F344DA3"/>
    <w:rsid w:val="5FCD7B08"/>
    <w:rsid w:val="5FDCE982"/>
    <w:rsid w:val="6012538A"/>
    <w:rsid w:val="606225A2"/>
    <w:rsid w:val="606E000B"/>
    <w:rsid w:val="60AB026F"/>
    <w:rsid w:val="60BAF315"/>
    <w:rsid w:val="61AF735F"/>
    <w:rsid w:val="6223D048"/>
    <w:rsid w:val="62E762F8"/>
    <w:rsid w:val="63663D1D"/>
    <w:rsid w:val="6414DC18"/>
    <w:rsid w:val="643981A5"/>
    <w:rsid w:val="64BE7755"/>
    <w:rsid w:val="64D0D647"/>
    <w:rsid w:val="65247B8B"/>
    <w:rsid w:val="65306BC6"/>
    <w:rsid w:val="65775FF1"/>
    <w:rsid w:val="667A7714"/>
    <w:rsid w:val="6753FEF6"/>
    <w:rsid w:val="6796C03E"/>
    <w:rsid w:val="67FD0883"/>
    <w:rsid w:val="68375628"/>
    <w:rsid w:val="688D78F0"/>
    <w:rsid w:val="68C83472"/>
    <w:rsid w:val="68D69BA2"/>
    <w:rsid w:val="68F5969B"/>
    <w:rsid w:val="6A5D9186"/>
    <w:rsid w:val="6A62EEF2"/>
    <w:rsid w:val="6A8DADE7"/>
    <w:rsid w:val="6ACA02B2"/>
    <w:rsid w:val="6AE766EC"/>
    <w:rsid w:val="6B508726"/>
    <w:rsid w:val="6C001F68"/>
    <w:rsid w:val="6DACDAA4"/>
    <w:rsid w:val="6E0445F2"/>
    <w:rsid w:val="6ED4BE56"/>
    <w:rsid w:val="6EFE60D1"/>
    <w:rsid w:val="6F1FDC63"/>
    <w:rsid w:val="70342854"/>
    <w:rsid w:val="70B2BD2D"/>
    <w:rsid w:val="70EE93FB"/>
    <w:rsid w:val="7160886C"/>
    <w:rsid w:val="719FFA4D"/>
    <w:rsid w:val="71A22B24"/>
    <w:rsid w:val="71E4F13C"/>
    <w:rsid w:val="7214BA70"/>
    <w:rsid w:val="72613018"/>
    <w:rsid w:val="7278C3E3"/>
    <w:rsid w:val="73163242"/>
    <w:rsid w:val="73272B40"/>
    <w:rsid w:val="7437FC8C"/>
    <w:rsid w:val="759FC146"/>
    <w:rsid w:val="75F753D2"/>
    <w:rsid w:val="78481755"/>
    <w:rsid w:val="784CDCB2"/>
    <w:rsid w:val="79488C30"/>
    <w:rsid w:val="7982C975"/>
    <w:rsid w:val="7993082D"/>
    <w:rsid w:val="79E44C5D"/>
    <w:rsid w:val="7A8FD47E"/>
    <w:rsid w:val="7AC8353F"/>
    <w:rsid w:val="7B37CCCB"/>
    <w:rsid w:val="7C14F816"/>
    <w:rsid w:val="7C3B36FE"/>
    <w:rsid w:val="7C9CDD0B"/>
    <w:rsid w:val="7D8CA70C"/>
    <w:rsid w:val="7D8EF6DF"/>
    <w:rsid w:val="7E3BE44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35C81"/>
  <w15:chartTrackingRefBased/>
  <w15:docId w15:val="{B97409B4-5B46-4D9B-A2E7-73F3F8566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2BA"/>
    <w:pPr>
      <w:spacing w:before="240" w:after="240" w:line="240" w:lineRule="exact"/>
    </w:pPr>
    <w:rPr>
      <w:rFonts w:eastAsia="Times New Roman" w:cs="Times New Roman"/>
      <w:sz w:val="19"/>
      <w:szCs w:val="20"/>
      <w:lang w:eastAsia="en-AU"/>
    </w:rPr>
  </w:style>
  <w:style w:type="paragraph" w:styleId="Heading1">
    <w:name w:val="heading 1"/>
    <w:basedOn w:val="HeadingBase"/>
    <w:next w:val="Normal"/>
    <w:link w:val="Heading1Char"/>
    <w:qFormat/>
    <w:rsid w:val="00EA03E5"/>
    <w:pPr>
      <w:spacing w:after="240"/>
      <w:outlineLvl w:val="0"/>
    </w:pPr>
    <w:rPr>
      <w:rFonts w:ascii="Arial Bold" w:hAnsi="Arial Bold"/>
      <w:b/>
      <w:kern w:val="34"/>
      <w:sz w:val="36"/>
    </w:rPr>
  </w:style>
  <w:style w:type="paragraph" w:styleId="Heading2">
    <w:name w:val="heading 2"/>
    <w:basedOn w:val="HeadingBase"/>
    <w:next w:val="Normal"/>
    <w:link w:val="Heading2Char"/>
    <w:qFormat/>
    <w:rsid w:val="00EA03E5"/>
    <w:pPr>
      <w:spacing w:before="240" w:after="240"/>
      <w:outlineLvl w:val="1"/>
    </w:pPr>
    <w:rPr>
      <w:rFonts w:ascii="Arial Bold" w:hAnsi="Arial Bold"/>
      <w:b/>
      <w:sz w:val="26"/>
    </w:rPr>
  </w:style>
  <w:style w:type="paragraph" w:styleId="Heading3">
    <w:name w:val="heading 3"/>
    <w:basedOn w:val="HeadingBase"/>
    <w:next w:val="Normal"/>
    <w:link w:val="Heading3Char"/>
    <w:qFormat/>
    <w:rsid w:val="00EA03E5"/>
    <w:pPr>
      <w:spacing w:before="120" w:after="120"/>
      <w:outlineLvl w:val="2"/>
    </w:pPr>
    <w:rPr>
      <w:rFonts w:ascii="Arial Bold" w:hAnsi="Arial Bold"/>
      <w:b/>
      <w:sz w:val="22"/>
    </w:rPr>
  </w:style>
  <w:style w:type="paragraph" w:styleId="Heading4">
    <w:name w:val="heading 4"/>
    <w:basedOn w:val="HeadingBase"/>
    <w:next w:val="Normal"/>
    <w:link w:val="Heading4Char"/>
    <w:qFormat/>
    <w:rsid w:val="00EA03E5"/>
    <w:pPr>
      <w:spacing w:after="120"/>
      <w:outlineLvl w:val="3"/>
    </w:pPr>
    <w:rPr>
      <w:rFonts w:ascii="Arial Bold" w:hAnsi="Arial Bold"/>
      <w:b/>
      <w:sz w:val="20"/>
    </w:rPr>
  </w:style>
  <w:style w:type="paragraph" w:styleId="Heading5">
    <w:name w:val="heading 5"/>
    <w:basedOn w:val="HeadingBase"/>
    <w:next w:val="Normal"/>
    <w:link w:val="Heading5Char"/>
    <w:qFormat/>
    <w:rsid w:val="00EA03E5"/>
    <w:pPr>
      <w:spacing w:after="120"/>
      <w:outlineLvl w:val="4"/>
    </w:pPr>
    <w:rPr>
      <w:bCs/>
      <w:i/>
      <w:iCs/>
      <w:sz w:val="20"/>
      <w:szCs w:val="26"/>
    </w:rPr>
  </w:style>
  <w:style w:type="paragraph" w:styleId="Heading6">
    <w:name w:val="heading 6"/>
    <w:basedOn w:val="HeadingBase"/>
    <w:next w:val="Normal"/>
    <w:link w:val="Heading6Char"/>
    <w:rsid w:val="00EA03E5"/>
    <w:pPr>
      <w:spacing w:after="120"/>
      <w:outlineLvl w:val="5"/>
    </w:pPr>
    <w:rPr>
      <w:bCs/>
      <w:sz w:val="20"/>
      <w:szCs w:val="22"/>
    </w:rPr>
  </w:style>
  <w:style w:type="paragraph" w:styleId="Heading7">
    <w:name w:val="heading 7"/>
    <w:basedOn w:val="HeadingBase"/>
    <w:next w:val="Normal"/>
    <w:link w:val="Heading7Char"/>
    <w:rsid w:val="00EA03E5"/>
    <w:pPr>
      <w:spacing w:before="120"/>
      <w:outlineLvl w:val="6"/>
    </w:pPr>
    <w:rPr>
      <w:sz w:val="20"/>
      <w:szCs w:val="24"/>
    </w:rPr>
  </w:style>
  <w:style w:type="paragraph" w:styleId="Heading8">
    <w:name w:val="heading 8"/>
    <w:basedOn w:val="HeadingBase"/>
    <w:next w:val="Normal"/>
    <w:link w:val="Heading8Char"/>
    <w:rsid w:val="00EA03E5"/>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unhideWhenUsed/>
    <w:qFormat/>
    <w:rsid w:val="00EA03E5"/>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EA03E5"/>
    <w:pPr>
      <w:tabs>
        <w:tab w:val="center" w:pos="4153"/>
        <w:tab w:val="right" w:pos="8306"/>
      </w:tabs>
    </w:pPr>
  </w:style>
  <w:style w:type="character" w:customStyle="1" w:styleId="HeaderChar">
    <w:name w:val="Header Char"/>
    <w:basedOn w:val="DefaultParagraphFont"/>
    <w:link w:val="Header"/>
    <w:rsid w:val="00EA03E5"/>
    <w:rPr>
      <w:rFonts w:ascii="Arial" w:eastAsia="Times New Roman" w:hAnsi="Arial" w:cs="Times New Roman"/>
      <w:color w:val="293F5B" w:themeColor="text2"/>
      <w:sz w:val="18"/>
      <w:szCs w:val="20"/>
      <w:lang w:eastAsia="en-AU"/>
    </w:rPr>
  </w:style>
  <w:style w:type="paragraph" w:styleId="Footer">
    <w:name w:val="footer"/>
    <w:basedOn w:val="FooterBase"/>
    <w:link w:val="FooterChar"/>
    <w:rsid w:val="00EA03E5"/>
    <w:pPr>
      <w:tabs>
        <w:tab w:val="center" w:pos="4153"/>
        <w:tab w:val="right" w:pos="8306"/>
      </w:tabs>
    </w:pPr>
  </w:style>
  <w:style w:type="character" w:customStyle="1" w:styleId="FooterChar">
    <w:name w:val="Footer Char"/>
    <w:basedOn w:val="DefaultParagraphFont"/>
    <w:link w:val="Footer"/>
    <w:rsid w:val="00EA03E5"/>
    <w:rPr>
      <w:rFonts w:ascii="Arial" w:eastAsia="Times New Roman" w:hAnsi="Arial" w:cs="Times New Roman"/>
      <w:color w:val="293F5B" w:themeColor="text2"/>
      <w:sz w:val="20"/>
      <w:szCs w:val="20"/>
      <w:lang w:eastAsia="en-AU"/>
    </w:rPr>
  </w:style>
  <w:style w:type="paragraph" w:customStyle="1" w:styleId="SecurityClassificationHeader">
    <w:name w:val="Security Classification Header"/>
    <w:link w:val="SecurityClassificationHeaderChar"/>
    <w:rsid w:val="00EA03E5"/>
    <w:pPr>
      <w:spacing w:before="240" w:after="60"/>
      <w:jc w:val="center"/>
    </w:pPr>
    <w:rPr>
      <w:rFonts w:ascii="Calibri" w:eastAsia="Times New Roman" w:hAnsi="Calibri" w:cs="Calibri"/>
      <w:b/>
      <w:caps/>
      <w:color w:val="293F5B" w:themeColor="text2"/>
      <w:sz w:val="24"/>
      <w:szCs w:val="20"/>
      <w:lang w:eastAsia="en-AU"/>
    </w:rPr>
  </w:style>
  <w:style w:type="character" w:customStyle="1" w:styleId="SecurityClassificationHeaderChar">
    <w:name w:val="Security Classification Header Char"/>
    <w:basedOn w:val="HeaderChar"/>
    <w:link w:val="SecurityClassificationHeader"/>
    <w:rsid w:val="00EA03E5"/>
    <w:rPr>
      <w:rFonts w:ascii="Calibri" w:eastAsia="Times New Roman" w:hAnsi="Calibri" w:cs="Calibri"/>
      <w:b/>
      <w:caps/>
      <w:color w:val="293F5B" w:themeColor="text2"/>
      <w:sz w:val="24"/>
      <w:szCs w:val="20"/>
      <w:lang w:eastAsia="en-AU"/>
    </w:rPr>
  </w:style>
  <w:style w:type="paragraph" w:customStyle="1" w:styleId="SecurityClassificationFooter">
    <w:name w:val="Security Classification Footer"/>
    <w:link w:val="SecurityClassificationFooterChar"/>
    <w:rsid w:val="00EA03E5"/>
    <w:pPr>
      <w:spacing w:before="60" w:after="240"/>
      <w:jc w:val="center"/>
    </w:pPr>
    <w:rPr>
      <w:rFonts w:ascii="Calibri" w:eastAsia="Times New Roman" w:hAnsi="Calibri" w:cs="Calibri"/>
      <w:b/>
      <w:caps/>
      <w:color w:val="293F5B" w:themeColor="text2"/>
      <w:sz w:val="24"/>
      <w:szCs w:val="20"/>
      <w:lang w:eastAsia="en-AU"/>
    </w:rPr>
  </w:style>
  <w:style w:type="character" w:customStyle="1" w:styleId="SecurityClassificationFooterChar">
    <w:name w:val="Security Classification Footer Char"/>
    <w:basedOn w:val="HeaderChar"/>
    <w:link w:val="SecurityClassificationFooter"/>
    <w:rsid w:val="00EA03E5"/>
    <w:rPr>
      <w:rFonts w:ascii="Calibri" w:eastAsia="Times New Roman" w:hAnsi="Calibri" w:cs="Calibri"/>
      <w:b/>
      <w:caps/>
      <w:color w:val="293F5B" w:themeColor="text2"/>
      <w:sz w:val="24"/>
      <w:szCs w:val="20"/>
      <w:lang w:eastAsia="en-AU"/>
    </w:rPr>
  </w:style>
  <w:style w:type="paragraph" w:customStyle="1" w:styleId="DLMSecurityHeader">
    <w:name w:val="DLM Security Header"/>
    <w:link w:val="DLMSecurityHeaderChar"/>
    <w:rsid w:val="008E2B7F"/>
    <w:pPr>
      <w:tabs>
        <w:tab w:val="num" w:pos="1209"/>
      </w:tabs>
      <w:spacing w:before="60" w:after="240"/>
      <w:ind w:left="1209" w:hanging="360"/>
      <w:jc w:val="center"/>
    </w:pPr>
    <w:rPr>
      <w:rFonts w:ascii="Calibri" w:eastAsia="Times New Roman" w:hAnsi="Calibri" w:cs="Calibri"/>
      <w:b/>
      <w:caps/>
      <w:color w:val="293F5B" w:themeColor="text2"/>
      <w:sz w:val="24"/>
      <w:szCs w:val="20"/>
      <w:lang w:eastAsia="en-AU"/>
    </w:rPr>
  </w:style>
  <w:style w:type="character" w:customStyle="1" w:styleId="DLMSecurityHeaderChar">
    <w:name w:val="DLM Security Header Char"/>
    <w:basedOn w:val="HeaderChar"/>
    <w:link w:val="DLMSecurityHeader"/>
    <w:rsid w:val="00EA03E5"/>
    <w:rPr>
      <w:rFonts w:ascii="Calibri" w:eastAsia="Times New Roman" w:hAnsi="Calibri" w:cs="Calibri"/>
      <w:b/>
      <w:caps/>
      <w:color w:val="293F5B" w:themeColor="text2"/>
      <w:sz w:val="24"/>
      <w:szCs w:val="20"/>
      <w:lang w:eastAsia="en-AU"/>
    </w:rPr>
  </w:style>
  <w:style w:type="paragraph" w:customStyle="1" w:styleId="DLMSecurityFooter">
    <w:name w:val="DLM Security Footer"/>
    <w:link w:val="DLMSecurityFooterChar"/>
    <w:rsid w:val="00EA03E5"/>
    <w:pPr>
      <w:spacing w:before="240" w:after="60"/>
      <w:jc w:val="center"/>
    </w:pPr>
    <w:rPr>
      <w:rFonts w:ascii="Calibri" w:eastAsia="Times New Roman" w:hAnsi="Calibri" w:cs="Calibri"/>
      <w:b/>
      <w:caps/>
      <w:color w:val="293F5B" w:themeColor="text2"/>
      <w:sz w:val="24"/>
      <w:szCs w:val="20"/>
      <w:lang w:eastAsia="en-AU"/>
    </w:rPr>
  </w:style>
  <w:style w:type="character" w:customStyle="1" w:styleId="DLMSecurityFooterChar">
    <w:name w:val="DLM Security Footer Char"/>
    <w:basedOn w:val="HeaderChar"/>
    <w:link w:val="DLMSecurityFooter"/>
    <w:rsid w:val="00EA03E5"/>
    <w:rPr>
      <w:rFonts w:ascii="Calibri" w:eastAsia="Times New Roman" w:hAnsi="Calibri" w:cs="Calibri"/>
      <w:b/>
      <w:caps/>
      <w:color w:val="293F5B" w:themeColor="text2"/>
      <w:sz w:val="24"/>
      <w:szCs w:val="20"/>
      <w:lang w:eastAsia="en-AU"/>
    </w:rPr>
  </w:style>
  <w:style w:type="paragraph" w:customStyle="1" w:styleId="Classification">
    <w:name w:val="Classification"/>
    <w:basedOn w:val="HeadingBase"/>
    <w:rsid w:val="00EA03E5"/>
    <w:pPr>
      <w:jc w:val="center"/>
    </w:pPr>
    <w:rPr>
      <w:rFonts w:ascii="Arial Bold" w:hAnsi="Arial Bold"/>
      <w:b/>
      <w:caps/>
      <w:sz w:val="22"/>
    </w:rPr>
  </w:style>
  <w:style w:type="paragraph" w:customStyle="1" w:styleId="FileProperties">
    <w:name w:val="File Properties"/>
    <w:basedOn w:val="Normal"/>
    <w:rsid w:val="008E2B7F"/>
    <w:pPr>
      <w:numPr>
        <w:ilvl w:val="2"/>
        <w:numId w:val="16"/>
      </w:numPr>
      <w:spacing w:before="0"/>
    </w:pPr>
    <w:rPr>
      <w:i/>
    </w:rPr>
  </w:style>
  <w:style w:type="paragraph" w:customStyle="1" w:styleId="AlphaParagraph">
    <w:name w:val="Alpha Paragraph"/>
    <w:basedOn w:val="Normal"/>
    <w:rsid w:val="00EA03E5"/>
    <w:pPr>
      <w:numPr>
        <w:numId w:val="1"/>
      </w:numPr>
      <w:tabs>
        <w:tab w:val="clear" w:pos="567"/>
        <w:tab w:val="num" w:pos="360"/>
      </w:tabs>
      <w:ind w:left="0" w:firstLine="0"/>
    </w:pPr>
  </w:style>
  <w:style w:type="paragraph" w:customStyle="1" w:styleId="HeadingBase">
    <w:name w:val="Heading Base"/>
    <w:rsid w:val="00EA03E5"/>
    <w:pPr>
      <w:keepNext/>
      <w:spacing w:after="0" w:line="240" w:lineRule="auto"/>
    </w:pPr>
    <w:rPr>
      <w:rFonts w:ascii="Arial" w:eastAsia="Times New Roman" w:hAnsi="Arial" w:cs="Times New Roman"/>
      <w:sz w:val="24"/>
      <w:szCs w:val="20"/>
      <w:lang w:eastAsia="en-AU"/>
    </w:rPr>
  </w:style>
  <w:style w:type="paragraph" w:customStyle="1" w:styleId="Heading1-Statement">
    <w:name w:val="Heading 1 - Statement"/>
    <w:basedOn w:val="Heading1"/>
    <w:next w:val="Normal"/>
    <w:autoRedefine/>
    <w:qFormat/>
    <w:rsid w:val="00E52762"/>
    <w:pPr>
      <w:outlineLvl w:val="9"/>
    </w:pPr>
    <w:rPr>
      <w:bCs/>
      <w:color w:val="FFFFFF" w:themeColor="background1"/>
      <w:szCs w:val="52"/>
    </w:rPr>
  </w:style>
  <w:style w:type="paragraph" w:customStyle="1" w:styleId="StatementWhite">
    <w:name w:val="Statement White"/>
    <w:basedOn w:val="Normal"/>
    <w:autoRedefine/>
    <w:qFormat/>
    <w:rsid w:val="00E52762"/>
    <w:pPr>
      <w:textboxTightWrap w:val="firstAndLastLine"/>
    </w:pPr>
    <w:rPr>
      <w:rFonts w:cstheme="minorHAnsi"/>
      <w:color w:val="FFFFFF" w:themeColor="background1"/>
      <w:kern w:val="18"/>
      <w:sz w:val="18"/>
    </w:rPr>
  </w:style>
  <w:style w:type="paragraph" w:customStyle="1" w:styleId="FooterOddWHITE">
    <w:name w:val="Footer Odd WHITE"/>
    <w:basedOn w:val="FooterOdd"/>
    <w:qFormat/>
    <w:rsid w:val="00EA03E5"/>
    <w:pPr>
      <w:pBdr>
        <w:top w:val="single" w:sz="4" w:space="10" w:color="FFFFFF" w:themeColor="background1"/>
      </w:pBdr>
    </w:pPr>
    <w:rPr>
      <w:color w:val="FFFFFF" w:themeColor="background1"/>
    </w:rPr>
  </w:style>
  <w:style w:type="paragraph" w:customStyle="1" w:styleId="BoxText">
    <w:name w:val="Box Text"/>
    <w:basedOn w:val="Normal"/>
    <w:link w:val="BoxTextChar"/>
    <w:qFormat/>
    <w:rsid w:val="00EA03E5"/>
    <w:pPr>
      <w:spacing w:before="120" w:after="120" w:line="240" w:lineRule="auto"/>
    </w:pPr>
  </w:style>
  <w:style w:type="paragraph" w:customStyle="1" w:styleId="BoxBullet">
    <w:name w:val="Box Bullet"/>
    <w:basedOn w:val="BoxText"/>
    <w:rsid w:val="000B5DAA"/>
    <w:pPr>
      <w:numPr>
        <w:numId w:val="2"/>
      </w:numPr>
    </w:pPr>
  </w:style>
  <w:style w:type="paragraph" w:customStyle="1" w:styleId="BoxHeading">
    <w:name w:val="Box Heading"/>
    <w:basedOn w:val="HeadingBase"/>
    <w:next w:val="BoxText"/>
    <w:rsid w:val="00EA03E5"/>
    <w:pPr>
      <w:spacing w:before="120" w:after="120"/>
    </w:pPr>
    <w:rPr>
      <w:b/>
      <w:sz w:val="20"/>
    </w:rPr>
  </w:style>
  <w:style w:type="character" w:customStyle="1" w:styleId="Heading6Char">
    <w:name w:val="Heading 6 Char"/>
    <w:basedOn w:val="DefaultParagraphFont"/>
    <w:link w:val="Heading6"/>
    <w:rsid w:val="00EA03E5"/>
    <w:rPr>
      <w:rFonts w:ascii="Arial" w:eastAsia="Times New Roman" w:hAnsi="Arial" w:cs="Times New Roman"/>
      <w:bCs/>
      <w:sz w:val="20"/>
      <w:lang w:eastAsia="en-AU"/>
    </w:rPr>
  </w:style>
  <w:style w:type="paragraph" w:customStyle="1" w:styleId="BoxSubHeading">
    <w:name w:val="Box Sub Heading"/>
    <w:basedOn w:val="Heading6"/>
    <w:rsid w:val="00EA03E5"/>
    <w:pPr>
      <w:spacing w:before="120" w:after="40"/>
    </w:pPr>
  </w:style>
  <w:style w:type="paragraph" w:customStyle="1" w:styleId="Bullet">
    <w:name w:val="Bullet"/>
    <w:aliases w:val="Body,Bullet + line,b,b + line,b1,level 1,BodyNum,Bullet Char1,Bullet Char1 Char Char Char Char,b1 Char Char Char,Bullet Char1 Char Char Char Char Char,Bullet Char1 Char Char Char,bulleted"/>
    <w:basedOn w:val="Normal"/>
    <w:link w:val="BulletChar"/>
    <w:qFormat/>
    <w:rsid w:val="00EA03E5"/>
    <w:pPr>
      <w:numPr>
        <w:numId w:val="3"/>
      </w:numPr>
      <w:spacing w:after="160"/>
    </w:pPr>
  </w:style>
  <w:style w:type="paragraph" w:styleId="Caption">
    <w:name w:val="caption"/>
    <w:basedOn w:val="Normal"/>
    <w:next w:val="Normal"/>
    <w:rsid w:val="00EA03E5"/>
    <w:rPr>
      <w:b/>
      <w:bCs/>
    </w:rPr>
  </w:style>
  <w:style w:type="paragraph" w:customStyle="1" w:styleId="ChartandTableFootnote">
    <w:name w:val="Chart and Table Footnote"/>
    <w:basedOn w:val="HeadingBase"/>
    <w:next w:val="Normal"/>
    <w:rsid w:val="00EA03E5"/>
    <w:pPr>
      <w:keepNext w:val="0"/>
      <w:tabs>
        <w:tab w:val="left" w:pos="709"/>
      </w:tabs>
      <w:spacing w:before="30"/>
      <w:ind w:left="709" w:hanging="709"/>
    </w:pPr>
    <w:rPr>
      <w:color w:val="000000"/>
      <w:sz w:val="16"/>
    </w:rPr>
  </w:style>
  <w:style w:type="paragraph" w:customStyle="1" w:styleId="ChartandTableFootnoteAlpha">
    <w:name w:val="Chart and Table Footnote Alpha"/>
    <w:basedOn w:val="HeadingBase"/>
    <w:next w:val="Normal"/>
    <w:rsid w:val="00EA03E5"/>
    <w:pPr>
      <w:keepNext w:val="0"/>
      <w:numPr>
        <w:numId w:val="4"/>
      </w:numPr>
      <w:spacing w:before="30"/>
      <w:ind w:left="284" w:hanging="284"/>
    </w:pPr>
    <w:rPr>
      <w:color w:val="000000"/>
      <w:sz w:val="16"/>
    </w:rPr>
  </w:style>
  <w:style w:type="paragraph" w:customStyle="1" w:styleId="ChartandTableFootnoteSmall">
    <w:name w:val="Chart and Table Footnote Small"/>
    <w:basedOn w:val="HeadingBase"/>
    <w:next w:val="Normal"/>
    <w:rsid w:val="00EA03E5"/>
    <w:pPr>
      <w:keepNext w:val="0"/>
      <w:tabs>
        <w:tab w:val="left" w:pos="284"/>
      </w:tabs>
      <w:jc w:val="both"/>
    </w:pPr>
    <w:rPr>
      <w:color w:val="000000"/>
      <w:sz w:val="15"/>
    </w:rPr>
  </w:style>
  <w:style w:type="paragraph" w:customStyle="1" w:styleId="ChartGraphic">
    <w:name w:val="Chart Graphic"/>
    <w:basedOn w:val="HeadingBase"/>
    <w:rsid w:val="00AE1AD0"/>
    <w:rPr>
      <w:sz w:val="20"/>
    </w:rPr>
  </w:style>
  <w:style w:type="paragraph" w:customStyle="1" w:styleId="ChartHeading">
    <w:name w:val="Chart Heading"/>
    <w:basedOn w:val="HeadingBase"/>
    <w:next w:val="ChartGraphic"/>
    <w:qFormat/>
    <w:rsid w:val="00EA03E5"/>
    <w:pPr>
      <w:spacing w:before="120" w:after="20"/>
    </w:pPr>
    <w:rPr>
      <w:b/>
      <w:sz w:val="20"/>
    </w:rPr>
  </w:style>
  <w:style w:type="paragraph" w:customStyle="1" w:styleId="TableLine">
    <w:name w:val="Table Line"/>
    <w:basedOn w:val="Normal"/>
    <w:next w:val="Normal"/>
    <w:autoRedefine/>
    <w:rsid w:val="00FF33A3"/>
    <w:pPr>
      <w:pBdr>
        <w:bottom w:val="single" w:sz="4" w:space="2" w:color="626A77" w:themeColor="background2" w:themeShade="E6"/>
      </w:pBdr>
      <w:spacing w:before="0" w:after="0" w:line="240" w:lineRule="auto"/>
    </w:pPr>
    <w:rPr>
      <w:noProof/>
      <w:sz w:val="4"/>
      <w:szCs w:val="4"/>
    </w:rPr>
  </w:style>
  <w:style w:type="paragraph" w:customStyle="1" w:styleId="ChartSecondHeading">
    <w:name w:val="Chart Second Heading"/>
    <w:basedOn w:val="HeadingBase"/>
    <w:next w:val="ChartGraphic"/>
    <w:rsid w:val="00EA03E5"/>
    <w:pPr>
      <w:spacing w:after="60"/>
    </w:pPr>
    <w:rPr>
      <w:sz w:val="19"/>
    </w:rPr>
  </w:style>
  <w:style w:type="character" w:styleId="CommentReference">
    <w:name w:val="annotation reference"/>
    <w:basedOn w:val="DefaultParagraphFont"/>
    <w:rsid w:val="00EA03E5"/>
    <w:rPr>
      <w:sz w:val="16"/>
      <w:szCs w:val="16"/>
    </w:rPr>
  </w:style>
  <w:style w:type="paragraph" w:styleId="CommentText">
    <w:name w:val="annotation text"/>
    <w:basedOn w:val="Normal"/>
    <w:link w:val="CommentTextChar"/>
    <w:rsid w:val="00EA03E5"/>
  </w:style>
  <w:style w:type="character" w:customStyle="1" w:styleId="CommentTextChar">
    <w:name w:val="Comment Text Char"/>
    <w:basedOn w:val="DefaultParagraphFont"/>
    <w:link w:val="CommentText"/>
    <w:rsid w:val="00EA03E5"/>
    <w:rPr>
      <w:rFonts w:eastAsia="Times New Roman" w:cs="Times New Roman"/>
      <w:sz w:val="19"/>
      <w:szCs w:val="20"/>
      <w:lang w:eastAsia="en-AU"/>
    </w:rPr>
  </w:style>
  <w:style w:type="paragraph" w:styleId="CommentSubject">
    <w:name w:val="annotation subject"/>
    <w:basedOn w:val="CommentText"/>
    <w:next w:val="CommentText"/>
    <w:link w:val="CommentSubjectChar"/>
    <w:semiHidden/>
    <w:rsid w:val="00EA03E5"/>
    <w:rPr>
      <w:b/>
      <w:bCs/>
    </w:rPr>
  </w:style>
  <w:style w:type="character" w:customStyle="1" w:styleId="CommentSubjectChar">
    <w:name w:val="Comment Subject Char"/>
    <w:basedOn w:val="CommentTextChar"/>
    <w:link w:val="CommentSubject"/>
    <w:semiHidden/>
    <w:rsid w:val="00EA03E5"/>
    <w:rPr>
      <w:rFonts w:eastAsia="Times New Roman" w:cs="Times New Roman"/>
      <w:b/>
      <w:bCs/>
      <w:sz w:val="19"/>
      <w:szCs w:val="20"/>
      <w:lang w:eastAsia="en-AU"/>
    </w:rPr>
  </w:style>
  <w:style w:type="paragraph" w:customStyle="1" w:styleId="ContentsHeading">
    <w:name w:val="Contents Heading"/>
    <w:basedOn w:val="HeadingBase"/>
    <w:next w:val="Normal"/>
    <w:rsid w:val="0009408A"/>
    <w:pPr>
      <w:spacing w:after="720"/>
    </w:pPr>
    <w:rPr>
      <w:b/>
      <w:sz w:val="36"/>
    </w:rPr>
  </w:style>
  <w:style w:type="character" w:styleId="Strong">
    <w:name w:val="Strong"/>
    <w:basedOn w:val="DefaultParagraphFont"/>
    <w:uiPriority w:val="22"/>
    <w:qFormat/>
    <w:rsid w:val="00EA03E5"/>
    <w:rPr>
      <w:b/>
      <w:bCs/>
    </w:rPr>
  </w:style>
  <w:style w:type="paragraph" w:customStyle="1" w:styleId="Dash">
    <w:name w:val="Dash"/>
    <w:basedOn w:val="Normal"/>
    <w:qFormat/>
    <w:rsid w:val="00EA03E5"/>
    <w:pPr>
      <w:numPr>
        <w:ilvl w:val="1"/>
        <w:numId w:val="3"/>
      </w:numPr>
      <w:tabs>
        <w:tab w:val="left" w:pos="567"/>
      </w:tabs>
    </w:pPr>
  </w:style>
  <w:style w:type="paragraph" w:styleId="DocumentMap">
    <w:name w:val="Document Map"/>
    <w:basedOn w:val="Normal"/>
    <w:link w:val="DocumentMapChar"/>
    <w:semiHidden/>
    <w:rsid w:val="00EA03E5"/>
    <w:pPr>
      <w:shd w:val="clear" w:color="auto" w:fill="000080"/>
    </w:pPr>
    <w:rPr>
      <w:rFonts w:ascii="Tahoma" w:hAnsi="Tahoma" w:cs="Tahoma"/>
    </w:rPr>
  </w:style>
  <w:style w:type="character" w:customStyle="1" w:styleId="DocumentMapChar">
    <w:name w:val="Document Map Char"/>
    <w:basedOn w:val="DefaultParagraphFont"/>
    <w:link w:val="DocumentMap"/>
    <w:semiHidden/>
    <w:rsid w:val="00EA03E5"/>
    <w:rPr>
      <w:rFonts w:ascii="Tahoma" w:eastAsia="Times New Roman" w:hAnsi="Tahoma" w:cs="Tahoma"/>
      <w:sz w:val="19"/>
      <w:szCs w:val="20"/>
      <w:shd w:val="clear" w:color="auto" w:fill="000080"/>
      <w:lang w:eastAsia="en-AU"/>
    </w:rPr>
  </w:style>
  <w:style w:type="paragraph" w:customStyle="1" w:styleId="DoubleDot">
    <w:name w:val="Double Dot"/>
    <w:basedOn w:val="Normal"/>
    <w:qFormat/>
    <w:rsid w:val="00EA03E5"/>
    <w:pPr>
      <w:numPr>
        <w:ilvl w:val="2"/>
        <w:numId w:val="3"/>
      </w:numPr>
      <w:tabs>
        <w:tab w:val="clear" w:pos="850"/>
        <w:tab w:val="num" w:pos="360"/>
        <w:tab w:val="left" w:pos="851"/>
      </w:tabs>
    </w:pPr>
  </w:style>
  <w:style w:type="character" w:styleId="EndnoteReference">
    <w:name w:val="endnote reference"/>
    <w:basedOn w:val="DefaultParagraphFont"/>
    <w:unhideWhenUsed/>
    <w:rsid w:val="00EA03E5"/>
    <w:rPr>
      <w:vertAlign w:val="superscript"/>
    </w:rPr>
  </w:style>
  <w:style w:type="paragraph" w:styleId="EndnoteText">
    <w:name w:val="endnote text"/>
    <w:basedOn w:val="Normal"/>
    <w:link w:val="EndnoteTextChar"/>
    <w:unhideWhenUsed/>
    <w:rsid w:val="00EA03E5"/>
  </w:style>
  <w:style w:type="character" w:customStyle="1" w:styleId="EndnoteTextChar">
    <w:name w:val="Endnote Text Char"/>
    <w:basedOn w:val="DefaultParagraphFont"/>
    <w:link w:val="EndnoteText"/>
    <w:rsid w:val="00EA03E5"/>
    <w:rPr>
      <w:rFonts w:eastAsia="Times New Roman" w:cs="Times New Roman"/>
      <w:sz w:val="19"/>
      <w:szCs w:val="20"/>
      <w:lang w:eastAsia="en-AU"/>
    </w:rPr>
  </w:style>
  <w:style w:type="paragraph" w:customStyle="1" w:styleId="FigureHeading">
    <w:name w:val="Figure Heading"/>
    <w:basedOn w:val="HeadingBase"/>
    <w:next w:val="ChartGraphic"/>
    <w:rsid w:val="00EA03E5"/>
    <w:pPr>
      <w:spacing w:before="120" w:after="20"/>
    </w:pPr>
    <w:rPr>
      <w:b/>
      <w:sz w:val="20"/>
    </w:rPr>
  </w:style>
  <w:style w:type="paragraph" w:customStyle="1" w:styleId="FooterBase">
    <w:name w:val="Footer Base"/>
    <w:rsid w:val="00EA03E5"/>
    <w:pPr>
      <w:spacing w:after="0" w:line="240" w:lineRule="auto"/>
      <w:jc w:val="center"/>
    </w:pPr>
    <w:rPr>
      <w:rFonts w:ascii="Arial" w:eastAsia="Times New Roman" w:hAnsi="Arial" w:cs="Times New Roman"/>
      <w:color w:val="293F5B" w:themeColor="text2"/>
      <w:sz w:val="20"/>
      <w:szCs w:val="20"/>
      <w:lang w:eastAsia="en-AU"/>
    </w:rPr>
  </w:style>
  <w:style w:type="paragraph" w:customStyle="1" w:styleId="FooterEven">
    <w:name w:val="Footer Even"/>
    <w:basedOn w:val="Footer"/>
    <w:rsid w:val="00EA03E5"/>
    <w:pPr>
      <w:pBdr>
        <w:top w:val="single" w:sz="4" w:space="10" w:color="293F5B" w:themeColor="text2"/>
      </w:pBdr>
      <w:jc w:val="left"/>
    </w:pPr>
    <w:rPr>
      <w:sz w:val="18"/>
    </w:rPr>
  </w:style>
  <w:style w:type="paragraph" w:customStyle="1" w:styleId="FooterOdd">
    <w:name w:val="Footer Odd"/>
    <w:basedOn w:val="Footer"/>
    <w:qFormat/>
    <w:rsid w:val="00EA03E5"/>
    <w:pPr>
      <w:pBdr>
        <w:top w:val="single" w:sz="4" w:space="10" w:color="293F5B" w:themeColor="text2"/>
      </w:pBdr>
      <w:jc w:val="right"/>
    </w:pPr>
    <w:rPr>
      <w:sz w:val="18"/>
    </w:rPr>
  </w:style>
  <w:style w:type="character" w:styleId="FootnoteReference">
    <w:name w:val="footnote reference"/>
    <w:basedOn w:val="DefaultParagraphFont"/>
    <w:rsid w:val="00EA03E5"/>
    <w:rPr>
      <w:vertAlign w:val="superscript"/>
    </w:rPr>
  </w:style>
  <w:style w:type="paragraph" w:styleId="FootnoteText">
    <w:name w:val="footnote text"/>
    <w:basedOn w:val="Normal"/>
    <w:link w:val="FootnoteTextChar"/>
    <w:rsid w:val="00EA03E5"/>
    <w:pPr>
      <w:tabs>
        <w:tab w:val="left" w:pos="284"/>
      </w:tabs>
      <w:spacing w:before="80" w:after="0" w:line="240" w:lineRule="auto"/>
      <w:ind w:left="284" w:hanging="284"/>
      <w:contextualSpacing/>
    </w:pPr>
    <w:rPr>
      <w:sz w:val="18"/>
    </w:rPr>
  </w:style>
  <w:style w:type="character" w:customStyle="1" w:styleId="FootnoteTextChar">
    <w:name w:val="Footnote Text Char"/>
    <w:basedOn w:val="DefaultParagraphFont"/>
    <w:link w:val="FootnoteText"/>
    <w:rsid w:val="00EA03E5"/>
    <w:rPr>
      <w:rFonts w:eastAsia="Times New Roman" w:cs="Times New Roman"/>
      <w:sz w:val="18"/>
      <w:szCs w:val="20"/>
      <w:lang w:eastAsia="en-AU"/>
    </w:rPr>
  </w:style>
  <w:style w:type="character" w:customStyle="1" w:styleId="FramedHeader">
    <w:name w:val="Framed Header"/>
    <w:basedOn w:val="DefaultParagraphFont"/>
    <w:rsid w:val="00EA03E5"/>
    <w:rPr>
      <w:rFonts w:ascii="Book Antiqua" w:hAnsi="Book Antiqua"/>
      <w:i/>
      <w:dstrike w:val="0"/>
      <w:color w:val="auto"/>
      <w:sz w:val="20"/>
      <w:vertAlign w:val="baseline"/>
    </w:rPr>
  </w:style>
  <w:style w:type="paragraph" w:customStyle="1" w:styleId="HeaderBase">
    <w:name w:val="Header Base"/>
    <w:rsid w:val="00EA03E5"/>
    <w:pPr>
      <w:spacing w:after="0" w:line="240" w:lineRule="auto"/>
    </w:pPr>
    <w:rPr>
      <w:rFonts w:ascii="Arial" w:eastAsia="Times New Roman" w:hAnsi="Arial" w:cs="Times New Roman"/>
      <w:color w:val="293F5B" w:themeColor="text2"/>
      <w:sz w:val="18"/>
      <w:szCs w:val="20"/>
      <w:lang w:eastAsia="en-AU"/>
    </w:rPr>
  </w:style>
  <w:style w:type="paragraph" w:customStyle="1" w:styleId="HeaderEven">
    <w:name w:val="Header Even"/>
    <w:basedOn w:val="HeaderBase"/>
    <w:rsid w:val="00EA03E5"/>
  </w:style>
  <w:style w:type="paragraph" w:customStyle="1" w:styleId="HeaderOdd">
    <w:name w:val="Header Odd"/>
    <w:basedOn w:val="HeaderBase"/>
    <w:rsid w:val="00EA03E5"/>
    <w:pPr>
      <w:jc w:val="right"/>
    </w:pPr>
  </w:style>
  <w:style w:type="character" w:customStyle="1" w:styleId="Heading1Char">
    <w:name w:val="Heading 1 Char"/>
    <w:basedOn w:val="DefaultParagraphFont"/>
    <w:link w:val="Heading1"/>
    <w:rsid w:val="00EA03E5"/>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EA03E5"/>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EA03E5"/>
    <w:rPr>
      <w:rFonts w:ascii="Arial Bold" w:eastAsia="Times New Roman" w:hAnsi="Arial Bold" w:cs="Times New Roman"/>
      <w:b/>
      <w:szCs w:val="20"/>
      <w:lang w:eastAsia="en-AU"/>
    </w:rPr>
  </w:style>
  <w:style w:type="paragraph" w:customStyle="1" w:styleId="Heading3noTOC">
    <w:name w:val="Heading 3 no TOC"/>
    <w:basedOn w:val="Heading3"/>
    <w:rsid w:val="00EA03E5"/>
    <w:pPr>
      <w:outlineLvl w:val="9"/>
    </w:pPr>
  </w:style>
  <w:style w:type="character" w:customStyle="1" w:styleId="Heading4Char">
    <w:name w:val="Heading 4 Char"/>
    <w:basedOn w:val="DefaultParagraphFont"/>
    <w:link w:val="Heading4"/>
    <w:rsid w:val="00EA03E5"/>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EA03E5"/>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EA03E5"/>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EA03E5"/>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EA03E5"/>
    <w:rPr>
      <w:rFonts w:ascii="Times New Roman" w:hAnsi="Times New Roman"/>
      <w:vanish/>
      <w:sz w:val="16"/>
    </w:rPr>
  </w:style>
  <w:style w:type="character" w:styleId="Hyperlink">
    <w:name w:val="Hyperlink"/>
    <w:basedOn w:val="DefaultParagraphFont"/>
    <w:uiPriority w:val="99"/>
    <w:unhideWhenUsed/>
    <w:rsid w:val="0015732E"/>
    <w:rPr>
      <w:color w:val="000000" w:themeColor="text1"/>
      <w:u w:val="single"/>
    </w:rPr>
  </w:style>
  <w:style w:type="paragraph" w:styleId="Index1">
    <w:name w:val="index 1"/>
    <w:basedOn w:val="Normal"/>
    <w:next w:val="Normal"/>
    <w:rsid w:val="00EA03E5"/>
    <w:pPr>
      <w:ind w:left="200" w:hanging="200"/>
    </w:pPr>
  </w:style>
  <w:style w:type="paragraph" w:styleId="Index2">
    <w:name w:val="index 2"/>
    <w:basedOn w:val="Normal"/>
    <w:next w:val="Normal"/>
    <w:rsid w:val="00EA03E5"/>
    <w:pPr>
      <w:ind w:left="400" w:hanging="200"/>
    </w:pPr>
  </w:style>
  <w:style w:type="paragraph" w:styleId="Index3">
    <w:name w:val="index 3"/>
    <w:basedOn w:val="Normal"/>
    <w:next w:val="Normal"/>
    <w:rsid w:val="00EA03E5"/>
    <w:pPr>
      <w:ind w:left="600" w:hanging="200"/>
    </w:pPr>
  </w:style>
  <w:style w:type="paragraph" w:styleId="Index4">
    <w:name w:val="index 4"/>
    <w:basedOn w:val="Normal"/>
    <w:next w:val="Normal"/>
    <w:autoRedefine/>
    <w:semiHidden/>
    <w:rsid w:val="00EA03E5"/>
    <w:pPr>
      <w:ind w:left="800" w:hanging="200"/>
    </w:pPr>
  </w:style>
  <w:style w:type="paragraph" w:styleId="Index5">
    <w:name w:val="index 5"/>
    <w:basedOn w:val="Normal"/>
    <w:next w:val="Normal"/>
    <w:autoRedefine/>
    <w:semiHidden/>
    <w:rsid w:val="00EA03E5"/>
    <w:pPr>
      <w:ind w:left="1000" w:hanging="200"/>
    </w:pPr>
  </w:style>
  <w:style w:type="paragraph" w:styleId="Index6">
    <w:name w:val="index 6"/>
    <w:basedOn w:val="Normal"/>
    <w:next w:val="Normal"/>
    <w:autoRedefine/>
    <w:semiHidden/>
    <w:rsid w:val="00EA03E5"/>
    <w:pPr>
      <w:ind w:left="1200" w:hanging="200"/>
    </w:pPr>
  </w:style>
  <w:style w:type="paragraph" w:styleId="Index7">
    <w:name w:val="index 7"/>
    <w:basedOn w:val="Normal"/>
    <w:next w:val="Normal"/>
    <w:autoRedefine/>
    <w:semiHidden/>
    <w:rsid w:val="00EA03E5"/>
    <w:pPr>
      <w:ind w:left="1400" w:hanging="200"/>
    </w:pPr>
  </w:style>
  <w:style w:type="paragraph" w:styleId="Index8">
    <w:name w:val="index 8"/>
    <w:basedOn w:val="Normal"/>
    <w:next w:val="Normal"/>
    <w:autoRedefine/>
    <w:semiHidden/>
    <w:rsid w:val="00EA03E5"/>
    <w:pPr>
      <w:ind w:left="1600" w:hanging="200"/>
    </w:pPr>
  </w:style>
  <w:style w:type="paragraph" w:styleId="Index9">
    <w:name w:val="index 9"/>
    <w:basedOn w:val="Normal"/>
    <w:next w:val="Normal"/>
    <w:autoRedefine/>
    <w:semiHidden/>
    <w:rsid w:val="00EA03E5"/>
    <w:pPr>
      <w:ind w:left="1800" w:hanging="200"/>
    </w:pPr>
  </w:style>
  <w:style w:type="paragraph" w:styleId="IndexHeading">
    <w:name w:val="index heading"/>
    <w:basedOn w:val="Normal"/>
    <w:next w:val="Index1"/>
    <w:rsid w:val="00EA03E5"/>
    <w:rPr>
      <w:rFonts w:ascii="Arial Bold" w:hAnsi="Arial Bold" w:cs="Arial"/>
      <w:b/>
      <w:bCs/>
      <w:color w:val="002B54"/>
    </w:rPr>
  </w:style>
  <w:style w:type="paragraph" w:styleId="MacroText">
    <w:name w:val="macro"/>
    <w:link w:val="MacroTextChar"/>
    <w:unhideWhenUsed/>
    <w:rsid w:val="00EA03E5"/>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EA03E5"/>
    <w:rPr>
      <w:rFonts w:ascii="Courier New" w:eastAsia="Times New Roman" w:hAnsi="Courier New" w:cs="Courier New"/>
      <w:sz w:val="20"/>
      <w:szCs w:val="20"/>
      <w:lang w:eastAsia="en-AU"/>
    </w:rPr>
  </w:style>
  <w:style w:type="paragraph" w:styleId="NormalIndent">
    <w:name w:val="Normal Indent"/>
    <w:basedOn w:val="Normal"/>
    <w:rsid w:val="00EA03E5"/>
    <w:pPr>
      <w:ind w:left="567"/>
    </w:pPr>
  </w:style>
  <w:style w:type="paragraph" w:customStyle="1" w:styleId="NoteTableHeading">
    <w:name w:val="Note Table Heading"/>
    <w:basedOn w:val="HeadingBase"/>
    <w:next w:val="Normal"/>
    <w:rsid w:val="00EA03E5"/>
    <w:pPr>
      <w:spacing w:before="240"/>
    </w:pPr>
    <w:rPr>
      <w:b/>
      <w:sz w:val="20"/>
    </w:rPr>
  </w:style>
  <w:style w:type="paragraph" w:customStyle="1" w:styleId="OverviewParagraph">
    <w:name w:val="Overview Paragraph"/>
    <w:basedOn w:val="Normal"/>
    <w:rsid w:val="00EA03E5"/>
    <w:pPr>
      <w:spacing w:before="120" w:after="120" w:line="240" w:lineRule="auto"/>
    </w:pPr>
  </w:style>
  <w:style w:type="character" w:styleId="PageNumber">
    <w:name w:val="page number"/>
    <w:basedOn w:val="DefaultParagraphFont"/>
    <w:rsid w:val="00EA03E5"/>
    <w:rPr>
      <w:rFonts w:ascii="Arial" w:hAnsi="Arial" w:cs="Arial"/>
    </w:rPr>
  </w:style>
  <w:style w:type="paragraph" w:customStyle="1" w:styleId="SingleParagraph">
    <w:name w:val="Single Paragraph"/>
    <w:basedOn w:val="Normal"/>
    <w:rsid w:val="00EA03E5"/>
    <w:pPr>
      <w:spacing w:after="0"/>
    </w:pPr>
  </w:style>
  <w:style w:type="paragraph" w:customStyle="1" w:styleId="Source">
    <w:name w:val="Source"/>
    <w:basedOn w:val="Normal"/>
    <w:rsid w:val="00EA03E5"/>
    <w:pPr>
      <w:tabs>
        <w:tab w:val="left" w:pos="709"/>
      </w:tabs>
      <w:spacing w:before="30" w:line="240" w:lineRule="auto"/>
      <w:ind w:left="709" w:hanging="709"/>
    </w:pPr>
    <w:rPr>
      <w:rFonts w:ascii="Arial" w:hAnsi="Arial"/>
      <w:sz w:val="16"/>
    </w:rPr>
  </w:style>
  <w:style w:type="paragraph" w:customStyle="1" w:styleId="TableColumnHeadingBase">
    <w:name w:val="Table Column Heading Base"/>
    <w:basedOn w:val="Normal"/>
    <w:rsid w:val="00EA03E5"/>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EA03E5"/>
    <w:pPr>
      <w:jc w:val="center"/>
    </w:pPr>
  </w:style>
  <w:style w:type="paragraph" w:customStyle="1" w:styleId="TableColumnHeadingLeft">
    <w:name w:val="Table Column Heading Left"/>
    <w:basedOn w:val="TableColumnHeadingBase"/>
    <w:next w:val="Normal"/>
    <w:rsid w:val="00EA03E5"/>
  </w:style>
  <w:style w:type="paragraph" w:customStyle="1" w:styleId="TableColumnHeadingRight">
    <w:name w:val="Table Column Heading Right"/>
    <w:basedOn w:val="TableColumnHeadingBase"/>
    <w:next w:val="Normal"/>
    <w:rsid w:val="00EA03E5"/>
    <w:pPr>
      <w:jc w:val="right"/>
    </w:pPr>
  </w:style>
  <w:style w:type="paragraph" w:customStyle="1" w:styleId="TableGraphic">
    <w:name w:val="Table Graphic"/>
    <w:basedOn w:val="Normal"/>
    <w:next w:val="Normal"/>
    <w:rsid w:val="00EA03E5"/>
    <w:pPr>
      <w:spacing w:after="0" w:line="240" w:lineRule="auto"/>
      <w:ind w:right="-113"/>
    </w:pPr>
  </w:style>
  <w:style w:type="table" w:styleId="TableGrid">
    <w:name w:val="Table Grid"/>
    <w:basedOn w:val="TableNormal"/>
    <w:rsid w:val="000B5DAA"/>
    <w:pPr>
      <w:spacing w:after="240" w:line="260" w:lineRule="exact"/>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EA03E5"/>
    <w:pPr>
      <w:spacing w:before="120" w:after="20"/>
    </w:pPr>
    <w:rPr>
      <w:b/>
      <w:sz w:val="20"/>
    </w:rPr>
  </w:style>
  <w:style w:type="paragraph" w:customStyle="1" w:styleId="TableHeadingcontinued">
    <w:name w:val="Table Heading continued"/>
    <w:basedOn w:val="HeadingBase"/>
    <w:next w:val="TableGraphic"/>
    <w:rsid w:val="00EA03E5"/>
    <w:pPr>
      <w:spacing w:before="120" w:after="20"/>
    </w:pPr>
    <w:rPr>
      <w:rFonts w:ascii="Arial Bold" w:hAnsi="Arial Bold"/>
      <w:b/>
      <w:sz w:val="20"/>
    </w:rPr>
  </w:style>
  <w:style w:type="paragraph" w:styleId="TableofAuthorities">
    <w:name w:val="table of authorities"/>
    <w:basedOn w:val="Normal"/>
    <w:next w:val="Normal"/>
    <w:rsid w:val="00EA03E5"/>
    <w:pPr>
      <w:ind w:left="200" w:hanging="200"/>
    </w:pPr>
  </w:style>
  <w:style w:type="paragraph" w:styleId="TableofFigures">
    <w:name w:val="table of figures"/>
    <w:basedOn w:val="Normal"/>
    <w:next w:val="Normal"/>
    <w:rsid w:val="00EA03E5"/>
  </w:style>
  <w:style w:type="paragraph" w:customStyle="1" w:styleId="TableTextBase">
    <w:name w:val="Table Text Base"/>
    <w:basedOn w:val="Normal"/>
    <w:rsid w:val="00EA03E5"/>
    <w:pPr>
      <w:spacing w:before="20" w:after="20" w:line="240" w:lineRule="auto"/>
    </w:pPr>
    <w:rPr>
      <w:rFonts w:ascii="Arial" w:hAnsi="Arial"/>
      <w:sz w:val="16"/>
    </w:rPr>
  </w:style>
  <w:style w:type="paragraph" w:customStyle="1" w:styleId="TableTextCentred">
    <w:name w:val="Table Text Centred"/>
    <w:basedOn w:val="TableTextBase"/>
    <w:rsid w:val="00EA03E5"/>
    <w:pPr>
      <w:jc w:val="center"/>
    </w:pPr>
  </w:style>
  <w:style w:type="paragraph" w:customStyle="1" w:styleId="TableTextIndented">
    <w:name w:val="Table Text Indented"/>
    <w:basedOn w:val="TableTextBase"/>
    <w:rsid w:val="00EA03E5"/>
    <w:pPr>
      <w:ind w:left="284"/>
    </w:pPr>
  </w:style>
  <w:style w:type="paragraph" w:customStyle="1" w:styleId="TableTextLeft">
    <w:name w:val="Table Text Left"/>
    <w:basedOn w:val="TableTextBase"/>
    <w:rsid w:val="00EA03E5"/>
  </w:style>
  <w:style w:type="paragraph" w:customStyle="1" w:styleId="TableTextRight">
    <w:name w:val="Table Text Right"/>
    <w:basedOn w:val="TableTextBase"/>
    <w:rsid w:val="00EA03E5"/>
    <w:pPr>
      <w:jc w:val="right"/>
    </w:pPr>
  </w:style>
  <w:style w:type="paragraph" w:styleId="TOAHeading">
    <w:name w:val="toa heading"/>
    <w:basedOn w:val="Normal"/>
    <w:next w:val="Normal"/>
    <w:rsid w:val="00EA03E5"/>
    <w:pPr>
      <w:spacing w:before="120"/>
    </w:pPr>
    <w:rPr>
      <w:rFonts w:ascii="Arial" w:hAnsi="Arial" w:cs="Arial"/>
      <w:b/>
      <w:bCs/>
      <w:sz w:val="24"/>
      <w:szCs w:val="24"/>
    </w:rPr>
  </w:style>
  <w:style w:type="paragraph" w:styleId="TOC1">
    <w:name w:val="toc 1"/>
    <w:basedOn w:val="HeaderBase"/>
    <w:next w:val="Normal"/>
    <w:uiPriority w:val="39"/>
    <w:rsid w:val="00EA03E5"/>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39"/>
    <w:rsid w:val="00EA03E5"/>
    <w:pPr>
      <w:keepNext w:val="0"/>
      <w:tabs>
        <w:tab w:val="left" w:pos="992"/>
        <w:tab w:val="right" w:leader="dot" w:pos="7700"/>
      </w:tabs>
      <w:spacing w:before="60" w:after="60"/>
      <w:ind w:left="851" w:right="851" w:hanging="851"/>
    </w:pPr>
    <w:rPr>
      <w:sz w:val="18"/>
    </w:rPr>
  </w:style>
  <w:style w:type="paragraph" w:styleId="TOC3">
    <w:name w:val="toc 3"/>
    <w:basedOn w:val="HeadingBase"/>
    <w:next w:val="Normal"/>
    <w:uiPriority w:val="2"/>
    <w:unhideWhenUsed/>
    <w:rsid w:val="00EA03E5"/>
    <w:pPr>
      <w:tabs>
        <w:tab w:val="right" w:leader="dot" w:pos="7700"/>
      </w:tabs>
      <w:spacing w:before="40"/>
      <w:ind w:right="851"/>
    </w:pPr>
    <w:rPr>
      <w:sz w:val="20"/>
    </w:rPr>
  </w:style>
  <w:style w:type="paragraph" w:styleId="TOC4">
    <w:name w:val="toc 4"/>
    <w:basedOn w:val="HeadingBase"/>
    <w:next w:val="Normal"/>
    <w:uiPriority w:val="2"/>
    <w:unhideWhenUsed/>
    <w:rsid w:val="00EA03E5"/>
    <w:pPr>
      <w:tabs>
        <w:tab w:val="right" w:leader="dot" w:pos="7700"/>
      </w:tabs>
      <w:spacing w:before="40"/>
      <w:ind w:right="851"/>
    </w:pPr>
    <w:rPr>
      <w:sz w:val="20"/>
    </w:rPr>
  </w:style>
  <w:style w:type="paragraph" w:styleId="TOC5">
    <w:name w:val="toc 5"/>
    <w:basedOn w:val="Normal"/>
    <w:next w:val="Normal"/>
    <w:autoRedefine/>
    <w:uiPriority w:val="2"/>
    <w:semiHidden/>
    <w:rsid w:val="00EA03E5"/>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EA03E5"/>
    <w:pPr>
      <w:tabs>
        <w:tab w:val="left" w:pos="851"/>
      </w:tabs>
      <w:ind w:left="851" w:hanging="851"/>
    </w:pPr>
    <w:rPr>
      <w:color w:val="000000"/>
    </w:rPr>
  </w:style>
  <w:style w:type="paragraph" w:styleId="TOC7">
    <w:name w:val="toc 7"/>
    <w:basedOn w:val="Normal"/>
    <w:next w:val="Normal"/>
    <w:autoRedefine/>
    <w:uiPriority w:val="2"/>
    <w:semiHidden/>
    <w:rsid w:val="00EA03E5"/>
    <w:pPr>
      <w:ind w:left="1200"/>
    </w:pPr>
  </w:style>
  <w:style w:type="paragraph" w:styleId="TOC8">
    <w:name w:val="toc 8"/>
    <w:basedOn w:val="Normal"/>
    <w:next w:val="Normal"/>
    <w:autoRedefine/>
    <w:uiPriority w:val="2"/>
    <w:semiHidden/>
    <w:rsid w:val="00EA03E5"/>
    <w:pPr>
      <w:ind w:left="1400"/>
    </w:pPr>
  </w:style>
  <w:style w:type="paragraph" w:styleId="TOC9">
    <w:name w:val="toc 9"/>
    <w:basedOn w:val="Normal"/>
    <w:next w:val="Normal"/>
    <w:autoRedefine/>
    <w:uiPriority w:val="2"/>
    <w:semiHidden/>
    <w:rsid w:val="00EA03E5"/>
    <w:pPr>
      <w:ind w:left="1600"/>
    </w:pPr>
  </w:style>
  <w:style w:type="paragraph" w:customStyle="1" w:styleId="TPHeading1">
    <w:name w:val="TP Heading 1"/>
    <w:basedOn w:val="HeadingBase"/>
    <w:semiHidden/>
    <w:rsid w:val="00EA03E5"/>
    <w:pPr>
      <w:spacing w:before="60" w:after="60"/>
      <w:ind w:left="1134"/>
    </w:pPr>
    <w:rPr>
      <w:rFonts w:ascii="Arial Bold" w:hAnsi="Arial Bold"/>
      <w:b/>
      <w:caps/>
      <w:spacing w:val="-10"/>
      <w:sz w:val="28"/>
    </w:rPr>
  </w:style>
  <w:style w:type="paragraph" w:customStyle="1" w:styleId="TPHeading2">
    <w:name w:val="TP Heading 2"/>
    <w:basedOn w:val="HeadingBase"/>
    <w:semiHidden/>
    <w:rsid w:val="00EA03E5"/>
    <w:pPr>
      <w:ind w:left="1134"/>
    </w:pPr>
    <w:rPr>
      <w:caps/>
      <w:spacing w:val="-10"/>
      <w:sz w:val="28"/>
    </w:rPr>
  </w:style>
  <w:style w:type="paragraph" w:customStyle="1" w:styleId="TPHeading3">
    <w:name w:val="TP Heading 3"/>
    <w:basedOn w:val="HeadingBase"/>
    <w:semiHidden/>
    <w:rsid w:val="00EA03E5"/>
    <w:pPr>
      <w:ind w:left="1134"/>
    </w:pPr>
    <w:rPr>
      <w:caps/>
      <w:spacing w:val="-10"/>
    </w:rPr>
  </w:style>
  <w:style w:type="paragraph" w:customStyle="1" w:styleId="TPHeading3bold">
    <w:name w:val="TP Heading 3 bold"/>
    <w:basedOn w:val="TPHeading3"/>
    <w:semiHidden/>
    <w:rsid w:val="00EA03E5"/>
    <w:rPr>
      <w:rFonts w:cs="Arial"/>
      <w:b/>
      <w:sz w:val="22"/>
      <w:szCs w:val="22"/>
    </w:rPr>
  </w:style>
  <w:style w:type="paragraph" w:customStyle="1" w:styleId="TPHEADING3boldspace">
    <w:name w:val="TP HEADING 3 bold space"/>
    <w:basedOn w:val="TPHeading3bold"/>
    <w:semiHidden/>
    <w:rsid w:val="00EA03E5"/>
    <w:pPr>
      <w:spacing w:after="120"/>
    </w:pPr>
  </w:style>
  <w:style w:type="paragraph" w:customStyle="1" w:styleId="TPHEADING3space">
    <w:name w:val="TP HEADING 3 space"/>
    <w:basedOn w:val="TPHeading3"/>
    <w:semiHidden/>
    <w:rsid w:val="00EA03E5"/>
    <w:pPr>
      <w:spacing w:before="120" w:after="120"/>
    </w:pPr>
    <w:rPr>
      <w:rFonts w:cs="Arial"/>
      <w:sz w:val="22"/>
      <w:szCs w:val="22"/>
    </w:rPr>
  </w:style>
  <w:style w:type="paragraph" w:customStyle="1" w:styleId="TPHeading4">
    <w:name w:val="TP Heading 4"/>
    <w:basedOn w:val="TPHeading3"/>
    <w:semiHidden/>
    <w:rsid w:val="00EA03E5"/>
    <w:rPr>
      <w:sz w:val="20"/>
    </w:rPr>
  </w:style>
  <w:style w:type="paragraph" w:customStyle="1" w:styleId="TPHEADING4space">
    <w:name w:val="TP HEADING 4 space"/>
    <w:basedOn w:val="TPHEADING3space"/>
    <w:semiHidden/>
    <w:rsid w:val="00EA03E5"/>
  </w:style>
  <w:style w:type="paragraph" w:customStyle="1" w:styleId="ChartLine">
    <w:name w:val="Chart Line"/>
    <w:basedOn w:val="NoSpacing"/>
    <w:autoRedefine/>
    <w:qFormat/>
    <w:rsid w:val="00EA03E5"/>
    <w:pPr>
      <w:pBdr>
        <w:bottom w:val="single" w:sz="4" w:space="2" w:color="626A77" w:themeColor="background2" w:themeShade="E6"/>
      </w:pBdr>
      <w:spacing w:after="240"/>
    </w:pPr>
    <w:rPr>
      <w:rFonts w:asciiTheme="minorHAnsi" w:hAnsiTheme="minorHAnsi"/>
      <w:noProof/>
      <w:sz w:val="4"/>
      <w:szCs w:val="4"/>
    </w:rPr>
  </w:style>
  <w:style w:type="paragraph" w:styleId="NoSpacing">
    <w:name w:val="No Spacing"/>
    <w:uiPriority w:val="1"/>
    <w:qFormat/>
    <w:rsid w:val="00EA03E5"/>
    <w:pPr>
      <w:spacing w:after="0" w:line="240" w:lineRule="auto"/>
    </w:pPr>
    <w:rPr>
      <w:rFonts w:ascii="Book Antiqua" w:eastAsia="Times New Roman" w:hAnsi="Book Antiqua" w:cs="Times New Roman"/>
      <w:sz w:val="19"/>
      <w:szCs w:val="20"/>
      <w:lang w:eastAsia="en-AU"/>
    </w:rPr>
  </w:style>
  <w:style w:type="paragraph" w:customStyle="1" w:styleId="ChartMainHeading">
    <w:name w:val="Chart Main Heading"/>
    <w:basedOn w:val="ChartHeading"/>
    <w:next w:val="ChartGraphic"/>
    <w:rsid w:val="00EA03E5"/>
  </w:style>
  <w:style w:type="character" w:customStyle="1" w:styleId="BoxHeading-Continued">
    <w:name w:val="Box Heading - Continued"/>
    <w:uiPriority w:val="1"/>
    <w:qFormat/>
    <w:rsid w:val="00A83FC8"/>
    <w:rPr>
      <w:sz w:val="16"/>
    </w:rPr>
  </w:style>
  <w:style w:type="paragraph" w:customStyle="1" w:styleId="Box-continuedon">
    <w:name w:val="Box - continued on"/>
    <w:basedOn w:val="Normal"/>
    <w:qFormat/>
    <w:rsid w:val="00A16376"/>
    <w:pPr>
      <w:jc w:val="right"/>
    </w:pPr>
    <w:rPr>
      <w:rFonts w:asciiTheme="majorHAnsi" w:hAnsiTheme="majorHAnsi" w:cstheme="majorHAnsi"/>
      <w:i/>
      <w:iCs/>
      <w:sz w:val="18"/>
      <w:szCs w:val="24"/>
    </w:rPr>
  </w:style>
  <w:style w:type="paragraph" w:customStyle="1" w:styleId="StatementWhite-Bullet">
    <w:name w:val="Statement White - Bullet"/>
    <w:basedOn w:val="Bullet"/>
    <w:qFormat/>
    <w:rsid w:val="00EA03E5"/>
    <w:rPr>
      <w:color w:val="FFFFFF" w:themeColor="background1"/>
    </w:rPr>
  </w:style>
  <w:style w:type="character" w:customStyle="1" w:styleId="Heading9Char">
    <w:name w:val="Heading 9 Char"/>
    <w:basedOn w:val="DefaultParagraphFont"/>
    <w:link w:val="Heading9"/>
    <w:uiPriority w:val="9"/>
    <w:rsid w:val="00EA03E5"/>
    <w:rPr>
      <w:rFonts w:ascii="Cambria" w:eastAsia="Times New Roman" w:hAnsi="Cambria" w:cs="Times New Roman"/>
      <w:lang w:eastAsia="en-AU"/>
    </w:rPr>
  </w:style>
  <w:style w:type="paragraph" w:customStyle="1" w:styleId="BoxHeading2">
    <w:name w:val="Box Heading 2"/>
    <w:basedOn w:val="BoxHeading"/>
    <w:autoRedefine/>
    <w:rsid w:val="00EA03E5"/>
    <w:pPr>
      <w:spacing w:after="0"/>
    </w:pPr>
    <w:rPr>
      <w:b w:val="0"/>
      <w:bCs/>
      <w:szCs w:val="14"/>
    </w:rPr>
  </w:style>
  <w:style w:type="character" w:customStyle="1" w:styleId="BulletChar">
    <w:name w:val="Bullet Char"/>
    <w:aliases w:val="Body Char,Bullet + line Char,Number Char,Recommendation Char,b + line Char,b + line Char Char,b Char,b Char Char,b1 Char,level 1 Char,Bullets Char,L Char,List Paragraph Char,List Paragraph1 Char,List Paragraph11 Char,List Paragraph2 Char"/>
    <w:basedOn w:val="DefaultParagraphFont"/>
    <w:link w:val="Bullet"/>
    <w:qFormat/>
    <w:rsid w:val="004F42CA"/>
    <w:rPr>
      <w:rFonts w:eastAsia="Times New Roman" w:cs="Times New Roman"/>
      <w:sz w:val="19"/>
      <w:szCs w:val="20"/>
      <w:lang w:eastAsia="en-AU"/>
    </w:rPr>
  </w:style>
  <w:style w:type="paragraph" w:customStyle="1" w:styleId="BlockedQuotation">
    <w:name w:val="Blocked Quotation"/>
    <w:basedOn w:val="Normal"/>
    <w:rsid w:val="004F42CA"/>
    <w:pPr>
      <w:spacing w:before="0" w:line="260" w:lineRule="exact"/>
      <w:ind w:left="567"/>
      <w:jc w:val="both"/>
    </w:pPr>
    <w:rPr>
      <w:rFonts w:ascii="Book Antiqua" w:hAnsi="Book Antiqua"/>
      <w:sz w:val="20"/>
    </w:rPr>
  </w:style>
  <w:style w:type="paragraph" w:styleId="NormalWeb">
    <w:name w:val="Normal (Web)"/>
    <w:basedOn w:val="Normal"/>
    <w:uiPriority w:val="99"/>
    <w:semiHidden/>
    <w:unhideWhenUsed/>
    <w:rsid w:val="005C17C7"/>
    <w:rPr>
      <w:rFonts w:ascii="Times New Roman" w:hAnsi="Times New Roman"/>
      <w:sz w:val="24"/>
      <w:szCs w:val="24"/>
    </w:rPr>
  </w:style>
  <w:style w:type="character" w:styleId="UnresolvedMention">
    <w:name w:val="Unresolved Mention"/>
    <w:basedOn w:val="DefaultParagraphFont"/>
    <w:uiPriority w:val="99"/>
    <w:unhideWhenUsed/>
    <w:rsid w:val="007F0478"/>
    <w:rPr>
      <w:color w:val="605E5C"/>
      <w:shd w:val="clear" w:color="auto" w:fill="E1DFDD"/>
    </w:rPr>
  </w:style>
  <w:style w:type="character" w:styleId="Mention">
    <w:name w:val="Mention"/>
    <w:basedOn w:val="DefaultParagraphFont"/>
    <w:uiPriority w:val="99"/>
    <w:unhideWhenUsed/>
    <w:rsid w:val="007F0478"/>
    <w:rPr>
      <w:color w:val="2B579A"/>
      <w:shd w:val="clear" w:color="auto" w:fill="E1DFDD"/>
    </w:rPr>
  </w:style>
  <w:style w:type="paragraph" w:styleId="Revision">
    <w:name w:val="Revision"/>
    <w:hidden/>
    <w:uiPriority w:val="99"/>
    <w:semiHidden/>
    <w:rsid w:val="003D4172"/>
    <w:pPr>
      <w:spacing w:after="0" w:line="240" w:lineRule="auto"/>
    </w:pPr>
    <w:rPr>
      <w:rFonts w:eastAsia="Times New Roman" w:cs="Times New Roman"/>
      <w:sz w:val="19"/>
      <w:szCs w:val="20"/>
      <w:lang w:eastAsia="en-AU"/>
    </w:rPr>
  </w:style>
  <w:style w:type="character" w:customStyle="1" w:styleId="normaltextrun">
    <w:name w:val="normaltextrun"/>
    <w:basedOn w:val="DefaultParagraphFont"/>
    <w:rsid w:val="00817D22"/>
  </w:style>
  <w:style w:type="character" w:styleId="FollowedHyperlink">
    <w:name w:val="FollowedHyperlink"/>
    <w:basedOn w:val="DefaultParagraphFont"/>
    <w:uiPriority w:val="99"/>
    <w:semiHidden/>
    <w:unhideWhenUsed/>
    <w:rsid w:val="00180C7C"/>
    <w:rPr>
      <w:color w:val="E61E26" w:themeColor="followedHyperlink"/>
      <w:u w:val="single"/>
    </w:rPr>
  </w:style>
  <w:style w:type="paragraph" w:styleId="ListParagraph">
    <w:name w:val="List Paragraph"/>
    <w:basedOn w:val="Normal"/>
    <w:uiPriority w:val="34"/>
    <w:qFormat/>
    <w:rsid w:val="007E5398"/>
    <w:pPr>
      <w:ind w:left="720"/>
      <w:contextualSpacing/>
    </w:pPr>
  </w:style>
  <w:style w:type="character" w:customStyle="1" w:styleId="BoxTextChar">
    <w:name w:val="Box Text Char"/>
    <w:basedOn w:val="DefaultParagraphFont"/>
    <w:link w:val="BoxText"/>
    <w:rsid w:val="007E5398"/>
    <w:rPr>
      <w:rFonts w:eastAsia="Times New Roman" w:cs="Times New Roman"/>
      <w:sz w:val="19"/>
      <w:szCs w:val="20"/>
      <w:lang w:eastAsia="en-AU"/>
    </w:rPr>
  </w:style>
  <w:style w:type="paragraph" w:styleId="BalloonText">
    <w:name w:val="Balloon Text"/>
    <w:basedOn w:val="Normal"/>
    <w:link w:val="BalloonTextChar"/>
    <w:semiHidden/>
    <w:unhideWhenUsed/>
    <w:rsid w:val="002F390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2F390F"/>
    <w:rPr>
      <w:rFonts w:ascii="Segoe UI" w:eastAsia="Times New Roman" w:hAnsi="Segoe UI" w:cs="Segoe UI"/>
      <w:sz w:val="18"/>
      <w:szCs w:val="18"/>
      <w:lang w:eastAsia="en-AU"/>
    </w:rPr>
  </w:style>
  <w:style w:type="paragraph" w:styleId="Bibliography">
    <w:name w:val="Bibliography"/>
    <w:basedOn w:val="Normal"/>
    <w:next w:val="Normal"/>
    <w:uiPriority w:val="37"/>
    <w:semiHidden/>
    <w:unhideWhenUsed/>
    <w:rsid w:val="002F390F"/>
  </w:style>
  <w:style w:type="paragraph" w:styleId="BlockText">
    <w:name w:val="Block Text"/>
    <w:basedOn w:val="Normal"/>
    <w:uiPriority w:val="99"/>
    <w:semiHidden/>
    <w:unhideWhenUsed/>
    <w:rsid w:val="002F390F"/>
    <w:pPr>
      <w:pBdr>
        <w:top w:val="single" w:sz="2" w:space="10" w:color="0364C3" w:themeColor="accent1"/>
        <w:left w:val="single" w:sz="2" w:space="10" w:color="0364C3" w:themeColor="accent1"/>
        <w:bottom w:val="single" w:sz="2" w:space="10" w:color="0364C3" w:themeColor="accent1"/>
        <w:right w:val="single" w:sz="2" w:space="10" w:color="0364C3" w:themeColor="accent1"/>
      </w:pBdr>
      <w:ind w:left="1152" w:right="1152"/>
    </w:pPr>
    <w:rPr>
      <w:rFonts w:eastAsiaTheme="minorEastAsia" w:cstheme="minorBidi"/>
      <w:i/>
      <w:iCs/>
      <w:color w:val="0364C3" w:themeColor="accent1"/>
    </w:rPr>
  </w:style>
  <w:style w:type="paragraph" w:styleId="BodyText">
    <w:name w:val="Body Text"/>
    <w:basedOn w:val="Normal"/>
    <w:link w:val="BodyTextChar"/>
    <w:uiPriority w:val="99"/>
    <w:semiHidden/>
    <w:unhideWhenUsed/>
    <w:rsid w:val="002F390F"/>
    <w:pPr>
      <w:spacing w:after="120"/>
    </w:pPr>
  </w:style>
  <w:style w:type="character" w:customStyle="1" w:styleId="BodyTextChar">
    <w:name w:val="Body Text Char"/>
    <w:basedOn w:val="DefaultParagraphFont"/>
    <w:link w:val="BodyText"/>
    <w:uiPriority w:val="99"/>
    <w:semiHidden/>
    <w:rsid w:val="002F390F"/>
    <w:rPr>
      <w:rFonts w:eastAsia="Times New Roman" w:cs="Times New Roman"/>
      <w:sz w:val="19"/>
      <w:szCs w:val="20"/>
      <w:lang w:eastAsia="en-AU"/>
    </w:rPr>
  </w:style>
  <w:style w:type="paragraph" w:styleId="BodyText2">
    <w:name w:val="Body Text 2"/>
    <w:basedOn w:val="Normal"/>
    <w:link w:val="BodyText2Char"/>
    <w:uiPriority w:val="99"/>
    <w:semiHidden/>
    <w:unhideWhenUsed/>
    <w:rsid w:val="002F390F"/>
    <w:pPr>
      <w:spacing w:after="120" w:line="480" w:lineRule="auto"/>
    </w:pPr>
  </w:style>
  <w:style w:type="character" w:customStyle="1" w:styleId="BodyText2Char">
    <w:name w:val="Body Text 2 Char"/>
    <w:basedOn w:val="DefaultParagraphFont"/>
    <w:link w:val="BodyText2"/>
    <w:uiPriority w:val="99"/>
    <w:semiHidden/>
    <w:rsid w:val="002F390F"/>
    <w:rPr>
      <w:rFonts w:eastAsia="Times New Roman" w:cs="Times New Roman"/>
      <w:sz w:val="19"/>
      <w:szCs w:val="20"/>
      <w:lang w:eastAsia="en-AU"/>
    </w:rPr>
  </w:style>
  <w:style w:type="paragraph" w:styleId="BodyText3">
    <w:name w:val="Body Text 3"/>
    <w:basedOn w:val="Normal"/>
    <w:link w:val="BodyText3Char"/>
    <w:uiPriority w:val="99"/>
    <w:semiHidden/>
    <w:unhideWhenUsed/>
    <w:rsid w:val="002F390F"/>
    <w:pPr>
      <w:spacing w:after="120"/>
    </w:pPr>
    <w:rPr>
      <w:sz w:val="16"/>
      <w:szCs w:val="16"/>
    </w:rPr>
  </w:style>
  <w:style w:type="character" w:customStyle="1" w:styleId="BodyText3Char">
    <w:name w:val="Body Text 3 Char"/>
    <w:basedOn w:val="DefaultParagraphFont"/>
    <w:link w:val="BodyText3"/>
    <w:uiPriority w:val="99"/>
    <w:semiHidden/>
    <w:rsid w:val="002F390F"/>
    <w:rPr>
      <w:rFonts w:eastAsia="Times New Roman" w:cs="Times New Roman"/>
      <w:sz w:val="16"/>
      <w:szCs w:val="16"/>
      <w:lang w:eastAsia="en-AU"/>
    </w:rPr>
  </w:style>
  <w:style w:type="paragraph" w:styleId="BodyTextFirstIndent">
    <w:name w:val="Body Text First Indent"/>
    <w:basedOn w:val="BodyText"/>
    <w:link w:val="BodyTextFirstIndentChar"/>
    <w:uiPriority w:val="99"/>
    <w:semiHidden/>
    <w:unhideWhenUsed/>
    <w:rsid w:val="002F390F"/>
    <w:pPr>
      <w:spacing w:after="240"/>
      <w:ind w:firstLine="360"/>
    </w:pPr>
  </w:style>
  <w:style w:type="character" w:customStyle="1" w:styleId="BodyTextFirstIndentChar">
    <w:name w:val="Body Text First Indent Char"/>
    <w:basedOn w:val="BodyTextChar"/>
    <w:link w:val="BodyTextFirstIndent"/>
    <w:uiPriority w:val="99"/>
    <w:semiHidden/>
    <w:rsid w:val="002F390F"/>
    <w:rPr>
      <w:rFonts w:eastAsia="Times New Roman" w:cs="Times New Roman"/>
      <w:sz w:val="19"/>
      <w:szCs w:val="20"/>
      <w:lang w:eastAsia="en-AU"/>
    </w:rPr>
  </w:style>
  <w:style w:type="paragraph" w:styleId="BodyTextIndent">
    <w:name w:val="Body Text Indent"/>
    <w:basedOn w:val="Normal"/>
    <w:link w:val="BodyTextIndentChar"/>
    <w:uiPriority w:val="99"/>
    <w:semiHidden/>
    <w:unhideWhenUsed/>
    <w:rsid w:val="002F390F"/>
    <w:pPr>
      <w:spacing w:after="120"/>
      <w:ind w:left="283"/>
    </w:pPr>
  </w:style>
  <w:style w:type="character" w:customStyle="1" w:styleId="BodyTextIndentChar">
    <w:name w:val="Body Text Indent Char"/>
    <w:basedOn w:val="DefaultParagraphFont"/>
    <w:link w:val="BodyTextIndent"/>
    <w:uiPriority w:val="99"/>
    <w:semiHidden/>
    <w:rsid w:val="002F390F"/>
    <w:rPr>
      <w:rFonts w:eastAsia="Times New Roman" w:cs="Times New Roman"/>
      <w:sz w:val="19"/>
      <w:szCs w:val="20"/>
      <w:lang w:eastAsia="en-AU"/>
    </w:rPr>
  </w:style>
  <w:style w:type="paragraph" w:styleId="BodyTextFirstIndent2">
    <w:name w:val="Body Text First Indent 2"/>
    <w:basedOn w:val="BodyTextIndent"/>
    <w:link w:val="BodyTextFirstIndent2Char"/>
    <w:uiPriority w:val="99"/>
    <w:semiHidden/>
    <w:unhideWhenUsed/>
    <w:rsid w:val="002F390F"/>
    <w:pPr>
      <w:spacing w:after="240"/>
      <w:ind w:left="360" w:firstLine="360"/>
    </w:pPr>
  </w:style>
  <w:style w:type="character" w:customStyle="1" w:styleId="BodyTextFirstIndent2Char">
    <w:name w:val="Body Text First Indent 2 Char"/>
    <w:basedOn w:val="BodyTextIndentChar"/>
    <w:link w:val="BodyTextFirstIndent2"/>
    <w:uiPriority w:val="99"/>
    <w:semiHidden/>
    <w:rsid w:val="002F390F"/>
    <w:rPr>
      <w:rFonts w:eastAsia="Times New Roman" w:cs="Times New Roman"/>
      <w:sz w:val="19"/>
      <w:szCs w:val="20"/>
      <w:lang w:eastAsia="en-AU"/>
    </w:rPr>
  </w:style>
  <w:style w:type="paragraph" w:styleId="BodyTextIndent2">
    <w:name w:val="Body Text Indent 2"/>
    <w:basedOn w:val="Normal"/>
    <w:link w:val="BodyTextIndent2Char"/>
    <w:uiPriority w:val="99"/>
    <w:semiHidden/>
    <w:unhideWhenUsed/>
    <w:rsid w:val="002F390F"/>
    <w:pPr>
      <w:spacing w:after="120" w:line="480" w:lineRule="auto"/>
      <w:ind w:left="283"/>
    </w:pPr>
  </w:style>
  <w:style w:type="character" w:customStyle="1" w:styleId="BodyTextIndent2Char">
    <w:name w:val="Body Text Indent 2 Char"/>
    <w:basedOn w:val="DefaultParagraphFont"/>
    <w:link w:val="BodyTextIndent2"/>
    <w:uiPriority w:val="99"/>
    <w:semiHidden/>
    <w:rsid w:val="002F390F"/>
    <w:rPr>
      <w:rFonts w:eastAsia="Times New Roman" w:cs="Times New Roman"/>
      <w:sz w:val="19"/>
      <w:szCs w:val="20"/>
      <w:lang w:eastAsia="en-AU"/>
    </w:rPr>
  </w:style>
  <w:style w:type="paragraph" w:styleId="BodyTextIndent3">
    <w:name w:val="Body Text Indent 3"/>
    <w:basedOn w:val="Normal"/>
    <w:link w:val="BodyTextIndent3Char"/>
    <w:uiPriority w:val="99"/>
    <w:semiHidden/>
    <w:unhideWhenUsed/>
    <w:rsid w:val="002F390F"/>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2F390F"/>
    <w:rPr>
      <w:rFonts w:eastAsia="Times New Roman" w:cs="Times New Roman"/>
      <w:sz w:val="16"/>
      <w:szCs w:val="16"/>
      <w:lang w:eastAsia="en-AU"/>
    </w:rPr>
  </w:style>
  <w:style w:type="paragraph" w:styleId="Closing">
    <w:name w:val="Closing"/>
    <w:basedOn w:val="Normal"/>
    <w:link w:val="ClosingChar"/>
    <w:uiPriority w:val="99"/>
    <w:semiHidden/>
    <w:unhideWhenUsed/>
    <w:rsid w:val="002F390F"/>
    <w:pPr>
      <w:spacing w:before="0" w:after="0" w:line="240" w:lineRule="auto"/>
      <w:ind w:left="4252"/>
    </w:pPr>
  </w:style>
  <w:style w:type="character" w:customStyle="1" w:styleId="ClosingChar">
    <w:name w:val="Closing Char"/>
    <w:basedOn w:val="DefaultParagraphFont"/>
    <w:link w:val="Closing"/>
    <w:uiPriority w:val="99"/>
    <w:semiHidden/>
    <w:rsid w:val="002F390F"/>
    <w:rPr>
      <w:rFonts w:eastAsia="Times New Roman" w:cs="Times New Roman"/>
      <w:sz w:val="19"/>
      <w:szCs w:val="20"/>
      <w:lang w:eastAsia="en-AU"/>
    </w:rPr>
  </w:style>
  <w:style w:type="paragraph" w:styleId="Date">
    <w:name w:val="Date"/>
    <w:basedOn w:val="Normal"/>
    <w:next w:val="Normal"/>
    <w:link w:val="DateChar"/>
    <w:uiPriority w:val="99"/>
    <w:semiHidden/>
    <w:unhideWhenUsed/>
    <w:rsid w:val="002F390F"/>
  </w:style>
  <w:style w:type="character" w:customStyle="1" w:styleId="DateChar">
    <w:name w:val="Date Char"/>
    <w:basedOn w:val="DefaultParagraphFont"/>
    <w:link w:val="Date"/>
    <w:uiPriority w:val="99"/>
    <w:semiHidden/>
    <w:rsid w:val="002F390F"/>
    <w:rPr>
      <w:rFonts w:eastAsia="Times New Roman" w:cs="Times New Roman"/>
      <w:sz w:val="19"/>
      <w:szCs w:val="20"/>
      <w:lang w:eastAsia="en-AU"/>
    </w:rPr>
  </w:style>
  <w:style w:type="paragraph" w:styleId="E-mailSignature">
    <w:name w:val="E-mail Signature"/>
    <w:basedOn w:val="Normal"/>
    <w:link w:val="E-mailSignatureChar"/>
    <w:uiPriority w:val="99"/>
    <w:semiHidden/>
    <w:unhideWhenUsed/>
    <w:rsid w:val="002F390F"/>
    <w:pPr>
      <w:spacing w:before="0" w:after="0" w:line="240" w:lineRule="auto"/>
    </w:pPr>
  </w:style>
  <w:style w:type="character" w:customStyle="1" w:styleId="E-mailSignatureChar">
    <w:name w:val="E-mail Signature Char"/>
    <w:basedOn w:val="DefaultParagraphFont"/>
    <w:link w:val="E-mailSignature"/>
    <w:uiPriority w:val="99"/>
    <w:semiHidden/>
    <w:rsid w:val="002F390F"/>
    <w:rPr>
      <w:rFonts w:eastAsia="Times New Roman" w:cs="Times New Roman"/>
      <w:sz w:val="19"/>
      <w:szCs w:val="20"/>
      <w:lang w:eastAsia="en-AU"/>
    </w:rPr>
  </w:style>
  <w:style w:type="paragraph" w:styleId="EnvelopeAddress">
    <w:name w:val="envelope address"/>
    <w:basedOn w:val="Normal"/>
    <w:uiPriority w:val="99"/>
    <w:semiHidden/>
    <w:unhideWhenUsed/>
    <w:rsid w:val="008E2B7F"/>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F390F"/>
    <w:pPr>
      <w:spacing w:before="0" w:after="0" w:line="240" w:lineRule="auto"/>
    </w:pPr>
    <w:rPr>
      <w:rFonts w:asciiTheme="majorHAnsi" w:eastAsiaTheme="majorEastAsia" w:hAnsiTheme="majorHAnsi" w:cstheme="majorBidi"/>
      <w:sz w:val="20"/>
    </w:rPr>
  </w:style>
  <w:style w:type="paragraph" w:styleId="HTMLAddress">
    <w:name w:val="HTML Address"/>
    <w:basedOn w:val="Normal"/>
    <w:link w:val="HTMLAddressChar"/>
    <w:uiPriority w:val="99"/>
    <w:semiHidden/>
    <w:unhideWhenUsed/>
    <w:rsid w:val="002F390F"/>
    <w:pPr>
      <w:spacing w:before="0" w:after="0" w:line="240" w:lineRule="auto"/>
    </w:pPr>
    <w:rPr>
      <w:i/>
      <w:iCs/>
    </w:rPr>
  </w:style>
  <w:style w:type="character" w:customStyle="1" w:styleId="HTMLAddressChar">
    <w:name w:val="HTML Address Char"/>
    <w:basedOn w:val="DefaultParagraphFont"/>
    <w:link w:val="HTMLAddress"/>
    <w:uiPriority w:val="99"/>
    <w:semiHidden/>
    <w:rsid w:val="002F390F"/>
    <w:rPr>
      <w:rFonts w:eastAsia="Times New Roman" w:cs="Times New Roman"/>
      <w:i/>
      <w:iCs/>
      <w:sz w:val="19"/>
      <w:szCs w:val="20"/>
      <w:lang w:eastAsia="en-AU"/>
    </w:rPr>
  </w:style>
  <w:style w:type="paragraph" w:styleId="HTMLPreformatted">
    <w:name w:val="HTML Preformatted"/>
    <w:basedOn w:val="Normal"/>
    <w:link w:val="HTMLPreformattedChar"/>
    <w:uiPriority w:val="99"/>
    <w:semiHidden/>
    <w:unhideWhenUsed/>
    <w:rsid w:val="002F390F"/>
    <w:pPr>
      <w:spacing w:before="0" w:after="0" w:line="240" w:lineRule="auto"/>
    </w:pPr>
    <w:rPr>
      <w:rFonts w:ascii="Consolas" w:hAnsi="Consolas"/>
      <w:sz w:val="20"/>
    </w:rPr>
  </w:style>
  <w:style w:type="character" w:customStyle="1" w:styleId="HTMLPreformattedChar">
    <w:name w:val="HTML Preformatted Char"/>
    <w:basedOn w:val="DefaultParagraphFont"/>
    <w:link w:val="HTMLPreformatted"/>
    <w:uiPriority w:val="99"/>
    <w:semiHidden/>
    <w:rsid w:val="002F390F"/>
    <w:rPr>
      <w:rFonts w:ascii="Consolas" w:eastAsia="Times New Roman" w:hAnsi="Consolas" w:cs="Times New Roman"/>
      <w:sz w:val="20"/>
      <w:szCs w:val="20"/>
      <w:lang w:eastAsia="en-AU"/>
    </w:rPr>
  </w:style>
  <w:style w:type="paragraph" w:styleId="IntenseQuote">
    <w:name w:val="Intense Quote"/>
    <w:basedOn w:val="Normal"/>
    <w:next w:val="Normal"/>
    <w:link w:val="IntenseQuoteChar"/>
    <w:uiPriority w:val="30"/>
    <w:rsid w:val="002F390F"/>
    <w:pPr>
      <w:pBdr>
        <w:top w:val="single" w:sz="4" w:space="10" w:color="0364C3" w:themeColor="accent1"/>
        <w:bottom w:val="single" w:sz="4" w:space="10" w:color="0364C3" w:themeColor="accent1"/>
      </w:pBdr>
      <w:spacing w:before="360" w:after="360"/>
      <w:ind w:left="864" w:right="864"/>
      <w:jc w:val="center"/>
    </w:pPr>
    <w:rPr>
      <w:i/>
      <w:iCs/>
      <w:color w:val="0364C3" w:themeColor="accent1"/>
    </w:rPr>
  </w:style>
  <w:style w:type="character" w:customStyle="1" w:styleId="IntenseQuoteChar">
    <w:name w:val="Intense Quote Char"/>
    <w:basedOn w:val="DefaultParagraphFont"/>
    <w:link w:val="IntenseQuote"/>
    <w:uiPriority w:val="30"/>
    <w:rsid w:val="002F390F"/>
    <w:rPr>
      <w:rFonts w:eastAsia="Times New Roman" w:cs="Times New Roman"/>
      <w:i/>
      <w:iCs/>
      <w:color w:val="0364C3" w:themeColor="accent1"/>
      <w:sz w:val="19"/>
      <w:szCs w:val="20"/>
      <w:lang w:eastAsia="en-AU"/>
    </w:rPr>
  </w:style>
  <w:style w:type="paragraph" w:styleId="List">
    <w:name w:val="List"/>
    <w:basedOn w:val="Normal"/>
    <w:uiPriority w:val="99"/>
    <w:semiHidden/>
    <w:unhideWhenUsed/>
    <w:rsid w:val="002F390F"/>
    <w:pPr>
      <w:ind w:left="283" w:hanging="283"/>
      <w:contextualSpacing/>
    </w:pPr>
  </w:style>
  <w:style w:type="paragraph" w:styleId="List2">
    <w:name w:val="List 2"/>
    <w:basedOn w:val="Normal"/>
    <w:uiPriority w:val="99"/>
    <w:semiHidden/>
    <w:unhideWhenUsed/>
    <w:rsid w:val="002F390F"/>
    <w:pPr>
      <w:ind w:left="566" w:hanging="283"/>
      <w:contextualSpacing/>
    </w:pPr>
  </w:style>
  <w:style w:type="paragraph" w:styleId="List3">
    <w:name w:val="List 3"/>
    <w:basedOn w:val="Normal"/>
    <w:uiPriority w:val="99"/>
    <w:semiHidden/>
    <w:unhideWhenUsed/>
    <w:rsid w:val="002F390F"/>
    <w:pPr>
      <w:ind w:left="849" w:hanging="283"/>
      <w:contextualSpacing/>
    </w:pPr>
  </w:style>
  <w:style w:type="paragraph" w:styleId="List4">
    <w:name w:val="List 4"/>
    <w:basedOn w:val="Normal"/>
    <w:uiPriority w:val="99"/>
    <w:semiHidden/>
    <w:unhideWhenUsed/>
    <w:rsid w:val="002F390F"/>
    <w:pPr>
      <w:ind w:left="1132" w:hanging="283"/>
      <w:contextualSpacing/>
    </w:pPr>
  </w:style>
  <w:style w:type="paragraph" w:styleId="List5">
    <w:name w:val="List 5"/>
    <w:basedOn w:val="Normal"/>
    <w:uiPriority w:val="99"/>
    <w:semiHidden/>
    <w:unhideWhenUsed/>
    <w:rsid w:val="002F390F"/>
    <w:pPr>
      <w:ind w:left="1415" w:hanging="283"/>
      <w:contextualSpacing/>
    </w:pPr>
  </w:style>
  <w:style w:type="paragraph" w:styleId="ListBullet">
    <w:name w:val="List Bullet"/>
    <w:basedOn w:val="Normal"/>
    <w:uiPriority w:val="99"/>
    <w:semiHidden/>
    <w:unhideWhenUsed/>
    <w:rsid w:val="008E2B7F"/>
    <w:pPr>
      <w:numPr>
        <w:numId w:val="14"/>
      </w:numPr>
      <w:contextualSpacing/>
    </w:pPr>
  </w:style>
  <w:style w:type="paragraph" w:styleId="ListBullet2">
    <w:name w:val="List Bullet 2"/>
    <w:basedOn w:val="Normal"/>
    <w:uiPriority w:val="99"/>
    <w:semiHidden/>
    <w:unhideWhenUsed/>
    <w:rsid w:val="008E2B7F"/>
    <w:pPr>
      <w:numPr>
        <w:numId w:val="15"/>
      </w:numPr>
      <w:contextualSpacing/>
    </w:pPr>
  </w:style>
  <w:style w:type="paragraph" w:styleId="ListBullet3">
    <w:name w:val="List Bullet 3"/>
    <w:basedOn w:val="Normal"/>
    <w:uiPriority w:val="99"/>
    <w:semiHidden/>
    <w:unhideWhenUsed/>
    <w:rsid w:val="008E2B7F"/>
    <w:pPr>
      <w:contextualSpacing/>
    </w:pPr>
  </w:style>
  <w:style w:type="paragraph" w:styleId="ListBullet4">
    <w:name w:val="List Bullet 4"/>
    <w:basedOn w:val="Normal"/>
    <w:uiPriority w:val="99"/>
    <w:semiHidden/>
    <w:unhideWhenUsed/>
    <w:rsid w:val="008E2B7F"/>
    <w:pPr>
      <w:tabs>
        <w:tab w:val="num" w:pos="1209"/>
      </w:tabs>
      <w:ind w:left="1209" w:hanging="360"/>
      <w:contextualSpacing/>
    </w:pPr>
  </w:style>
  <w:style w:type="paragraph" w:styleId="ListBullet5">
    <w:name w:val="List Bullet 5"/>
    <w:basedOn w:val="Normal"/>
    <w:uiPriority w:val="99"/>
    <w:semiHidden/>
    <w:unhideWhenUsed/>
    <w:rsid w:val="008E2B7F"/>
    <w:pPr>
      <w:numPr>
        <w:numId w:val="17"/>
      </w:numPr>
      <w:contextualSpacing/>
    </w:pPr>
  </w:style>
  <w:style w:type="paragraph" w:styleId="ListContinue">
    <w:name w:val="List Continue"/>
    <w:basedOn w:val="Normal"/>
    <w:uiPriority w:val="99"/>
    <w:semiHidden/>
    <w:unhideWhenUsed/>
    <w:rsid w:val="002F390F"/>
    <w:pPr>
      <w:spacing w:after="120"/>
      <w:ind w:left="283"/>
      <w:contextualSpacing/>
    </w:pPr>
  </w:style>
  <w:style w:type="paragraph" w:styleId="ListContinue2">
    <w:name w:val="List Continue 2"/>
    <w:basedOn w:val="Normal"/>
    <w:uiPriority w:val="99"/>
    <w:semiHidden/>
    <w:unhideWhenUsed/>
    <w:rsid w:val="002F390F"/>
    <w:pPr>
      <w:spacing w:after="120"/>
      <w:ind w:left="566"/>
      <w:contextualSpacing/>
    </w:pPr>
  </w:style>
  <w:style w:type="paragraph" w:styleId="ListContinue3">
    <w:name w:val="List Continue 3"/>
    <w:basedOn w:val="Normal"/>
    <w:uiPriority w:val="99"/>
    <w:semiHidden/>
    <w:unhideWhenUsed/>
    <w:rsid w:val="002F390F"/>
    <w:pPr>
      <w:spacing w:after="120"/>
      <w:ind w:left="849"/>
      <w:contextualSpacing/>
    </w:pPr>
  </w:style>
  <w:style w:type="paragraph" w:styleId="ListContinue4">
    <w:name w:val="List Continue 4"/>
    <w:basedOn w:val="Normal"/>
    <w:uiPriority w:val="99"/>
    <w:semiHidden/>
    <w:unhideWhenUsed/>
    <w:rsid w:val="002F390F"/>
    <w:pPr>
      <w:spacing w:after="120"/>
      <w:ind w:left="1132"/>
      <w:contextualSpacing/>
    </w:pPr>
  </w:style>
  <w:style w:type="paragraph" w:styleId="ListContinue5">
    <w:name w:val="List Continue 5"/>
    <w:basedOn w:val="Normal"/>
    <w:uiPriority w:val="99"/>
    <w:semiHidden/>
    <w:unhideWhenUsed/>
    <w:rsid w:val="002F390F"/>
    <w:pPr>
      <w:spacing w:after="120"/>
      <w:ind w:left="1415"/>
      <w:contextualSpacing/>
    </w:pPr>
  </w:style>
  <w:style w:type="paragraph" w:styleId="ListNumber">
    <w:name w:val="List Number"/>
    <w:basedOn w:val="Normal"/>
    <w:uiPriority w:val="99"/>
    <w:semiHidden/>
    <w:unhideWhenUsed/>
    <w:rsid w:val="008E2B7F"/>
    <w:pPr>
      <w:numPr>
        <w:numId w:val="18"/>
      </w:numPr>
      <w:contextualSpacing/>
    </w:pPr>
  </w:style>
  <w:style w:type="paragraph" w:styleId="ListNumber2">
    <w:name w:val="List Number 2"/>
    <w:basedOn w:val="Normal"/>
    <w:uiPriority w:val="99"/>
    <w:semiHidden/>
    <w:unhideWhenUsed/>
    <w:rsid w:val="008E2B7F"/>
    <w:pPr>
      <w:numPr>
        <w:numId w:val="19"/>
      </w:numPr>
      <w:contextualSpacing/>
    </w:pPr>
  </w:style>
  <w:style w:type="paragraph" w:styleId="ListNumber3">
    <w:name w:val="List Number 3"/>
    <w:basedOn w:val="Normal"/>
    <w:uiPriority w:val="99"/>
    <w:semiHidden/>
    <w:unhideWhenUsed/>
    <w:rsid w:val="008E2B7F"/>
    <w:pPr>
      <w:numPr>
        <w:numId w:val="20"/>
      </w:numPr>
      <w:contextualSpacing/>
    </w:pPr>
  </w:style>
  <w:style w:type="paragraph" w:styleId="ListNumber4">
    <w:name w:val="List Number 4"/>
    <w:basedOn w:val="Normal"/>
    <w:uiPriority w:val="99"/>
    <w:semiHidden/>
    <w:unhideWhenUsed/>
    <w:rsid w:val="008E2B7F"/>
    <w:pPr>
      <w:numPr>
        <w:numId w:val="21"/>
      </w:numPr>
      <w:contextualSpacing/>
    </w:pPr>
  </w:style>
  <w:style w:type="paragraph" w:styleId="ListNumber5">
    <w:name w:val="List Number 5"/>
    <w:basedOn w:val="Normal"/>
    <w:uiPriority w:val="99"/>
    <w:semiHidden/>
    <w:unhideWhenUsed/>
    <w:rsid w:val="008E2B7F"/>
    <w:pPr>
      <w:numPr>
        <w:numId w:val="22"/>
      </w:numPr>
      <w:contextualSpacing/>
    </w:pPr>
  </w:style>
  <w:style w:type="paragraph" w:styleId="MessageHeader">
    <w:name w:val="Message Header"/>
    <w:basedOn w:val="Normal"/>
    <w:link w:val="MessageHeaderChar"/>
    <w:uiPriority w:val="99"/>
    <w:semiHidden/>
    <w:unhideWhenUsed/>
    <w:rsid w:val="002F390F"/>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F390F"/>
    <w:rPr>
      <w:rFonts w:asciiTheme="majorHAnsi" w:eastAsiaTheme="majorEastAsia" w:hAnsiTheme="majorHAnsi" w:cstheme="majorBidi"/>
      <w:sz w:val="24"/>
      <w:szCs w:val="24"/>
      <w:shd w:val="pct20" w:color="auto" w:fill="auto"/>
      <w:lang w:eastAsia="en-AU"/>
    </w:rPr>
  </w:style>
  <w:style w:type="paragraph" w:styleId="NoteHeading">
    <w:name w:val="Note Heading"/>
    <w:basedOn w:val="Normal"/>
    <w:next w:val="Normal"/>
    <w:link w:val="NoteHeadingChar"/>
    <w:uiPriority w:val="99"/>
    <w:semiHidden/>
    <w:unhideWhenUsed/>
    <w:rsid w:val="002F390F"/>
    <w:pPr>
      <w:spacing w:before="0" w:after="0" w:line="240" w:lineRule="auto"/>
    </w:pPr>
  </w:style>
  <w:style w:type="character" w:customStyle="1" w:styleId="NoteHeadingChar">
    <w:name w:val="Note Heading Char"/>
    <w:basedOn w:val="DefaultParagraphFont"/>
    <w:link w:val="NoteHeading"/>
    <w:uiPriority w:val="99"/>
    <w:semiHidden/>
    <w:rsid w:val="002F390F"/>
    <w:rPr>
      <w:rFonts w:eastAsia="Times New Roman" w:cs="Times New Roman"/>
      <w:sz w:val="19"/>
      <w:szCs w:val="20"/>
      <w:lang w:eastAsia="en-AU"/>
    </w:rPr>
  </w:style>
  <w:style w:type="paragraph" w:styleId="PlainText">
    <w:name w:val="Plain Text"/>
    <w:basedOn w:val="Normal"/>
    <w:link w:val="PlainTextChar"/>
    <w:uiPriority w:val="99"/>
    <w:semiHidden/>
    <w:unhideWhenUsed/>
    <w:rsid w:val="002F390F"/>
    <w:pPr>
      <w:spacing w:before="0"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F390F"/>
    <w:rPr>
      <w:rFonts w:ascii="Consolas" w:eastAsia="Times New Roman" w:hAnsi="Consolas" w:cs="Times New Roman"/>
      <w:sz w:val="21"/>
      <w:szCs w:val="21"/>
      <w:lang w:eastAsia="en-AU"/>
    </w:rPr>
  </w:style>
  <w:style w:type="paragraph" w:styleId="Quote">
    <w:name w:val="Quote"/>
    <w:basedOn w:val="Normal"/>
    <w:next w:val="Normal"/>
    <w:link w:val="QuoteChar"/>
    <w:uiPriority w:val="29"/>
    <w:rsid w:val="002F390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F390F"/>
    <w:rPr>
      <w:rFonts w:eastAsia="Times New Roman" w:cs="Times New Roman"/>
      <w:i/>
      <w:iCs/>
      <w:color w:val="404040" w:themeColor="text1" w:themeTint="BF"/>
      <w:sz w:val="19"/>
      <w:szCs w:val="20"/>
      <w:lang w:eastAsia="en-AU"/>
    </w:rPr>
  </w:style>
  <w:style w:type="paragraph" w:styleId="Salutation">
    <w:name w:val="Salutation"/>
    <w:basedOn w:val="Normal"/>
    <w:next w:val="Normal"/>
    <w:link w:val="SalutationChar"/>
    <w:uiPriority w:val="99"/>
    <w:semiHidden/>
    <w:unhideWhenUsed/>
    <w:rsid w:val="002F390F"/>
  </w:style>
  <w:style w:type="character" w:customStyle="1" w:styleId="SalutationChar">
    <w:name w:val="Salutation Char"/>
    <w:basedOn w:val="DefaultParagraphFont"/>
    <w:link w:val="Salutation"/>
    <w:uiPriority w:val="99"/>
    <w:semiHidden/>
    <w:rsid w:val="002F390F"/>
    <w:rPr>
      <w:rFonts w:eastAsia="Times New Roman" w:cs="Times New Roman"/>
      <w:sz w:val="19"/>
      <w:szCs w:val="20"/>
      <w:lang w:eastAsia="en-AU"/>
    </w:rPr>
  </w:style>
  <w:style w:type="paragraph" w:styleId="Signature">
    <w:name w:val="Signature"/>
    <w:basedOn w:val="Normal"/>
    <w:link w:val="SignatureChar"/>
    <w:uiPriority w:val="99"/>
    <w:semiHidden/>
    <w:unhideWhenUsed/>
    <w:rsid w:val="002F390F"/>
    <w:pPr>
      <w:spacing w:before="0" w:after="0" w:line="240" w:lineRule="auto"/>
      <w:ind w:left="4252"/>
    </w:pPr>
  </w:style>
  <w:style w:type="character" w:customStyle="1" w:styleId="SignatureChar">
    <w:name w:val="Signature Char"/>
    <w:basedOn w:val="DefaultParagraphFont"/>
    <w:link w:val="Signature"/>
    <w:uiPriority w:val="99"/>
    <w:semiHidden/>
    <w:rsid w:val="002F390F"/>
    <w:rPr>
      <w:rFonts w:eastAsia="Times New Roman" w:cs="Times New Roman"/>
      <w:sz w:val="19"/>
      <w:szCs w:val="20"/>
      <w:lang w:eastAsia="en-AU"/>
    </w:rPr>
  </w:style>
  <w:style w:type="paragraph" w:styleId="Subtitle">
    <w:name w:val="Subtitle"/>
    <w:basedOn w:val="Normal"/>
    <w:next w:val="Normal"/>
    <w:link w:val="SubtitleChar"/>
    <w:uiPriority w:val="11"/>
    <w:qFormat/>
    <w:rsid w:val="002F390F"/>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F390F"/>
    <w:rPr>
      <w:rFonts w:eastAsiaTheme="minorEastAsia"/>
      <w:color w:val="5A5A5A" w:themeColor="text1" w:themeTint="A5"/>
      <w:spacing w:val="15"/>
      <w:lang w:eastAsia="en-AU"/>
    </w:rPr>
  </w:style>
  <w:style w:type="paragraph" w:styleId="Title">
    <w:name w:val="Title"/>
    <w:basedOn w:val="Normal"/>
    <w:next w:val="Normal"/>
    <w:link w:val="TitleChar"/>
    <w:uiPriority w:val="10"/>
    <w:qFormat/>
    <w:rsid w:val="002F390F"/>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90F"/>
    <w:rPr>
      <w:rFonts w:asciiTheme="majorHAnsi" w:eastAsiaTheme="majorEastAsia" w:hAnsiTheme="majorHAnsi" w:cstheme="majorBidi"/>
      <w:spacing w:val="-10"/>
      <w:kern w:val="28"/>
      <w:sz w:val="56"/>
      <w:szCs w:val="56"/>
      <w:lang w:eastAsia="en-AU"/>
    </w:rPr>
  </w:style>
  <w:style w:type="paragraph" w:styleId="TOCHeading">
    <w:name w:val="TOC Heading"/>
    <w:basedOn w:val="Heading1"/>
    <w:next w:val="Normal"/>
    <w:uiPriority w:val="39"/>
    <w:semiHidden/>
    <w:unhideWhenUsed/>
    <w:qFormat/>
    <w:rsid w:val="002F390F"/>
    <w:pPr>
      <w:keepLines/>
      <w:spacing w:before="240" w:after="0" w:line="240" w:lineRule="exact"/>
      <w:outlineLvl w:val="9"/>
    </w:pPr>
    <w:rPr>
      <w:rFonts w:asciiTheme="majorHAnsi" w:eastAsiaTheme="majorEastAsia" w:hAnsiTheme="majorHAnsi" w:cstheme="majorBidi"/>
      <w:b w:val="0"/>
      <w:color w:val="024A91" w:themeColor="accent1" w:themeShade="BF"/>
      <w:kern w:val="0"/>
      <w:sz w:val="32"/>
      <w:szCs w:val="32"/>
    </w:rPr>
  </w:style>
  <w:style w:type="paragraph" w:customStyle="1" w:styleId="FooterOddREV">
    <w:name w:val="Footer Odd REV"/>
    <w:basedOn w:val="FooterOdd"/>
    <w:autoRedefine/>
    <w:qFormat/>
    <w:rsid w:val="005A0971"/>
    <w:pPr>
      <w:pBdr>
        <w:top w:val="single" w:sz="4" w:space="8" w:color="FFFFFF" w:themeColor="background1"/>
      </w:pBdr>
      <w:tabs>
        <w:tab w:val="clear" w:pos="8306"/>
      </w:tabs>
      <w:spacing w:before="240"/>
      <w:textboxTightWrap w:val="firstAndLastLine"/>
    </w:pPr>
    <w:rPr>
      <w:rFonts w:asciiTheme="majorHAnsi" w:hAnsiTheme="majorHAnsi"/>
      <w:bCs/>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5514">
      <w:bodyDiv w:val="1"/>
      <w:marLeft w:val="0"/>
      <w:marRight w:val="0"/>
      <w:marTop w:val="0"/>
      <w:marBottom w:val="0"/>
      <w:divBdr>
        <w:top w:val="none" w:sz="0" w:space="0" w:color="auto"/>
        <w:left w:val="none" w:sz="0" w:space="0" w:color="auto"/>
        <w:bottom w:val="none" w:sz="0" w:space="0" w:color="auto"/>
        <w:right w:val="none" w:sz="0" w:space="0" w:color="auto"/>
      </w:divBdr>
    </w:div>
    <w:div w:id="250703440">
      <w:bodyDiv w:val="1"/>
      <w:marLeft w:val="0"/>
      <w:marRight w:val="0"/>
      <w:marTop w:val="0"/>
      <w:marBottom w:val="0"/>
      <w:divBdr>
        <w:top w:val="none" w:sz="0" w:space="0" w:color="auto"/>
        <w:left w:val="none" w:sz="0" w:space="0" w:color="auto"/>
        <w:bottom w:val="none" w:sz="0" w:space="0" w:color="auto"/>
        <w:right w:val="none" w:sz="0" w:space="0" w:color="auto"/>
      </w:divBdr>
    </w:div>
    <w:div w:id="311175861">
      <w:bodyDiv w:val="1"/>
      <w:marLeft w:val="0"/>
      <w:marRight w:val="0"/>
      <w:marTop w:val="0"/>
      <w:marBottom w:val="0"/>
      <w:divBdr>
        <w:top w:val="none" w:sz="0" w:space="0" w:color="auto"/>
        <w:left w:val="none" w:sz="0" w:space="0" w:color="auto"/>
        <w:bottom w:val="none" w:sz="0" w:space="0" w:color="auto"/>
        <w:right w:val="none" w:sz="0" w:space="0" w:color="auto"/>
      </w:divBdr>
    </w:div>
    <w:div w:id="395278861">
      <w:bodyDiv w:val="1"/>
      <w:marLeft w:val="0"/>
      <w:marRight w:val="0"/>
      <w:marTop w:val="0"/>
      <w:marBottom w:val="0"/>
      <w:divBdr>
        <w:top w:val="none" w:sz="0" w:space="0" w:color="auto"/>
        <w:left w:val="none" w:sz="0" w:space="0" w:color="auto"/>
        <w:bottom w:val="none" w:sz="0" w:space="0" w:color="auto"/>
        <w:right w:val="none" w:sz="0" w:space="0" w:color="auto"/>
      </w:divBdr>
    </w:div>
    <w:div w:id="761494847">
      <w:bodyDiv w:val="1"/>
      <w:marLeft w:val="0"/>
      <w:marRight w:val="0"/>
      <w:marTop w:val="0"/>
      <w:marBottom w:val="0"/>
      <w:divBdr>
        <w:top w:val="none" w:sz="0" w:space="0" w:color="auto"/>
        <w:left w:val="none" w:sz="0" w:space="0" w:color="auto"/>
        <w:bottom w:val="none" w:sz="0" w:space="0" w:color="auto"/>
        <w:right w:val="none" w:sz="0" w:space="0" w:color="auto"/>
      </w:divBdr>
    </w:div>
    <w:div w:id="774906214">
      <w:bodyDiv w:val="1"/>
      <w:marLeft w:val="0"/>
      <w:marRight w:val="0"/>
      <w:marTop w:val="0"/>
      <w:marBottom w:val="0"/>
      <w:divBdr>
        <w:top w:val="none" w:sz="0" w:space="0" w:color="auto"/>
        <w:left w:val="none" w:sz="0" w:space="0" w:color="auto"/>
        <w:bottom w:val="none" w:sz="0" w:space="0" w:color="auto"/>
        <w:right w:val="none" w:sz="0" w:space="0" w:color="auto"/>
      </w:divBdr>
    </w:div>
    <w:div w:id="793520552">
      <w:bodyDiv w:val="1"/>
      <w:marLeft w:val="0"/>
      <w:marRight w:val="0"/>
      <w:marTop w:val="0"/>
      <w:marBottom w:val="0"/>
      <w:divBdr>
        <w:top w:val="none" w:sz="0" w:space="0" w:color="auto"/>
        <w:left w:val="none" w:sz="0" w:space="0" w:color="auto"/>
        <w:bottom w:val="none" w:sz="0" w:space="0" w:color="auto"/>
        <w:right w:val="none" w:sz="0" w:space="0" w:color="auto"/>
      </w:divBdr>
    </w:div>
    <w:div w:id="1091588358">
      <w:bodyDiv w:val="1"/>
      <w:marLeft w:val="0"/>
      <w:marRight w:val="0"/>
      <w:marTop w:val="0"/>
      <w:marBottom w:val="0"/>
      <w:divBdr>
        <w:top w:val="none" w:sz="0" w:space="0" w:color="auto"/>
        <w:left w:val="none" w:sz="0" w:space="0" w:color="auto"/>
        <w:bottom w:val="none" w:sz="0" w:space="0" w:color="auto"/>
        <w:right w:val="none" w:sz="0" w:space="0" w:color="auto"/>
      </w:divBdr>
    </w:div>
    <w:div w:id="1273974031">
      <w:bodyDiv w:val="1"/>
      <w:marLeft w:val="0"/>
      <w:marRight w:val="0"/>
      <w:marTop w:val="0"/>
      <w:marBottom w:val="0"/>
      <w:divBdr>
        <w:top w:val="none" w:sz="0" w:space="0" w:color="auto"/>
        <w:left w:val="none" w:sz="0" w:space="0" w:color="auto"/>
        <w:bottom w:val="none" w:sz="0" w:space="0" w:color="auto"/>
        <w:right w:val="none" w:sz="0" w:space="0" w:color="auto"/>
      </w:divBdr>
    </w:div>
    <w:div w:id="1419667982">
      <w:bodyDiv w:val="1"/>
      <w:marLeft w:val="0"/>
      <w:marRight w:val="0"/>
      <w:marTop w:val="0"/>
      <w:marBottom w:val="0"/>
      <w:divBdr>
        <w:top w:val="none" w:sz="0" w:space="0" w:color="auto"/>
        <w:left w:val="none" w:sz="0" w:space="0" w:color="auto"/>
        <w:bottom w:val="none" w:sz="0" w:space="0" w:color="auto"/>
        <w:right w:val="none" w:sz="0" w:space="0" w:color="auto"/>
      </w:divBdr>
    </w:div>
    <w:div w:id="1586842363">
      <w:bodyDiv w:val="1"/>
      <w:marLeft w:val="0"/>
      <w:marRight w:val="0"/>
      <w:marTop w:val="0"/>
      <w:marBottom w:val="0"/>
      <w:divBdr>
        <w:top w:val="none" w:sz="0" w:space="0" w:color="auto"/>
        <w:left w:val="none" w:sz="0" w:space="0" w:color="auto"/>
        <w:bottom w:val="none" w:sz="0" w:space="0" w:color="auto"/>
        <w:right w:val="none" w:sz="0" w:space="0" w:color="auto"/>
      </w:divBdr>
    </w:div>
    <w:div w:id="1740981960">
      <w:bodyDiv w:val="1"/>
      <w:marLeft w:val="0"/>
      <w:marRight w:val="0"/>
      <w:marTop w:val="0"/>
      <w:marBottom w:val="0"/>
      <w:divBdr>
        <w:top w:val="none" w:sz="0" w:space="0" w:color="auto"/>
        <w:left w:val="none" w:sz="0" w:space="0" w:color="auto"/>
        <w:bottom w:val="none" w:sz="0" w:space="0" w:color="auto"/>
        <w:right w:val="none" w:sz="0" w:space="0" w:color="auto"/>
      </w:divBdr>
    </w:div>
    <w:div w:id="1865678867">
      <w:bodyDiv w:val="1"/>
      <w:marLeft w:val="0"/>
      <w:marRight w:val="0"/>
      <w:marTop w:val="0"/>
      <w:marBottom w:val="0"/>
      <w:divBdr>
        <w:top w:val="none" w:sz="0" w:space="0" w:color="auto"/>
        <w:left w:val="none" w:sz="0" w:space="0" w:color="auto"/>
        <w:bottom w:val="none" w:sz="0" w:space="0" w:color="auto"/>
        <w:right w:val="none" w:sz="0" w:space="0" w:color="auto"/>
      </w:divBdr>
    </w:div>
    <w:div w:id="2036736823">
      <w:bodyDiv w:val="1"/>
      <w:marLeft w:val="0"/>
      <w:marRight w:val="0"/>
      <w:marTop w:val="0"/>
      <w:marBottom w:val="0"/>
      <w:divBdr>
        <w:top w:val="none" w:sz="0" w:space="0" w:color="auto"/>
        <w:left w:val="none" w:sz="0" w:space="0" w:color="auto"/>
        <w:bottom w:val="none" w:sz="0" w:space="0" w:color="auto"/>
        <w:right w:val="none" w:sz="0" w:space="0" w:color="auto"/>
      </w:divBdr>
    </w:div>
    <w:div w:id="2079404191">
      <w:bodyDiv w:val="1"/>
      <w:marLeft w:val="0"/>
      <w:marRight w:val="0"/>
      <w:marTop w:val="0"/>
      <w:marBottom w:val="0"/>
      <w:divBdr>
        <w:top w:val="none" w:sz="0" w:space="0" w:color="auto"/>
        <w:left w:val="none" w:sz="0" w:space="0" w:color="auto"/>
        <w:bottom w:val="none" w:sz="0" w:space="0" w:color="auto"/>
        <w:right w:val="none" w:sz="0" w:space="0" w:color="auto"/>
      </w:divBdr>
    </w:div>
    <w:div w:id="2134904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oecd.org/sdd/47917288.pdf" TargetMode="External"/><Relationship Id="rId26" Type="http://schemas.openxmlformats.org/officeDocument/2006/relationships/hyperlink" Target="https://measure.whatworkswellbeing.org/analysing-and-interpreting-your-results/" TargetMode="External"/><Relationship Id="rId39" Type="http://schemas.openxmlformats.org/officeDocument/2006/relationships/hyperlink" Target="https://stats.oecd.org/Index.aspx?datasetcode=HSL" TargetMode="External"/><Relationship Id="rId21" Type="http://schemas.openxmlformats.org/officeDocument/2006/relationships/hyperlink" Target="https://www.treasury.govt.nz/information-and-services/nz-economy/higher-living-standards/our-living-standards-framework" TargetMode="External"/><Relationship Id="rId34" Type="http://schemas.openxmlformats.org/officeDocument/2006/relationships/image" Target="media/image4.emf"/><Relationship Id="rId42" Type="http://schemas.openxmlformats.org/officeDocument/2006/relationships/hyperlink" Target="https://www.finance.gov.au/government/managing-commonwealth-resources/planning-and-reporting/commonwealth-performance-framework/commonwealth-evaluation-policy" TargetMode="External"/><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2.emf"/><Relationship Id="rId11" Type="http://schemas.openxmlformats.org/officeDocument/2006/relationships/header" Target="header1.xml"/><Relationship Id="rId24" Type="http://schemas.openxmlformats.org/officeDocument/2006/relationships/hyperlink" Target="https://www.abs.gov.au/statistics/people/people-and-communities/general-social-survey-summary-results-australia/latest-release" TargetMode="External"/><Relationship Id="rId32" Type="http://schemas.openxmlformats.org/officeDocument/2006/relationships/hyperlink" Target="https://stats.oecd.org/Index.aspx?datasetcode=HSL" TargetMode="External"/><Relationship Id="rId37" Type="http://schemas.openxmlformats.org/officeDocument/2006/relationships/hyperlink" Target="https://www.acara.edu.au/reporting/nationalreportonschoolinginaustralia/nationalreportonschoolinginaustraliadataportal/studentattendance" TargetMode="External"/><Relationship Id="rId40" Type="http://schemas.openxmlformats.org/officeDocument/2006/relationships/hyperlink" Target="https://budget.gov.au/202223/content/pbs/" TargetMode="External"/><Relationship Id="rId45"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www.abs.gov.au/statistics/people/people-and-communities/how-australians-use-their-time/latest-release" TargetMode="External"/><Relationship Id="rId28" Type="http://schemas.openxmlformats.org/officeDocument/2006/relationships/hyperlink" Target="https://www.oecd.org/wise/measuring-well-being-and-progress.htm" TargetMode="External"/><Relationship Id="rId36" Type="http://schemas.openxmlformats.org/officeDocument/2006/relationships/image" Target="media/image5.emf"/><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ec.europa.eu/research/participants/documents/downloadPublic?documentIds=080166e5d9df8da1&amp;appId=PPGMS" TargetMode="External"/><Relationship Id="rId31" Type="http://schemas.openxmlformats.org/officeDocument/2006/relationships/hyperlink" Target="https://www.aihw.gov.au/reports/disability/people-with-disability-in-australia/contents/employment/employment-rate-and-type" TargetMode="External"/><Relationship Id="rId44"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s://www.oecd.org/wise/measuringwellbeingandprogress.htm" TargetMode="External"/><Relationship Id="rId27" Type="http://schemas.openxmlformats.org/officeDocument/2006/relationships/hyperlink" Target="https://www.oecd.org/wise/measuringwellbeingandprogress.htm" TargetMode="External"/><Relationship Id="rId30" Type="http://schemas.openxmlformats.org/officeDocument/2006/relationships/image" Target="media/image3.emf"/><Relationship Id="rId35" Type="http://schemas.openxmlformats.org/officeDocument/2006/relationships/hyperlink" Target="https://stats.oecd.org/Index.aspx?datasetcode=HSL" TargetMode="External"/><Relationship Id="rId43" Type="http://schemas.openxmlformats.org/officeDocument/2006/relationships/header" Target="header4.xml"/><Relationship Id="rId48" Type="http://schemas.openxmlformats.org/officeDocument/2006/relationships/footer" Target="footer5.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cpd.org.au/2022/08/redefiningprogresscentreforpolicydevelopmentwellbeinginitiative/" TargetMode="External"/><Relationship Id="rId25" Type="http://schemas.openxmlformats.org/officeDocument/2006/relationships/hyperlink" Target="https://www.aec.gov.au/elections/federal_elections/voter-turnout.htm" TargetMode="External"/><Relationship Id="rId33" Type="http://schemas.openxmlformats.org/officeDocument/2006/relationships/hyperlink" Target="https://www.abs.gov.au/census" TargetMode="External"/><Relationship Id="rId38" Type="http://schemas.openxmlformats.org/officeDocument/2006/relationships/image" Target="media/image6.emf"/><Relationship Id="rId46" Type="http://schemas.openxmlformats.org/officeDocument/2006/relationships/footer" Target="footer4.xml"/><Relationship Id="rId20" Type="http://schemas.openxmlformats.org/officeDocument/2006/relationships/hyperlink" Target="https://cpd.org.au/2022/08/redefining-progress-centre-for-policy-development-wellbeing-initiative/" TargetMode="External"/><Relationship Id="rId41" Type="http://schemas.openxmlformats.org/officeDocument/2006/relationships/hyperlink" Target="https://www.finance.gov.au/government/managingcommonwealthresources/planningandreporting/commonwealthperformanceframework"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8" Type="http://schemas.openxmlformats.org/officeDocument/2006/relationships/hyperlink" Target="https://www.aec.gov.au/elections/federal_elections/voter-turnout.htm" TargetMode="External"/><Relationship Id="rId13" Type="http://schemas.openxmlformats.org/officeDocument/2006/relationships/hyperlink" Target="https://www.aihw.gov.au/reports/australias-welfare/housing-affordability" TargetMode="External"/><Relationship Id="rId18" Type="http://schemas.openxmlformats.org/officeDocument/2006/relationships/hyperlink" Target="https://www.abs.gov.au/ausstats/abs@.nsf/mf/1370.0" TargetMode="External"/><Relationship Id="rId3" Type="http://schemas.openxmlformats.org/officeDocument/2006/relationships/hyperlink" Target="https://www.oecd-ilibrary.org/docserver/9789264194830-5-en.pdf?expires=1666041273&amp;id=id&amp;accname=guest&amp;checksum=4569DEFCD82FAB268DA649357869F600" TargetMode="External"/><Relationship Id="rId7" Type="http://schemas.openxmlformats.org/officeDocument/2006/relationships/hyperlink" Target="https://stats.oecd.org/Index.aspx?DataSetCode=HSL" TargetMode="External"/><Relationship Id="rId12" Type="http://schemas.openxmlformats.org/officeDocument/2006/relationships/hyperlink" Target="https://www.oecd.org/housing/data/affordable-housing-database/" TargetMode="External"/><Relationship Id="rId17" Type="http://schemas.openxmlformats.org/officeDocument/2006/relationships/hyperlink" Target="https://tsx.org.au/tsx/" TargetMode="External"/><Relationship Id="rId2" Type="http://schemas.openxmlformats.org/officeDocument/2006/relationships/hyperlink" Target="https://heckmanequation.org/the-heckman-equation/" TargetMode="External"/><Relationship Id="rId16" Type="http://schemas.openxmlformats.org/officeDocument/2006/relationships/hyperlink" Target="https://soe.dcceew.gov.au/" TargetMode="External"/><Relationship Id="rId1" Type="http://schemas.openxmlformats.org/officeDocument/2006/relationships/hyperlink" Target="https://treasury.gov.au/consultation/measuring-what-matters-2022" TargetMode="External"/><Relationship Id="rId6" Type="http://schemas.openxmlformats.org/officeDocument/2006/relationships/hyperlink" Target="https://www.oecd.org/wise/better-life-initiative.htm" TargetMode="External"/><Relationship Id="rId11" Type="http://schemas.openxmlformats.org/officeDocument/2006/relationships/hyperlink" Target="https://www.aihw.gov.au/reports/australias-welfare/housing-affordability" TargetMode="External"/><Relationship Id="rId5" Type="http://schemas.openxmlformats.org/officeDocument/2006/relationships/hyperlink" Target="https://www.ausstats.abs.gov.au/ausstats/free.nsf/0/D609B8E54F0EDCA8CA256AE30004282D/$File/41600_2001.pdf" TargetMode="External"/><Relationship Id="rId15" Type="http://schemas.openxmlformats.org/officeDocument/2006/relationships/hyperlink" Target="https://reports.acara.edu.au/Home/TimeSeries" TargetMode="External"/><Relationship Id="rId10" Type="http://schemas.openxmlformats.org/officeDocument/2006/relationships/hyperlink" Target="https://www.oecd.org/els/family/HC1-5%20Overview%20of%20affordable%20housing%20indicators.pdf" TargetMode="External"/><Relationship Id="rId19" Type="http://schemas.openxmlformats.org/officeDocument/2006/relationships/hyperlink" Target="https://treasury.gov.au/consultation/measuring-what-matters-2022" TargetMode="External"/><Relationship Id="rId4" Type="http://schemas.openxmlformats.org/officeDocument/2006/relationships/hyperlink" Target="https://www.treasury.govt.nz/sites/default/files/2019-05/b19-wellbeing-budget.pdf" TargetMode="External"/><Relationship Id="rId9" Type="http://schemas.openxmlformats.org/officeDocument/2006/relationships/hyperlink" Target="https://treasury.gov.au/consultation/measuring-what-matters-2022" TargetMode="External"/><Relationship Id="rId14" Type="http://schemas.openxmlformats.org/officeDocument/2006/relationships/hyperlink" Target="https://nap.edu.au/docs/default-source/default-document-library/2021-naplan-national-report.pdf"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reasury\Workgroup%20Templates\Budget\Budget%20Template.dotm" TargetMode="External"/></Relationships>
</file>

<file path=word/theme/theme1.xml><?xml version="1.0" encoding="utf-8"?>
<a:theme xmlns:a="http://schemas.openxmlformats.org/drawingml/2006/main" name="Office Theme">
  <a:themeElements>
    <a:clrScheme name="Budget">
      <a:dk1>
        <a:sysClr val="windowText" lastClr="000000"/>
      </a:dk1>
      <a:lt1>
        <a:sysClr val="window" lastClr="FFFFFF"/>
      </a:lt1>
      <a:dk2>
        <a:srgbClr val="293F5B"/>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Budget">
      <a:majorFont>
        <a:latin typeface="Arial"/>
        <a:ea typeface=""/>
        <a:cs typeface=""/>
      </a:majorFont>
      <a:minorFont>
        <a:latin typeface="Book Antiqu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4EFA3CD0C9384883E202483A01CFD0" ma:contentTypeVersion="24" ma:contentTypeDescription="Create a new document." ma:contentTypeScope="" ma:versionID="b492a6f60403d1702e9fd74dbc1c60cd">
  <xsd:schema xmlns:xsd="http://www.w3.org/2001/XMLSchema" xmlns:xs="http://www.w3.org/2001/XMLSchema" xmlns:p="http://schemas.microsoft.com/office/2006/metadata/properties" xmlns:ns1="http://schemas.microsoft.com/sharepoint/v3" xmlns:ns2="9115ddca-c623-419f-a3c0-6a1c58c4dac8" xmlns:ns3="244fe85f-b655-4145-9b20-543b75dc1c24" targetNamespace="http://schemas.microsoft.com/office/2006/metadata/properties" ma:root="true" ma:fieldsID="245d6aa251cb9bfe7e335d8c0f22fe3b" ns1:_="" ns2:_="" ns3:_="">
    <xsd:import namespace="http://schemas.microsoft.com/sharepoint/v3"/>
    <xsd:import namespace="9115ddca-c623-419f-a3c0-6a1c58c4dac8"/>
    <xsd:import namespace="244fe85f-b655-4145-9b20-543b75dc1c24"/>
    <xsd:element name="properties">
      <xsd:complexType>
        <xsd:sequence>
          <xsd:element name="documentManagement">
            <xsd:complexType>
              <xsd:all>
                <xsd:element ref="ns2:Image" minOccurs="0"/>
                <xsd:element ref="ns2:MediaServiceMetadata" minOccurs="0"/>
                <xsd:element ref="ns2:MediaServiceFastMetadata" minOccurs="0"/>
                <xsd:element ref="ns2:MediaServiceAutoKeyPoints" minOccurs="0"/>
                <xsd:element ref="ns2:MediaServiceKeyPoints" minOccurs="0"/>
                <xsd:element ref="ns2:Status" minOccurs="0"/>
                <xsd:element ref="ns2:Note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ma:readOnly="false">
      <xsd:simpleType>
        <xsd:restriction base="dms:Note"/>
      </xsd:simpleType>
    </xsd:element>
    <xsd:element name="_ip_UnifiedCompliancePolicyUIAction" ma:index="17"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ddca-c623-419f-a3c0-6a1c58c4dac8" elementFormDefault="qualified">
    <xsd:import namespace="http://schemas.microsoft.com/office/2006/documentManagement/types"/>
    <xsd:import namespace="http://schemas.microsoft.com/office/infopath/2007/PartnerControls"/>
    <xsd:element name="Image" ma:index="3" nillable="true" ma:displayName="Image" ma:format="Thumbnail" ma:internalName="Image" ma:readOnly="false">
      <xsd:simpleType>
        <xsd:restriction base="dms:Unknow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Status" ma:index="12" nillable="true" ma:displayName="Status" ma:format="Dropdown" ma:hidden="true" ma:internalName="Status" ma:readOnly="false">
      <xsd:simpleType>
        <xsd:restriction base="dms:Choice">
          <xsd:enumeration value="With drafter"/>
          <xsd:enumeration value="With EB for comment"/>
          <xsd:enumeration value="With TO for comment"/>
          <xsd:enumeration value="With EB for final review"/>
          <xsd:enumeration value="With TO for final review"/>
          <xsd:enumeration value="With Treasurer for final review"/>
          <xsd:enumeration value="In sandy"/>
          <xsd:enumeration value="In hard close"/>
        </xsd:restriction>
      </xsd:simpleType>
    </xsd:element>
    <xsd:element name="Notes" ma:index="13" nillable="true" ma:displayName="Notes" ma:format="Dropdown" ma:hidden="true" ma:internalName="Notes" ma:readOnly="false">
      <xsd:simpleType>
        <xsd:restriction base="dms:Note"/>
      </xsd:simpleType>
    </xsd:element>
    <xsd:element name="MediaServiceAutoTags" ma:index="18" nillable="true" ma:displayName="Tags" ma:hidden="true"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OCR" ma:index="22" nillable="true" ma:displayName="Extracted Text" ma:hidden="true" ma:internalName="MediaServiceOCR" ma:readOnly="true">
      <xsd:simpleType>
        <xsd:restriction base="dms:Note"/>
      </xsd:simpleType>
    </xsd:element>
    <xsd:element name="MediaServiceLocation" ma:index="23" nillable="true" ma:displayName="Location" ma:hidden="true" ma:internalName="MediaServiceLocation" ma:readOnly="true">
      <xsd:simpleType>
        <xsd:restriction base="dms:Text"/>
      </xsd:simpleType>
    </xsd:element>
    <xsd:element name="_Flow_SignoffStatus" ma:index="24" nillable="true" ma:displayName="Sign-off status" ma:hidden="true" ma:internalName="Sign_x002d_off_x0020_status" ma:readOnly="fals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218240cd-c75f-40bd-87f4-262ac964b25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4fe85f-b655-4145-9b20-543b75dc1c24"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8" nillable="true" ma:displayName="Taxonomy Catch All Column" ma:hidden="true" ma:list="{eed413a1-1c23-4ed2-af48-854dd5cd0a31}" ma:internalName="TaxCatchAll" ma:readOnly="false" ma:showField="CatchAllData" ma:web="244fe85f-b655-4145-9b20-543b75dc1c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9115ddca-c623-419f-a3c0-6a1c58c4dac8" xsi:nil="true"/>
    <_ip_UnifiedCompliancePolicyProperties xmlns="http://schemas.microsoft.com/sharepoint/v3" xsi:nil="true"/>
    <TaxCatchAll xmlns="244fe85f-b655-4145-9b20-543b75dc1c24" xsi:nil="true"/>
    <Status xmlns="9115ddca-c623-419f-a3c0-6a1c58c4dac8" xsi:nil="true"/>
    <lcf76f155ced4ddcb4097134ff3c332f xmlns="9115ddca-c623-419f-a3c0-6a1c58c4dac8">
      <Terms xmlns="http://schemas.microsoft.com/office/infopath/2007/PartnerControls"/>
    </lcf76f155ced4ddcb4097134ff3c332f>
    <Notes xmlns="9115ddca-c623-419f-a3c0-6a1c58c4dac8" xsi:nil="true"/>
    <Image xmlns="9115ddca-c623-419f-a3c0-6a1c58c4dac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00E52-B4D6-4E32-BD64-678446F881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15ddca-c623-419f-a3c0-6a1c58c4dac8"/>
    <ds:schemaRef ds:uri="244fe85f-b655-4145-9b20-543b75dc1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4B0FE5-26A2-47C3-B1AF-416627C1A9DD}">
  <ds:schemaRefs>
    <ds:schemaRef ds:uri="http://schemas.microsoft.com/office/2006/metadata/properties"/>
    <ds:schemaRef ds:uri="http://schemas.microsoft.com/office/infopath/2007/PartnerControls"/>
    <ds:schemaRef ds:uri="http://schemas.microsoft.com/sharepoint/v3"/>
    <ds:schemaRef ds:uri="9115ddca-c623-419f-a3c0-6a1c58c4dac8"/>
    <ds:schemaRef ds:uri="244fe85f-b655-4145-9b20-543b75dc1c24"/>
  </ds:schemaRefs>
</ds:datastoreItem>
</file>

<file path=customXml/itemProps3.xml><?xml version="1.0" encoding="utf-8"?>
<ds:datastoreItem xmlns:ds="http://schemas.openxmlformats.org/officeDocument/2006/customXml" ds:itemID="{973FD105-1BC8-4FE3-ABD0-0A0D89072DDB}">
  <ds:schemaRefs>
    <ds:schemaRef ds:uri="http://schemas.microsoft.com/sharepoint/v3/contenttype/forms"/>
  </ds:schemaRefs>
</ds:datastoreItem>
</file>

<file path=customXml/itemProps4.xml><?xml version="1.0" encoding="utf-8"?>
<ds:datastoreItem xmlns:ds="http://schemas.openxmlformats.org/officeDocument/2006/customXml" ds:itemID="{28E3B494-7205-4309-A58C-9FF2D971E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Budget Template.dotm</Template>
  <TotalTime>2285</TotalTime>
  <Pages>24</Pages>
  <Words>6268</Words>
  <Characters>35730</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Budget Paper No. 1</vt:lpstr>
    </vt:vector>
  </TitlesOfParts>
  <Company>Australian Government</Company>
  <LinksUpToDate>false</LinksUpToDate>
  <CharactersWithSpaces>41915</CharactersWithSpaces>
  <SharedDoc>false</SharedDoc>
  <HLinks>
    <vt:vector size="270" baseType="variant">
      <vt:variant>
        <vt:i4>6488106</vt:i4>
      </vt:variant>
      <vt:variant>
        <vt:i4>108</vt:i4>
      </vt:variant>
      <vt:variant>
        <vt:i4>0</vt:i4>
      </vt:variant>
      <vt:variant>
        <vt:i4>5</vt:i4>
      </vt:variant>
      <vt:variant>
        <vt:lpwstr>https://www.finance.gov.au/government/managing-commonwealth-resources/planning-and-reporting/commonwealth-performance-framework/commonwealth-evaluation-policy</vt:lpwstr>
      </vt:variant>
      <vt:variant>
        <vt:lpwstr/>
      </vt:variant>
      <vt:variant>
        <vt:i4>4784220</vt:i4>
      </vt:variant>
      <vt:variant>
        <vt:i4>105</vt:i4>
      </vt:variant>
      <vt:variant>
        <vt:i4>0</vt:i4>
      </vt:variant>
      <vt:variant>
        <vt:i4>5</vt:i4>
      </vt:variant>
      <vt:variant>
        <vt:lpwstr>https://www.finance.gov.au/government/managingcommonwealthresources/planningandreporting/commonwealthperformanceframework</vt:lpwstr>
      </vt:variant>
      <vt:variant>
        <vt:lpwstr/>
      </vt:variant>
      <vt:variant>
        <vt:i4>393244</vt:i4>
      </vt:variant>
      <vt:variant>
        <vt:i4>102</vt:i4>
      </vt:variant>
      <vt:variant>
        <vt:i4>0</vt:i4>
      </vt:variant>
      <vt:variant>
        <vt:i4>5</vt:i4>
      </vt:variant>
      <vt:variant>
        <vt:lpwstr>https://budget.gov.au/202223/content/pbs/</vt:lpwstr>
      </vt:variant>
      <vt:variant>
        <vt:lpwstr/>
      </vt:variant>
      <vt:variant>
        <vt:i4>4259845</vt:i4>
      </vt:variant>
      <vt:variant>
        <vt:i4>99</vt:i4>
      </vt:variant>
      <vt:variant>
        <vt:i4>0</vt:i4>
      </vt:variant>
      <vt:variant>
        <vt:i4>5</vt:i4>
      </vt:variant>
      <vt:variant>
        <vt:lpwstr>https://stats.oecd.org/Index.aspx?datasetcode=HSL</vt:lpwstr>
      </vt:variant>
      <vt:variant>
        <vt:lpwstr/>
      </vt:variant>
      <vt:variant>
        <vt:i4>65565</vt:i4>
      </vt:variant>
      <vt:variant>
        <vt:i4>93</vt:i4>
      </vt:variant>
      <vt:variant>
        <vt:i4>0</vt:i4>
      </vt:variant>
      <vt:variant>
        <vt:i4>5</vt:i4>
      </vt:variant>
      <vt:variant>
        <vt:lpwstr>https://www.acara.edu.au/reporting/nationalreportonschoolinginaustralia/nationalreportonschoolinginaustraliadataportal/studentattendance</vt:lpwstr>
      </vt:variant>
      <vt:variant>
        <vt:lpwstr/>
      </vt:variant>
      <vt:variant>
        <vt:i4>4259845</vt:i4>
      </vt:variant>
      <vt:variant>
        <vt:i4>87</vt:i4>
      </vt:variant>
      <vt:variant>
        <vt:i4>0</vt:i4>
      </vt:variant>
      <vt:variant>
        <vt:i4>5</vt:i4>
      </vt:variant>
      <vt:variant>
        <vt:lpwstr>https://stats.oecd.org/Index.aspx?datasetcode=HSL</vt:lpwstr>
      </vt:variant>
      <vt:variant>
        <vt:lpwstr/>
      </vt:variant>
      <vt:variant>
        <vt:i4>4718619</vt:i4>
      </vt:variant>
      <vt:variant>
        <vt:i4>81</vt:i4>
      </vt:variant>
      <vt:variant>
        <vt:i4>0</vt:i4>
      </vt:variant>
      <vt:variant>
        <vt:i4>5</vt:i4>
      </vt:variant>
      <vt:variant>
        <vt:lpwstr>https://www.abs.gov.au/census</vt:lpwstr>
      </vt:variant>
      <vt:variant>
        <vt:lpwstr/>
      </vt:variant>
      <vt:variant>
        <vt:i4>4259845</vt:i4>
      </vt:variant>
      <vt:variant>
        <vt:i4>78</vt:i4>
      </vt:variant>
      <vt:variant>
        <vt:i4>0</vt:i4>
      </vt:variant>
      <vt:variant>
        <vt:i4>5</vt:i4>
      </vt:variant>
      <vt:variant>
        <vt:lpwstr>https://stats.oecd.org/Index.aspx?datasetcode=HSL</vt:lpwstr>
      </vt:variant>
      <vt:variant>
        <vt:lpwstr/>
      </vt:variant>
      <vt:variant>
        <vt:i4>5701646</vt:i4>
      </vt:variant>
      <vt:variant>
        <vt:i4>75</vt:i4>
      </vt:variant>
      <vt:variant>
        <vt:i4>0</vt:i4>
      </vt:variant>
      <vt:variant>
        <vt:i4>5</vt:i4>
      </vt:variant>
      <vt:variant>
        <vt:lpwstr>https://www.aihw.gov.au/reports/disability/people-with-disability-in-australia/contents/employment/employment-rate-and-type</vt:lpwstr>
      </vt:variant>
      <vt:variant>
        <vt:lpwstr>employment</vt:lpwstr>
      </vt:variant>
      <vt:variant>
        <vt:i4>6881404</vt:i4>
      </vt:variant>
      <vt:variant>
        <vt:i4>66</vt:i4>
      </vt:variant>
      <vt:variant>
        <vt:i4>0</vt:i4>
      </vt:variant>
      <vt:variant>
        <vt:i4>5</vt:i4>
      </vt:variant>
      <vt:variant>
        <vt:lpwstr>https://www.oecd.org/wise/measuring-well-being-and-progress.htm</vt:lpwstr>
      </vt:variant>
      <vt:variant>
        <vt:lpwstr/>
      </vt:variant>
      <vt:variant>
        <vt:i4>3997736</vt:i4>
      </vt:variant>
      <vt:variant>
        <vt:i4>63</vt:i4>
      </vt:variant>
      <vt:variant>
        <vt:i4>0</vt:i4>
      </vt:variant>
      <vt:variant>
        <vt:i4>5</vt:i4>
      </vt:variant>
      <vt:variant>
        <vt:lpwstr>https://www.oecd.org/wise/measuringwellbeingandprogress.htm</vt:lpwstr>
      </vt:variant>
      <vt:variant>
        <vt:lpwstr/>
      </vt:variant>
      <vt:variant>
        <vt:i4>6750313</vt:i4>
      </vt:variant>
      <vt:variant>
        <vt:i4>60</vt:i4>
      </vt:variant>
      <vt:variant>
        <vt:i4>0</vt:i4>
      </vt:variant>
      <vt:variant>
        <vt:i4>5</vt:i4>
      </vt:variant>
      <vt:variant>
        <vt:lpwstr>https://measure.whatworkswellbeing.org/analysing-and-interpreting-your-results/</vt:lpwstr>
      </vt:variant>
      <vt:variant>
        <vt:lpwstr/>
      </vt:variant>
      <vt:variant>
        <vt:i4>4390960</vt:i4>
      </vt:variant>
      <vt:variant>
        <vt:i4>57</vt:i4>
      </vt:variant>
      <vt:variant>
        <vt:i4>0</vt:i4>
      </vt:variant>
      <vt:variant>
        <vt:i4>5</vt:i4>
      </vt:variant>
      <vt:variant>
        <vt:lpwstr>https://www.aec.gov.au/elections/federal_elections/voter-turnout.htm</vt:lpwstr>
      </vt:variant>
      <vt:variant>
        <vt:lpwstr/>
      </vt:variant>
      <vt:variant>
        <vt:i4>6357044</vt:i4>
      </vt:variant>
      <vt:variant>
        <vt:i4>54</vt:i4>
      </vt:variant>
      <vt:variant>
        <vt:i4>0</vt:i4>
      </vt:variant>
      <vt:variant>
        <vt:i4>5</vt:i4>
      </vt:variant>
      <vt:variant>
        <vt:lpwstr>https://www.abs.gov.au/statistics/people/people-and-communities/general-social-survey-summary-results-australia/latest-release</vt:lpwstr>
      </vt:variant>
      <vt:variant>
        <vt:lpwstr/>
      </vt:variant>
      <vt:variant>
        <vt:i4>983054</vt:i4>
      </vt:variant>
      <vt:variant>
        <vt:i4>51</vt:i4>
      </vt:variant>
      <vt:variant>
        <vt:i4>0</vt:i4>
      </vt:variant>
      <vt:variant>
        <vt:i4>5</vt:i4>
      </vt:variant>
      <vt:variant>
        <vt:lpwstr>https://www.abs.gov.au/statistics/people/people-and-communities/how-australians-use-their-time/latest-release</vt:lpwstr>
      </vt:variant>
      <vt:variant>
        <vt:lpwstr/>
      </vt:variant>
      <vt:variant>
        <vt:i4>3997736</vt:i4>
      </vt:variant>
      <vt:variant>
        <vt:i4>48</vt:i4>
      </vt:variant>
      <vt:variant>
        <vt:i4>0</vt:i4>
      </vt:variant>
      <vt:variant>
        <vt:i4>5</vt:i4>
      </vt:variant>
      <vt:variant>
        <vt:lpwstr>https://www.oecd.org/wise/measuringwellbeingandprogress.htm</vt:lpwstr>
      </vt:variant>
      <vt:variant>
        <vt:lpwstr/>
      </vt:variant>
      <vt:variant>
        <vt:i4>7536749</vt:i4>
      </vt:variant>
      <vt:variant>
        <vt:i4>45</vt:i4>
      </vt:variant>
      <vt:variant>
        <vt:i4>0</vt:i4>
      </vt:variant>
      <vt:variant>
        <vt:i4>5</vt:i4>
      </vt:variant>
      <vt:variant>
        <vt:lpwstr>https://www.treasury.govt.nz/information-and-services/nz-economy/higher-living-standards/our-living-standards-framework</vt:lpwstr>
      </vt:variant>
      <vt:variant>
        <vt:lpwstr/>
      </vt:variant>
      <vt:variant>
        <vt:i4>7077987</vt:i4>
      </vt:variant>
      <vt:variant>
        <vt:i4>42</vt:i4>
      </vt:variant>
      <vt:variant>
        <vt:i4>0</vt:i4>
      </vt:variant>
      <vt:variant>
        <vt:i4>5</vt:i4>
      </vt:variant>
      <vt:variant>
        <vt:lpwstr>https://cpd.org.au/2022/08/redefining-progress-centre-for-policy-development-wellbeing-initiative/</vt:lpwstr>
      </vt:variant>
      <vt:variant>
        <vt:lpwstr/>
      </vt:variant>
      <vt:variant>
        <vt:i4>1507399</vt:i4>
      </vt:variant>
      <vt:variant>
        <vt:i4>39</vt:i4>
      </vt:variant>
      <vt:variant>
        <vt:i4>0</vt:i4>
      </vt:variant>
      <vt:variant>
        <vt:i4>5</vt:i4>
      </vt:variant>
      <vt:variant>
        <vt:lpwstr>https://ec.europa.eu/research/participants/documents/downloadPublic?documentIds=080166e5d9df8da1&amp;appId=PPGMS</vt:lpwstr>
      </vt:variant>
      <vt:variant>
        <vt:lpwstr/>
      </vt:variant>
      <vt:variant>
        <vt:i4>1966088</vt:i4>
      </vt:variant>
      <vt:variant>
        <vt:i4>36</vt:i4>
      </vt:variant>
      <vt:variant>
        <vt:i4>0</vt:i4>
      </vt:variant>
      <vt:variant>
        <vt:i4>5</vt:i4>
      </vt:variant>
      <vt:variant>
        <vt:lpwstr>https://www.oecd.org/sdd/47917288.pdf</vt:lpwstr>
      </vt:variant>
      <vt:variant>
        <vt:lpwstr/>
      </vt:variant>
      <vt:variant>
        <vt:i4>6750314</vt:i4>
      </vt:variant>
      <vt:variant>
        <vt:i4>33</vt:i4>
      </vt:variant>
      <vt:variant>
        <vt:i4>0</vt:i4>
      </vt:variant>
      <vt:variant>
        <vt:i4>5</vt:i4>
      </vt:variant>
      <vt:variant>
        <vt:lpwstr>https://cpd.org.au/2022/08/redefiningprogresscentreforpolicydevelopmentwellbeinginitiative/</vt:lpwstr>
      </vt:variant>
      <vt:variant>
        <vt:lpwstr/>
      </vt:variant>
      <vt:variant>
        <vt:i4>1769530</vt:i4>
      </vt:variant>
      <vt:variant>
        <vt:i4>26</vt:i4>
      </vt:variant>
      <vt:variant>
        <vt:i4>0</vt:i4>
      </vt:variant>
      <vt:variant>
        <vt:i4>5</vt:i4>
      </vt:variant>
      <vt:variant>
        <vt:lpwstr/>
      </vt:variant>
      <vt:variant>
        <vt:lpwstr>_Toc117059949</vt:lpwstr>
      </vt:variant>
      <vt:variant>
        <vt:i4>1769530</vt:i4>
      </vt:variant>
      <vt:variant>
        <vt:i4>20</vt:i4>
      </vt:variant>
      <vt:variant>
        <vt:i4>0</vt:i4>
      </vt:variant>
      <vt:variant>
        <vt:i4>5</vt:i4>
      </vt:variant>
      <vt:variant>
        <vt:lpwstr/>
      </vt:variant>
      <vt:variant>
        <vt:lpwstr>_Toc117059948</vt:lpwstr>
      </vt:variant>
      <vt:variant>
        <vt:i4>1769530</vt:i4>
      </vt:variant>
      <vt:variant>
        <vt:i4>14</vt:i4>
      </vt:variant>
      <vt:variant>
        <vt:i4>0</vt:i4>
      </vt:variant>
      <vt:variant>
        <vt:i4>5</vt:i4>
      </vt:variant>
      <vt:variant>
        <vt:lpwstr/>
      </vt:variant>
      <vt:variant>
        <vt:lpwstr>_Toc117059944</vt:lpwstr>
      </vt:variant>
      <vt:variant>
        <vt:i4>1769530</vt:i4>
      </vt:variant>
      <vt:variant>
        <vt:i4>8</vt:i4>
      </vt:variant>
      <vt:variant>
        <vt:i4>0</vt:i4>
      </vt:variant>
      <vt:variant>
        <vt:i4>5</vt:i4>
      </vt:variant>
      <vt:variant>
        <vt:lpwstr/>
      </vt:variant>
      <vt:variant>
        <vt:lpwstr>_Toc117059942</vt:lpwstr>
      </vt:variant>
      <vt:variant>
        <vt:i4>1769530</vt:i4>
      </vt:variant>
      <vt:variant>
        <vt:i4>2</vt:i4>
      </vt:variant>
      <vt:variant>
        <vt:i4>0</vt:i4>
      </vt:variant>
      <vt:variant>
        <vt:i4>5</vt:i4>
      </vt:variant>
      <vt:variant>
        <vt:lpwstr/>
      </vt:variant>
      <vt:variant>
        <vt:lpwstr>_Toc117059941</vt:lpwstr>
      </vt:variant>
      <vt:variant>
        <vt:i4>3538993</vt:i4>
      </vt:variant>
      <vt:variant>
        <vt:i4>54</vt:i4>
      </vt:variant>
      <vt:variant>
        <vt:i4>0</vt:i4>
      </vt:variant>
      <vt:variant>
        <vt:i4>5</vt:i4>
      </vt:variant>
      <vt:variant>
        <vt:lpwstr>https://austreasury.sharepoint.com/sites/Budget/Shared Documents/2022 October Budget/01 BP1/04 BS4/www.treasury.gov.au/consultation/measuring-what-matters-2022</vt:lpwstr>
      </vt:variant>
      <vt:variant>
        <vt:lpwstr/>
      </vt:variant>
      <vt:variant>
        <vt:i4>5636151</vt:i4>
      </vt:variant>
      <vt:variant>
        <vt:i4>51</vt:i4>
      </vt:variant>
      <vt:variant>
        <vt:i4>0</vt:i4>
      </vt:variant>
      <vt:variant>
        <vt:i4>5</vt:i4>
      </vt:variant>
      <vt:variant>
        <vt:lpwstr>https://www.abs.gov.au/ausstats/abs@.nsf/mf/1370.0</vt:lpwstr>
      </vt:variant>
      <vt:variant>
        <vt:lpwstr/>
      </vt:variant>
      <vt:variant>
        <vt:i4>6881366</vt:i4>
      </vt:variant>
      <vt:variant>
        <vt:i4>48</vt:i4>
      </vt:variant>
      <vt:variant>
        <vt:i4>0</vt:i4>
      </vt:variant>
      <vt:variant>
        <vt:i4>5</vt:i4>
      </vt:variant>
      <vt:variant>
        <vt:lpwstr>https://tsx.org.au/tsx/</vt:lpwstr>
      </vt:variant>
      <vt:variant>
        <vt:lpwstr>/</vt:lpwstr>
      </vt:variant>
      <vt:variant>
        <vt:i4>8257582</vt:i4>
      </vt:variant>
      <vt:variant>
        <vt:i4>45</vt:i4>
      </vt:variant>
      <vt:variant>
        <vt:i4>0</vt:i4>
      </vt:variant>
      <vt:variant>
        <vt:i4>5</vt:i4>
      </vt:variant>
      <vt:variant>
        <vt:lpwstr>https://soe.dcceew.gov.au/</vt:lpwstr>
      </vt:variant>
      <vt:variant>
        <vt:lpwstr/>
      </vt:variant>
      <vt:variant>
        <vt:i4>1572875</vt:i4>
      </vt:variant>
      <vt:variant>
        <vt:i4>42</vt:i4>
      </vt:variant>
      <vt:variant>
        <vt:i4>0</vt:i4>
      </vt:variant>
      <vt:variant>
        <vt:i4>5</vt:i4>
      </vt:variant>
      <vt:variant>
        <vt:lpwstr>https://reports.acara.edu.au/Home/TimeSeries</vt:lpwstr>
      </vt:variant>
      <vt:variant>
        <vt:lpwstr/>
      </vt:variant>
      <vt:variant>
        <vt:i4>8061044</vt:i4>
      </vt:variant>
      <vt:variant>
        <vt:i4>39</vt:i4>
      </vt:variant>
      <vt:variant>
        <vt:i4>0</vt:i4>
      </vt:variant>
      <vt:variant>
        <vt:i4>5</vt:i4>
      </vt:variant>
      <vt:variant>
        <vt:lpwstr>https://nap.edu.au/docs/default-source/default-document-library/2021-naplan-national-report.pdf</vt:lpwstr>
      </vt:variant>
      <vt:variant>
        <vt:lpwstr/>
      </vt:variant>
      <vt:variant>
        <vt:i4>4390918</vt:i4>
      </vt:variant>
      <vt:variant>
        <vt:i4>36</vt:i4>
      </vt:variant>
      <vt:variant>
        <vt:i4>0</vt:i4>
      </vt:variant>
      <vt:variant>
        <vt:i4>5</vt:i4>
      </vt:variant>
      <vt:variant>
        <vt:lpwstr>https://www.aihw.gov.au/reports/australias-welfare/housing-affordability</vt:lpwstr>
      </vt:variant>
      <vt:variant>
        <vt:lpwstr/>
      </vt:variant>
      <vt:variant>
        <vt:i4>3801196</vt:i4>
      </vt:variant>
      <vt:variant>
        <vt:i4>33</vt:i4>
      </vt:variant>
      <vt:variant>
        <vt:i4>0</vt:i4>
      </vt:variant>
      <vt:variant>
        <vt:i4>5</vt:i4>
      </vt:variant>
      <vt:variant>
        <vt:lpwstr>https://www.oecd.org/housing/data/affordable-housing-database/</vt:lpwstr>
      </vt:variant>
      <vt:variant>
        <vt:lpwstr/>
      </vt:variant>
      <vt:variant>
        <vt:i4>4390918</vt:i4>
      </vt:variant>
      <vt:variant>
        <vt:i4>30</vt:i4>
      </vt:variant>
      <vt:variant>
        <vt:i4>0</vt:i4>
      </vt:variant>
      <vt:variant>
        <vt:i4>5</vt:i4>
      </vt:variant>
      <vt:variant>
        <vt:lpwstr>https://www.aihw.gov.au/reports/australias-welfare/housing-affordability</vt:lpwstr>
      </vt:variant>
      <vt:variant>
        <vt:lpwstr/>
      </vt:variant>
      <vt:variant>
        <vt:i4>8323134</vt:i4>
      </vt:variant>
      <vt:variant>
        <vt:i4>27</vt:i4>
      </vt:variant>
      <vt:variant>
        <vt:i4>0</vt:i4>
      </vt:variant>
      <vt:variant>
        <vt:i4>5</vt:i4>
      </vt:variant>
      <vt:variant>
        <vt:lpwstr>https://www.oecd.org/els/family/HC1-5 Overview of affordable housing indicators.pdf</vt:lpwstr>
      </vt:variant>
      <vt:variant>
        <vt:lpwstr/>
      </vt:variant>
      <vt:variant>
        <vt:i4>3538993</vt:i4>
      </vt:variant>
      <vt:variant>
        <vt:i4>24</vt:i4>
      </vt:variant>
      <vt:variant>
        <vt:i4>0</vt:i4>
      </vt:variant>
      <vt:variant>
        <vt:i4>5</vt:i4>
      </vt:variant>
      <vt:variant>
        <vt:lpwstr>https://austreasury.sharepoint.com/sites/Budget/Shared Documents/2022 October Budget/01 BP1/04 BS4/www.treasury.gov.au/consultation/measuring-what-matters-2022</vt:lpwstr>
      </vt:variant>
      <vt:variant>
        <vt:lpwstr/>
      </vt:variant>
      <vt:variant>
        <vt:i4>4390960</vt:i4>
      </vt:variant>
      <vt:variant>
        <vt:i4>21</vt:i4>
      </vt:variant>
      <vt:variant>
        <vt:i4>0</vt:i4>
      </vt:variant>
      <vt:variant>
        <vt:i4>5</vt:i4>
      </vt:variant>
      <vt:variant>
        <vt:lpwstr>https://www.aec.gov.au/elections/federal_elections/voter-turnout.htm</vt:lpwstr>
      </vt:variant>
      <vt:variant>
        <vt:lpwstr/>
      </vt:variant>
      <vt:variant>
        <vt:i4>4259845</vt:i4>
      </vt:variant>
      <vt:variant>
        <vt:i4>18</vt:i4>
      </vt:variant>
      <vt:variant>
        <vt:i4>0</vt:i4>
      </vt:variant>
      <vt:variant>
        <vt:i4>5</vt:i4>
      </vt:variant>
      <vt:variant>
        <vt:lpwstr>https://stats.oecd.org/Index.aspx?DataSetCode=HSL</vt:lpwstr>
      </vt:variant>
      <vt:variant>
        <vt:lpwstr/>
      </vt:variant>
      <vt:variant>
        <vt:i4>6029392</vt:i4>
      </vt:variant>
      <vt:variant>
        <vt:i4>15</vt:i4>
      </vt:variant>
      <vt:variant>
        <vt:i4>0</vt:i4>
      </vt:variant>
      <vt:variant>
        <vt:i4>5</vt:i4>
      </vt:variant>
      <vt:variant>
        <vt:lpwstr>https://www.oecd.org/wise/better-life-initiative.htm</vt:lpwstr>
      </vt:variant>
      <vt:variant>
        <vt:lpwstr/>
      </vt:variant>
      <vt:variant>
        <vt:i4>852067</vt:i4>
      </vt:variant>
      <vt:variant>
        <vt:i4>12</vt:i4>
      </vt:variant>
      <vt:variant>
        <vt:i4>0</vt:i4>
      </vt:variant>
      <vt:variant>
        <vt:i4>5</vt:i4>
      </vt:variant>
      <vt:variant>
        <vt:lpwstr>https://www.ausstats.abs.gov.au/ausstats/free.nsf/0/D609B8E54F0EDCA8CA256AE30004282D/$File/41600_2001.pdf</vt:lpwstr>
      </vt:variant>
      <vt:variant>
        <vt:lpwstr/>
      </vt:variant>
      <vt:variant>
        <vt:i4>131152</vt:i4>
      </vt:variant>
      <vt:variant>
        <vt:i4>9</vt:i4>
      </vt:variant>
      <vt:variant>
        <vt:i4>0</vt:i4>
      </vt:variant>
      <vt:variant>
        <vt:i4>5</vt:i4>
      </vt:variant>
      <vt:variant>
        <vt:lpwstr>https://www.treasury.govt.nz/sites/default/files/2019-05/b19-wellbeing-budget.pdf</vt:lpwstr>
      </vt:variant>
      <vt:variant>
        <vt:lpwstr/>
      </vt:variant>
      <vt:variant>
        <vt:i4>2359418</vt:i4>
      </vt:variant>
      <vt:variant>
        <vt:i4>6</vt:i4>
      </vt:variant>
      <vt:variant>
        <vt:i4>0</vt:i4>
      </vt:variant>
      <vt:variant>
        <vt:i4>5</vt:i4>
      </vt:variant>
      <vt:variant>
        <vt:lpwstr>https://www.oecd-ilibrary.org/docserver/9789264194830-5-en.pdf?expires=1666041273&amp;id=id&amp;accname=guest&amp;checksum=4569DEFCD82FAB268DA649357869F600</vt:lpwstr>
      </vt:variant>
      <vt:variant>
        <vt:lpwstr/>
      </vt:variant>
      <vt:variant>
        <vt:i4>1441861</vt:i4>
      </vt:variant>
      <vt:variant>
        <vt:i4>3</vt:i4>
      </vt:variant>
      <vt:variant>
        <vt:i4>0</vt:i4>
      </vt:variant>
      <vt:variant>
        <vt:i4>5</vt:i4>
      </vt:variant>
      <vt:variant>
        <vt:lpwstr>https://heckmanequation.org/the-heckman-equation/</vt:lpwstr>
      </vt:variant>
      <vt:variant>
        <vt:lpwstr/>
      </vt:variant>
      <vt:variant>
        <vt:i4>720902</vt:i4>
      </vt:variant>
      <vt:variant>
        <vt:i4>0</vt:i4>
      </vt:variant>
      <vt:variant>
        <vt:i4>0</vt:i4>
      </vt:variant>
      <vt:variant>
        <vt:i4>5</vt:i4>
      </vt:variant>
      <vt:variant>
        <vt:lpwstr>www.treasury.gov.au/consultation/measuring-what-matters-2022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Paper No. 1</dc:title>
  <dc:subject>Statement 4: Measuring What Matters</dc:subject>
  <dc:creator>Palmer, Selene</dc:creator>
  <cp:keywords/>
  <dc:description/>
  <cp:lastModifiedBy>Kouvaros, Eugena</cp:lastModifiedBy>
  <cp:revision>739</cp:revision>
  <cp:lastPrinted>2022-10-22T23:01:00Z</cp:lastPrinted>
  <dcterms:created xsi:type="dcterms:W3CDTF">2022-10-28T09:50:00Z</dcterms:created>
  <dcterms:modified xsi:type="dcterms:W3CDTF">2022-10-22T23:01:00Z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curityClassification">
    <vt:lpwstr>Protected</vt:lpwstr>
  </property>
  <property fmtid="{D5CDD505-2E9C-101B-9397-08002B2CF9AE}" pid="3" name="DLMSecurityClassification">
    <vt:lpwstr>Sensitive:  Cabinet</vt:lpwstr>
  </property>
  <property fmtid="{D5CDD505-2E9C-101B-9397-08002B2CF9AE}" pid="4" name="ContentTypeId">
    <vt:lpwstr>0x010100DA4EFA3CD0C9384883E202483A01CFD0</vt:lpwstr>
  </property>
  <property fmtid="{D5CDD505-2E9C-101B-9397-08002B2CF9AE}" pid="5" name="MediaServiceImageTags">
    <vt:lpwstr/>
  </property>
</Properties>
</file>