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A5201" w14:textId="43476991" w:rsidR="00FC0A61" w:rsidRPr="00A57C8D" w:rsidRDefault="006A35B9" w:rsidP="00A57C8D">
      <w:pPr>
        <w:pStyle w:val="Heading1-Statement"/>
      </w:pPr>
      <w:r w:rsidRPr="00A57C8D">
        <w:t>Statement 8</w:t>
      </w:r>
      <w:r w:rsidR="00FC0A61" w:rsidRPr="00A57C8D">
        <w:t>:</w:t>
      </w:r>
      <w:r w:rsidR="00FC0A61" w:rsidRPr="00A57C8D">
        <w:br/>
        <w:t>Forecasting Performance and</w:t>
      </w:r>
      <w:r w:rsidR="00C014F9" w:rsidRPr="00A57C8D">
        <w:t> </w:t>
      </w:r>
      <w:r w:rsidR="00FC0A61" w:rsidRPr="00A57C8D">
        <w:t>Sensitivity Analysis</w:t>
      </w:r>
    </w:p>
    <w:p w14:paraId="45E62D52" w14:textId="0ACFCE4E" w:rsidR="002A10E6" w:rsidRPr="00C50A1C" w:rsidRDefault="002A10E6" w:rsidP="00216803">
      <w:pPr>
        <w:pStyle w:val="StatementWhite"/>
      </w:pPr>
      <w:r w:rsidRPr="00C50A1C">
        <w:t>The economic and fiscal forecasts and projections are underpinned by a range of assumptions and judgements based on best available information at time of preparation. However, economic and fiscal conditions are continually evolving and uncertain.</w:t>
      </w:r>
      <w:r w:rsidR="005F7426" w:rsidRPr="00C50A1C">
        <w:t xml:space="preserve"> Globally, key risks include a ‘hard landing’ or recession in major advanced economies, a sharper-than-expected downturn in China due to COVID-19 outbreaks and the property market downturn, a sudden tightening in financial markets and further energy price shocks stemming from the Russian invasion of Ukraine driving inflation higher. Domestically, the full impact of recent floods is highly uncertain, as the situation continues to develop. Beyond this, the path of monetary policy and household responses to inflation remain key risks to economic activity.</w:t>
      </w:r>
      <w:r w:rsidR="005949EA" w:rsidRPr="00C50A1C">
        <w:t xml:space="preserve"> </w:t>
      </w:r>
    </w:p>
    <w:p w14:paraId="49D84782" w14:textId="332B081E" w:rsidR="009F4E48" w:rsidRPr="00285AD8" w:rsidRDefault="009F4E48" w:rsidP="00216803">
      <w:pPr>
        <w:pStyle w:val="StatementWhite"/>
      </w:pPr>
      <w:r w:rsidRPr="00285AD8">
        <w:t>This Statement assess</w:t>
      </w:r>
      <w:r w:rsidR="00CA3C89" w:rsidRPr="00285AD8">
        <w:t>es</w:t>
      </w:r>
      <w:r w:rsidRPr="00285AD8">
        <w:t>:</w:t>
      </w:r>
    </w:p>
    <w:p w14:paraId="093C234B" w14:textId="0526D98B" w:rsidR="009F4E48" w:rsidRPr="00D9533C" w:rsidRDefault="009F4E48" w:rsidP="00A57C8D">
      <w:pPr>
        <w:pStyle w:val="StatementWhite-Bullet"/>
      </w:pPr>
      <w:r w:rsidRPr="00D9533C">
        <w:t>The performance of p</w:t>
      </w:r>
      <w:r w:rsidR="00C862C2" w:rsidRPr="00D9533C">
        <w:t>ast</w:t>
      </w:r>
      <w:r w:rsidRPr="00D9533C">
        <w:t xml:space="preserve"> forecasts </w:t>
      </w:r>
      <w:r w:rsidR="004D3E21" w:rsidRPr="00D9533C">
        <w:t xml:space="preserve">based on the variance between forecasts and actuals </w:t>
      </w:r>
      <w:r w:rsidRPr="00D9533C">
        <w:t>over the past 2 decades.</w:t>
      </w:r>
    </w:p>
    <w:p w14:paraId="63229849" w14:textId="1E357E43" w:rsidR="009F4E48" w:rsidRPr="00D9533C" w:rsidRDefault="00581312" w:rsidP="00A57C8D">
      <w:pPr>
        <w:pStyle w:val="StatementWhite-Bullet"/>
      </w:pPr>
      <w:r w:rsidRPr="00D9533C">
        <w:t>The u</w:t>
      </w:r>
      <w:r w:rsidR="00775B06" w:rsidRPr="00D9533C">
        <w:t>ncertaint</w:t>
      </w:r>
      <w:r w:rsidR="00616D2E" w:rsidRPr="00D9533C">
        <w:t>y</w:t>
      </w:r>
      <w:r w:rsidR="00775B06" w:rsidRPr="00D9533C">
        <w:t xml:space="preserve"> around c</w:t>
      </w:r>
      <w:r w:rsidR="007E332E" w:rsidRPr="00D9533C">
        <w:t>urrent f</w:t>
      </w:r>
      <w:r w:rsidR="00D806BA" w:rsidRPr="00D9533C">
        <w:t>orecast</w:t>
      </w:r>
      <w:r w:rsidR="00851828" w:rsidRPr="00D9533C">
        <w:t>s</w:t>
      </w:r>
      <w:r w:rsidR="006D1B68" w:rsidRPr="00D9533C">
        <w:t xml:space="preserve"> </w:t>
      </w:r>
      <w:r w:rsidR="00227EB2" w:rsidRPr="00D9533C">
        <w:t xml:space="preserve">via </w:t>
      </w:r>
      <w:r w:rsidR="009F4E48" w:rsidRPr="00D9533C">
        <w:t>confidence interval</w:t>
      </w:r>
      <w:r w:rsidR="002351CE" w:rsidRPr="00D9533C">
        <w:t xml:space="preserve"> analysis</w:t>
      </w:r>
      <w:r w:rsidR="009F4E48" w:rsidRPr="00D9533C">
        <w:t xml:space="preserve">. </w:t>
      </w:r>
    </w:p>
    <w:p w14:paraId="41391085" w14:textId="5157DFA1" w:rsidR="009F4E48" w:rsidRPr="001862FE" w:rsidRDefault="009F4E48" w:rsidP="00A57C8D">
      <w:pPr>
        <w:pStyle w:val="StatementWhite-Bullet"/>
      </w:pPr>
      <w:r w:rsidRPr="00D9533C">
        <w:t xml:space="preserve">The sensitivity of current forecasts to </w:t>
      </w:r>
      <w:r w:rsidR="00DD6BEA" w:rsidRPr="00D9533C">
        <w:t>k</w:t>
      </w:r>
      <w:r w:rsidRPr="00D9533C">
        <w:t>ey underlying assumptions: the iron ore price and yields.</w:t>
      </w:r>
    </w:p>
    <w:p w14:paraId="40BBFBFA" w14:textId="6B9F1790" w:rsidR="009F4E48" w:rsidRPr="00C50A1C" w:rsidRDefault="6BC6F4D3" w:rsidP="00216803">
      <w:pPr>
        <w:pStyle w:val="StatementWhite"/>
      </w:pPr>
      <w:r w:rsidRPr="00C50A1C">
        <w:t xml:space="preserve">Sensitivity of economic forecasts to other variables, including </w:t>
      </w:r>
      <w:r w:rsidR="2015A2EF" w:rsidRPr="00C50A1C">
        <w:t xml:space="preserve">metallurgical and thermal </w:t>
      </w:r>
      <w:r w:rsidR="45CB01A1" w:rsidRPr="00C50A1C">
        <w:t>coal</w:t>
      </w:r>
      <w:r w:rsidR="07A170DB" w:rsidRPr="00C50A1C">
        <w:t xml:space="preserve"> prices</w:t>
      </w:r>
      <w:r w:rsidR="66119543" w:rsidRPr="00C50A1C">
        <w:t xml:space="preserve"> and </w:t>
      </w:r>
      <w:r w:rsidRPr="00C50A1C">
        <w:t xml:space="preserve">inflation, are considered in Budget Statement 2: </w:t>
      </w:r>
      <w:r w:rsidRPr="006D0351">
        <w:rPr>
          <w:i/>
          <w:iCs/>
        </w:rPr>
        <w:t>Economic Outlook</w:t>
      </w:r>
      <w:r w:rsidRPr="00C50A1C">
        <w:t xml:space="preserve">. The sensitivity of economic and fiscal forecasts to </w:t>
      </w:r>
      <w:r w:rsidR="00754926" w:rsidRPr="00C50A1C">
        <w:t xml:space="preserve">the </w:t>
      </w:r>
      <w:r w:rsidRPr="00C50A1C">
        <w:t xml:space="preserve">productivity growth </w:t>
      </w:r>
      <w:r w:rsidR="00754926" w:rsidRPr="00C50A1C">
        <w:t xml:space="preserve">rate assumption </w:t>
      </w:r>
      <w:r w:rsidRPr="00C50A1C">
        <w:t xml:space="preserve">is considered in Budget Statement 3: </w:t>
      </w:r>
      <w:r w:rsidRPr="006D0351">
        <w:rPr>
          <w:i/>
          <w:iCs/>
        </w:rPr>
        <w:t xml:space="preserve">Fiscal Strategy and </w:t>
      </w:r>
      <w:r w:rsidR="12FAB8C6" w:rsidRPr="006D0351">
        <w:rPr>
          <w:i/>
          <w:iCs/>
        </w:rPr>
        <w:t>O</w:t>
      </w:r>
      <w:r w:rsidRPr="006D0351">
        <w:rPr>
          <w:i/>
          <w:iCs/>
        </w:rPr>
        <w:t>utlook</w:t>
      </w:r>
      <w:r w:rsidR="658EA6E8" w:rsidRPr="00C50A1C">
        <w:t>.</w:t>
      </w:r>
      <w:r w:rsidR="008E68BC" w:rsidRPr="00C50A1C">
        <w:t xml:space="preserve"> </w:t>
      </w:r>
    </w:p>
    <w:p w14:paraId="550DB00D" w14:textId="77777777" w:rsidR="00472228" w:rsidRPr="00D9533C" w:rsidRDefault="00472228" w:rsidP="00216803">
      <w:pPr>
        <w:pStyle w:val="StatementWhite"/>
      </w:pPr>
    </w:p>
    <w:p w14:paraId="22F16E0B" w14:textId="23176F18" w:rsidR="00472228" w:rsidRPr="00D9533C" w:rsidRDefault="00472228" w:rsidP="00216803">
      <w:pPr>
        <w:pStyle w:val="StatementWhite"/>
        <w:sectPr w:rsidR="00472228" w:rsidRPr="00D9533C" w:rsidSect="00433EEF">
          <w:headerReference w:type="first" r:id="rId11"/>
          <w:footerReference w:type="first" r:id="rId12"/>
          <w:footnotePr>
            <w:numStart w:val="29"/>
          </w:footnotePr>
          <w:pgSz w:w="11906" w:h="16838" w:code="9"/>
          <w:pgMar w:top="2835" w:right="2098" w:bottom="2466" w:left="2098" w:header="1814" w:footer="1814" w:gutter="0"/>
          <w:pgNumType w:start="229"/>
          <w:cols w:space="708"/>
          <w:titlePg/>
          <w:docGrid w:linePitch="360"/>
        </w:sectPr>
      </w:pPr>
    </w:p>
    <w:p w14:paraId="32D6AEB2" w14:textId="30AFCDED" w:rsidR="00D81A31" w:rsidRPr="00D9533C" w:rsidRDefault="00FC0A61" w:rsidP="0009408A">
      <w:pPr>
        <w:pStyle w:val="ContentsHeading"/>
      </w:pPr>
      <w:r w:rsidRPr="00D9533C">
        <w:lastRenderedPageBreak/>
        <w:t>C</w:t>
      </w:r>
      <w:r w:rsidR="00D81A31" w:rsidRPr="00D9533C">
        <w:t>ontents</w:t>
      </w:r>
    </w:p>
    <w:p w14:paraId="47D4C9C6" w14:textId="7B64CA0D" w:rsidR="00E07B30" w:rsidRPr="00D9533C" w:rsidRDefault="005E02AC">
      <w:pPr>
        <w:pStyle w:val="TOC1"/>
        <w:rPr>
          <w:rFonts w:asciiTheme="minorHAnsi" w:eastAsiaTheme="minorEastAsia" w:hAnsiTheme="minorHAnsi" w:cstheme="minorBidi"/>
          <w:b w:val="0"/>
          <w:noProof/>
          <w:sz w:val="22"/>
          <w:szCs w:val="22"/>
        </w:rPr>
      </w:pPr>
      <w:r w:rsidRPr="00D9533C">
        <w:fldChar w:fldCharType="begin"/>
      </w:r>
      <w:r w:rsidRPr="00D9533C">
        <w:instrText xml:space="preserve"> TOC \h \z \u \t "Heading 2,1,Heading 3,2" </w:instrText>
      </w:r>
      <w:r w:rsidRPr="00D9533C">
        <w:fldChar w:fldCharType="separate"/>
      </w:r>
      <w:hyperlink w:anchor="_Toc116040757" w:history="1">
        <w:r w:rsidR="00E07B30" w:rsidRPr="00D9533C">
          <w:rPr>
            <w:rStyle w:val="Hyperlink"/>
            <w:noProof/>
            <w:color w:val="auto"/>
          </w:rPr>
          <w:t>Assessing past forecasting performance</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_Toc116040757 \h </w:instrText>
        </w:r>
        <w:r w:rsidR="00E07B30" w:rsidRPr="00D9533C">
          <w:rPr>
            <w:noProof/>
            <w:webHidden/>
          </w:rPr>
        </w:r>
        <w:r w:rsidR="00E07B30" w:rsidRPr="00D9533C">
          <w:rPr>
            <w:noProof/>
            <w:webHidden/>
          </w:rPr>
          <w:fldChar w:fldCharType="separate"/>
        </w:r>
        <w:r w:rsidR="00C3070B">
          <w:rPr>
            <w:noProof/>
            <w:webHidden/>
          </w:rPr>
          <w:t>233</w:t>
        </w:r>
        <w:r w:rsidR="00E07B30" w:rsidRPr="00D9533C">
          <w:rPr>
            <w:noProof/>
            <w:webHidden/>
          </w:rPr>
          <w:fldChar w:fldCharType="end"/>
        </w:r>
      </w:hyperlink>
    </w:p>
    <w:p w14:paraId="494D8FB7" w14:textId="1BEE919A" w:rsidR="00E07B30" w:rsidRPr="00D9533C" w:rsidRDefault="004871CB">
      <w:pPr>
        <w:pStyle w:val="TOC2"/>
        <w:rPr>
          <w:rFonts w:asciiTheme="minorHAnsi" w:eastAsiaTheme="minorEastAsia" w:hAnsiTheme="minorHAnsi" w:cstheme="minorBidi"/>
          <w:noProof/>
          <w:sz w:val="22"/>
          <w:szCs w:val="22"/>
        </w:rPr>
      </w:pPr>
      <w:hyperlink w:anchor="_Toc116040758" w:history="1">
        <w:r w:rsidR="00E07B30" w:rsidRPr="00D9533C">
          <w:rPr>
            <w:rStyle w:val="Hyperlink"/>
            <w:noProof/>
            <w:color w:val="auto"/>
          </w:rPr>
          <w:t>Economic forecasting performance</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_Toc116040758 \h </w:instrText>
        </w:r>
        <w:r w:rsidR="00E07B30" w:rsidRPr="00D9533C">
          <w:rPr>
            <w:noProof/>
            <w:webHidden/>
          </w:rPr>
        </w:r>
        <w:r w:rsidR="00E07B30" w:rsidRPr="00D9533C">
          <w:rPr>
            <w:noProof/>
            <w:webHidden/>
          </w:rPr>
          <w:fldChar w:fldCharType="separate"/>
        </w:r>
        <w:r w:rsidR="00C3070B">
          <w:rPr>
            <w:noProof/>
            <w:webHidden/>
          </w:rPr>
          <w:t>233</w:t>
        </w:r>
        <w:r w:rsidR="00E07B30" w:rsidRPr="00D9533C">
          <w:rPr>
            <w:noProof/>
            <w:webHidden/>
          </w:rPr>
          <w:fldChar w:fldCharType="end"/>
        </w:r>
      </w:hyperlink>
    </w:p>
    <w:p w14:paraId="3F8F30B4" w14:textId="0764897E" w:rsidR="00E07B30" w:rsidRPr="00D9533C" w:rsidRDefault="004871CB">
      <w:pPr>
        <w:pStyle w:val="TOC2"/>
        <w:rPr>
          <w:rFonts w:asciiTheme="minorHAnsi" w:eastAsiaTheme="minorEastAsia" w:hAnsiTheme="minorHAnsi" w:cstheme="minorBidi"/>
          <w:noProof/>
          <w:sz w:val="22"/>
          <w:szCs w:val="22"/>
        </w:rPr>
      </w:pPr>
      <w:hyperlink w:anchor="_Toc116040759" w:history="1">
        <w:r w:rsidR="00E07B30" w:rsidRPr="00D9533C">
          <w:rPr>
            <w:rStyle w:val="Hyperlink"/>
            <w:noProof/>
            <w:color w:val="auto"/>
          </w:rPr>
          <w:t>Fiscal forecasting performance</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_Toc116040759 \h </w:instrText>
        </w:r>
        <w:r w:rsidR="00E07B30" w:rsidRPr="00D9533C">
          <w:rPr>
            <w:noProof/>
            <w:webHidden/>
          </w:rPr>
        </w:r>
        <w:r w:rsidR="00E07B30" w:rsidRPr="00D9533C">
          <w:rPr>
            <w:noProof/>
            <w:webHidden/>
          </w:rPr>
          <w:fldChar w:fldCharType="separate"/>
        </w:r>
        <w:r w:rsidR="00C3070B">
          <w:rPr>
            <w:noProof/>
            <w:webHidden/>
          </w:rPr>
          <w:t>235</w:t>
        </w:r>
        <w:r w:rsidR="00E07B30" w:rsidRPr="00D9533C">
          <w:rPr>
            <w:noProof/>
            <w:webHidden/>
          </w:rPr>
          <w:fldChar w:fldCharType="end"/>
        </w:r>
      </w:hyperlink>
    </w:p>
    <w:p w14:paraId="734C3F55" w14:textId="64FE4CB2" w:rsidR="00E07B30" w:rsidRPr="00D9533C" w:rsidRDefault="004871CB">
      <w:pPr>
        <w:pStyle w:val="TOC1"/>
        <w:rPr>
          <w:rFonts w:asciiTheme="minorHAnsi" w:eastAsiaTheme="minorEastAsia" w:hAnsiTheme="minorHAnsi" w:cstheme="minorBidi"/>
          <w:b w:val="0"/>
          <w:noProof/>
          <w:sz w:val="22"/>
          <w:szCs w:val="22"/>
        </w:rPr>
      </w:pPr>
      <w:hyperlink w:anchor="_Toc116040760" w:history="1">
        <w:r w:rsidR="00E07B30" w:rsidRPr="00D9533C">
          <w:rPr>
            <w:rStyle w:val="Hyperlink"/>
            <w:noProof/>
            <w:color w:val="auto"/>
          </w:rPr>
          <w:t>Assessing current forecasts via confidence interval analysis</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_Toc116040760 \h </w:instrText>
        </w:r>
        <w:r w:rsidR="00E07B30" w:rsidRPr="00D9533C">
          <w:rPr>
            <w:noProof/>
            <w:webHidden/>
          </w:rPr>
        </w:r>
        <w:r w:rsidR="00E07B30" w:rsidRPr="00D9533C">
          <w:rPr>
            <w:noProof/>
            <w:webHidden/>
          </w:rPr>
          <w:fldChar w:fldCharType="separate"/>
        </w:r>
        <w:r w:rsidR="00C3070B">
          <w:rPr>
            <w:noProof/>
            <w:webHidden/>
          </w:rPr>
          <w:t>240</w:t>
        </w:r>
        <w:r w:rsidR="00E07B30" w:rsidRPr="00D9533C">
          <w:rPr>
            <w:noProof/>
            <w:webHidden/>
          </w:rPr>
          <w:fldChar w:fldCharType="end"/>
        </w:r>
      </w:hyperlink>
    </w:p>
    <w:p w14:paraId="4F2686D4" w14:textId="15227528" w:rsidR="00E07B30" w:rsidRPr="00D9533C" w:rsidRDefault="004871CB">
      <w:pPr>
        <w:pStyle w:val="TOC2"/>
        <w:rPr>
          <w:rFonts w:asciiTheme="minorHAnsi" w:eastAsiaTheme="minorEastAsia" w:hAnsiTheme="minorHAnsi" w:cstheme="minorBidi"/>
          <w:noProof/>
          <w:sz w:val="22"/>
          <w:szCs w:val="22"/>
        </w:rPr>
      </w:pPr>
      <w:hyperlink w:anchor="_Toc116040761" w:history="1">
        <w:r w:rsidR="00E07B30" w:rsidRPr="00D9533C">
          <w:rPr>
            <w:rStyle w:val="Hyperlink"/>
            <w:noProof/>
            <w:color w:val="auto"/>
          </w:rPr>
          <w:t>Economic uncertainty based on historical forecast errors</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_Toc116040761 \h </w:instrText>
        </w:r>
        <w:r w:rsidR="00E07B30" w:rsidRPr="00D9533C">
          <w:rPr>
            <w:noProof/>
            <w:webHidden/>
          </w:rPr>
        </w:r>
        <w:r w:rsidR="00E07B30" w:rsidRPr="00D9533C">
          <w:rPr>
            <w:noProof/>
            <w:webHidden/>
          </w:rPr>
          <w:fldChar w:fldCharType="separate"/>
        </w:r>
        <w:r w:rsidR="00C3070B">
          <w:rPr>
            <w:noProof/>
            <w:webHidden/>
          </w:rPr>
          <w:t>241</w:t>
        </w:r>
        <w:r w:rsidR="00E07B30" w:rsidRPr="00D9533C">
          <w:rPr>
            <w:noProof/>
            <w:webHidden/>
          </w:rPr>
          <w:fldChar w:fldCharType="end"/>
        </w:r>
      </w:hyperlink>
    </w:p>
    <w:p w14:paraId="140F6309" w14:textId="0DC641F7" w:rsidR="00E07B30" w:rsidRPr="00D9533C" w:rsidRDefault="004871CB">
      <w:pPr>
        <w:pStyle w:val="TOC2"/>
        <w:rPr>
          <w:rFonts w:asciiTheme="minorHAnsi" w:eastAsiaTheme="minorEastAsia" w:hAnsiTheme="minorHAnsi" w:cstheme="minorBidi"/>
          <w:noProof/>
          <w:sz w:val="22"/>
          <w:szCs w:val="22"/>
        </w:rPr>
      </w:pPr>
      <w:hyperlink w:anchor="_Toc116040762" w:history="1">
        <w:r w:rsidR="00E07B30" w:rsidRPr="00D9533C">
          <w:rPr>
            <w:rStyle w:val="Hyperlink"/>
            <w:noProof/>
            <w:color w:val="auto"/>
          </w:rPr>
          <w:t>Fiscal uncertainty based on historical forecast errors</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_Toc116040762 \h </w:instrText>
        </w:r>
        <w:r w:rsidR="00E07B30" w:rsidRPr="00D9533C">
          <w:rPr>
            <w:noProof/>
            <w:webHidden/>
          </w:rPr>
        </w:r>
        <w:r w:rsidR="00E07B30" w:rsidRPr="00D9533C">
          <w:rPr>
            <w:noProof/>
            <w:webHidden/>
          </w:rPr>
          <w:fldChar w:fldCharType="separate"/>
        </w:r>
        <w:r w:rsidR="00C3070B">
          <w:rPr>
            <w:noProof/>
            <w:webHidden/>
          </w:rPr>
          <w:t>242</w:t>
        </w:r>
        <w:r w:rsidR="00E07B30" w:rsidRPr="00D9533C">
          <w:rPr>
            <w:noProof/>
            <w:webHidden/>
          </w:rPr>
          <w:fldChar w:fldCharType="end"/>
        </w:r>
      </w:hyperlink>
    </w:p>
    <w:p w14:paraId="2D5718F4" w14:textId="0E24A233" w:rsidR="00E07B30" w:rsidRPr="00D9533C" w:rsidRDefault="004871CB">
      <w:pPr>
        <w:pStyle w:val="TOC1"/>
        <w:rPr>
          <w:rFonts w:asciiTheme="minorHAnsi" w:eastAsiaTheme="minorEastAsia" w:hAnsiTheme="minorHAnsi" w:cstheme="minorBidi"/>
          <w:b w:val="0"/>
          <w:noProof/>
          <w:sz w:val="22"/>
          <w:szCs w:val="22"/>
        </w:rPr>
      </w:pPr>
      <w:hyperlink w:anchor="_Toc116040763" w:history="1">
        <w:r w:rsidR="00E07B30" w:rsidRPr="00D9533C">
          <w:rPr>
            <w:rStyle w:val="Hyperlink"/>
            <w:noProof/>
            <w:color w:val="auto"/>
          </w:rPr>
          <w:t>Assessing current forecasts through sensitivity analysis</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_Toc116040763 \h </w:instrText>
        </w:r>
        <w:r w:rsidR="00E07B30" w:rsidRPr="00D9533C">
          <w:rPr>
            <w:noProof/>
            <w:webHidden/>
          </w:rPr>
        </w:r>
        <w:r w:rsidR="00E07B30" w:rsidRPr="00D9533C">
          <w:rPr>
            <w:noProof/>
            <w:webHidden/>
          </w:rPr>
          <w:fldChar w:fldCharType="separate"/>
        </w:r>
        <w:r w:rsidR="00C3070B">
          <w:rPr>
            <w:noProof/>
            <w:webHidden/>
          </w:rPr>
          <w:t>245</w:t>
        </w:r>
        <w:r w:rsidR="00E07B30" w:rsidRPr="00D9533C">
          <w:rPr>
            <w:noProof/>
            <w:webHidden/>
          </w:rPr>
          <w:fldChar w:fldCharType="end"/>
        </w:r>
      </w:hyperlink>
    </w:p>
    <w:p w14:paraId="01650377" w14:textId="7DA14238" w:rsidR="00E07B30" w:rsidRPr="00D9533C" w:rsidRDefault="004871CB">
      <w:pPr>
        <w:pStyle w:val="TOC2"/>
        <w:rPr>
          <w:rFonts w:asciiTheme="minorHAnsi" w:eastAsiaTheme="minorEastAsia" w:hAnsiTheme="minorHAnsi" w:cstheme="minorBidi"/>
          <w:noProof/>
          <w:sz w:val="22"/>
          <w:szCs w:val="22"/>
        </w:rPr>
      </w:pPr>
      <w:hyperlink w:anchor="_Toc116040764" w:history="1">
        <w:r w:rsidR="00E07B30" w:rsidRPr="00D9533C">
          <w:rPr>
            <w:rStyle w:val="Hyperlink"/>
            <w:noProof/>
            <w:color w:val="auto"/>
          </w:rPr>
          <w:t>Movements in the iron ore price</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_Toc116040764 \h </w:instrText>
        </w:r>
        <w:r w:rsidR="00E07B30" w:rsidRPr="00D9533C">
          <w:rPr>
            <w:noProof/>
            <w:webHidden/>
          </w:rPr>
        </w:r>
        <w:r w:rsidR="00E07B30" w:rsidRPr="00D9533C">
          <w:rPr>
            <w:noProof/>
            <w:webHidden/>
          </w:rPr>
          <w:fldChar w:fldCharType="separate"/>
        </w:r>
        <w:r w:rsidR="00C3070B">
          <w:rPr>
            <w:noProof/>
            <w:webHidden/>
          </w:rPr>
          <w:t>245</w:t>
        </w:r>
        <w:r w:rsidR="00E07B30" w:rsidRPr="00D9533C">
          <w:rPr>
            <w:noProof/>
            <w:webHidden/>
          </w:rPr>
          <w:fldChar w:fldCharType="end"/>
        </w:r>
      </w:hyperlink>
    </w:p>
    <w:p w14:paraId="1B428FE6" w14:textId="0B920F94" w:rsidR="00E07B30" w:rsidRPr="00D9533C" w:rsidRDefault="004871CB">
      <w:pPr>
        <w:pStyle w:val="TOC2"/>
        <w:rPr>
          <w:rFonts w:asciiTheme="minorHAnsi" w:eastAsiaTheme="minorEastAsia" w:hAnsiTheme="minorHAnsi" w:cstheme="minorBidi"/>
          <w:noProof/>
          <w:sz w:val="22"/>
          <w:szCs w:val="22"/>
        </w:rPr>
      </w:pPr>
      <w:hyperlink w:anchor="_Toc116040765" w:history="1">
        <w:r w:rsidR="00E07B30" w:rsidRPr="00D9533C">
          <w:rPr>
            <w:rStyle w:val="Hyperlink"/>
            <w:noProof/>
            <w:color w:val="auto"/>
          </w:rPr>
          <w:t>Movements in yields</w:t>
        </w:r>
        <w:r w:rsidR="00E07B30" w:rsidRPr="00D9533C">
          <w:rPr>
            <w:noProof/>
            <w:webHidden/>
          </w:rPr>
          <w:tab/>
        </w:r>
        <w:r w:rsidR="00E07B30" w:rsidRPr="00D9533C">
          <w:rPr>
            <w:noProof/>
            <w:webHidden/>
          </w:rPr>
          <w:fldChar w:fldCharType="begin"/>
        </w:r>
        <w:r w:rsidR="00E07B30" w:rsidRPr="00D9533C">
          <w:rPr>
            <w:noProof/>
            <w:webHidden/>
          </w:rPr>
          <w:instrText xml:space="preserve"> PAGEREF _Toc116040765 \h </w:instrText>
        </w:r>
        <w:r w:rsidR="00E07B30" w:rsidRPr="00D9533C">
          <w:rPr>
            <w:noProof/>
            <w:webHidden/>
          </w:rPr>
        </w:r>
        <w:r w:rsidR="00E07B30" w:rsidRPr="00D9533C">
          <w:rPr>
            <w:noProof/>
            <w:webHidden/>
          </w:rPr>
          <w:fldChar w:fldCharType="separate"/>
        </w:r>
        <w:r w:rsidR="00C3070B">
          <w:rPr>
            <w:noProof/>
            <w:webHidden/>
          </w:rPr>
          <w:t>246</w:t>
        </w:r>
        <w:r w:rsidR="00E07B30" w:rsidRPr="00D9533C">
          <w:rPr>
            <w:noProof/>
            <w:webHidden/>
          </w:rPr>
          <w:fldChar w:fldCharType="end"/>
        </w:r>
      </w:hyperlink>
    </w:p>
    <w:p w14:paraId="1818E534" w14:textId="53FB3C47" w:rsidR="00D81A31" w:rsidRPr="00D9533C" w:rsidRDefault="005E02AC" w:rsidP="00CC2D65">
      <w:pPr>
        <w:rPr>
          <w:rFonts w:cstheme="minorHAnsi"/>
          <w:b/>
          <w:lang w:val="en-US"/>
        </w:rPr>
        <w:sectPr w:rsidR="00D81A31" w:rsidRPr="00D9533C" w:rsidSect="00DE504B">
          <w:headerReference w:type="default" r:id="rId13"/>
          <w:headerReference w:type="first" r:id="rId14"/>
          <w:footerReference w:type="first" r:id="rId15"/>
          <w:footnotePr>
            <w:numStart w:val="29"/>
          </w:footnotePr>
          <w:type w:val="oddPage"/>
          <w:pgSz w:w="11906" w:h="16838" w:code="9"/>
          <w:pgMar w:top="2835" w:right="2098" w:bottom="2466" w:left="2098" w:header="1814" w:footer="1814" w:gutter="0"/>
          <w:cols w:space="708"/>
          <w:titlePg/>
          <w:docGrid w:linePitch="360"/>
        </w:sectPr>
      </w:pPr>
      <w:r w:rsidRPr="00D9533C">
        <w:rPr>
          <w:rFonts w:cstheme="minorHAnsi"/>
          <w:b/>
          <w:lang w:val="en-US"/>
        </w:rPr>
        <w:fldChar w:fldCharType="end"/>
      </w:r>
    </w:p>
    <w:p w14:paraId="57EC6961" w14:textId="5ACDADF1" w:rsidR="00FC0A61" w:rsidRPr="00D9533C" w:rsidRDefault="006A35B9" w:rsidP="00FC0A61">
      <w:pPr>
        <w:pStyle w:val="Heading1"/>
      </w:pPr>
      <w:r w:rsidRPr="00D9533C">
        <w:lastRenderedPageBreak/>
        <w:t>Statement 8</w:t>
      </w:r>
      <w:r w:rsidR="00FC0A61" w:rsidRPr="00D9533C">
        <w:t>: Forecasting Performance and</w:t>
      </w:r>
      <w:r w:rsidR="002A1F37" w:rsidRPr="00D9533C">
        <w:t> </w:t>
      </w:r>
      <w:r w:rsidR="00FC0A61" w:rsidRPr="00D9533C">
        <w:t>Sensitivity Analysis</w:t>
      </w:r>
    </w:p>
    <w:p w14:paraId="2C4B6BCE" w14:textId="49CEF39E" w:rsidR="00FC0A61" w:rsidRPr="00D9533C" w:rsidRDefault="00FC0A61" w:rsidP="00D90FDD">
      <w:pPr>
        <w:pStyle w:val="Heading2"/>
      </w:pPr>
      <w:bookmarkStart w:id="0" w:name="_Toc99026270"/>
      <w:bookmarkStart w:id="1" w:name="_Toc116037822"/>
      <w:bookmarkStart w:id="2" w:name="_Toc116037695"/>
      <w:bookmarkStart w:id="3" w:name="_Toc116040757"/>
      <w:r w:rsidRPr="00D9533C">
        <w:t xml:space="preserve">Assessing </w:t>
      </w:r>
      <w:r w:rsidR="00E06B2B" w:rsidRPr="00D9533C">
        <w:t>past</w:t>
      </w:r>
      <w:r w:rsidRPr="00D9533C">
        <w:t xml:space="preserve"> forecasting performance</w:t>
      </w:r>
      <w:bookmarkEnd w:id="0"/>
      <w:bookmarkEnd w:id="1"/>
      <w:bookmarkEnd w:id="2"/>
      <w:bookmarkEnd w:id="3"/>
    </w:p>
    <w:p w14:paraId="7DE17834" w14:textId="004D42BB" w:rsidR="00A90B43" w:rsidRPr="00D9533C" w:rsidRDefault="005352C1" w:rsidP="002A1F37">
      <w:r w:rsidRPr="00D9533C">
        <w:t>This section assesses the variance between historical forecasts and outcomes</w:t>
      </w:r>
      <w:r w:rsidR="002472A5" w:rsidRPr="00D9533C">
        <w:t xml:space="preserve"> (forecast errors)</w:t>
      </w:r>
      <w:r w:rsidRPr="00D9533C">
        <w:t xml:space="preserve"> for real and nominal GDP, receipts, payments and the underlying cash balance. </w:t>
      </w:r>
    </w:p>
    <w:p w14:paraId="47932553" w14:textId="27FA2B92" w:rsidR="00D27185" w:rsidRPr="00B0701D" w:rsidRDefault="004C6102" w:rsidP="002A1F37">
      <w:r w:rsidRPr="00D9533C">
        <w:t xml:space="preserve">Forecasts are prepared using a range of </w:t>
      </w:r>
      <w:r w:rsidR="00A90B43" w:rsidRPr="00D9533C">
        <w:t>techniques:</w:t>
      </w:r>
    </w:p>
    <w:p w14:paraId="6DEE9057" w14:textId="59EB03B5" w:rsidR="004B45C9" w:rsidRPr="002A1F37" w:rsidRDefault="110DA248" w:rsidP="002A1F37">
      <w:pPr>
        <w:pStyle w:val="Bullet"/>
      </w:pPr>
      <w:r w:rsidRPr="00D9533C">
        <w:t xml:space="preserve">Macroeconomic forecasts are prepared </w:t>
      </w:r>
      <w:r w:rsidR="002A7BC0" w:rsidRPr="00D9533C">
        <w:t>consistent</w:t>
      </w:r>
      <w:r w:rsidR="00A822DD" w:rsidRPr="00D9533C">
        <w:t xml:space="preserve"> with</w:t>
      </w:r>
      <w:r w:rsidR="002A7BC0" w:rsidRPr="00D9533C">
        <w:t xml:space="preserve"> </w:t>
      </w:r>
      <w:r w:rsidR="646BD8DA" w:rsidRPr="00D9533C">
        <w:t xml:space="preserve">a </w:t>
      </w:r>
      <w:r w:rsidR="07E7583D" w:rsidRPr="00D9533C">
        <w:t>national</w:t>
      </w:r>
      <w:r w:rsidR="01B49850" w:rsidRPr="00D9533C">
        <w:t xml:space="preserve"> </w:t>
      </w:r>
      <w:r w:rsidR="46550F34" w:rsidRPr="00D9533C">
        <w:t xml:space="preserve">accounting </w:t>
      </w:r>
      <w:r w:rsidR="1C31C473" w:rsidRPr="00D9533C">
        <w:t>framework</w:t>
      </w:r>
      <w:r w:rsidR="00D1496C" w:rsidRPr="00D9533C" w:rsidDel="5181DBEE">
        <w:t xml:space="preserve"> </w:t>
      </w:r>
      <w:r w:rsidR="0058710B" w:rsidRPr="00D9533C">
        <w:t xml:space="preserve">using </w:t>
      </w:r>
      <w:r w:rsidR="57C1F816" w:rsidRPr="00D9533C">
        <w:t xml:space="preserve">econometric </w:t>
      </w:r>
      <w:r w:rsidRPr="00D9533C">
        <w:t>models</w:t>
      </w:r>
      <w:r w:rsidR="5181DBEE" w:rsidRPr="00D9533C">
        <w:t xml:space="preserve"> and </w:t>
      </w:r>
      <w:r w:rsidRPr="00D9533C">
        <w:t>spreadsheet analysis</w:t>
      </w:r>
      <w:r w:rsidR="2BC6F222" w:rsidRPr="00D9533C">
        <w:t>.</w:t>
      </w:r>
    </w:p>
    <w:p w14:paraId="56C362AF" w14:textId="59121B88" w:rsidR="00A90B43" w:rsidRPr="002A1F37" w:rsidRDefault="005352C1" w:rsidP="002A1F37">
      <w:pPr>
        <w:pStyle w:val="Bullet"/>
      </w:pPr>
      <w:r w:rsidRPr="00D9533C">
        <w:t xml:space="preserve">Tax receipt forecasts are generally prepared using a </w:t>
      </w:r>
      <w:r w:rsidR="001862FE" w:rsidRPr="00D9533C">
        <w:t>‘</w:t>
      </w:r>
      <w:r w:rsidRPr="00D9533C">
        <w:t>base plus growth</w:t>
      </w:r>
      <w:r w:rsidR="001862FE" w:rsidRPr="00D9533C">
        <w:t>’</w:t>
      </w:r>
      <w:r w:rsidRPr="00D9533C">
        <w:t xml:space="preserve"> methodology. The last outcome for each head of revenue is the base to which growth rates are applied, using appropriate economic parameters.</w:t>
      </w:r>
      <w:r w:rsidRPr="002A1F37">
        <w:t xml:space="preserve"> </w:t>
      </w:r>
    </w:p>
    <w:p w14:paraId="4634844A" w14:textId="53B84F4E" w:rsidR="005352C1" w:rsidRPr="002A1F37" w:rsidRDefault="00A43A51" w:rsidP="002A1F37">
      <w:pPr>
        <w:pStyle w:val="Bullet"/>
      </w:pPr>
      <w:r w:rsidRPr="00D9533C">
        <w:t>Payments forecasts are generally prepared through analysis of payment program data, costings for new policies</w:t>
      </w:r>
      <w:r w:rsidR="00816F3A" w:rsidRPr="00D9533C">
        <w:t xml:space="preserve"> and</w:t>
      </w:r>
      <w:r w:rsidRPr="00D9533C">
        <w:t xml:space="preserve"> historical trends in programs</w:t>
      </w:r>
      <w:r w:rsidR="00816F3A" w:rsidRPr="00D9533C">
        <w:t>,</w:t>
      </w:r>
      <w:r w:rsidR="0039599C" w:rsidRPr="00D9533C">
        <w:t xml:space="preserve"> in </w:t>
      </w:r>
      <w:r w:rsidRPr="00D9533C">
        <w:t xml:space="preserve">consultation </w:t>
      </w:r>
      <w:r w:rsidR="0039599C" w:rsidRPr="00D9533C">
        <w:t xml:space="preserve">with </w:t>
      </w:r>
      <w:r w:rsidRPr="00D9533C">
        <w:t xml:space="preserve">relevant </w:t>
      </w:r>
      <w:r w:rsidR="0039599C" w:rsidRPr="00D9533C">
        <w:t>agencies</w:t>
      </w:r>
      <w:r w:rsidRPr="00D9533C">
        <w:t>.</w:t>
      </w:r>
      <w:r w:rsidR="00FD000D" w:rsidRPr="00D9533C">
        <w:t xml:space="preserve"> </w:t>
      </w:r>
    </w:p>
    <w:p w14:paraId="3CA67209" w14:textId="3600F1E3" w:rsidR="00FC0A61" w:rsidRPr="00B0701D" w:rsidRDefault="005352C1" w:rsidP="002A1F37">
      <w:r w:rsidRPr="00D9533C">
        <w:t>Forecasts are based on assumptions and judgements. Forecast accuracy depends on whether assumptions and judg</w:t>
      </w:r>
      <w:r w:rsidR="006B4A2D" w:rsidRPr="00D9533C">
        <w:t>e</w:t>
      </w:r>
      <w:r w:rsidRPr="00D9533C">
        <w:t>ments prove to be correct, and the reliability of the modelled economic and fiscal relationships.</w:t>
      </w:r>
      <w:r w:rsidRPr="00B0701D">
        <w:t xml:space="preserve"> </w:t>
      </w:r>
    </w:p>
    <w:p w14:paraId="58719A7C" w14:textId="227755A9" w:rsidR="00FC0A61" w:rsidRPr="00D9533C" w:rsidRDefault="00FC0A61" w:rsidP="00FC0A61">
      <w:pPr>
        <w:pStyle w:val="Heading3"/>
      </w:pPr>
      <w:bookmarkStart w:id="4" w:name="_Toc99026271"/>
      <w:bookmarkStart w:id="5" w:name="_Toc116037823"/>
      <w:bookmarkStart w:id="6" w:name="_Toc116037696"/>
      <w:bookmarkStart w:id="7" w:name="_Toc116040758"/>
      <w:r w:rsidRPr="00D9533C">
        <w:t>Economic forecasting performance</w:t>
      </w:r>
      <w:bookmarkEnd w:id="4"/>
      <w:bookmarkEnd w:id="5"/>
      <w:bookmarkEnd w:id="6"/>
      <w:bookmarkEnd w:id="7"/>
    </w:p>
    <w:p w14:paraId="555C973E" w14:textId="5F2D0636" w:rsidR="000A0D9B" w:rsidRPr="00D9533C" w:rsidRDefault="000A0D9B" w:rsidP="002A1F37">
      <w:pPr>
        <w:rPr>
          <w:b/>
        </w:rPr>
      </w:pPr>
      <w:r w:rsidRPr="00D9533C">
        <w:t>Real GDP forecasts incorporate assumptions</w:t>
      </w:r>
      <w:r w:rsidR="00D26A1D" w:rsidRPr="00D9533C">
        <w:t xml:space="preserve"> for</w:t>
      </w:r>
      <w:r w:rsidRPr="00D9533C">
        <w:t xml:space="preserve"> exchange rates, interest rates, commodity prices and population growth. The forecasts also incorporate judg</w:t>
      </w:r>
      <w:r w:rsidR="006B4A2D" w:rsidRPr="00D9533C">
        <w:t>e</w:t>
      </w:r>
      <w:r w:rsidRPr="00D9533C">
        <w:t xml:space="preserve">ments about how developments in one part of the economy affect other parts and how the domestic economy is affected by the international economy. </w:t>
      </w:r>
    </w:p>
    <w:p w14:paraId="721C2B37" w14:textId="59A6A42F" w:rsidR="004A32EA" w:rsidRPr="00D9533C" w:rsidRDefault="000A0D9B" w:rsidP="002A1F37">
      <w:pPr>
        <w:rPr>
          <w:b/>
          <w:szCs w:val="19"/>
        </w:rPr>
      </w:pPr>
      <w:r w:rsidRPr="00D9533C">
        <w:rPr>
          <w:szCs w:val="19"/>
        </w:rPr>
        <w:t>The large forecast error in 2019</w:t>
      </w:r>
      <w:r w:rsidR="00BC5B04" w:rsidRPr="00D9533C">
        <w:rPr>
          <w:szCs w:val="19"/>
        </w:rPr>
        <w:t>–</w:t>
      </w:r>
      <w:r w:rsidRPr="00D9533C">
        <w:rPr>
          <w:szCs w:val="19"/>
        </w:rPr>
        <w:t xml:space="preserve">20 </w:t>
      </w:r>
      <w:r w:rsidR="0003431E" w:rsidRPr="00D9533C">
        <w:rPr>
          <w:szCs w:val="19"/>
        </w:rPr>
        <w:t xml:space="preserve">reflects </w:t>
      </w:r>
      <w:r w:rsidRPr="00D9533C">
        <w:rPr>
          <w:szCs w:val="19"/>
        </w:rPr>
        <w:t>the onset of the COVID</w:t>
      </w:r>
      <w:r w:rsidR="001862FE" w:rsidRPr="00D9533C">
        <w:rPr>
          <w:b/>
          <w:szCs w:val="19"/>
        </w:rPr>
        <w:noBreakHyphen/>
      </w:r>
      <w:r w:rsidRPr="00D9533C">
        <w:rPr>
          <w:szCs w:val="19"/>
        </w:rPr>
        <w:t xml:space="preserve">19 pandemic. </w:t>
      </w:r>
      <w:r w:rsidR="00BC5B04" w:rsidRPr="00D9533C">
        <w:rPr>
          <w:szCs w:val="19"/>
        </w:rPr>
        <w:br/>
      </w:r>
      <w:r w:rsidRPr="00D9533C">
        <w:rPr>
          <w:szCs w:val="19"/>
        </w:rPr>
        <w:t>The</w:t>
      </w:r>
      <w:r w:rsidR="00BC5B04" w:rsidRPr="00D9533C">
        <w:rPr>
          <w:szCs w:val="19"/>
        </w:rPr>
        <w:t> </w:t>
      </w:r>
      <w:r w:rsidRPr="00D9533C">
        <w:rPr>
          <w:szCs w:val="19"/>
        </w:rPr>
        <w:t>2020</w:t>
      </w:r>
      <w:r w:rsidR="00BC5B04" w:rsidRPr="00D9533C">
        <w:t>–</w:t>
      </w:r>
      <w:r w:rsidRPr="00D9533C">
        <w:rPr>
          <w:szCs w:val="19"/>
        </w:rPr>
        <w:t xml:space="preserve">21 forecast error </w:t>
      </w:r>
      <w:r w:rsidR="0003431E" w:rsidRPr="00D9533C">
        <w:rPr>
          <w:szCs w:val="19"/>
        </w:rPr>
        <w:t>reflects the stronger</w:t>
      </w:r>
      <w:r w:rsidR="001862FE" w:rsidRPr="00D9533C">
        <w:rPr>
          <w:b/>
          <w:szCs w:val="19"/>
        </w:rPr>
        <w:noBreakHyphen/>
      </w:r>
      <w:r w:rsidR="0003431E" w:rsidRPr="00D9533C">
        <w:rPr>
          <w:szCs w:val="19"/>
        </w:rPr>
        <w:t>than</w:t>
      </w:r>
      <w:r w:rsidR="001862FE" w:rsidRPr="00D9533C">
        <w:rPr>
          <w:b/>
          <w:szCs w:val="19"/>
        </w:rPr>
        <w:noBreakHyphen/>
      </w:r>
      <w:r w:rsidR="0003431E" w:rsidRPr="00D9533C">
        <w:rPr>
          <w:szCs w:val="19"/>
        </w:rPr>
        <w:t xml:space="preserve">expected </w:t>
      </w:r>
      <w:r w:rsidRPr="00D9533C">
        <w:rPr>
          <w:szCs w:val="19"/>
        </w:rPr>
        <w:t xml:space="preserve">economic recovery. </w:t>
      </w:r>
      <w:r w:rsidR="00626BB9" w:rsidRPr="00D9533C">
        <w:rPr>
          <w:szCs w:val="19"/>
        </w:rPr>
        <w:t>The</w:t>
      </w:r>
      <w:r w:rsidR="002A1F37" w:rsidRPr="00D9533C">
        <w:rPr>
          <w:szCs w:val="19"/>
        </w:rPr>
        <w:t> </w:t>
      </w:r>
      <w:r w:rsidRPr="00D9533C">
        <w:rPr>
          <w:szCs w:val="19"/>
        </w:rPr>
        <w:t>2021</w:t>
      </w:r>
      <w:r w:rsidR="00BC5B04" w:rsidRPr="00D9533C">
        <w:rPr>
          <w:szCs w:val="19"/>
        </w:rPr>
        <w:t>–</w:t>
      </w:r>
      <w:r w:rsidRPr="00D9533C">
        <w:rPr>
          <w:szCs w:val="19"/>
        </w:rPr>
        <w:t xml:space="preserve">22 </w:t>
      </w:r>
      <w:r w:rsidR="00054875" w:rsidRPr="00D9533C">
        <w:rPr>
          <w:szCs w:val="19"/>
        </w:rPr>
        <w:t xml:space="preserve">forecast </w:t>
      </w:r>
      <w:r w:rsidR="00E46D03" w:rsidRPr="00D9533C">
        <w:rPr>
          <w:szCs w:val="19"/>
        </w:rPr>
        <w:t xml:space="preserve">error </w:t>
      </w:r>
      <w:r w:rsidR="000E33C7" w:rsidRPr="00D9533C">
        <w:rPr>
          <w:szCs w:val="19"/>
        </w:rPr>
        <w:t xml:space="preserve">was </w:t>
      </w:r>
      <w:r w:rsidR="002D6216" w:rsidRPr="00D9533C">
        <w:rPr>
          <w:szCs w:val="19"/>
        </w:rPr>
        <w:t>primarily</w:t>
      </w:r>
      <w:r w:rsidR="000E33C7" w:rsidRPr="00D9533C">
        <w:rPr>
          <w:szCs w:val="19"/>
        </w:rPr>
        <w:t xml:space="preserve"> due to weaker</w:t>
      </w:r>
      <w:r w:rsidR="001862FE" w:rsidRPr="00D9533C">
        <w:rPr>
          <w:b/>
        </w:rPr>
        <w:noBreakHyphen/>
      </w:r>
      <w:r w:rsidR="000E33C7" w:rsidRPr="00D9533C">
        <w:rPr>
          <w:szCs w:val="19"/>
        </w:rPr>
        <w:t>than</w:t>
      </w:r>
      <w:r w:rsidR="001862FE" w:rsidRPr="00D9533C">
        <w:rPr>
          <w:b/>
        </w:rPr>
        <w:noBreakHyphen/>
      </w:r>
      <w:r w:rsidR="002D34E4" w:rsidRPr="00D9533C">
        <w:rPr>
          <w:szCs w:val="19"/>
        </w:rPr>
        <w:t>expected</w:t>
      </w:r>
      <w:r w:rsidR="000E33C7" w:rsidRPr="00D9533C">
        <w:rPr>
          <w:szCs w:val="19"/>
        </w:rPr>
        <w:t xml:space="preserve"> </w:t>
      </w:r>
      <w:r w:rsidR="00813A86" w:rsidRPr="00D9533C">
        <w:rPr>
          <w:szCs w:val="19"/>
        </w:rPr>
        <w:t xml:space="preserve">household </w:t>
      </w:r>
      <w:r w:rsidR="000E33C7" w:rsidRPr="00D9533C">
        <w:rPr>
          <w:szCs w:val="19"/>
        </w:rPr>
        <w:t xml:space="preserve">consumption </w:t>
      </w:r>
      <w:r w:rsidR="00795AF8" w:rsidRPr="00D9533C">
        <w:rPr>
          <w:szCs w:val="19"/>
        </w:rPr>
        <w:t xml:space="preserve">during </w:t>
      </w:r>
      <w:r w:rsidR="004F3BEF" w:rsidRPr="00D9533C">
        <w:rPr>
          <w:szCs w:val="19"/>
        </w:rPr>
        <w:t xml:space="preserve">the Delta </w:t>
      </w:r>
      <w:r w:rsidR="007A2DAC" w:rsidRPr="00D9533C">
        <w:rPr>
          <w:szCs w:val="19"/>
        </w:rPr>
        <w:t xml:space="preserve">wave </w:t>
      </w:r>
      <w:r w:rsidR="0050130F" w:rsidRPr="00D9533C">
        <w:rPr>
          <w:szCs w:val="19"/>
        </w:rPr>
        <w:t>of</w:t>
      </w:r>
      <w:r w:rsidR="007A2DAC" w:rsidRPr="00D9533C">
        <w:rPr>
          <w:szCs w:val="19"/>
        </w:rPr>
        <w:t xml:space="preserve"> </w:t>
      </w:r>
      <w:r w:rsidR="00D90FDD" w:rsidRPr="00D9533C">
        <w:rPr>
          <w:szCs w:val="19"/>
        </w:rPr>
        <w:t xml:space="preserve">the </w:t>
      </w:r>
      <w:r w:rsidR="0050130F" w:rsidRPr="00D9533C" w:rsidDel="00007CF4">
        <w:rPr>
          <w:szCs w:val="19"/>
        </w:rPr>
        <w:t>pandemic</w:t>
      </w:r>
      <w:r w:rsidR="004A057E" w:rsidRPr="00D9533C">
        <w:rPr>
          <w:szCs w:val="19"/>
        </w:rPr>
        <w:t xml:space="preserve"> (Chart 8.1)</w:t>
      </w:r>
      <w:r w:rsidRPr="00D9533C">
        <w:rPr>
          <w:szCs w:val="19"/>
        </w:rPr>
        <w:t>.</w:t>
      </w:r>
    </w:p>
    <w:p w14:paraId="2DC8360D" w14:textId="3031D9CD" w:rsidR="00FC0A61" w:rsidRPr="00D9533C" w:rsidRDefault="005578DF" w:rsidP="000A0D9B">
      <w:pPr>
        <w:pStyle w:val="ChartHeading"/>
      </w:pPr>
      <w:r w:rsidRPr="00D9533C">
        <w:lastRenderedPageBreak/>
        <w:t>Chart 8</w:t>
      </w:r>
      <w:r w:rsidR="00FC0A61" w:rsidRPr="00D9533C">
        <w:t xml:space="preserve">.1: Comparison of forecasts and outcomes for real GDP growth </w:t>
      </w:r>
    </w:p>
    <w:p w14:paraId="74CE64A4" w14:textId="42A8AC12" w:rsidR="00FC0A61" w:rsidRPr="00D9533C" w:rsidRDefault="003376D3" w:rsidP="0095033B">
      <w:pPr>
        <w:pStyle w:val="ChartGraphic"/>
      </w:pPr>
      <w:r>
        <w:rPr>
          <w:noProof/>
        </w:rPr>
        <w:drawing>
          <wp:inline distT="0" distB="0" distL="0" distR="0" wp14:anchorId="4FE2F89B" wp14:editId="76B6D1F0">
            <wp:extent cx="4608830" cy="2662555"/>
            <wp:effectExtent l="0" t="0" r="0" b="0"/>
            <wp:docPr id="6" name="Picture 6" descr="This chart shows the Budget year forecasts for real GDP growth and the latest published outcome from 2001-02 to 2021-22. The large forecast error in 2019–20 reflects the onset of the COVID 19 pandemic. The 2020–21 forecast error reflects the stronger than expected economic recovery. The 2021–22 forecast error was primarily due to weaker than expected household consumption during the Delta wave of the pandem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chart shows the Budget year forecasts for real GDP growth and the latest published outcome from 2001-02 to 2021-22. The large forecast error in 2019–20 reflects the onset of the COVID 19 pandemic. The 2020–21 forecast error reflects the stronger than expected economic recovery. The 2021–22 forecast error was primarily due to weaker than expected household consumption during the Delta wave of the pandemic.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8830" cy="2662555"/>
                    </a:xfrm>
                    <a:prstGeom prst="rect">
                      <a:avLst/>
                    </a:prstGeom>
                    <a:noFill/>
                    <a:ln>
                      <a:noFill/>
                    </a:ln>
                  </pic:spPr>
                </pic:pic>
              </a:graphicData>
            </a:graphic>
          </wp:inline>
        </w:drawing>
      </w:r>
    </w:p>
    <w:p w14:paraId="2CF7D234" w14:textId="3970A5D0" w:rsidR="00FC0A61" w:rsidRPr="00D9533C" w:rsidRDefault="00FC0A61" w:rsidP="00F27873">
      <w:pPr>
        <w:pStyle w:val="ChartandTableFootnote"/>
        <w:rPr>
          <w:color w:val="auto"/>
        </w:rPr>
      </w:pPr>
      <w:r w:rsidRPr="00D9533C">
        <w:rPr>
          <w:color w:val="auto"/>
        </w:rPr>
        <w:t xml:space="preserve">Note: </w:t>
      </w:r>
      <w:r w:rsidRPr="00D9533C">
        <w:rPr>
          <w:color w:val="auto"/>
        </w:rPr>
        <w:tab/>
      </w:r>
      <w:r w:rsidR="0095033B" w:rsidRPr="00D9533C">
        <w:rPr>
          <w:color w:val="auto"/>
        </w:rPr>
        <w:t>Outcome is as published in the June quarter 2022 National Accounts. Forecast is that published in the Budget for that year.</w:t>
      </w:r>
    </w:p>
    <w:p w14:paraId="3A47DAA6" w14:textId="77777777" w:rsidR="00FC0A61" w:rsidRPr="00D9533C" w:rsidRDefault="00FC0A61" w:rsidP="00F27873">
      <w:pPr>
        <w:pStyle w:val="ChartandTableFootnote"/>
        <w:rPr>
          <w:color w:val="auto"/>
        </w:rPr>
      </w:pPr>
      <w:r w:rsidRPr="00D9533C">
        <w:rPr>
          <w:color w:val="auto"/>
        </w:rPr>
        <w:t xml:space="preserve">Source: </w:t>
      </w:r>
      <w:r w:rsidRPr="00D9533C">
        <w:rPr>
          <w:color w:val="auto"/>
        </w:rPr>
        <w:tab/>
        <w:t xml:space="preserve">ABS Australian National Accounts: National Income, Expenditure and Product and Budget papers. </w:t>
      </w:r>
    </w:p>
    <w:p w14:paraId="1BF5A635" w14:textId="77777777" w:rsidR="00472228" w:rsidRPr="00D9533C" w:rsidRDefault="00472228" w:rsidP="00472228">
      <w:pPr>
        <w:pStyle w:val="ChartLine"/>
      </w:pPr>
    </w:p>
    <w:p w14:paraId="7DD7D379" w14:textId="07F30323" w:rsidR="004A057E" w:rsidRPr="00D9533C" w:rsidRDefault="0003431E" w:rsidP="00F27873">
      <w:r w:rsidRPr="00D9533C">
        <w:t xml:space="preserve">Nominal GDP forecasts include a price component that adds additional uncertainty compared to real GDP forecasts. Price uncertainty relates to </w:t>
      </w:r>
      <w:r w:rsidR="00AB3093" w:rsidRPr="00D9533C">
        <w:t>the evolution of domestic prices and wages, prices of imported goods and world prices for Australia</w:t>
      </w:r>
      <w:r w:rsidR="001862FE" w:rsidRPr="00D9533C">
        <w:t>’</w:t>
      </w:r>
      <w:r w:rsidR="00AB3093" w:rsidRPr="00D9533C">
        <w:t>s exports, including commodities.</w:t>
      </w:r>
      <w:r w:rsidR="005D17EF" w:rsidRPr="00D9533C">
        <w:t xml:space="preserve"> </w:t>
      </w:r>
      <w:r w:rsidR="00AB3093" w:rsidRPr="00D9533C">
        <w:t xml:space="preserve">Since the early 2000s, nominal GDP forecast errors have largely reflected </w:t>
      </w:r>
      <w:r w:rsidR="00813256" w:rsidRPr="00D9533C">
        <w:t>volatility in</w:t>
      </w:r>
      <w:r w:rsidR="007907E6" w:rsidRPr="00D9533C">
        <w:t xml:space="preserve"> </w:t>
      </w:r>
      <w:r w:rsidR="00AB3093" w:rsidRPr="00D9533C">
        <w:t xml:space="preserve">global commodity prices (Chart </w:t>
      </w:r>
      <w:r w:rsidR="00E72226" w:rsidRPr="00D9533C">
        <w:t>8</w:t>
      </w:r>
      <w:r w:rsidR="00AB3093" w:rsidRPr="00D9533C">
        <w:t>.2).</w:t>
      </w:r>
      <w:r w:rsidR="00482342" w:rsidRPr="00D9533C">
        <w:t xml:space="preserve"> </w:t>
      </w:r>
    </w:p>
    <w:p w14:paraId="7A3176C5" w14:textId="77777777" w:rsidR="004A057E" w:rsidRPr="00D9533C" w:rsidRDefault="004A057E" w:rsidP="004A057E">
      <w:pPr>
        <w:pStyle w:val="ChartHeading"/>
      </w:pPr>
      <w:r w:rsidRPr="00D9533C">
        <w:lastRenderedPageBreak/>
        <w:t xml:space="preserve">Chart 8.2: Comparison of forecasts and outcomes for nominal GDP growth </w:t>
      </w:r>
    </w:p>
    <w:p w14:paraId="56A64F16" w14:textId="27DD001A" w:rsidR="004A057E" w:rsidRPr="00D9533C" w:rsidRDefault="007735C6">
      <w:pPr>
        <w:pStyle w:val="ChartGraphic"/>
      </w:pPr>
      <w:r>
        <w:rPr>
          <w:noProof/>
        </w:rPr>
        <w:drawing>
          <wp:inline distT="0" distB="0" distL="0" distR="0" wp14:anchorId="051E6623" wp14:editId="605A18B8">
            <wp:extent cx="4608830" cy="2662555"/>
            <wp:effectExtent l="0" t="0" r="0" b="0"/>
            <wp:docPr id="7" name="Picture 7" descr="This chart shows the Budget year forecasts for nominal GDP growth and the latest published outcome from 2001-02 to 2021-22. In 2021–22, growth in nominal GDP was underestimated reflecting higher than assumed commodity prices, with Russia’s invasion of Ukraine pushing up global energy prices and the price of Australian coal and LNG exports. Consequently, over 2021–22, the terms of trade increased 12.2 per cent to its highest level on record, rather than the decline of 8 per cent assumed in the 2021–22 Budg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is chart shows the Budget year forecasts for nominal GDP growth and the latest published outcome from 2001-02 to 2021-22. In 2021–22, growth in nominal GDP was underestimated reflecting higher than assumed commodity prices, with Russia’s invasion of Ukraine pushing up global energy prices and the price of Australian coal and LNG exports. Consequently, over 2021–22, the terms of trade increased 12.2 per cent to its highest level on record, rather than the decline of 8 per cent assumed in the 2021–22 Budge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8830" cy="2662555"/>
                    </a:xfrm>
                    <a:prstGeom prst="rect">
                      <a:avLst/>
                    </a:prstGeom>
                    <a:noFill/>
                    <a:ln>
                      <a:noFill/>
                    </a:ln>
                  </pic:spPr>
                </pic:pic>
              </a:graphicData>
            </a:graphic>
          </wp:inline>
        </w:drawing>
      </w:r>
    </w:p>
    <w:p w14:paraId="4534F202" w14:textId="64B948B1" w:rsidR="004A057E" w:rsidRPr="00D9533C" w:rsidRDefault="004A057E" w:rsidP="004A057E">
      <w:pPr>
        <w:pStyle w:val="ChartandTableFootnote"/>
        <w:rPr>
          <w:color w:val="auto"/>
        </w:rPr>
      </w:pPr>
      <w:r w:rsidRPr="00D9533C">
        <w:rPr>
          <w:color w:val="auto"/>
        </w:rPr>
        <w:t xml:space="preserve">Note: </w:t>
      </w:r>
      <w:r w:rsidRPr="00D9533C">
        <w:rPr>
          <w:color w:val="auto"/>
        </w:rPr>
        <w:tab/>
      </w:r>
      <w:r w:rsidR="004C59F8" w:rsidRPr="00D9533C">
        <w:rPr>
          <w:color w:val="auto"/>
        </w:rPr>
        <w:t>Outcome is as published in the June quarter 2022 National Accounts. Forecast is that published in the Budget for that year.</w:t>
      </w:r>
    </w:p>
    <w:p w14:paraId="243757D6" w14:textId="347FF1F2" w:rsidR="004A057E" w:rsidRPr="00D9533C" w:rsidRDefault="004A057E" w:rsidP="00472228">
      <w:pPr>
        <w:pStyle w:val="ChartandTableFootnote"/>
        <w:rPr>
          <w:color w:val="auto"/>
        </w:rPr>
      </w:pPr>
      <w:r w:rsidRPr="00D9533C">
        <w:rPr>
          <w:color w:val="auto"/>
        </w:rPr>
        <w:t xml:space="preserve">Source: </w:t>
      </w:r>
      <w:r w:rsidRPr="00D9533C">
        <w:rPr>
          <w:color w:val="auto"/>
        </w:rPr>
        <w:tab/>
        <w:t>ABS Australian National Accounts: National Income, Expenditure and Product and Budget papers.</w:t>
      </w:r>
    </w:p>
    <w:p w14:paraId="2F1F770F" w14:textId="77777777" w:rsidR="00472228" w:rsidRPr="00D9533C" w:rsidRDefault="00472228" w:rsidP="00472228">
      <w:pPr>
        <w:pStyle w:val="ChartLine"/>
      </w:pPr>
    </w:p>
    <w:p w14:paraId="065D3201" w14:textId="3880061D" w:rsidR="00FC0A61" w:rsidRPr="00B0701D" w:rsidRDefault="005E5B32" w:rsidP="00F27873">
      <w:pPr>
        <w:ind w:right="454"/>
      </w:pPr>
      <w:r w:rsidRPr="00D9533C">
        <w:t>In 2021</w:t>
      </w:r>
      <w:r w:rsidR="00BC5B04" w:rsidRPr="00D9533C">
        <w:t>–</w:t>
      </w:r>
      <w:r w:rsidRPr="00D9533C">
        <w:t xml:space="preserve">22, growth </w:t>
      </w:r>
      <w:r w:rsidR="00D07DF9" w:rsidRPr="00D9533C">
        <w:t>in nominal GDP</w:t>
      </w:r>
      <w:r w:rsidRPr="00D9533C">
        <w:t xml:space="preserve"> was underestimated reflecting</w:t>
      </w:r>
      <w:r w:rsidR="00E37E74" w:rsidRPr="00D9533C">
        <w:t xml:space="preserve"> </w:t>
      </w:r>
      <w:r w:rsidR="004E78BC" w:rsidRPr="00D9533C">
        <w:t>higher</w:t>
      </w:r>
      <w:r w:rsidR="001862FE" w:rsidRPr="00D9533C">
        <w:noBreakHyphen/>
      </w:r>
      <w:r w:rsidR="004E78BC" w:rsidRPr="00D9533C">
        <w:t>than</w:t>
      </w:r>
      <w:r w:rsidR="001862FE" w:rsidRPr="00D9533C">
        <w:noBreakHyphen/>
      </w:r>
      <w:r w:rsidR="00D07DF9" w:rsidRPr="00D9533C">
        <w:t>assumed</w:t>
      </w:r>
      <w:r w:rsidR="15C6D113" w:rsidRPr="00D9533C" w:rsidDel="004E78BC">
        <w:t xml:space="preserve"> </w:t>
      </w:r>
      <w:r w:rsidR="15C6D113" w:rsidRPr="00D9533C">
        <w:t>commodity prices,</w:t>
      </w:r>
      <w:r w:rsidR="15C6D113" w:rsidRPr="0096515E">
        <w:t xml:space="preserve"> </w:t>
      </w:r>
      <w:r w:rsidR="00FA02F9" w:rsidRPr="00D9533C">
        <w:t xml:space="preserve">with </w:t>
      </w:r>
      <w:r w:rsidR="00636772" w:rsidRPr="00D9533C">
        <w:t>Russia</w:t>
      </w:r>
      <w:r w:rsidR="001862FE" w:rsidRPr="00D9533C">
        <w:t>’</w:t>
      </w:r>
      <w:r w:rsidR="00636772" w:rsidRPr="00D9533C">
        <w:t xml:space="preserve">s invasion of Ukraine </w:t>
      </w:r>
      <w:r w:rsidR="00FA02F9" w:rsidRPr="00D9533C">
        <w:t xml:space="preserve">pushing up </w:t>
      </w:r>
      <w:r w:rsidR="00636772" w:rsidRPr="00D9533C">
        <w:t>global energy</w:t>
      </w:r>
      <w:r w:rsidR="00650E93" w:rsidRPr="00D9533C">
        <w:t xml:space="preserve"> </w:t>
      </w:r>
      <w:r w:rsidR="0051365A" w:rsidRPr="00D9533C">
        <w:t>prices</w:t>
      </w:r>
      <w:r w:rsidR="00D134AE" w:rsidRPr="00D9533C">
        <w:t xml:space="preserve"> and the price of Australian coal and LNG exports</w:t>
      </w:r>
      <w:r w:rsidR="0256D00C" w:rsidRPr="00D9533C">
        <w:t>.</w:t>
      </w:r>
      <w:r w:rsidR="0256D00C" w:rsidRPr="00BD72A9">
        <w:t xml:space="preserve"> </w:t>
      </w:r>
      <w:r w:rsidR="00E7603F" w:rsidRPr="00D9533C">
        <w:t>Consequently, o</w:t>
      </w:r>
      <w:r w:rsidR="00D73CCF" w:rsidRPr="00D9533C">
        <w:t>ver 2021</w:t>
      </w:r>
      <w:r w:rsidR="00BC5B04" w:rsidRPr="00D9533C">
        <w:t>–</w:t>
      </w:r>
      <w:r w:rsidR="00D73CCF" w:rsidRPr="00D9533C">
        <w:t xml:space="preserve">22, </w:t>
      </w:r>
      <w:r w:rsidR="00650E93" w:rsidRPr="00D9533C">
        <w:t xml:space="preserve">the terms of trade </w:t>
      </w:r>
      <w:r w:rsidR="00E7175C" w:rsidRPr="00D9533C">
        <w:t xml:space="preserve">increased </w:t>
      </w:r>
      <w:r w:rsidR="76F53A38" w:rsidRPr="00D9533C">
        <w:t>12</w:t>
      </w:r>
      <w:r w:rsidR="00BB628A" w:rsidRPr="00D9533C">
        <w:t>.2</w:t>
      </w:r>
      <w:r w:rsidR="00C56271" w:rsidRPr="00D9533C">
        <w:t> </w:t>
      </w:r>
      <w:r w:rsidR="00E7175C" w:rsidRPr="00D9533C">
        <w:t>per</w:t>
      </w:r>
      <w:r w:rsidR="00C56271" w:rsidRPr="00D9533C">
        <w:t> </w:t>
      </w:r>
      <w:r w:rsidR="00E7175C" w:rsidRPr="00D9533C">
        <w:t xml:space="preserve">cent to </w:t>
      </w:r>
      <w:r w:rsidR="003A5979" w:rsidRPr="00D9533C">
        <w:t>its</w:t>
      </w:r>
      <w:r w:rsidR="00E7175C" w:rsidRPr="00D9533C">
        <w:t xml:space="preserve"> highest level on record</w:t>
      </w:r>
      <w:r w:rsidR="001239EF" w:rsidRPr="00D9533C">
        <w:t xml:space="preserve">, rather than </w:t>
      </w:r>
      <w:r w:rsidR="008F3AF3" w:rsidRPr="00D9533C">
        <w:t>the declin</w:t>
      </w:r>
      <w:r w:rsidR="008157E3" w:rsidRPr="00D9533C">
        <w:t>e</w:t>
      </w:r>
      <w:r w:rsidR="00A63929" w:rsidRPr="00D9533C">
        <w:t xml:space="preserve"> </w:t>
      </w:r>
      <w:r w:rsidR="008157E3" w:rsidRPr="00D9533C">
        <w:t>of</w:t>
      </w:r>
      <w:r w:rsidR="008F3AF3" w:rsidRPr="00D9533C">
        <w:t xml:space="preserve"> </w:t>
      </w:r>
      <w:r w:rsidR="00E74F01" w:rsidRPr="00D9533C">
        <w:t>8</w:t>
      </w:r>
      <w:r w:rsidR="00C56271" w:rsidRPr="00D9533C">
        <w:t> </w:t>
      </w:r>
      <w:r w:rsidR="00E74F01" w:rsidRPr="00D9533C">
        <w:t>per</w:t>
      </w:r>
      <w:r w:rsidR="00C56271" w:rsidRPr="00D9533C">
        <w:t> </w:t>
      </w:r>
      <w:r w:rsidR="00E74F01" w:rsidRPr="00D9533C">
        <w:t>cent</w:t>
      </w:r>
      <w:r w:rsidR="00C23001" w:rsidRPr="00D9533C">
        <w:t xml:space="preserve"> </w:t>
      </w:r>
      <w:r w:rsidR="0036070B" w:rsidRPr="00D9533C">
        <w:t>assumed in</w:t>
      </w:r>
      <w:r w:rsidR="00C23001" w:rsidRPr="00D9533C">
        <w:t xml:space="preserve"> the </w:t>
      </w:r>
      <w:r w:rsidR="00203B7A" w:rsidRPr="00D9533C">
        <w:t>2021</w:t>
      </w:r>
      <w:r w:rsidR="00BC5B04" w:rsidRPr="00D9533C">
        <w:t>–</w:t>
      </w:r>
      <w:r w:rsidR="00203B7A" w:rsidRPr="00D9533C">
        <w:t xml:space="preserve">22 </w:t>
      </w:r>
      <w:r w:rsidR="00C23001" w:rsidRPr="00D9533C">
        <w:t>Budget</w:t>
      </w:r>
      <w:r w:rsidR="00E74F01" w:rsidRPr="00D9533C">
        <w:t>.</w:t>
      </w:r>
    </w:p>
    <w:p w14:paraId="0107704F" w14:textId="2A5B4AB5" w:rsidR="00E55FEC" w:rsidRPr="00D9533C" w:rsidRDefault="00E55FEC" w:rsidP="00A657C6">
      <w:pPr>
        <w:pStyle w:val="Heading3"/>
      </w:pPr>
      <w:bookmarkStart w:id="8" w:name="_1709800536"/>
      <w:bookmarkStart w:id="9" w:name="_Toc116037824"/>
      <w:bookmarkStart w:id="10" w:name="_Toc116037697"/>
      <w:bookmarkStart w:id="11" w:name="_Toc116040759"/>
      <w:bookmarkEnd w:id="8"/>
      <w:r w:rsidRPr="00D9533C">
        <w:t>Fiscal forecasting performance</w:t>
      </w:r>
      <w:bookmarkEnd w:id="9"/>
      <w:bookmarkEnd w:id="10"/>
      <w:bookmarkEnd w:id="11"/>
      <w:r w:rsidRPr="00D9533C">
        <w:t xml:space="preserve"> </w:t>
      </w:r>
    </w:p>
    <w:p w14:paraId="62FB5785" w14:textId="5240E3A5" w:rsidR="00966C9D" w:rsidRPr="00D9533C" w:rsidRDefault="008D1DFE" w:rsidP="00A657C6">
      <w:r w:rsidRPr="00D9533C">
        <w:t xml:space="preserve">Fiscal forecast errors </w:t>
      </w:r>
      <w:r w:rsidR="005E1BEA" w:rsidRPr="00D9533C">
        <w:t>are driven b</w:t>
      </w:r>
      <w:r w:rsidR="00F91E14" w:rsidRPr="00D9533C">
        <w:t>y e</w:t>
      </w:r>
      <w:r w:rsidR="001613C1" w:rsidRPr="00D9533C">
        <w:t>conomic</w:t>
      </w:r>
      <w:r w:rsidR="0086485C" w:rsidRPr="00D9533C">
        <w:t xml:space="preserve"> and </w:t>
      </w:r>
      <w:r w:rsidR="00EC4DD5" w:rsidRPr="00D9533C">
        <w:t>demographic</w:t>
      </w:r>
      <w:r w:rsidR="0086485C" w:rsidRPr="00D9533C">
        <w:t xml:space="preserve"> </w:t>
      </w:r>
      <w:r w:rsidR="006A21E9" w:rsidRPr="00D9533C">
        <w:t>f</w:t>
      </w:r>
      <w:r w:rsidR="001613C1" w:rsidRPr="00D9533C">
        <w:t>orecast e</w:t>
      </w:r>
      <w:r w:rsidR="003B61A7" w:rsidRPr="00D9533C">
        <w:t>r</w:t>
      </w:r>
      <w:r w:rsidR="00CA574E" w:rsidRPr="00D9533C">
        <w:t>r</w:t>
      </w:r>
      <w:r w:rsidR="003B61A7" w:rsidRPr="00D9533C">
        <w:t>ors as well as</w:t>
      </w:r>
      <w:r w:rsidR="00A174B9" w:rsidRPr="00D9533C">
        <w:t> </w:t>
      </w:r>
      <w:r w:rsidR="0016096C" w:rsidRPr="00D9533C">
        <w:t>erro</w:t>
      </w:r>
      <w:r w:rsidR="005F56FB" w:rsidRPr="00D9533C">
        <w:t>r</w:t>
      </w:r>
      <w:r w:rsidR="0016096C" w:rsidRPr="00D9533C">
        <w:t xml:space="preserve">s </w:t>
      </w:r>
      <w:r w:rsidR="00CC2DFF" w:rsidRPr="00D9533C">
        <w:t xml:space="preserve">associated with forecasts </w:t>
      </w:r>
      <w:r w:rsidR="00BF7DF7" w:rsidRPr="00D9533C">
        <w:t>of</w:t>
      </w:r>
      <w:r w:rsidR="0016096C" w:rsidRPr="00D9533C">
        <w:t xml:space="preserve"> </w:t>
      </w:r>
      <w:r w:rsidR="006B60AD" w:rsidRPr="00D9533C">
        <w:t>d</w:t>
      </w:r>
      <w:r w:rsidR="00966C9D" w:rsidRPr="00D9533C">
        <w:t>emand</w:t>
      </w:r>
      <w:r w:rsidR="007D2102" w:rsidRPr="00D9533C">
        <w:t xml:space="preserve"> for </w:t>
      </w:r>
      <w:r w:rsidR="00C9441D" w:rsidRPr="00D9533C">
        <w:t xml:space="preserve">government </w:t>
      </w:r>
      <w:r w:rsidR="00966C9D" w:rsidRPr="00D9533C">
        <w:t>programs.</w:t>
      </w:r>
      <w:r w:rsidR="00BC5D9D" w:rsidRPr="00D9533C">
        <w:t xml:space="preserve"> For </w:t>
      </w:r>
      <w:r w:rsidR="00FA5058" w:rsidRPr="00D9533C">
        <w:t>additional</w:t>
      </w:r>
      <w:r w:rsidR="00BC5D9D" w:rsidRPr="00D9533C">
        <w:t xml:space="preserve"> information see </w:t>
      </w:r>
      <w:r w:rsidR="00BC5D9D" w:rsidRPr="00D9533C">
        <w:rPr>
          <w:i/>
        </w:rPr>
        <w:t>2021</w:t>
      </w:r>
      <w:r w:rsidR="00BC5B04" w:rsidRPr="00D9533C">
        <w:rPr>
          <w:i/>
        </w:rPr>
        <w:t>–</w:t>
      </w:r>
      <w:r w:rsidR="00BC5D9D" w:rsidRPr="00D9533C">
        <w:rPr>
          <w:i/>
        </w:rPr>
        <w:t>22</w:t>
      </w:r>
      <w:r w:rsidR="00BC5D9D" w:rsidRPr="00D9533C">
        <w:t xml:space="preserve"> </w:t>
      </w:r>
      <w:r w:rsidR="00BC5D9D" w:rsidRPr="00D9533C">
        <w:rPr>
          <w:i/>
        </w:rPr>
        <w:t>Final Budget Outcome.</w:t>
      </w:r>
    </w:p>
    <w:p w14:paraId="02316D89" w14:textId="0529EE31" w:rsidR="00CD5852" w:rsidRPr="00D9533C" w:rsidRDefault="00CD5852" w:rsidP="00A657C6">
      <w:pPr>
        <w:pStyle w:val="Heading4"/>
      </w:pPr>
      <w:r w:rsidRPr="00D9533C">
        <w:t>Total receipts</w:t>
      </w:r>
    </w:p>
    <w:p w14:paraId="2C93F5CF" w14:textId="3945159F" w:rsidR="000E0737" w:rsidRPr="00C86561" w:rsidRDefault="000E0737" w:rsidP="000E0737">
      <w:r w:rsidRPr="00D9533C">
        <w:t>Total receipts are comprised of tax and non</w:t>
      </w:r>
      <w:r w:rsidR="001862FE" w:rsidRPr="00D9533C">
        <w:noBreakHyphen/>
      </w:r>
      <w:r w:rsidRPr="00D9533C">
        <w:t>tax receipts</w:t>
      </w:r>
      <w:r w:rsidR="002F328E" w:rsidRPr="00D9533C">
        <w:t xml:space="preserve"> (</w:t>
      </w:r>
      <w:proofErr w:type="gramStart"/>
      <w:r w:rsidR="001C63C5" w:rsidRPr="00D9533C">
        <w:t>e.g.</w:t>
      </w:r>
      <w:proofErr w:type="gramEnd"/>
      <w:r w:rsidR="002F328E" w:rsidRPr="00D9533C">
        <w:t xml:space="preserve"> dividends from investment</w:t>
      </w:r>
      <w:r w:rsidR="007649F1" w:rsidRPr="00D9533C">
        <w:t xml:space="preserve"> funds</w:t>
      </w:r>
      <w:r w:rsidR="002F328E" w:rsidRPr="00D9533C">
        <w:t>)</w:t>
      </w:r>
      <w:r w:rsidRPr="00D9533C">
        <w:t xml:space="preserve">. </w:t>
      </w:r>
      <w:r w:rsidR="00CD5852" w:rsidRPr="00D9533C">
        <w:t xml:space="preserve">Tax receipts are the largest element and main driver of total receipts forecasting performance. </w:t>
      </w:r>
      <w:r w:rsidR="00143899" w:rsidRPr="00D9533C">
        <w:t>In 2021</w:t>
      </w:r>
      <w:r w:rsidR="00BC5B04" w:rsidRPr="00D9533C">
        <w:t>–</w:t>
      </w:r>
      <w:r w:rsidR="00143899" w:rsidRPr="00D9533C">
        <w:t>22, tax receipts comprised 91.8</w:t>
      </w:r>
      <w:r w:rsidR="00C56271" w:rsidRPr="00D9533C">
        <w:t> </w:t>
      </w:r>
      <w:r w:rsidR="00B379C7" w:rsidRPr="00D9533C">
        <w:t>per</w:t>
      </w:r>
      <w:r w:rsidR="00C56271" w:rsidRPr="00D9533C">
        <w:t> </w:t>
      </w:r>
      <w:r w:rsidR="00B379C7" w:rsidRPr="00D9533C">
        <w:t xml:space="preserve">cent </w:t>
      </w:r>
      <w:r w:rsidR="00143899" w:rsidRPr="00D9533C">
        <w:t>of total receipts.</w:t>
      </w:r>
      <w:r w:rsidR="007B50F4" w:rsidRPr="00D9533C">
        <w:t xml:space="preserve"> </w:t>
      </w:r>
    </w:p>
    <w:p w14:paraId="52BE06FB" w14:textId="2ACBE248" w:rsidR="00676CA2" w:rsidRPr="005A183C" w:rsidRDefault="00CD5852" w:rsidP="00676CA2">
      <w:pPr>
        <w:rPr>
          <w:rFonts w:ascii="Arial Bold" w:hAnsi="Arial Bold"/>
          <w:b/>
          <w:sz w:val="22"/>
        </w:rPr>
      </w:pPr>
      <w:r w:rsidRPr="00D9533C" w:rsidDel="00B30353">
        <w:t>T</w:t>
      </w:r>
      <w:r w:rsidRPr="00D9533C">
        <w:t>otal receipts were $102.3</w:t>
      </w:r>
      <w:r w:rsidR="00BC5B04" w:rsidRPr="00D9533C">
        <w:t> </w:t>
      </w:r>
      <w:r w:rsidRPr="00D9533C">
        <w:t>billion higher than forecast</w:t>
      </w:r>
      <w:r w:rsidR="00EE7BE3" w:rsidRPr="00D9533C">
        <w:t xml:space="preserve"> in 2021</w:t>
      </w:r>
      <w:r w:rsidR="00BC5B04" w:rsidRPr="00D9533C">
        <w:t>–</w:t>
      </w:r>
      <w:r w:rsidR="00EE7BE3" w:rsidRPr="00D9533C">
        <w:t xml:space="preserve">22. Growth was </w:t>
      </w:r>
      <w:r w:rsidRPr="00D9533C">
        <w:t>12.4</w:t>
      </w:r>
      <w:r w:rsidR="00C56271" w:rsidRPr="00D9533C">
        <w:t> </w:t>
      </w:r>
      <w:r w:rsidRPr="00D9533C">
        <w:t>per</w:t>
      </w:r>
      <w:r w:rsidR="00C56271" w:rsidRPr="00D9533C">
        <w:t> </w:t>
      </w:r>
      <w:r w:rsidRPr="00D9533C">
        <w:t xml:space="preserve">cent </w:t>
      </w:r>
      <w:r w:rsidR="00EE7BE3" w:rsidRPr="00D9533C">
        <w:t xml:space="preserve">compared </w:t>
      </w:r>
      <w:r w:rsidR="008805D1" w:rsidRPr="00D9533C">
        <w:t>to a forecast</w:t>
      </w:r>
      <w:r w:rsidRPr="00D9533C">
        <w:t xml:space="preserve"> 7.3</w:t>
      </w:r>
      <w:r w:rsidR="00C56271" w:rsidRPr="00D9533C">
        <w:t> </w:t>
      </w:r>
      <w:r w:rsidRPr="00D9533C">
        <w:t>per</w:t>
      </w:r>
      <w:r w:rsidR="00C56271" w:rsidRPr="00D9533C">
        <w:t> </w:t>
      </w:r>
      <w:r w:rsidRPr="00D9533C">
        <w:t>cent decline</w:t>
      </w:r>
      <w:r w:rsidR="000E0737" w:rsidRPr="00D9533C">
        <w:t>.</w:t>
      </w:r>
      <w:r w:rsidRPr="00D9533C">
        <w:t xml:space="preserve"> </w:t>
      </w:r>
      <w:r w:rsidR="00676CA2" w:rsidRPr="00D9533C">
        <w:t>Non</w:t>
      </w:r>
      <w:r w:rsidR="001862FE" w:rsidRPr="00D9533C">
        <w:noBreakHyphen/>
      </w:r>
      <w:r w:rsidR="00676CA2" w:rsidRPr="00D9533C">
        <w:t>tax receipts were $11.3</w:t>
      </w:r>
      <w:r w:rsidR="00BC5B04" w:rsidRPr="00D9533C">
        <w:t> </w:t>
      </w:r>
      <w:r w:rsidR="00676CA2" w:rsidRPr="00D9533C">
        <w:t>billion higher</w:t>
      </w:r>
      <w:r w:rsidR="00676CA2" w:rsidRPr="00D9533C" w:rsidDel="00921DD4">
        <w:t xml:space="preserve"> than </w:t>
      </w:r>
      <w:r w:rsidR="00676CA2" w:rsidRPr="00D9533C">
        <w:t>forecast and grew 3.9</w:t>
      </w:r>
      <w:r w:rsidR="00C56271" w:rsidRPr="00D9533C">
        <w:t> </w:t>
      </w:r>
      <w:r w:rsidR="00676CA2" w:rsidRPr="00D9533C">
        <w:t>per</w:t>
      </w:r>
      <w:r w:rsidR="00C56271" w:rsidRPr="00D9533C">
        <w:t> </w:t>
      </w:r>
      <w:r w:rsidR="00676CA2" w:rsidRPr="00D9533C">
        <w:t>cent in 2021</w:t>
      </w:r>
      <w:r w:rsidR="00BC5B04" w:rsidRPr="00D9533C">
        <w:t>–</w:t>
      </w:r>
      <w:r w:rsidR="00676CA2" w:rsidRPr="00D9533C">
        <w:t>22 rather than the 9.6</w:t>
      </w:r>
      <w:r w:rsidR="00C56271" w:rsidRPr="00D9533C">
        <w:t> </w:t>
      </w:r>
      <w:r w:rsidR="00676CA2" w:rsidRPr="00D9533C">
        <w:t>per</w:t>
      </w:r>
      <w:r w:rsidR="00C56271" w:rsidRPr="00D9533C">
        <w:t> </w:t>
      </w:r>
      <w:r w:rsidR="00676CA2" w:rsidRPr="00D9533C">
        <w:t>cent decline forecast at the 2021</w:t>
      </w:r>
      <w:r w:rsidR="00BC5B04" w:rsidRPr="00D9533C">
        <w:t>–</w:t>
      </w:r>
      <w:r w:rsidR="00676CA2" w:rsidRPr="00D9533C">
        <w:t xml:space="preserve">22 Budget. </w:t>
      </w:r>
    </w:p>
    <w:p w14:paraId="50F74C2C" w14:textId="6533F014" w:rsidR="00E55FEC" w:rsidRPr="00D9533C" w:rsidRDefault="00E55FEC" w:rsidP="007A59E8">
      <w:pPr>
        <w:pStyle w:val="Heading4"/>
        <w:rPr>
          <w:sz w:val="22"/>
        </w:rPr>
      </w:pPr>
      <w:r w:rsidRPr="00D9533C">
        <w:lastRenderedPageBreak/>
        <w:t>Tax receipts</w:t>
      </w:r>
    </w:p>
    <w:p w14:paraId="76DBF53C" w14:textId="472429DE" w:rsidR="0044360C" w:rsidRPr="00D9533C" w:rsidRDefault="004916C7" w:rsidP="0044360C">
      <w:pPr>
        <w:rPr>
          <w:b/>
        </w:rPr>
      </w:pPr>
      <w:r w:rsidRPr="00D9533C">
        <w:t xml:space="preserve">Over the past 2 decades, tax receipts </w:t>
      </w:r>
      <w:r w:rsidR="00B87CE4" w:rsidRPr="00D9533C">
        <w:t xml:space="preserve">growth </w:t>
      </w:r>
      <w:r w:rsidR="00584242" w:rsidRPr="00D9533C">
        <w:t>has been over and underestimated</w:t>
      </w:r>
      <w:r w:rsidR="0073742D" w:rsidRPr="00D9533C">
        <w:t xml:space="preserve"> (Chart 8.3)</w:t>
      </w:r>
      <w:r w:rsidR="00B87CE4" w:rsidRPr="00D9533C">
        <w:t>.</w:t>
      </w:r>
    </w:p>
    <w:p w14:paraId="2C1073FC" w14:textId="26CBF6BA" w:rsidR="00E375CF" w:rsidRPr="00D9533C" w:rsidRDefault="00E375CF" w:rsidP="00B13EFB">
      <w:pPr>
        <w:pStyle w:val="ChartHeading"/>
      </w:pPr>
      <w:r w:rsidRPr="00D9533C">
        <w:t>Chart 8.</w:t>
      </w:r>
      <w:r w:rsidR="00CA1B3E" w:rsidRPr="00D9533C">
        <w:t>3</w:t>
      </w:r>
      <w:r w:rsidRPr="00D9533C">
        <w:t xml:space="preserve">: </w:t>
      </w:r>
      <w:r w:rsidRPr="00B13EFB">
        <w:t>Comparison</w:t>
      </w:r>
      <w:r w:rsidRPr="00D9533C">
        <w:t xml:space="preserve"> of forecasts and outcomes for </w:t>
      </w:r>
      <w:r w:rsidR="00CB0107" w:rsidRPr="00D9533C">
        <w:t xml:space="preserve">annual </w:t>
      </w:r>
      <w:r w:rsidRPr="00D9533C">
        <w:t>tax receipts growth</w:t>
      </w:r>
    </w:p>
    <w:p w14:paraId="0E3E648A" w14:textId="4FCC00B7" w:rsidR="00E375CF" w:rsidRPr="00D9533C" w:rsidRDefault="007375F1" w:rsidP="00FD5E04">
      <w:pPr>
        <w:pStyle w:val="ChartGraphic"/>
      </w:pPr>
      <w:r>
        <w:rPr>
          <w:noProof/>
        </w:rPr>
        <w:drawing>
          <wp:inline distT="0" distB="0" distL="0" distR="0" wp14:anchorId="25472F6D" wp14:editId="375E7D0C">
            <wp:extent cx="4813300" cy="2860040"/>
            <wp:effectExtent l="0" t="0" r="6350" b="0"/>
            <wp:docPr id="8" name="Picture 8" descr="This chart shows the Budget year forecasts for tax receipts growth and the Final Budget Outcome (FBO) from 2001-02 to 2021-22. Throughout this period forecasts have both under and overestimated actual growth in tax receipts. For 2021-22, the 2021-22 Budget forecast for tax receipts was for tax receipts to decline by 3.0 per cent. From the 2021-22 FBO, tax receipts grew by 13.2 per cent in 2021-22. The difference between these two figures represent the forecast error for 2021-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is chart shows the Budget year forecasts for tax receipts growth and the Final Budget Outcome (FBO) from 2001-02 to 2021-22. Throughout this period forecasts have both under and overestimated actual growth in tax receipts. For 2021-22, the 2021-22 Budget forecast for tax receipts was for tax receipts to decline by 3.0 per cent. From the 2021-22 FBO, tax receipts grew by 13.2 per cent in 2021-22. The difference between these two figures represent the forecast error for 2021-22.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3300" cy="2860040"/>
                    </a:xfrm>
                    <a:prstGeom prst="rect">
                      <a:avLst/>
                    </a:prstGeom>
                    <a:noFill/>
                    <a:ln>
                      <a:noFill/>
                    </a:ln>
                  </pic:spPr>
                </pic:pic>
              </a:graphicData>
            </a:graphic>
          </wp:inline>
        </w:drawing>
      </w:r>
    </w:p>
    <w:p w14:paraId="0AA3BB62" w14:textId="5D282A17" w:rsidR="00E375CF" w:rsidRPr="00D9533C" w:rsidRDefault="00E375CF" w:rsidP="00472228">
      <w:pPr>
        <w:pStyle w:val="ChartandTableFootnote"/>
        <w:rPr>
          <w:color w:val="auto"/>
        </w:rPr>
      </w:pPr>
      <w:r w:rsidRPr="00D9533C">
        <w:rPr>
          <w:color w:val="auto"/>
        </w:rPr>
        <w:t xml:space="preserve">Source: </w:t>
      </w:r>
      <w:r w:rsidRPr="00D9533C">
        <w:rPr>
          <w:color w:val="auto"/>
        </w:rPr>
        <w:tab/>
        <w:t xml:space="preserve">Budget papers and Treasury. </w:t>
      </w:r>
    </w:p>
    <w:p w14:paraId="2ED123F7" w14:textId="77777777" w:rsidR="00472228" w:rsidRPr="00D9533C" w:rsidRDefault="00472228" w:rsidP="00472228">
      <w:pPr>
        <w:pStyle w:val="ChartLine"/>
      </w:pPr>
    </w:p>
    <w:p w14:paraId="46584963" w14:textId="44D4BD05" w:rsidR="00E375CF" w:rsidRPr="00D9533C" w:rsidRDefault="00D20514" w:rsidP="00E375CF">
      <w:r w:rsidRPr="00D9533C">
        <w:t xml:space="preserve">Tax receipts </w:t>
      </w:r>
      <w:r w:rsidR="00B952A2" w:rsidRPr="00D9533C">
        <w:t xml:space="preserve">grew </w:t>
      </w:r>
      <w:r w:rsidR="00C76B51" w:rsidRPr="00D9533C">
        <w:t>13.2</w:t>
      </w:r>
      <w:r w:rsidR="00C56271" w:rsidRPr="00D9533C">
        <w:t> </w:t>
      </w:r>
      <w:r w:rsidR="001C6D42" w:rsidRPr="00D9533C">
        <w:t>per</w:t>
      </w:r>
      <w:r w:rsidR="00C56271" w:rsidRPr="00D9533C">
        <w:t> </w:t>
      </w:r>
      <w:r w:rsidR="001C6D42" w:rsidRPr="00D9533C">
        <w:t>cent</w:t>
      </w:r>
      <w:r w:rsidR="004160FD" w:rsidRPr="00D9533C">
        <w:t xml:space="preserve"> </w:t>
      </w:r>
      <w:r w:rsidRPr="00D9533C">
        <w:t>in 2021</w:t>
      </w:r>
      <w:r w:rsidR="00BC5B04" w:rsidRPr="00D9533C">
        <w:t>–</w:t>
      </w:r>
      <w:r w:rsidRPr="00D9533C">
        <w:t>22</w:t>
      </w:r>
      <w:r w:rsidR="004160FD" w:rsidRPr="00D9533C">
        <w:t xml:space="preserve"> rather </w:t>
      </w:r>
      <w:r w:rsidRPr="00D9533C">
        <w:t xml:space="preserve">than </w:t>
      </w:r>
      <w:r w:rsidR="004160FD" w:rsidRPr="00D9533C">
        <w:t>the</w:t>
      </w:r>
      <w:r w:rsidR="004C2232" w:rsidRPr="00D9533C">
        <w:t xml:space="preserve"> 3.0</w:t>
      </w:r>
      <w:r w:rsidR="00C56271" w:rsidRPr="00D9533C">
        <w:t> </w:t>
      </w:r>
      <w:r w:rsidR="004C2232" w:rsidRPr="00D9533C">
        <w:t>per</w:t>
      </w:r>
      <w:r w:rsidR="00C56271" w:rsidRPr="00D9533C">
        <w:t> </w:t>
      </w:r>
      <w:r w:rsidR="004C2232" w:rsidRPr="00D9533C">
        <w:t>cent decline</w:t>
      </w:r>
      <w:r w:rsidR="004160FD" w:rsidRPr="00D9533C">
        <w:t xml:space="preserve"> </w:t>
      </w:r>
      <w:r w:rsidRPr="00D9533C">
        <w:t>forecast at the</w:t>
      </w:r>
      <w:r w:rsidR="00AF5370" w:rsidRPr="00D9533C">
        <w:t> </w:t>
      </w:r>
      <w:r w:rsidRPr="00D9533C">
        <w:t>2021</w:t>
      </w:r>
      <w:r w:rsidR="00BC5B04" w:rsidRPr="00D9533C">
        <w:t>–</w:t>
      </w:r>
      <w:r w:rsidRPr="00D9533C">
        <w:t>22 Budget</w:t>
      </w:r>
      <w:r w:rsidR="00E02F84" w:rsidRPr="00D9533C">
        <w:t>.</w:t>
      </w:r>
      <w:r w:rsidR="00B97E84" w:rsidRPr="00D9533C">
        <w:t xml:space="preserve"> </w:t>
      </w:r>
      <w:r w:rsidR="00E02F84" w:rsidRPr="00D9533C">
        <w:t>T</w:t>
      </w:r>
      <w:r w:rsidR="00B224DE" w:rsidRPr="00D9533C">
        <w:t xml:space="preserve">he </w:t>
      </w:r>
      <w:r w:rsidR="00B02C28" w:rsidRPr="00D9533C">
        <w:t>level</w:t>
      </w:r>
      <w:r w:rsidR="00B224DE" w:rsidRPr="00D9533C">
        <w:t xml:space="preserve"> was</w:t>
      </w:r>
      <w:r w:rsidR="00A841D2" w:rsidRPr="00D9533C">
        <w:t xml:space="preserve"> </w:t>
      </w:r>
      <w:r w:rsidR="00B97E84" w:rsidRPr="00D9533C">
        <w:t>$91.0</w:t>
      </w:r>
      <w:r w:rsidR="00BC5B04" w:rsidRPr="00D9533C">
        <w:t> </w:t>
      </w:r>
      <w:r w:rsidR="00B97E84" w:rsidRPr="00D9533C">
        <w:t xml:space="preserve">billion </w:t>
      </w:r>
      <w:r w:rsidR="00A841D2" w:rsidRPr="00D9533C">
        <w:t xml:space="preserve">higher </w:t>
      </w:r>
      <w:r w:rsidR="00B97E84" w:rsidRPr="00D9533C">
        <w:t>than forecast</w:t>
      </w:r>
      <w:r w:rsidR="00E02F84" w:rsidRPr="00D9533C">
        <w:t>.</w:t>
      </w:r>
      <w:r w:rsidRPr="00D9533C">
        <w:rPr>
          <w:b/>
        </w:rPr>
        <w:t xml:space="preserve"> </w:t>
      </w:r>
      <w:r w:rsidR="00E375CF" w:rsidRPr="00D9533C">
        <w:t xml:space="preserve">This outcome reflects </w:t>
      </w:r>
      <w:r w:rsidR="00AD1F88" w:rsidRPr="00D9533C">
        <w:t xml:space="preserve">growth in </w:t>
      </w:r>
      <w:r w:rsidR="00A94407" w:rsidRPr="00D9533C">
        <w:t>most</w:t>
      </w:r>
      <w:r w:rsidR="00E375CF" w:rsidRPr="00D9533C">
        <w:t xml:space="preserve"> revenue heads, driven by stronger</w:t>
      </w:r>
      <w:r w:rsidR="001862FE" w:rsidRPr="00D9533C">
        <w:noBreakHyphen/>
      </w:r>
      <w:r w:rsidR="00E375CF" w:rsidRPr="00D9533C">
        <w:t>than</w:t>
      </w:r>
      <w:r w:rsidR="001862FE" w:rsidRPr="00D9533C">
        <w:noBreakHyphen/>
      </w:r>
      <w:r w:rsidR="00E375CF" w:rsidRPr="00D9533C">
        <w:t>expected economic outcomes and higher</w:t>
      </w:r>
      <w:r w:rsidR="001862FE" w:rsidRPr="00D9533C">
        <w:noBreakHyphen/>
      </w:r>
      <w:r w:rsidR="00E375CF" w:rsidRPr="00D9533C">
        <w:t>than</w:t>
      </w:r>
      <w:r w:rsidR="001862FE" w:rsidRPr="00D9533C">
        <w:noBreakHyphen/>
      </w:r>
      <w:r w:rsidR="00E375CF" w:rsidRPr="00D9533C">
        <w:t xml:space="preserve">expected commodity prices. </w:t>
      </w:r>
    </w:p>
    <w:p w14:paraId="440429F0" w14:textId="49CE4959" w:rsidR="00E375CF" w:rsidRPr="00D9533C" w:rsidRDefault="00E375CF" w:rsidP="00E375CF">
      <w:r w:rsidRPr="00D9533C">
        <w:t xml:space="preserve">There is a correlation between the </w:t>
      </w:r>
      <w:r w:rsidR="00181552" w:rsidRPr="00D9533C">
        <w:t xml:space="preserve">forecast </w:t>
      </w:r>
      <w:r w:rsidRPr="00D9533C">
        <w:t>accuracy of nominal GDP and tax receipts. On</w:t>
      </w:r>
      <w:r w:rsidR="00BC5B04" w:rsidRPr="00D9533C">
        <w:t> </w:t>
      </w:r>
      <w:r w:rsidRPr="00D9533C">
        <w:t xml:space="preserve">average, </w:t>
      </w:r>
      <w:r w:rsidR="008E428A" w:rsidRPr="00D9533C">
        <w:t xml:space="preserve">nominal GDP </w:t>
      </w:r>
      <w:r w:rsidRPr="00D9533C">
        <w:t xml:space="preserve">forecast errors </w:t>
      </w:r>
      <w:r w:rsidR="008E428A" w:rsidRPr="00D9533C">
        <w:t>are</w:t>
      </w:r>
      <w:r w:rsidRPr="00D9533C">
        <w:t xml:space="preserve"> magnified in receipts forecast errors, owing to</w:t>
      </w:r>
      <w:r w:rsidR="00AF5370" w:rsidRPr="00D9533C">
        <w:t> </w:t>
      </w:r>
      <w:r w:rsidRPr="00D9533C">
        <w:t>the progressive nature of the personal income tax system</w:t>
      </w:r>
      <w:r w:rsidR="008E428A" w:rsidRPr="00D9533C">
        <w:t xml:space="preserve"> (</w:t>
      </w:r>
      <w:r w:rsidRPr="00D9533C">
        <w:t>Chart 8.</w:t>
      </w:r>
      <w:r w:rsidR="00CA1B3E" w:rsidRPr="00D9533C">
        <w:t>4</w:t>
      </w:r>
      <w:r w:rsidR="008E428A" w:rsidRPr="00D9533C">
        <w:t>)</w:t>
      </w:r>
      <w:r w:rsidR="001830B3" w:rsidRPr="00D9533C">
        <w:t>.</w:t>
      </w:r>
    </w:p>
    <w:p w14:paraId="6EC9C742" w14:textId="3C828222" w:rsidR="00E375CF" w:rsidRPr="00D9533C" w:rsidRDefault="00E375CF" w:rsidP="00B13EFB">
      <w:pPr>
        <w:pStyle w:val="ChartHeading"/>
      </w:pPr>
      <w:r w:rsidRPr="00D9533C">
        <w:lastRenderedPageBreak/>
        <w:t>Chart 8.</w:t>
      </w:r>
      <w:r w:rsidR="003D13D8" w:rsidRPr="00D9533C">
        <w:t>4</w:t>
      </w:r>
      <w:r w:rsidRPr="00D9533C">
        <w:t xml:space="preserve">: Forecast </w:t>
      </w:r>
      <w:r w:rsidRPr="00B13EFB">
        <w:t>errors</w:t>
      </w:r>
      <w:r w:rsidRPr="00D9533C">
        <w:t xml:space="preserve"> for nominal non</w:t>
      </w:r>
      <w:r w:rsidR="001862FE" w:rsidRPr="00D9533C">
        <w:noBreakHyphen/>
      </w:r>
      <w:r w:rsidRPr="00D9533C">
        <w:t>farm GDP and tax receipts growth</w:t>
      </w:r>
      <w:r w:rsidRPr="00D9533C">
        <w:rPr>
          <w:vertAlign w:val="superscript"/>
        </w:rPr>
        <w:t>(a)</w:t>
      </w:r>
    </w:p>
    <w:p w14:paraId="4DEE1E78" w14:textId="4F592441" w:rsidR="00E375CF" w:rsidRPr="00D9533C" w:rsidRDefault="00011CED" w:rsidP="00226AA8">
      <w:pPr>
        <w:pStyle w:val="ChartGraphic"/>
      </w:pPr>
      <w:bookmarkStart w:id="12" w:name="_1726922375"/>
      <w:bookmarkEnd w:id="12"/>
      <w:r>
        <w:rPr>
          <w:noProof/>
        </w:rPr>
        <w:drawing>
          <wp:inline distT="0" distB="0" distL="0" distR="0" wp14:anchorId="363D33C4" wp14:editId="462BA8DB">
            <wp:extent cx="4798695" cy="3181985"/>
            <wp:effectExtent l="0" t="0" r="1905" b="0"/>
            <wp:docPr id="9" name="Picture 9" descr="This chart plots the Budget forecast errors on nominal non-farm GDP growth and on tax receipts growth (excluding capital gains tax) from 2003-04 to 2021-22. There is a strong positive correlation between the two errors, indicating tax receipts forecasts are heavily dependent on economic forecasts. In 2021-22, the forecast error on tax receipts growth was around 13.3 percentage points, while the forecast error on nominal non-farm GDP growth was around 6.2 percentage points. This is the largest underestimate of both GDP growth and tax receipts growth during the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is chart plots the Budget forecast errors on nominal non-farm GDP growth and on tax receipts growth (excluding capital gains tax) from 2003-04 to 2021-22. There is a strong positive correlation between the two errors, indicating tax receipts forecasts are heavily dependent on economic forecasts. In 2021-22, the forecast error on tax receipts growth was around 13.3 percentage points, while the forecast error on nominal non-farm GDP growth was around 6.2 percentage points. This is the largest underestimate of both GDP growth and tax receipts growth during the perio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8695" cy="3181985"/>
                    </a:xfrm>
                    <a:prstGeom prst="rect">
                      <a:avLst/>
                    </a:prstGeom>
                    <a:noFill/>
                    <a:ln>
                      <a:noFill/>
                    </a:ln>
                  </pic:spPr>
                </pic:pic>
              </a:graphicData>
            </a:graphic>
          </wp:inline>
        </w:drawing>
      </w:r>
    </w:p>
    <w:p w14:paraId="4313C639" w14:textId="77777777" w:rsidR="00E375CF" w:rsidRPr="00D9533C" w:rsidRDefault="00E375CF" w:rsidP="003033E4">
      <w:pPr>
        <w:pStyle w:val="ChartandTableFootnoteAlpha"/>
        <w:rPr>
          <w:color w:val="auto"/>
        </w:rPr>
      </w:pPr>
      <w:r w:rsidRPr="00D9533C">
        <w:rPr>
          <w:color w:val="auto"/>
        </w:rPr>
        <w:t xml:space="preserve">Excludes CGT. </w:t>
      </w:r>
    </w:p>
    <w:p w14:paraId="68A8505F" w14:textId="34DEDF94" w:rsidR="00E375CF" w:rsidRPr="00F27873" w:rsidRDefault="00E375CF" w:rsidP="00F27873">
      <w:pPr>
        <w:pStyle w:val="ChartandTableFootnote"/>
      </w:pPr>
      <w:r w:rsidRPr="00D9533C">
        <w:rPr>
          <w:color w:val="auto"/>
        </w:rPr>
        <w:t>Source:</w:t>
      </w:r>
      <w:r w:rsidR="00F27873" w:rsidRPr="00D9533C">
        <w:rPr>
          <w:color w:val="auto"/>
        </w:rPr>
        <w:t xml:space="preserve"> </w:t>
      </w:r>
      <w:r w:rsidR="00F27873" w:rsidRPr="00D9533C">
        <w:rPr>
          <w:color w:val="auto"/>
        </w:rPr>
        <w:tab/>
      </w:r>
      <w:r w:rsidRPr="00D9533C">
        <w:rPr>
          <w:color w:val="auto"/>
        </w:rPr>
        <w:t>ABS Australian National Accounts: National Income, Expenditure and Product, Budget papers</w:t>
      </w:r>
      <w:r w:rsidR="00F27873" w:rsidRPr="00D9533C">
        <w:rPr>
          <w:color w:val="auto"/>
        </w:rPr>
        <w:t xml:space="preserve"> </w:t>
      </w:r>
      <w:r w:rsidRPr="00D9533C">
        <w:rPr>
          <w:color w:val="auto"/>
        </w:rPr>
        <w:t>and</w:t>
      </w:r>
      <w:r w:rsidR="00F27873" w:rsidRPr="00D9533C">
        <w:rPr>
          <w:color w:val="auto"/>
        </w:rPr>
        <w:t> </w:t>
      </w:r>
      <w:r w:rsidRPr="00D9533C">
        <w:rPr>
          <w:color w:val="auto"/>
        </w:rPr>
        <w:t>Treasury.</w:t>
      </w:r>
      <w:r w:rsidRPr="00F27873">
        <w:t xml:space="preserve"> </w:t>
      </w:r>
    </w:p>
    <w:p w14:paraId="25D4FC59" w14:textId="77777777" w:rsidR="00472228" w:rsidRPr="00DB1537" w:rsidRDefault="00472228" w:rsidP="00472228">
      <w:pPr>
        <w:pStyle w:val="ChartLine"/>
      </w:pPr>
      <w:bookmarkStart w:id="13" w:name="_1709800579"/>
      <w:bookmarkStart w:id="14" w:name="_1709800642"/>
      <w:bookmarkEnd w:id="13"/>
      <w:bookmarkEnd w:id="14"/>
    </w:p>
    <w:p w14:paraId="06A832D7" w14:textId="2FED122C" w:rsidR="00067026" w:rsidRPr="00D9533C" w:rsidRDefault="00067026" w:rsidP="00F27873">
      <w:pPr>
        <w:pStyle w:val="Heading4"/>
      </w:pPr>
      <w:r w:rsidRPr="00D9533C">
        <w:t>Payments</w:t>
      </w:r>
    </w:p>
    <w:p w14:paraId="7DB31F8B" w14:textId="2454A5E1" w:rsidR="00067026" w:rsidRPr="00D9533C" w:rsidRDefault="001C00AD" w:rsidP="00067026">
      <w:r w:rsidRPr="00D9533C">
        <w:t xml:space="preserve">Payments forecasting performance is affected by </w:t>
      </w:r>
      <w:r w:rsidR="00067026" w:rsidRPr="00D9533C">
        <w:t>growth in indexation factors (</w:t>
      </w:r>
      <w:proofErr w:type="gramStart"/>
      <w:r w:rsidR="00067026" w:rsidRPr="00D9533C">
        <w:t>e.g.</w:t>
      </w:r>
      <w:proofErr w:type="gramEnd"/>
      <w:r w:rsidR="00067026" w:rsidRPr="00D9533C">
        <w:t xml:space="preserve"> CPI growth) and demand for </w:t>
      </w:r>
      <w:r w:rsidR="00046D1B" w:rsidRPr="00D9533C">
        <w:t>g</w:t>
      </w:r>
      <w:r w:rsidR="00067026" w:rsidRPr="00D9533C">
        <w:t>overnment</w:t>
      </w:r>
      <w:r w:rsidR="00BF1B93" w:rsidRPr="00D9533C">
        <w:t xml:space="preserve"> programs</w:t>
      </w:r>
      <w:r w:rsidR="00067026" w:rsidRPr="00D9533C">
        <w:t>. Demand</w:t>
      </w:r>
      <w:r w:rsidR="001862FE" w:rsidRPr="00D9533C">
        <w:noBreakHyphen/>
      </w:r>
      <w:r w:rsidR="00067026" w:rsidRPr="00D9533C">
        <w:t>driven programs, such as payments to individuals for social welfare, form the bulk of government expenditure. Forecasts of payments associated with these government programs also depend on economic conditions.</w:t>
      </w:r>
    </w:p>
    <w:p w14:paraId="552994BF" w14:textId="5E0B974C" w:rsidR="00C66E0E" w:rsidRPr="00D9533C" w:rsidRDefault="00391A24" w:rsidP="00C66E0E">
      <w:r w:rsidRPr="00D9533C">
        <w:t>P</w:t>
      </w:r>
      <w:r w:rsidR="00C66E0E" w:rsidRPr="00D9533C">
        <w:t>ayments</w:t>
      </w:r>
      <w:r w:rsidR="006B7076" w:rsidRPr="00D9533C">
        <w:t xml:space="preserve"> </w:t>
      </w:r>
      <w:r w:rsidR="0024421C" w:rsidRPr="00D9533C">
        <w:t xml:space="preserve">declined </w:t>
      </w:r>
      <w:r w:rsidR="00C67D35" w:rsidRPr="00D9533C">
        <w:t>5</w:t>
      </w:r>
      <w:r w:rsidR="00906C09" w:rsidRPr="00D9533C">
        <w:t>.</w:t>
      </w:r>
      <w:r w:rsidR="00C67D35" w:rsidRPr="00D9533C">
        <w:t>8</w:t>
      </w:r>
      <w:r w:rsidR="00C56271" w:rsidRPr="00D9533C">
        <w:t> </w:t>
      </w:r>
      <w:r w:rsidR="005B3307" w:rsidRPr="00D9533C">
        <w:t>per</w:t>
      </w:r>
      <w:r w:rsidR="00C56271" w:rsidRPr="00D9533C">
        <w:t> </w:t>
      </w:r>
      <w:r w:rsidR="005B3307" w:rsidRPr="00D9533C">
        <w:t xml:space="preserve">cent </w:t>
      </w:r>
      <w:r w:rsidR="00D706A6" w:rsidRPr="00D9533C">
        <w:t>in 2021</w:t>
      </w:r>
      <w:r w:rsidR="00BC5B04" w:rsidRPr="00D9533C">
        <w:t>–</w:t>
      </w:r>
      <w:r w:rsidR="00D706A6" w:rsidRPr="00D9533C">
        <w:t xml:space="preserve">22 </w:t>
      </w:r>
      <w:r w:rsidR="005B3307" w:rsidRPr="00D9533C">
        <w:t xml:space="preserve">rather than </w:t>
      </w:r>
      <w:r w:rsidR="008E3F18" w:rsidRPr="00D9533C">
        <w:t xml:space="preserve">the </w:t>
      </w:r>
      <w:r w:rsidR="001468A9" w:rsidRPr="00D9533C">
        <w:t>10</w:t>
      </w:r>
      <w:r w:rsidR="00906C09" w:rsidRPr="00D9533C">
        <w:t>.</w:t>
      </w:r>
      <w:r w:rsidR="001468A9" w:rsidRPr="00D9533C">
        <w:t>9</w:t>
      </w:r>
      <w:r w:rsidR="00C56271" w:rsidRPr="00D9533C">
        <w:t> </w:t>
      </w:r>
      <w:r w:rsidR="00363D0D" w:rsidRPr="00D9533C">
        <w:t>per</w:t>
      </w:r>
      <w:r w:rsidR="00C56271" w:rsidRPr="00D9533C">
        <w:t> </w:t>
      </w:r>
      <w:r w:rsidR="00363D0D" w:rsidRPr="00D9533C">
        <w:t>cent</w:t>
      </w:r>
      <w:r w:rsidR="00C66E0E" w:rsidRPr="00D9533C">
        <w:t xml:space="preserve"> </w:t>
      </w:r>
      <w:r w:rsidR="00D706A6" w:rsidRPr="00D9533C">
        <w:t>decline forecast</w:t>
      </w:r>
      <w:r w:rsidR="00C66E0E" w:rsidRPr="00D9533C">
        <w:t xml:space="preserve"> at the 2021</w:t>
      </w:r>
      <w:r w:rsidR="00BC5B04" w:rsidRPr="00D9533C">
        <w:t>–</w:t>
      </w:r>
      <w:r w:rsidR="00C66E0E" w:rsidRPr="00D9533C">
        <w:t>22 Budget</w:t>
      </w:r>
      <w:r w:rsidR="003D5162" w:rsidRPr="00D9533C">
        <w:t xml:space="preserve"> </w:t>
      </w:r>
      <w:r w:rsidR="00C66E0E" w:rsidRPr="00D9533C">
        <w:t>(see Chart 8.</w:t>
      </w:r>
      <w:r w:rsidR="008C39CF" w:rsidRPr="00D9533C">
        <w:t>5</w:t>
      </w:r>
      <w:r w:rsidR="00C66E0E" w:rsidRPr="00D9533C">
        <w:t>).</w:t>
      </w:r>
      <w:r w:rsidR="00E02F84" w:rsidRPr="00D9533C">
        <w:t xml:space="preserve"> The level was $27.6</w:t>
      </w:r>
      <w:r w:rsidR="00BC5B04" w:rsidRPr="00D9533C">
        <w:t> </w:t>
      </w:r>
      <w:r w:rsidR="00E02F84" w:rsidRPr="00D9533C">
        <w:t>billion higher than forecast.</w:t>
      </w:r>
      <w:r w:rsidR="00C66E0E" w:rsidRPr="00D9533C">
        <w:t xml:space="preserve"> </w:t>
      </w:r>
    </w:p>
    <w:p w14:paraId="373C3D14" w14:textId="6E5E06DA" w:rsidR="00C66E0E" w:rsidRPr="00D9533C" w:rsidRDefault="00C66E0E" w:rsidP="003F0DC4">
      <w:pPr>
        <w:pStyle w:val="ChartHeading"/>
      </w:pPr>
      <w:bookmarkStart w:id="15" w:name="_Toc116037825"/>
      <w:r w:rsidRPr="00D9533C">
        <w:lastRenderedPageBreak/>
        <w:t>Chart 8.</w:t>
      </w:r>
      <w:r w:rsidR="008C39CF" w:rsidRPr="00D9533C">
        <w:t>5</w:t>
      </w:r>
      <w:r w:rsidRPr="00D9533C">
        <w:t xml:space="preserve">: Comparison of forecasts and outcomes for </w:t>
      </w:r>
      <w:r w:rsidR="00CB0107" w:rsidRPr="00D9533C">
        <w:t xml:space="preserve">annual </w:t>
      </w:r>
      <w:r w:rsidRPr="00D9533C">
        <w:t>payments growth</w:t>
      </w:r>
      <w:bookmarkEnd w:id="15"/>
      <w:r w:rsidRPr="00D9533C">
        <w:t xml:space="preserve"> </w:t>
      </w:r>
    </w:p>
    <w:p w14:paraId="1CFFEC01" w14:textId="42E30BAA" w:rsidR="00C66E0E" w:rsidRPr="00D9533C" w:rsidRDefault="008C43D0" w:rsidP="00054C3B">
      <w:pPr>
        <w:pStyle w:val="ChartGraphic"/>
      </w:pPr>
      <w:r>
        <w:rPr>
          <w:noProof/>
        </w:rPr>
        <w:drawing>
          <wp:inline distT="0" distB="0" distL="0" distR="0" wp14:anchorId="6EED249E" wp14:editId="7DE78A3A">
            <wp:extent cx="4718050" cy="2545715"/>
            <wp:effectExtent l="0" t="0" r="0" b="0"/>
            <wp:docPr id="10" name="Picture 10" descr="This chart shows the Budget year forecasts for annual payments growth and the published outcome (FBO) from 2001-02 to 2021-22. Throughout this period forecasts have both under and overestimated actual growth in payments. For 2021-22 year, the 2021-22 Budget forecast was for payments to decline by 10.9 per cent. From the 2021-22 FBO, payments declined by 5.8 per cent in 2021-22. The difference between these two figures represent the forecast error for 20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is chart shows the Budget year forecasts for annual payments growth and the published outcome (FBO) from 2001-02 to 2021-22. Throughout this period forecasts have both under and overestimated actual growth in payments. For 2021-22 year, the 2021-22 Budget forecast was for payments to decline by 10.9 per cent. From the 2021-22 FBO, payments declined by 5.8 per cent in 2021-22. The difference between these two figures represent the forecast error for 2021-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8050" cy="2545715"/>
                    </a:xfrm>
                    <a:prstGeom prst="rect">
                      <a:avLst/>
                    </a:prstGeom>
                    <a:noFill/>
                    <a:ln>
                      <a:noFill/>
                    </a:ln>
                  </pic:spPr>
                </pic:pic>
              </a:graphicData>
            </a:graphic>
          </wp:inline>
        </w:drawing>
      </w:r>
    </w:p>
    <w:p w14:paraId="210D9DA2" w14:textId="19A1FA58" w:rsidR="00C66E0E" w:rsidRPr="00D9533C" w:rsidRDefault="00C66E0E" w:rsidP="00472228">
      <w:pPr>
        <w:pStyle w:val="ChartandTableFootnote"/>
        <w:rPr>
          <w:color w:val="auto"/>
        </w:rPr>
      </w:pPr>
      <w:r w:rsidRPr="00D9533C">
        <w:rPr>
          <w:color w:val="auto"/>
        </w:rPr>
        <w:t xml:space="preserve">Source: </w:t>
      </w:r>
      <w:r w:rsidRPr="00D9533C">
        <w:rPr>
          <w:color w:val="auto"/>
        </w:rPr>
        <w:tab/>
        <w:t xml:space="preserve">Budget papers and Treasury. </w:t>
      </w:r>
    </w:p>
    <w:p w14:paraId="48AA0772" w14:textId="77777777" w:rsidR="00472228" w:rsidRPr="00D9533C" w:rsidRDefault="00472228" w:rsidP="00472228">
      <w:pPr>
        <w:pStyle w:val="ChartLine"/>
      </w:pPr>
    </w:p>
    <w:p w14:paraId="22651D54" w14:textId="4D04102B" w:rsidR="00C66E0E" w:rsidRPr="00B0701D" w:rsidRDefault="00C66E0E" w:rsidP="00C66E0E">
      <w:r w:rsidRPr="00D9533C">
        <w:t xml:space="preserve">The </w:t>
      </w:r>
      <w:r w:rsidR="003C1365" w:rsidRPr="00D9533C">
        <w:t>forecast error</w:t>
      </w:r>
      <w:r w:rsidRPr="00D9533C">
        <w:t xml:space="preserve"> in 2021</w:t>
      </w:r>
      <w:r w:rsidR="00BC5B04" w:rsidRPr="00D9533C">
        <w:t>–</w:t>
      </w:r>
      <w:r w:rsidRPr="00D9533C">
        <w:t>22 was driven by COVID</w:t>
      </w:r>
      <w:r w:rsidR="001862FE" w:rsidRPr="00D9533C">
        <w:noBreakHyphen/>
      </w:r>
      <w:r w:rsidRPr="00D9533C">
        <w:t>19 response measures</w:t>
      </w:r>
      <w:r w:rsidRPr="00D9533C">
        <w:rPr>
          <w:i/>
        </w:rPr>
        <w:t>,</w:t>
      </w:r>
      <w:r w:rsidRPr="00D9533C">
        <w:t xml:space="preserve"> further information on these measures can be found in the </w:t>
      </w:r>
      <w:r w:rsidRPr="00D9533C">
        <w:rPr>
          <w:i/>
        </w:rPr>
        <w:t>2021</w:t>
      </w:r>
      <w:r w:rsidR="00BC5B04" w:rsidRPr="00D9533C">
        <w:rPr>
          <w:i/>
        </w:rPr>
        <w:t>–</w:t>
      </w:r>
      <w:r w:rsidRPr="00D9533C">
        <w:rPr>
          <w:i/>
        </w:rPr>
        <w:t>22 Mid</w:t>
      </w:r>
      <w:r w:rsidR="001862FE" w:rsidRPr="00D9533C">
        <w:rPr>
          <w:i/>
        </w:rPr>
        <w:noBreakHyphen/>
      </w:r>
      <w:r w:rsidRPr="00D9533C">
        <w:rPr>
          <w:i/>
        </w:rPr>
        <w:t>Year Economic and Fiscal</w:t>
      </w:r>
      <w:r w:rsidR="003F0DC4">
        <w:rPr>
          <w:i/>
        </w:rPr>
        <w:t> </w:t>
      </w:r>
      <w:r w:rsidRPr="00D9533C">
        <w:rPr>
          <w:i/>
        </w:rPr>
        <w:t>Outlook</w:t>
      </w:r>
      <w:r w:rsidRPr="00D9533C">
        <w:t>.</w:t>
      </w:r>
      <w:r w:rsidRPr="00B0701D">
        <w:t xml:space="preserve"> </w:t>
      </w:r>
    </w:p>
    <w:p w14:paraId="0C1F8366" w14:textId="27DC6464" w:rsidR="00067026" w:rsidRPr="00D9533C" w:rsidRDefault="00067026" w:rsidP="00D74A82">
      <w:pPr>
        <w:pStyle w:val="Heading4"/>
      </w:pPr>
      <w:r w:rsidRPr="00D9533C">
        <w:t>Underlying cash balance</w:t>
      </w:r>
    </w:p>
    <w:p w14:paraId="7A24E294" w14:textId="751DD48C" w:rsidR="00687741" w:rsidRPr="00D9533C" w:rsidRDefault="00737754" w:rsidP="00C830EA">
      <w:pPr>
        <w:rPr>
          <w:rFonts w:ascii="Book Antiqua" w:hAnsi="Book Antiqua"/>
          <w:szCs w:val="19"/>
        </w:rPr>
      </w:pPr>
      <w:r w:rsidRPr="00D9533C">
        <w:rPr>
          <w:rFonts w:ascii="Book Antiqua" w:hAnsi="Book Antiqua"/>
          <w:szCs w:val="19"/>
        </w:rPr>
        <w:t>U</w:t>
      </w:r>
      <w:r w:rsidR="00CB2A4F" w:rsidRPr="00D9533C">
        <w:rPr>
          <w:rFonts w:ascii="Book Antiqua" w:hAnsi="Book Antiqua"/>
          <w:szCs w:val="19"/>
        </w:rPr>
        <w:t xml:space="preserve">nderlying cash balance </w:t>
      </w:r>
      <w:r w:rsidRPr="00D9533C">
        <w:rPr>
          <w:rFonts w:ascii="Book Antiqua" w:hAnsi="Book Antiqua"/>
          <w:szCs w:val="19"/>
        </w:rPr>
        <w:t>forecasting performance reflects the forecasting performance of its components</w:t>
      </w:r>
      <w:r w:rsidR="00D74A82" w:rsidRPr="00D9533C">
        <w:rPr>
          <w:rFonts w:ascii="Book Antiqua" w:hAnsi="Book Antiqua"/>
          <w:szCs w:val="19"/>
        </w:rPr>
        <w:t>:</w:t>
      </w:r>
      <w:r w:rsidR="008638C9" w:rsidRPr="00D9533C">
        <w:rPr>
          <w:rFonts w:ascii="Book Antiqua" w:hAnsi="Book Antiqua"/>
          <w:szCs w:val="19"/>
        </w:rPr>
        <w:t xml:space="preserve"> total</w:t>
      </w:r>
      <w:r w:rsidR="00CB2A4F" w:rsidRPr="00D9533C">
        <w:rPr>
          <w:rFonts w:ascii="Book Antiqua" w:hAnsi="Book Antiqua"/>
          <w:szCs w:val="19"/>
        </w:rPr>
        <w:t xml:space="preserve"> receipts </w:t>
      </w:r>
      <w:r w:rsidR="008638C9" w:rsidRPr="00D9533C">
        <w:rPr>
          <w:rFonts w:ascii="Book Antiqua" w:hAnsi="Book Antiqua"/>
          <w:szCs w:val="19"/>
        </w:rPr>
        <w:t xml:space="preserve">and </w:t>
      </w:r>
      <w:r w:rsidR="00CB2A4F" w:rsidRPr="00D9533C">
        <w:rPr>
          <w:rFonts w:ascii="Book Antiqua" w:hAnsi="Book Antiqua"/>
          <w:szCs w:val="19"/>
        </w:rPr>
        <w:t>payments</w:t>
      </w:r>
      <w:r w:rsidR="00911EA2" w:rsidRPr="00D9533C">
        <w:rPr>
          <w:rFonts w:ascii="Book Antiqua" w:hAnsi="Book Antiqua"/>
          <w:szCs w:val="19"/>
        </w:rPr>
        <w:t xml:space="preserve"> (Chart 8.6)</w:t>
      </w:r>
      <w:r w:rsidRPr="00D9533C">
        <w:rPr>
          <w:rFonts w:ascii="Book Antiqua" w:hAnsi="Book Antiqua"/>
          <w:szCs w:val="19"/>
        </w:rPr>
        <w:t>.</w:t>
      </w:r>
      <w:r w:rsidR="00503EF1" w:rsidRPr="00D9533C">
        <w:rPr>
          <w:rStyle w:val="FootnoteReference"/>
          <w:rFonts w:ascii="Book Antiqua" w:hAnsi="Book Antiqua"/>
          <w:szCs w:val="19"/>
        </w:rPr>
        <w:footnoteReference w:id="2"/>
      </w:r>
      <w:r w:rsidR="00F23532" w:rsidRPr="00D9533C">
        <w:rPr>
          <w:rFonts w:ascii="Book Antiqua" w:hAnsi="Book Antiqua"/>
          <w:szCs w:val="19"/>
        </w:rPr>
        <w:t xml:space="preserve"> </w:t>
      </w:r>
    </w:p>
    <w:p w14:paraId="75F5CC60" w14:textId="70D5E739" w:rsidR="00687741" w:rsidRPr="00D9533C" w:rsidRDefault="00687741" w:rsidP="003F0DC4">
      <w:pPr>
        <w:pStyle w:val="ChartHeading"/>
      </w:pPr>
      <w:bookmarkStart w:id="16" w:name="_Toc116037826"/>
      <w:r w:rsidRPr="00D9533C">
        <w:lastRenderedPageBreak/>
        <w:t>Chart 8.</w:t>
      </w:r>
      <w:r w:rsidR="00A12703" w:rsidRPr="00D9533C">
        <w:t>6</w:t>
      </w:r>
      <w:r w:rsidRPr="00D9533C">
        <w:t xml:space="preserve">: Comparison of </w:t>
      </w:r>
      <w:r w:rsidRPr="003F0DC4">
        <w:t>forecasts</w:t>
      </w:r>
      <w:r w:rsidRPr="00D9533C">
        <w:t xml:space="preserve"> and outcomes for underlying cash balance</w:t>
      </w:r>
      <w:bookmarkEnd w:id="16"/>
      <w:r w:rsidRPr="00D9533C">
        <w:t xml:space="preserve"> </w:t>
      </w:r>
    </w:p>
    <w:p w14:paraId="71AE7B07" w14:textId="368EDE76" w:rsidR="00687741" w:rsidRPr="00D9533C" w:rsidRDefault="00072EB4" w:rsidP="001E7AAC">
      <w:pPr>
        <w:pStyle w:val="ChartGraphic"/>
      </w:pPr>
      <w:r>
        <w:rPr>
          <w:noProof/>
        </w:rPr>
        <w:drawing>
          <wp:inline distT="0" distB="0" distL="0" distR="0" wp14:anchorId="0507D475" wp14:editId="6D739F17">
            <wp:extent cx="4718050" cy="2516505"/>
            <wp:effectExtent l="0" t="0" r="0" b="0"/>
            <wp:docPr id="11" name="Picture 11" descr="This chart shows the Budget year forecasts for underlying cash balance and the published outcome (FBO) from 2001-02 to 2021-22. Throughout this period forecasts have both under and overestimated underlying cash balance. The underlying cash deficit was 1.4 per cent of GDP in 2021-22 rather than the forecast deficit of 5.0 per cent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his chart shows the Budget year forecasts for underlying cash balance and the published outcome (FBO) from 2001-02 to 2021-22. Throughout this period forecasts have both under and overestimated underlying cash balance. The underlying cash deficit was 1.4 per cent of GDP in 2021-22 rather than the forecast deficit of 5.0 per cent of GD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18050" cy="2516505"/>
                    </a:xfrm>
                    <a:prstGeom prst="rect">
                      <a:avLst/>
                    </a:prstGeom>
                    <a:noFill/>
                    <a:ln>
                      <a:noFill/>
                    </a:ln>
                  </pic:spPr>
                </pic:pic>
              </a:graphicData>
            </a:graphic>
          </wp:inline>
        </w:drawing>
      </w:r>
    </w:p>
    <w:p w14:paraId="6E74127A" w14:textId="4E62B0AA" w:rsidR="00687741" w:rsidRPr="00D9533C" w:rsidRDefault="00687741" w:rsidP="00472228">
      <w:pPr>
        <w:pStyle w:val="ChartandTableFootnote"/>
        <w:rPr>
          <w:color w:val="auto"/>
        </w:rPr>
      </w:pPr>
      <w:r w:rsidRPr="00D9533C">
        <w:rPr>
          <w:color w:val="auto"/>
        </w:rPr>
        <w:t xml:space="preserve">Source: </w:t>
      </w:r>
      <w:r w:rsidRPr="00D9533C">
        <w:rPr>
          <w:color w:val="auto"/>
        </w:rPr>
        <w:tab/>
        <w:t xml:space="preserve">Budget papers and Treasury. </w:t>
      </w:r>
    </w:p>
    <w:p w14:paraId="361A8A44" w14:textId="77777777" w:rsidR="00472228" w:rsidRPr="00D9533C" w:rsidRDefault="00472228" w:rsidP="00472228">
      <w:pPr>
        <w:pStyle w:val="ChartLine"/>
      </w:pPr>
    </w:p>
    <w:p w14:paraId="1CBD35D1" w14:textId="392A53C4" w:rsidR="0097161B" w:rsidRPr="00D9533C" w:rsidRDefault="003518D0" w:rsidP="00F27873">
      <w:r w:rsidRPr="00D9533C">
        <w:rPr>
          <w:rFonts w:ascii="Book Antiqua" w:hAnsi="Book Antiqua"/>
          <w:szCs w:val="19"/>
        </w:rPr>
        <w:t>B</w:t>
      </w:r>
      <w:r w:rsidR="00916DD9" w:rsidRPr="00D9533C">
        <w:t>etter</w:t>
      </w:r>
      <w:r w:rsidR="001862FE" w:rsidRPr="00D9533C">
        <w:noBreakHyphen/>
      </w:r>
      <w:r w:rsidR="00916DD9" w:rsidRPr="00D9533C">
        <w:t>than</w:t>
      </w:r>
      <w:r w:rsidR="001862FE" w:rsidRPr="00D9533C">
        <w:noBreakHyphen/>
      </w:r>
      <w:r w:rsidR="00916DD9" w:rsidRPr="00D9533C">
        <w:t xml:space="preserve">expected </w:t>
      </w:r>
      <w:r w:rsidRPr="00D9533C">
        <w:t>underlying cash balance</w:t>
      </w:r>
      <w:r w:rsidR="00916DD9" w:rsidRPr="00D9533C">
        <w:t xml:space="preserve"> outcomes in 2020</w:t>
      </w:r>
      <w:r w:rsidR="00BC5B04" w:rsidRPr="00D9533C">
        <w:t>–</w:t>
      </w:r>
      <w:r w:rsidR="00916DD9" w:rsidRPr="00D9533C">
        <w:t>21 and 2021</w:t>
      </w:r>
      <w:r w:rsidR="00BC5B04" w:rsidRPr="00D9533C">
        <w:t>–</w:t>
      </w:r>
      <w:r w:rsidR="00916DD9" w:rsidRPr="00D9533C">
        <w:t xml:space="preserve">22 reflect </w:t>
      </w:r>
      <w:r w:rsidR="009D7E7A" w:rsidRPr="00D9533C">
        <w:t xml:space="preserve">the </w:t>
      </w:r>
      <w:r w:rsidR="00916DD9" w:rsidRPr="00D9533C">
        <w:t>challenges in forecasting during the COVID</w:t>
      </w:r>
      <w:r w:rsidR="001862FE" w:rsidRPr="00D9533C">
        <w:noBreakHyphen/>
      </w:r>
      <w:r w:rsidR="00916DD9" w:rsidRPr="00D9533C">
        <w:t xml:space="preserve">19 pandemic. </w:t>
      </w:r>
      <w:r w:rsidR="00A8443F" w:rsidRPr="00D9533C">
        <w:t>Recent higher</w:t>
      </w:r>
      <w:r w:rsidR="001862FE" w:rsidRPr="00D9533C">
        <w:noBreakHyphen/>
      </w:r>
      <w:r w:rsidR="00A8443F" w:rsidRPr="00D9533C">
        <w:t>than</w:t>
      </w:r>
      <w:r w:rsidR="001862FE" w:rsidRPr="00D9533C">
        <w:noBreakHyphen/>
      </w:r>
      <w:r w:rsidR="00A8443F" w:rsidRPr="00D9533C">
        <w:t xml:space="preserve">expected </w:t>
      </w:r>
      <w:r w:rsidR="0046054B" w:rsidRPr="00D9533C">
        <w:t xml:space="preserve">receipts </w:t>
      </w:r>
      <w:r w:rsidR="00B2037D" w:rsidRPr="00D9533C">
        <w:t>outcomes</w:t>
      </w:r>
      <w:r w:rsidR="0046054B" w:rsidRPr="00D9533C">
        <w:t xml:space="preserve"> </w:t>
      </w:r>
      <w:r w:rsidR="00AB6F00" w:rsidRPr="00D9533C">
        <w:t>ha</w:t>
      </w:r>
      <w:r w:rsidR="00F530F8" w:rsidRPr="00D9533C">
        <w:t>ve</w:t>
      </w:r>
      <w:r w:rsidR="00AB6F00" w:rsidRPr="00D9533C">
        <w:t xml:space="preserve"> been</w:t>
      </w:r>
      <w:r w:rsidR="00A8443F" w:rsidRPr="00D9533C">
        <w:t xml:space="preserve"> </w:t>
      </w:r>
      <w:r w:rsidR="0046054B" w:rsidRPr="00D9533C">
        <w:t>driven by</w:t>
      </w:r>
      <w:r w:rsidR="00A8443F" w:rsidRPr="00D9533C">
        <w:t xml:space="preserve"> higher</w:t>
      </w:r>
      <w:r w:rsidR="001862FE" w:rsidRPr="00D9533C">
        <w:noBreakHyphen/>
      </w:r>
      <w:r w:rsidR="00A8443F" w:rsidRPr="00D9533C">
        <w:t>than</w:t>
      </w:r>
      <w:r w:rsidR="001862FE" w:rsidRPr="00D9533C">
        <w:noBreakHyphen/>
      </w:r>
      <w:r w:rsidR="00A8443F" w:rsidRPr="00D9533C">
        <w:t>expected</w:t>
      </w:r>
      <w:r w:rsidR="0046054B" w:rsidRPr="00D9533C">
        <w:t xml:space="preserve"> commodity prices.</w:t>
      </w:r>
      <w:r w:rsidR="00F36D8B" w:rsidRPr="00D9533C">
        <w:t xml:space="preserve"> </w:t>
      </w:r>
      <w:r w:rsidR="00684009" w:rsidRPr="00D9533C">
        <w:t>The underlying cash deficit was 1.4</w:t>
      </w:r>
      <w:r w:rsidR="00C56271" w:rsidRPr="00D9533C">
        <w:t> </w:t>
      </w:r>
      <w:r w:rsidR="00684009" w:rsidRPr="00D9533C">
        <w:t>per</w:t>
      </w:r>
      <w:r w:rsidR="00C56271" w:rsidRPr="00D9533C">
        <w:t> </w:t>
      </w:r>
      <w:r w:rsidR="00684009" w:rsidRPr="00D9533C">
        <w:t>cent of GDP ($32.0</w:t>
      </w:r>
      <w:r w:rsidR="00BC5B04" w:rsidRPr="00D9533C">
        <w:t> </w:t>
      </w:r>
      <w:r w:rsidR="00684009" w:rsidRPr="00D9533C">
        <w:t>billion) in 2021</w:t>
      </w:r>
      <w:r w:rsidR="00BC5B04" w:rsidRPr="00D9533C">
        <w:t>–</w:t>
      </w:r>
      <w:r w:rsidR="00684009" w:rsidRPr="00D9533C">
        <w:t xml:space="preserve">22 rather than the </w:t>
      </w:r>
      <w:r w:rsidR="00746033" w:rsidRPr="00D9533C">
        <w:t xml:space="preserve">forecast </w:t>
      </w:r>
      <w:r w:rsidR="00684009" w:rsidRPr="00D9533C">
        <w:t>deficit of 5.0</w:t>
      </w:r>
      <w:r w:rsidR="00C56271" w:rsidRPr="00D9533C">
        <w:t> </w:t>
      </w:r>
      <w:r w:rsidR="00684009" w:rsidRPr="00D9533C">
        <w:t>per</w:t>
      </w:r>
      <w:r w:rsidR="00C56271" w:rsidRPr="00D9533C">
        <w:t> </w:t>
      </w:r>
      <w:r w:rsidR="00684009" w:rsidRPr="00D9533C">
        <w:t>cent of GDP ($106.6</w:t>
      </w:r>
      <w:r w:rsidR="00BC5B04" w:rsidRPr="00D9533C">
        <w:t> </w:t>
      </w:r>
      <w:r w:rsidR="00684009" w:rsidRPr="00D9533C">
        <w:t>billion).</w:t>
      </w:r>
    </w:p>
    <w:p w14:paraId="5A060F48" w14:textId="16BF6C4A" w:rsidR="00644BFA" w:rsidRPr="00D9533C" w:rsidRDefault="00123E2C" w:rsidP="00F27873">
      <w:pPr>
        <w:rPr>
          <w:sz w:val="22"/>
        </w:rPr>
      </w:pPr>
      <w:r w:rsidRPr="00D9533C">
        <w:t xml:space="preserve">Over the </w:t>
      </w:r>
      <w:r w:rsidR="000228EB" w:rsidRPr="00D9533C">
        <w:t xml:space="preserve">past </w:t>
      </w:r>
      <w:r w:rsidR="00F26B87" w:rsidRPr="00D9533C">
        <w:t>2</w:t>
      </w:r>
      <w:r w:rsidR="000228EB" w:rsidRPr="00D9533C">
        <w:t xml:space="preserve"> decades, </w:t>
      </w:r>
      <w:r w:rsidR="009F54E0" w:rsidRPr="00D9533C">
        <w:t xml:space="preserve">outside major downturns, </w:t>
      </w:r>
      <w:r w:rsidR="00997DE1" w:rsidRPr="00D9533C">
        <w:t xml:space="preserve">receipts forecast errors have </w:t>
      </w:r>
      <w:r w:rsidR="00993A3B" w:rsidRPr="00D9533C">
        <w:t xml:space="preserve">generally </w:t>
      </w:r>
      <w:r w:rsidR="003F21E6" w:rsidRPr="00D9533C">
        <w:t xml:space="preserve">driven </w:t>
      </w:r>
      <w:r w:rsidR="00274F28" w:rsidRPr="00D9533C">
        <w:t xml:space="preserve">the </w:t>
      </w:r>
      <w:r w:rsidR="00B43727" w:rsidRPr="00D9533C">
        <w:t xml:space="preserve">underlying cash balance forecast errors </w:t>
      </w:r>
      <w:r w:rsidR="007B25EC" w:rsidRPr="00D9533C">
        <w:t>(</w:t>
      </w:r>
      <w:r w:rsidR="00C830EA" w:rsidRPr="00D9533C">
        <w:t>Chart 8.</w:t>
      </w:r>
      <w:r w:rsidR="007527FD" w:rsidRPr="00D9533C">
        <w:t>7</w:t>
      </w:r>
      <w:r w:rsidR="007B25EC" w:rsidRPr="00D9533C">
        <w:t>)</w:t>
      </w:r>
      <w:r w:rsidR="0007609B" w:rsidRPr="00D9533C">
        <w:t>.</w:t>
      </w:r>
      <w:r w:rsidR="006D1D6D" w:rsidRPr="00D9533C">
        <w:t xml:space="preserve"> </w:t>
      </w:r>
      <w:r w:rsidR="00945630" w:rsidRPr="00D9533C">
        <w:t xml:space="preserve">The two large payments forecast errors reflect the </w:t>
      </w:r>
      <w:r w:rsidR="009F54E0" w:rsidRPr="00D9533C">
        <w:t xml:space="preserve">unexpected Government payment assistance in the global financial crisis </w:t>
      </w:r>
      <w:r w:rsidR="00C8790A" w:rsidRPr="00D9533C">
        <w:t>(2008</w:t>
      </w:r>
      <w:r w:rsidR="00BC5B04" w:rsidRPr="00D9533C">
        <w:t>–</w:t>
      </w:r>
      <w:r w:rsidR="00C8790A" w:rsidRPr="00D9533C">
        <w:t xml:space="preserve">09) </w:t>
      </w:r>
      <w:r w:rsidR="009F54E0" w:rsidRPr="00D9533C">
        <w:t>and in COVID</w:t>
      </w:r>
      <w:r w:rsidR="001862FE" w:rsidRPr="00D9533C">
        <w:noBreakHyphen/>
      </w:r>
      <w:r w:rsidR="00B800DC" w:rsidRPr="00D9533C">
        <w:t>19</w:t>
      </w:r>
      <w:r w:rsidR="009F54E0" w:rsidRPr="00D9533C">
        <w:t xml:space="preserve"> (</w:t>
      </w:r>
      <w:r w:rsidR="00F700B1" w:rsidRPr="00D9533C">
        <w:t>2019</w:t>
      </w:r>
      <w:r w:rsidR="00BC5B04" w:rsidRPr="00D9533C">
        <w:t>–</w:t>
      </w:r>
      <w:r w:rsidR="00F700B1" w:rsidRPr="00D9533C">
        <w:t>20</w:t>
      </w:r>
      <w:r w:rsidR="009F54E0" w:rsidRPr="00D9533C">
        <w:t xml:space="preserve">). </w:t>
      </w:r>
      <w:r w:rsidR="00FD5AE1" w:rsidRPr="00D9533C">
        <w:t xml:space="preserve">The </w:t>
      </w:r>
      <w:r w:rsidR="00825BB1" w:rsidRPr="00D9533C">
        <w:t xml:space="preserve">forecast </w:t>
      </w:r>
      <w:r w:rsidR="00426177" w:rsidRPr="00D9533C">
        <w:t xml:space="preserve">errors </w:t>
      </w:r>
      <w:r w:rsidR="00825BB1" w:rsidRPr="00D9533C">
        <w:t xml:space="preserve">outside these crises, </w:t>
      </w:r>
      <w:r w:rsidR="00425879" w:rsidRPr="00D9533C">
        <w:t>largely</w:t>
      </w:r>
      <w:r w:rsidR="00776A7C" w:rsidRPr="00D9533C">
        <w:t xml:space="preserve"> </w:t>
      </w:r>
      <w:r w:rsidR="0008174A" w:rsidRPr="00D9533C">
        <w:t>reflect the difficulties in forecasting global commodity prices</w:t>
      </w:r>
      <w:r w:rsidR="00825BB1" w:rsidRPr="00D9533C">
        <w:t xml:space="preserve"> (and hence </w:t>
      </w:r>
      <w:r w:rsidR="003774D3" w:rsidRPr="00D9533C">
        <w:t>tax receipts)</w:t>
      </w:r>
      <w:r w:rsidR="0008174A" w:rsidRPr="00D9533C">
        <w:t>.</w:t>
      </w:r>
      <w:r w:rsidR="009C5934" w:rsidRPr="00C36342">
        <w:t xml:space="preserve"> </w:t>
      </w:r>
      <w:r w:rsidR="00053837" w:rsidRPr="00D9533C">
        <w:t xml:space="preserve">Underestimates in receipts tend to coincide with overestimates in payments resulting in underestimates in the underlying cash balance (and vice versa). </w:t>
      </w:r>
    </w:p>
    <w:p w14:paraId="75F4D3F8" w14:textId="1AD3C44F" w:rsidR="00C830EA" w:rsidRPr="00D9533C" w:rsidRDefault="00C830EA" w:rsidP="003F0DC4">
      <w:pPr>
        <w:pStyle w:val="ChartHeading"/>
      </w:pPr>
      <w:bookmarkStart w:id="17" w:name="_Toc116037827"/>
      <w:r w:rsidRPr="00D9533C">
        <w:lastRenderedPageBreak/>
        <w:t>Chart 8.</w:t>
      </w:r>
      <w:r w:rsidR="00A12703" w:rsidRPr="00D9533C">
        <w:t>7</w:t>
      </w:r>
      <w:r w:rsidRPr="00D9533C">
        <w:t xml:space="preserve">: </w:t>
      </w:r>
      <w:r w:rsidR="000B5563" w:rsidRPr="00D9533C">
        <w:t>Impact</w:t>
      </w:r>
      <w:r w:rsidRPr="00D9533C">
        <w:t xml:space="preserve"> of receipts</w:t>
      </w:r>
      <w:r w:rsidR="000B5563" w:rsidRPr="00D9533C">
        <w:t xml:space="preserve"> and </w:t>
      </w:r>
      <w:r w:rsidRPr="00D9533C">
        <w:t>payments forecast errors</w:t>
      </w:r>
      <w:r w:rsidR="000B5563" w:rsidRPr="00D9533C">
        <w:t xml:space="preserve"> on</w:t>
      </w:r>
      <w:r w:rsidRPr="00D9533C">
        <w:t xml:space="preserve"> underlying cash balance</w:t>
      </w:r>
      <w:r w:rsidR="00F04FED" w:rsidRPr="00D9533C">
        <w:t xml:space="preserve"> forecast error</w:t>
      </w:r>
      <w:bookmarkEnd w:id="17"/>
    </w:p>
    <w:p w14:paraId="4C74D7E4" w14:textId="29D74AF8" w:rsidR="00C830EA" w:rsidRPr="00D9533C" w:rsidRDefault="00A0301A" w:rsidP="001E7AAC">
      <w:pPr>
        <w:pStyle w:val="ChartGraphic"/>
      </w:pPr>
      <w:r>
        <w:rPr>
          <w:noProof/>
        </w:rPr>
        <w:drawing>
          <wp:inline distT="0" distB="0" distL="0" distR="0" wp14:anchorId="4F9E9304" wp14:editId="702A4E0E">
            <wp:extent cx="4718050" cy="2516505"/>
            <wp:effectExtent l="0" t="0" r="0" b="0"/>
            <wp:docPr id="14" name="Picture 14" descr="This chart shows the contribution from  receipts and payments to the underlying cash balance forecast error from 2001-02 to 2021-22. Over the past 2 decades, outside major downturns, receipts forecast errors have generally driven the underlying cash balance forecast errors. Underestimates in receipts tend to coincide with overestimates in payments resulting in underestimates in the underlying cash balance (and vice 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is chart shows the contribution from  receipts and payments to the underlying cash balance forecast error from 2001-02 to 2021-22. Over the past 2 decades, outside major downturns, receipts forecast errors have generally driven the underlying cash balance forecast errors. Underestimates in receipts tend to coincide with overestimates in payments resulting in underestimates in the underlying cash balance (and vice vers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8050" cy="2516505"/>
                    </a:xfrm>
                    <a:prstGeom prst="rect">
                      <a:avLst/>
                    </a:prstGeom>
                    <a:noFill/>
                    <a:ln>
                      <a:noFill/>
                    </a:ln>
                  </pic:spPr>
                </pic:pic>
              </a:graphicData>
            </a:graphic>
          </wp:inline>
        </w:drawing>
      </w:r>
    </w:p>
    <w:p w14:paraId="55C6AE8E" w14:textId="0F2551A9" w:rsidR="009C4365" w:rsidRPr="00D9533C" w:rsidRDefault="009C4365" w:rsidP="00472228">
      <w:pPr>
        <w:pStyle w:val="ChartandTableFootnote"/>
        <w:rPr>
          <w:color w:val="auto"/>
        </w:rPr>
      </w:pPr>
      <w:r w:rsidRPr="00D9533C">
        <w:rPr>
          <w:color w:val="auto"/>
        </w:rPr>
        <w:t xml:space="preserve">Source: </w:t>
      </w:r>
      <w:r w:rsidRPr="00D9533C">
        <w:rPr>
          <w:color w:val="auto"/>
        </w:rPr>
        <w:tab/>
        <w:t xml:space="preserve">Budget papers and Treasury. </w:t>
      </w:r>
    </w:p>
    <w:p w14:paraId="65F12AF6" w14:textId="77777777" w:rsidR="00472228" w:rsidRPr="00D9533C" w:rsidRDefault="00472228" w:rsidP="00472228">
      <w:pPr>
        <w:pStyle w:val="ChartLine"/>
      </w:pPr>
    </w:p>
    <w:p w14:paraId="59E19C82" w14:textId="09518CEE" w:rsidR="00FC0A61" w:rsidRPr="00D9533C" w:rsidRDefault="00FC0A61" w:rsidP="003F0DC4">
      <w:pPr>
        <w:pStyle w:val="Heading2"/>
      </w:pPr>
      <w:bookmarkStart w:id="18" w:name="_Toc99026273"/>
      <w:bookmarkStart w:id="19" w:name="_Toc116037828"/>
      <w:bookmarkStart w:id="20" w:name="_Toc116037698"/>
      <w:bookmarkStart w:id="21" w:name="_Toc116040760"/>
      <w:r w:rsidRPr="003F0DC4">
        <w:t>Assessing</w:t>
      </w:r>
      <w:r w:rsidRPr="00D9533C">
        <w:t xml:space="preserve"> </w:t>
      </w:r>
      <w:r w:rsidR="00775B06" w:rsidRPr="00D9533C">
        <w:t>uncertaint</w:t>
      </w:r>
      <w:r w:rsidR="00616D2E" w:rsidRPr="00D9533C">
        <w:t>y</w:t>
      </w:r>
      <w:r w:rsidR="00775B06" w:rsidRPr="00D9533C">
        <w:t xml:space="preserve"> around </w:t>
      </w:r>
      <w:r w:rsidRPr="00D9533C">
        <w:t xml:space="preserve">current forecasts </w:t>
      </w:r>
      <w:r w:rsidR="00DE6759" w:rsidRPr="00D9533C">
        <w:t>via</w:t>
      </w:r>
      <w:r w:rsidRPr="00D9533C">
        <w:t xml:space="preserve"> confidence interval analysis</w:t>
      </w:r>
      <w:bookmarkEnd w:id="18"/>
      <w:bookmarkEnd w:id="19"/>
      <w:bookmarkEnd w:id="20"/>
      <w:bookmarkEnd w:id="21"/>
    </w:p>
    <w:p w14:paraId="03B809CA" w14:textId="147DB4A1" w:rsidR="008B784F" w:rsidRPr="00D9533C" w:rsidRDefault="008B784F" w:rsidP="000E65DF">
      <w:pPr>
        <w:keepNext/>
        <w:keepLines/>
      </w:pPr>
      <w:r w:rsidRPr="00D9533C">
        <w:t xml:space="preserve">This section presents confidence intervals to </w:t>
      </w:r>
      <w:r w:rsidR="0057436C" w:rsidRPr="00D9533C">
        <w:t xml:space="preserve">illustrate </w:t>
      </w:r>
      <w:r w:rsidRPr="00D9533C">
        <w:t>the uncertainty around current forecasts</w:t>
      </w:r>
      <w:r w:rsidR="00265A04" w:rsidRPr="00D9533C">
        <w:t>. This assum</w:t>
      </w:r>
      <w:r w:rsidR="001830B3" w:rsidRPr="00D9533C">
        <w:t>es</w:t>
      </w:r>
      <w:r w:rsidRPr="00D9533C">
        <w:t xml:space="preserve"> future forecast errors are consistent with</w:t>
      </w:r>
      <w:r w:rsidR="00765A16" w:rsidRPr="00D9533C">
        <w:t xml:space="preserve"> the distribution of</w:t>
      </w:r>
      <w:r w:rsidRPr="00D9533C">
        <w:t xml:space="preserve"> pa</w:t>
      </w:r>
      <w:r w:rsidR="0069777D" w:rsidRPr="00D9533C">
        <w:t>s</w:t>
      </w:r>
      <w:r w:rsidRPr="00D9533C">
        <w:t xml:space="preserve">t forecast errors </w:t>
      </w:r>
      <w:r w:rsidR="00FB2E59" w:rsidRPr="00D9533C">
        <w:t xml:space="preserve">(from </w:t>
      </w:r>
      <w:r w:rsidRPr="00D9533C">
        <w:t>1998</w:t>
      </w:r>
      <w:r w:rsidR="00BC5B04" w:rsidRPr="00D9533C">
        <w:t>–</w:t>
      </w:r>
      <w:r w:rsidRPr="00D9533C">
        <w:t>99</w:t>
      </w:r>
      <w:r w:rsidR="00FB2E59" w:rsidRPr="00D9533C">
        <w:t xml:space="preserve"> </w:t>
      </w:r>
      <w:r w:rsidR="00E55E5D" w:rsidRPr="00D9533C">
        <w:t>to 2021</w:t>
      </w:r>
      <w:r w:rsidR="00BC5B04" w:rsidRPr="00D9533C">
        <w:t>–</w:t>
      </w:r>
      <w:r w:rsidR="00E55E5D" w:rsidRPr="00D9533C">
        <w:t>22</w:t>
      </w:r>
      <w:r w:rsidRPr="00D9533C">
        <w:t>).</w:t>
      </w:r>
      <w:r w:rsidRPr="00D9533C">
        <w:rPr>
          <w:vertAlign w:val="superscript"/>
        </w:rPr>
        <w:footnoteReference w:id="3"/>
      </w:r>
      <w:r w:rsidR="00E7537C" w:rsidRPr="00D9533C">
        <w:t xml:space="preserve"> </w:t>
      </w:r>
      <w:r w:rsidR="00896228" w:rsidRPr="00D9533C">
        <w:t>Based on past forecasting performance, t</w:t>
      </w:r>
      <w:r w:rsidR="00BC39F7" w:rsidRPr="00D9533C">
        <w:t>here is a</w:t>
      </w:r>
      <w:r w:rsidR="00F27873" w:rsidRPr="00D9533C">
        <w:t> </w:t>
      </w:r>
      <w:r w:rsidR="00BC39F7" w:rsidRPr="00D9533C">
        <w:t>70 and 90</w:t>
      </w:r>
      <w:r w:rsidR="00C56271" w:rsidRPr="00D9533C">
        <w:t> </w:t>
      </w:r>
      <w:r w:rsidR="00BC39F7" w:rsidRPr="00D9533C">
        <w:t>per</w:t>
      </w:r>
      <w:r w:rsidR="00C56271" w:rsidRPr="00D9533C">
        <w:t> </w:t>
      </w:r>
      <w:r w:rsidR="00BC39F7" w:rsidRPr="00D9533C">
        <w:t xml:space="preserve">cent probability that forecasts will lie within the </w:t>
      </w:r>
      <w:r w:rsidR="0045420C" w:rsidRPr="00D9533C">
        <w:t>respective</w:t>
      </w:r>
      <w:r w:rsidR="00BC39F7" w:rsidRPr="00D9533C">
        <w:t xml:space="preserve"> confidence interval bands</w:t>
      </w:r>
      <w:r w:rsidR="00914A9C" w:rsidRPr="00D9533C">
        <w:t>.</w:t>
      </w:r>
    </w:p>
    <w:p w14:paraId="4A8D65E6" w14:textId="2033944F" w:rsidR="00FC0A61" w:rsidRPr="00D9533C" w:rsidRDefault="00FA38BD" w:rsidP="008B784F">
      <w:r w:rsidRPr="00D9533C">
        <w:t>Future f</w:t>
      </w:r>
      <w:r w:rsidR="008B784F" w:rsidRPr="00D9533C">
        <w:t xml:space="preserve">orecast errors may not have the same distribution as historical forecast errors. </w:t>
      </w:r>
      <w:r w:rsidR="008B784F" w:rsidRPr="00D9533C" w:rsidDel="00F644F5">
        <w:t xml:space="preserve">The large forecast errors </w:t>
      </w:r>
      <w:r w:rsidR="008F6F55" w:rsidRPr="00D9533C">
        <w:t>in</w:t>
      </w:r>
      <w:r w:rsidR="008F6F55" w:rsidRPr="00D9533C" w:rsidDel="00F644F5">
        <w:t xml:space="preserve"> </w:t>
      </w:r>
      <w:r w:rsidR="008B784F" w:rsidRPr="00D9533C" w:rsidDel="00F644F5">
        <w:t>2019</w:t>
      </w:r>
      <w:r w:rsidR="00BC5B04" w:rsidRPr="00D9533C">
        <w:t>–</w:t>
      </w:r>
      <w:r w:rsidR="008B784F" w:rsidRPr="00D9533C" w:rsidDel="00F644F5">
        <w:t>20</w:t>
      </w:r>
      <w:r w:rsidR="008B784F" w:rsidRPr="00D9533C">
        <w:t xml:space="preserve"> </w:t>
      </w:r>
      <w:r w:rsidR="008F6F55" w:rsidRPr="00D9533C">
        <w:t>and</w:t>
      </w:r>
      <w:r w:rsidR="008B784F" w:rsidRPr="00D9533C">
        <w:t xml:space="preserve"> 202</w:t>
      </w:r>
      <w:r w:rsidR="00E07A80" w:rsidRPr="00D9533C">
        <w:t>0</w:t>
      </w:r>
      <w:r w:rsidR="00BC5B04" w:rsidRPr="00D9533C">
        <w:t>–</w:t>
      </w:r>
      <w:r w:rsidR="008B784F" w:rsidRPr="00D9533C">
        <w:t>2</w:t>
      </w:r>
      <w:r w:rsidR="00E07A80" w:rsidRPr="00D9533C">
        <w:t>1</w:t>
      </w:r>
      <w:r w:rsidR="008B784F" w:rsidRPr="00D9533C" w:rsidDel="00F644F5">
        <w:t xml:space="preserve">, </w:t>
      </w:r>
      <w:r w:rsidR="00544B11" w:rsidRPr="00D9533C">
        <w:t>related</w:t>
      </w:r>
      <w:r w:rsidR="00544B11" w:rsidRPr="00D9533C" w:rsidDel="00F644F5">
        <w:t xml:space="preserve"> </w:t>
      </w:r>
      <w:r w:rsidR="008B784F" w:rsidRPr="00D9533C" w:rsidDel="00F644F5">
        <w:t xml:space="preserve">to </w:t>
      </w:r>
      <w:r w:rsidR="008B784F" w:rsidRPr="00D9533C">
        <w:t>COVID</w:t>
      </w:r>
      <w:r w:rsidR="001862FE" w:rsidRPr="00D9533C">
        <w:noBreakHyphen/>
      </w:r>
      <w:r w:rsidR="001413A0" w:rsidRPr="00D9533C">
        <w:t>19</w:t>
      </w:r>
      <w:r w:rsidR="008B784F" w:rsidRPr="00D9533C" w:rsidDel="00F644F5">
        <w:t xml:space="preserve">, are </w:t>
      </w:r>
      <w:r w:rsidR="008B784F" w:rsidRPr="00D9533C">
        <w:t>an example of events not previously captured in the historical</w:t>
      </w:r>
      <w:r w:rsidR="006C6F62" w:rsidRPr="00D9533C">
        <w:t xml:space="preserve"> error</w:t>
      </w:r>
      <w:r w:rsidR="008B784F" w:rsidRPr="00D9533C">
        <w:t xml:space="preserve"> sample. </w:t>
      </w:r>
      <w:r w:rsidR="006C6F62" w:rsidRPr="00D9533C">
        <w:t xml:space="preserve">Large disruptive events are not able to be predicted and could occur again in the future. </w:t>
      </w:r>
      <w:r w:rsidR="008B784F" w:rsidRPr="00D9533C">
        <w:t xml:space="preserve"> </w:t>
      </w:r>
    </w:p>
    <w:p w14:paraId="41BDFE0F" w14:textId="77777777" w:rsidR="00F27873" w:rsidRPr="003F0DC4" w:rsidRDefault="00F27873" w:rsidP="003F0DC4">
      <w:bookmarkStart w:id="22" w:name="_Toc99026274"/>
      <w:bookmarkStart w:id="23" w:name="_Toc116037829"/>
      <w:bookmarkStart w:id="24" w:name="_Toc116037699"/>
      <w:bookmarkStart w:id="25" w:name="_Toc116040761"/>
      <w:r w:rsidRPr="00D9533C">
        <w:br w:type="page"/>
      </w:r>
    </w:p>
    <w:p w14:paraId="2D8AF283" w14:textId="7E7C213B" w:rsidR="00FC0A61" w:rsidRPr="00D9533C" w:rsidRDefault="00FC0A61" w:rsidP="00FC0A61">
      <w:pPr>
        <w:pStyle w:val="Heading3"/>
      </w:pPr>
      <w:r w:rsidRPr="00D9533C">
        <w:lastRenderedPageBreak/>
        <w:t>Economic uncertainty based on historical forecast errors</w:t>
      </w:r>
      <w:bookmarkEnd w:id="22"/>
      <w:bookmarkEnd w:id="23"/>
      <w:bookmarkEnd w:id="24"/>
      <w:bookmarkEnd w:id="25"/>
    </w:p>
    <w:p w14:paraId="13DFA0AA" w14:textId="6D2A88D6" w:rsidR="000308BC" w:rsidRPr="00D9533C" w:rsidRDefault="002C2870" w:rsidP="00F27873">
      <w:pPr>
        <w:rPr>
          <w:b/>
        </w:rPr>
      </w:pPr>
      <w:r w:rsidRPr="00D9533C">
        <w:t xml:space="preserve">Based on </w:t>
      </w:r>
      <w:r w:rsidR="00897F8F" w:rsidRPr="00D9533C">
        <w:t>past</w:t>
      </w:r>
      <w:r w:rsidRPr="00D9533C">
        <w:t xml:space="preserve"> forecast errors for real GDP, </w:t>
      </w:r>
      <w:r w:rsidR="0060688A" w:rsidRPr="00D9533C">
        <w:t xml:space="preserve">Chart 8.8 shows the degree of variance </w:t>
      </w:r>
      <w:r w:rsidR="00FF4871" w:rsidRPr="00D9533C">
        <w:t>around</w:t>
      </w:r>
      <w:r w:rsidR="0060688A" w:rsidRPr="00D9533C">
        <w:t xml:space="preserve"> the current forecasts </w:t>
      </w:r>
      <w:r w:rsidR="00AA3EB4" w:rsidRPr="00D9533C">
        <w:t>assuming</w:t>
      </w:r>
      <w:r w:rsidR="0060688A" w:rsidRPr="00D9533C">
        <w:t xml:space="preserve"> similar magnitude </w:t>
      </w:r>
      <w:r w:rsidR="008B3907" w:rsidRPr="00D9533C">
        <w:t xml:space="preserve">future </w:t>
      </w:r>
      <w:r w:rsidR="0060688A" w:rsidRPr="00D9533C">
        <w:t>errors</w:t>
      </w:r>
      <w:r w:rsidR="00741D46" w:rsidRPr="00D9533C">
        <w:t>.</w:t>
      </w:r>
      <w:r w:rsidR="00E62714" w:rsidRPr="00D9533C" w:rsidDel="00741D46">
        <w:t xml:space="preserve"> </w:t>
      </w:r>
      <w:r w:rsidR="00741D46" w:rsidRPr="00D9533C">
        <w:t>The</w:t>
      </w:r>
      <w:r w:rsidR="00E62714" w:rsidRPr="00D9533C">
        <w:t xml:space="preserve"> a</w:t>
      </w:r>
      <w:r w:rsidR="49915497" w:rsidRPr="00D9533C">
        <w:t>verage annualised growth in real GDP in the 2 years to 2023</w:t>
      </w:r>
      <w:r w:rsidR="00BC5B04" w:rsidRPr="00D9533C">
        <w:t>–</w:t>
      </w:r>
      <w:r w:rsidR="49915497" w:rsidRPr="00D9533C">
        <w:t>24 is expected to be around 2½</w:t>
      </w:r>
      <w:r w:rsidR="00C56271" w:rsidRPr="00D9533C">
        <w:t> </w:t>
      </w:r>
      <w:r w:rsidR="49915497" w:rsidRPr="00D9533C">
        <w:t>per</w:t>
      </w:r>
      <w:r w:rsidR="00C56271" w:rsidRPr="00D9533C">
        <w:t> </w:t>
      </w:r>
      <w:r w:rsidR="49915497" w:rsidRPr="00D9533C">
        <w:t>cent, with the 70</w:t>
      </w:r>
      <w:r w:rsidR="00C56271" w:rsidRPr="00D9533C">
        <w:t> </w:t>
      </w:r>
      <w:r w:rsidR="49915497" w:rsidRPr="00D9533C">
        <w:t>per</w:t>
      </w:r>
      <w:r w:rsidR="00C56271" w:rsidRPr="00D9533C">
        <w:t> </w:t>
      </w:r>
      <w:r w:rsidR="49915497" w:rsidRPr="00D9533C">
        <w:t>cent confidence interval ranging from 1¾</w:t>
      </w:r>
      <w:r w:rsidR="00C56271" w:rsidRPr="00D9533C">
        <w:t> </w:t>
      </w:r>
      <w:r w:rsidR="49915497" w:rsidRPr="00D9533C">
        <w:t>per</w:t>
      </w:r>
      <w:r w:rsidR="00C56271" w:rsidRPr="00D9533C">
        <w:t> </w:t>
      </w:r>
      <w:r w:rsidR="49915497" w:rsidRPr="00D9533C">
        <w:t>cent to 3¼</w:t>
      </w:r>
      <w:r w:rsidR="00C56271" w:rsidRPr="00D9533C">
        <w:t> </w:t>
      </w:r>
      <w:r w:rsidR="49915497" w:rsidRPr="00D9533C">
        <w:t>per</w:t>
      </w:r>
      <w:r w:rsidR="00C56271" w:rsidRPr="00D9533C">
        <w:t> </w:t>
      </w:r>
      <w:r w:rsidR="49915497" w:rsidRPr="00D9533C">
        <w:t>cent. The 90</w:t>
      </w:r>
      <w:r w:rsidR="00C56271" w:rsidRPr="00D9533C">
        <w:t> </w:t>
      </w:r>
      <w:r w:rsidR="49915497" w:rsidRPr="00D9533C">
        <w:t>per</w:t>
      </w:r>
      <w:r w:rsidR="00C56271" w:rsidRPr="00D9533C">
        <w:t> </w:t>
      </w:r>
      <w:r w:rsidR="49915497" w:rsidRPr="00D9533C">
        <w:t>cent confidence interval ranges from 1¼</w:t>
      </w:r>
      <w:r w:rsidR="00C56271" w:rsidRPr="00D9533C">
        <w:t> </w:t>
      </w:r>
      <w:r w:rsidR="49915497" w:rsidRPr="00D9533C">
        <w:t>per</w:t>
      </w:r>
      <w:r w:rsidR="00C56271" w:rsidRPr="00D9533C">
        <w:t> </w:t>
      </w:r>
      <w:r w:rsidR="49915497" w:rsidRPr="00D9533C">
        <w:t>cent to 3¾</w:t>
      </w:r>
      <w:r w:rsidR="00C56271" w:rsidRPr="00D9533C">
        <w:t> </w:t>
      </w:r>
      <w:r w:rsidR="49915497" w:rsidRPr="00D9533C">
        <w:t>per</w:t>
      </w:r>
      <w:r w:rsidR="00C56271" w:rsidRPr="00D9533C">
        <w:t> </w:t>
      </w:r>
      <w:r w:rsidR="49915497" w:rsidRPr="00D9533C">
        <w:t>cent.</w:t>
      </w:r>
    </w:p>
    <w:p w14:paraId="28C94E5B" w14:textId="34F77210" w:rsidR="00FC0A61" w:rsidRPr="00D9533C" w:rsidRDefault="4FED3F95" w:rsidP="003F0DC4">
      <w:pPr>
        <w:pStyle w:val="ChartHeading"/>
      </w:pPr>
      <w:r w:rsidRPr="00D9533C">
        <w:t>Chart 8</w:t>
      </w:r>
      <w:r w:rsidR="46850F6A" w:rsidRPr="00D9533C">
        <w:t>.</w:t>
      </w:r>
      <w:r w:rsidR="4506849B" w:rsidRPr="00D9533C">
        <w:t>8</w:t>
      </w:r>
      <w:r w:rsidR="46850F6A" w:rsidRPr="00D9533C">
        <w:t xml:space="preserve">: Confidence </w:t>
      </w:r>
      <w:r w:rsidR="46850F6A" w:rsidRPr="003F0DC4">
        <w:t>intervals</w:t>
      </w:r>
      <w:r w:rsidR="46850F6A" w:rsidRPr="00D9533C">
        <w:t xml:space="preserve"> around real GDP growth rate forecasts</w:t>
      </w:r>
    </w:p>
    <w:p w14:paraId="4DCFC496" w14:textId="622C2FFE" w:rsidR="00FC0A61" w:rsidRPr="00D9533C" w:rsidRDefault="00000FF8" w:rsidP="000E2636">
      <w:pPr>
        <w:pStyle w:val="ChartGraphic"/>
        <w:spacing w:before="120" w:after="120"/>
      </w:pPr>
      <w:bookmarkStart w:id="26" w:name="_1709800969"/>
      <w:bookmarkEnd w:id="26"/>
      <w:r w:rsidRPr="00D9533C">
        <w:rPr>
          <w:noProof/>
        </w:rPr>
        <w:drawing>
          <wp:inline distT="0" distB="0" distL="0" distR="0" wp14:anchorId="543A055B" wp14:editId="19A79C5C">
            <wp:extent cx="4851744" cy="2920467"/>
            <wp:effectExtent l="0" t="0" r="6350" b="0"/>
            <wp:docPr id="1" name="Picture 1" descr="This chart shows confidence intervals around the Budget forecast for average annualised real GDP growth.&#10;&#10;The Budget forecast for average annualised real GDP growth in the two years to 2023-24 is expected to be around 2 1/2 per cent, with the 70 per cent confidence interval ranging from 1 3/4 to 3 1/4 per cent, and the 90 per cent confidence interval ranging from 1 1/4 to 3 3/4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chart shows confidence intervals around the Budget forecast for average annualised real GDP growth.&#10;&#10;The Budget forecast for average annualised real GDP growth in the two years to 2023-24 is expected to be around 2 1/2 per cent, with the 70 per cent confidence interval ranging from 1 3/4 to 3 1/4 per cent, and the 90 per cent confidence interval ranging from 1 1/4 to 3 3/4 per c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1744" cy="2920467"/>
                    </a:xfrm>
                    <a:prstGeom prst="rect">
                      <a:avLst/>
                    </a:prstGeom>
                  </pic:spPr>
                </pic:pic>
              </a:graphicData>
            </a:graphic>
          </wp:inline>
        </w:drawing>
      </w:r>
    </w:p>
    <w:p w14:paraId="36B58BEE" w14:textId="72B8630E" w:rsidR="00FC0A61" w:rsidRPr="00D9533C" w:rsidRDefault="00FC0A61" w:rsidP="00F27873">
      <w:pPr>
        <w:pStyle w:val="ChartandTableFootnote"/>
        <w:rPr>
          <w:color w:val="auto"/>
        </w:rPr>
      </w:pPr>
      <w:r w:rsidRPr="00D9533C">
        <w:rPr>
          <w:color w:val="auto"/>
        </w:rPr>
        <w:t xml:space="preserve">Note: </w:t>
      </w:r>
      <w:r w:rsidRPr="00D9533C">
        <w:rPr>
          <w:color w:val="auto"/>
        </w:rPr>
        <w:tab/>
        <w:t>The</w:t>
      </w:r>
      <w:r w:rsidRPr="00D9533C" w:rsidDel="00DC514F">
        <w:rPr>
          <w:color w:val="auto"/>
        </w:rPr>
        <w:t xml:space="preserve"> </w:t>
      </w:r>
      <w:r w:rsidRPr="00D9533C">
        <w:rPr>
          <w:color w:val="auto"/>
        </w:rPr>
        <w:t>line shows the outcomes and the 2022</w:t>
      </w:r>
      <w:r w:rsidR="00BC5B04" w:rsidRPr="00D9533C">
        <w:rPr>
          <w:color w:val="auto"/>
        </w:rPr>
        <w:t>–</w:t>
      </w:r>
      <w:r w:rsidRPr="00D9533C">
        <w:rPr>
          <w:color w:val="auto"/>
        </w:rPr>
        <w:t xml:space="preserve">23 Budget forecasts. Annual growth rates are reported for the outcomes. Average annualised growth rates from </w:t>
      </w:r>
      <w:r w:rsidR="00D956F1" w:rsidRPr="00D9533C">
        <w:rPr>
          <w:color w:val="auto"/>
        </w:rPr>
        <w:t>2021</w:t>
      </w:r>
      <w:r w:rsidR="00BC5B04" w:rsidRPr="00D9533C">
        <w:rPr>
          <w:color w:val="auto"/>
        </w:rPr>
        <w:t>–</w:t>
      </w:r>
      <w:r w:rsidR="00D956F1" w:rsidRPr="00D9533C">
        <w:rPr>
          <w:color w:val="auto"/>
        </w:rPr>
        <w:t>22</w:t>
      </w:r>
      <w:r w:rsidRPr="00D9533C">
        <w:rPr>
          <w:color w:val="auto"/>
        </w:rPr>
        <w:t xml:space="preserve"> </w:t>
      </w:r>
      <w:proofErr w:type="gramStart"/>
      <w:r w:rsidRPr="00D9533C">
        <w:rPr>
          <w:color w:val="auto"/>
        </w:rPr>
        <w:t>are</w:t>
      </w:r>
      <w:proofErr w:type="gramEnd"/>
      <w:r w:rsidRPr="00D9533C">
        <w:rPr>
          <w:color w:val="auto"/>
        </w:rPr>
        <w:t xml:space="preserve"> reported for </w:t>
      </w:r>
      <w:r w:rsidR="00326501" w:rsidRPr="00D9533C">
        <w:rPr>
          <w:color w:val="auto"/>
        </w:rPr>
        <w:t>2022</w:t>
      </w:r>
      <w:r w:rsidR="00BC5B04" w:rsidRPr="00D9533C">
        <w:rPr>
          <w:color w:val="auto"/>
        </w:rPr>
        <w:t>–</w:t>
      </w:r>
      <w:r w:rsidR="00326501" w:rsidRPr="00D9533C">
        <w:rPr>
          <w:color w:val="auto"/>
        </w:rPr>
        <w:t>23</w:t>
      </w:r>
      <w:r w:rsidRPr="00D9533C">
        <w:rPr>
          <w:color w:val="auto"/>
        </w:rPr>
        <w:t xml:space="preserve"> onwards. Confidence intervals are based on the root mean squared errors (RMSEs) of </w:t>
      </w:r>
      <w:r w:rsidR="05764C8C" w:rsidRPr="00D9533C">
        <w:rPr>
          <w:color w:val="auto"/>
        </w:rPr>
        <w:t>MYEFO</w:t>
      </w:r>
      <w:r w:rsidRPr="00D9533C">
        <w:rPr>
          <w:color w:val="auto"/>
        </w:rPr>
        <w:t xml:space="preserve"> forecasts from 1998</w:t>
      </w:r>
      <w:r w:rsidR="00BC5B04" w:rsidRPr="00D9533C">
        <w:rPr>
          <w:color w:val="auto"/>
        </w:rPr>
        <w:t>–</w:t>
      </w:r>
      <w:r w:rsidRPr="00D9533C">
        <w:rPr>
          <w:color w:val="auto"/>
        </w:rPr>
        <w:t xml:space="preserve">99 onwards. </w:t>
      </w:r>
      <w:r w:rsidR="00010983" w:rsidRPr="00D9533C">
        <w:rPr>
          <w:color w:val="auto"/>
        </w:rPr>
        <w:t>R</w:t>
      </w:r>
      <w:r w:rsidR="00B367C2" w:rsidRPr="00D9533C">
        <w:rPr>
          <w:color w:val="auto"/>
        </w:rPr>
        <w:t>MSE</w:t>
      </w:r>
      <w:r w:rsidR="000239CB" w:rsidRPr="00D9533C">
        <w:rPr>
          <w:color w:val="auto"/>
        </w:rPr>
        <w:t>s</w:t>
      </w:r>
      <w:r w:rsidR="00B367C2" w:rsidRPr="00D9533C">
        <w:rPr>
          <w:color w:val="auto"/>
        </w:rPr>
        <w:t xml:space="preserve"> are constructed </w:t>
      </w:r>
      <w:r w:rsidR="003B70D6" w:rsidRPr="00D9533C">
        <w:rPr>
          <w:color w:val="auto"/>
        </w:rPr>
        <w:t xml:space="preserve">using MYEFO forecasts </w:t>
      </w:r>
      <w:r w:rsidR="00C271E5" w:rsidRPr="00D9533C">
        <w:rPr>
          <w:color w:val="auto"/>
        </w:rPr>
        <w:t>to be consistent with the timin</w:t>
      </w:r>
      <w:r w:rsidR="007D3D13" w:rsidRPr="00D9533C">
        <w:rPr>
          <w:color w:val="auto"/>
        </w:rPr>
        <w:t xml:space="preserve">g of an October </w:t>
      </w:r>
      <w:r w:rsidR="00CA06CA" w:rsidRPr="00D9533C">
        <w:rPr>
          <w:color w:val="auto"/>
        </w:rPr>
        <w:t xml:space="preserve">Budget. </w:t>
      </w:r>
      <w:r w:rsidR="003756DC" w:rsidRPr="00D9533C">
        <w:rPr>
          <w:color w:val="auto"/>
        </w:rPr>
        <w:t>(f) are forecasts.</w:t>
      </w:r>
    </w:p>
    <w:p w14:paraId="6DC5F057" w14:textId="4AB62DA4" w:rsidR="00FC0A61" w:rsidRPr="00D9533C" w:rsidRDefault="00FC0A61" w:rsidP="00F27873">
      <w:pPr>
        <w:pStyle w:val="ChartandTableFootnote"/>
        <w:rPr>
          <w:color w:val="auto"/>
        </w:rPr>
      </w:pPr>
      <w:r w:rsidRPr="00D9533C">
        <w:rPr>
          <w:color w:val="auto"/>
        </w:rPr>
        <w:t>Source:</w:t>
      </w:r>
      <w:r w:rsidRPr="00D9533C">
        <w:rPr>
          <w:color w:val="auto"/>
        </w:rPr>
        <w:tab/>
      </w:r>
      <w:r w:rsidRPr="00D9533C">
        <w:rPr>
          <w:color w:val="auto"/>
        </w:rPr>
        <w:tab/>
        <w:t>ABS Australian National Accounts: National Income, Expenditure and Product, Budget papers and Treasury.</w:t>
      </w:r>
    </w:p>
    <w:p w14:paraId="3F726416" w14:textId="77777777" w:rsidR="00472228" w:rsidRPr="00D9533C" w:rsidRDefault="00472228" w:rsidP="00472228">
      <w:pPr>
        <w:pStyle w:val="ChartLine"/>
      </w:pPr>
    </w:p>
    <w:p w14:paraId="688D604D" w14:textId="6169708E" w:rsidR="00355132" w:rsidRPr="00D9533C" w:rsidRDefault="009A5351" w:rsidP="00F27873">
      <w:r w:rsidRPr="00D9533C">
        <w:t xml:space="preserve">The confidence intervals around the nominal GDP forecasts are wider than those around the real GDP forecasts, reflecting the </w:t>
      </w:r>
      <w:r w:rsidR="006B7BC3" w:rsidRPr="00D9533C">
        <w:t xml:space="preserve">additional </w:t>
      </w:r>
      <w:r w:rsidRPr="00D9533C">
        <w:t>uncertainty around domestic prices and commodity prices</w:t>
      </w:r>
      <w:r w:rsidR="00501973" w:rsidRPr="00D9533C">
        <w:t xml:space="preserve"> (Chart 8.</w:t>
      </w:r>
      <w:r w:rsidR="00FB397B" w:rsidRPr="00D9533C">
        <w:t>9</w:t>
      </w:r>
      <w:r w:rsidR="00501973" w:rsidRPr="00D9533C">
        <w:t>)</w:t>
      </w:r>
      <w:r w:rsidRPr="00D9533C">
        <w:t xml:space="preserve">. </w:t>
      </w:r>
      <w:r w:rsidR="00355132" w:rsidRPr="00D9533C">
        <w:t>Average annualised growth in nominal GDP in the 2 years to</w:t>
      </w:r>
      <w:r w:rsidR="003D2C41" w:rsidRPr="00D9533C">
        <w:t> </w:t>
      </w:r>
      <w:r w:rsidR="00355132" w:rsidRPr="00D9533C">
        <w:t>2023</w:t>
      </w:r>
      <w:r w:rsidR="003D2C41" w:rsidRPr="00D9533C">
        <w:rPr>
          <w:rFonts w:ascii="Times New Roman" w:hAnsi="Times New Roman"/>
        </w:rPr>
        <w:t>–</w:t>
      </w:r>
      <w:r w:rsidR="00355132" w:rsidRPr="00D9533C">
        <w:t>24 is expected to be around 3</w:t>
      </w:r>
      <w:r w:rsidR="00355132" w:rsidRPr="00D9533C">
        <w:rPr>
          <w:rFonts w:ascii="Book Antiqua" w:hAnsi="Book Antiqua" w:cs="Book Antiqua"/>
        </w:rPr>
        <w:t>½</w:t>
      </w:r>
      <w:r w:rsidR="00C56271" w:rsidRPr="00D9533C">
        <w:t> </w:t>
      </w:r>
      <w:r w:rsidR="00355132" w:rsidRPr="00D9533C">
        <w:t>per</w:t>
      </w:r>
      <w:r w:rsidR="00C56271" w:rsidRPr="00D9533C">
        <w:t> </w:t>
      </w:r>
      <w:r w:rsidR="00355132" w:rsidRPr="00D9533C">
        <w:t>cent, with the 70</w:t>
      </w:r>
      <w:r w:rsidR="00C56271" w:rsidRPr="00D9533C">
        <w:t> </w:t>
      </w:r>
      <w:r w:rsidR="00355132" w:rsidRPr="00D9533C">
        <w:t>per</w:t>
      </w:r>
      <w:r w:rsidR="00C56271" w:rsidRPr="00D9533C">
        <w:t> </w:t>
      </w:r>
      <w:r w:rsidR="00355132" w:rsidRPr="00D9533C">
        <w:t>cent confidence interval ranging from 1½</w:t>
      </w:r>
      <w:r w:rsidR="00C56271" w:rsidRPr="00D9533C">
        <w:t> </w:t>
      </w:r>
      <w:r w:rsidR="00355132" w:rsidRPr="00D9533C">
        <w:t>per</w:t>
      </w:r>
      <w:r w:rsidR="00C56271" w:rsidRPr="00D9533C">
        <w:t> </w:t>
      </w:r>
      <w:r w:rsidR="00355132" w:rsidRPr="00D9533C">
        <w:t>cent to 5½</w:t>
      </w:r>
      <w:r w:rsidR="00C56271" w:rsidRPr="00D9533C">
        <w:t> </w:t>
      </w:r>
      <w:r w:rsidR="00355132" w:rsidRPr="00D9533C">
        <w:t>per</w:t>
      </w:r>
      <w:r w:rsidR="00C56271" w:rsidRPr="00D9533C">
        <w:t> </w:t>
      </w:r>
      <w:r w:rsidR="00355132" w:rsidRPr="00D9533C">
        <w:t>cent. The 90</w:t>
      </w:r>
      <w:r w:rsidR="00C56271" w:rsidRPr="00D9533C">
        <w:t> </w:t>
      </w:r>
      <w:r w:rsidR="00355132" w:rsidRPr="00D9533C">
        <w:t>per</w:t>
      </w:r>
      <w:r w:rsidR="00C56271" w:rsidRPr="00D9533C">
        <w:t> </w:t>
      </w:r>
      <w:r w:rsidR="00355132" w:rsidRPr="00D9533C">
        <w:t>cent confidence interval ranges from ½</w:t>
      </w:r>
      <w:r w:rsidR="00C56271" w:rsidRPr="00D9533C">
        <w:t> </w:t>
      </w:r>
      <w:r w:rsidR="00355132" w:rsidRPr="00D9533C">
        <w:t>per</w:t>
      </w:r>
      <w:r w:rsidR="00C56271" w:rsidRPr="00D9533C">
        <w:t> </w:t>
      </w:r>
      <w:r w:rsidR="00355132" w:rsidRPr="00D9533C">
        <w:t>cent to 6½</w:t>
      </w:r>
      <w:r w:rsidR="00C56271" w:rsidRPr="00D9533C">
        <w:t> </w:t>
      </w:r>
      <w:r w:rsidR="00355132" w:rsidRPr="00D9533C">
        <w:t>per</w:t>
      </w:r>
      <w:r w:rsidR="00C56271" w:rsidRPr="00D9533C">
        <w:t> </w:t>
      </w:r>
      <w:r w:rsidR="00355132" w:rsidRPr="00D9533C">
        <w:t>cent.</w:t>
      </w:r>
    </w:p>
    <w:p w14:paraId="32B1E20F" w14:textId="77777777" w:rsidR="0024501D" w:rsidRPr="003F0DC4" w:rsidRDefault="0024501D" w:rsidP="003F0DC4">
      <w:r w:rsidRPr="00D9533C">
        <w:br w:type="page"/>
      </w:r>
    </w:p>
    <w:p w14:paraId="32995712" w14:textId="1942CCA7" w:rsidR="00FC0A61" w:rsidRPr="00D9533C" w:rsidRDefault="005578DF" w:rsidP="003F0DC4">
      <w:pPr>
        <w:pStyle w:val="ChartHeading"/>
      </w:pPr>
      <w:r w:rsidRPr="00D9533C">
        <w:lastRenderedPageBreak/>
        <w:t>Chart 8</w:t>
      </w:r>
      <w:r w:rsidR="00FC0A61" w:rsidRPr="00D9533C">
        <w:t>.</w:t>
      </w:r>
      <w:r w:rsidR="00FB397B" w:rsidRPr="00D9533C">
        <w:t>9</w:t>
      </w:r>
      <w:r w:rsidR="00FC0A61" w:rsidRPr="00D9533C">
        <w:t xml:space="preserve">: Confidence intervals around nominal GDP growth rate forecasts </w:t>
      </w:r>
    </w:p>
    <w:p w14:paraId="3FAE10AD" w14:textId="692CBFC4" w:rsidR="00FC0A61" w:rsidRPr="00D9533C" w:rsidRDefault="001E63CE" w:rsidP="001E63CE">
      <w:pPr>
        <w:pStyle w:val="ChartGraphic"/>
        <w:spacing w:before="120" w:after="120"/>
      </w:pPr>
      <w:bookmarkStart w:id="27" w:name="_1709800919"/>
      <w:bookmarkEnd w:id="27"/>
      <w:r w:rsidRPr="00D9533C">
        <w:rPr>
          <w:noProof/>
        </w:rPr>
        <w:drawing>
          <wp:inline distT="0" distB="0" distL="0" distR="0" wp14:anchorId="74C5AC60" wp14:editId="08E82CCA">
            <wp:extent cx="4886325" cy="2642525"/>
            <wp:effectExtent l="0" t="0" r="0" b="5715"/>
            <wp:docPr id="2" name="Picture 2" descr="This chart shows the confidence intervals around the Budget forecast for average annualised nominal GDP growth. The Budget forecast for average annualised nominal GDP growth in the two years to 2023-24 is expected to be around 3 1/2 per cent, with the 70 per cent confidence interval ranging from 1 1/2 per cent  to 5 1/2  per cent, and the 90 per cent confidence interval ranging from 1/2 per cent to 6 1/2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s chart shows the confidence intervals around the Budget forecast for average annualised nominal GDP growth. The Budget forecast for average annualised nominal GDP growth in the two years to 2023-24 is expected to be around 3 1/2 per cent, with the 70 per cent confidence interval ranging from 1 1/2 per cent  to 5 1/2  per cent, and the 90 per cent confidence interval ranging from 1/2 per cent to 6 1/2 per c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96838" cy="2648211"/>
                    </a:xfrm>
                    <a:prstGeom prst="rect">
                      <a:avLst/>
                    </a:prstGeom>
                  </pic:spPr>
                </pic:pic>
              </a:graphicData>
            </a:graphic>
          </wp:inline>
        </w:drawing>
      </w:r>
    </w:p>
    <w:p w14:paraId="13C28D19" w14:textId="708CDE5C" w:rsidR="00FC0A61" w:rsidRPr="00D9533C" w:rsidRDefault="00FC0A61" w:rsidP="00FC0A61">
      <w:pPr>
        <w:pStyle w:val="ChartandTableFootnote"/>
        <w:rPr>
          <w:color w:val="auto"/>
        </w:rPr>
      </w:pPr>
      <w:r w:rsidRPr="00D9533C">
        <w:rPr>
          <w:color w:val="auto"/>
        </w:rPr>
        <w:t xml:space="preserve">Note: </w:t>
      </w:r>
      <w:r w:rsidRPr="00D9533C">
        <w:rPr>
          <w:color w:val="auto"/>
        </w:rPr>
        <w:tab/>
        <w:t xml:space="preserve">See note to </w:t>
      </w:r>
      <w:r w:rsidR="005578DF" w:rsidRPr="00D9533C">
        <w:rPr>
          <w:color w:val="auto"/>
        </w:rPr>
        <w:t>Chart 8</w:t>
      </w:r>
      <w:r w:rsidRPr="00D9533C">
        <w:rPr>
          <w:color w:val="auto"/>
        </w:rPr>
        <w:t>.</w:t>
      </w:r>
      <w:r w:rsidR="009C08BB" w:rsidRPr="00D9533C">
        <w:rPr>
          <w:color w:val="auto"/>
        </w:rPr>
        <w:t>8</w:t>
      </w:r>
      <w:r w:rsidRPr="00D9533C">
        <w:rPr>
          <w:color w:val="auto"/>
        </w:rPr>
        <w:t>.</w:t>
      </w:r>
    </w:p>
    <w:p w14:paraId="46D3082F" w14:textId="40AB75B8" w:rsidR="00FA730B" w:rsidRPr="00D9533C" w:rsidRDefault="00FC0A61" w:rsidP="00FA730B">
      <w:pPr>
        <w:pStyle w:val="ChartandTableFootnote"/>
        <w:rPr>
          <w:color w:val="auto"/>
        </w:rPr>
      </w:pPr>
      <w:r w:rsidRPr="00D9533C">
        <w:rPr>
          <w:color w:val="auto"/>
        </w:rPr>
        <w:t xml:space="preserve">Source: </w:t>
      </w:r>
      <w:r w:rsidRPr="00D9533C">
        <w:rPr>
          <w:color w:val="auto"/>
        </w:rPr>
        <w:tab/>
        <w:t>ABS Australian National Accounts: National Income, Expenditure and Product, Budget papers and Treasury.</w:t>
      </w:r>
      <w:r w:rsidR="00CC435E" w:rsidRPr="00D9533C">
        <w:rPr>
          <w:color w:val="auto"/>
        </w:rPr>
        <w:t xml:space="preserve"> </w:t>
      </w:r>
    </w:p>
    <w:p w14:paraId="29ABC02A" w14:textId="7E436633" w:rsidR="00FC0A61" w:rsidRPr="00C35C2D" w:rsidRDefault="00FC0A61" w:rsidP="00FA730B">
      <w:pPr>
        <w:pStyle w:val="ChartLine"/>
      </w:pPr>
    </w:p>
    <w:p w14:paraId="3CF7DB0F" w14:textId="03FF8FFC" w:rsidR="00FC0A61" w:rsidRPr="00D9533C" w:rsidRDefault="00FC0A61" w:rsidP="00FC0A61">
      <w:pPr>
        <w:pStyle w:val="Heading3"/>
      </w:pPr>
      <w:bookmarkStart w:id="28" w:name="_Toc449783849"/>
      <w:bookmarkStart w:id="29" w:name="_Toc3880938"/>
      <w:bookmarkStart w:id="30" w:name="_Toc3881104"/>
      <w:bookmarkStart w:id="31" w:name="_Toc3881281"/>
      <w:bookmarkStart w:id="32" w:name="_Toc52642838"/>
      <w:bookmarkStart w:id="33" w:name="_Toc99026275"/>
      <w:bookmarkStart w:id="34" w:name="_Toc116037830"/>
      <w:bookmarkStart w:id="35" w:name="_Toc116037700"/>
      <w:bookmarkStart w:id="36" w:name="_Toc116040762"/>
      <w:r w:rsidRPr="00D9533C">
        <w:t xml:space="preserve">Fiscal </w:t>
      </w:r>
      <w:bookmarkEnd w:id="28"/>
      <w:bookmarkEnd w:id="29"/>
      <w:bookmarkEnd w:id="30"/>
      <w:bookmarkEnd w:id="31"/>
      <w:bookmarkEnd w:id="32"/>
      <w:r w:rsidRPr="00D9533C">
        <w:t>uncertainty based on historical forecast errors</w:t>
      </w:r>
      <w:bookmarkEnd w:id="33"/>
      <w:bookmarkEnd w:id="34"/>
      <w:bookmarkEnd w:id="35"/>
      <w:bookmarkEnd w:id="36"/>
    </w:p>
    <w:p w14:paraId="1A39FE79" w14:textId="3FC39DC3" w:rsidR="007B2964" w:rsidRPr="00D9533C" w:rsidRDefault="00432D15" w:rsidP="007B2964">
      <w:r w:rsidRPr="00D9533C">
        <w:t xml:space="preserve">Fiscal </w:t>
      </w:r>
      <w:r w:rsidR="006C0F14" w:rsidRPr="00D9533C">
        <w:t xml:space="preserve">estimates </w:t>
      </w:r>
      <w:r w:rsidRPr="00D9533C">
        <w:t>are based on</w:t>
      </w:r>
      <w:r w:rsidR="004E7BCE" w:rsidRPr="00D9533C">
        <w:t>, and sen</w:t>
      </w:r>
      <w:r w:rsidR="002E15A5" w:rsidRPr="00D9533C">
        <w:t>sitive to,</w:t>
      </w:r>
      <w:r w:rsidRPr="00D9533C">
        <w:t xml:space="preserve"> economic and demographic forecasts as well as estimates of the impact of spending and revenue measures. </w:t>
      </w:r>
      <w:r w:rsidR="007B2964" w:rsidRPr="00D9533C">
        <w:t>Historical variations caused by subsequent policy decisions not known at the time of forecast preparation are excluded</w:t>
      </w:r>
      <w:r w:rsidR="00BD6593" w:rsidRPr="00D9533C">
        <w:t xml:space="preserve"> as these do not relate to the forecasting errors presented in this section</w:t>
      </w:r>
      <w:r w:rsidR="007B2964" w:rsidRPr="00D9533C">
        <w:t>.</w:t>
      </w:r>
      <w:r w:rsidR="00FE2F0D" w:rsidRPr="00D9533C">
        <w:t xml:space="preserve"> </w:t>
      </w:r>
      <w:r w:rsidR="007B2964" w:rsidRPr="00D9533C">
        <w:t xml:space="preserve">Payments estimates do not exclude the public debt interest </w:t>
      </w:r>
      <w:r w:rsidR="00144BFC" w:rsidRPr="00D9533C">
        <w:t xml:space="preserve">associated with </w:t>
      </w:r>
      <w:r w:rsidR="007B2964" w:rsidRPr="00D9533C">
        <w:t xml:space="preserve">these subsequent policy decisions as these are not able to be </w:t>
      </w:r>
      <w:r w:rsidR="00E25344" w:rsidRPr="00D9533C">
        <w:t>separately identified</w:t>
      </w:r>
      <w:r w:rsidR="007B2964" w:rsidRPr="00D9533C">
        <w:t>.</w:t>
      </w:r>
    </w:p>
    <w:p w14:paraId="3352ABAA" w14:textId="0B80A4E1" w:rsidR="00FC0A61" w:rsidRPr="00D9533C" w:rsidRDefault="00FC0A61" w:rsidP="00803C56">
      <w:pPr>
        <w:pStyle w:val="Heading4"/>
        <w:keepNext w:val="0"/>
      </w:pPr>
      <w:r w:rsidRPr="00D9533C">
        <w:t>Total receipts</w:t>
      </w:r>
    </w:p>
    <w:p w14:paraId="0F5002DD" w14:textId="08996BFB" w:rsidR="00FC0A61" w:rsidRPr="00D9533C" w:rsidRDefault="00150FB8" w:rsidP="004240E7">
      <w:r w:rsidRPr="00D9533C">
        <w:t>Total receipts (excluding GST</w:t>
      </w:r>
      <w:r w:rsidR="004534E7" w:rsidRPr="00D9533C">
        <w:rPr>
          <w:rStyle w:val="FootnoteReference"/>
        </w:rPr>
        <w:footnoteReference w:id="4"/>
      </w:r>
      <w:r w:rsidRPr="00D9533C">
        <w:t>) are expected to be around</w:t>
      </w:r>
      <w:r w:rsidRPr="00D9533C" w:rsidDel="00001CB0">
        <w:t xml:space="preserve"> </w:t>
      </w:r>
      <w:r w:rsidR="00001CB0" w:rsidRPr="00D9533C">
        <w:t>21.1</w:t>
      </w:r>
      <w:r w:rsidR="00C56271" w:rsidRPr="00D9533C">
        <w:t> </w:t>
      </w:r>
      <w:r w:rsidRPr="00D9533C">
        <w:t>per</w:t>
      </w:r>
      <w:r w:rsidR="00C56271" w:rsidRPr="00D9533C">
        <w:t> </w:t>
      </w:r>
      <w:r w:rsidRPr="00D9533C">
        <w:t>cent of GDP in 2022</w:t>
      </w:r>
      <w:r w:rsidR="00BC5B04" w:rsidRPr="00D9533C">
        <w:t>–</w:t>
      </w:r>
      <w:r w:rsidRPr="00D9533C">
        <w:t xml:space="preserve">23, with the 70 per cent confidence interval ranging from </w:t>
      </w:r>
      <w:r w:rsidR="00BD65F0" w:rsidRPr="00D9533C">
        <w:t>20.</w:t>
      </w:r>
      <w:r w:rsidR="00F87BAA" w:rsidRPr="00D9533C">
        <w:t>3</w:t>
      </w:r>
      <w:r w:rsidR="00BD65F0" w:rsidRPr="00D9533C">
        <w:t> </w:t>
      </w:r>
      <w:r w:rsidRPr="00D9533C">
        <w:t xml:space="preserve">per cent to </w:t>
      </w:r>
      <w:r w:rsidR="003046DB" w:rsidRPr="00D9533C">
        <w:t>2</w:t>
      </w:r>
      <w:r w:rsidR="00B277C0" w:rsidRPr="00D9533C">
        <w:t>2.0</w:t>
      </w:r>
      <w:r w:rsidR="00BD65F0" w:rsidRPr="00D9533C">
        <w:t> </w:t>
      </w:r>
      <w:r w:rsidRPr="00D9533C">
        <w:t xml:space="preserve">per cent of GDP. The 90 per cent confidence interval ranges from </w:t>
      </w:r>
      <w:r w:rsidR="003A395F" w:rsidRPr="00D9533C">
        <w:t>19.</w:t>
      </w:r>
      <w:r w:rsidR="00B277C0" w:rsidRPr="00D9533C">
        <w:t>8</w:t>
      </w:r>
      <w:r w:rsidR="003A395F" w:rsidRPr="00D9533C">
        <w:t> </w:t>
      </w:r>
      <w:r w:rsidRPr="00D9533C">
        <w:t xml:space="preserve">per cent to </w:t>
      </w:r>
      <w:r w:rsidR="003A395F" w:rsidRPr="00D9533C">
        <w:t>22.5 </w:t>
      </w:r>
      <w:r w:rsidRPr="00D9533C">
        <w:t xml:space="preserve">per cent. </w:t>
      </w:r>
      <w:r w:rsidR="00FF45C3" w:rsidRPr="00D9533C">
        <w:t>The</w:t>
      </w:r>
      <w:r w:rsidR="00FF45C3" w:rsidRPr="00D9533C" w:rsidDel="00A00AE8">
        <w:t xml:space="preserve"> </w:t>
      </w:r>
      <w:r w:rsidR="00FF45C3" w:rsidRPr="00D9533C">
        <w:t>uncertainty around receipts (excluding GST) increase</w:t>
      </w:r>
      <w:r w:rsidR="006C6F62" w:rsidRPr="00D9533C">
        <w:t>s</w:t>
      </w:r>
      <w:r w:rsidR="00FF45C3" w:rsidRPr="00D9533C">
        <w:t xml:space="preserve"> as the forecast </w:t>
      </w:r>
      <w:r w:rsidR="00A00AE8" w:rsidRPr="00D9533C">
        <w:t xml:space="preserve">time </w:t>
      </w:r>
      <w:r w:rsidR="00FF45C3" w:rsidRPr="00D9533C">
        <w:t>horizon lengthens (Chart 8.</w:t>
      </w:r>
      <w:r w:rsidR="002A0818" w:rsidRPr="00D9533C">
        <w:t>10</w:t>
      </w:r>
      <w:r w:rsidR="00FF45C3" w:rsidRPr="00D9533C">
        <w:t>)</w:t>
      </w:r>
      <w:r w:rsidR="00EC6E63" w:rsidRPr="00D9533C">
        <w:t xml:space="preserve">. </w:t>
      </w:r>
    </w:p>
    <w:p w14:paraId="0036CF3C" w14:textId="77777777" w:rsidR="00A55A0F" w:rsidRPr="003F0DC4" w:rsidRDefault="00A55A0F" w:rsidP="003F0DC4">
      <w:r w:rsidRPr="00D9533C">
        <w:br w:type="page"/>
      </w:r>
    </w:p>
    <w:p w14:paraId="0B8A95A8" w14:textId="19B0EDFC" w:rsidR="00FC0A61" w:rsidRPr="00D9533C" w:rsidRDefault="005578DF" w:rsidP="003F0DC4">
      <w:pPr>
        <w:pStyle w:val="ChartHeading"/>
        <w:rPr>
          <w:vertAlign w:val="superscript"/>
        </w:rPr>
      </w:pPr>
      <w:r w:rsidRPr="00D9533C">
        <w:lastRenderedPageBreak/>
        <w:t>Chart 8</w:t>
      </w:r>
      <w:r w:rsidR="00FC0A61" w:rsidRPr="00D9533C">
        <w:t>.</w:t>
      </w:r>
      <w:r w:rsidR="002A0818" w:rsidRPr="00D9533C">
        <w:t>10</w:t>
      </w:r>
      <w:r w:rsidR="00FC0A61" w:rsidRPr="00D9533C">
        <w:t xml:space="preserve">: Confidence </w:t>
      </w:r>
      <w:r w:rsidR="00FC0A61" w:rsidRPr="003F0DC4">
        <w:t>intervals</w:t>
      </w:r>
      <w:r w:rsidR="00FC0A61" w:rsidRPr="00D9533C">
        <w:t xml:space="preserve"> around total receipts forecasts</w:t>
      </w:r>
      <w:r w:rsidR="00FC0A61" w:rsidRPr="00D9533C">
        <w:rPr>
          <w:vertAlign w:val="superscript"/>
        </w:rPr>
        <w:t>(</w:t>
      </w:r>
      <w:r w:rsidR="00FA029F">
        <w:rPr>
          <w:vertAlign w:val="superscript"/>
        </w:rPr>
        <w:t>a</w:t>
      </w:r>
      <w:r w:rsidR="00FC0A61" w:rsidRPr="00D9533C">
        <w:rPr>
          <w:vertAlign w:val="superscript"/>
        </w:rPr>
        <w:t>)</w:t>
      </w:r>
    </w:p>
    <w:p w14:paraId="5E9BF870" w14:textId="3BA753C9" w:rsidR="00FC0A61" w:rsidRPr="00D9533C" w:rsidRDefault="00A55A0F" w:rsidP="00A55A0F">
      <w:pPr>
        <w:pStyle w:val="ChartGraphic"/>
        <w:spacing w:before="120" w:after="120"/>
      </w:pPr>
      <w:bookmarkStart w:id="37" w:name="_1709801136"/>
      <w:bookmarkEnd w:id="37"/>
      <w:r w:rsidRPr="00D9533C">
        <w:rPr>
          <w:noProof/>
        </w:rPr>
        <w:drawing>
          <wp:inline distT="0" distB="0" distL="0" distR="0" wp14:anchorId="1D462854" wp14:editId="3C8E1D9E">
            <wp:extent cx="4873625" cy="3131363"/>
            <wp:effectExtent l="0" t="0" r="3175" b="0"/>
            <wp:docPr id="3" name="Picture 3" descr="This chart shows confidence intervals around the 2022-23 October Budget forecast for receipts (excluding GST) as a percentage of GDP. Total receipts (excluding GST ) are expected to be around 21.1 per cent of GDP in 2022–23, with the 70 per cent confidence interval ranging from 20.3 per cent to 22.0 per cent of GDP. The 90 per cent confidence interval ranges from 19.8 per cent to 22.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is chart shows confidence intervals around the 2022-23 October Budget forecast for receipts (excluding GST) as a percentage of GDP. Total receipts (excluding GST ) are expected to be around 21.1 per cent of GDP in 2022–23, with the 70 per cent confidence interval ranging from 20.3 per cent to 22.0 per cent of GDP. The 90 per cent confidence interval ranges from 19.8 per cent to 22.5 per c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0447" cy="3135746"/>
                    </a:xfrm>
                    <a:prstGeom prst="rect">
                      <a:avLst/>
                    </a:prstGeom>
                  </pic:spPr>
                </pic:pic>
              </a:graphicData>
            </a:graphic>
          </wp:inline>
        </w:drawing>
      </w:r>
    </w:p>
    <w:p w14:paraId="2096D98D" w14:textId="77777777" w:rsidR="00FC0A61" w:rsidRPr="00D9533C" w:rsidRDefault="00FC0A61" w:rsidP="00FC0A61">
      <w:pPr>
        <w:pStyle w:val="ChartandTableFootnoteAlpha"/>
        <w:numPr>
          <w:ilvl w:val="0"/>
          <w:numId w:val="9"/>
        </w:numPr>
        <w:tabs>
          <w:tab w:val="num" w:pos="284"/>
        </w:tabs>
        <w:spacing w:before="0"/>
        <w:ind w:left="284" w:hanging="284"/>
        <w:jc w:val="both"/>
        <w:rPr>
          <w:color w:val="auto"/>
        </w:rPr>
      </w:pPr>
      <w:r w:rsidRPr="00D9533C">
        <w:rPr>
          <w:color w:val="auto"/>
        </w:rPr>
        <w:t>Excludes GST and includes Future Fund earnings.</w:t>
      </w:r>
    </w:p>
    <w:p w14:paraId="5624A92C" w14:textId="26BD1709" w:rsidR="00FC0A61" w:rsidRPr="00D9533C" w:rsidRDefault="00FC0A61" w:rsidP="00F27873">
      <w:pPr>
        <w:pStyle w:val="ChartandTableFootnote"/>
        <w:ind w:right="57"/>
        <w:rPr>
          <w:color w:val="auto"/>
        </w:rPr>
      </w:pPr>
      <w:r w:rsidRPr="00D9533C">
        <w:rPr>
          <w:color w:val="auto"/>
        </w:rPr>
        <w:t xml:space="preserve">Note: </w:t>
      </w:r>
      <w:r w:rsidRPr="00D9533C">
        <w:rPr>
          <w:color w:val="auto"/>
        </w:rPr>
        <w:tab/>
        <w:t>The line shows the outcomes and the 2022</w:t>
      </w:r>
      <w:r w:rsidR="00BC5B04" w:rsidRPr="00D9533C">
        <w:rPr>
          <w:color w:val="auto"/>
        </w:rPr>
        <w:t>–</w:t>
      </w:r>
      <w:r w:rsidRPr="00D9533C">
        <w:rPr>
          <w:color w:val="auto"/>
        </w:rPr>
        <w:t xml:space="preserve">23 Budget forecasts. Confidence intervals use RMSEs for </w:t>
      </w:r>
      <w:r w:rsidR="00715BA1" w:rsidRPr="00D9533C">
        <w:rPr>
          <w:color w:val="auto"/>
        </w:rPr>
        <w:t>MYEFO</w:t>
      </w:r>
      <w:r w:rsidRPr="00D9533C">
        <w:rPr>
          <w:color w:val="auto"/>
        </w:rPr>
        <w:t xml:space="preserve"> forecasts from the 1998</w:t>
      </w:r>
      <w:r w:rsidR="00BC5B04" w:rsidRPr="00D9533C">
        <w:rPr>
          <w:color w:val="auto"/>
        </w:rPr>
        <w:t>–</w:t>
      </w:r>
      <w:r w:rsidRPr="00D9533C">
        <w:rPr>
          <w:color w:val="auto"/>
        </w:rPr>
        <w:t xml:space="preserve">99 Budget onwards. </w:t>
      </w:r>
      <w:r w:rsidR="004B4159" w:rsidRPr="00D9533C">
        <w:rPr>
          <w:color w:val="auto"/>
        </w:rPr>
        <w:t>RMSE</w:t>
      </w:r>
      <w:r w:rsidR="000239CB" w:rsidRPr="00D9533C">
        <w:rPr>
          <w:color w:val="auto"/>
        </w:rPr>
        <w:t>s</w:t>
      </w:r>
      <w:r w:rsidR="004B4159" w:rsidRPr="00D9533C">
        <w:rPr>
          <w:color w:val="auto"/>
        </w:rPr>
        <w:t xml:space="preserve"> are constructed using MYEFO forecasts to be consistent with the timing of an October Budget. </w:t>
      </w:r>
      <w:r w:rsidRPr="00D9533C">
        <w:rPr>
          <w:color w:val="auto"/>
        </w:rPr>
        <w:t>(f) are forecasts.</w:t>
      </w:r>
      <w:r w:rsidR="004B4159" w:rsidRPr="00D9533C">
        <w:rPr>
          <w:color w:val="auto"/>
        </w:rPr>
        <w:t xml:space="preserve"> </w:t>
      </w:r>
    </w:p>
    <w:p w14:paraId="577AEA9A" w14:textId="77777777" w:rsidR="00FC0A61" w:rsidRPr="00D9533C" w:rsidRDefault="00FC0A61" w:rsidP="00F27873">
      <w:pPr>
        <w:pStyle w:val="ChartandTableFootnote"/>
        <w:rPr>
          <w:color w:val="auto"/>
        </w:rPr>
      </w:pPr>
      <w:r w:rsidRPr="00D9533C">
        <w:rPr>
          <w:color w:val="auto"/>
        </w:rPr>
        <w:t xml:space="preserve">Source: </w:t>
      </w:r>
      <w:r w:rsidRPr="00D9533C">
        <w:rPr>
          <w:color w:val="auto"/>
        </w:rPr>
        <w:tab/>
        <w:t xml:space="preserve">Budget papers and Treasury. </w:t>
      </w:r>
    </w:p>
    <w:p w14:paraId="463F9A27" w14:textId="77777777" w:rsidR="00FA730B" w:rsidRPr="00D9533C" w:rsidRDefault="00FA730B" w:rsidP="00FA730B">
      <w:pPr>
        <w:pStyle w:val="ChartLine"/>
      </w:pPr>
    </w:p>
    <w:p w14:paraId="21870C2F" w14:textId="77777777" w:rsidR="00FC0A61" w:rsidRPr="00D9533C" w:rsidRDefault="00FC0A61" w:rsidP="00FC0A61">
      <w:pPr>
        <w:pStyle w:val="Heading4"/>
      </w:pPr>
      <w:bookmarkStart w:id="38" w:name="_Toc448910754"/>
      <w:bookmarkStart w:id="39" w:name="_Toc52369754"/>
      <w:r w:rsidRPr="00D9533C">
        <w:t>Payments</w:t>
      </w:r>
      <w:bookmarkEnd w:id="38"/>
      <w:bookmarkEnd w:id="39"/>
    </w:p>
    <w:p w14:paraId="52EAFC15" w14:textId="65C7A558" w:rsidR="000E5DB4" w:rsidRPr="00D9533C" w:rsidRDefault="00D9466B" w:rsidP="000E5DB4">
      <w:pPr>
        <w:widowControl w:val="0"/>
      </w:pPr>
      <w:r w:rsidRPr="00D9533C">
        <w:t>There is less uncertainty around payments forecasts</w:t>
      </w:r>
      <w:r w:rsidR="00434F30" w:rsidRPr="00D9533C">
        <w:t xml:space="preserve"> (excluding GST)</w:t>
      </w:r>
      <w:r w:rsidRPr="00D9533C">
        <w:t xml:space="preserve"> than </w:t>
      </w:r>
      <w:r w:rsidR="00434F30" w:rsidRPr="00D9533C">
        <w:t xml:space="preserve">around </w:t>
      </w:r>
      <w:r w:rsidRPr="00D9533C">
        <w:t xml:space="preserve">receipts </w:t>
      </w:r>
      <w:r w:rsidR="00434F30" w:rsidRPr="00D9533C">
        <w:t>forecasts (</w:t>
      </w:r>
      <w:r w:rsidR="003A59C1" w:rsidRPr="00D9533C">
        <w:t>Chart 8.</w:t>
      </w:r>
      <w:r w:rsidR="00090AF7" w:rsidRPr="00D9533C">
        <w:t>1</w:t>
      </w:r>
      <w:r w:rsidR="002A0818" w:rsidRPr="00D9533C">
        <w:t>1</w:t>
      </w:r>
      <w:r w:rsidR="00434F30" w:rsidRPr="00D9533C">
        <w:t>)</w:t>
      </w:r>
      <w:r w:rsidR="003A59C1" w:rsidRPr="00D9533C">
        <w:t xml:space="preserve">. </w:t>
      </w:r>
      <w:r w:rsidR="000E5DB4" w:rsidRPr="00D9533C">
        <w:t xml:space="preserve">Payments (excluding GST) are expected to be around </w:t>
      </w:r>
      <w:r w:rsidR="00E93B66" w:rsidRPr="00D9533C">
        <w:t>22.6 </w:t>
      </w:r>
      <w:r w:rsidR="000E5DB4" w:rsidRPr="00D9533C">
        <w:t>per</w:t>
      </w:r>
      <w:r w:rsidR="00C56271" w:rsidRPr="00D9533C">
        <w:t> </w:t>
      </w:r>
      <w:r w:rsidR="000E5DB4" w:rsidRPr="00D9533C">
        <w:t>cent of</w:t>
      </w:r>
      <w:r w:rsidR="00A174B9" w:rsidRPr="00D9533C">
        <w:t> </w:t>
      </w:r>
      <w:r w:rsidR="000E5DB4" w:rsidRPr="00D9533C">
        <w:t>GDP in 2022</w:t>
      </w:r>
      <w:r w:rsidR="00BC5B04" w:rsidRPr="00D9533C">
        <w:t>–</w:t>
      </w:r>
      <w:r w:rsidR="000E5DB4" w:rsidRPr="00D9533C">
        <w:t xml:space="preserve">23, with the 70 per cent confidence interval ranging from </w:t>
      </w:r>
      <w:r w:rsidR="00423935" w:rsidRPr="00D9533C">
        <w:t>22.0 </w:t>
      </w:r>
      <w:r w:rsidR="000E5DB4" w:rsidRPr="00D9533C">
        <w:t>per cent to </w:t>
      </w:r>
      <w:r w:rsidR="00423935" w:rsidRPr="00D9533C">
        <w:t>23.2 </w:t>
      </w:r>
      <w:r w:rsidR="000E5DB4" w:rsidRPr="00D9533C">
        <w:t xml:space="preserve">per cent of GDP. The 90 per cent confidence interval ranges from </w:t>
      </w:r>
      <w:r w:rsidR="00CE4BDA" w:rsidRPr="00D9533C">
        <w:t>21.7 </w:t>
      </w:r>
      <w:r w:rsidR="000E5DB4" w:rsidRPr="00D9533C">
        <w:t>per cent to </w:t>
      </w:r>
      <w:r w:rsidR="00CE4BDA" w:rsidRPr="00D9533C">
        <w:t>23.5 </w:t>
      </w:r>
      <w:r w:rsidR="000E5DB4" w:rsidRPr="00D9533C">
        <w:t xml:space="preserve">per cent. </w:t>
      </w:r>
    </w:p>
    <w:p w14:paraId="5D051CFA" w14:textId="77777777" w:rsidR="001B3D10" w:rsidRPr="003F0DC4" w:rsidRDefault="001B3D10" w:rsidP="003F0DC4">
      <w:r w:rsidRPr="00D9533C">
        <w:br w:type="page"/>
      </w:r>
    </w:p>
    <w:p w14:paraId="59CAAF60" w14:textId="592A6A04" w:rsidR="00FC0A61" w:rsidRPr="00D9533C" w:rsidRDefault="005578DF" w:rsidP="003F0DC4">
      <w:pPr>
        <w:pStyle w:val="ChartHeading"/>
        <w:rPr>
          <w:vertAlign w:val="superscript"/>
        </w:rPr>
      </w:pPr>
      <w:r w:rsidRPr="00D9533C">
        <w:lastRenderedPageBreak/>
        <w:t>Chart 8</w:t>
      </w:r>
      <w:r w:rsidR="00FC0A61" w:rsidRPr="00D9533C">
        <w:t>.</w:t>
      </w:r>
      <w:r w:rsidR="00090AF7" w:rsidRPr="00D9533C">
        <w:t>1</w:t>
      </w:r>
      <w:r w:rsidR="002A0818" w:rsidRPr="00D9533C">
        <w:t>1</w:t>
      </w:r>
      <w:r w:rsidR="00FC0A61" w:rsidRPr="00D9533C">
        <w:t xml:space="preserve">: Confidence intervals </w:t>
      </w:r>
      <w:r w:rsidR="00FC0A61" w:rsidRPr="003F0DC4">
        <w:t>around</w:t>
      </w:r>
      <w:r w:rsidR="00FC0A61" w:rsidRPr="00D9533C">
        <w:t xml:space="preserve"> payments forecasts</w:t>
      </w:r>
      <w:r w:rsidR="00FC0A61" w:rsidRPr="00D9533C">
        <w:rPr>
          <w:vertAlign w:val="superscript"/>
        </w:rPr>
        <w:t>(</w:t>
      </w:r>
      <w:r w:rsidR="00865419">
        <w:rPr>
          <w:vertAlign w:val="superscript"/>
        </w:rPr>
        <w:t>a</w:t>
      </w:r>
      <w:r w:rsidR="00FC0A61" w:rsidRPr="00D9533C">
        <w:rPr>
          <w:vertAlign w:val="superscript"/>
        </w:rPr>
        <w:t>)</w:t>
      </w:r>
    </w:p>
    <w:p w14:paraId="4FB6C9A5" w14:textId="28B11D69" w:rsidR="00FC0A61" w:rsidRPr="00D9533C" w:rsidRDefault="001B3D10" w:rsidP="001B3D10">
      <w:pPr>
        <w:pStyle w:val="ChartGraphic"/>
        <w:spacing w:before="120" w:after="60"/>
      </w:pPr>
      <w:r w:rsidRPr="00D9533C">
        <w:rPr>
          <w:noProof/>
        </w:rPr>
        <w:drawing>
          <wp:inline distT="0" distB="0" distL="0" distR="0" wp14:anchorId="2DC211F3" wp14:editId="476C3C98">
            <wp:extent cx="4895850" cy="3263900"/>
            <wp:effectExtent l="0" t="0" r="0" b="0"/>
            <wp:docPr id="4" name="Picture 4" descr="This chart shows confidence intervals around the 2022-23 October Budget forecast for payments (excluding GST) as a percentage of GDP. Payments (excluding GST) are expected to be around 22.6 per cent of GDP in 2022–23, with the 70 per cent confidence interval ranging from 22.0 per cent to 23.2 per cent of GDP. The 90 per cent confidence interval ranges from 21.7 per cent to 23.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is chart shows confidence intervals around the 2022-23 October Budget forecast for payments (excluding GST) as a percentage of GDP. Payments (excluding GST) are expected to be around 22.6 per cent of GDP in 2022–23, with the 70 per cent confidence interval ranging from 22.0 per cent to 23.2 per cent of GDP. The 90 per cent confidence interval ranges from 21.7 per cent to 23.5 per c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96103" cy="3264069"/>
                    </a:xfrm>
                    <a:prstGeom prst="rect">
                      <a:avLst/>
                    </a:prstGeom>
                  </pic:spPr>
                </pic:pic>
              </a:graphicData>
            </a:graphic>
          </wp:inline>
        </w:drawing>
      </w:r>
    </w:p>
    <w:p w14:paraId="32629BA1" w14:textId="77777777" w:rsidR="00FC0A61" w:rsidRPr="00865419" w:rsidRDefault="00FC0A61" w:rsidP="00865419">
      <w:pPr>
        <w:pStyle w:val="ChartandTableFootnoteAlpha"/>
        <w:numPr>
          <w:ilvl w:val="0"/>
          <w:numId w:val="16"/>
        </w:numPr>
        <w:tabs>
          <w:tab w:val="num" w:pos="284"/>
        </w:tabs>
        <w:spacing w:before="0"/>
        <w:jc w:val="both"/>
        <w:rPr>
          <w:color w:val="auto"/>
        </w:rPr>
      </w:pPr>
      <w:r w:rsidRPr="00865419">
        <w:rPr>
          <w:color w:val="auto"/>
        </w:rPr>
        <w:t>Excludes GST payments.</w:t>
      </w:r>
    </w:p>
    <w:p w14:paraId="0BF93D6B" w14:textId="73EB22E9" w:rsidR="00FC0A61" w:rsidRPr="00D9533C" w:rsidRDefault="00FC0A61" w:rsidP="00FC0A61">
      <w:pPr>
        <w:pStyle w:val="ChartandTableFootnote"/>
        <w:rPr>
          <w:color w:val="auto"/>
        </w:rPr>
      </w:pPr>
      <w:r w:rsidRPr="00D9533C">
        <w:rPr>
          <w:color w:val="auto"/>
        </w:rPr>
        <w:t xml:space="preserve">Note: </w:t>
      </w:r>
      <w:r w:rsidRPr="00D9533C">
        <w:rPr>
          <w:color w:val="auto"/>
        </w:rPr>
        <w:tab/>
        <w:t xml:space="preserve">See note to </w:t>
      </w:r>
      <w:r w:rsidR="005578DF" w:rsidRPr="00D9533C">
        <w:rPr>
          <w:color w:val="auto"/>
        </w:rPr>
        <w:t>Chart 8</w:t>
      </w:r>
      <w:r w:rsidRPr="00D9533C">
        <w:rPr>
          <w:color w:val="auto"/>
        </w:rPr>
        <w:t>.</w:t>
      </w:r>
      <w:r w:rsidR="00FD5B34" w:rsidRPr="00D9533C">
        <w:rPr>
          <w:color w:val="auto"/>
        </w:rPr>
        <w:t>10</w:t>
      </w:r>
      <w:r w:rsidRPr="00D9533C">
        <w:rPr>
          <w:color w:val="auto"/>
        </w:rPr>
        <w:t>.</w:t>
      </w:r>
    </w:p>
    <w:p w14:paraId="73B5E1BF" w14:textId="77777777" w:rsidR="00FC0A61" w:rsidRPr="00D9533C" w:rsidRDefault="00FC0A61" w:rsidP="00FA730B">
      <w:pPr>
        <w:pStyle w:val="ChartandTableFootnote"/>
        <w:rPr>
          <w:color w:val="auto"/>
        </w:rPr>
      </w:pPr>
      <w:r w:rsidRPr="00D9533C">
        <w:rPr>
          <w:color w:val="auto"/>
        </w:rPr>
        <w:t xml:space="preserve">Source: </w:t>
      </w:r>
      <w:r w:rsidRPr="00D9533C">
        <w:rPr>
          <w:color w:val="auto"/>
        </w:rPr>
        <w:tab/>
        <w:t xml:space="preserve">Budget papers and Treasury. </w:t>
      </w:r>
    </w:p>
    <w:p w14:paraId="7B05A75C" w14:textId="77777777" w:rsidR="00FA730B" w:rsidRPr="00D9533C" w:rsidRDefault="00FA730B" w:rsidP="00FA730B">
      <w:pPr>
        <w:pStyle w:val="ChartLine"/>
      </w:pPr>
    </w:p>
    <w:p w14:paraId="23A25F37" w14:textId="3B1C02C8" w:rsidR="00FC0A61" w:rsidRPr="00D9533C" w:rsidRDefault="00FC0A61" w:rsidP="00FC0A61">
      <w:pPr>
        <w:pStyle w:val="Heading4"/>
      </w:pPr>
      <w:bookmarkStart w:id="40" w:name="_Toc52369755"/>
      <w:r w:rsidRPr="00D9533C">
        <w:t>Underlying cash balance</w:t>
      </w:r>
      <w:bookmarkEnd w:id="40"/>
    </w:p>
    <w:p w14:paraId="272B7A27" w14:textId="30D329E3" w:rsidR="00FC0A61" w:rsidRPr="00D9533C" w:rsidRDefault="005864D1" w:rsidP="00F27873">
      <w:pPr>
        <w:ind w:right="113"/>
      </w:pPr>
      <w:r w:rsidRPr="00D9533C">
        <w:t>The underlying cash deficit in 2022</w:t>
      </w:r>
      <w:r w:rsidR="00BC5B04" w:rsidRPr="00D9533C">
        <w:t>–</w:t>
      </w:r>
      <w:r w:rsidRPr="00D9533C">
        <w:t xml:space="preserve">23 is expected to be </w:t>
      </w:r>
      <w:r w:rsidR="00996AD9" w:rsidRPr="00D9533C">
        <w:t>1.5</w:t>
      </w:r>
      <w:r w:rsidR="00C5703B" w:rsidRPr="00D9533C">
        <w:t> </w:t>
      </w:r>
      <w:r w:rsidRPr="00D9533C">
        <w:t>per</w:t>
      </w:r>
      <w:r w:rsidR="00C56271" w:rsidRPr="00D9533C">
        <w:t> </w:t>
      </w:r>
      <w:r w:rsidRPr="00D9533C">
        <w:t>cent of GDP, with the 70</w:t>
      </w:r>
      <w:r w:rsidR="00C56271" w:rsidRPr="00D9533C">
        <w:t> </w:t>
      </w:r>
      <w:r w:rsidRPr="00D9533C">
        <w:t>per</w:t>
      </w:r>
      <w:r w:rsidR="00C56271" w:rsidRPr="00D9533C">
        <w:t> </w:t>
      </w:r>
      <w:r w:rsidRPr="00D9533C">
        <w:t xml:space="preserve">cent confidence interval ranging from a deficit of </w:t>
      </w:r>
      <w:r w:rsidR="00AF1978" w:rsidRPr="00D9533C">
        <w:t>2.</w:t>
      </w:r>
      <w:r w:rsidR="00CC24F4" w:rsidRPr="00D9533C">
        <w:t>8</w:t>
      </w:r>
      <w:r w:rsidR="00C5703B" w:rsidRPr="00D9533C">
        <w:t> </w:t>
      </w:r>
      <w:r w:rsidRPr="00D9533C">
        <w:t>per</w:t>
      </w:r>
      <w:r w:rsidR="00C56271" w:rsidRPr="00D9533C">
        <w:t> </w:t>
      </w:r>
      <w:r w:rsidRPr="00D9533C">
        <w:t xml:space="preserve">cent to </w:t>
      </w:r>
      <w:r w:rsidR="005324BC" w:rsidRPr="00D9533C">
        <w:t>0.</w:t>
      </w:r>
      <w:r w:rsidR="00AF1978" w:rsidRPr="00D9533C">
        <w:t>2</w:t>
      </w:r>
      <w:r w:rsidR="00102AC1" w:rsidRPr="00D9533C">
        <w:t xml:space="preserve"> </w:t>
      </w:r>
      <w:r w:rsidRPr="00D9533C">
        <w:t>per</w:t>
      </w:r>
      <w:r w:rsidR="00C56271" w:rsidRPr="00D9533C">
        <w:t> </w:t>
      </w:r>
      <w:r w:rsidRPr="00D9533C">
        <w:t>cent of GDP. The 90</w:t>
      </w:r>
      <w:r w:rsidR="00C56271" w:rsidRPr="00D9533C">
        <w:t> </w:t>
      </w:r>
      <w:r w:rsidRPr="00D9533C">
        <w:t>per</w:t>
      </w:r>
      <w:r w:rsidR="00C56271" w:rsidRPr="00D9533C">
        <w:t> </w:t>
      </w:r>
      <w:r w:rsidRPr="00D9533C">
        <w:t xml:space="preserve">cent confidence interval ranges from a deficit of </w:t>
      </w:r>
      <w:r w:rsidR="00AF1978" w:rsidRPr="00D9533C">
        <w:t>3.6</w:t>
      </w:r>
      <w:r w:rsidR="00102AC1" w:rsidRPr="00D9533C">
        <w:t> </w:t>
      </w:r>
      <w:r w:rsidRPr="00D9533C">
        <w:t>per</w:t>
      </w:r>
      <w:r w:rsidR="00C56271" w:rsidRPr="00D9533C">
        <w:t> </w:t>
      </w:r>
      <w:r w:rsidRPr="00D9533C">
        <w:t xml:space="preserve">cent to </w:t>
      </w:r>
      <w:r w:rsidR="00610130" w:rsidRPr="00D9533C">
        <w:t>a surplus of 0.</w:t>
      </w:r>
      <w:r w:rsidR="004B13C0" w:rsidRPr="00D9533C">
        <w:t>6</w:t>
      </w:r>
      <w:r w:rsidR="00102AC1" w:rsidRPr="00D9533C">
        <w:t> </w:t>
      </w:r>
      <w:r w:rsidRPr="00D9533C">
        <w:t>per</w:t>
      </w:r>
      <w:r w:rsidR="00C56271" w:rsidRPr="00D9533C">
        <w:t> </w:t>
      </w:r>
      <w:r w:rsidRPr="00D9533C">
        <w:t xml:space="preserve">cent. </w:t>
      </w:r>
      <w:r w:rsidR="00934788" w:rsidRPr="00D9533C">
        <w:t xml:space="preserve">The </w:t>
      </w:r>
      <w:r w:rsidR="00CD084A" w:rsidRPr="00D9533C">
        <w:t xml:space="preserve">uncertainty around </w:t>
      </w:r>
      <w:r w:rsidR="00934788" w:rsidRPr="00D9533C">
        <w:t xml:space="preserve">underlying cash balance </w:t>
      </w:r>
      <w:r w:rsidR="00F67468" w:rsidRPr="00D9533C">
        <w:t>forecasts</w:t>
      </w:r>
      <w:r w:rsidRPr="00D9533C">
        <w:t xml:space="preserve">, </w:t>
      </w:r>
      <w:r w:rsidR="006C6F62" w:rsidRPr="00D9533C">
        <w:t>reflect</w:t>
      </w:r>
      <w:r w:rsidRPr="00D9533C">
        <w:t>ing</w:t>
      </w:r>
      <w:r w:rsidR="006C6F62" w:rsidRPr="00D9533C">
        <w:t xml:space="preserve"> </w:t>
      </w:r>
      <w:r w:rsidR="00934788" w:rsidRPr="00D9533C">
        <w:t xml:space="preserve">forecast errors </w:t>
      </w:r>
      <w:r w:rsidR="006C6F62" w:rsidRPr="00D9533C">
        <w:t xml:space="preserve">in </w:t>
      </w:r>
      <w:r w:rsidR="00934788" w:rsidRPr="00D9533C">
        <w:t>receipts and payments</w:t>
      </w:r>
      <w:r w:rsidRPr="00D9533C">
        <w:t xml:space="preserve">, increases </w:t>
      </w:r>
      <w:r w:rsidR="00934788" w:rsidRPr="00D9533C">
        <w:t xml:space="preserve">as the forecast </w:t>
      </w:r>
      <w:r w:rsidRPr="00D9533C">
        <w:t xml:space="preserve">time </w:t>
      </w:r>
      <w:r w:rsidR="00934788" w:rsidRPr="00D9533C">
        <w:t>horizon lengthens</w:t>
      </w:r>
      <w:r w:rsidR="00E42A6C" w:rsidRPr="00D9533C">
        <w:t xml:space="preserve"> (Chart 8.</w:t>
      </w:r>
      <w:r w:rsidR="00E42A6C" w:rsidRPr="00D9533C" w:rsidDel="00B448DB">
        <w:t>1</w:t>
      </w:r>
      <w:r w:rsidR="00B448DB" w:rsidRPr="00D9533C">
        <w:t>2</w:t>
      </w:r>
      <w:r w:rsidR="00E42A6C" w:rsidRPr="00D9533C">
        <w:t>)</w:t>
      </w:r>
      <w:r w:rsidR="00934788" w:rsidRPr="00D9533C">
        <w:t xml:space="preserve">. </w:t>
      </w:r>
    </w:p>
    <w:p w14:paraId="60E612A9" w14:textId="77777777" w:rsidR="00354CAA" w:rsidRPr="00D9533C" w:rsidRDefault="00354CAA">
      <w:pPr>
        <w:spacing w:before="0" w:after="160" w:line="259" w:lineRule="auto"/>
        <w:rPr>
          <w:rFonts w:ascii="Arial" w:hAnsi="Arial"/>
          <w:b/>
          <w:sz w:val="20"/>
        </w:rPr>
      </w:pPr>
      <w:r w:rsidRPr="00D9533C">
        <w:br w:type="page"/>
      </w:r>
    </w:p>
    <w:p w14:paraId="49F9F459" w14:textId="1A91A7FB" w:rsidR="00FC0A61" w:rsidRPr="00D9533C" w:rsidRDefault="005578DF" w:rsidP="003F0DC4">
      <w:pPr>
        <w:pStyle w:val="ChartHeading"/>
      </w:pPr>
      <w:r w:rsidRPr="00D9533C">
        <w:lastRenderedPageBreak/>
        <w:t>Chart 8</w:t>
      </w:r>
      <w:r w:rsidR="00FC0A61" w:rsidRPr="00D9533C">
        <w:t>.</w:t>
      </w:r>
      <w:r w:rsidR="008D1C9D" w:rsidRPr="00D9533C" w:rsidDel="00B448DB">
        <w:t>1</w:t>
      </w:r>
      <w:r w:rsidR="00B448DB" w:rsidRPr="00D9533C">
        <w:t>2</w:t>
      </w:r>
      <w:r w:rsidR="00FC0A61" w:rsidRPr="00D9533C">
        <w:t xml:space="preserve">: Confidence intervals </w:t>
      </w:r>
      <w:r w:rsidR="00FC0A61" w:rsidRPr="003F0DC4">
        <w:t>around</w:t>
      </w:r>
      <w:r w:rsidR="00FC0A61" w:rsidRPr="00D9533C">
        <w:t xml:space="preserve"> the underlying cash balance forecasts</w:t>
      </w:r>
    </w:p>
    <w:p w14:paraId="31F87D33" w14:textId="03BAE601" w:rsidR="00620307" w:rsidRPr="00D9533C" w:rsidRDefault="00354CAA" w:rsidP="00354CAA">
      <w:pPr>
        <w:pStyle w:val="ChartGraphic"/>
        <w:spacing w:before="120"/>
      </w:pPr>
      <w:r w:rsidRPr="00D9533C">
        <w:rPr>
          <w:noProof/>
        </w:rPr>
        <w:drawing>
          <wp:inline distT="0" distB="0" distL="0" distR="0" wp14:anchorId="34165C27" wp14:editId="56D97712">
            <wp:extent cx="4873625" cy="3227459"/>
            <wp:effectExtent l="0" t="0" r="3175" b="0"/>
            <wp:docPr id="5" name="Picture 5" descr="This chart shows confidence intervals around the 2022-23 October Budget forecast for the underlying cash balance as a percentage of GDP. The underlying cash deficit in 2022–23 is expected to be 1.5 per cent of GDP, with the 70 per cent confidence interval ranging from a deficit of 2.8 per cent to 0.2 per cent of GDP. The 90 per cent confidence interval ranges from a deficit of 3.6 per cent to a surplus of 0.6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is chart shows confidence intervals around the 2022-23 October Budget forecast for the underlying cash balance as a percentage of GDP. The underlying cash deficit in 2022–23 is expected to be 1.5 per cent of GDP, with the 70 per cent confidence interval ranging from a deficit of 2.8 per cent to 0.2 per cent of GDP. The 90 per cent confidence interval ranges from a deficit of 3.6 per cent to a surplus of 0.6 per c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3568" cy="3240666"/>
                    </a:xfrm>
                    <a:prstGeom prst="rect">
                      <a:avLst/>
                    </a:prstGeom>
                  </pic:spPr>
                </pic:pic>
              </a:graphicData>
            </a:graphic>
          </wp:inline>
        </w:drawing>
      </w:r>
    </w:p>
    <w:p w14:paraId="0018B94D" w14:textId="58DFFD6E" w:rsidR="00FC0A61" w:rsidRPr="00D9533C" w:rsidRDefault="00FC0A61" w:rsidP="00FC0A61">
      <w:pPr>
        <w:pStyle w:val="ChartandTableFootnote"/>
        <w:rPr>
          <w:color w:val="auto"/>
        </w:rPr>
      </w:pPr>
      <w:r w:rsidRPr="00D9533C">
        <w:rPr>
          <w:color w:val="auto"/>
        </w:rPr>
        <w:t xml:space="preserve">Note: </w:t>
      </w:r>
      <w:r w:rsidRPr="00D9533C">
        <w:rPr>
          <w:color w:val="auto"/>
        </w:rPr>
        <w:tab/>
        <w:t xml:space="preserve">See note to </w:t>
      </w:r>
      <w:r w:rsidR="005578DF" w:rsidRPr="00D9533C">
        <w:rPr>
          <w:color w:val="auto"/>
        </w:rPr>
        <w:t>Chart 8</w:t>
      </w:r>
      <w:r w:rsidRPr="00D9533C">
        <w:rPr>
          <w:color w:val="auto"/>
        </w:rPr>
        <w:t>.</w:t>
      </w:r>
      <w:r w:rsidR="00A60F00" w:rsidRPr="00D9533C">
        <w:rPr>
          <w:color w:val="auto"/>
        </w:rPr>
        <w:t>10</w:t>
      </w:r>
      <w:r w:rsidRPr="00D9533C">
        <w:rPr>
          <w:color w:val="auto"/>
        </w:rPr>
        <w:t>.</w:t>
      </w:r>
    </w:p>
    <w:p w14:paraId="5A814792" w14:textId="68444F23" w:rsidR="00FA730B" w:rsidRPr="00D9533C" w:rsidRDefault="00FC0A61" w:rsidP="00B25199">
      <w:pPr>
        <w:pStyle w:val="ChartandTableFootnote"/>
        <w:rPr>
          <w:color w:val="auto"/>
        </w:rPr>
      </w:pPr>
      <w:r w:rsidRPr="00D9533C">
        <w:rPr>
          <w:color w:val="auto"/>
        </w:rPr>
        <w:t xml:space="preserve">Source: </w:t>
      </w:r>
      <w:r w:rsidRPr="00D9533C">
        <w:rPr>
          <w:color w:val="auto"/>
        </w:rPr>
        <w:tab/>
        <w:t>Budget papers and Treasury.</w:t>
      </w:r>
      <w:r w:rsidR="00A0331E" w:rsidRPr="00D9533C">
        <w:rPr>
          <w:color w:val="auto"/>
        </w:rPr>
        <w:t xml:space="preserve"> </w:t>
      </w:r>
      <w:bookmarkStart w:id="41" w:name="_Toc449783850"/>
      <w:bookmarkStart w:id="42" w:name="_Toc3880939"/>
      <w:bookmarkStart w:id="43" w:name="_Toc3881105"/>
      <w:bookmarkStart w:id="44" w:name="_Toc3881282"/>
      <w:bookmarkStart w:id="45" w:name="_Toc52642839"/>
      <w:bookmarkStart w:id="46" w:name="_Toc99026276"/>
      <w:bookmarkStart w:id="47" w:name="_Toc116037831"/>
      <w:bookmarkStart w:id="48" w:name="_Toc116037701"/>
      <w:bookmarkStart w:id="49" w:name="_Toc116040763"/>
    </w:p>
    <w:p w14:paraId="4F896543" w14:textId="30A9FA99" w:rsidR="00FC0A61" w:rsidRPr="00C35C2D" w:rsidRDefault="00FC0A61" w:rsidP="00B25199">
      <w:pPr>
        <w:pStyle w:val="ChartLine"/>
      </w:pPr>
    </w:p>
    <w:p w14:paraId="64FE8E36" w14:textId="2F60D3CC" w:rsidR="00FC0A61" w:rsidRPr="00D9533C" w:rsidRDefault="00FC0A61" w:rsidP="00FC0A61">
      <w:pPr>
        <w:pStyle w:val="Heading2"/>
      </w:pPr>
      <w:r w:rsidRPr="00D9533C">
        <w:t>Assessing current forecasts through sensitivity analysis</w:t>
      </w:r>
      <w:bookmarkEnd w:id="41"/>
      <w:bookmarkEnd w:id="42"/>
      <w:bookmarkEnd w:id="43"/>
      <w:bookmarkEnd w:id="44"/>
      <w:bookmarkEnd w:id="45"/>
      <w:bookmarkEnd w:id="46"/>
      <w:bookmarkEnd w:id="47"/>
      <w:bookmarkEnd w:id="48"/>
      <w:bookmarkEnd w:id="49"/>
    </w:p>
    <w:p w14:paraId="2F98D694" w14:textId="3B9C9C75" w:rsidR="00E002CB" w:rsidRPr="00D9533C" w:rsidRDefault="005F1926" w:rsidP="005F1926">
      <w:r w:rsidRPr="00D9533C">
        <w:t xml:space="preserve">Sensitivity analysis assesses how sensitive forecasts are to changes in key assumptions. </w:t>
      </w:r>
      <w:r w:rsidR="001F4E64" w:rsidRPr="00D9533C">
        <w:t>For</w:t>
      </w:r>
      <w:r w:rsidR="00A174B9" w:rsidRPr="00D9533C">
        <w:t> </w:t>
      </w:r>
      <w:r w:rsidR="001F4E64" w:rsidRPr="00D9533C">
        <w:t xml:space="preserve">illustrative purposes the upper and lower sensitivities are broadly symmetric, but not equally probable. </w:t>
      </w:r>
    </w:p>
    <w:p w14:paraId="31AA9DFF" w14:textId="67186ED5" w:rsidR="005F1926" w:rsidRPr="00B0701D" w:rsidRDefault="005F1926" w:rsidP="005F1926">
      <w:r w:rsidRPr="00D9533C">
        <w:t>The iron ore price</w:t>
      </w:r>
      <w:r w:rsidR="000F6AFA" w:rsidRPr="00D9533C">
        <w:t xml:space="preserve"> and</w:t>
      </w:r>
      <w:r w:rsidRPr="00D9533C">
        <w:t xml:space="preserve"> yields have been chosen for sensitivity analyses due to their significance in economic and fiscal outcomes </w:t>
      </w:r>
      <w:r w:rsidR="009513AF" w:rsidRPr="00D9533C">
        <w:t>and</w:t>
      </w:r>
      <w:r w:rsidRPr="00D9533C">
        <w:t xml:space="preserve"> variability over time.</w:t>
      </w:r>
      <w:r w:rsidRPr="00B0701D">
        <w:t xml:space="preserve"> </w:t>
      </w:r>
      <w:r w:rsidRPr="00D9533C">
        <w:t>The economic impact of other key variables, including the recent significant increase in commodity prices due to Russia</w:t>
      </w:r>
      <w:r w:rsidR="001862FE" w:rsidRPr="00D9533C">
        <w:t>’</w:t>
      </w:r>
      <w:r w:rsidRPr="00D9533C">
        <w:t xml:space="preserve">s invasion of Ukraine, is considered in </w:t>
      </w:r>
      <w:r w:rsidRPr="00D9533C">
        <w:rPr>
          <w:i/>
        </w:rPr>
        <w:t>Budget Statement 2: Economic Outlook</w:t>
      </w:r>
      <w:r w:rsidRPr="00D9533C">
        <w:t>.</w:t>
      </w:r>
      <w:r w:rsidR="00773FEF" w:rsidRPr="00B0701D">
        <w:t xml:space="preserve"> </w:t>
      </w:r>
      <w:r w:rsidR="00773FEF" w:rsidRPr="00D9533C">
        <w:t xml:space="preserve">The </w:t>
      </w:r>
      <w:r w:rsidR="00D05E31" w:rsidRPr="00D9533C">
        <w:t xml:space="preserve">fiscal </w:t>
      </w:r>
      <w:r w:rsidR="00947D37" w:rsidRPr="00D9533C">
        <w:t xml:space="preserve">impact of lower productivity </w:t>
      </w:r>
      <w:r w:rsidR="007637FF" w:rsidRPr="00D9533C">
        <w:t xml:space="preserve">is considered in </w:t>
      </w:r>
      <w:r w:rsidR="007637FF" w:rsidRPr="00D9533C">
        <w:rPr>
          <w:i/>
        </w:rPr>
        <w:t xml:space="preserve">Budget Statement 3: Fiscal Strategy and </w:t>
      </w:r>
      <w:r w:rsidR="008303E8" w:rsidRPr="00D9533C">
        <w:rPr>
          <w:i/>
        </w:rPr>
        <w:t>O</w:t>
      </w:r>
      <w:r w:rsidR="007637FF" w:rsidRPr="00D9533C">
        <w:rPr>
          <w:i/>
        </w:rPr>
        <w:t>utlook</w:t>
      </w:r>
      <w:r w:rsidR="007637FF" w:rsidRPr="00D9533C">
        <w:t>.</w:t>
      </w:r>
    </w:p>
    <w:p w14:paraId="03F23ABF" w14:textId="2747D40D" w:rsidR="00FC0A61" w:rsidRPr="00B0701D" w:rsidRDefault="00FC0A61" w:rsidP="00FC0A61">
      <w:pPr>
        <w:pStyle w:val="Heading3"/>
        <w:keepLines/>
      </w:pPr>
      <w:bookmarkStart w:id="50" w:name="_Toc99026277"/>
      <w:bookmarkStart w:id="51" w:name="_Toc116037832"/>
      <w:bookmarkStart w:id="52" w:name="_Toc116037702"/>
      <w:bookmarkStart w:id="53" w:name="_Toc116040764"/>
      <w:r w:rsidRPr="00D9533C">
        <w:t>Movements in the iron ore price</w:t>
      </w:r>
      <w:bookmarkEnd w:id="50"/>
      <w:bookmarkEnd w:id="51"/>
      <w:bookmarkEnd w:id="52"/>
      <w:bookmarkEnd w:id="53"/>
    </w:p>
    <w:p w14:paraId="37F76441" w14:textId="48E56526" w:rsidR="00116CBC" w:rsidRPr="00313AFB" w:rsidRDefault="005177FD" w:rsidP="00116CBC">
      <w:bookmarkStart w:id="54" w:name="_Toc116037833"/>
      <w:bookmarkStart w:id="55" w:name="_Toc99026278"/>
      <w:r w:rsidRPr="00D9533C">
        <w:t xml:space="preserve">The forecasts for nominal GDP and tax receipts are sensitive to </w:t>
      </w:r>
      <w:r w:rsidR="001F4E64" w:rsidRPr="00D9533C">
        <w:t xml:space="preserve">commodity price </w:t>
      </w:r>
      <w:r w:rsidRPr="00D9533C">
        <w:t>assumptions, particularly iron ore</w:t>
      </w:r>
      <w:r w:rsidR="002823B2" w:rsidRPr="00D9533C">
        <w:t xml:space="preserve"> price</w:t>
      </w:r>
      <w:r w:rsidR="001F4E64" w:rsidRPr="00D9533C">
        <w:t>s</w:t>
      </w:r>
      <w:r w:rsidRPr="00D9533C">
        <w:t>.</w:t>
      </w:r>
      <w:r w:rsidR="0013293D" w:rsidRPr="00B0701D">
        <w:t xml:space="preserve"> </w:t>
      </w:r>
      <w:r w:rsidRPr="00D9533C">
        <w:t xml:space="preserve">Iron ore represented around </w:t>
      </w:r>
      <w:r w:rsidR="252AEC1F" w:rsidRPr="00D9533C">
        <w:t>22.4</w:t>
      </w:r>
      <w:r w:rsidR="00C56271" w:rsidRPr="00D9533C">
        <w:t> </w:t>
      </w:r>
      <w:r w:rsidR="00A477F4" w:rsidRPr="00D9533C">
        <w:t>per</w:t>
      </w:r>
      <w:r w:rsidR="00C56271" w:rsidRPr="00D9533C">
        <w:t> </w:t>
      </w:r>
      <w:r w:rsidR="00A477F4" w:rsidRPr="00D9533C">
        <w:t>cent</w:t>
      </w:r>
      <w:r w:rsidRPr="00D9533C">
        <w:t xml:space="preserve"> of the value of goods and services</w:t>
      </w:r>
      <w:r w:rsidRPr="00D9533C" w:rsidDel="00F53F7C">
        <w:t xml:space="preserve"> </w:t>
      </w:r>
      <w:r w:rsidRPr="00D9533C">
        <w:t xml:space="preserve">exports in </w:t>
      </w:r>
      <w:r w:rsidR="00171803" w:rsidRPr="00D9533C">
        <w:t>2021</w:t>
      </w:r>
      <w:r w:rsidR="00BC5B04" w:rsidRPr="00D9533C">
        <w:t>–</w:t>
      </w:r>
      <w:r w:rsidR="00171803" w:rsidRPr="00D9533C">
        <w:t>22</w:t>
      </w:r>
      <w:r w:rsidR="002823B2" w:rsidRPr="00D9533C">
        <w:t>.</w:t>
      </w:r>
      <w:r w:rsidR="00FB4CEB" w:rsidRPr="00D9533C">
        <w:t xml:space="preserve"> </w:t>
      </w:r>
      <w:r w:rsidR="003632C7" w:rsidRPr="00D9533C">
        <w:t>See</w:t>
      </w:r>
      <w:r w:rsidRPr="00D9533C">
        <w:t xml:space="preserve"> </w:t>
      </w:r>
      <w:r w:rsidRPr="00D9533C">
        <w:rPr>
          <w:i/>
        </w:rPr>
        <w:t>Budget Statement 2: Economic Outlook</w:t>
      </w:r>
      <w:r w:rsidRPr="00D9533C">
        <w:t xml:space="preserve"> for more information on recent developments in commodity prices.</w:t>
      </w:r>
      <w:r w:rsidRPr="00B0701D">
        <w:t xml:space="preserve"> </w:t>
      </w:r>
      <w:r w:rsidRPr="00D9533C">
        <w:t xml:space="preserve">The results of an increase and a decrease in the iron ore price are presented in Table </w:t>
      </w:r>
      <w:r w:rsidR="00235554" w:rsidRPr="00D9533C">
        <w:t>8</w:t>
      </w:r>
      <w:r w:rsidRPr="00D9533C">
        <w:t>.1</w:t>
      </w:r>
      <w:bookmarkEnd w:id="54"/>
      <w:r w:rsidRPr="00D9533C">
        <w:t>.</w:t>
      </w:r>
      <w:r w:rsidR="00FB4CEB" w:rsidRPr="00B0701D">
        <w:rPr>
          <w:b/>
        </w:rPr>
        <w:t xml:space="preserve"> </w:t>
      </w:r>
      <w:r w:rsidR="00116CBC" w:rsidRPr="00DB1537">
        <w:br w:type="page"/>
      </w:r>
    </w:p>
    <w:p w14:paraId="77D07754" w14:textId="42DDD2B6" w:rsidR="00BC5B04" w:rsidRPr="00313AFB" w:rsidRDefault="00235554" w:rsidP="003F0DC4">
      <w:pPr>
        <w:pStyle w:val="TableHeading"/>
        <w:rPr>
          <w:rFonts w:asciiTheme="minorHAnsi" w:eastAsiaTheme="minorHAnsi" w:hAnsiTheme="minorHAnsi" w:cstheme="minorBidi"/>
          <w:sz w:val="22"/>
          <w:szCs w:val="22"/>
          <w:lang w:eastAsia="en-US"/>
        </w:rPr>
      </w:pPr>
      <w:r w:rsidRPr="00313AFB">
        <w:lastRenderedPageBreak/>
        <w:t xml:space="preserve">Table 8.1: </w:t>
      </w:r>
      <w:r w:rsidRPr="003F0DC4">
        <w:t>Sensitivity</w:t>
      </w:r>
      <w:r w:rsidRPr="00D9533C">
        <w:t xml:space="preserve"> analysis of a US$10 per tonne movement in iron ore prices</w:t>
      </w:r>
    </w:p>
    <w:tbl>
      <w:tblPr>
        <w:tblW w:w="5000" w:type="pct"/>
        <w:tblCellMar>
          <w:left w:w="0" w:type="dxa"/>
          <w:right w:w="28" w:type="dxa"/>
        </w:tblCellMar>
        <w:tblLook w:val="04A0" w:firstRow="1" w:lastRow="0" w:firstColumn="1" w:lastColumn="0" w:noHBand="0" w:noVBand="1"/>
        <w:tblCaption w:val="Table"/>
      </w:tblPr>
      <w:tblGrid>
        <w:gridCol w:w="2813"/>
        <w:gridCol w:w="1195"/>
        <w:gridCol w:w="1195"/>
        <w:gridCol w:w="117"/>
        <w:gridCol w:w="1195"/>
        <w:gridCol w:w="1195"/>
      </w:tblGrid>
      <w:tr w:rsidR="00BC5B04" w:rsidRPr="00313AFB" w14:paraId="62458F83" w14:textId="77777777" w:rsidTr="00BC5B04">
        <w:trPr>
          <w:divId w:val="513612657"/>
          <w:trHeight w:hRule="exact" w:val="260"/>
        </w:trPr>
        <w:tc>
          <w:tcPr>
            <w:tcW w:w="1824" w:type="pct"/>
            <w:tcBorders>
              <w:top w:val="single" w:sz="4" w:space="0" w:color="000000"/>
              <w:left w:val="nil"/>
              <w:bottom w:val="nil"/>
              <w:right w:val="nil"/>
            </w:tcBorders>
            <w:shd w:val="clear" w:color="auto" w:fill="auto"/>
            <w:noWrap/>
            <w:vAlign w:val="bottom"/>
            <w:hideMark/>
          </w:tcPr>
          <w:p w14:paraId="5E697134" w14:textId="17C1907B" w:rsidR="00BC5B04" w:rsidRPr="00313AFB" w:rsidRDefault="00BC5B04" w:rsidP="00BC5B04">
            <w:pPr>
              <w:spacing w:before="0" w:after="0" w:line="240" w:lineRule="auto"/>
              <w:rPr>
                <w:rFonts w:ascii="Arial" w:hAnsi="Arial" w:cs="Arial"/>
                <w:sz w:val="16"/>
                <w:szCs w:val="16"/>
              </w:rPr>
            </w:pPr>
            <w:r w:rsidRPr="00313AFB">
              <w:rPr>
                <w:rFonts w:ascii="Arial" w:hAnsi="Arial" w:cs="Arial"/>
                <w:sz w:val="16"/>
                <w:szCs w:val="16"/>
              </w:rPr>
              <w:t> </w:t>
            </w:r>
          </w:p>
        </w:tc>
        <w:tc>
          <w:tcPr>
            <w:tcW w:w="1550" w:type="pct"/>
            <w:gridSpan w:val="2"/>
            <w:tcBorders>
              <w:top w:val="single" w:sz="4" w:space="0" w:color="000000"/>
              <w:left w:val="nil"/>
              <w:bottom w:val="single" w:sz="4" w:space="0" w:color="000000"/>
              <w:right w:val="nil"/>
            </w:tcBorders>
            <w:shd w:val="clear" w:color="auto" w:fill="auto"/>
            <w:vAlign w:val="bottom"/>
            <w:hideMark/>
          </w:tcPr>
          <w:p w14:paraId="0E28B8DA" w14:textId="77777777" w:rsidR="00BC5B04" w:rsidRPr="00313AFB" w:rsidRDefault="00BC5B04" w:rsidP="00BC5B04">
            <w:pPr>
              <w:spacing w:before="0" w:after="0" w:line="240" w:lineRule="auto"/>
              <w:jc w:val="center"/>
              <w:rPr>
                <w:rFonts w:ascii="Arial" w:hAnsi="Arial" w:cs="Arial"/>
                <w:sz w:val="16"/>
                <w:szCs w:val="16"/>
              </w:rPr>
            </w:pPr>
            <w:r w:rsidRPr="00313AFB">
              <w:rPr>
                <w:rFonts w:ascii="Arial" w:hAnsi="Arial" w:cs="Arial"/>
                <w:sz w:val="16"/>
                <w:szCs w:val="16"/>
              </w:rPr>
              <w:t>US$10/tonne FOB</w:t>
            </w:r>
            <w:r w:rsidRPr="00313AFB">
              <w:rPr>
                <w:rFonts w:ascii="Arial" w:hAnsi="Arial" w:cs="Arial"/>
                <w:sz w:val="16"/>
                <w:szCs w:val="16"/>
                <w:vertAlign w:val="superscript"/>
              </w:rPr>
              <w:t>(a)</w:t>
            </w:r>
            <w:r w:rsidRPr="00313AFB">
              <w:rPr>
                <w:rFonts w:ascii="Arial" w:hAnsi="Arial" w:cs="Arial"/>
                <w:sz w:val="16"/>
                <w:szCs w:val="16"/>
              </w:rPr>
              <w:t xml:space="preserve"> fall</w:t>
            </w:r>
          </w:p>
        </w:tc>
        <w:tc>
          <w:tcPr>
            <w:tcW w:w="76" w:type="pct"/>
            <w:tcBorders>
              <w:top w:val="single" w:sz="4" w:space="0" w:color="000000"/>
              <w:left w:val="nil"/>
              <w:bottom w:val="nil"/>
              <w:right w:val="nil"/>
            </w:tcBorders>
            <w:shd w:val="clear" w:color="auto" w:fill="auto"/>
            <w:noWrap/>
            <w:vAlign w:val="bottom"/>
            <w:hideMark/>
          </w:tcPr>
          <w:p w14:paraId="4B483852" w14:textId="77777777" w:rsidR="00BC5B04" w:rsidRPr="00313AFB" w:rsidRDefault="00BC5B04" w:rsidP="00BC5B04">
            <w:pPr>
              <w:spacing w:before="0" w:after="0" w:line="240" w:lineRule="auto"/>
              <w:rPr>
                <w:rFonts w:ascii="Arial" w:hAnsi="Arial" w:cs="Arial"/>
                <w:sz w:val="16"/>
                <w:szCs w:val="16"/>
              </w:rPr>
            </w:pPr>
            <w:r w:rsidRPr="00313AFB">
              <w:rPr>
                <w:rFonts w:ascii="Arial" w:hAnsi="Arial" w:cs="Arial"/>
                <w:sz w:val="16"/>
                <w:szCs w:val="16"/>
              </w:rPr>
              <w:t> </w:t>
            </w:r>
          </w:p>
        </w:tc>
        <w:tc>
          <w:tcPr>
            <w:tcW w:w="1550" w:type="pct"/>
            <w:gridSpan w:val="2"/>
            <w:tcBorders>
              <w:top w:val="single" w:sz="4" w:space="0" w:color="000000"/>
              <w:left w:val="nil"/>
              <w:bottom w:val="single" w:sz="4" w:space="0" w:color="auto"/>
              <w:right w:val="nil"/>
            </w:tcBorders>
            <w:shd w:val="clear" w:color="auto" w:fill="auto"/>
            <w:vAlign w:val="bottom"/>
            <w:hideMark/>
          </w:tcPr>
          <w:p w14:paraId="2CA57350" w14:textId="77777777" w:rsidR="00BC5B04" w:rsidRPr="00313AFB" w:rsidRDefault="00BC5B04" w:rsidP="00BC5B04">
            <w:pPr>
              <w:spacing w:before="0" w:after="0" w:line="240" w:lineRule="auto"/>
              <w:jc w:val="center"/>
              <w:rPr>
                <w:rFonts w:ascii="Arial" w:hAnsi="Arial" w:cs="Arial"/>
                <w:sz w:val="16"/>
                <w:szCs w:val="16"/>
              </w:rPr>
            </w:pPr>
            <w:r w:rsidRPr="00313AFB">
              <w:rPr>
                <w:rFonts w:ascii="Arial" w:hAnsi="Arial" w:cs="Arial"/>
                <w:sz w:val="16"/>
                <w:szCs w:val="16"/>
              </w:rPr>
              <w:t>US$10/tonne FOB increase</w:t>
            </w:r>
          </w:p>
        </w:tc>
      </w:tr>
      <w:tr w:rsidR="00BC5B04" w:rsidRPr="00313AFB" w14:paraId="2B55C767" w14:textId="77777777" w:rsidTr="00BC5B04">
        <w:trPr>
          <w:divId w:val="513612657"/>
          <w:trHeight w:hRule="exact" w:val="225"/>
        </w:trPr>
        <w:tc>
          <w:tcPr>
            <w:tcW w:w="1824" w:type="pct"/>
            <w:tcBorders>
              <w:top w:val="nil"/>
              <w:left w:val="nil"/>
              <w:bottom w:val="nil"/>
              <w:right w:val="nil"/>
            </w:tcBorders>
            <w:shd w:val="clear" w:color="auto" w:fill="auto"/>
            <w:noWrap/>
            <w:vAlign w:val="bottom"/>
            <w:hideMark/>
          </w:tcPr>
          <w:p w14:paraId="219F916C" w14:textId="77777777" w:rsidR="00BC5B04" w:rsidRPr="00313AFB" w:rsidRDefault="00BC5B04" w:rsidP="00BC5B04">
            <w:pPr>
              <w:spacing w:before="0" w:after="0" w:line="240" w:lineRule="auto"/>
              <w:jc w:val="center"/>
              <w:rPr>
                <w:rFonts w:ascii="Arial" w:hAnsi="Arial" w:cs="Arial"/>
                <w:sz w:val="16"/>
                <w:szCs w:val="16"/>
              </w:rPr>
            </w:pPr>
          </w:p>
        </w:tc>
        <w:tc>
          <w:tcPr>
            <w:tcW w:w="775" w:type="pct"/>
            <w:tcBorders>
              <w:top w:val="nil"/>
              <w:left w:val="nil"/>
              <w:bottom w:val="single" w:sz="4" w:space="0" w:color="auto"/>
              <w:right w:val="nil"/>
            </w:tcBorders>
            <w:shd w:val="clear" w:color="auto" w:fill="auto"/>
            <w:noWrap/>
            <w:vAlign w:val="bottom"/>
            <w:hideMark/>
          </w:tcPr>
          <w:p w14:paraId="019AA73E" w14:textId="0C7494FC"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2022</w:t>
            </w:r>
            <w:r w:rsidR="001862FE">
              <w:rPr>
                <w:rFonts w:ascii="Arial" w:hAnsi="Arial" w:cs="Arial"/>
                <w:sz w:val="16"/>
                <w:szCs w:val="16"/>
              </w:rPr>
              <w:noBreakHyphen/>
            </w:r>
            <w:r w:rsidRPr="00313AFB">
              <w:rPr>
                <w:rFonts w:ascii="Arial" w:hAnsi="Arial" w:cs="Arial"/>
                <w:sz w:val="16"/>
                <w:szCs w:val="16"/>
              </w:rPr>
              <w:t>23</w:t>
            </w:r>
          </w:p>
        </w:tc>
        <w:tc>
          <w:tcPr>
            <w:tcW w:w="775" w:type="pct"/>
            <w:tcBorders>
              <w:top w:val="nil"/>
              <w:left w:val="nil"/>
              <w:bottom w:val="single" w:sz="4" w:space="0" w:color="auto"/>
              <w:right w:val="nil"/>
            </w:tcBorders>
            <w:shd w:val="clear" w:color="auto" w:fill="auto"/>
            <w:noWrap/>
            <w:vAlign w:val="bottom"/>
            <w:hideMark/>
          </w:tcPr>
          <w:p w14:paraId="250EA22F" w14:textId="3D40F937"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2023</w:t>
            </w:r>
            <w:r w:rsidR="001862FE">
              <w:rPr>
                <w:rFonts w:ascii="Arial" w:hAnsi="Arial" w:cs="Arial"/>
                <w:sz w:val="16"/>
                <w:szCs w:val="16"/>
              </w:rPr>
              <w:noBreakHyphen/>
            </w:r>
            <w:r w:rsidRPr="00313AFB">
              <w:rPr>
                <w:rFonts w:ascii="Arial" w:hAnsi="Arial" w:cs="Arial"/>
                <w:sz w:val="16"/>
                <w:szCs w:val="16"/>
              </w:rPr>
              <w:t>24</w:t>
            </w:r>
          </w:p>
        </w:tc>
        <w:tc>
          <w:tcPr>
            <w:tcW w:w="76" w:type="pct"/>
            <w:tcBorders>
              <w:top w:val="nil"/>
              <w:left w:val="nil"/>
              <w:bottom w:val="nil"/>
              <w:right w:val="nil"/>
            </w:tcBorders>
            <w:shd w:val="clear" w:color="auto" w:fill="auto"/>
            <w:noWrap/>
            <w:vAlign w:val="bottom"/>
            <w:hideMark/>
          </w:tcPr>
          <w:p w14:paraId="3D70A271" w14:textId="77777777" w:rsidR="00BC5B04" w:rsidRPr="00313AFB" w:rsidRDefault="00BC5B04" w:rsidP="00BC5B04">
            <w:pPr>
              <w:spacing w:before="0" w:after="0" w:line="240" w:lineRule="auto"/>
              <w:jc w:val="right"/>
              <w:rPr>
                <w:rFonts w:ascii="Arial" w:hAnsi="Arial" w:cs="Arial"/>
                <w:sz w:val="16"/>
                <w:szCs w:val="16"/>
              </w:rPr>
            </w:pPr>
          </w:p>
        </w:tc>
        <w:tc>
          <w:tcPr>
            <w:tcW w:w="775" w:type="pct"/>
            <w:tcBorders>
              <w:top w:val="nil"/>
              <w:left w:val="nil"/>
              <w:bottom w:val="single" w:sz="4" w:space="0" w:color="auto"/>
              <w:right w:val="nil"/>
            </w:tcBorders>
            <w:shd w:val="clear" w:color="auto" w:fill="auto"/>
            <w:noWrap/>
            <w:vAlign w:val="bottom"/>
            <w:hideMark/>
          </w:tcPr>
          <w:p w14:paraId="2514A554" w14:textId="6B7C95EC"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2022</w:t>
            </w:r>
            <w:r w:rsidR="001862FE">
              <w:rPr>
                <w:rFonts w:ascii="Arial" w:hAnsi="Arial" w:cs="Arial"/>
                <w:sz w:val="16"/>
                <w:szCs w:val="16"/>
              </w:rPr>
              <w:noBreakHyphen/>
            </w:r>
            <w:r w:rsidRPr="00313AFB">
              <w:rPr>
                <w:rFonts w:ascii="Arial" w:hAnsi="Arial" w:cs="Arial"/>
                <w:sz w:val="16"/>
                <w:szCs w:val="16"/>
              </w:rPr>
              <w:t>23</w:t>
            </w:r>
          </w:p>
        </w:tc>
        <w:tc>
          <w:tcPr>
            <w:tcW w:w="775" w:type="pct"/>
            <w:tcBorders>
              <w:top w:val="nil"/>
              <w:left w:val="nil"/>
              <w:bottom w:val="single" w:sz="4" w:space="0" w:color="auto"/>
              <w:right w:val="nil"/>
            </w:tcBorders>
            <w:shd w:val="clear" w:color="auto" w:fill="auto"/>
            <w:noWrap/>
            <w:vAlign w:val="bottom"/>
            <w:hideMark/>
          </w:tcPr>
          <w:p w14:paraId="24174243" w14:textId="3179F076"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2023</w:t>
            </w:r>
            <w:r w:rsidR="001862FE">
              <w:rPr>
                <w:rFonts w:ascii="Arial" w:hAnsi="Arial" w:cs="Arial"/>
                <w:sz w:val="16"/>
                <w:szCs w:val="16"/>
              </w:rPr>
              <w:noBreakHyphen/>
            </w:r>
            <w:r w:rsidRPr="00313AFB">
              <w:rPr>
                <w:rFonts w:ascii="Arial" w:hAnsi="Arial" w:cs="Arial"/>
                <w:sz w:val="16"/>
                <w:szCs w:val="16"/>
              </w:rPr>
              <w:t>24</w:t>
            </w:r>
          </w:p>
        </w:tc>
      </w:tr>
      <w:tr w:rsidR="00BC5B04" w:rsidRPr="00313AFB" w14:paraId="39EE408E" w14:textId="77777777" w:rsidTr="00BC5B04">
        <w:trPr>
          <w:divId w:val="513612657"/>
          <w:trHeight w:hRule="exact" w:val="225"/>
        </w:trPr>
        <w:tc>
          <w:tcPr>
            <w:tcW w:w="1824" w:type="pct"/>
            <w:tcBorders>
              <w:top w:val="nil"/>
              <w:left w:val="nil"/>
              <w:bottom w:val="nil"/>
              <w:right w:val="nil"/>
            </w:tcBorders>
            <w:shd w:val="clear" w:color="auto" w:fill="auto"/>
            <w:noWrap/>
            <w:vAlign w:val="bottom"/>
            <w:hideMark/>
          </w:tcPr>
          <w:p w14:paraId="14CF83B3" w14:textId="77777777" w:rsidR="00BC5B04" w:rsidRPr="00313AFB" w:rsidRDefault="00BC5B04" w:rsidP="00BC5B04">
            <w:pPr>
              <w:spacing w:before="0" w:after="0" w:line="240" w:lineRule="auto"/>
              <w:rPr>
                <w:rFonts w:ascii="Arial" w:hAnsi="Arial" w:cs="Arial"/>
                <w:sz w:val="16"/>
                <w:szCs w:val="16"/>
              </w:rPr>
            </w:pPr>
            <w:r w:rsidRPr="00313AFB">
              <w:rPr>
                <w:rFonts w:ascii="Arial" w:hAnsi="Arial" w:cs="Arial"/>
                <w:sz w:val="16"/>
                <w:szCs w:val="16"/>
              </w:rPr>
              <w:t>Nominal GDP ($billion)</w:t>
            </w:r>
          </w:p>
        </w:tc>
        <w:tc>
          <w:tcPr>
            <w:tcW w:w="775" w:type="pct"/>
            <w:tcBorders>
              <w:top w:val="nil"/>
              <w:left w:val="nil"/>
              <w:bottom w:val="nil"/>
              <w:right w:val="nil"/>
            </w:tcBorders>
            <w:shd w:val="clear" w:color="auto" w:fill="auto"/>
            <w:noWrap/>
            <w:vAlign w:val="bottom"/>
            <w:hideMark/>
          </w:tcPr>
          <w:p w14:paraId="77FC363A" w14:textId="68F010DE" w:rsidR="00BC5B04" w:rsidRPr="00313AFB" w:rsidRDefault="001862FE" w:rsidP="00BC5B04">
            <w:pPr>
              <w:spacing w:before="0" w:after="0" w:line="240" w:lineRule="auto"/>
              <w:jc w:val="right"/>
              <w:rPr>
                <w:rFonts w:ascii="Arial" w:hAnsi="Arial" w:cs="Arial"/>
                <w:sz w:val="16"/>
                <w:szCs w:val="16"/>
              </w:rPr>
            </w:pPr>
            <w:r>
              <w:rPr>
                <w:rFonts w:ascii="Arial" w:hAnsi="Arial" w:cs="Arial"/>
                <w:sz w:val="16"/>
                <w:szCs w:val="16"/>
              </w:rPr>
              <w:noBreakHyphen/>
            </w:r>
            <w:r w:rsidR="00BC5B04" w:rsidRPr="00313AFB">
              <w:rPr>
                <w:rFonts w:ascii="Arial" w:hAnsi="Arial" w:cs="Arial"/>
                <w:sz w:val="16"/>
                <w:szCs w:val="16"/>
              </w:rPr>
              <w:t>4.5</w:t>
            </w:r>
          </w:p>
        </w:tc>
        <w:tc>
          <w:tcPr>
            <w:tcW w:w="775" w:type="pct"/>
            <w:tcBorders>
              <w:top w:val="nil"/>
              <w:left w:val="nil"/>
              <w:bottom w:val="nil"/>
              <w:right w:val="nil"/>
            </w:tcBorders>
            <w:shd w:val="clear" w:color="auto" w:fill="auto"/>
            <w:noWrap/>
            <w:vAlign w:val="bottom"/>
            <w:hideMark/>
          </w:tcPr>
          <w:p w14:paraId="21B944DC" w14:textId="67F3B14A" w:rsidR="00BC5B04" w:rsidRPr="00313AFB" w:rsidRDefault="001862FE" w:rsidP="00BC5B04">
            <w:pPr>
              <w:spacing w:before="0" w:after="0" w:line="240" w:lineRule="auto"/>
              <w:jc w:val="right"/>
              <w:rPr>
                <w:rFonts w:ascii="Arial" w:hAnsi="Arial" w:cs="Arial"/>
                <w:sz w:val="16"/>
                <w:szCs w:val="16"/>
              </w:rPr>
            </w:pPr>
            <w:r>
              <w:rPr>
                <w:rFonts w:ascii="Arial" w:hAnsi="Arial" w:cs="Arial"/>
                <w:sz w:val="16"/>
                <w:szCs w:val="16"/>
              </w:rPr>
              <w:noBreakHyphen/>
            </w:r>
            <w:r w:rsidR="00BC5B04" w:rsidRPr="00313AFB">
              <w:rPr>
                <w:rFonts w:ascii="Arial" w:hAnsi="Arial" w:cs="Arial"/>
                <w:sz w:val="16"/>
                <w:szCs w:val="16"/>
              </w:rPr>
              <w:t>2.4</w:t>
            </w:r>
          </w:p>
        </w:tc>
        <w:tc>
          <w:tcPr>
            <w:tcW w:w="76" w:type="pct"/>
            <w:tcBorders>
              <w:top w:val="nil"/>
              <w:left w:val="nil"/>
              <w:bottom w:val="nil"/>
              <w:right w:val="nil"/>
            </w:tcBorders>
            <w:shd w:val="clear" w:color="auto" w:fill="auto"/>
            <w:noWrap/>
            <w:vAlign w:val="bottom"/>
            <w:hideMark/>
          </w:tcPr>
          <w:p w14:paraId="5B937414" w14:textId="77777777" w:rsidR="00BC5B04" w:rsidRPr="00313AFB" w:rsidRDefault="00BC5B04" w:rsidP="00BC5B04">
            <w:pPr>
              <w:spacing w:before="0" w:after="0" w:line="240" w:lineRule="auto"/>
              <w:jc w:val="right"/>
              <w:rPr>
                <w:rFonts w:ascii="Arial" w:hAnsi="Arial" w:cs="Arial"/>
                <w:sz w:val="16"/>
                <w:szCs w:val="16"/>
              </w:rPr>
            </w:pPr>
          </w:p>
        </w:tc>
        <w:tc>
          <w:tcPr>
            <w:tcW w:w="775" w:type="pct"/>
            <w:tcBorders>
              <w:top w:val="nil"/>
              <w:left w:val="nil"/>
              <w:bottom w:val="nil"/>
              <w:right w:val="nil"/>
            </w:tcBorders>
            <w:shd w:val="clear" w:color="auto" w:fill="auto"/>
            <w:noWrap/>
            <w:vAlign w:val="bottom"/>
            <w:hideMark/>
          </w:tcPr>
          <w:p w14:paraId="42D8FA08" w14:textId="77777777"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4.5</w:t>
            </w:r>
          </w:p>
        </w:tc>
        <w:tc>
          <w:tcPr>
            <w:tcW w:w="775" w:type="pct"/>
            <w:tcBorders>
              <w:top w:val="nil"/>
              <w:left w:val="nil"/>
              <w:bottom w:val="nil"/>
              <w:right w:val="nil"/>
            </w:tcBorders>
            <w:shd w:val="clear" w:color="auto" w:fill="auto"/>
            <w:noWrap/>
            <w:vAlign w:val="bottom"/>
            <w:hideMark/>
          </w:tcPr>
          <w:p w14:paraId="18FCEBC9" w14:textId="77777777"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2.4</w:t>
            </w:r>
          </w:p>
        </w:tc>
      </w:tr>
      <w:tr w:rsidR="00BC5B04" w:rsidRPr="00313AFB" w14:paraId="218F335F" w14:textId="77777777" w:rsidTr="00BC5B04">
        <w:trPr>
          <w:divId w:val="513612657"/>
          <w:trHeight w:hRule="exact" w:val="225"/>
        </w:trPr>
        <w:tc>
          <w:tcPr>
            <w:tcW w:w="1824" w:type="pct"/>
            <w:tcBorders>
              <w:top w:val="nil"/>
              <w:left w:val="nil"/>
              <w:bottom w:val="single" w:sz="4" w:space="0" w:color="000000"/>
              <w:right w:val="nil"/>
            </w:tcBorders>
            <w:shd w:val="clear" w:color="auto" w:fill="auto"/>
            <w:noWrap/>
            <w:vAlign w:val="bottom"/>
            <w:hideMark/>
          </w:tcPr>
          <w:p w14:paraId="042F6CD1" w14:textId="77777777" w:rsidR="00BC5B04" w:rsidRPr="00313AFB" w:rsidRDefault="00BC5B04" w:rsidP="00BC5B04">
            <w:pPr>
              <w:spacing w:before="0" w:after="0" w:line="240" w:lineRule="auto"/>
              <w:rPr>
                <w:rFonts w:ascii="Arial" w:hAnsi="Arial" w:cs="Arial"/>
                <w:sz w:val="16"/>
                <w:szCs w:val="16"/>
              </w:rPr>
            </w:pPr>
            <w:r w:rsidRPr="00313AFB">
              <w:rPr>
                <w:rFonts w:ascii="Arial" w:hAnsi="Arial" w:cs="Arial"/>
                <w:sz w:val="16"/>
                <w:szCs w:val="16"/>
              </w:rPr>
              <w:t>Tax receipts ($billion)</w:t>
            </w:r>
          </w:p>
        </w:tc>
        <w:tc>
          <w:tcPr>
            <w:tcW w:w="775" w:type="pct"/>
            <w:tcBorders>
              <w:top w:val="nil"/>
              <w:left w:val="nil"/>
              <w:bottom w:val="single" w:sz="4" w:space="0" w:color="000000"/>
              <w:right w:val="nil"/>
            </w:tcBorders>
            <w:shd w:val="clear" w:color="auto" w:fill="auto"/>
            <w:noWrap/>
            <w:vAlign w:val="bottom"/>
            <w:hideMark/>
          </w:tcPr>
          <w:p w14:paraId="2A6E509D" w14:textId="1B1E2A1C" w:rsidR="00BC5B04" w:rsidRPr="00313AFB" w:rsidRDefault="001862FE" w:rsidP="00BC5B04">
            <w:pPr>
              <w:spacing w:before="0" w:after="0" w:line="240" w:lineRule="auto"/>
              <w:jc w:val="right"/>
              <w:rPr>
                <w:rFonts w:ascii="Arial" w:hAnsi="Arial" w:cs="Arial"/>
                <w:sz w:val="16"/>
                <w:szCs w:val="16"/>
              </w:rPr>
            </w:pPr>
            <w:r>
              <w:rPr>
                <w:rFonts w:ascii="Arial" w:hAnsi="Arial" w:cs="Arial"/>
                <w:sz w:val="16"/>
                <w:szCs w:val="16"/>
              </w:rPr>
              <w:noBreakHyphen/>
            </w:r>
            <w:r w:rsidR="00BC5B04" w:rsidRPr="00313AFB">
              <w:rPr>
                <w:rFonts w:ascii="Arial" w:hAnsi="Arial" w:cs="Arial"/>
                <w:sz w:val="16"/>
                <w:szCs w:val="16"/>
              </w:rPr>
              <w:t>0.5</w:t>
            </w:r>
          </w:p>
        </w:tc>
        <w:tc>
          <w:tcPr>
            <w:tcW w:w="775" w:type="pct"/>
            <w:tcBorders>
              <w:top w:val="nil"/>
              <w:left w:val="nil"/>
              <w:bottom w:val="single" w:sz="4" w:space="0" w:color="000000"/>
              <w:right w:val="nil"/>
            </w:tcBorders>
            <w:shd w:val="clear" w:color="auto" w:fill="auto"/>
            <w:noWrap/>
            <w:vAlign w:val="bottom"/>
            <w:hideMark/>
          </w:tcPr>
          <w:p w14:paraId="651763D6" w14:textId="59A429B5" w:rsidR="00BC5B04" w:rsidRPr="00313AFB" w:rsidRDefault="001862FE" w:rsidP="00BC5B04">
            <w:pPr>
              <w:spacing w:before="0" w:after="0" w:line="240" w:lineRule="auto"/>
              <w:jc w:val="right"/>
              <w:rPr>
                <w:rFonts w:ascii="Arial" w:hAnsi="Arial" w:cs="Arial"/>
                <w:sz w:val="16"/>
                <w:szCs w:val="16"/>
              </w:rPr>
            </w:pPr>
            <w:r>
              <w:rPr>
                <w:rFonts w:ascii="Arial" w:hAnsi="Arial" w:cs="Arial"/>
                <w:sz w:val="16"/>
                <w:szCs w:val="16"/>
              </w:rPr>
              <w:noBreakHyphen/>
            </w:r>
            <w:r w:rsidR="00BC5B04" w:rsidRPr="00313AFB">
              <w:rPr>
                <w:rFonts w:ascii="Arial" w:hAnsi="Arial" w:cs="Arial"/>
                <w:sz w:val="16"/>
                <w:szCs w:val="16"/>
              </w:rPr>
              <w:t>0.5</w:t>
            </w:r>
          </w:p>
        </w:tc>
        <w:tc>
          <w:tcPr>
            <w:tcW w:w="76" w:type="pct"/>
            <w:tcBorders>
              <w:top w:val="nil"/>
              <w:left w:val="nil"/>
              <w:bottom w:val="single" w:sz="4" w:space="0" w:color="000000"/>
              <w:right w:val="nil"/>
            </w:tcBorders>
            <w:shd w:val="clear" w:color="auto" w:fill="auto"/>
            <w:noWrap/>
            <w:vAlign w:val="bottom"/>
            <w:hideMark/>
          </w:tcPr>
          <w:p w14:paraId="4D5DE98D" w14:textId="77777777" w:rsidR="00BC5B04" w:rsidRPr="00313AFB" w:rsidRDefault="00BC5B04" w:rsidP="00BC5B04">
            <w:pPr>
              <w:spacing w:before="0" w:after="0" w:line="240" w:lineRule="auto"/>
              <w:rPr>
                <w:rFonts w:ascii="Arial" w:hAnsi="Arial" w:cs="Arial"/>
                <w:sz w:val="16"/>
                <w:szCs w:val="16"/>
              </w:rPr>
            </w:pPr>
            <w:r w:rsidRPr="00313AFB">
              <w:rPr>
                <w:rFonts w:ascii="Arial" w:hAnsi="Arial" w:cs="Arial"/>
                <w:sz w:val="16"/>
                <w:szCs w:val="16"/>
              </w:rPr>
              <w:t> </w:t>
            </w:r>
          </w:p>
        </w:tc>
        <w:tc>
          <w:tcPr>
            <w:tcW w:w="775" w:type="pct"/>
            <w:tcBorders>
              <w:top w:val="nil"/>
              <w:left w:val="nil"/>
              <w:bottom w:val="single" w:sz="4" w:space="0" w:color="000000"/>
              <w:right w:val="nil"/>
            </w:tcBorders>
            <w:shd w:val="clear" w:color="auto" w:fill="auto"/>
            <w:noWrap/>
            <w:vAlign w:val="bottom"/>
            <w:hideMark/>
          </w:tcPr>
          <w:p w14:paraId="26D593C6" w14:textId="77777777"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0.5</w:t>
            </w:r>
          </w:p>
        </w:tc>
        <w:tc>
          <w:tcPr>
            <w:tcW w:w="775" w:type="pct"/>
            <w:tcBorders>
              <w:top w:val="nil"/>
              <w:left w:val="nil"/>
              <w:bottom w:val="single" w:sz="4" w:space="0" w:color="000000"/>
              <w:right w:val="nil"/>
            </w:tcBorders>
            <w:shd w:val="clear" w:color="auto" w:fill="auto"/>
            <w:noWrap/>
            <w:vAlign w:val="bottom"/>
            <w:hideMark/>
          </w:tcPr>
          <w:p w14:paraId="6A92ECB1" w14:textId="77777777" w:rsidR="00BC5B04" w:rsidRPr="00313AFB" w:rsidRDefault="00BC5B04" w:rsidP="00BC5B04">
            <w:pPr>
              <w:spacing w:before="0" w:after="0" w:line="240" w:lineRule="auto"/>
              <w:jc w:val="right"/>
              <w:rPr>
                <w:rFonts w:ascii="Arial" w:hAnsi="Arial" w:cs="Arial"/>
                <w:sz w:val="16"/>
                <w:szCs w:val="16"/>
              </w:rPr>
            </w:pPr>
            <w:r w:rsidRPr="00313AFB">
              <w:rPr>
                <w:rFonts w:ascii="Arial" w:hAnsi="Arial" w:cs="Arial"/>
                <w:sz w:val="16"/>
                <w:szCs w:val="16"/>
              </w:rPr>
              <w:t>0.5</w:t>
            </w:r>
          </w:p>
        </w:tc>
      </w:tr>
    </w:tbl>
    <w:p w14:paraId="30546624" w14:textId="49F0DF98" w:rsidR="00235554" w:rsidRPr="00313AFB" w:rsidRDefault="00235554" w:rsidP="00BC7DE2">
      <w:pPr>
        <w:pStyle w:val="ChartandTableFootnoteAlpha"/>
        <w:numPr>
          <w:ilvl w:val="0"/>
          <w:numId w:val="14"/>
        </w:numPr>
        <w:rPr>
          <w:color w:val="auto"/>
        </w:rPr>
      </w:pPr>
      <w:r w:rsidRPr="00B0701D">
        <w:rPr>
          <w:color w:val="auto"/>
        </w:rPr>
        <w:t>Prices are presented in free</w:t>
      </w:r>
      <w:r w:rsidR="006F4190" w:rsidRPr="00B0701D">
        <w:rPr>
          <w:color w:val="auto"/>
        </w:rPr>
        <w:t xml:space="preserve"> </w:t>
      </w:r>
      <w:r w:rsidRPr="00DB1537">
        <w:rPr>
          <w:color w:val="auto"/>
        </w:rPr>
        <w:t>on</w:t>
      </w:r>
      <w:r w:rsidR="006F4190" w:rsidRPr="00313AFB">
        <w:rPr>
          <w:color w:val="auto"/>
        </w:rPr>
        <w:t xml:space="preserve"> </w:t>
      </w:r>
      <w:r w:rsidRPr="00313AFB">
        <w:rPr>
          <w:color w:val="auto"/>
        </w:rPr>
        <w:t xml:space="preserve">board (FOB) terms which exclude the cost of freight. </w:t>
      </w:r>
    </w:p>
    <w:p w14:paraId="2BD0836A" w14:textId="3839D4A2" w:rsidR="00E92F70" w:rsidRPr="00D9533C" w:rsidRDefault="00235554" w:rsidP="00D17429">
      <w:pPr>
        <w:pStyle w:val="ChartandTableFootnote"/>
        <w:rPr>
          <w:color w:val="auto"/>
        </w:rPr>
      </w:pPr>
      <w:r w:rsidRPr="00313AFB">
        <w:t xml:space="preserve">Source: </w:t>
      </w:r>
      <w:r w:rsidRPr="00313AFB">
        <w:tab/>
      </w:r>
      <w:r w:rsidRPr="00D9533C">
        <w:rPr>
          <w:color w:val="auto"/>
        </w:rPr>
        <w:t xml:space="preserve">Treasury. </w:t>
      </w:r>
    </w:p>
    <w:p w14:paraId="3E78D975" w14:textId="6097BCFB" w:rsidR="00A62D37" w:rsidRPr="00C35C2D" w:rsidRDefault="00A62D37" w:rsidP="00B25199">
      <w:pPr>
        <w:pStyle w:val="ChartLine"/>
      </w:pPr>
    </w:p>
    <w:p w14:paraId="1D8E7B57" w14:textId="03013696" w:rsidR="005177FD" w:rsidRPr="00D9533C" w:rsidRDefault="005177FD" w:rsidP="005F29DD">
      <w:pPr>
        <w:rPr>
          <w:b/>
        </w:rPr>
      </w:pPr>
      <w:bookmarkStart w:id="56" w:name="_Toc116037834"/>
      <w:r w:rsidRPr="00D9533C">
        <w:t xml:space="preserve">This analysis considers the impact </w:t>
      </w:r>
      <w:r w:rsidR="00DA76AB" w:rsidRPr="00D9533C">
        <w:t>of</w:t>
      </w:r>
      <w:r w:rsidRPr="00D9533C">
        <w:t xml:space="preserve"> a permanent US$10 per</w:t>
      </w:r>
      <w:r w:rsidR="00C56271" w:rsidRPr="00D9533C">
        <w:t> </w:t>
      </w:r>
      <w:r w:rsidRPr="00D9533C">
        <w:t xml:space="preserve">tonne increase in the iron ore price on nominal GDP and tax receipts relative to </w:t>
      </w:r>
      <w:r w:rsidR="001F4E64" w:rsidRPr="00D9533C">
        <w:t xml:space="preserve">the </w:t>
      </w:r>
      <w:r w:rsidR="003E4F7F" w:rsidRPr="00D9533C">
        <w:t xml:space="preserve">baseline </w:t>
      </w:r>
      <w:r w:rsidR="001F4E64" w:rsidRPr="00D9533C">
        <w:t>forecast</w:t>
      </w:r>
      <w:r w:rsidRPr="00D9533C">
        <w:t>. The effects of a US$10</w:t>
      </w:r>
      <w:r w:rsidR="00C56271" w:rsidRPr="00D9533C">
        <w:t> </w:t>
      </w:r>
      <w:r w:rsidRPr="00D9533C">
        <w:t>per</w:t>
      </w:r>
      <w:r w:rsidR="00C56271" w:rsidRPr="00D9533C">
        <w:t> </w:t>
      </w:r>
      <w:r w:rsidRPr="00D9533C">
        <w:t xml:space="preserve">tonne decrease </w:t>
      </w:r>
      <w:r w:rsidR="00687943" w:rsidRPr="00D9533C">
        <w:t xml:space="preserve">and increase </w:t>
      </w:r>
      <w:r w:rsidRPr="00D9533C">
        <w:t>in the iron ore price are broadly symmetrical.</w:t>
      </w:r>
      <w:bookmarkEnd w:id="56"/>
      <w:r w:rsidRPr="00D9533C">
        <w:t xml:space="preserve"> </w:t>
      </w:r>
    </w:p>
    <w:p w14:paraId="7E1E71EC" w14:textId="16AD33C7" w:rsidR="005177FD" w:rsidRPr="00D9533C" w:rsidRDefault="005177FD" w:rsidP="005F29DD">
      <w:pPr>
        <w:rPr>
          <w:b/>
        </w:rPr>
      </w:pPr>
      <w:bookmarkStart w:id="57" w:name="_Toc116037835"/>
      <w:r w:rsidRPr="00D9533C">
        <w:t>The US$10</w:t>
      </w:r>
      <w:r w:rsidR="00C56271" w:rsidRPr="00D9533C">
        <w:t> </w:t>
      </w:r>
      <w:r w:rsidRPr="00D9533C">
        <w:t>per</w:t>
      </w:r>
      <w:r w:rsidR="00C56271" w:rsidRPr="00D9533C">
        <w:t> </w:t>
      </w:r>
      <w:r w:rsidRPr="00D9533C">
        <w:t>tonne increase in the assumed price for iron ore exports is expected to result in an increase in nominal GDP of around $</w:t>
      </w:r>
      <w:r w:rsidR="28388BF8" w:rsidRPr="00D9533C">
        <w:t>4.5</w:t>
      </w:r>
      <w:r w:rsidRPr="00D9533C">
        <w:t> billion in 2022</w:t>
      </w:r>
      <w:r w:rsidR="00BC5B04" w:rsidRPr="00D9533C">
        <w:t>–</w:t>
      </w:r>
      <w:r w:rsidRPr="00D9533C">
        <w:t>23 and around $</w:t>
      </w:r>
      <w:r w:rsidR="70449185" w:rsidRPr="00D9533C">
        <w:t>2.4</w:t>
      </w:r>
      <w:r w:rsidR="00BC5B04" w:rsidRPr="00D9533C">
        <w:t> </w:t>
      </w:r>
      <w:r w:rsidRPr="00D9533C">
        <w:t>billion in 2023</w:t>
      </w:r>
      <w:r w:rsidR="00BC5B04" w:rsidRPr="00D9533C">
        <w:t>–</w:t>
      </w:r>
      <w:r w:rsidRPr="00D9533C">
        <w:t>24. The economic response to a permanent change in the price of iron ore is derived from a generic terms of trade shock in Treasury</w:t>
      </w:r>
      <w:r w:rsidR="001862FE" w:rsidRPr="00D9533C">
        <w:t>’</w:t>
      </w:r>
      <w:r w:rsidRPr="00D9533C">
        <w:t xml:space="preserve">s </w:t>
      </w:r>
      <w:proofErr w:type="spellStart"/>
      <w:r w:rsidRPr="00D9533C">
        <w:t>Macroeconometric</w:t>
      </w:r>
      <w:proofErr w:type="spellEnd"/>
      <w:r w:rsidRPr="00D9533C">
        <w:t xml:space="preserve"> Model of Australia. The model incorporates </w:t>
      </w:r>
      <w:r w:rsidR="457AF7B1" w:rsidRPr="00D9533C">
        <w:t>forward</w:t>
      </w:r>
      <w:r w:rsidR="00457393" w:rsidRPr="00D9533C">
        <w:t xml:space="preserve"> </w:t>
      </w:r>
      <w:r w:rsidR="457AF7B1" w:rsidRPr="00D9533C">
        <w:t>looking</w:t>
      </w:r>
      <w:r w:rsidRPr="00D9533C">
        <w:t xml:space="preserve"> financial markets, which anticipate the permanent increase in commodity prices.</w:t>
      </w:r>
      <w:bookmarkEnd w:id="57"/>
      <w:r w:rsidRPr="00D9533C">
        <w:t xml:space="preserve"> </w:t>
      </w:r>
    </w:p>
    <w:p w14:paraId="71056936" w14:textId="6AD831F3" w:rsidR="005177FD" w:rsidRPr="00B0701D" w:rsidRDefault="009513AF" w:rsidP="005F29DD">
      <w:pPr>
        <w:rPr>
          <w:b/>
        </w:rPr>
      </w:pPr>
      <w:bookmarkStart w:id="58" w:name="_Toc116037836"/>
      <w:r w:rsidRPr="00D9533C">
        <w:t>A</w:t>
      </w:r>
      <w:r w:rsidR="005177FD" w:rsidRPr="00D9533C">
        <w:t>n increase in iron ore export prices leads to higher export prices and terms of trade.</w:t>
      </w:r>
      <w:r w:rsidR="005177FD" w:rsidRPr="00D9533C" w:rsidDel="009513AF">
        <w:t xml:space="preserve"> </w:t>
      </w:r>
      <w:r w:rsidRPr="00D9533C">
        <w:t>T</w:t>
      </w:r>
      <w:r w:rsidR="005177FD" w:rsidRPr="00D9533C">
        <w:t>his</w:t>
      </w:r>
      <w:r w:rsidR="00A174B9" w:rsidRPr="00D9533C">
        <w:t> </w:t>
      </w:r>
      <w:r w:rsidR="005177FD" w:rsidRPr="00D9533C">
        <w:t xml:space="preserve">is moderated </w:t>
      </w:r>
      <w:r w:rsidR="000B2BC1" w:rsidRPr="00D9533C">
        <w:t>in the model response</w:t>
      </w:r>
      <w:r w:rsidR="005177FD" w:rsidRPr="00D9533C">
        <w:t xml:space="preserve"> by an appreciation in the exchange rate, which partially offsets the increase in export prices. The appreciation also reduces import prices across all industries which flows through to lower consumer price inflation. Output,</w:t>
      </w:r>
      <w:r w:rsidR="005177FD" w:rsidRPr="00D9533C" w:rsidDel="005B39C4">
        <w:t xml:space="preserve"> investment and export volumes</w:t>
      </w:r>
      <w:r w:rsidR="005177FD" w:rsidRPr="00D9533C">
        <w:t xml:space="preserve"> in the mining sector</w:t>
      </w:r>
      <w:r w:rsidR="005177FD" w:rsidRPr="00D9533C" w:rsidDel="005B39C4">
        <w:t xml:space="preserve"> increase in response to higher </w:t>
      </w:r>
      <w:r w:rsidR="005177FD" w:rsidRPr="00D9533C">
        <w:t>iron ore</w:t>
      </w:r>
      <w:r w:rsidR="005177FD" w:rsidRPr="00D9533C" w:rsidDel="005B39C4">
        <w:t xml:space="preserve"> prices</w:t>
      </w:r>
      <w:r w:rsidR="005177FD" w:rsidRPr="00D9533C">
        <w:t>, although this is limited over the short term due to adjustment costs in increasing the capital stock</w:t>
      </w:r>
      <w:bookmarkEnd w:id="58"/>
      <w:r w:rsidR="005177FD" w:rsidRPr="00D9533C" w:rsidDel="005B39C4">
        <w:t>.</w:t>
      </w:r>
      <w:r w:rsidR="00A62D37" w:rsidRPr="00D9533C">
        <w:t xml:space="preserve"> </w:t>
      </w:r>
      <w:r w:rsidR="007B122F" w:rsidRPr="00B0701D" w:rsidDel="007B122F">
        <w:rPr>
          <w:rStyle w:val="CommentReference"/>
        </w:rPr>
        <w:t xml:space="preserve"> </w:t>
      </w:r>
    </w:p>
    <w:p w14:paraId="111154D4" w14:textId="70E3B65E" w:rsidR="005177FD" w:rsidRPr="00B0701D" w:rsidRDefault="005177FD" w:rsidP="00921397">
      <w:pPr>
        <w:ind w:right="170"/>
        <w:rPr>
          <w:b/>
        </w:rPr>
      </w:pPr>
      <w:bookmarkStart w:id="59" w:name="_Toc116037837"/>
      <w:r w:rsidRPr="00D9533C">
        <w:t>A US$10</w:t>
      </w:r>
      <w:r w:rsidR="00C56271" w:rsidRPr="00D9533C">
        <w:t> </w:t>
      </w:r>
      <w:r w:rsidRPr="00D9533C">
        <w:t>per</w:t>
      </w:r>
      <w:r w:rsidR="00C56271" w:rsidRPr="00D9533C">
        <w:t> </w:t>
      </w:r>
      <w:r w:rsidRPr="00D9533C">
        <w:t>tonne increase in the assumed price for iron ore exports is expected to result in an increase in tax receipts of around $</w:t>
      </w:r>
      <w:r w:rsidR="00742B9B" w:rsidRPr="00D9533C">
        <w:t>0.</w:t>
      </w:r>
      <w:r w:rsidR="00274FA8" w:rsidRPr="00D9533C">
        <w:t>5</w:t>
      </w:r>
      <w:r w:rsidR="00BC5B04" w:rsidRPr="00D9533C">
        <w:t> </w:t>
      </w:r>
      <w:r w:rsidRPr="00D9533C">
        <w:t>billion in 2022</w:t>
      </w:r>
      <w:r w:rsidR="00BC5B04" w:rsidRPr="00D9533C">
        <w:t>–</w:t>
      </w:r>
      <w:r w:rsidRPr="00D9533C">
        <w:t>23 and 2023</w:t>
      </w:r>
      <w:r w:rsidR="00BC5B04" w:rsidRPr="00D9533C">
        <w:t>–</w:t>
      </w:r>
      <w:r w:rsidRPr="00D9533C">
        <w:t>24. An increase in iron ore export prices increases mining company profits and, as a result, increases company tax receipts. Lower domestic prices result in lower individuals and other withholding taxes and indirect tax receipts, partially offsetting the increase in company tax.</w:t>
      </w:r>
      <w:r w:rsidRPr="00347106">
        <w:t xml:space="preserve"> </w:t>
      </w:r>
      <w:bookmarkEnd w:id="59"/>
    </w:p>
    <w:p w14:paraId="19011140" w14:textId="53C31B5F" w:rsidR="00E50765" w:rsidRPr="00D9533C" w:rsidRDefault="00331156" w:rsidP="00676CA2">
      <w:pPr>
        <w:pStyle w:val="Heading3"/>
      </w:pPr>
      <w:bookmarkStart w:id="60" w:name="_Toc116037838"/>
      <w:bookmarkStart w:id="61" w:name="_Toc116037703"/>
      <w:bookmarkStart w:id="62" w:name="_Toc116040765"/>
      <w:bookmarkEnd w:id="55"/>
      <w:r w:rsidRPr="00D9533C">
        <w:t>Movement</w:t>
      </w:r>
      <w:r w:rsidR="0005601D" w:rsidRPr="00D9533C">
        <w:t>s</w:t>
      </w:r>
      <w:r w:rsidRPr="00D9533C">
        <w:t xml:space="preserve"> in</w:t>
      </w:r>
      <w:r w:rsidR="00977BB7" w:rsidRPr="00D9533C">
        <w:t xml:space="preserve"> </w:t>
      </w:r>
      <w:r w:rsidR="00E50765" w:rsidRPr="00D9533C">
        <w:t>yields</w:t>
      </w:r>
      <w:bookmarkEnd w:id="60"/>
      <w:bookmarkEnd w:id="61"/>
      <w:bookmarkEnd w:id="62"/>
    </w:p>
    <w:p w14:paraId="0E59174D" w14:textId="49198371" w:rsidR="00FD6D81" w:rsidRPr="00D9533C" w:rsidRDefault="00DB3610" w:rsidP="00A174B9">
      <w:pPr>
        <w:ind w:right="113"/>
      </w:pPr>
      <w:r w:rsidRPr="00D9533C">
        <w:t>T</w:t>
      </w:r>
      <w:r w:rsidR="00550357" w:rsidRPr="00D9533C">
        <w:t>he cost of government borrowing</w:t>
      </w:r>
      <w:r w:rsidRPr="00D9533C">
        <w:t xml:space="preserve"> largely </w:t>
      </w:r>
      <w:r w:rsidR="005360E2" w:rsidRPr="00D9533C">
        <w:t xml:space="preserve">reflects </w:t>
      </w:r>
      <w:r w:rsidRPr="00D9533C">
        <w:t>yields</w:t>
      </w:r>
      <w:r w:rsidR="005360E2" w:rsidRPr="00D9533C">
        <w:t xml:space="preserve"> </w:t>
      </w:r>
      <w:r w:rsidR="006602A5" w:rsidRPr="00D9533C">
        <w:t>on</w:t>
      </w:r>
      <w:r w:rsidR="00FB5647" w:rsidRPr="00D9533C">
        <w:t xml:space="preserve"> Australian Government </w:t>
      </w:r>
      <w:r w:rsidR="00C25A6F" w:rsidRPr="00D9533C">
        <w:t>Securities</w:t>
      </w:r>
      <w:r w:rsidR="006602A5" w:rsidRPr="00D9533C">
        <w:t xml:space="preserve"> </w:t>
      </w:r>
      <w:r w:rsidR="00AF2547" w:rsidRPr="00D9533C">
        <w:t xml:space="preserve">and the </w:t>
      </w:r>
      <w:r w:rsidR="00785E33" w:rsidRPr="00D9533C">
        <w:t>level</w:t>
      </w:r>
      <w:r w:rsidR="00A2252C" w:rsidRPr="00D9533C">
        <w:t xml:space="preserve"> of </w:t>
      </w:r>
      <w:r w:rsidR="005360E2" w:rsidRPr="00D9533C">
        <w:t>debt</w:t>
      </w:r>
      <w:r w:rsidR="00550357" w:rsidRPr="00D9533C">
        <w:t xml:space="preserve">. Yields </w:t>
      </w:r>
      <w:r w:rsidR="008170AD" w:rsidRPr="00D9533C">
        <w:t xml:space="preserve">have been </w:t>
      </w:r>
      <w:r w:rsidR="005360E2" w:rsidRPr="00D9533C">
        <w:t xml:space="preserve">volatile but trending up </w:t>
      </w:r>
      <w:r w:rsidR="008170AD" w:rsidRPr="00D9533C">
        <w:t>rapidly</w:t>
      </w:r>
      <w:r w:rsidR="002A09E6" w:rsidRPr="00D9533C">
        <w:t xml:space="preserve"> </w:t>
      </w:r>
      <w:r w:rsidR="00550357" w:rsidRPr="00D9533C">
        <w:t>(</w:t>
      </w:r>
      <w:r w:rsidR="00550357" w:rsidRPr="00D9533C">
        <w:rPr>
          <w:i/>
        </w:rPr>
        <w:t>see</w:t>
      </w:r>
      <w:r w:rsidR="00A174B9" w:rsidRPr="00D9533C">
        <w:rPr>
          <w:i/>
        </w:rPr>
        <w:t> </w:t>
      </w:r>
      <w:r w:rsidR="00550357" w:rsidRPr="00D9533C">
        <w:rPr>
          <w:i/>
        </w:rPr>
        <w:t>Budget Statement 3: Fiscal Strategy and Outlook)</w:t>
      </w:r>
      <w:r w:rsidR="00550357" w:rsidRPr="00D9533C">
        <w:t xml:space="preserve">. The following analysis illustrates </w:t>
      </w:r>
      <w:r w:rsidR="00055148" w:rsidRPr="00D9533C">
        <w:t>the</w:t>
      </w:r>
      <w:r w:rsidR="00A174B9" w:rsidRPr="00D9533C">
        <w:t> </w:t>
      </w:r>
      <w:r w:rsidR="00550357" w:rsidRPr="00D9533C">
        <w:t xml:space="preserve">sensitivity of the underlying cash balance and gross debt </w:t>
      </w:r>
      <w:r w:rsidR="00DF49A0" w:rsidRPr="00D9533C">
        <w:t>projections</w:t>
      </w:r>
      <w:r w:rsidR="00055148" w:rsidRPr="00D9533C">
        <w:t xml:space="preserve"> </w:t>
      </w:r>
      <w:r w:rsidR="00550357" w:rsidRPr="00D9533C">
        <w:t>over the next 10</w:t>
      </w:r>
      <w:r w:rsidR="00A174B9" w:rsidRPr="00D9533C">
        <w:t> </w:t>
      </w:r>
      <w:r w:rsidR="00550357" w:rsidRPr="00D9533C">
        <w:t xml:space="preserve">years </w:t>
      </w:r>
      <w:r w:rsidR="00383747" w:rsidRPr="00D9533C">
        <w:t xml:space="preserve">to </w:t>
      </w:r>
      <w:r w:rsidR="00550357" w:rsidRPr="00D9533C">
        <w:t>yield assumptions.</w:t>
      </w:r>
      <w:r w:rsidR="009E2A92" w:rsidRPr="00D9533C">
        <w:t xml:space="preserve"> </w:t>
      </w:r>
      <w:r w:rsidR="00550357" w:rsidRPr="00D9533C">
        <w:t xml:space="preserve">This analysis illustrates </w:t>
      </w:r>
      <w:r w:rsidR="002B29E2" w:rsidRPr="00D9533C">
        <w:t>the</w:t>
      </w:r>
      <w:r w:rsidR="009E2A92" w:rsidRPr="00D9533C">
        <w:t xml:space="preserve"> yield </w:t>
      </w:r>
      <w:r w:rsidR="00550357" w:rsidRPr="00D9533C">
        <w:t>impact in isolation</w:t>
      </w:r>
      <w:r w:rsidR="009E2A92" w:rsidRPr="00D9533C">
        <w:t xml:space="preserve"> with o</w:t>
      </w:r>
      <w:r w:rsidR="00550357" w:rsidRPr="00D9533C">
        <w:t>ther economic projections</w:t>
      </w:r>
      <w:r w:rsidR="00C558BA" w:rsidRPr="00D9533C">
        <w:t xml:space="preserve"> unchanged from baseline</w:t>
      </w:r>
      <w:r w:rsidR="00550357" w:rsidRPr="00D9533C">
        <w:t xml:space="preserve">. While yields </w:t>
      </w:r>
      <w:r w:rsidR="00603990" w:rsidRPr="00D9533C">
        <w:t xml:space="preserve">usually do not </w:t>
      </w:r>
      <w:r w:rsidR="00550357" w:rsidRPr="00D9533C">
        <w:t xml:space="preserve">move in isolation, </w:t>
      </w:r>
      <w:r w:rsidR="00C558BA" w:rsidRPr="00D9533C">
        <w:t xml:space="preserve">this </w:t>
      </w:r>
      <w:r w:rsidR="00B1029D" w:rsidRPr="00D9533C">
        <w:t xml:space="preserve">analysis </w:t>
      </w:r>
      <w:r w:rsidR="00550357" w:rsidRPr="00D9533C">
        <w:t xml:space="preserve">shows how yields may impact fiscal aggregates, above and beyond other changes. </w:t>
      </w:r>
    </w:p>
    <w:p w14:paraId="7A325EA3" w14:textId="597F668B" w:rsidR="00550357" w:rsidRPr="00D9533C" w:rsidRDefault="003644F2" w:rsidP="00550357">
      <w:r w:rsidRPr="00D9533C">
        <w:t xml:space="preserve">Alongside </w:t>
      </w:r>
      <w:r w:rsidR="00A57C58" w:rsidRPr="00D9533C">
        <w:t xml:space="preserve">government </w:t>
      </w:r>
      <w:r w:rsidR="003E74EE" w:rsidRPr="00D9533C">
        <w:t>receipts</w:t>
      </w:r>
      <w:r w:rsidR="00A57C58" w:rsidRPr="00D9533C">
        <w:t xml:space="preserve"> and </w:t>
      </w:r>
      <w:r w:rsidR="003E74EE" w:rsidRPr="00D9533C">
        <w:t>payments</w:t>
      </w:r>
      <w:r w:rsidRPr="00D9533C">
        <w:t>, f</w:t>
      </w:r>
      <w:r w:rsidR="005360E2" w:rsidRPr="00D9533C">
        <w:t xml:space="preserve">iscal sustainability depends on </w:t>
      </w:r>
      <w:r w:rsidR="00550357" w:rsidRPr="00D9533C">
        <w:t>the difference between yields and economic growth.</w:t>
      </w:r>
      <w:r w:rsidR="00204733" w:rsidRPr="00D9533C">
        <w:t xml:space="preserve"> </w:t>
      </w:r>
      <w:r w:rsidR="00105D99" w:rsidRPr="00D9533C">
        <w:t>If</w:t>
      </w:r>
      <w:r w:rsidR="00956685" w:rsidRPr="00D9533C">
        <w:t xml:space="preserve"> the rate of</w:t>
      </w:r>
      <w:r w:rsidR="00105D99" w:rsidRPr="00D9533C">
        <w:t xml:space="preserve"> </w:t>
      </w:r>
      <w:r w:rsidR="00193B75" w:rsidRPr="00D9533C">
        <w:t>economic growth</w:t>
      </w:r>
      <w:r w:rsidR="00105D99" w:rsidRPr="00D9533C">
        <w:t xml:space="preserve"> </w:t>
      </w:r>
      <w:r w:rsidR="00193B75" w:rsidRPr="00D9533C">
        <w:t>is greater</w:t>
      </w:r>
      <w:r w:rsidR="00105D99" w:rsidRPr="00D9533C">
        <w:t xml:space="preserve"> </w:t>
      </w:r>
      <w:r w:rsidR="00105D99" w:rsidRPr="00D9533C">
        <w:lastRenderedPageBreak/>
        <w:t xml:space="preserve">than the </w:t>
      </w:r>
      <w:r w:rsidR="00D1044C" w:rsidRPr="00D9533C">
        <w:t>cost of</w:t>
      </w:r>
      <w:r w:rsidR="00105D99" w:rsidRPr="00D9533C">
        <w:t xml:space="preserve"> government</w:t>
      </w:r>
      <w:r w:rsidR="00193B75" w:rsidRPr="00D9533C">
        <w:t xml:space="preserve"> </w:t>
      </w:r>
      <w:r w:rsidR="00105D99" w:rsidRPr="00D9533C">
        <w:t>borrowing, this may be sufficient to improve debt as a share of the economy over time</w:t>
      </w:r>
      <w:r w:rsidR="00593FC9" w:rsidRPr="00D9533C">
        <w:t>.</w:t>
      </w:r>
    </w:p>
    <w:p w14:paraId="1721E005" w14:textId="0463D024" w:rsidR="006A73B8" w:rsidRPr="00D9533C" w:rsidRDefault="00313410" w:rsidP="00550357">
      <w:r w:rsidRPr="00D9533C">
        <w:t xml:space="preserve">Future yields are </w:t>
      </w:r>
      <w:r w:rsidR="00C1568F" w:rsidRPr="00D9533C">
        <w:t>uncertain</w:t>
      </w:r>
      <w:r w:rsidR="004202CB" w:rsidRPr="00D9533C">
        <w:t>,</w:t>
      </w:r>
      <w:r w:rsidR="00C1568F" w:rsidRPr="00D9533C">
        <w:t xml:space="preserve"> given the </w:t>
      </w:r>
      <w:r w:rsidRPr="00D9533C">
        <w:t xml:space="preserve">many </w:t>
      </w:r>
      <w:r w:rsidR="004202CB" w:rsidRPr="00D9533C">
        <w:t xml:space="preserve">economic </w:t>
      </w:r>
      <w:r w:rsidRPr="00D9533C">
        <w:t>factors</w:t>
      </w:r>
      <w:r w:rsidR="00C1568F" w:rsidRPr="00D9533C">
        <w:t xml:space="preserve"> at play</w:t>
      </w:r>
      <w:r w:rsidR="00DD1FDE" w:rsidRPr="00D9533C">
        <w:t>. Given th</w:t>
      </w:r>
      <w:r w:rsidR="004202CB" w:rsidRPr="00D9533C">
        <w:t>is</w:t>
      </w:r>
      <w:r w:rsidR="00DD1FDE" w:rsidRPr="00D9533C">
        <w:t xml:space="preserve"> uncertainty, a technical assumption for baseline yields is </w:t>
      </w:r>
      <w:r w:rsidR="00453B42" w:rsidRPr="00D9533C">
        <w:t>adopted</w:t>
      </w:r>
      <w:r w:rsidR="00DD1FDE" w:rsidRPr="00D9533C">
        <w:t xml:space="preserve">. </w:t>
      </w:r>
      <w:r w:rsidR="006A73B8" w:rsidRPr="00D9533C">
        <w:t>Baseline forecasts assume</w:t>
      </w:r>
      <w:r w:rsidR="00BE555D" w:rsidRPr="00D9533C">
        <w:t xml:space="preserve"> </w:t>
      </w:r>
      <w:r w:rsidR="00DA47A7" w:rsidRPr="00D9533C">
        <w:t>n</w:t>
      </w:r>
      <w:r w:rsidR="00550357" w:rsidRPr="00D9533C">
        <w:t>ominal</w:t>
      </w:r>
      <w:r w:rsidR="00D24B09" w:rsidRPr="00D9533C">
        <w:t xml:space="preserve"> 10</w:t>
      </w:r>
      <w:r w:rsidR="001862FE" w:rsidRPr="00D9533C">
        <w:noBreakHyphen/>
      </w:r>
      <w:r w:rsidR="00D24B09" w:rsidRPr="00D9533C">
        <w:t>year bond</w:t>
      </w:r>
      <w:r w:rsidR="00550357" w:rsidRPr="00D9533C">
        <w:t xml:space="preserve"> yield</w:t>
      </w:r>
      <w:r w:rsidR="000E2985" w:rsidRPr="00D9533C">
        <w:t>s</w:t>
      </w:r>
      <w:r w:rsidR="00D32195" w:rsidRPr="00D9533C">
        <w:t xml:space="preserve"> </w:t>
      </w:r>
      <w:r w:rsidR="006A73B8" w:rsidRPr="00D9533C">
        <w:t xml:space="preserve">are </w:t>
      </w:r>
      <w:r w:rsidR="00550357" w:rsidRPr="00D9533C">
        <w:t>fixed over the budget year and the following 3</w:t>
      </w:r>
      <w:r w:rsidR="00505FD4" w:rsidRPr="00D9533C">
        <w:t> </w:t>
      </w:r>
      <w:r w:rsidR="00550357" w:rsidRPr="00D9533C">
        <w:t>years at the levels observed immediately prior to the Budget update. The 10</w:t>
      </w:r>
      <w:r w:rsidR="001862FE" w:rsidRPr="00D9533C">
        <w:noBreakHyphen/>
      </w:r>
      <w:r w:rsidR="00550357" w:rsidRPr="00D9533C">
        <w:t xml:space="preserve">year bond yield then converges </w:t>
      </w:r>
      <w:r w:rsidR="006A73B8" w:rsidRPr="00D9533C">
        <w:t xml:space="preserve">over 15 years </w:t>
      </w:r>
      <w:r w:rsidR="00550357" w:rsidRPr="00D9533C">
        <w:t>to a long</w:t>
      </w:r>
      <w:r w:rsidR="001862FE" w:rsidRPr="00D9533C">
        <w:noBreakHyphen/>
      </w:r>
      <w:r w:rsidR="00550357" w:rsidRPr="00D9533C">
        <w:t>run yield</w:t>
      </w:r>
      <w:r w:rsidR="00604AC5" w:rsidRPr="00D9533C">
        <w:t xml:space="preserve"> </w:t>
      </w:r>
      <w:r w:rsidR="006A73B8" w:rsidRPr="00D9533C" w:rsidDel="00080D19">
        <w:t>equal to</w:t>
      </w:r>
      <w:r w:rsidR="006A73B8" w:rsidRPr="00D9533C">
        <w:t xml:space="preserve"> </w:t>
      </w:r>
      <w:r w:rsidR="00550357" w:rsidRPr="00D9533C">
        <w:t>long</w:t>
      </w:r>
      <w:r w:rsidR="001862FE" w:rsidRPr="00D9533C">
        <w:noBreakHyphen/>
      </w:r>
      <w:r w:rsidR="00550357" w:rsidRPr="00D9533C">
        <w:t>run nominal GDP growth. For bonds with other tenors, their yields are assumed to converge to the</w:t>
      </w:r>
      <w:r w:rsidR="00550357" w:rsidRPr="00D9533C" w:rsidDel="00BE3510">
        <w:t>ir</w:t>
      </w:r>
      <w:r w:rsidR="00550357" w:rsidRPr="00D9533C">
        <w:t xml:space="preserve"> historical relativity </w:t>
      </w:r>
      <w:r w:rsidR="00550357" w:rsidRPr="00D9533C" w:rsidDel="005315B7">
        <w:t>to</w:t>
      </w:r>
      <w:r w:rsidR="00550357" w:rsidRPr="00D9533C">
        <w:t xml:space="preserve"> the 10</w:t>
      </w:r>
      <w:r w:rsidR="001862FE" w:rsidRPr="00D9533C">
        <w:noBreakHyphen/>
      </w:r>
      <w:r w:rsidR="00550357" w:rsidRPr="00D9533C">
        <w:t xml:space="preserve">year bond yield in the yield curve. </w:t>
      </w:r>
    </w:p>
    <w:p w14:paraId="79659BBB" w14:textId="660EF32A" w:rsidR="00550357" w:rsidRPr="00D9533C" w:rsidRDefault="00CD657D" w:rsidP="00550357">
      <w:r w:rsidRPr="00D9533C">
        <w:t>The lower yield assumption has bond yields declining 150 basis points by the end of the forward estimates before increasing over 15 years to the long</w:t>
      </w:r>
      <w:r w:rsidR="001862FE" w:rsidRPr="00D9533C">
        <w:noBreakHyphen/>
      </w:r>
      <w:r w:rsidRPr="00D9533C">
        <w:t>run yield.</w:t>
      </w:r>
      <w:r w:rsidRPr="00D9533C" w:rsidDel="00893EDA">
        <w:t xml:space="preserve"> </w:t>
      </w:r>
      <w:r w:rsidRPr="00D9533C">
        <w:t>The higher yield assumption has bond yields increasing 150 basis points by the end of the forward estimates before declining over 15 years to the long</w:t>
      </w:r>
      <w:r w:rsidR="001862FE" w:rsidRPr="00D9533C">
        <w:noBreakHyphen/>
      </w:r>
      <w:r w:rsidRPr="00D9533C">
        <w:t xml:space="preserve">run yield </w:t>
      </w:r>
      <w:r w:rsidR="002D0706" w:rsidRPr="00D9533C">
        <w:t>(Chart 8.1</w:t>
      </w:r>
      <w:r w:rsidR="00760DF7" w:rsidRPr="00D9533C">
        <w:t>3</w:t>
      </w:r>
      <w:r w:rsidR="002D0706" w:rsidRPr="00D9533C">
        <w:t>)</w:t>
      </w:r>
      <w:r w:rsidR="00550357" w:rsidRPr="00D9533C">
        <w:t xml:space="preserve">. </w:t>
      </w:r>
    </w:p>
    <w:p w14:paraId="22A94A8A" w14:textId="452D38A3" w:rsidR="002D0706" w:rsidRPr="00D9533C" w:rsidRDefault="002D0706" w:rsidP="00D860D4">
      <w:pPr>
        <w:pStyle w:val="ChartHeading"/>
      </w:pPr>
      <w:r w:rsidRPr="00D9533C">
        <w:t>Chart 8.1</w:t>
      </w:r>
      <w:r w:rsidR="00760DF7" w:rsidRPr="00D9533C">
        <w:t>3</w:t>
      </w:r>
      <w:r w:rsidRPr="00D9533C">
        <w:t xml:space="preserve">: Baseline and alternative </w:t>
      </w:r>
      <w:r w:rsidR="00A37E47" w:rsidRPr="00D9533C">
        <w:t xml:space="preserve">movements </w:t>
      </w:r>
      <w:r w:rsidR="00016A11" w:rsidRPr="00D9533C">
        <w:t>in</w:t>
      </w:r>
      <w:r w:rsidRPr="00D9533C">
        <w:t xml:space="preserve"> the 10</w:t>
      </w:r>
      <w:r w:rsidR="001862FE" w:rsidRPr="00D9533C">
        <w:noBreakHyphen/>
      </w:r>
      <w:r w:rsidRPr="00D9533C">
        <w:t xml:space="preserve">year bond yield </w:t>
      </w:r>
    </w:p>
    <w:p w14:paraId="15985077" w14:textId="7AB617DE" w:rsidR="00FD2611" w:rsidRPr="00D9533C" w:rsidRDefault="00B84595" w:rsidP="00CE4490">
      <w:pPr>
        <w:pStyle w:val="ChartGraphic"/>
      </w:pPr>
      <w:bookmarkStart w:id="63" w:name="_1727880749"/>
      <w:bookmarkStart w:id="64" w:name="_1727940191"/>
      <w:bookmarkStart w:id="65" w:name="_1727950797"/>
      <w:bookmarkEnd w:id="63"/>
      <w:bookmarkEnd w:id="64"/>
      <w:bookmarkEnd w:id="65"/>
      <w:r>
        <w:rPr>
          <w:noProof/>
        </w:rPr>
        <w:drawing>
          <wp:inline distT="0" distB="0" distL="0" distR="0" wp14:anchorId="3645DA78" wp14:editId="11762EDC">
            <wp:extent cx="4961890" cy="2759075"/>
            <wp:effectExtent l="0" t="0" r="0" b="3175"/>
            <wp:docPr id="15" name="Picture 15" descr="This chart compares movements in the 10-year bond yield. Under the baseline yield assumption, the 10-year bond yield remains fixed over the first 4 years and then transitions linearly after 2025-26 to the long-run yield assumption equal to nominal GDP growth. Under the lower yield assumption, the 10-year bond yield declines 150 basis points by 2025-26 before transitioning linearly to the long-run yield assumption over the medium term. Under the higher yield assumption, the 10-year bond yield increases 150 basis points by 2025-26 before transitioning linearly to the long-run yield assumption over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his chart compares movements in the 10-year bond yield. Under the baseline yield assumption, the 10-year bond yield remains fixed over the first 4 years and then transitions linearly after 2025-26 to the long-run yield assumption equal to nominal GDP growth. Under the lower yield assumption, the 10-year bond yield declines 150 basis points by 2025-26 before transitioning linearly to the long-run yield assumption over the medium term. Under the higher yield assumption, the 10-year bond yield increases 150 basis points by 2025-26 before transitioning linearly to the long-run yield assumption over the medium ter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1890" cy="2759075"/>
                    </a:xfrm>
                    <a:prstGeom prst="rect">
                      <a:avLst/>
                    </a:prstGeom>
                    <a:noFill/>
                    <a:ln>
                      <a:noFill/>
                    </a:ln>
                  </pic:spPr>
                </pic:pic>
              </a:graphicData>
            </a:graphic>
          </wp:inline>
        </w:drawing>
      </w:r>
    </w:p>
    <w:p w14:paraId="58730D14" w14:textId="77777777" w:rsidR="002D0706" w:rsidRPr="00D9533C" w:rsidRDefault="002D0706" w:rsidP="00B25199">
      <w:pPr>
        <w:pStyle w:val="ChartandTableFootnote"/>
        <w:rPr>
          <w:color w:val="auto"/>
        </w:rPr>
      </w:pPr>
      <w:r w:rsidRPr="00D9533C">
        <w:rPr>
          <w:color w:val="auto"/>
        </w:rPr>
        <w:t xml:space="preserve">Source: </w:t>
      </w:r>
      <w:r w:rsidRPr="00D9533C">
        <w:rPr>
          <w:color w:val="auto"/>
        </w:rPr>
        <w:tab/>
        <w:t>Treasury.</w:t>
      </w:r>
    </w:p>
    <w:p w14:paraId="5F0FDB64" w14:textId="77777777" w:rsidR="00B25199" w:rsidRPr="00D9533C" w:rsidRDefault="00B25199" w:rsidP="00B25199">
      <w:pPr>
        <w:pStyle w:val="ChartLine"/>
      </w:pPr>
      <w:bookmarkStart w:id="66" w:name="_1700568839"/>
      <w:bookmarkStart w:id="67" w:name="_1700573370"/>
      <w:bookmarkStart w:id="68" w:name="_1700647015"/>
      <w:bookmarkStart w:id="69" w:name="_1700646965"/>
      <w:bookmarkStart w:id="70" w:name="_1707640144"/>
      <w:bookmarkStart w:id="71" w:name="_1707746801"/>
      <w:bookmarkStart w:id="72" w:name="_1707825457"/>
      <w:bookmarkStart w:id="73" w:name="_1709480198"/>
      <w:bookmarkEnd w:id="66"/>
      <w:bookmarkEnd w:id="67"/>
      <w:bookmarkEnd w:id="68"/>
      <w:bookmarkEnd w:id="69"/>
      <w:bookmarkEnd w:id="70"/>
      <w:bookmarkEnd w:id="71"/>
      <w:bookmarkEnd w:id="72"/>
      <w:bookmarkEnd w:id="73"/>
    </w:p>
    <w:p w14:paraId="455BFB71" w14:textId="2183E056" w:rsidR="00E112E2" w:rsidRPr="00D9533C" w:rsidRDefault="007F3F8B" w:rsidP="00E112E2">
      <w:pPr>
        <w:keepLines/>
      </w:pPr>
      <w:r w:rsidRPr="00D9533C">
        <w:t xml:space="preserve">Higher </w:t>
      </w:r>
      <w:r w:rsidR="005750D2" w:rsidRPr="00D9533C">
        <w:t>y</w:t>
      </w:r>
      <w:r w:rsidR="00E112E2" w:rsidRPr="00D9533C">
        <w:t xml:space="preserve">ields </w:t>
      </w:r>
      <w:r w:rsidR="005750D2" w:rsidRPr="00D9533C">
        <w:t xml:space="preserve">increase </w:t>
      </w:r>
      <w:r w:rsidR="00E112E2" w:rsidRPr="00D9533C">
        <w:t>public debt interest pa</w:t>
      </w:r>
      <w:r w:rsidR="006A73B8" w:rsidRPr="00D9533C">
        <w:t>id</w:t>
      </w:r>
      <w:r w:rsidR="005750D2" w:rsidRPr="00D9533C">
        <w:t xml:space="preserve"> </w:t>
      </w:r>
      <w:r w:rsidR="006B041B" w:rsidRPr="00D9533C">
        <w:t xml:space="preserve">and </w:t>
      </w:r>
      <w:r w:rsidR="00E112E2" w:rsidRPr="00D9533C">
        <w:t>receipts earn</w:t>
      </w:r>
      <w:r w:rsidR="00332B75" w:rsidRPr="00D9533C">
        <w:t>ed</w:t>
      </w:r>
      <w:r w:rsidR="00E112E2" w:rsidRPr="00D9533C">
        <w:t xml:space="preserve"> on investments.</w:t>
      </w:r>
      <w:r w:rsidR="00924443" w:rsidRPr="00D9533C">
        <w:t xml:space="preserve"> As </w:t>
      </w:r>
      <w:r w:rsidR="009E1DE4" w:rsidRPr="00D9533C">
        <w:t>government</w:t>
      </w:r>
      <w:r w:rsidR="00924443" w:rsidRPr="00D9533C">
        <w:t xml:space="preserve"> </w:t>
      </w:r>
      <w:r w:rsidR="00DA4334" w:rsidRPr="00D9533C">
        <w:t xml:space="preserve">interest bearing liabilities </w:t>
      </w:r>
      <w:r w:rsidR="00CD657D" w:rsidRPr="00D9533C">
        <w:t>usually</w:t>
      </w:r>
      <w:r w:rsidR="00C23F16" w:rsidRPr="00D9533C">
        <w:t xml:space="preserve"> exceed</w:t>
      </w:r>
      <w:r w:rsidR="00CD657D" w:rsidRPr="00D9533C">
        <w:t xml:space="preserve"> </w:t>
      </w:r>
      <w:r w:rsidR="00C23F16" w:rsidRPr="00D9533C">
        <w:t>interest bearing</w:t>
      </w:r>
      <w:r w:rsidR="00C970ED" w:rsidRPr="00D9533C">
        <w:t xml:space="preserve"> assets</w:t>
      </w:r>
      <w:r w:rsidR="00CD657D" w:rsidRPr="00D9533C">
        <w:t>,</w:t>
      </w:r>
      <w:r w:rsidR="00C970ED" w:rsidRPr="00D9533C">
        <w:t xml:space="preserve"> </w:t>
      </w:r>
      <w:r w:rsidR="001B2674" w:rsidRPr="00D9533C">
        <w:t xml:space="preserve">higher yields </w:t>
      </w:r>
      <w:r w:rsidR="008A60E7" w:rsidRPr="00D9533C">
        <w:t xml:space="preserve">lead to a deterioration in the underlying cash balance. </w:t>
      </w:r>
      <w:r w:rsidR="00150DBB" w:rsidRPr="00D9533C">
        <w:t>Lower</w:t>
      </w:r>
      <w:r w:rsidR="000F083F" w:rsidRPr="00D9533C">
        <w:t xml:space="preserve"> yields </w:t>
      </w:r>
      <w:r w:rsidR="004202CB" w:rsidRPr="00D9533C">
        <w:t>have</w:t>
      </w:r>
      <w:r w:rsidR="00961FCB" w:rsidRPr="00D9533C">
        <w:t xml:space="preserve"> the </w:t>
      </w:r>
      <w:r w:rsidR="004202CB" w:rsidRPr="00D9533C">
        <w:t xml:space="preserve">reverse effect, </w:t>
      </w:r>
      <w:r w:rsidR="00961FCB" w:rsidRPr="00D9533C">
        <w:t>improv</w:t>
      </w:r>
      <w:r w:rsidR="004202CB" w:rsidRPr="00D9533C">
        <w:t>ing</w:t>
      </w:r>
      <w:r w:rsidR="00961FCB" w:rsidRPr="00D9533C">
        <w:t xml:space="preserve"> the </w:t>
      </w:r>
      <w:r w:rsidR="004202CB" w:rsidRPr="00D9533C">
        <w:t xml:space="preserve">underlying </w:t>
      </w:r>
      <w:r w:rsidR="00961FCB" w:rsidRPr="00D9533C">
        <w:t>cash balance</w:t>
      </w:r>
      <w:r w:rsidR="000F083F" w:rsidRPr="00D9533C">
        <w:t>.</w:t>
      </w:r>
    </w:p>
    <w:p w14:paraId="74C9F9FC" w14:textId="52B67FA6" w:rsidR="00E112E2" w:rsidRPr="00D9533C" w:rsidRDefault="00332B75" w:rsidP="00E112E2">
      <w:pPr>
        <w:keepLines/>
      </w:pPr>
      <w:r w:rsidRPr="00D9533C">
        <w:t>T</w:t>
      </w:r>
      <w:r w:rsidR="00E112E2" w:rsidRPr="00D9533C">
        <w:t>he lower yield assumption results in a</w:t>
      </w:r>
      <w:r w:rsidR="00D131F8" w:rsidRPr="00D9533C">
        <w:t>n</w:t>
      </w:r>
      <w:r w:rsidR="00E112E2" w:rsidRPr="00D9533C">
        <w:t xml:space="preserve"> improvement to the underlying cash balance</w:t>
      </w:r>
      <w:r w:rsidR="00362599" w:rsidRPr="00D9533C">
        <w:t xml:space="preserve"> of</w:t>
      </w:r>
      <w:r w:rsidR="00387679" w:rsidRPr="00D9533C">
        <w:t> </w:t>
      </w:r>
      <w:r w:rsidR="00362599" w:rsidRPr="00D9533C">
        <w:t xml:space="preserve">around </w:t>
      </w:r>
      <w:r w:rsidR="004E3868" w:rsidRPr="00D9533C">
        <w:t>0.</w:t>
      </w:r>
      <w:r w:rsidR="00945C90" w:rsidRPr="00D9533C">
        <w:t>4</w:t>
      </w:r>
      <w:r w:rsidR="004E3868" w:rsidRPr="00D9533C">
        <w:t xml:space="preserve"> </w:t>
      </w:r>
      <w:r w:rsidR="00362599" w:rsidRPr="00D9533C">
        <w:t>percentage points of GDP by 2032</w:t>
      </w:r>
      <w:r w:rsidR="00BC5B04" w:rsidRPr="00D9533C">
        <w:t>–</w:t>
      </w:r>
      <w:r w:rsidR="00362599" w:rsidRPr="00D9533C">
        <w:t>33</w:t>
      </w:r>
      <w:r w:rsidR="00E112E2" w:rsidRPr="00D9533C">
        <w:t xml:space="preserve">. </w:t>
      </w:r>
      <w:r w:rsidR="00D55DEF" w:rsidRPr="00D9533C">
        <w:t xml:space="preserve">Under </w:t>
      </w:r>
      <w:r w:rsidR="00DF4B96" w:rsidRPr="00D9533C">
        <w:t>the lower yield assumption</w:t>
      </w:r>
      <w:r w:rsidR="00D55DEF" w:rsidRPr="00D9533C">
        <w:t>,</w:t>
      </w:r>
      <w:r w:rsidR="001F4212" w:rsidRPr="00D9533C">
        <w:t xml:space="preserve"> </w:t>
      </w:r>
      <w:r w:rsidR="00840FDD" w:rsidRPr="00D9533C">
        <w:t>cum</w:t>
      </w:r>
      <w:r w:rsidR="000A3DC4" w:rsidRPr="00D9533C">
        <w:t xml:space="preserve">ulative improvements to the </w:t>
      </w:r>
      <w:r w:rsidR="00C808E7" w:rsidRPr="00D9533C">
        <w:t xml:space="preserve">underlying cash balance </w:t>
      </w:r>
      <w:r w:rsidR="008061CA" w:rsidRPr="00D9533C">
        <w:t xml:space="preserve">reduce </w:t>
      </w:r>
      <w:r w:rsidR="00E112E2" w:rsidRPr="00D9533C">
        <w:t xml:space="preserve">gross debt </w:t>
      </w:r>
      <w:r w:rsidR="00EB25C8" w:rsidRPr="00D9533C">
        <w:t>by</w:t>
      </w:r>
      <w:r w:rsidR="00BF77BA" w:rsidRPr="00D9533C">
        <w:t xml:space="preserve"> </w:t>
      </w:r>
      <w:r w:rsidR="002261A2" w:rsidRPr="00D9533C">
        <w:t>2.6</w:t>
      </w:r>
      <w:r w:rsidR="00E112E2" w:rsidRPr="00D9533C">
        <w:t xml:space="preserve"> percentage points of GDP </w:t>
      </w:r>
      <w:proofErr w:type="gramStart"/>
      <w:r w:rsidR="00E112E2" w:rsidRPr="00D9533C">
        <w:t>at</w:t>
      </w:r>
      <w:proofErr w:type="gramEnd"/>
      <w:r w:rsidR="00E112E2" w:rsidRPr="00D9533C">
        <w:t xml:space="preserve"> 30 June 2033 (Chart </w:t>
      </w:r>
      <w:r w:rsidR="007C1B48" w:rsidRPr="00D9533C">
        <w:t>8</w:t>
      </w:r>
      <w:r w:rsidR="00E112E2" w:rsidRPr="00D9533C">
        <w:t>.1</w:t>
      </w:r>
      <w:r w:rsidR="00760DF7" w:rsidRPr="00D9533C">
        <w:t>4</w:t>
      </w:r>
      <w:r w:rsidR="00E112E2" w:rsidRPr="00D9533C">
        <w:t>).</w:t>
      </w:r>
    </w:p>
    <w:p w14:paraId="5335AF0F" w14:textId="671CA209" w:rsidR="004C3952" w:rsidRPr="00D9533C" w:rsidRDefault="004C3952" w:rsidP="00D860D4">
      <w:pPr>
        <w:pStyle w:val="ChartHeading"/>
        <w:rPr>
          <w:rFonts w:asciiTheme="minorHAnsi" w:eastAsiaTheme="minorHAnsi" w:hAnsiTheme="minorHAnsi" w:cstheme="minorBidi"/>
          <w:sz w:val="22"/>
          <w:szCs w:val="22"/>
          <w:lang w:eastAsia="en-US"/>
        </w:rPr>
      </w:pPr>
      <w:r w:rsidRPr="00D9533C">
        <w:lastRenderedPageBreak/>
        <w:t>Chart 8.1</w:t>
      </w:r>
      <w:r w:rsidR="00760DF7" w:rsidRPr="00D9533C">
        <w:t>4</w:t>
      </w:r>
      <w:r w:rsidRPr="00D9533C">
        <w:t xml:space="preserve">: Gross debt, impact of alternative </w:t>
      </w:r>
      <w:r w:rsidRPr="00D860D4">
        <w:t>yield</w:t>
      </w:r>
      <w:r w:rsidRPr="00D9533C">
        <w:t xml:space="preserve"> assumptions</w:t>
      </w:r>
    </w:p>
    <w:p w14:paraId="5CE22E8B" w14:textId="62B54DA0" w:rsidR="00BB050C" w:rsidRPr="00D9533C" w:rsidRDefault="00C561F2" w:rsidP="00D1295E">
      <w:pPr>
        <w:pStyle w:val="ChartGraphic"/>
      </w:pPr>
      <w:r>
        <w:rPr>
          <w:noProof/>
        </w:rPr>
        <w:drawing>
          <wp:inline distT="0" distB="0" distL="0" distR="0" wp14:anchorId="7F7FD958" wp14:editId="3DF9DBAD">
            <wp:extent cx="4834255" cy="2966085"/>
            <wp:effectExtent l="0" t="0" r="4445" b="5715"/>
            <wp:docPr id="16" name="Picture 16" descr="This chart shows the impact of higher and lower yield assumptions on gross debt projections. The lower yield assumption results in gross debt projections being 2.6 percentage points of GDP lower compared to the baseline at 30 June 2033. The higher yield assumption results in gross debt projections being 3.2 percentage points of GDP higher compared to the baseline at 30 Jun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his chart shows the impact of higher and lower yield assumptions on gross debt projections. The lower yield assumption results in gross debt projections being 2.6 percentage points of GDP lower compared to the baseline at 30 June 2033. The higher yield assumption results in gross debt projections being 3.2 percentage points of GDP higher compared to the baseline at 30 June 20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4255" cy="2966085"/>
                    </a:xfrm>
                    <a:prstGeom prst="rect">
                      <a:avLst/>
                    </a:prstGeom>
                    <a:noFill/>
                    <a:ln>
                      <a:noFill/>
                    </a:ln>
                  </pic:spPr>
                </pic:pic>
              </a:graphicData>
            </a:graphic>
          </wp:inline>
        </w:drawing>
      </w:r>
    </w:p>
    <w:p w14:paraId="36D6F6B8" w14:textId="2051CAE5" w:rsidR="004C3952" w:rsidRPr="00D9533C" w:rsidRDefault="004C3952" w:rsidP="00BC5B04">
      <w:pPr>
        <w:pStyle w:val="ChartandTableFootnote"/>
        <w:rPr>
          <w:color w:val="auto"/>
        </w:rPr>
      </w:pPr>
      <w:r w:rsidRPr="00D9533C">
        <w:rPr>
          <w:color w:val="auto"/>
        </w:rPr>
        <w:t xml:space="preserve">Source: </w:t>
      </w:r>
      <w:r w:rsidRPr="00D9533C">
        <w:rPr>
          <w:color w:val="auto"/>
        </w:rPr>
        <w:tab/>
        <w:t>Australian Office of Financial Management and Treasury.</w:t>
      </w:r>
    </w:p>
    <w:p w14:paraId="54778463" w14:textId="77777777" w:rsidR="00B25199" w:rsidRPr="00D9533C" w:rsidRDefault="00B25199" w:rsidP="00B25199">
      <w:pPr>
        <w:pStyle w:val="ChartLine"/>
      </w:pPr>
    </w:p>
    <w:p w14:paraId="038833E2" w14:textId="51520CD5" w:rsidR="00E112E2" w:rsidRPr="00DA7D86" w:rsidRDefault="00601369" w:rsidP="00E112E2">
      <w:pPr>
        <w:keepLines/>
      </w:pPr>
      <w:r w:rsidRPr="00D9533C">
        <w:t>T</w:t>
      </w:r>
      <w:r w:rsidR="00E112E2" w:rsidRPr="00D9533C">
        <w:t xml:space="preserve">he higher yield assumption results in a deterioration </w:t>
      </w:r>
      <w:r w:rsidR="005C7A67" w:rsidRPr="00D9533C">
        <w:t xml:space="preserve">to </w:t>
      </w:r>
      <w:r w:rsidR="00E112E2" w:rsidRPr="00D9533C">
        <w:t xml:space="preserve">the underlying cash balance of around </w:t>
      </w:r>
      <w:r w:rsidR="00381DD4" w:rsidRPr="00D9533C">
        <w:t>0.4 </w:t>
      </w:r>
      <w:r w:rsidR="00E112E2" w:rsidRPr="00D9533C">
        <w:t>percentage points of GDP by 2032</w:t>
      </w:r>
      <w:r w:rsidR="00BC5B04" w:rsidRPr="00D9533C">
        <w:t>–</w:t>
      </w:r>
      <w:r w:rsidR="00E112E2" w:rsidRPr="00D9533C">
        <w:t>33</w:t>
      </w:r>
      <w:r w:rsidR="004202CB" w:rsidRPr="00D9533C">
        <w:t xml:space="preserve"> and </w:t>
      </w:r>
      <w:r w:rsidR="00AE2FFA" w:rsidRPr="00D9533C">
        <w:t>increase</w:t>
      </w:r>
      <w:r w:rsidR="00BB0861" w:rsidRPr="00D9533C">
        <w:t>s</w:t>
      </w:r>
      <w:r w:rsidR="00AE2FFA" w:rsidRPr="00D9533C">
        <w:t xml:space="preserve"> gross debt by</w:t>
      </w:r>
      <w:r w:rsidR="00E112E2" w:rsidRPr="00D9533C">
        <w:t xml:space="preserve"> </w:t>
      </w:r>
      <w:r w:rsidR="005459B9" w:rsidRPr="00D9533C">
        <w:t>3.2 </w:t>
      </w:r>
      <w:r w:rsidR="00E112E2" w:rsidRPr="00D9533C">
        <w:t xml:space="preserve">percentage points of GDP </w:t>
      </w:r>
      <w:proofErr w:type="gramStart"/>
      <w:r w:rsidR="00AE2FFA" w:rsidRPr="00D9533C">
        <w:t>at</w:t>
      </w:r>
      <w:proofErr w:type="gramEnd"/>
      <w:r w:rsidR="00AE2FFA" w:rsidRPr="00D9533C">
        <w:t xml:space="preserve"> </w:t>
      </w:r>
      <w:r w:rsidR="00E112E2" w:rsidRPr="00D9533C">
        <w:t>30 June 2033.</w:t>
      </w:r>
    </w:p>
    <w:p w14:paraId="2125C65B" w14:textId="1A914007" w:rsidR="0039301A" w:rsidRPr="0039301A" w:rsidRDefault="0040271A" w:rsidP="00BE30A8">
      <w:pPr>
        <w:keepLines/>
      </w:pPr>
      <w:r w:rsidRPr="00D9533C">
        <w:t>Even u</w:t>
      </w:r>
      <w:r w:rsidR="00DE7125" w:rsidRPr="00D9533C">
        <w:t>nder</w:t>
      </w:r>
      <w:r w:rsidR="006C6516" w:rsidRPr="00D9533C">
        <w:t xml:space="preserve"> the higher yield </w:t>
      </w:r>
      <w:r w:rsidR="00E112E2" w:rsidRPr="00D9533C">
        <w:t>assumption</w:t>
      </w:r>
      <w:r w:rsidRPr="00D9533C">
        <w:t>,</w:t>
      </w:r>
      <w:r w:rsidR="00E112E2" w:rsidRPr="00D9533C">
        <w:t xml:space="preserve"> </w:t>
      </w:r>
      <w:r w:rsidR="004202CB" w:rsidRPr="00D9533C">
        <w:t>p</w:t>
      </w:r>
      <w:r w:rsidR="00E112E2" w:rsidRPr="00D9533C">
        <w:t>rojected Commonwealth gross debt</w:t>
      </w:r>
      <w:r w:rsidR="00B454B8" w:rsidRPr="00D9533C">
        <w:t xml:space="preserve"> </w:t>
      </w:r>
      <w:r w:rsidR="00436836" w:rsidRPr="00D9533C">
        <w:t xml:space="preserve">as </w:t>
      </w:r>
      <w:r w:rsidR="00E112E2" w:rsidRPr="00D9533C">
        <w:t>a share of</w:t>
      </w:r>
      <w:r w:rsidR="00D64887" w:rsidRPr="00D9533C">
        <w:t> </w:t>
      </w:r>
      <w:r w:rsidR="00E112E2" w:rsidRPr="00D9533C">
        <w:t>GDP</w:t>
      </w:r>
      <w:r w:rsidR="001271B7" w:rsidRPr="00D9533C">
        <w:t xml:space="preserve"> is</w:t>
      </w:r>
      <w:r w:rsidR="00E112E2" w:rsidRPr="00D9533C" w:rsidDel="001271B7">
        <w:t xml:space="preserve"> </w:t>
      </w:r>
      <w:r w:rsidR="0038491C" w:rsidRPr="00D9533C">
        <w:t xml:space="preserve">less </w:t>
      </w:r>
      <w:r w:rsidR="00E112E2" w:rsidRPr="00D9533C">
        <w:t>th</w:t>
      </w:r>
      <w:r w:rsidR="00B060DC" w:rsidRPr="00D9533C">
        <w:t>an</w:t>
      </w:r>
      <w:r w:rsidR="00E112E2" w:rsidRPr="00D9533C">
        <w:t xml:space="preserve"> </w:t>
      </w:r>
      <w:r w:rsidR="002D550C" w:rsidRPr="00D9533C">
        <w:t xml:space="preserve">forty per cent of the </w:t>
      </w:r>
      <w:r w:rsidR="00E112E2" w:rsidRPr="00D9533C">
        <w:t>average general government gross debt</w:t>
      </w:r>
      <w:r w:rsidR="00E112E2" w:rsidRPr="00D9533C" w:rsidDel="00DC0DFA">
        <w:t xml:space="preserve"> </w:t>
      </w:r>
      <w:r w:rsidR="00E112E2" w:rsidRPr="00D9533C">
        <w:t xml:space="preserve">in </w:t>
      </w:r>
      <w:r w:rsidR="00B060DC" w:rsidRPr="00D9533C">
        <w:t xml:space="preserve">the </w:t>
      </w:r>
      <w:r w:rsidR="00E112E2" w:rsidRPr="00D9533C">
        <w:t>G7</w:t>
      </w:r>
      <w:r w:rsidR="00D860D4">
        <w:t> </w:t>
      </w:r>
      <w:r w:rsidR="009A426F" w:rsidRPr="00D9533C">
        <w:t xml:space="preserve">countries </w:t>
      </w:r>
      <w:r w:rsidR="00E112E2" w:rsidRPr="00D9533C">
        <w:t>today</w:t>
      </w:r>
      <w:bookmarkStart w:id="74" w:name="_1700568840"/>
      <w:bookmarkStart w:id="75" w:name="_1700573371"/>
      <w:bookmarkStart w:id="76" w:name="_1700647016"/>
      <w:bookmarkStart w:id="77" w:name="_1700646967"/>
      <w:bookmarkStart w:id="78" w:name="_1707640147"/>
      <w:bookmarkStart w:id="79" w:name="_1707746803"/>
      <w:bookmarkStart w:id="80" w:name="_1707825459"/>
      <w:bookmarkEnd w:id="74"/>
      <w:bookmarkEnd w:id="75"/>
      <w:bookmarkEnd w:id="76"/>
      <w:bookmarkEnd w:id="77"/>
      <w:bookmarkEnd w:id="78"/>
      <w:bookmarkEnd w:id="79"/>
      <w:bookmarkEnd w:id="80"/>
      <w:r w:rsidR="00E112E2" w:rsidRPr="00D9533C">
        <w:t>.</w:t>
      </w:r>
    </w:p>
    <w:sectPr w:rsidR="0039301A" w:rsidRPr="0039301A" w:rsidSect="00387679">
      <w:headerReference w:type="even" r:id="rId30"/>
      <w:headerReference w:type="default" r:id="rId31"/>
      <w:footerReference w:type="even" r:id="rId32"/>
      <w:footerReference w:type="default" r:id="rId33"/>
      <w:headerReference w:type="first" r:id="rId34"/>
      <w:footerReference w:type="first" r:id="rId35"/>
      <w:footnotePr>
        <w:numStart w:val="29"/>
      </w:footnotePr>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88B73" w14:textId="77777777" w:rsidR="0074337C" w:rsidRDefault="0074337C" w:rsidP="00E40261">
      <w:pPr>
        <w:spacing w:after="0" w:line="240" w:lineRule="auto"/>
      </w:pPr>
      <w:r>
        <w:separator/>
      </w:r>
    </w:p>
  </w:endnote>
  <w:endnote w:type="continuationSeparator" w:id="0">
    <w:p w14:paraId="342091B4" w14:textId="77777777" w:rsidR="0074337C" w:rsidRDefault="0074337C" w:rsidP="00E40261">
      <w:pPr>
        <w:spacing w:after="0" w:line="240" w:lineRule="auto"/>
      </w:pPr>
      <w:r>
        <w:continuationSeparator/>
      </w:r>
    </w:p>
  </w:endnote>
  <w:endnote w:type="continuationNotice" w:id="1">
    <w:p w14:paraId="05791768" w14:textId="77777777" w:rsidR="0074337C" w:rsidRDefault="007433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48794F2C" w:rsidR="00D81A31" w:rsidRPr="00E46B26" w:rsidRDefault="004871CB" w:rsidP="002C596C">
    <w:pPr>
      <w:pStyle w:val="FooterOddWHITE"/>
      <w:rPr>
        <w:b/>
      </w:rPr>
    </w:pPr>
    <w:r>
      <w:fldChar w:fldCharType="begin"/>
    </w:r>
    <w:r>
      <w:instrText>SUBJECT   \* MERGEFORMAT</w:instrText>
    </w:r>
    <w:r>
      <w:fldChar w:fldCharType="separate"/>
    </w:r>
    <w:r w:rsidR="00C3070B">
      <w:t>Statement 8: Forecasting Performance and Sensitivity Analysis</w:t>
    </w:r>
    <w:r>
      <w:fldChar w:fldCharType="end"/>
    </w:r>
    <w:r w:rsidR="002C596C" w:rsidRPr="001A7712">
      <w:t xml:space="preserve">  |  </w:t>
    </w:r>
    <w:r w:rsidR="002C596C" w:rsidRPr="00E46B26">
      <w:rPr>
        <w:b/>
      </w:rPr>
      <w:t xml:space="preserve">Page </w:t>
    </w:r>
    <w:r w:rsidR="002C596C" w:rsidRPr="00E46B26">
      <w:rPr>
        <w:b/>
      </w:rPr>
      <w:fldChar w:fldCharType="begin"/>
    </w:r>
    <w:r w:rsidR="002C596C" w:rsidRPr="00E46B26">
      <w:rPr>
        <w:b/>
      </w:rPr>
      <w:instrText xml:space="preserve"> PAGE  \* Arabic  \* MERGEFORMAT </w:instrText>
    </w:r>
    <w:r w:rsidR="002C596C" w:rsidRPr="00E46B26">
      <w:rPr>
        <w:b/>
      </w:rPr>
      <w:fldChar w:fldCharType="separate"/>
    </w:r>
    <w:r w:rsidR="002C596C" w:rsidRPr="00E46B26">
      <w:rPr>
        <w:b/>
      </w:rPr>
      <w:t>1</w:t>
    </w:r>
    <w:r w:rsidR="002C596C" w:rsidRPr="00E46B26">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3980BC40" w:rsidR="00D81A31" w:rsidRPr="00B34A54" w:rsidRDefault="004871CB" w:rsidP="00DE504B">
    <w:pPr>
      <w:pStyle w:val="FooterOdd"/>
    </w:pPr>
    <w:r>
      <w:fldChar w:fldCharType="begin"/>
    </w:r>
    <w:r>
      <w:instrText>SUBJECT   \* MERGEFORMAT</w:instrText>
    </w:r>
    <w:r>
      <w:fldChar w:fldCharType="separate"/>
    </w:r>
    <w:r w:rsidR="00C3070B">
      <w:t>Statement 8: Forecasting Performance and Sensitivity Analysis</w:t>
    </w:r>
    <w:r>
      <w:fldChar w:fldCharType="end"/>
    </w:r>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5BBA2" w14:textId="37335B97" w:rsidR="00D47C6E" w:rsidRDefault="00D47C6E" w:rsidP="0069746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4871CB">
      <w:fldChar w:fldCharType="begin"/>
    </w:r>
    <w:r w:rsidR="004871CB">
      <w:instrText>SUBJECT   \* MERGEFORMAT</w:instrText>
    </w:r>
    <w:r w:rsidR="004871CB">
      <w:fldChar w:fldCharType="separate"/>
    </w:r>
    <w:r w:rsidR="00C3070B">
      <w:t>Statement 8: Forecasting Performance and Sensitivity Analysis</w:t>
    </w:r>
    <w:r w:rsidR="004871C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13C46" w14:textId="5F132114" w:rsidR="00D47C6E" w:rsidRDefault="004871CB" w:rsidP="0069746B">
    <w:pPr>
      <w:pStyle w:val="FooterOdd"/>
    </w:pPr>
    <w:r>
      <w:fldChar w:fldCharType="begin"/>
    </w:r>
    <w:r>
      <w:instrText>SUBJECT   \* MERGEFORMAT</w:instrText>
    </w:r>
    <w:r>
      <w:fldChar w:fldCharType="separate"/>
    </w:r>
    <w:r w:rsidR="00C3070B">
      <w:t>Statement 8: Forecasting Performance and Sensitivity Analysis</w:t>
    </w:r>
    <w:r>
      <w:fldChar w:fldCharType="end"/>
    </w:r>
    <w:r w:rsidR="00D47C6E" w:rsidRPr="00B3705D">
      <w:t xml:space="preserve">  |  </w:t>
    </w:r>
    <w:r w:rsidR="00D47C6E" w:rsidRPr="00B3705D">
      <w:rPr>
        <w:b/>
        <w:bCs/>
      </w:rPr>
      <w:t xml:space="preserve">Page </w:t>
    </w:r>
    <w:r w:rsidR="00D47C6E" w:rsidRPr="00B3705D">
      <w:rPr>
        <w:b/>
        <w:bCs/>
      </w:rPr>
      <w:fldChar w:fldCharType="begin"/>
    </w:r>
    <w:r w:rsidR="00D47C6E" w:rsidRPr="00B3705D">
      <w:rPr>
        <w:b/>
        <w:bCs/>
      </w:rPr>
      <w:instrText xml:space="preserve"> PAGE  \* Arabic  \* MERGEFORMAT </w:instrText>
    </w:r>
    <w:r w:rsidR="00D47C6E" w:rsidRPr="00B3705D">
      <w:rPr>
        <w:b/>
        <w:bCs/>
      </w:rPr>
      <w:fldChar w:fldCharType="separate"/>
    </w:r>
    <w:r w:rsidR="00D47C6E">
      <w:rPr>
        <w:b/>
        <w:bCs/>
      </w:rPr>
      <w:t>1</w:t>
    </w:r>
    <w:r w:rsidR="00D47C6E"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8B67A" w14:textId="3269ED71" w:rsidR="0046391C" w:rsidRPr="005B2F30" w:rsidRDefault="004871CB" w:rsidP="0069746B">
    <w:pPr>
      <w:pStyle w:val="FooterOdd"/>
    </w:pPr>
    <w:r>
      <w:fldChar w:fldCharType="begin"/>
    </w:r>
    <w:r>
      <w:instrText>SUBJECT   \* MERGEFORMAT</w:instrText>
    </w:r>
    <w:r>
      <w:fldChar w:fldCharType="separate"/>
    </w:r>
    <w:r w:rsidR="00C3070B">
      <w:t>Statement 8: Forecasting Performance and Sensitivity Analysis</w:t>
    </w:r>
    <w:r>
      <w:fldChar w:fldCharType="end"/>
    </w:r>
    <w:r w:rsidR="002C596C" w:rsidRPr="00B3705D">
      <w:t xml:space="preserve">  |  </w:t>
    </w:r>
    <w:r w:rsidR="002C596C" w:rsidRPr="00B3705D">
      <w:rPr>
        <w:b/>
        <w:bCs/>
      </w:rPr>
      <w:t xml:space="preserve">Page </w:t>
    </w:r>
    <w:r w:rsidR="002C596C" w:rsidRPr="00B3705D">
      <w:rPr>
        <w:b/>
        <w:bCs/>
      </w:rPr>
      <w:fldChar w:fldCharType="begin"/>
    </w:r>
    <w:r w:rsidR="002C596C" w:rsidRPr="00B3705D">
      <w:rPr>
        <w:b/>
        <w:bCs/>
      </w:rPr>
      <w:instrText xml:space="preserve"> PAGE  \* Arabic  \* MERGEFORMAT </w:instrText>
    </w:r>
    <w:r w:rsidR="002C596C" w:rsidRPr="00B3705D">
      <w:rPr>
        <w:b/>
        <w:bCs/>
      </w:rPr>
      <w:fldChar w:fldCharType="separate"/>
    </w:r>
    <w:r w:rsidR="002C596C">
      <w:rPr>
        <w:b/>
        <w:bCs/>
      </w:rPr>
      <w:t>1</w:t>
    </w:r>
    <w:r w:rsidR="002C596C"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5CC0C" w14:textId="77777777" w:rsidR="0074337C" w:rsidRPr="003C1CA4" w:rsidRDefault="0074337C"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5011A183" w14:textId="77777777" w:rsidR="0074337C" w:rsidRDefault="0074337C" w:rsidP="00E40261">
      <w:pPr>
        <w:spacing w:after="0" w:line="240" w:lineRule="auto"/>
      </w:pPr>
      <w:r>
        <w:continuationSeparator/>
      </w:r>
    </w:p>
  </w:footnote>
  <w:footnote w:type="continuationNotice" w:id="1">
    <w:p w14:paraId="4A13F7CB" w14:textId="77777777" w:rsidR="0074337C" w:rsidRDefault="0074337C">
      <w:pPr>
        <w:spacing w:before="0" w:after="0" w:line="240" w:lineRule="auto"/>
      </w:pPr>
    </w:p>
  </w:footnote>
  <w:footnote w:id="2">
    <w:p w14:paraId="4D13FF00" w14:textId="1033F8C2" w:rsidR="00503EF1" w:rsidRDefault="00503EF1" w:rsidP="003F0DC4">
      <w:pPr>
        <w:pStyle w:val="FootnoteText"/>
      </w:pPr>
      <w:r w:rsidRPr="00FA730B">
        <w:rPr>
          <w:rStyle w:val="FootnoteReference"/>
          <w:vertAlign w:val="baseline"/>
        </w:rPr>
        <w:footnoteRef/>
      </w:r>
      <w:r>
        <w:t xml:space="preserve"> </w:t>
      </w:r>
      <w:r w:rsidRPr="00D9533C">
        <w:tab/>
        <w:t>Between 2005</w:t>
      </w:r>
      <w:r w:rsidR="003D2C41" w:rsidRPr="00D9533C">
        <w:t>–</w:t>
      </w:r>
      <w:r w:rsidRPr="00D9533C">
        <w:t>06 and 2019</w:t>
      </w:r>
      <w:r w:rsidR="003D2C41" w:rsidRPr="00D9533C">
        <w:t>–</w:t>
      </w:r>
      <w:r w:rsidRPr="00D9533C">
        <w:t xml:space="preserve">20, the underlying cash balance is equal to receipts less payments, less net Future </w:t>
      </w:r>
      <w:r w:rsidRPr="003F0DC4">
        <w:t>Fund</w:t>
      </w:r>
      <w:r w:rsidRPr="00D9533C">
        <w:t xml:space="preserve"> earnings.</w:t>
      </w:r>
    </w:p>
  </w:footnote>
  <w:footnote w:id="3">
    <w:p w14:paraId="088BEDD4" w14:textId="0E1E5E91" w:rsidR="008B784F" w:rsidRDefault="008B784F" w:rsidP="008B784F">
      <w:pPr>
        <w:pStyle w:val="FootnoteText"/>
      </w:pPr>
      <w:r w:rsidRPr="00FA730B">
        <w:rPr>
          <w:rStyle w:val="FootnoteReference"/>
          <w:vertAlign w:val="baseline"/>
        </w:rPr>
        <w:footnoteRef/>
      </w:r>
      <w:r w:rsidRPr="00153BF1">
        <w:t xml:space="preserve"> </w:t>
      </w:r>
      <w:r w:rsidRPr="00D9533C">
        <w:tab/>
      </w:r>
      <w:r w:rsidR="007655F4" w:rsidRPr="00D9533C">
        <w:t>The c</w:t>
      </w:r>
      <w:r w:rsidR="00174667" w:rsidRPr="00D9533C">
        <w:t xml:space="preserve">onfidence intervals methodology is based on the Treasury Working Paper </w:t>
      </w:r>
      <w:r w:rsidR="00174667" w:rsidRPr="00D9533C">
        <w:rPr>
          <w:i/>
        </w:rPr>
        <w:t>Estimates of</w:t>
      </w:r>
      <w:r w:rsidR="003D2C41" w:rsidRPr="00D9533C">
        <w:rPr>
          <w:i/>
        </w:rPr>
        <w:t> </w:t>
      </w:r>
      <w:r w:rsidR="00174667" w:rsidRPr="00D9533C">
        <w:rPr>
          <w:i/>
        </w:rPr>
        <w:t>Uncertainty around Budget Forecasts</w:t>
      </w:r>
      <w:r w:rsidR="00174667" w:rsidRPr="00D9533C">
        <w:t>.</w:t>
      </w:r>
      <w:r w:rsidR="00174667" w:rsidRPr="00D9533C">
        <w:rPr>
          <w:i/>
        </w:rPr>
        <w:t xml:space="preserve"> </w:t>
      </w:r>
      <w:r w:rsidR="00174667" w:rsidRPr="00D9533C">
        <w:t>As in the paper, it is assumed forecast errors are normally distributed with zero mean and the past errors are representative of future errors.</w:t>
      </w:r>
      <w:r w:rsidRPr="00D9533C">
        <w:t xml:space="preserve"> </w:t>
      </w:r>
    </w:p>
  </w:footnote>
  <w:footnote w:id="4">
    <w:p w14:paraId="535784FF" w14:textId="18597245" w:rsidR="004534E7" w:rsidRPr="00CE5FDB" w:rsidRDefault="004534E7" w:rsidP="00F27873">
      <w:pPr>
        <w:pStyle w:val="FootnoteText"/>
        <w:ind w:right="340"/>
      </w:pPr>
      <w:r w:rsidRPr="00FA730B">
        <w:rPr>
          <w:rStyle w:val="FootnoteReference"/>
          <w:vertAlign w:val="baseline"/>
        </w:rPr>
        <w:footnoteRef/>
      </w:r>
      <w:r w:rsidRPr="00153BF1">
        <w:t xml:space="preserve"> </w:t>
      </w:r>
      <w:r w:rsidRPr="00D9533C">
        <w:tab/>
        <w:t xml:space="preserve">GST was not reported as a Commonwealth tax in budget documents prior to the </w:t>
      </w:r>
      <w:r w:rsidR="00893BA3" w:rsidRPr="00D9533C">
        <w:br/>
      </w:r>
      <w:r w:rsidRPr="00D9533C">
        <w:t>2008</w:t>
      </w:r>
      <w:r w:rsidR="003D2C41" w:rsidRPr="00D9533C">
        <w:t>–</w:t>
      </w:r>
      <w:r w:rsidRPr="00D9533C">
        <w:t xml:space="preserve">09 Budget. GST data have been removed from historical receipts and payments data to abstract from any error associated with this change in accounting treatment.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11B2" w14:textId="4AD019E3" w:rsidR="00C50A1C" w:rsidRDefault="005358D8">
    <w:pPr>
      <w:pStyle w:val="Header"/>
    </w:pPr>
    <w:r>
      <w:rPr>
        <w:noProof/>
      </w:rPr>
      <mc:AlternateContent>
        <mc:Choice Requires="wps">
          <w:drawing>
            <wp:anchor distT="0" distB="0" distL="114300" distR="114300" simplePos="0" relativeHeight="251659264" behindDoc="1" locked="1" layoutInCell="1" allowOverlap="1" wp14:anchorId="2C7E0151" wp14:editId="7A928CAE">
              <wp:simplePos x="0" y="0"/>
              <wp:positionH relativeFrom="page">
                <wp:align>center</wp:align>
              </wp:positionH>
              <wp:positionV relativeFrom="page">
                <wp:align>center</wp:align>
              </wp:positionV>
              <wp:extent cx="7560000" cy="10735200"/>
              <wp:effectExtent l="0" t="0" r="3175" b="952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D2ED4" id="Rectangle 13" o:spid="_x0000_s1026" alt="&quot;&quot;" style="position:absolute;margin-left:0;margin-top:0;width:595.3pt;height:845.3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" fillcolor="#293f5b [3215]" stroked="f" strokeweight="1pt">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0C3B1CB4" w:rsidR="000004EA" w:rsidRDefault="000004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D81A31" w:rsidRPr="00BE7EBB" w:rsidRDefault="00D81A31" w:rsidP="004722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AC295" w14:textId="5ED12CA4" w:rsidR="00D47C6E" w:rsidRPr="00AA5439" w:rsidRDefault="00D47C6E"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A5955F4" w14:textId="77777777" w:rsidTr="002A6A16">
      <w:trPr>
        <w:trHeight w:hRule="exact" w:val="340"/>
      </w:trPr>
      <w:tc>
        <w:tcPr>
          <w:tcW w:w="7797" w:type="dxa"/>
        </w:tcPr>
        <w:p w14:paraId="46A7B1B5" w14:textId="3B13B615" w:rsidR="00D47C6E" w:rsidRDefault="00D47C6E" w:rsidP="008F55F8">
          <w:pPr>
            <w:pStyle w:val="HeaderEven"/>
            <w:ind w:left="-113"/>
          </w:pPr>
          <w:r w:rsidRPr="00D47C6E">
            <w:rPr>
              <w:noProof/>
              <w:position w:val="-6"/>
            </w:rPr>
            <w:drawing>
              <wp:inline distT="0" distB="0" distL="0" distR="0" wp14:anchorId="2D5E1415" wp14:editId="632BFA80">
                <wp:extent cx="1350000" cy="126000"/>
                <wp:effectExtent l="0" t="0" r="3175" b="7620"/>
                <wp:docPr id="1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4871CB">
            <w:fldChar w:fldCharType="begin"/>
          </w:r>
          <w:r w:rsidR="004871CB">
            <w:instrText>TITLE   \* MERGEFORMAT</w:instrText>
          </w:r>
          <w:r w:rsidR="004871CB">
            <w:fldChar w:fldCharType="separate"/>
          </w:r>
          <w:r w:rsidR="00C3070B">
            <w:t>Budget Paper No. 1</w:t>
          </w:r>
          <w:r w:rsidR="004871CB">
            <w:fldChar w:fldCharType="end"/>
          </w:r>
        </w:p>
      </w:tc>
    </w:tr>
  </w:tbl>
  <w:p w14:paraId="40434C61" w14:textId="77777777" w:rsidR="00D47C6E" w:rsidRPr="00AA5439" w:rsidRDefault="00D47C6E" w:rsidP="00AA5439">
    <w:pPr>
      <w:pStyle w:val="HeaderEven"/>
      <w:rPr>
        <w:sz w:val="2"/>
        <w:szCs w:val="4"/>
      </w:rPr>
    </w:pPr>
  </w:p>
  <w:p w14:paraId="70D5FDCD" w14:textId="77777777" w:rsidR="00D47C6E" w:rsidRPr="0069746B" w:rsidRDefault="00D47C6E" w:rsidP="007703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44CE6816" w:rsidR="00D47C6E" w:rsidRPr="000635BE" w:rsidRDefault="00D47C6E" w:rsidP="004A2923">
    <w:pPr>
      <w:pStyle w:val="HeaderOdd"/>
      <w:jc w:val="center"/>
      <w:rPr>
        <w:sz w:val="2"/>
        <w:szCs w:val="4"/>
      </w:rPr>
    </w:pPr>
  </w:p>
  <w:p w14:paraId="22E5A951" w14:textId="77777777" w:rsidR="00D47C6E" w:rsidRPr="00AA5439" w:rsidRDefault="00D47C6E" w:rsidP="00AA5439">
    <w:pPr>
      <w:pStyle w:val="Header"/>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A23491" w14:paraId="60C8BC22" w14:textId="77777777" w:rsidTr="002A6A16">
      <w:trPr>
        <w:trHeight w:hRule="exact" w:val="340"/>
      </w:trPr>
      <w:tc>
        <w:tcPr>
          <w:tcW w:w="7797" w:type="dxa"/>
        </w:tcPr>
        <w:p w14:paraId="649FC801" w14:textId="06CBF6DC" w:rsidR="00A23491" w:rsidRDefault="004871CB" w:rsidP="000635BE">
          <w:pPr>
            <w:pStyle w:val="HeaderOdd"/>
          </w:pPr>
          <w:r>
            <w:fldChar w:fldCharType="begin"/>
          </w:r>
          <w:r>
            <w:instrText>TITLE   \* MERGEFORMAT</w:instrText>
          </w:r>
          <w:r>
            <w:fldChar w:fldCharType="separate"/>
          </w:r>
          <w:r w:rsidR="00C3070B">
            <w:t>Budget Paper No. 1</w:t>
          </w:r>
          <w:r>
            <w:fldChar w:fldCharType="end"/>
          </w:r>
          <w:r w:rsidR="00A23491">
            <w:t xml:space="preserve">  |  </w:t>
          </w:r>
          <w:r w:rsidR="00A23491" w:rsidRPr="00D47C6E">
            <w:rPr>
              <w:noProof/>
              <w:position w:val="-6"/>
            </w:rPr>
            <w:drawing>
              <wp:inline distT="0" distB="0" distL="0" distR="0" wp14:anchorId="0FE6422A" wp14:editId="2935F41E">
                <wp:extent cx="1350000" cy="126000"/>
                <wp:effectExtent l="0" t="0" r="3175" b="7620"/>
                <wp:docPr id="1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430F9899" w14:textId="77777777" w:rsidR="00D47C6E" w:rsidRDefault="00D47C6E" w:rsidP="0069746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494C5C95" w:rsidR="00D47C6E" w:rsidRPr="005B2F30" w:rsidRDefault="00D47C6E">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36F46769"/>
    <w:multiLevelType w:val="multilevel"/>
    <w:tmpl w:val="91C6EA92"/>
    <w:name w:val="StandardNumberedList"/>
    <w:lvl w:ilvl="0">
      <w:start w:val="1"/>
      <w:numFmt w:val="decimal"/>
      <w:pStyle w:val="OutlineNumbered1"/>
      <w:lvlText w:val="%1."/>
      <w:lvlJc w:val="left"/>
      <w:pPr>
        <w:tabs>
          <w:tab w:val="num" w:pos="449"/>
        </w:tabs>
        <w:ind w:left="449" w:hanging="449"/>
      </w:pPr>
      <w:rPr>
        <w:rFonts w:asciiTheme="minorHAnsi" w:hAnsiTheme="minorHAnsi" w:hint="default"/>
        <w:b w:val="0"/>
        <w:bCs/>
        <w:sz w:val="19"/>
        <w:szCs w:val="19"/>
      </w:r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B2E19AC"/>
    <w:multiLevelType w:val="singleLevel"/>
    <w:tmpl w:val="6BD2F7D2"/>
    <w:lvl w:ilvl="0">
      <w:start w:val="1"/>
      <w:numFmt w:val="lowerLetter"/>
      <w:pStyle w:val="ChartandTableFootnoteAlpha"/>
      <w:lvlText w:val="(%1)"/>
      <w:lvlJc w:val="left"/>
      <w:pPr>
        <w:ind w:left="360" w:hanging="360"/>
      </w:pPr>
      <w:rPr>
        <w:rFonts w:hint="default"/>
        <w:b w:val="0"/>
        <w:i w:val="0"/>
        <w:color w:val="000000"/>
        <w:sz w:val="16"/>
      </w:rPr>
    </w:lvl>
  </w:abstractNum>
  <w:abstractNum w:abstractNumId="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5" w15:restartNumberingAfterBreak="0">
    <w:nsid w:val="51241374"/>
    <w:multiLevelType w:val="hybridMultilevel"/>
    <w:tmpl w:val="E5488262"/>
    <w:lvl w:ilvl="0" w:tplc="738C4016">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2967951"/>
    <w:multiLevelType w:val="hybridMultilevel"/>
    <w:tmpl w:val="4C86317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8" w15:restartNumberingAfterBreak="0">
    <w:nsid w:val="6FE500C3"/>
    <w:multiLevelType w:val="multilevel"/>
    <w:tmpl w:val="2A8A5FB2"/>
    <w:lvl w:ilvl="0">
      <w:start w:val="1"/>
      <w:numFmt w:val="decimal"/>
      <w:pStyle w:val="StatementWhite-Bullet"/>
      <w:lvlText w:val="%1."/>
      <w:lvlJc w:val="left"/>
      <w:pPr>
        <w:tabs>
          <w:tab w:val="num" w:pos="283"/>
        </w:tabs>
        <w:ind w:left="283" w:hanging="283"/>
      </w:pPr>
      <w:rPr>
        <w:b w:val="0"/>
        <w:i w:val="0"/>
      </w:rPr>
    </w:lvl>
    <w:lvl w:ilvl="1">
      <w:start w:val="1"/>
      <w:numFmt w:val="bullet"/>
      <w:lvlText w:val="–"/>
      <w:lvlJc w:val="left"/>
      <w:pPr>
        <w:tabs>
          <w:tab w:val="num" w:pos="567"/>
        </w:tabs>
        <w:ind w:left="567" w:hanging="284"/>
      </w:pPr>
      <w:rPr>
        <w:rFonts w:ascii="Times New Roman" w:hAnsi="Times New Roman" w:cs="Times New Roman"/>
        <w:b w:val="0"/>
        <w:i w:val="0"/>
      </w:rPr>
    </w:lvl>
    <w:lvl w:ilvl="2">
      <w:start w:val="1"/>
      <w:numFmt w:val="bulle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num w:numId="1">
    <w:abstractNumId w:val="4"/>
  </w:num>
  <w:num w:numId="2">
    <w:abstractNumId w:val="1"/>
  </w:num>
  <w:num w:numId="3">
    <w:abstractNumId w:val="0"/>
  </w:num>
  <w:num w:numId="4">
    <w:abstractNumId w:val="3"/>
  </w:num>
  <w:num w:numId="5">
    <w:abstractNumId w:val="7"/>
  </w:num>
  <w:num w:numId="6">
    <w:abstractNumId w:val="0"/>
  </w:num>
  <w:num w:numId="7">
    <w:abstractNumId w:val="0"/>
  </w:num>
  <w:num w:numId="8">
    <w:abstractNumId w:val="3"/>
  </w:num>
  <w:num w:numId="9">
    <w:abstractNumId w:val="3"/>
    <w:lvlOverride w:ilvl="0">
      <w:startOverride w:val="1"/>
    </w:lvlOverride>
  </w:num>
  <w:num w:numId="10">
    <w:abstractNumId w:val="3"/>
    <w:lvlOverride w:ilvl="0">
      <w:startOverride w:val="1"/>
    </w:lvlOverride>
  </w:num>
  <w:num w:numId="11">
    <w:abstractNumId w:val="2"/>
  </w:num>
  <w:num w:numId="12">
    <w:abstractNumId w:val="5"/>
  </w:num>
  <w:num w:numId="13">
    <w:abstractNumId w:val="6"/>
  </w:num>
  <w:num w:numId="14">
    <w:abstractNumId w:val="3"/>
    <w:lvlOverride w:ilvl="0">
      <w:startOverride w:val="1"/>
    </w:lvlOverride>
  </w:num>
  <w:num w:numId="15">
    <w:abstractNumId w:val="8"/>
  </w:num>
  <w:num w:numId="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mirrorMargins/>
  <w:proofState w:spelling="clean" w:grammar="clean"/>
  <w:attachedTemplate r:id="rId1"/>
  <w:documentProtection w:edit="comments" w:enforcement="0"/>
  <w:defaultTabStop w:val="720"/>
  <w:evenAndOddHeaders/>
  <w:characterSpacingControl w:val="doNotCompress"/>
  <w:hdrShapeDefaults>
    <o:shapedefaults v:ext="edit" spidmax="2050"/>
  </w:hdrShapeDefaults>
  <w:footnotePr>
    <w:numStart w:val="29"/>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D71"/>
    <w:rsid w:val="000004EA"/>
    <w:rsid w:val="00000635"/>
    <w:rsid w:val="00000993"/>
    <w:rsid w:val="00000AE3"/>
    <w:rsid w:val="00000C08"/>
    <w:rsid w:val="00000FF8"/>
    <w:rsid w:val="000015FE"/>
    <w:rsid w:val="000016E4"/>
    <w:rsid w:val="00001725"/>
    <w:rsid w:val="00001CB0"/>
    <w:rsid w:val="00001E30"/>
    <w:rsid w:val="00001EEE"/>
    <w:rsid w:val="0000213C"/>
    <w:rsid w:val="00003123"/>
    <w:rsid w:val="00003145"/>
    <w:rsid w:val="000032A6"/>
    <w:rsid w:val="000032D1"/>
    <w:rsid w:val="000037BB"/>
    <w:rsid w:val="000038F9"/>
    <w:rsid w:val="000039AC"/>
    <w:rsid w:val="00003CB6"/>
    <w:rsid w:val="00003D5D"/>
    <w:rsid w:val="00003D85"/>
    <w:rsid w:val="00004167"/>
    <w:rsid w:val="000044EC"/>
    <w:rsid w:val="0000459C"/>
    <w:rsid w:val="0000476D"/>
    <w:rsid w:val="000049D0"/>
    <w:rsid w:val="0000589A"/>
    <w:rsid w:val="00005DF7"/>
    <w:rsid w:val="00006203"/>
    <w:rsid w:val="00006204"/>
    <w:rsid w:val="00006F0E"/>
    <w:rsid w:val="00006F10"/>
    <w:rsid w:val="00007315"/>
    <w:rsid w:val="0000740D"/>
    <w:rsid w:val="0000748E"/>
    <w:rsid w:val="000077B7"/>
    <w:rsid w:val="00007C83"/>
    <w:rsid w:val="00007CF4"/>
    <w:rsid w:val="00010739"/>
    <w:rsid w:val="00010983"/>
    <w:rsid w:val="00011A18"/>
    <w:rsid w:val="00011C1C"/>
    <w:rsid w:val="00011C2C"/>
    <w:rsid w:val="00011CD0"/>
    <w:rsid w:val="00011CED"/>
    <w:rsid w:val="00011D16"/>
    <w:rsid w:val="00011DBB"/>
    <w:rsid w:val="00012609"/>
    <w:rsid w:val="00012C22"/>
    <w:rsid w:val="00012C74"/>
    <w:rsid w:val="00012FED"/>
    <w:rsid w:val="00013309"/>
    <w:rsid w:val="00013324"/>
    <w:rsid w:val="00013779"/>
    <w:rsid w:val="00013BBB"/>
    <w:rsid w:val="00013C01"/>
    <w:rsid w:val="00013D8A"/>
    <w:rsid w:val="00013EA8"/>
    <w:rsid w:val="0001411F"/>
    <w:rsid w:val="00014AC0"/>
    <w:rsid w:val="0001519E"/>
    <w:rsid w:val="00015AD8"/>
    <w:rsid w:val="000165A8"/>
    <w:rsid w:val="00016785"/>
    <w:rsid w:val="00016A11"/>
    <w:rsid w:val="00016CE9"/>
    <w:rsid w:val="000173B6"/>
    <w:rsid w:val="00017624"/>
    <w:rsid w:val="00017C45"/>
    <w:rsid w:val="00020045"/>
    <w:rsid w:val="00020640"/>
    <w:rsid w:val="000208B9"/>
    <w:rsid w:val="00020D86"/>
    <w:rsid w:val="00020F9B"/>
    <w:rsid w:val="000220D4"/>
    <w:rsid w:val="0002210B"/>
    <w:rsid w:val="00022849"/>
    <w:rsid w:val="000228EB"/>
    <w:rsid w:val="000229D0"/>
    <w:rsid w:val="00023169"/>
    <w:rsid w:val="000232E5"/>
    <w:rsid w:val="00023625"/>
    <w:rsid w:val="000239CB"/>
    <w:rsid w:val="00024758"/>
    <w:rsid w:val="0002482C"/>
    <w:rsid w:val="0002495A"/>
    <w:rsid w:val="000249D3"/>
    <w:rsid w:val="00024E00"/>
    <w:rsid w:val="00024E41"/>
    <w:rsid w:val="00024F5D"/>
    <w:rsid w:val="00025327"/>
    <w:rsid w:val="000257B6"/>
    <w:rsid w:val="000257CC"/>
    <w:rsid w:val="00025B3D"/>
    <w:rsid w:val="00025BDC"/>
    <w:rsid w:val="000264BD"/>
    <w:rsid w:val="000268FD"/>
    <w:rsid w:val="00026E54"/>
    <w:rsid w:val="00027170"/>
    <w:rsid w:val="0002720A"/>
    <w:rsid w:val="0002735D"/>
    <w:rsid w:val="000274E3"/>
    <w:rsid w:val="0002757B"/>
    <w:rsid w:val="000276FA"/>
    <w:rsid w:val="0002773E"/>
    <w:rsid w:val="00027793"/>
    <w:rsid w:val="000279AE"/>
    <w:rsid w:val="00027D81"/>
    <w:rsid w:val="00027F16"/>
    <w:rsid w:val="000303E0"/>
    <w:rsid w:val="000304BD"/>
    <w:rsid w:val="000304DA"/>
    <w:rsid w:val="00030598"/>
    <w:rsid w:val="000308BC"/>
    <w:rsid w:val="00030B5A"/>
    <w:rsid w:val="00030DE7"/>
    <w:rsid w:val="0003124B"/>
    <w:rsid w:val="00031719"/>
    <w:rsid w:val="0003172F"/>
    <w:rsid w:val="00031DC6"/>
    <w:rsid w:val="00031EAB"/>
    <w:rsid w:val="00032052"/>
    <w:rsid w:val="0003246D"/>
    <w:rsid w:val="0003253A"/>
    <w:rsid w:val="000327B7"/>
    <w:rsid w:val="000329B1"/>
    <w:rsid w:val="00032B17"/>
    <w:rsid w:val="00032CA8"/>
    <w:rsid w:val="0003372D"/>
    <w:rsid w:val="000337E3"/>
    <w:rsid w:val="000338C0"/>
    <w:rsid w:val="00033BCA"/>
    <w:rsid w:val="00034041"/>
    <w:rsid w:val="00034193"/>
    <w:rsid w:val="0003431E"/>
    <w:rsid w:val="00034383"/>
    <w:rsid w:val="000348C6"/>
    <w:rsid w:val="00035955"/>
    <w:rsid w:val="00035BC9"/>
    <w:rsid w:val="00035D8D"/>
    <w:rsid w:val="00036ADC"/>
    <w:rsid w:val="00036CBB"/>
    <w:rsid w:val="000376A8"/>
    <w:rsid w:val="00037AE4"/>
    <w:rsid w:val="00037C04"/>
    <w:rsid w:val="00037F95"/>
    <w:rsid w:val="000404EC"/>
    <w:rsid w:val="00040A8D"/>
    <w:rsid w:val="00040ADD"/>
    <w:rsid w:val="0004194B"/>
    <w:rsid w:val="00041980"/>
    <w:rsid w:val="000419B1"/>
    <w:rsid w:val="000424DC"/>
    <w:rsid w:val="000429C2"/>
    <w:rsid w:val="00042C75"/>
    <w:rsid w:val="000439B0"/>
    <w:rsid w:val="00044640"/>
    <w:rsid w:val="00044BAE"/>
    <w:rsid w:val="00044C10"/>
    <w:rsid w:val="00044C35"/>
    <w:rsid w:val="00045696"/>
    <w:rsid w:val="00045B16"/>
    <w:rsid w:val="00045F10"/>
    <w:rsid w:val="00045F6B"/>
    <w:rsid w:val="00045FCE"/>
    <w:rsid w:val="000461D0"/>
    <w:rsid w:val="000461E5"/>
    <w:rsid w:val="0004651F"/>
    <w:rsid w:val="000465B8"/>
    <w:rsid w:val="00046BFF"/>
    <w:rsid w:val="00046D1A"/>
    <w:rsid w:val="00046D1B"/>
    <w:rsid w:val="00046D8C"/>
    <w:rsid w:val="000471B0"/>
    <w:rsid w:val="00047F0A"/>
    <w:rsid w:val="00047F68"/>
    <w:rsid w:val="00047F83"/>
    <w:rsid w:val="0005021C"/>
    <w:rsid w:val="00050222"/>
    <w:rsid w:val="00050330"/>
    <w:rsid w:val="00050450"/>
    <w:rsid w:val="00050D69"/>
    <w:rsid w:val="00050DB2"/>
    <w:rsid w:val="00051101"/>
    <w:rsid w:val="000513E6"/>
    <w:rsid w:val="00051660"/>
    <w:rsid w:val="0005169F"/>
    <w:rsid w:val="00051851"/>
    <w:rsid w:val="000521FF"/>
    <w:rsid w:val="00052A13"/>
    <w:rsid w:val="00052D6A"/>
    <w:rsid w:val="00052F04"/>
    <w:rsid w:val="00052FAD"/>
    <w:rsid w:val="000531A4"/>
    <w:rsid w:val="000536D4"/>
    <w:rsid w:val="00053837"/>
    <w:rsid w:val="00053877"/>
    <w:rsid w:val="00053EF5"/>
    <w:rsid w:val="000540DE"/>
    <w:rsid w:val="000541AA"/>
    <w:rsid w:val="00054855"/>
    <w:rsid w:val="00054875"/>
    <w:rsid w:val="00054C3B"/>
    <w:rsid w:val="00055148"/>
    <w:rsid w:val="00055189"/>
    <w:rsid w:val="0005552C"/>
    <w:rsid w:val="00055542"/>
    <w:rsid w:val="0005596B"/>
    <w:rsid w:val="00055ABC"/>
    <w:rsid w:val="00055D72"/>
    <w:rsid w:val="0005601D"/>
    <w:rsid w:val="000565BD"/>
    <w:rsid w:val="00056A5F"/>
    <w:rsid w:val="00056B63"/>
    <w:rsid w:val="00056B80"/>
    <w:rsid w:val="00056EBB"/>
    <w:rsid w:val="00057201"/>
    <w:rsid w:val="000572F2"/>
    <w:rsid w:val="00057D27"/>
    <w:rsid w:val="00057DD5"/>
    <w:rsid w:val="00057F14"/>
    <w:rsid w:val="00057F8D"/>
    <w:rsid w:val="00060753"/>
    <w:rsid w:val="000608E1"/>
    <w:rsid w:val="00061730"/>
    <w:rsid w:val="0006188F"/>
    <w:rsid w:val="00061ACE"/>
    <w:rsid w:val="000620F1"/>
    <w:rsid w:val="000622DA"/>
    <w:rsid w:val="000626B1"/>
    <w:rsid w:val="0006320F"/>
    <w:rsid w:val="000635BE"/>
    <w:rsid w:val="0006390C"/>
    <w:rsid w:val="00063D03"/>
    <w:rsid w:val="00063DE1"/>
    <w:rsid w:val="00063E0A"/>
    <w:rsid w:val="000640C8"/>
    <w:rsid w:val="00064B40"/>
    <w:rsid w:val="00064C90"/>
    <w:rsid w:val="00064FDB"/>
    <w:rsid w:val="000655BE"/>
    <w:rsid w:val="00065646"/>
    <w:rsid w:val="00065694"/>
    <w:rsid w:val="00065851"/>
    <w:rsid w:val="00065889"/>
    <w:rsid w:val="00065BAB"/>
    <w:rsid w:val="00066418"/>
    <w:rsid w:val="0006682A"/>
    <w:rsid w:val="000668D8"/>
    <w:rsid w:val="00066BAB"/>
    <w:rsid w:val="00066CC1"/>
    <w:rsid w:val="00067026"/>
    <w:rsid w:val="0006706D"/>
    <w:rsid w:val="00067186"/>
    <w:rsid w:val="00067356"/>
    <w:rsid w:val="000674E5"/>
    <w:rsid w:val="000675C8"/>
    <w:rsid w:val="0007043A"/>
    <w:rsid w:val="000705D0"/>
    <w:rsid w:val="000707B5"/>
    <w:rsid w:val="000710E3"/>
    <w:rsid w:val="0007112F"/>
    <w:rsid w:val="0007117E"/>
    <w:rsid w:val="000719BB"/>
    <w:rsid w:val="00071AEF"/>
    <w:rsid w:val="00071B18"/>
    <w:rsid w:val="00072069"/>
    <w:rsid w:val="000721B4"/>
    <w:rsid w:val="0007239A"/>
    <w:rsid w:val="000723A7"/>
    <w:rsid w:val="00072688"/>
    <w:rsid w:val="000726F6"/>
    <w:rsid w:val="00072949"/>
    <w:rsid w:val="00072C50"/>
    <w:rsid w:val="00072EB4"/>
    <w:rsid w:val="000732FE"/>
    <w:rsid w:val="0007336E"/>
    <w:rsid w:val="0007373C"/>
    <w:rsid w:val="000737D2"/>
    <w:rsid w:val="000739DF"/>
    <w:rsid w:val="00073D49"/>
    <w:rsid w:val="000746DD"/>
    <w:rsid w:val="00074849"/>
    <w:rsid w:val="00074A04"/>
    <w:rsid w:val="00074E4E"/>
    <w:rsid w:val="00075591"/>
    <w:rsid w:val="00075612"/>
    <w:rsid w:val="00075647"/>
    <w:rsid w:val="0007587B"/>
    <w:rsid w:val="0007609B"/>
    <w:rsid w:val="00076176"/>
    <w:rsid w:val="000762F7"/>
    <w:rsid w:val="000766D9"/>
    <w:rsid w:val="00076D82"/>
    <w:rsid w:val="000772A4"/>
    <w:rsid w:val="000773D3"/>
    <w:rsid w:val="000775EC"/>
    <w:rsid w:val="00077717"/>
    <w:rsid w:val="00077849"/>
    <w:rsid w:val="00077CD6"/>
    <w:rsid w:val="00080248"/>
    <w:rsid w:val="0008062D"/>
    <w:rsid w:val="000806AC"/>
    <w:rsid w:val="00080953"/>
    <w:rsid w:val="00080D19"/>
    <w:rsid w:val="0008101A"/>
    <w:rsid w:val="00081047"/>
    <w:rsid w:val="0008174A"/>
    <w:rsid w:val="0008188E"/>
    <w:rsid w:val="000828B4"/>
    <w:rsid w:val="0008304F"/>
    <w:rsid w:val="0008321B"/>
    <w:rsid w:val="00083789"/>
    <w:rsid w:val="00083980"/>
    <w:rsid w:val="00084BB3"/>
    <w:rsid w:val="00085219"/>
    <w:rsid w:val="000855D5"/>
    <w:rsid w:val="00085D50"/>
    <w:rsid w:val="00085E69"/>
    <w:rsid w:val="00085F63"/>
    <w:rsid w:val="000860F7"/>
    <w:rsid w:val="00086731"/>
    <w:rsid w:val="000869D7"/>
    <w:rsid w:val="0008734B"/>
    <w:rsid w:val="00087A84"/>
    <w:rsid w:val="00087ADE"/>
    <w:rsid w:val="00087CB6"/>
    <w:rsid w:val="000905E2"/>
    <w:rsid w:val="00090AF7"/>
    <w:rsid w:val="0009121F"/>
    <w:rsid w:val="000912E9"/>
    <w:rsid w:val="00091350"/>
    <w:rsid w:val="000915B8"/>
    <w:rsid w:val="00091AC0"/>
    <w:rsid w:val="00092265"/>
    <w:rsid w:val="000922F1"/>
    <w:rsid w:val="00092327"/>
    <w:rsid w:val="00092520"/>
    <w:rsid w:val="000927F3"/>
    <w:rsid w:val="00092934"/>
    <w:rsid w:val="00092A30"/>
    <w:rsid w:val="0009313A"/>
    <w:rsid w:val="0009328D"/>
    <w:rsid w:val="00093591"/>
    <w:rsid w:val="0009363A"/>
    <w:rsid w:val="00093806"/>
    <w:rsid w:val="00093863"/>
    <w:rsid w:val="00093A50"/>
    <w:rsid w:val="00093A96"/>
    <w:rsid w:val="0009408A"/>
    <w:rsid w:val="00094A27"/>
    <w:rsid w:val="000950EA"/>
    <w:rsid w:val="000953EB"/>
    <w:rsid w:val="00095585"/>
    <w:rsid w:val="000956F8"/>
    <w:rsid w:val="0009576E"/>
    <w:rsid w:val="00095AE1"/>
    <w:rsid w:val="00095DCF"/>
    <w:rsid w:val="000964F1"/>
    <w:rsid w:val="00096BD9"/>
    <w:rsid w:val="000970F7"/>
    <w:rsid w:val="00097224"/>
    <w:rsid w:val="000979A9"/>
    <w:rsid w:val="00097E3B"/>
    <w:rsid w:val="000A0030"/>
    <w:rsid w:val="000A016D"/>
    <w:rsid w:val="000A04EF"/>
    <w:rsid w:val="000A0D9B"/>
    <w:rsid w:val="000A0DB8"/>
    <w:rsid w:val="000A0FB5"/>
    <w:rsid w:val="000A0FC9"/>
    <w:rsid w:val="000A11AB"/>
    <w:rsid w:val="000A261F"/>
    <w:rsid w:val="000A2713"/>
    <w:rsid w:val="000A27F6"/>
    <w:rsid w:val="000A2A8A"/>
    <w:rsid w:val="000A3265"/>
    <w:rsid w:val="000A3D7A"/>
    <w:rsid w:val="000A3DC4"/>
    <w:rsid w:val="000A3EFC"/>
    <w:rsid w:val="000A3F01"/>
    <w:rsid w:val="000A40E2"/>
    <w:rsid w:val="000A422E"/>
    <w:rsid w:val="000A44B7"/>
    <w:rsid w:val="000A4667"/>
    <w:rsid w:val="000A4F84"/>
    <w:rsid w:val="000A55FB"/>
    <w:rsid w:val="000A5B76"/>
    <w:rsid w:val="000A5D0E"/>
    <w:rsid w:val="000A6434"/>
    <w:rsid w:val="000A657C"/>
    <w:rsid w:val="000A65B1"/>
    <w:rsid w:val="000A65B2"/>
    <w:rsid w:val="000A673E"/>
    <w:rsid w:val="000A68EF"/>
    <w:rsid w:val="000A6C7E"/>
    <w:rsid w:val="000A702F"/>
    <w:rsid w:val="000A74D3"/>
    <w:rsid w:val="000A74DA"/>
    <w:rsid w:val="000A7AD0"/>
    <w:rsid w:val="000B0BC3"/>
    <w:rsid w:val="000B0C8F"/>
    <w:rsid w:val="000B0EB7"/>
    <w:rsid w:val="000B0FED"/>
    <w:rsid w:val="000B1B7A"/>
    <w:rsid w:val="000B1E05"/>
    <w:rsid w:val="000B2BC1"/>
    <w:rsid w:val="000B2E5C"/>
    <w:rsid w:val="000B2FA7"/>
    <w:rsid w:val="000B2FED"/>
    <w:rsid w:val="000B3226"/>
    <w:rsid w:val="000B3658"/>
    <w:rsid w:val="000B3BA5"/>
    <w:rsid w:val="000B3E2F"/>
    <w:rsid w:val="000B4A95"/>
    <w:rsid w:val="000B4E68"/>
    <w:rsid w:val="000B5002"/>
    <w:rsid w:val="000B5293"/>
    <w:rsid w:val="000B52D4"/>
    <w:rsid w:val="000B5563"/>
    <w:rsid w:val="000B5D4B"/>
    <w:rsid w:val="000B65DC"/>
    <w:rsid w:val="000B6636"/>
    <w:rsid w:val="000B6CAC"/>
    <w:rsid w:val="000B701E"/>
    <w:rsid w:val="000B73EE"/>
    <w:rsid w:val="000B79B2"/>
    <w:rsid w:val="000C0074"/>
    <w:rsid w:val="000C0102"/>
    <w:rsid w:val="000C0594"/>
    <w:rsid w:val="000C0977"/>
    <w:rsid w:val="000C164B"/>
    <w:rsid w:val="000C1A62"/>
    <w:rsid w:val="000C1AC1"/>
    <w:rsid w:val="000C1AF8"/>
    <w:rsid w:val="000C27D3"/>
    <w:rsid w:val="000C2944"/>
    <w:rsid w:val="000C34EF"/>
    <w:rsid w:val="000C3A68"/>
    <w:rsid w:val="000C46AC"/>
    <w:rsid w:val="000C4B02"/>
    <w:rsid w:val="000C4BC4"/>
    <w:rsid w:val="000C51D2"/>
    <w:rsid w:val="000C559E"/>
    <w:rsid w:val="000C59D5"/>
    <w:rsid w:val="000C5BCA"/>
    <w:rsid w:val="000C5BF1"/>
    <w:rsid w:val="000C6415"/>
    <w:rsid w:val="000C6584"/>
    <w:rsid w:val="000C672B"/>
    <w:rsid w:val="000C6C12"/>
    <w:rsid w:val="000C6E2F"/>
    <w:rsid w:val="000C7048"/>
    <w:rsid w:val="000C71C4"/>
    <w:rsid w:val="000C75B3"/>
    <w:rsid w:val="000C75CF"/>
    <w:rsid w:val="000C7F37"/>
    <w:rsid w:val="000D04C3"/>
    <w:rsid w:val="000D09FC"/>
    <w:rsid w:val="000D0A8E"/>
    <w:rsid w:val="000D0D9C"/>
    <w:rsid w:val="000D154E"/>
    <w:rsid w:val="000D1780"/>
    <w:rsid w:val="000D192B"/>
    <w:rsid w:val="000D1DB1"/>
    <w:rsid w:val="000D2046"/>
    <w:rsid w:val="000D24BA"/>
    <w:rsid w:val="000D264D"/>
    <w:rsid w:val="000D2B18"/>
    <w:rsid w:val="000D2D68"/>
    <w:rsid w:val="000D3212"/>
    <w:rsid w:val="000D3B60"/>
    <w:rsid w:val="000D4190"/>
    <w:rsid w:val="000D5180"/>
    <w:rsid w:val="000D579B"/>
    <w:rsid w:val="000D59DE"/>
    <w:rsid w:val="000D631C"/>
    <w:rsid w:val="000D664A"/>
    <w:rsid w:val="000D6C3C"/>
    <w:rsid w:val="000D70D8"/>
    <w:rsid w:val="000D7330"/>
    <w:rsid w:val="000E04F1"/>
    <w:rsid w:val="000E053B"/>
    <w:rsid w:val="000E0677"/>
    <w:rsid w:val="000E0737"/>
    <w:rsid w:val="000E105B"/>
    <w:rsid w:val="000E1157"/>
    <w:rsid w:val="000E122C"/>
    <w:rsid w:val="000E149B"/>
    <w:rsid w:val="000E1A8A"/>
    <w:rsid w:val="000E1D2F"/>
    <w:rsid w:val="000E1D7F"/>
    <w:rsid w:val="000E2030"/>
    <w:rsid w:val="000E216C"/>
    <w:rsid w:val="000E231F"/>
    <w:rsid w:val="000E2636"/>
    <w:rsid w:val="000E287B"/>
    <w:rsid w:val="000E2985"/>
    <w:rsid w:val="000E2B0F"/>
    <w:rsid w:val="000E325B"/>
    <w:rsid w:val="000E33C7"/>
    <w:rsid w:val="000E3524"/>
    <w:rsid w:val="000E40C8"/>
    <w:rsid w:val="000E46B6"/>
    <w:rsid w:val="000E46D5"/>
    <w:rsid w:val="000E4C85"/>
    <w:rsid w:val="000E52A0"/>
    <w:rsid w:val="000E543F"/>
    <w:rsid w:val="000E5443"/>
    <w:rsid w:val="000E5CEF"/>
    <w:rsid w:val="000E5DB4"/>
    <w:rsid w:val="000E5F91"/>
    <w:rsid w:val="000E65DF"/>
    <w:rsid w:val="000E680B"/>
    <w:rsid w:val="000E707E"/>
    <w:rsid w:val="000E7879"/>
    <w:rsid w:val="000E78C7"/>
    <w:rsid w:val="000F00F6"/>
    <w:rsid w:val="000F02CD"/>
    <w:rsid w:val="000F083F"/>
    <w:rsid w:val="000F0888"/>
    <w:rsid w:val="000F0D88"/>
    <w:rsid w:val="000F0E1E"/>
    <w:rsid w:val="000F10AD"/>
    <w:rsid w:val="000F11C5"/>
    <w:rsid w:val="000F14F9"/>
    <w:rsid w:val="000F159C"/>
    <w:rsid w:val="000F1C15"/>
    <w:rsid w:val="000F1CAC"/>
    <w:rsid w:val="000F20A1"/>
    <w:rsid w:val="000F2270"/>
    <w:rsid w:val="000F274A"/>
    <w:rsid w:val="000F34C1"/>
    <w:rsid w:val="000F35E6"/>
    <w:rsid w:val="000F3C15"/>
    <w:rsid w:val="000F3FEC"/>
    <w:rsid w:val="000F40D3"/>
    <w:rsid w:val="000F4298"/>
    <w:rsid w:val="000F4B1E"/>
    <w:rsid w:val="000F4B56"/>
    <w:rsid w:val="000F5919"/>
    <w:rsid w:val="000F5EAC"/>
    <w:rsid w:val="000F6062"/>
    <w:rsid w:val="000F646B"/>
    <w:rsid w:val="000F64BE"/>
    <w:rsid w:val="000F6860"/>
    <w:rsid w:val="000F6AFA"/>
    <w:rsid w:val="000F6CA1"/>
    <w:rsid w:val="000F6F32"/>
    <w:rsid w:val="000F6FAD"/>
    <w:rsid w:val="000F702B"/>
    <w:rsid w:val="000F718B"/>
    <w:rsid w:val="000F7C9B"/>
    <w:rsid w:val="000F7D1D"/>
    <w:rsid w:val="0010112C"/>
    <w:rsid w:val="00101636"/>
    <w:rsid w:val="0010188F"/>
    <w:rsid w:val="001019A4"/>
    <w:rsid w:val="0010248B"/>
    <w:rsid w:val="00102AC1"/>
    <w:rsid w:val="0010304E"/>
    <w:rsid w:val="00103409"/>
    <w:rsid w:val="00103F65"/>
    <w:rsid w:val="00104ABA"/>
    <w:rsid w:val="00104B17"/>
    <w:rsid w:val="00104B82"/>
    <w:rsid w:val="001051C7"/>
    <w:rsid w:val="00105215"/>
    <w:rsid w:val="00105A15"/>
    <w:rsid w:val="00105D99"/>
    <w:rsid w:val="00105D9E"/>
    <w:rsid w:val="00105EC6"/>
    <w:rsid w:val="00106223"/>
    <w:rsid w:val="001063AB"/>
    <w:rsid w:val="00106728"/>
    <w:rsid w:val="0010696E"/>
    <w:rsid w:val="00106CE7"/>
    <w:rsid w:val="00106F4D"/>
    <w:rsid w:val="00107410"/>
    <w:rsid w:val="0011015A"/>
    <w:rsid w:val="0011039C"/>
    <w:rsid w:val="001104B1"/>
    <w:rsid w:val="001105E8"/>
    <w:rsid w:val="00110630"/>
    <w:rsid w:val="001106A8"/>
    <w:rsid w:val="00110962"/>
    <w:rsid w:val="00110A5C"/>
    <w:rsid w:val="0011175D"/>
    <w:rsid w:val="00111B7A"/>
    <w:rsid w:val="00111F73"/>
    <w:rsid w:val="00112650"/>
    <w:rsid w:val="00112765"/>
    <w:rsid w:val="001127C7"/>
    <w:rsid w:val="00112CC6"/>
    <w:rsid w:val="001134B1"/>
    <w:rsid w:val="0011372C"/>
    <w:rsid w:val="00113998"/>
    <w:rsid w:val="00113F81"/>
    <w:rsid w:val="00113FA0"/>
    <w:rsid w:val="001144B2"/>
    <w:rsid w:val="00114850"/>
    <w:rsid w:val="00114F06"/>
    <w:rsid w:val="0011503C"/>
    <w:rsid w:val="001150CA"/>
    <w:rsid w:val="00115489"/>
    <w:rsid w:val="0011579F"/>
    <w:rsid w:val="00115947"/>
    <w:rsid w:val="00115C27"/>
    <w:rsid w:val="00115D39"/>
    <w:rsid w:val="00116125"/>
    <w:rsid w:val="001161EB"/>
    <w:rsid w:val="001165E0"/>
    <w:rsid w:val="0011663C"/>
    <w:rsid w:val="00116A42"/>
    <w:rsid w:val="00116CBC"/>
    <w:rsid w:val="00117AA2"/>
    <w:rsid w:val="00117CD9"/>
    <w:rsid w:val="00117DBE"/>
    <w:rsid w:val="00120A6E"/>
    <w:rsid w:val="0012101A"/>
    <w:rsid w:val="001212B5"/>
    <w:rsid w:val="001212C0"/>
    <w:rsid w:val="001214C5"/>
    <w:rsid w:val="00121643"/>
    <w:rsid w:val="0012164E"/>
    <w:rsid w:val="0012177D"/>
    <w:rsid w:val="001219A6"/>
    <w:rsid w:val="001219AD"/>
    <w:rsid w:val="00122F1A"/>
    <w:rsid w:val="00123024"/>
    <w:rsid w:val="001234E9"/>
    <w:rsid w:val="001237F9"/>
    <w:rsid w:val="001239EF"/>
    <w:rsid w:val="00123E2C"/>
    <w:rsid w:val="00124181"/>
    <w:rsid w:val="00124CB4"/>
    <w:rsid w:val="0012517D"/>
    <w:rsid w:val="00125E95"/>
    <w:rsid w:val="001261F0"/>
    <w:rsid w:val="001263A2"/>
    <w:rsid w:val="00126CC5"/>
    <w:rsid w:val="00126D95"/>
    <w:rsid w:val="001271B7"/>
    <w:rsid w:val="00127958"/>
    <w:rsid w:val="0012797B"/>
    <w:rsid w:val="00127E9D"/>
    <w:rsid w:val="00127EC6"/>
    <w:rsid w:val="001300BE"/>
    <w:rsid w:val="00130362"/>
    <w:rsid w:val="00130454"/>
    <w:rsid w:val="0013051A"/>
    <w:rsid w:val="00130D07"/>
    <w:rsid w:val="0013164E"/>
    <w:rsid w:val="00131C42"/>
    <w:rsid w:val="00131DAB"/>
    <w:rsid w:val="00131EF3"/>
    <w:rsid w:val="00132137"/>
    <w:rsid w:val="001321F5"/>
    <w:rsid w:val="00132688"/>
    <w:rsid w:val="001327F7"/>
    <w:rsid w:val="0013286A"/>
    <w:rsid w:val="0013293D"/>
    <w:rsid w:val="00132C85"/>
    <w:rsid w:val="00132CF5"/>
    <w:rsid w:val="00132F62"/>
    <w:rsid w:val="001338A0"/>
    <w:rsid w:val="00133AA7"/>
    <w:rsid w:val="00133E35"/>
    <w:rsid w:val="001342C6"/>
    <w:rsid w:val="00134308"/>
    <w:rsid w:val="001349AB"/>
    <w:rsid w:val="00134A53"/>
    <w:rsid w:val="00136667"/>
    <w:rsid w:val="00136ED0"/>
    <w:rsid w:val="001370C2"/>
    <w:rsid w:val="0013793C"/>
    <w:rsid w:val="00137FF4"/>
    <w:rsid w:val="0014027B"/>
    <w:rsid w:val="00140781"/>
    <w:rsid w:val="001413A0"/>
    <w:rsid w:val="0014142F"/>
    <w:rsid w:val="001414C2"/>
    <w:rsid w:val="00141CA4"/>
    <w:rsid w:val="00142446"/>
    <w:rsid w:val="0014258D"/>
    <w:rsid w:val="001425A3"/>
    <w:rsid w:val="001427B8"/>
    <w:rsid w:val="0014307A"/>
    <w:rsid w:val="0014327E"/>
    <w:rsid w:val="00143423"/>
    <w:rsid w:val="00143899"/>
    <w:rsid w:val="0014397E"/>
    <w:rsid w:val="001439F4"/>
    <w:rsid w:val="00143B7F"/>
    <w:rsid w:val="0014428E"/>
    <w:rsid w:val="00144604"/>
    <w:rsid w:val="0014461A"/>
    <w:rsid w:val="00144B15"/>
    <w:rsid w:val="00144BCB"/>
    <w:rsid w:val="00144BFC"/>
    <w:rsid w:val="00144EC4"/>
    <w:rsid w:val="001453BA"/>
    <w:rsid w:val="00145DAB"/>
    <w:rsid w:val="00145DC7"/>
    <w:rsid w:val="0014611E"/>
    <w:rsid w:val="00146351"/>
    <w:rsid w:val="00146691"/>
    <w:rsid w:val="001468A9"/>
    <w:rsid w:val="00146EA0"/>
    <w:rsid w:val="00147380"/>
    <w:rsid w:val="00147616"/>
    <w:rsid w:val="00147695"/>
    <w:rsid w:val="001476E4"/>
    <w:rsid w:val="00147AEA"/>
    <w:rsid w:val="00147FEF"/>
    <w:rsid w:val="001501CC"/>
    <w:rsid w:val="001506C6"/>
    <w:rsid w:val="00150C18"/>
    <w:rsid w:val="00150DBB"/>
    <w:rsid w:val="00150E29"/>
    <w:rsid w:val="00150FB8"/>
    <w:rsid w:val="0015129D"/>
    <w:rsid w:val="001515F9"/>
    <w:rsid w:val="001518FA"/>
    <w:rsid w:val="00151CF6"/>
    <w:rsid w:val="00151D86"/>
    <w:rsid w:val="00151DE4"/>
    <w:rsid w:val="00152049"/>
    <w:rsid w:val="00152113"/>
    <w:rsid w:val="001525A5"/>
    <w:rsid w:val="00152EDD"/>
    <w:rsid w:val="00152EFD"/>
    <w:rsid w:val="00152F59"/>
    <w:rsid w:val="00153C54"/>
    <w:rsid w:val="00153C79"/>
    <w:rsid w:val="00153FD9"/>
    <w:rsid w:val="0015424A"/>
    <w:rsid w:val="001544B3"/>
    <w:rsid w:val="001545A8"/>
    <w:rsid w:val="00154654"/>
    <w:rsid w:val="00154B1C"/>
    <w:rsid w:val="00155825"/>
    <w:rsid w:val="001558B1"/>
    <w:rsid w:val="00155A4B"/>
    <w:rsid w:val="00155C61"/>
    <w:rsid w:val="0015614C"/>
    <w:rsid w:val="0015632B"/>
    <w:rsid w:val="00156517"/>
    <w:rsid w:val="001565E3"/>
    <w:rsid w:val="00156A0D"/>
    <w:rsid w:val="00156E36"/>
    <w:rsid w:val="00157552"/>
    <w:rsid w:val="001575CB"/>
    <w:rsid w:val="001576A6"/>
    <w:rsid w:val="00157A09"/>
    <w:rsid w:val="00157BE3"/>
    <w:rsid w:val="00157E73"/>
    <w:rsid w:val="0016096C"/>
    <w:rsid w:val="00160AC7"/>
    <w:rsid w:val="00160E02"/>
    <w:rsid w:val="00161144"/>
    <w:rsid w:val="001613C1"/>
    <w:rsid w:val="001613D0"/>
    <w:rsid w:val="001613DB"/>
    <w:rsid w:val="00161555"/>
    <w:rsid w:val="00161797"/>
    <w:rsid w:val="00161AC7"/>
    <w:rsid w:val="00161B3B"/>
    <w:rsid w:val="00161BB6"/>
    <w:rsid w:val="00161CA9"/>
    <w:rsid w:val="00161DB7"/>
    <w:rsid w:val="00161F13"/>
    <w:rsid w:val="00161FCC"/>
    <w:rsid w:val="001624C9"/>
    <w:rsid w:val="00163849"/>
    <w:rsid w:val="001639E2"/>
    <w:rsid w:val="00164823"/>
    <w:rsid w:val="00164AF7"/>
    <w:rsid w:val="0016500B"/>
    <w:rsid w:val="001659A8"/>
    <w:rsid w:val="001659E3"/>
    <w:rsid w:val="00165B32"/>
    <w:rsid w:val="00165EBC"/>
    <w:rsid w:val="00166415"/>
    <w:rsid w:val="0016671D"/>
    <w:rsid w:val="00166AAB"/>
    <w:rsid w:val="00166E21"/>
    <w:rsid w:val="00166F9F"/>
    <w:rsid w:val="0016773F"/>
    <w:rsid w:val="001677B8"/>
    <w:rsid w:val="0017014C"/>
    <w:rsid w:val="00170463"/>
    <w:rsid w:val="0017081C"/>
    <w:rsid w:val="00170A15"/>
    <w:rsid w:val="00170DAD"/>
    <w:rsid w:val="00171803"/>
    <w:rsid w:val="0017191C"/>
    <w:rsid w:val="00171AC4"/>
    <w:rsid w:val="00171B16"/>
    <w:rsid w:val="00171CCC"/>
    <w:rsid w:val="00171F1C"/>
    <w:rsid w:val="00172103"/>
    <w:rsid w:val="001724F1"/>
    <w:rsid w:val="00172758"/>
    <w:rsid w:val="00172B16"/>
    <w:rsid w:val="00172CFE"/>
    <w:rsid w:val="0017354C"/>
    <w:rsid w:val="0017396F"/>
    <w:rsid w:val="00173E7E"/>
    <w:rsid w:val="00174045"/>
    <w:rsid w:val="0017449B"/>
    <w:rsid w:val="00174667"/>
    <w:rsid w:val="0017484C"/>
    <w:rsid w:val="00174E53"/>
    <w:rsid w:val="00175066"/>
    <w:rsid w:val="001756BA"/>
    <w:rsid w:val="0017584A"/>
    <w:rsid w:val="00175ACB"/>
    <w:rsid w:val="00175D80"/>
    <w:rsid w:val="00175E98"/>
    <w:rsid w:val="001763DB"/>
    <w:rsid w:val="0017684E"/>
    <w:rsid w:val="00177039"/>
    <w:rsid w:val="0017725A"/>
    <w:rsid w:val="0017725E"/>
    <w:rsid w:val="00177313"/>
    <w:rsid w:val="001773EE"/>
    <w:rsid w:val="00177DB8"/>
    <w:rsid w:val="00177EBC"/>
    <w:rsid w:val="00180268"/>
    <w:rsid w:val="001805F5"/>
    <w:rsid w:val="001811BA"/>
    <w:rsid w:val="00181344"/>
    <w:rsid w:val="001814CD"/>
    <w:rsid w:val="00181552"/>
    <w:rsid w:val="00181AB5"/>
    <w:rsid w:val="00181B39"/>
    <w:rsid w:val="001820D1"/>
    <w:rsid w:val="00182930"/>
    <w:rsid w:val="00182A09"/>
    <w:rsid w:val="00182ADB"/>
    <w:rsid w:val="00182ECE"/>
    <w:rsid w:val="00183004"/>
    <w:rsid w:val="001830B3"/>
    <w:rsid w:val="0018327A"/>
    <w:rsid w:val="001832EA"/>
    <w:rsid w:val="00183414"/>
    <w:rsid w:val="00183417"/>
    <w:rsid w:val="00183559"/>
    <w:rsid w:val="0018356D"/>
    <w:rsid w:val="00183E1C"/>
    <w:rsid w:val="00184386"/>
    <w:rsid w:val="0018443B"/>
    <w:rsid w:val="00184ABF"/>
    <w:rsid w:val="00184B80"/>
    <w:rsid w:val="00184CCA"/>
    <w:rsid w:val="00184DFD"/>
    <w:rsid w:val="00184FFB"/>
    <w:rsid w:val="0018558C"/>
    <w:rsid w:val="00185EB0"/>
    <w:rsid w:val="0018629D"/>
    <w:rsid w:val="001862FE"/>
    <w:rsid w:val="00186970"/>
    <w:rsid w:val="00186E8E"/>
    <w:rsid w:val="001876C8"/>
    <w:rsid w:val="001877BE"/>
    <w:rsid w:val="0018789F"/>
    <w:rsid w:val="00187E85"/>
    <w:rsid w:val="00190A4B"/>
    <w:rsid w:val="00190BC3"/>
    <w:rsid w:val="0019115B"/>
    <w:rsid w:val="00191729"/>
    <w:rsid w:val="0019177D"/>
    <w:rsid w:val="00191A73"/>
    <w:rsid w:val="00192BAE"/>
    <w:rsid w:val="00192E40"/>
    <w:rsid w:val="00193029"/>
    <w:rsid w:val="0019317E"/>
    <w:rsid w:val="0019334A"/>
    <w:rsid w:val="00193719"/>
    <w:rsid w:val="00193B0F"/>
    <w:rsid w:val="00193B75"/>
    <w:rsid w:val="00193C38"/>
    <w:rsid w:val="00194077"/>
    <w:rsid w:val="001945D8"/>
    <w:rsid w:val="0019472B"/>
    <w:rsid w:val="00195526"/>
    <w:rsid w:val="00195B63"/>
    <w:rsid w:val="00195E4C"/>
    <w:rsid w:val="001960CA"/>
    <w:rsid w:val="00196316"/>
    <w:rsid w:val="0019666B"/>
    <w:rsid w:val="00196919"/>
    <w:rsid w:val="00196CCF"/>
    <w:rsid w:val="00196DE4"/>
    <w:rsid w:val="001970E6"/>
    <w:rsid w:val="001976F5"/>
    <w:rsid w:val="00197D34"/>
    <w:rsid w:val="001A00E3"/>
    <w:rsid w:val="001A05E1"/>
    <w:rsid w:val="001A14BC"/>
    <w:rsid w:val="001A2064"/>
    <w:rsid w:val="001A2C03"/>
    <w:rsid w:val="001A2D9C"/>
    <w:rsid w:val="001A3742"/>
    <w:rsid w:val="001A37A2"/>
    <w:rsid w:val="001A39DD"/>
    <w:rsid w:val="001A3B01"/>
    <w:rsid w:val="001A3B83"/>
    <w:rsid w:val="001A40D6"/>
    <w:rsid w:val="001A45D7"/>
    <w:rsid w:val="001A464D"/>
    <w:rsid w:val="001A4B94"/>
    <w:rsid w:val="001A4C10"/>
    <w:rsid w:val="001A509D"/>
    <w:rsid w:val="001A518F"/>
    <w:rsid w:val="001A548D"/>
    <w:rsid w:val="001A566D"/>
    <w:rsid w:val="001A60FD"/>
    <w:rsid w:val="001A6674"/>
    <w:rsid w:val="001A6AAF"/>
    <w:rsid w:val="001A6B7F"/>
    <w:rsid w:val="001A6D50"/>
    <w:rsid w:val="001A7712"/>
    <w:rsid w:val="001A7CB6"/>
    <w:rsid w:val="001A7F06"/>
    <w:rsid w:val="001B034F"/>
    <w:rsid w:val="001B049C"/>
    <w:rsid w:val="001B09C3"/>
    <w:rsid w:val="001B0B6E"/>
    <w:rsid w:val="001B0D61"/>
    <w:rsid w:val="001B0E7B"/>
    <w:rsid w:val="001B0EB8"/>
    <w:rsid w:val="001B1239"/>
    <w:rsid w:val="001B1545"/>
    <w:rsid w:val="001B1E48"/>
    <w:rsid w:val="001B2674"/>
    <w:rsid w:val="001B28DC"/>
    <w:rsid w:val="001B29ED"/>
    <w:rsid w:val="001B302B"/>
    <w:rsid w:val="001B350A"/>
    <w:rsid w:val="001B3543"/>
    <w:rsid w:val="001B357E"/>
    <w:rsid w:val="001B36BF"/>
    <w:rsid w:val="001B3989"/>
    <w:rsid w:val="001B3C5E"/>
    <w:rsid w:val="001B3D10"/>
    <w:rsid w:val="001B4671"/>
    <w:rsid w:val="001B471A"/>
    <w:rsid w:val="001B4724"/>
    <w:rsid w:val="001B4B1A"/>
    <w:rsid w:val="001B5255"/>
    <w:rsid w:val="001B5726"/>
    <w:rsid w:val="001B5E1B"/>
    <w:rsid w:val="001B6019"/>
    <w:rsid w:val="001B624B"/>
    <w:rsid w:val="001B6480"/>
    <w:rsid w:val="001B68DA"/>
    <w:rsid w:val="001B6A95"/>
    <w:rsid w:val="001B72E1"/>
    <w:rsid w:val="001B77DB"/>
    <w:rsid w:val="001B7A97"/>
    <w:rsid w:val="001B7D15"/>
    <w:rsid w:val="001C00AD"/>
    <w:rsid w:val="001C022F"/>
    <w:rsid w:val="001C0A61"/>
    <w:rsid w:val="001C0E5F"/>
    <w:rsid w:val="001C0F38"/>
    <w:rsid w:val="001C0F90"/>
    <w:rsid w:val="001C10B0"/>
    <w:rsid w:val="001C125F"/>
    <w:rsid w:val="001C12F3"/>
    <w:rsid w:val="001C1379"/>
    <w:rsid w:val="001C16D9"/>
    <w:rsid w:val="001C1797"/>
    <w:rsid w:val="001C1F78"/>
    <w:rsid w:val="001C216B"/>
    <w:rsid w:val="001C29BA"/>
    <w:rsid w:val="001C2BBC"/>
    <w:rsid w:val="001C2DA2"/>
    <w:rsid w:val="001C2E4F"/>
    <w:rsid w:val="001C2F42"/>
    <w:rsid w:val="001C315D"/>
    <w:rsid w:val="001C3B0C"/>
    <w:rsid w:val="001C3DD6"/>
    <w:rsid w:val="001C3F55"/>
    <w:rsid w:val="001C41CD"/>
    <w:rsid w:val="001C43DE"/>
    <w:rsid w:val="001C4481"/>
    <w:rsid w:val="001C45BD"/>
    <w:rsid w:val="001C4B02"/>
    <w:rsid w:val="001C4B9E"/>
    <w:rsid w:val="001C4D0A"/>
    <w:rsid w:val="001C5041"/>
    <w:rsid w:val="001C51DD"/>
    <w:rsid w:val="001C528B"/>
    <w:rsid w:val="001C5655"/>
    <w:rsid w:val="001C5EEA"/>
    <w:rsid w:val="001C5F89"/>
    <w:rsid w:val="001C63C5"/>
    <w:rsid w:val="001C6437"/>
    <w:rsid w:val="001C658B"/>
    <w:rsid w:val="001C6A60"/>
    <w:rsid w:val="001C6D42"/>
    <w:rsid w:val="001C7231"/>
    <w:rsid w:val="001C740C"/>
    <w:rsid w:val="001C791A"/>
    <w:rsid w:val="001D0270"/>
    <w:rsid w:val="001D0566"/>
    <w:rsid w:val="001D103E"/>
    <w:rsid w:val="001D1DFC"/>
    <w:rsid w:val="001D2467"/>
    <w:rsid w:val="001D2B58"/>
    <w:rsid w:val="001D32E9"/>
    <w:rsid w:val="001D33D6"/>
    <w:rsid w:val="001D373B"/>
    <w:rsid w:val="001D392B"/>
    <w:rsid w:val="001D3ABE"/>
    <w:rsid w:val="001D3D79"/>
    <w:rsid w:val="001D460A"/>
    <w:rsid w:val="001D4A9E"/>
    <w:rsid w:val="001D4F53"/>
    <w:rsid w:val="001D5188"/>
    <w:rsid w:val="001D549E"/>
    <w:rsid w:val="001D5568"/>
    <w:rsid w:val="001D55AD"/>
    <w:rsid w:val="001D582F"/>
    <w:rsid w:val="001D5872"/>
    <w:rsid w:val="001D5BA6"/>
    <w:rsid w:val="001D6420"/>
    <w:rsid w:val="001D6C80"/>
    <w:rsid w:val="001D6D3E"/>
    <w:rsid w:val="001D71DD"/>
    <w:rsid w:val="001D7346"/>
    <w:rsid w:val="001D790D"/>
    <w:rsid w:val="001E00BD"/>
    <w:rsid w:val="001E0276"/>
    <w:rsid w:val="001E04B2"/>
    <w:rsid w:val="001E05E0"/>
    <w:rsid w:val="001E0770"/>
    <w:rsid w:val="001E087D"/>
    <w:rsid w:val="001E0FD7"/>
    <w:rsid w:val="001E119D"/>
    <w:rsid w:val="001E1412"/>
    <w:rsid w:val="001E1789"/>
    <w:rsid w:val="001E19CA"/>
    <w:rsid w:val="001E1CE6"/>
    <w:rsid w:val="001E1D73"/>
    <w:rsid w:val="001E1EE0"/>
    <w:rsid w:val="001E1FA8"/>
    <w:rsid w:val="001E1FF9"/>
    <w:rsid w:val="001E2146"/>
    <w:rsid w:val="001E2582"/>
    <w:rsid w:val="001E27B8"/>
    <w:rsid w:val="001E27BD"/>
    <w:rsid w:val="001E289B"/>
    <w:rsid w:val="001E2D6B"/>
    <w:rsid w:val="001E316C"/>
    <w:rsid w:val="001E33D0"/>
    <w:rsid w:val="001E3FE2"/>
    <w:rsid w:val="001E43D3"/>
    <w:rsid w:val="001E5131"/>
    <w:rsid w:val="001E53C5"/>
    <w:rsid w:val="001E55D0"/>
    <w:rsid w:val="001E5D87"/>
    <w:rsid w:val="001E62B3"/>
    <w:rsid w:val="001E63CE"/>
    <w:rsid w:val="001E6A4E"/>
    <w:rsid w:val="001E6BBD"/>
    <w:rsid w:val="001E6FD3"/>
    <w:rsid w:val="001E7163"/>
    <w:rsid w:val="001E716C"/>
    <w:rsid w:val="001E792F"/>
    <w:rsid w:val="001E7961"/>
    <w:rsid w:val="001E7AAC"/>
    <w:rsid w:val="001F08E1"/>
    <w:rsid w:val="001F0FA7"/>
    <w:rsid w:val="001F121C"/>
    <w:rsid w:val="001F150A"/>
    <w:rsid w:val="001F18CD"/>
    <w:rsid w:val="001F1A8C"/>
    <w:rsid w:val="001F1B3E"/>
    <w:rsid w:val="001F1E13"/>
    <w:rsid w:val="001F22FD"/>
    <w:rsid w:val="001F245E"/>
    <w:rsid w:val="001F25D9"/>
    <w:rsid w:val="001F2CCC"/>
    <w:rsid w:val="001F2FE4"/>
    <w:rsid w:val="001F3A67"/>
    <w:rsid w:val="001F3E08"/>
    <w:rsid w:val="001F3F3D"/>
    <w:rsid w:val="001F4212"/>
    <w:rsid w:val="001F449F"/>
    <w:rsid w:val="001F47E7"/>
    <w:rsid w:val="001F4B35"/>
    <w:rsid w:val="001F4D0C"/>
    <w:rsid w:val="001F4E64"/>
    <w:rsid w:val="001F4F32"/>
    <w:rsid w:val="001F596A"/>
    <w:rsid w:val="001F6745"/>
    <w:rsid w:val="001F69DF"/>
    <w:rsid w:val="001F6AC7"/>
    <w:rsid w:val="001F7798"/>
    <w:rsid w:val="001F7F52"/>
    <w:rsid w:val="00200182"/>
    <w:rsid w:val="0020082A"/>
    <w:rsid w:val="00200AA3"/>
    <w:rsid w:val="002018ED"/>
    <w:rsid w:val="00201EE4"/>
    <w:rsid w:val="00202068"/>
    <w:rsid w:val="002037BD"/>
    <w:rsid w:val="00203A44"/>
    <w:rsid w:val="00203B7A"/>
    <w:rsid w:val="002041C1"/>
    <w:rsid w:val="00204307"/>
    <w:rsid w:val="00204733"/>
    <w:rsid w:val="00204A76"/>
    <w:rsid w:val="00204DC8"/>
    <w:rsid w:val="00204E78"/>
    <w:rsid w:val="0020588D"/>
    <w:rsid w:val="0020619D"/>
    <w:rsid w:val="002065B7"/>
    <w:rsid w:val="002067E4"/>
    <w:rsid w:val="0020681B"/>
    <w:rsid w:val="0020691D"/>
    <w:rsid w:val="0020696E"/>
    <w:rsid w:val="00206A5F"/>
    <w:rsid w:val="002072C8"/>
    <w:rsid w:val="002074BF"/>
    <w:rsid w:val="00207969"/>
    <w:rsid w:val="00207E9F"/>
    <w:rsid w:val="0021095D"/>
    <w:rsid w:val="00210E9C"/>
    <w:rsid w:val="0021105B"/>
    <w:rsid w:val="00211472"/>
    <w:rsid w:val="00211A55"/>
    <w:rsid w:val="002121F9"/>
    <w:rsid w:val="002123E3"/>
    <w:rsid w:val="0021251B"/>
    <w:rsid w:val="00212783"/>
    <w:rsid w:val="00212A68"/>
    <w:rsid w:val="00212A9B"/>
    <w:rsid w:val="00213003"/>
    <w:rsid w:val="0021350F"/>
    <w:rsid w:val="00213FAF"/>
    <w:rsid w:val="00214A3C"/>
    <w:rsid w:val="00214B19"/>
    <w:rsid w:val="00214C91"/>
    <w:rsid w:val="00214DD5"/>
    <w:rsid w:val="002150CD"/>
    <w:rsid w:val="00215523"/>
    <w:rsid w:val="00215E87"/>
    <w:rsid w:val="00216008"/>
    <w:rsid w:val="00216517"/>
    <w:rsid w:val="00216567"/>
    <w:rsid w:val="002166FC"/>
    <w:rsid w:val="00216803"/>
    <w:rsid w:val="002169A1"/>
    <w:rsid w:val="00216C0A"/>
    <w:rsid w:val="002170E2"/>
    <w:rsid w:val="002172A2"/>
    <w:rsid w:val="002172AC"/>
    <w:rsid w:val="0021793C"/>
    <w:rsid w:val="00217973"/>
    <w:rsid w:val="00217C1C"/>
    <w:rsid w:val="00217EBF"/>
    <w:rsid w:val="00217F18"/>
    <w:rsid w:val="002200CC"/>
    <w:rsid w:val="00220ED5"/>
    <w:rsid w:val="002210F0"/>
    <w:rsid w:val="0022122B"/>
    <w:rsid w:val="0022131C"/>
    <w:rsid w:val="0022150D"/>
    <w:rsid w:val="002219D7"/>
    <w:rsid w:val="00221B4E"/>
    <w:rsid w:val="00221DCA"/>
    <w:rsid w:val="00221F6F"/>
    <w:rsid w:val="002222B4"/>
    <w:rsid w:val="002225B6"/>
    <w:rsid w:val="00222AF4"/>
    <w:rsid w:val="00222C91"/>
    <w:rsid w:val="00222D80"/>
    <w:rsid w:val="0022331B"/>
    <w:rsid w:val="0022344D"/>
    <w:rsid w:val="002241E2"/>
    <w:rsid w:val="0022443B"/>
    <w:rsid w:val="00224602"/>
    <w:rsid w:val="0022468F"/>
    <w:rsid w:val="00224770"/>
    <w:rsid w:val="0022498D"/>
    <w:rsid w:val="00224E33"/>
    <w:rsid w:val="00224F14"/>
    <w:rsid w:val="00224F9F"/>
    <w:rsid w:val="002253BC"/>
    <w:rsid w:val="00225E37"/>
    <w:rsid w:val="002261A2"/>
    <w:rsid w:val="00226306"/>
    <w:rsid w:val="002265C1"/>
    <w:rsid w:val="00226AA8"/>
    <w:rsid w:val="00227192"/>
    <w:rsid w:val="002273D2"/>
    <w:rsid w:val="002274C2"/>
    <w:rsid w:val="00227685"/>
    <w:rsid w:val="00227A5F"/>
    <w:rsid w:val="00227EB2"/>
    <w:rsid w:val="00227F5B"/>
    <w:rsid w:val="002301B4"/>
    <w:rsid w:val="00230317"/>
    <w:rsid w:val="002305F2"/>
    <w:rsid w:val="0023093E"/>
    <w:rsid w:val="00230D3A"/>
    <w:rsid w:val="00231550"/>
    <w:rsid w:val="0023170C"/>
    <w:rsid w:val="00231AC1"/>
    <w:rsid w:val="00231F04"/>
    <w:rsid w:val="0023298B"/>
    <w:rsid w:val="00232BA6"/>
    <w:rsid w:val="00232F5A"/>
    <w:rsid w:val="00233803"/>
    <w:rsid w:val="0023393F"/>
    <w:rsid w:val="00233CB3"/>
    <w:rsid w:val="002344A4"/>
    <w:rsid w:val="0023462D"/>
    <w:rsid w:val="00234F9D"/>
    <w:rsid w:val="002351CE"/>
    <w:rsid w:val="0023548C"/>
    <w:rsid w:val="00235554"/>
    <w:rsid w:val="0023565F"/>
    <w:rsid w:val="002357A3"/>
    <w:rsid w:val="00235B4A"/>
    <w:rsid w:val="00235C29"/>
    <w:rsid w:val="00235DDF"/>
    <w:rsid w:val="0023611F"/>
    <w:rsid w:val="0023614B"/>
    <w:rsid w:val="0023618B"/>
    <w:rsid w:val="00236479"/>
    <w:rsid w:val="00236A6C"/>
    <w:rsid w:val="00236D38"/>
    <w:rsid w:val="002370CA"/>
    <w:rsid w:val="002376A6"/>
    <w:rsid w:val="00237B57"/>
    <w:rsid w:val="00237C80"/>
    <w:rsid w:val="00237C85"/>
    <w:rsid w:val="00237F04"/>
    <w:rsid w:val="00237F95"/>
    <w:rsid w:val="00240A89"/>
    <w:rsid w:val="00240B18"/>
    <w:rsid w:val="0024157E"/>
    <w:rsid w:val="0024175F"/>
    <w:rsid w:val="00241CD7"/>
    <w:rsid w:val="00241EFC"/>
    <w:rsid w:val="002420C3"/>
    <w:rsid w:val="00242435"/>
    <w:rsid w:val="00242AA8"/>
    <w:rsid w:val="00242B24"/>
    <w:rsid w:val="00242BA2"/>
    <w:rsid w:val="00242F07"/>
    <w:rsid w:val="00242F19"/>
    <w:rsid w:val="00243189"/>
    <w:rsid w:val="002435E4"/>
    <w:rsid w:val="00243A08"/>
    <w:rsid w:val="00243A4B"/>
    <w:rsid w:val="00243A6C"/>
    <w:rsid w:val="00243C1C"/>
    <w:rsid w:val="00243F4A"/>
    <w:rsid w:val="0024421C"/>
    <w:rsid w:val="0024437A"/>
    <w:rsid w:val="00244478"/>
    <w:rsid w:val="00244687"/>
    <w:rsid w:val="0024501D"/>
    <w:rsid w:val="002453B1"/>
    <w:rsid w:val="00245AB3"/>
    <w:rsid w:val="00246EBC"/>
    <w:rsid w:val="00247104"/>
    <w:rsid w:val="00247247"/>
    <w:rsid w:val="002472A5"/>
    <w:rsid w:val="002473B6"/>
    <w:rsid w:val="00247774"/>
    <w:rsid w:val="002477CB"/>
    <w:rsid w:val="00247AAC"/>
    <w:rsid w:val="002506D5"/>
    <w:rsid w:val="00250851"/>
    <w:rsid w:val="00250ED6"/>
    <w:rsid w:val="00251052"/>
    <w:rsid w:val="00251351"/>
    <w:rsid w:val="00251498"/>
    <w:rsid w:val="00251718"/>
    <w:rsid w:val="00251E1A"/>
    <w:rsid w:val="00251E40"/>
    <w:rsid w:val="00252087"/>
    <w:rsid w:val="00252205"/>
    <w:rsid w:val="00252697"/>
    <w:rsid w:val="002526D9"/>
    <w:rsid w:val="002527D1"/>
    <w:rsid w:val="00252B52"/>
    <w:rsid w:val="00253445"/>
    <w:rsid w:val="00253462"/>
    <w:rsid w:val="002535CC"/>
    <w:rsid w:val="002537AA"/>
    <w:rsid w:val="00253A9A"/>
    <w:rsid w:val="00254320"/>
    <w:rsid w:val="002545A6"/>
    <w:rsid w:val="002548DF"/>
    <w:rsid w:val="00254D7F"/>
    <w:rsid w:val="0025515D"/>
    <w:rsid w:val="002552DB"/>
    <w:rsid w:val="00255561"/>
    <w:rsid w:val="00255BAF"/>
    <w:rsid w:val="002568A6"/>
    <w:rsid w:val="00256E04"/>
    <w:rsid w:val="00257183"/>
    <w:rsid w:val="00257348"/>
    <w:rsid w:val="00257399"/>
    <w:rsid w:val="00257987"/>
    <w:rsid w:val="00257EFA"/>
    <w:rsid w:val="002606AE"/>
    <w:rsid w:val="0026075A"/>
    <w:rsid w:val="002613BD"/>
    <w:rsid w:val="002628F9"/>
    <w:rsid w:val="00262AE2"/>
    <w:rsid w:val="00262E07"/>
    <w:rsid w:val="002639FA"/>
    <w:rsid w:val="00263BFF"/>
    <w:rsid w:val="00263CE1"/>
    <w:rsid w:val="00263D8F"/>
    <w:rsid w:val="0026455B"/>
    <w:rsid w:val="00264926"/>
    <w:rsid w:val="002653D2"/>
    <w:rsid w:val="00265722"/>
    <w:rsid w:val="00265A04"/>
    <w:rsid w:val="00265C1E"/>
    <w:rsid w:val="00265FF6"/>
    <w:rsid w:val="0026689E"/>
    <w:rsid w:val="00267200"/>
    <w:rsid w:val="002672CC"/>
    <w:rsid w:val="002673EE"/>
    <w:rsid w:val="00267797"/>
    <w:rsid w:val="002677AB"/>
    <w:rsid w:val="00267A3C"/>
    <w:rsid w:val="00267D96"/>
    <w:rsid w:val="0027057A"/>
    <w:rsid w:val="002707DD"/>
    <w:rsid w:val="00270DE2"/>
    <w:rsid w:val="0027138C"/>
    <w:rsid w:val="002713C3"/>
    <w:rsid w:val="0027163D"/>
    <w:rsid w:val="00271666"/>
    <w:rsid w:val="00271711"/>
    <w:rsid w:val="00271A89"/>
    <w:rsid w:val="0027224F"/>
    <w:rsid w:val="00272621"/>
    <w:rsid w:val="0027273C"/>
    <w:rsid w:val="00272848"/>
    <w:rsid w:val="00272B97"/>
    <w:rsid w:val="00272DF5"/>
    <w:rsid w:val="002738A0"/>
    <w:rsid w:val="00273962"/>
    <w:rsid w:val="0027414D"/>
    <w:rsid w:val="00274173"/>
    <w:rsid w:val="002746E9"/>
    <w:rsid w:val="0027477F"/>
    <w:rsid w:val="002749BD"/>
    <w:rsid w:val="00274DEA"/>
    <w:rsid w:val="00274F28"/>
    <w:rsid w:val="00274FA8"/>
    <w:rsid w:val="00275015"/>
    <w:rsid w:val="002750FD"/>
    <w:rsid w:val="0027532F"/>
    <w:rsid w:val="00275A3D"/>
    <w:rsid w:val="0027644A"/>
    <w:rsid w:val="0027669A"/>
    <w:rsid w:val="002769CD"/>
    <w:rsid w:val="002771EC"/>
    <w:rsid w:val="00277464"/>
    <w:rsid w:val="002775A0"/>
    <w:rsid w:val="00277AA0"/>
    <w:rsid w:val="00277B6B"/>
    <w:rsid w:val="00277CAB"/>
    <w:rsid w:val="00277E23"/>
    <w:rsid w:val="00277ED0"/>
    <w:rsid w:val="00280095"/>
    <w:rsid w:val="0028039D"/>
    <w:rsid w:val="00280630"/>
    <w:rsid w:val="00280889"/>
    <w:rsid w:val="00280CD4"/>
    <w:rsid w:val="00280D1B"/>
    <w:rsid w:val="00280F2B"/>
    <w:rsid w:val="00281716"/>
    <w:rsid w:val="0028190B"/>
    <w:rsid w:val="00281DD0"/>
    <w:rsid w:val="00281DF3"/>
    <w:rsid w:val="00281F85"/>
    <w:rsid w:val="002823B2"/>
    <w:rsid w:val="002824E8"/>
    <w:rsid w:val="00282A2E"/>
    <w:rsid w:val="00282C9A"/>
    <w:rsid w:val="00282DAD"/>
    <w:rsid w:val="0028380F"/>
    <w:rsid w:val="00283A81"/>
    <w:rsid w:val="00284215"/>
    <w:rsid w:val="002847A0"/>
    <w:rsid w:val="002848E2"/>
    <w:rsid w:val="0028502E"/>
    <w:rsid w:val="002852B9"/>
    <w:rsid w:val="00285413"/>
    <w:rsid w:val="00285626"/>
    <w:rsid w:val="00285AD8"/>
    <w:rsid w:val="00285BEE"/>
    <w:rsid w:val="00286018"/>
    <w:rsid w:val="0028626B"/>
    <w:rsid w:val="002862C5"/>
    <w:rsid w:val="00286814"/>
    <w:rsid w:val="002868F4"/>
    <w:rsid w:val="00287087"/>
    <w:rsid w:val="002873DF"/>
    <w:rsid w:val="00287AC3"/>
    <w:rsid w:val="00287D2F"/>
    <w:rsid w:val="00287F32"/>
    <w:rsid w:val="00290330"/>
    <w:rsid w:val="002904EB"/>
    <w:rsid w:val="00290699"/>
    <w:rsid w:val="002907C7"/>
    <w:rsid w:val="002909E6"/>
    <w:rsid w:val="0029105A"/>
    <w:rsid w:val="0029125E"/>
    <w:rsid w:val="00291282"/>
    <w:rsid w:val="002914C8"/>
    <w:rsid w:val="0029166B"/>
    <w:rsid w:val="00291AA7"/>
    <w:rsid w:val="00291F39"/>
    <w:rsid w:val="0029271A"/>
    <w:rsid w:val="00292974"/>
    <w:rsid w:val="00292E2F"/>
    <w:rsid w:val="00293520"/>
    <w:rsid w:val="00293624"/>
    <w:rsid w:val="00293A63"/>
    <w:rsid w:val="00293ACA"/>
    <w:rsid w:val="00293E0A"/>
    <w:rsid w:val="00293F97"/>
    <w:rsid w:val="00294236"/>
    <w:rsid w:val="002944F1"/>
    <w:rsid w:val="00294CA9"/>
    <w:rsid w:val="00294E51"/>
    <w:rsid w:val="00295043"/>
    <w:rsid w:val="00295785"/>
    <w:rsid w:val="00296376"/>
    <w:rsid w:val="00296977"/>
    <w:rsid w:val="00296C71"/>
    <w:rsid w:val="00296EB0"/>
    <w:rsid w:val="002978C0"/>
    <w:rsid w:val="00297A20"/>
    <w:rsid w:val="00297ADF"/>
    <w:rsid w:val="00297D67"/>
    <w:rsid w:val="002A01A0"/>
    <w:rsid w:val="002A0617"/>
    <w:rsid w:val="002A0818"/>
    <w:rsid w:val="002A09E6"/>
    <w:rsid w:val="002A0ED3"/>
    <w:rsid w:val="002A10E6"/>
    <w:rsid w:val="002A1E22"/>
    <w:rsid w:val="002A1F37"/>
    <w:rsid w:val="002A2115"/>
    <w:rsid w:val="002A251F"/>
    <w:rsid w:val="002A25DC"/>
    <w:rsid w:val="002A2A6D"/>
    <w:rsid w:val="002A2A84"/>
    <w:rsid w:val="002A2AFB"/>
    <w:rsid w:val="002A2D01"/>
    <w:rsid w:val="002A30E9"/>
    <w:rsid w:val="002A3396"/>
    <w:rsid w:val="002A387D"/>
    <w:rsid w:val="002A426A"/>
    <w:rsid w:val="002A4CED"/>
    <w:rsid w:val="002A4E31"/>
    <w:rsid w:val="002A51E2"/>
    <w:rsid w:val="002A5283"/>
    <w:rsid w:val="002A54F1"/>
    <w:rsid w:val="002A5C1C"/>
    <w:rsid w:val="002A5F22"/>
    <w:rsid w:val="002A62DC"/>
    <w:rsid w:val="002A684C"/>
    <w:rsid w:val="002A692B"/>
    <w:rsid w:val="002A6A16"/>
    <w:rsid w:val="002A6F45"/>
    <w:rsid w:val="002A7122"/>
    <w:rsid w:val="002A715D"/>
    <w:rsid w:val="002A746E"/>
    <w:rsid w:val="002A7540"/>
    <w:rsid w:val="002A7569"/>
    <w:rsid w:val="002A797D"/>
    <w:rsid w:val="002A7BC0"/>
    <w:rsid w:val="002B09E8"/>
    <w:rsid w:val="002B0BFE"/>
    <w:rsid w:val="002B0F78"/>
    <w:rsid w:val="002B1D65"/>
    <w:rsid w:val="002B1E30"/>
    <w:rsid w:val="002B2637"/>
    <w:rsid w:val="002B29E2"/>
    <w:rsid w:val="002B29ED"/>
    <w:rsid w:val="002B2C38"/>
    <w:rsid w:val="002B3091"/>
    <w:rsid w:val="002B37F9"/>
    <w:rsid w:val="002B4045"/>
    <w:rsid w:val="002B40B2"/>
    <w:rsid w:val="002B41DF"/>
    <w:rsid w:val="002B4BE4"/>
    <w:rsid w:val="002B4C64"/>
    <w:rsid w:val="002B5263"/>
    <w:rsid w:val="002B56C5"/>
    <w:rsid w:val="002B5A28"/>
    <w:rsid w:val="002B6106"/>
    <w:rsid w:val="002B6A1C"/>
    <w:rsid w:val="002B6B1F"/>
    <w:rsid w:val="002B6B3F"/>
    <w:rsid w:val="002B6F00"/>
    <w:rsid w:val="002B6FD1"/>
    <w:rsid w:val="002B71FA"/>
    <w:rsid w:val="002B77FA"/>
    <w:rsid w:val="002B7F62"/>
    <w:rsid w:val="002C06FF"/>
    <w:rsid w:val="002C1798"/>
    <w:rsid w:val="002C1861"/>
    <w:rsid w:val="002C1C07"/>
    <w:rsid w:val="002C20F6"/>
    <w:rsid w:val="002C21E6"/>
    <w:rsid w:val="002C24C7"/>
    <w:rsid w:val="002C2779"/>
    <w:rsid w:val="002C2870"/>
    <w:rsid w:val="002C28C5"/>
    <w:rsid w:val="002C2CDD"/>
    <w:rsid w:val="002C32FF"/>
    <w:rsid w:val="002C344E"/>
    <w:rsid w:val="002C358A"/>
    <w:rsid w:val="002C35B0"/>
    <w:rsid w:val="002C3C2A"/>
    <w:rsid w:val="002C3DEB"/>
    <w:rsid w:val="002C3E99"/>
    <w:rsid w:val="002C4402"/>
    <w:rsid w:val="002C44E4"/>
    <w:rsid w:val="002C4B00"/>
    <w:rsid w:val="002C4BA2"/>
    <w:rsid w:val="002C4BC1"/>
    <w:rsid w:val="002C546F"/>
    <w:rsid w:val="002C596C"/>
    <w:rsid w:val="002C5CFF"/>
    <w:rsid w:val="002C6E3F"/>
    <w:rsid w:val="002C756C"/>
    <w:rsid w:val="002C771B"/>
    <w:rsid w:val="002C7A65"/>
    <w:rsid w:val="002D031F"/>
    <w:rsid w:val="002D0487"/>
    <w:rsid w:val="002D0569"/>
    <w:rsid w:val="002D0706"/>
    <w:rsid w:val="002D1385"/>
    <w:rsid w:val="002D1696"/>
    <w:rsid w:val="002D18D5"/>
    <w:rsid w:val="002D23EE"/>
    <w:rsid w:val="002D2867"/>
    <w:rsid w:val="002D34E4"/>
    <w:rsid w:val="002D3A32"/>
    <w:rsid w:val="002D3CEF"/>
    <w:rsid w:val="002D4025"/>
    <w:rsid w:val="002D4382"/>
    <w:rsid w:val="002D454C"/>
    <w:rsid w:val="002D45B0"/>
    <w:rsid w:val="002D4D42"/>
    <w:rsid w:val="002D547D"/>
    <w:rsid w:val="002D550C"/>
    <w:rsid w:val="002D5E2D"/>
    <w:rsid w:val="002D6216"/>
    <w:rsid w:val="002D62E3"/>
    <w:rsid w:val="002D6755"/>
    <w:rsid w:val="002D69AC"/>
    <w:rsid w:val="002D6AB1"/>
    <w:rsid w:val="002D6C31"/>
    <w:rsid w:val="002D6E81"/>
    <w:rsid w:val="002D7508"/>
    <w:rsid w:val="002D7A5A"/>
    <w:rsid w:val="002D7AFD"/>
    <w:rsid w:val="002D7CC3"/>
    <w:rsid w:val="002D7CED"/>
    <w:rsid w:val="002D7DC0"/>
    <w:rsid w:val="002D7E42"/>
    <w:rsid w:val="002DA515"/>
    <w:rsid w:val="002E0BAD"/>
    <w:rsid w:val="002E1109"/>
    <w:rsid w:val="002E11D5"/>
    <w:rsid w:val="002E15A5"/>
    <w:rsid w:val="002E1830"/>
    <w:rsid w:val="002E1BA7"/>
    <w:rsid w:val="002E1C8A"/>
    <w:rsid w:val="002E1CBB"/>
    <w:rsid w:val="002E1FAF"/>
    <w:rsid w:val="002E31ED"/>
    <w:rsid w:val="002E332E"/>
    <w:rsid w:val="002E3556"/>
    <w:rsid w:val="002E4386"/>
    <w:rsid w:val="002E4911"/>
    <w:rsid w:val="002E5222"/>
    <w:rsid w:val="002E5305"/>
    <w:rsid w:val="002E59BA"/>
    <w:rsid w:val="002E5EE2"/>
    <w:rsid w:val="002E5F17"/>
    <w:rsid w:val="002E5F1B"/>
    <w:rsid w:val="002E5FEE"/>
    <w:rsid w:val="002E61B0"/>
    <w:rsid w:val="002E628C"/>
    <w:rsid w:val="002E636B"/>
    <w:rsid w:val="002E638A"/>
    <w:rsid w:val="002E64A4"/>
    <w:rsid w:val="002E65AA"/>
    <w:rsid w:val="002E7163"/>
    <w:rsid w:val="002E75E3"/>
    <w:rsid w:val="002E78E7"/>
    <w:rsid w:val="002E7B71"/>
    <w:rsid w:val="002E7C3F"/>
    <w:rsid w:val="002E7E62"/>
    <w:rsid w:val="002F03EC"/>
    <w:rsid w:val="002F04FB"/>
    <w:rsid w:val="002F0BD1"/>
    <w:rsid w:val="002F0C5E"/>
    <w:rsid w:val="002F0E16"/>
    <w:rsid w:val="002F1134"/>
    <w:rsid w:val="002F137A"/>
    <w:rsid w:val="002F171E"/>
    <w:rsid w:val="002F2103"/>
    <w:rsid w:val="002F2A07"/>
    <w:rsid w:val="002F2A2A"/>
    <w:rsid w:val="002F2A9A"/>
    <w:rsid w:val="002F2ACA"/>
    <w:rsid w:val="002F2DC5"/>
    <w:rsid w:val="002F328E"/>
    <w:rsid w:val="002F3369"/>
    <w:rsid w:val="002F33DD"/>
    <w:rsid w:val="002F37A9"/>
    <w:rsid w:val="002F3854"/>
    <w:rsid w:val="002F392C"/>
    <w:rsid w:val="002F47FC"/>
    <w:rsid w:val="002F4BA3"/>
    <w:rsid w:val="002F5001"/>
    <w:rsid w:val="002F5BBD"/>
    <w:rsid w:val="002F6171"/>
    <w:rsid w:val="002F6671"/>
    <w:rsid w:val="002F6853"/>
    <w:rsid w:val="002F6A83"/>
    <w:rsid w:val="002F6C05"/>
    <w:rsid w:val="002F7CE9"/>
    <w:rsid w:val="0030096F"/>
    <w:rsid w:val="00300FD4"/>
    <w:rsid w:val="00301217"/>
    <w:rsid w:val="00301480"/>
    <w:rsid w:val="00301AD8"/>
    <w:rsid w:val="003021C0"/>
    <w:rsid w:val="0030252A"/>
    <w:rsid w:val="00302686"/>
    <w:rsid w:val="003029D0"/>
    <w:rsid w:val="003033E4"/>
    <w:rsid w:val="00303537"/>
    <w:rsid w:val="003037E3"/>
    <w:rsid w:val="00303876"/>
    <w:rsid w:val="0030428E"/>
    <w:rsid w:val="003044D0"/>
    <w:rsid w:val="00304561"/>
    <w:rsid w:val="003046DB"/>
    <w:rsid w:val="00304795"/>
    <w:rsid w:val="00304841"/>
    <w:rsid w:val="00304F0E"/>
    <w:rsid w:val="00305105"/>
    <w:rsid w:val="0030520C"/>
    <w:rsid w:val="003054EA"/>
    <w:rsid w:val="0030578E"/>
    <w:rsid w:val="00306079"/>
    <w:rsid w:val="00306519"/>
    <w:rsid w:val="003065A5"/>
    <w:rsid w:val="00306A91"/>
    <w:rsid w:val="00306C4C"/>
    <w:rsid w:val="003070AF"/>
    <w:rsid w:val="003071AB"/>
    <w:rsid w:val="00307235"/>
    <w:rsid w:val="003075B2"/>
    <w:rsid w:val="00307824"/>
    <w:rsid w:val="00307C96"/>
    <w:rsid w:val="00310163"/>
    <w:rsid w:val="003103A5"/>
    <w:rsid w:val="003107E3"/>
    <w:rsid w:val="00311687"/>
    <w:rsid w:val="00311F40"/>
    <w:rsid w:val="003120BE"/>
    <w:rsid w:val="00312326"/>
    <w:rsid w:val="00312AE5"/>
    <w:rsid w:val="00312B2A"/>
    <w:rsid w:val="00313054"/>
    <w:rsid w:val="00313410"/>
    <w:rsid w:val="00313AFB"/>
    <w:rsid w:val="00314279"/>
    <w:rsid w:val="003142EB"/>
    <w:rsid w:val="003142FB"/>
    <w:rsid w:val="003146C9"/>
    <w:rsid w:val="00314957"/>
    <w:rsid w:val="00314A2F"/>
    <w:rsid w:val="00314C72"/>
    <w:rsid w:val="00314E5F"/>
    <w:rsid w:val="0031540C"/>
    <w:rsid w:val="00315499"/>
    <w:rsid w:val="003157ED"/>
    <w:rsid w:val="003158DC"/>
    <w:rsid w:val="0031608E"/>
    <w:rsid w:val="003162FF"/>
    <w:rsid w:val="0031662F"/>
    <w:rsid w:val="00317573"/>
    <w:rsid w:val="003201C3"/>
    <w:rsid w:val="0032025A"/>
    <w:rsid w:val="00320925"/>
    <w:rsid w:val="00320A03"/>
    <w:rsid w:val="00320E03"/>
    <w:rsid w:val="00320EB1"/>
    <w:rsid w:val="0032188C"/>
    <w:rsid w:val="00321F19"/>
    <w:rsid w:val="00321F94"/>
    <w:rsid w:val="003226B0"/>
    <w:rsid w:val="0032293C"/>
    <w:rsid w:val="00322BDF"/>
    <w:rsid w:val="00323204"/>
    <w:rsid w:val="0032348A"/>
    <w:rsid w:val="00323FEF"/>
    <w:rsid w:val="003243EF"/>
    <w:rsid w:val="0032449C"/>
    <w:rsid w:val="00324A11"/>
    <w:rsid w:val="00324CAE"/>
    <w:rsid w:val="00325A5D"/>
    <w:rsid w:val="00325D07"/>
    <w:rsid w:val="0032601C"/>
    <w:rsid w:val="00326501"/>
    <w:rsid w:val="003266B1"/>
    <w:rsid w:val="00326F19"/>
    <w:rsid w:val="0032702B"/>
    <w:rsid w:val="003275FB"/>
    <w:rsid w:val="003279EE"/>
    <w:rsid w:val="00327DBF"/>
    <w:rsid w:val="003303B0"/>
    <w:rsid w:val="00330C56"/>
    <w:rsid w:val="00330D20"/>
    <w:rsid w:val="00331156"/>
    <w:rsid w:val="003314BE"/>
    <w:rsid w:val="00331A39"/>
    <w:rsid w:val="00331BC0"/>
    <w:rsid w:val="00332539"/>
    <w:rsid w:val="0033254F"/>
    <w:rsid w:val="00332B5D"/>
    <w:rsid w:val="00332B75"/>
    <w:rsid w:val="0033304F"/>
    <w:rsid w:val="0033307A"/>
    <w:rsid w:val="00333583"/>
    <w:rsid w:val="003338E1"/>
    <w:rsid w:val="00334212"/>
    <w:rsid w:val="003342AE"/>
    <w:rsid w:val="003343BE"/>
    <w:rsid w:val="00334BAC"/>
    <w:rsid w:val="003351A6"/>
    <w:rsid w:val="00335370"/>
    <w:rsid w:val="003353BD"/>
    <w:rsid w:val="0033550B"/>
    <w:rsid w:val="00335598"/>
    <w:rsid w:val="003355FB"/>
    <w:rsid w:val="003356A7"/>
    <w:rsid w:val="003356CF"/>
    <w:rsid w:val="003358FF"/>
    <w:rsid w:val="00335F4E"/>
    <w:rsid w:val="00336056"/>
    <w:rsid w:val="003360FC"/>
    <w:rsid w:val="0033654F"/>
    <w:rsid w:val="00336AA9"/>
    <w:rsid w:val="00336F48"/>
    <w:rsid w:val="00337182"/>
    <w:rsid w:val="003376D3"/>
    <w:rsid w:val="00337B4A"/>
    <w:rsid w:val="0034077F"/>
    <w:rsid w:val="00340909"/>
    <w:rsid w:val="00340BD4"/>
    <w:rsid w:val="00340E86"/>
    <w:rsid w:val="00340F08"/>
    <w:rsid w:val="0034153F"/>
    <w:rsid w:val="00341C3C"/>
    <w:rsid w:val="003421CD"/>
    <w:rsid w:val="003423AF"/>
    <w:rsid w:val="003425F7"/>
    <w:rsid w:val="00342D2E"/>
    <w:rsid w:val="00343370"/>
    <w:rsid w:val="00343880"/>
    <w:rsid w:val="00343E04"/>
    <w:rsid w:val="00343FB7"/>
    <w:rsid w:val="003447C5"/>
    <w:rsid w:val="003448B6"/>
    <w:rsid w:val="0034494E"/>
    <w:rsid w:val="00344E27"/>
    <w:rsid w:val="003451F5"/>
    <w:rsid w:val="00345556"/>
    <w:rsid w:val="003466AD"/>
    <w:rsid w:val="00346B5C"/>
    <w:rsid w:val="00347106"/>
    <w:rsid w:val="00347230"/>
    <w:rsid w:val="003478ED"/>
    <w:rsid w:val="00347FA4"/>
    <w:rsid w:val="00347FBC"/>
    <w:rsid w:val="003506C0"/>
    <w:rsid w:val="00350779"/>
    <w:rsid w:val="00350FF0"/>
    <w:rsid w:val="003518D0"/>
    <w:rsid w:val="00352255"/>
    <w:rsid w:val="003534AE"/>
    <w:rsid w:val="00353965"/>
    <w:rsid w:val="00353F5E"/>
    <w:rsid w:val="00354742"/>
    <w:rsid w:val="00354CAA"/>
    <w:rsid w:val="00355132"/>
    <w:rsid w:val="0035580C"/>
    <w:rsid w:val="003559E6"/>
    <w:rsid w:val="00355C8E"/>
    <w:rsid w:val="00356592"/>
    <w:rsid w:val="003566D0"/>
    <w:rsid w:val="003567EA"/>
    <w:rsid w:val="0035683F"/>
    <w:rsid w:val="00356B66"/>
    <w:rsid w:val="00356B69"/>
    <w:rsid w:val="00356D4A"/>
    <w:rsid w:val="003571E9"/>
    <w:rsid w:val="003577F4"/>
    <w:rsid w:val="00357CE1"/>
    <w:rsid w:val="0036011F"/>
    <w:rsid w:val="0036022A"/>
    <w:rsid w:val="0036070B"/>
    <w:rsid w:val="00360947"/>
    <w:rsid w:val="00360CC6"/>
    <w:rsid w:val="00361088"/>
    <w:rsid w:val="00361A68"/>
    <w:rsid w:val="003621B5"/>
    <w:rsid w:val="0036255D"/>
    <w:rsid w:val="00362599"/>
    <w:rsid w:val="00362C13"/>
    <w:rsid w:val="00362C3E"/>
    <w:rsid w:val="00362EEB"/>
    <w:rsid w:val="0036307A"/>
    <w:rsid w:val="003632C7"/>
    <w:rsid w:val="003636CB"/>
    <w:rsid w:val="00363D0D"/>
    <w:rsid w:val="003642E7"/>
    <w:rsid w:val="003643AE"/>
    <w:rsid w:val="003644F2"/>
    <w:rsid w:val="0036477D"/>
    <w:rsid w:val="003647B2"/>
    <w:rsid w:val="00364D0A"/>
    <w:rsid w:val="0036524F"/>
    <w:rsid w:val="003653FA"/>
    <w:rsid w:val="00365870"/>
    <w:rsid w:val="003658C5"/>
    <w:rsid w:val="00365934"/>
    <w:rsid w:val="00365E88"/>
    <w:rsid w:val="0036605C"/>
    <w:rsid w:val="003665CA"/>
    <w:rsid w:val="00366E5F"/>
    <w:rsid w:val="00367287"/>
    <w:rsid w:val="00367A3C"/>
    <w:rsid w:val="00367B28"/>
    <w:rsid w:val="00367CB7"/>
    <w:rsid w:val="00367EE8"/>
    <w:rsid w:val="003704D5"/>
    <w:rsid w:val="003704FE"/>
    <w:rsid w:val="00370FBF"/>
    <w:rsid w:val="003712A0"/>
    <w:rsid w:val="0037156D"/>
    <w:rsid w:val="003715A5"/>
    <w:rsid w:val="00371F66"/>
    <w:rsid w:val="00372286"/>
    <w:rsid w:val="0037229D"/>
    <w:rsid w:val="00372306"/>
    <w:rsid w:val="00372787"/>
    <w:rsid w:val="00372797"/>
    <w:rsid w:val="003727A2"/>
    <w:rsid w:val="003728CB"/>
    <w:rsid w:val="00372CC9"/>
    <w:rsid w:val="00372EB2"/>
    <w:rsid w:val="00372EBA"/>
    <w:rsid w:val="0037311F"/>
    <w:rsid w:val="00373905"/>
    <w:rsid w:val="00373957"/>
    <w:rsid w:val="00373A7F"/>
    <w:rsid w:val="00373B64"/>
    <w:rsid w:val="00373D4E"/>
    <w:rsid w:val="00374072"/>
    <w:rsid w:val="0037409B"/>
    <w:rsid w:val="0037457F"/>
    <w:rsid w:val="00374C18"/>
    <w:rsid w:val="00374D5B"/>
    <w:rsid w:val="003752C6"/>
    <w:rsid w:val="003756DC"/>
    <w:rsid w:val="00375BA5"/>
    <w:rsid w:val="00375DD3"/>
    <w:rsid w:val="00375F5A"/>
    <w:rsid w:val="00375F8E"/>
    <w:rsid w:val="00376693"/>
    <w:rsid w:val="0037672E"/>
    <w:rsid w:val="00376845"/>
    <w:rsid w:val="00376B43"/>
    <w:rsid w:val="00376C16"/>
    <w:rsid w:val="00376E3C"/>
    <w:rsid w:val="0037713D"/>
    <w:rsid w:val="0037731F"/>
    <w:rsid w:val="003774D3"/>
    <w:rsid w:val="00377927"/>
    <w:rsid w:val="00377B80"/>
    <w:rsid w:val="00377F0C"/>
    <w:rsid w:val="00380395"/>
    <w:rsid w:val="003805F9"/>
    <w:rsid w:val="003812D8"/>
    <w:rsid w:val="0038146D"/>
    <w:rsid w:val="00381D29"/>
    <w:rsid w:val="00381DD4"/>
    <w:rsid w:val="003821C9"/>
    <w:rsid w:val="00382314"/>
    <w:rsid w:val="003823B3"/>
    <w:rsid w:val="00382427"/>
    <w:rsid w:val="00382490"/>
    <w:rsid w:val="003826A9"/>
    <w:rsid w:val="00382BAF"/>
    <w:rsid w:val="00382E3D"/>
    <w:rsid w:val="00382EBE"/>
    <w:rsid w:val="0038316E"/>
    <w:rsid w:val="0038341F"/>
    <w:rsid w:val="0038355E"/>
    <w:rsid w:val="00383747"/>
    <w:rsid w:val="00383CF2"/>
    <w:rsid w:val="0038401E"/>
    <w:rsid w:val="0038429D"/>
    <w:rsid w:val="0038435C"/>
    <w:rsid w:val="00384374"/>
    <w:rsid w:val="0038491C"/>
    <w:rsid w:val="00384D2A"/>
    <w:rsid w:val="0038540B"/>
    <w:rsid w:val="003857B9"/>
    <w:rsid w:val="00385D00"/>
    <w:rsid w:val="0038601C"/>
    <w:rsid w:val="0038622D"/>
    <w:rsid w:val="003863D5"/>
    <w:rsid w:val="003869CB"/>
    <w:rsid w:val="00386C8B"/>
    <w:rsid w:val="00386EA8"/>
    <w:rsid w:val="0038734E"/>
    <w:rsid w:val="0038744E"/>
    <w:rsid w:val="00387679"/>
    <w:rsid w:val="0038771C"/>
    <w:rsid w:val="00390415"/>
    <w:rsid w:val="00390772"/>
    <w:rsid w:val="00390BB1"/>
    <w:rsid w:val="0039100B"/>
    <w:rsid w:val="003915ED"/>
    <w:rsid w:val="00391A24"/>
    <w:rsid w:val="00391B1B"/>
    <w:rsid w:val="00391F84"/>
    <w:rsid w:val="0039301A"/>
    <w:rsid w:val="00393197"/>
    <w:rsid w:val="00393D91"/>
    <w:rsid w:val="00393EBD"/>
    <w:rsid w:val="0039401C"/>
    <w:rsid w:val="00394029"/>
    <w:rsid w:val="003941AE"/>
    <w:rsid w:val="0039468D"/>
    <w:rsid w:val="00394709"/>
    <w:rsid w:val="00394B73"/>
    <w:rsid w:val="00394D5E"/>
    <w:rsid w:val="00394D64"/>
    <w:rsid w:val="003950E9"/>
    <w:rsid w:val="003956A7"/>
    <w:rsid w:val="0039570C"/>
    <w:rsid w:val="0039599C"/>
    <w:rsid w:val="00395A6F"/>
    <w:rsid w:val="00395BF8"/>
    <w:rsid w:val="003968BA"/>
    <w:rsid w:val="003973E6"/>
    <w:rsid w:val="00397B7D"/>
    <w:rsid w:val="00397ED4"/>
    <w:rsid w:val="003A075D"/>
    <w:rsid w:val="003A0C21"/>
    <w:rsid w:val="003A0CB5"/>
    <w:rsid w:val="003A10BA"/>
    <w:rsid w:val="003A14F3"/>
    <w:rsid w:val="003A1C67"/>
    <w:rsid w:val="003A1CB3"/>
    <w:rsid w:val="003A1E32"/>
    <w:rsid w:val="003A1ECE"/>
    <w:rsid w:val="003A20C8"/>
    <w:rsid w:val="003A20CA"/>
    <w:rsid w:val="003A24BF"/>
    <w:rsid w:val="003A24EE"/>
    <w:rsid w:val="003A2BF1"/>
    <w:rsid w:val="003A2DF9"/>
    <w:rsid w:val="003A2F3F"/>
    <w:rsid w:val="003A3096"/>
    <w:rsid w:val="003A30BD"/>
    <w:rsid w:val="003A32A0"/>
    <w:rsid w:val="003A32D5"/>
    <w:rsid w:val="003A35DC"/>
    <w:rsid w:val="003A38C8"/>
    <w:rsid w:val="003A395F"/>
    <w:rsid w:val="003A3A6E"/>
    <w:rsid w:val="003A3AC2"/>
    <w:rsid w:val="003A3B49"/>
    <w:rsid w:val="003A459D"/>
    <w:rsid w:val="003A4A40"/>
    <w:rsid w:val="003A5039"/>
    <w:rsid w:val="003A52C9"/>
    <w:rsid w:val="003A55F9"/>
    <w:rsid w:val="003A5881"/>
    <w:rsid w:val="003A5955"/>
    <w:rsid w:val="003A5979"/>
    <w:rsid w:val="003A59C1"/>
    <w:rsid w:val="003A5DFD"/>
    <w:rsid w:val="003A5F1B"/>
    <w:rsid w:val="003A6078"/>
    <w:rsid w:val="003A647F"/>
    <w:rsid w:val="003A6CCE"/>
    <w:rsid w:val="003A6D5A"/>
    <w:rsid w:val="003A6D6F"/>
    <w:rsid w:val="003A75DA"/>
    <w:rsid w:val="003A7FF6"/>
    <w:rsid w:val="003B0522"/>
    <w:rsid w:val="003B05FD"/>
    <w:rsid w:val="003B0CB2"/>
    <w:rsid w:val="003B0D26"/>
    <w:rsid w:val="003B0DD1"/>
    <w:rsid w:val="003B172B"/>
    <w:rsid w:val="003B1A08"/>
    <w:rsid w:val="003B1A87"/>
    <w:rsid w:val="003B1FD9"/>
    <w:rsid w:val="003B20CC"/>
    <w:rsid w:val="003B2E19"/>
    <w:rsid w:val="003B2E28"/>
    <w:rsid w:val="003B2E6E"/>
    <w:rsid w:val="003B321E"/>
    <w:rsid w:val="003B355C"/>
    <w:rsid w:val="003B3670"/>
    <w:rsid w:val="003B368E"/>
    <w:rsid w:val="003B3AD6"/>
    <w:rsid w:val="003B46D4"/>
    <w:rsid w:val="003B4934"/>
    <w:rsid w:val="003B54D7"/>
    <w:rsid w:val="003B55F9"/>
    <w:rsid w:val="003B5EAC"/>
    <w:rsid w:val="003B61A7"/>
    <w:rsid w:val="003B61EF"/>
    <w:rsid w:val="003B67BF"/>
    <w:rsid w:val="003B6958"/>
    <w:rsid w:val="003B6B8C"/>
    <w:rsid w:val="003B6BB9"/>
    <w:rsid w:val="003B6F79"/>
    <w:rsid w:val="003B6FA4"/>
    <w:rsid w:val="003B70D6"/>
    <w:rsid w:val="003B7193"/>
    <w:rsid w:val="003B76F2"/>
    <w:rsid w:val="003C0468"/>
    <w:rsid w:val="003C0982"/>
    <w:rsid w:val="003C0F32"/>
    <w:rsid w:val="003C111E"/>
    <w:rsid w:val="003C1365"/>
    <w:rsid w:val="003C1480"/>
    <w:rsid w:val="003C1885"/>
    <w:rsid w:val="003C1CA4"/>
    <w:rsid w:val="003C1E54"/>
    <w:rsid w:val="003C27D4"/>
    <w:rsid w:val="003C31E1"/>
    <w:rsid w:val="003C3AD6"/>
    <w:rsid w:val="003C448D"/>
    <w:rsid w:val="003C462F"/>
    <w:rsid w:val="003C4C8B"/>
    <w:rsid w:val="003C51A3"/>
    <w:rsid w:val="003C55F6"/>
    <w:rsid w:val="003C597F"/>
    <w:rsid w:val="003C5A74"/>
    <w:rsid w:val="003C6023"/>
    <w:rsid w:val="003C61D8"/>
    <w:rsid w:val="003C6CC9"/>
    <w:rsid w:val="003C6D33"/>
    <w:rsid w:val="003C6FEA"/>
    <w:rsid w:val="003C724B"/>
    <w:rsid w:val="003C7460"/>
    <w:rsid w:val="003C79AD"/>
    <w:rsid w:val="003C7B32"/>
    <w:rsid w:val="003C7BE8"/>
    <w:rsid w:val="003C7DB5"/>
    <w:rsid w:val="003C7FA5"/>
    <w:rsid w:val="003D0827"/>
    <w:rsid w:val="003D0BE6"/>
    <w:rsid w:val="003D0DFB"/>
    <w:rsid w:val="003D13AF"/>
    <w:rsid w:val="003D13D8"/>
    <w:rsid w:val="003D2222"/>
    <w:rsid w:val="003D243D"/>
    <w:rsid w:val="003D2C41"/>
    <w:rsid w:val="003D2E44"/>
    <w:rsid w:val="003D34B6"/>
    <w:rsid w:val="003D3B70"/>
    <w:rsid w:val="003D4366"/>
    <w:rsid w:val="003D4597"/>
    <w:rsid w:val="003D464D"/>
    <w:rsid w:val="003D492C"/>
    <w:rsid w:val="003D5162"/>
    <w:rsid w:val="003D53D9"/>
    <w:rsid w:val="003D57A9"/>
    <w:rsid w:val="003D5816"/>
    <w:rsid w:val="003D61D4"/>
    <w:rsid w:val="003D6319"/>
    <w:rsid w:val="003D6A65"/>
    <w:rsid w:val="003D6EBA"/>
    <w:rsid w:val="003D749F"/>
    <w:rsid w:val="003D77BE"/>
    <w:rsid w:val="003D7823"/>
    <w:rsid w:val="003D7872"/>
    <w:rsid w:val="003D7C50"/>
    <w:rsid w:val="003D7D3D"/>
    <w:rsid w:val="003E00FB"/>
    <w:rsid w:val="003E041A"/>
    <w:rsid w:val="003E0591"/>
    <w:rsid w:val="003E0E7A"/>
    <w:rsid w:val="003E1076"/>
    <w:rsid w:val="003E116F"/>
    <w:rsid w:val="003E1559"/>
    <w:rsid w:val="003E1657"/>
    <w:rsid w:val="003E173A"/>
    <w:rsid w:val="003E1A50"/>
    <w:rsid w:val="003E1B97"/>
    <w:rsid w:val="003E1E45"/>
    <w:rsid w:val="003E2575"/>
    <w:rsid w:val="003E3920"/>
    <w:rsid w:val="003E3ECF"/>
    <w:rsid w:val="003E3F01"/>
    <w:rsid w:val="003E4050"/>
    <w:rsid w:val="003E4342"/>
    <w:rsid w:val="003E43B3"/>
    <w:rsid w:val="003E4487"/>
    <w:rsid w:val="003E4AB3"/>
    <w:rsid w:val="003E4F7F"/>
    <w:rsid w:val="003E5160"/>
    <w:rsid w:val="003E5207"/>
    <w:rsid w:val="003E5346"/>
    <w:rsid w:val="003E5391"/>
    <w:rsid w:val="003E572C"/>
    <w:rsid w:val="003E5BAA"/>
    <w:rsid w:val="003E5D88"/>
    <w:rsid w:val="003E5FB4"/>
    <w:rsid w:val="003E6B02"/>
    <w:rsid w:val="003E7183"/>
    <w:rsid w:val="003E7459"/>
    <w:rsid w:val="003E74EE"/>
    <w:rsid w:val="003E7CC2"/>
    <w:rsid w:val="003E7D5E"/>
    <w:rsid w:val="003E7FA5"/>
    <w:rsid w:val="003F027B"/>
    <w:rsid w:val="003F02A2"/>
    <w:rsid w:val="003F0DC4"/>
    <w:rsid w:val="003F12C8"/>
    <w:rsid w:val="003F1B03"/>
    <w:rsid w:val="003F200B"/>
    <w:rsid w:val="003F21E6"/>
    <w:rsid w:val="003F2321"/>
    <w:rsid w:val="003F2A05"/>
    <w:rsid w:val="003F311A"/>
    <w:rsid w:val="003F3292"/>
    <w:rsid w:val="003F36A6"/>
    <w:rsid w:val="003F3881"/>
    <w:rsid w:val="003F3F4F"/>
    <w:rsid w:val="003F426D"/>
    <w:rsid w:val="003F42F4"/>
    <w:rsid w:val="003F4BF1"/>
    <w:rsid w:val="003F4D49"/>
    <w:rsid w:val="003F4DDD"/>
    <w:rsid w:val="003F4E89"/>
    <w:rsid w:val="003F5403"/>
    <w:rsid w:val="003F584B"/>
    <w:rsid w:val="003F5CFB"/>
    <w:rsid w:val="003F5D2D"/>
    <w:rsid w:val="003F5D73"/>
    <w:rsid w:val="003F5D95"/>
    <w:rsid w:val="003F5DB8"/>
    <w:rsid w:val="003F677B"/>
    <w:rsid w:val="003F67BF"/>
    <w:rsid w:val="003F6BF4"/>
    <w:rsid w:val="003F72FF"/>
    <w:rsid w:val="003F731C"/>
    <w:rsid w:val="003F7840"/>
    <w:rsid w:val="0040021C"/>
    <w:rsid w:val="004006F1"/>
    <w:rsid w:val="00400996"/>
    <w:rsid w:val="00401176"/>
    <w:rsid w:val="00401557"/>
    <w:rsid w:val="00401616"/>
    <w:rsid w:val="004022FA"/>
    <w:rsid w:val="004026D8"/>
    <w:rsid w:val="0040271A"/>
    <w:rsid w:val="004027F2"/>
    <w:rsid w:val="0040280F"/>
    <w:rsid w:val="0040281B"/>
    <w:rsid w:val="0040297D"/>
    <w:rsid w:val="004029B2"/>
    <w:rsid w:val="00402BF2"/>
    <w:rsid w:val="00402F6B"/>
    <w:rsid w:val="0040389C"/>
    <w:rsid w:val="004039A9"/>
    <w:rsid w:val="00403BD6"/>
    <w:rsid w:val="00403CC9"/>
    <w:rsid w:val="00404821"/>
    <w:rsid w:val="00404BFE"/>
    <w:rsid w:val="00404CED"/>
    <w:rsid w:val="00405410"/>
    <w:rsid w:val="004057D3"/>
    <w:rsid w:val="00405A6F"/>
    <w:rsid w:val="00405DBC"/>
    <w:rsid w:val="0040672D"/>
    <w:rsid w:val="00407611"/>
    <w:rsid w:val="00407784"/>
    <w:rsid w:val="0041020F"/>
    <w:rsid w:val="00410957"/>
    <w:rsid w:val="00411D03"/>
    <w:rsid w:val="00411DFB"/>
    <w:rsid w:val="00411EAF"/>
    <w:rsid w:val="00411FC5"/>
    <w:rsid w:val="00412937"/>
    <w:rsid w:val="004129D8"/>
    <w:rsid w:val="00412B0E"/>
    <w:rsid w:val="00412C63"/>
    <w:rsid w:val="00412CBF"/>
    <w:rsid w:val="00412FE0"/>
    <w:rsid w:val="0041401B"/>
    <w:rsid w:val="0041469C"/>
    <w:rsid w:val="00414705"/>
    <w:rsid w:val="0041474C"/>
    <w:rsid w:val="00414B56"/>
    <w:rsid w:val="00414D61"/>
    <w:rsid w:val="00414F4D"/>
    <w:rsid w:val="0041512F"/>
    <w:rsid w:val="00415470"/>
    <w:rsid w:val="00415543"/>
    <w:rsid w:val="004158AD"/>
    <w:rsid w:val="00415B34"/>
    <w:rsid w:val="00415FBE"/>
    <w:rsid w:val="004160FD"/>
    <w:rsid w:val="0041632E"/>
    <w:rsid w:val="0041642D"/>
    <w:rsid w:val="004165DE"/>
    <w:rsid w:val="00416D0F"/>
    <w:rsid w:val="00417831"/>
    <w:rsid w:val="00417E82"/>
    <w:rsid w:val="004202CB"/>
    <w:rsid w:val="004202EB"/>
    <w:rsid w:val="0042049A"/>
    <w:rsid w:val="00420885"/>
    <w:rsid w:val="00421358"/>
    <w:rsid w:val="00421706"/>
    <w:rsid w:val="00421715"/>
    <w:rsid w:val="0042189D"/>
    <w:rsid w:val="004218D5"/>
    <w:rsid w:val="00421A99"/>
    <w:rsid w:val="00421F05"/>
    <w:rsid w:val="00422212"/>
    <w:rsid w:val="00422736"/>
    <w:rsid w:val="0042295B"/>
    <w:rsid w:val="00422AD5"/>
    <w:rsid w:val="0042315A"/>
    <w:rsid w:val="004233DE"/>
    <w:rsid w:val="00423935"/>
    <w:rsid w:val="0042406A"/>
    <w:rsid w:val="004240E7"/>
    <w:rsid w:val="004240ED"/>
    <w:rsid w:val="00425412"/>
    <w:rsid w:val="00425478"/>
    <w:rsid w:val="00425879"/>
    <w:rsid w:val="00425C02"/>
    <w:rsid w:val="00425C0E"/>
    <w:rsid w:val="00426177"/>
    <w:rsid w:val="00426223"/>
    <w:rsid w:val="00426E06"/>
    <w:rsid w:val="00426FCD"/>
    <w:rsid w:val="0042706B"/>
    <w:rsid w:val="00427801"/>
    <w:rsid w:val="0042789B"/>
    <w:rsid w:val="00427A4D"/>
    <w:rsid w:val="00430D14"/>
    <w:rsid w:val="00430E24"/>
    <w:rsid w:val="00431167"/>
    <w:rsid w:val="0043120E"/>
    <w:rsid w:val="0043154D"/>
    <w:rsid w:val="00431AB3"/>
    <w:rsid w:val="00431F58"/>
    <w:rsid w:val="004320A1"/>
    <w:rsid w:val="004321A2"/>
    <w:rsid w:val="00432201"/>
    <w:rsid w:val="004323D2"/>
    <w:rsid w:val="0043266F"/>
    <w:rsid w:val="004327C0"/>
    <w:rsid w:val="004327DF"/>
    <w:rsid w:val="00432ADA"/>
    <w:rsid w:val="00432D15"/>
    <w:rsid w:val="00433468"/>
    <w:rsid w:val="004335EE"/>
    <w:rsid w:val="00433771"/>
    <w:rsid w:val="00433EEF"/>
    <w:rsid w:val="0043459B"/>
    <w:rsid w:val="00434F30"/>
    <w:rsid w:val="004350FC"/>
    <w:rsid w:val="004359CE"/>
    <w:rsid w:val="00435FB8"/>
    <w:rsid w:val="004361A8"/>
    <w:rsid w:val="0043639E"/>
    <w:rsid w:val="00436836"/>
    <w:rsid w:val="00436BA6"/>
    <w:rsid w:val="00436C4C"/>
    <w:rsid w:val="00437016"/>
    <w:rsid w:val="00437501"/>
    <w:rsid w:val="00440E92"/>
    <w:rsid w:val="004417A8"/>
    <w:rsid w:val="00441F36"/>
    <w:rsid w:val="004422F1"/>
    <w:rsid w:val="00442D75"/>
    <w:rsid w:val="0044360C"/>
    <w:rsid w:val="004437AF"/>
    <w:rsid w:val="00443E2B"/>
    <w:rsid w:val="00443E94"/>
    <w:rsid w:val="00443EB9"/>
    <w:rsid w:val="004445B3"/>
    <w:rsid w:val="00444C4A"/>
    <w:rsid w:val="00444EDE"/>
    <w:rsid w:val="004450B8"/>
    <w:rsid w:val="00445361"/>
    <w:rsid w:val="00445583"/>
    <w:rsid w:val="00445EAB"/>
    <w:rsid w:val="00446790"/>
    <w:rsid w:val="004469F8"/>
    <w:rsid w:val="00446A39"/>
    <w:rsid w:val="00446CA8"/>
    <w:rsid w:val="00446D09"/>
    <w:rsid w:val="0044746D"/>
    <w:rsid w:val="00447876"/>
    <w:rsid w:val="00447879"/>
    <w:rsid w:val="00447BF3"/>
    <w:rsid w:val="00447C2E"/>
    <w:rsid w:val="00447E2C"/>
    <w:rsid w:val="00447F20"/>
    <w:rsid w:val="00450184"/>
    <w:rsid w:val="00450248"/>
    <w:rsid w:val="00450767"/>
    <w:rsid w:val="004510E9"/>
    <w:rsid w:val="0045117B"/>
    <w:rsid w:val="004511DD"/>
    <w:rsid w:val="00451348"/>
    <w:rsid w:val="00451CE6"/>
    <w:rsid w:val="00451D00"/>
    <w:rsid w:val="00451E00"/>
    <w:rsid w:val="004520FE"/>
    <w:rsid w:val="0045253D"/>
    <w:rsid w:val="0045280D"/>
    <w:rsid w:val="0045295F"/>
    <w:rsid w:val="00452BE6"/>
    <w:rsid w:val="00452F7E"/>
    <w:rsid w:val="004534E7"/>
    <w:rsid w:val="00453516"/>
    <w:rsid w:val="0045357B"/>
    <w:rsid w:val="004537BA"/>
    <w:rsid w:val="00453B42"/>
    <w:rsid w:val="00453B5F"/>
    <w:rsid w:val="0045420C"/>
    <w:rsid w:val="004543F2"/>
    <w:rsid w:val="00454AEF"/>
    <w:rsid w:val="00454B58"/>
    <w:rsid w:val="00454CD9"/>
    <w:rsid w:val="00454E43"/>
    <w:rsid w:val="0045543B"/>
    <w:rsid w:val="004554E4"/>
    <w:rsid w:val="00455572"/>
    <w:rsid w:val="00456453"/>
    <w:rsid w:val="00456549"/>
    <w:rsid w:val="00456A68"/>
    <w:rsid w:val="00456AD7"/>
    <w:rsid w:val="00456BFF"/>
    <w:rsid w:val="00457393"/>
    <w:rsid w:val="004574FF"/>
    <w:rsid w:val="00457A85"/>
    <w:rsid w:val="00457C6F"/>
    <w:rsid w:val="00460221"/>
    <w:rsid w:val="00460287"/>
    <w:rsid w:val="0046054B"/>
    <w:rsid w:val="004606EF"/>
    <w:rsid w:val="00460942"/>
    <w:rsid w:val="00460B4C"/>
    <w:rsid w:val="00460BB7"/>
    <w:rsid w:val="00460D81"/>
    <w:rsid w:val="0046104B"/>
    <w:rsid w:val="0046120B"/>
    <w:rsid w:val="004616F8"/>
    <w:rsid w:val="00461A05"/>
    <w:rsid w:val="00461AD9"/>
    <w:rsid w:val="00461BE8"/>
    <w:rsid w:val="00461E90"/>
    <w:rsid w:val="00462550"/>
    <w:rsid w:val="00462664"/>
    <w:rsid w:val="004629DC"/>
    <w:rsid w:val="00462ECB"/>
    <w:rsid w:val="00463075"/>
    <w:rsid w:val="0046391C"/>
    <w:rsid w:val="00463E58"/>
    <w:rsid w:val="00463E9A"/>
    <w:rsid w:val="00464197"/>
    <w:rsid w:val="0046431C"/>
    <w:rsid w:val="004644E8"/>
    <w:rsid w:val="0046450F"/>
    <w:rsid w:val="00464A5A"/>
    <w:rsid w:val="00464AC5"/>
    <w:rsid w:val="00464CCE"/>
    <w:rsid w:val="00464DB7"/>
    <w:rsid w:val="00464FC0"/>
    <w:rsid w:val="00465195"/>
    <w:rsid w:val="004652F0"/>
    <w:rsid w:val="004657D3"/>
    <w:rsid w:val="0046595E"/>
    <w:rsid w:val="00465BB5"/>
    <w:rsid w:val="00465F48"/>
    <w:rsid w:val="004661A0"/>
    <w:rsid w:val="004662BB"/>
    <w:rsid w:val="00466373"/>
    <w:rsid w:val="00466B70"/>
    <w:rsid w:val="00466D21"/>
    <w:rsid w:val="00466FB8"/>
    <w:rsid w:val="00467050"/>
    <w:rsid w:val="00467515"/>
    <w:rsid w:val="0046775D"/>
    <w:rsid w:val="00467765"/>
    <w:rsid w:val="00470075"/>
    <w:rsid w:val="004702AB"/>
    <w:rsid w:val="004708DF"/>
    <w:rsid w:val="00470E8E"/>
    <w:rsid w:val="00472228"/>
    <w:rsid w:val="00472344"/>
    <w:rsid w:val="00472420"/>
    <w:rsid w:val="004724C6"/>
    <w:rsid w:val="0047269C"/>
    <w:rsid w:val="004728CE"/>
    <w:rsid w:val="00472C64"/>
    <w:rsid w:val="004732D1"/>
    <w:rsid w:val="00473771"/>
    <w:rsid w:val="00473B98"/>
    <w:rsid w:val="00474259"/>
    <w:rsid w:val="0047434A"/>
    <w:rsid w:val="00474582"/>
    <w:rsid w:val="0047471E"/>
    <w:rsid w:val="00474A90"/>
    <w:rsid w:val="00475C04"/>
    <w:rsid w:val="00475C8B"/>
    <w:rsid w:val="004761CD"/>
    <w:rsid w:val="004763EF"/>
    <w:rsid w:val="004765E4"/>
    <w:rsid w:val="0047678C"/>
    <w:rsid w:val="00477430"/>
    <w:rsid w:val="0047751B"/>
    <w:rsid w:val="00477F93"/>
    <w:rsid w:val="0048017C"/>
    <w:rsid w:val="00480573"/>
    <w:rsid w:val="0048066C"/>
    <w:rsid w:val="004810AB"/>
    <w:rsid w:val="00481198"/>
    <w:rsid w:val="004813F7"/>
    <w:rsid w:val="00481657"/>
    <w:rsid w:val="00481973"/>
    <w:rsid w:val="00481BBB"/>
    <w:rsid w:val="00481E7B"/>
    <w:rsid w:val="00482342"/>
    <w:rsid w:val="00482C8A"/>
    <w:rsid w:val="00483289"/>
    <w:rsid w:val="004837DA"/>
    <w:rsid w:val="00483892"/>
    <w:rsid w:val="004838F3"/>
    <w:rsid w:val="00483A14"/>
    <w:rsid w:val="00483DFF"/>
    <w:rsid w:val="00483EC7"/>
    <w:rsid w:val="00483EF7"/>
    <w:rsid w:val="0048466B"/>
    <w:rsid w:val="00484BFD"/>
    <w:rsid w:val="00484CE1"/>
    <w:rsid w:val="00484DAB"/>
    <w:rsid w:val="00485075"/>
    <w:rsid w:val="00485266"/>
    <w:rsid w:val="0048563A"/>
    <w:rsid w:val="00486320"/>
    <w:rsid w:val="004866B1"/>
    <w:rsid w:val="004869CE"/>
    <w:rsid w:val="00486ABF"/>
    <w:rsid w:val="00486CE4"/>
    <w:rsid w:val="00486DC4"/>
    <w:rsid w:val="004871CB"/>
    <w:rsid w:val="004872C8"/>
    <w:rsid w:val="00487746"/>
    <w:rsid w:val="00487799"/>
    <w:rsid w:val="00487826"/>
    <w:rsid w:val="00487AC6"/>
    <w:rsid w:val="00487B28"/>
    <w:rsid w:val="00487B6C"/>
    <w:rsid w:val="00487FB3"/>
    <w:rsid w:val="004901A1"/>
    <w:rsid w:val="004912A0"/>
    <w:rsid w:val="00491502"/>
    <w:rsid w:val="0049150C"/>
    <w:rsid w:val="004916C7"/>
    <w:rsid w:val="00491735"/>
    <w:rsid w:val="00491995"/>
    <w:rsid w:val="004919A5"/>
    <w:rsid w:val="00491AE0"/>
    <w:rsid w:val="00491BA2"/>
    <w:rsid w:val="00491CA1"/>
    <w:rsid w:val="00491DBD"/>
    <w:rsid w:val="00491EF8"/>
    <w:rsid w:val="004928AE"/>
    <w:rsid w:val="00492C63"/>
    <w:rsid w:val="00492EF4"/>
    <w:rsid w:val="004930EE"/>
    <w:rsid w:val="0049357E"/>
    <w:rsid w:val="0049379D"/>
    <w:rsid w:val="0049443C"/>
    <w:rsid w:val="004945E7"/>
    <w:rsid w:val="004948DD"/>
    <w:rsid w:val="00494B03"/>
    <w:rsid w:val="00494BBA"/>
    <w:rsid w:val="00495277"/>
    <w:rsid w:val="00495362"/>
    <w:rsid w:val="00495489"/>
    <w:rsid w:val="00495835"/>
    <w:rsid w:val="004966F2"/>
    <w:rsid w:val="00496C84"/>
    <w:rsid w:val="00496CA1"/>
    <w:rsid w:val="00496E59"/>
    <w:rsid w:val="00497044"/>
    <w:rsid w:val="0049736D"/>
    <w:rsid w:val="0049768E"/>
    <w:rsid w:val="004A053E"/>
    <w:rsid w:val="004A057E"/>
    <w:rsid w:val="004A06C7"/>
    <w:rsid w:val="004A0C96"/>
    <w:rsid w:val="004A1560"/>
    <w:rsid w:val="004A17C9"/>
    <w:rsid w:val="004A1A36"/>
    <w:rsid w:val="004A1B7B"/>
    <w:rsid w:val="004A1EB7"/>
    <w:rsid w:val="004A2214"/>
    <w:rsid w:val="004A224A"/>
    <w:rsid w:val="004A2923"/>
    <w:rsid w:val="004A2EA5"/>
    <w:rsid w:val="004A329E"/>
    <w:rsid w:val="004A32EA"/>
    <w:rsid w:val="004A3D2B"/>
    <w:rsid w:val="004A3EB6"/>
    <w:rsid w:val="004A3F22"/>
    <w:rsid w:val="004A4179"/>
    <w:rsid w:val="004A4751"/>
    <w:rsid w:val="004A4DCE"/>
    <w:rsid w:val="004A4DFB"/>
    <w:rsid w:val="004A4EEB"/>
    <w:rsid w:val="004A557A"/>
    <w:rsid w:val="004A56A8"/>
    <w:rsid w:val="004A5B4C"/>
    <w:rsid w:val="004A662E"/>
    <w:rsid w:val="004A6CF0"/>
    <w:rsid w:val="004A736F"/>
    <w:rsid w:val="004A7594"/>
    <w:rsid w:val="004A76AD"/>
    <w:rsid w:val="004B0612"/>
    <w:rsid w:val="004B06A7"/>
    <w:rsid w:val="004B13C0"/>
    <w:rsid w:val="004B14A8"/>
    <w:rsid w:val="004B1529"/>
    <w:rsid w:val="004B158C"/>
    <w:rsid w:val="004B163C"/>
    <w:rsid w:val="004B1A7F"/>
    <w:rsid w:val="004B1C10"/>
    <w:rsid w:val="004B2868"/>
    <w:rsid w:val="004B2B44"/>
    <w:rsid w:val="004B2D32"/>
    <w:rsid w:val="004B2D7B"/>
    <w:rsid w:val="004B2F78"/>
    <w:rsid w:val="004B364B"/>
    <w:rsid w:val="004B3762"/>
    <w:rsid w:val="004B3999"/>
    <w:rsid w:val="004B3D29"/>
    <w:rsid w:val="004B4159"/>
    <w:rsid w:val="004B429B"/>
    <w:rsid w:val="004B43E9"/>
    <w:rsid w:val="004B45C9"/>
    <w:rsid w:val="004B4EF7"/>
    <w:rsid w:val="004B5398"/>
    <w:rsid w:val="004B62F5"/>
    <w:rsid w:val="004B6F3C"/>
    <w:rsid w:val="004B74E7"/>
    <w:rsid w:val="004B7A90"/>
    <w:rsid w:val="004C0719"/>
    <w:rsid w:val="004C0762"/>
    <w:rsid w:val="004C0BAF"/>
    <w:rsid w:val="004C1108"/>
    <w:rsid w:val="004C148E"/>
    <w:rsid w:val="004C193E"/>
    <w:rsid w:val="004C1C5E"/>
    <w:rsid w:val="004C1D67"/>
    <w:rsid w:val="004C2080"/>
    <w:rsid w:val="004C20ED"/>
    <w:rsid w:val="004C21C6"/>
    <w:rsid w:val="004C2232"/>
    <w:rsid w:val="004C2AA8"/>
    <w:rsid w:val="004C2EE4"/>
    <w:rsid w:val="004C30F0"/>
    <w:rsid w:val="004C3146"/>
    <w:rsid w:val="004C3952"/>
    <w:rsid w:val="004C3BE8"/>
    <w:rsid w:val="004C43F0"/>
    <w:rsid w:val="004C46A8"/>
    <w:rsid w:val="004C46EB"/>
    <w:rsid w:val="004C4EF1"/>
    <w:rsid w:val="004C5126"/>
    <w:rsid w:val="004C5157"/>
    <w:rsid w:val="004C59F8"/>
    <w:rsid w:val="004C6102"/>
    <w:rsid w:val="004C6346"/>
    <w:rsid w:val="004C6C6D"/>
    <w:rsid w:val="004C6E1A"/>
    <w:rsid w:val="004C6F3F"/>
    <w:rsid w:val="004C747D"/>
    <w:rsid w:val="004D031D"/>
    <w:rsid w:val="004D0D5C"/>
    <w:rsid w:val="004D0DA5"/>
    <w:rsid w:val="004D0FF5"/>
    <w:rsid w:val="004D12F9"/>
    <w:rsid w:val="004D1BBC"/>
    <w:rsid w:val="004D1E07"/>
    <w:rsid w:val="004D20EF"/>
    <w:rsid w:val="004D2230"/>
    <w:rsid w:val="004D2A9C"/>
    <w:rsid w:val="004D2B39"/>
    <w:rsid w:val="004D2E62"/>
    <w:rsid w:val="004D3C02"/>
    <w:rsid w:val="004D3E21"/>
    <w:rsid w:val="004D4299"/>
    <w:rsid w:val="004D4329"/>
    <w:rsid w:val="004D4520"/>
    <w:rsid w:val="004D4887"/>
    <w:rsid w:val="004D532F"/>
    <w:rsid w:val="004D55AE"/>
    <w:rsid w:val="004D57E2"/>
    <w:rsid w:val="004D5CCA"/>
    <w:rsid w:val="004D6471"/>
    <w:rsid w:val="004D6F93"/>
    <w:rsid w:val="004D74FA"/>
    <w:rsid w:val="004D7D35"/>
    <w:rsid w:val="004D7E66"/>
    <w:rsid w:val="004E004C"/>
    <w:rsid w:val="004E0330"/>
    <w:rsid w:val="004E09FF"/>
    <w:rsid w:val="004E0C4F"/>
    <w:rsid w:val="004E1094"/>
    <w:rsid w:val="004E139E"/>
    <w:rsid w:val="004E1C16"/>
    <w:rsid w:val="004E1EAD"/>
    <w:rsid w:val="004E20CD"/>
    <w:rsid w:val="004E2564"/>
    <w:rsid w:val="004E2CD9"/>
    <w:rsid w:val="004E2DE3"/>
    <w:rsid w:val="004E2F7E"/>
    <w:rsid w:val="004E3868"/>
    <w:rsid w:val="004E3ADA"/>
    <w:rsid w:val="004E3CED"/>
    <w:rsid w:val="004E40A8"/>
    <w:rsid w:val="004E447F"/>
    <w:rsid w:val="004E4705"/>
    <w:rsid w:val="004E4DF3"/>
    <w:rsid w:val="004E56F7"/>
    <w:rsid w:val="004E5DB0"/>
    <w:rsid w:val="004E5E67"/>
    <w:rsid w:val="004E5E92"/>
    <w:rsid w:val="004E602D"/>
    <w:rsid w:val="004E682B"/>
    <w:rsid w:val="004E78BC"/>
    <w:rsid w:val="004E7A6F"/>
    <w:rsid w:val="004E7BCE"/>
    <w:rsid w:val="004E7BCF"/>
    <w:rsid w:val="004F044B"/>
    <w:rsid w:val="004F0A3B"/>
    <w:rsid w:val="004F0FFD"/>
    <w:rsid w:val="004F1BE7"/>
    <w:rsid w:val="004F1CD0"/>
    <w:rsid w:val="004F1F3F"/>
    <w:rsid w:val="004F2209"/>
    <w:rsid w:val="004F2281"/>
    <w:rsid w:val="004F258D"/>
    <w:rsid w:val="004F30A3"/>
    <w:rsid w:val="004F398E"/>
    <w:rsid w:val="004F3BEF"/>
    <w:rsid w:val="004F3C74"/>
    <w:rsid w:val="004F3CA4"/>
    <w:rsid w:val="004F3FD9"/>
    <w:rsid w:val="004F4151"/>
    <w:rsid w:val="004F42C0"/>
    <w:rsid w:val="004F45A4"/>
    <w:rsid w:val="004F45EC"/>
    <w:rsid w:val="004F48A0"/>
    <w:rsid w:val="004F4F6E"/>
    <w:rsid w:val="004F54CC"/>
    <w:rsid w:val="004F5F3A"/>
    <w:rsid w:val="004F6039"/>
    <w:rsid w:val="004F60DD"/>
    <w:rsid w:val="004F6221"/>
    <w:rsid w:val="004F6581"/>
    <w:rsid w:val="004F6A38"/>
    <w:rsid w:val="004F6E37"/>
    <w:rsid w:val="004F6E43"/>
    <w:rsid w:val="004F70B5"/>
    <w:rsid w:val="004F71E4"/>
    <w:rsid w:val="004F7B0F"/>
    <w:rsid w:val="004F7CF2"/>
    <w:rsid w:val="00500139"/>
    <w:rsid w:val="0050025E"/>
    <w:rsid w:val="00500316"/>
    <w:rsid w:val="005005D5"/>
    <w:rsid w:val="005008A4"/>
    <w:rsid w:val="00500C52"/>
    <w:rsid w:val="00500D8E"/>
    <w:rsid w:val="00501016"/>
    <w:rsid w:val="0050130F"/>
    <w:rsid w:val="005016D3"/>
    <w:rsid w:val="00501950"/>
    <w:rsid w:val="00501961"/>
    <w:rsid w:val="00501973"/>
    <w:rsid w:val="00501CB5"/>
    <w:rsid w:val="005032C8"/>
    <w:rsid w:val="005039B8"/>
    <w:rsid w:val="00503EA9"/>
    <w:rsid w:val="00503EF1"/>
    <w:rsid w:val="00504457"/>
    <w:rsid w:val="00504A3C"/>
    <w:rsid w:val="00505318"/>
    <w:rsid w:val="0050585B"/>
    <w:rsid w:val="005059A6"/>
    <w:rsid w:val="00505B9F"/>
    <w:rsid w:val="00505E11"/>
    <w:rsid w:val="00505FD4"/>
    <w:rsid w:val="0050620B"/>
    <w:rsid w:val="00506BBF"/>
    <w:rsid w:val="00507342"/>
    <w:rsid w:val="005073C5"/>
    <w:rsid w:val="00507798"/>
    <w:rsid w:val="00507C24"/>
    <w:rsid w:val="00510092"/>
    <w:rsid w:val="00510944"/>
    <w:rsid w:val="00510950"/>
    <w:rsid w:val="00510C5F"/>
    <w:rsid w:val="00511962"/>
    <w:rsid w:val="005126EB"/>
    <w:rsid w:val="005129EC"/>
    <w:rsid w:val="00512DAA"/>
    <w:rsid w:val="00513208"/>
    <w:rsid w:val="005134E9"/>
    <w:rsid w:val="0051365A"/>
    <w:rsid w:val="005136B2"/>
    <w:rsid w:val="00513806"/>
    <w:rsid w:val="00514113"/>
    <w:rsid w:val="0051448B"/>
    <w:rsid w:val="00514928"/>
    <w:rsid w:val="005149F5"/>
    <w:rsid w:val="0051500E"/>
    <w:rsid w:val="00515135"/>
    <w:rsid w:val="005151D9"/>
    <w:rsid w:val="00515225"/>
    <w:rsid w:val="00515A41"/>
    <w:rsid w:val="005164A7"/>
    <w:rsid w:val="005164F0"/>
    <w:rsid w:val="005177FD"/>
    <w:rsid w:val="00517D7B"/>
    <w:rsid w:val="005204F1"/>
    <w:rsid w:val="00520796"/>
    <w:rsid w:val="00520A23"/>
    <w:rsid w:val="0052138D"/>
    <w:rsid w:val="00521870"/>
    <w:rsid w:val="00521A83"/>
    <w:rsid w:val="00521A9E"/>
    <w:rsid w:val="00522E5F"/>
    <w:rsid w:val="00523128"/>
    <w:rsid w:val="00523A86"/>
    <w:rsid w:val="00523AE7"/>
    <w:rsid w:val="00524211"/>
    <w:rsid w:val="00524255"/>
    <w:rsid w:val="005244EB"/>
    <w:rsid w:val="0052493C"/>
    <w:rsid w:val="00524D46"/>
    <w:rsid w:val="00525330"/>
    <w:rsid w:val="005257E3"/>
    <w:rsid w:val="00525F14"/>
    <w:rsid w:val="00526621"/>
    <w:rsid w:val="00526827"/>
    <w:rsid w:val="00526F12"/>
    <w:rsid w:val="00527162"/>
    <w:rsid w:val="0052728F"/>
    <w:rsid w:val="0052760B"/>
    <w:rsid w:val="0052794E"/>
    <w:rsid w:val="00527A1E"/>
    <w:rsid w:val="00527B59"/>
    <w:rsid w:val="005300B3"/>
    <w:rsid w:val="005301F9"/>
    <w:rsid w:val="00530304"/>
    <w:rsid w:val="00530623"/>
    <w:rsid w:val="00530BAC"/>
    <w:rsid w:val="00530F4C"/>
    <w:rsid w:val="005310A1"/>
    <w:rsid w:val="005315B7"/>
    <w:rsid w:val="00531A19"/>
    <w:rsid w:val="0053248B"/>
    <w:rsid w:val="005324BC"/>
    <w:rsid w:val="005329DF"/>
    <w:rsid w:val="00532BD8"/>
    <w:rsid w:val="00532D29"/>
    <w:rsid w:val="005334C0"/>
    <w:rsid w:val="00533E93"/>
    <w:rsid w:val="00533F97"/>
    <w:rsid w:val="0053400F"/>
    <w:rsid w:val="00534721"/>
    <w:rsid w:val="00534CAC"/>
    <w:rsid w:val="00535271"/>
    <w:rsid w:val="005352C1"/>
    <w:rsid w:val="005353FD"/>
    <w:rsid w:val="00535536"/>
    <w:rsid w:val="005358D8"/>
    <w:rsid w:val="005359E7"/>
    <w:rsid w:val="005360E2"/>
    <w:rsid w:val="00536145"/>
    <w:rsid w:val="005367F8"/>
    <w:rsid w:val="00537087"/>
    <w:rsid w:val="00537338"/>
    <w:rsid w:val="005377F0"/>
    <w:rsid w:val="00537A30"/>
    <w:rsid w:val="005405A8"/>
    <w:rsid w:val="00540696"/>
    <w:rsid w:val="00540AE8"/>
    <w:rsid w:val="00540C1B"/>
    <w:rsid w:val="0054109D"/>
    <w:rsid w:val="005410D6"/>
    <w:rsid w:val="0054138C"/>
    <w:rsid w:val="00541974"/>
    <w:rsid w:val="00541B68"/>
    <w:rsid w:val="00541E5C"/>
    <w:rsid w:val="00541E73"/>
    <w:rsid w:val="00542202"/>
    <w:rsid w:val="00542343"/>
    <w:rsid w:val="00542449"/>
    <w:rsid w:val="00542756"/>
    <w:rsid w:val="00542A8F"/>
    <w:rsid w:val="00542C56"/>
    <w:rsid w:val="00542CCA"/>
    <w:rsid w:val="00542E7E"/>
    <w:rsid w:val="0054394D"/>
    <w:rsid w:val="00543A07"/>
    <w:rsid w:val="005440FB"/>
    <w:rsid w:val="00544182"/>
    <w:rsid w:val="005444CE"/>
    <w:rsid w:val="005445A7"/>
    <w:rsid w:val="00544717"/>
    <w:rsid w:val="00544A62"/>
    <w:rsid w:val="00544B11"/>
    <w:rsid w:val="005450DC"/>
    <w:rsid w:val="00545141"/>
    <w:rsid w:val="005452C1"/>
    <w:rsid w:val="005452FA"/>
    <w:rsid w:val="00545381"/>
    <w:rsid w:val="005456D4"/>
    <w:rsid w:val="005457D8"/>
    <w:rsid w:val="005459B9"/>
    <w:rsid w:val="00545A46"/>
    <w:rsid w:val="00545EDE"/>
    <w:rsid w:val="005461B5"/>
    <w:rsid w:val="00546797"/>
    <w:rsid w:val="00546E4C"/>
    <w:rsid w:val="00547349"/>
    <w:rsid w:val="0054793B"/>
    <w:rsid w:val="00547D32"/>
    <w:rsid w:val="00547ED5"/>
    <w:rsid w:val="0055019E"/>
    <w:rsid w:val="00550357"/>
    <w:rsid w:val="005508D8"/>
    <w:rsid w:val="00550D62"/>
    <w:rsid w:val="00550F69"/>
    <w:rsid w:val="0055129B"/>
    <w:rsid w:val="0055136C"/>
    <w:rsid w:val="00552AE5"/>
    <w:rsid w:val="00552B87"/>
    <w:rsid w:val="00552FF2"/>
    <w:rsid w:val="00553FE3"/>
    <w:rsid w:val="00554124"/>
    <w:rsid w:val="00554959"/>
    <w:rsid w:val="00554DED"/>
    <w:rsid w:val="005555C4"/>
    <w:rsid w:val="005558E7"/>
    <w:rsid w:val="00556211"/>
    <w:rsid w:val="0055623F"/>
    <w:rsid w:val="00556F78"/>
    <w:rsid w:val="0055722E"/>
    <w:rsid w:val="00557898"/>
    <w:rsid w:val="005578DF"/>
    <w:rsid w:val="00557B5E"/>
    <w:rsid w:val="00557BBD"/>
    <w:rsid w:val="00557DD8"/>
    <w:rsid w:val="0056009B"/>
    <w:rsid w:val="005605F8"/>
    <w:rsid w:val="00560626"/>
    <w:rsid w:val="005607B4"/>
    <w:rsid w:val="00560CAC"/>
    <w:rsid w:val="00560F2B"/>
    <w:rsid w:val="00560F79"/>
    <w:rsid w:val="005614E3"/>
    <w:rsid w:val="0056170E"/>
    <w:rsid w:val="00561819"/>
    <w:rsid w:val="0056184E"/>
    <w:rsid w:val="00561978"/>
    <w:rsid w:val="00561979"/>
    <w:rsid w:val="00561E97"/>
    <w:rsid w:val="00561EE1"/>
    <w:rsid w:val="00561F95"/>
    <w:rsid w:val="0056223A"/>
    <w:rsid w:val="00562318"/>
    <w:rsid w:val="005625F5"/>
    <w:rsid w:val="00562A04"/>
    <w:rsid w:val="00563502"/>
    <w:rsid w:val="005639E5"/>
    <w:rsid w:val="00564092"/>
    <w:rsid w:val="005642C7"/>
    <w:rsid w:val="005646E6"/>
    <w:rsid w:val="00564A10"/>
    <w:rsid w:val="0056548F"/>
    <w:rsid w:val="005656C3"/>
    <w:rsid w:val="00565812"/>
    <w:rsid w:val="005658DF"/>
    <w:rsid w:val="0056671B"/>
    <w:rsid w:val="00566AC1"/>
    <w:rsid w:val="00566E0A"/>
    <w:rsid w:val="00566F16"/>
    <w:rsid w:val="0056769A"/>
    <w:rsid w:val="00567789"/>
    <w:rsid w:val="00567815"/>
    <w:rsid w:val="00570B32"/>
    <w:rsid w:val="00570EDA"/>
    <w:rsid w:val="005713C6"/>
    <w:rsid w:val="0057191F"/>
    <w:rsid w:val="00571E15"/>
    <w:rsid w:val="00571F24"/>
    <w:rsid w:val="00571FD9"/>
    <w:rsid w:val="0057201A"/>
    <w:rsid w:val="0057347A"/>
    <w:rsid w:val="00573D2F"/>
    <w:rsid w:val="00574053"/>
    <w:rsid w:val="0057436C"/>
    <w:rsid w:val="00574578"/>
    <w:rsid w:val="005749DE"/>
    <w:rsid w:val="005750D2"/>
    <w:rsid w:val="0057523E"/>
    <w:rsid w:val="005753D4"/>
    <w:rsid w:val="0057589A"/>
    <w:rsid w:val="00576BC3"/>
    <w:rsid w:val="00576FEF"/>
    <w:rsid w:val="005771EC"/>
    <w:rsid w:val="0057723F"/>
    <w:rsid w:val="005775BA"/>
    <w:rsid w:val="005777A0"/>
    <w:rsid w:val="005778FB"/>
    <w:rsid w:val="00577BAC"/>
    <w:rsid w:val="00580067"/>
    <w:rsid w:val="005806D3"/>
    <w:rsid w:val="00580782"/>
    <w:rsid w:val="00580861"/>
    <w:rsid w:val="005809A7"/>
    <w:rsid w:val="005809CD"/>
    <w:rsid w:val="00580B3D"/>
    <w:rsid w:val="00580ED0"/>
    <w:rsid w:val="0058109D"/>
    <w:rsid w:val="00581156"/>
    <w:rsid w:val="00581312"/>
    <w:rsid w:val="005813DF"/>
    <w:rsid w:val="0058162D"/>
    <w:rsid w:val="005816A1"/>
    <w:rsid w:val="005827F7"/>
    <w:rsid w:val="0058293F"/>
    <w:rsid w:val="00583312"/>
    <w:rsid w:val="005833A2"/>
    <w:rsid w:val="005836A6"/>
    <w:rsid w:val="005837AC"/>
    <w:rsid w:val="0058411E"/>
    <w:rsid w:val="00584242"/>
    <w:rsid w:val="00584AB5"/>
    <w:rsid w:val="00584AC4"/>
    <w:rsid w:val="005851DC"/>
    <w:rsid w:val="00585887"/>
    <w:rsid w:val="005864D1"/>
    <w:rsid w:val="00586618"/>
    <w:rsid w:val="00586E10"/>
    <w:rsid w:val="0058710B"/>
    <w:rsid w:val="00587275"/>
    <w:rsid w:val="005874C3"/>
    <w:rsid w:val="005879B4"/>
    <w:rsid w:val="00587BAC"/>
    <w:rsid w:val="005903A7"/>
    <w:rsid w:val="005904E5"/>
    <w:rsid w:val="005906D6"/>
    <w:rsid w:val="00590986"/>
    <w:rsid w:val="00590CC3"/>
    <w:rsid w:val="005910F8"/>
    <w:rsid w:val="005922A4"/>
    <w:rsid w:val="0059267C"/>
    <w:rsid w:val="00592719"/>
    <w:rsid w:val="00593457"/>
    <w:rsid w:val="005934E5"/>
    <w:rsid w:val="00593665"/>
    <w:rsid w:val="00593EEC"/>
    <w:rsid w:val="00593FC9"/>
    <w:rsid w:val="0059471D"/>
    <w:rsid w:val="005949EA"/>
    <w:rsid w:val="00594DB4"/>
    <w:rsid w:val="0059531B"/>
    <w:rsid w:val="00595504"/>
    <w:rsid w:val="005955E4"/>
    <w:rsid w:val="00595706"/>
    <w:rsid w:val="00595A5C"/>
    <w:rsid w:val="00595D6E"/>
    <w:rsid w:val="00595E30"/>
    <w:rsid w:val="00597167"/>
    <w:rsid w:val="00597820"/>
    <w:rsid w:val="005979EF"/>
    <w:rsid w:val="00597A76"/>
    <w:rsid w:val="00597D3A"/>
    <w:rsid w:val="00597FAC"/>
    <w:rsid w:val="005A007A"/>
    <w:rsid w:val="005A013D"/>
    <w:rsid w:val="005A02D2"/>
    <w:rsid w:val="005A0349"/>
    <w:rsid w:val="005A0468"/>
    <w:rsid w:val="005A0530"/>
    <w:rsid w:val="005A06E8"/>
    <w:rsid w:val="005A079B"/>
    <w:rsid w:val="005A1142"/>
    <w:rsid w:val="005A11C9"/>
    <w:rsid w:val="005A171B"/>
    <w:rsid w:val="005A183C"/>
    <w:rsid w:val="005A1B8B"/>
    <w:rsid w:val="005A204A"/>
    <w:rsid w:val="005A204E"/>
    <w:rsid w:val="005A220A"/>
    <w:rsid w:val="005A2280"/>
    <w:rsid w:val="005A27EE"/>
    <w:rsid w:val="005A2F48"/>
    <w:rsid w:val="005A2FB1"/>
    <w:rsid w:val="005A2FB7"/>
    <w:rsid w:val="005A305D"/>
    <w:rsid w:val="005A3201"/>
    <w:rsid w:val="005A33DE"/>
    <w:rsid w:val="005A3467"/>
    <w:rsid w:val="005A35AC"/>
    <w:rsid w:val="005A3BAB"/>
    <w:rsid w:val="005A3E9F"/>
    <w:rsid w:val="005A3F29"/>
    <w:rsid w:val="005A3FFF"/>
    <w:rsid w:val="005A43A4"/>
    <w:rsid w:val="005A4556"/>
    <w:rsid w:val="005A45E5"/>
    <w:rsid w:val="005A47F0"/>
    <w:rsid w:val="005A501D"/>
    <w:rsid w:val="005A569C"/>
    <w:rsid w:val="005A57BC"/>
    <w:rsid w:val="005A5820"/>
    <w:rsid w:val="005A7282"/>
    <w:rsid w:val="005A72C9"/>
    <w:rsid w:val="005A7962"/>
    <w:rsid w:val="005A7B21"/>
    <w:rsid w:val="005A7B5A"/>
    <w:rsid w:val="005B0045"/>
    <w:rsid w:val="005B048C"/>
    <w:rsid w:val="005B05D3"/>
    <w:rsid w:val="005B068E"/>
    <w:rsid w:val="005B09BC"/>
    <w:rsid w:val="005B0F60"/>
    <w:rsid w:val="005B103F"/>
    <w:rsid w:val="005B14AF"/>
    <w:rsid w:val="005B19F9"/>
    <w:rsid w:val="005B1C17"/>
    <w:rsid w:val="005B1C69"/>
    <w:rsid w:val="005B1D97"/>
    <w:rsid w:val="005B1DA1"/>
    <w:rsid w:val="005B1F44"/>
    <w:rsid w:val="005B2002"/>
    <w:rsid w:val="005B24B8"/>
    <w:rsid w:val="005B2C67"/>
    <w:rsid w:val="005B2F30"/>
    <w:rsid w:val="005B2F62"/>
    <w:rsid w:val="005B3010"/>
    <w:rsid w:val="005B30FA"/>
    <w:rsid w:val="005B3307"/>
    <w:rsid w:val="005B3AE0"/>
    <w:rsid w:val="005B3ED1"/>
    <w:rsid w:val="005B4299"/>
    <w:rsid w:val="005B44AB"/>
    <w:rsid w:val="005B461B"/>
    <w:rsid w:val="005B4CE7"/>
    <w:rsid w:val="005B50BA"/>
    <w:rsid w:val="005B50ED"/>
    <w:rsid w:val="005B545F"/>
    <w:rsid w:val="005B5D46"/>
    <w:rsid w:val="005B60EB"/>
    <w:rsid w:val="005B615B"/>
    <w:rsid w:val="005B6285"/>
    <w:rsid w:val="005B675E"/>
    <w:rsid w:val="005B6B39"/>
    <w:rsid w:val="005B6F83"/>
    <w:rsid w:val="005B7752"/>
    <w:rsid w:val="005B7938"/>
    <w:rsid w:val="005B7B43"/>
    <w:rsid w:val="005B7F28"/>
    <w:rsid w:val="005C0013"/>
    <w:rsid w:val="005C0BD5"/>
    <w:rsid w:val="005C0D8A"/>
    <w:rsid w:val="005C1363"/>
    <w:rsid w:val="005C173D"/>
    <w:rsid w:val="005C1967"/>
    <w:rsid w:val="005C21FB"/>
    <w:rsid w:val="005C24FC"/>
    <w:rsid w:val="005C2640"/>
    <w:rsid w:val="005C2A9E"/>
    <w:rsid w:val="005C2D5D"/>
    <w:rsid w:val="005C2E53"/>
    <w:rsid w:val="005C33A6"/>
    <w:rsid w:val="005C383D"/>
    <w:rsid w:val="005C4683"/>
    <w:rsid w:val="005C49D4"/>
    <w:rsid w:val="005C52A2"/>
    <w:rsid w:val="005C53EE"/>
    <w:rsid w:val="005C576D"/>
    <w:rsid w:val="005C5DE9"/>
    <w:rsid w:val="005C713B"/>
    <w:rsid w:val="005C76D6"/>
    <w:rsid w:val="005C7A67"/>
    <w:rsid w:val="005C7E65"/>
    <w:rsid w:val="005C7F82"/>
    <w:rsid w:val="005D041F"/>
    <w:rsid w:val="005D0477"/>
    <w:rsid w:val="005D0515"/>
    <w:rsid w:val="005D069D"/>
    <w:rsid w:val="005D07FD"/>
    <w:rsid w:val="005D0C1D"/>
    <w:rsid w:val="005D0E0B"/>
    <w:rsid w:val="005D17EF"/>
    <w:rsid w:val="005D223A"/>
    <w:rsid w:val="005D23CB"/>
    <w:rsid w:val="005D24C0"/>
    <w:rsid w:val="005D2529"/>
    <w:rsid w:val="005D26FA"/>
    <w:rsid w:val="005D2749"/>
    <w:rsid w:val="005D296A"/>
    <w:rsid w:val="005D2C6C"/>
    <w:rsid w:val="005D2CB5"/>
    <w:rsid w:val="005D301D"/>
    <w:rsid w:val="005D3078"/>
    <w:rsid w:val="005D3587"/>
    <w:rsid w:val="005D3863"/>
    <w:rsid w:val="005D3B76"/>
    <w:rsid w:val="005D4758"/>
    <w:rsid w:val="005D4A51"/>
    <w:rsid w:val="005D4BAD"/>
    <w:rsid w:val="005D4EFC"/>
    <w:rsid w:val="005D5100"/>
    <w:rsid w:val="005D53C3"/>
    <w:rsid w:val="005D573E"/>
    <w:rsid w:val="005D5A04"/>
    <w:rsid w:val="005D5D42"/>
    <w:rsid w:val="005D605E"/>
    <w:rsid w:val="005D6193"/>
    <w:rsid w:val="005D6589"/>
    <w:rsid w:val="005D68E2"/>
    <w:rsid w:val="005D6A28"/>
    <w:rsid w:val="005D6AF3"/>
    <w:rsid w:val="005D6C0D"/>
    <w:rsid w:val="005D6DC1"/>
    <w:rsid w:val="005D6F5E"/>
    <w:rsid w:val="005D7098"/>
    <w:rsid w:val="005D78B6"/>
    <w:rsid w:val="005D7F7D"/>
    <w:rsid w:val="005D7FE3"/>
    <w:rsid w:val="005E02AC"/>
    <w:rsid w:val="005E0A91"/>
    <w:rsid w:val="005E0C0F"/>
    <w:rsid w:val="005E14CA"/>
    <w:rsid w:val="005E14EA"/>
    <w:rsid w:val="005E1BEA"/>
    <w:rsid w:val="005E2016"/>
    <w:rsid w:val="005E21B6"/>
    <w:rsid w:val="005E2677"/>
    <w:rsid w:val="005E2976"/>
    <w:rsid w:val="005E2BD1"/>
    <w:rsid w:val="005E338F"/>
    <w:rsid w:val="005E34FE"/>
    <w:rsid w:val="005E3B2C"/>
    <w:rsid w:val="005E447A"/>
    <w:rsid w:val="005E46CE"/>
    <w:rsid w:val="005E49CB"/>
    <w:rsid w:val="005E4C38"/>
    <w:rsid w:val="005E5B32"/>
    <w:rsid w:val="005E605D"/>
    <w:rsid w:val="005E61EB"/>
    <w:rsid w:val="005E62FE"/>
    <w:rsid w:val="005E68FB"/>
    <w:rsid w:val="005E6938"/>
    <w:rsid w:val="005E6985"/>
    <w:rsid w:val="005E698A"/>
    <w:rsid w:val="005E6E26"/>
    <w:rsid w:val="005E6FAF"/>
    <w:rsid w:val="005E7314"/>
    <w:rsid w:val="005E792C"/>
    <w:rsid w:val="005E7DFB"/>
    <w:rsid w:val="005F009B"/>
    <w:rsid w:val="005F038E"/>
    <w:rsid w:val="005F0409"/>
    <w:rsid w:val="005F0A9F"/>
    <w:rsid w:val="005F111D"/>
    <w:rsid w:val="005F134D"/>
    <w:rsid w:val="005F1594"/>
    <w:rsid w:val="005F1926"/>
    <w:rsid w:val="005F1CE6"/>
    <w:rsid w:val="005F1F56"/>
    <w:rsid w:val="005F24ED"/>
    <w:rsid w:val="005F29DD"/>
    <w:rsid w:val="005F2BE4"/>
    <w:rsid w:val="005F3664"/>
    <w:rsid w:val="005F38A2"/>
    <w:rsid w:val="005F396E"/>
    <w:rsid w:val="005F39ED"/>
    <w:rsid w:val="005F420E"/>
    <w:rsid w:val="005F4553"/>
    <w:rsid w:val="005F4ECC"/>
    <w:rsid w:val="005F5058"/>
    <w:rsid w:val="005F5346"/>
    <w:rsid w:val="005F56FB"/>
    <w:rsid w:val="005F5BB7"/>
    <w:rsid w:val="005F6037"/>
    <w:rsid w:val="005F6140"/>
    <w:rsid w:val="005F62C3"/>
    <w:rsid w:val="005F6447"/>
    <w:rsid w:val="005F65ED"/>
    <w:rsid w:val="005F73D8"/>
    <w:rsid w:val="005F7426"/>
    <w:rsid w:val="005F74F0"/>
    <w:rsid w:val="005F761D"/>
    <w:rsid w:val="005F7754"/>
    <w:rsid w:val="005F7C05"/>
    <w:rsid w:val="00600018"/>
    <w:rsid w:val="0060009C"/>
    <w:rsid w:val="00600472"/>
    <w:rsid w:val="006005B9"/>
    <w:rsid w:val="00600690"/>
    <w:rsid w:val="006009BE"/>
    <w:rsid w:val="00600ADF"/>
    <w:rsid w:val="00600CE2"/>
    <w:rsid w:val="00600DEC"/>
    <w:rsid w:val="00600E46"/>
    <w:rsid w:val="00600EB6"/>
    <w:rsid w:val="006010D2"/>
    <w:rsid w:val="00601369"/>
    <w:rsid w:val="00601418"/>
    <w:rsid w:val="00601FF9"/>
    <w:rsid w:val="0060205C"/>
    <w:rsid w:val="006027BB"/>
    <w:rsid w:val="00602B96"/>
    <w:rsid w:val="00603008"/>
    <w:rsid w:val="0060305C"/>
    <w:rsid w:val="00603582"/>
    <w:rsid w:val="00603696"/>
    <w:rsid w:val="00603916"/>
    <w:rsid w:val="00603990"/>
    <w:rsid w:val="00603DBE"/>
    <w:rsid w:val="00604AC5"/>
    <w:rsid w:val="00604C90"/>
    <w:rsid w:val="00604DBB"/>
    <w:rsid w:val="0060508E"/>
    <w:rsid w:val="00605A94"/>
    <w:rsid w:val="00605B0B"/>
    <w:rsid w:val="0060688A"/>
    <w:rsid w:val="00606F3A"/>
    <w:rsid w:val="006070ED"/>
    <w:rsid w:val="006074C7"/>
    <w:rsid w:val="00607A27"/>
    <w:rsid w:val="00607B11"/>
    <w:rsid w:val="00607F5F"/>
    <w:rsid w:val="00610130"/>
    <w:rsid w:val="00610638"/>
    <w:rsid w:val="00610659"/>
    <w:rsid w:val="0061065E"/>
    <w:rsid w:val="00610E53"/>
    <w:rsid w:val="00610ED1"/>
    <w:rsid w:val="0061104C"/>
    <w:rsid w:val="00611249"/>
    <w:rsid w:val="00611711"/>
    <w:rsid w:val="00611757"/>
    <w:rsid w:val="0061182F"/>
    <w:rsid w:val="00611A3D"/>
    <w:rsid w:val="00611A93"/>
    <w:rsid w:val="00611AD8"/>
    <w:rsid w:val="0061244E"/>
    <w:rsid w:val="00612620"/>
    <w:rsid w:val="00612662"/>
    <w:rsid w:val="00612C32"/>
    <w:rsid w:val="00612E13"/>
    <w:rsid w:val="00613790"/>
    <w:rsid w:val="0061396D"/>
    <w:rsid w:val="0061399D"/>
    <w:rsid w:val="00613E59"/>
    <w:rsid w:val="00614554"/>
    <w:rsid w:val="00614E4C"/>
    <w:rsid w:val="006150D5"/>
    <w:rsid w:val="0061597B"/>
    <w:rsid w:val="00615B55"/>
    <w:rsid w:val="00615C34"/>
    <w:rsid w:val="00615C44"/>
    <w:rsid w:val="00615CF3"/>
    <w:rsid w:val="00616067"/>
    <w:rsid w:val="0061616F"/>
    <w:rsid w:val="00616A15"/>
    <w:rsid w:val="00616BBE"/>
    <w:rsid w:val="00616D2E"/>
    <w:rsid w:val="0061706F"/>
    <w:rsid w:val="00617530"/>
    <w:rsid w:val="00617A49"/>
    <w:rsid w:val="00617B33"/>
    <w:rsid w:val="00620307"/>
    <w:rsid w:val="006208DD"/>
    <w:rsid w:val="00621042"/>
    <w:rsid w:val="0062110B"/>
    <w:rsid w:val="00621227"/>
    <w:rsid w:val="006218A0"/>
    <w:rsid w:val="00621F06"/>
    <w:rsid w:val="006220CD"/>
    <w:rsid w:val="00622122"/>
    <w:rsid w:val="006223F3"/>
    <w:rsid w:val="00622451"/>
    <w:rsid w:val="00622838"/>
    <w:rsid w:val="00622CDB"/>
    <w:rsid w:val="00622E5D"/>
    <w:rsid w:val="006230E9"/>
    <w:rsid w:val="00623224"/>
    <w:rsid w:val="00624172"/>
    <w:rsid w:val="00624265"/>
    <w:rsid w:val="006244DD"/>
    <w:rsid w:val="0062460D"/>
    <w:rsid w:val="00624B30"/>
    <w:rsid w:val="00625103"/>
    <w:rsid w:val="006255F8"/>
    <w:rsid w:val="0062564F"/>
    <w:rsid w:val="00625A93"/>
    <w:rsid w:val="0062604D"/>
    <w:rsid w:val="006260CD"/>
    <w:rsid w:val="0062632C"/>
    <w:rsid w:val="0062634C"/>
    <w:rsid w:val="006265F6"/>
    <w:rsid w:val="00626779"/>
    <w:rsid w:val="00626A15"/>
    <w:rsid w:val="00626BB9"/>
    <w:rsid w:val="00627F0B"/>
    <w:rsid w:val="00630753"/>
    <w:rsid w:val="00630CFC"/>
    <w:rsid w:val="00630D49"/>
    <w:rsid w:val="00631099"/>
    <w:rsid w:val="006310FB"/>
    <w:rsid w:val="0063117E"/>
    <w:rsid w:val="00631478"/>
    <w:rsid w:val="006314FB"/>
    <w:rsid w:val="00631623"/>
    <w:rsid w:val="00631805"/>
    <w:rsid w:val="00631808"/>
    <w:rsid w:val="0063187B"/>
    <w:rsid w:val="00632099"/>
    <w:rsid w:val="00632137"/>
    <w:rsid w:val="00632214"/>
    <w:rsid w:val="006325B6"/>
    <w:rsid w:val="0063273A"/>
    <w:rsid w:val="006328BB"/>
    <w:rsid w:val="00632D71"/>
    <w:rsid w:val="006337DA"/>
    <w:rsid w:val="00633988"/>
    <w:rsid w:val="00633B13"/>
    <w:rsid w:val="00633CDC"/>
    <w:rsid w:val="00633EA8"/>
    <w:rsid w:val="00633F0F"/>
    <w:rsid w:val="00634413"/>
    <w:rsid w:val="00635472"/>
    <w:rsid w:val="00636267"/>
    <w:rsid w:val="0063665D"/>
    <w:rsid w:val="0063667B"/>
    <w:rsid w:val="006366F5"/>
    <w:rsid w:val="00636772"/>
    <w:rsid w:val="00636797"/>
    <w:rsid w:val="00636980"/>
    <w:rsid w:val="00636EB2"/>
    <w:rsid w:val="0063713F"/>
    <w:rsid w:val="00637394"/>
    <w:rsid w:val="00637628"/>
    <w:rsid w:val="0063784A"/>
    <w:rsid w:val="00637BED"/>
    <w:rsid w:val="00637D60"/>
    <w:rsid w:val="00637E1A"/>
    <w:rsid w:val="0064004C"/>
    <w:rsid w:val="00640746"/>
    <w:rsid w:val="006407B4"/>
    <w:rsid w:val="00640BB1"/>
    <w:rsid w:val="00640D9B"/>
    <w:rsid w:val="00640F62"/>
    <w:rsid w:val="006412B8"/>
    <w:rsid w:val="006414F6"/>
    <w:rsid w:val="00641582"/>
    <w:rsid w:val="00641628"/>
    <w:rsid w:val="00641836"/>
    <w:rsid w:val="00641CDD"/>
    <w:rsid w:val="00641F5E"/>
    <w:rsid w:val="006428C4"/>
    <w:rsid w:val="006430EC"/>
    <w:rsid w:val="00643308"/>
    <w:rsid w:val="00643851"/>
    <w:rsid w:val="00643BC4"/>
    <w:rsid w:val="00643EF5"/>
    <w:rsid w:val="006443F4"/>
    <w:rsid w:val="0064454A"/>
    <w:rsid w:val="00644800"/>
    <w:rsid w:val="00644AD9"/>
    <w:rsid w:val="00644BFA"/>
    <w:rsid w:val="00644CF2"/>
    <w:rsid w:val="00645024"/>
    <w:rsid w:val="00645515"/>
    <w:rsid w:val="00645AE3"/>
    <w:rsid w:val="006462DF"/>
    <w:rsid w:val="006465DF"/>
    <w:rsid w:val="00646A7D"/>
    <w:rsid w:val="00647225"/>
    <w:rsid w:val="00647564"/>
    <w:rsid w:val="006477A8"/>
    <w:rsid w:val="0065002D"/>
    <w:rsid w:val="00650055"/>
    <w:rsid w:val="00650227"/>
    <w:rsid w:val="006505B6"/>
    <w:rsid w:val="00650781"/>
    <w:rsid w:val="006507AA"/>
    <w:rsid w:val="00650E93"/>
    <w:rsid w:val="00650F9E"/>
    <w:rsid w:val="0065154C"/>
    <w:rsid w:val="00651608"/>
    <w:rsid w:val="00651981"/>
    <w:rsid w:val="00651A14"/>
    <w:rsid w:val="00652A08"/>
    <w:rsid w:val="006532E0"/>
    <w:rsid w:val="006533F3"/>
    <w:rsid w:val="006538C8"/>
    <w:rsid w:val="006545BF"/>
    <w:rsid w:val="0065469D"/>
    <w:rsid w:val="0065470A"/>
    <w:rsid w:val="00654803"/>
    <w:rsid w:val="006552E4"/>
    <w:rsid w:val="0065539F"/>
    <w:rsid w:val="00655CA3"/>
    <w:rsid w:val="00655D72"/>
    <w:rsid w:val="0065608B"/>
    <w:rsid w:val="00656107"/>
    <w:rsid w:val="006568AA"/>
    <w:rsid w:val="0065692E"/>
    <w:rsid w:val="00656B81"/>
    <w:rsid w:val="0065708D"/>
    <w:rsid w:val="006573F5"/>
    <w:rsid w:val="00657552"/>
    <w:rsid w:val="006577E8"/>
    <w:rsid w:val="0065783E"/>
    <w:rsid w:val="00657C53"/>
    <w:rsid w:val="00657C56"/>
    <w:rsid w:val="00657E6C"/>
    <w:rsid w:val="00660202"/>
    <w:rsid w:val="006602A5"/>
    <w:rsid w:val="00660922"/>
    <w:rsid w:val="00660D7D"/>
    <w:rsid w:val="00660EA2"/>
    <w:rsid w:val="0066131C"/>
    <w:rsid w:val="00661525"/>
    <w:rsid w:val="0066164D"/>
    <w:rsid w:val="00661970"/>
    <w:rsid w:val="00661A9B"/>
    <w:rsid w:val="00661EA4"/>
    <w:rsid w:val="006620E8"/>
    <w:rsid w:val="00662531"/>
    <w:rsid w:val="00662DE5"/>
    <w:rsid w:val="0066391E"/>
    <w:rsid w:val="00664A56"/>
    <w:rsid w:val="00664A65"/>
    <w:rsid w:val="00664A9E"/>
    <w:rsid w:val="00664B3C"/>
    <w:rsid w:val="00664F1B"/>
    <w:rsid w:val="0066590D"/>
    <w:rsid w:val="00665BA4"/>
    <w:rsid w:val="00665CB6"/>
    <w:rsid w:val="006660BC"/>
    <w:rsid w:val="0066701F"/>
    <w:rsid w:val="006670B9"/>
    <w:rsid w:val="006670BD"/>
    <w:rsid w:val="0066739B"/>
    <w:rsid w:val="0066769A"/>
    <w:rsid w:val="00667C45"/>
    <w:rsid w:val="00667EC3"/>
    <w:rsid w:val="00670776"/>
    <w:rsid w:val="00671319"/>
    <w:rsid w:val="00671322"/>
    <w:rsid w:val="0067146F"/>
    <w:rsid w:val="006715B8"/>
    <w:rsid w:val="006717CC"/>
    <w:rsid w:val="0067183F"/>
    <w:rsid w:val="00671C0C"/>
    <w:rsid w:val="00671E5B"/>
    <w:rsid w:val="00671FC7"/>
    <w:rsid w:val="0067223E"/>
    <w:rsid w:val="0067283D"/>
    <w:rsid w:val="00672875"/>
    <w:rsid w:val="00673263"/>
    <w:rsid w:val="0067370D"/>
    <w:rsid w:val="00673993"/>
    <w:rsid w:val="00673F3A"/>
    <w:rsid w:val="0067436E"/>
    <w:rsid w:val="0067462F"/>
    <w:rsid w:val="006748EE"/>
    <w:rsid w:val="00674D54"/>
    <w:rsid w:val="006756E3"/>
    <w:rsid w:val="006756E5"/>
    <w:rsid w:val="006757E1"/>
    <w:rsid w:val="006758ED"/>
    <w:rsid w:val="0067598D"/>
    <w:rsid w:val="006759E1"/>
    <w:rsid w:val="00675C17"/>
    <w:rsid w:val="00675EF4"/>
    <w:rsid w:val="006760F7"/>
    <w:rsid w:val="006763A8"/>
    <w:rsid w:val="00676C3E"/>
    <w:rsid w:val="00676CA2"/>
    <w:rsid w:val="00676E81"/>
    <w:rsid w:val="0067719C"/>
    <w:rsid w:val="00677B8A"/>
    <w:rsid w:val="00677D1E"/>
    <w:rsid w:val="00677EA1"/>
    <w:rsid w:val="00677EBB"/>
    <w:rsid w:val="00680382"/>
    <w:rsid w:val="006805B6"/>
    <w:rsid w:val="00680768"/>
    <w:rsid w:val="00680BB0"/>
    <w:rsid w:val="006814A5"/>
    <w:rsid w:val="00681866"/>
    <w:rsid w:val="00681DCF"/>
    <w:rsid w:val="0068203E"/>
    <w:rsid w:val="006820D0"/>
    <w:rsid w:val="0068230C"/>
    <w:rsid w:val="00682511"/>
    <w:rsid w:val="006827BC"/>
    <w:rsid w:val="00682D05"/>
    <w:rsid w:val="00682F2B"/>
    <w:rsid w:val="00683006"/>
    <w:rsid w:val="00683040"/>
    <w:rsid w:val="00683161"/>
    <w:rsid w:val="00683351"/>
    <w:rsid w:val="006835B0"/>
    <w:rsid w:val="00683B7A"/>
    <w:rsid w:val="00684009"/>
    <w:rsid w:val="006843D0"/>
    <w:rsid w:val="00684E66"/>
    <w:rsid w:val="00685198"/>
    <w:rsid w:val="00685459"/>
    <w:rsid w:val="006855FD"/>
    <w:rsid w:val="00685740"/>
    <w:rsid w:val="0068588C"/>
    <w:rsid w:val="0068599F"/>
    <w:rsid w:val="00685B9C"/>
    <w:rsid w:val="00686C84"/>
    <w:rsid w:val="0068724F"/>
    <w:rsid w:val="006874AF"/>
    <w:rsid w:val="006875AA"/>
    <w:rsid w:val="00687741"/>
    <w:rsid w:val="00687943"/>
    <w:rsid w:val="006879B7"/>
    <w:rsid w:val="00687BA7"/>
    <w:rsid w:val="00687D1F"/>
    <w:rsid w:val="00687D49"/>
    <w:rsid w:val="00687FDB"/>
    <w:rsid w:val="00690D5E"/>
    <w:rsid w:val="0069153E"/>
    <w:rsid w:val="00692105"/>
    <w:rsid w:val="00692802"/>
    <w:rsid w:val="0069325F"/>
    <w:rsid w:val="00693EBF"/>
    <w:rsid w:val="006941F6"/>
    <w:rsid w:val="006942F8"/>
    <w:rsid w:val="00694361"/>
    <w:rsid w:val="006943C2"/>
    <w:rsid w:val="00694509"/>
    <w:rsid w:val="0069486F"/>
    <w:rsid w:val="00694D51"/>
    <w:rsid w:val="00694F01"/>
    <w:rsid w:val="00694F16"/>
    <w:rsid w:val="00695785"/>
    <w:rsid w:val="00695CA5"/>
    <w:rsid w:val="006960AC"/>
    <w:rsid w:val="00696448"/>
    <w:rsid w:val="00696FDE"/>
    <w:rsid w:val="00697247"/>
    <w:rsid w:val="0069746B"/>
    <w:rsid w:val="0069777D"/>
    <w:rsid w:val="00697817"/>
    <w:rsid w:val="00697F2C"/>
    <w:rsid w:val="00697F3E"/>
    <w:rsid w:val="00697FD1"/>
    <w:rsid w:val="006A008B"/>
    <w:rsid w:val="006A0199"/>
    <w:rsid w:val="006A0280"/>
    <w:rsid w:val="006A046B"/>
    <w:rsid w:val="006A0A11"/>
    <w:rsid w:val="006A0A36"/>
    <w:rsid w:val="006A0BD9"/>
    <w:rsid w:val="006A0C99"/>
    <w:rsid w:val="006A0D0A"/>
    <w:rsid w:val="006A1232"/>
    <w:rsid w:val="006A1530"/>
    <w:rsid w:val="006A1708"/>
    <w:rsid w:val="006A18DA"/>
    <w:rsid w:val="006A1A95"/>
    <w:rsid w:val="006A1B41"/>
    <w:rsid w:val="006A1BE0"/>
    <w:rsid w:val="006A21E9"/>
    <w:rsid w:val="006A2489"/>
    <w:rsid w:val="006A2B16"/>
    <w:rsid w:val="006A2E15"/>
    <w:rsid w:val="006A35B9"/>
    <w:rsid w:val="006A37DF"/>
    <w:rsid w:val="006A3930"/>
    <w:rsid w:val="006A3935"/>
    <w:rsid w:val="006A426B"/>
    <w:rsid w:val="006A44A2"/>
    <w:rsid w:val="006A4641"/>
    <w:rsid w:val="006A47A6"/>
    <w:rsid w:val="006A59A9"/>
    <w:rsid w:val="006A5BC3"/>
    <w:rsid w:val="006A5E65"/>
    <w:rsid w:val="006A6552"/>
    <w:rsid w:val="006A6D24"/>
    <w:rsid w:val="006A702C"/>
    <w:rsid w:val="006A71B0"/>
    <w:rsid w:val="006A73B8"/>
    <w:rsid w:val="006A7DD6"/>
    <w:rsid w:val="006A7F5B"/>
    <w:rsid w:val="006B004C"/>
    <w:rsid w:val="006B02A4"/>
    <w:rsid w:val="006B041B"/>
    <w:rsid w:val="006B0BC9"/>
    <w:rsid w:val="006B0C8A"/>
    <w:rsid w:val="006B1874"/>
    <w:rsid w:val="006B1EDC"/>
    <w:rsid w:val="006B2178"/>
    <w:rsid w:val="006B2B49"/>
    <w:rsid w:val="006B2B56"/>
    <w:rsid w:val="006B2BF4"/>
    <w:rsid w:val="006B3BF6"/>
    <w:rsid w:val="006B41A7"/>
    <w:rsid w:val="006B433A"/>
    <w:rsid w:val="006B4438"/>
    <w:rsid w:val="006B450C"/>
    <w:rsid w:val="006B4A2D"/>
    <w:rsid w:val="006B5045"/>
    <w:rsid w:val="006B55D1"/>
    <w:rsid w:val="006B5837"/>
    <w:rsid w:val="006B58E2"/>
    <w:rsid w:val="006B60AD"/>
    <w:rsid w:val="006B65E5"/>
    <w:rsid w:val="006B7076"/>
    <w:rsid w:val="006B7B9D"/>
    <w:rsid w:val="006B7BC3"/>
    <w:rsid w:val="006B7E2A"/>
    <w:rsid w:val="006C00C4"/>
    <w:rsid w:val="006C00DC"/>
    <w:rsid w:val="006C034C"/>
    <w:rsid w:val="006C0980"/>
    <w:rsid w:val="006C0D6C"/>
    <w:rsid w:val="006C0E0B"/>
    <w:rsid w:val="006C0F14"/>
    <w:rsid w:val="006C115B"/>
    <w:rsid w:val="006C15A5"/>
    <w:rsid w:val="006C19B6"/>
    <w:rsid w:val="006C1D51"/>
    <w:rsid w:val="006C2166"/>
    <w:rsid w:val="006C222D"/>
    <w:rsid w:val="006C23DF"/>
    <w:rsid w:val="006C2441"/>
    <w:rsid w:val="006C2FD2"/>
    <w:rsid w:val="006C39B9"/>
    <w:rsid w:val="006C3AF1"/>
    <w:rsid w:val="006C3CE9"/>
    <w:rsid w:val="006C3D3F"/>
    <w:rsid w:val="006C3E1F"/>
    <w:rsid w:val="006C408F"/>
    <w:rsid w:val="006C4097"/>
    <w:rsid w:val="006C4319"/>
    <w:rsid w:val="006C43D6"/>
    <w:rsid w:val="006C43FB"/>
    <w:rsid w:val="006C44C2"/>
    <w:rsid w:val="006C457E"/>
    <w:rsid w:val="006C4772"/>
    <w:rsid w:val="006C4775"/>
    <w:rsid w:val="006C4A90"/>
    <w:rsid w:val="006C4B2D"/>
    <w:rsid w:val="006C4CF7"/>
    <w:rsid w:val="006C4D6D"/>
    <w:rsid w:val="006C4EFF"/>
    <w:rsid w:val="006C522F"/>
    <w:rsid w:val="006C5276"/>
    <w:rsid w:val="006C556C"/>
    <w:rsid w:val="006C5BE8"/>
    <w:rsid w:val="006C5E2E"/>
    <w:rsid w:val="006C5F94"/>
    <w:rsid w:val="006C645F"/>
    <w:rsid w:val="006C6516"/>
    <w:rsid w:val="006C6F62"/>
    <w:rsid w:val="006C7124"/>
    <w:rsid w:val="006C7262"/>
    <w:rsid w:val="006C796B"/>
    <w:rsid w:val="006C7AF9"/>
    <w:rsid w:val="006C7C09"/>
    <w:rsid w:val="006C7C0A"/>
    <w:rsid w:val="006C7C80"/>
    <w:rsid w:val="006D01B4"/>
    <w:rsid w:val="006D0351"/>
    <w:rsid w:val="006D0FD8"/>
    <w:rsid w:val="006D1B68"/>
    <w:rsid w:val="006D1D6D"/>
    <w:rsid w:val="006D23CD"/>
    <w:rsid w:val="006D28DD"/>
    <w:rsid w:val="006D30D4"/>
    <w:rsid w:val="006D3636"/>
    <w:rsid w:val="006D3707"/>
    <w:rsid w:val="006D3C65"/>
    <w:rsid w:val="006D4658"/>
    <w:rsid w:val="006D4FEE"/>
    <w:rsid w:val="006D5003"/>
    <w:rsid w:val="006D5178"/>
    <w:rsid w:val="006D5495"/>
    <w:rsid w:val="006D57B9"/>
    <w:rsid w:val="006D5E18"/>
    <w:rsid w:val="006D6A72"/>
    <w:rsid w:val="006D714F"/>
    <w:rsid w:val="006D758A"/>
    <w:rsid w:val="006D7937"/>
    <w:rsid w:val="006D7B9D"/>
    <w:rsid w:val="006D7D60"/>
    <w:rsid w:val="006E0452"/>
    <w:rsid w:val="006E0C20"/>
    <w:rsid w:val="006E0EFB"/>
    <w:rsid w:val="006E0F85"/>
    <w:rsid w:val="006E1F06"/>
    <w:rsid w:val="006E21E4"/>
    <w:rsid w:val="006E223B"/>
    <w:rsid w:val="006E2772"/>
    <w:rsid w:val="006E2D7F"/>
    <w:rsid w:val="006E3701"/>
    <w:rsid w:val="006E3826"/>
    <w:rsid w:val="006E3A19"/>
    <w:rsid w:val="006E42BD"/>
    <w:rsid w:val="006E45CA"/>
    <w:rsid w:val="006E499E"/>
    <w:rsid w:val="006E4ACB"/>
    <w:rsid w:val="006E4F54"/>
    <w:rsid w:val="006E52BC"/>
    <w:rsid w:val="006E684B"/>
    <w:rsid w:val="006E6892"/>
    <w:rsid w:val="006E6919"/>
    <w:rsid w:val="006E76AC"/>
    <w:rsid w:val="006E780D"/>
    <w:rsid w:val="006E7F46"/>
    <w:rsid w:val="006E7FAD"/>
    <w:rsid w:val="006F036C"/>
    <w:rsid w:val="006F04D8"/>
    <w:rsid w:val="006F0738"/>
    <w:rsid w:val="006F09D0"/>
    <w:rsid w:val="006F0A4C"/>
    <w:rsid w:val="006F0B06"/>
    <w:rsid w:val="006F0D2D"/>
    <w:rsid w:val="006F0D5D"/>
    <w:rsid w:val="006F1010"/>
    <w:rsid w:val="006F10E7"/>
    <w:rsid w:val="006F127F"/>
    <w:rsid w:val="006F1417"/>
    <w:rsid w:val="006F1A37"/>
    <w:rsid w:val="006F1D21"/>
    <w:rsid w:val="006F1F83"/>
    <w:rsid w:val="006F2016"/>
    <w:rsid w:val="006F26B4"/>
    <w:rsid w:val="006F2A26"/>
    <w:rsid w:val="006F2B9B"/>
    <w:rsid w:val="006F39B5"/>
    <w:rsid w:val="006F3AD8"/>
    <w:rsid w:val="006F3DB8"/>
    <w:rsid w:val="006F4190"/>
    <w:rsid w:val="006F4C55"/>
    <w:rsid w:val="006F5243"/>
    <w:rsid w:val="006F533E"/>
    <w:rsid w:val="006F576A"/>
    <w:rsid w:val="006F58ED"/>
    <w:rsid w:val="006F5B52"/>
    <w:rsid w:val="006F5E4B"/>
    <w:rsid w:val="006F5FF7"/>
    <w:rsid w:val="006F73D1"/>
    <w:rsid w:val="006F79E6"/>
    <w:rsid w:val="006F7A67"/>
    <w:rsid w:val="006F7AFC"/>
    <w:rsid w:val="006F7FC3"/>
    <w:rsid w:val="006F7FFD"/>
    <w:rsid w:val="0070021E"/>
    <w:rsid w:val="00700254"/>
    <w:rsid w:val="007003F7"/>
    <w:rsid w:val="00700653"/>
    <w:rsid w:val="00700704"/>
    <w:rsid w:val="00700D2E"/>
    <w:rsid w:val="00700D9A"/>
    <w:rsid w:val="007013F3"/>
    <w:rsid w:val="00701437"/>
    <w:rsid w:val="00701A15"/>
    <w:rsid w:val="00701B1F"/>
    <w:rsid w:val="00701D68"/>
    <w:rsid w:val="00701DEA"/>
    <w:rsid w:val="00702304"/>
    <w:rsid w:val="007028E8"/>
    <w:rsid w:val="007029E9"/>
    <w:rsid w:val="00702C73"/>
    <w:rsid w:val="007036B7"/>
    <w:rsid w:val="00703C38"/>
    <w:rsid w:val="0070454A"/>
    <w:rsid w:val="00704B1B"/>
    <w:rsid w:val="00704CBC"/>
    <w:rsid w:val="00704D32"/>
    <w:rsid w:val="00704D63"/>
    <w:rsid w:val="0070521F"/>
    <w:rsid w:val="0070526E"/>
    <w:rsid w:val="00705AA7"/>
    <w:rsid w:val="00705CF2"/>
    <w:rsid w:val="00706089"/>
    <w:rsid w:val="00706246"/>
    <w:rsid w:val="007063A2"/>
    <w:rsid w:val="0070659A"/>
    <w:rsid w:val="007066B4"/>
    <w:rsid w:val="0070684E"/>
    <w:rsid w:val="00706B78"/>
    <w:rsid w:val="00706C2E"/>
    <w:rsid w:val="00706D02"/>
    <w:rsid w:val="00707057"/>
    <w:rsid w:val="007071FB"/>
    <w:rsid w:val="007072EA"/>
    <w:rsid w:val="00707D8C"/>
    <w:rsid w:val="007103F8"/>
    <w:rsid w:val="0071042D"/>
    <w:rsid w:val="00710671"/>
    <w:rsid w:val="00710748"/>
    <w:rsid w:val="007109F7"/>
    <w:rsid w:val="00710A46"/>
    <w:rsid w:val="00710B32"/>
    <w:rsid w:val="00710BCD"/>
    <w:rsid w:val="00710E1C"/>
    <w:rsid w:val="007110A7"/>
    <w:rsid w:val="0071134E"/>
    <w:rsid w:val="00711416"/>
    <w:rsid w:val="00711421"/>
    <w:rsid w:val="007115B6"/>
    <w:rsid w:val="007116BD"/>
    <w:rsid w:val="007117A7"/>
    <w:rsid w:val="00712161"/>
    <w:rsid w:val="00712572"/>
    <w:rsid w:val="00712728"/>
    <w:rsid w:val="007129A8"/>
    <w:rsid w:val="00712B7D"/>
    <w:rsid w:val="00712BB0"/>
    <w:rsid w:val="00712C7E"/>
    <w:rsid w:val="00712D66"/>
    <w:rsid w:val="00712DFB"/>
    <w:rsid w:val="00712ED6"/>
    <w:rsid w:val="00713014"/>
    <w:rsid w:val="007131E2"/>
    <w:rsid w:val="0071335A"/>
    <w:rsid w:val="00713D8E"/>
    <w:rsid w:val="00714878"/>
    <w:rsid w:val="00714E28"/>
    <w:rsid w:val="00715044"/>
    <w:rsid w:val="0071531E"/>
    <w:rsid w:val="007156A6"/>
    <w:rsid w:val="00715708"/>
    <w:rsid w:val="00715B7F"/>
    <w:rsid w:val="00715BA1"/>
    <w:rsid w:val="00715C9B"/>
    <w:rsid w:val="00715D6A"/>
    <w:rsid w:val="00715EE3"/>
    <w:rsid w:val="007167B0"/>
    <w:rsid w:val="00716C49"/>
    <w:rsid w:val="00717255"/>
    <w:rsid w:val="00717482"/>
    <w:rsid w:val="00717B30"/>
    <w:rsid w:val="00717B3C"/>
    <w:rsid w:val="00717C92"/>
    <w:rsid w:val="00717D01"/>
    <w:rsid w:val="00717D7D"/>
    <w:rsid w:val="0072043C"/>
    <w:rsid w:val="00720D89"/>
    <w:rsid w:val="0072135F"/>
    <w:rsid w:val="00721425"/>
    <w:rsid w:val="00721603"/>
    <w:rsid w:val="0072173E"/>
    <w:rsid w:val="00721779"/>
    <w:rsid w:val="00721BCC"/>
    <w:rsid w:val="00721D24"/>
    <w:rsid w:val="00722088"/>
    <w:rsid w:val="007225A0"/>
    <w:rsid w:val="00722B5C"/>
    <w:rsid w:val="00722E4B"/>
    <w:rsid w:val="00723287"/>
    <w:rsid w:val="00723592"/>
    <w:rsid w:val="007239D6"/>
    <w:rsid w:val="00723B8C"/>
    <w:rsid w:val="00723D71"/>
    <w:rsid w:val="00723E55"/>
    <w:rsid w:val="00724284"/>
    <w:rsid w:val="0072449F"/>
    <w:rsid w:val="00724540"/>
    <w:rsid w:val="00724AD4"/>
    <w:rsid w:val="00724C7A"/>
    <w:rsid w:val="007256B0"/>
    <w:rsid w:val="00725907"/>
    <w:rsid w:val="00725BE1"/>
    <w:rsid w:val="007263D1"/>
    <w:rsid w:val="00726E94"/>
    <w:rsid w:val="00726EE5"/>
    <w:rsid w:val="007272BA"/>
    <w:rsid w:val="00727660"/>
    <w:rsid w:val="007277FA"/>
    <w:rsid w:val="00727A58"/>
    <w:rsid w:val="00727B37"/>
    <w:rsid w:val="00727B58"/>
    <w:rsid w:val="00727EBF"/>
    <w:rsid w:val="007306BB"/>
    <w:rsid w:val="00730FE0"/>
    <w:rsid w:val="0073175A"/>
    <w:rsid w:val="00731BD4"/>
    <w:rsid w:val="00731F5D"/>
    <w:rsid w:val="0073211F"/>
    <w:rsid w:val="00732C9B"/>
    <w:rsid w:val="0073370D"/>
    <w:rsid w:val="007337BD"/>
    <w:rsid w:val="00733E30"/>
    <w:rsid w:val="0073472E"/>
    <w:rsid w:val="00734A1C"/>
    <w:rsid w:val="00734C09"/>
    <w:rsid w:val="00734E59"/>
    <w:rsid w:val="00734F08"/>
    <w:rsid w:val="00734F6E"/>
    <w:rsid w:val="00735D89"/>
    <w:rsid w:val="00736016"/>
    <w:rsid w:val="007362E4"/>
    <w:rsid w:val="00736310"/>
    <w:rsid w:val="0073685A"/>
    <w:rsid w:val="00736B54"/>
    <w:rsid w:val="007370D5"/>
    <w:rsid w:val="007373B7"/>
    <w:rsid w:val="0073742D"/>
    <w:rsid w:val="007375F1"/>
    <w:rsid w:val="00737754"/>
    <w:rsid w:val="007404D5"/>
    <w:rsid w:val="007411C5"/>
    <w:rsid w:val="007412F0"/>
    <w:rsid w:val="0074139F"/>
    <w:rsid w:val="00741801"/>
    <w:rsid w:val="0074182A"/>
    <w:rsid w:val="0074185B"/>
    <w:rsid w:val="007418CE"/>
    <w:rsid w:val="00741A4B"/>
    <w:rsid w:val="00741BAF"/>
    <w:rsid w:val="00741BFD"/>
    <w:rsid w:val="00741C80"/>
    <w:rsid w:val="00741D46"/>
    <w:rsid w:val="007424C7"/>
    <w:rsid w:val="00742573"/>
    <w:rsid w:val="00742827"/>
    <w:rsid w:val="00742B9B"/>
    <w:rsid w:val="00742C10"/>
    <w:rsid w:val="00742D85"/>
    <w:rsid w:val="00742EA7"/>
    <w:rsid w:val="00743136"/>
    <w:rsid w:val="0074337C"/>
    <w:rsid w:val="007434A8"/>
    <w:rsid w:val="0074478B"/>
    <w:rsid w:val="0074496C"/>
    <w:rsid w:val="00744B5B"/>
    <w:rsid w:val="00744F1A"/>
    <w:rsid w:val="00744F5F"/>
    <w:rsid w:val="00744F9D"/>
    <w:rsid w:val="0074521A"/>
    <w:rsid w:val="007459D1"/>
    <w:rsid w:val="00746033"/>
    <w:rsid w:val="00746599"/>
    <w:rsid w:val="0074659D"/>
    <w:rsid w:val="00746C24"/>
    <w:rsid w:val="00746F85"/>
    <w:rsid w:val="007471E8"/>
    <w:rsid w:val="007472A4"/>
    <w:rsid w:val="007477C0"/>
    <w:rsid w:val="00747D08"/>
    <w:rsid w:val="00751901"/>
    <w:rsid w:val="00751A6B"/>
    <w:rsid w:val="00751E7E"/>
    <w:rsid w:val="00752001"/>
    <w:rsid w:val="00752428"/>
    <w:rsid w:val="007527FD"/>
    <w:rsid w:val="0075280B"/>
    <w:rsid w:val="00752CBD"/>
    <w:rsid w:val="00752E52"/>
    <w:rsid w:val="00752FAF"/>
    <w:rsid w:val="0075322D"/>
    <w:rsid w:val="007532A2"/>
    <w:rsid w:val="00753692"/>
    <w:rsid w:val="00753DCE"/>
    <w:rsid w:val="007540F2"/>
    <w:rsid w:val="0075416C"/>
    <w:rsid w:val="00754438"/>
    <w:rsid w:val="00754926"/>
    <w:rsid w:val="00754C7F"/>
    <w:rsid w:val="00754CF2"/>
    <w:rsid w:val="00754E4A"/>
    <w:rsid w:val="007551B5"/>
    <w:rsid w:val="00755246"/>
    <w:rsid w:val="00755F14"/>
    <w:rsid w:val="00755F34"/>
    <w:rsid w:val="00755FFB"/>
    <w:rsid w:val="00756101"/>
    <w:rsid w:val="00756235"/>
    <w:rsid w:val="00756CB1"/>
    <w:rsid w:val="0075706A"/>
    <w:rsid w:val="007570A5"/>
    <w:rsid w:val="00757223"/>
    <w:rsid w:val="00757289"/>
    <w:rsid w:val="00757947"/>
    <w:rsid w:val="0076008E"/>
    <w:rsid w:val="007607DA"/>
    <w:rsid w:val="00760BFF"/>
    <w:rsid w:val="00760DF7"/>
    <w:rsid w:val="00761448"/>
    <w:rsid w:val="007614E5"/>
    <w:rsid w:val="007616AE"/>
    <w:rsid w:val="00761DD3"/>
    <w:rsid w:val="00761E07"/>
    <w:rsid w:val="007620D4"/>
    <w:rsid w:val="00762190"/>
    <w:rsid w:val="00762353"/>
    <w:rsid w:val="00762404"/>
    <w:rsid w:val="00762607"/>
    <w:rsid w:val="00762635"/>
    <w:rsid w:val="007628FB"/>
    <w:rsid w:val="00762991"/>
    <w:rsid w:val="00762A59"/>
    <w:rsid w:val="00762C5D"/>
    <w:rsid w:val="00762E06"/>
    <w:rsid w:val="00762E36"/>
    <w:rsid w:val="00763089"/>
    <w:rsid w:val="007637FF"/>
    <w:rsid w:val="0076388C"/>
    <w:rsid w:val="00763B18"/>
    <w:rsid w:val="00763EF1"/>
    <w:rsid w:val="007644C8"/>
    <w:rsid w:val="0076499A"/>
    <w:rsid w:val="007649F1"/>
    <w:rsid w:val="00764B32"/>
    <w:rsid w:val="00764E0F"/>
    <w:rsid w:val="0076543D"/>
    <w:rsid w:val="0076545A"/>
    <w:rsid w:val="007655F4"/>
    <w:rsid w:val="007658AC"/>
    <w:rsid w:val="00765A16"/>
    <w:rsid w:val="0076646C"/>
    <w:rsid w:val="0076653B"/>
    <w:rsid w:val="007665AC"/>
    <w:rsid w:val="00766AE4"/>
    <w:rsid w:val="00767020"/>
    <w:rsid w:val="0076717E"/>
    <w:rsid w:val="007677B0"/>
    <w:rsid w:val="0076796D"/>
    <w:rsid w:val="0077028A"/>
    <w:rsid w:val="007703C7"/>
    <w:rsid w:val="007707CE"/>
    <w:rsid w:val="00770A54"/>
    <w:rsid w:val="00770D68"/>
    <w:rsid w:val="00770DD3"/>
    <w:rsid w:val="00771350"/>
    <w:rsid w:val="007714CC"/>
    <w:rsid w:val="00771F09"/>
    <w:rsid w:val="00771F69"/>
    <w:rsid w:val="007722B6"/>
    <w:rsid w:val="00773010"/>
    <w:rsid w:val="007731A7"/>
    <w:rsid w:val="0077339B"/>
    <w:rsid w:val="007735C6"/>
    <w:rsid w:val="00773FB9"/>
    <w:rsid w:val="00773FEF"/>
    <w:rsid w:val="0077427C"/>
    <w:rsid w:val="007743D0"/>
    <w:rsid w:val="007744A5"/>
    <w:rsid w:val="00774542"/>
    <w:rsid w:val="007747F9"/>
    <w:rsid w:val="007748A0"/>
    <w:rsid w:val="007748B5"/>
    <w:rsid w:val="00774CE1"/>
    <w:rsid w:val="00774EAC"/>
    <w:rsid w:val="007750B8"/>
    <w:rsid w:val="007757C4"/>
    <w:rsid w:val="00775B06"/>
    <w:rsid w:val="00775B92"/>
    <w:rsid w:val="0077672A"/>
    <w:rsid w:val="007767D5"/>
    <w:rsid w:val="007769B4"/>
    <w:rsid w:val="00776A7C"/>
    <w:rsid w:val="0077702A"/>
    <w:rsid w:val="00777169"/>
    <w:rsid w:val="00777636"/>
    <w:rsid w:val="00777F52"/>
    <w:rsid w:val="00780131"/>
    <w:rsid w:val="00780160"/>
    <w:rsid w:val="007801DD"/>
    <w:rsid w:val="00780217"/>
    <w:rsid w:val="007805FB"/>
    <w:rsid w:val="00780C82"/>
    <w:rsid w:val="00781254"/>
    <w:rsid w:val="007820CE"/>
    <w:rsid w:val="00782247"/>
    <w:rsid w:val="007824C6"/>
    <w:rsid w:val="00782F87"/>
    <w:rsid w:val="0078321C"/>
    <w:rsid w:val="00783BDC"/>
    <w:rsid w:val="00783DBF"/>
    <w:rsid w:val="00784417"/>
    <w:rsid w:val="0078470D"/>
    <w:rsid w:val="007847CB"/>
    <w:rsid w:val="00784ADF"/>
    <w:rsid w:val="0078567A"/>
    <w:rsid w:val="00785922"/>
    <w:rsid w:val="00785E33"/>
    <w:rsid w:val="00786023"/>
    <w:rsid w:val="00786CEE"/>
    <w:rsid w:val="00786EAD"/>
    <w:rsid w:val="0078729B"/>
    <w:rsid w:val="00787D1D"/>
    <w:rsid w:val="007903DF"/>
    <w:rsid w:val="007907E6"/>
    <w:rsid w:val="00790D09"/>
    <w:rsid w:val="00790D73"/>
    <w:rsid w:val="00791275"/>
    <w:rsid w:val="007913DD"/>
    <w:rsid w:val="0079161D"/>
    <w:rsid w:val="00791D43"/>
    <w:rsid w:val="00792199"/>
    <w:rsid w:val="0079235B"/>
    <w:rsid w:val="0079285F"/>
    <w:rsid w:val="00792D5C"/>
    <w:rsid w:val="00792F0C"/>
    <w:rsid w:val="007933DF"/>
    <w:rsid w:val="007936C6"/>
    <w:rsid w:val="00793A1C"/>
    <w:rsid w:val="00793DF1"/>
    <w:rsid w:val="00793E7E"/>
    <w:rsid w:val="00794503"/>
    <w:rsid w:val="00794701"/>
    <w:rsid w:val="0079573C"/>
    <w:rsid w:val="00795AF8"/>
    <w:rsid w:val="0079627F"/>
    <w:rsid w:val="0079635A"/>
    <w:rsid w:val="007963BC"/>
    <w:rsid w:val="007966BD"/>
    <w:rsid w:val="00796B78"/>
    <w:rsid w:val="00797008"/>
    <w:rsid w:val="00797160"/>
    <w:rsid w:val="00797371"/>
    <w:rsid w:val="00797938"/>
    <w:rsid w:val="00797AE1"/>
    <w:rsid w:val="00797F7A"/>
    <w:rsid w:val="007A035B"/>
    <w:rsid w:val="007A05C7"/>
    <w:rsid w:val="007A0A82"/>
    <w:rsid w:val="007A0AF0"/>
    <w:rsid w:val="007A0B45"/>
    <w:rsid w:val="007A14D5"/>
    <w:rsid w:val="007A17CB"/>
    <w:rsid w:val="007A1992"/>
    <w:rsid w:val="007A1B4E"/>
    <w:rsid w:val="007A207E"/>
    <w:rsid w:val="007A20CF"/>
    <w:rsid w:val="007A2356"/>
    <w:rsid w:val="007A259C"/>
    <w:rsid w:val="007A2DAC"/>
    <w:rsid w:val="007A31FE"/>
    <w:rsid w:val="007A3337"/>
    <w:rsid w:val="007A34C6"/>
    <w:rsid w:val="007A3777"/>
    <w:rsid w:val="007A3AFE"/>
    <w:rsid w:val="007A3C56"/>
    <w:rsid w:val="007A413E"/>
    <w:rsid w:val="007A42B6"/>
    <w:rsid w:val="007A47FF"/>
    <w:rsid w:val="007A49F8"/>
    <w:rsid w:val="007A4A4A"/>
    <w:rsid w:val="007A4E30"/>
    <w:rsid w:val="007A4E6E"/>
    <w:rsid w:val="007A59E8"/>
    <w:rsid w:val="007A5CCE"/>
    <w:rsid w:val="007A5D51"/>
    <w:rsid w:val="007A5DF6"/>
    <w:rsid w:val="007A60FE"/>
    <w:rsid w:val="007A6AE5"/>
    <w:rsid w:val="007A7256"/>
    <w:rsid w:val="007A7357"/>
    <w:rsid w:val="007A75EC"/>
    <w:rsid w:val="007A7810"/>
    <w:rsid w:val="007A7BA9"/>
    <w:rsid w:val="007B02A1"/>
    <w:rsid w:val="007B0408"/>
    <w:rsid w:val="007B0412"/>
    <w:rsid w:val="007B122F"/>
    <w:rsid w:val="007B151C"/>
    <w:rsid w:val="007B1674"/>
    <w:rsid w:val="007B24A2"/>
    <w:rsid w:val="007B25EC"/>
    <w:rsid w:val="007B2604"/>
    <w:rsid w:val="007B268A"/>
    <w:rsid w:val="007B27A4"/>
    <w:rsid w:val="007B2964"/>
    <w:rsid w:val="007B2D68"/>
    <w:rsid w:val="007B2DA4"/>
    <w:rsid w:val="007B306E"/>
    <w:rsid w:val="007B3080"/>
    <w:rsid w:val="007B3A17"/>
    <w:rsid w:val="007B3D1E"/>
    <w:rsid w:val="007B4023"/>
    <w:rsid w:val="007B4325"/>
    <w:rsid w:val="007B44FD"/>
    <w:rsid w:val="007B4727"/>
    <w:rsid w:val="007B48B1"/>
    <w:rsid w:val="007B4A75"/>
    <w:rsid w:val="007B4D02"/>
    <w:rsid w:val="007B4D18"/>
    <w:rsid w:val="007B50F4"/>
    <w:rsid w:val="007B54B2"/>
    <w:rsid w:val="007B56AE"/>
    <w:rsid w:val="007B672D"/>
    <w:rsid w:val="007B6907"/>
    <w:rsid w:val="007B6E07"/>
    <w:rsid w:val="007B7291"/>
    <w:rsid w:val="007B7A62"/>
    <w:rsid w:val="007B7CB3"/>
    <w:rsid w:val="007C0123"/>
    <w:rsid w:val="007C05E6"/>
    <w:rsid w:val="007C061F"/>
    <w:rsid w:val="007C073A"/>
    <w:rsid w:val="007C097F"/>
    <w:rsid w:val="007C0B8D"/>
    <w:rsid w:val="007C0D89"/>
    <w:rsid w:val="007C1240"/>
    <w:rsid w:val="007C1449"/>
    <w:rsid w:val="007C1634"/>
    <w:rsid w:val="007C1763"/>
    <w:rsid w:val="007C1AAF"/>
    <w:rsid w:val="007C1B23"/>
    <w:rsid w:val="007C1B48"/>
    <w:rsid w:val="007C1B4B"/>
    <w:rsid w:val="007C29B3"/>
    <w:rsid w:val="007C29C2"/>
    <w:rsid w:val="007C2DD8"/>
    <w:rsid w:val="007C2E0A"/>
    <w:rsid w:val="007C2EEA"/>
    <w:rsid w:val="007C30B9"/>
    <w:rsid w:val="007C3279"/>
    <w:rsid w:val="007C3626"/>
    <w:rsid w:val="007C41A8"/>
    <w:rsid w:val="007C433D"/>
    <w:rsid w:val="007C4B01"/>
    <w:rsid w:val="007C4D6E"/>
    <w:rsid w:val="007C4FFE"/>
    <w:rsid w:val="007C5043"/>
    <w:rsid w:val="007C5213"/>
    <w:rsid w:val="007C55EB"/>
    <w:rsid w:val="007C5E7E"/>
    <w:rsid w:val="007C5FF9"/>
    <w:rsid w:val="007C6081"/>
    <w:rsid w:val="007C60A2"/>
    <w:rsid w:val="007C66C0"/>
    <w:rsid w:val="007C67F9"/>
    <w:rsid w:val="007C6D20"/>
    <w:rsid w:val="007C73C5"/>
    <w:rsid w:val="007C770B"/>
    <w:rsid w:val="007C7A40"/>
    <w:rsid w:val="007C7B5F"/>
    <w:rsid w:val="007C7E2E"/>
    <w:rsid w:val="007C7FBA"/>
    <w:rsid w:val="007D03AE"/>
    <w:rsid w:val="007D0B10"/>
    <w:rsid w:val="007D147D"/>
    <w:rsid w:val="007D168C"/>
    <w:rsid w:val="007D1793"/>
    <w:rsid w:val="007D1CBA"/>
    <w:rsid w:val="007D2102"/>
    <w:rsid w:val="007D227C"/>
    <w:rsid w:val="007D2AB6"/>
    <w:rsid w:val="007D2AE1"/>
    <w:rsid w:val="007D3266"/>
    <w:rsid w:val="007D3690"/>
    <w:rsid w:val="007D3A7F"/>
    <w:rsid w:val="007D3D13"/>
    <w:rsid w:val="007D427A"/>
    <w:rsid w:val="007D4426"/>
    <w:rsid w:val="007D49B1"/>
    <w:rsid w:val="007D4B07"/>
    <w:rsid w:val="007D4B7B"/>
    <w:rsid w:val="007D4BF1"/>
    <w:rsid w:val="007D50B8"/>
    <w:rsid w:val="007D5213"/>
    <w:rsid w:val="007D53CB"/>
    <w:rsid w:val="007D5653"/>
    <w:rsid w:val="007D56DC"/>
    <w:rsid w:val="007D5772"/>
    <w:rsid w:val="007D5AEF"/>
    <w:rsid w:val="007D5D7F"/>
    <w:rsid w:val="007D6012"/>
    <w:rsid w:val="007D61DC"/>
    <w:rsid w:val="007D672C"/>
    <w:rsid w:val="007D697D"/>
    <w:rsid w:val="007D69D3"/>
    <w:rsid w:val="007D6E4D"/>
    <w:rsid w:val="007E0132"/>
    <w:rsid w:val="007E021D"/>
    <w:rsid w:val="007E0732"/>
    <w:rsid w:val="007E0C1D"/>
    <w:rsid w:val="007E0C40"/>
    <w:rsid w:val="007E0CF4"/>
    <w:rsid w:val="007E0D0E"/>
    <w:rsid w:val="007E0D35"/>
    <w:rsid w:val="007E0DEC"/>
    <w:rsid w:val="007E1620"/>
    <w:rsid w:val="007E16A2"/>
    <w:rsid w:val="007E19C1"/>
    <w:rsid w:val="007E1E22"/>
    <w:rsid w:val="007E2395"/>
    <w:rsid w:val="007E29ED"/>
    <w:rsid w:val="007E31CB"/>
    <w:rsid w:val="007E3288"/>
    <w:rsid w:val="007E332E"/>
    <w:rsid w:val="007E3BDD"/>
    <w:rsid w:val="007E3D7D"/>
    <w:rsid w:val="007E411A"/>
    <w:rsid w:val="007E4B03"/>
    <w:rsid w:val="007E4CE3"/>
    <w:rsid w:val="007E4E82"/>
    <w:rsid w:val="007E51E6"/>
    <w:rsid w:val="007E53F7"/>
    <w:rsid w:val="007E54C9"/>
    <w:rsid w:val="007E55A9"/>
    <w:rsid w:val="007E57AB"/>
    <w:rsid w:val="007E59C8"/>
    <w:rsid w:val="007E5AC4"/>
    <w:rsid w:val="007E5B11"/>
    <w:rsid w:val="007E5C95"/>
    <w:rsid w:val="007E6DE5"/>
    <w:rsid w:val="007E6EFA"/>
    <w:rsid w:val="007E6F85"/>
    <w:rsid w:val="007E72AF"/>
    <w:rsid w:val="007E7337"/>
    <w:rsid w:val="007E75A8"/>
    <w:rsid w:val="007E7706"/>
    <w:rsid w:val="007E7B39"/>
    <w:rsid w:val="007E7DAF"/>
    <w:rsid w:val="007E7DFA"/>
    <w:rsid w:val="007E7E6F"/>
    <w:rsid w:val="007F0B05"/>
    <w:rsid w:val="007F1B4C"/>
    <w:rsid w:val="007F1CA5"/>
    <w:rsid w:val="007F283A"/>
    <w:rsid w:val="007F2AE7"/>
    <w:rsid w:val="007F2C51"/>
    <w:rsid w:val="007F2C68"/>
    <w:rsid w:val="007F2D92"/>
    <w:rsid w:val="007F31BC"/>
    <w:rsid w:val="007F33F5"/>
    <w:rsid w:val="007F3722"/>
    <w:rsid w:val="007F3F8B"/>
    <w:rsid w:val="007F4EBB"/>
    <w:rsid w:val="007F5178"/>
    <w:rsid w:val="007F52B5"/>
    <w:rsid w:val="007F63ED"/>
    <w:rsid w:val="007F663C"/>
    <w:rsid w:val="007F66E9"/>
    <w:rsid w:val="007F66FC"/>
    <w:rsid w:val="007F681D"/>
    <w:rsid w:val="007F6EFE"/>
    <w:rsid w:val="007F7291"/>
    <w:rsid w:val="007F7594"/>
    <w:rsid w:val="007F7E5D"/>
    <w:rsid w:val="007F7F6A"/>
    <w:rsid w:val="00800794"/>
    <w:rsid w:val="008007B5"/>
    <w:rsid w:val="00800A17"/>
    <w:rsid w:val="00800B99"/>
    <w:rsid w:val="00801389"/>
    <w:rsid w:val="008014D6"/>
    <w:rsid w:val="00801721"/>
    <w:rsid w:val="008017F0"/>
    <w:rsid w:val="00801B0B"/>
    <w:rsid w:val="00801F4E"/>
    <w:rsid w:val="00802051"/>
    <w:rsid w:val="00802378"/>
    <w:rsid w:val="00802428"/>
    <w:rsid w:val="008026F2"/>
    <w:rsid w:val="008031A5"/>
    <w:rsid w:val="00803534"/>
    <w:rsid w:val="008036AD"/>
    <w:rsid w:val="00803757"/>
    <w:rsid w:val="00803C56"/>
    <w:rsid w:val="00803F17"/>
    <w:rsid w:val="008052BD"/>
    <w:rsid w:val="0080541F"/>
    <w:rsid w:val="0080575A"/>
    <w:rsid w:val="008058B4"/>
    <w:rsid w:val="00805FA6"/>
    <w:rsid w:val="0080602B"/>
    <w:rsid w:val="00806145"/>
    <w:rsid w:val="008061CA"/>
    <w:rsid w:val="008073B6"/>
    <w:rsid w:val="00807509"/>
    <w:rsid w:val="00807730"/>
    <w:rsid w:val="00807AAF"/>
    <w:rsid w:val="00807D36"/>
    <w:rsid w:val="008102A8"/>
    <w:rsid w:val="00810667"/>
    <w:rsid w:val="00810781"/>
    <w:rsid w:val="00810812"/>
    <w:rsid w:val="00810C30"/>
    <w:rsid w:val="00810D63"/>
    <w:rsid w:val="00811596"/>
    <w:rsid w:val="00811650"/>
    <w:rsid w:val="00811C4E"/>
    <w:rsid w:val="0081262F"/>
    <w:rsid w:val="0081266C"/>
    <w:rsid w:val="00812855"/>
    <w:rsid w:val="00812CBB"/>
    <w:rsid w:val="00813256"/>
    <w:rsid w:val="0081367C"/>
    <w:rsid w:val="00813935"/>
    <w:rsid w:val="00813A49"/>
    <w:rsid w:val="00813A75"/>
    <w:rsid w:val="00813A86"/>
    <w:rsid w:val="00813C1A"/>
    <w:rsid w:val="00813D92"/>
    <w:rsid w:val="00814052"/>
    <w:rsid w:val="0081458F"/>
    <w:rsid w:val="00814855"/>
    <w:rsid w:val="00814CA5"/>
    <w:rsid w:val="00814D0F"/>
    <w:rsid w:val="00814E48"/>
    <w:rsid w:val="008153C7"/>
    <w:rsid w:val="008156DB"/>
    <w:rsid w:val="0081575B"/>
    <w:rsid w:val="008157E3"/>
    <w:rsid w:val="008159F7"/>
    <w:rsid w:val="00816712"/>
    <w:rsid w:val="00816774"/>
    <w:rsid w:val="00816DA8"/>
    <w:rsid w:val="00816EC3"/>
    <w:rsid w:val="00816F3A"/>
    <w:rsid w:val="008170AD"/>
    <w:rsid w:val="00817F3E"/>
    <w:rsid w:val="00817F68"/>
    <w:rsid w:val="0082103C"/>
    <w:rsid w:val="008212E6"/>
    <w:rsid w:val="008214D4"/>
    <w:rsid w:val="00821BEA"/>
    <w:rsid w:val="00821C31"/>
    <w:rsid w:val="00821FD4"/>
    <w:rsid w:val="00821FED"/>
    <w:rsid w:val="008220B5"/>
    <w:rsid w:val="00822598"/>
    <w:rsid w:val="00822D39"/>
    <w:rsid w:val="0082318D"/>
    <w:rsid w:val="008234CF"/>
    <w:rsid w:val="00823BD0"/>
    <w:rsid w:val="00823DC3"/>
    <w:rsid w:val="0082435C"/>
    <w:rsid w:val="00824525"/>
    <w:rsid w:val="008247DF"/>
    <w:rsid w:val="00824E07"/>
    <w:rsid w:val="00824EA1"/>
    <w:rsid w:val="00825143"/>
    <w:rsid w:val="00825311"/>
    <w:rsid w:val="008253FB"/>
    <w:rsid w:val="00825BB1"/>
    <w:rsid w:val="0082601B"/>
    <w:rsid w:val="00826239"/>
    <w:rsid w:val="008263BE"/>
    <w:rsid w:val="00826D20"/>
    <w:rsid w:val="00826EDE"/>
    <w:rsid w:val="0082709A"/>
    <w:rsid w:val="0082724E"/>
    <w:rsid w:val="0082739C"/>
    <w:rsid w:val="00830214"/>
    <w:rsid w:val="008303E8"/>
    <w:rsid w:val="008304F5"/>
    <w:rsid w:val="008306BA"/>
    <w:rsid w:val="00830CB0"/>
    <w:rsid w:val="00830DE5"/>
    <w:rsid w:val="00830F70"/>
    <w:rsid w:val="00831494"/>
    <w:rsid w:val="008314FC"/>
    <w:rsid w:val="008315D0"/>
    <w:rsid w:val="0083177D"/>
    <w:rsid w:val="00831788"/>
    <w:rsid w:val="00832364"/>
    <w:rsid w:val="008324EA"/>
    <w:rsid w:val="008332D1"/>
    <w:rsid w:val="008338D5"/>
    <w:rsid w:val="00833D1C"/>
    <w:rsid w:val="00833D61"/>
    <w:rsid w:val="00833E98"/>
    <w:rsid w:val="008342AE"/>
    <w:rsid w:val="00834DCA"/>
    <w:rsid w:val="00835E97"/>
    <w:rsid w:val="00835F5A"/>
    <w:rsid w:val="008369C9"/>
    <w:rsid w:val="008369FB"/>
    <w:rsid w:val="00836AA4"/>
    <w:rsid w:val="00837616"/>
    <w:rsid w:val="008376BA"/>
    <w:rsid w:val="008400FE"/>
    <w:rsid w:val="00840312"/>
    <w:rsid w:val="00840761"/>
    <w:rsid w:val="00840B21"/>
    <w:rsid w:val="00840BB2"/>
    <w:rsid w:val="00840FDD"/>
    <w:rsid w:val="00841032"/>
    <w:rsid w:val="00841F19"/>
    <w:rsid w:val="008424FF"/>
    <w:rsid w:val="008427A8"/>
    <w:rsid w:val="00842C1E"/>
    <w:rsid w:val="00843C32"/>
    <w:rsid w:val="008441D5"/>
    <w:rsid w:val="00844292"/>
    <w:rsid w:val="0084467C"/>
    <w:rsid w:val="008458F8"/>
    <w:rsid w:val="00845DCF"/>
    <w:rsid w:val="00845E56"/>
    <w:rsid w:val="008464C1"/>
    <w:rsid w:val="00846504"/>
    <w:rsid w:val="008469F6"/>
    <w:rsid w:val="00846D03"/>
    <w:rsid w:val="00847A23"/>
    <w:rsid w:val="00847EE4"/>
    <w:rsid w:val="0085027A"/>
    <w:rsid w:val="008502B9"/>
    <w:rsid w:val="00850902"/>
    <w:rsid w:val="008514E0"/>
    <w:rsid w:val="008516E6"/>
    <w:rsid w:val="00851828"/>
    <w:rsid w:val="00851BDD"/>
    <w:rsid w:val="00851BFD"/>
    <w:rsid w:val="00851DE8"/>
    <w:rsid w:val="00852B6D"/>
    <w:rsid w:val="00852C8C"/>
    <w:rsid w:val="00852CBC"/>
    <w:rsid w:val="00852DAD"/>
    <w:rsid w:val="0085300C"/>
    <w:rsid w:val="00853261"/>
    <w:rsid w:val="00853395"/>
    <w:rsid w:val="008534C9"/>
    <w:rsid w:val="00853E71"/>
    <w:rsid w:val="00853FD1"/>
    <w:rsid w:val="0085410F"/>
    <w:rsid w:val="0085429A"/>
    <w:rsid w:val="0085441C"/>
    <w:rsid w:val="00854DAD"/>
    <w:rsid w:val="00855160"/>
    <w:rsid w:val="00855E59"/>
    <w:rsid w:val="00855EA9"/>
    <w:rsid w:val="00855FEA"/>
    <w:rsid w:val="00856104"/>
    <w:rsid w:val="008562E7"/>
    <w:rsid w:val="00856465"/>
    <w:rsid w:val="008568C9"/>
    <w:rsid w:val="008571A4"/>
    <w:rsid w:val="00857F9E"/>
    <w:rsid w:val="00860155"/>
    <w:rsid w:val="00860302"/>
    <w:rsid w:val="00860D7E"/>
    <w:rsid w:val="00860DDC"/>
    <w:rsid w:val="0086109D"/>
    <w:rsid w:val="00861109"/>
    <w:rsid w:val="008623B0"/>
    <w:rsid w:val="00862536"/>
    <w:rsid w:val="0086273E"/>
    <w:rsid w:val="008627E3"/>
    <w:rsid w:val="00862A91"/>
    <w:rsid w:val="008633BB"/>
    <w:rsid w:val="008638C9"/>
    <w:rsid w:val="00863961"/>
    <w:rsid w:val="00863A4E"/>
    <w:rsid w:val="00863CD3"/>
    <w:rsid w:val="0086410A"/>
    <w:rsid w:val="0086485C"/>
    <w:rsid w:val="0086497D"/>
    <w:rsid w:val="00864D3A"/>
    <w:rsid w:val="00864E41"/>
    <w:rsid w:val="00865419"/>
    <w:rsid w:val="00865427"/>
    <w:rsid w:val="008657C7"/>
    <w:rsid w:val="00865C6A"/>
    <w:rsid w:val="00865FB2"/>
    <w:rsid w:val="00866325"/>
    <w:rsid w:val="008665E8"/>
    <w:rsid w:val="008666A8"/>
    <w:rsid w:val="00866928"/>
    <w:rsid w:val="00866D3D"/>
    <w:rsid w:val="00866FCA"/>
    <w:rsid w:val="00866FD8"/>
    <w:rsid w:val="0086707F"/>
    <w:rsid w:val="008671AF"/>
    <w:rsid w:val="00867B76"/>
    <w:rsid w:val="00867BB8"/>
    <w:rsid w:val="00867FC3"/>
    <w:rsid w:val="0087043E"/>
    <w:rsid w:val="008706FE"/>
    <w:rsid w:val="008707A0"/>
    <w:rsid w:val="00870CFF"/>
    <w:rsid w:val="00871556"/>
    <w:rsid w:val="0087155B"/>
    <w:rsid w:val="00871F64"/>
    <w:rsid w:val="008723A5"/>
    <w:rsid w:val="008727EB"/>
    <w:rsid w:val="00872F50"/>
    <w:rsid w:val="00872F7B"/>
    <w:rsid w:val="008730A7"/>
    <w:rsid w:val="008733FA"/>
    <w:rsid w:val="00873C92"/>
    <w:rsid w:val="0087434F"/>
    <w:rsid w:val="008749A2"/>
    <w:rsid w:val="00874B0B"/>
    <w:rsid w:val="00874B87"/>
    <w:rsid w:val="00874DA6"/>
    <w:rsid w:val="00875635"/>
    <w:rsid w:val="008759A3"/>
    <w:rsid w:val="00875D1D"/>
    <w:rsid w:val="00875D39"/>
    <w:rsid w:val="0087622A"/>
    <w:rsid w:val="00876502"/>
    <w:rsid w:val="00876540"/>
    <w:rsid w:val="00877034"/>
    <w:rsid w:val="008772FF"/>
    <w:rsid w:val="008777D2"/>
    <w:rsid w:val="00877B5C"/>
    <w:rsid w:val="00877D16"/>
    <w:rsid w:val="00877FDD"/>
    <w:rsid w:val="008805D1"/>
    <w:rsid w:val="00880719"/>
    <w:rsid w:val="008807B2"/>
    <w:rsid w:val="00880AED"/>
    <w:rsid w:val="00880FB1"/>
    <w:rsid w:val="00881257"/>
    <w:rsid w:val="008815E1"/>
    <w:rsid w:val="008816F9"/>
    <w:rsid w:val="008817C6"/>
    <w:rsid w:val="0088197E"/>
    <w:rsid w:val="00881D59"/>
    <w:rsid w:val="00881F56"/>
    <w:rsid w:val="0088218E"/>
    <w:rsid w:val="00882469"/>
    <w:rsid w:val="008834F9"/>
    <w:rsid w:val="00883B94"/>
    <w:rsid w:val="00883CEF"/>
    <w:rsid w:val="008841E4"/>
    <w:rsid w:val="008842B9"/>
    <w:rsid w:val="00884678"/>
    <w:rsid w:val="00885088"/>
    <w:rsid w:val="00885096"/>
    <w:rsid w:val="00885620"/>
    <w:rsid w:val="008865CF"/>
    <w:rsid w:val="00886A73"/>
    <w:rsid w:val="00886EB8"/>
    <w:rsid w:val="0088783F"/>
    <w:rsid w:val="00887D79"/>
    <w:rsid w:val="0089064F"/>
    <w:rsid w:val="00891596"/>
    <w:rsid w:val="0089199C"/>
    <w:rsid w:val="00891A92"/>
    <w:rsid w:val="00891BC8"/>
    <w:rsid w:val="00891F87"/>
    <w:rsid w:val="0089209F"/>
    <w:rsid w:val="008920EB"/>
    <w:rsid w:val="00892B65"/>
    <w:rsid w:val="00892BEE"/>
    <w:rsid w:val="00892E12"/>
    <w:rsid w:val="00893BA3"/>
    <w:rsid w:val="00893D00"/>
    <w:rsid w:val="00893EDA"/>
    <w:rsid w:val="008942AC"/>
    <w:rsid w:val="00894563"/>
    <w:rsid w:val="00894B0C"/>
    <w:rsid w:val="00895200"/>
    <w:rsid w:val="0089562B"/>
    <w:rsid w:val="00895737"/>
    <w:rsid w:val="00895924"/>
    <w:rsid w:val="00895976"/>
    <w:rsid w:val="008961E8"/>
    <w:rsid w:val="00896228"/>
    <w:rsid w:val="00896513"/>
    <w:rsid w:val="00896982"/>
    <w:rsid w:val="00896CF8"/>
    <w:rsid w:val="008970AE"/>
    <w:rsid w:val="0089715B"/>
    <w:rsid w:val="008973B3"/>
    <w:rsid w:val="008973EF"/>
    <w:rsid w:val="0089740B"/>
    <w:rsid w:val="008978E4"/>
    <w:rsid w:val="00897A1E"/>
    <w:rsid w:val="00897F8F"/>
    <w:rsid w:val="008A0099"/>
    <w:rsid w:val="008A0131"/>
    <w:rsid w:val="008A028F"/>
    <w:rsid w:val="008A04FE"/>
    <w:rsid w:val="008A0551"/>
    <w:rsid w:val="008A0716"/>
    <w:rsid w:val="008A0825"/>
    <w:rsid w:val="008A0937"/>
    <w:rsid w:val="008A0B3D"/>
    <w:rsid w:val="008A125C"/>
    <w:rsid w:val="008A1761"/>
    <w:rsid w:val="008A179B"/>
    <w:rsid w:val="008A19A4"/>
    <w:rsid w:val="008A19DA"/>
    <w:rsid w:val="008A1C85"/>
    <w:rsid w:val="008A1F81"/>
    <w:rsid w:val="008A23B6"/>
    <w:rsid w:val="008A2D7F"/>
    <w:rsid w:val="008A30D8"/>
    <w:rsid w:val="008A326B"/>
    <w:rsid w:val="008A3276"/>
    <w:rsid w:val="008A391D"/>
    <w:rsid w:val="008A39C9"/>
    <w:rsid w:val="008A3D27"/>
    <w:rsid w:val="008A3D91"/>
    <w:rsid w:val="008A3F7E"/>
    <w:rsid w:val="008A474C"/>
    <w:rsid w:val="008A4B30"/>
    <w:rsid w:val="008A53DF"/>
    <w:rsid w:val="008A54B2"/>
    <w:rsid w:val="008A5515"/>
    <w:rsid w:val="008A5565"/>
    <w:rsid w:val="008A55D4"/>
    <w:rsid w:val="008A5766"/>
    <w:rsid w:val="008A5A6B"/>
    <w:rsid w:val="008A5BA4"/>
    <w:rsid w:val="008A5F3F"/>
    <w:rsid w:val="008A600C"/>
    <w:rsid w:val="008A605B"/>
    <w:rsid w:val="008A60E7"/>
    <w:rsid w:val="008A66CD"/>
    <w:rsid w:val="008A671A"/>
    <w:rsid w:val="008A678F"/>
    <w:rsid w:val="008A6A46"/>
    <w:rsid w:val="008A6BF5"/>
    <w:rsid w:val="008A6C32"/>
    <w:rsid w:val="008A6E15"/>
    <w:rsid w:val="008A6EA8"/>
    <w:rsid w:val="008A6F27"/>
    <w:rsid w:val="008A70E8"/>
    <w:rsid w:val="008A7181"/>
    <w:rsid w:val="008A75E7"/>
    <w:rsid w:val="008A7851"/>
    <w:rsid w:val="008A7B04"/>
    <w:rsid w:val="008B0000"/>
    <w:rsid w:val="008B0458"/>
    <w:rsid w:val="008B0C88"/>
    <w:rsid w:val="008B140A"/>
    <w:rsid w:val="008B1676"/>
    <w:rsid w:val="008B16D2"/>
    <w:rsid w:val="008B172B"/>
    <w:rsid w:val="008B1988"/>
    <w:rsid w:val="008B1C39"/>
    <w:rsid w:val="008B2089"/>
    <w:rsid w:val="008B21E2"/>
    <w:rsid w:val="008B2490"/>
    <w:rsid w:val="008B2F18"/>
    <w:rsid w:val="008B369A"/>
    <w:rsid w:val="008B3907"/>
    <w:rsid w:val="008B3B71"/>
    <w:rsid w:val="008B3B9D"/>
    <w:rsid w:val="008B3DC7"/>
    <w:rsid w:val="008B3E1D"/>
    <w:rsid w:val="008B4520"/>
    <w:rsid w:val="008B477C"/>
    <w:rsid w:val="008B49A2"/>
    <w:rsid w:val="008B4D9D"/>
    <w:rsid w:val="008B5189"/>
    <w:rsid w:val="008B5424"/>
    <w:rsid w:val="008B597A"/>
    <w:rsid w:val="008B5B0E"/>
    <w:rsid w:val="008B5C3D"/>
    <w:rsid w:val="008B6102"/>
    <w:rsid w:val="008B616B"/>
    <w:rsid w:val="008B654B"/>
    <w:rsid w:val="008B6D21"/>
    <w:rsid w:val="008B784F"/>
    <w:rsid w:val="008B7C04"/>
    <w:rsid w:val="008B7C0F"/>
    <w:rsid w:val="008BE2ED"/>
    <w:rsid w:val="008C0273"/>
    <w:rsid w:val="008C031A"/>
    <w:rsid w:val="008C0405"/>
    <w:rsid w:val="008C0529"/>
    <w:rsid w:val="008C0B4D"/>
    <w:rsid w:val="008C15D6"/>
    <w:rsid w:val="008C1BD5"/>
    <w:rsid w:val="008C1F32"/>
    <w:rsid w:val="008C2160"/>
    <w:rsid w:val="008C242C"/>
    <w:rsid w:val="008C2B86"/>
    <w:rsid w:val="008C32AA"/>
    <w:rsid w:val="008C3801"/>
    <w:rsid w:val="008C383B"/>
    <w:rsid w:val="008C39CF"/>
    <w:rsid w:val="008C43D0"/>
    <w:rsid w:val="008C4587"/>
    <w:rsid w:val="008C4B20"/>
    <w:rsid w:val="008C4D1F"/>
    <w:rsid w:val="008C5192"/>
    <w:rsid w:val="008C5785"/>
    <w:rsid w:val="008C59BF"/>
    <w:rsid w:val="008C5B1E"/>
    <w:rsid w:val="008C5BA3"/>
    <w:rsid w:val="008C613A"/>
    <w:rsid w:val="008C6CF5"/>
    <w:rsid w:val="008C71F5"/>
    <w:rsid w:val="008C747A"/>
    <w:rsid w:val="008C7FEB"/>
    <w:rsid w:val="008D04AB"/>
    <w:rsid w:val="008D18D7"/>
    <w:rsid w:val="008D1BEB"/>
    <w:rsid w:val="008D1C9D"/>
    <w:rsid w:val="008D1DFE"/>
    <w:rsid w:val="008D2038"/>
    <w:rsid w:val="008D224E"/>
    <w:rsid w:val="008D225A"/>
    <w:rsid w:val="008D22F3"/>
    <w:rsid w:val="008D288C"/>
    <w:rsid w:val="008D2DD6"/>
    <w:rsid w:val="008D2EB3"/>
    <w:rsid w:val="008D2F29"/>
    <w:rsid w:val="008D388A"/>
    <w:rsid w:val="008D38B1"/>
    <w:rsid w:val="008D3CA1"/>
    <w:rsid w:val="008D3D78"/>
    <w:rsid w:val="008D4394"/>
    <w:rsid w:val="008D43A8"/>
    <w:rsid w:val="008D45D0"/>
    <w:rsid w:val="008D45DE"/>
    <w:rsid w:val="008D5996"/>
    <w:rsid w:val="008D6287"/>
    <w:rsid w:val="008D63FA"/>
    <w:rsid w:val="008D6550"/>
    <w:rsid w:val="008D6C93"/>
    <w:rsid w:val="008D6CCE"/>
    <w:rsid w:val="008D71E5"/>
    <w:rsid w:val="008D736A"/>
    <w:rsid w:val="008D7569"/>
    <w:rsid w:val="008D789E"/>
    <w:rsid w:val="008D7CCD"/>
    <w:rsid w:val="008E07DB"/>
    <w:rsid w:val="008E14C3"/>
    <w:rsid w:val="008E1E78"/>
    <w:rsid w:val="008E1EF6"/>
    <w:rsid w:val="008E28AC"/>
    <w:rsid w:val="008E294B"/>
    <w:rsid w:val="008E2F2E"/>
    <w:rsid w:val="008E3747"/>
    <w:rsid w:val="008E39ED"/>
    <w:rsid w:val="008E3F18"/>
    <w:rsid w:val="008E428A"/>
    <w:rsid w:val="008E45E6"/>
    <w:rsid w:val="008E4C47"/>
    <w:rsid w:val="008E4C51"/>
    <w:rsid w:val="008E51D7"/>
    <w:rsid w:val="008E5948"/>
    <w:rsid w:val="008E5A6B"/>
    <w:rsid w:val="008E6117"/>
    <w:rsid w:val="008E6160"/>
    <w:rsid w:val="008E6413"/>
    <w:rsid w:val="008E6860"/>
    <w:rsid w:val="008E68BC"/>
    <w:rsid w:val="008E693C"/>
    <w:rsid w:val="008E6A32"/>
    <w:rsid w:val="008E7225"/>
    <w:rsid w:val="008E74D2"/>
    <w:rsid w:val="008E7B6A"/>
    <w:rsid w:val="008E7F86"/>
    <w:rsid w:val="008F005C"/>
    <w:rsid w:val="008F029D"/>
    <w:rsid w:val="008F108E"/>
    <w:rsid w:val="008F1997"/>
    <w:rsid w:val="008F1CDC"/>
    <w:rsid w:val="008F1D4A"/>
    <w:rsid w:val="008F26B1"/>
    <w:rsid w:val="008F276C"/>
    <w:rsid w:val="008F2832"/>
    <w:rsid w:val="008F2A33"/>
    <w:rsid w:val="008F2C83"/>
    <w:rsid w:val="008F2D8B"/>
    <w:rsid w:val="008F32BB"/>
    <w:rsid w:val="008F3313"/>
    <w:rsid w:val="008F33F3"/>
    <w:rsid w:val="008F3AF3"/>
    <w:rsid w:val="008F3B24"/>
    <w:rsid w:val="008F413F"/>
    <w:rsid w:val="008F449A"/>
    <w:rsid w:val="008F4623"/>
    <w:rsid w:val="008F46AD"/>
    <w:rsid w:val="008F4862"/>
    <w:rsid w:val="008F48A5"/>
    <w:rsid w:val="008F4E84"/>
    <w:rsid w:val="008F4EDD"/>
    <w:rsid w:val="008F5149"/>
    <w:rsid w:val="008F53FE"/>
    <w:rsid w:val="008F55F8"/>
    <w:rsid w:val="008F5605"/>
    <w:rsid w:val="008F5A61"/>
    <w:rsid w:val="008F6061"/>
    <w:rsid w:val="008F65F1"/>
    <w:rsid w:val="008F6876"/>
    <w:rsid w:val="008F6A36"/>
    <w:rsid w:val="008F6F55"/>
    <w:rsid w:val="008F6FA8"/>
    <w:rsid w:val="008F7456"/>
    <w:rsid w:val="008F7929"/>
    <w:rsid w:val="008F7FC2"/>
    <w:rsid w:val="00900700"/>
    <w:rsid w:val="0090076E"/>
    <w:rsid w:val="00900893"/>
    <w:rsid w:val="00900ED5"/>
    <w:rsid w:val="00901213"/>
    <w:rsid w:val="00901332"/>
    <w:rsid w:val="009017EE"/>
    <w:rsid w:val="00901DF6"/>
    <w:rsid w:val="0090203C"/>
    <w:rsid w:val="009022A6"/>
    <w:rsid w:val="009024F6"/>
    <w:rsid w:val="009029EC"/>
    <w:rsid w:val="00902B42"/>
    <w:rsid w:val="00902CA7"/>
    <w:rsid w:val="00903129"/>
    <w:rsid w:val="00903432"/>
    <w:rsid w:val="00903596"/>
    <w:rsid w:val="00903735"/>
    <w:rsid w:val="00903CA5"/>
    <w:rsid w:val="009047F5"/>
    <w:rsid w:val="0090495A"/>
    <w:rsid w:val="009051EB"/>
    <w:rsid w:val="00905452"/>
    <w:rsid w:val="009058BE"/>
    <w:rsid w:val="00905C9C"/>
    <w:rsid w:val="00905EA5"/>
    <w:rsid w:val="00906359"/>
    <w:rsid w:val="00906C09"/>
    <w:rsid w:val="00906D61"/>
    <w:rsid w:val="00906F26"/>
    <w:rsid w:val="00906F95"/>
    <w:rsid w:val="0090733D"/>
    <w:rsid w:val="00907B9E"/>
    <w:rsid w:val="0091010E"/>
    <w:rsid w:val="00910A6C"/>
    <w:rsid w:val="00910BDB"/>
    <w:rsid w:val="00910D07"/>
    <w:rsid w:val="00910FA3"/>
    <w:rsid w:val="0091155D"/>
    <w:rsid w:val="009115A2"/>
    <w:rsid w:val="009116D9"/>
    <w:rsid w:val="009117D4"/>
    <w:rsid w:val="00911B46"/>
    <w:rsid w:val="00911C2B"/>
    <w:rsid w:val="00911EA2"/>
    <w:rsid w:val="009121D8"/>
    <w:rsid w:val="00912377"/>
    <w:rsid w:val="00912550"/>
    <w:rsid w:val="0091321E"/>
    <w:rsid w:val="009136C9"/>
    <w:rsid w:val="00913741"/>
    <w:rsid w:val="009137D0"/>
    <w:rsid w:val="00913E2C"/>
    <w:rsid w:val="0091433A"/>
    <w:rsid w:val="00914991"/>
    <w:rsid w:val="009149C2"/>
    <w:rsid w:val="00914A9C"/>
    <w:rsid w:val="009150EA"/>
    <w:rsid w:val="00915162"/>
    <w:rsid w:val="00915528"/>
    <w:rsid w:val="0091575A"/>
    <w:rsid w:val="00915921"/>
    <w:rsid w:val="00915A49"/>
    <w:rsid w:val="00915AA6"/>
    <w:rsid w:val="009162EF"/>
    <w:rsid w:val="00916949"/>
    <w:rsid w:val="00916CD7"/>
    <w:rsid w:val="00916DD9"/>
    <w:rsid w:val="00916ED7"/>
    <w:rsid w:val="00916FD9"/>
    <w:rsid w:val="00917580"/>
    <w:rsid w:val="00917858"/>
    <w:rsid w:val="00917ACE"/>
    <w:rsid w:val="00917B9A"/>
    <w:rsid w:val="00917E25"/>
    <w:rsid w:val="00917E26"/>
    <w:rsid w:val="00920971"/>
    <w:rsid w:val="00921072"/>
    <w:rsid w:val="00921135"/>
    <w:rsid w:val="00921397"/>
    <w:rsid w:val="009215A3"/>
    <w:rsid w:val="00921AD3"/>
    <w:rsid w:val="00921C05"/>
    <w:rsid w:val="00921D75"/>
    <w:rsid w:val="00921DD4"/>
    <w:rsid w:val="00921E0F"/>
    <w:rsid w:val="00921ECC"/>
    <w:rsid w:val="009220CD"/>
    <w:rsid w:val="009220FB"/>
    <w:rsid w:val="00922367"/>
    <w:rsid w:val="00922E2B"/>
    <w:rsid w:val="009236FB"/>
    <w:rsid w:val="00923B55"/>
    <w:rsid w:val="00923C95"/>
    <w:rsid w:val="00924291"/>
    <w:rsid w:val="00924443"/>
    <w:rsid w:val="00924558"/>
    <w:rsid w:val="00924618"/>
    <w:rsid w:val="00924F7C"/>
    <w:rsid w:val="00924FCA"/>
    <w:rsid w:val="00925431"/>
    <w:rsid w:val="009254B3"/>
    <w:rsid w:val="00925633"/>
    <w:rsid w:val="009256A3"/>
    <w:rsid w:val="00925785"/>
    <w:rsid w:val="0092590F"/>
    <w:rsid w:val="00925C3E"/>
    <w:rsid w:val="00926161"/>
    <w:rsid w:val="00926207"/>
    <w:rsid w:val="00926438"/>
    <w:rsid w:val="00926A38"/>
    <w:rsid w:val="00926B97"/>
    <w:rsid w:val="00926C92"/>
    <w:rsid w:val="00926D40"/>
    <w:rsid w:val="0092716B"/>
    <w:rsid w:val="00927C1C"/>
    <w:rsid w:val="00927DCD"/>
    <w:rsid w:val="00927E94"/>
    <w:rsid w:val="009300B5"/>
    <w:rsid w:val="009301F5"/>
    <w:rsid w:val="0093021C"/>
    <w:rsid w:val="0093086E"/>
    <w:rsid w:val="00930BB5"/>
    <w:rsid w:val="0093129A"/>
    <w:rsid w:val="00931D74"/>
    <w:rsid w:val="009320F2"/>
    <w:rsid w:val="00932101"/>
    <w:rsid w:val="009321E2"/>
    <w:rsid w:val="0093236A"/>
    <w:rsid w:val="00932E5D"/>
    <w:rsid w:val="00933072"/>
    <w:rsid w:val="00933437"/>
    <w:rsid w:val="0093363A"/>
    <w:rsid w:val="00933AF1"/>
    <w:rsid w:val="00933BAF"/>
    <w:rsid w:val="009345C5"/>
    <w:rsid w:val="00934757"/>
    <w:rsid w:val="00934788"/>
    <w:rsid w:val="00934EAF"/>
    <w:rsid w:val="0093581C"/>
    <w:rsid w:val="00936362"/>
    <w:rsid w:val="00936B1C"/>
    <w:rsid w:val="00936E32"/>
    <w:rsid w:val="00937161"/>
    <w:rsid w:val="009377C7"/>
    <w:rsid w:val="009378EF"/>
    <w:rsid w:val="009403EE"/>
    <w:rsid w:val="00940606"/>
    <w:rsid w:val="0094081B"/>
    <w:rsid w:val="00941356"/>
    <w:rsid w:val="00941452"/>
    <w:rsid w:val="00941471"/>
    <w:rsid w:val="00941774"/>
    <w:rsid w:val="0094255B"/>
    <w:rsid w:val="00942B53"/>
    <w:rsid w:val="00942B80"/>
    <w:rsid w:val="00942B96"/>
    <w:rsid w:val="00942D7B"/>
    <w:rsid w:val="00943321"/>
    <w:rsid w:val="009435CD"/>
    <w:rsid w:val="009435DF"/>
    <w:rsid w:val="0094381B"/>
    <w:rsid w:val="00943841"/>
    <w:rsid w:val="00943902"/>
    <w:rsid w:val="00943B39"/>
    <w:rsid w:val="00943C8B"/>
    <w:rsid w:val="00943DAC"/>
    <w:rsid w:val="00943EBE"/>
    <w:rsid w:val="00944222"/>
    <w:rsid w:val="009453FA"/>
    <w:rsid w:val="00945630"/>
    <w:rsid w:val="009459D7"/>
    <w:rsid w:val="00945C5C"/>
    <w:rsid w:val="00945C90"/>
    <w:rsid w:val="00945EF2"/>
    <w:rsid w:val="009469D4"/>
    <w:rsid w:val="00947D37"/>
    <w:rsid w:val="00947F13"/>
    <w:rsid w:val="00950210"/>
    <w:rsid w:val="0095033B"/>
    <w:rsid w:val="00950661"/>
    <w:rsid w:val="00950821"/>
    <w:rsid w:val="00950895"/>
    <w:rsid w:val="00950D0C"/>
    <w:rsid w:val="009513AF"/>
    <w:rsid w:val="009513EB"/>
    <w:rsid w:val="00951745"/>
    <w:rsid w:val="00951896"/>
    <w:rsid w:val="00951AB8"/>
    <w:rsid w:val="00951AE0"/>
    <w:rsid w:val="00951F41"/>
    <w:rsid w:val="00951F7C"/>
    <w:rsid w:val="00952089"/>
    <w:rsid w:val="0095239D"/>
    <w:rsid w:val="0095257A"/>
    <w:rsid w:val="009531F0"/>
    <w:rsid w:val="0095324F"/>
    <w:rsid w:val="009532F6"/>
    <w:rsid w:val="009537DC"/>
    <w:rsid w:val="00953C3C"/>
    <w:rsid w:val="00953D63"/>
    <w:rsid w:val="009546C3"/>
    <w:rsid w:val="00954992"/>
    <w:rsid w:val="00954A81"/>
    <w:rsid w:val="00955496"/>
    <w:rsid w:val="00955AE8"/>
    <w:rsid w:val="00955C0A"/>
    <w:rsid w:val="00955C3C"/>
    <w:rsid w:val="00955EAD"/>
    <w:rsid w:val="00956685"/>
    <w:rsid w:val="00956AD4"/>
    <w:rsid w:val="0095703D"/>
    <w:rsid w:val="009574F8"/>
    <w:rsid w:val="009579F8"/>
    <w:rsid w:val="009600D3"/>
    <w:rsid w:val="0096022A"/>
    <w:rsid w:val="0096082A"/>
    <w:rsid w:val="00961270"/>
    <w:rsid w:val="00961471"/>
    <w:rsid w:val="0096155E"/>
    <w:rsid w:val="009619DD"/>
    <w:rsid w:val="00961F48"/>
    <w:rsid w:val="00961F4D"/>
    <w:rsid w:val="00961FCB"/>
    <w:rsid w:val="009623D3"/>
    <w:rsid w:val="009624D9"/>
    <w:rsid w:val="0096304A"/>
    <w:rsid w:val="00963205"/>
    <w:rsid w:val="0096326E"/>
    <w:rsid w:val="00963640"/>
    <w:rsid w:val="00963734"/>
    <w:rsid w:val="00963A4A"/>
    <w:rsid w:val="00963BA0"/>
    <w:rsid w:val="00964FB2"/>
    <w:rsid w:val="0096515E"/>
    <w:rsid w:val="00965AF2"/>
    <w:rsid w:val="00965FA0"/>
    <w:rsid w:val="00966145"/>
    <w:rsid w:val="0096615E"/>
    <w:rsid w:val="009668EF"/>
    <w:rsid w:val="00966B41"/>
    <w:rsid w:val="00966BBA"/>
    <w:rsid w:val="00966C9D"/>
    <w:rsid w:val="00966E7D"/>
    <w:rsid w:val="009673AF"/>
    <w:rsid w:val="00967423"/>
    <w:rsid w:val="009709C9"/>
    <w:rsid w:val="00971375"/>
    <w:rsid w:val="0097161B"/>
    <w:rsid w:val="0097175C"/>
    <w:rsid w:val="009722D4"/>
    <w:rsid w:val="00972731"/>
    <w:rsid w:val="00973194"/>
    <w:rsid w:val="009734EF"/>
    <w:rsid w:val="00973807"/>
    <w:rsid w:val="00974184"/>
    <w:rsid w:val="009743E7"/>
    <w:rsid w:val="00974442"/>
    <w:rsid w:val="00974783"/>
    <w:rsid w:val="00974A77"/>
    <w:rsid w:val="00974ADC"/>
    <w:rsid w:val="00975116"/>
    <w:rsid w:val="00975126"/>
    <w:rsid w:val="009752A1"/>
    <w:rsid w:val="00975AA8"/>
    <w:rsid w:val="009768B3"/>
    <w:rsid w:val="00976908"/>
    <w:rsid w:val="00976E73"/>
    <w:rsid w:val="009770CF"/>
    <w:rsid w:val="0097743A"/>
    <w:rsid w:val="00977BB7"/>
    <w:rsid w:val="009804F5"/>
    <w:rsid w:val="00980778"/>
    <w:rsid w:val="00980CD4"/>
    <w:rsid w:val="00981607"/>
    <w:rsid w:val="009819EC"/>
    <w:rsid w:val="00981A22"/>
    <w:rsid w:val="00981AF5"/>
    <w:rsid w:val="00981DDD"/>
    <w:rsid w:val="00982089"/>
    <w:rsid w:val="009822A6"/>
    <w:rsid w:val="0098236E"/>
    <w:rsid w:val="00982672"/>
    <w:rsid w:val="0098291E"/>
    <w:rsid w:val="00982C14"/>
    <w:rsid w:val="00983020"/>
    <w:rsid w:val="0098308C"/>
    <w:rsid w:val="0098382F"/>
    <w:rsid w:val="00983930"/>
    <w:rsid w:val="00983D8A"/>
    <w:rsid w:val="00984BA9"/>
    <w:rsid w:val="00984C83"/>
    <w:rsid w:val="00985224"/>
    <w:rsid w:val="0098523A"/>
    <w:rsid w:val="0098588F"/>
    <w:rsid w:val="00985C28"/>
    <w:rsid w:val="009867B4"/>
    <w:rsid w:val="00986A94"/>
    <w:rsid w:val="00986C03"/>
    <w:rsid w:val="00986CFC"/>
    <w:rsid w:val="00986CFE"/>
    <w:rsid w:val="00986EAF"/>
    <w:rsid w:val="009872D2"/>
    <w:rsid w:val="009872E9"/>
    <w:rsid w:val="009875CD"/>
    <w:rsid w:val="0098768F"/>
    <w:rsid w:val="00987D4B"/>
    <w:rsid w:val="00987E59"/>
    <w:rsid w:val="00987EE7"/>
    <w:rsid w:val="00990152"/>
    <w:rsid w:val="009903A8"/>
    <w:rsid w:val="009904BE"/>
    <w:rsid w:val="00990AC3"/>
    <w:rsid w:val="00990B71"/>
    <w:rsid w:val="0099114C"/>
    <w:rsid w:val="00991311"/>
    <w:rsid w:val="00991A2F"/>
    <w:rsid w:val="00991C49"/>
    <w:rsid w:val="00991F84"/>
    <w:rsid w:val="0099273B"/>
    <w:rsid w:val="0099297D"/>
    <w:rsid w:val="00992A4E"/>
    <w:rsid w:val="00992AF4"/>
    <w:rsid w:val="00993245"/>
    <w:rsid w:val="009933AB"/>
    <w:rsid w:val="009934BB"/>
    <w:rsid w:val="009935DC"/>
    <w:rsid w:val="00993671"/>
    <w:rsid w:val="00993A3B"/>
    <w:rsid w:val="00994019"/>
    <w:rsid w:val="00994268"/>
    <w:rsid w:val="00994B9D"/>
    <w:rsid w:val="00995464"/>
    <w:rsid w:val="00995653"/>
    <w:rsid w:val="00995670"/>
    <w:rsid w:val="00996304"/>
    <w:rsid w:val="0099633D"/>
    <w:rsid w:val="009967FF"/>
    <w:rsid w:val="00996965"/>
    <w:rsid w:val="00996AD9"/>
    <w:rsid w:val="00996EB5"/>
    <w:rsid w:val="00996F46"/>
    <w:rsid w:val="00997192"/>
    <w:rsid w:val="00997353"/>
    <w:rsid w:val="00997DE1"/>
    <w:rsid w:val="009A008A"/>
    <w:rsid w:val="009A018E"/>
    <w:rsid w:val="009A0199"/>
    <w:rsid w:val="009A03F6"/>
    <w:rsid w:val="009A0B82"/>
    <w:rsid w:val="009A0D63"/>
    <w:rsid w:val="009A1246"/>
    <w:rsid w:val="009A1303"/>
    <w:rsid w:val="009A1CA8"/>
    <w:rsid w:val="009A1E08"/>
    <w:rsid w:val="009A1F13"/>
    <w:rsid w:val="009A301B"/>
    <w:rsid w:val="009A3238"/>
    <w:rsid w:val="009A32FB"/>
    <w:rsid w:val="009A3807"/>
    <w:rsid w:val="009A38BB"/>
    <w:rsid w:val="009A4259"/>
    <w:rsid w:val="009A426F"/>
    <w:rsid w:val="009A4468"/>
    <w:rsid w:val="009A4568"/>
    <w:rsid w:val="009A4B02"/>
    <w:rsid w:val="009A4C88"/>
    <w:rsid w:val="009A4CE6"/>
    <w:rsid w:val="009A51A4"/>
    <w:rsid w:val="009A5268"/>
    <w:rsid w:val="009A5351"/>
    <w:rsid w:val="009A553C"/>
    <w:rsid w:val="009A5B64"/>
    <w:rsid w:val="009A6003"/>
    <w:rsid w:val="009A6131"/>
    <w:rsid w:val="009A643D"/>
    <w:rsid w:val="009A6512"/>
    <w:rsid w:val="009A688F"/>
    <w:rsid w:val="009A6CC1"/>
    <w:rsid w:val="009A6D53"/>
    <w:rsid w:val="009A6E0F"/>
    <w:rsid w:val="009A700D"/>
    <w:rsid w:val="009A7194"/>
    <w:rsid w:val="009A71D1"/>
    <w:rsid w:val="009A7607"/>
    <w:rsid w:val="009A7EB7"/>
    <w:rsid w:val="009B018A"/>
    <w:rsid w:val="009B03CD"/>
    <w:rsid w:val="009B0546"/>
    <w:rsid w:val="009B0879"/>
    <w:rsid w:val="009B08DB"/>
    <w:rsid w:val="009B09E0"/>
    <w:rsid w:val="009B0B14"/>
    <w:rsid w:val="009B0B72"/>
    <w:rsid w:val="009B0C98"/>
    <w:rsid w:val="009B0DC8"/>
    <w:rsid w:val="009B11FF"/>
    <w:rsid w:val="009B1281"/>
    <w:rsid w:val="009B138B"/>
    <w:rsid w:val="009B1AB5"/>
    <w:rsid w:val="009B1FD3"/>
    <w:rsid w:val="009B23F2"/>
    <w:rsid w:val="009B249B"/>
    <w:rsid w:val="009B291F"/>
    <w:rsid w:val="009B2CFA"/>
    <w:rsid w:val="009B2D34"/>
    <w:rsid w:val="009B2DB0"/>
    <w:rsid w:val="009B2F54"/>
    <w:rsid w:val="009B33D9"/>
    <w:rsid w:val="009B3690"/>
    <w:rsid w:val="009B3D8F"/>
    <w:rsid w:val="009B41C7"/>
    <w:rsid w:val="009B45B1"/>
    <w:rsid w:val="009B46AE"/>
    <w:rsid w:val="009B4D87"/>
    <w:rsid w:val="009B4E16"/>
    <w:rsid w:val="009B534C"/>
    <w:rsid w:val="009B558C"/>
    <w:rsid w:val="009B581F"/>
    <w:rsid w:val="009B5E83"/>
    <w:rsid w:val="009B6739"/>
    <w:rsid w:val="009B70D1"/>
    <w:rsid w:val="009B75A2"/>
    <w:rsid w:val="009B760F"/>
    <w:rsid w:val="009B7BE4"/>
    <w:rsid w:val="009B7BE8"/>
    <w:rsid w:val="009C00D3"/>
    <w:rsid w:val="009C0431"/>
    <w:rsid w:val="009C0647"/>
    <w:rsid w:val="009C08BB"/>
    <w:rsid w:val="009C0CF5"/>
    <w:rsid w:val="009C1096"/>
    <w:rsid w:val="009C1613"/>
    <w:rsid w:val="009C1B5F"/>
    <w:rsid w:val="009C1BAD"/>
    <w:rsid w:val="009C1C26"/>
    <w:rsid w:val="009C2215"/>
    <w:rsid w:val="009C28B8"/>
    <w:rsid w:val="009C28CA"/>
    <w:rsid w:val="009C2A4D"/>
    <w:rsid w:val="009C2E71"/>
    <w:rsid w:val="009C3365"/>
    <w:rsid w:val="009C36D0"/>
    <w:rsid w:val="009C36D9"/>
    <w:rsid w:val="009C37E9"/>
    <w:rsid w:val="009C3A40"/>
    <w:rsid w:val="009C4365"/>
    <w:rsid w:val="009C44C8"/>
    <w:rsid w:val="009C4528"/>
    <w:rsid w:val="009C4905"/>
    <w:rsid w:val="009C4CD0"/>
    <w:rsid w:val="009C5121"/>
    <w:rsid w:val="009C51B5"/>
    <w:rsid w:val="009C5760"/>
    <w:rsid w:val="009C5934"/>
    <w:rsid w:val="009C59EC"/>
    <w:rsid w:val="009C5AB4"/>
    <w:rsid w:val="009C6102"/>
    <w:rsid w:val="009C687E"/>
    <w:rsid w:val="009C68F1"/>
    <w:rsid w:val="009C6D8E"/>
    <w:rsid w:val="009C7031"/>
    <w:rsid w:val="009C7541"/>
    <w:rsid w:val="009C7BE2"/>
    <w:rsid w:val="009C7CAF"/>
    <w:rsid w:val="009C7D00"/>
    <w:rsid w:val="009D0591"/>
    <w:rsid w:val="009D09AD"/>
    <w:rsid w:val="009D13AA"/>
    <w:rsid w:val="009D1B8B"/>
    <w:rsid w:val="009D1FC3"/>
    <w:rsid w:val="009D2055"/>
    <w:rsid w:val="009D3252"/>
    <w:rsid w:val="009D3D66"/>
    <w:rsid w:val="009D3EE0"/>
    <w:rsid w:val="009D3FA1"/>
    <w:rsid w:val="009D438F"/>
    <w:rsid w:val="009D4B31"/>
    <w:rsid w:val="009D4B86"/>
    <w:rsid w:val="009D4EEF"/>
    <w:rsid w:val="009D54A4"/>
    <w:rsid w:val="009D56A6"/>
    <w:rsid w:val="009D5A1C"/>
    <w:rsid w:val="009D5D74"/>
    <w:rsid w:val="009D634C"/>
    <w:rsid w:val="009D72DD"/>
    <w:rsid w:val="009D7662"/>
    <w:rsid w:val="009D7838"/>
    <w:rsid w:val="009D7D85"/>
    <w:rsid w:val="009D7E7A"/>
    <w:rsid w:val="009E0558"/>
    <w:rsid w:val="009E0A09"/>
    <w:rsid w:val="009E0D67"/>
    <w:rsid w:val="009E177A"/>
    <w:rsid w:val="009E1849"/>
    <w:rsid w:val="009E18A4"/>
    <w:rsid w:val="009E1B78"/>
    <w:rsid w:val="009E1DE4"/>
    <w:rsid w:val="009E24A2"/>
    <w:rsid w:val="009E2516"/>
    <w:rsid w:val="009E2A92"/>
    <w:rsid w:val="009E3323"/>
    <w:rsid w:val="009E37CA"/>
    <w:rsid w:val="009E37F2"/>
    <w:rsid w:val="009E3B6B"/>
    <w:rsid w:val="009E3C4B"/>
    <w:rsid w:val="009E3F5E"/>
    <w:rsid w:val="009E4350"/>
    <w:rsid w:val="009E4521"/>
    <w:rsid w:val="009E47E0"/>
    <w:rsid w:val="009E47F7"/>
    <w:rsid w:val="009E4DF2"/>
    <w:rsid w:val="009E5046"/>
    <w:rsid w:val="009E5A45"/>
    <w:rsid w:val="009E5D18"/>
    <w:rsid w:val="009E6AA2"/>
    <w:rsid w:val="009E6C8C"/>
    <w:rsid w:val="009E6CBC"/>
    <w:rsid w:val="009E6E9B"/>
    <w:rsid w:val="009E6EFD"/>
    <w:rsid w:val="009E6EFE"/>
    <w:rsid w:val="009E766A"/>
    <w:rsid w:val="009E7B54"/>
    <w:rsid w:val="009E7CC1"/>
    <w:rsid w:val="009F00EA"/>
    <w:rsid w:val="009F05C7"/>
    <w:rsid w:val="009F13FB"/>
    <w:rsid w:val="009F15BD"/>
    <w:rsid w:val="009F1CF4"/>
    <w:rsid w:val="009F2193"/>
    <w:rsid w:val="009F3717"/>
    <w:rsid w:val="009F3739"/>
    <w:rsid w:val="009F3905"/>
    <w:rsid w:val="009F3A0F"/>
    <w:rsid w:val="009F3C4E"/>
    <w:rsid w:val="009F3D35"/>
    <w:rsid w:val="009F42BA"/>
    <w:rsid w:val="009F4561"/>
    <w:rsid w:val="009F46BA"/>
    <w:rsid w:val="009F4C4B"/>
    <w:rsid w:val="009F4C7C"/>
    <w:rsid w:val="009F4E48"/>
    <w:rsid w:val="009F4F35"/>
    <w:rsid w:val="009F5442"/>
    <w:rsid w:val="009F54E0"/>
    <w:rsid w:val="009F5991"/>
    <w:rsid w:val="009F5AE5"/>
    <w:rsid w:val="009F5D33"/>
    <w:rsid w:val="009F5D76"/>
    <w:rsid w:val="009F6199"/>
    <w:rsid w:val="009F6B08"/>
    <w:rsid w:val="009F6EA9"/>
    <w:rsid w:val="009F746B"/>
    <w:rsid w:val="009F752E"/>
    <w:rsid w:val="009F768A"/>
    <w:rsid w:val="009F7965"/>
    <w:rsid w:val="009F7E63"/>
    <w:rsid w:val="009F7FA0"/>
    <w:rsid w:val="00A0055E"/>
    <w:rsid w:val="00A006A8"/>
    <w:rsid w:val="00A00AE8"/>
    <w:rsid w:val="00A012B4"/>
    <w:rsid w:val="00A018AF"/>
    <w:rsid w:val="00A018BC"/>
    <w:rsid w:val="00A01A41"/>
    <w:rsid w:val="00A01C4E"/>
    <w:rsid w:val="00A01E9D"/>
    <w:rsid w:val="00A02006"/>
    <w:rsid w:val="00A024BE"/>
    <w:rsid w:val="00A02C20"/>
    <w:rsid w:val="00A02CCB"/>
    <w:rsid w:val="00A02D5B"/>
    <w:rsid w:val="00A0301A"/>
    <w:rsid w:val="00A0331E"/>
    <w:rsid w:val="00A03613"/>
    <w:rsid w:val="00A03C61"/>
    <w:rsid w:val="00A03E85"/>
    <w:rsid w:val="00A049F1"/>
    <w:rsid w:val="00A04A1A"/>
    <w:rsid w:val="00A05B12"/>
    <w:rsid w:val="00A06204"/>
    <w:rsid w:val="00A0637C"/>
    <w:rsid w:val="00A065DE"/>
    <w:rsid w:val="00A06D82"/>
    <w:rsid w:val="00A071B0"/>
    <w:rsid w:val="00A07541"/>
    <w:rsid w:val="00A076BE"/>
    <w:rsid w:val="00A078BA"/>
    <w:rsid w:val="00A07B29"/>
    <w:rsid w:val="00A07CF2"/>
    <w:rsid w:val="00A101DD"/>
    <w:rsid w:val="00A10986"/>
    <w:rsid w:val="00A10AF0"/>
    <w:rsid w:val="00A10EE6"/>
    <w:rsid w:val="00A10F68"/>
    <w:rsid w:val="00A112E8"/>
    <w:rsid w:val="00A114C1"/>
    <w:rsid w:val="00A115F9"/>
    <w:rsid w:val="00A11625"/>
    <w:rsid w:val="00A11FDD"/>
    <w:rsid w:val="00A12703"/>
    <w:rsid w:val="00A13328"/>
    <w:rsid w:val="00A13DA4"/>
    <w:rsid w:val="00A14882"/>
    <w:rsid w:val="00A14994"/>
    <w:rsid w:val="00A14AD6"/>
    <w:rsid w:val="00A14FC2"/>
    <w:rsid w:val="00A154EF"/>
    <w:rsid w:val="00A15F82"/>
    <w:rsid w:val="00A15F97"/>
    <w:rsid w:val="00A16847"/>
    <w:rsid w:val="00A16C85"/>
    <w:rsid w:val="00A1730D"/>
    <w:rsid w:val="00A17375"/>
    <w:rsid w:val="00A174B9"/>
    <w:rsid w:val="00A174E2"/>
    <w:rsid w:val="00A17760"/>
    <w:rsid w:val="00A17DF8"/>
    <w:rsid w:val="00A203D2"/>
    <w:rsid w:val="00A20A57"/>
    <w:rsid w:val="00A20C89"/>
    <w:rsid w:val="00A2146B"/>
    <w:rsid w:val="00A21901"/>
    <w:rsid w:val="00A224AF"/>
    <w:rsid w:val="00A2252C"/>
    <w:rsid w:val="00A22DC5"/>
    <w:rsid w:val="00A22FC5"/>
    <w:rsid w:val="00A2334D"/>
    <w:rsid w:val="00A23491"/>
    <w:rsid w:val="00A237B3"/>
    <w:rsid w:val="00A2386F"/>
    <w:rsid w:val="00A23CDE"/>
    <w:rsid w:val="00A241A0"/>
    <w:rsid w:val="00A241F2"/>
    <w:rsid w:val="00A24869"/>
    <w:rsid w:val="00A250F1"/>
    <w:rsid w:val="00A2554A"/>
    <w:rsid w:val="00A258DA"/>
    <w:rsid w:val="00A25AF8"/>
    <w:rsid w:val="00A26732"/>
    <w:rsid w:val="00A268AC"/>
    <w:rsid w:val="00A26A98"/>
    <w:rsid w:val="00A26B7A"/>
    <w:rsid w:val="00A26D9F"/>
    <w:rsid w:val="00A26DDF"/>
    <w:rsid w:val="00A27409"/>
    <w:rsid w:val="00A2751B"/>
    <w:rsid w:val="00A300A6"/>
    <w:rsid w:val="00A306BF"/>
    <w:rsid w:val="00A30C9F"/>
    <w:rsid w:val="00A30CC9"/>
    <w:rsid w:val="00A319AB"/>
    <w:rsid w:val="00A31DEC"/>
    <w:rsid w:val="00A320B7"/>
    <w:rsid w:val="00A320DF"/>
    <w:rsid w:val="00A32292"/>
    <w:rsid w:val="00A32355"/>
    <w:rsid w:val="00A3261A"/>
    <w:rsid w:val="00A3288F"/>
    <w:rsid w:val="00A32C75"/>
    <w:rsid w:val="00A32E6C"/>
    <w:rsid w:val="00A3320F"/>
    <w:rsid w:val="00A332E8"/>
    <w:rsid w:val="00A334A5"/>
    <w:rsid w:val="00A33838"/>
    <w:rsid w:val="00A33B7C"/>
    <w:rsid w:val="00A34786"/>
    <w:rsid w:val="00A34884"/>
    <w:rsid w:val="00A34B8F"/>
    <w:rsid w:val="00A34C30"/>
    <w:rsid w:val="00A3511E"/>
    <w:rsid w:val="00A359F4"/>
    <w:rsid w:val="00A35CAE"/>
    <w:rsid w:val="00A35F3A"/>
    <w:rsid w:val="00A35F46"/>
    <w:rsid w:val="00A361C0"/>
    <w:rsid w:val="00A36308"/>
    <w:rsid w:val="00A364F1"/>
    <w:rsid w:val="00A365F4"/>
    <w:rsid w:val="00A36880"/>
    <w:rsid w:val="00A36EBA"/>
    <w:rsid w:val="00A37885"/>
    <w:rsid w:val="00A37AC9"/>
    <w:rsid w:val="00A37E47"/>
    <w:rsid w:val="00A403CB"/>
    <w:rsid w:val="00A4053E"/>
    <w:rsid w:val="00A4079D"/>
    <w:rsid w:val="00A40A1A"/>
    <w:rsid w:val="00A417A0"/>
    <w:rsid w:val="00A41A49"/>
    <w:rsid w:val="00A41C21"/>
    <w:rsid w:val="00A42815"/>
    <w:rsid w:val="00A43302"/>
    <w:rsid w:val="00A43540"/>
    <w:rsid w:val="00A43593"/>
    <w:rsid w:val="00A4361A"/>
    <w:rsid w:val="00A43665"/>
    <w:rsid w:val="00A43739"/>
    <w:rsid w:val="00A437D5"/>
    <w:rsid w:val="00A43A51"/>
    <w:rsid w:val="00A43AEF"/>
    <w:rsid w:val="00A43B14"/>
    <w:rsid w:val="00A4445B"/>
    <w:rsid w:val="00A446D2"/>
    <w:rsid w:val="00A44893"/>
    <w:rsid w:val="00A44A3E"/>
    <w:rsid w:val="00A44ABA"/>
    <w:rsid w:val="00A44FA9"/>
    <w:rsid w:val="00A451C1"/>
    <w:rsid w:val="00A452E6"/>
    <w:rsid w:val="00A45596"/>
    <w:rsid w:val="00A45FF7"/>
    <w:rsid w:val="00A469E9"/>
    <w:rsid w:val="00A46A79"/>
    <w:rsid w:val="00A47598"/>
    <w:rsid w:val="00A477BD"/>
    <w:rsid w:val="00A477F4"/>
    <w:rsid w:val="00A47C69"/>
    <w:rsid w:val="00A50303"/>
    <w:rsid w:val="00A5064C"/>
    <w:rsid w:val="00A50687"/>
    <w:rsid w:val="00A50B66"/>
    <w:rsid w:val="00A50DA4"/>
    <w:rsid w:val="00A511E5"/>
    <w:rsid w:val="00A5122F"/>
    <w:rsid w:val="00A512BC"/>
    <w:rsid w:val="00A514F2"/>
    <w:rsid w:val="00A51691"/>
    <w:rsid w:val="00A51A90"/>
    <w:rsid w:val="00A51E1C"/>
    <w:rsid w:val="00A52252"/>
    <w:rsid w:val="00A52664"/>
    <w:rsid w:val="00A527B8"/>
    <w:rsid w:val="00A53452"/>
    <w:rsid w:val="00A5364F"/>
    <w:rsid w:val="00A53CCB"/>
    <w:rsid w:val="00A54687"/>
    <w:rsid w:val="00A54EF4"/>
    <w:rsid w:val="00A5554A"/>
    <w:rsid w:val="00A55A0F"/>
    <w:rsid w:val="00A55CEA"/>
    <w:rsid w:val="00A55F0D"/>
    <w:rsid w:val="00A5618E"/>
    <w:rsid w:val="00A56A59"/>
    <w:rsid w:val="00A56E96"/>
    <w:rsid w:val="00A56F8F"/>
    <w:rsid w:val="00A57635"/>
    <w:rsid w:val="00A57C57"/>
    <w:rsid w:val="00A57C58"/>
    <w:rsid w:val="00A57C8D"/>
    <w:rsid w:val="00A57EA9"/>
    <w:rsid w:val="00A57F76"/>
    <w:rsid w:val="00A60B21"/>
    <w:rsid w:val="00A60F00"/>
    <w:rsid w:val="00A611A8"/>
    <w:rsid w:val="00A61477"/>
    <w:rsid w:val="00A61659"/>
    <w:rsid w:val="00A617CC"/>
    <w:rsid w:val="00A619E6"/>
    <w:rsid w:val="00A61D90"/>
    <w:rsid w:val="00A61F47"/>
    <w:rsid w:val="00A61F50"/>
    <w:rsid w:val="00A6244C"/>
    <w:rsid w:val="00A62A48"/>
    <w:rsid w:val="00A62B93"/>
    <w:rsid w:val="00A62D37"/>
    <w:rsid w:val="00A6351E"/>
    <w:rsid w:val="00A6389A"/>
    <w:rsid w:val="00A63929"/>
    <w:rsid w:val="00A63D87"/>
    <w:rsid w:val="00A64869"/>
    <w:rsid w:val="00A648F1"/>
    <w:rsid w:val="00A64953"/>
    <w:rsid w:val="00A64EA6"/>
    <w:rsid w:val="00A65025"/>
    <w:rsid w:val="00A65304"/>
    <w:rsid w:val="00A65343"/>
    <w:rsid w:val="00A6542D"/>
    <w:rsid w:val="00A657C6"/>
    <w:rsid w:val="00A6638D"/>
    <w:rsid w:val="00A66942"/>
    <w:rsid w:val="00A66B90"/>
    <w:rsid w:val="00A67546"/>
    <w:rsid w:val="00A67C4B"/>
    <w:rsid w:val="00A700EA"/>
    <w:rsid w:val="00A70A70"/>
    <w:rsid w:val="00A70DFB"/>
    <w:rsid w:val="00A70E91"/>
    <w:rsid w:val="00A7192F"/>
    <w:rsid w:val="00A719BA"/>
    <w:rsid w:val="00A71BC6"/>
    <w:rsid w:val="00A71E4C"/>
    <w:rsid w:val="00A720F7"/>
    <w:rsid w:val="00A7237B"/>
    <w:rsid w:val="00A72A43"/>
    <w:rsid w:val="00A73152"/>
    <w:rsid w:val="00A73841"/>
    <w:rsid w:val="00A73D3E"/>
    <w:rsid w:val="00A74189"/>
    <w:rsid w:val="00A743CA"/>
    <w:rsid w:val="00A74ABF"/>
    <w:rsid w:val="00A74B81"/>
    <w:rsid w:val="00A74D50"/>
    <w:rsid w:val="00A7520E"/>
    <w:rsid w:val="00A75356"/>
    <w:rsid w:val="00A75410"/>
    <w:rsid w:val="00A75BD4"/>
    <w:rsid w:val="00A75CAE"/>
    <w:rsid w:val="00A75E6F"/>
    <w:rsid w:val="00A75EE2"/>
    <w:rsid w:val="00A761A5"/>
    <w:rsid w:val="00A76209"/>
    <w:rsid w:val="00A76494"/>
    <w:rsid w:val="00A76C56"/>
    <w:rsid w:val="00A76D90"/>
    <w:rsid w:val="00A76DAB"/>
    <w:rsid w:val="00A7786A"/>
    <w:rsid w:val="00A77ADE"/>
    <w:rsid w:val="00A77D8D"/>
    <w:rsid w:val="00A77DC5"/>
    <w:rsid w:val="00A80337"/>
    <w:rsid w:val="00A8040F"/>
    <w:rsid w:val="00A8045E"/>
    <w:rsid w:val="00A80A2D"/>
    <w:rsid w:val="00A80E4A"/>
    <w:rsid w:val="00A81198"/>
    <w:rsid w:val="00A81268"/>
    <w:rsid w:val="00A8154D"/>
    <w:rsid w:val="00A819BF"/>
    <w:rsid w:val="00A81F0F"/>
    <w:rsid w:val="00A822DD"/>
    <w:rsid w:val="00A82B5E"/>
    <w:rsid w:val="00A82C8F"/>
    <w:rsid w:val="00A82D61"/>
    <w:rsid w:val="00A82D91"/>
    <w:rsid w:val="00A83109"/>
    <w:rsid w:val="00A8321D"/>
    <w:rsid w:val="00A83494"/>
    <w:rsid w:val="00A834D4"/>
    <w:rsid w:val="00A83972"/>
    <w:rsid w:val="00A83B5D"/>
    <w:rsid w:val="00A83C2E"/>
    <w:rsid w:val="00A83E91"/>
    <w:rsid w:val="00A84183"/>
    <w:rsid w:val="00A841B9"/>
    <w:rsid w:val="00A841D2"/>
    <w:rsid w:val="00A8443F"/>
    <w:rsid w:val="00A846A3"/>
    <w:rsid w:val="00A84A86"/>
    <w:rsid w:val="00A84B9F"/>
    <w:rsid w:val="00A851D3"/>
    <w:rsid w:val="00A859A8"/>
    <w:rsid w:val="00A859B0"/>
    <w:rsid w:val="00A85A95"/>
    <w:rsid w:val="00A85EAB"/>
    <w:rsid w:val="00A86102"/>
    <w:rsid w:val="00A86199"/>
    <w:rsid w:val="00A864FE"/>
    <w:rsid w:val="00A869E0"/>
    <w:rsid w:val="00A86B12"/>
    <w:rsid w:val="00A86DA0"/>
    <w:rsid w:val="00A870F4"/>
    <w:rsid w:val="00A8713C"/>
    <w:rsid w:val="00A875B1"/>
    <w:rsid w:val="00A8783B"/>
    <w:rsid w:val="00A87C7D"/>
    <w:rsid w:val="00A87E08"/>
    <w:rsid w:val="00A9068D"/>
    <w:rsid w:val="00A9069A"/>
    <w:rsid w:val="00A90798"/>
    <w:rsid w:val="00A90B43"/>
    <w:rsid w:val="00A90F54"/>
    <w:rsid w:val="00A9101B"/>
    <w:rsid w:val="00A91835"/>
    <w:rsid w:val="00A919D6"/>
    <w:rsid w:val="00A9207B"/>
    <w:rsid w:val="00A9209F"/>
    <w:rsid w:val="00A92492"/>
    <w:rsid w:val="00A928FC"/>
    <w:rsid w:val="00A92F7F"/>
    <w:rsid w:val="00A92FA8"/>
    <w:rsid w:val="00A92FCD"/>
    <w:rsid w:val="00A9361F"/>
    <w:rsid w:val="00A9379C"/>
    <w:rsid w:val="00A937AF"/>
    <w:rsid w:val="00A93A16"/>
    <w:rsid w:val="00A93AF0"/>
    <w:rsid w:val="00A93B02"/>
    <w:rsid w:val="00A93E94"/>
    <w:rsid w:val="00A94070"/>
    <w:rsid w:val="00A94074"/>
    <w:rsid w:val="00A94221"/>
    <w:rsid w:val="00A94407"/>
    <w:rsid w:val="00A946FA"/>
    <w:rsid w:val="00A94853"/>
    <w:rsid w:val="00A94AEA"/>
    <w:rsid w:val="00A94D07"/>
    <w:rsid w:val="00A95595"/>
    <w:rsid w:val="00A95599"/>
    <w:rsid w:val="00A95772"/>
    <w:rsid w:val="00A958DA"/>
    <w:rsid w:val="00A96396"/>
    <w:rsid w:val="00A9684A"/>
    <w:rsid w:val="00A968B1"/>
    <w:rsid w:val="00A96B52"/>
    <w:rsid w:val="00A973C9"/>
    <w:rsid w:val="00A97539"/>
    <w:rsid w:val="00A97876"/>
    <w:rsid w:val="00A97AC0"/>
    <w:rsid w:val="00AA0270"/>
    <w:rsid w:val="00AA0318"/>
    <w:rsid w:val="00AA10A3"/>
    <w:rsid w:val="00AA115E"/>
    <w:rsid w:val="00AA1250"/>
    <w:rsid w:val="00AA18DF"/>
    <w:rsid w:val="00AA19E4"/>
    <w:rsid w:val="00AA216E"/>
    <w:rsid w:val="00AA2186"/>
    <w:rsid w:val="00AA269D"/>
    <w:rsid w:val="00AA2EA4"/>
    <w:rsid w:val="00AA347C"/>
    <w:rsid w:val="00AA36E3"/>
    <w:rsid w:val="00AA3D81"/>
    <w:rsid w:val="00AA3EB4"/>
    <w:rsid w:val="00AA43A5"/>
    <w:rsid w:val="00AA4BF4"/>
    <w:rsid w:val="00AA4D09"/>
    <w:rsid w:val="00AA4DFF"/>
    <w:rsid w:val="00AA4E73"/>
    <w:rsid w:val="00AA5116"/>
    <w:rsid w:val="00AA5439"/>
    <w:rsid w:val="00AA58C0"/>
    <w:rsid w:val="00AA5DAD"/>
    <w:rsid w:val="00AA608D"/>
    <w:rsid w:val="00AA6371"/>
    <w:rsid w:val="00AA63F0"/>
    <w:rsid w:val="00AA6540"/>
    <w:rsid w:val="00AA67A7"/>
    <w:rsid w:val="00AA6C53"/>
    <w:rsid w:val="00AA708D"/>
    <w:rsid w:val="00AA70C8"/>
    <w:rsid w:val="00AA7246"/>
    <w:rsid w:val="00AA74C7"/>
    <w:rsid w:val="00AA7699"/>
    <w:rsid w:val="00AA7C5A"/>
    <w:rsid w:val="00AA7FC2"/>
    <w:rsid w:val="00AB0335"/>
    <w:rsid w:val="00AB0365"/>
    <w:rsid w:val="00AB039C"/>
    <w:rsid w:val="00AB0A48"/>
    <w:rsid w:val="00AB0AB4"/>
    <w:rsid w:val="00AB0ACF"/>
    <w:rsid w:val="00AB0AE4"/>
    <w:rsid w:val="00AB0B93"/>
    <w:rsid w:val="00AB1102"/>
    <w:rsid w:val="00AB172A"/>
    <w:rsid w:val="00AB1900"/>
    <w:rsid w:val="00AB1A70"/>
    <w:rsid w:val="00AB1CB2"/>
    <w:rsid w:val="00AB1CE9"/>
    <w:rsid w:val="00AB1D89"/>
    <w:rsid w:val="00AB1E39"/>
    <w:rsid w:val="00AB2B90"/>
    <w:rsid w:val="00AB2D18"/>
    <w:rsid w:val="00AB3093"/>
    <w:rsid w:val="00AB3FFC"/>
    <w:rsid w:val="00AB400E"/>
    <w:rsid w:val="00AB4772"/>
    <w:rsid w:val="00AB4948"/>
    <w:rsid w:val="00AB4EBB"/>
    <w:rsid w:val="00AB5B8C"/>
    <w:rsid w:val="00AB5E51"/>
    <w:rsid w:val="00AB6034"/>
    <w:rsid w:val="00AB609A"/>
    <w:rsid w:val="00AB62CE"/>
    <w:rsid w:val="00AB6312"/>
    <w:rsid w:val="00AB63E5"/>
    <w:rsid w:val="00AB6428"/>
    <w:rsid w:val="00AB6F00"/>
    <w:rsid w:val="00AB70B3"/>
    <w:rsid w:val="00AB70D3"/>
    <w:rsid w:val="00AB7328"/>
    <w:rsid w:val="00AB743D"/>
    <w:rsid w:val="00AC0D87"/>
    <w:rsid w:val="00AC1586"/>
    <w:rsid w:val="00AC1C7A"/>
    <w:rsid w:val="00AC23EA"/>
    <w:rsid w:val="00AC2BAA"/>
    <w:rsid w:val="00AC2BB6"/>
    <w:rsid w:val="00AC2EB2"/>
    <w:rsid w:val="00AC3236"/>
    <w:rsid w:val="00AC3EC3"/>
    <w:rsid w:val="00AC4281"/>
    <w:rsid w:val="00AC4CD7"/>
    <w:rsid w:val="00AC57D1"/>
    <w:rsid w:val="00AC58D1"/>
    <w:rsid w:val="00AC5B0F"/>
    <w:rsid w:val="00AC5C2F"/>
    <w:rsid w:val="00AC61E3"/>
    <w:rsid w:val="00AC6229"/>
    <w:rsid w:val="00AC6B61"/>
    <w:rsid w:val="00AC7271"/>
    <w:rsid w:val="00AC76F2"/>
    <w:rsid w:val="00AC781C"/>
    <w:rsid w:val="00AC785B"/>
    <w:rsid w:val="00AD0B75"/>
    <w:rsid w:val="00AD0DF8"/>
    <w:rsid w:val="00AD0E45"/>
    <w:rsid w:val="00AD1309"/>
    <w:rsid w:val="00AD1373"/>
    <w:rsid w:val="00AD1409"/>
    <w:rsid w:val="00AD1B4F"/>
    <w:rsid w:val="00AD1BCC"/>
    <w:rsid w:val="00AD1D5F"/>
    <w:rsid w:val="00AD1F88"/>
    <w:rsid w:val="00AD1FFE"/>
    <w:rsid w:val="00AD2355"/>
    <w:rsid w:val="00AD2647"/>
    <w:rsid w:val="00AD285D"/>
    <w:rsid w:val="00AD286B"/>
    <w:rsid w:val="00AD3095"/>
    <w:rsid w:val="00AD31BD"/>
    <w:rsid w:val="00AD3FEC"/>
    <w:rsid w:val="00AD44A7"/>
    <w:rsid w:val="00AD49F5"/>
    <w:rsid w:val="00AD4D77"/>
    <w:rsid w:val="00AD4EE2"/>
    <w:rsid w:val="00AD50DA"/>
    <w:rsid w:val="00AD521D"/>
    <w:rsid w:val="00AD53FD"/>
    <w:rsid w:val="00AD56B1"/>
    <w:rsid w:val="00AD5AD6"/>
    <w:rsid w:val="00AD6079"/>
    <w:rsid w:val="00AD68DA"/>
    <w:rsid w:val="00AD75FD"/>
    <w:rsid w:val="00AD771F"/>
    <w:rsid w:val="00AD7CD6"/>
    <w:rsid w:val="00AD7CF8"/>
    <w:rsid w:val="00AD7F80"/>
    <w:rsid w:val="00AD7FB2"/>
    <w:rsid w:val="00AE03BF"/>
    <w:rsid w:val="00AE04DE"/>
    <w:rsid w:val="00AE0DD4"/>
    <w:rsid w:val="00AE1C58"/>
    <w:rsid w:val="00AE2313"/>
    <w:rsid w:val="00AE252F"/>
    <w:rsid w:val="00AE2AA4"/>
    <w:rsid w:val="00AE2FFA"/>
    <w:rsid w:val="00AE30D0"/>
    <w:rsid w:val="00AE31AD"/>
    <w:rsid w:val="00AE373B"/>
    <w:rsid w:val="00AE3A7D"/>
    <w:rsid w:val="00AE3CF4"/>
    <w:rsid w:val="00AE4B74"/>
    <w:rsid w:val="00AE4ED1"/>
    <w:rsid w:val="00AE4F24"/>
    <w:rsid w:val="00AE519D"/>
    <w:rsid w:val="00AE5431"/>
    <w:rsid w:val="00AE5634"/>
    <w:rsid w:val="00AE5F26"/>
    <w:rsid w:val="00AE61CF"/>
    <w:rsid w:val="00AE69F0"/>
    <w:rsid w:val="00AE7202"/>
    <w:rsid w:val="00AE7703"/>
    <w:rsid w:val="00AE7A68"/>
    <w:rsid w:val="00AE7C0A"/>
    <w:rsid w:val="00AF02A4"/>
    <w:rsid w:val="00AF06E3"/>
    <w:rsid w:val="00AF0947"/>
    <w:rsid w:val="00AF0A18"/>
    <w:rsid w:val="00AF0C28"/>
    <w:rsid w:val="00AF0D35"/>
    <w:rsid w:val="00AF0F7A"/>
    <w:rsid w:val="00AF1124"/>
    <w:rsid w:val="00AF130C"/>
    <w:rsid w:val="00AF1542"/>
    <w:rsid w:val="00AF1952"/>
    <w:rsid w:val="00AF1978"/>
    <w:rsid w:val="00AF1CA9"/>
    <w:rsid w:val="00AF1D0B"/>
    <w:rsid w:val="00AF2043"/>
    <w:rsid w:val="00AF2547"/>
    <w:rsid w:val="00AF267D"/>
    <w:rsid w:val="00AF2CA7"/>
    <w:rsid w:val="00AF2DB0"/>
    <w:rsid w:val="00AF2DC2"/>
    <w:rsid w:val="00AF3362"/>
    <w:rsid w:val="00AF34BD"/>
    <w:rsid w:val="00AF34D7"/>
    <w:rsid w:val="00AF3620"/>
    <w:rsid w:val="00AF3CDD"/>
    <w:rsid w:val="00AF4C73"/>
    <w:rsid w:val="00AF4F4D"/>
    <w:rsid w:val="00AF5164"/>
    <w:rsid w:val="00AF5332"/>
    <w:rsid w:val="00AF5370"/>
    <w:rsid w:val="00AF5A53"/>
    <w:rsid w:val="00AF5E7C"/>
    <w:rsid w:val="00AF63DB"/>
    <w:rsid w:val="00AF6568"/>
    <w:rsid w:val="00AF660A"/>
    <w:rsid w:val="00AF67C5"/>
    <w:rsid w:val="00AF68EA"/>
    <w:rsid w:val="00AF6C63"/>
    <w:rsid w:val="00AF79DE"/>
    <w:rsid w:val="00AF7A31"/>
    <w:rsid w:val="00AF7FBF"/>
    <w:rsid w:val="00B00B95"/>
    <w:rsid w:val="00B00C09"/>
    <w:rsid w:val="00B0100B"/>
    <w:rsid w:val="00B01154"/>
    <w:rsid w:val="00B0158C"/>
    <w:rsid w:val="00B0176A"/>
    <w:rsid w:val="00B01FAE"/>
    <w:rsid w:val="00B02493"/>
    <w:rsid w:val="00B0259C"/>
    <w:rsid w:val="00B02AA4"/>
    <w:rsid w:val="00B02C28"/>
    <w:rsid w:val="00B03254"/>
    <w:rsid w:val="00B0325F"/>
    <w:rsid w:val="00B035D8"/>
    <w:rsid w:val="00B0373C"/>
    <w:rsid w:val="00B037A3"/>
    <w:rsid w:val="00B037DF"/>
    <w:rsid w:val="00B03A03"/>
    <w:rsid w:val="00B041E2"/>
    <w:rsid w:val="00B04958"/>
    <w:rsid w:val="00B059D9"/>
    <w:rsid w:val="00B05AC7"/>
    <w:rsid w:val="00B05AF7"/>
    <w:rsid w:val="00B060DC"/>
    <w:rsid w:val="00B06267"/>
    <w:rsid w:val="00B067DC"/>
    <w:rsid w:val="00B0701D"/>
    <w:rsid w:val="00B07363"/>
    <w:rsid w:val="00B078F0"/>
    <w:rsid w:val="00B1017F"/>
    <w:rsid w:val="00B1029D"/>
    <w:rsid w:val="00B10310"/>
    <w:rsid w:val="00B104BD"/>
    <w:rsid w:val="00B104E6"/>
    <w:rsid w:val="00B10553"/>
    <w:rsid w:val="00B116C8"/>
    <w:rsid w:val="00B11D47"/>
    <w:rsid w:val="00B1201D"/>
    <w:rsid w:val="00B124F3"/>
    <w:rsid w:val="00B128D7"/>
    <w:rsid w:val="00B12B41"/>
    <w:rsid w:val="00B13A6C"/>
    <w:rsid w:val="00B13BF0"/>
    <w:rsid w:val="00B13EFB"/>
    <w:rsid w:val="00B1412A"/>
    <w:rsid w:val="00B14358"/>
    <w:rsid w:val="00B144B1"/>
    <w:rsid w:val="00B14958"/>
    <w:rsid w:val="00B150AB"/>
    <w:rsid w:val="00B155E9"/>
    <w:rsid w:val="00B1569A"/>
    <w:rsid w:val="00B1569C"/>
    <w:rsid w:val="00B15817"/>
    <w:rsid w:val="00B15A5D"/>
    <w:rsid w:val="00B15D3A"/>
    <w:rsid w:val="00B15D53"/>
    <w:rsid w:val="00B15DEA"/>
    <w:rsid w:val="00B16066"/>
    <w:rsid w:val="00B16156"/>
    <w:rsid w:val="00B1650A"/>
    <w:rsid w:val="00B166CB"/>
    <w:rsid w:val="00B167FA"/>
    <w:rsid w:val="00B1695C"/>
    <w:rsid w:val="00B16ACB"/>
    <w:rsid w:val="00B16F51"/>
    <w:rsid w:val="00B174BD"/>
    <w:rsid w:val="00B175AB"/>
    <w:rsid w:val="00B176BB"/>
    <w:rsid w:val="00B177BF"/>
    <w:rsid w:val="00B1791A"/>
    <w:rsid w:val="00B1794D"/>
    <w:rsid w:val="00B17EB9"/>
    <w:rsid w:val="00B20085"/>
    <w:rsid w:val="00B201A3"/>
    <w:rsid w:val="00B2037D"/>
    <w:rsid w:val="00B2048F"/>
    <w:rsid w:val="00B20622"/>
    <w:rsid w:val="00B207DB"/>
    <w:rsid w:val="00B211C9"/>
    <w:rsid w:val="00B21216"/>
    <w:rsid w:val="00B2136A"/>
    <w:rsid w:val="00B213CD"/>
    <w:rsid w:val="00B217F5"/>
    <w:rsid w:val="00B2222C"/>
    <w:rsid w:val="00B2241A"/>
    <w:rsid w:val="00B224DE"/>
    <w:rsid w:val="00B22660"/>
    <w:rsid w:val="00B22668"/>
    <w:rsid w:val="00B22675"/>
    <w:rsid w:val="00B22885"/>
    <w:rsid w:val="00B22B2F"/>
    <w:rsid w:val="00B22DF7"/>
    <w:rsid w:val="00B230B8"/>
    <w:rsid w:val="00B232ED"/>
    <w:rsid w:val="00B2344F"/>
    <w:rsid w:val="00B234FA"/>
    <w:rsid w:val="00B23A9C"/>
    <w:rsid w:val="00B23D03"/>
    <w:rsid w:val="00B24115"/>
    <w:rsid w:val="00B247CB"/>
    <w:rsid w:val="00B25199"/>
    <w:rsid w:val="00B2522B"/>
    <w:rsid w:val="00B257B7"/>
    <w:rsid w:val="00B25881"/>
    <w:rsid w:val="00B25C26"/>
    <w:rsid w:val="00B25E0E"/>
    <w:rsid w:val="00B25E1E"/>
    <w:rsid w:val="00B266CB"/>
    <w:rsid w:val="00B26707"/>
    <w:rsid w:val="00B26B3B"/>
    <w:rsid w:val="00B277C0"/>
    <w:rsid w:val="00B27800"/>
    <w:rsid w:val="00B30068"/>
    <w:rsid w:val="00B3034D"/>
    <w:rsid w:val="00B3037A"/>
    <w:rsid w:val="00B30755"/>
    <w:rsid w:val="00B31AC2"/>
    <w:rsid w:val="00B32160"/>
    <w:rsid w:val="00B32C97"/>
    <w:rsid w:val="00B32F1E"/>
    <w:rsid w:val="00B333C3"/>
    <w:rsid w:val="00B338D4"/>
    <w:rsid w:val="00B33B91"/>
    <w:rsid w:val="00B3462E"/>
    <w:rsid w:val="00B34941"/>
    <w:rsid w:val="00B34CCE"/>
    <w:rsid w:val="00B35946"/>
    <w:rsid w:val="00B35BFA"/>
    <w:rsid w:val="00B36536"/>
    <w:rsid w:val="00B36748"/>
    <w:rsid w:val="00B367C2"/>
    <w:rsid w:val="00B36D47"/>
    <w:rsid w:val="00B36DAC"/>
    <w:rsid w:val="00B371FA"/>
    <w:rsid w:val="00B37204"/>
    <w:rsid w:val="00B373AE"/>
    <w:rsid w:val="00B37457"/>
    <w:rsid w:val="00B376B3"/>
    <w:rsid w:val="00B377DE"/>
    <w:rsid w:val="00B379C7"/>
    <w:rsid w:val="00B4030A"/>
    <w:rsid w:val="00B40CC2"/>
    <w:rsid w:val="00B40F02"/>
    <w:rsid w:val="00B411DB"/>
    <w:rsid w:val="00B416FF"/>
    <w:rsid w:val="00B41C4E"/>
    <w:rsid w:val="00B41C71"/>
    <w:rsid w:val="00B4259B"/>
    <w:rsid w:val="00B426F4"/>
    <w:rsid w:val="00B42889"/>
    <w:rsid w:val="00B42933"/>
    <w:rsid w:val="00B42D38"/>
    <w:rsid w:val="00B4333E"/>
    <w:rsid w:val="00B43727"/>
    <w:rsid w:val="00B43894"/>
    <w:rsid w:val="00B43900"/>
    <w:rsid w:val="00B43957"/>
    <w:rsid w:val="00B44743"/>
    <w:rsid w:val="00B448DB"/>
    <w:rsid w:val="00B44E7B"/>
    <w:rsid w:val="00B45065"/>
    <w:rsid w:val="00B454B8"/>
    <w:rsid w:val="00B461AE"/>
    <w:rsid w:val="00B46CE3"/>
    <w:rsid w:val="00B46FD9"/>
    <w:rsid w:val="00B47A02"/>
    <w:rsid w:val="00B47E51"/>
    <w:rsid w:val="00B47F75"/>
    <w:rsid w:val="00B50818"/>
    <w:rsid w:val="00B50A9B"/>
    <w:rsid w:val="00B50D95"/>
    <w:rsid w:val="00B50FF6"/>
    <w:rsid w:val="00B51295"/>
    <w:rsid w:val="00B51386"/>
    <w:rsid w:val="00B51BB5"/>
    <w:rsid w:val="00B52061"/>
    <w:rsid w:val="00B528F8"/>
    <w:rsid w:val="00B529E7"/>
    <w:rsid w:val="00B52CA7"/>
    <w:rsid w:val="00B52D36"/>
    <w:rsid w:val="00B52E9C"/>
    <w:rsid w:val="00B532EA"/>
    <w:rsid w:val="00B53500"/>
    <w:rsid w:val="00B53997"/>
    <w:rsid w:val="00B53DA5"/>
    <w:rsid w:val="00B53EB9"/>
    <w:rsid w:val="00B54825"/>
    <w:rsid w:val="00B54950"/>
    <w:rsid w:val="00B54C5F"/>
    <w:rsid w:val="00B55761"/>
    <w:rsid w:val="00B559E8"/>
    <w:rsid w:val="00B55EE1"/>
    <w:rsid w:val="00B55FC2"/>
    <w:rsid w:val="00B56510"/>
    <w:rsid w:val="00B5679C"/>
    <w:rsid w:val="00B56ABD"/>
    <w:rsid w:val="00B570FD"/>
    <w:rsid w:val="00B57174"/>
    <w:rsid w:val="00B57605"/>
    <w:rsid w:val="00B57646"/>
    <w:rsid w:val="00B57CFF"/>
    <w:rsid w:val="00B60008"/>
    <w:rsid w:val="00B6038E"/>
    <w:rsid w:val="00B60F27"/>
    <w:rsid w:val="00B61852"/>
    <w:rsid w:val="00B6216F"/>
    <w:rsid w:val="00B6258F"/>
    <w:rsid w:val="00B626CD"/>
    <w:rsid w:val="00B62AB1"/>
    <w:rsid w:val="00B62C3D"/>
    <w:rsid w:val="00B62CAF"/>
    <w:rsid w:val="00B62D5B"/>
    <w:rsid w:val="00B63084"/>
    <w:rsid w:val="00B636A0"/>
    <w:rsid w:val="00B63A03"/>
    <w:rsid w:val="00B63C97"/>
    <w:rsid w:val="00B63CBD"/>
    <w:rsid w:val="00B64502"/>
    <w:rsid w:val="00B64605"/>
    <w:rsid w:val="00B649DC"/>
    <w:rsid w:val="00B64DEF"/>
    <w:rsid w:val="00B65362"/>
    <w:rsid w:val="00B6585B"/>
    <w:rsid w:val="00B65A1E"/>
    <w:rsid w:val="00B6605C"/>
    <w:rsid w:val="00B66064"/>
    <w:rsid w:val="00B6647A"/>
    <w:rsid w:val="00B66856"/>
    <w:rsid w:val="00B66A8B"/>
    <w:rsid w:val="00B66ED2"/>
    <w:rsid w:val="00B6700B"/>
    <w:rsid w:val="00B67BC8"/>
    <w:rsid w:val="00B707E3"/>
    <w:rsid w:val="00B712B1"/>
    <w:rsid w:val="00B71375"/>
    <w:rsid w:val="00B715A6"/>
    <w:rsid w:val="00B71F2C"/>
    <w:rsid w:val="00B72205"/>
    <w:rsid w:val="00B7286D"/>
    <w:rsid w:val="00B72A1F"/>
    <w:rsid w:val="00B72B59"/>
    <w:rsid w:val="00B72FA4"/>
    <w:rsid w:val="00B73A1B"/>
    <w:rsid w:val="00B73DAC"/>
    <w:rsid w:val="00B73EAA"/>
    <w:rsid w:val="00B742E3"/>
    <w:rsid w:val="00B7478F"/>
    <w:rsid w:val="00B74B42"/>
    <w:rsid w:val="00B75436"/>
    <w:rsid w:val="00B757EC"/>
    <w:rsid w:val="00B75B80"/>
    <w:rsid w:val="00B7656B"/>
    <w:rsid w:val="00B766B8"/>
    <w:rsid w:val="00B77E8E"/>
    <w:rsid w:val="00B800DC"/>
    <w:rsid w:val="00B80CDA"/>
    <w:rsid w:val="00B81007"/>
    <w:rsid w:val="00B812FD"/>
    <w:rsid w:val="00B8164F"/>
    <w:rsid w:val="00B818B6"/>
    <w:rsid w:val="00B82E51"/>
    <w:rsid w:val="00B83DEC"/>
    <w:rsid w:val="00B83E1C"/>
    <w:rsid w:val="00B84166"/>
    <w:rsid w:val="00B8419B"/>
    <w:rsid w:val="00B84595"/>
    <w:rsid w:val="00B847EA"/>
    <w:rsid w:val="00B84BB6"/>
    <w:rsid w:val="00B84C86"/>
    <w:rsid w:val="00B852A2"/>
    <w:rsid w:val="00B85353"/>
    <w:rsid w:val="00B85A9C"/>
    <w:rsid w:val="00B85C42"/>
    <w:rsid w:val="00B85DB3"/>
    <w:rsid w:val="00B8611B"/>
    <w:rsid w:val="00B8787C"/>
    <w:rsid w:val="00B87ACE"/>
    <w:rsid w:val="00B87B3B"/>
    <w:rsid w:val="00B87CE4"/>
    <w:rsid w:val="00B9038F"/>
    <w:rsid w:val="00B90407"/>
    <w:rsid w:val="00B904E7"/>
    <w:rsid w:val="00B90C78"/>
    <w:rsid w:val="00B90D82"/>
    <w:rsid w:val="00B9112B"/>
    <w:rsid w:val="00B9128D"/>
    <w:rsid w:val="00B912F9"/>
    <w:rsid w:val="00B91323"/>
    <w:rsid w:val="00B914E3"/>
    <w:rsid w:val="00B91A87"/>
    <w:rsid w:val="00B91AED"/>
    <w:rsid w:val="00B91E1F"/>
    <w:rsid w:val="00B9229D"/>
    <w:rsid w:val="00B92844"/>
    <w:rsid w:val="00B92947"/>
    <w:rsid w:val="00B9299D"/>
    <w:rsid w:val="00B92F00"/>
    <w:rsid w:val="00B930BA"/>
    <w:rsid w:val="00B933EF"/>
    <w:rsid w:val="00B93636"/>
    <w:rsid w:val="00B93C97"/>
    <w:rsid w:val="00B93D03"/>
    <w:rsid w:val="00B93FDF"/>
    <w:rsid w:val="00B952A2"/>
    <w:rsid w:val="00B95378"/>
    <w:rsid w:val="00B95428"/>
    <w:rsid w:val="00B95684"/>
    <w:rsid w:val="00B95FBD"/>
    <w:rsid w:val="00B96387"/>
    <w:rsid w:val="00B965E4"/>
    <w:rsid w:val="00B967EE"/>
    <w:rsid w:val="00B96A23"/>
    <w:rsid w:val="00B973A7"/>
    <w:rsid w:val="00B97420"/>
    <w:rsid w:val="00B97687"/>
    <w:rsid w:val="00B97908"/>
    <w:rsid w:val="00B97E84"/>
    <w:rsid w:val="00B97F2E"/>
    <w:rsid w:val="00BA05DA"/>
    <w:rsid w:val="00BA07A8"/>
    <w:rsid w:val="00BA091A"/>
    <w:rsid w:val="00BA0C34"/>
    <w:rsid w:val="00BA0ED2"/>
    <w:rsid w:val="00BA0FAA"/>
    <w:rsid w:val="00BA185F"/>
    <w:rsid w:val="00BA1B74"/>
    <w:rsid w:val="00BA1FF4"/>
    <w:rsid w:val="00BA2426"/>
    <w:rsid w:val="00BA26CF"/>
    <w:rsid w:val="00BA29D1"/>
    <w:rsid w:val="00BA2A94"/>
    <w:rsid w:val="00BA2D96"/>
    <w:rsid w:val="00BA349F"/>
    <w:rsid w:val="00BA35EB"/>
    <w:rsid w:val="00BA36CA"/>
    <w:rsid w:val="00BA3D62"/>
    <w:rsid w:val="00BA3F10"/>
    <w:rsid w:val="00BA41D4"/>
    <w:rsid w:val="00BA4266"/>
    <w:rsid w:val="00BA429B"/>
    <w:rsid w:val="00BA4DF2"/>
    <w:rsid w:val="00BA4FC6"/>
    <w:rsid w:val="00BA575B"/>
    <w:rsid w:val="00BA59EA"/>
    <w:rsid w:val="00BA5B8D"/>
    <w:rsid w:val="00BA62DB"/>
    <w:rsid w:val="00BA69CF"/>
    <w:rsid w:val="00BA6AFA"/>
    <w:rsid w:val="00BA7054"/>
    <w:rsid w:val="00BA753C"/>
    <w:rsid w:val="00BA75CF"/>
    <w:rsid w:val="00BB0344"/>
    <w:rsid w:val="00BB050C"/>
    <w:rsid w:val="00BB0861"/>
    <w:rsid w:val="00BB0E0D"/>
    <w:rsid w:val="00BB2024"/>
    <w:rsid w:val="00BB207D"/>
    <w:rsid w:val="00BB22E2"/>
    <w:rsid w:val="00BB276B"/>
    <w:rsid w:val="00BB2C7B"/>
    <w:rsid w:val="00BB3017"/>
    <w:rsid w:val="00BB3024"/>
    <w:rsid w:val="00BB3045"/>
    <w:rsid w:val="00BB33E8"/>
    <w:rsid w:val="00BB38DF"/>
    <w:rsid w:val="00BB3997"/>
    <w:rsid w:val="00BB44D6"/>
    <w:rsid w:val="00BB4894"/>
    <w:rsid w:val="00BB4E00"/>
    <w:rsid w:val="00BB5682"/>
    <w:rsid w:val="00BB5879"/>
    <w:rsid w:val="00BB5CF1"/>
    <w:rsid w:val="00BB5DFC"/>
    <w:rsid w:val="00BB6254"/>
    <w:rsid w:val="00BB628A"/>
    <w:rsid w:val="00BB6873"/>
    <w:rsid w:val="00BB6FFE"/>
    <w:rsid w:val="00BB75D1"/>
    <w:rsid w:val="00BB7811"/>
    <w:rsid w:val="00BB7B5A"/>
    <w:rsid w:val="00BB7BB0"/>
    <w:rsid w:val="00BC028B"/>
    <w:rsid w:val="00BC051A"/>
    <w:rsid w:val="00BC06AB"/>
    <w:rsid w:val="00BC06AE"/>
    <w:rsid w:val="00BC0ADF"/>
    <w:rsid w:val="00BC1248"/>
    <w:rsid w:val="00BC137B"/>
    <w:rsid w:val="00BC178E"/>
    <w:rsid w:val="00BC1921"/>
    <w:rsid w:val="00BC1A97"/>
    <w:rsid w:val="00BC1D46"/>
    <w:rsid w:val="00BC237C"/>
    <w:rsid w:val="00BC255C"/>
    <w:rsid w:val="00BC25AB"/>
    <w:rsid w:val="00BC2A8B"/>
    <w:rsid w:val="00BC2AFF"/>
    <w:rsid w:val="00BC2EBC"/>
    <w:rsid w:val="00BC2F1C"/>
    <w:rsid w:val="00BC3996"/>
    <w:rsid w:val="00BC3997"/>
    <w:rsid w:val="00BC39F7"/>
    <w:rsid w:val="00BC3CC5"/>
    <w:rsid w:val="00BC4769"/>
    <w:rsid w:val="00BC4935"/>
    <w:rsid w:val="00BC4A93"/>
    <w:rsid w:val="00BC503A"/>
    <w:rsid w:val="00BC5079"/>
    <w:rsid w:val="00BC50B8"/>
    <w:rsid w:val="00BC5B04"/>
    <w:rsid w:val="00BC5C5B"/>
    <w:rsid w:val="00BC5D9D"/>
    <w:rsid w:val="00BC74AF"/>
    <w:rsid w:val="00BC751F"/>
    <w:rsid w:val="00BC783B"/>
    <w:rsid w:val="00BC7BBD"/>
    <w:rsid w:val="00BC7DE2"/>
    <w:rsid w:val="00BC7F52"/>
    <w:rsid w:val="00BD00DB"/>
    <w:rsid w:val="00BD01AF"/>
    <w:rsid w:val="00BD01C8"/>
    <w:rsid w:val="00BD0687"/>
    <w:rsid w:val="00BD0783"/>
    <w:rsid w:val="00BD0870"/>
    <w:rsid w:val="00BD087C"/>
    <w:rsid w:val="00BD0928"/>
    <w:rsid w:val="00BD0947"/>
    <w:rsid w:val="00BD0BE9"/>
    <w:rsid w:val="00BD11DF"/>
    <w:rsid w:val="00BD1A70"/>
    <w:rsid w:val="00BD24F8"/>
    <w:rsid w:val="00BD2719"/>
    <w:rsid w:val="00BD2AD0"/>
    <w:rsid w:val="00BD2CD6"/>
    <w:rsid w:val="00BD2E46"/>
    <w:rsid w:val="00BD33BC"/>
    <w:rsid w:val="00BD3418"/>
    <w:rsid w:val="00BD3705"/>
    <w:rsid w:val="00BD3925"/>
    <w:rsid w:val="00BD3C7A"/>
    <w:rsid w:val="00BD4588"/>
    <w:rsid w:val="00BD484D"/>
    <w:rsid w:val="00BD54B5"/>
    <w:rsid w:val="00BD5546"/>
    <w:rsid w:val="00BD5815"/>
    <w:rsid w:val="00BD5F62"/>
    <w:rsid w:val="00BD60E6"/>
    <w:rsid w:val="00BD62D3"/>
    <w:rsid w:val="00BD644B"/>
    <w:rsid w:val="00BD6593"/>
    <w:rsid w:val="00BD65CD"/>
    <w:rsid w:val="00BD65F0"/>
    <w:rsid w:val="00BD6821"/>
    <w:rsid w:val="00BD683F"/>
    <w:rsid w:val="00BD6A0E"/>
    <w:rsid w:val="00BD6BFF"/>
    <w:rsid w:val="00BD6D7C"/>
    <w:rsid w:val="00BD72A9"/>
    <w:rsid w:val="00BD7C1D"/>
    <w:rsid w:val="00BE02EE"/>
    <w:rsid w:val="00BE0416"/>
    <w:rsid w:val="00BE0544"/>
    <w:rsid w:val="00BE0EA2"/>
    <w:rsid w:val="00BE0F61"/>
    <w:rsid w:val="00BE0F6F"/>
    <w:rsid w:val="00BE1256"/>
    <w:rsid w:val="00BE160C"/>
    <w:rsid w:val="00BE17AE"/>
    <w:rsid w:val="00BE1B04"/>
    <w:rsid w:val="00BE1C71"/>
    <w:rsid w:val="00BE1E14"/>
    <w:rsid w:val="00BE26B8"/>
    <w:rsid w:val="00BE2D2A"/>
    <w:rsid w:val="00BE2F61"/>
    <w:rsid w:val="00BE2FF0"/>
    <w:rsid w:val="00BE30A8"/>
    <w:rsid w:val="00BE3510"/>
    <w:rsid w:val="00BE3695"/>
    <w:rsid w:val="00BE36D2"/>
    <w:rsid w:val="00BE384F"/>
    <w:rsid w:val="00BE3BCE"/>
    <w:rsid w:val="00BE3D99"/>
    <w:rsid w:val="00BE3EB4"/>
    <w:rsid w:val="00BE3FF7"/>
    <w:rsid w:val="00BE439A"/>
    <w:rsid w:val="00BE43D7"/>
    <w:rsid w:val="00BE49E0"/>
    <w:rsid w:val="00BE5017"/>
    <w:rsid w:val="00BE555D"/>
    <w:rsid w:val="00BE5B9D"/>
    <w:rsid w:val="00BE5CAE"/>
    <w:rsid w:val="00BE661B"/>
    <w:rsid w:val="00BE67D0"/>
    <w:rsid w:val="00BE6CDF"/>
    <w:rsid w:val="00BE7493"/>
    <w:rsid w:val="00BE768D"/>
    <w:rsid w:val="00BE77BF"/>
    <w:rsid w:val="00BE77DD"/>
    <w:rsid w:val="00BE7DA7"/>
    <w:rsid w:val="00BF017D"/>
    <w:rsid w:val="00BF07FC"/>
    <w:rsid w:val="00BF0B77"/>
    <w:rsid w:val="00BF0E50"/>
    <w:rsid w:val="00BF15C8"/>
    <w:rsid w:val="00BF1B93"/>
    <w:rsid w:val="00BF1BB8"/>
    <w:rsid w:val="00BF21A4"/>
    <w:rsid w:val="00BF2205"/>
    <w:rsid w:val="00BF26DE"/>
    <w:rsid w:val="00BF2837"/>
    <w:rsid w:val="00BF2AB0"/>
    <w:rsid w:val="00BF2CC0"/>
    <w:rsid w:val="00BF2EF6"/>
    <w:rsid w:val="00BF32D5"/>
    <w:rsid w:val="00BF3A7E"/>
    <w:rsid w:val="00BF3B51"/>
    <w:rsid w:val="00BF3BA0"/>
    <w:rsid w:val="00BF3C2A"/>
    <w:rsid w:val="00BF40F8"/>
    <w:rsid w:val="00BF479F"/>
    <w:rsid w:val="00BF4815"/>
    <w:rsid w:val="00BF4936"/>
    <w:rsid w:val="00BF49E9"/>
    <w:rsid w:val="00BF4B00"/>
    <w:rsid w:val="00BF4DA9"/>
    <w:rsid w:val="00BF51AC"/>
    <w:rsid w:val="00BF5391"/>
    <w:rsid w:val="00BF5677"/>
    <w:rsid w:val="00BF5B96"/>
    <w:rsid w:val="00BF5D26"/>
    <w:rsid w:val="00BF644C"/>
    <w:rsid w:val="00BF658E"/>
    <w:rsid w:val="00BF65F8"/>
    <w:rsid w:val="00BF6811"/>
    <w:rsid w:val="00BF6AD2"/>
    <w:rsid w:val="00BF72D8"/>
    <w:rsid w:val="00BF77BA"/>
    <w:rsid w:val="00BF7911"/>
    <w:rsid w:val="00BF7DF7"/>
    <w:rsid w:val="00C00123"/>
    <w:rsid w:val="00C005B8"/>
    <w:rsid w:val="00C00635"/>
    <w:rsid w:val="00C00791"/>
    <w:rsid w:val="00C00AA0"/>
    <w:rsid w:val="00C00BDE"/>
    <w:rsid w:val="00C01324"/>
    <w:rsid w:val="00C013A2"/>
    <w:rsid w:val="00C014F9"/>
    <w:rsid w:val="00C0165F"/>
    <w:rsid w:val="00C0186E"/>
    <w:rsid w:val="00C0237B"/>
    <w:rsid w:val="00C03136"/>
    <w:rsid w:val="00C03205"/>
    <w:rsid w:val="00C032FA"/>
    <w:rsid w:val="00C03727"/>
    <w:rsid w:val="00C037BD"/>
    <w:rsid w:val="00C03835"/>
    <w:rsid w:val="00C039A7"/>
    <w:rsid w:val="00C03D3D"/>
    <w:rsid w:val="00C043E1"/>
    <w:rsid w:val="00C0475E"/>
    <w:rsid w:val="00C0485D"/>
    <w:rsid w:val="00C05093"/>
    <w:rsid w:val="00C053B9"/>
    <w:rsid w:val="00C054AE"/>
    <w:rsid w:val="00C05591"/>
    <w:rsid w:val="00C05864"/>
    <w:rsid w:val="00C05BD2"/>
    <w:rsid w:val="00C06010"/>
    <w:rsid w:val="00C060D7"/>
    <w:rsid w:val="00C06402"/>
    <w:rsid w:val="00C06460"/>
    <w:rsid w:val="00C06C5E"/>
    <w:rsid w:val="00C07BC8"/>
    <w:rsid w:val="00C07CC6"/>
    <w:rsid w:val="00C101C4"/>
    <w:rsid w:val="00C10360"/>
    <w:rsid w:val="00C105CE"/>
    <w:rsid w:val="00C106A4"/>
    <w:rsid w:val="00C10829"/>
    <w:rsid w:val="00C10A77"/>
    <w:rsid w:val="00C10AE2"/>
    <w:rsid w:val="00C10C65"/>
    <w:rsid w:val="00C10FE5"/>
    <w:rsid w:val="00C1135A"/>
    <w:rsid w:val="00C11566"/>
    <w:rsid w:val="00C11715"/>
    <w:rsid w:val="00C11A43"/>
    <w:rsid w:val="00C12359"/>
    <w:rsid w:val="00C126D3"/>
    <w:rsid w:val="00C127FF"/>
    <w:rsid w:val="00C12852"/>
    <w:rsid w:val="00C12DD1"/>
    <w:rsid w:val="00C12EBF"/>
    <w:rsid w:val="00C12FD1"/>
    <w:rsid w:val="00C13DFA"/>
    <w:rsid w:val="00C1431D"/>
    <w:rsid w:val="00C14365"/>
    <w:rsid w:val="00C14385"/>
    <w:rsid w:val="00C14704"/>
    <w:rsid w:val="00C14BF5"/>
    <w:rsid w:val="00C15471"/>
    <w:rsid w:val="00C1568F"/>
    <w:rsid w:val="00C15B01"/>
    <w:rsid w:val="00C15D62"/>
    <w:rsid w:val="00C1620C"/>
    <w:rsid w:val="00C1691F"/>
    <w:rsid w:val="00C1698C"/>
    <w:rsid w:val="00C16D78"/>
    <w:rsid w:val="00C16E75"/>
    <w:rsid w:val="00C16F29"/>
    <w:rsid w:val="00C1795E"/>
    <w:rsid w:val="00C17991"/>
    <w:rsid w:val="00C2062B"/>
    <w:rsid w:val="00C20E40"/>
    <w:rsid w:val="00C21642"/>
    <w:rsid w:val="00C21719"/>
    <w:rsid w:val="00C217B0"/>
    <w:rsid w:val="00C217F3"/>
    <w:rsid w:val="00C21BDB"/>
    <w:rsid w:val="00C2274B"/>
    <w:rsid w:val="00C2276F"/>
    <w:rsid w:val="00C22C2F"/>
    <w:rsid w:val="00C22C77"/>
    <w:rsid w:val="00C22E55"/>
    <w:rsid w:val="00C23001"/>
    <w:rsid w:val="00C23294"/>
    <w:rsid w:val="00C23831"/>
    <w:rsid w:val="00C23916"/>
    <w:rsid w:val="00C23C91"/>
    <w:rsid w:val="00C23E49"/>
    <w:rsid w:val="00C23F16"/>
    <w:rsid w:val="00C2435C"/>
    <w:rsid w:val="00C245C6"/>
    <w:rsid w:val="00C247EA"/>
    <w:rsid w:val="00C24A57"/>
    <w:rsid w:val="00C24ACB"/>
    <w:rsid w:val="00C2541A"/>
    <w:rsid w:val="00C25698"/>
    <w:rsid w:val="00C25A6F"/>
    <w:rsid w:val="00C26364"/>
    <w:rsid w:val="00C26AE1"/>
    <w:rsid w:val="00C271E5"/>
    <w:rsid w:val="00C273A8"/>
    <w:rsid w:val="00C27530"/>
    <w:rsid w:val="00C2769C"/>
    <w:rsid w:val="00C27C93"/>
    <w:rsid w:val="00C27E5C"/>
    <w:rsid w:val="00C27F62"/>
    <w:rsid w:val="00C3011B"/>
    <w:rsid w:val="00C30507"/>
    <w:rsid w:val="00C306B1"/>
    <w:rsid w:val="00C3070B"/>
    <w:rsid w:val="00C30797"/>
    <w:rsid w:val="00C3091B"/>
    <w:rsid w:val="00C30925"/>
    <w:rsid w:val="00C30AB7"/>
    <w:rsid w:val="00C30BBD"/>
    <w:rsid w:val="00C30E5C"/>
    <w:rsid w:val="00C30EB5"/>
    <w:rsid w:val="00C3126F"/>
    <w:rsid w:val="00C314A7"/>
    <w:rsid w:val="00C31C4D"/>
    <w:rsid w:val="00C321F9"/>
    <w:rsid w:val="00C32327"/>
    <w:rsid w:val="00C32508"/>
    <w:rsid w:val="00C325FB"/>
    <w:rsid w:val="00C3273E"/>
    <w:rsid w:val="00C32A36"/>
    <w:rsid w:val="00C33129"/>
    <w:rsid w:val="00C33195"/>
    <w:rsid w:val="00C333B5"/>
    <w:rsid w:val="00C3366D"/>
    <w:rsid w:val="00C339B6"/>
    <w:rsid w:val="00C34156"/>
    <w:rsid w:val="00C341D9"/>
    <w:rsid w:val="00C344D9"/>
    <w:rsid w:val="00C347CA"/>
    <w:rsid w:val="00C34B53"/>
    <w:rsid w:val="00C34F9A"/>
    <w:rsid w:val="00C3520F"/>
    <w:rsid w:val="00C35554"/>
    <w:rsid w:val="00C35583"/>
    <w:rsid w:val="00C3595D"/>
    <w:rsid w:val="00C359A3"/>
    <w:rsid w:val="00C35A55"/>
    <w:rsid w:val="00C35B21"/>
    <w:rsid w:val="00C35C2D"/>
    <w:rsid w:val="00C35D52"/>
    <w:rsid w:val="00C35FCD"/>
    <w:rsid w:val="00C35FDF"/>
    <w:rsid w:val="00C36205"/>
    <w:rsid w:val="00C36342"/>
    <w:rsid w:val="00C364C5"/>
    <w:rsid w:val="00C36927"/>
    <w:rsid w:val="00C369F4"/>
    <w:rsid w:val="00C36E9F"/>
    <w:rsid w:val="00C371AF"/>
    <w:rsid w:val="00C372D2"/>
    <w:rsid w:val="00C37558"/>
    <w:rsid w:val="00C37A21"/>
    <w:rsid w:val="00C37A29"/>
    <w:rsid w:val="00C40A48"/>
    <w:rsid w:val="00C41214"/>
    <w:rsid w:val="00C4123D"/>
    <w:rsid w:val="00C413CA"/>
    <w:rsid w:val="00C41495"/>
    <w:rsid w:val="00C415CA"/>
    <w:rsid w:val="00C417DC"/>
    <w:rsid w:val="00C41C65"/>
    <w:rsid w:val="00C421F0"/>
    <w:rsid w:val="00C42425"/>
    <w:rsid w:val="00C4260B"/>
    <w:rsid w:val="00C4293F"/>
    <w:rsid w:val="00C43225"/>
    <w:rsid w:val="00C43345"/>
    <w:rsid w:val="00C4335F"/>
    <w:rsid w:val="00C4356B"/>
    <w:rsid w:val="00C4393D"/>
    <w:rsid w:val="00C43E4D"/>
    <w:rsid w:val="00C44195"/>
    <w:rsid w:val="00C442FF"/>
    <w:rsid w:val="00C445A9"/>
    <w:rsid w:val="00C445EC"/>
    <w:rsid w:val="00C4498A"/>
    <w:rsid w:val="00C45291"/>
    <w:rsid w:val="00C45A1F"/>
    <w:rsid w:val="00C461BE"/>
    <w:rsid w:val="00C46238"/>
    <w:rsid w:val="00C46789"/>
    <w:rsid w:val="00C46EEE"/>
    <w:rsid w:val="00C47535"/>
    <w:rsid w:val="00C476FF"/>
    <w:rsid w:val="00C47BCF"/>
    <w:rsid w:val="00C47DA5"/>
    <w:rsid w:val="00C500CA"/>
    <w:rsid w:val="00C5045F"/>
    <w:rsid w:val="00C50A1C"/>
    <w:rsid w:val="00C50B29"/>
    <w:rsid w:val="00C51099"/>
    <w:rsid w:val="00C51398"/>
    <w:rsid w:val="00C515ED"/>
    <w:rsid w:val="00C518B8"/>
    <w:rsid w:val="00C520E7"/>
    <w:rsid w:val="00C526C9"/>
    <w:rsid w:val="00C52BC9"/>
    <w:rsid w:val="00C52D27"/>
    <w:rsid w:val="00C53045"/>
    <w:rsid w:val="00C53396"/>
    <w:rsid w:val="00C53FA7"/>
    <w:rsid w:val="00C54714"/>
    <w:rsid w:val="00C54ABD"/>
    <w:rsid w:val="00C54BD4"/>
    <w:rsid w:val="00C55079"/>
    <w:rsid w:val="00C552EA"/>
    <w:rsid w:val="00C55470"/>
    <w:rsid w:val="00C55589"/>
    <w:rsid w:val="00C55661"/>
    <w:rsid w:val="00C558BA"/>
    <w:rsid w:val="00C561F2"/>
    <w:rsid w:val="00C56271"/>
    <w:rsid w:val="00C56B13"/>
    <w:rsid w:val="00C56EF2"/>
    <w:rsid w:val="00C5703B"/>
    <w:rsid w:val="00C572F3"/>
    <w:rsid w:val="00C578DF"/>
    <w:rsid w:val="00C57B25"/>
    <w:rsid w:val="00C57F57"/>
    <w:rsid w:val="00C60104"/>
    <w:rsid w:val="00C601D0"/>
    <w:rsid w:val="00C60507"/>
    <w:rsid w:val="00C6069D"/>
    <w:rsid w:val="00C60769"/>
    <w:rsid w:val="00C60922"/>
    <w:rsid w:val="00C6093A"/>
    <w:rsid w:val="00C609D5"/>
    <w:rsid w:val="00C61021"/>
    <w:rsid w:val="00C61F5F"/>
    <w:rsid w:val="00C620FE"/>
    <w:rsid w:val="00C621CE"/>
    <w:rsid w:val="00C62B69"/>
    <w:rsid w:val="00C6364F"/>
    <w:rsid w:val="00C63745"/>
    <w:rsid w:val="00C63C42"/>
    <w:rsid w:val="00C640DB"/>
    <w:rsid w:val="00C6415F"/>
    <w:rsid w:val="00C64176"/>
    <w:rsid w:val="00C6421E"/>
    <w:rsid w:val="00C6481A"/>
    <w:rsid w:val="00C64CC1"/>
    <w:rsid w:val="00C64D6A"/>
    <w:rsid w:val="00C64ED4"/>
    <w:rsid w:val="00C6506B"/>
    <w:rsid w:val="00C6551E"/>
    <w:rsid w:val="00C65775"/>
    <w:rsid w:val="00C65A43"/>
    <w:rsid w:val="00C660D5"/>
    <w:rsid w:val="00C661F3"/>
    <w:rsid w:val="00C66223"/>
    <w:rsid w:val="00C66384"/>
    <w:rsid w:val="00C66B2A"/>
    <w:rsid w:val="00C66E0E"/>
    <w:rsid w:val="00C6735B"/>
    <w:rsid w:val="00C675A1"/>
    <w:rsid w:val="00C67CE4"/>
    <w:rsid w:val="00C67D35"/>
    <w:rsid w:val="00C7008F"/>
    <w:rsid w:val="00C700F1"/>
    <w:rsid w:val="00C702C3"/>
    <w:rsid w:val="00C70320"/>
    <w:rsid w:val="00C709D7"/>
    <w:rsid w:val="00C71187"/>
    <w:rsid w:val="00C714F4"/>
    <w:rsid w:val="00C7184B"/>
    <w:rsid w:val="00C72051"/>
    <w:rsid w:val="00C726C1"/>
    <w:rsid w:val="00C72BD0"/>
    <w:rsid w:val="00C72C7E"/>
    <w:rsid w:val="00C72F3D"/>
    <w:rsid w:val="00C7342B"/>
    <w:rsid w:val="00C735C4"/>
    <w:rsid w:val="00C73DC6"/>
    <w:rsid w:val="00C73EEC"/>
    <w:rsid w:val="00C74524"/>
    <w:rsid w:val="00C747E3"/>
    <w:rsid w:val="00C74AA1"/>
    <w:rsid w:val="00C7546F"/>
    <w:rsid w:val="00C754FB"/>
    <w:rsid w:val="00C755A9"/>
    <w:rsid w:val="00C759E4"/>
    <w:rsid w:val="00C75ABC"/>
    <w:rsid w:val="00C75BB0"/>
    <w:rsid w:val="00C75CD8"/>
    <w:rsid w:val="00C76046"/>
    <w:rsid w:val="00C7631B"/>
    <w:rsid w:val="00C76942"/>
    <w:rsid w:val="00C76B51"/>
    <w:rsid w:val="00C76D86"/>
    <w:rsid w:val="00C776FB"/>
    <w:rsid w:val="00C779BD"/>
    <w:rsid w:val="00C77CC8"/>
    <w:rsid w:val="00C800BD"/>
    <w:rsid w:val="00C80622"/>
    <w:rsid w:val="00C808E7"/>
    <w:rsid w:val="00C80FD5"/>
    <w:rsid w:val="00C81C13"/>
    <w:rsid w:val="00C823AD"/>
    <w:rsid w:val="00C82496"/>
    <w:rsid w:val="00C82526"/>
    <w:rsid w:val="00C82560"/>
    <w:rsid w:val="00C82994"/>
    <w:rsid w:val="00C82CB6"/>
    <w:rsid w:val="00C82D6A"/>
    <w:rsid w:val="00C82E63"/>
    <w:rsid w:val="00C830EA"/>
    <w:rsid w:val="00C84104"/>
    <w:rsid w:val="00C84749"/>
    <w:rsid w:val="00C8484B"/>
    <w:rsid w:val="00C84AF0"/>
    <w:rsid w:val="00C84BBC"/>
    <w:rsid w:val="00C84DF1"/>
    <w:rsid w:val="00C84E44"/>
    <w:rsid w:val="00C85511"/>
    <w:rsid w:val="00C85590"/>
    <w:rsid w:val="00C85649"/>
    <w:rsid w:val="00C856CC"/>
    <w:rsid w:val="00C85908"/>
    <w:rsid w:val="00C85B80"/>
    <w:rsid w:val="00C860EC"/>
    <w:rsid w:val="00C862C2"/>
    <w:rsid w:val="00C86561"/>
    <w:rsid w:val="00C8684F"/>
    <w:rsid w:val="00C870BF"/>
    <w:rsid w:val="00C871BF"/>
    <w:rsid w:val="00C876AB"/>
    <w:rsid w:val="00C8790A"/>
    <w:rsid w:val="00C8791A"/>
    <w:rsid w:val="00C87ADB"/>
    <w:rsid w:val="00C87E16"/>
    <w:rsid w:val="00C87E2F"/>
    <w:rsid w:val="00C902B0"/>
    <w:rsid w:val="00C908A0"/>
    <w:rsid w:val="00C90BD6"/>
    <w:rsid w:val="00C90D11"/>
    <w:rsid w:val="00C90E5A"/>
    <w:rsid w:val="00C910A4"/>
    <w:rsid w:val="00C9141C"/>
    <w:rsid w:val="00C91E47"/>
    <w:rsid w:val="00C91F29"/>
    <w:rsid w:val="00C9203E"/>
    <w:rsid w:val="00C9266B"/>
    <w:rsid w:val="00C927AA"/>
    <w:rsid w:val="00C92830"/>
    <w:rsid w:val="00C92AAB"/>
    <w:rsid w:val="00C93204"/>
    <w:rsid w:val="00C932B4"/>
    <w:rsid w:val="00C93398"/>
    <w:rsid w:val="00C93C12"/>
    <w:rsid w:val="00C93D7A"/>
    <w:rsid w:val="00C94021"/>
    <w:rsid w:val="00C9441D"/>
    <w:rsid w:val="00C9491B"/>
    <w:rsid w:val="00C94D50"/>
    <w:rsid w:val="00C950C7"/>
    <w:rsid w:val="00C950DB"/>
    <w:rsid w:val="00C9539D"/>
    <w:rsid w:val="00C958B4"/>
    <w:rsid w:val="00C95D69"/>
    <w:rsid w:val="00C95E94"/>
    <w:rsid w:val="00C95F7B"/>
    <w:rsid w:val="00C967B1"/>
    <w:rsid w:val="00C969C4"/>
    <w:rsid w:val="00C96F17"/>
    <w:rsid w:val="00C970C1"/>
    <w:rsid w:val="00C970ED"/>
    <w:rsid w:val="00C97158"/>
    <w:rsid w:val="00CA0119"/>
    <w:rsid w:val="00CA01B9"/>
    <w:rsid w:val="00CA061E"/>
    <w:rsid w:val="00CA06CA"/>
    <w:rsid w:val="00CA06EE"/>
    <w:rsid w:val="00CA14A7"/>
    <w:rsid w:val="00CA16D0"/>
    <w:rsid w:val="00CA1724"/>
    <w:rsid w:val="00CA17CF"/>
    <w:rsid w:val="00CA193D"/>
    <w:rsid w:val="00CA1962"/>
    <w:rsid w:val="00CA1B0B"/>
    <w:rsid w:val="00CA1B3E"/>
    <w:rsid w:val="00CA1B6A"/>
    <w:rsid w:val="00CA1DE5"/>
    <w:rsid w:val="00CA1EC3"/>
    <w:rsid w:val="00CA20A0"/>
    <w:rsid w:val="00CA26E2"/>
    <w:rsid w:val="00CA286E"/>
    <w:rsid w:val="00CA2D78"/>
    <w:rsid w:val="00CA2FF5"/>
    <w:rsid w:val="00CA32C8"/>
    <w:rsid w:val="00CA33D7"/>
    <w:rsid w:val="00CA34D5"/>
    <w:rsid w:val="00CA3AEE"/>
    <w:rsid w:val="00CA3C89"/>
    <w:rsid w:val="00CA4248"/>
    <w:rsid w:val="00CA4559"/>
    <w:rsid w:val="00CA4646"/>
    <w:rsid w:val="00CA4812"/>
    <w:rsid w:val="00CA4815"/>
    <w:rsid w:val="00CA4BA7"/>
    <w:rsid w:val="00CA517D"/>
    <w:rsid w:val="00CA51B8"/>
    <w:rsid w:val="00CA523D"/>
    <w:rsid w:val="00CA574E"/>
    <w:rsid w:val="00CA5A22"/>
    <w:rsid w:val="00CA64ED"/>
    <w:rsid w:val="00CA66AB"/>
    <w:rsid w:val="00CA687D"/>
    <w:rsid w:val="00CA6B61"/>
    <w:rsid w:val="00CA6CEC"/>
    <w:rsid w:val="00CA6FEA"/>
    <w:rsid w:val="00CA7274"/>
    <w:rsid w:val="00CA727F"/>
    <w:rsid w:val="00CA73C8"/>
    <w:rsid w:val="00CA7AF6"/>
    <w:rsid w:val="00CA7F33"/>
    <w:rsid w:val="00CB00DE"/>
    <w:rsid w:val="00CB0107"/>
    <w:rsid w:val="00CB011B"/>
    <w:rsid w:val="00CB0474"/>
    <w:rsid w:val="00CB09A3"/>
    <w:rsid w:val="00CB16DB"/>
    <w:rsid w:val="00CB1DD6"/>
    <w:rsid w:val="00CB1EB9"/>
    <w:rsid w:val="00CB1EFE"/>
    <w:rsid w:val="00CB22B5"/>
    <w:rsid w:val="00CB22E6"/>
    <w:rsid w:val="00CB290D"/>
    <w:rsid w:val="00CB2A4F"/>
    <w:rsid w:val="00CB2CBF"/>
    <w:rsid w:val="00CB34C6"/>
    <w:rsid w:val="00CB35E3"/>
    <w:rsid w:val="00CB36F2"/>
    <w:rsid w:val="00CB38DE"/>
    <w:rsid w:val="00CB3E79"/>
    <w:rsid w:val="00CB3FAC"/>
    <w:rsid w:val="00CB46B3"/>
    <w:rsid w:val="00CB4955"/>
    <w:rsid w:val="00CB4A00"/>
    <w:rsid w:val="00CB5101"/>
    <w:rsid w:val="00CB5627"/>
    <w:rsid w:val="00CB59D5"/>
    <w:rsid w:val="00CB5B5B"/>
    <w:rsid w:val="00CB6061"/>
    <w:rsid w:val="00CB68A8"/>
    <w:rsid w:val="00CB6E67"/>
    <w:rsid w:val="00CB7045"/>
    <w:rsid w:val="00CB7112"/>
    <w:rsid w:val="00CB7167"/>
    <w:rsid w:val="00CB7949"/>
    <w:rsid w:val="00CC0005"/>
    <w:rsid w:val="00CC006A"/>
    <w:rsid w:val="00CC013B"/>
    <w:rsid w:val="00CC06EE"/>
    <w:rsid w:val="00CC1321"/>
    <w:rsid w:val="00CC1394"/>
    <w:rsid w:val="00CC2025"/>
    <w:rsid w:val="00CC24F4"/>
    <w:rsid w:val="00CC25D3"/>
    <w:rsid w:val="00CC2948"/>
    <w:rsid w:val="00CC2B7D"/>
    <w:rsid w:val="00CC2D65"/>
    <w:rsid w:val="00CC2DFF"/>
    <w:rsid w:val="00CC30DE"/>
    <w:rsid w:val="00CC3239"/>
    <w:rsid w:val="00CC348E"/>
    <w:rsid w:val="00CC3B1A"/>
    <w:rsid w:val="00CC4122"/>
    <w:rsid w:val="00CC435E"/>
    <w:rsid w:val="00CC4619"/>
    <w:rsid w:val="00CC469F"/>
    <w:rsid w:val="00CC4851"/>
    <w:rsid w:val="00CC4ADD"/>
    <w:rsid w:val="00CC4DE7"/>
    <w:rsid w:val="00CC501E"/>
    <w:rsid w:val="00CC5186"/>
    <w:rsid w:val="00CC5927"/>
    <w:rsid w:val="00CC5BA7"/>
    <w:rsid w:val="00CC6004"/>
    <w:rsid w:val="00CC67B5"/>
    <w:rsid w:val="00CC6A71"/>
    <w:rsid w:val="00CC6CA6"/>
    <w:rsid w:val="00CC75C3"/>
    <w:rsid w:val="00CC7A88"/>
    <w:rsid w:val="00CC7AF3"/>
    <w:rsid w:val="00CC7ED4"/>
    <w:rsid w:val="00CC7F20"/>
    <w:rsid w:val="00CD084A"/>
    <w:rsid w:val="00CD089F"/>
    <w:rsid w:val="00CD0C78"/>
    <w:rsid w:val="00CD0E10"/>
    <w:rsid w:val="00CD10F6"/>
    <w:rsid w:val="00CD1157"/>
    <w:rsid w:val="00CD144F"/>
    <w:rsid w:val="00CD192C"/>
    <w:rsid w:val="00CD3127"/>
    <w:rsid w:val="00CD31D2"/>
    <w:rsid w:val="00CD333A"/>
    <w:rsid w:val="00CD33A5"/>
    <w:rsid w:val="00CD3931"/>
    <w:rsid w:val="00CD394A"/>
    <w:rsid w:val="00CD3F02"/>
    <w:rsid w:val="00CD4053"/>
    <w:rsid w:val="00CD4AD5"/>
    <w:rsid w:val="00CD4F68"/>
    <w:rsid w:val="00CD5573"/>
    <w:rsid w:val="00CD5852"/>
    <w:rsid w:val="00CD591F"/>
    <w:rsid w:val="00CD657D"/>
    <w:rsid w:val="00CD6E68"/>
    <w:rsid w:val="00CD6F9D"/>
    <w:rsid w:val="00CD7010"/>
    <w:rsid w:val="00CD78BD"/>
    <w:rsid w:val="00CD790F"/>
    <w:rsid w:val="00CD7AE6"/>
    <w:rsid w:val="00CE02A3"/>
    <w:rsid w:val="00CE102B"/>
    <w:rsid w:val="00CE1B42"/>
    <w:rsid w:val="00CE25AD"/>
    <w:rsid w:val="00CE285C"/>
    <w:rsid w:val="00CE294D"/>
    <w:rsid w:val="00CE29AF"/>
    <w:rsid w:val="00CE2DB4"/>
    <w:rsid w:val="00CE3A28"/>
    <w:rsid w:val="00CE4272"/>
    <w:rsid w:val="00CE43CC"/>
    <w:rsid w:val="00CE4490"/>
    <w:rsid w:val="00CE4611"/>
    <w:rsid w:val="00CE4A43"/>
    <w:rsid w:val="00CE4BDA"/>
    <w:rsid w:val="00CE4C75"/>
    <w:rsid w:val="00CE4D95"/>
    <w:rsid w:val="00CE4FFE"/>
    <w:rsid w:val="00CE53ED"/>
    <w:rsid w:val="00CE574B"/>
    <w:rsid w:val="00CE5E43"/>
    <w:rsid w:val="00CE61C0"/>
    <w:rsid w:val="00CE6349"/>
    <w:rsid w:val="00CE67E8"/>
    <w:rsid w:val="00CE70C1"/>
    <w:rsid w:val="00CE7154"/>
    <w:rsid w:val="00CE7480"/>
    <w:rsid w:val="00CE7E02"/>
    <w:rsid w:val="00CE7F0A"/>
    <w:rsid w:val="00CF013E"/>
    <w:rsid w:val="00CF03A4"/>
    <w:rsid w:val="00CF08BD"/>
    <w:rsid w:val="00CF0A06"/>
    <w:rsid w:val="00CF167E"/>
    <w:rsid w:val="00CF16DE"/>
    <w:rsid w:val="00CF1EC9"/>
    <w:rsid w:val="00CF25AE"/>
    <w:rsid w:val="00CF2616"/>
    <w:rsid w:val="00CF2674"/>
    <w:rsid w:val="00CF2807"/>
    <w:rsid w:val="00CF30B3"/>
    <w:rsid w:val="00CF3236"/>
    <w:rsid w:val="00CF36CA"/>
    <w:rsid w:val="00CF3948"/>
    <w:rsid w:val="00CF3AA9"/>
    <w:rsid w:val="00CF40FD"/>
    <w:rsid w:val="00CF5193"/>
    <w:rsid w:val="00CF5214"/>
    <w:rsid w:val="00CF530A"/>
    <w:rsid w:val="00CF53B5"/>
    <w:rsid w:val="00CF553D"/>
    <w:rsid w:val="00CF5C02"/>
    <w:rsid w:val="00CF5C43"/>
    <w:rsid w:val="00CF5F82"/>
    <w:rsid w:val="00CF6234"/>
    <w:rsid w:val="00CF63F0"/>
    <w:rsid w:val="00CF66FA"/>
    <w:rsid w:val="00CF67CE"/>
    <w:rsid w:val="00CF74F3"/>
    <w:rsid w:val="00CF7F85"/>
    <w:rsid w:val="00D00526"/>
    <w:rsid w:val="00D01190"/>
    <w:rsid w:val="00D011EB"/>
    <w:rsid w:val="00D0125A"/>
    <w:rsid w:val="00D01359"/>
    <w:rsid w:val="00D016A8"/>
    <w:rsid w:val="00D01763"/>
    <w:rsid w:val="00D01CE4"/>
    <w:rsid w:val="00D01F4D"/>
    <w:rsid w:val="00D021EA"/>
    <w:rsid w:val="00D02B67"/>
    <w:rsid w:val="00D02E0C"/>
    <w:rsid w:val="00D03493"/>
    <w:rsid w:val="00D037AC"/>
    <w:rsid w:val="00D03AF1"/>
    <w:rsid w:val="00D03EC7"/>
    <w:rsid w:val="00D03F9B"/>
    <w:rsid w:val="00D0413C"/>
    <w:rsid w:val="00D04298"/>
    <w:rsid w:val="00D042DA"/>
    <w:rsid w:val="00D047AA"/>
    <w:rsid w:val="00D04D98"/>
    <w:rsid w:val="00D04D9E"/>
    <w:rsid w:val="00D04DFE"/>
    <w:rsid w:val="00D04EE9"/>
    <w:rsid w:val="00D050AD"/>
    <w:rsid w:val="00D051E4"/>
    <w:rsid w:val="00D05C0A"/>
    <w:rsid w:val="00D05E31"/>
    <w:rsid w:val="00D05F8B"/>
    <w:rsid w:val="00D0613A"/>
    <w:rsid w:val="00D0682B"/>
    <w:rsid w:val="00D06DD4"/>
    <w:rsid w:val="00D06EE4"/>
    <w:rsid w:val="00D0786D"/>
    <w:rsid w:val="00D07B7F"/>
    <w:rsid w:val="00D07C01"/>
    <w:rsid w:val="00D07DF9"/>
    <w:rsid w:val="00D1044C"/>
    <w:rsid w:val="00D1057B"/>
    <w:rsid w:val="00D1078B"/>
    <w:rsid w:val="00D10AA9"/>
    <w:rsid w:val="00D10F16"/>
    <w:rsid w:val="00D11141"/>
    <w:rsid w:val="00D11332"/>
    <w:rsid w:val="00D11EDB"/>
    <w:rsid w:val="00D11FF8"/>
    <w:rsid w:val="00D1295E"/>
    <w:rsid w:val="00D12C99"/>
    <w:rsid w:val="00D12ED1"/>
    <w:rsid w:val="00D131F8"/>
    <w:rsid w:val="00D134AE"/>
    <w:rsid w:val="00D13752"/>
    <w:rsid w:val="00D139F9"/>
    <w:rsid w:val="00D13BAE"/>
    <w:rsid w:val="00D13E74"/>
    <w:rsid w:val="00D141EC"/>
    <w:rsid w:val="00D14859"/>
    <w:rsid w:val="00D1496C"/>
    <w:rsid w:val="00D149AF"/>
    <w:rsid w:val="00D153D4"/>
    <w:rsid w:val="00D15B0D"/>
    <w:rsid w:val="00D15BC5"/>
    <w:rsid w:val="00D15CB2"/>
    <w:rsid w:val="00D15D9D"/>
    <w:rsid w:val="00D15DA9"/>
    <w:rsid w:val="00D167BE"/>
    <w:rsid w:val="00D1685E"/>
    <w:rsid w:val="00D16B32"/>
    <w:rsid w:val="00D16C4B"/>
    <w:rsid w:val="00D16DDC"/>
    <w:rsid w:val="00D17258"/>
    <w:rsid w:val="00D1726B"/>
    <w:rsid w:val="00D17429"/>
    <w:rsid w:val="00D17A3A"/>
    <w:rsid w:val="00D17D66"/>
    <w:rsid w:val="00D20514"/>
    <w:rsid w:val="00D20A9B"/>
    <w:rsid w:val="00D210C5"/>
    <w:rsid w:val="00D21534"/>
    <w:rsid w:val="00D21880"/>
    <w:rsid w:val="00D21B12"/>
    <w:rsid w:val="00D21BB0"/>
    <w:rsid w:val="00D226D3"/>
    <w:rsid w:val="00D22C34"/>
    <w:rsid w:val="00D23154"/>
    <w:rsid w:val="00D23400"/>
    <w:rsid w:val="00D234E2"/>
    <w:rsid w:val="00D237D6"/>
    <w:rsid w:val="00D23859"/>
    <w:rsid w:val="00D239A9"/>
    <w:rsid w:val="00D2411F"/>
    <w:rsid w:val="00D24304"/>
    <w:rsid w:val="00D2451A"/>
    <w:rsid w:val="00D24B09"/>
    <w:rsid w:val="00D24F08"/>
    <w:rsid w:val="00D24F0C"/>
    <w:rsid w:val="00D24FB9"/>
    <w:rsid w:val="00D2523B"/>
    <w:rsid w:val="00D2543A"/>
    <w:rsid w:val="00D25A4F"/>
    <w:rsid w:val="00D26312"/>
    <w:rsid w:val="00D26837"/>
    <w:rsid w:val="00D26A1D"/>
    <w:rsid w:val="00D26AA9"/>
    <w:rsid w:val="00D27078"/>
    <w:rsid w:val="00D27185"/>
    <w:rsid w:val="00D2732A"/>
    <w:rsid w:val="00D2736B"/>
    <w:rsid w:val="00D27476"/>
    <w:rsid w:val="00D27651"/>
    <w:rsid w:val="00D277A9"/>
    <w:rsid w:val="00D2780D"/>
    <w:rsid w:val="00D27B44"/>
    <w:rsid w:val="00D27D2A"/>
    <w:rsid w:val="00D27F60"/>
    <w:rsid w:val="00D3021B"/>
    <w:rsid w:val="00D30352"/>
    <w:rsid w:val="00D3070C"/>
    <w:rsid w:val="00D30862"/>
    <w:rsid w:val="00D308A4"/>
    <w:rsid w:val="00D309ED"/>
    <w:rsid w:val="00D31681"/>
    <w:rsid w:val="00D3174D"/>
    <w:rsid w:val="00D31F53"/>
    <w:rsid w:val="00D32195"/>
    <w:rsid w:val="00D3220B"/>
    <w:rsid w:val="00D32C7E"/>
    <w:rsid w:val="00D32FB4"/>
    <w:rsid w:val="00D33499"/>
    <w:rsid w:val="00D335DE"/>
    <w:rsid w:val="00D33818"/>
    <w:rsid w:val="00D33957"/>
    <w:rsid w:val="00D33BE0"/>
    <w:rsid w:val="00D343EF"/>
    <w:rsid w:val="00D3449C"/>
    <w:rsid w:val="00D34714"/>
    <w:rsid w:val="00D3488B"/>
    <w:rsid w:val="00D348DB"/>
    <w:rsid w:val="00D34AAF"/>
    <w:rsid w:val="00D34B1C"/>
    <w:rsid w:val="00D34CFA"/>
    <w:rsid w:val="00D34D19"/>
    <w:rsid w:val="00D34E54"/>
    <w:rsid w:val="00D34F84"/>
    <w:rsid w:val="00D36138"/>
    <w:rsid w:val="00D363DD"/>
    <w:rsid w:val="00D366DC"/>
    <w:rsid w:val="00D36CE5"/>
    <w:rsid w:val="00D36F93"/>
    <w:rsid w:val="00D3753E"/>
    <w:rsid w:val="00D379F5"/>
    <w:rsid w:val="00D40063"/>
    <w:rsid w:val="00D4056E"/>
    <w:rsid w:val="00D4062A"/>
    <w:rsid w:val="00D40765"/>
    <w:rsid w:val="00D408A0"/>
    <w:rsid w:val="00D40B0C"/>
    <w:rsid w:val="00D40E52"/>
    <w:rsid w:val="00D410DC"/>
    <w:rsid w:val="00D41196"/>
    <w:rsid w:val="00D41615"/>
    <w:rsid w:val="00D417F4"/>
    <w:rsid w:val="00D4185A"/>
    <w:rsid w:val="00D418A5"/>
    <w:rsid w:val="00D41C1F"/>
    <w:rsid w:val="00D41C6D"/>
    <w:rsid w:val="00D41F9F"/>
    <w:rsid w:val="00D42A11"/>
    <w:rsid w:val="00D42B57"/>
    <w:rsid w:val="00D42B98"/>
    <w:rsid w:val="00D42E5E"/>
    <w:rsid w:val="00D43570"/>
    <w:rsid w:val="00D435B4"/>
    <w:rsid w:val="00D43D69"/>
    <w:rsid w:val="00D4433B"/>
    <w:rsid w:val="00D44698"/>
    <w:rsid w:val="00D446F8"/>
    <w:rsid w:val="00D44E5F"/>
    <w:rsid w:val="00D45372"/>
    <w:rsid w:val="00D4584A"/>
    <w:rsid w:val="00D45C05"/>
    <w:rsid w:val="00D45E88"/>
    <w:rsid w:val="00D46353"/>
    <w:rsid w:val="00D463C8"/>
    <w:rsid w:val="00D46791"/>
    <w:rsid w:val="00D46886"/>
    <w:rsid w:val="00D46A0F"/>
    <w:rsid w:val="00D472C5"/>
    <w:rsid w:val="00D47362"/>
    <w:rsid w:val="00D47BE8"/>
    <w:rsid w:val="00D47C51"/>
    <w:rsid w:val="00D47C6E"/>
    <w:rsid w:val="00D47CD6"/>
    <w:rsid w:val="00D50513"/>
    <w:rsid w:val="00D505F2"/>
    <w:rsid w:val="00D50BFB"/>
    <w:rsid w:val="00D50E42"/>
    <w:rsid w:val="00D50F97"/>
    <w:rsid w:val="00D514AB"/>
    <w:rsid w:val="00D526C9"/>
    <w:rsid w:val="00D5278D"/>
    <w:rsid w:val="00D5339B"/>
    <w:rsid w:val="00D53B3D"/>
    <w:rsid w:val="00D53B6D"/>
    <w:rsid w:val="00D54336"/>
    <w:rsid w:val="00D549F1"/>
    <w:rsid w:val="00D54E12"/>
    <w:rsid w:val="00D55412"/>
    <w:rsid w:val="00D5564B"/>
    <w:rsid w:val="00D55D02"/>
    <w:rsid w:val="00D55DEF"/>
    <w:rsid w:val="00D55FA7"/>
    <w:rsid w:val="00D562F2"/>
    <w:rsid w:val="00D5648B"/>
    <w:rsid w:val="00D568D8"/>
    <w:rsid w:val="00D56938"/>
    <w:rsid w:val="00D56D96"/>
    <w:rsid w:val="00D56F3E"/>
    <w:rsid w:val="00D5777C"/>
    <w:rsid w:val="00D57A3F"/>
    <w:rsid w:val="00D603EF"/>
    <w:rsid w:val="00D608C0"/>
    <w:rsid w:val="00D6129E"/>
    <w:rsid w:val="00D61751"/>
    <w:rsid w:val="00D6180E"/>
    <w:rsid w:val="00D6225A"/>
    <w:rsid w:val="00D62513"/>
    <w:rsid w:val="00D62C70"/>
    <w:rsid w:val="00D62CFB"/>
    <w:rsid w:val="00D630EB"/>
    <w:rsid w:val="00D631B1"/>
    <w:rsid w:val="00D63578"/>
    <w:rsid w:val="00D63750"/>
    <w:rsid w:val="00D63C4F"/>
    <w:rsid w:val="00D6462A"/>
    <w:rsid w:val="00D6471A"/>
    <w:rsid w:val="00D64887"/>
    <w:rsid w:val="00D64CB7"/>
    <w:rsid w:val="00D65A15"/>
    <w:rsid w:val="00D65D9C"/>
    <w:rsid w:val="00D65EF6"/>
    <w:rsid w:val="00D66CF4"/>
    <w:rsid w:val="00D66E59"/>
    <w:rsid w:val="00D67B9C"/>
    <w:rsid w:val="00D700EC"/>
    <w:rsid w:val="00D701B4"/>
    <w:rsid w:val="00D70299"/>
    <w:rsid w:val="00D702DC"/>
    <w:rsid w:val="00D702E8"/>
    <w:rsid w:val="00D70547"/>
    <w:rsid w:val="00D706A6"/>
    <w:rsid w:val="00D70933"/>
    <w:rsid w:val="00D70BFF"/>
    <w:rsid w:val="00D71153"/>
    <w:rsid w:val="00D711E0"/>
    <w:rsid w:val="00D715D2"/>
    <w:rsid w:val="00D7160B"/>
    <w:rsid w:val="00D7175B"/>
    <w:rsid w:val="00D71A28"/>
    <w:rsid w:val="00D71C55"/>
    <w:rsid w:val="00D71D98"/>
    <w:rsid w:val="00D725BF"/>
    <w:rsid w:val="00D72832"/>
    <w:rsid w:val="00D72897"/>
    <w:rsid w:val="00D72D5C"/>
    <w:rsid w:val="00D72E5C"/>
    <w:rsid w:val="00D73496"/>
    <w:rsid w:val="00D73A75"/>
    <w:rsid w:val="00D73BEB"/>
    <w:rsid w:val="00D73CCF"/>
    <w:rsid w:val="00D73DAC"/>
    <w:rsid w:val="00D74197"/>
    <w:rsid w:val="00D74411"/>
    <w:rsid w:val="00D74A82"/>
    <w:rsid w:val="00D74A91"/>
    <w:rsid w:val="00D74B64"/>
    <w:rsid w:val="00D74EE5"/>
    <w:rsid w:val="00D7507F"/>
    <w:rsid w:val="00D756A4"/>
    <w:rsid w:val="00D75D97"/>
    <w:rsid w:val="00D75DB3"/>
    <w:rsid w:val="00D75F89"/>
    <w:rsid w:val="00D76388"/>
    <w:rsid w:val="00D76915"/>
    <w:rsid w:val="00D76BDB"/>
    <w:rsid w:val="00D76D1B"/>
    <w:rsid w:val="00D76DD7"/>
    <w:rsid w:val="00D7705E"/>
    <w:rsid w:val="00D772F7"/>
    <w:rsid w:val="00D7758F"/>
    <w:rsid w:val="00D77A7D"/>
    <w:rsid w:val="00D77DAF"/>
    <w:rsid w:val="00D80258"/>
    <w:rsid w:val="00D806BA"/>
    <w:rsid w:val="00D8097B"/>
    <w:rsid w:val="00D80C80"/>
    <w:rsid w:val="00D80F5D"/>
    <w:rsid w:val="00D81468"/>
    <w:rsid w:val="00D81773"/>
    <w:rsid w:val="00D81A31"/>
    <w:rsid w:val="00D81BFA"/>
    <w:rsid w:val="00D81F4F"/>
    <w:rsid w:val="00D821AF"/>
    <w:rsid w:val="00D8258D"/>
    <w:rsid w:val="00D82691"/>
    <w:rsid w:val="00D82B0F"/>
    <w:rsid w:val="00D83997"/>
    <w:rsid w:val="00D83EE6"/>
    <w:rsid w:val="00D83F3D"/>
    <w:rsid w:val="00D8401B"/>
    <w:rsid w:val="00D8466E"/>
    <w:rsid w:val="00D84C2A"/>
    <w:rsid w:val="00D84E61"/>
    <w:rsid w:val="00D84F43"/>
    <w:rsid w:val="00D85955"/>
    <w:rsid w:val="00D860D4"/>
    <w:rsid w:val="00D86299"/>
    <w:rsid w:val="00D863DA"/>
    <w:rsid w:val="00D86D3B"/>
    <w:rsid w:val="00D86F48"/>
    <w:rsid w:val="00D8713E"/>
    <w:rsid w:val="00D87317"/>
    <w:rsid w:val="00D874C8"/>
    <w:rsid w:val="00D8778C"/>
    <w:rsid w:val="00D90120"/>
    <w:rsid w:val="00D90603"/>
    <w:rsid w:val="00D907B0"/>
    <w:rsid w:val="00D90E60"/>
    <w:rsid w:val="00D90FDD"/>
    <w:rsid w:val="00D91100"/>
    <w:rsid w:val="00D911DA"/>
    <w:rsid w:val="00D916D3"/>
    <w:rsid w:val="00D920FB"/>
    <w:rsid w:val="00D921E6"/>
    <w:rsid w:val="00D92316"/>
    <w:rsid w:val="00D92419"/>
    <w:rsid w:val="00D93366"/>
    <w:rsid w:val="00D93925"/>
    <w:rsid w:val="00D93D60"/>
    <w:rsid w:val="00D93E8F"/>
    <w:rsid w:val="00D9430C"/>
    <w:rsid w:val="00D9466B"/>
    <w:rsid w:val="00D94F90"/>
    <w:rsid w:val="00D9509F"/>
    <w:rsid w:val="00D9533C"/>
    <w:rsid w:val="00D95550"/>
    <w:rsid w:val="00D956F1"/>
    <w:rsid w:val="00D9617F"/>
    <w:rsid w:val="00D96262"/>
    <w:rsid w:val="00D962A3"/>
    <w:rsid w:val="00D96421"/>
    <w:rsid w:val="00D964D5"/>
    <w:rsid w:val="00D9667D"/>
    <w:rsid w:val="00D96727"/>
    <w:rsid w:val="00D96DA1"/>
    <w:rsid w:val="00D96E46"/>
    <w:rsid w:val="00D9734B"/>
    <w:rsid w:val="00D977D9"/>
    <w:rsid w:val="00D97AE6"/>
    <w:rsid w:val="00D97FB1"/>
    <w:rsid w:val="00DA08CD"/>
    <w:rsid w:val="00DA09EC"/>
    <w:rsid w:val="00DA0D82"/>
    <w:rsid w:val="00DA11DC"/>
    <w:rsid w:val="00DA153A"/>
    <w:rsid w:val="00DA169B"/>
    <w:rsid w:val="00DA1AF1"/>
    <w:rsid w:val="00DA1BF8"/>
    <w:rsid w:val="00DA1BFC"/>
    <w:rsid w:val="00DA1DFB"/>
    <w:rsid w:val="00DA25A5"/>
    <w:rsid w:val="00DA2638"/>
    <w:rsid w:val="00DA2739"/>
    <w:rsid w:val="00DA2BB3"/>
    <w:rsid w:val="00DA2D66"/>
    <w:rsid w:val="00DA3390"/>
    <w:rsid w:val="00DA3457"/>
    <w:rsid w:val="00DA3511"/>
    <w:rsid w:val="00DA413D"/>
    <w:rsid w:val="00DA42A3"/>
    <w:rsid w:val="00DA4334"/>
    <w:rsid w:val="00DA4373"/>
    <w:rsid w:val="00DA4511"/>
    <w:rsid w:val="00DA47A7"/>
    <w:rsid w:val="00DA4877"/>
    <w:rsid w:val="00DA4CBA"/>
    <w:rsid w:val="00DA4E8F"/>
    <w:rsid w:val="00DA5226"/>
    <w:rsid w:val="00DA533C"/>
    <w:rsid w:val="00DA5604"/>
    <w:rsid w:val="00DA58B6"/>
    <w:rsid w:val="00DA58C6"/>
    <w:rsid w:val="00DA5977"/>
    <w:rsid w:val="00DA5FD0"/>
    <w:rsid w:val="00DA6040"/>
    <w:rsid w:val="00DA670B"/>
    <w:rsid w:val="00DA6818"/>
    <w:rsid w:val="00DA6938"/>
    <w:rsid w:val="00DA6EB1"/>
    <w:rsid w:val="00DA6F29"/>
    <w:rsid w:val="00DA70E9"/>
    <w:rsid w:val="00DA7164"/>
    <w:rsid w:val="00DA76AB"/>
    <w:rsid w:val="00DA7D86"/>
    <w:rsid w:val="00DB1537"/>
    <w:rsid w:val="00DB16E7"/>
    <w:rsid w:val="00DB1865"/>
    <w:rsid w:val="00DB1B7F"/>
    <w:rsid w:val="00DB1D42"/>
    <w:rsid w:val="00DB2239"/>
    <w:rsid w:val="00DB2AE0"/>
    <w:rsid w:val="00DB2E5B"/>
    <w:rsid w:val="00DB3610"/>
    <w:rsid w:val="00DB395B"/>
    <w:rsid w:val="00DB3EEB"/>
    <w:rsid w:val="00DB4418"/>
    <w:rsid w:val="00DB5553"/>
    <w:rsid w:val="00DB5D82"/>
    <w:rsid w:val="00DB5E44"/>
    <w:rsid w:val="00DB6003"/>
    <w:rsid w:val="00DB6478"/>
    <w:rsid w:val="00DB657A"/>
    <w:rsid w:val="00DB65A0"/>
    <w:rsid w:val="00DB65F9"/>
    <w:rsid w:val="00DB6710"/>
    <w:rsid w:val="00DB6BE6"/>
    <w:rsid w:val="00DB6D4A"/>
    <w:rsid w:val="00DB71B2"/>
    <w:rsid w:val="00DB7695"/>
    <w:rsid w:val="00DC0A88"/>
    <w:rsid w:val="00DC0D41"/>
    <w:rsid w:val="00DC0DFA"/>
    <w:rsid w:val="00DC18A3"/>
    <w:rsid w:val="00DC1B5D"/>
    <w:rsid w:val="00DC1D5F"/>
    <w:rsid w:val="00DC1F84"/>
    <w:rsid w:val="00DC3C7F"/>
    <w:rsid w:val="00DC3F09"/>
    <w:rsid w:val="00DC42E4"/>
    <w:rsid w:val="00DC4768"/>
    <w:rsid w:val="00DC4866"/>
    <w:rsid w:val="00DC4DD5"/>
    <w:rsid w:val="00DC4F6F"/>
    <w:rsid w:val="00DC50EA"/>
    <w:rsid w:val="00DC514F"/>
    <w:rsid w:val="00DC5191"/>
    <w:rsid w:val="00DC5A34"/>
    <w:rsid w:val="00DC5A5B"/>
    <w:rsid w:val="00DC68D4"/>
    <w:rsid w:val="00DC6BE9"/>
    <w:rsid w:val="00DC6C66"/>
    <w:rsid w:val="00DC6CFA"/>
    <w:rsid w:val="00DC703C"/>
    <w:rsid w:val="00DC71E1"/>
    <w:rsid w:val="00DC72E9"/>
    <w:rsid w:val="00DC7EF0"/>
    <w:rsid w:val="00DD05FA"/>
    <w:rsid w:val="00DD0AEB"/>
    <w:rsid w:val="00DD0F1D"/>
    <w:rsid w:val="00DD1027"/>
    <w:rsid w:val="00DD13F9"/>
    <w:rsid w:val="00DD15CB"/>
    <w:rsid w:val="00DD195A"/>
    <w:rsid w:val="00DD1FDE"/>
    <w:rsid w:val="00DD279C"/>
    <w:rsid w:val="00DD2803"/>
    <w:rsid w:val="00DD2B0D"/>
    <w:rsid w:val="00DD3C35"/>
    <w:rsid w:val="00DD3E0D"/>
    <w:rsid w:val="00DD438D"/>
    <w:rsid w:val="00DD4906"/>
    <w:rsid w:val="00DD4BFF"/>
    <w:rsid w:val="00DD4D71"/>
    <w:rsid w:val="00DD4D7D"/>
    <w:rsid w:val="00DD5B8D"/>
    <w:rsid w:val="00DD5CCE"/>
    <w:rsid w:val="00DD5D3E"/>
    <w:rsid w:val="00DD5F46"/>
    <w:rsid w:val="00DD616A"/>
    <w:rsid w:val="00DD673B"/>
    <w:rsid w:val="00DD6BEA"/>
    <w:rsid w:val="00DD6DA0"/>
    <w:rsid w:val="00DD7107"/>
    <w:rsid w:val="00DD7743"/>
    <w:rsid w:val="00DD7995"/>
    <w:rsid w:val="00DE05D2"/>
    <w:rsid w:val="00DE0A44"/>
    <w:rsid w:val="00DE0BDF"/>
    <w:rsid w:val="00DE115C"/>
    <w:rsid w:val="00DE151A"/>
    <w:rsid w:val="00DE15E1"/>
    <w:rsid w:val="00DE182C"/>
    <w:rsid w:val="00DE216A"/>
    <w:rsid w:val="00DE280E"/>
    <w:rsid w:val="00DE28B7"/>
    <w:rsid w:val="00DE2913"/>
    <w:rsid w:val="00DE291C"/>
    <w:rsid w:val="00DE2CFD"/>
    <w:rsid w:val="00DE3303"/>
    <w:rsid w:val="00DE3435"/>
    <w:rsid w:val="00DE3657"/>
    <w:rsid w:val="00DE36BA"/>
    <w:rsid w:val="00DE3AC8"/>
    <w:rsid w:val="00DE4777"/>
    <w:rsid w:val="00DE4903"/>
    <w:rsid w:val="00DE4D89"/>
    <w:rsid w:val="00DE504B"/>
    <w:rsid w:val="00DE5071"/>
    <w:rsid w:val="00DE61A1"/>
    <w:rsid w:val="00DE6672"/>
    <w:rsid w:val="00DE6759"/>
    <w:rsid w:val="00DE6929"/>
    <w:rsid w:val="00DE6AF7"/>
    <w:rsid w:val="00DE6BFD"/>
    <w:rsid w:val="00DE70E0"/>
    <w:rsid w:val="00DE7125"/>
    <w:rsid w:val="00DE71D2"/>
    <w:rsid w:val="00DE76C5"/>
    <w:rsid w:val="00DE77C3"/>
    <w:rsid w:val="00DE78A6"/>
    <w:rsid w:val="00DE78E1"/>
    <w:rsid w:val="00DF03A3"/>
    <w:rsid w:val="00DF093A"/>
    <w:rsid w:val="00DF11FF"/>
    <w:rsid w:val="00DF22CC"/>
    <w:rsid w:val="00DF2978"/>
    <w:rsid w:val="00DF29B5"/>
    <w:rsid w:val="00DF39A3"/>
    <w:rsid w:val="00DF4701"/>
    <w:rsid w:val="00DF49A0"/>
    <w:rsid w:val="00DF4B96"/>
    <w:rsid w:val="00DF4F00"/>
    <w:rsid w:val="00DF502F"/>
    <w:rsid w:val="00DF519A"/>
    <w:rsid w:val="00DF547B"/>
    <w:rsid w:val="00DF5651"/>
    <w:rsid w:val="00DF570B"/>
    <w:rsid w:val="00DF590B"/>
    <w:rsid w:val="00DF5A91"/>
    <w:rsid w:val="00DF5AAE"/>
    <w:rsid w:val="00DF5D47"/>
    <w:rsid w:val="00DF5DE8"/>
    <w:rsid w:val="00DF612C"/>
    <w:rsid w:val="00DF6D02"/>
    <w:rsid w:val="00DF6E05"/>
    <w:rsid w:val="00DF6E26"/>
    <w:rsid w:val="00DF709F"/>
    <w:rsid w:val="00DF70D2"/>
    <w:rsid w:val="00DF79F6"/>
    <w:rsid w:val="00E002CB"/>
    <w:rsid w:val="00E007F2"/>
    <w:rsid w:val="00E013B7"/>
    <w:rsid w:val="00E016B0"/>
    <w:rsid w:val="00E01846"/>
    <w:rsid w:val="00E02056"/>
    <w:rsid w:val="00E0269E"/>
    <w:rsid w:val="00E027EF"/>
    <w:rsid w:val="00E0296B"/>
    <w:rsid w:val="00E029E3"/>
    <w:rsid w:val="00E02F84"/>
    <w:rsid w:val="00E03956"/>
    <w:rsid w:val="00E03AA0"/>
    <w:rsid w:val="00E03B05"/>
    <w:rsid w:val="00E03C9E"/>
    <w:rsid w:val="00E04720"/>
    <w:rsid w:val="00E04EF3"/>
    <w:rsid w:val="00E053CC"/>
    <w:rsid w:val="00E0554C"/>
    <w:rsid w:val="00E058DD"/>
    <w:rsid w:val="00E05938"/>
    <w:rsid w:val="00E05C61"/>
    <w:rsid w:val="00E05D4A"/>
    <w:rsid w:val="00E06930"/>
    <w:rsid w:val="00E06B2B"/>
    <w:rsid w:val="00E07364"/>
    <w:rsid w:val="00E077D9"/>
    <w:rsid w:val="00E07822"/>
    <w:rsid w:val="00E07A80"/>
    <w:rsid w:val="00E07B30"/>
    <w:rsid w:val="00E103E7"/>
    <w:rsid w:val="00E10409"/>
    <w:rsid w:val="00E110D4"/>
    <w:rsid w:val="00E112E2"/>
    <w:rsid w:val="00E1171F"/>
    <w:rsid w:val="00E11EFC"/>
    <w:rsid w:val="00E11F23"/>
    <w:rsid w:val="00E11FAE"/>
    <w:rsid w:val="00E12128"/>
    <w:rsid w:val="00E12DF1"/>
    <w:rsid w:val="00E132B3"/>
    <w:rsid w:val="00E133CE"/>
    <w:rsid w:val="00E13604"/>
    <w:rsid w:val="00E13624"/>
    <w:rsid w:val="00E13ADA"/>
    <w:rsid w:val="00E13E0B"/>
    <w:rsid w:val="00E14DAE"/>
    <w:rsid w:val="00E15046"/>
    <w:rsid w:val="00E15269"/>
    <w:rsid w:val="00E15BBD"/>
    <w:rsid w:val="00E15F31"/>
    <w:rsid w:val="00E1642D"/>
    <w:rsid w:val="00E1647C"/>
    <w:rsid w:val="00E1655D"/>
    <w:rsid w:val="00E16A19"/>
    <w:rsid w:val="00E16A2C"/>
    <w:rsid w:val="00E1723F"/>
    <w:rsid w:val="00E2002C"/>
    <w:rsid w:val="00E20374"/>
    <w:rsid w:val="00E209F5"/>
    <w:rsid w:val="00E20FF0"/>
    <w:rsid w:val="00E21853"/>
    <w:rsid w:val="00E22417"/>
    <w:rsid w:val="00E22895"/>
    <w:rsid w:val="00E22F58"/>
    <w:rsid w:val="00E230C1"/>
    <w:rsid w:val="00E2310E"/>
    <w:rsid w:val="00E23919"/>
    <w:rsid w:val="00E23E60"/>
    <w:rsid w:val="00E23F4C"/>
    <w:rsid w:val="00E2426E"/>
    <w:rsid w:val="00E24605"/>
    <w:rsid w:val="00E2461E"/>
    <w:rsid w:val="00E24692"/>
    <w:rsid w:val="00E24B40"/>
    <w:rsid w:val="00E251EB"/>
    <w:rsid w:val="00E252B7"/>
    <w:rsid w:val="00E25344"/>
    <w:rsid w:val="00E253AF"/>
    <w:rsid w:val="00E254F6"/>
    <w:rsid w:val="00E25867"/>
    <w:rsid w:val="00E258B9"/>
    <w:rsid w:val="00E25942"/>
    <w:rsid w:val="00E25A1D"/>
    <w:rsid w:val="00E25B48"/>
    <w:rsid w:val="00E25D84"/>
    <w:rsid w:val="00E25EBC"/>
    <w:rsid w:val="00E25F5D"/>
    <w:rsid w:val="00E26180"/>
    <w:rsid w:val="00E2625B"/>
    <w:rsid w:val="00E26284"/>
    <w:rsid w:val="00E26646"/>
    <w:rsid w:val="00E26B4E"/>
    <w:rsid w:val="00E2734E"/>
    <w:rsid w:val="00E2735C"/>
    <w:rsid w:val="00E273F8"/>
    <w:rsid w:val="00E27B32"/>
    <w:rsid w:val="00E27F2F"/>
    <w:rsid w:val="00E301BE"/>
    <w:rsid w:val="00E3033F"/>
    <w:rsid w:val="00E30DBD"/>
    <w:rsid w:val="00E30EF6"/>
    <w:rsid w:val="00E312ED"/>
    <w:rsid w:val="00E316A7"/>
    <w:rsid w:val="00E31BC4"/>
    <w:rsid w:val="00E31C96"/>
    <w:rsid w:val="00E32013"/>
    <w:rsid w:val="00E324F7"/>
    <w:rsid w:val="00E32D2F"/>
    <w:rsid w:val="00E32F05"/>
    <w:rsid w:val="00E3329C"/>
    <w:rsid w:val="00E34688"/>
    <w:rsid w:val="00E35089"/>
    <w:rsid w:val="00E35237"/>
    <w:rsid w:val="00E3555B"/>
    <w:rsid w:val="00E3620E"/>
    <w:rsid w:val="00E364AA"/>
    <w:rsid w:val="00E364F2"/>
    <w:rsid w:val="00E36510"/>
    <w:rsid w:val="00E36516"/>
    <w:rsid w:val="00E367B9"/>
    <w:rsid w:val="00E36CC4"/>
    <w:rsid w:val="00E36D16"/>
    <w:rsid w:val="00E36F15"/>
    <w:rsid w:val="00E3735A"/>
    <w:rsid w:val="00E375A4"/>
    <w:rsid w:val="00E375CF"/>
    <w:rsid w:val="00E37819"/>
    <w:rsid w:val="00E37B0E"/>
    <w:rsid w:val="00E37E74"/>
    <w:rsid w:val="00E40261"/>
    <w:rsid w:val="00E40A4C"/>
    <w:rsid w:val="00E414C9"/>
    <w:rsid w:val="00E42452"/>
    <w:rsid w:val="00E42764"/>
    <w:rsid w:val="00E42A6C"/>
    <w:rsid w:val="00E431FC"/>
    <w:rsid w:val="00E435A5"/>
    <w:rsid w:val="00E43876"/>
    <w:rsid w:val="00E44030"/>
    <w:rsid w:val="00E44293"/>
    <w:rsid w:val="00E44A5B"/>
    <w:rsid w:val="00E44C23"/>
    <w:rsid w:val="00E454DF"/>
    <w:rsid w:val="00E454F2"/>
    <w:rsid w:val="00E45581"/>
    <w:rsid w:val="00E45B4F"/>
    <w:rsid w:val="00E45B97"/>
    <w:rsid w:val="00E4620C"/>
    <w:rsid w:val="00E4638E"/>
    <w:rsid w:val="00E4685E"/>
    <w:rsid w:val="00E46B26"/>
    <w:rsid w:val="00E46C41"/>
    <w:rsid w:val="00E46C54"/>
    <w:rsid w:val="00E46C94"/>
    <w:rsid w:val="00E46D03"/>
    <w:rsid w:val="00E46DF2"/>
    <w:rsid w:val="00E47385"/>
    <w:rsid w:val="00E47577"/>
    <w:rsid w:val="00E47F03"/>
    <w:rsid w:val="00E504DC"/>
    <w:rsid w:val="00E50765"/>
    <w:rsid w:val="00E50A2F"/>
    <w:rsid w:val="00E50DD6"/>
    <w:rsid w:val="00E510C4"/>
    <w:rsid w:val="00E5175E"/>
    <w:rsid w:val="00E5184D"/>
    <w:rsid w:val="00E5215A"/>
    <w:rsid w:val="00E52473"/>
    <w:rsid w:val="00E524A3"/>
    <w:rsid w:val="00E533B6"/>
    <w:rsid w:val="00E53462"/>
    <w:rsid w:val="00E53668"/>
    <w:rsid w:val="00E542AA"/>
    <w:rsid w:val="00E54D18"/>
    <w:rsid w:val="00E55A93"/>
    <w:rsid w:val="00E55E5D"/>
    <w:rsid w:val="00E55FEC"/>
    <w:rsid w:val="00E56111"/>
    <w:rsid w:val="00E56246"/>
    <w:rsid w:val="00E56436"/>
    <w:rsid w:val="00E57117"/>
    <w:rsid w:val="00E603B9"/>
    <w:rsid w:val="00E60EED"/>
    <w:rsid w:val="00E6113B"/>
    <w:rsid w:val="00E611F3"/>
    <w:rsid w:val="00E61709"/>
    <w:rsid w:val="00E61E56"/>
    <w:rsid w:val="00E61F40"/>
    <w:rsid w:val="00E625E8"/>
    <w:rsid w:val="00E62714"/>
    <w:rsid w:val="00E62882"/>
    <w:rsid w:val="00E629FE"/>
    <w:rsid w:val="00E62A99"/>
    <w:rsid w:val="00E62E04"/>
    <w:rsid w:val="00E62EC9"/>
    <w:rsid w:val="00E6336D"/>
    <w:rsid w:val="00E642E1"/>
    <w:rsid w:val="00E645B6"/>
    <w:rsid w:val="00E645C8"/>
    <w:rsid w:val="00E64BD7"/>
    <w:rsid w:val="00E64F6F"/>
    <w:rsid w:val="00E64F7E"/>
    <w:rsid w:val="00E6549D"/>
    <w:rsid w:val="00E65BF4"/>
    <w:rsid w:val="00E65E3F"/>
    <w:rsid w:val="00E6676C"/>
    <w:rsid w:val="00E66821"/>
    <w:rsid w:val="00E66AAC"/>
    <w:rsid w:val="00E66B9E"/>
    <w:rsid w:val="00E66E66"/>
    <w:rsid w:val="00E672A2"/>
    <w:rsid w:val="00E672F0"/>
    <w:rsid w:val="00E67372"/>
    <w:rsid w:val="00E677B4"/>
    <w:rsid w:val="00E71045"/>
    <w:rsid w:val="00E7175C"/>
    <w:rsid w:val="00E718E1"/>
    <w:rsid w:val="00E719D3"/>
    <w:rsid w:val="00E71A5C"/>
    <w:rsid w:val="00E71C50"/>
    <w:rsid w:val="00E71EF2"/>
    <w:rsid w:val="00E72226"/>
    <w:rsid w:val="00E72251"/>
    <w:rsid w:val="00E722C4"/>
    <w:rsid w:val="00E724A0"/>
    <w:rsid w:val="00E7298E"/>
    <w:rsid w:val="00E72E43"/>
    <w:rsid w:val="00E72ECC"/>
    <w:rsid w:val="00E732FC"/>
    <w:rsid w:val="00E739F5"/>
    <w:rsid w:val="00E73B9E"/>
    <w:rsid w:val="00E74A0E"/>
    <w:rsid w:val="00E74C61"/>
    <w:rsid w:val="00E74E2A"/>
    <w:rsid w:val="00E74F01"/>
    <w:rsid w:val="00E74FF0"/>
    <w:rsid w:val="00E7514F"/>
    <w:rsid w:val="00E75360"/>
    <w:rsid w:val="00E7537C"/>
    <w:rsid w:val="00E75535"/>
    <w:rsid w:val="00E759D7"/>
    <w:rsid w:val="00E75A02"/>
    <w:rsid w:val="00E75D7F"/>
    <w:rsid w:val="00E75EAC"/>
    <w:rsid w:val="00E7603F"/>
    <w:rsid w:val="00E76124"/>
    <w:rsid w:val="00E764E4"/>
    <w:rsid w:val="00E767FF"/>
    <w:rsid w:val="00E76890"/>
    <w:rsid w:val="00E76D05"/>
    <w:rsid w:val="00E76D2E"/>
    <w:rsid w:val="00E76EAB"/>
    <w:rsid w:val="00E77053"/>
    <w:rsid w:val="00E80210"/>
    <w:rsid w:val="00E8022E"/>
    <w:rsid w:val="00E804DA"/>
    <w:rsid w:val="00E8060D"/>
    <w:rsid w:val="00E8067B"/>
    <w:rsid w:val="00E806A5"/>
    <w:rsid w:val="00E81899"/>
    <w:rsid w:val="00E81FD1"/>
    <w:rsid w:val="00E822AD"/>
    <w:rsid w:val="00E82BF6"/>
    <w:rsid w:val="00E82D46"/>
    <w:rsid w:val="00E82FBE"/>
    <w:rsid w:val="00E83213"/>
    <w:rsid w:val="00E83396"/>
    <w:rsid w:val="00E83407"/>
    <w:rsid w:val="00E83491"/>
    <w:rsid w:val="00E83806"/>
    <w:rsid w:val="00E83AE8"/>
    <w:rsid w:val="00E83BA8"/>
    <w:rsid w:val="00E83DC7"/>
    <w:rsid w:val="00E840A2"/>
    <w:rsid w:val="00E843FD"/>
    <w:rsid w:val="00E84974"/>
    <w:rsid w:val="00E84C51"/>
    <w:rsid w:val="00E85029"/>
    <w:rsid w:val="00E85443"/>
    <w:rsid w:val="00E8558F"/>
    <w:rsid w:val="00E861B3"/>
    <w:rsid w:val="00E863DB"/>
    <w:rsid w:val="00E8671B"/>
    <w:rsid w:val="00E86AEF"/>
    <w:rsid w:val="00E8747D"/>
    <w:rsid w:val="00E876F0"/>
    <w:rsid w:val="00E87B9C"/>
    <w:rsid w:val="00E9050A"/>
    <w:rsid w:val="00E90A2C"/>
    <w:rsid w:val="00E90E2C"/>
    <w:rsid w:val="00E9150B"/>
    <w:rsid w:val="00E9179C"/>
    <w:rsid w:val="00E91D33"/>
    <w:rsid w:val="00E92209"/>
    <w:rsid w:val="00E92B1B"/>
    <w:rsid w:val="00E92D8A"/>
    <w:rsid w:val="00E92F70"/>
    <w:rsid w:val="00E933B2"/>
    <w:rsid w:val="00E93577"/>
    <w:rsid w:val="00E93928"/>
    <w:rsid w:val="00E93B66"/>
    <w:rsid w:val="00E94054"/>
    <w:rsid w:val="00E946BF"/>
    <w:rsid w:val="00E94E44"/>
    <w:rsid w:val="00E95220"/>
    <w:rsid w:val="00E9580C"/>
    <w:rsid w:val="00E95A87"/>
    <w:rsid w:val="00E95D67"/>
    <w:rsid w:val="00E964CD"/>
    <w:rsid w:val="00E96575"/>
    <w:rsid w:val="00E96591"/>
    <w:rsid w:val="00E96882"/>
    <w:rsid w:val="00E96FD6"/>
    <w:rsid w:val="00E97516"/>
    <w:rsid w:val="00E9782A"/>
    <w:rsid w:val="00EA03E5"/>
    <w:rsid w:val="00EA1B17"/>
    <w:rsid w:val="00EA1B96"/>
    <w:rsid w:val="00EA1F72"/>
    <w:rsid w:val="00EA2148"/>
    <w:rsid w:val="00EA235D"/>
    <w:rsid w:val="00EA2A67"/>
    <w:rsid w:val="00EA360B"/>
    <w:rsid w:val="00EA38AB"/>
    <w:rsid w:val="00EA3B00"/>
    <w:rsid w:val="00EA3BF5"/>
    <w:rsid w:val="00EA44FE"/>
    <w:rsid w:val="00EA48AC"/>
    <w:rsid w:val="00EA4CA3"/>
    <w:rsid w:val="00EA4F58"/>
    <w:rsid w:val="00EA52E4"/>
    <w:rsid w:val="00EA5335"/>
    <w:rsid w:val="00EA5446"/>
    <w:rsid w:val="00EA5948"/>
    <w:rsid w:val="00EA5B0A"/>
    <w:rsid w:val="00EA5B61"/>
    <w:rsid w:val="00EA63F5"/>
    <w:rsid w:val="00EA69CA"/>
    <w:rsid w:val="00EA71B2"/>
    <w:rsid w:val="00EA7342"/>
    <w:rsid w:val="00EA77EC"/>
    <w:rsid w:val="00EA780D"/>
    <w:rsid w:val="00EA7A5D"/>
    <w:rsid w:val="00EA7B1C"/>
    <w:rsid w:val="00EA7EC4"/>
    <w:rsid w:val="00EB0992"/>
    <w:rsid w:val="00EB0B37"/>
    <w:rsid w:val="00EB147D"/>
    <w:rsid w:val="00EB1839"/>
    <w:rsid w:val="00EB1A11"/>
    <w:rsid w:val="00EB207D"/>
    <w:rsid w:val="00EB2587"/>
    <w:rsid w:val="00EB25C8"/>
    <w:rsid w:val="00EB2612"/>
    <w:rsid w:val="00EB2A8F"/>
    <w:rsid w:val="00EB2F7F"/>
    <w:rsid w:val="00EB32DD"/>
    <w:rsid w:val="00EB3C76"/>
    <w:rsid w:val="00EB4184"/>
    <w:rsid w:val="00EB41B9"/>
    <w:rsid w:val="00EB4AD5"/>
    <w:rsid w:val="00EB4E62"/>
    <w:rsid w:val="00EB50CC"/>
    <w:rsid w:val="00EB5B85"/>
    <w:rsid w:val="00EB5C09"/>
    <w:rsid w:val="00EB6076"/>
    <w:rsid w:val="00EB629C"/>
    <w:rsid w:val="00EB64DF"/>
    <w:rsid w:val="00EB6597"/>
    <w:rsid w:val="00EB714F"/>
    <w:rsid w:val="00EB785A"/>
    <w:rsid w:val="00EC0747"/>
    <w:rsid w:val="00EC12E1"/>
    <w:rsid w:val="00EC1641"/>
    <w:rsid w:val="00EC177C"/>
    <w:rsid w:val="00EC196F"/>
    <w:rsid w:val="00EC1A06"/>
    <w:rsid w:val="00EC24E2"/>
    <w:rsid w:val="00EC262B"/>
    <w:rsid w:val="00EC275D"/>
    <w:rsid w:val="00EC2CED"/>
    <w:rsid w:val="00EC2DEF"/>
    <w:rsid w:val="00EC308F"/>
    <w:rsid w:val="00EC339E"/>
    <w:rsid w:val="00EC373E"/>
    <w:rsid w:val="00EC3E3C"/>
    <w:rsid w:val="00EC4531"/>
    <w:rsid w:val="00EC45E6"/>
    <w:rsid w:val="00EC4DD5"/>
    <w:rsid w:val="00EC4EF1"/>
    <w:rsid w:val="00EC52EB"/>
    <w:rsid w:val="00EC58AA"/>
    <w:rsid w:val="00EC637E"/>
    <w:rsid w:val="00EC6D67"/>
    <w:rsid w:val="00EC6E63"/>
    <w:rsid w:val="00EC70A2"/>
    <w:rsid w:val="00EC74CA"/>
    <w:rsid w:val="00EC777E"/>
    <w:rsid w:val="00EC7958"/>
    <w:rsid w:val="00EC7A44"/>
    <w:rsid w:val="00EC7BF1"/>
    <w:rsid w:val="00EC7C06"/>
    <w:rsid w:val="00EC7D14"/>
    <w:rsid w:val="00EC7D91"/>
    <w:rsid w:val="00ED02C1"/>
    <w:rsid w:val="00ED0343"/>
    <w:rsid w:val="00ED043A"/>
    <w:rsid w:val="00ED0BE1"/>
    <w:rsid w:val="00ED1171"/>
    <w:rsid w:val="00ED149C"/>
    <w:rsid w:val="00ED201D"/>
    <w:rsid w:val="00ED2F46"/>
    <w:rsid w:val="00ED36FC"/>
    <w:rsid w:val="00ED39E7"/>
    <w:rsid w:val="00ED3A52"/>
    <w:rsid w:val="00ED403E"/>
    <w:rsid w:val="00ED405C"/>
    <w:rsid w:val="00ED430F"/>
    <w:rsid w:val="00ED4BC4"/>
    <w:rsid w:val="00ED4DBF"/>
    <w:rsid w:val="00ED533F"/>
    <w:rsid w:val="00ED5A07"/>
    <w:rsid w:val="00ED5D00"/>
    <w:rsid w:val="00ED5DCF"/>
    <w:rsid w:val="00ED61C0"/>
    <w:rsid w:val="00ED6687"/>
    <w:rsid w:val="00ED6691"/>
    <w:rsid w:val="00ED696D"/>
    <w:rsid w:val="00ED69CD"/>
    <w:rsid w:val="00ED6A84"/>
    <w:rsid w:val="00ED70B3"/>
    <w:rsid w:val="00ED7109"/>
    <w:rsid w:val="00ED73CE"/>
    <w:rsid w:val="00ED7E53"/>
    <w:rsid w:val="00EE0187"/>
    <w:rsid w:val="00EE0350"/>
    <w:rsid w:val="00EE1493"/>
    <w:rsid w:val="00EE14D7"/>
    <w:rsid w:val="00EE1537"/>
    <w:rsid w:val="00EE1BC4"/>
    <w:rsid w:val="00EE22F4"/>
    <w:rsid w:val="00EE2531"/>
    <w:rsid w:val="00EE2702"/>
    <w:rsid w:val="00EE28C6"/>
    <w:rsid w:val="00EE29C2"/>
    <w:rsid w:val="00EE2EBC"/>
    <w:rsid w:val="00EE3081"/>
    <w:rsid w:val="00EE3160"/>
    <w:rsid w:val="00EE366F"/>
    <w:rsid w:val="00EE36F1"/>
    <w:rsid w:val="00EE3C84"/>
    <w:rsid w:val="00EE3CB8"/>
    <w:rsid w:val="00EE3F3F"/>
    <w:rsid w:val="00EE41C8"/>
    <w:rsid w:val="00EE4406"/>
    <w:rsid w:val="00EE4C5F"/>
    <w:rsid w:val="00EE4C83"/>
    <w:rsid w:val="00EE4D87"/>
    <w:rsid w:val="00EE58C1"/>
    <w:rsid w:val="00EE65C3"/>
    <w:rsid w:val="00EE69C3"/>
    <w:rsid w:val="00EE6A4A"/>
    <w:rsid w:val="00EE79F1"/>
    <w:rsid w:val="00EE7BE3"/>
    <w:rsid w:val="00EF0014"/>
    <w:rsid w:val="00EF0237"/>
    <w:rsid w:val="00EF0565"/>
    <w:rsid w:val="00EF05D6"/>
    <w:rsid w:val="00EF09F2"/>
    <w:rsid w:val="00EF0E5A"/>
    <w:rsid w:val="00EF18F3"/>
    <w:rsid w:val="00EF1CE9"/>
    <w:rsid w:val="00EF20D5"/>
    <w:rsid w:val="00EF29DB"/>
    <w:rsid w:val="00EF2AE8"/>
    <w:rsid w:val="00EF2C1D"/>
    <w:rsid w:val="00EF2CA3"/>
    <w:rsid w:val="00EF2E27"/>
    <w:rsid w:val="00EF3A95"/>
    <w:rsid w:val="00EF3C10"/>
    <w:rsid w:val="00EF44A4"/>
    <w:rsid w:val="00EF4C8A"/>
    <w:rsid w:val="00EF4DFF"/>
    <w:rsid w:val="00EF52B8"/>
    <w:rsid w:val="00EF52EA"/>
    <w:rsid w:val="00EF5446"/>
    <w:rsid w:val="00EF54E0"/>
    <w:rsid w:val="00EF5FBC"/>
    <w:rsid w:val="00EF6333"/>
    <w:rsid w:val="00EF6688"/>
    <w:rsid w:val="00EF6784"/>
    <w:rsid w:val="00EF6BF6"/>
    <w:rsid w:val="00EF6CD5"/>
    <w:rsid w:val="00EF6D0B"/>
    <w:rsid w:val="00EF6FC9"/>
    <w:rsid w:val="00EF71DC"/>
    <w:rsid w:val="00EF7D18"/>
    <w:rsid w:val="00EF7D90"/>
    <w:rsid w:val="00F002A3"/>
    <w:rsid w:val="00F003E0"/>
    <w:rsid w:val="00F00A3D"/>
    <w:rsid w:val="00F00C99"/>
    <w:rsid w:val="00F016F5"/>
    <w:rsid w:val="00F01899"/>
    <w:rsid w:val="00F018EA"/>
    <w:rsid w:val="00F023EC"/>
    <w:rsid w:val="00F02428"/>
    <w:rsid w:val="00F02C93"/>
    <w:rsid w:val="00F03FBC"/>
    <w:rsid w:val="00F04236"/>
    <w:rsid w:val="00F0475D"/>
    <w:rsid w:val="00F04FED"/>
    <w:rsid w:val="00F05AB7"/>
    <w:rsid w:val="00F061CF"/>
    <w:rsid w:val="00F062BC"/>
    <w:rsid w:val="00F0649A"/>
    <w:rsid w:val="00F064BA"/>
    <w:rsid w:val="00F065E4"/>
    <w:rsid w:val="00F068D3"/>
    <w:rsid w:val="00F06F17"/>
    <w:rsid w:val="00F077E9"/>
    <w:rsid w:val="00F07845"/>
    <w:rsid w:val="00F07E8E"/>
    <w:rsid w:val="00F07F1E"/>
    <w:rsid w:val="00F1044F"/>
    <w:rsid w:val="00F114B1"/>
    <w:rsid w:val="00F114C5"/>
    <w:rsid w:val="00F117C0"/>
    <w:rsid w:val="00F12318"/>
    <w:rsid w:val="00F128B0"/>
    <w:rsid w:val="00F12995"/>
    <w:rsid w:val="00F12A17"/>
    <w:rsid w:val="00F12A2C"/>
    <w:rsid w:val="00F12BE9"/>
    <w:rsid w:val="00F12DAA"/>
    <w:rsid w:val="00F12F4D"/>
    <w:rsid w:val="00F13098"/>
    <w:rsid w:val="00F13203"/>
    <w:rsid w:val="00F132E5"/>
    <w:rsid w:val="00F13516"/>
    <w:rsid w:val="00F1377E"/>
    <w:rsid w:val="00F1385F"/>
    <w:rsid w:val="00F13A92"/>
    <w:rsid w:val="00F13DC2"/>
    <w:rsid w:val="00F140BE"/>
    <w:rsid w:val="00F14BAF"/>
    <w:rsid w:val="00F14F58"/>
    <w:rsid w:val="00F1538E"/>
    <w:rsid w:val="00F1560D"/>
    <w:rsid w:val="00F15720"/>
    <w:rsid w:val="00F163A4"/>
    <w:rsid w:val="00F1692D"/>
    <w:rsid w:val="00F16AF4"/>
    <w:rsid w:val="00F17AA1"/>
    <w:rsid w:val="00F17D1A"/>
    <w:rsid w:val="00F17D48"/>
    <w:rsid w:val="00F2038D"/>
    <w:rsid w:val="00F20D54"/>
    <w:rsid w:val="00F21651"/>
    <w:rsid w:val="00F21A82"/>
    <w:rsid w:val="00F21D28"/>
    <w:rsid w:val="00F221FC"/>
    <w:rsid w:val="00F223E2"/>
    <w:rsid w:val="00F226E7"/>
    <w:rsid w:val="00F22881"/>
    <w:rsid w:val="00F22906"/>
    <w:rsid w:val="00F2304E"/>
    <w:rsid w:val="00F232EE"/>
    <w:rsid w:val="00F23532"/>
    <w:rsid w:val="00F23713"/>
    <w:rsid w:val="00F23C50"/>
    <w:rsid w:val="00F23CB8"/>
    <w:rsid w:val="00F23FE9"/>
    <w:rsid w:val="00F241EC"/>
    <w:rsid w:val="00F2424F"/>
    <w:rsid w:val="00F24B91"/>
    <w:rsid w:val="00F2526C"/>
    <w:rsid w:val="00F25834"/>
    <w:rsid w:val="00F25888"/>
    <w:rsid w:val="00F26205"/>
    <w:rsid w:val="00F26B87"/>
    <w:rsid w:val="00F26CED"/>
    <w:rsid w:val="00F27873"/>
    <w:rsid w:val="00F27DC2"/>
    <w:rsid w:val="00F30010"/>
    <w:rsid w:val="00F31064"/>
    <w:rsid w:val="00F310D8"/>
    <w:rsid w:val="00F31441"/>
    <w:rsid w:val="00F3166D"/>
    <w:rsid w:val="00F3168C"/>
    <w:rsid w:val="00F317B6"/>
    <w:rsid w:val="00F32068"/>
    <w:rsid w:val="00F3294A"/>
    <w:rsid w:val="00F33BCB"/>
    <w:rsid w:val="00F33E16"/>
    <w:rsid w:val="00F34161"/>
    <w:rsid w:val="00F34CBA"/>
    <w:rsid w:val="00F352E3"/>
    <w:rsid w:val="00F35331"/>
    <w:rsid w:val="00F35754"/>
    <w:rsid w:val="00F35763"/>
    <w:rsid w:val="00F357A0"/>
    <w:rsid w:val="00F35EC2"/>
    <w:rsid w:val="00F3610C"/>
    <w:rsid w:val="00F362DE"/>
    <w:rsid w:val="00F3664B"/>
    <w:rsid w:val="00F36760"/>
    <w:rsid w:val="00F367D4"/>
    <w:rsid w:val="00F36831"/>
    <w:rsid w:val="00F368F3"/>
    <w:rsid w:val="00F36A16"/>
    <w:rsid w:val="00F36D8B"/>
    <w:rsid w:val="00F3720B"/>
    <w:rsid w:val="00F3725F"/>
    <w:rsid w:val="00F37563"/>
    <w:rsid w:val="00F375F9"/>
    <w:rsid w:val="00F37642"/>
    <w:rsid w:val="00F3789D"/>
    <w:rsid w:val="00F37C47"/>
    <w:rsid w:val="00F406A6"/>
    <w:rsid w:val="00F408E3"/>
    <w:rsid w:val="00F41790"/>
    <w:rsid w:val="00F41A2A"/>
    <w:rsid w:val="00F41B3F"/>
    <w:rsid w:val="00F42099"/>
    <w:rsid w:val="00F42478"/>
    <w:rsid w:val="00F42E7F"/>
    <w:rsid w:val="00F431B3"/>
    <w:rsid w:val="00F431C1"/>
    <w:rsid w:val="00F437DD"/>
    <w:rsid w:val="00F4387F"/>
    <w:rsid w:val="00F43934"/>
    <w:rsid w:val="00F43A01"/>
    <w:rsid w:val="00F43BFB"/>
    <w:rsid w:val="00F43D37"/>
    <w:rsid w:val="00F4442F"/>
    <w:rsid w:val="00F444B9"/>
    <w:rsid w:val="00F44560"/>
    <w:rsid w:val="00F44607"/>
    <w:rsid w:val="00F44639"/>
    <w:rsid w:val="00F4463B"/>
    <w:rsid w:val="00F446E6"/>
    <w:rsid w:val="00F44A0B"/>
    <w:rsid w:val="00F44D21"/>
    <w:rsid w:val="00F453B3"/>
    <w:rsid w:val="00F4579E"/>
    <w:rsid w:val="00F45B74"/>
    <w:rsid w:val="00F45C0B"/>
    <w:rsid w:val="00F45D9A"/>
    <w:rsid w:val="00F45DB8"/>
    <w:rsid w:val="00F462F5"/>
    <w:rsid w:val="00F46AE0"/>
    <w:rsid w:val="00F46D8D"/>
    <w:rsid w:val="00F4725B"/>
    <w:rsid w:val="00F474FE"/>
    <w:rsid w:val="00F47BA4"/>
    <w:rsid w:val="00F47C46"/>
    <w:rsid w:val="00F47FC5"/>
    <w:rsid w:val="00F47FF3"/>
    <w:rsid w:val="00F50251"/>
    <w:rsid w:val="00F5090F"/>
    <w:rsid w:val="00F50B2E"/>
    <w:rsid w:val="00F50C3D"/>
    <w:rsid w:val="00F50ECA"/>
    <w:rsid w:val="00F50F61"/>
    <w:rsid w:val="00F51653"/>
    <w:rsid w:val="00F51BB9"/>
    <w:rsid w:val="00F51BBD"/>
    <w:rsid w:val="00F51DA2"/>
    <w:rsid w:val="00F5212F"/>
    <w:rsid w:val="00F522F9"/>
    <w:rsid w:val="00F5281F"/>
    <w:rsid w:val="00F530F8"/>
    <w:rsid w:val="00F53904"/>
    <w:rsid w:val="00F53D50"/>
    <w:rsid w:val="00F5429D"/>
    <w:rsid w:val="00F54676"/>
    <w:rsid w:val="00F546A1"/>
    <w:rsid w:val="00F54C6E"/>
    <w:rsid w:val="00F55058"/>
    <w:rsid w:val="00F5520A"/>
    <w:rsid w:val="00F5543C"/>
    <w:rsid w:val="00F555BA"/>
    <w:rsid w:val="00F56B70"/>
    <w:rsid w:val="00F56F30"/>
    <w:rsid w:val="00F5744E"/>
    <w:rsid w:val="00F57521"/>
    <w:rsid w:val="00F57894"/>
    <w:rsid w:val="00F579F9"/>
    <w:rsid w:val="00F57BE3"/>
    <w:rsid w:val="00F57D87"/>
    <w:rsid w:val="00F600AB"/>
    <w:rsid w:val="00F60640"/>
    <w:rsid w:val="00F612C5"/>
    <w:rsid w:val="00F61854"/>
    <w:rsid w:val="00F618DD"/>
    <w:rsid w:val="00F619FE"/>
    <w:rsid w:val="00F620DF"/>
    <w:rsid w:val="00F62809"/>
    <w:rsid w:val="00F62EA4"/>
    <w:rsid w:val="00F63457"/>
    <w:rsid w:val="00F63695"/>
    <w:rsid w:val="00F637C4"/>
    <w:rsid w:val="00F63802"/>
    <w:rsid w:val="00F63A6B"/>
    <w:rsid w:val="00F63BB6"/>
    <w:rsid w:val="00F63EF0"/>
    <w:rsid w:val="00F64634"/>
    <w:rsid w:val="00F6491E"/>
    <w:rsid w:val="00F64E99"/>
    <w:rsid w:val="00F6591A"/>
    <w:rsid w:val="00F659B1"/>
    <w:rsid w:val="00F65E37"/>
    <w:rsid w:val="00F65E85"/>
    <w:rsid w:val="00F65ED2"/>
    <w:rsid w:val="00F660BB"/>
    <w:rsid w:val="00F66272"/>
    <w:rsid w:val="00F66911"/>
    <w:rsid w:val="00F66914"/>
    <w:rsid w:val="00F670F2"/>
    <w:rsid w:val="00F673C9"/>
    <w:rsid w:val="00F673DB"/>
    <w:rsid w:val="00F67468"/>
    <w:rsid w:val="00F678DE"/>
    <w:rsid w:val="00F67D16"/>
    <w:rsid w:val="00F67F5B"/>
    <w:rsid w:val="00F700B1"/>
    <w:rsid w:val="00F702AF"/>
    <w:rsid w:val="00F705A4"/>
    <w:rsid w:val="00F70865"/>
    <w:rsid w:val="00F70940"/>
    <w:rsid w:val="00F70A11"/>
    <w:rsid w:val="00F710F1"/>
    <w:rsid w:val="00F713AB"/>
    <w:rsid w:val="00F71507"/>
    <w:rsid w:val="00F71632"/>
    <w:rsid w:val="00F71998"/>
    <w:rsid w:val="00F71AEB"/>
    <w:rsid w:val="00F71D1E"/>
    <w:rsid w:val="00F72101"/>
    <w:rsid w:val="00F73555"/>
    <w:rsid w:val="00F7388F"/>
    <w:rsid w:val="00F739FA"/>
    <w:rsid w:val="00F73BA6"/>
    <w:rsid w:val="00F73E02"/>
    <w:rsid w:val="00F7590B"/>
    <w:rsid w:val="00F75EA1"/>
    <w:rsid w:val="00F761B2"/>
    <w:rsid w:val="00F76217"/>
    <w:rsid w:val="00F76313"/>
    <w:rsid w:val="00F764DF"/>
    <w:rsid w:val="00F76A6E"/>
    <w:rsid w:val="00F76CF8"/>
    <w:rsid w:val="00F774B1"/>
    <w:rsid w:val="00F77552"/>
    <w:rsid w:val="00F77948"/>
    <w:rsid w:val="00F77AB3"/>
    <w:rsid w:val="00F80B17"/>
    <w:rsid w:val="00F81683"/>
    <w:rsid w:val="00F8183B"/>
    <w:rsid w:val="00F81865"/>
    <w:rsid w:val="00F81BE6"/>
    <w:rsid w:val="00F81D43"/>
    <w:rsid w:val="00F81F56"/>
    <w:rsid w:val="00F8266D"/>
    <w:rsid w:val="00F82DD6"/>
    <w:rsid w:val="00F832AA"/>
    <w:rsid w:val="00F8332A"/>
    <w:rsid w:val="00F83490"/>
    <w:rsid w:val="00F835C8"/>
    <w:rsid w:val="00F8379F"/>
    <w:rsid w:val="00F8437D"/>
    <w:rsid w:val="00F84F40"/>
    <w:rsid w:val="00F85609"/>
    <w:rsid w:val="00F85A5A"/>
    <w:rsid w:val="00F85D96"/>
    <w:rsid w:val="00F86029"/>
    <w:rsid w:val="00F86044"/>
    <w:rsid w:val="00F8630F"/>
    <w:rsid w:val="00F87255"/>
    <w:rsid w:val="00F87319"/>
    <w:rsid w:val="00F87756"/>
    <w:rsid w:val="00F87A3B"/>
    <w:rsid w:val="00F87BAA"/>
    <w:rsid w:val="00F87C32"/>
    <w:rsid w:val="00F87F8B"/>
    <w:rsid w:val="00F90844"/>
    <w:rsid w:val="00F90AB0"/>
    <w:rsid w:val="00F90DE6"/>
    <w:rsid w:val="00F911B5"/>
    <w:rsid w:val="00F9180D"/>
    <w:rsid w:val="00F91E14"/>
    <w:rsid w:val="00F920B8"/>
    <w:rsid w:val="00F927A2"/>
    <w:rsid w:val="00F92AD4"/>
    <w:rsid w:val="00F939A8"/>
    <w:rsid w:val="00F93CD3"/>
    <w:rsid w:val="00F93D5D"/>
    <w:rsid w:val="00F93F37"/>
    <w:rsid w:val="00F94832"/>
    <w:rsid w:val="00F94BED"/>
    <w:rsid w:val="00F94FA4"/>
    <w:rsid w:val="00F95727"/>
    <w:rsid w:val="00F95FCF"/>
    <w:rsid w:val="00F96228"/>
    <w:rsid w:val="00F96C13"/>
    <w:rsid w:val="00F96C3D"/>
    <w:rsid w:val="00F96C8C"/>
    <w:rsid w:val="00F9715E"/>
    <w:rsid w:val="00F972F0"/>
    <w:rsid w:val="00F97410"/>
    <w:rsid w:val="00F9755D"/>
    <w:rsid w:val="00F97589"/>
    <w:rsid w:val="00F97E6C"/>
    <w:rsid w:val="00F97EEA"/>
    <w:rsid w:val="00FA0288"/>
    <w:rsid w:val="00FA029F"/>
    <w:rsid w:val="00FA02F9"/>
    <w:rsid w:val="00FA07F1"/>
    <w:rsid w:val="00FA0962"/>
    <w:rsid w:val="00FA0B66"/>
    <w:rsid w:val="00FA14A2"/>
    <w:rsid w:val="00FA1592"/>
    <w:rsid w:val="00FA1BDB"/>
    <w:rsid w:val="00FA1DAF"/>
    <w:rsid w:val="00FA1EC6"/>
    <w:rsid w:val="00FA2348"/>
    <w:rsid w:val="00FA256A"/>
    <w:rsid w:val="00FA2758"/>
    <w:rsid w:val="00FA283F"/>
    <w:rsid w:val="00FA2E6D"/>
    <w:rsid w:val="00FA317A"/>
    <w:rsid w:val="00FA3656"/>
    <w:rsid w:val="00FA370B"/>
    <w:rsid w:val="00FA38BD"/>
    <w:rsid w:val="00FA3ED3"/>
    <w:rsid w:val="00FA44C1"/>
    <w:rsid w:val="00FA4569"/>
    <w:rsid w:val="00FA48E2"/>
    <w:rsid w:val="00FA5058"/>
    <w:rsid w:val="00FA5088"/>
    <w:rsid w:val="00FA573E"/>
    <w:rsid w:val="00FA5AC5"/>
    <w:rsid w:val="00FA5DE8"/>
    <w:rsid w:val="00FA689A"/>
    <w:rsid w:val="00FA68C3"/>
    <w:rsid w:val="00FA698E"/>
    <w:rsid w:val="00FA6DCA"/>
    <w:rsid w:val="00FA730B"/>
    <w:rsid w:val="00FA7357"/>
    <w:rsid w:val="00FA73B3"/>
    <w:rsid w:val="00FA7509"/>
    <w:rsid w:val="00FA75DF"/>
    <w:rsid w:val="00FA76F4"/>
    <w:rsid w:val="00FA77A8"/>
    <w:rsid w:val="00FA7D8E"/>
    <w:rsid w:val="00FB0003"/>
    <w:rsid w:val="00FB0328"/>
    <w:rsid w:val="00FB098F"/>
    <w:rsid w:val="00FB0C39"/>
    <w:rsid w:val="00FB199F"/>
    <w:rsid w:val="00FB1D2A"/>
    <w:rsid w:val="00FB2429"/>
    <w:rsid w:val="00FB2634"/>
    <w:rsid w:val="00FB2662"/>
    <w:rsid w:val="00FB2E59"/>
    <w:rsid w:val="00FB30B8"/>
    <w:rsid w:val="00FB3183"/>
    <w:rsid w:val="00FB33B0"/>
    <w:rsid w:val="00FB397B"/>
    <w:rsid w:val="00FB3BE0"/>
    <w:rsid w:val="00FB41D3"/>
    <w:rsid w:val="00FB4252"/>
    <w:rsid w:val="00FB438F"/>
    <w:rsid w:val="00FB499A"/>
    <w:rsid w:val="00FB4B92"/>
    <w:rsid w:val="00FB4CEB"/>
    <w:rsid w:val="00FB5647"/>
    <w:rsid w:val="00FB6035"/>
    <w:rsid w:val="00FB608B"/>
    <w:rsid w:val="00FB6264"/>
    <w:rsid w:val="00FB6810"/>
    <w:rsid w:val="00FB68F8"/>
    <w:rsid w:val="00FB7485"/>
    <w:rsid w:val="00FB7B7F"/>
    <w:rsid w:val="00FC008B"/>
    <w:rsid w:val="00FC024F"/>
    <w:rsid w:val="00FC09F9"/>
    <w:rsid w:val="00FC0A61"/>
    <w:rsid w:val="00FC1329"/>
    <w:rsid w:val="00FC13D4"/>
    <w:rsid w:val="00FC1E2F"/>
    <w:rsid w:val="00FC21C8"/>
    <w:rsid w:val="00FC2584"/>
    <w:rsid w:val="00FC26D3"/>
    <w:rsid w:val="00FC2A52"/>
    <w:rsid w:val="00FC2D81"/>
    <w:rsid w:val="00FC2E69"/>
    <w:rsid w:val="00FC2F9D"/>
    <w:rsid w:val="00FC3183"/>
    <w:rsid w:val="00FC3518"/>
    <w:rsid w:val="00FC3FED"/>
    <w:rsid w:val="00FC40EE"/>
    <w:rsid w:val="00FC460E"/>
    <w:rsid w:val="00FC46C3"/>
    <w:rsid w:val="00FC4A71"/>
    <w:rsid w:val="00FC52C6"/>
    <w:rsid w:val="00FC5393"/>
    <w:rsid w:val="00FC53E1"/>
    <w:rsid w:val="00FC54C7"/>
    <w:rsid w:val="00FC54DD"/>
    <w:rsid w:val="00FC5800"/>
    <w:rsid w:val="00FC5FDB"/>
    <w:rsid w:val="00FC62F3"/>
    <w:rsid w:val="00FC6565"/>
    <w:rsid w:val="00FC674D"/>
    <w:rsid w:val="00FC6D04"/>
    <w:rsid w:val="00FC70C5"/>
    <w:rsid w:val="00FC7371"/>
    <w:rsid w:val="00FC73B0"/>
    <w:rsid w:val="00FC75E7"/>
    <w:rsid w:val="00FC7A02"/>
    <w:rsid w:val="00FC7BCF"/>
    <w:rsid w:val="00FD000B"/>
    <w:rsid w:val="00FD000D"/>
    <w:rsid w:val="00FD01EB"/>
    <w:rsid w:val="00FD06D6"/>
    <w:rsid w:val="00FD0B0C"/>
    <w:rsid w:val="00FD0E2B"/>
    <w:rsid w:val="00FD0F6A"/>
    <w:rsid w:val="00FD1058"/>
    <w:rsid w:val="00FD10CD"/>
    <w:rsid w:val="00FD10E3"/>
    <w:rsid w:val="00FD1341"/>
    <w:rsid w:val="00FD1B01"/>
    <w:rsid w:val="00FD1B03"/>
    <w:rsid w:val="00FD1E69"/>
    <w:rsid w:val="00FD21E8"/>
    <w:rsid w:val="00FD235D"/>
    <w:rsid w:val="00FD23A1"/>
    <w:rsid w:val="00FD2611"/>
    <w:rsid w:val="00FD2D55"/>
    <w:rsid w:val="00FD302F"/>
    <w:rsid w:val="00FD37C3"/>
    <w:rsid w:val="00FD3A54"/>
    <w:rsid w:val="00FD3B84"/>
    <w:rsid w:val="00FD4128"/>
    <w:rsid w:val="00FD4AEC"/>
    <w:rsid w:val="00FD4AF7"/>
    <w:rsid w:val="00FD5011"/>
    <w:rsid w:val="00FD5193"/>
    <w:rsid w:val="00FD5199"/>
    <w:rsid w:val="00FD5392"/>
    <w:rsid w:val="00FD58FE"/>
    <w:rsid w:val="00FD5A1C"/>
    <w:rsid w:val="00FD5AE1"/>
    <w:rsid w:val="00FD5B34"/>
    <w:rsid w:val="00FD5B91"/>
    <w:rsid w:val="00FD5C1B"/>
    <w:rsid w:val="00FD5E04"/>
    <w:rsid w:val="00FD5FAC"/>
    <w:rsid w:val="00FD5FFF"/>
    <w:rsid w:val="00FD6008"/>
    <w:rsid w:val="00FD63DE"/>
    <w:rsid w:val="00FD66F3"/>
    <w:rsid w:val="00FD67C3"/>
    <w:rsid w:val="00FD6A7A"/>
    <w:rsid w:val="00FD6C4B"/>
    <w:rsid w:val="00FD6D81"/>
    <w:rsid w:val="00FD6F68"/>
    <w:rsid w:val="00FD719A"/>
    <w:rsid w:val="00FD730F"/>
    <w:rsid w:val="00FD77D8"/>
    <w:rsid w:val="00FD78DA"/>
    <w:rsid w:val="00FE0321"/>
    <w:rsid w:val="00FE068C"/>
    <w:rsid w:val="00FE08E7"/>
    <w:rsid w:val="00FE09E8"/>
    <w:rsid w:val="00FE0AA2"/>
    <w:rsid w:val="00FE0E36"/>
    <w:rsid w:val="00FE112D"/>
    <w:rsid w:val="00FE11AD"/>
    <w:rsid w:val="00FE12B8"/>
    <w:rsid w:val="00FE1A07"/>
    <w:rsid w:val="00FE1B86"/>
    <w:rsid w:val="00FE267F"/>
    <w:rsid w:val="00FE26D9"/>
    <w:rsid w:val="00FE2F0D"/>
    <w:rsid w:val="00FE37EF"/>
    <w:rsid w:val="00FE3F53"/>
    <w:rsid w:val="00FE3F85"/>
    <w:rsid w:val="00FE40D3"/>
    <w:rsid w:val="00FE40F6"/>
    <w:rsid w:val="00FE4208"/>
    <w:rsid w:val="00FE47E1"/>
    <w:rsid w:val="00FE48A3"/>
    <w:rsid w:val="00FE4D11"/>
    <w:rsid w:val="00FE4EB6"/>
    <w:rsid w:val="00FE543F"/>
    <w:rsid w:val="00FE5950"/>
    <w:rsid w:val="00FE6256"/>
    <w:rsid w:val="00FE6261"/>
    <w:rsid w:val="00FE629D"/>
    <w:rsid w:val="00FE64E2"/>
    <w:rsid w:val="00FE6FB4"/>
    <w:rsid w:val="00FE7908"/>
    <w:rsid w:val="00FE790A"/>
    <w:rsid w:val="00FF0076"/>
    <w:rsid w:val="00FF063A"/>
    <w:rsid w:val="00FF0AC9"/>
    <w:rsid w:val="00FF0C1B"/>
    <w:rsid w:val="00FF12F3"/>
    <w:rsid w:val="00FF183E"/>
    <w:rsid w:val="00FF1BA9"/>
    <w:rsid w:val="00FF1EE2"/>
    <w:rsid w:val="00FF1F1A"/>
    <w:rsid w:val="00FF272D"/>
    <w:rsid w:val="00FF2D0D"/>
    <w:rsid w:val="00FF2F41"/>
    <w:rsid w:val="00FF31A7"/>
    <w:rsid w:val="00FF3820"/>
    <w:rsid w:val="00FF3922"/>
    <w:rsid w:val="00FF39B3"/>
    <w:rsid w:val="00FF3DCA"/>
    <w:rsid w:val="00FF3FB9"/>
    <w:rsid w:val="00FF4155"/>
    <w:rsid w:val="00FF45C3"/>
    <w:rsid w:val="00FF4871"/>
    <w:rsid w:val="00FF4DFC"/>
    <w:rsid w:val="00FF4E34"/>
    <w:rsid w:val="00FF4E4F"/>
    <w:rsid w:val="00FF52E4"/>
    <w:rsid w:val="00FF5348"/>
    <w:rsid w:val="00FF5654"/>
    <w:rsid w:val="00FF5784"/>
    <w:rsid w:val="00FF5D02"/>
    <w:rsid w:val="00FF6BA0"/>
    <w:rsid w:val="00FF6F92"/>
    <w:rsid w:val="00FF71CC"/>
    <w:rsid w:val="00FF73C5"/>
    <w:rsid w:val="00FF7513"/>
    <w:rsid w:val="00FF7734"/>
    <w:rsid w:val="0183312D"/>
    <w:rsid w:val="01B49850"/>
    <w:rsid w:val="01F22B1F"/>
    <w:rsid w:val="0256D00C"/>
    <w:rsid w:val="02BCAA0D"/>
    <w:rsid w:val="047069C4"/>
    <w:rsid w:val="04CE135B"/>
    <w:rsid w:val="04DC6133"/>
    <w:rsid w:val="05764C8C"/>
    <w:rsid w:val="05C09362"/>
    <w:rsid w:val="063C09AE"/>
    <w:rsid w:val="07040243"/>
    <w:rsid w:val="078E54C8"/>
    <w:rsid w:val="079AF567"/>
    <w:rsid w:val="07A170DB"/>
    <w:rsid w:val="07E7583D"/>
    <w:rsid w:val="085FE8E6"/>
    <w:rsid w:val="086365DC"/>
    <w:rsid w:val="08FBF7C1"/>
    <w:rsid w:val="0913CA1D"/>
    <w:rsid w:val="0966C3F0"/>
    <w:rsid w:val="09AE5E4E"/>
    <w:rsid w:val="09B0A713"/>
    <w:rsid w:val="09D988A5"/>
    <w:rsid w:val="0AAD7C8A"/>
    <w:rsid w:val="0BAF9FE8"/>
    <w:rsid w:val="0C61F0F3"/>
    <w:rsid w:val="0C902227"/>
    <w:rsid w:val="0CC5CF6D"/>
    <w:rsid w:val="0D0CBF24"/>
    <w:rsid w:val="0D9CC34C"/>
    <w:rsid w:val="0E3616CA"/>
    <w:rsid w:val="0E3F97E3"/>
    <w:rsid w:val="0ED8C85A"/>
    <w:rsid w:val="105AFE26"/>
    <w:rsid w:val="110DA248"/>
    <w:rsid w:val="11BC6265"/>
    <w:rsid w:val="121DB12F"/>
    <w:rsid w:val="123D714C"/>
    <w:rsid w:val="129EDAA4"/>
    <w:rsid w:val="12FAB8C6"/>
    <w:rsid w:val="1320744C"/>
    <w:rsid w:val="132B0273"/>
    <w:rsid w:val="14066C7B"/>
    <w:rsid w:val="14127E5D"/>
    <w:rsid w:val="14707461"/>
    <w:rsid w:val="14777C07"/>
    <w:rsid w:val="14AA9EB8"/>
    <w:rsid w:val="158A2173"/>
    <w:rsid w:val="15A7A55E"/>
    <w:rsid w:val="15C6D113"/>
    <w:rsid w:val="1613C819"/>
    <w:rsid w:val="16230F3F"/>
    <w:rsid w:val="165BE59A"/>
    <w:rsid w:val="167CFBF6"/>
    <w:rsid w:val="16C136E9"/>
    <w:rsid w:val="16FC6B24"/>
    <w:rsid w:val="1717C82D"/>
    <w:rsid w:val="177F13D0"/>
    <w:rsid w:val="178A5416"/>
    <w:rsid w:val="179A8164"/>
    <w:rsid w:val="17C80175"/>
    <w:rsid w:val="185EC3D5"/>
    <w:rsid w:val="189B0DCD"/>
    <w:rsid w:val="18CC2973"/>
    <w:rsid w:val="19054D7F"/>
    <w:rsid w:val="196C0C1C"/>
    <w:rsid w:val="1990C8FE"/>
    <w:rsid w:val="19D4E156"/>
    <w:rsid w:val="19DF799E"/>
    <w:rsid w:val="1A38D198"/>
    <w:rsid w:val="1AA08F14"/>
    <w:rsid w:val="1B1F7CAC"/>
    <w:rsid w:val="1B3802A4"/>
    <w:rsid w:val="1B3A8EC7"/>
    <w:rsid w:val="1B442801"/>
    <w:rsid w:val="1B485C0A"/>
    <w:rsid w:val="1B859844"/>
    <w:rsid w:val="1C0CB3DA"/>
    <w:rsid w:val="1C31C473"/>
    <w:rsid w:val="1C59D32B"/>
    <w:rsid w:val="1CF62B67"/>
    <w:rsid w:val="1D2BDFBD"/>
    <w:rsid w:val="1E0AB702"/>
    <w:rsid w:val="1E9AF154"/>
    <w:rsid w:val="1EA1A92C"/>
    <w:rsid w:val="1EA8CB30"/>
    <w:rsid w:val="1F1ABAB6"/>
    <w:rsid w:val="1F5706A4"/>
    <w:rsid w:val="2015A2EF"/>
    <w:rsid w:val="206BA6E1"/>
    <w:rsid w:val="211B0357"/>
    <w:rsid w:val="212FB4C3"/>
    <w:rsid w:val="215F4800"/>
    <w:rsid w:val="21B26D66"/>
    <w:rsid w:val="221CA722"/>
    <w:rsid w:val="22305DA3"/>
    <w:rsid w:val="225627B6"/>
    <w:rsid w:val="225FDDCD"/>
    <w:rsid w:val="228E5EF6"/>
    <w:rsid w:val="22C84AEB"/>
    <w:rsid w:val="2311B9E1"/>
    <w:rsid w:val="239029EB"/>
    <w:rsid w:val="23AA96AB"/>
    <w:rsid w:val="23C1DB27"/>
    <w:rsid w:val="23DF43A8"/>
    <w:rsid w:val="2462BCE2"/>
    <w:rsid w:val="2470FC9E"/>
    <w:rsid w:val="251B88C3"/>
    <w:rsid w:val="252AEC1F"/>
    <w:rsid w:val="2620D4F5"/>
    <w:rsid w:val="2647DD6E"/>
    <w:rsid w:val="27A0B7C0"/>
    <w:rsid w:val="27CEA452"/>
    <w:rsid w:val="28278DC4"/>
    <w:rsid w:val="28388BF8"/>
    <w:rsid w:val="28A7630D"/>
    <w:rsid w:val="28FDDD17"/>
    <w:rsid w:val="2910A657"/>
    <w:rsid w:val="29333BA5"/>
    <w:rsid w:val="2951B721"/>
    <w:rsid w:val="2B0ED298"/>
    <w:rsid w:val="2B82C682"/>
    <w:rsid w:val="2BC6F222"/>
    <w:rsid w:val="2CDF8480"/>
    <w:rsid w:val="2DAB164F"/>
    <w:rsid w:val="2DD27D2A"/>
    <w:rsid w:val="2E4FB15F"/>
    <w:rsid w:val="2EAE9285"/>
    <w:rsid w:val="2ED61A2E"/>
    <w:rsid w:val="2EF59B7F"/>
    <w:rsid w:val="30142DB0"/>
    <w:rsid w:val="30E9D15C"/>
    <w:rsid w:val="312334D2"/>
    <w:rsid w:val="31839A41"/>
    <w:rsid w:val="32C25259"/>
    <w:rsid w:val="331933C3"/>
    <w:rsid w:val="332BF0D8"/>
    <w:rsid w:val="335DC5F7"/>
    <w:rsid w:val="3362EED6"/>
    <w:rsid w:val="33821C7A"/>
    <w:rsid w:val="35301B40"/>
    <w:rsid w:val="35B15BD6"/>
    <w:rsid w:val="35C29B96"/>
    <w:rsid w:val="35CCB8DF"/>
    <w:rsid w:val="35DD2A68"/>
    <w:rsid w:val="36683A24"/>
    <w:rsid w:val="3671F989"/>
    <w:rsid w:val="37549608"/>
    <w:rsid w:val="37D00294"/>
    <w:rsid w:val="3853FA06"/>
    <w:rsid w:val="38BE6CB7"/>
    <w:rsid w:val="3951C558"/>
    <w:rsid w:val="3A35C399"/>
    <w:rsid w:val="3A5EEFA0"/>
    <w:rsid w:val="3A7ABA88"/>
    <w:rsid w:val="3AA360C1"/>
    <w:rsid w:val="3B2AAF58"/>
    <w:rsid w:val="3B4DFF10"/>
    <w:rsid w:val="3BC1A2CB"/>
    <w:rsid w:val="3BD9488B"/>
    <w:rsid w:val="3BE2EC43"/>
    <w:rsid w:val="3C6FDC3D"/>
    <w:rsid w:val="3CC5549E"/>
    <w:rsid w:val="3D3054CE"/>
    <w:rsid w:val="3D4D783F"/>
    <w:rsid w:val="3D731E2D"/>
    <w:rsid w:val="3D7F7244"/>
    <w:rsid w:val="3DF302AA"/>
    <w:rsid w:val="3E10689C"/>
    <w:rsid w:val="3E140ADF"/>
    <w:rsid w:val="3E29E510"/>
    <w:rsid w:val="3E4927BD"/>
    <w:rsid w:val="3EDF6900"/>
    <w:rsid w:val="3F49C006"/>
    <w:rsid w:val="407C9940"/>
    <w:rsid w:val="40A113A6"/>
    <w:rsid w:val="41D1AE01"/>
    <w:rsid w:val="424E7E5C"/>
    <w:rsid w:val="42D5DC6F"/>
    <w:rsid w:val="433160DF"/>
    <w:rsid w:val="44665BC3"/>
    <w:rsid w:val="44C86222"/>
    <w:rsid w:val="44F39B48"/>
    <w:rsid w:val="4506849B"/>
    <w:rsid w:val="4557F2AC"/>
    <w:rsid w:val="4561D77A"/>
    <w:rsid w:val="457AF7B1"/>
    <w:rsid w:val="457F09F9"/>
    <w:rsid w:val="45CB01A1"/>
    <w:rsid w:val="45D74DDB"/>
    <w:rsid w:val="46204BB4"/>
    <w:rsid w:val="46550F34"/>
    <w:rsid w:val="46850F6A"/>
    <w:rsid w:val="46B840D7"/>
    <w:rsid w:val="4785D047"/>
    <w:rsid w:val="47D129D2"/>
    <w:rsid w:val="48007B8C"/>
    <w:rsid w:val="483C5743"/>
    <w:rsid w:val="484E1503"/>
    <w:rsid w:val="48F4B852"/>
    <w:rsid w:val="491290E0"/>
    <w:rsid w:val="49915497"/>
    <w:rsid w:val="4A1C5407"/>
    <w:rsid w:val="4AA73237"/>
    <w:rsid w:val="4BE2CA2E"/>
    <w:rsid w:val="4C2027E1"/>
    <w:rsid w:val="4C4A04F5"/>
    <w:rsid w:val="4C4E50B7"/>
    <w:rsid w:val="4C905781"/>
    <w:rsid w:val="4CDB0FEC"/>
    <w:rsid w:val="4D5A06D1"/>
    <w:rsid w:val="4D62406C"/>
    <w:rsid w:val="4D62C0C6"/>
    <w:rsid w:val="4E2744E8"/>
    <w:rsid w:val="4E67DC6C"/>
    <w:rsid w:val="4EB39CF9"/>
    <w:rsid w:val="4ECABEFD"/>
    <w:rsid w:val="4ED4DC89"/>
    <w:rsid w:val="4FE1AFC0"/>
    <w:rsid w:val="4FED3F95"/>
    <w:rsid w:val="5093E1B2"/>
    <w:rsid w:val="50AC3AD0"/>
    <w:rsid w:val="50C3DE8A"/>
    <w:rsid w:val="50FFB9A9"/>
    <w:rsid w:val="510C1A4F"/>
    <w:rsid w:val="51594B68"/>
    <w:rsid w:val="5181DBEE"/>
    <w:rsid w:val="52B90E7F"/>
    <w:rsid w:val="544852F8"/>
    <w:rsid w:val="546196EC"/>
    <w:rsid w:val="56746A2B"/>
    <w:rsid w:val="567B01C6"/>
    <w:rsid w:val="57964256"/>
    <w:rsid w:val="57C1F816"/>
    <w:rsid w:val="57D7CF85"/>
    <w:rsid w:val="57F79693"/>
    <w:rsid w:val="58164BC1"/>
    <w:rsid w:val="596E8E97"/>
    <w:rsid w:val="5A5EDDDB"/>
    <w:rsid w:val="5C504985"/>
    <w:rsid w:val="5C990EDB"/>
    <w:rsid w:val="5CE87CE2"/>
    <w:rsid w:val="5DF3A1CA"/>
    <w:rsid w:val="5E07617C"/>
    <w:rsid w:val="5E3A550A"/>
    <w:rsid w:val="6012959D"/>
    <w:rsid w:val="60144EDF"/>
    <w:rsid w:val="6033D4EE"/>
    <w:rsid w:val="60B06476"/>
    <w:rsid w:val="6184C6F4"/>
    <w:rsid w:val="6279652A"/>
    <w:rsid w:val="62D7E1B3"/>
    <w:rsid w:val="6307216F"/>
    <w:rsid w:val="631ECBDD"/>
    <w:rsid w:val="6379C810"/>
    <w:rsid w:val="64009BBC"/>
    <w:rsid w:val="646BD8DA"/>
    <w:rsid w:val="647BA843"/>
    <w:rsid w:val="649C393D"/>
    <w:rsid w:val="650A9E84"/>
    <w:rsid w:val="65344005"/>
    <w:rsid w:val="654C9455"/>
    <w:rsid w:val="656AE631"/>
    <w:rsid w:val="658EA6E8"/>
    <w:rsid w:val="65F53292"/>
    <w:rsid w:val="66119543"/>
    <w:rsid w:val="6612A9B0"/>
    <w:rsid w:val="67BE5F30"/>
    <w:rsid w:val="6878898F"/>
    <w:rsid w:val="69CCD969"/>
    <w:rsid w:val="6A2B6FF5"/>
    <w:rsid w:val="6A46C439"/>
    <w:rsid w:val="6AC51B77"/>
    <w:rsid w:val="6AC53443"/>
    <w:rsid w:val="6B22F266"/>
    <w:rsid w:val="6BAC5AE9"/>
    <w:rsid w:val="6BAE52FF"/>
    <w:rsid w:val="6BC24EAF"/>
    <w:rsid w:val="6BC6F4D3"/>
    <w:rsid w:val="6C1412F9"/>
    <w:rsid w:val="6C56B5AB"/>
    <w:rsid w:val="6C68B77C"/>
    <w:rsid w:val="6CD78D93"/>
    <w:rsid w:val="6CF24687"/>
    <w:rsid w:val="6D16E551"/>
    <w:rsid w:val="6ED2689D"/>
    <w:rsid w:val="6F213270"/>
    <w:rsid w:val="6F8B3DB2"/>
    <w:rsid w:val="6FB0D522"/>
    <w:rsid w:val="6FCAABD6"/>
    <w:rsid w:val="70449185"/>
    <w:rsid w:val="717BE009"/>
    <w:rsid w:val="72129437"/>
    <w:rsid w:val="7230E120"/>
    <w:rsid w:val="727108FF"/>
    <w:rsid w:val="727F4A3C"/>
    <w:rsid w:val="74099068"/>
    <w:rsid w:val="7548F7C5"/>
    <w:rsid w:val="754FE6FD"/>
    <w:rsid w:val="7574378E"/>
    <w:rsid w:val="75ED36CC"/>
    <w:rsid w:val="7633B836"/>
    <w:rsid w:val="7647C948"/>
    <w:rsid w:val="76D8867F"/>
    <w:rsid w:val="76F53A38"/>
    <w:rsid w:val="776D5A9F"/>
    <w:rsid w:val="781889DA"/>
    <w:rsid w:val="788387BB"/>
    <w:rsid w:val="7911DC55"/>
    <w:rsid w:val="797D124E"/>
    <w:rsid w:val="79AE2DF4"/>
    <w:rsid w:val="79C71E9C"/>
    <w:rsid w:val="7B9FE3E4"/>
    <w:rsid w:val="7BF355D3"/>
    <w:rsid w:val="7C07F192"/>
    <w:rsid w:val="7C45165B"/>
    <w:rsid w:val="7C973A11"/>
    <w:rsid w:val="7D1608FD"/>
    <w:rsid w:val="7D478F8E"/>
    <w:rsid w:val="7DB65C8A"/>
    <w:rsid w:val="7E85C17F"/>
    <w:rsid w:val="7F3829F8"/>
    <w:rsid w:val="7F937562"/>
    <w:rsid w:val="7FCB9E8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30C9D006-3892-4E1D-BDB1-4DB5B6F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AD"/>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0F10AD"/>
    <w:pPr>
      <w:spacing w:after="240"/>
      <w:outlineLvl w:val="0"/>
    </w:pPr>
    <w:rPr>
      <w:rFonts w:ascii="Arial Bold" w:hAnsi="Arial Bold"/>
      <w:b/>
      <w:kern w:val="34"/>
      <w:sz w:val="36"/>
    </w:rPr>
  </w:style>
  <w:style w:type="paragraph" w:styleId="Heading2">
    <w:name w:val="heading 2"/>
    <w:basedOn w:val="HeadingBase"/>
    <w:next w:val="Normal"/>
    <w:link w:val="Heading2Char"/>
    <w:qFormat/>
    <w:rsid w:val="000F10AD"/>
    <w:pPr>
      <w:spacing w:before="240" w:after="240"/>
      <w:outlineLvl w:val="1"/>
    </w:pPr>
    <w:rPr>
      <w:rFonts w:ascii="Arial Bold" w:hAnsi="Arial Bold"/>
      <w:b/>
      <w:sz w:val="26"/>
    </w:rPr>
  </w:style>
  <w:style w:type="paragraph" w:styleId="Heading3">
    <w:name w:val="heading 3"/>
    <w:basedOn w:val="HeadingBase"/>
    <w:next w:val="Normal"/>
    <w:link w:val="Heading3Char"/>
    <w:qFormat/>
    <w:rsid w:val="000F10AD"/>
    <w:pPr>
      <w:spacing w:before="120" w:after="120"/>
      <w:outlineLvl w:val="2"/>
    </w:pPr>
    <w:rPr>
      <w:rFonts w:ascii="Arial Bold" w:hAnsi="Arial Bold"/>
      <w:b/>
      <w:sz w:val="22"/>
    </w:rPr>
  </w:style>
  <w:style w:type="paragraph" w:styleId="Heading4">
    <w:name w:val="heading 4"/>
    <w:basedOn w:val="HeadingBase"/>
    <w:next w:val="Normal"/>
    <w:link w:val="Heading4Char"/>
    <w:qFormat/>
    <w:rsid w:val="000F10AD"/>
    <w:pPr>
      <w:spacing w:after="120"/>
      <w:outlineLvl w:val="3"/>
    </w:pPr>
    <w:rPr>
      <w:rFonts w:ascii="Arial Bold" w:hAnsi="Arial Bold"/>
      <w:b/>
      <w:sz w:val="20"/>
    </w:rPr>
  </w:style>
  <w:style w:type="paragraph" w:styleId="Heading5">
    <w:name w:val="heading 5"/>
    <w:basedOn w:val="HeadingBase"/>
    <w:next w:val="Normal"/>
    <w:link w:val="Heading5Char"/>
    <w:qFormat/>
    <w:rsid w:val="000F10AD"/>
    <w:pPr>
      <w:spacing w:after="120"/>
      <w:outlineLvl w:val="4"/>
    </w:pPr>
    <w:rPr>
      <w:bCs/>
      <w:i/>
      <w:iCs/>
      <w:sz w:val="20"/>
      <w:szCs w:val="26"/>
    </w:rPr>
  </w:style>
  <w:style w:type="paragraph" w:styleId="Heading6">
    <w:name w:val="heading 6"/>
    <w:basedOn w:val="HeadingBase"/>
    <w:next w:val="Normal"/>
    <w:link w:val="Heading6Char"/>
    <w:rsid w:val="000F10AD"/>
    <w:pPr>
      <w:spacing w:after="120"/>
      <w:outlineLvl w:val="5"/>
    </w:pPr>
    <w:rPr>
      <w:bCs/>
      <w:sz w:val="20"/>
      <w:szCs w:val="22"/>
    </w:rPr>
  </w:style>
  <w:style w:type="paragraph" w:styleId="Heading7">
    <w:name w:val="heading 7"/>
    <w:basedOn w:val="HeadingBase"/>
    <w:next w:val="Normal"/>
    <w:link w:val="Heading7Char"/>
    <w:rsid w:val="000F10AD"/>
    <w:pPr>
      <w:spacing w:before="120"/>
      <w:outlineLvl w:val="6"/>
    </w:pPr>
    <w:rPr>
      <w:sz w:val="20"/>
      <w:szCs w:val="24"/>
    </w:rPr>
  </w:style>
  <w:style w:type="paragraph" w:styleId="Heading8">
    <w:name w:val="heading 8"/>
    <w:basedOn w:val="HeadingBase"/>
    <w:next w:val="Normal"/>
    <w:link w:val="Heading8Char"/>
    <w:rsid w:val="000F10AD"/>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0F10AD"/>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0F10AD"/>
    <w:pPr>
      <w:tabs>
        <w:tab w:val="center" w:pos="4153"/>
        <w:tab w:val="right" w:pos="8306"/>
      </w:tabs>
    </w:pPr>
  </w:style>
  <w:style w:type="character" w:customStyle="1" w:styleId="HeaderChar">
    <w:name w:val="Header Char"/>
    <w:basedOn w:val="DefaultParagraphFont"/>
    <w:link w:val="Header"/>
    <w:rsid w:val="000F10AD"/>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0F10AD"/>
    <w:pPr>
      <w:tabs>
        <w:tab w:val="center" w:pos="4153"/>
        <w:tab w:val="right" w:pos="8306"/>
      </w:tabs>
    </w:pPr>
  </w:style>
  <w:style w:type="character" w:customStyle="1" w:styleId="FooterChar">
    <w:name w:val="Footer Char"/>
    <w:basedOn w:val="DefaultParagraphFont"/>
    <w:link w:val="Footer"/>
    <w:rsid w:val="000F10AD"/>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0F10AD"/>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0F10AD"/>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0F10AD"/>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0F10AD"/>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0F10AD"/>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0F10AD"/>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0F10AD"/>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0F10AD"/>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0F10AD"/>
    <w:pPr>
      <w:jc w:val="center"/>
    </w:pPr>
    <w:rPr>
      <w:rFonts w:ascii="Arial Bold" w:hAnsi="Arial Bold"/>
      <w:b/>
      <w:caps/>
      <w:sz w:val="22"/>
    </w:rPr>
  </w:style>
  <w:style w:type="paragraph" w:customStyle="1" w:styleId="FileProperties">
    <w:name w:val="File Properties"/>
    <w:basedOn w:val="Normal"/>
    <w:rsid w:val="000F10AD"/>
    <w:pPr>
      <w:spacing w:before="0"/>
    </w:pPr>
    <w:rPr>
      <w:i/>
    </w:rPr>
  </w:style>
  <w:style w:type="paragraph" w:customStyle="1" w:styleId="AlphaParagraph">
    <w:name w:val="Alpha Paragraph"/>
    <w:basedOn w:val="Normal"/>
    <w:rsid w:val="000F10AD"/>
    <w:pPr>
      <w:numPr>
        <w:numId w:val="1"/>
      </w:numPr>
      <w:tabs>
        <w:tab w:val="clear" w:pos="567"/>
        <w:tab w:val="num" w:pos="360"/>
      </w:tabs>
      <w:ind w:left="0" w:firstLine="0"/>
    </w:pPr>
  </w:style>
  <w:style w:type="paragraph" w:customStyle="1" w:styleId="HeadingBase">
    <w:name w:val="Heading Base"/>
    <w:rsid w:val="000F10AD"/>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A57C8D"/>
    <w:rPr>
      <w:bCs/>
      <w:color w:val="FFFFFF" w:themeColor="background1"/>
      <w:szCs w:val="52"/>
    </w:rPr>
  </w:style>
  <w:style w:type="paragraph" w:customStyle="1" w:styleId="StatementWhite">
    <w:name w:val="Statement White"/>
    <w:basedOn w:val="Normal"/>
    <w:autoRedefine/>
    <w:qFormat/>
    <w:rsid w:val="00216803"/>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73685A"/>
    <w:pPr>
      <w:pBdr>
        <w:top w:val="single" w:sz="4" w:space="10" w:color="FFFFFF" w:themeColor="background1"/>
      </w:pBdr>
    </w:pPr>
    <w:rPr>
      <w:color w:val="FFFFFF" w:themeColor="background1"/>
    </w:rPr>
  </w:style>
  <w:style w:type="paragraph" w:customStyle="1" w:styleId="BoxText">
    <w:name w:val="Box Text"/>
    <w:basedOn w:val="Normal"/>
    <w:qFormat/>
    <w:rsid w:val="000F10AD"/>
    <w:pPr>
      <w:spacing w:before="120" w:after="120" w:line="240" w:lineRule="auto"/>
    </w:pPr>
  </w:style>
  <w:style w:type="paragraph" w:customStyle="1" w:styleId="BoxBullet">
    <w:name w:val="Box Bullet"/>
    <w:basedOn w:val="BoxText"/>
    <w:rsid w:val="000F10AD"/>
    <w:pPr>
      <w:numPr>
        <w:numId w:val="2"/>
      </w:numPr>
    </w:pPr>
  </w:style>
  <w:style w:type="paragraph" w:customStyle="1" w:styleId="BoxHeading">
    <w:name w:val="Box Heading"/>
    <w:basedOn w:val="HeadingBase"/>
    <w:next w:val="BoxText"/>
    <w:rsid w:val="000F10AD"/>
    <w:pPr>
      <w:spacing w:before="120" w:after="120"/>
    </w:pPr>
    <w:rPr>
      <w:b/>
      <w:sz w:val="20"/>
    </w:rPr>
  </w:style>
  <w:style w:type="character" w:customStyle="1" w:styleId="Heading6Char">
    <w:name w:val="Heading 6 Char"/>
    <w:basedOn w:val="DefaultParagraphFont"/>
    <w:link w:val="Heading6"/>
    <w:rsid w:val="000F10AD"/>
    <w:rPr>
      <w:rFonts w:ascii="Arial" w:eastAsia="Times New Roman" w:hAnsi="Arial" w:cs="Times New Roman"/>
      <w:bCs/>
      <w:sz w:val="20"/>
      <w:lang w:eastAsia="en-AU"/>
    </w:rPr>
  </w:style>
  <w:style w:type="paragraph" w:customStyle="1" w:styleId="BoxSubHeading">
    <w:name w:val="Box Sub Heading"/>
    <w:basedOn w:val="Heading6"/>
    <w:rsid w:val="000F10AD"/>
    <w:pPr>
      <w:spacing w:before="120" w:after="40"/>
    </w:pPr>
  </w:style>
  <w:style w:type="paragraph" w:customStyle="1" w:styleId="Bullet">
    <w:name w:val="Bullet"/>
    <w:basedOn w:val="Normal"/>
    <w:qFormat/>
    <w:rsid w:val="000F10AD"/>
    <w:pPr>
      <w:numPr>
        <w:numId w:val="3"/>
      </w:numPr>
      <w:spacing w:after="160"/>
      <w:ind w:left="284" w:hanging="284"/>
    </w:pPr>
  </w:style>
  <w:style w:type="paragraph" w:styleId="Caption">
    <w:name w:val="caption"/>
    <w:basedOn w:val="Normal"/>
    <w:next w:val="Normal"/>
    <w:rsid w:val="000F10AD"/>
    <w:rPr>
      <w:b/>
      <w:bCs/>
    </w:rPr>
  </w:style>
  <w:style w:type="paragraph" w:customStyle="1" w:styleId="ChartandTableFootnote">
    <w:name w:val="Chart and Table Footnote"/>
    <w:basedOn w:val="HeadingBase"/>
    <w:next w:val="Normal"/>
    <w:rsid w:val="000F10AD"/>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0F10AD"/>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0F10AD"/>
    <w:pPr>
      <w:keepNext w:val="0"/>
      <w:tabs>
        <w:tab w:val="left" w:pos="284"/>
      </w:tabs>
      <w:jc w:val="both"/>
    </w:pPr>
    <w:rPr>
      <w:color w:val="000000"/>
      <w:sz w:val="15"/>
    </w:rPr>
  </w:style>
  <w:style w:type="paragraph" w:customStyle="1" w:styleId="ChartGraphic">
    <w:name w:val="Chart Graphic"/>
    <w:basedOn w:val="HeadingBase"/>
    <w:rsid w:val="006F1D21"/>
    <w:rPr>
      <w:sz w:val="20"/>
    </w:rPr>
  </w:style>
  <w:style w:type="paragraph" w:customStyle="1" w:styleId="ChartHeading">
    <w:name w:val="Chart Heading"/>
    <w:basedOn w:val="HeadingBase"/>
    <w:next w:val="ChartGraphic"/>
    <w:qFormat/>
    <w:rsid w:val="000F10AD"/>
    <w:pPr>
      <w:spacing w:before="120" w:after="20"/>
    </w:pPr>
    <w:rPr>
      <w:b/>
      <w:sz w:val="20"/>
    </w:rPr>
  </w:style>
  <w:style w:type="paragraph" w:customStyle="1" w:styleId="TableLine">
    <w:name w:val="Table Line"/>
    <w:basedOn w:val="Normal"/>
    <w:next w:val="Normal"/>
    <w:autoRedefine/>
    <w:rsid w:val="000F10AD"/>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0F10AD"/>
    <w:pPr>
      <w:spacing w:after="60"/>
    </w:pPr>
    <w:rPr>
      <w:sz w:val="19"/>
    </w:rPr>
  </w:style>
  <w:style w:type="character" w:styleId="CommentReference">
    <w:name w:val="annotation reference"/>
    <w:basedOn w:val="DefaultParagraphFont"/>
    <w:uiPriority w:val="99"/>
    <w:rsid w:val="000F10AD"/>
    <w:rPr>
      <w:sz w:val="16"/>
      <w:szCs w:val="16"/>
    </w:rPr>
  </w:style>
  <w:style w:type="paragraph" w:styleId="CommentText">
    <w:name w:val="annotation text"/>
    <w:basedOn w:val="Normal"/>
    <w:link w:val="CommentTextChar"/>
    <w:semiHidden/>
    <w:rsid w:val="000F10AD"/>
  </w:style>
  <w:style w:type="character" w:customStyle="1" w:styleId="CommentTextChar">
    <w:name w:val="Comment Text Char"/>
    <w:basedOn w:val="DefaultParagraphFont"/>
    <w:link w:val="CommentText"/>
    <w:semiHidden/>
    <w:rsid w:val="000F10AD"/>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0F10AD"/>
    <w:rPr>
      <w:b/>
      <w:bCs/>
    </w:rPr>
  </w:style>
  <w:style w:type="character" w:customStyle="1" w:styleId="CommentSubjectChar">
    <w:name w:val="Comment Subject Char"/>
    <w:basedOn w:val="CommentTextChar"/>
    <w:link w:val="CommentSubject"/>
    <w:semiHidden/>
    <w:rsid w:val="000F10AD"/>
    <w:rPr>
      <w:rFonts w:eastAsia="Times New Roman" w:cs="Times New Roman"/>
      <w:b/>
      <w:bCs/>
      <w:sz w:val="19"/>
      <w:szCs w:val="20"/>
      <w:lang w:eastAsia="en-AU"/>
    </w:rPr>
  </w:style>
  <w:style w:type="paragraph" w:customStyle="1" w:styleId="ContentsHeading">
    <w:name w:val="Contents Heading"/>
    <w:basedOn w:val="Heading1"/>
    <w:next w:val="Normal"/>
    <w:rsid w:val="000F10AD"/>
    <w:pPr>
      <w:spacing w:after="720"/>
      <w:outlineLvl w:val="9"/>
    </w:pPr>
  </w:style>
  <w:style w:type="character" w:styleId="Strong">
    <w:name w:val="Strong"/>
    <w:basedOn w:val="DefaultParagraphFont"/>
    <w:uiPriority w:val="22"/>
    <w:qFormat/>
    <w:rsid w:val="000F10AD"/>
    <w:rPr>
      <w:b/>
      <w:bCs/>
    </w:rPr>
  </w:style>
  <w:style w:type="paragraph" w:customStyle="1" w:styleId="Dash">
    <w:name w:val="Dash"/>
    <w:basedOn w:val="Normal"/>
    <w:qFormat/>
    <w:rsid w:val="000F10AD"/>
    <w:pPr>
      <w:numPr>
        <w:ilvl w:val="1"/>
        <w:numId w:val="3"/>
      </w:numPr>
      <w:tabs>
        <w:tab w:val="left" w:pos="567"/>
      </w:tabs>
    </w:pPr>
  </w:style>
  <w:style w:type="paragraph" w:styleId="DocumentMap">
    <w:name w:val="Document Map"/>
    <w:basedOn w:val="Normal"/>
    <w:link w:val="DocumentMapChar"/>
    <w:semiHidden/>
    <w:rsid w:val="000F10AD"/>
    <w:pPr>
      <w:shd w:val="clear" w:color="auto" w:fill="000080"/>
    </w:pPr>
    <w:rPr>
      <w:rFonts w:ascii="Tahoma" w:hAnsi="Tahoma" w:cs="Tahoma"/>
    </w:rPr>
  </w:style>
  <w:style w:type="character" w:customStyle="1" w:styleId="DocumentMapChar">
    <w:name w:val="Document Map Char"/>
    <w:basedOn w:val="DefaultParagraphFont"/>
    <w:link w:val="DocumentMap"/>
    <w:semiHidden/>
    <w:rsid w:val="000F10AD"/>
    <w:rPr>
      <w:rFonts w:ascii="Tahoma" w:eastAsia="Times New Roman" w:hAnsi="Tahoma" w:cs="Tahoma"/>
      <w:sz w:val="19"/>
      <w:szCs w:val="20"/>
      <w:shd w:val="clear" w:color="auto" w:fill="000080"/>
      <w:lang w:eastAsia="en-AU"/>
    </w:rPr>
  </w:style>
  <w:style w:type="paragraph" w:customStyle="1" w:styleId="DoubleDot">
    <w:name w:val="Double Dot"/>
    <w:basedOn w:val="Normal"/>
    <w:rsid w:val="000F10AD"/>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0F10AD"/>
    <w:pPr>
      <w:spacing w:before="120" w:after="20"/>
    </w:pPr>
    <w:rPr>
      <w:b/>
      <w:sz w:val="20"/>
    </w:rPr>
  </w:style>
  <w:style w:type="paragraph" w:customStyle="1" w:styleId="FooterBase">
    <w:name w:val="Footer Base"/>
    <w:rsid w:val="000F10AD"/>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0F10AD"/>
    <w:pPr>
      <w:pBdr>
        <w:top w:val="single" w:sz="4" w:space="10" w:color="293F5B" w:themeColor="text2"/>
      </w:pBdr>
      <w:jc w:val="left"/>
    </w:pPr>
    <w:rPr>
      <w:sz w:val="18"/>
    </w:rPr>
  </w:style>
  <w:style w:type="paragraph" w:customStyle="1" w:styleId="FooterOdd">
    <w:name w:val="Footer Odd"/>
    <w:basedOn w:val="Footer"/>
    <w:qFormat/>
    <w:rsid w:val="000F10AD"/>
    <w:pPr>
      <w:pBdr>
        <w:top w:val="single" w:sz="4" w:space="10" w:color="293F5B" w:themeColor="text2"/>
      </w:pBdr>
      <w:jc w:val="right"/>
    </w:pPr>
    <w:rPr>
      <w:sz w:val="18"/>
    </w:rPr>
  </w:style>
  <w:style w:type="character" w:styleId="FootnoteReference">
    <w:name w:val="footnote reference"/>
    <w:basedOn w:val="DefaultParagraphFont"/>
    <w:rsid w:val="000F10AD"/>
    <w:rPr>
      <w:vertAlign w:val="superscript"/>
    </w:rPr>
  </w:style>
  <w:style w:type="paragraph" w:styleId="FootnoteText">
    <w:name w:val="footnote text"/>
    <w:basedOn w:val="Normal"/>
    <w:link w:val="FootnoteTextChar"/>
    <w:rsid w:val="000F10AD"/>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0F10AD"/>
    <w:rPr>
      <w:rFonts w:eastAsia="Times New Roman" w:cs="Times New Roman"/>
      <w:sz w:val="18"/>
      <w:szCs w:val="20"/>
      <w:lang w:eastAsia="en-AU"/>
    </w:rPr>
  </w:style>
  <w:style w:type="character" w:customStyle="1" w:styleId="FramedHeader">
    <w:name w:val="Framed Header"/>
    <w:basedOn w:val="DefaultParagraphFont"/>
    <w:rsid w:val="000F10AD"/>
    <w:rPr>
      <w:rFonts w:ascii="Book Antiqua" w:hAnsi="Book Antiqua"/>
      <w:i/>
      <w:dstrike w:val="0"/>
      <w:color w:val="auto"/>
      <w:sz w:val="20"/>
      <w:vertAlign w:val="baseline"/>
    </w:rPr>
  </w:style>
  <w:style w:type="paragraph" w:customStyle="1" w:styleId="HeaderBase">
    <w:name w:val="Header Base"/>
    <w:rsid w:val="000F10AD"/>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0F10AD"/>
  </w:style>
  <w:style w:type="paragraph" w:customStyle="1" w:styleId="HeaderOdd">
    <w:name w:val="Header Odd"/>
    <w:basedOn w:val="HeaderBase"/>
    <w:rsid w:val="000F10AD"/>
    <w:pPr>
      <w:jc w:val="right"/>
    </w:pPr>
  </w:style>
  <w:style w:type="character" w:customStyle="1" w:styleId="Heading1Char">
    <w:name w:val="Heading 1 Char"/>
    <w:basedOn w:val="DefaultParagraphFont"/>
    <w:link w:val="Heading1"/>
    <w:rsid w:val="000F10AD"/>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0F10AD"/>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0F10AD"/>
    <w:rPr>
      <w:rFonts w:ascii="Arial Bold" w:eastAsia="Times New Roman" w:hAnsi="Arial Bold" w:cs="Times New Roman"/>
      <w:b/>
      <w:szCs w:val="20"/>
      <w:lang w:eastAsia="en-AU"/>
    </w:rPr>
  </w:style>
  <w:style w:type="paragraph" w:customStyle="1" w:styleId="Heading3noTOC">
    <w:name w:val="Heading 3 no TOC"/>
    <w:basedOn w:val="Heading3"/>
    <w:rsid w:val="000F10AD"/>
    <w:pPr>
      <w:outlineLvl w:val="9"/>
    </w:pPr>
  </w:style>
  <w:style w:type="character" w:customStyle="1" w:styleId="Heading4Char">
    <w:name w:val="Heading 4 Char"/>
    <w:basedOn w:val="DefaultParagraphFont"/>
    <w:link w:val="Heading4"/>
    <w:rsid w:val="000F10A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0F10AD"/>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0F10A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0F10A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0F10AD"/>
    <w:rPr>
      <w:rFonts w:ascii="Times New Roman" w:hAnsi="Times New Roman"/>
      <w:vanish/>
      <w:sz w:val="16"/>
    </w:rPr>
  </w:style>
  <w:style w:type="character" w:styleId="Hyperlink">
    <w:name w:val="Hyperlink"/>
    <w:basedOn w:val="DefaultParagraphFont"/>
    <w:uiPriority w:val="99"/>
    <w:unhideWhenUsed/>
    <w:rsid w:val="000F10AD"/>
    <w:rPr>
      <w:color w:val="0000FF"/>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0F10AD"/>
    <w:pPr>
      <w:ind w:left="800" w:hanging="200"/>
    </w:pPr>
  </w:style>
  <w:style w:type="paragraph" w:styleId="Index5">
    <w:name w:val="index 5"/>
    <w:basedOn w:val="Normal"/>
    <w:next w:val="Normal"/>
    <w:autoRedefine/>
    <w:semiHidden/>
    <w:rsid w:val="000F10AD"/>
    <w:pPr>
      <w:ind w:left="1000" w:hanging="200"/>
    </w:pPr>
  </w:style>
  <w:style w:type="paragraph" w:styleId="Index6">
    <w:name w:val="index 6"/>
    <w:basedOn w:val="Normal"/>
    <w:next w:val="Normal"/>
    <w:autoRedefine/>
    <w:semiHidden/>
    <w:rsid w:val="000F10AD"/>
    <w:pPr>
      <w:ind w:left="1200" w:hanging="200"/>
    </w:pPr>
  </w:style>
  <w:style w:type="paragraph" w:styleId="Index7">
    <w:name w:val="index 7"/>
    <w:basedOn w:val="Normal"/>
    <w:next w:val="Normal"/>
    <w:autoRedefine/>
    <w:semiHidden/>
    <w:rsid w:val="000F10AD"/>
    <w:pPr>
      <w:ind w:left="1400" w:hanging="200"/>
    </w:pPr>
  </w:style>
  <w:style w:type="paragraph" w:styleId="Index8">
    <w:name w:val="index 8"/>
    <w:basedOn w:val="Normal"/>
    <w:next w:val="Normal"/>
    <w:autoRedefine/>
    <w:semiHidden/>
    <w:rsid w:val="000F10AD"/>
    <w:pPr>
      <w:ind w:left="1600" w:hanging="200"/>
    </w:pPr>
  </w:style>
  <w:style w:type="paragraph" w:styleId="Index9">
    <w:name w:val="index 9"/>
    <w:basedOn w:val="Normal"/>
    <w:next w:val="Normal"/>
    <w:autoRedefine/>
    <w:semiHidden/>
    <w:rsid w:val="000F10AD"/>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0F10A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0F10AD"/>
    <w:rPr>
      <w:rFonts w:ascii="Courier New" w:eastAsia="Times New Roman" w:hAnsi="Courier New" w:cs="Courier New"/>
      <w:sz w:val="20"/>
      <w:szCs w:val="20"/>
      <w:lang w:eastAsia="en-AU"/>
    </w:rPr>
  </w:style>
  <w:style w:type="paragraph" w:styleId="NormalIndent">
    <w:name w:val="Normal Indent"/>
    <w:basedOn w:val="Normal"/>
    <w:rsid w:val="000F10AD"/>
    <w:pPr>
      <w:ind w:left="567"/>
    </w:pPr>
  </w:style>
  <w:style w:type="paragraph" w:customStyle="1" w:styleId="NoteTableHeading">
    <w:name w:val="Note Table Heading"/>
    <w:basedOn w:val="HeadingBase"/>
    <w:next w:val="Normal"/>
    <w:rsid w:val="000F10AD"/>
    <w:pPr>
      <w:spacing w:before="240"/>
    </w:pPr>
    <w:rPr>
      <w:b/>
      <w:sz w:val="20"/>
    </w:rPr>
  </w:style>
  <w:style w:type="paragraph" w:customStyle="1" w:styleId="OverviewParagraph">
    <w:name w:val="Overview Paragraph"/>
    <w:basedOn w:val="Normal"/>
    <w:rsid w:val="000F10AD"/>
    <w:pPr>
      <w:spacing w:before="120" w:after="120" w:line="240" w:lineRule="auto"/>
    </w:pPr>
  </w:style>
  <w:style w:type="character" w:styleId="PageNumber">
    <w:name w:val="page number"/>
    <w:basedOn w:val="DefaultParagraphFont"/>
    <w:rsid w:val="000F10AD"/>
    <w:rPr>
      <w:rFonts w:ascii="Arial" w:hAnsi="Arial" w:cs="Arial"/>
    </w:rPr>
  </w:style>
  <w:style w:type="paragraph" w:customStyle="1" w:styleId="SingleParagraph">
    <w:name w:val="Single Paragraph"/>
    <w:basedOn w:val="Normal"/>
    <w:rsid w:val="00E46B26"/>
    <w:pPr>
      <w:spacing w:before="0" w:after="0"/>
    </w:pPr>
  </w:style>
  <w:style w:type="paragraph" w:customStyle="1" w:styleId="Source">
    <w:name w:val="Source"/>
    <w:basedOn w:val="Normal"/>
    <w:rsid w:val="000F10AD"/>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0F10AD"/>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0F10AD"/>
    <w:pPr>
      <w:jc w:val="center"/>
    </w:pPr>
  </w:style>
  <w:style w:type="paragraph" w:customStyle="1" w:styleId="TableColumnHeadingLeft">
    <w:name w:val="Table Column Heading Left"/>
    <w:basedOn w:val="TableColumnHeadingBase"/>
    <w:next w:val="Normal"/>
    <w:rsid w:val="000F10AD"/>
  </w:style>
  <w:style w:type="paragraph" w:customStyle="1" w:styleId="TableColumnHeadingRight">
    <w:name w:val="Table Column Heading Right"/>
    <w:basedOn w:val="TableColumnHeadingBase"/>
    <w:next w:val="Normal"/>
    <w:rsid w:val="000F10AD"/>
    <w:pPr>
      <w:jc w:val="right"/>
    </w:pPr>
  </w:style>
  <w:style w:type="paragraph" w:customStyle="1" w:styleId="TableGraphic">
    <w:name w:val="Table Graphic"/>
    <w:basedOn w:val="Normal"/>
    <w:next w:val="Normal"/>
    <w:rsid w:val="000F10AD"/>
    <w:pPr>
      <w:spacing w:after="0" w:line="240" w:lineRule="auto"/>
      <w:ind w:right="-113"/>
    </w:pPr>
  </w:style>
  <w:style w:type="table" w:styleId="TableGrid">
    <w:name w:val="Table Grid"/>
    <w:basedOn w:val="TableNormal"/>
    <w:rsid w:val="000F10AD"/>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0F10AD"/>
    <w:pPr>
      <w:spacing w:before="120" w:after="20"/>
    </w:pPr>
    <w:rPr>
      <w:b/>
      <w:sz w:val="20"/>
    </w:rPr>
  </w:style>
  <w:style w:type="paragraph" w:customStyle="1" w:styleId="TableHeadingcontinued">
    <w:name w:val="Table Heading continued"/>
    <w:basedOn w:val="HeadingBase"/>
    <w:next w:val="TableGraphic"/>
    <w:rsid w:val="000F10AD"/>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0F10AD"/>
  </w:style>
  <w:style w:type="paragraph" w:customStyle="1" w:styleId="TableTextBase">
    <w:name w:val="Table Text Base"/>
    <w:basedOn w:val="Normal"/>
    <w:rsid w:val="000F10AD"/>
    <w:pPr>
      <w:spacing w:before="20" w:after="20" w:line="240" w:lineRule="auto"/>
    </w:pPr>
    <w:rPr>
      <w:rFonts w:ascii="Arial" w:hAnsi="Arial"/>
      <w:sz w:val="16"/>
    </w:rPr>
  </w:style>
  <w:style w:type="paragraph" w:customStyle="1" w:styleId="TableTextCentred">
    <w:name w:val="Table Text Centred"/>
    <w:basedOn w:val="TableTextBase"/>
    <w:rsid w:val="000F10AD"/>
    <w:pPr>
      <w:jc w:val="center"/>
    </w:pPr>
  </w:style>
  <w:style w:type="paragraph" w:customStyle="1" w:styleId="TableTextIndented">
    <w:name w:val="Table Text Indented"/>
    <w:basedOn w:val="TableTextBase"/>
    <w:rsid w:val="000F10AD"/>
    <w:pPr>
      <w:ind w:left="284"/>
    </w:pPr>
  </w:style>
  <w:style w:type="paragraph" w:customStyle="1" w:styleId="TableTextLeft">
    <w:name w:val="Table Text Left"/>
    <w:basedOn w:val="TableTextBase"/>
    <w:rsid w:val="000F10AD"/>
  </w:style>
  <w:style w:type="paragraph" w:customStyle="1" w:styleId="TableTextRight">
    <w:name w:val="Table Text Right"/>
    <w:basedOn w:val="TableTextBase"/>
    <w:rsid w:val="000F10AD"/>
    <w:pPr>
      <w:jc w:val="right"/>
    </w:pPr>
  </w:style>
  <w:style w:type="paragraph" w:styleId="TOAHeading">
    <w:name w:val="toa heading"/>
    <w:basedOn w:val="Normal"/>
    <w:next w:val="Normal"/>
    <w:rsid w:val="000F10AD"/>
    <w:pPr>
      <w:spacing w:before="120"/>
    </w:pPr>
    <w:rPr>
      <w:rFonts w:ascii="Arial" w:hAnsi="Arial" w:cs="Arial"/>
      <w:b/>
      <w:bCs/>
      <w:sz w:val="24"/>
      <w:szCs w:val="24"/>
    </w:rPr>
  </w:style>
  <w:style w:type="paragraph" w:styleId="TOC1">
    <w:name w:val="toc 1"/>
    <w:basedOn w:val="HeaderBase"/>
    <w:next w:val="Normal"/>
    <w:uiPriority w:val="2"/>
    <w:rsid w:val="000F10AD"/>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rsid w:val="000F10AD"/>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0F10AD"/>
    <w:pPr>
      <w:tabs>
        <w:tab w:val="right" w:leader="dot" w:pos="7700"/>
      </w:tabs>
      <w:spacing w:before="40"/>
      <w:ind w:right="851"/>
    </w:pPr>
    <w:rPr>
      <w:sz w:val="20"/>
    </w:rPr>
  </w:style>
  <w:style w:type="paragraph" w:styleId="TOC4">
    <w:name w:val="toc 4"/>
    <w:basedOn w:val="HeadingBase"/>
    <w:next w:val="Normal"/>
    <w:uiPriority w:val="2"/>
    <w:unhideWhenUsed/>
    <w:rsid w:val="000F10AD"/>
    <w:pPr>
      <w:tabs>
        <w:tab w:val="right" w:leader="dot" w:pos="7700"/>
      </w:tabs>
      <w:spacing w:before="40"/>
      <w:ind w:right="851"/>
    </w:pPr>
    <w:rPr>
      <w:sz w:val="20"/>
    </w:rPr>
  </w:style>
  <w:style w:type="paragraph" w:styleId="TOC5">
    <w:name w:val="toc 5"/>
    <w:basedOn w:val="Normal"/>
    <w:next w:val="Normal"/>
    <w:autoRedefine/>
    <w:uiPriority w:val="2"/>
    <w:semiHidden/>
    <w:rsid w:val="000F10A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0F10AD"/>
    <w:pPr>
      <w:tabs>
        <w:tab w:val="left" w:pos="851"/>
      </w:tabs>
      <w:ind w:left="851" w:hanging="851"/>
    </w:pPr>
    <w:rPr>
      <w:color w:val="000000"/>
    </w:rPr>
  </w:style>
  <w:style w:type="paragraph" w:styleId="TOC7">
    <w:name w:val="toc 7"/>
    <w:basedOn w:val="Normal"/>
    <w:next w:val="Normal"/>
    <w:autoRedefine/>
    <w:uiPriority w:val="2"/>
    <w:semiHidden/>
    <w:rsid w:val="000F10AD"/>
    <w:pPr>
      <w:ind w:left="1200"/>
    </w:pPr>
  </w:style>
  <w:style w:type="paragraph" w:styleId="TOC8">
    <w:name w:val="toc 8"/>
    <w:basedOn w:val="Normal"/>
    <w:next w:val="Normal"/>
    <w:autoRedefine/>
    <w:uiPriority w:val="2"/>
    <w:semiHidden/>
    <w:rsid w:val="000F10AD"/>
    <w:pPr>
      <w:ind w:left="1400"/>
    </w:pPr>
  </w:style>
  <w:style w:type="paragraph" w:styleId="TOC9">
    <w:name w:val="toc 9"/>
    <w:basedOn w:val="Normal"/>
    <w:next w:val="Normal"/>
    <w:autoRedefine/>
    <w:uiPriority w:val="2"/>
    <w:semiHidden/>
    <w:rsid w:val="000F10AD"/>
    <w:pPr>
      <w:ind w:left="1600"/>
    </w:pPr>
  </w:style>
  <w:style w:type="paragraph" w:customStyle="1" w:styleId="TPHeading1">
    <w:name w:val="TP Heading 1"/>
    <w:basedOn w:val="HeadingBase"/>
    <w:semiHidden/>
    <w:rsid w:val="000F10AD"/>
    <w:pPr>
      <w:spacing w:before="60" w:after="60"/>
      <w:ind w:left="1134"/>
    </w:pPr>
    <w:rPr>
      <w:rFonts w:ascii="Arial Bold" w:hAnsi="Arial Bold"/>
      <w:b/>
      <w:caps/>
      <w:spacing w:val="-10"/>
      <w:sz w:val="28"/>
    </w:rPr>
  </w:style>
  <w:style w:type="paragraph" w:customStyle="1" w:styleId="TPHeading2">
    <w:name w:val="TP Heading 2"/>
    <w:basedOn w:val="HeadingBase"/>
    <w:semiHidden/>
    <w:rsid w:val="000F10AD"/>
    <w:pPr>
      <w:ind w:left="1134"/>
    </w:pPr>
    <w:rPr>
      <w:caps/>
      <w:spacing w:val="-10"/>
      <w:sz w:val="28"/>
    </w:rPr>
  </w:style>
  <w:style w:type="paragraph" w:customStyle="1" w:styleId="TPHeading3">
    <w:name w:val="TP Heading 3"/>
    <w:basedOn w:val="HeadingBase"/>
    <w:semiHidden/>
    <w:rsid w:val="000F10AD"/>
    <w:pPr>
      <w:ind w:left="1134"/>
    </w:pPr>
    <w:rPr>
      <w:caps/>
      <w:spacing w:val="-10"/>
    </w:rPr>
  </w:style>
  <w:style w:type="paragraph" w:customStyle="1" w:styleId="TPHeading3bold">
    <w:name w:val="TP Heading 3 bold"/>
    <w:basedOn w:val="TPHeading3"/>
    <w:semiHidden/>
    <w:rsid w:val="000F10AD"/>
    <w:rPr>
      <w:rFonts w:cs="Arial"/>
      <w:b/>
      <w:sz w:val="22"/>
      <w:szCs w:val="22"/>
    </w:rPr>
  </w:style>
  <w:style w:type="paragraph" w:customStyle="1" w:styleId="TPHEADING3boldspace">
    <w:name w:val="TP HEADING 3 bold space"/>
    <w:basedOn w:val="TPHeading3bold"/>
    <w:semiHidden/>
    <w:rsid w:val="000F10AD"/>
    <w:pPr>
      <w:spacing w:after="120"/>
    </w:pPr>
  </w:style>
  <w:style w:type="paragraph" w:customStyle="1" w:styleId="TPHEADING3space">
    <w:name w:val="TP HEADING 3 space"/>
    <w:basedOn w:val="TPHeading3"/>
    <w:semiHidden/>
    <w:rsid w:val="000F10AD"/>
    <w:pPr>
      <w:spacing w:before="120" w:after="120"/>
    </w:pPr>
    <w:rPr>
      <w:rFonts w:cs="Arial"/>
      <w:sz w:val="22"/>
      <w:szCs w:val="22"/>
    </w:rPr>
  </w:style>
  <w:style w:type="paragraph" w:customStyle="1" w:styleId="TPHeading4">
    <w:name w:val="TP Heading 4"/>
    <w:basedOn w:val="TPHeading3"/>
    <w:semiHidden/>
    <w:rsid w:val="000F10AD"/>
    <w:rPr>
      <w:sz w:val="20"/>
    </w:rPr>
  </w:style>
  <w:style w:type="paragraph" w:customStyle="1" w:styleId="TPHEADING4space">
    <w:name w:val="TP HEADING 4 space"/>
    <w:basedOn w:val="TPHEADING3space"/>
    <w:semiHidden/>
    <w:rsid w:val="000F10AD"/>
  </w:style>
  <w:style w:type="paragraph" w:customStyle="1" w:styleId="ChartLine">
    <w:name w:val="Chart Line"/>
    <w:basedOn w:val="Normal"/>
    <w:autoRedefine/>
    <w:qFormat/>
    <w:rsid w:val="00895976"/>
    <w:pPr>
      <w:pBdr>
        <w:bottom w:val="single" w:sz="4" w:space="2" w:color="626A77" w:themeColor="background2" w:themeShade="E6"/>
      </w:pBdr>
      <w:spacing w:before="0" w:line="240" w:lineRule="auto"/>
    </w:pPr>
    <w:rPr>
      <w:noProof/>
      <w:sz w:val="4"/>
      <w:szCs w:val="18"/>
    </w:rPr>
  </w:style>
  <w:style w:type="paragraph" w:styleId="NoSpacing">
    <w:name w:val="No Spacing"/>
    <w:uiPriority w:val="1"/>
    <w:qFormat/>
    <w:rsid w:val="00E46B26"/>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0F10AD"/>
  </w:style>
  <w:style w:type="character" w:customStyle="1" w:styleId="BoxHeading-Continued">
    <w:name w:val="Box Heading - Continued"/>
    <w:uiPriority w:val="1"/>
    <w:qFormat/>
    <w:rsid w:val="00E46B26"/>
    <w:rPr>
      <w:sz w:val="16"/>
    </w:rPr>
  </w:style>
  <w:style w:type="paragraph" w:customStyle="1" w:styleId="Box-continuedon">
    <w:name w:val="Box - continued on"/>
    <w:basedOn w:val="Normal"/>
    <w:qFormat/>
    <w:rsid w:val="00E46B26"/>
    <w:pPr>
      <w:jc w:val="right"/>
    </w:pPr>
    <w:rPr>
      <w:rFonts w:asciiTheme="majorHAnsi" w:hAnsiTheme="majorHAnsi" w:cstheme="majorHAnsi"/>
      <w:i/>
      <w:iCs/>
      <w:sz w:val="18"/>
      <w:szCs w:val="24"/>
    </w:rPr>
  </w:style>
  <w:style w:type="paragraph" w:customStyle="1" w:styleId="StatementWhite-Bullet">
    <w:name w:val="Statement White - Bullet"/>
    <w:basedOn w:val="Bullet"/>
    <w:autoRedefine/>
    <w:qFormat/>
    <w:rsid w:val="00216803"/>
    <w:pPr>
      <w:numPr>
        <w:numId w:val="15"/>
      </w:numPr>
    </w:pPr>
    <w:rPr>
      <w:color w:val="FFFFFF" w:themeColor="background1"/>
      <w:sz w:val="18"/>
    </w:rPr>
  </w:style>
  <w:style w:type="character" w:customStyle="1" w:styleId="Heading9Char">
    <w:name w:val="Heading 9 Char"/>
    <w:basedOn w:val="DefaultParagraphFont"/>
    <w:link w:val="Heading9"/>
    <w:uiPriority w:val="9"/>
    <w:rsid w:val="000F10AD"/>
    <w:rPr>
      <w:rFonts w:ascii="Cambria" w:eastAsia="Times New Roman" w:hAnsi="Cambria" w:cs="Times New Roman"/>
      <w:lang w:eastAsia="en-AU"/>
    </w:rPr>
  </w:style>
  <w:style w:type="paragraph" w:customStyle="1" w:styleId="BoxHeading2">
    <w:name w:val="Box Heading 2"/>
    <w:basedOn w:val="BoxHeading"/>
    <w:autoRedefine/>
    <w:rsid w:val="000F10AD"/>
    <w:pPr>
      <w:spacing w:after="0"/>
    </w:pPr>
    <w:rPr>
      <w:b w:val="0"/>
      <w:bCs/>
      <w:szCs w:val="14"/>
    </w:rPr>
  </w:style>
  <w:style w:type="paragraph" w:styleId="BalloonText">
    <w:name w:val="Balloon Text"/>
    <w:basedOn w:val="Normal"/>
    <w:link w:val="BalloonTextChar"/>
    <w:rsid w:val="00FC0A61"/>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rsid w:val="00FC0A61"/>
    <w:rPr>
      <w:rFonts w:ascii="Tahoma" w:eastAsia="Times New Roman" w:hAnsi="Tahoma" w:cs="Tahoma"/>
      <w:sz w:val="16"/>
      <w:szCs w:val="16"/>
      <w:lang w:eastAsia="en-AU"/>
    </w:rPr>
  </w:style>
  <w:style w:type="paragraph" w:styleId="Revision">
    <w:name w:val="Revision"/>
    <w:hidden/>
    <w:uiPriority w:val="99"/>
    <w:semiHidden/>
    <w:rsid w:val="00AA6371"/>
    <w:pPr>
      <w:spacing w:after="0" w:line="240" w:lineRule="auto"/>
    </w:pPr>
    <w:rPr>
      <w:rFonts w:eastAsia="Times New Roman" w:cs="Times New Roman"/>
      <w:sz w:val="19"/>
      <w:szCs w:val="20"/>
      <w:lang w:eastAsia="en-AU"/>
    </w:rPr>
  </w:style>
  <w:style w:type="character" w:styleId="UnresolvedMention">
    <w:name w:val="Unresolved Mention"/>
    <w:basedOn w:val="DefaultParagraphFont"/>
    <w:uiPriority w:val="99"/>
    <w:unhideWhenUsed/>
    <w:rsid w:val="000A55FB"/>
    <w:rPr>
      <w:color w:val="605E5C"/>
      <w:shd w:val="clear" w:color="auto" w:fill="E1DFDD"/>
    </w:rPr>
  </w:style>
  <w:style w:type="character" w:styleId="Mention">
    <w:name w:val="Mention"/>
    <w:basedOn w:val="DefaultParagraphFont"/>
    <w:uiPriority w:val="99"/>
    <w:unhideWhenUsed/>
    <w:rsid w:val="00C60104"/>
    <w:rPr>
      <w:color w:val="2B579A"/>
      <w:shd w:val="clear" w:color="auto" w:fill="E1DFDD"/>
    </w:rPr>
  </w:style>
  <w:style w:type="paragraph" w:customStyle="1" w:styleId="OutlineNumbered1">
    <w:name w:val="Outline Numbered 1"/>
    <w:basedOn w:val="Normal"/>
    <w:link w:val="OutlineNumbered1Char"/>
    <w:rsid w:val="00B53500"/>
    <w:pPr>
      <w:numPr>
        <w:numId w:val="11"/>
      </w:numPr>
    </w:pPr>
    <w:rPr>
      <w:rFonts w:ascii="Arial Bold" w:hAnsi="Arial Bold"/>
      <w:b/>
    </w:rPr>
  </w:style>
  <w:style w:type="character" w:customStyle="1" w:styleId="OutlineNumbered1Char">
    <w:name w:val="Outline Numbered 1 Char"/>
    <w:basedOn w:val="Heading2Char"/>
    <w:link w:val="OutlineNumbered1"/>
    <w:rsid w:val="00B53500"/>
    <w:rPr>
      <w:rFonts w:ascii="Arial Bold" w:eastAsia="Times New Roman" w:hAnsi="Arial Bold" w:cs="Times New Roman"/>
      <w:b/>
      <w:sz w:val="19"/>
      <w:szCs w:val="20"/>
      <w:lang w:eastAsia="en-AU"/>
    </w:rPr>
  </w:style>
  <w:style w:type="paragraph" w:customStyle="1" w:styleId="OutlineNumbered2">
    <w:name w:val="Outline Numbered 2"/>
    <w:basedOn w:val="Normal"/>
    <w:link w:val="OutlineNumbered2Char"/>
    <w:rsid w:val="00B53500"/>
    <w:pPr>
      <w:numPr>
        <w:ilvl w:val="1"/>
        <w:numId w:val="11"/>
      </w:numPr>
    </w:pPr>
    <w:rPr>
      <w:rFonts w:ascii="Arial Bold" w:hAnsi="Arial Bold"/>
      <w:b/>
    </w:rPr>
  </w:style>
  <w:style w:type="character" w:customStyle="1" w:styleId="OutlineNumbered2Char">
    <w:name w:val="Outline Numbered 2 Char"/>
    <w:basedOn w:val="Heading2Char"/>
    <w:link w:val="OutlineNumbered2"/>
    <w:rsid w:val="00B53500"/>
    <w:rPr>
      <w:rFonts w:ascii="Arial Bold" w:eastAsia="Times New Roman" w:hAnsi="Arial Bold" w:cs="Times New Roman"/>
      <w:b/>
      <w:sz w:val="19"/>
      <w:szCs w:val="20"/>
      <w:lang w:eastAsia="en-AU"/>
    </w:rPr>
  </w:style>
  <w:style w:type="paragraph" w:customStyle="1" w:styleId="OutlineNumbered3">
    <w:name w:val="Outline Numbered 3"/>
    <w:basedOn w:val="Normal"/>
    <w:link w:val="OutlineNumbered3Char"/>
    <w:rsid w:val="00B53500"/>
    <w:pPr>
      <w:numPr>
        <w:ilvl w:val="2"/>
        <w:numId w:val="11"/>
      </w:numPr>
    </w:pPr>
    <w:rPr>
      <w:rFonts w:ascii="Arial Bold" w:hAnsi="Arial Bold"/>
      <w:b/>
    </w:rPr>
  </w:style>
  <w:style w:type="character" w:customStyle="1" w:styleId="OutlineNumbered3Char">
    <w:name w:val="Outline Numbered 3 Char"/>
    <w:basedOn w:val="Heading2Char"/>
    <w:link w:val="OutlineNumbered3"/>
    <w:rsid w:val="00B53500"/>
    <w:rPr>
      <w:rFonts w:ascii="Arial Bold" w:eastAsia="Times New Roman" w:hAnsi="Arial Bold" w:cs="Times New Roman"/>
      <w:b/>
      <w:sz w:val="19"/>
      <w:szCs w:val="20"/>
      <w:lang w:eastAsia="en-AU"/>
    </w:rPr>
  </w:style>
  <w:style w:type="paragraph" w:customStyle="1" w:styleId="GhostLine">
    <w:name w:val="Ghost Line"/>
    <w:basedOn w:val="NoSpacing"/>
    <w:qFormat/>
    <w:rsid w:val="00E46B26"/>
    <w:pPr>
      <w:jc w:val="both"/>
    </w:pPr>
    <w:rPr>
      <w:rFonts w:ascii="Book Antiqua" w:hAnsi="Book Antiqua"/>
      <w:sz w:val="2"/>
    </w:rPr>
  </w:style>
  <w:style w:type="paragraph" w:styleId="NormalWeb">
    <w:name w:val="Normal (Web)"/>
    <w:basedOn w:val="Normal"/>
    <w:uiPriority w:val="99"/>
    <w:semiHidden/>
    <w:unhideWhenUsed/>
    <w:rsid w:val="007C77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7008">
      <w:bodyDiv w:val="1"/>
      <w:marLeft w:val="0"/>
      <w:marRight w:val="0"/>
      <w:marTop w:val="0"/>
      <w:marBottom w:val="0"/>
      <w:divBdr>
        <w:top w:val="none" w:sz="0" w:space="0" w:color="auto"/>
        <w:left w:val="none" w:sz="0" w:space="0" w:color="auto"/>
        <w:bottom w:val="none" w:sz="0" w:space="0" w:color="auto"/>
        <w:right w:val="none" w:sz="0" w:space="0" w:color="auto"/>
      </w:divBdr>
    </w:div>
    <w:div w:id="118307038">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251472430">
      <w:bodyDiv w:val="1"/>
      <w:marLeft w:val="0"/>
      <w:marRight w:val="0"/>
      <w:marTop w:val="0"/>
      <w:marBottom w:val="0"/>
      <w:divBdr>
        <w:top w:val="none" w:sz="0" w:space="0" w:color="auto"/>
        <w:left w:val="none" w:sz="0" w:space="0" w:color="auto"/>
        <w:bottom w:val="none" w:sz="0" w:space="0" w:color="auto"/>
        <w:right w:val="none" w:sz="0" w:space="0" w:color="auto"/>
      </w:divBdr>
    </w:div>
    <w:div w:id="259336157">
      <w:bodyDiv w:val="1"/>
      <w:marLeft w:val="0"/>
      <w:marRight w:val="0"/>
      <w:marTop w:val="0"/>
      <w:marBottom w:val="0"/>
      <w:divBdr>
        <w:top w:val="none" w:sz="0" w:space="0" w:color="auto"/>
        <w:left w:val="none" w:sz="0" w:space="0" w:color="auto"/>
        <w:bottom w:val="none" w:sz="0" w:space="0" w:color="auto"/>
        <w:right w:val="none" w:sz="0" w:space="0" w:color="auto"/>
      </w:divBdr>
    </w:div>
    <w:div w:id="353118533">
      <w:bodyDiv w:val="1"/>
      <w:marLeft w:val="0"/>
      <w:marRight w:val="0"/>
      <w:marTop w:val="0"/>
      <w:marBottom w:val="0"/>
      <w:divBdr>
        <w:top w:val="none" w:sz="0" w:space="0" w:color="auto"/>
        <w:left w:val="none" w:sz="0" w:space="0" w:color="auto"/>
        <w:bottom w:val="none" w:sz="0" w:space="0" w:color="auto"/>
        <w:right w:val="none" w:sz="0" w:space="0" w:color="auto"/>
      </w:divBdr>
    </w:div>
    <w:div w:id="371882518">
      <w:bodyDiv w:val="1"/>
      <w:marLeft w:val="0"/>
      <w:marRight w:val="0"/>
      <w:marTop w:val="0"/>
      <w:marBottom w:val="0"/>
      <w:divBdr>
        <w:top w:val="none" w:sz="0" w:space="0" w:color="auto"/>
        <w:left w:val="none" w:sz="0" w:space="0" w:color="auto"/>
        <w:bottom w:val="none" w:sz="0" w:space="0" w:color="auto"/>
        <w:right w:val="none" w:sz="0" w:space="0" w:color="auto"/>
      </w:divBdr>
    </w:div>
    <w:div w:id="513612657">
      <w:bodyDiv w:val="1"/>
      <w:marLeft w:val="0"/>
      <w:marRight w:val="0"/>
      <w:marTop w:val="0"/>
      <w:marBottom w:val="0"/>
      <w:divBdr>
        <w:top w:val="none" w:sz="0" w:space="0" w:color="auto"/>
        <w:left w:val="none" w:sz="0" w:space="0" w:color="auto"/>
        <w:bottom w:val="none" w:sz="0" w:space="0" w:color="auto"/>
        <w:right w:val="none" w:sz="0" w:space="0" w:color="auto"/>
      </w:divBdr>
    </w:div>
    <w:div w:id="571889052">
      <w:bodyDiv w:val="1"/>
      <w:marLeft w:val="0"/>
      <w:marRight w:val="0"/>
      <w:marTop w:val="0"/>
      <w:marBottom w:val="0"/>
      <w:divBdr>
        <w:top w:val="none" w:sz="0" w:space="0" w:color="auto"/>
        <w:left w:val="none" w:sz="0" w:space="0" w:color="auto"/>
        <w:bottom w:val="none" w:sz="0" w:space="0" w:color="auto"/>
        <w:right w:val="none" w:sz="0" w:space="0" w:color="auto"/>
      </w:divBdr>
    </w:div>
    <w:div w:id="728066980">
      <w:bodyDiv w:val="1"/>
      <w:marLeft w:val="0"/>
      <w:marRight w:val="0"/>
      <w:marTop w:val="0"/>
      <w:marBottom w:val="0"/>
      <w:divBdr>
        <w:top w:val="none" w:sz="0" w:space="0" w:color="auto"/>
        <w:left w:val="none" w:sz="0" w:space="0" w:color="auto"/>
        <w:bottom w:val="none" w:sz="0" w:space="0" w:color="auto"/>
        <w:right w:val="none" w:sz="0" w:space="0" w:color="auto"/>
      </w:divBdr>
    </w:div>
    <w:div w:id="742070726">
      <w:bodyDiv w:val="1"/>
      <w:marLeft w:val="0"/>
      <w:marRight w:val="0"/>
      <w:marTop w:val="0"/>
      <w:marBottom w:val="0"/>
      <w:divBdr>
        <w:top w:val="none" w:sz="0" w:space="0" w:color="auto"/>
        <w:left w:val="none" w:sz="0" w:space="0" w:color="auto"/>
        <w:bottom w:val="none" w:sz="0" w:space="0" w:color="auto"/>
        <w:right w:val="none" w:sz="0" w:space="0" w:color="auto"/>
      </w:divBdr>
    </w:div>
    <w:div w:id="823591023">
      <w:bodyDiv w:val="1"/>
      <w:marLeft w:val="0"/>
      <w:marRight w:val="0"/>
      <w:marTop w:val="0"/>
      <w:marBottom w:val="0"/>
      <w:divBdr>
        <w:top w:val="none" w:sz="0" w:space="0" w:color="auto"/>
        <w:left w:val="none" w:sz="0" w:space="0" w:color="auto"/>
        <w:bottom w:val="none" w:sz="0" w:space="0" w:color="auto"/>
        <w:right w:val="none" w:sz="0" w:space="0" w:color="auto"/>
      </w:divBdr>
    </w:div>
    <w:div w:id="881794519">
      <w:bodyDiv w:val="1"/>
      <w:marLeft w:val="0"/>
      <w:marRight w:val="0"/>
      <w:marTop w:val="0"/>
      <w:marBottom w:val="0"/>
      <w:divBdr>
        <w:top w:val="none" w:sz="0" w:space="0" w:color="auto"/>
        <w:left w:val="none" w:sz="0" w:space="0" w:color="auto"/>
        <w:bottom w:val="none" w:sz="0" w:space="0" w:color="auto"/>
        <w:right w:val="none" w:sz="0" w:space="0" w:color="auto"/>
      </w:divBdr>
    </w:div>
    <w:div w:id="1603341529">
      <w:bodyDiv w:val="1"/>
      <w:marLeft w:val="0"/>
      <w:marRight w:val="0"/>
      <w:marTop w:val="0"/>
      <w:marBottom w:val="0"/>
      <w:divBdr>
        <w:top w:val="none" w:sz="0" w:space="0" w:color="auto"/>
        <w:left w:val="none" w:sz="0" w:space="0" w:color="auto"/>
        <w:bottom w:val="none" w:sz="0" w:space="0" w:color="auto"/>
        <w:right w:val="none" w:sz="0" w:space="0" w:color="auto"/>
      </w:divBdr>
    </w:div>
    <w:div w:id="1672221071">
      <w:bodyDiv w:val="1"/>
      <w:marLeft w:val="0"/>
      <w:marRight w:val="0"/>
      <w:marTop w:val="0"/>
      <w:marBottom w:val="0"/>
      <w:divBdr>
        <w:top w:val="none" w:sz="0" w:space="0" w:color="auto"/>
        <w:left w:val="none" w:sz="0" w:space="0" w:color="auto"/>
        <w:bottom w:val="none" w:sz="0" w:space="0" w:color="auto"/>
        <w:right w:val="none" w:sz="0" w:space="0" w:color="auto"/>
      </w:divBdr>
    </w:div>
    <w:div w:id="178253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image" Target="media/image11.png"/><Relationship Id="rId21" Type="http://schemas.openxmlformats.org/officeDocument/2006/relationships/image" Target="media/image6.emf"/><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5.emf"/><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header" Target="header4.xml"/><Relationship Id="rId35"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9012E-F51E-4383-816E-54FE1772BC01}">
  <ds:schemaRefs>
    <ds:schemaRef ds:uri="http://schemas.microsoft.com/sharepoint/v3"/>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http://purl.org/dc/elements/1.1/"/>
    <ds:schemaRef ds:uri="244fe85f-b655-4145-9b20-543b75dc1c24"/>
    <ds:schemaRef ds:uri="9115ddca-c623-419f-a3c0-6a1c58c4dac8"/>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66A2D8B4-474E-43FF-B25D-A6534C8D79CE}">
  <ds:schemaRefs>
    <ds:schemaRef ds:uri="http://schemas.microsoft.com/sharepoint/v3/contenttype/forms"/>
  </ds:schemaRefs>
</ds:datastoreItem>
</file>

<file path=customXml/itemProps3.xml><?xml version="1.0" encoding="utf-8"?>
<ds:datastoreItem xmlns:ds="http://schemas.openxmlformats.org/officeDocument/2006/customXml" ds:itemID="{B5F4C4E4-F546-466B-8BFF-017852BD3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506</TotalTime>
  <Pages>20</Pages>
  <Words>3156</Words>
  <Characters>17438</Characters>
  <Application>Microsoft Office Word</Application>
  <DocSecurity>0</DocSecurity>
  <Lines>352</Lines>
  <Paragraphs>136</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20492</CharactersWithSpaces>
  <SharedDoc>false</SharedDoc>
  <HLinks>
    <vt:vector size="54" baseType="variant">
      <vt:variant>
        <vt:i4>1048628</vt:i4>
      </vt:variant>
      <vt:variant>
        <vt:i4>92</vt:i4>
      </vt:variant>
      <vt:variant>
        <vt:i4>0</vt:i4>
      </vt:variant>
      <vt:variant>
        <vt:i4>5</vt:i4>
      </vt:variant>
      <vt:variant>
        <vt:lpwstr/>
      </vt:variant>
      <vt:variant>
        <vt:lpwstr>_Toc116040765</vt:lpwstr>
      </vt:variant>
      <vt:variant>
        <vt:i4>1048628</vt:i4>
      </vt:variant>
      <vt:variant>
        <vt:i4>86</vt:i4>
      </vt:variant>
      <vt:variant>
        <vt:i4>0</vt:i4>
      </vt:variant>
      <vt:variant>
        <vt:i4>5</vt:i4>
      </vt:variant>
      <vt:variant>
        <vt:lpwstr/>
      </vt:variant>
      <vt:variant>
        <vt:lpwstr>_Toc116040764</vt:lpwstr>
      </vt:variant>
      <vt:variant>
        <vt:i4>1048628</vt:i4>
      </vt:variant>
      <vt:variant>
        <vt:i4>80</vt:i4>
      </vt:variant>
      <vt:variant>
        <vt:i4>0</vt:i4>
      </vt:variant>
      <vt:variant>
        <vt:i4>5</vt:i4>
      </vt:variant>
      <vt:variant>
        <vt:lpwstr/>
      </vt:variant>
      <vt:variant>
        <vt:lpwstr>_Toc116040763</vt:lpwstr>
      </vt:variant>
      <vt:variant>
        <vt:i4>1048628</vt:i4>
      </vt:variant>
      <vt:variant>
        <vt:i4>74</vt:i4>
      </vt:variant>
      <vt:variant>
        <vt:i4>0</vt:i4>
      </vt:variant>
      <vt:variant>
        <vt:i4>5</vt:i4>
      </vt:variant>
      <vt:variant>
        <vt:lpwstr/>
      </vt:variant>
      <vt:variant>
        <vt:lpwstr>_Toc116040762</vt:lpwstr>
      </vt:variant>
      <vt:variant>
        <vt:i4>1048628</vt:i4>
      </vt:variant>
      <vt:variant>
        <vt:i4>68</vt:i4>
      </vt:variant>
      <vt:variant>
        <vt:i4>0</vt:i4>
      </vt:variant>
      <vt:variant>
        <vt:i4>5</vt:i4>
      </vt:variant>
      <vt:variant>
        <vt:lpwstr/>
      </vt:variant>
      <vt:variant>
        <vt:lpwstr>_Toc116040761</vt:lpwstr>
      </vt:variant>
      <vt:variant>
        <vt:i4>1048628</vt:i4>
      </vt:variant>
      <vt:variant>
        <vt:i4>62</vt:i4>
      </vt:variant>
      <vt:variant>
        <vt:i4>0</vt:i4>
      </vt:variant>
      <vt:variant>
        <vt:i4>5</vt:i4>
      </vt:variant>
      <vt:variant>
        <vt:lpwstr/>
      </vt:variant>
      <vt:variant>
        <vt:lpwstr>_Toc116040760</vt:lpwstr>
      </vt:variant>
      <vt:variant>
        <vt:i4>1245236</vt:i4>
      </vt:variant>
      <vt:variant>
        <vt:i4>56</vt:i4>
      </vt:variant>
      <vt:variant>
        <vt:i4>0</vt:i4>
      </vt:variant>
      <vt:variant>
        <vt:i4>5</vt:i4>
      </vt:variant>
      <vt:variant>
        <vt:lpwstr/>
      </vt:variant>
      <vt:variant>
        <vt:lpwstr>_Toc116040759</vt:lpwstr>
      </vt:variant>
      <vt:variant>
        <vt:i4>1245236</vt:i4>
      </vt:variant>
      <vt:variant>
        <vt:i4>50</vt:i4>
      </vt:variant>
      <vt:variant>
        <vt:i4>0</vt:i4>
      </vt:variant>
      <vt:variant>
        <vt:i4>5</vt:i4>
      </vt:variant>
      <vt:variant>
        <vt:lpwstr/>
      </vt:variant>
      <vt:variant>
        <vt:lpwstr>_Toc116040758</vt:lpwstr>
      </vt:variant>
      <vt:variant>
        <vt:i4>1245236</vt:i4>
      </vt:variant>
      <vt:variant>
        <vt:i4>44</vt:i4>
      </vt:variant>
      <vt:variant>
        <vt:i4>0</vt:i4>
      </vt:variant>
      <vt:variant>
        <vt:i4>5</vt:i4>
      </vt:variant>
      <vt:variant>
        <vt:lpwstr/>
      </vt:variant>
      <vt:variant>
        <vt:lpwstr>_Toc116040757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8: Forecasting Performance and Sensitivity Analysis</dc:subject>
  <dc:creator>Australian Government - The Treasury</dc:creator>
  <cp:keywords/>
  <dc:description/>
  <cp:lastModifiedBy>Van Der Hoeven, Megan</cp:lastModifiedBy>
  <cp:revision>277</cp:revision>
  <cp:lastPrinted>2022-10-22T23:55:00Z</cp:lastPrinted>
  <dcterms:created xsi:type="dcterms:W3CDTF">2022-10-30T20:30:00Z</dcterms:created>
  <dcterms:modified xsi:type="dcterms:W3CDTF">2022-10-23T05:56:00Z</dcterms:modified>
</cp:coreProperties>
</file>