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3F40" w14:textId="266577AF" w:rsidR="003A57C9" w:rsidRPr="004C2D13" w:rsidRDefault="00D81A31" w:rsidP="004C2D13">
      <w:pPr>
        <w:pStyle w:val="Heading1-Statement"/>
      </w:pPr>
      <w:r w:rsidRPr="004C2D13">
        <w:t xml:space="preserve">Statement </w:t>
      </w:r>
      <w:r w:rsidR="003C63BD" w:rsidRPr="004C2D13">
        <w:t>3</w:t>
      </w:r>
      <w:r w:rsidR="00A813C7" w:rsidRPr="004C2D13">
        <w:t>:</w:t>
      </w:r>
      <w:r w:rsidRPr="004C2D13">
        <w:br/>
      </w:r>
      <w:r w:rsidR="003C63BD" w:rsidRPr="004C2D13">
        <w:t>Fiscal Strategy and Outlook</w:t>
      </w:r>
    </w:p>
    <w:p w14:paraId="6BB0913C" w14:textId="6FD85CAD" w:rsidR="00EC2B16" w:rsidRPr="00207DD5" w:rsidRDefault="00EC2B16" w:rsidP="00EC2B16">
      <w:r w:rsidRPr="00207DD5">
        <w:t>The Government has delivered a stronger and more sustainable budget, with lower deficits and less debt. The budget is $44.</w:t>
      </w:r>
      <w:r w:rsidR="00EE691E" w:rsidRPr="00207DD5">
        <w:t>9</w:t>
      </w:r>
      <w:r w:rsidR="009F0B52" w:rsidRPr="00207DD5">
        <w:t> </w:t>
      </w:r>
      <w:r w:rsidRPr="00207DD5">
        <w:t xml:space="preserve">billion stronger over the forward estimates than </w:t>
      </w:r>
      <w:r w:rsidR="008F6A08" w:rsidRPr="00207DD5">
        <w:t xml:space="preserve">at </w:t>
      </w:r>
      <w:r w:rsidRPr="00207DD5">
        <w:t>the mid</w:t>
      </w:r>
      <w:r w:rsidR="009F0B52" w:rsidRPr="00207DD5">
        <w:noBreakHyphen/>
      </w:r>
      <w:r w:rsidRPr="00207DD5">
        <w:t>year update</w:t>
      </w:r>
      <w:r w:rsidR="008F6A08" w:rsidRPr="00207DD5">
        <w:t>,</w:t>
      </w:r>
      <w:r w:rsidRPr="00207DD5">
        <w:t xml:space="preserve"> and more than a quarter of a trillion dollars better </w:t>
      </w:r>
      <w:r w:rsidR="00180327" w:rsidRPr="00207DD5">
        <w:t xml:space="preserve">over the </w:t>
      </w:r>
      <w:r w:rsidR="00F90E7B" w:rsidRPr="00207DD5">
        <w:t>eight years to 2029–30</w:t>
      </w:r>
      <w:r w:rsidRPr="00207DD5">
        <w:t xml:space="preserve"> than the Government inherited.</w:t>
      </w:r>
      <w:r w:rsidR="0064041B" w:rsidRPr="00207DD5">
        <w:t xml:space="preserve"> </w:t>
      </w:r>
    </w:p>
    <w:p w14:paraId="2405513D" w14:textId="75CDB652" w:rsidR="00EC2B16" w:rsidRDefault="00EC2B16" w:rsidP="00EC2B16">
      <w:r w:rsidRPr="00207DD5">
        <w:t>Since MYEFO, the underlying cash balance has improved in each year of the forward estimates</w:t>
      </w:r>
      <w:r w:rsidR="00E60FF5" w:rsidRPr="00207DD5">
        <w:t xml:space="preserve"> and </w:t>
      </w:r>
      <w:r w:rsidR="004E5CE8" w:rsidRPr="00207DD5">
        <w:t>medium</w:t>
      </w:r>
      <w:r w:rsidR="0044554B" w:rsidRPr="00207DD5">
        <w:t xml:space="preserve"> </w:t>
      </w:r>
      <w:r w:rsidR="004E5CE8" w:rsidRPr="00207DD5">
        <w:t>term</w:t>
      </w:r>
      <w:r w:rsidRPr="00207DD5">
        <w:t>. In 2026</w:t>
      </w:r>
      <w:r w:rsidR="0062625D" w:rsidRPr="00207DD5">
        <w:t>–</w:t>
      </w:r>
      <w:r w:rsidRPr="00207DD5">
        <w:t>27, the deficit is $31.</w:t>
      </w:r>
      <w:r w:rsidR="00341A8E" w:rsidRPr="00207DD5">
        <w:t>5</w:t>
      </w:r>
      <w:r w:rsidR="009F0B52" w:rsidRPr="00207DD5">
        <w:t> </w:t>
      </w:r>
      <w:r w:rsidRPr="00207DD5">
        <w:t>billion</w:t>
      </w:r>
      <w:r w:rsidR="00341A8E" w:rsidRPr="00207DD5">
        <w:t xml:space="preserve">, </w:t>
      </w:r>
      <w:r w:rsidRPr="00207DD5">
        <w:t>$2.</w:t>
      </w:r>
      <w:r w:rsidR="00341A8E" w:rsidRPr="00207DD5">
        <w:t>8</w:t>
      </w:r>
      <w:r w:rsidR="009F0B52" w:rsidRPr="00207DD5">
        <w:t> </w:t>
      </w:r>
      <w:r w:rsidRPr="00207DD5">
        <w:t xml:space="preserve">billion lower than </w:t>
      </w:r>
      <w:r w:rsidR="00FB4C51" w:rsidRPr="00207DD5">
        <w:t xml:space="preserve">at </w:t>
      </w:r>
      <w:r w:rsidRPr="00207DD5">
        <w:t>MYEFO. In 2029</w:t>
      </w:r>
      <w:r w:rsidR="0062625D" w:rsidRPr="00207DD5">
        <w:t>–</w:t>
      </w:r>
      <w:r w:rsidRPr="00207DD5">
        <w:t>30, the deficit is $25.</w:t>
      </w:r>
      <w:r w:rsidR="00341A8E" w:rsidRPr="00207DD5">
        <w:t>3</w:t>
      </w:r>
      <w:r w:rsidR="009F0B52" w:rsidRPr="00207DD5">
        <w:t> </w:t>
      </w:r>
      <w:r w:rsidRPr="00207DD5">
        <w:t xml:space="preserve">billion, less than half </w:t>
      </w:r>
      <w:r w:rsidR="004824E1" w:rsidRPr="00207DD5">
        <w:t>the projection</w:t>
      </w:r>
      <w:r w:rsidRPr="00207DD5">
        <w:t xml:space="preserve"> at MYEFO. As a share of the economy, the deficit is expected to be 1.0</w:t>
      </w:r>
      <w:r w:rsidR="009F0B52" w:rsidRPr="00207DD5">
        <w:t> </w:t>
      </w:r>
      <w:r w:rsidRPr="00207DD5">
        <w:t>per</w:t>
      </w:r>
      <w:r w:rsidR="009F0B52" w:rsidRPr="00207DD5">
        <w:t> </w:t>
      </w:r>
      <w:r w:rsidRPr="00207DD5">
        <w:t xml:space="preserve">cent </w:t>
      </w:r>
      <w:r w:rsidR="002B3798" w:rsidRPr="00207DD5">
        <w:t>in</w:t>
      </w:r>
      <w:r w:rsidRPr="00207DD5">
        <w:t xml:space="preserve"> 2026</w:t>
      </w:r>
      <w:r w:rsidR="0062625D" w:rsidRPr="00207DD5">
        <w:t>–</w:t>
      </w:r>
      <w:r w:rsidRPr="00207DD5">
        <w:t xml:space="preserve">27 </w:t>
      </w:r>
      <w:r w:rsidR="00155D01" w:rsidRPr="00207DD5">
        <w:t>to</w:t>
      </w:r>
      <w:r w:rsidRPr="00207DD5">
        <w:t xml:space="preserve"> 2028</w:t>
      </w:r>
      <w:r w:rsidR="0062625D" w:rsidRPr="00207DD5">
        <w:t>–</w:t>
      </w:r>
      <w:r w:rsidRPr="00207DD5">
        <w:t>29 and then improve to 0.7</w:t>
      </w:r>
      <w:r w:rsidR="009F0B52" w:rsidRPr="00207DD5">
        <w:t> </w:t>
      </w:r>
      <w:r w:rsidRPr="00207DD5">
        <w:t>per</w:t>
      </w:r>
      <w:r w:rsidR="009F0B52" w:rsidRPr="00207DD5">
        <w:t> </w:t>
      </w:r>
      <w:r w:rsidRPr="00207DD5">
        <w:t>cent in 2029</w:t>
      </w:r>
      <w:r w:rsidR="0062625D" w:rsidRPr="00207DD5">
        <w:t>–</w:t>
      </w:r>
      <w:r w:rsidRPr="00207DD5">
        <w:t>30. The deficits over the forward estimates are half the average between the GFC and COVID</w:t>
      </w:r>
      <w:r w:rsidR="009F0B52" w:rsidRPr="00207DD5">
        <w:noBreakHyphen/>
      </w:r>
      <w:r w:rsidRPr="00207DD5">
        <w:t xml:space="preserve">19 pandemic. The budget is projected to return to balance in </w:t>
      </w:r>
      <w:r w:rsidR="000C69B6" w:rsidRPr="00207DD5">
        <w:t>2034</w:t>
      </w:r>
      <w:r w:rsidR="00E53A56" w:rsidRPr="00207DD5">
        <w:t>–</w:t>
      </w:r>
      <w:r w:rsidR="000C69B6" w:rsidRPr="00207DD5">
        <w:t>35</w:t>
      </w:r>
      <w:r w:rsidR="00FA0094" w:rsidRPr="00207DD5">
        <w:t xml:space="preserve"> and </w:t>
      </w:r>
      <w:r w:rsidR="00201E82" w:rsidRPr="00207DD5">
        <w:t xml:space="preserve">to </w:t>
      </w:r>
      <w:r w:rsidR="00FA0094" w:rsidRPr="00207DD5">
        <w:t>a su</w:t>
      </w:r>
      <w:r w:rsidR="00126830" w:rsidRPr="00207DD5">
        <w:t xml:space="preserve">rplus of </w:t>
      </w:r>
      <w:r w:rsidR="007B5E95" w:rsidRPr="00207DD5">
        <w:t>0.8</w:t>
      </w:r>
      <w:r w:rsidR="009F0B52" w:rsidRPr="00207DD5">
        <w:t> </w:t>
      </w:r>
      <w:r w:rsidR="007B5E95" w:rsidRPr="00207DD5">
        <w:t>per</w:t>
      </w:r>
      <w:r w:rsidR="009F0B52" w:rsidRPr="00207DD5">
        <w:t> </w:t>
      </w:r>
      <w:r w:rsidR="007B5E95" w:rsidRPr="00207DD5">
        <w:t>cent of GDP in 2036</w:t>
      </w:r>
      <w:r w:rsidR="00C27AFA" w:rsidRPr="00207DD5">
        <w:t>–</w:t>
      </w:r>
      <w:r w:rsidR="007B5E95" w:rsidRPr="00207DD5">
        <w:t>37</w:t>
      </w:r>
      <w:r w:rsidRPr="00207DD5">
        <w:t xml:space="preserve">, supported by structural savings and reforms to the tax system. </w:t>
      </w:r>
    </w:p>
    <w:p w14:paraId="111AA358" w14:textId="34783037" w:rsidR="00F26EBE" w:rsidRDefault="00EC2B16" w:rsidP="00EC2B16">
      <w:r w:rsidRPr="00207DD5">
        <w:t xml:space="preserve">The </w:t>
      </w:r>
      <w:r w:rsidR="00972FA6" w:rsidRPr="00207DD5">
        <w:t>improvement in the budget position</w:t>
      </w:r>
      <w:r w:rsidRPr="00207DD5">
        <w:t xml:space="preserve"> is underpinned by savings and reprioritisations, spending restraint</w:t>
      </w:r>
      <w:r w:rsidR="00562518" w:rsidRPr="00207DD5">
        <w:t>,</w:t>
      </w:r>
      <w:r w:rsidRPr="00207DD5">
        <w:t xml:space="preserve"> and banking revenue upgrades</w:t>
      </w:r>
      <w:r w:rsidR="00562518" w:rsidRPr="00207DD5">
        <w:t>;</w:t>
      </w:r>
      <w:r w:rsidR="00C0262B" w:rsidRPr="00207DD5">
        <w:t xml:space="preserve"> putting the </w:t>
      </w:r>
      <w:r w:rsidR="00471282" w:rsidRPr="00207DD5">
        <w:t>b</w:t>
      </w:r>
      <w:r w:rsidR="00C0262B" w:rsidRPr="00207DD5">
        <w:t>udget in a stronger position in every year compared to the mid</w:t>
      </w:r>
      <w:r w:rsidR="009F0B52" w:rsidRPr="00207DD5">
        <w:noBreakHyphen/>
      </w:r>
      <w:r w:rsidR="00C0262B" w:rsidRPr="00207DD5">
        <w:t>year update. This budget update help</w:t>
      </w:r>
      <w:r w:rsidR="000334D3" w:rsidRPr="00207DD5">
        <w:t>s</w:t>
      </w:r>
      <w:r w:rsidR="00C0262B" w:rsidRPr="00207DD5" w:rsidDel="00EC2B16">
        <w:t xml:space="preserve"> to </w:t>
      </w:r>
      <w:r w:rsidR="00C0262B" w:rsidRPr="00207DD5">
        <w:t>take the pressure off inflation, delivers substantial improvements in the fiscal position</w:t>
      </w:r>
      <w:r w:rsidR="00562518" w:rsidRPr="00207DD5">
        <w:t>,</w:t>
      </w:r>
      <w:r w:rsidR="006931AF" w:rsidRPr="00207DD5">
        <w:t xml:space="preserve"> and</w:t>
      </w:r>
      <w:r w:rsidR="00C07AC4">
        <w:t xml:space="preserve"> </w:t>
      </w:r>
      <w:r w:rsidR="00AD4205" w:rsidRPr="00207DD5">
        <w:t>cuts</w:t>
      </w:r>
      <w:r w:rsidR="00C0262B" w:rsidRPr="00207DD5">
        <w:t xml:space="preserve"> taxes </w:t>
      </w:r>
      <w:r w:rsidR="00AD4205" w:rsidRPr="00207DD5">
        <w:t>for workers</w:t>
      </w:r>
      <w:r w:rsidR="00C0262B" w:rsidRPr="00207DD5">
        <w:t xml:space="preserve"> </w:t>
      </w:r>
      <w:r w:rsidR="006972DF" w:rsidRPr="00207DD5">
        <w:t>and businesses</w:t>
      </w:r>
      <w:r w:rsidR="00C0262B" w:rsidRPr="00207DD5">
        <w:t xml:space="preserve">. </w:t>
      </w:r>
      <w:r w:rsidR="00F62A59" w:rsidRPr="00AF4083">
        <w:t xml:space="preserve"> </w:t>
      </w:r>
    </w:p>
    <w:p w14:paraId="2FA9A26F" w14:textId="05464AE5" w:rsidR="00237074" w:rsidRPr="00207DD5" w:rsidRDefault="00533AB1" w:rsidP="00237074">
      <w:pPr>
        <w:rPr>
          <w:b/>
        </w:rPr>
      </w:pPr>
      <w:r w:rsidRPr="00207DD5">
        <w:t>The Government is delivering</w:t>
      </w:r>
      <w:r w:rsidR="00EC2B16" w:rsidRPr="00207DD5">
        <w:t xml:space="preserve"> $</w:t>
      </w:r>
      <w:r w:rsidR="00801379" w:rsidRPr="00207DD5">
        <w:t>63.</w:t>
      </w:r>
      <w:r w:rsidR="00157679" w:rsidRPr="00207DD5">
        <w:t>8</w:t>
      </w:r>
      <w:r w:rsidR="009F0B52" w:rsidRPr="00207DD5">
        <w:t> </w:t>
      </w:r>
      <w:r w:rsidR="00EC2B16" w:rsidRPr="00207DD5">
        <w:t>billion of savings and reprioritisations</w:t>
      </w:r>
      <w:r w:rsidR="00EC2B16" w:rsidRPr="00207DD5" w:rsidDel="004B42E6">
        <w:t xml:space="preserve">. </w:t>
      </w:r>
      <w:r w:rsidR="00237074" w:rsidRPr="00207DD5">
        <w:t xml:space="preserve">These savings </w:t>
      </w:r>
      <w:r w:rsidR="00C42E78" w:rsidRPr="00207DD5">
        <w:t xml:space="preserve">help </w:t>
      </w:r>
      <w:r w:rsidR="00237074" w:rsidRPr="00207DD5">
        <w:t>build fiscal buffers at a time of heightened global uncertainty and make more room to return bracket creep in future budgets.</w:t>
      </w:r>
      <w:r w:rsidR="00891834" w:rsidRPr="00207DD5">
        <w:t xml:space="preserve"> </w:t>
      </w:r>
    </w:p>
    <w:p w14:paraId="7B2CAF65" w14:textId="5328900E" w:rsidR="00EC2B16" w:rsidRPr="00D22E74" w:rsidRDefault="00EC2B16" w:rsidP="00EC2B16">
      <w:pPr>
        <w:rPr>
          <w:b/>
        </w:rPr>
      </w:pPr>
      <w:r w:rsidRPr="00207DD5">
        <w:t xml:space="preserve">The Government has made net policy decisions that improve the budget position for the second consecutive update. </w:t>
      </w:r>
      <w:r w:rsidR="009B0B99" w:rsidRPr="00207DD5">
        <w:t>Over the five years to 2029–30,</w:t>
      </w:r>
      <w:r w:rsidRPr="00207DD5">
        <w:t xml:space="preserve"> net policy decisions improve the budget by $</w:t>
      </w:r>
      <w:r w:rsidR="00F862F4" w:rsidRPr="00207DD5">
        <w:t>26.1</w:t>
      </w:r>
      <w:r w:rsidR="00F46EA4" w:rsidRPr="00207DD5">
        <w:t> </w:t>
      </w:r>
      <w:r w:rsidRPr="00207DD5">
        <w:t>billion</w:t>
      </w:r>
      <w:r w:rsidR="00562518" w:rsidRPr="00207DD5">
        <w:t>,</w:t>
      </w:r>
      <w:r w:rsidRPr="00207DD5">
        <w:t xml:space="preserve"> when </w:t>
      </w:r>
      <w:r w:rsidR="004F110D" w:rsidRPr="00207DD5">
        <w:t xml:space="preserve">accounting for </w:t>
      </w:r>
      <w:r w:rsidR="00486611" w:rsidRPr="00207DD5">
        <w:t>previously made</w:t>
      </w:r>
      <w:r w:rsidRPr="00207DD5">
        <w:t xml:space="preserve"> provisions</w:t>
      </w:r>
      <w:r w:rsidR="004F110D" w:rsidRPr="00207DD5">
        <w:t>.</w:t>
      </w:r>
      <w:r w:rsidRPr="00207DD5">
        <w:t xml:space="preserve"> By saving more than spending, the Government is </w:t>
      </w:r>
      <w:r w:rsidR="00B335B8" w:rsidRPr="00207DD5">
        <w:t>again</w:t>
      </w:r>
      <w:r w:rsidRPr="00207DD5">
        <w:t xml:space="preserve"> returning every dollar of the tax receipts upgrade to the budget. </w:t>
      </w:r>
      <w:r>
        <w:t xml:space="preserve"> </w:t>
      </w:r>
    </w:p>
    <w:p w14:paraId="7C51A987" w14:textId="238F7FDA" w:rsidR="00EC2B16" w:rsidRPr="00D22E74" w:rsidRDefault="00EC2B16" w:rsidP="00EC2B16">
      <w:pPr>
        <w:rPr>
          <w:b/>
        </w:rPr>
      </w:pPr>
      <w:r w:rsidRPr="00207DD5">
        <w:t>The Government’s fiscal discipline means that real payments growth averages 1.1</w:t>
      </w:r>
      <w:r w:rsidR="009F0B52" w:rsidRPr="00207DD5">
        <w:t> </w:t>
      </w:r>
      <w:r w:rsidRPr="00207DD5">
        <w:t>per</w:t>
      </w:r>
      <w:r w:rsidR="009F0B52" w:rsidRPr="00207DD5">
        <w:t> </w:t>
      </w:r>
      <w:r w:rsidRPr="00207DD5">
        <w:t>cent over the four years to 2029</w:t>
      </w:r>
      <w:r w:rsidR="00506F3B" w:rsidRPr="00207DD5">
        <w:t>–</w:t>
      </w:r>
      <w:r w:rsidRPr="00207DD5">
        <w:t>30</w:t>
      </w:r>
      <w:r w:rsidR="00552CFA" w:rsidRPr="00207DD5">
        <w:t>,</w:t>
      </w:r>
      <w:r w:rsidRPr="00207DD5">
        <w:t xml:space="preserve"> and 1.5</w:t>
      </w:r>
      <w:r w:rsidR="009F0B52" w:rsidRPr="00207DD5">
        <w:t> </w:t>
      </w:r>
      <w:r w:rsidRPr="00207DD5">
        <w:t>per</w:t>
      </w:r>
      <w:r w:rsidR="009F0B52" w:rsidRPr="00207DD5">
        <w:t> </w:t>
      </w:r>
      <w:r w:rsidRPr="00207DD5">
        <w:t>cent over the eight years to 2029</w:t>
      </w:r>
      <w:r w:rsidR="00506F3B" w:rsidRPr="00207DD5">
        <w:t>–</w:t>
      </w:r>
      <w:r w:rsidRPr="00207DD5">
        <w:t>30</w:t>
      </w:r>
      <w:r w:rsidR="00494B56" w:rsidRPr="00207DD5">
        <w:t>,</w:t>
      </w:r>
      <w:r w:rsidRPr="00207DD5">
        <w:t xml:space="preserve"> </w:t>
      </w:r>
      <w:r w:rsidR="00644E68" w:rsidRPr="00207DD5">
        <w:t>less than</w:t>
      </w:r>
      <w:r w:rsidRPr="00207DD5">
        <w:t xml:space="preserve"> half the 30</w:t>
      </w:r>
      <w:r w:rsidRPr="00207DD5">
        <w:noBreakHyphen/>
        <w:t>year average. Payments as a share of the economy are forecast to decline from 26.8</w:t>
      </w:r>
      <w:r w:rsidR="00107B19" w:rsidRPr="00207DD5">
        <w:t> </w:t>
      </w:r>
      <w:r w:rsidRPr="00207DD5">
        <w:t>per</w:t>
      </w:r>
      <w:r w:rsidR="009F0B52" w:rsidRPr="00207DD5">
        <w:t> </w:t>
      </w:r>
      <w:r w:rsidRPr="00207DD5">
        <w:t>cent in 2026</w:t>
      </w:r>
      <w:r w:rsidR="00506F3B" w:rsidRPr="00207DD5">
        <w:t>–</w:t>
      </w:r>
      <w:r w:rsidRPr="00207DD5">
        <w:t>27 to 26.</w:t>
      </w:r>
      <w:r w:rsidR="002B2945" w:rsidRPr="00207DD5">
        <w:t>2</w:t>
      </w:r>
      <w:r w:rsidR="009F0B52" w:rsidRPr="00207DD5">
        <w:t> </w:t>
      </w:r>
      <w:r w:rsidRPr="00207DD5">
        <w:t>per</w:t>
      </w:r>
      <w:r w:rsidR="009F0B52" w:rsidRPr="00207DD5">
        <w:t> </w:t>
      </w:r>
      <w:r w:rsidRPr="00207DD5">
        <w:t>cent in the last year of the forward estimates.</w:t>
      </w:r>
      <w:r w:rsidR="00204DED" w:rsidRPr="00207DD5">
        <w:t xml:space="preserve"> </w:t>
      </w:r>
      <w:r w:rsidRPr="00207DD5">
        <w:t xml:space="preserve"> Payments</w:t>
      </w:r>
      <w:r w:rsidR="0059769B" w:rsidRPr="00207DD5">
        <w:t>–</w:t>
      </w:r>
      <w:r w:rsidRPr="00207DD5">
        <w:t>to</w:t>
      </w:r>
      <w:r w:rsidR="0059769B" w:rsidRPr="00207DD5">
        <w:t>–</w:t>
      </w:r>
      <w:r w:rsidRPr="00207DD5">
        <w:t xml:space="preserve">GDP </w:t>
      </w:r>
      <w:r w:rsidR="006B1E72" w:rsidRPr="00207DD5">
        <w:t>are</w:t>
      </w:r>
      <w:r w:rsidRPr="00207DD5">
        <w:t xml:space="preserve"> lower than </w:t>
      </w:r>
      <w:r w:rsidR="00A17001" w:rsidRPr="00207DD5">
        <w:t xml:space="preserve">at </w:t>
      </w:r>
      <w:r w:rsidRPr="00207DD5">
        <w:t>MYEFO in every year of the medium</w:t>
      </w:r>
      <w:r w:rsidR="00472C83" w:rsidRPr="00207DD5">
        <w:t xml:space="preserve"> </w:t>
      </w:r>
      <w:r w:rsidRPr="00207DD5">
        <w:t xml:space="preserve">term and is </w:t>
      </w:r>
      <w:r w:rsidR="00C43352" w:rsidRPr="00207DD5">
        <w:t>0.</w:t>
      </w:r>
      <w:r w:rsidR="00A17ABB" w:rsidRPr="00207DD5">
        <w:t>4</w:t>
      </w:r>
      <w:r w:rsidR="005D6283" w:rsidRPr="00207DD5">
        <w:t> </w:t>
      </w:r>
      <w:r w:rsidRPr="00207DD5">
        <w:t>percentage point</w:t>
      </w:r>
      <w:r w:rsidR="00A8073D" w:rsidRPr="00207DD5">
        <w:t>s</w:t>
      </w:r>
      <w:r w:rsidRPr="00207DD5">
        <w:t xml:space="preserve"> lower by 203</w:t>
      </w:r>
      <w:r w:rsidR="00821AEE" w:rsidRPr="00207DD5">
        <w:t>5</w:t>
      </w:r>
      <w:r w:rsidR="00506F3B" w:rsidRPr="00207DD5">
        <w:t>–</w:t>
      </w:r>
      <w:r w:rsidR="00821AEE" w:rsidRPr="00207DD5">
        <w:t>36</w:t>
      </w:r>
      <w:r w:rsidRPr="00207DD5">
        <w:t>.</w:t>
      </w:r>
      <w:r w:rsidR="00315D87" w:rsidRPr="00207DD5">
        <w:t xml:space="preserve"> </w:t>
      </w:r>
    </w:p>
    <w:p w14:paraId="03F2D408" w14:textId="5B925F8E" w:rsidR="00D22E74" w:rsidRPr="00D22E74" w:rsidRDefault="00ED15DB" w:rsidP="00DD451D">
      <w:pPr>
        <w:rPr>
          <w:b/>
        </w:rPr>
      </w:pPr>
      <w:r w:rsidRPr="00207DD5">
        <w:t xml:space="preserve">The Government continues to build fiscal buffers, which is even more important during times of heightened global economic uncertainty. </w:t>
      </w:r>
      <w:r w:rsidR="00986F1B" w:rsidRPr="00207DD5">
        <w:t>A</w:t>
      </w:r>
      <w:r w:rsidRPr="00207DD5">
        <w:t>t 30 June 2027, gross debt is forecast to be $1,051</w:t>
      </w:r>
      <w:r w:rsidR="009F0B52" w:rsidRPr="00207DD5">
        <w:t> </w:t>
      </w:r>
      <w:r w:rsidRPr="00207DD5">
        <w:t xml:space="preserve">billion, </w:t>
      </w:r>
      <w:r w:rsidR="006C370E" w:rsidRPr="00207DD5">
        <w:t>$</w:t>
      </w:r>
      <w:r w:rsidR="00247E7E" w:rsidRPr="00207DD5">
        <w:t>18</w:t>
      </w:r>
      <w:r w:rsidR="006C686C" w:rsidRPr="00207DD5">
        <w:t>.0</w:t>
      </w:r>
      <w:r w:rsidR="009F0B52" w:rsidRPr="00207DD5">
        <w:t> </w:t>
      </w:r>
      <w:r w:rsidRPr="00207DD5">
        <w:t xml:space="preserve">billion below MYEFO and </w:t>
      </w:r>
      <w:r w:rsidR="006C370E" w:rsidRPr="00207DD5">
        <w:t>$17</w:t>
      </w:r>
      <w:r w:rsidR="00701D3A" w:rsidRPr="00207DD5">
        <w:t>3</w:t>
      </w:r>
      <w:r w:rsidR="006C686C" w:rsidRPr="00207DD5">
        <w:t>.0</w:t>
      </w:r>
      <w:r w:rsidR="009F0B52" w:rsidRPr="00207DD5">
        <w:t> </w:t>
      </w:r>
      <w:r w:rsidRPr="00207DD5">
        <w:t xml:space="preserve">billion below </w:t>
      </w:r>
      <w:r w:rsidR="00D47093" w:rsidRPr="00207DD5">
        <w:t xml:space="preserve">the </w:t>
      </w:r>
      <w:r w:rsidRPr="00207DD5">
        <w:t>2022 PEFO. It is now</w:t>
      </w:r>
      <w:r w:rsidR="003F59BC" w:rsidRPr="00207DD5">
        <w:t xml:space="preserve"> </w:t>
      </w:r>
      <w:r w:rsidRPr="00207DD5">
        <w:t>forecast to peak within the forward estimates at 35.8</w:t>
      </w:r>
      <w:r w:rsidR="009F0B52" w:rsidRPr="00207DD5">
        <w:t> </w:t>
      </w:r>
      <w:r w:rsidRPr="00207DD5">
        <w:t>per</w:t>
      </w:r>
      <w:r w:rsidR="009F0B52" w:rsidRPr="00207DD5">
        <w:t> </w:t>
      </w:r>
      <w:r w:rsidRPr="00207DD5">
        <w:t>cent of GDP in 2028–29, 1.2</w:t>
      </w:r>
      <w:r w:rsidR="0029260C" w:rsidRPr="00207DD5">
        <w:t> </w:t>
      </w:r>
      <w:r w:rsidRPr="00207DD5">
        <w:t xml:space="preserve">percentage points lower and two years earlier than at MYEFO. </w:t>
      </w:r>
      <w:r w:rsidR="00810244" w:rsidRPr="00207DD5">
        <w:t xml:space="preserve">Compared to </w:t>
      </w:r>
      <w:r w:rsidR="008D10C1" w:rsidRPr="00207DD5">
        <w:t>at</w:t>
      </w:r>
      <w:r w:rsidR="00810244" w:rsidRPr="00207DD5">
        <w:t xml:space="preserve"> MYEFO, gross debt is lower in every year of the forward estimates and medium</w:t>
      </w:r>
      <w:r w:rsidR="00290CDA" w:rsidRPr="00207DD5">
        <w:t xml:space="preserve"> </w:t>
      </w:r>
      <w:r w:rsidR="00810244" w:rsidRPr="00207DD5">
        <w:t>term</w:t>
      </w:r>
      <w:r w:rsidR="00DC70E1" w:rsidRPr="00207DD5">
        <w:t>.</w:t>
      </w:r>
      <w:r w:rsidR="001E2990" w:rsidRPr="00207DD5">
        <w:t xml:space="preserve"> </w:t>
      </w:r>
    </w:p>
    <w:p w14:paraId="2501F773" w14:textId="1F046F92" w:rsidR="00A67A61" w:rsidRDefault="00A67A61" w:rsidP="00A67A61">
      <w:r w:rsidRPr="00207DD5">
        <w:lastRenderedPageBreak/>
        <w:t>This Budget introduces a range of tax reform measures designed to deliver tax reductions for working Australian</w:t>
      </w:r>
      <w:r w:rsidR="003D0607" w:rsidRPr="00207DD5">
        <w:t xml:space="preserve"> taxpayers</w:t>
      </w:r>
      <w:r w:rsidRPr="00207DD5">
        <w:t>, help more Australians to realise the goal of home ownership, and strengthen incentives for investment and innovation. These reforms ensure that the Government can continue to fund essential services Australians rely on</w:t>
      </w:r>
      <w:r w:rsidR="00CA1192" w:rsidRPr="00207DD5">
        <w:t>,</w:t>
      </w:r>
      <w:r w:rsidRPr="00207DD5">
        <w:t xml:space="preserve"> while lowering the tax burden on working Australians and creating room for further tax relief over time. </w:t>
      </w:r>
    </w:p>
    <w:p w14:paraId="3B9F5D57" w14:textId="02FB5A4E" w:rsidR="00B370CC" w:rsidRPr="00207DD5" w:rsidRDefault="00B370CC" w:rsidP="00DD451D">
      <w:r w:rsidRPr="00207DD5">
        <w:t xml:space="preserve">The Budget is delivering a comprehensive productivity package that helps reduce regulatory costs and supports higher living standards for all Australians. Improving productivity is central to the Government’s economic plan to grow Australia’s economy. </w:t>
      </w:r>
    </w:p>
    <w:p w14:paraId="06BDA705" w14:textId="16C44798" w:rsidR="00D22E74" w:rsidRPr="00D22E74" w:rsidRDefault="00D22E74" w:rsidP="00DD451D">
      <w:pPr>
        <w:rPr>
          <w:b/>
        </w:rPr>
      </w:pPr>
      <w:r w:rsidRPr="00207DD5">
        <w:t xml:space="preserve">The fiscal improvements in this Budget have been achieved </w:t>
      </w:r>
      <w:r w:rsidR="00ED4FC7" w:rsidRPr="00207DD5">
        <w:t>while ensuring funding goes to those who need it most</w:t>
      </w:r>
      <w:r w:rsidRPr="00207DD5">
        <w:t xml:space="preserve">. This Budget includes </w:t>
      </w:r>
      <w:bookmarkStart w:id="0" w:name="_Hlk229058701"/>
      <w:r w:rsidRPr="00207DD5">
        <w:t>$</w:t>
      </w:r>
      <w:r w:rsidR="003408D5" w:rsidRPr="00207DD5">
        <w:t>11.8</w:t>
      </w:r>
      <w:r w:rsidR="009F0B52" w:rsidRPr="00207DD5">
        <w:t> </w:t>
      </w:r>
      <w:r w:rsidRPr="00207DD5">
        <w:t>billion in increased social security payments</w:t>
      </w:r>
      <w:r w:rsidR="00C52475" w:rsidRPr="00207DD5">
        <w:t xml:space="preserve"> to</w:t>
      </w:r>
      <w:r w:rsidRPr="00207DD5">
        <w:t xml:space="preserve"> people with a disability, carers, pensioners, young people, families and those who are unemployed.</w:t>
      </w:r>
      <w:r w:rsidR="00C52475" w:rsidRPr="00207DD5">
        <w:t xml:space="preserve"> This is in part driven by higher automatic payment indexation, which will help shield the most vulnerable from the impacts of the global oil shock</w:t>
      </w:r>
      <w:bookmarkEnd w:id="0"/>
      <w:r w:rsidRPr="00207DD5">
        <w:t>.</w:t>
      </w:r>
    </w:p>
    <w:p w14:paraId="34BD3093" w14:textId="57CFECFE" w:rsidR="00D22E74" w:rsidRPr="00D22E74" w:rsidRDefault="002C34CF" w:rsidP="00DD451D">
      <w:pPr>
        <w:rPr>
          <w:b/>
        </w:rPr>
      </w:pPr>
      <w:r w:rsidRPr="00207DD5">
        <w:t xml:space="preserve">The decisions in this Budget build on this Government’s </w:t>
      </w:r>
      <w:r w:rsidR="00035165" w:rsidRPr="00207DD5">
        <w:t xml:space="preserve">strong fiscal </w:t>
      </w:r>
      <w:r w:rsidR="008B12BF" w:rsidRPr="00207DD5">
        <w:t xml:space="preserve">credentials. </w:t>
      </w:r>
      <w:r w:rsidR="00D22E74" w:rsidRPr="00207DD5">
        <w:t>Compared to the 2022 PEFO, the budget is $</w:t>
      </w:r>
      <w:r w:rsidR="0066508B" w:rsidRPr="00207DD5">
        <w:t>263</w:t>
      </w:r>
      <w:r w:rsidR="000F1A4A" w:rsidRPr="00207DD5">
        <w:t>.</w:t>
      </w:r>
      <w:r w:rsidR="00482985" w:rsidRPr="00207DD5">
        <w:t>8</w:t>
      </w:r>
      <w:r w:rsidR="009F0B52" w:rsidRPr="00207DD5">
        <w:t> </w:t>
      </w:r>
      <w:r w:rsidR="00411BE7" w:rsidRPr="00207DD5">
        <w:t>b</w:t>
      </w:r>
      <w:r w:rsidR="00D22E74" w:rsidRPr="00207DD5">
        <w:t>illion better over the eight years to 2029</w:t>
      </w:r>
      <w:r w:rsidR="00EC0047" w:rsidRPr="00207DD5">
        <w:rPr>
          <w:rFonts w:ascii="Times New Roman" w:hAnsi="Times New Roman"/>
        </w:rPr>
        <w:t>‍</w:t>
      </w:r>
      <w:r w:rsidR="009F0B52" w:rsidRPr="00207DD5">
        <w:t>–</w:t>
      </w:r>
      <w:r w:rsidR="006910CB" w:rsidRPr="00207DD5">
        <w:rPr>
          <w:rFonts w:ascii="Times New Roman" w:hAnsi="Times New Roman"/>
        </w:rPr>
        <w:t>‍</w:t>
      </w:r>
      <w:r w:rsidR="00D22E74" w:rsidRPr="00207DD5">
        <w:t>30, gross debt is $</w:t>
      </w:r>
      <w:r w:rsidR="00BC581F" w:rsidRPr="00207DD5">
        <w:t>173</w:t>
      </w:r>
      <w:r w:rsidR="006C686C" w:rsidRPr="00207DD5">
        <w:t>.0</w:t>
      </w:r>
      <w:r w:rsidR="009F0B52" w:rsidRPr="00207DD5">
        <w:t> </w:t>
      </w:r>
      <w:r w:rsidR="00D22E74" w:rsidRPr="00207DD5">
        <w:t>billion lower in 2026</w:t>
      </w:r>
      <w:r w:rsidR="00EC0047" w:rsidRPr="00207DD5">
        <w:t>–</w:t>
      </w:r>
      <w:r w:rsidR="00D22E74" w:rsidRPr="00207DD5">
        <w:t xml:space="preserve">27 and the peak in gross debt </w:t>
      </w:r>
      <w:r w:rsidR="00974E2F" w:rsidRPr="00207DD5">
        <w:t>as a share of GDP</w:t>
      </w:r>
      <w:r w:rsidR="00D22E74" w:rsidRPr="00207DD5">
        <w:t xml:space="preserve"> is </w:t>
      </w:r>
      <w:r w:rsidR="00425842" w:rsidRPr="00207DD5">
        <w:t>9.1</w:t>
      </w:r>
      <w:r w:rsidR="002237A6" w:rsidRPr="00207DD5">
        <w:t> </w:t>
      </w:r>
      <w:r w:rsidR="00D22E74" w:rsidRPr="00207DD5">
        <w:t>percentage points lower. This will help avoid more than $</w:t>
      </w:r>
      <w:r w:rsidR="004A6A73" w:rsidRPr="00207DD5">
        <w:t>7</w:t>
      </w:r>
      <w:r w:rsidR="009A3822" w:rsidRPr="00207DD5">
        <w:t>0</w:t>
      </w:r>
      <w:r w:rsidR="004A09A8" w:rsidRPr="00207DD5">
        <w:t>.0</w:t>
      </w:r>
      <w:r w:rsidR="009F0B52" w:rsidRPr="00207DD5">
        <w:t> </w:t>
      </w:r>
      <w:r w:rsidR="00D22E74" w:rsidRPr="00207DD5">
        <w:t>billion in interest costs over the eleven years to 2032–33.</w:t>
      </w:r>
      <w:r w:rsidR="00C82AA1" w:rsidRPr="00207DD5">
        <w:t xml:space="preserve"> </w:t>
      </w:r>
    </w:p>
    <w:p w14:paraId="57A495FD" w14:textId="593E3073" w:rsidR="00EA0486" w:rsidRPr="00207DD5" w:rsidRDefault="00EA0486" w:rsidP="00EA0486">
      <w:r w:rsidRPr="00207DD5">
        <w:t xml:space="preserve">Australia remains one of only nine countries with a AAA sovereign credit rating from all three major ratings agencies. For 2027, the International Monetary Fund (IMF) expects Australia </w:t>
      </w:r>
      <w:r w:rsidR="007E68BC" w:rsidRPr="00207DD5">
        <w:t xml:space="preserve">(including all levels of government) </w:t>
      </w:r>
      <w:r w:rsidRPr="00207DD5">
        <w:t>to have the third highest budget balance among G20 countries and for gross debt</w:t>
      </w:r>
      <w:r w:rsidRPr="00207DD5">
        <w:noBreakHyphen/>
        <w:t>to</w:t>
      </w:r>
      <w:r w:rsidRPr="00207DD5">
        <w:noBreakHyphen/>
        <w:t>GDP to be less than half the advanced economy average, more than 50 percentage points below the United Kingdom, and more than 75</w:t>
      </w:r>
      <w:r w:rsidR="007E68BC" w:rsidRPr="00207DD5">
        <w:t> </w:t>
      </w:r>
      <w:r w:rsidRPr="00207DD5">
        <w:t>percentage points below the United States (Box 3.3).</w:t>
      </w:r>
    </w:p>
    <w:p w14:paraId="641358FE" w14:textId="0F1950D2" w:rsidR="003C63BD" w:rsidRPr="00207DD5" w:rsidRDefault="003C63BD" w:rsidP="003C63BD">
      <w:pPr>
        <w:spacing w:before="0" w:after="160" w:line="256" w:lineRule="auto"/>
      </w:pPr>
    </w:p>
    <w:p w14:paraId="65AD4750" w14:textId="0A1FE54C" w:rsidR="003C63BD" w:rsidRPr="00207DD5" w:rsidRDefault="003C63BD" w:rsidP="00720BB5">
      <w:pPr>
        <w:tabs>
          <w:tab w:val="left" w:pos="6810"/>
        </w:tabs>
        <w:sectPr w:rsidR="003C63BD" w:rsidRPr="00207DD5" w:rsidSect="00AF5AB6">
          <w:headerReference w:type="even" r:id="rId7"/>
          <w:headerReference w:type="default" r:id="rId8"/>
          <w:footerReference w:type="even" r:id="rId9"/>
          <w:footerReference w:type="default" r:id="rId10"/>
          <w:headerReference w:type="first" r:id="rId11"/>
          <w:footerReference w:type="first" r:id="rId12"/>
          <w:pgSz w:w="11906" w:h="16838" w:code="9"/>
          <w:pgMar w:top="2835" w:right="2098" w:bottom="2466" w:left="2098" w:header="1814" w:footer="1814" w:gutter="0"/>
          <w:pgNumType w:start="81"/>
          <w:cols w:space="708"/>
          <w:titlePg/>
          <w:docGrid w:linePitch="360"/>
        </w:sectPr>
      </w:pPr>
    </w:p>
    <w:p w14:paraId="2492393B" w14:textId="4EEA118F" w:rsidR="00D81A31" w:rsidRPr="00207DD5" w:rsidRDefault="003C63BD" w:rsidP="0022083F">
      <w:pPr>
        <w:pStyle w:val="Heading1"/>
        <w:spacing w:after="720"/>
      </w:pPr>
      <w:r w:rsidRPr="00207DD5">
        <w:lastRenderedPageBreak/>
        <w:t xml:space="preserve">Statement </w:t>
      </w:r>
      <w:r w:rsidR="00321596" w:rsidRPr="00207DD5">
        <w:t xml:space="preserve">3 </w:t>
      </w:r>
      <w:r w:rsidRPr="00207DD5">
        <w:t>contents</w:t>
      </w:r>
    </w:p>
    <w:p w14:paraId="0C094964" w14:textId="3682EEA7" w:rsidR="00154498" w:rsidRDefault="00ED4894">
      <w:pPr>
        <w:pStyle w:val="TOC2"/>
        <w:rPr>
          <w:rFonts w:asciiTheme="minorHAnsi" w:eastAsiaTheme="minorEastAsia" w:hAnsiTheme="minorHAnsi" w:cstheme="minorBidi"/>
          <w:noProof/>
          <w:kern w:val="2"/>
          <w:sz w:val="24"/>
          <w:szCs w:val="24"/>
          <w14:ligatures w14:val="standardContextual"/>
        </w:rPr>
      </w:pPr>
      <w:r w:rsidRPr="00207DD5">
        <w:fldChar w:fldCharType="begin"/>
      </w:r>
      <w:r w:rsidRPr="00207DD5">
        <w:instrText xml:space="preserve"> TOC \o "2-2" \h \z \t "Heading 3,3,Note Table Heading,3" </w:instrText>
      </w:r>
      <w:r w:rsidRPr="00207DD5">
        <w:fldChar w:fldCharType="separate"/>
      </w:r>
      <w:hyperlink w:anchor="_Toc229240483" w:history="1">
        <w:r w:rsidR="00154498" w:rsidRPr="007A7DB7">
          <w:rPr>
            <w:rStyle w:val="Hyperlink"/>
            <w:noProof/>
          </w:rPr>
          <w:t>Economic and Fiscal Strategy</w:t>
        </w:r>
        <w:r w:rsidR="00154498">
          <w:rPr>
            <w:noProof/>
            <w:webHidden/>
          </w:rPr>
          <w:tab/>
        </w:r>
        <w:r w:rsidR="00154498">
          <w:rPr>
            <w:noProof/>
            <w:webHidden/>
          </w:rPr>
          <w:fldChar w:fldCharType="begin"/>
        </w:r>
        <w:r w:rsidR="00154498">
          <w:rPr>
            <w:noProof/>
            <w:webHidden/>
          </w:rPr>
          <w:instrText xml:space="preserve"> PAGEREF _Toc229240483 \h </w:instrText>
        </w:r>
        <w:r w:rsidR="00154498">
          <w:rPr>
            <w:noProof/>
            <w:webHidden/>
          </w:rPr>
        </w:r>
        <w:r w:rsidR="00154498">
          <w:rPr>
            <w:noProof/>
            <w:webHidden/>
          </w:rPr>
          <w:fldChar w:fldCharType="separate"/>
        </w:r>
        <w:r w:rsidR="00122B93">
          <w:rPr>
            <w:noProof/>
            <w:webHidden/>
          </w:rPr>
          <w:t>86</w:t>
        </w:r>
        <w:r w:rsidR="00154498">
          <w:rPr>
            <w:noProof/>
            <w:webHidden/>
          </w:rPr>
          <w:fldChar w:fldCharType="end"/>
        </w:r>
      </w:hyperlink>
    </w:p>
    <w:p w14:paraId="5B514057" w14:textId="40FE2CA1"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484" w:history="1">
        <w:r w:rsidRPr="007A7DB7">
          <w:rPr>
            <w:rStyle w:val="Hyperlink"/>
            <w:noProof/>
          </w:rPr>
          <w:t>Delivering on the Economic and Fiscal Strategy</w:t>
        </w:r>
        <w:r>
          <w:rPr>
            <w:noProof/>
            <w:webHidden/>
          </w:rPr>
          <w:tab/>
        </w:r>
        <w:r>
          <w:rPr>
            <w:noProof/>
            <w:webHidden/>
          </w:rPr>
          <w:fldChar w:fldCharType="begin"/>
        </w:r>
        <w:r>
          <w:rPr>
            <w:noProof/>
            <w:webHidden/>
          </w:rPr>
          <w:instrText xml:space="preserve"> PAGEREF _Toc229240484 \h </w:instrText>
        </w:r>
        <w:r>
          <w:rPr>
            <w:noProof/>
            <w:webHidden/>
          </w:rPr>
        </w:r>
        <w:r>
          <w:rPr>
            <w:noProof/>
            <w:webHidden/>
          </w:rPr>
          <w:fldChar w:fldCharType="separate"/>
        </w:r>
        <w:r w:rsidR="00122B93">
          <w:rPr>
            <w:noProof/>
            <w:webHidden/>
          </w:rPr>
          <w:t>88</w:t>
        </w:r>
        <w:r>
          <w:rPr>
            <w:noProof/>
            <w:webHidden/>
          </w:rPr>
          <w:fldChar w:fldCharType="end"/>
        </w:r>
      </w:hyperlink>
    </w:p>
    <w:p w14:paraId="571E4097" w14:textId="74B6DCF2"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485" w:history="1">
        <w:r w:rsidRPr="007A7DB7">
          <w:rPr>
            <w:rStyle w:val="Hyperlink"/>
            <w:noProof/>
          </w:rPr>
          <w:t>Addressing unavoidable issues</w:t>
        </w:r>
        <w:r>
          <w:rPr>
            <w:noProof/>
            <w:webHidden/>
          </w:rPr>
          <w:tab/>
        </w:r>
        <w:r>
          <w:rPr>
            <w:noProof/>
            <w:webHidden/>
          </w:rPr>
          <w:fldChar w:fldCharType="begin"/>
        </w:r>
        <w:r>
          <w:rPr>
            <w:noProof/>
            <w:webHidden/>
          </w:rPr>
          <w:instrText xml:space="preserve"> PAGEREF _Toc229240485 \h </w:instrText>
        </w:r>
        <w:r>
          <w:rPr>
            <w:noProof/>
            <w:webHidden/>
          </w:rPr>
        </w:r>
        <w:r>
          <w:rPr>
            <w:noProof/>
            <w:webHidden/>
          </w:rPr>
          <w:fldChar w:fldCharType="separate"/>
        </w:r>
        <w:r w:rsidR="00122B93">
          <w:rPr>
            <w:noProof/>
            <w:webHidden/>
          </w:rPr>
          <w:t>91</w:t>
        </w:r>
        <w:r>
          <w:rPr>
            <w:noProof/>
            <w:webHidden/>
          </w:rPr>
          <w:fldChar w:fldCharType="end"/>
        </w:r>
      </w:hyperlink>
    </w:p>
    <w:p w14:paraId="3EA0CBC7" w14:textId="13784760" w:rsidR="00154498" w:rsidRDefault="00154498">
      <w:pPr>
        <w:pStyle w:val="TOC2"/>
        <w:rPr>
          <w:rFonts w:asciiTheme="minorHAnsi" w:eastAsiaTheme="minorEastAsia" w:hAnsiTheme="minorHAnsi" w:cstheme="minorBidi"/>
          <w:noProof/>
          <w:kern w:val="2"/>
          <w:sz w:val="24"/>
          <w:szCs w:val="24"/>
          <w14:ligatures w14:val="standardContextual"/>
        </w:rPr>
      </w:pPr>
      <w:hyperlink w:anchor="_Toc229240486" w:history="1">
        <w:r w:rsidRPr="007A7DB7">
          <w:rPr>
            <w:rStyle w:val="Hyperlink"/>
            <w:noProof/>
          </w:rPr>
          <w:t>Fiscal outlook</w:t>
        </w:r>
        <w:r>
          <w:rPr>
            <w:noProof/>
            <w:webHidden/>
          </w:rPr>
          <w:tab/>
        </w:r>
        <w:r>
          <w:rPr>
            <w:noProof/>
            <w:webHidden/>
          </w:rPr>
          <w:fldChar w:fldCharType="begin"/>
        </w:r>
        <w:r>
          <w:rPr>
            <w:noProof/>
            <w:webHidden/>
          </w:rPr>
          <w:instrText xml:space="preserve"> PAGEREF _Toc229240486 \h </w:instrText>
        </w:r>
        <w:r>
          <w:rPr>
            <w:noProof/>
            <w:webHidden/>
          </w:rPr>
        </w:r>
        <w:r>
          <w:rPr>
            <w:noProof/>
            <w:webHidden/>
          </w:rPr>
          <w:fldChar w:fldCharType="separate"/>
        </w:r>
        <w:r w:rsidR="00122B93">
          <w:rPr>
            <w:noProof/>
            <w:webHidden/>
          </w:rPr>
          <w:t>94</w:t>
        </w:r>
        <w:r>
          <w:rPr>
            <w:noProof/>
            <w:webHidden/>
          </w:rPr>
          <w:fldChar w:fldCharType="end"/>
        </w:r>
      </w:hyperlink>
    </w:p>
    <w:p w14:paraId="39B672DA" w14:textId="06A8BB89"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487" w:history="1">
        <w:r w:rsidRPr="007A7DB7">
          <w:rPr>
            <w:rStyle w:val="Hyperlink"/>
            <w:noProof/>
          </w:rPr>
          <w:t>Underlying cash balance estimates</w:t>
        </w:r>
        <w:r>
          <w:rPr>
            <w:noProof/>
            <w:webHidden/>
          </w:rPr>
          <w:tab/>
        </w:r>
        <w:r>
          <w:rPr>
            <w:noProof/>
            <w:webHidden/>
          </w:rPr>
          <w:fldChar w:fldCharType="begin"/>
        </w:r>
        <w:r>
          <w:rPr>
            <w:noProof/>
            <w:webHidden/>
          </w:rPr>
          <w:instrText xml:space="preserve"> PAGEREF _Toc229240487 \h </w:instrText>
        </w:r>
        <w:r>
          <w:rPr>
            <w:noProof/>
            <w:webHidden/>
          </w:rPr>
        </w:r>
        <w:r>
          <w:rPr>
            <w:noProof/>
            <w:webHidden/>
          </w:rPr>
          <w:fldChar w:fldCharType="separate"/>
        </w:r>
        <w:r w:rsidR="00122B93">
          <w:rPr>
            <w:noProof/>
            <w:webHidden/>
          </w:rPr>
          <w:t>94</w:t>
        </w:r>
        <w:r>
          <w:rPr>
            <w:noProof/>
            <w:webHidden/>
          </w:rPr>
          <w:fldChar w:fldCharType="end"/>
        </w:r>
      </w:hyperlink>
    </w:p>
    <w:p w14:paraId="2760DBB4" w14:textId="38D8C903"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488" w:history="1">
        <w:r w:rsidRPr="007A7DB7">
          <w:rPr>
            <w:rStyle w:val="Hyperlink"/>
            <w:noProof/>
          </w:rPr>
          <w:t>Receipts estimates</w:t>
        </w:r>
        <w:r>
          <w:rPr>
            <w:noProof/>
            <w:webHidden/>
          </w:rPr>
          <w:tab/>
        </w:r>
        <w:r>
          <w:rPr>
            <w:noProof/>
            <w:webHidden/>
          </w:rPr>
          <w:fldChar w:fldCharType="begin"/>
        </w:r>
        <w:r>
          <w:rPr>
            <w:noProof/>
            <w:webHidden/>
          </w:rPr>
          <w:instrText xml:space="preserve"> PAGEREF _Toc229240488 \h </w:instrText>
        </w:r>
        <w:r>
          <w:rPr>
            <w:noProof/>
            <w:webHidden/>
          </w:rPr>
        </w:r>
        <w:r>
          <w:rPr>
            <w:noProof/>
            <w:webHidden/>
          </w:rPr>
          <w:fldChar w:fldCharType="separate"/>
        </w:r>
        <w:r w:rsidR="00122B93">
          <w:rPr>
            <w:noProof/>
            <w:webHidden/>
          </w:rPr>
          <w:t>96</w:t>
        </w:r>
        <w:r>
          <w:rPr>
            <w:noProof/>
            <w:webHidden/>
          </w:rPr>
          <w:fldChar w:fldCharType="end"/>
        </w:r>
      </w:hyperlink>
    </w:p>
    <w:p w14:paraId="49D95F4F" w14:textId="0E860206"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489" w:history="1">
        <w:r w:rsidRPr="007A7DB7">
          <w:rPr>
            <w:rStyle w:val="Hyperlink"/>
            <w:noProof/>
          </w:rPr>
          <w:t>Payments estimates</w:t>
        </w:r>
        <w:r>
          <w:rPr>
            <w:noProof/>
            <w:webHidden/>
          </w:rPr>
          <w:tab/>
        </w:r>
        <w:r>
          <w:rPr>
            <w:noProof/>
            <w:webHidden/>
          </w:rPr>
          <w:fldChar w:fldCharType="begin"/>
        </w:r>
        <w:r>
          <w:rPr>
            <w:noProof/>
            <w:webHidden/>
          </w:rPr>
          <w:instrText xml:space="preserve"> PAGEREF _Toc229240489 \h </w:instrText>
        </w:r>
        <w:r>
          <w:rPr>
            <w:noProof/>
            <w:webHidden/>
          </w:rPr>
        </w:r>
        <w:r>
          <w:rPr>
            <w:noProof/>
            <w:webHidden/>
          </w:rPr>
          <w:fldChar w:fldCharType="separate"/>
        </w:r>
        <w:r w:rsidR="00122B93">
          <w:rPr>
            <w:noProof/>
            <w:webHidden/>
          </w:rPr>
          <w:t>98</w:t>
        </w:r>
        <w:r>
          <w:rPr>
            <w:noProof/>
            <w:webHidden/>
          </w:rPr>
          <w:fldChar w:fldCharType="end"/>
        </w:r>
      </w:hyperlink>
    </w:p>
    <w:p w14:paraId="332A2826" w14:textId="48F6E045"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490" w:history="1">
        <w:r w:rsidRPr="007A7DB7">
          <w:rPr>
            <w:rStyle w:val="Hyperlink"/>
            <w:noProof/>
          </w:rPr>
          <w:t>Headline cash balance</w:t>
        </w:r>
        <w:r>
          <w:rPr>
            <w:noProof/>
            <w:webHidden/>
          </w:rPr>
          <w:tab/>
        </w:r>
        <w:r>
          <w:rPr>
            <w:noProof/>
            <w:webHidden/>
          </w:rPr>
          <w:fldChar w:fldCharType="begin"/>
        </w:r>
        <w:r>
          <w:rPr>
            <w:noProof/>
            <w:webHidden/>
          </w:rPr>
          <w:instrText xml:space="preserve"> PAGEREF _Toc229240490 \h </w:instrText>
        </w:r>
        <w:r>
          <w:rPr>
            <w:noProof/>
            <w:webHidden/>
          </w:rPr>
        </w:r>
        <w:r>
          <w:rPr>
            <w:noProof/>
            <w:webHidden/>
          </w:rPr>
          <w:fldChar w:fldCharType="separate"/>
        </w:r>
        <w:r w:rsidR="00122B93">
          <w:rPr>
            <w:noProof/>
            <w:webHidden/>
          </w:rPr>
          <w:t>104</w:t>
        </w:r>
        <w:r>
          <w:rPr>
            <w:noProof/>
            <w:webHidden/>
          </w:rPr>
          <w:fldChar w:fldCharType="end"/>
        </w:r>
      </w:hyperlink>
    </w:p>
    <w:p w14:paraId="73531A76" w14:textId="13AF4667"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491" w:history="1">
        <w:r w:rsidRPr="007A7DB7">
          <w:rPr>
            <w:rStyle w:val="Hyperlink"/>
            <w:noProof/>
          </w:rPr>
          <w:t>Medium</w:t>
        </w:r>
        <w:r w:rsidRPr="007A7DB7">
          <w:rPr>
            <w:rStyle w:val="Hyperlink"/>
            <w:noProof/>
          </w:rPr>
          <w:noBreakHyphen/>
          <w:t>term projections</w:t>
        </w:r>
        <w:r>
          <w:rPr>
            <w:noProof/>
            <w:webHidden/>
          </w:rPr>
          <w:tab/>
        </w:r>
        <w:r>
          <w:rPr>
            <w:noProof/>
            <w:webHidden/>
          </w:rPr>
          <w:fldChar w:fldCharType="begin"/>
        </w:r>
        <w:r>
          <w:rPr>
            <w:noProof/>
            <w:webHidden/>
          </w:rPr>
          <w:instrText xml:space="preserve"> PAGEREF _Toc229240491 \h </w:instrText>
        </w:r>
        <w:r>
          <w:rPr>
            <w:noProof/>
            <w:webHidden/>
          </w:rPr>
        </w:r>
        <w:r>
          <w:rPr>
            <w:noProof/>
            <w:webHidden/>
          </w:rPr>
          <w:fldChar w:fldCharType="separate"/>
        </w:r>
        <w:r w:rsidR="00122B93">
          <w:rPr>
            <w:noProof/>
            <w:webHidden/>
          </w:rPr>
          <w:t>107</w:t>
        </w:r>
        <w:r>
          <w:rPr>
            <w:noProof/>
            <w:webHidden/>
          </w:rPr>
          <w:fldChar w:fldCharType="end"/>
        </w:r>
      </w:hyperlink>
    </w:p>
    <w:p w14:paraId="562B06D8" w14:textId="3577C19B" w:rsidR="00154498" w:rsidRDefault="00154498">
      <w:pPr>
        <w:pStyle w:val="TOC2"/>
        <w:rPr>
          <w:rFonts w:asciiTheme="minorHAnsi" w:eastAsiaTheme="minorEastAsia" w:hAnsiTheme="minorHAnsi" w:cstheme="minorBidi"/>
          <w:noProof/>
          <w:kern w:val="2"/>
          <w:sz w:val="24"/>
          <w:szCs w:val="24"/>
          <w14:ligatures w14:val="standardContextual"/>
        </w:rPr>
      </w:pPr>
      <w:hyperlink w:anchor="_Toc229240492" w:history="1">
        <w:r w:rsidRPr="007A7DB7">
          <w:rPr>
            <w:rStyle w:val="Hyperlink"/>
            <w:noProof/>
          </w:rPr>
          <w:t>The Government’s balance sheet</w:t>
        </w:r>
        <w:r>
          <w:rPr>
            <w:noProof/>
            <w:webHidden/>
          </w:rPr>
          <w:tab/>
        </w:r>
        <w:r>
          <w:rPr>
            <w:noProof/>
            <w:webHidden/>
          </w:rPr>
          <w:fldChar w:fldCharType="begin"/>
        </w:r>
        <w:r>
          <w:rPr>
            <w:noProof/>
            <w:webHidden/>
          </w:rPr>
          <w:instrText xml:space="preserve"> PAGEREF _Toc229240492 \h </w:instrText>
        </w:r>
        <w:r>
          <w:rPr>
            <w:noProof/>
            <w:webHidden/>
          </w:rPr>
        </w:r>
        <w:r>
          <w:rPr>
            <w:noProof/>
            <w:webHidden/>
          </w:rPr>
          <w:fldChar w:fldCharType="separate"/>
        </w:r>
        <w:r w:rsidR="00122B93">
          <w:rPr>
            <w:noProof/>
            <w:webHidden/>
          </w:rPr>
          <w:t>111</w:t>
        </w:r>
        <w:r>
          <w:rPr>
            <w:noProof/>
            <w:webHidden/>
          </w:rPr>
          <w:fldChar w:fldCharType="end"/>
        </w:r>
      </w:hyperlink>
    </w:p>
    <w:p w14:paraId="4BB26E8D" w14:textId="370240F5"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493" w:history="1">
        <w:r w:rsidRPr="007A7DB7">
          <w:rPr>
            <w:rStyle w:val="Hyperlink"/>
            <w:noProof/>
          </w:rPr>
          <w:t>Gross debt estimates and projections</w:t>
        </w:r>
        <w:r>
          <w:rPr>
            <w:noProof/>
            <w:webHidden/>
          </w:rPr>
          <w:tab/>
        </w:r>
        <w:r>
          <w:rPr>
            <w:noProof/>
            <w:webHidden/>
          </w:rPr>
          <w:fldChar w:fldCharType="begin"/>
        </w:r>
        <w:r>
          <w:rPr>
            <w:noProof/>
            <w:webHidden/>
          </w:rPr>
          <w:instrText xml:space="preserve"> PAGEREF _Toc229240493 \h </w:instrText>
        </w:r>
        <w:r>
          <w:rPr>
            <w:noProof/>
            <w:webHidden/>
          </w:rPr>
        </w:r>
        <w:r>
          <w:rPr>
            <w:noProof/>
            <w:webHidden/>
          </w:rPr>
          <w:fldChar w:fldCharType="separate"/>
        </w:r>
        <w:r w:rsidR="00122B93">
          <w:rPr>
            <w:noProof/>
            <w:webHidden/>
          </w:rPr>
          <w:t>113</w:t>
        </w:r>
        <w:r>
          <w:rPr>
            <w:noProof/>
            <w:webHidden/>
          </w:rPr>
          <w:fldChar w:fldCharType="end"/>
        </w:r>
      </w:hyperlink>
    </w:p>
    <w:p w14:paraId="1747E826" w14:textId="722279AC"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494" w:history="1">
        <w:r w:rsidRPr="007A7DB7">
          <w:rPr>
            <w:rStyle w:val="Hyperlink"/>
            <w:noProof/>
          </w:rPr>
          <w:t>Net debt estimates and projections</w:t>
        </w:r>
        <w:r>
          <w:rPr>
            <w:noProof/>
            <w:webHidden/>
          </w:rPr>
          <w:tab/>
        </w:r>
        <w:r>
          <w:rPr>
            <w:noProof/>
            <w:webHidden/>
          </w:rPr>
          <w:fldChar w:fldCharType="begin"/>
        </w:r>
        <w:r>
          <w:rPr>
            <w:noProof/>
            <w:webHidden/>
          </w:rPr>
          <w:instrText xml:space="preserve"> PAGEREF _Toc229240494 \h </w:instrText>
        </w:r>
        <w:r>
          <w:rPr>
            <w:noProof/>
            <w:webHidden/>
          </w:rPr>
        </w:r>
        <w:r>
          <w:rPr>
            <w:noProof/>
            <w:webHidden/>
          </w:rPr>
          <w:fldChar w:fldCharType="separate"/>
        </w:r>
        <w:r w:rsidR="00122B93">
          <w:rPr>
            <w:noProof/>
            <w:webHidden/>
          </w:rPr>
          <w:t>115</w:t>
        </w:r>
        <w:r>
          <w:rPr>
            <w:noProof/>
            <w:webHidden/>
          </w:rPr>
          <w:fldChar w:fldCharType="end"/>
        </w:r>
      </w:hyperlink>
    </w:p>
    <w:p w14:paraId="3CA1B3E0" w14:textId="0ED3BA09"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495" w:history="1">
        <w:r w:rsidRPr="007A7DB7">
          <w:rPr>
            <w:rStyle w:val="Hyperlink"/>
            <w:noProof/>
          </w:rPr>
          <w:t>Net financial worth and net worth estimates and projections</w:t>
        </w:r>
        <w:r>
          <w:rPr>
            <w:noProof/>
            <w:webHidden/>
          </w:rPr>
          <w:tab/>
        </w:r>
        <w:r>
          <w:rPr>
            <w:noProof/>
            <w:webHidden/>
          </w:rPr>
          <w:fldChar w:fldCharType="begin"/>
        </w:r>
        <w:r>
          <w:rPr>
            <w:noProof/>
            <w:webHidden/>
          </w:rPr>
          <w:instrText xml:space="preserve"> PAGEREF _Toc229240495 \h </w:instrText>
        </w:r>
        <w:r>
          <w:rPr>
            <w:noProof/>
            <w:webHidden/>
          </w:rPr>
        </w:r>
        <w:r>
          <w:rPr>
            <w:noProof/>
            <w:webHidden/>
          </w:rPr>
          <w:fldChar w:fldCharType="separate"/>
        </w:r>
        <w:r w:rsidR="00122B93">
          <w:rPr>
            <w:noProof/>
            <w:webHidden/>
          </w:rPr>
          <w:t>115</w:t>
        </w:r>
        <w:r>
          <w:rPr>
            <w:noProof/>
            <w:webHidden/>
          </w:rPr>
          <w:fldChar w:fldCharType="end"/>
        </w:r>
      </w:hyperlink>
    </w:p>
    <w:p w14:paraId="227E6973" w14:textId="40E56830" w:rsidR="00154498" w:rsidRDefault="00154498">
      <w:pPr>
        <w:pStyle w:val="TOC2"/>
        <w:rPr>
          <w:rFonts w:asciiTheme="minorHAnsi" w:eastAsiaTheme="minorEastAsia" w:hAnsiTheme="minorHAnsi" w:cstheme="minorBidi"/>
          <w:noProof/>
          <w:kern w:val="2"/>
          <w:sz w:val="24"/>
          <w:szCs w:val="24"/>
          <w14:ligatures w14:val="standardContextual"/>
        </w:rPr>
      </w:pPr>
      <w:hyperlink w:anchor="_Toc229240496" w:history="1">
        <w:r w:rsidRPr="007A7DB7">
          <w:rPr>
            <w:rStyle w:val="Hyperlink"/>
            <w:noProof/>
          </w:rPr>
          <w:t>Appendix A: Other fiscal aggregates</w:t>
        </w:r>
        <w:r>
          <w:rPr>
            <w:noProof/>
            <w:webHidden/>
          </w:rPr>
          <w:tab/>
        </w:r>
        <w:r>
          <w:rPr>
            <w:noProof/>
            <w:webHidden/>
          </w:rPr>
          <w:fldChar w:fldCharType="begin"/>
        </w:r>
        <w:r>
          <w:rPr>
            <w:noProof/>
            <w:webHidden/>
          </w:rPr>
          <w:instrText xml:space="preserve"> PAGEREF _Toc229240496 \h </w:instrText>
        </w:r>
        <w:r>
          <w:rPr>
            <w:noProof/>
            <w:webHidden/>
          </w:rPr>
        </w:r>
        <w:r>
          <w:rPr>
            <w:noProof/>
            <w:webHidden/>
          </w:rPr>
          <w:fldChar w:fldCharType="separate"/>
        </w:r>
        <w:r w:rsidR="00122B93">
          <w:rPr>
            <w:noProof/>
            <w:webHidden/>
          </w:rPr>
          <w:t>117</w:t>
        </w:r>
        <w:r>
          <w:rPr>
            <w:noProof/>
            <w:webHidden/>
          </w:rPr>
          <w:fldChar w:fldCharType="end"/>
        </w:r>
      </w:hyperlink>
    </w:p>
    <w:p w14:paraId="66A028C8" w14:textId="52D17485"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497" w:history="1">
        <w:r w:rsidRPr="007A7DB7">
          <w:rPr>
            <w:rStyle w:val="Hyperlink"/>
            <w:noProof/>
          </w:rPr>
          <w:t>Accrual aggregates</w:t>
        </w:r>
        <w:r>
          <w:rPr>
            <w:noProof/>
            <w:webHidden/>
          </w:rPr>
          <w:tab/>
        </w:r>
        <w:r>
          <w:rPr>
            <w:noProof/>
            <w:webHidden/>
          </w:rPr>
          <w:fldChar w:fldCharType="begin"/>
        </w:r>
        <w:r>
          <w:rPr>
            <w:noProof/>
            <w:webHidden/>
          </w:rPr>
          <w:instrText xml:space="preserve"> PAGEREF _Toc229240497 \h </w:instrText>
        </w:r>
        <w:r>
          <w:rPr>
            <w:noProof/>
            <w:webHidden/>
          </w:rPr>
        </w:r>
        <w:r>
          <w:rPr>
            <w:noProof/>
            <w:webHidden/>
          </w:rPr>
          <w:fldChar w:fldCharType="separate"/>
        </w:r>
        <w:r w:rsidR="00122B93">
          <w:rPr>
            <w:noProof/>
            <w:webHidden/>
          </w:rPr>
          <w:t>117</w:t>
        </w:r>
        <w:r>
          <w:rPr>
            <w:noProof/>
            <w:webHidden/>
          </w:rPr>
          <w:fldChar w:fldCharType="end"/>
        </w:r>
      </w:hyperlink>
    </w:p>
    <w:p w14:paraId="29496FDA" w14:textId="08958E47"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498" w:history="1">
        <w:r w:rsidRPr="007A7DB7">
          <w:rPr>
            <w:rStyle w:val="Hyperlink"/>
            <w:noProof/>
          </w:rPr>
          <w:t>Net operating balance estimates</w:t>
        </w:r>
        <w:r>
          <w:rPr>
            <w:noProof/>
            <w:webHidden/>
          </w:rPr>
          <w:tab/>
        </w:r>
        <w:r>
          <w:rPr>
            <w:noProof/>
            <w:webHidden/>
          </w:rPr>
          <w:fldChar w:fldCharType="begin"/>
        </w:r>
        <w:r>
          <w:rPr>
            <w:noProof/>
            <w:webHidden/>
          </w:rPr>
          <w:instrText xml:space="preserve"> PAGEREF _Toc229240498 \h </w:instrText>
        </w:r>
        <w:r>
          <w:rPr>
            <w:noProof/>
            <w:webHidden/>
          </w:rPr>
        </w:r>
        <w:r>
          <w:rPr>
            <w:noProof/>
            <w:webHidden/>
          </w:rPr>
          <w:fldChar w:fldCharType="separate"/>
        </w:r>
        <w:r w:rsidR="00122B93">
          <w:rPr>
            <w:noProof/>
            <w:webHidden/>
          </w:rPr>
          <w:t>117</w:t>
        </w:r>
        <w:r>
          <w:rPr>
            <w:noProof/>
            <w:webHidden/>
          </w:rPr>
          <w:fldChar w:fldCharType="end"/>
        </w:r>
      </w:hyperlink>
    </w:p>
    <w:p w14:paraId="0154C6F4" w14:textId="010F1524"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499" w:history="1">
        <w:r w:rsidRPr="007A7DB7">
          <w:rPr>
            <w:rStyle w:val="Hyperlink"/>
            <w:noProof/>
          </w:rPr>
          <w:t>Fiscal balance</w:t>
        </w:r>
        <w:r>
          <w:rPr>
            <w:noProof/>
            <w:webHidden/>
          </w:rPr>
          <w:tab/>
        </w:r>
        <w:r>
          <w:rPr>
            <w:noProof/>
            <w:webHidden/>
          </w:rPr>
          <w:fldChar w:fldCharType="begin"/>
        </w:r>
        <w:r>
          <w:rPr>
            <w:noProof/>
            <w:webHidden/>
          </w:rPr>
          <w:instrText xml:space="preserve"> PAGEREF _Toc229240499 \h </w:instrText>
        </w:r>
        <w:r>
          <w:rPr>
            <w:noProof/>
            <w:webHidden/>
          </w:rPr>
        </w:r>
        <w:r>
          <w:rPr>
            <w:noProof/>
            <w:webHidden/>
          </w:rPr>
          <w:fldChar w:fldCharType="separate"/>
        </w:r>
        <w:r w:rsidR="00122B93">
          <w:rPr>
            <w:noProof/>
            <w:webHidden/>
          </w:rPr>
          <w:t>117</w:t>
        </w:r>
        <w:r>
          <w:rPr>
            <w:noProof/>
            <w:webHidden/>
          </w:rPr>
          <w:fldChar w:fldCharType="end"/>
        </w:r>
      </w:hyperlink>
    </w:p>
    <w:p w14:paraId="2C61406E" w14:textId="4332C789"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500" w:history="1">
        <w:r w:rsidRPr="007A7DB7">
          <w:rPr>
            <w:rStyle w:val="Hyperlink"/>
            <w:noProof/>
          </w:rPr>
          <w:t>Revenue estimates</w:t>
        </w:r>
        <w:r>
          <w:rPr>
            <w:noProof/>
            <w:webHidden/>
          </w:rPr>
          <w:tab/>
        </w:r>
        <w:r>
          <w:rPr>
            <w:noProof/>
            <w:webHidden/>
          </w:rPr>
          <w:fldChar w:fldCharType="begin"/>
        </w:r>
        <w:r>
          <w:rPr>
            <w:noProof/>
            <w:webHidden/>
          </w:rPr>
          <w:instrText xml:space="preserve"> PAGEREF _Toc229240500 \h </w:instrText>
        </w:r>
        <w:r>
          <w:rPr>
            <w:noProof/>
            <w:webHidden/>
          </w:rPr>
        </w:r>
        <w:r>
          <w:rPr>
            <w:noProof/>
            <w:webHidden/>
          </w:rPr>
          <w:fldChar w:fldCharType="separate"/>
        </w:r>
        <w:r w:rsidR="00122B93">
          <w:rPr>
            <w:noProof/>
            <w:webHidden/>
          </w:rPr>
          <w:t>119</w:t>
        </w:r>
        <w:r>
          <w:rPr>
            <w:noProof/>
            <w:webHidden/>
          </w:rPr>
          <w:fldChar w:fldCharType="end"/>
        </w:r>
      </w:hyperlink>
    </w:p>
    <w:p w14:paraId="29F181DF" w14:textId="21BBE222"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501" w:history="1">
        <w:r w:rsidRPr="007A7DB7">
          <w:rPr>
            <w:rStyle w:val="Hyperlink"/>
            <w:noProof/>
          </w:rPr>
          <w:t>Expense estimates</w:t>
        </w:r>
        <w:r>
          <w:rPr>
            <w:noProof/>
            <w:webHidden/>
          </w:rPr>
          <w:tab/>
        </w:r>
        <w:r>
          <w:rPr>
            <w:noProof/>
            <w:webHidden/>
          </w:rPr>
          <w:fldChar w:fldCharType="begin"/>
        </w:r>
        <w:r>
          <w:rPr>
            <w:noProof/>
            <w:webHidden/>
          </w:rPr>
          <w:instrText xml:space="preserve"> PAGEREF _Toc229240501 \h </w:instrText>
        </w:r>
        <w:r>
          <w:rPr>
            <w:noProof/>
            <w:webHidden/>
          </w:rPr>
        </w:r>
        <w:r>
          <w:rPr>
            <w:noProof/>
            <w:webHidden/>
          </w:rPr>
          <w:fldChar w:fldCharType="separate"/>
        </w:r>
        <w:r w:rsidR="00122B93">
          <w:rPr>
            <w:noProof/>
            <w:webHidden/>
          </w:rPr>
          <w:t>119</w:t>
        </w:r>
        <w:r>
          <w:rPr>
            <w:noProof/>
            <w:webHidden/>
          </w:rPr>
          <w:fldChar w:fldCharType="end"/>
        </w:r>
      </w:hyperlink>
    </w:p>
    <w:p w14:paraId="3110190C" w14:textId="67938B9F"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502" w:history="1">
        <w:r w:rsidRPr="007A7DB7">
          <w:rPr>
            <w:rStyle w:val="Hyperlink"/>
            <w:noProof/>
          </w:rPr>
          <w:t>Structural budget balance</w:t>
        </w:r>
        <w:r>
          <w:rPr>
            <w:noProof/>
            <w:webHidden/>
          </w:rPr>
          <w:tab/>
        </w:r>
        <w:r>
          <w:rPr>
            <w:noProof/>
            <w:webHidden/>
          </w:rPr>
          <w:fldChar w:fldCharType="begin"/>
        </w:r>
        <w:r>
          <w:rPr>
            <w:noProof/>
            <w:webHidden/>
          </w:rPr>
          <w:instrText xml:space="preserve"> PAGEREF _Toc229240502 \h </w:instrText>
        </w:r>
        <w:r>
          <w:rPr>
            <w:noProof/>
            <w:webHidden/>
          </w:rPr>
        </w:r>
        <w:r>
          <w:rPr>
            <w:noProof/>
            <w:webHidden/>
          </w:rPr>
          <w:fldChar w:fldCharType="separate"/>
        </w:r>
        <w:r w:rsidR="00122B93">
          <w:rPr>
            <w:noProof/>
            <w:webHidden/>
          </w:rPr>
          <w:t>120</w:t>
        </w:r>
        <w:r>
          <w:rPr>
            <w:noProof/>
            <w:webHidden/>
          </w:rPr>
          <w:fldChar w:fldCharType="end"/>
        </w:r>
      </w:hyperlink>
    </w:p>
    <w:p w14:paraId="519DB910" w14:textId="628154BD" w:rsidR="00154498" w:rsidRDefault="00154498">
      <w:pPr>
        <w:pStyle w:val="TOC2"/>
        <w:rPr>
          <w:rFonts w:asciiTheme="minorHAnsi" w:eastAsiaTheme="minorEastAsia" w:hAnsiTheme="minorHAnsi" w:cstheme="minorBidi"/>
          <w:noProof/>
          <w:kern w:val="2"/>
          <w:sz w:val="24"/>
          <w:szCs w:val="24"/>
          <w14:ligatures w14:val="standardContextual"/>
        </w:rPr>
      </w:pPr>
      <w:hyperlink w:anchor="_Toc229240503" w:history="1">
        <w:r w:rsidRPr="007A7DB7">
          <w:rPr>
            <w:rStyle w:val="Hyperlink"/>
            <w:noProof/>
          </w:rPr>
          <w:t>Appendix B: Fiscal impacts of the net zero transformation</w:t>
        </w:r>
        <w:r>
          <w:rPr>
            <w:noProof/>
            <w:webHidden/>
          </w:rPr>
          <w:tab/>
        </w:r>
        <w:r>
          <w:rPr>
            <w:noProof/>
            <w:webHidden/>
          </w:rPr>
          <w:fldChar w:fldCharType="begin"/>
        </w:r>
        <w:r>
          <w:rPr>
            <w:noProof/>
            <w:webHidden/>
          </w:rPr>
          <w:instrText xml:space="preserve"> PAGEREF _Toc229240503 \h </w:instrText>
        </w:r>
        <w:r>
          <w:rPr>
            <w:noProof/>
            <w:webHidden/>
          </w:rPr>
        </w:r>
        <w:r>
          <w:rPr>
            <w:noProof/>
            <w:webHidden/>
          </w:rPr>
          <w:fldChar w:fldCharType="separate"/>
        </w:r>
        <w:r w:rsidR="00122B93">
          <w:rPr>
            <w:noProof/>
            <w:webHidden/>
          </w:rPr>
          <w:t>121</w:t>
        </w:r>
        <w:r>
          <w:rPr>
            <w:noProof/>
            <w:webHidden/>
          </w:rPr>
          <w:fldChar w:fldCharType="end"/>
        </w:r>
      </w:hyperlink>
    </w:p>
    <w:p w14:paraId="2AD178E3" w14:textId="184520F8"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504" w:history="1">
        <w:r w:rsidRPr="007A7DB7">
          <w:rPr>
            <w:rStyle w:val="Hyperlink"/>
            <w:noProof/>
          </w:rPr>
          <w:t>Australia’s classification approach</w:t>
        </w:r>
        <w:r>
          <w:rPr>
            <w:noProof/>
            <w:webHidden/>
          </w:rPr>
          <w:tab/>
        </w:r>
        <w:r>
          <w:rPr>
            <w:noProof/>
            <w:webHidden/>
          </w:rPr>
          <w:fldChar w:fldCharType="begin"/>
        </w:r>
        <w:r>
          <w:rPr>
            <w:noProof/>
            <w:webHidden/>
          </w:rPr>
          <w:instrText xml:space="preserve"> PAGEREF _Toc229240504 \h </w:instrText>
        </w:r>
        <w:r>
          <w:rPr>
            <w:noProof/>
            <w:webHidden/>
          </w:rPr>
        </w:r>
        <w:r>
          <w:rPr>
            <w:noProof/>
            <w:webHidden/>
          </w:rPr>
          <w:fldChar w:fldCharType="separate"/>
        </w:r>
        <w:r w:rsidR="00122B93">
          <w:rPr>
            <w:noProof/>
            <w:webHidden/>
          </w:rPr>
          <w:t>121</w:t>
        </w:r>
        <w:r>
          <w:rPr>
            <w:noProof/>
            <w:webHidden/>
          </w:rPr>
          <w:fldChar w:fldCharType="end"/>
        </w:r>
      </w:hyperlink>
    </w:p>
    <w:p w14:paraId="411764FF" w14:textId="5E6F081C"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505" w:history="1">
        <w:r w:rsidRPr="007A7DB7">
          <w:rPr>
            <w:rStyle w:val="Hyperlink"/>
            <w:noProof/>
          </w:rPr>
          <w:t>The role of electrification and decarbonisation in improving resilience</w:t>
        </w:r>
        <w:r>
          <w:rPr>
            <w:noProof/>
            <w:webHidden/>
          </w:rPr>
          <w:tab/>
        </w:r>
        <w:r>
          <w:rPr>
            <w:noProof/>
            <w:webHidden/>
          </w:rPr>
          <w:fldChar w:fldCharType="begin"/>
        </w:r>
        <w:r>
          <w:rPr>
            <w:noProof/>
            <w:webHidden/>
          </w:rPr>
          <w:instrText xml:space="preserve"> PAGEREF _Toc229240505 \h </w:instrText>
        </w:r>
        <w:r>
          <w:rPr>
            <w:noProof/>
            <w:webHidden/>
          </w:rPr>
        </w:r>
        <w:r>
          <w:rPr>
            <w:noProof/>
            <w:webHidden/>
          </w:rPr>
          <w:fldChar w:fldCharType="separate"/>
        </w:r>
        <w:r w:rsidR="00122B93">
          <w:rPr>
            <w:noProof/>
            <w:webHidden/>
          </w:rPr>
          <w:t>122</w:t>
        </w:r>
        <w:r>
          <w:rPr>
            <w:noProof/>
            <w:webHidden/>
          </w:rPr>
          <w:fldChar w:fldCharType="end"/>
        </w:r>
      </w:hyperlink>
    </w:p>
    <w:p w14:paraId="398A5DE2" w14:textId="0ED6C05C" w:rsidR="00154498" w:rsidRDefault="00154498">
      <w:pPr>
        <w:pStyle w:val="TOC3"/>
        <w:rPr>
          <w:rFonts w:asciiTheme="minorHAnsi" w:eastAsiaTheme="minorEastAsia" w:hAnsiTheme="minorHAnsi" w:cstheme="minorBidi"/>
          <w:noProof/>
          <w:kern w:val="2"/>
          <w:sz w:val="24"/>
          <w:szCs w:val="24"/>
          <w:lang w:val="en-AU"/>
          <w14:ligatures w14:val="standardContextual"/>
        </w:rPr>
      </w:pPr>
      <w:hyperlink w:anchor="_Toc229240506" w:history="1">
        <w:r w:rsidRPr="007A7DB7">
          <w:rPr>
            <w:rStyle w:val="Hyperlink"/>
            <w:noProof/>
          </w:rPr>
          <w:t>New net zero spending measures</w:t>
        </w:r>
        <w:r>
          <w:rPr>
            <w:noProof/>
            <w:webHidden/>
          </w:rPr>
          <w:tab/>
        </w:r>
        <w:r>
          <w:rPr>
            <w:noProof/>
            <w:webHidden/>
          </w:rPr>
          <w:fldChar w:fldCharType="begin"/>
        </w:r>
        <w:r>
          <w:rPr>
            <w:noProof/>
            <w:webHidden/>
          </w:rPr>
          <w:instrText xml:space="preserve"> PAGEREF _Toc229240506 \h </w:instrText>
        </w:r>
        <w:r>
          <w:rPr>
            <w:noProof/>
            <w:webHidden/>
          </w:rPr>
        </w:r>
        <w:r>
          <w:rPr>
            <w:noProof/>
            <w:webHidden/>
          </w:rPr>
          <w:fldChar w:fldCharType="separate"/>
        </w:r>
        <w:r w:rsidR="00122B93">
          <w:rPr>
            <w:noProof/>
            <w:webHidden/>
          </w:rPr>
          <w:t>124</w:t>
        </w:r>
        <w:r>
          <w:rPr>
            <w:noProof/>
            <w:webHidden/>
          </w:rPr>
          <w:fldChar w:fldCharType="end"/>
        </w:r>
      </w:hyperlink>
    </w:p>
    <w:p w14:paraId="4406844C" w14:textId="0C407960" w:rsidR="004970DA" w:rsidRPr="00207DD5" w:rsidRDefault="00ED4894" w:rsidP="004970DA">
      <w:pPr>
        <w:rPr>
          <w:rFonts w:ascii="Arial" w:hAnsi="Arial"/>
          <w:sz w:val="18"/>
        </w:rPr>
        <w:sectPr w:rsidR="004970DA" w:rsidRPr="00207DD5" w:rsidSect="004970DA">
          <w:headerReference w:type="even" r:id="rId13"/>
          <w:headerReference w:type="default" r:id="rId14"/>
          <w:footerReference w:type="even" r:id="rId15"/>
          <w:footerReference w:type="default" r:id="rId16"/>
          <w:headerReference w:type="first" r:id="rId17"/>
          <w:footerReference w:type="first" r:id="rId18"/>
          <w:pgSz w:w="11906" w:h="16838" w:code="9"/>
          <w:pgMar w:top="2835" w:right="2098" w:bottom="2466" w:left="2098" w:header="1814" w:footer="1814" w:gutter="0"/>
          <w:cols w:space="708"/>
          <w:titlePg/>
          <w:docGrid w:linePitch="360"/>
        </w:sectPr>
      </w:pPr>
      <w:r w:rsidRPr="00207DD5">
        <w:rPr>
          <w:rFonts w:ascii="Arial" w:hAnsi="Arial"/>
          <w:b/>
          <w:sz w:val="18"/>
        </w:rPr>
        <w:fldChar w:fldCharType="end"/>
      </w:r>
    </w:p>
    <w:p w14:paraId="777293E6" w14:textId="152AFEC2" w:rsidR="003C63BD" w:rsidRPr="003C63BD" w:rsidRDefault="003C63BD" w:rsidP="00A246F1">
      <w:pPr>
        <w:pStyle w:val="Heading1"/>
      </w:pPr>
      <w:r w:rsidRPr="00207DD5">
        <w:lastRenderedPageBreak/>
        <w:t>Statement 3: Fiscal Strategy and Outlook</w:t>
      </w:r>
    </w:p>
    <w:p w14:paraId="6A62225B" w14:textId="12EC858D" w:rsidR="00B42D2C" w:rsidRPr="00207DD5" w:rsidRDefault="00D742A3" w:rsidP="00D742A3">
      <w:r w:rsidRPr="00207DD5">
        <w:t xml:space="preserve">A deficit of </w:t>
      </w:r>
      <w:r w:rsidR="006E0B7D" w:rsidRPr="00207DD5">
        <w:t>1.0</w:t>
      </w:r>
      <w:r w:rsidR="002237A6" w:rsidRPr="00207DD5">
        <w:t> </w:t>
      </w:r>
      <w:r w:rsidRPr="00207DD5">
        <w:t>per</w:t>
      </w:r>
      <w:r w:rsidR="009F0B52" w:rsidRPr="00207DD5">
        <w:t> </w:t>
      </w:r>
      <w:r w:rsidRPr="00207DD5">
        <w:t>cent of GDP ($</w:t>
      </w:r>
      <w:r w:rsidR="0010106C" w:rsidRPr="00207DD5">
        <w:t>28.</w:t>
      </w:r>
      <w:r w:rsidR="00597406" w:rsidRPr="00207DD5">
        <w:t>3</w:t>
      </w:r>
      <w:r w:rsidR="009F0B52" w:rsidRPr="00207DD5">
        <w:t> </w:t>
      </w:r>
      <w:r w:rsidRPr="00207DD5">
        <w:t xml:space="preserve">billion) is </w:t>
      </w:r>
      <w:r w:rsidR="0079425F" w:rsidRPr="00207DD5">
        <w:t xml:space="preserve">expected in </w:t>
      </w:r>
      <w:r w:rsidRPr="00207DD5">
        <w:t xml:space="preserve">2025–26 (Table 3.1), an improvement of </w:t>
      </w:r>
      <w:r w:rsidR="008C1CC8" w:rsidRPr="00207DD5">
        <w:t>0.</w:t>
      </w:r>
      <w:r w:rsidR="00BC3ED8" w:rsidRPr="00207DD5">
        <w:t>3</w:t>
      </w:r>
      <w:r w:rsidRPr="00207DD5">
        <w:t xml:space="preserve"> percentage points ($</w:t>
      </w:r>
      <w:r w:rsidR="00DA79B6" w:rsidRPr="00207DD5">
        <w:t>8</w:t>
      </w:r>
      <w:r w:rsidR="00AB065E" w:rsidRPr="00207DD5">
        <w:t>.</w:t>
      </w:r>
      <w:r w:rsidR="00DA79B6" w:rsidRPr="00207DD5">
        <w:t>5</w:t>
      </w:r>
      <w:r w:rsidR="009F0B52" w:rsidRPr="00207DD5">
        <w:t> </w:t>
      </w:r>
      <w:r w:rsidRPr="00207DD5">
        <w:t xml:space="preserve">billion) since MYEFO. A deficit of </w:t>
      </w:r>
      <w:r w:rsidR="00522364" w:rsidRPr="00207DD5">
        <w:t>1.</w:t>
      </w:r>
      <w:r w:rsidR="00A34269" w:rsidRPr="00207DD5">
        <w:t>0</w:t>
      </w:r>
      <w:r w:rsidR="002237A6" w:rsidRPr="00207DD5">
        <w:t> </w:t>
      </w:r>
      <w:r w:rsidRPr="00207DD5">
        <w:t>per</w:t>
      </w:r>
      <w:r w:rsidR="003B2468" w:rsidRPr="00207DD5">
        <w:t> </w:t>
      </w:r>
      <w:r w:rsidRPr="00207DD5">
        <w:t>cent of GDP ($</w:t>
      </w:r>
      <w:r w:rsidR="00B42D2C" w:rsidRPr="00207DD5">
        <w:t>31</w:t>
      </w:r>
      <w:r w:rsidR="00880A6F" w:rsidRPr="00207DD5">
        <w:t>.</w:t>
      </w:r>
      <w:r w:rsidR="00B42D2C" w:rsidRPr="00207DD5">
        <w:t>5</w:t>
      </w:r>
      <w:r w:rsidR="002237A6" w:rsidRPr="00207DD5">
        <w:t> </w:t>
      </w:r>
      <w:r w:rsidRPr="00207DD5">
        <w:t xml:space="preserve">billion) is forecast </w:t>
      </w:r>
      <w:r w:rsidR="0079425F" w:rsidRPr="00207DD5">
        <w:t xml:space="preserve">for </w:t>
      </w:r>
      <w:r w:rsidRPr="00207DD5">
        <w:t xml:space="preserve">2026–27, an improvement of </w:t>
      </w:r>
      <w:r w:rsidR="00404619" w:rsidRPr="00207DD5">
        <w:t>0.1 percentage points (</w:t>
      </w:r>
      <w:r w:rsidRPr="00207DD5">
        <w:t>$</w:t>
      </w:r>
      <w:r w:rsidR="00341141" w:rsidRPr="00207DD5">
        <w:t>2</w:t>
      </w:r>
      <w:r w:rsidR="00B364B9" w:rsidRPr="00207DD5">
        <w:t>.</w:t>
      </w:r>
      <w:r w:rsidR="00B42D2C" w:rsidRPr="00207DD5">
        <w:t>8</w:t>
      </w:r>
      <w:r w:rsidR="002237A6" w:rsidRPr="00207DD5">
        <w:t> </w:t>
      </w:r>
      <w:r w:rsidRPr="00207DD5">
        <w:t>billion</w:t>
      </w:r>
      <w:r w:rsidR="00404619" w:rsidRPr="00207DD5">
        <w:t>)</w:t>
      </w:r>
      <w:r w:rsidRPr="00207DD5">
        <w:t xml:space="preserve"> since MYEFO. </w:t>
      </w:r>
      <w:r w:rsidR="00087A45" w:rsidRPr="00207DD5">
        <w:t>Over the</w:t>
      </w:r>
      <w:r w:rsidR="00B147B2" w:rsidRPr="00207DD5">
        <w:t xml:space="preserve"> </w:t>
      </w:r>
      <w:r w:rsidR="00087A45" w:rsidRPr="00207DD5">
        <w:t>forward estimates</w:t>
      </w:r>
      <w:r w:rsidR="00D36702" w:rsidRPr="00207DD5">
        <w:t xml:space="preserve"> period</w:t>
      </w:r>
      <w:r w:rsidR="00087A45" w:rsidRPr="00207DD5">
        <w:t xml:space="preserve"> </w:t>
      </w:r>
      <w:r w:rsidR="0078738A" w:rsidRPr="00207DD5">
        <w:t>there has been a $</w:t>
      </w:r>
      <w:r w:rsidR="00153793" w:rsidRPr="00207DD5">
        <w:t>44</w:t>
      </w:r>
      <w:r w:rsidR="0078738A" w:rsidRPr="00207DD5">
        <w:t>.</w:t>
      </w:r>
      <w:r w:rsidR="00153793" w:rsidRPr="00207DD5">
        <w:t>9</w:t>
      </w:r>
      <w:r w:rsidR="002237A6" w:rsidRPr="00207DD5">
        <w:t> </w:t>
      </w:r>
      <w:r w:rsidR="00B07AE6" w:rsidRPr="00207DD5">
        <w:t xml:space="preserve">billion improvement in </w:t>
      </w:r>
      <w:r w:rsidR="00E22191" w:rsidRPr="00207DD5">
        <w:t>the underlying cash balance since MYEFO</w:t>
      </w:r>
      <w:r w:rsidR="005D10C9" w:rsidRPr="00207DD5">
        <w:t>.</w:t>
      </w:r>
    </w:p>
    <w:p w14:paraId="064CE334" w14:textId="02AF1CB2" w:rsidR="00D742A3" w:rsidRDefault="006F7A2C" w:rsidP="00D742A3">
      <w:r w:rsidRPr="00207DD5">
        <w:t>Since MYEFO, expected payments</w:t>
      </w:r>
      <w:r w:rsidR="001B0DDE" w:rsidRPr="00207DD5">
        <w:t>–to–GDP</w:t>
      </w:r>
      <w:r w:rsidR="009F02C8" w:rsidRPr="00207DD5">
        <w:t xml:space="preserve"> have reduced</w:t>
      </w:r>
      <w:r w:rsidRPr="00207DD5">
        <w:t xml:space="preserve"> </w:t>
      </w:r>
      <w:r w:rsidR="00BC160F" w:rsidRPr="00207DD5">
        <w:t xml:space="preserve">by 0.3 </w:t>
      </w:r>
      <w:r w:rsidR="00370854" w:rsidRPr="00207DD5">
        <w:t>percentage points in 2025–</w:t>
      </w:r>
      <w:r w:rsidR="00772B04" w:rsidRPr="00207DD5">
        <w:rPr>
          <w:rFonts w:ascii="Times New Roman" w:hAnsi="Times New Roman"/>
        </w:rPr>
        <w:t>‍</w:t>
      </w:r>
      <w:r w:rsidR="00370854" w:rsidRPr="00207DD5">
        <w:t>26</w:t>
      </w:r>
      <w:r w:rsidR="00A72CE5" w:rsidRPr="00207DD5">
        <w:t>, 0.1 percentage points in 2026–</w:t>
      </w:r>
      <w:r w:rsidR="001C0D72" w:rsidRPr="00207DD5">
        <w:t>2</w:t>
      </w:r>
      <w:r w:rsidR="00A72CE5" w:rsidRPr="00207DD5">
        <w:t>7</w:t>
      </w:r>
      <w:r w:rsidR="00370854" w:rsidRPr="00207DD5">
        <w:t xml:space="preserve"> and </w:t>
      </w:r>
      <w:r w:rsidR="008C7D17" w:rsidRPr="00207DD5">
        <w:t>0.</w:t>
      </w:r>
      <w:r w:rsidR="00B96122" w:rsidRPr="00207DD5">
        <w:t>7</w:t>
      </w:r>
      <w:r w:rsidR="008C7D17" w:rsidRPr="00207DD5">
        <w:t xml:space="preserve"> percentage points at the end of the forward estimates</w:t>
      </w:r>
      <w:r w:rsidR="00BC2512" w:rsidRPr="00207DD5">
        <w:t>.</w:t>
      </w:r>
      <w:r w:rsidR="001B0DDE" w:rsidRPr="00207DD5">
        <w:t xml:space="preserve"> </w:t>
      </w:r>
      <w:r w:rsidR="005A171C" w:rsidRPr="00207DD5">
        <w:t xml:space="preserve">Receipts–to–GDP are </w:t>
      </w:r>
      <w:r w:rsidR="00133D93" w:rsidRPr="00207DD5">
        <w:t>broadly</w:t>
      </w:r>
      <w:r w:rsidR="005A171C" w:rsidRPr="00207DD5">
        <w:t xml:space="preserve"> unchanged </w:t>
      </w:r>
      <w:r w:rsidR="00911DA9" w:rsidRPr="00207DD5">
        <w:t>in 2025</w:t>
      </w:r>
      <w:r w:rsidR="00D30736" w:rsidRPr="00207DD5">
        <w:t>–26</w:t>
      </w:r>
      <w:r w:rsidR="00D30736" w:rsidRPr="00207DD5" w:rsidDel="00BD7FEF">
        <w:t xml:space="preserve"> and </w:t>
      </w:r>
      <w:r w:rsidR="00D30736" w:rsidRPr="00207DD5">
        <w:t>2026–</w:t>
      </w:r>
      <w:r w:rsidR="00F417B0" w:rsidRPr="00207DD5">
        <w:t>2</w:t>
      </w:r>
      <w:r w:rsidR="00D30736" w:rsidRPr="00207DD5">
        <w:t>7</w:t>
      </w:r>
      <w:r w:rsidR="002116B4" w:rsidRPr="00207DD5">
        <w:t>.</w:t>
      </w:r>
    </w:p>
    <w:p w14:paraId="75CBBA4E" w14:textId="70E0FF4D" w:rsidR="0006306E" w:rsidRPr="00207DD5" w:rsidRDefault="0006306E" w:rsidP="0006306E">
      <w:pPr>
        <w:rPr>
          <w:b/>
        </w:rPr>
      </w:pPr>
      <w:r w:rsidRPr="00207DD5">
        <w:t>Since MYEFO, the Government has committed $</w:t>
      </w:r>
      <w:r w:rsidR="00883576" w:rsidRPr="00207DD5">
        <w:t>14.0</w:t>
      </w:r>
      <w:r w:rsidR="009F0B52" w:rsidRPr="00207DD5">
        <w:t> </w:t>
      </w:r>
      <w:r w:rsidRPr="00207DD5">
        <w:t>billion in unavoidable spending, to strengthen essential services that Australians rely on, and address urgent and unforeseen issues</w:t>
      </w:r>
      <w:r w:rsidRPr="00207DD5" w:rsidDel="000A2387">
        <w:t>.</w:t>
      </w:r>
    </w:p>
    <w:p w14:paraId="79BB3E04" w14:textId="0BC71E45" w:rsidR="00C7787E" w:rsidRDefault="003C63BD" w:rsidP="004B7D81">
      <w:pPr>
        <w:pStyle w:val="TableHeading"/>
        <w:rPr>
          <w:rFonts w:eastAsiaTheme="minorHAnsi"/>
        </w:rPr>
      </w:pPr>
      <w:r w:rsidRPr="003C63BD">
        <w:t xml:space="preserve">Table 3.1: Australian Government general government sector budget aggregates </w:t>
      </w:r>
      <w:bookmarkStart w:id="1" w:name="_1804087844"/>
      <w:bookmarkStart w:id="2" w:name="_1804079193"/>
      <w:bookmarkStart w:id="3" w:name="_1804081566"/>
      <w:bookmarkStart w:id="4" w:name="_1804081241"/>
      <w:bookmarkStart w:id="5" w:name="_1804082926"/>
      <w:bookmarkStart w:id="6" w:name="_1804087520"/>
      <w:bookmarkStart w:id="7" w:name="_1804083583"/>
      <w:bookmarkStart w:id="8" w:name="_1804083505"/>
      <w:bookmarkStart w:id="9" w:name="_1804084282"/>
      <w:bookmarkEnd w:id="1"/>
      <w:bookmarkEnd w:id="2"/>
      <w:bookmarkEnd w:id="3"/>
      <w:bookmarkEnd w:id="4"/>
      <w:bookmarkEnd w:id="5"/>
      <w:bookmarkEnd w:id="6"/>
      <w:bookmarkEnd w:id="7"/>
      <w:bookmarkEnd w:id="8"/>
      <w:bookmarkEnd w:id="9"/>
    </w:p>
    <w:tbl>
      <w:tblPr>
        <w:tblW w:w="5000" w:type="pct"/>
        <w:tblCellMar>
          <w:left w:w="0" w:type="dxa"/>
          <w:right w:w="28" w:type="dxa"/>
        </w:tblCellMar>
        <w:tblLook w:val="04A0" w:firstRow="1" w:lastRow="0" w:firstColumn="1" w:lastColumn="0" w:noHBand="0" w:noVBand="1"/>
      </w:tblPr>
      <w:tblGrid>
        <w:gridCol w:w="2156"/>
        <w:gridCol w:w="644"/>
        <w:gridCol w:w="87"/>
        <w:gridCol w:w="633"/>
        <w:gridCol w:w="631"/>
        <w:gridCol w:w="631"/>
        <w:gridCol w:w="631"/>
        <w:gridCol w:w="633"/>
        <w:gridCol w:w="88"/>
        <w:gridCol w:w="651"/>
        <w:gridCol w:w="105"/>
        <w:gridCol w:w="820"/>
      </w:tblGrid>
      <w:tr w:rsidR="001009DD" w14:paraId="766E5FD1" w14:textId="77777777" w:rsidTr="001009DD">
        <w:trPr>
          <w:trHeight w:hRule="exact" w:val="225"/>
        </w:trPr>
        <w:tc>
          <w:tcPr>
            <w:tcW w:w="1401" w:type="pct"/>
            <w:tcBorders>
              <w:top w:val="single" w:sz="4" w:space="0" w:color="293F5B"/>
              <w:left w:val="nil"/>
              <w:bottom w:val="nil"/>
              <w:right w:val="nil"/>
            </w:tcBorders>
            <w:shd w:val="clear" w:color="000000" w:fill="FFFFFF"/>
            <w:noWrap/>
            <w:vAlign w:val="center"/>
            <w:hideMark/>
          </w:tcPr>
          <w:p w14:paraId="4525EAF0" w14:textId="77777777" w:rsidR="001009DD" w:rsidRDefault="001009DD" w:rsidP="001009D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20" w:type="pct"/>
            <w:tcBorders>
              <w:top w:val="single" w:sz="4" w:space="0" w:color="293F5B"/>
              <w:left w:val="nil"/>
              <w:bottom w:val="single" w:sz="4" w:space="0" w:color="auto"/>
              <w:right w:val="nil"/>
            </w:tcBorders>
            <w:shd w:val="clear" w:color="000000" w:fill="FFFFFF"/>
            <w:noWrap/>
            <w:vAlign w:val="center"/>
            <w:hideMark/>
          </w:tcPr>
          <w:p w14:paraId="5AB2BFB2" w14:textId="77777777" w:rsidR="001009DD" w:rsidRDefault="001009DD" w:rsidP="001009DD">
            <w:pPr>
              <w:spacing w:before="0" w:after="0" w:line="240" w:lineRule="auto"/>
              <w:jc w:val="center"/>
              <w:rPr>
                <w:rFonts w:ascii="Arial" w:hAnsi="Arial" w:cs="Arial"/>
                <w:sz w:val="16"/>
                <w:szCs w:val="16"/>
              </w:rPr>
            </w:pPr>
            <w:r>
              <w:rPr>
                <w:rFonts w:ascii="Arial" w:hAnsi="Arial" w:cs="Arial"/>
                <w:sz w:val="16"/>
                <w:szCs w:val="16"/>
              </w:rPr>
              <w:t>Actual</w:t>
            </w:r>
          </w:p>
        </w:tc>
        <w:tc>
          <w:tcPr>
            <w:tcW w:w="59" w:type="pct"/>
            <w:tcBorders>
              <w:top w:val="single" w:sz="4" w:space="0" w:color="293F5B"/>
              <w:left w:val="nil"/>
              <w:bottom w:val="nil"/>
              <w:right w:val="nil"/>
            </w:tcBorders>
            <w:shd w:val="clear" w:color="000000" w:fill="FFFFFF"/>
            <w:noWrap/>
            <w:vAlign w:val="center"/>
            <w:hideMark/>
          </w:tcPr>
          <w:p w14:paraId="1670E695" w14:textId="77777777" w:rsidR="001009DD" w:rsidRDefault="001009DD" w:rsidP="001009DD">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2062" w:type="pct"/>
            <w:gridSpan w:val="5"/>
            <w:tcBorders>
              <w:top w:val="single" w:sz="4" w:space="0" w:color="293F5B"/>
              <w:left w:val="nil"/>
              <w:bottom w:val="single" w:sz="4" w:space="0" w:color="293F5B"/>
              <w:right w:val="nil"/>
            </w:tcBorders>
            <w:shd w:val="clear" w:color="000000" w:fill="FFFFFF"/>
            <w:noWrap/>
            <w:vAlign w:val="center"/>
            <w:hideMark/>
          </w:tcPr>
          <w:p w14:paraId="044AB095" w14:textId="77777777" w:rsidR="001009DD" w:rsidRDefault="001009DD" w:rsidP="001009DD">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c>
          <w:tcPr>
            <w:tcW w:w="59" w:type="pct"/>
            <w:tcBorders>
              <w:top w:val="single" w:sz="4" w:space="0" w:color="293F5B"/>
              <w:left w:val="nil"/>
              <w:bottom w:val="nil"/>
              <w:right w:val="nil"/>
            </w:tcBorders>
            <w:shd w:val="clear" w:color="000000" w:fill="FFFFFF"/>
            <w:noWrap/>
            <w:vAlign w:val="center"/>
            <w:hideMark/>
          </w:tcPr>
          <w:p w14:paraId="4064FE6C" w14:textId="77777777" w:rsidR="001009DD" w:rsidRDefault="001009DD" w:rsidP="001009D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20" w:type="pct"/>
            <w:tcBorders>
              <w:top w:val="single" w:sz="4" w:space="0" w:color="293F5B"/>
              <w:left w:val="nil"/>
              <w:bottom w:val="nil"/>
              <w:right w:val="nil"/>
            </w:tcBorders>
            <w:shd w:val="clear" w:color="000000" w:fill="FFFFFF"/>
            <w:noWrap/>
            <w:vAlign w:val="center"/>
            <w:hideMark/>
          </w:tcPr>
          <w:p w14:paraId="7D815B35" w14:textId="77777777" w:rsidR="001009DD" w:rsidRDefault="001009DD" w:rsidP="001009D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0" w:type="pct"/>
            <w:tcBorders>
              <w:top w:val="single" w:sz="4" w:space="0" w:color="293F5B"/>
              <w:left w:val="nil"/>
              <w:bottom w:val="nil"/>
              <w:right w:val="nil"/>
            </w:tcBorders>
            <w:shd w:val="clear" w:color="000000" w:fill="FFFFFF"/>
            <w:noWrap/>
            <w:vAlign w:val="center"/>
            <w:hideMark/>
          </w:tcPr>
          <w:p w14:paraId="6695089F" w14:textId="77777777" w:rsidR="001009DD" w:rsidRDefault="001009DD" w:rsidP="001009D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10" w:type="pct"/>
            <w:tcBorders>
              <w:top w:val="single" w:sz="4" w:space="0" w:color="293F5B"/>
              <w:left w:val="nil"/>
              <w:bottom w:val="nil"/>
              <w:right w:val="nil"/>
            </w:tcBorders>
            <w:shd w:val="clear" w:color="000000" w:fill="FFFFFF"/>
            <w:noWrap/>
            <w:vAlign w:val="center"/>
            <w:hideMark/>
          </w:tcPr>
          <w:p w14:paraId="7E78AC13" w14:textId="77777777" w:rsidR="001009DD" w:rsidRDefault="001009DD" w:rsidP="001009DD">
            <w:pPr>
              <w:spacing w:before="0" w:after="0" w:line="240" w:lineRule="auto"/>
              <w:rPr>
                <w:rFonts w:ascii="Arial" w:hAnsi="Arial" w:cs="Arial"/>
                <w:color w:val="000000"/>
                <w:sz w:val="16"/>
                <w:szCs w:val="16"/>
              </w:rPr>
            </w:pPr>
            <w:r>
              <w:rPr>
                <w:rFonts w:ascii="Arial" w:hAnsi="Arial" w:cs="Arial"/>
                <w:color w:val="000000"/>
                <w:sz w:val="16"/>
                <w:szCs w:val="16"/>
              </w:rPr>
              <w:t>Projections</w:t>
            </w:r>
          </w:p>
        </w:tc>
      </w:tr>
      <w:tr w:rsidR="0014171D" w14:paraId="455AF94F" w14:textId="77777777" w:rsidTr="001009DD">
        <w:trPr>
          <w:trHeight w:hRule="exact" w:val="225"/>
        </w:trPr>
        <w:tc>
          <w:tcPr>
            <w:tcW w:w="1401" w:type="pct"/>
            <w:tcBorders>
              <w:top w:val="nil"/>
              <w:left w:val="nil"/>
              <w:bottom w:val="nil"/>
              <w:right w:val="nil"/>
            </w:tcBorders>
            <w:shd w:val="clear" w:color="000000" w:fill="FFFFFF"/>
            <w:noWrap/>
            <w:vAlign w:val="center"/>
            <w:hideMark/>
          </w:tcPr>
          <w:p w14:paraId="035ECC24" w14:textId="77777777" w:rsidR="001009DD" w:rsidRDefault="001009DD" w:rsidP="001009D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20" w:type="pct"/>
            <w:tcBorders>
              <w:top w:val="single" w:sz="4" w:space="0" w:color="293F5B"/>
              <w:left w:val="nil"/>
              <w:bottom w:val="nil"/>
              <w:right w:val="nil"/>
            </w:tcBorders>
            <w:shd w:val="clear" w:color="000000" w:fill="FFFFFF"/>
            <w:noWrap/>
            <w:vAlign w:val="center"/>
            <w:hideMark/>
          </w:tcPr>
          <w:p w14:paraId="66CA3441" w14:textId="77777777" w:rsidR="001009DD" w:rsidRDefault="001009DD" w:rsidP="001009DD">
            <w:pPr>
              <w:spacing w:before="0" w:after="0" w:line="240" w:lineRule="auto"/>
              <w:jc w:val="right"/>
              <w:rPr>
                <w:rFonts w:ascii="Arial" w:hAnsi="Arial" w:cs="Arial"/>
                <w:sz w:val="16"/>
                <w:szCs w:val="16"/>
              </w:rPr>
            </w:pPr>
            <w:r>
              <w:rPr>
                <w:rFonts w:ascii="Arial" w:hAnsi="Arial" w:cs="Arial"/>
                <w:sz w:val="16"/>
                <w:szCs w:val="16"/>
              </w:rPr>
              <w:t>2024-25</w:t>
            </w:r>
          </w:p>
        </w:tc>
        <w:tc>
          <w:tcPr>
            <w:tcW w:w="59" w:type="pct"/>
            <w:tcBorders>
              <w:top w:val="nil"/>
              <w:left w:val="nil"/>
              <w:bottom w:val="nil"/>
              <w:right w:val="nil"/>
            </w:tcBorders>
            <w:shd w:val="clear" w:color="000000" w:fill="FFFFFF"/>
            <w:noWrap/>
            <w:vAlign w:val="center"/>
            <w:hideMark/>
          </w:tcPr>
          <w:p w14:paraId="76437DC6"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13" w:type="pct"/>
            <w:tcBorders>
              <w:top w:val="nil"/>
              <w:left w:val="nil"/>
              <w:bottom w:val="nil"/>
              <w:right w:val="nil"/>
            </w:tcBorders>
            <w:shd w:val="clear" w:color="000000" w:fill="FFFFFF"/>
            <w:noWrap/>
            <w:vAlign w:val="center"/>
            <w:hideMark/>
          </w:tcPr>
          <w:p w14:paraId="163CFECE"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2025-26</w:t>
            </w:r>
          </w:p>
        </w:tc>
        <w:tc>
          <w:tcPr>
            <w:tcW w:w="412" w:type="pct"/>
            <w:tcBorders>
              <w:top w:val="nil"/>
              <w:left w:val="nil"/>
              <w:bottom w:val="nil"/>
              <w:right w:val="nil"/>
            </w:tcBorders>
            <w:shd w:val="clear" w:color="000000" w:fill="E6F2FF"/>
            <w:noWrap/>
            <w:vAlign w:val="center"/>
            <w:hideMark/>
          </w:tcPr>
          <w:p w14:paraId="3D07F1A3"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2026-27</w:t>
            </w:r>
          </w:p>
        </w:tc>
        <w:tc>
          <w:tcPr>
            <w:tcW w:w="412" w:type="pct"/>
            <w:tcBorders>
              <w:top w:val="nil"/>
              <w:left w:val="nil"/>
              <w:bottom w:val="nil"/>
              <w:right w:val="nil"/>
            </w:tcBorders>
            <w:shd w:val="clear" w:color="000000" w:fill="FFFFFF"/>
            <w:noWrap/>
            <w:vAlign w:val="center"/>
            <w:hideMark/>
          </w:tcPr>
          <w:p w14:paraId="74CDDB05"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2027-28</w:t>
            </w:r>
          </w:p>
        </w:tc>
        <w:tc>
          <w:tcPr>
            <w:tcW w:w="412" w:type="pct"/>
            <w:tcBorders>
              <w:top w:val="nil"/>
              <w:left w:val="nil"/>
              <w:bottom w:val="nil"/>
              <w:right w:val="nil"/>
            </w:tcBorders>
            <w:shd w:val="clear" w:color="000000" w:fill="FFFFFF"/>
            <w:noWrap/>
            <w:vAlign w:val="center"/>
            <w:hideMark/>
          </w:tcPr>
          <w:p w14:paraId="185842BC"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2028-29</w:t>
            </w:r>
          </w:p>
        </w:tc>
        <w:tc>
          <w:tcPr>
            <w:tcW w:w="412" w:type="pct"/>
            <w:tcBorders>
              <w:top w:val="nil"/>
              <w:left w:val="nil"/>
              <w:bottom w:val="nil"/>
              <w:right w:val="nil"/>
            </w:tcBorders>
            <w:shd w:val="clear" w:color="000000" w:fill="FFFFFF"/>
            <w:noWrap/>
            <w:vAlign w:val="center"/>
            <w:hideMark/>
          </w:tcPr>
          <w:p w14:paraId="0D04D9C7"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c>
          <w:tcPr>
            <w:tcW w:w="59" w:type="pct"/>
            <w:tcBorders>
              <w:top w:val="nil"/>
              <w:left w:val="nil"/>
              <w:bottom w:val="nil"/>
              <w:right w:val="nil"/>
            </w:tcBorders>
            <w:shd w:val="clear" w:color="000000" w:fill="FFFFFF"/>
            <w:noWrap/>
            <w:vAlign w:val="center"/>
            <w:hideMark/>
          </w:tcPr>
          <w:p w14:paraId="0E23529B"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20" w:type="pct"/>
            <w:tcBorders>
              <w:top w:val="single" w:sz="4" w:space="0" w:color="293F5B"/>
              <w:left w:val="nil"/>
              <w:bottom w:val="nil"/>
              <w:right w:val="nil"/>
            </w:tcBorders>
            <w:shd w:val="clear" w:color="000000" w:fill="FFFFFF"/>
            <w:noWrap/>
            <w:vAlign w:val="center"/>
            <w:hideMark/>
          </w:tcPr>
          <w:p w14:paraId="7C24B755"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Total(a)</w:t>
            </w:r>
          </w:p>
        </w:tc>
        <w:tc>
          <w:tcPr>
            <w:tcW w:w="70" w:type="pct"/>
            <w:tcBorders>
              <w:top w:val="nil"/>
              <w:left w:val="nil"/>
              <w:bottom w:val="nil"/>
              <w:right w:val="nil"/>
            </w:tcBorders>
            <w:shd w:val="clear" w:color="000000" w:fill="FFFFFF"/>
            <w:noWrap/>
            <w:vAlign w:val="center"/>
            <w:hideMark/>
          </w:tcPr>
          <w:p w14:paraId="279A2C78"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10" w:type="pct"/>
            <w:tcBorders>
              <w:top w:val="single" w:sz="4" w:space="0" w:color="293F5B"/>
              <w:left w:val="nil"/>
              <w:bottom w:val="nil"/>
              <w:right w:val="nil"/>
            </w:tcBorders>
            <w:shd w:val="clear" w:color="000000" w:fill="FFFFFF"/>
            <w:noWrap/>
            <w:vAlign w:val="center"/>
            <w:hideMark/>
          </w:tcPr>
          <w:p w14:paraId="60A8C358"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2036-37</w:t>
            </w:r>
          </w:p>
        </w:tc>
      </w:tr>
      <w:tr w:rsidR="00D33A5E" w14:paraId="5DED7ED1" w14:textId="77777777" w:rsidTr="001009DD">
        <w:trPr>
          <w:trHeight w:val="225"/>
        </w:trPr>
        <w:tc>
          <w:tcPr>
            <w:tcW w:w="1401" w:type="pct"/>
            <w:tcBorders>
              <w:top w:val="nil"/>
              <w:left w:val="nil"/>
              <w:bottom w:val="nil"/>
              <w:right w:val="nil"/>
            </w:tcBorders>
            <w:shd w:val="clear" w:color="000000" w:fill="FFFFFF"/>
            <w:noWrap/>
            <w:vAlign w:val="center"/>
            <w:hideMark/>
          </w:tcPr>
          <w:p w14:paraId="4E1B2C95" w14:textId="77777777" w:rsidR="001009DD" w:rsidRDefault="001009DD" w:rsidP="001009D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20" w:type="pct"/>
            <w:tcBorders>
              <w:top w:val="nil"/>
              <w:left w:val="nil"/>
              <w:bottom w:val="single" w:sz="4" w:space="0" w:color="293F5B"/>
              <w:right w:val="nil"/>
            </w:tcBorders>
            <w:shd w:val="clear" w:color="000000" w:fill="FFFFFF"/>
            <w:noWrap/>
            <w:vAlign w:val="center"/>
            <w:hideMark/>
          </w:tcPr>
          <w:p w14:paraId="038A24A7" w14:textId="77777777" w:rsidR="001009DD" w:rsidRDefault="001009DD" w:rsidP="001009DD">
            <w:pPr>
              <w:spacing w:before="0" w:after="0" w:line="240" w:lineRule="auto"/>
              <w:jc w:val="right"/>
              <w:rPr>
                <w:rFonts w:ascii="Arial" w:hAnsi="Arial" w:cs="Arial"/>
                <w:sz w:val="16"/>
                <w:szCs w:val="16"/>
              </w:rPr>
            </w:pPr>
            <w:r>
              <w:rPr>
                <w:rFonts w:ascii="Arial" w:hAnsi="Arial" w:cs="Arial"/>
                <w:sz w:val="16"/>
                <w:szCs w:val="16"/>
              </w:rPr>
              <w:t>$b</w:t>
            </w:r>
          </w:p>
        </w:tc>
        <w:tc>
          <w:tcPr>
            <w:tcW w:w="59" w:type="pct"/>
            <w:tcBorders>
              <w:top w:val="nil"/>
              <w:left w:val="nil"/>
              <w:bottom w:val="nil"/>
              <w:right w:val="nil"/>
            </w:tcBorders>
            <w:shd w:val="clear" w:color="000000" w:fill="FFFFFF"/>
            <w:noWrap/>
            <w:vAlign w:val="center"/>
            <w:hideMark/>
          </w:tcPr>
          <w:p w14:paraId="65ACC9F2"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13" w:type="pct"/>
            <w:tcBorders>
              <w:top w:val="nil"/>
              <w:left w:val="nil"/>
              <w:bottom w:val="single" w:sz="4" w:space="0" w:color="293F5B"/>
              <w:right w:val="nil"/>
            </w:tcBorders>
            <w:shd w:val="clear" w:color="000000" w:fill="FFFFFF"/>
            <w:noWrap/>
            <w:vAlign w:val="center"/>
            <w:hideMark/>
          </w:tcPr>
          <w:p w14:paraId="30CC3A5B"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$b</w:t>
            </w:r>
          </w:p>
        </w:tc>
        <w:tc>
          <w:tcPr>
            <w:tcW w:w="412" w:type="pct"/>
            <w:tcBorders>
              <w:top w:val="nil"/>
              <w:left w:val="nil"/>
              <w:bottom w:val="single" w:sz="4" w:space="0" w:color="293F5B"/>
              <w:right w:val="nil"/>
            </w:tcBorders>
            <w:shd w:val="clear" w:color="000000" w:fill="E6F2FF"/>
            <w:noWrap/>
            <w:vAlign w:val="center"/>
            <w:hideMark/>
          </w:tcPr>
          <w:p w14:paraId="25E78F0D"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$b</w:t>
            </w:r>
          </w:p>
        </w:tc>
        <w:tc>
          <w:tcPr>
            <w:tcW w:w="412" w:type="pct"/>
            <w:tcBorders>
              <w:top w:val="nil"/>
              <w:left w:val="nil"/>
              <w:bottom w:val="single" w:sz="4" w:space="0" w:color="293F5B"/>
              <w:right w:val="nil"/>
            </w:tcBorders>
            <w:shd w:val="clear" w:color="000000" w:fill="FFFFFF"/>
            <w:noWrap/>
            <w:vAlign w:val="center"/>
            <w:hideMark/>
          </w:tcPr>
          <w:p w14:paraId="3F679EF8"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$b</w:t>
            </w:r>
          </w:p>
        </w:tc>
        <w:tc>
          <w:tcPr>
            <w:tcW w:w="412" w:type="pct"/>
            <w:tcBorders>
              <w:top w:val="nil"/>
              <w:left w:val="nil"/>
              <w:bottom w:val="single" w:sz="4" w:space="0" w:color="293F5B"/>
              <w:right w:val="nil"/>
            </w:tcBorders>
            <w:shd w:val="clear" w:color="000000" w:fill="FFFFFF"/>
            <w:noWrap/>
            <w:vAlign w:val="center"/>
            <w:hideMark/>
          </w:tcPr>
          <w:p w14:paraId="054A613F"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$b</w:t>
            </w:r>
          </w:p>
        </w:tc>
        <w:tc>
          <w:tcPr>
            <w:tcW w:w="412" w:type="pct"/>
            <w:tcBorders>
              <w:top w:val="nil"/>
              <w:left w:val="nil"/>
              <w:bottom w:val="single" w:sz="4" w:space="0" w:color="293F5B"/>
              <w:right w:val="nil"/>
            </w:tcBorders>
            <w:shd w:val="clear" w:color="000000" w:fill="FFFFFF"/>
            <w:noWrap/>
            <w:vAlign w:val="center"/>
            <w:hideMark/>
          </w:tcPr>
          <w:p w14:paraId="11815680"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$b</w:t>
            </w:r>
          </w:p>
        </w:tc>
        <w:tc>
          <w:tcPr>
            <w:tcW w:w="59" w:type="pct"/>
            <w:tcBorders>
              <w:top w:val="nil"/>
              <w:left w:val="nil"/>
              <w:bottom w:val="nil"/>
              <w:right w:val="nil"/>
            </w:tcBorders>
            <w:shd w:val="clear" w:color="000000" w:fill="FFFFFF"/>
            <w:noWrap/>
            <w:vAlign w:val="center"/>
            <w:hideMark/>
          </w:tcPr>
          <w:p w14:paraId="29E03136"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20" w:type="pct"/>
            <w:tcBorders>
              <w:top w:val="nil"/>
              <w:left w:val="nil"/>
              <w:bottom w:val="single" w:sz="4" w:space="0" w:color="293F5B"/>
              <w:right w:val="nil"/>
            </w:tcBorders>
            <w:shd w:val="clear" w:color="000000" w:fill="FFFFFF"/>
            <w:noWrap/>
            <w:vAlign w:val="center"/>
            <w:hideMark/>
          </w:tcPr>
          <w:p w14:paraId="18CCADC0"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$b</w:t>
            </w:r>
          </w:p>
        </w:tc>
        <w:tc>
          <w:tcPr>
            <w:tcW w:w="70" w:type="pct"/>
            <w:tcBorders>
              <w:top w:val="nil"/>
              <w:left w:val="nil"/>
              <w:bottom w:val="nil"/>
              <w:right w:val="nil"/>
            </w:tcBorders>
            <w:shd w:val="clear" w:color="000000" w:fill="FFFFFF"/>
            <w:noWrap/>
            <w:vAlign w:val="center"/>
            <w:hideMark/>
          </w:tcPr>
          <w:p w14:paraId="7F325D03"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10" w:type="pct"/>
            <w:tcBorders>
              <w:top w:val="nil"/>
              <w:left w:val="nil"/>
              <w:bottom w:val="single" w:sz="4" w:space="0" w:color="293F5B"/>
              <w:right w:val="nil"/>
            </w:tcBorders>
            <w:shd w:val="clear" w:color="000000" w:fill="FFFFFF"/>
            <w:noWrap/>
            <w:vAlign w:val="center"/>
            <w:hideMark/>
          </w:tcPr>
          <w:p w14:paraId="4A273A1E"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of GDP</w:t>
            </w:r>
          </w:p>
        </w:tc>
      </w:tr>
      <w:tr w:rsidR="001009DD" w14:paraId="7B6A0B05" w14:textId="77777777" w:rsidTr="001009DD">
        <w:trPr>
          <w:trHeight w:hRule="exact" w:val="225"/>
        </w:trPr>
        <w:tc>
          <w:tcPr>
            <w:tcW w:w="1401" w:type="pct"/>
            <w:tcBorders>
              <w:top w:val="nil"/>
              <w:left w:val="nil"/>
              <w:bottom w:val="nil"/>
              <w:right w:val="nil"/>
            </w:tcBorders>
            <w:shd w:val="clear" w:color="000000" w:fill="FFFFFF"/>
            <w:noWrap/>
            <w:vAlign w:val="center"/>
            <w:hideMark/>
          </w:tcPr>
          <w:p w14:paraId="7B2703AB" w14:textId="77777777" w:rsidR="001009DD" w:rsidRDefault="001009DD" w:rsidP="001009DD">
            <w:pPr>
              <w:spacing w:before="0" w:after="0" w:line="240" w:lineRule="auto"/>
              <w:rPr>
                <w:rFonts w:ascii="Arial" w:hAnsi="Arial" w:cs="Arial"/>
                <w:b/>
                <w:bCs/>
                <w:sz w:val="16"/>
                <w:szCs w:val="16"/>
              </w:rPr>
            </w:pPr>
            <w:r>
              <w:rPr>
                <w:rFonts w:ascii="Arial" w:hAnsi="Arial" w:cs="Arial"/>
                <w:b/>
                <w:bCs/>
                <w:sz w:val="16"/>
                <w:szCs w:val="16"/>
              </w:rPr>
              <w:t>Underlying cash balance</w:t>
            </w:r>
          </w:p>
        </w:tc>
        <w:tc>
          <w:tcPr>
            <w:tcW w:w="420" w:type="pct"/>
            <w:tcBorders>
              <w:top w:val="nil"/>
              <w:left w:val="nil"/>
              <w:bottom w:val="nil"/>
              <w:right w:val="nil"/>
            </w:tcBorders>
            <w:shd w:val="clear" w:color="000000" w:fill="FFFFFF"/>
            <w:noWrap/>
            <w:vAlign w:val="center"/>
            <w:hideMark/>
          </w:tcPr>
          <w:p w14:paraId="22C4BEF8" w14:textId="77777777" w:rsidR="001009DD" w:rsidRDefault="001009DD" w:rsidP="001009DD">
            <w:pPr>
              <w:spacing w:before="0" w:after="0" w:line="240" w:lineRule="auto"/>
              <w:jc w:val="right"/>
              <w:rPr>
                <w:rFonts w:ascii="Arial" w:hAnsi="Arial" w:cs="Arial"/>
                <w:b/>
                <w:bCs/>
                <w:sz w:val="16"/>
                <w:szCs w:val="16"/>
              </w:rPr>
            </w:pPr>
            <w:r>
              <w:rPr>
                <w:rFonts w:ascii="Arial" w:hAnsi="Arial" w:cs="Arial"/>
                <w:b/>
                <w:bCs/>
                <w:sz w:val="16"/>
                <w:szCs w:val="16"/>
              </w:rPr>
              <w:t>-10.0</w:t>
            </w:r>
          </w:p>
        </w:tc>
        <w:tc>
          <w:tcPr>
            <w:tcW w:w="59" w:type="pct"/>
            <w:tcBorders>
              <w:top w:val="nil"/>
              <w:left w:val="nil"/>
              <w:bottom w:val="nil"/>
              <w:right w:val="nil"/>
            </w:tcBorders>
            <w:shd w:val="clear" w:color="000000" w:fill="FFFFFF"/>
            <w:noWrap/>
            <w:vAlign w:val="center"/>
            <w:hideMark/>
          </w:tcPr>
          <w:p w14:paraId="70DEEFB5"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13" w:type="pct"/>
            <w:tcBorders>
              <w:top w:val="nil"/>
              <w:left w:val="nil"/>
              <w:bottom w:val="nil"/>
              <w:right w:val="nil"/>
            </w:tcBorders>
            <w:shd w:val="clear" w:color="000000" w:fill="FFFFFF"/>
            <w:noWrap/>
            <w:vAlign w:val="center"/>
            <w:hideMark/>
          </w:tcPr>
          <w:p w14:paraId="339ED4C3" w14:textId="77777777" w:rsidR="001009DD" w:rsidRDefault="001009DD" w:rsidP="001009DD">
            <w:pPr>
              <w:spacing w:before="0" w:after="0" w:line="240" w:lineRule="auto"/>
              <w:jc w:val="right"/>
              <w:rPr>
                <w:rFonts w:ascii="Arial" w:hAnsi="Arial" w:cs="Arial"/>
                <w:b/>
                <w:bCs/>
                <w:sz w:val="16"/>
                <w:szCs w:val="16"/>
              </w:rPr>
            </w:pPr>
            <w:r>
              <w:rPr>
                <w:rFonts w:ascii="Arial" w:hAnsi="Arial" w:cs="Arial"/>
                <w:b/>
                <w:bCs/>
                <w:sz w:val="16"/>
                <w:szCs w:val="16"/>
              </w:rPr>
              <w:t>-28.3</w:t>
            </w:r>
          </w:p>
        </w:tc>
        <w:tc>
          <w:tcPr>
            <w:tcW w:w="412" w:type="pct"/>
            <w:tcBorders>
              <w:top w:val="nil"/>
              <w:left w:val="nil"/>
              <w:bottom w:val="nil"/>
              <w:right w:val="nil"/>
            </w:tcBorders>
            <w:shd w:val="clear" w:color="000000" w:fill="E6F2FF"/>
            <w:noWrap/>
            <w:vAlign w:val="center"/>
            <w:hideMark/>
          </w:tcPr>
          <w:p w14:paraId="6F5506CB" w14:textId="77777777" w:rsidR="001009DD" w:rsidRDefault="001009DD" w:rsidP="001009DD">
            <w:pPr>
              <w:spacing w:before="0" w:after="0" w:line="240" w:lineRule="auto"/>
              <w:jc w:val="right"/>
              <w:rPr>
                <w:rFonts w:ascii="Arial" w:hAnsi="Arial" w:cs="Arial"/>
                <w:b/>
                <w:bCs/>
                <w:sz w:val="16"/>
                <w:szCs w:val="16"/>
              </w:rPr>
            </w:pPr>
            <w:r>
              <w:rPr>
                <w:rFonts w:ascii="Arial" w:hAnsi="Arial" w:cs="Arial"/>
                <w:b/>
                <w:bCs/>
                <w:sz w:val="16"/>
                <w:szCs w:val="16"/>
              </w:rPr>
              <w:t>-31.5</w:t>
            </w:r>
          </w:p>
        </w:tc>
        <w:tc>
          <w:tcPr>
            <w:tcW w:w="412" w:type="pct"/>
            <w:tcBorders>
              <w:top w:val="nil"/>
              <w:left w:val="nil"/>
              <w:bottom w:val="nil"/>
              <w:right w:val="nil"/>
            </w:tcBorders>
            <w:shd w:val="clear" w:color="000000" w:fill="FFFFFF"/>
            <w:noWrap/>
            <w:vAlign w:val="center"/>
            <w:hideMark/>
          </w:tcPr>
          <w:p w14:paraId="2BF27E4D" w14:textId="77777777" w:rsidR="001009DD" w:rsidRDefault="001009DD" w:rsidP="001009DD">
            <w:pPr>
              <w:spacing w:before="0" w:after="0" w:line="240" w:lineRule="auto"/>
              <w:jc w:val="right"/>
              <w:rPr>
                <w:rFonts w:ascii="Arial" w:hAnsi="Arial" w:cs="Arial"/>
                <w:b/>
                <w:bCs/>
                <w:sz w:val="16"/>
                <w:szCs w:val="16"/>
              </w:rPr>
            </w:pPr>
            <w:r>
              <w:rPr>
                <w:rFonts w:ascii="Arial" w:hAnsi="Arial" w:cs="Arial"/>
                <w:b/>
                <w:bCs/>
                <w:sz w:val="16"/>
                <w:szCs w:val="16"/>
              </w:rPr>
              <w:t>-31.0</w:t>
            </w:r>
          </w:p>
        </w:tc>
        <w:tc>
          <w:tcPr>
            <w:tcW w:w="412" w:type="pct"/>
            <w:tcBorders>
              <w:top w:val="nil"/>
              <w:left w:val="nil"/>
              <w:bottom w:val="nil"/>
              <w:right w:val="nil"/>
            </w:tcBorders>
            <w:shd w:val="clear" w:color="000000" w:fill="FFFFFF"/>
            <w:noWrap/>
            <w:vAlign w:val="center"/>
            <w:hideMark/>
          </w:tcPr>
          <w:p w14:paraId="10E420D3" w14:textId="77777777" w:rsidR="001009DD" w:rsidRDefault="001009DD" w:rsidP="001009DD">
            <w:pPr>
              <w:spacing w:before="0" w:after="0" w:line="240" w:lineRule="auto"/>
              <w:jc w:val="right"/>
              <w:rPr>
                <w:rFonts w:ascii="Arial" w:hAnsi="Arial" w:cs="Arial"/>
                <w:b/>
                <w:bCs/>
                <w:sz w:val="16"/>
                <w:szCs w:val="16"/>
              </w:rPr>
            </w:pPr>
            <w:r>
              <w:rPr>
                <w:rFonts w:ascii="Arial" w:hAnsi="Arial" w:cs="Arial"/>
                <w:b/>
                <w:bCs/>
                <w:sz w:val="16"/>
                <w:szCs w:val="16"/>
              </w:rPr>
              <w:t>-34.4</w:t>
            </w:r>
          </w:p>
        </w:tc>
        <w:tc>
          <w:tcPr>
            <w:tcW w:w="412" w:type="pct"/>
            <w:tcBorders>
              <w:top w:val="nil"/>
              <w:left w:val="nil"/>
              <w:bottom w:val="nil"/>
              <w:right w:val="nil"/>
            </w:tcBorders>
            <w:shd w:val="clear" w:color="000000" w:fill="FFFFFF"/>
            <w:noWrap/>
            <w:vAlign w:val="center"/>
            <w:hideMark/>
          </w:tcPr>
          <w:p w14:paraId="1ACBF1C2" w14:textId="77777777" w:rsidR="001009DD" w:rsidRDefault="001009DD" w:rsidP="001009DD">
            <w:pPr>
              <w:spacing w:before="0" w:after="0" w:line="240" w:lineRule="auto"/>
              <w:jc w:val="right"/>
              <w:rPr>
                <w:rFonts w:ascii="Arial" w:hAnsi="Arial" w:cs="Arial"/>
                <w:b/>
                <w:bCs/>
                <w:sz w:val="16"/>
                <w:szCs w:val="16"/>
              </w:rPr>
            </w:pPr>
            <w:r>
              <w:rPr>
                <w:rFonts w:ascii="Arial" w:hAnsi="Arial" w:cs="Arial"/>
                <w:b/>
                <w:bCs/>
                <w:sz w:val="16"/>
                <w:szCs w:val="16"/>
              </w:rPr>
              <w:t>-25.3</w:t>
            </w:r>
          </w:p>
        </w:tc>
        <w:tc>
          <w:tcPr>
            <w:tcW w:w="59" w:type="pct"/>
            <w:tcBorders>
              <w:top w:val="nil"/>
              <w:left w:val="nil"/>
              <w:bottom w:val="nil"/>
              <w:right w:val="nil"/>
            </w:tcBorders>
            <w:shd w:val="clear" w:color="000000" w:fill="FFFFFF"/>
            <w:noWrap/>
            <w:vAlign w:val="center"/>
            <w:hideMark/>
          </w:tcPr>
          <w:p w14:paraId="1D064E4F" w14:textId="77777777" w:rsidR="001009DD" w:rsidRDefault="001009DD" w:rsidP="001009DD">
            <w:pPr>
              <w:spacing w:before="0" w:after="0" w:line="240" w:lineRule="auto"/>
              <w:jc w:val="right"/>
              <w:rPr>
                <w:rFonts w:ascii="Arial" w:hAnsi="Arial" w:cs="Arial"/>
                <w:b/>
                <w:bCs/>
                <w:sz w:val="16"/>
                <w:szCs w:val="16"/>
              </w:rPr>
            </w:pPr>
            <w:r>
              <w:rPr>
                <w:rFonts w:ascii="Arial" w:hAnsi="Arial" w:cs="Arial"/>
                <w:b/>
                <w:bCs/>
                <w:sz w:val="16"/>
                <w:szCs w:val="16"/>
              </w:rPr>
              <w:t> </w:t>
            </w:r>
          </w:p>
        </w:tc>
        <w:tc>
          <w:tcPr>
            <w:tcW w:w="420" w:type="pct"/>
            <w:tcBorders>
              <w:top w:val="nil"/>
              <w:left w:val="nil"/>
              <w:bottom w:val="nil"/>
              <w:right w:val="nil"/>
            </w:tcBorders>
            <w:shd w:val="clear" w:color="000000" w:fill="FFFFFF"/>
            <w:noWrap/>
            <w:vAlign w:val="center"/>
            <w:hideMark/>
          </w:tcPr>
          <w:p w14:paraId="15F6F455" w14:textId="77777777" w:rsidR="001009DD" w:rsidRDefault="001009DD" w:rsidP="001009D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-150.5</w:t>
            </w:r>
          </w:p>
        </w:tc>
        <w:tc>
          <w:tcPr>
            <w:tcW w:w="70" w:type="pct"/>
            <w:tcBorders>
              <w:top w:val="nil"/>
              <w:left w:val="nil"/>
              <w:bottom w:val="nil"/>
              <w:right w:val="nil"/>
            </w:tcBorders>
            <w:shd w:val="clear" w:color="000000" w:fill="FFFFFF"/>
            <w:noWrap/>
            <w:vAlign w:val="center"/>
            <w:hideMark/>
          </w:tcPr>
          <w:p w14:paraId="3E082D3B" w14:textId="77777777" w:rsidR="001009DD" w:rsidRDefault="001009DD" w:rsidP="001009D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10" w:type="pct"/>
            <w:tcBorders>
              <w:top w:val="nil"/>
              <w:left w:val="nil"/>
              <w:bottom w:val="nil"/>
              <w:right w:val="nil"/>
            </w:tcBorders>
            <w:shd w:val="clear" w:color="000000" w:fill="FFFFFF"/>
            <w:noWrap/>
            <w:vAlign w:val="center"/>
            <w:hideMark/>
          </w:tcPr>
          <w:p w14:paraId="5ABC0DCB" w14:textId="77777777" w:rsidR="001009DD" w:rsidRDefault="001009DD" w:rsidP="001009D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1009DD" w14:paraId="2388858B" w14:textId="77777777" w:rsidTr="001009DD">
        <w:trPr>
          <w:trHeight w:hRule="exact" w:val="225"/>
        </w:trPr>
        <w:tc>
          <w:tcPr>
            <w:tcW w:w="1401" w:type="pct"/>
            <w:tcBorders>
              <w:top w:val="nil"/>
              <w:left w:val="nil"/>
              <w:bottom w:val="nil"/>
              <w:right w:val="nil"/>
            </w:tcBorders>
            <w:shd w:val="clear" w:color="000000" w:fill="FFFFFF"/>
            <w:noWrap/>
            <w:vAlign w:val="center"/>
            <w:hideMark/>
          </w:tcPr>
          <w:p w14:paraId="2E35BCB3" w14:textId="77777777" w:rsidR="001009DD" w:rsidRDefault="001009DD" w:rsidP="001009DD">
            <w:pPr>
              <w:spacing w:before="0" w:after="0" w:line="240" w:lineRule="auto"/>
              <w:rPr>
                <w:rFonts w:ascii="Arial" w:hAnsi="Arial" w:cs="Arial"/>
                <w:sz w:val="16"/>
                <w:szCs w:val="16"/>
              </w:rPr>
            </w:pPr>
            <w:r>
              <w:rPr>
                <w:rFonts w:ascii="Arial" w:hAnsi="Arial" w:cs="Arial"/>
                <w:sz w:val="16"/>
                <w:szCs w:val="16"/>
              </w:rPr>
              <w:t>Per cent of GDP</w:t>
            </w:r>
          </w:p>
        </w:tc>
        <w:tc>
          <w:tcPr>
            <w:tcW w:w="420" w:type="pct"/>
            <w:tcBorders>
              <w:top w:val="nil"/>
              <w:left w:val="nil"/>
              <w:bottom w:val="nil"/>
              <w:right w:val="nil"/>
            </w:tcBorders>
            <w:shd w:val="clear" w:color="000000" w:fill="FFFFFF"/>
            <w:noWrap/>
            <w:vAlign w:val="center"/>
            <w:hideMark/>
          </w:tcPr>
          <w:p w14:paraId="5E94D87F" w14:textId="77777777" w:rsidR="001009DD" w:rsidRDefault="001009DD" w:rsidP="001009DD">
            <w:pPr>
              <w:spacing w:before="0" w:after="0" w:line="240" w:lineRule="auto"/>
              <w:jc w:val="right"/>
              <w:rPr>
                <w:rFonts w:ascii="Arial" w:hAnsi="Arial" w:cs="Arial"/>
                <w:sz w:val="16"/>
                <w:szCs w:val="16"/>
              </w:rPr>
            </w:pPr>
            <w:r>
              <w:rPr>
                <w:rFonts w:ascii="Arial" w:hAnsi="Arial" w:cs="Arial"/>
                <w:sz w:val="16"/>
                <w:szCs w:val="16"/>
              </w:rPr>
              <w:t>-0.4</w:t>
            </w:r>
          </w:p>
        </w:tc>
        <w:tc>
          <w:tcPr>
            <w:tcW w:w="59" w:type="pct"/>
            <w:tcBorders>
              <w:top w:val="nil"/>
              <w:left w:val="nil"/>
              <w:bottom w:val="nil"/>
              <w:right w:val="nil"/>
            </w:tcBorders>
            <w:shd w:val="clear" w:color="000000" w:fill="FFFFFF"/>
            <w:noWrap/>
            <w:vAlign w:val="center"/>
            <w:hideMark/>
          </w:tcPr>
          <w:p w14:paraId="0F426631" w14:textId="77777777" w:rsidR="001009DD" w:rsidRDefault="001009DD" w:rsidP="001009DD">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0157286B" w14:textId="77777777" w:rsidR="001009DD" w:rsidRDefault="001009DD" w:rsidP="001009DD">
            <w:pPr>
              <w:spacing w:before="0" w:after="0" w:line="240" w:lineRule="auto"/>
              <w:jc w:val="right"/>
              <w:rPr>
                <w:rFonts w:ascii="Arial" w:hAnsi="Arial" w:cs="Arial"/>
                <w:sz w:val="16"/>
                <w:szCs w:val="16"/>
              </w:rPr>
            </w:pPr>
            <w:r>
              <w:rPr>
                <w:rFonts w:ascii="Arial" w:hAnsi="Arial" w:cs="Arial"/>
                <w:sz w:val="16"/>
                <w:szCs w:val="16"/>
              </w:rPr>
              <w:t>-1.0</w:t>
            </w:r>
          </w:p>
        </w:tc>
        <w:tc>
          <w:tcPr>
            <w:tcW w:w="412" w:type="pct"/>
            <w:tcBorders>
              <w:top w:val="nil"/>
              <w:left w:val="nil"/>
              <w:bottom w:val="nil"/>
              <w:right w:val="nil"/>
            </w:tcBorders>
            <w:shd w:val="clear" w:color="000000" w:fill="E6F2FF"/>
            <w:noWrap/>
            <w:vAlign w:val="center"/>
            <w:hideMark/>
          </w:tcPr>
          <w:p w14:paraId="07B63058" w14:textId="77777777" w:rsidR="001009DD" w:rsidRDefault="001009DD" w:rsidP="001009DD">
            <w:pPr>
              <w:spacing w:before="0" w:after="0" w:line="240" w:lineRule="auto"/>
              <w:jc w:val="right"/>
              <w:rPr>
                <w:rFonts w:ascii="Arial" w:hAnsi="Arial" w:cs="Arial"/>
                <w:sz w:val="16"/>
                <w:szCs w:val="16"/>
              </w:rPr>
            </w:pPr>
            <w:r>
              <w:rPr>
                <w:rFonts w:ascii="Arial" w:hAnsi="Arial" w:cs="Arial"/>
                <w:sz w:val="16"/>
                <w:szCs w:val="16"/>
              </w:rPr>
              <w:t>-1.0</w:t>
            </w:r>
          </w:p>
        </w:tc>
        <w:tc>
          <w:tcPr>
            <w:tcW w:w="412" w:type="pct"/>
            <w:tcBorders>
              <w:top w:val="nil"/>
              <w:left w:val="nil"/>
              <w:bottom w:val="nil"/>
              <w:right w:val="nil"/>
            </w:tcBorders>
            <w:shd w:val="clear" w:color="000000" w:fill="FFFFFF"/>
            <w:noWrap/>
            <w:vAlign w:val="center"/>
            <w:hideMark/>
          </w:tcPr>
          <w:p w14:paraId="73695E88" w14:textId="77777777" w:rsidR="001009DD" w:rsidRDefault="001009DD" w:rsidP="001009DD">
            <w:pPr>
              <w:spacing w:before="0" w:after="0" w:line="240" w:lineRule="auto"/>
              <w:jc w:val="right"/>
              <w:rPr>
                <w:rFonts w:ascii="Arial" w:hAnsi="Arial" w:cs="Arial"/>
                <w:sz w:val="16"/>
                <w:szCs w:val="16"/>
              </w:rPr>
            </w:pPr>
            <w:r>
              <w:rPr>
                <w:rFonts w:ascii="Arial" w:hAnsi="Arial" w:cs="Arial"/>
                <w:sz w:val="16"/>
                <w:szCs w:val="16"/>
              </w:rPr>
              <w:t>-1.0</w:t>
            </w:r>
          </w:p>
        </w:tc>
        <w:tc>
          <w:tcPr>
            <w:tcW w:w="412" w:type="pct"/>
            <w:tcBorders>
              <w:top w:val="nil"/>
              <w:left w:val="nil"/>
              <w:bottom w:val="nil"/>
              <w:right w:val="nil"/>
            </w:tcBorders>
            <w:shd w:val="clear" w:color="000000" w:fill="FFFFFF"/>
            <w:noWrap/>
            <w:vAlign w:val="center"/>
            <w:hideMark/>
          </w:tcPr>
          <w:p w14:paraId="2C5C8673" w14:textId="77777777" w:rsidR="001009DD" w:rsidRDefault="001009DD" w:rsidP="001009DD">
            <w:pPr>
              <w:spacing w:before="0" w:after="0" w:line="240" w:lineRule="auto"/>
              <w:jc w:val="right"/>
              <w:rPr>
                <w:rFonts w:ascii="Arial" w:hAnsi="Arial" w:cs="Arial"/>
                <w:sz w:val="16"/>
                <w:szCs w:val="16"/>
              </w:rPr>
            </w:pPr>
            <w:r>
              <w:rPr>
                <w:rFonts w:ascii="Arial" w:hAnsi="Arial" w:cs="Arial"/>
                <w:sz w:val="16"/>
                <w:szCs w:val="16"/>
              </w:rPr>
              <w:t>-1.0</w:t>
            </w:r>
          </w:p>
        </w:tc>
        <w:tc>
          <w:tcPr>
            <w:tcW w:w="412" w:type="pct"/>
            <w:tcBorders>
              <w:top w:val="nil"/>
              <w:left w:val="nil"/>
              <w:bottom w:val="nil"/>
              <w:right w:val="nil"/>
            </w:tcBorders>
            <w:shd w:val="clear" w:color="000000" w:fill="FFFFFF"/>
            <w:noWrap/>
            <w:vAlign w:val="center"/>
            <w:hideMark/>
          </w:tcPr>
          <w:p w14:paraId="749EAF62" w14:textId="77777777" w:rsidR="001009DD" w:rsidRDefault="001009DD" w:rsidP="001009DD">
            <w:pPr>
              <w:spacing w:before="0" w:after="0" w:line="240" w:lineRule="auto"/>
              <w:jc w:val="right"/>
              <w:rPr>
                <w:rFonts w:ascii="Arial" w:hAnsi="Arial" w:cs="Arial"/>
                <w:sz w:val="16"/>
                <w:szCs w:val="16"/>
              </w:rPr>
            </w:pPr>
            <w:r>
              <w:rPr>
                <w:rFonts w:ascii="Arial" w:hAnsi="Arial" w:cs="Arial"/>
                <w:sz w:val="16"/>
                <w:szCs w:val="16"/>
              </w:rPr>
              <w:t>-0.7</w:t>
            </w:r>
          </w:p>
        </w:tc>
        <w:tc>
          <w:tcPr>
            <w:tcW w:w="59" w:type="pct"/>
            <w:tcBorders>
              <w:top w:val="nil"/>
              <w:left w:val="nil"/>
              <w:bottom w:val="nil"/>
              <w:right w:val="nil"/>
            </w:tcBorders>
            <w:shd w:val="clear" w:color="000000" w:fill="FFFFFF"/>
            <w:noWrap/>
            <w:vAlign w:val="center"/>
            <w:hideMark/>
          </w:tcPr>
          <w:p w14:paraId="06BB38FE" w14:textId="77777777" w:rsidR="001009DD" w:rsidRDefault="001009DD" w:rsidP="001009DD">
            <w:pPr>
              <w:spacing w:before="0" w:after="0" w:line="240" w:lineRule="auto"/>
              <w:jc w:val="right"/>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14:paraId="57861B73" w14:textId="77777777" w:rsidR="001009DD" w:rsidRDefault="001009DD" w:rsidP="001009DD">
            <w:pPr>
              <w:spacing w:before="0" w:after="0" w:line="240" w:lineRule="auto"/>
              <w:jc w:val="right"/>
              <w:rPr>
                <w:rFonts w:ascii="Arial" w:hAnsi="Arial" w:cs="Arial"/>
                <w:sz w:val="16"/>
                <w:szCs w:val="16"/>
              </w:rPr>
            </w:pPr>
            <w:r>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4ED7E6F0" w14:textId="77777777" w:rsidR="001009DD" w:rsidRDefault="001009DD" w:rsidP="001009DD">
            <w:pPr>
              <w:spacing w:before="0" w:after="0" w:line="240" w:lineRule="auto"/>
              <w:jc w:val="right"/>
              <w:rPr>
                <w:rFonts w:ascii="Arial" w:hAnsi="Arial" w:cs="Arial"/>
                <w:sz w:val="16"/>
                <w:szCs w:val="16"/>
              </w:rPr>
            </w:pPr>
            <w:r>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14:paraId="4BC36F10" w14:textId="77777777" w:rsidR="001009DD" w:rsidRDefault="001009DD" w:rsidP="001009DD">
            <w:pPr>
              <w:spacing w:before="0" w:after="0" w:line="240" w:lineRule="auto"/>
              <w:jc w:val="right"/>
              <w:rPr>
                <w:rFonts w:ascii="Arial" w:hAnsi="Arial" w:cs="Arial"/>
                <w:sz w:val="16"/>
                <w:szCs w:val="16"/>
              </w:rPr>
            </w:pPr>
            <w:r>
              <w:rPr>
                <w:rFonts w:ascii="Arial" w:hAnsi="Arial" w:cs="Arial"/>
                <w:sz w:val="16"/>
                <w:szCs w:val="16"/>
              </w:rPr>
              <w:t>0.8</w:t>
            </w:r>
          </w:p>
        </w:tc>
      </w:tr>
      <w:tr w:rsidR="001009DD" w14:paraId="3D514CC1" w14:textId="77777777" w:rsidTr="001009DD">
        <w:trPr>
          <w:trHeight w:hRule="exact" w:val="60"/>
        </w:trPr>
        <w:tc>
          <w:tcPr>
            <w:tcW w:w="1401" w:type="pct"/>
            <w:tcBorders>
              <w:top w:val="nil"/>
              <w:left w:val="nil"/>
              <w:bottom w:val="nil"/>
              <w:right w:val="nil"/>
            </w:tcBorders>
            <w:shd w:val="clear" w:color="000000" w:fill="FFFFFF"/>
            <w:noWrap/>
            <w:vAlign w:val="center"/>
            <w:hideMark/>
          </w:tcPr>
          <w:p w14:paraId="4777D8F9" w14:textId="77777777" w:rsidR="001009DD" w:rsidRDefault="001009DD" w:rsidP="001009D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20" w:type="pct"/>
            <w:tcBorders>
              <w:top w:val="nil"/>
              <w:left w:val="nil"/>
              <w:bottom w:val="nil"/>
              <w:right w:val="nil"/>
            </w:tcBorders>
            <w:shd w:val="clear" w:color="000000" w:fill="FFFFFF"/>
            <w:noWrap/>
            <w:vAlign w:val="center"/>
            <w:hideMark/>
          </w:tcPr>
          <w:p w14:paraId="5BCB9A21"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9" w:type="pct"/>
            <w:tcBorders>
              <w:top w:val="nil"/>
              <w:left w:val="nil"/>
              <w:bottom w:val="nil"/>
              <w:right w:val="nil"/>
            </w:tcBorders>
            <w:shd w:val="clear" w:color="000000" w:fill="FFFFFF"/>
            <w:noWrap/>
            <w:vAlign w:val="center"/>
            <w:hideMark/>
          </w:tcPr>
          <w:p w14:paraId="2CE4BD61"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13" w:type="pct"/>
            <w:tcBorders>
              <w:top w:val="nil"/>
              <w:left w:val="nil"/>
              <w:bottom w:val="nil"/>
              <w:right w:val="nil"/>
            </w:tcBorders>
            <w:shd w:val="clear" w:color="000000" w:fill="FFFFFF"/>
            <w:noWrap/>
            <w:vAlign w:val="center"/>
            <w:hideMark/>
          </w:tcPr>
          <w:p w14:paraId="5E420076"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12" w:type="pct"/>
            <w:tcBorders>
              <w:top w:val="nil"/>
              <w:left w:val="nil"/>
              <w:bottom w:val="nil"/>
              <w:right w:val="nil"/>
            </w:tcBorders>
            <w:shd w:val="clear" w:color="000000" w:fill="E6F2FF"/>
            <w:noWrap/>
            <w:vAlign w:val="center"/>
            <w:hideMark/>
          </w:tcPr>
          <w:p w14:paraId="2518A0FC"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12" w:type="pct"/>
            <w:tcBorders>
              <w:top w:val="nil"/>
              <w:left w:val="nil"/>
              <w:bottom w:val="nil"/>
              <w:right w:val="nil"/>
            </w:tcBorders>
            <w:shd w:val="clear" w:color="000000" w:fill="FFFFFF"/>
            <w:noWrap/>
            <w:vAlign w:val="center"/>
            <w:hideMark/>
          </w:tcPr>
          <w:p w14:paraId="3CE4AF86"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12" w:type="pct"/>
            <w:tcBorders>
              <w:top w:val="nil"/>
              <w:left w:val="nil"/>
              <w:bottom w:val="nil"/>
              <w:right w:val="nil"/>
            </w:tcBorders>
            <w:shd w:val="clear" w:color="000000" w:fill="FFFFFF"/>
            <w:noWrap/>
            <w:vAlign w:val="center"/>
            <w:hideMark/>
          </w:tcPr>
          <w:p w14:paraId="2C2E8890"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12" w:type="pct"/>
            <w:tcBorders>
              <w:top w:val="nil"/>
              <w:left w:val="nil"/>
              <w:bottom w:val="nil"/>
              <w:right w:val="nil"/>
            </w:tcBorders>
            <w:shd w:val="clear" w:color="000000" w:fill="FFFFFF"/>
            <w:noWrap/>
            <w:vAlign w:val="center"/>
            <w:hideMark/>
          </w:tcPr>
          <w:p w14:paraId="1039D0D6"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9" w:type="pct"/>
            <w:tcBorders>
              <w:top w:val="nil"/>
              <w:left w:val="nil"/>
              <w:bottom w:val="nil"/>
              <w:right w:val="nil"/>
            </w:tcBorders>
            <w:shd w:val="clear" w:color="000000" w:fill="FFFFFF"/>
            <w:noWrap/>
            <w:vAlign w:val="center"/>
            <w:hideMark/>
          </w:tcPr>
          <w:p w14:paraId="150D5106"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20" w:type="pct"/>
            <w:tcBorders>
              <w:top w:val="nil"/>
              <w:left w:val="nil"/>
              <w:bottom w:val="nil"/>
              <w:right w:val="nil"/>
            </w:tcBorders>
            <w:shd w:val="clear" w:color="000000" w:fill="FFFFFF"/>
            <w:noWrap/>
            <w:vAlign w:val="center"/>
            <w:hideMark/>
          </w:tcPr>
          <w:p w14:paraId="3AEA1E42"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70" w:type="pct"/>
            <w:tcBorders>
              <w:top w:val="nil"/>
              <w:left w:val="nil"/>
              <w:bottom w:val="nil"/>
              <w:right w:val="nil"/>
            </w:tcBorders>
            <w:shd w:val="clear" w:color="000000" w:fill="FFFFFF"/>
            <w:noWrap/>
            <w:vAlign w:val="center"/>
            <w:hideMark/>
          </w:tcPr>
          <w:p w14:paraId="4297A3F7"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10" w:type="pct"/>
            <w:tcBorders>
              <w:top w:val="nil"/>
              <w:left w:val="nil"/>
              <w:bottom w:val="nil"/>
              <w:right w:val="nil"/>
            </w:tcBorders>
            <w:shd w:val="clear" w:color="000000" w:fill="FFFFFF"/>
            <w:noWrap/>
            <w:vAlign w:val="center"/>
            <w:hideMark/>
          </w:tcPr>
          <w:p w14:paraId="4E7A1A57" w14:textId="77777777" w:rsidR="001009DD" w:rsidRDefault="001009DD" w:rsidP="001009DD">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1009DD" w14:paraId="32E00251" w14:textId="77777777" w:rsidTr="001009DD">
        <w:trPr>
          <w:trHeight w:hRule="exact" w:val="225"/>
        </w:trPr>
        <w:tc>
          <w:tcPr>
            <w:tcW w:w="1401" w:type="pct"/>
            <w:tcBorders>
              <w:top w:val="nil"/>
              <w:left w:val="nil"/>
              <w:bottom w:val="nil"/>
              <w:right w:val="nil"/>
            </w:tcBorders>
            <w:shd w:val="clear" w:color="000000" w:fill="FFFFFF"/>
            <w:noWrap/>
            <w:vAlign w:val="center"/>
            <w:hideMark/>
          </w:tcPr>
          <w:p w14:paraId="72FA5716" w14:textId="77777777" w:rsidR="001009DD" w:rsidRDefault="001009DD" w:rsidP="001009DD">
            <w:pPr>
              <w:spacing w:before="0" w:after="0" w:line="240" w:lineRule="auto"/>
              <w:rPr>
                <w:rFonts w:ascii="Arial" w:hAnsi="Arial" w:cs="Arial"/>
                <w:b/>
                <w:bCs/>
                <w:color w:val="000000"/>
                <w:sz w:val="16"/>
                <w:szCs w:val="16"/>
              </w:rPr>
            </w:pPr>
            <w:r>
              <w:rPr>
                <w:rFonts w:ascii="Arial" w:hAnsi="Arial" w:cs="Arial"/>
                <w:b/>
                <w:bCs/>
                <w:color w:val="000000"/>
                <w:sz w:val="16"/>
                <w:szCs w:val="16"/>
              </w:rPr>
              <w:t>Receipts</w:t>
            </w:r>
          </w:p>
        </w:tc>
        <w:tc>
          <w:tcPr>
            <w:tcW w:w="420" w:type="pct"/>
            <w:tcBorders>
              <w:top w:val="nil"/>
              <w:left w:val="nil"/>
              <w:bottom w:val="nil"/>
              <w:right w:val="nil"/>
            </w:tcBorders>
            <w:shd w:val="clear" w:color="000000" w:fill="FFFFFF"/>
            <w:noWrap/>
            <w:vAlign w:val="center"/>
            <w:hideMark/>
          </w:tcPr>
          <w:p w14:paraId="08EBD212" w14:textId="77777777" w:rsidR="001009DD" w:rsidRDefault="001009DD" w:rsidP="001009D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717.0</w:t>
            </w:r>
          </w:p>
        </w:tc>
        <w:tc>
          <w:tcPr>
            <w:tcW w:w="59" w:type="pct"/>
            <w:tcBorders>
              <w:top w:val="nil"/>
              <w:left w:val="nil"/>
              <w:bottom w:val="nil"/>
              <w:right w:val="nil"/>
            </w:tcBorders>
            <w:shd w:val="clear" w:color="000000" w:fill="FFFFFF"/>
            <w:noWrap/>
            <w:vAlign w:val="center"/>
            <w:hideMark/>
          </w:tcPr>
          <w:p w14:paraId="59E69F61" w14:textId="77777777" w:rsidR="001009DD" w:rsidRDefault="001009DD" w:rsidP="001009D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13" w:type="pct"/>
            <w:tcBorders>
              <w:top w:val="nil"/>
              <w:left w:val="nil"/>
              <w:bottom w:val="nil"/>
              <w:right w:val="nil"/>
            </w:tcBorders>
            <w:shd w:val="clear" w:color="000000" w:fill="FFFFFF"/>
            <w:noWrap/>
            <w:vAlign w:val="center"/>
            <w:hideMark/>
          </w:tcPr>
          <w:p w14:paraId="7F7D37D5" w14:textId="77777777" w:rsidR="001009DD" w:rsidRDefault="001009DD" w:rsidP="001009D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759.8</w:t>
            </w:r>
          </w:p>
        </w:tc>
        <w:tc>
          <w:tcPr>
            <w:tcW w:w="412" w:type="pct"/>
            <w:tcBorders>
              <w:top w:val="nil"/>
              <w:left w:val="nil"/>
              <w:bottom w:val="nil"/>
              <w:right w:val="nil"/>
            </w:tcBorders>
            <w:shd w:val="clear" w:color="000000" w:fill="E6F2FF"/>
            <w:noWrap/>
            <w:vAlign w:val="center"/>
            <w:hideMark/>
          </w:tcPr>
          <w:p w14:paraId="01D3E04B" w14:textId="77777777" w:rsidR="001009DD" w:rsidRDefault="001009DD" w:rsidP="001009D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798.1</w:t>
            </w:r>
          </w:p>
        </w:tc>
        <w:tc>
          <w:tcPr>
            <w:tcW w:w="412" w:type="pct"/>
            <w:tcBorders>
              <w:top w:val="nil"/>
              <w:left w:val="nil"/>
              <w:bottom w:val="nil"/>
              <w:right w:val="nil"/>
            </w:tcBorders>
            <w:shd w:val="clear" w:color="000000" w:fill="FFFFFF"/>
            <w:noWrap/>
            <w:vAlign w:val="center"/>
            <w:hideMark/>
          </w:tcPr>
          <w:p w14:paraId="38503EBD" w14:textId="77777777" w:rsidR="001009DD" w:rsidRDefault="001009DD" w:rsidP="001009D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822.9</w:t>
            </w:r>
          </w:p>
        </w:tc>
        <w:tc>
          <w:tcPr>
            <w:tcW w:w="412" w:type="pct"/>
            <w:tcBorders>
              <w:top w:val="nil"/>
              <w:left w:val="nil"/>
              <w:bottom w:val="nil"/>
              <w:right w:val="nil"/>
            </w:tcBorders>
            <w:shd w:val="clear" w:color="000000" w:fill="FFFFFF"/>
            <w:noWrap/>
            <w:vAlign w:val="center"/>
            <w:hideMark/>
          </w:tcPr>
          <w:p w14:paraId="7983B9EB" w14:textId="77777777" w:rsidR="001009DD" w:rsidRDefault="001009DD" w:rsidP="001009D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848.4</w:t>
            </w:r>
          </w:p>
        </w:tc>
        <w:tc>
          <w:tcPr>
            <w:tcW w:w="412" w:type="pct"/>
            <w:tcBorders>
              <w:top w:val="nil"/>
              <w:left w:val="nil"/>
              <w:bottom w:val="nil"/>
              <w:right w:val="nil"/>
            </w:tcBorders>
            <w:shd w:val="clear" w:color="000000" w:fill="FFFFFF"/>
            <w:noWrap/>
            <w:vAlign w:val="center"/>
            <w:hideMark/>
          </w:tcPr>
          <w:p w14:paraId="4D80545F" w14:textId="77777777" w:rsidR="001009DD" w:rsidRDefault="001009DD" w:rsidP="001009D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894.8</w:t>
            </w:r>
          </w:p>
        </w:tc>
        <w:tc>
          <w:tcPr>
            <w:tcW w:w="59" w:type="pct"/>
            <w:tcBorders>
              <w:top w:val="nil"/>
              <w:left w:val="nil"/>
              <w:bottom w:val="nil"/>
              <w:right w:val="nil"/>
            </w:tcBorders>
            <w:shd w:val="clear" w:color="000000" w:fill="FFFFFF"/>
            <w:noWrap/>
            <w:vAlign w:val="center"/>
            <w:hideMark/>
          </w:tcPr>
          <w:p w14:paraId="4F319ED9" w14:textId="77777777" w:rsidR="001009DD" w:rsidRDefault="001009DD" w:rsidP="001009D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20" w:type="pct"/>
            <w:tcBorders>
              <w:top w:val="nil"/>
              <w:left w:val="nil"/>
              <w:bottom w:val="nil"/>
              <w:right w:val="nil"/>
            </w:tcBorders>
            <w:shd w:val="clear" w:color="000000" w:fill="FFFFFF"/>
            <w:noWrap/>
            <w:vAlign w:val="center"/>
            <w:hideMark/>
          </w:tcPr>
          <w:p w14:paraId="3DA7B89C" w14:textId="77777777" w:rsidR="001009DD" w:rsidRDefault="001009DD" w:rsidP="001009D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4,123.9</w:t>
            </w:r>
          </w:p>
        </w:tc>
        <w:tc>
          <w:tcPr>
            <w:tcW w:w="70" w:type="pct"/>
            <w:tcBorders>
              <w:top w:val="nil"/>
              <w:left w:val="nil"/>
              <w:bottom w:val="nil"/>
              <w:right w:val="nil"/>
            </w:tcBorders>
            <w:shd w:val="clear" w:color="000000" w:fill="FFFFFF"/>
            <w:noWrap/>
            <w:vAlign w:val="center"/>
            <w:hideMark/>
          </w:tcPr>
          <w:p w14:paraId="666200FA" w14:textId="77777777" w:rsidR="001009DD" w:rsidRDefault="001009DD" w:rsidP="001009D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10" w:type="pct"/>
            <w:tcBorders>
              <w:top w:val="nil"/>
              <w:left w:val="nil"/>
              <w:bottom w:val="nil"/>
              <w:right w:val="nil"/>
            </w:tcBorders>
            <w:shd w:val="clear" w:color="000000" w:fill="FFFFFF"/>
            <w:noWrap/>
            <w:vAlign w:val="center"/>
            <w:hideMark/>
          </w:tcPr>
          <w:p w14:paraId="58CC5B86" w14:textId="77777777" w:rsidR="001009DD" w:rsidRDefault="001009DD" w:rsidP="001009D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1009DD" w14:paraId="6850B487" w14:textId="77777777" w:rsidTr="001009DD">
        <w:trPr>
          <w:trHeight w:hRule="exact" w:val="225"/>
        </w:trPr>
        <w:tc>
          <w:tcPr>
            <w:tcW w:w="1401" w:type="pct"/>
            <w:tcBorders>
              <w:top w:val="nil"/>
              <w:left w:val="nil"/>
              <w:bottom w:val="nil"/>
              <w:right w:val="nil"/>
            </w:tcBorders>
            <w:shd w:val="clear" w:color="000000" w:fill="FFFFFF"/>
            <w:noWrap/>
            <w:vAlign w:val="center"/>
            <w:hideMark/>
          </w:tcPr>
          <w:p w14:paraId="56C5A0B6"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Per cent of GDP</w:t>
            </w:r>
          </w:p>
        </w:tc>
        <w:tc>
          <w:tcPr>
            <w:tcW w:w="420" w:type="pct"/>
            <w:tcBorders>
              <w:top w:val="nil"/>
              <w:left w:val="nil"/>
              <w:bottom w:val="nil"/>
              <w:right w:val="nil"/>
            </w:tcBorders>
            <w:shd w:val="clear" w:color="000000" w:fill="FFFFFF"/>
            <w:noWrap/>
            <w:vAlign w:val="center"/>
            <w:hideMark/>
          </w:tcPr>
          <w:p w14:paraId="76B3444D"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25.8</w:t>
            </w:r>
          </w:p>
        </w:tc>
        <w:tc>
          <w:tcPr>
            <w:tcW w:w="59" w:type="pct"/>
            <w:tcBorders>
              <w:top w:val="nil"/>
              <w:left w:val="nil"/>
              <w:bottom w:val="nil"/>
              <w:right w:val="nil"/>
            </w:tcBorders>
            <w:shd w:val="clear" w:color="000000" w:fill="FFFFFF"/>
            <w:noWrap/>
            <w:vAlign w:val="center"/>
            <w:hideMark/>
          </w:tcPr>
          <w:p w14:paraId="5650242C"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5B88A2E5"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25.6</w:t>
            </w:r>
          </w:p>
        </w:tc>
        <w:tc>
          <w:tcPr>
            <w:tcW w:w="412" w:type="pct"/>
            <w:tcBorders>
              <w:top w:val="nil"/>
              <w:left w:val="nil"/>
              <w:bottom w:val="nil"/>
              <w:right w:val="nil"/>
            </w:tcBorders>
            <w:shd w:val="clear" w:color="000000" w:fill="E6F2FF"/>
            <w:noWrap/>
            <w:vAlign w:val="center"/>
            <w:hideMark/>
          </w:tcPr>
          <w:p w14:paraId="23DE0F26"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25.8</w:t>
            </w:r>
          </w:p>
        </w:tc>
        <w:tc>
          <w:tcPr>
            <w:tcW w:w="412" w:type="pct"/>
            <w:tcBorders>
              <w:top w:val="nil"/>
              <w:left w:val="nil"/>
              <w:bottom w:val="nil"/>
              <w:right w:val="nil"/>
            </w:tcBorders>
            <w:shd w:val="clear" w:color="000000" w:fill="FFFFFF"/>
            <w:noWrap/>
            <w:vAlign w:val="center"/>
            <w:hideMark/>
          </w:tcPr>
          <w:p w14:paraId="18F7E41F"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25.9</w:t>
            </w:r>
          </w:p>
        </w:tc>
        <w:tc>
          <w:tcPr>
            <w:tcW w:w="412" w:type="pct"/>
            <w:tcBorders>
              <w:top w:val="nil"/>
              <w:left w:val="nil"/>
              <w:bottom w:val="nil"/>
              <w:right w:val="nil"/>
            </w:tcBorders>
            <w:shd w:val="clear" w:color="000000" w:fill="FFFFFF"/>
            <w:noWrap/>
            <w:vAlign w:val="center"/>
            <w:hideMark/>
          </w:tcPr>
          <w:p w14:paraId="78F73F64"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25.4</w:t>
            </w:r>
          </w:p>
        </w:tc>
        <w:tc>
          <w:tcPr>
            <w:tcW w:w="412" w:type="pct"/>
            <w:tcBorders>
              <w:top w:val="nil"/>
              <w:left w:val="nil"/>
              <w:bottom w:val="nil"/>
              <w:right w:val="nil"/>
            </w:tcBorders>
            <w:shd w:val="clear" w:color="000000" w:fill="FFFFFF"/>
            <w:noWrap/>
            <w:vAlign w:val="center"/>
            <w:hideMark/>
          </w:tcPr>
          <w:p w14:paraId="4047E021"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25.5</w:t>
            </w:r>
          </w:p>
        </w:tc>
        <w:tc>
          <w:tcPr>
            <w:tcW w:w="59" w:type="pct"/>
            <w:tcBorders>
              <w:top w:val="nil"/>
              <w:left w:val="nil"/>
              <w:bottom w:val="nil"/>
              <w:right w:val="nil"/>
            </w:tcBorders>
            <w:shd w:val="clear" w:color="000000" w:fill="FFFFFF"/>
            <w:noWrap/>
            <w:vAlign w:val="center"/>
            <w:hideMark/>
          </w:tcPr>
          <w:p w14:paraId="206E351F"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14:paraId="3EF8A5A7"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63F7C4C4"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14:paraId="33448FE3"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27.0</w:t>
            </w:r>
          </w:p>
        </w:tc>
      </w:tr>
      <w:tr w:rsidR="001009DD" w14:paraId="021013EA" w14:textId="77777777" w:rsidTr="001009DD">
        <w:trPr>
          <w:trHeight w:hRule="exact" w:val="60"/>
        </w:trPr>
        <w:tc>
          <w:tcPr>
            <w:tcW w:w="1401" w:type="pct"/>
            <w:tcBorders>
              <w:top w:val="nil"/>
              <w:left w:val="nil"/>
              <w:bottom w:val="nil"/>
              <w:right w:val="nil"/>
            </w:tcBorders>
            <w:shd w:val="clear" w:color="000000" w:fill="FFFFFF"/>
            <w:noWrap/>
            <w:vAlign w:val="center"/>
            <w:hideMark/>
          </w:tcPr>
          <w:p w14:paraId="7B2AA0AA"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14:paraId="2D62A31A"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3C17F456"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7E05638D"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2" w:type="pct"/>
            <w:tcBorders>
              <w:top w:val="nil"/>
              <w:left w:val="nil"/>
              <w:bottom w:val="nil"/>
              <w:right w:val="nil"/>
            </w:tcBorders>
            <w:shd w:val="clear" w:color="000000" w:fill="E6F2FF"/>
            <w:noWrap/>
            <w:vAlign w:val="center"/>
            <w:hideMark/>
          </w:tcPr>
          <w:p w14:paraId="2FC91009"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14:paraId="4F78EDD4"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14:paraId="6D48BF92"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14:paraId="1AEA30EA"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256331A3"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14:paraId="69740FA2"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24889664"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14:paraId="26FE3A52"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r>
      <w:tr w:rsidR="001009DD" w14:paraId="03F48A3E" w14:textId="77777777" w:rsidTr="001009DD">
        <w:trPr>
          <w:trHeight w:hRule="exact" w:val="225"/>
        </w:trPr>
        <w:tc>
          <w:tcPr>
            <w:tcW w:w="1401" w:type="pct"/>
            <w:tcBorders>
              <w:top w:val="nil"/>
              <w:left w:val="nil"/>
              <w:bottom w:val="nil"/>
              <w:right w:val="nil"/>
            </w:tcBorders>
            <w:shd w:val="clear" w:color="000000" w:fill="FFFFFF"/>
            <w:noWrap/>
            <w:vAlign w:val="center"/>
            <w:hideMark/>
          </w:tcPr>
          <w:p w14:paraId="3DD8AD5B" w14:textId="77777777" w:rsidR="001009DD" w:rsidRPr="00F424C9" w:rsidRDefault="001009DD" w:rsidP="001009DD">
            <w:pPr>
              <w:spacing w:before="0" w:after="0" w:line="240" w:lineRule="auto"/>
              <w:ind w:firstLineChars="100" w:firstLine="161"/>
              <w:rPr>
                <w:rFonts w:ascii="Arial" w:hAnsi="Arial" w:cs="Arial"/>
                <w:b/>
                <w:bCs/>
                <w:sz w:val="16"/>
                <w:szCs w:val="16"/>
              </w:rPr>
            </w:pPr>
            <w:r w:rsidRPr="00F424C9">
              <w:rPr>
                <w:rFonts w:ascii="Arial" w:hAnsi="Arial" w:cs="Arial"/>
                <w:b/>
                <w:bCs/>
                <w:sz w:val="16"/>
                <w:szCs w:val="16"/>
              </w:rPr>
              <w:t>Tax receipts</w:t>
            </w:r>
          </w:p>
        </w:tc>
        <w:tc>
          <w:tcPr>
            <w:tcW w:w="420" w:type="pct"/>
            <w:tcBorders>
              <w:top w:val="nil"/>
              <w:left w:val="nil"/>
              <w:bottom w:val="nil"/>
              <w:right w:val="nil"/>
            </w:tcBorders>
            <w:shd w:val="clear" w:color="000000" w:fill="FFFFFF"/>
            <w:noWrap/>
            <w:vAlign w:val="center"/>
            <w:hideMark/>
          </w:tcPr>
          <w:p w14:paraId="3C7F627D"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657.8</w:t>
            </w:r>
          </w:p>
        </w:tc>
        <w:tc>
          <w:tcPr>
            <w:tcW w:w="59" w:type="pct"/>
            <w:tcBorders>
              <w:top w:val="nil"/>
              <w:left w:val="nil"/>
              <w:bottom w:val="nil"/>
              <w:right w:val="nil"/>
            </w:tcBorders>
            <w:shd w:val="clear" w:color="000000" w:fill="FFFFFF"/>
            <w:noWrap/>
            <w:vAlign w:val="center"/>
            <w:hideMark/>
          </w:tcPr>
          <w:p w14:paraId="7DF22B80"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4E7BC263"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699.5</w:t>
            </w:r>
          </w:p>
        </w:tc>
        <w:tc>
          <w:tcPr>
            <w:tcW w:w="412" w:type="pct"/>
            <w:tcBorders>
              <w:top w:val="nil"/>
              <w:left w:val="nil"/>
              <w:bottom w:val="nil"/>
              <w:right w:val="nil"/>
            </w:tcBorders>
            <w:shd w:val="clear" w:color="000000" w:fill="E6F2FF"/>
            <w:noWrap/>
            <w:vAlign w:val="center"/>
            <w:hideMark/>
          </w:tcPr>
          <w:p w14:paraId="7CDD3796"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737.1</w:t>
            </w:r>
          </w:p>
        </w:tc>
        <w:tc>
          <w:tcPr>
            <w:tcW w:w="412" w:type="pct"/>
            <w:tcBorders>
              <w:top w:val="nil"/>
              <w:left w:val="nil"/>
              <w:bottom w:val="nil"/>
              <w:right w:val="nil"/>
            </w:tcBorders>
            <w:shd w:val="clear" w:color="000000" w:fill="FFFFFF"/>
            <w:noWrap/>
            <w:vAlign w:val="center"/>
            <w:hideMark/>
          </w:tcPr>
          <w:p w14:paraId="4DAA7DB6"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757.0</w:t>
            </w:r>
          </w:p>
        </w:tc>
        <w:tc>
          <w:tcPr>
            <w:tcW w:w="412" w:type="pct"/>
            <w:tcBorders>
              <w:top w:val="nil"/>
              <w:left w:val="nil"/>
              <w:bottom w:val="nil"/>
              <w:right w:val="nil"/>
            </w:tcBorders>
            <w:shd w:val="clear" w:color="000000" w:fill="FFFFFF"/>
            <w:noWrap/>
            <w:vAlign w:val="center"/>
            <w:hideMark/>
          </w:tcPr>
          <w:p w14:paraId="20A591A6"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782.9</w:t>
            </w:r>
          </w:p>
        </w:tc>
        <w:tc>
          <w:tcPr>
            <w:tcW w:w="412" w:type="pct"/>
            <w:tcBorders>
              <w:top w:val="nil"/>
              <w:left w:val="nil"/>
              <w:bottom w:val="nil"/>
              <w:right w:val="nil"/>
            </w:tcBorders>
            <w:shd w:val="clear" w:color="000000" w:fill="FFFFFF"/>
            <w:noWrap/>
            <w:vAlign w:val="center"/>
            <w:hideMark/>
          </w:tcPr>
          <w:p w14:paraId="0AD161AD"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826.2</w:t>
            </w:r>
          </w:p>
        </w:tc>
        <w:tc>
          <w:tcPr>
            <w:tcW w:w="59" w:type="pct"/>
            <w:tcBorders>
              <w:top w:val="nil"/>
              <w:left w:val="nil"/>
              <w:bottom w:val="nil"/>
              <w:right w:val="nil"/>
            </w:tcBorders>
            <w:shd w:val="clear" w:color="000000" w:fill="FFFFFF"/>
            <w:noWrap/>
            <w:vAlign w:val="center"/>
            <w:hideMark/>
          </w:tcPr>
          <w:p w14:paraId="1D9CF18E"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420" w:type="pct"/>
            <w:tcBorders>
              <w:top w:val="nil"/>
              <w:left w:val="nil"/>
              <w:bottom w:val="nil"/>
              <w:right w:val="nil"/>
            </w:tcBorders>
            <w:shd w:val="clear" w:color="000000" w:fill="FFFFFF"/>
            <w:noWrap/>
            <w:vAlign w:val="center"/>
            <w:hideMark/>
          </w:tcPr>
          <w:p w14:paraId="28EBA7E8"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3,802.7</w:t>
            </w:r>
          </w:p>
        </w:tc>
        <w:tc>
          <w:tcPr>
            <w:tcW w:w="70" w:type="pct"/>
            <w:tcBorders>
              <w:top w:val="nil"/>
              <w:left w:val="nil"/>
              <w:bottom w:val="nil"/>
              <w:right w:val="nil"/>
            </w:tcBorders>
            <w:shd w:val="clear" w:color="000000" w:fill="FFFFFF"/>
            <w:noWrap/>
            <w:vAlign w:val="center"/>
            <w:hideMark/>
          </w:tcPr>
          <w:p w14:paraId="73954885"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 </w:t>
            </w:r>
          </w:p>
        </w:tc>
        <w:tc>
          <w:tcPr>
            <w:tcW w:w="510" w:type="pct"/>
            <w:tcBorders>
              <w:top w:val="nil"/>
              <w:left w:val="nil"/>
              <w:bottom w:val="nil"/>
              <w:right w:val="nil"/>
            </w:tcBorders>
            <w:shd w:val="clear" w:color="000000" w:fill="FFFFFF"/>
            <w:noWrap/>
            <w:vAlign w:val="center"/>
            <w:hideMark/>
          </w:tcPr>
          <w:p w14:paraId="410BFCF8"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 </w:t>
            </w:r>
          </w:p>
        </w:tc>
      </w:tr>
      <w:tr w:rsidR="001009DD" w14:paraId="3EB274CF" w14:textId="77777777" w:rsidTr="001009DD">
        <w:trPr>
          <w:trHeight w:hRule="exact" w:val="225"/>
        </w:trPr>
        <w:tc>
          <w:tcPr>
            <w:tcW w:w="1401" w:type="pct"/>
            <w:tcBorders>
              <w:top w:val="nil"/>
              <w:left w:val="nil"/>
              <w:bottom w:val="nil"/>
              <w:right w:val="nil"/>
            </w:tcBorders>
            <w:shd w:val="clear" w:color="000000" w:fill="FFFFFF"/>
            <w:noWrap/>
            <w:vAlign w:val="center"/>
            <w:hideMark/>
          </w:tcPr>
          <w:p w14:paraId="57681F53" w14:textId="77777777" w:rsidR="001009DD" w:rsidRPr="00F424C9" w:rsidRDefault="001009DD" w:rsidP="001009DD">
            <w:pPr>
              <w:spacing w:before="0" w:after="0" w:line="240" w:lineRule="auto"/>
              <w:ind w:firstLineChars="100" w:firstLine="160"/>
              <w:rPr>
                <w:rFonts w:ascii="Arial" w:hAnsi="Arial" w:cs="Arial"/>
                <w:sz w:val="16"/>
                <w:szCs w:val="16"/>
              </w:rPr>
            </w:pPr>
            <w:r w:rsidRPr="00F424C9">
              <w:rPr>
                <w:rFonts w:ascii="Arial" w:hAnsi="Arial" w:cs="Arial"/>
                <w:sz w:val="16"/>
                <w:szCs w:val="16"/>
              </w:rPr>
              <w:t>Per cent of GDP</w:t>
            </w:r>
          </w:p>
        </w:tc>
        <w:tc>
          <w:tcPr>
            <w:tcW w:w="420" w:type="pct"/>
            <w:tcBorders>
              <w:top w:val="nil"/>
              <w:left w:val="nil"/>
              <w:bottom w:val="nil"/>
              <w:right w:val="nil"/>
            </w:tcBorders>
            <w:shd w:val="clear" w:color="000000" w:fill="FFFFFF"/>
            <w:noWrap/>
            <w:vAlign w:val="center"/>
            <w:hideMark/>
          </w:tcPr>
          <w:p w14:paraId="508692D6"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23.7</w:t>
            </w:r>
          </w:p>
        </w:tc>
        <w:tc>
          <w:tcPr>
            <w:tcW w:w="59" w:type="pct"/>
            <w:tcBorders>
              <w:top w:val="nil"/>
              <w:left w:val="nil"/>
              <w:bottom w:val="nil"/>
              <w:right w:val="nil"/>
            </w:tcBorders>
            <w:shd w:val="clear" w:color="000000" w:fill="FFFFFF"/>
            <w:noWrap/>
            <w:vAlign w:val="center"/>
            <w:hideMark/>
          </w:tcPr>
          <w:p w14:paraId="55BBF3DB"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268709C7"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23.6</w:t>
            </w:r>
          </w:p>
        </w:tc>
        <w:tc>
          <w:tcPr>
            <w:tcW w:w="412" w:type="pct"/>
            <w:tcBorders>
              <w:top w:val="nil"/>
              <w:left w:val="nil"/>
              <w:bottom w:val="nil"/>
              <w:right w:val="nil"/>
            </w:tcBorders>
            <w:shd w:val="clear" w:color="000000" w:fill="E6F2FF"/>
            <w:noWrap/>
            <w:vAlign w:val="center"/>
            <w:hideMark/>
          </w:tcPr>
          <w:p w14:paraId="258EDC61"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23.8</w:t>
            </w:r>
          </w:p>
        </w:tc>
        <w:tc>
          <w:tcPr>
            <w:tcW w:w="412" w:type="pct"/>
            <w:tcBorders>
              <w:top w:val="nil"/>
              <w:left w:val="nil"/>
              <w:bottom w:val="nil"/>
              <w:right w:val="nil"/>
            </w:tcBorders>
            <w:shd w:val="clear" w:color="000000" w:fill="FFFFFF"/>
            <w:noWrap/>
            <w:vAlign w:val="center"/>
            <w:hideMark/>
          </w:tcPr>
          <w:p w14:paraId="74A93AD8"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23.8</w:t>
            </w:r>
          </w:p>
        </w:tc>
        <w:tc>
          <w:tcPr>
            <w:tcW w:w="412" w:type="pct"/>
            <w:tcBorders>
              <w:top w:val="nil"/>
              <w:left w:val="nil"/>
              <w:bottom w:val="nil"/>
              <w:right w:val="nil"/>
            </w:tcBorders>
            <w:shd w:val="clear" w:color="000000" w:fill="FFFFFF"/>
            <w:noWrap/>
            <w:vAlign w:val="center"/>
            <w:hideMark/>
          </w:tcPr>
          <w:p w14:paraId="1B4366DC"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23.5</w:t>
            </w:r>
          </w:p>
        </w:tc>
        <w:tc>
          <w:tcPr>
            <w:tcW w:w="412" w:type="pct"/>
            <w:tcBorders>
              <w:top w:val="nil"/>
              <w:left w:val="nil"/>
              <w:bottom w:val="nil"/>
              <w:right w:val="nil"/>
            </w:tcBorders>
            <w:shd w:val="clear" w:color="000000" w:fill="FFFFFF"/>
            <w:noWrap/>
            <w:vAlign w:val="center"/>
            <w:hideMark/>
          </w:tcPr>
          <w:p w14:paraId="03CDB91A"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23.6</w:t>
            </w:r>
          </w:p>
        </w:tc>
        <w:tc>
          <w:tcPr>
            <w:tcW w:w="59" w:type="pct"/>
            <w:tcBorders>
              <w:top w:val="nil"/>
              <w:left w:val="nil"/>
              <w:bottom w:val="nil"/>
              <w:right w:val="nil"/>
            </w:tcBorders>
            <w:shd w:val="clear" w:color="000000" w:fill="FFFFFF"/>
            <w:noWrap/>
            <w:vAlign w:val="center"/>
            <w:hideMark/>
          </w:tcPr>
          <w:p w14:paraId="0642D03F"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420" w:type="pct"/>
            <w:tcBorders>
              <w:top w:val="nil"/>
              <w:left w:val="nil"/>
              <w:bottom w:val="nil"/>
              <w:right w:val="nil"/>
            </w:tcBorders>
            <w:shd w:val="clear" w:color="000000" w:fill="FFFFFF"/>
            <w:noWrap/>
            <w:vAlign w:val="center"/>
            <w:hideMark/>
          </w:tcPr>
          <w:p w14:paraId="4C3BC466"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2BEA49C8"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14:paraId="561D577F"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25.2</w:t>
            </w:r>
          </w:p>
        </w:tc>
      </w:tr>
      <w:tr w:rsidR="001009DD" w14:paraId="4C0D1ED5" w14:textId="77777777" w:rsidTr="001009DD">
        <w:trPr>
          <w:trHeight w:hRule="exact" w:val="60"/>
        </w:trPr>
        <w:tc>
          <w:tcPr>
            <w:tcW w:w="1401" w:type="pct"/>
            <w:tcBorders>
              <w:top w:val="nil"/>
              <w:left w:val="nil"/>
              <w:bottom w:val="nil"/>
              <w:right w:val="nil"/>
            </w:tcBorders>
            <w:shd w:val="clear" w:color="000000" w:fill="FFFFFF"/>
            <w:noWrap/>
            <w:vAlign w:val="center"/>
            <w:hideMark/>
          </w:tcPr>
          <w:p w14:paraId="5F380296"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14:paraId="02C82916"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59" w:type="pct"/>
            <w:tcBorders>
              <w:top w:val="nil"/>
              <w:left w:val="nil"/>
              <w:bottom w:val="nil"/>
              <w:right w:val="nil"/>
            </w:tcBorders>
            <w:shd w:val="clear" w:color="000000" w:fill="FFFFFF"/>
            <w:noWrap/>
            <w:vAlign w:val="center"/>
            <w:hideMark/>
          </w:tcPr>
          <w:p w14:paraId="53DCD661"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5A193994"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412" w:type="pct"/>
            <w:tcBorders>
              <w:top w:val="nil"/>
              <w:left w:val="nil"/>
              <w:bottom w:val="nil"/>
              <w:right w:val="nil"/>
            </w:tcBorders>
            <w:shd w:val="clear" w:color="000000" w:fill="E6F2FF"/>
            <w:noWrap/>
            <w:vAlign w:val="center"/>
            <w:hideMark/>
          </w:tcPr>
          <w:p w14:paraId="14C2DAA7"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412" w:type="pct"/>
            <w:tcBorders>
              <w:top w:val="nil"/>
              <w:left w:val="nil"/>
              <w:bottom w:val="nil"/>
              <w:right w:val="nil"/>
            </w:tcBorders>
            <w:shd w:val="clear" w:color="000000" w:fill="FFFFFF"/>
            <w:noWrap/>
            <w:vAlign w:val="center"/>
            <w:hideMark/>
          </w:tcPr>
          <w:p w14:paraId="124B0420"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412" w:type="pct"/>
            <w:tcBorders>
              <w:top w:val="nil"/>
              <w:left w:val="nil"/>
              <w:bottom w:val="nil"/>
              <w:right w:val="nil"/>
            </w:tcBorders>
            <w:shd w:val="clear" w:color="000000" w:fill="FFFFFF"/>
            <w:noWrap/>
            <w:vAlign w:val="center"/>
            <w:hideMark/>
          </w:tcPr>
          <w:p w14:paraId="62E9EFBA"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412" w:type="pct"/>
            <w:tcBorders>
              <w:top w:val="nil"/>
              <w:left w:val="nil"/>
              <w:bottom w:val="nil"/>
              <w:right w:val="nil"/>
            </w:tcBorders>
            <w:shd w:val="clear" w:color="000000" w:fill="FFFFFF"/>
            <w:noWrap/>
            <w:vAlign w:val="center"/>
            <w:hideMark/>
          </w:tcPr>
          <w:p w14:paraId="439EA3F0"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59" w:type="pct"/>
            <w:tcBorders>
              <w:top w:val="nil"/>
              <w:left w:val="nil"/>
              <w:bottom w:val="nil"/>
              <w:right w:val="nil"/>
            </w:tcBorders>
            <w:shd w:val="clear" w:color="000000" w:fill="FFFFFF"/>
            <w:noWrap/>
            <w:vAlign w:val="center"/>
            <w:hideMark/>
          </w:tcPr>
          <w:p w14:paraId="38040135"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420" w:type="pct"/>
            <w:tcBorders>
              <w:top w:val="nil"/>
              <w:left w:val="nil"/>
              <w:bottom w:val="nil"/>
              <w:right w:val="nil"/>
            </w:tcBorders>
            <w:shd w:val="clear" w:color="000000" w:fill="FFFFFF"/>
            <w:noWrap/>
            <w:vAlign w:val="center"/>
            <w:hideMark/>
          </w:tcPr>
          <w:p w14:paraId="0CAF31FD"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381D6152"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14:paraId="5A2B5949"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r>
      <w:tr w:rsidR="001009DD" w14:paraId="3A8477F5" w14:textId="77777777" w:rsidTr="001009DD">
        <w:trPr>
          <w:trHeight w:hRule="exact" w:val="225"/>
        </w:trPr>
        <w:tc>
          <w:tcPr>
            <w:tcW w:w="1401" w:type="pct"/>
            <w:tcBorders>
              <w:top w:val="nil"/>
              <w:left w:val="nil"/>
              <w:bottom w:val="nil"/>
              <w:right w:val="nil"/>
            </w:tcBorders>
            <w:shd w:val="clear" w:color="000000" w:fill="FFFFFF"/>
            <w:noWrap/>
            <w:vAlign w:val="center"/>
            <w:hideMark/>
          </w:tcPr>
          <w:p w14:paraId="2E64BF00" w14:textId="77777777" w:rsidR="001009DD" w:rsidRPr="00F424C9" w:rsidRDefault="001009DD" w:rsidP="001009DD">
            <w:pPr>
              <w:spacing w:before="0" w:after="0" w:line="240" w:lineRule="auto"/>
              <w:ind w:firstLineChars="100" w:firstLine="161"/>
              <w:rPr>
                <w:rFonts w:ascii="Arial" w:hAnsi="Arial" w:cs="Arial"/>
                <w:b/>
                <w:bCs/>
                <w:sz w:val="16"/>
                <w:szCs w:val="16"/>
              </w:rPr>
            </w:pPr>
            <w:r w:rsidRPr="00F424C9">
              <w:rPr>
                <w:rFonts w:ascii="Arial" w:hAnsi="Arial" w:cs="Arial"/>
                <w:b/>
                <w:bCs/>
                <w:sz w:val="16"/>
                <w:szCs w:val="16"/>
              </w:rPr>
              <w:t>Non-tax receipts</w:t>
            </w:r>
          </w:p>
        </w:tc>
        <w:tc>
          <w:tcPr>
            <w:tcW w:w="420" w:type="pct"/>
            <w:tcBorders>
              <w:top w:val="nil"/>
              <w:left w:val="nil"/>
              <w:bottom w:val="nil"/>
              <w:right w:val="nil"/>
            </w:tcBorders>
            <w:shd w:val="clear" w:color="000000" w:fill="FFFFFF"/>
            <w:noWrap/>
            <w:vAlign w:val="center"/>
            <w:hideMark/>
          </w:tcPr>
          <w:p w14:paraId="6A0032DF"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59.1</w:t>
            </w:r>
          </w:p>
        </w:tc>
        <w:tc>
          <w:tcPr>
            <w:tcW w:w="59" w:type="pct"/>
            <w:tcBorders>
              <w:top w:val="nil"/>
              <w:left w:val="nil"/>
              <w:bottom w:val="nil"/>
              <w:right w:val="nil"/>
            </w:tcBorders>
            <w:shd w:val="clear" w:color="000000" w:fill="FFFFFF"/>
            <w:noWrap/>
            <w:vAlign w:val="center"/>
            <w:hideMark/>
          </w:tcPr>
          <w:p w14:paraId="24AC86FB"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09C3093A"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60.2</w:t>
            </w:r>
          </w:p>
        </w:tc>
        <w:tc>
          <w:tcPr>
            <w:tcW w:w="412" w:type="pct"/>
            <w:tcBorders>
              <w:top w:val="nil"/>
              <w:left w:val="nil"/>
              <w:bottom w:val="nil"/>
              <w:right w:val="nil"/>
            </w:tcBorders>
            <w:shd w:val="clear" w:color="000000" w:fill="E6F2FF"/>
            <w:noWrap/>
            <w:vAlign w:val="center"/>
            <w:hideMark/>
          </w:tcPr>
          <w:p w14:paraId="1A45B8D6"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61.0</w:t>
            </w:r>
          </w:p>
        </w:tc>
        <w:tc>
          <w:tcPr>
            <w:tcW w:w="412" w:type="pct"/>
            <w:tcBorders>
              <w:top w:val="nil"/>
              <w:left w:val="nil"/>
              <w:bottom w:val="nil"/>
              <w:right w:val="nil"/>
            </w:tcBorders>
            <w:shd w:val="clear" w:color="000000" w:fill="FFFFFF"/>
            <w:noWrap/>
            <w:vAlign w:val="center"/>
            <w:hideMark/>
          </w:tcPr>
          <w:p w14:paraId="7FD09725"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65.9</w:t>
            </w:r>
          </w:p>
        </w:tc>
        <w:tc>
          <w:tcPr>
            <w:tcW w:w="412" w:type="pct"/>
            <w:tcBorders>
              <w:top w:val="nil"/>
              <w:left w:val="nil"/>
              <w:bottom w:val="nil"/>
              <w:right w:val="nil"/>
            </w:tcBorders>
            <w:shd w:val="clear" w:color="000000" w:fill="FFFFFF"/>
            <w:noWrap/>
            <w:vAlign w:val="center"/>
            <w:hideMark/>
          </w:tcPr>
          <w:p w14:paraId="0043697F"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65.5</w:t>
            </w:r>
          </w:p>
        </w:tc>
        <w:tc>
          <w:tcPr>
            <w:tcW w:w="412" w:type="pct"/>
            <w:tcBorders>
              <w:top w:val="nil"/>
              <w:left w:val="nil"/>
              <w:bottom w:val="nil"/>
              <w:right w:val="nil"/>
            </w:tcBorders>
            <w:shd w:val="clear" w:color="000000" w:fill="FFFFFF"/>
            <w:noWrap/>
            <w:vAlign w:val="center"/>
            <w:hideMark/>
          </w:tcPr>
          <w:p w14:paraId="3532D4C6"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68.6</w:t>
            </w:r>
          </w:p>
        </w:tc>
        <w:tc>
          <w:tcPr>
            <w:tcW w:w="59" w:type="pct"/>
            <w:tcBorders>
              <w:top w:val="nil"/>
              <w:left w:val="nil"/>
              <w:bottom w:val="nil"/>
              <w:right w:val="nil"/>
            </w:tcBorders>
            <w:shd w:val="clear" w:color="000000" w:fill="FFFFFF"/>
            <w:noWrap/>
            <w:vAlign w:val="center"/>
            <w:hideMark/>
          </w:tcPr>
          <w:p w14:paraId="7A198D24"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420" w:type="pct"/>
            <w:tcBorders>
              <w:top w:val="nil"/>
              <w:left w:val="nil"/>
              <w:bottom w:val="nil"/>
              <w:right w:val="nil"/>
            </w:tcBorders>
            <w:shd w:val="clear" w:color="000000" w:fill="FFFFFF"/>
            <w:noWrap/>
            <w:vAlign w:val="center"/>
            <w:hideMark/>
          </w:tcPr>
          <w:p w14:paraId="414884CE"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321.2</w:t>
            </w:r>
          </w:p>
        </w:tc>
        <w:tc>
          <w:tcPr>
            <w:tcW w:w="70" w:type="pct"/>
            <w:tcBorders>
              <w:top w:val="nil"/>
              <w:left w:val="nil"/>
              <w:bottom w:val="nil"/>
              <w:right w:val="nil"/>
            </w:tcBorders>
            <w:shd w:val="clear" w:color="000000" w:fill="FFFFFF"/>
            <w:noWrap/>
            <w:vAlign w:val="center"/>
            <w:hideMark/>
          </w:tcPr>
          <w:p w14:paraId="161BADE0"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 </w:t>
            </w:r>
          </w:p>
        </w:tc>
        <w:tc>
          <w:tcPr>
            <w:tcW w:w="510" w:type="pct"/>
            <w:tcBorders>
              <w:top w:val="nil"/>
              <w:left w:val="nil"/>
              <w:bottom w:val="nil"/>
              <w:right w:val="nil"/>
            </w:tcBorders>
            <w:shd w:val="clear" w:color="000000" w:fill="FFFFFF"/>
            <w:noWrap/>
            <w:vAlign w:val="center"/>
            <w:hideMark/>
          </w:tcPr>
          <w:p w14:paraId="3EEA3873"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 </w:t>
            </w:r>
          </w:p>
        </w:tc>
      </w:tr>
      <w:tr w:rsidR="001009DD" w14:paraId="7E261108" w14:textId="77777777" w:rsidTr="001009DD">
        <w:trPr>
          <w:trHeight w:hRule="exact" w:val="225"/>
        </w:trPr>
        <w:tc>
          <w:tcPr>
            <w:tcW w:w="1401" w:type="pct"/>
            <w:tcBorders>
              <w:top w:val="nil"/>
              <w:left w:val="nil"/>
              <w:bottom w:val="nil"/>
              <w:right w:val="nil"/>
            </w:tcBorders>
            <w:shd w:val="clear" w:color="000000" w:fill="FFFFFF"/>
            <w:noWrap/>
            <w:vAlign w:val="center"/>
            <w:hideMark/>
          </w:tcPr>
          <w:p w14:paraId="06FAC63A" w14:textId="77777777" w:rsidR="001009DD" w:rsidRPr="00F424C9" w:rsidRDefault="001009DD" w:rsidP="001009DD">
            <w:pPr>
              <w:spacing w:before="0" w:after="0" w:line="240" w:lineRule="auto"/>
              <w:ind w:firstLineChars="100" w:firstLine="160"/>
              <w:rPr>
                <w:rFonts w:ascii="Arial" w:hAnsi="Arial" w:cs="Arial"/>
                <w:sz w:val="16"/>
                <w:szCs w:val="16"/>
              </w:rPr>
            </w:pPr>
            <w:r w:rsidRPr="00F424C9">
              <w:rPr>
                <w:rFonts w:ascii="Arial" w:hAnsi="Arial" w:cs="Arial"/>
                <w:sz w:val="16"/>
                <w:szCs w:val="16"/>
              </w:rPr>
              <w:t>Per cent of GDP</w:t>
            </w:r>
          </w:p>
        </w:tc>
        <w:tc>
          <w:tcPr>
            <w:tcW w:w="420" w:type="pct"/>
            <w:tcBorders>
              <w:top w:val="nil"/>
              <w:left w:val="nil"/>
              <w:bottom w:val="nil"/>
              <w:right w:val="nil"/>
            </w:tcBorders>
            <w:shd w:val="clear" w:color="000000" w:fill="FFFFFF"/>
            <w:noWrap/>
            <w:vAlign w:val="center"/>
            <w:hideMark/>
          </w:tcPr>
          <w:p w14:paraId="5D9358D7"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2.1</w:t>
            </w:r>
          </w:p>
        </w:tc>
        <w:tc>
          <w:tcPr>
            <w:tcW w:w="59" w:type="pct"/>
            <w:tcBorders>
              <w:top w:val="nil"/>
              <w:left w:val="nil"/>
              <w:bottom w:val="nil"/>
              <w:right w:val="nil"/>
            </w:tcBorders>
            <w:shd w:val="clear" w:color="000000" w:fill="FFFFFF"/>
            <w:noWrap/>
            <w:vAlign w:val="center"/>
            <w:hideMark/>
          </w:tcPr>
          <w:p w14:paraId="78C40BAA"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1400779D"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2.0</w:t>
            </w:r>
          </w:p>
        </w:tc>
        <w:tc>
          <w:tcPr>
            <w:tcW w:w="412" w:type="pct"/>
            <w:tcBorders>
              <w:top w:val="nil"/>
              <w:left w:val="nil"/>
              <w:bottom w:val="nil"/>
              <w:right w:val="nil"/>
            </w:tcBorders>
            <w:shd w:val="clear" w:color="000000" w:fill="E6F2FF"/>
            <w:noWrap/>
            <w:vAlign w:val="center"/>
            <w:hideMark/>
          </w:tcPr>
          <w:p w14:paraId="70F98970"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2.0</w:t>
            </w:r>
          </w:p>
        </w:tc>
        <w:tc>
          <w:tcPr>
            <w:tcW w:w="412" w:type="pct"/>
            <w:tcBorders>
              <w:top w:val="nil"/>
              <w:left w:val="nil"/>
              <w:bottom w:val="nil"/>
              <w:right w:val="nil"/>
            </w:tcBorders>
            <w:shd w:val="clear" w:color="000000" w:fill="FFFFFF"/>
            <w:noWrap/>
            <w:vAlign w:val="center"/>
            <w:hideMark/>
          </w:tcPr>
          <w:p w14:paraId="301A91DD"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2.1</w:t>
            </w:r>
          </w:p>
        </w:tc>
        <w:tc>
          <w:tcPr>
            <w:tcW w:w="412" w:type="pct"/>
            <w:tcBorders>
              <w:top w:val="nil"/>
              <w:left w:val="nil"/>
              <w:bottom w:val="nil"/>
              <w:right w:val="nil"/>
            </w:tcBorders>
            <w:shd w:val="clear" w:color="000000" w:fill="FFFFFF"/>
            <w:noWrap/>
            <w:vAlign w:val="center"/>
            <w:hideMark/>
          </w:tcPr>
          <w:p w14:paraId="065A8EA6"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2.0</w:t>
            </w:r>
          </w:p>
        </w:tc>
        <w:tc>
          <w:tcPr>
            <w:tcW w:w="412" w:type="pct"/>
            <w:tcBorders>
              <w:top w:val="nil"/>
              <w:left w:val="nil"/>
              <w:bottom w:val="nil"/>
              <w:right w:val="nil"/>
            </w:tcBorders>
            <w:shd w:val="clear" w:color="000000" w:fill="FFFFFF"/>
            <w:noWrap/>
            <w:vAlign w:val="center"/>
            <w:hideMark/>
          </w:tcPr>
          <w:p w14:paraId="5B1F3518"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2.0</w:t>
            </w:r>
          </w:p>
        </w:tc>
        <w:tc>
          <w:tcPr>
            <w:tcW w:w="59" w:type="pct"/>
            <w:tcBorders>
              <w:top w:val="nil"/>
              <w:left w:val="nil"/>
              <w:bottom w:val="nil"/>
              <w:right w:val="nil"/>
            </w:tcBorders>
            <w:shd w:val="clear" w:color="000000" w:fill="FFFFFF"/>
            <w:noWrap/>
            <w:vAlign w:val="center"/>
            <w:hideMark/>
          </w:tcPr>
          <w:p w14:paraId="5744BBCC"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420" w:type="pct"/>
            <w:tcBorders>
              <w:top w:val="nil"/>
              <w:left w:val="nil"/>
              <w:bottom w:val="nil"/>
              <w:right w:val="nil"/>
            </w:tcBorders>
            <w:shd w:val="clear" w:color="000000" w:fill="FFFFFF"/>
            <w:noWrap/>
            <w:vAlign w:val="center"/>
            <w:hideMark/>
          </w:tcPr>
          <w:p w14:paraId="02E57866"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38489B20"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14:paraId="5473EBB3"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1.8</w:t>
            </w:r>
          </w:p>
        </w:tc>
      </w:tr>
      <w:tr w:rsidR="001009DD" w14:paraId="4E98C491" w14:textId="77777777" w:rsidTr="001009DD">
        <w:trPr>
          <w:trHeight w:hRule="exact" w:val="60"/>
        </w:trPr>
        <w:tc>
          <w:tcPr>
            <w:tcW w:w="1401" w:type="pct"/>
            <w:tcBorders>
              <w:top w:val="nil"/>
              <w:left w:val="nil"/>
              <w:bottom w:val="nil"/>
              <w:right w:val="nil"/>
            </w:tcBorders>
            <w:shd w:val="clear" w:color="000000" w:fill="FFFFFF"/>
            <w:noWrap/>
            <w:vAlign w:val="center"/>
            <w:hideMark/>
          </w:tcPr>
          <w:p w14:paraId="15686C66"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14:paraId="62134EB5"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59" w:type="pct"/>
            <w:tcBorders>
              <w:top w:val="nil"/>
              <w:left w:val="nil"/>
              <w:bottom w:val="nil"/>
              <w:right w:val="nil"/>
            </w:tcBorders>
            <w:shd w:val="clear" w:color="000000" w:fill="FFFFFF"/>
            <w:noWrap/>
            <w:vAlign w:val="center"/>
            <w:hideMark/>
          </w:tcPr>
          <w:p w14:paraId="19BF64CD"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5E8AC74A"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412" w:type="pct"/>
            <w:tcBorders>
              <w:top w:val="nil"/>
              <w:left w:val="nil"/>
              <w:bottom w:val="nil"/>
              <w:right w:val="nil"/>
            </w:tcBorders>
            <w:shd w:val="clear" w:color="000000" w:fill="E6F2FF"/>
            <w:noWrap/>
            <w:vAlign w:val="center"/>
            <w:hideMark/>
          </w:tcPr>
          <w:p w14:paraId="0D0C5247"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412" w:type="pct"/>
            <w:tcBorders>
              <w:top w:val="nil"/>
              <w:left w:val="nil"/>
              <w:bottom w:val="nil"/>
              <w:right w:val="nil"/>
            </w:tcBorders>
            <w:shd w:val="clear" w:color="000000" w:fill="FFFFFF"/>
            <w:noWrap/>
            <w:vAlign w:val="center"/>
            <w:hideMark/>
          </w:tcPr>
          <w:p w14:paraId="2CBD32F4"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412" w:type="pct"/>
            <w:tcBorders>
              <w:top w:val="nil"/>
              <w:left w:val="nil"/>
              <w:bottom w:val="nil"/>
              <w:right w:val="nil"/>
            </w:tcBorders>
            <w:shd w:val="clear" w:color="000000" w:fill="FFFFFF"/>
            <w:noWrap/>
            <w:vAlign w:val="center"/>
            <w:hideMark/>
          </w:tcPr>
          <w:p w14:paraId="71588737"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412" w:type="pct"/>
            <w:tcBorders>
              <w:top w:val="nil"/>
              <w:left w:val="nil"/>
              <w:bottom w:val="nil"/>
              <w:right w:val="nil"/>
            </w:tcBorders>
            <w:shd w:val="clear" w:color="000000" w:fill="FFFFFF"/>
            <w:noWrap/>
            <w:vAlign w:val="center"/>
            <w:hideMark/>
          </w:tcPr>
          <w:p w14:paraId="6C483B3E"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59" w:type="pct"/>
            <w:tcBorders>
              <w:top w:val="nil"/>
              <w:left w:val="nil"/>
              <w:bottom w:val="nil"/>
              <w:right w:val="nil"/>
            </w:tcBorders>
            <w:shd w:val="clear" w:color="000000" w:fill="FFFFFF"/>
            <w:noWrap/>
            <w:vAlign w:val="center"/>
            <w:hideMark/>
          </w:tcPr>
          <w:p w14:paraId="2A15B9E1" w14:textId="77777777" w:rsidR="001009DD" w:rsidRPr="00F424C9" w:rsidRDefault="001009DD" w:rsidP="001009DD">
            <w:pPr>
              <w:spacing w:before="0" w:after="0" w:line="240" w:lineRule="auto"/>
              <w:jc w:val="right"/>
              <w:rPr>
                <w:rFonts w:ascii="Arial" w:hAnsi="Arial" w:cs="Arial"/>
                <w:i/>
                <w:iCs/>
                <w:sz w:val="16"/>
                <w:szCs w:val="16"/>
              </w:rPr>
            </w:pPr>
            <w:r w:rsidRPr="00F424C9">
              <w:rPr>
                <w:rFonts w:ascii="Arial" w:hAnsi="Arial" w:cs="Arial"/>
                <w:i/>
                <w:iCs/>
                <w:sz w:val="16"/>
                <w:szCs w:val="16"/>
              </w:rPr>
              <w:t> </w:t>
            </w:r>
          </w:p>
        </w:tc>
        <w:tc>
          <w:tcPr>
            <w:tcW w:w="420" w:type="pct"/>
            <w:tcBorders>
              <w:top w:val="nil"/>
              <w:left w:val="nil"/>
              <w:bottom w:val="nil"/>
              <w:right w:val="nil"/>
            </w:tcBorders>
            <w:shd w:val="clear" w:color="000000" w:fill="FFFFFF"/>
            <w:noWrap/>
            <w:vAlign w:val="center"/>
            <w:hideMark/>
          </w:tcPr>
          <w:p w14:paraId="1E88A610"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7B576590"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14:paraId="62E03687"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r>
      <w:tr w:rsidR="001009DD" w14:paraId="6B9AA921" w14:textId="77777777" w:rsidTr="001009DD">
        <w:trPr>
          <w:trHeight w:hRule="exact" w:val="225"/>
        </w:trPr>
        <w:tc>
          <w:tcPr>
            <w:tcW w:w="1401" w:type="pct"/>
            <w:tcBorders>
              <w:top w:val="nil"/>
              <w:left w:val="nil"/>
              <w:bottom w:val="nil"/>
              <w:right w:val="nil"/>
            </w:tcBorders>
            <w:shd w:val="clear" w:color="000000" w:fill="FFFFFF"/>
            <w:noWrap/>
            <w:vAlign w:val="center"/>
            <w:hideMark/>
          </w:tcPr>
          <w:p w14:paraId="55B9BB40" w14:textId="77777777" w:rsidR="001009DD" w:rsidRPr="00F424C9" w:rsidRDefault="001009DD" w:rsidP="001009DD">
            <w:pPr>
              <w:spacing w:before="0" w:after="0" w:line="240" w:lineRule="auto"/>
              <w:rPr>
                <w:rFonts w:ascii="Arial" w:hAnsi="Arial" w:cs="Arial"/>
                <w:b/>
                <w:bCs/>
                <w:sz w:val="16"/>
                <w:szCs w:val="16"/>
              </w:rPr>
            </w:pPr>
            <w:r w:rsidRPr="00F424C9">
              <w:rPr>
                <w:rFonts w:ascii="Arial" w:hAnsi="Arial" w:cs="Arial"/>
                <w:b/>
                <w:bCs/>
                <w:sz w:val="16"/>
                <w:szCs w:val="16"/>
              </w:rPr>
              <w:t>Payments(b)</w:t>
            </w:r>
          </w:p>
        </w:tc>
        <w:tc>
          <w:tcPr>
            <w:tcW w:w="420" w:type="pct"/>
            <w:tcBorders>
              <w:top w:val="nil"/>
              <w:left w:val="nil"/>
              <w:bottom w:val="nil"/>
              <w:right w:val="nil"/>
            </w:tcBorders>
            <w:shd w:val="clear" w:color="000000" w:fill="FFFFFF"/>
            <w:noWrap/>
            <w:vAlign w:val="center"/>
            <w:hideMark/>
          </w:tcPr>
          <w:p w14:paraId="51517884"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726.9</w:t>
            </w:r>
          </w:p>
        </w:tc>
        <w:tc>
          <w:tcPr>
            <w:tcW w:w="59" w:type="pct"/>
            <w:tcBorders>
              <w:top w:val="nil"/>
              <w:left w:val="nil"/>
              <w:bottom w:val="nil"/>
              <w:right w:val="nil"/>
            </w:tcBorders>
            <w:shd w:val="clear" w:color="000000" w:fill="FFFFFF"/>
            <w:noWrap/>
            <w:vAlign w:val="center"/>
            <w:hideMark/>
          </w:tcPr>
          <w:p w14:paraId="3D8939DE"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 </w:t>
            </w:r>
          </w:p>
        </w:tc>
        <w:tc>
          <w:tcPr>
            <w:tcW w:w="413" w:type="pct"/>
            <w:tcBorders>
              <w:top w:val="nil"/>
              <w:left w:val="nil"/>
              <w:bottom w:val="nil"/>
              <w:right w:val="nil"/>
            </w:tcBorders>
            <w:shd w:val="clear" w:color="000000" w:fill="FFFFFF"/>
            <w:noWrap/>
            <w:vAlign w:val="center"/>
            <w:hideMark/>
          </w:tcPr>
          <w:p w14:paraId="547DD24A"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788.1</w:t>
            </w:r>
          </w:p>
        </w:tc>
        <w:tc>
          <w:tcPr>
            <w:tcW w:w="412" w:type="pct"/>
            <w:tcBorders>
              <w:top w:val="nil"/>
              <w:left w:val="nil"/>
              <w:bottom w:val="nil"/>
              <w:right w:val="nil"/>
            </w:tcBorders>
            <w:shd w:val="clear" w:color="000000" w:fill="E6F2FF"/>
            <w:noWrap/>
            <w:vAlign w:val="center"/>
            <w:hideMark/>
          </w:tcPr>
          <w:p w14:paraId="79F93626"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829.6</w:t>
            </w:r>
          </w:p>
        </w:tc>
        <w:tc>
          <w:tcPr>
            <w:tcW w:w="412" w:type="pct"/>
            <w:tcBorders>
              <w:top w:val="nil"/>
              <w:left w:val="nil"/>
              <w:bottom w:val="nil"/>
              <w:right w:val="nil"/>
            </w:tcBorders>
            <w:shd w:val="clear" w:color="000000" w:fill="FFFFFF"/>
            <w:noWrap/>
            <w:vAlign w:val="center"/>
            <w:hideMark/>
          </w:tcPr>
          <w:p w14:paraId="689F44C4"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853.9</w:t>
            </w:r>
          </w:p>
        </w:tc>
        <w:tc>
          <w:tcPr>
            <w:tcW w:w="412" w:type="pct"/>
            <w:tcBorders>
              <w:top w:val="nil"/>
              <w:left w:val="nil"/>
              <w:bottom w:val="nil"/>
              <w:right w:val="nil"/>
            </w:tcBorders>
            <w:shd w:val="clear" w:color="000000" w:fill="FFFFFF"/>
            <w:noWrap/>
            <w:vAlign w:val="center"/>
            <w:hideMark/>
          </w:tcPr>
          <w:p w14:paraId="411E01DF"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882.8</w:t>
            </w:r>
          </w:p>
        </w:tc>
        <w:tc>
          <w:tcPr>
            <w:tcW w:w="412" w:type="pct"/>
            <w:tcBorders>
              <w:top w:val="nil"/>
              <w:left w:val="nil"/>
              <w:bottom w:val="nil"/>
              <w:right w:val="nil"/>
            </w:tcBorders>
            <w:shd w:val="clear" w:color="000000" w:fill="FFFFFF"/>
            <w:noWrap/>
            <w:vAlign w:val="center"/>
            <w:hideMark/>
          </w:tcPr>
          <w:p w14:paraId="373AACB7"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920.1</w:t>
            </w:r>
          </w:p>
        </w:tc>
        <w:tc>
          <w:tcPr>
            <w:tcW w:w="59" w:type="pct"/>
            <w:tcBorders>
              <w:top w:val="nil"/>
              <w:left w:val="nil"/>
              <w:bottom w:val="nil"/>
              <w:right w:val="nil"/>
            </w:tcBorders>
            <w:shd w:val="clear" w:color="000000" w:fill="FFFFFF"/>
            <w:noWrap/>
            <w:vAlign w:val="center"/>
            <w:hideMark/>
          </w:tcPr>
          <w:p w14:paraId="6100C71D"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 </w:t>
            </w:r>
          </w:p>
        </w:tc>
        <w:tc>
          <w:tcPr>
            <w:tcW w:w="420" w:type="pct"/>
            <w:tcBorders>
              <w:top w:val="nil"/>
              <w:left w:val="nil"/>
              <w:bottom w:val="nil"/>
              <w:right w:val="nil"/>
            </w:tcBorders>
            <w:shd w:val="clear" w:color="000000" w:fill="FFFFFF"/>
            <w:noWrap/>
            <w:vAlign w:val="center"/>
            <w:hideMark/>
          </w:tcPr>
          <w:p w14:paraId="75E38D2E"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4,274.4</w:t>
            </w:r>
          </w:p>
        </w:tc>
        <w:tc>
          <w:tcPr>
            <w:tcW w:w="70" w:type="pct"/>
            <w:tcBorders>
              <w:top w:val="nil"/>
              <w:left w:val="nil"/>
              <w:bottom w:val="nil"/>
              <w:right w:val="nil"/>
            </w:tcBorders>
            <w:shd w:val="clear" w:color="000000" w:fill="FFFFFF"/>
            <w:noWrap/>
            <w:vAlign w:val="center"/>
            <w:hideMark/>
          </w:tcPr>
          <w:p w14:paraId="35AC2243"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 </w:t>
            </w:r>
          </w:p>
        </w:tc>
        <w:tc>
          <w:tcPr>
            <w:tcW w:w="510" w:type="pct"/>
            <w:tcBorders>
              <w:top w:val="nil"/>
              <w:left w:val="nil"/>
              <w:bottom w:val="nil"/>
              <w:right w:val="nil"/>
            </w:tcBorders>
            <w:shd w:val="clear" w:color="000000" w:fill="FFFFFF"/>
            <w:noWrap/>
            <w:vAlign w:val="center"/>
            <w:hideMark/>
          </w:tcPr>
          <w:p w14:paraId="27AB2441"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 </w:t>
            </w:r>
          </w:p>
        </w:tc>
      </w:tr>
      <w:tr w:rsidR="001009DD" w14:paraId="7B3388F6" w14:textId="77777777" w:rsidTr="001009DD">
        <w:trPr>
          <w:trHeight w:hRule="exact" w:val="225"/>
        </w:trPr>
        <w:tc>
          <w:tcPr>
            <w:tcW w:w="1401" w:type="pct"/>
            <w:tcBorders>
              <w:top w:val="nil"/>
              <w:left w:val="nil"/>
              <w:bottom w:val="nil"/>
              <w:right w:val="nil"/>
            </w:tcBorders>
            <w:shd w:val="clear" w:color="000000" w:fill="FFFFFF"/>
            <w:noWrap/>
            <w:vAlign w:val="center"/>
            <w:hideMark/>
          </w:tcPr>
          <w:p w14:paraId="275736D3"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Per cent of GDP</w:t>
            </w:r>
          </w:p>
        </w:tc>
        <w:tc>
          <w:tcPr>
            <w:tcW w:w="420" w:type="pct"/>
            <w:tcBorders>
              <w:top w:val="nil"/>
              <w:left w:val="nil"/>
              <w:bottom w:val="nil"/>
              <w:right w:val="nil"/>
            </w:tcBorders>
            <w:shd w:val="clear" w:color="000000" w:fill="FFFFFF"/>
            <w:noWrap/>
            <w:vAlign w:val="center"/>
            <w:hideMark/>
          </w:tcPr>
          <w:p w14:paraId="57DEFC6A"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26.2</w:t>
            </w:r>
          </w:p>
        </w:tc>
        <w:tc>
          <w:tcPr>
            <w:tcW w:w="59" w:type="pct"/>
            <w:tcBorders>
              <w:top w:val="nil"/>
              <w:left w:val="nil"/>
              <w:bottom w:val="nil"/>
              <w:right w:val="nil"/>
            </w:tcBorders>
            <w:shd w:val="clear" w:color="000000" w:fill="FFFFFF"/>
            <w:noWrap/>
            <w:vAlign w:val="center"/>
            <w:hideMark/>
          </w:tcPr>
          <w:p w14:paraId="20865E74"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5DE249DA"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26.6</w:t>
            </w:r>
          </w:p>
        </w:tc>
        <w:tc>
          <w:tcPr>
            <w:tcW w:w="412" w:type="pct"/>
            <w:tcBorders>
              <w:top w:val="nil"/>
              <w:left w:val="nil"/>
              <w:bottom w:val="nil"/>
              <w:right w:val="nil"/>
            </w:tcBorders>
            <w:shd w:val="clear" w:color="000000" w:fill="E6F2FF"/>
            <w:noWrap/>
            <w:vAlign w:val="center"/>
            <w:hideMark/>
          </w:tcPr>
          <w:p w14:paraId="4D38157F"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26.8</w:t>
            </w:r>
          </w:p>
        </w:tc>
        <w:tc>
          <w:tcPr>
            <w:tcW w:w="412" w:type="pct"/>
            <w:tcBorders>
              <w:top w:val="nil"/>
              <w:left w:val="nil"/>
              <w:bottom w:val="nil"/>
              <w:right w:val="nil"/>
            </w:tcBorders>
            <w:shd w:val="clear" w:color="000000" w:fill="FFFFFF"/>
            <w:noWrap/>
            <w:vAlign w:val="center"/>
            <w:hideMark/>
          </w:tcPr>
          <w:p w14:paraId="7B9D9927"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26.8</w:t>
            </w:r>
          </w:p>
        </w:tc>
        <w:tc>
          <w:tcPr>
            <w:tcW w:w="412" w:type="pct"/>
            <w:tcBorders>
              <w:top w:val="nil"/>
              <w:left w:val="nil"/>
              <w:bottom w:val="nil"/>
              <w:right w:val="nil"/>
            </w:tcBorders>
            <w:shd w:val="clear" w:color="000000" w:fill="FFFFFF"/>
            <w:noWrap/>
            <w:vAlign w:val="center"/>
            <w:hideMark/>
          </w:tcPr>
          <w:p w14:paraId="68095C36"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26.5</w:t>
            </w:r>
          </w:p>
        </w:tc>
        <w:tc>
          <w:tcPr>
            <w:tcW w:w="412" w:type="pct"/>
            <w:tcBorders>
              <w:top w:val="nil"/>
              <w:left w:val="nil"/>
              <w:bottom w:val="nil"/>
              <w:right w:val="nil"/>
            </w:tcBorders>
            <w:shd w:val="clear" w:color="000000" w:fill="FFFFFF"/>
            <w:noWrap/>
            <w:vAlign w:val="center"/>
            <w:hideMark/>
          </w:tcPr>
          <w:p w14:paraId="4A2364F3"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26.2</w:t>
            </w:r>
          </w:p>
        </w:tc>
        <w:tc>
          <w:tcPr>
            <w:tcW w:w="59" w:type="pct"/>
            <w:tcBorders>
              <w:top w:val="nil"/>
              <w:left w:val="nil"/>
              <w:bottom w:val="nil"/>
              <w:right w:val="nil"/>
            </w:tcBorders>
            <w:shd w:val="clear" w:color="000000" w:fill="FFFFFF"/>
            <w:noWrap/>
            <w:vAlign w:val="center"/>
            <w:hideMark/>
          </w:tcPr>
          <w:p w14:paraId="4AE4963E"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14:paraId="3E64ABCE"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371FCB2A"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14:paraId="59C1CF1E"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26.2</w:t>
            </w:r>
          </w:p>
        </w:tc>
      </w:tr>
      <w:tr w:rsidR="001009DD" w14:paraId="72AC50D4" w14:textId="77777777" w:rsidTr="001009DD">
        <w:trPr>
          <w:trHeight w:hRule="exact" w:val="60"/>
        </w:trPr>
        <w:tc>
          <w:tcPr>
            <w:tcW w:w="1401" w:type="pct"/>
            <w:tcBorders>
              <w:top w:val="nil"/>
              <w:left w:val="nil"/>
              <w:bottom w:val="nil"/>
              <w:right w:val="nil"/>
            </w:tcBorders>
            <w:shd w:val="clear" w:color="000000" w:fill="FFFFFF"/>
            <w:noWrap/>
            <w:vAlign w:val="center"/>
            <w:hideMark/>
          </w:tcPr>
          <w:p w14:paraId="031A481F"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14:paraId="224D7F64"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121CE6AA"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79C9CF3C"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2" w:type="pct"/>
            <w:tcBorders>
              <w:top w:val="nil"/>
              <w:left w:val="nil"/>
              <w:bottom w:val="nil"/>
              <w:right w:val="nil"/>
            </w:tcBorders>
            <w:shd w:val="clear" w:color="000000" w:fill="E6F2FF"/>
            <w:noWrap/>
            <w:vAlign w:val="center"/>
            <w:hideMark/>
          </w:tcPr>
          <w:p w14:paraId="4E203BF0"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14:paraId="45A84BDD"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14:paraId="647349C8"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14:paraId="35E25818"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475A73C6"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14:paraId="741851B6"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6403AAB3"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14:paraId="7BB89154"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r>
      <w:tr w:rsidR="001009DD" w14:paraId="501A1322" w14:textId="77777777" w:rsidTr="001009DD">
        <w:trPr>
          <w:trHeight w:hRule="exact" w:val="225"/>
        </w:trPr>
        <w:tc>
          <w:tcPr>
            <w:tcW w:w="1401" w:type="pct"/>
            <w:tcBorders>
              <w:top w:val="nil"/>
              <w:left w:val="nil"/>
              <w:bottom w:val="nil"/>
              <w:right w:val="nil"/>
            </w:tcBorders>
            <w:shd w:val="clear" w:color="000000" w:fill="FFFFFF"/>
            <w:noWrap/>
            <w:vAlign w:val="center"/>
            <w:hideMark/>
          </w:tcPr>
          <w:p w14:paraId="57A5C508" w14:textId="77777777" w:rsidR="001009DD" w:rsidRPr="00F424C9" w:rsidRDefault="001009DD" w:rsidP="001009DD">
            <w:pPr>
              <w:spacing w:before="0" w:after="0" w:line="240" w:lineRule="auto"/>
              <w:rPr>
                <w:rFonts w:ascii="Arial" w:hAnsi="Arial" w:cs="Arial"/>
                <w:b/>
                <w:bCs/>
                <w:sz w:val="16"/>
                <w:szCs w:val="16"/>
              </w:rPr>
            </w:pPr>
            <w:r w:rsidRPr="00F424C9">
              <w:rPr>
                <w:rFonts w:ascii="Arial" w:hAnsi="Arial" w:cs="Arial"/>
                <w:b/>
                <w:bCs/>
                <w:sz w:val="16"/>
                <w:szCs w:val="16"/>
              </w:rPr>
              <w:t>Gross debt(c)</w:t>
            </w:r>
          </w:p>
        </w:tc>
        <w:tc>
          <w:tcPr>
            <w:tcW w:w="420" w:type="pct"/>
            <w:tcBorders>
              <w:top w:val="nil"/>
              <w:left w:val="nil"/>
              <w:bottom w:val="nil"/>
              <w:right w:val="nil"/>
            </w:tcBorders>
            <w:shd w:val="clear" w:color="000000" w:fill="FFFFFF"/>
            <w:noWrap/>
            <w:vAlign w:val="center"/>
            <w:hideMark/>
          </w:tcPr>
          <w:p w14:paraId="0D84B307"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928.6</w:t>
            </w:r>
          </w:p>
        </w:tc>
        <w:tc>
          <w:tcPr>
            <w:tcW w:w="59" w:type="pct"/>
            <w:tcBorders>
              <w:top w:val="nil"/>
              <w:left w:val="nil"/>
              <w:bottom w:val="nil"/>
              <w:right w:val="nil"/>
            </w:tcBorders>
            <w:shd w:val="clear" w:color="000000" w:fill="FFFFFF"/>
            <w:noWrap/>
            <w:vAlign w:val="center"/>
            <w:hideMark/>
          </w:tcPr>
          <w:p w14:paraId="36D4D555"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1E08E3CA"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982.0</w:t>
            </w:r>
          </w:p>
        </w:tc>
        <w:tc>
          <w:tcPr>
            <w:tcW w:w="412" w:type="pct"/>
            <w:tcBorders>
              <w:top w:val="nil"/>
              <w:left w:val="nil"/>
              <w:bottom w:val="nil"/>
              <w:right w:val="nil"/>
            </w:tcBorders>
            <w:shd w:val="clear" w:color="000000" w:fill="E6F2FF"/>
            <w:noWrap/>
            <w:vAlign w:val="bottom"/>
            <w:hideMark/>
          </w:tcPr>
          <w:p w14:paraId="561781EA"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1,051.0</w:t>
            </w:r>
          </w:p>
        </w:tc>
        <w:tc>
          <w:tcPr>
            <w:tcW w:w="412" w:type="pct"/>
            <w:tcBorders>
              <w:top w:val="nil"/>
              <w:left w:val="nil"/>
              <w:bottom w:val="nil"/>
              <w:right w:val="nil"/>
            </w:tcBorders>
            <w:shd w:val="clear" w:color="000000" w:fill="FFFFFF"/>
            <w:noWrap/>
            <w:vAlign w:val="center"/>
            <w:hideMark/>
          </w:tcPr>
          <w:p w14:paraId="5EDFDD6D"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1,120.0</w:t>
            </w:r>
          </w:p>
        </w:tc>
        <w:tc>
          <w:tcPr>
            <w:tcW w:w="412" w:type="pct"/>
            <w:tcBorders>
              <w:top w:val="nil"/>
              <w:left w:val="nil"/>
              <w:bottom w:val="nil"/>
              <w:right w:val="nil"/>
            </w:tcBorders>
            <w:shd w:val="clear" w:color="000000" w:fill="FFFFFF"/>
            <w:noWrap/>
            <w:vAlign w:val="center"/>
            <w:hideMark/>
          </w:tcPr>
          <w:p w14:paraId="4D3E7C42"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1,193.0</w:t>
            </w:r>
          </w:p>
        </w:tc>
        <w:tc>
          <w:tcPr>
            <w:tcW w:w="412" w:type="pct"/>
            <w:tcBorders>
              <w:top w:val="nil"/>
              <w:left w:val="nil"/>
              <w:bottom w:val="nil"/>
              <w:right w:val="nil"/>
            </w:tcBorders>
            <w:shd w:val="clear" w:color="000000" w:fill="FFFFFF"/>
            <w:noWrap/>
            <w:vAlign w:val="center"/>
            <w:hideMark/>
          </w:tcPr>
          <w:p w14:paraId="7131CBC3"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1,249.0</w:t>
            </w:r>
          </w:p>
        </w:tc>
        <w:tc>
          <w:tcPr>
            <w:tcW w:w="59" w:type="pct"/>
            <w:tcBorders>
              <w:top w:val="nil"/>
              <w:left w:val="nil"/>
              <w:bottom w:val="nil"/>
              <w:right w:val="nil"/>
            </w:tcBorders>
            <w:shd w:val="clear" w:color="000000" w:fill="FFFFFF"/>
            <w:noWrap/>
            <w:vAlign w:val="center"/>
            <w:hideMark/>
          </w:tcPr>
          <w:p w14:paraId="1E62E53D"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 </w:t>
            </w:r>
          </w:p>
        </w:tc>
        <w:tc>
          <w:tcPr>
            <w:tcW w:w="420" w:type="pct"/>
            <w:tcBorders>
              <w:top w:val="nil"/>
              <w:left w:val="nil"/>
              <w:bottom w:val="nil"/>
              <w:right w:val="nil"/>
            </w:tcBorders>
            <w:shd w:val="clear" w:color="000000" w:fill="FFFFFF"/>
            <w:noWrap/>
            <w:vAlign w:val="center"/>
            <w:hideMark/>
          </w:tcPr>
          <w:p w14:paraId="53011021"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 </w:t>
            </w:r>
          </w:p>
        </w:tc>
        <w:tc>
          <w:tcPr>
            <w:tcW w:w="70" w:type="pct"/>
            <w:tcBorders>
              <w:top w:val="nil"/>
              <w:left w:val="nil"/>
              <w:bottom w:val="nil"/>
              <w:right w:val="nil"/>
            </w:tcBorders>
            <w:shd w:val="clear" w:color="000000" w:fill="FFFFFF"/>
            <w:noWrap/>
            <w:vAlign w:val="center"/>
            <w:hideMark/>
          </w:tcPr>
          <w:p w14:paraId="6AD499F4"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 </w:t>
            </w:r>
          </w:p>
        </w:tc>
        <w:tc>
          <w:tcPr>
            <w:tcW w:w="510" w:type="pct"/>
            <w:tcBorders>
              <w:top w:val="nil"/>
              <w:left w:val="nil"/>
              <w:bottom w:val="nil"/>
              <w:right w:val="nil"/>
            </w:tcBorders>
            <w:shd w:val="clear" w:color="000000" w:fill="FFFFFF"/>
            <w:noWrap/>
            <w:vAlign w:val="center"/>
            <w:hideMark/>
          </w:tcPr>
          <w:p w14:paraId="792308EB" w14:textId="77777777" w:rsidR="001009DD" w:rsidRPr="00F424C9" w:rsidRDefault="001009DD" w:rsidP="001009DD">
            <w:pPr>
              <w:spacing w:before="0" w:after="0" w:line="240" w:lineRule="auto"/>
              <w:rPr>
                <w:rFonts w:ascii="Arial" w:hAnsi="Arial" w:cs="Arial"/>
                <w:b/>
                <w:bCs/>
                <w:sz w:val="16"/>
                <w:szCs w:val="16"/>
              </w:rPr>
            </w:pPr>
            <w:r w:rsidRPr="00F424C9">
              <w:rPr>
                <w:rFonts w:ascii="Arial" w:hAnsi="Arial" w:cs="Arial"/>
                <w:b/>
                <w:bCs/>
                <w:sz w:val="16"/>
                <w:szCs w:val="16"/>
              </w:rPr>
              <w:t> </w:t>
            </w:r>
          </w:p>
        </w:tc>
      </w:tr>
      <w:tr w:rsidR="001009DD" w14:paraId="0F03D4F7" w14:textId="77777777" w:rsidTr="001009DD">
        <w:trPr>
          <w:trHeight w:hRule="exact" w:val="225"/>
        </w:trPr>
        <w:tc>
          <w:tcPr>
            <w:tcW w:w="1401" w:type="pct"/>
            <w:tcBorders>
              <w:top w:val="nil"/>
              <w:left w:val="nil"/>
              <w:bottom w:val="nil"/>
              <w:right w:val="nil"/>
            </w:tcBorders>
            <w:shd w:val="clear" w:color="000000" w:fill="FFFFFF"/>
            <w:noWrap/>
            <w:vAlign w:val="center"/>
            <w:hideMark/>
          </w:tcPr>
          <w:p w14:paraId="135CF19F"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Per cent of GDP</w:t>
            </w:r>
          </w:p>
        </w:tc>
        <w:tc>
          <w:tcPr>
            <w:tcW w:w="420" w:type="pct"/>
            <w:tcBorders>
              <w:top w:val="nil"/>
              <w:left w:val="nil"/>
              <w:bottom w:val="nil"/>
              <w:right w:val="nil"/>
            </w:tcBorders>
            <w:shd w:val="clear" w:color="000000" w:fill="FFFFFF"/>
            <w:noWrap/>
            <w:vAlign w:val="center"/>
            <w:hideMark/>
          </w:tcPr>
          <w:p w14:paraId="6FAE144F"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33.4</w:t>
            </w:r>
          </w:p>
        </w:tc>
        <w:tc>
          <w:tcPr>
            <w:tcW w:w="59" w:type="pct"/>
            <w:tcBorders>
              <w:top w:val="nil"/>
              <w:left w:val="nil"/>
              <w:bottom w:val="nil"/>
              <w:right w:val="nil"/>
            </w:tcBorders>
            <w:shd w:val="clear" w:color="000000" w:fill="FFFFFF"/>
            <w:noWrap/>
            <w:vAlign w:val="center"/>
            <w:hideMark/>
          </w:tcPr>
          <w:p w14:paraId="044E19B5"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433CE3BC"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33.1</w:t>
            </w:r>
          </w:p>
        </w:tc>
        <w:tc>
          <w:tcPr>
            <w:tcW w:w="412" w:type="pct"/>
            <w:tcBorders>
              <w:top w:val="nil"/>
              <w:left w:val="nil"/>
              <w:bottom w:val="nil"/>
              <w:right w:val="nil"/>
            </w:tcBorders>
            <w:shd w:val="clear" w:color="000000" w:fill="E6F2FF"/>
            <w:noWrap/>
            <w:vAlign w:val="center"/>
            <w:hideMark/>
          </w:tcPr>
          <w:p w14:paraId="11F978DE"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34.0</w:t>
            </w:r>
          </w:p>
        </w:tc>
        <w:tc>
          <w:tcPr>
            <w:tcW w:w="412" w:type="pct"/>
            <w:tcBorders>
              <w:top w:val="nil"/>
              <w:left w:val="nil"/>
              <w:bottom w:val="nil"/>
              <w:right w:val="nil"/>
            </w:tcBorders>
            <w:shd w:val="clear" w:color="000000" w:fill="FFFFFF"/>
            <w:noWrap/>
            <w:vAlign w:val="center"/>
            <w:hideMark/>
          </w:tcPr>
          <w:p w14:paraId="2A9EA0C3"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35.2</w:t>
            </w:r>
          </w:p>
        </w:tc>
        <w:tc>
          <w:tcPr>
            <w:tcW w:w="412" w:type="pct"/>
            <w:tcBorders>
              <w:top w:val="nil"/>
              <w:left w:val="nil"/>
              <w:bottom w:val="nil"/>
              <w:right w:val="nil"/>
            </w:tcBorders>
            <w:shd w:val="clear" w:color="000000" w:fill="FFFFFF"/>
            <w:noWrap/>
            <w:vAlign w:val="center"/>
            <w:hideMark/>
          </w:tcPr>
          <w:p w14:paraId="228A1097"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35.8</w:t>
            </w:r>
          </w:p>
        </w:tc>
        <w:tc>
          <w:tcPr>
            <w:tcW w:w="412" w:type="pct"/>
            <w:tcBorders>
              <w:top w:val="nil"/>
              <w:left w:val="nil"/>
              <w:bottom w:val="nil"/>
              <w:right w:val="nil"/>
            </w:tcBorders>
            <w:shd w:val="clear" w:color="000000" w:fill="FFFFFF"/>
            <w:noWrap/>
            <w:vAlign w:val="center"/>
            <w:hideMark/>
          </w:tcPr>
          <w:p w14:paraId="25AB29BA"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35.6</w:t>
            </w:r>
          </w:p>
        </w:tc>
        <w:tc>
          <w:tcPr>
            <w:tcW w:w="59" w:type="pct"/>
            <w:tcBorders>
              <w:top w:val="nil"/>
              <w:left w:val="nil"/>
              <w:bottom w:val="nil"/>
              <w:right w:val="nil"/>
            </w:tcBorders>
            <w:shd w:val="clear" w:color="000000" w:fill="FFFFFF"/>
            <w:noWrap/>
            <w:vAlign w:val="center"/>
            <w:hideMark/>
          </w:tcPr>
          <w:p w14:paraId="326C993E"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14:paraId="0B3F9CBE"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226CE7DD"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14:paraId="4707BDA9"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27.2</w:t>
            </w:r>
          </w:p>
        </w:tc>
      </w:tr>
      <w:tr w:rsidR="001009DD" w14:paraId="467A456F" w14:textId="77777777" w:rsidTr="001009DD">
        <w:trPr>
          <w:trHeight w:hRule="exact" w:val="60"/>
        </w:trPr>
        <w:tc>
          <w:tcPr>
            <w:tcW w:w="1401" w:type="pct"/>
            <w:tcBorders>
              <w:top w:val="nil"/>
              <w:left w:val="nil"/>
              <w:bottom w:val="nil"/>
              <w:right w:val="nil"/>
            </w:tcBorders>
            <w:shd w:val="clear" w:color="000000" w:fill="FFFFFF"/>
            <w:noWrap/>
            <w:vAlign w:val="center"/>
            <w:hideMark/>
          </w:tcPr>
          <w:p w14:paraId="210DAFAB"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14:paraId="251905D8"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4C01F753"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027A0C6A"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2" w:type="pct"/>
            <w:tcBorders>
              <w:top w:val="nil"/>
              <w:left w:val="nil"/>
              <w:bottom w:val="nil"/>
              <w:right w:val="nil"/>
            </w:tcBorders>
            <w:shd w:val="clear" w:color="000000" w:fill="E6F2FF"/>
            <w:noWrap/>
            <w:vAlign w:val="center"/>
            <w:hideMark/>
          </w:tcPr>
          <w:p w14:paraId="1F3AE925"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14:paraId="320EF17C"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14:paraId="0252DFA4"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14:paraId="405A55E5"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649DF853"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14:paraId="1B4C7999"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5FE19635"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14:paraId="6C4C4EDC"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 </w:t>
            </w:r>
          </w:p>
        </w:tc>
      </w:tr>
      <w:tr w:rsidR="001009DD" w14:paraId="32ADE34D" w14:textId="77777777" w:rsidTr="001009DD">
        <w:trPr>
          <w:trHeight w:hRule="exact" w:val="225"/>
        </w:trPr>
        <w:tc>
          <w:tcPr>
            <w:tcW w:w="1401" w:type="pct"/>
            <w:tcBorders>
              <w:top w:val="nil"/>
              <w:left w:val="nil"/>
              <w:bottom w:val="nil"/>
              <w:right w:val="nil"/>
            </w:tcBorders>
            <w:shd w:val="clear" w:color="000000" w:fill="FFFFFF"/>
            <w:noWrap/>
            <w:vAlign w:val="center"/>
            <w:hideMark/>
          </w:tcPr>
          <w:p w14:paraId="5BC6825F" w14:textId="77777777" w:rsidR="001009DD" w:rsidRPr="00F424C9" w:rsidRDefault="001009DD" w:rsidP="001009DD">
            <w:pPr>
              <w:spacing w:before="0" w:after="0" w:line="240" w:lineRule="auto"/>
              <w:rPr>
                <w:rFonts w:ascii="Arial" w:hAnsi="Arial" w:cs="Arial"/>
                <w:b/>
                <w:bCs/>
                <w:sz w:val="16"/>
                <w:szCs w:val="16"/>
              </w:rPr>
            </w:pPr>
            <w:r w:rsidRPr="00F424C9">
              <w:rPr>
                <w:rFonts w:ascii="Arial" w:hAnsi="Arial" w:cs="Arial"/>
                <w:b/>
                <w:bCs/>
                <w:sz w:val="16"/>
                <w:szCs w:val="16"/>
              </w:rPr>
              <w:t xml:space="preserve">Net debt(d) </w:t>
            </w:r>
          </w:p>
        </w:tc>
        <w:tc>
          <w:tcPr>
            <w:tcW w:w="420" w:type="pct"/>
            <w:tcBorders>
              <w:top w:val="nil"/>
              <w:left w:val="nil"/>
              <w:bottom w:val="nil"/>
              <w:right w:val="nil"/>
            </w:tcBorders>
            <w:shd w:val="clear" w:color="000000" w:fill="FFFFFF"/>
            <w:noWrap/>
            <w:vAlign w:val="center"/>
            <w:hideMark/>
          </w:tcPr>
          <w:p w14:paraId="6984688D"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532.3</w:t>
            </w:r>
          </w:p>
        </w:tc>
        <w:tc>
          <w:tcPr>
            <w:tcW w:w="59" w:type="pct"/>
            <w:tcBorders>
              <w:top w:val="nil"/>
              <w:left w:val="nil"/>
              <w:bottom w:val="nil"/>
              <w:right w:val="nil"/>
            </w:tcBorders>
            <w:shd w:val="clear" w:color="000000" w:fill="FFFFFF"/>
            <w:noWrap/>
            <w:vAlign w:val="center"/>
            <w:hideMark/>
          </w:tcPr>
          <w:p w14:paraId="17ABD499"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3607B039"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556.0</w:t>
            </w:r>
          </w:p>
        </w:tc>
        <w:tc>
          <w:tcPr>
            <w:tcW w:w="412" w:type="pct"/>
            <w:tcBorders>
              <w:top w:val="nil"/>
              <w:left w:val="nil"/>
              <w:bottom w:val="nil"/>
              <w:right w:val="nil"/>
            </w:tcBorders>
            <w:shd w:val="clear" w:color="000000" w:fill="E6F2FF"/>
            <w:noWrap/>
            <w:vAlign w:val="center"/>
            <w:hideMark/>
          </w:tcPr>
          <w:p w14:paraId="60004EDA"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616.6</w:t>
            </w:r>
          </w:p>
        </w:tc>
        <w:tc>
          <w:tcPr>
            <w:tcW w:w="412" w:type="pct"/>
            <w:tcBorders>
              <w:top w:val="nil"/>
              <w:left w:val="nil"/>
              <w:bottom w:val="nil"/>
              <w:right w:val="nil"/>
            </w:tcBorders>
            <w:shd w:val="clear" w:color="000000" w:fill="FFFFFF"/>
            <w:noWrap/>
            <w:vAlign w:val="center"/>
            <w:hideMark/>
          </w:tcPr>
          <w:p w14:paraId="06DDDA5D"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668.8</w:t>
            </w:r>
          </w:p>
        </w:tc>
        <w:tc>
          <w:tcPr>
            <w:tcW w:w="412" w:type="pct"/>
            <w:tcBorders>
              <w:top w:val="nil"/>
              <w:left w:val="nil"/>
              <w:bottom w:val="nil"/>
              <w:right w:val="nil"/>
            </w:tcBorders>
            <w:shd w:val="clear" w:color="000000" w:fill="FFFFFF"/>
            <w:noWrap/>
            <w:vAlign w:val="center"/>
            <w:hideMark/>
          </w:tcPr>
          <w:p w14:paraId="080EDB1C"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725.5</w:t>
            </w:r>
          </w:p>
        </w:tc>
        <w:tc>
          <w:tcPr>
            <w:tcW w:w="412" w:type="pct"/>
            <w:tcBorders>
              <w:top w:val="nil"/>
              <w:left w:val="nil"/>
              <w:bottom w:val="nil"/>
              <w:right w:val="nil"/>
            </w:tcBorders>
            <w:shd w:val="clear" w:color="000000" w:fill="FFFFFF"/>
            <w:noWrap/>
            <w:vAlign w:val="center"/>
            <w:hideMark/>
          </w:tcPr>
          <w:p w14:paraId="3CF872ED"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767.8</w:t>
            </w:r>
          </w:p>
        </w:tc>
        <w:tc>
          <w:tcPr>
            <w:tcW w:w="59" w:type="pct"/>
            <w:tcBorders>
              <w:top w:val="nil"/>
              <w:left w:val="nil"/>
              <w:bottom w:val="nil"/>
              <w:right w:val="nil"/>
            </w:tcBorders>
            <w:shd w:val="clear" w:color="000000" w:fill="FFFFFF"/>
            <w:noWrap/>
            <w:vAlign w:val="center"/>
            <w:hideMark/>
          </w:tcPr>
          <w:p w14:paraId="225DB8F4"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14:paraId="008D2DBB"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 </w:t>
            </w:r>
          </w:p>
        </w:tc>
        <w:tc>
          <w:tcPr>
            <w:tcW w:w="70" w:type="pct"/>
            <w:tcBorders>
              <w:top w:val="nil"/>
              <w:left w:val="nil"/>
              <w:bottom w:val="nil"/>
              <w:right w:val="nil"/>
            </w:tcBorders>
            <w:shd w:val="clear" w:color="000000" w:fill="FFFFFF"/>
            <w:noWrap/>
            <w:vAlign w:val="center"/>
            <w:hideMark/>
          </w:tcPr>
          <w:p w14:paraId="431FFE2E"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 </w:t>
            </w:r>
          </w:p>
        </w:tc>
        <w:tc>
          <w:tcPr>
            <w:tcW w:w="510" w:type="pct"/>
            <w:tcBorders>
              <w:top w:val="nil"/>
              <w:left w:val="nil"/>
              <w:bottom w:val="nil"/>
              <w:right w:val="nil"/>
            </w:tcBorders>
            <w:shd w:val="clear" w:color="000000" w:fill="FFFFFF"/>
            <w:noWrap/>
            <w:vAlign w:val="center"/>
            <w:hideMark/>
          </w:tcPr>
          <w:p w14:paraId="3D66FABC"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 </w:t>
            </w:r>
          </w:p>
        </w:tc>
      </w:tr>
      <w:tr w:rsidR="001009DD" w14:paraId="44F3C6D0" w14:textId="77777777" w:rsidTr="001009DD">
        <w:trPr>
          <w:trHeight w:hRule="exact" w:val="225"/>
        </w:trPr>
        <w:tc>
          <w:tcPr>
            <w:tcW w:w="1401" w:type="pct"/>
            <w:tcBorders>
              <w:top w:val="nil"/>
              <w:left w:val="nil"/>
              <w:bottom w:val="nil"/>
              <w:right w:val="nil"/>
            </w:tcBorders>
            <w:shd w:val="clear" w:color="000000" w:fill="FFFFFF"/>
            <w:noWrap/>
            <w:vAlign w:val="center"/>
            <w:hideMark/>
          </w:tcPr>
          <w:p w14:paraId="53F5D51E"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 xml:space="preserve">Per cent of GDP </w:t>
            </w:r>
          </w:p>
        </w:tc>
        <w:tc>
          <w:tcPr>
            <w:tcW w:w="420" w:type="pct"/>
            <w:tcBorders>
              <w:top w:val="nil"/>
              <w:left w:val="nil"/>
              <w:bottom w:val="nil"/>
              <w:right w:val="nil"/>
            </w:tcBorders>
            <w:shd w:val="clear" w:color="000000" w:fill="FFFFFF"/>
            <w:noWrap/>
            <w:vAlign w:val="center"/>
            <w:hideMark/>
          </w:tcPr>
          <w:p w14:paraId="18FDB911"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19.2</w:t>
            </w:r>
          </w:p>
        </w:tc>
        <w:tc>
          <w:tcPr>
            <w:tcW w:w="59" w:type="pct"/>
            <w:tcBorders>
              <w:top w:val="nil"/>
              <w:left w:val="nil"/>
              <w:bottom w:val="nil"/>
              <w:right w:val="nil"/>
            </w:tcBorders>
            <w:shd w:val="clear" w:color="000000" w:fill="FFFFFF"/>
            <w:noWrap/>
            <w:vAlign w:val="center"/>
            <w:hideMark/>
          </w:tcPr>
          <w:p w14:paraId="58B17A7F"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2BB53241"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18.8</w:t>
            </w:r>
          </w:p>
        </w:tc>
        <w:tc>
          <w:tcPr>
            <w:tcW w:w="412" w:type="pct"/>
            <w:tcBorders>
              <w:top w:val="nil"/>
              <w:left w:val="nil"/>
              <w:bottom w:val="nil"/>
              <w:right w:val="nil"/>
            </w:tcBorders>
            <w:shd w:val="clear" w:color="000000" w:fill="E6F2FF"/>
            <w:noWrap/>
            <w:vAlign w:val="center"/>
            <w:hideMark/>
          </w:tcPr>
          <w:p w14:paraId="6155B277"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19.9</w:t>
            </w:r>
          </w:p>
        </w:tc>
        <w:tc>
          <w:tcPr>
            <w:tcW w:w="412" w:type="pct"/>
            <w:tcBorders>
              <w:top w:val="nil"/>
              <w:left w:val="nil"/>
              <w:bottom w:val="nil"/>
              <w:right w:val="nil"/>
            </w:tcBorders>
            <w:shd w:val="clear" w:color="000000" w:fill="FFFFFF"/>
            <w:noWrap/>
            <w:vAlign w:val="center"/>
            <w:hideMark/>
          </w:tcPr>
          <w:p w14:paraId="2FAC6AAE"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21.0</w:t>
            </w:r>
          </w:p>
        </w:tc>
        <w:tc>
          <w:tcPr>
            <w:tcW w:w="412" w:type="pct"/>
            <w:tcBorders>
              <w:top w:val="nil"/>
              <w:left w:val="nil"/>
              <w:bottom w:val="nil"/>
              <w:right w:val="nil"/>
            </w:tcBorders>
            <w:shd w:val="clear" w:color="000000" w:fill="FFFFFF"/>
            <w:noWrap/>
            <w:vAlign w:val="center"/>
            <w:hideMark/>
          </w:tcPr>
          <w:p w14:paraId="04855AD3"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21.8</w:t>
            </w:r>
          </w:p>
        </w:tc>
        <w:tc>
          <w:tcPr>
            <w:tcW w:w="412" w:type="pct"/>
            <w:tcBorders>
              <w:top w:val="nil"/>
              <w:left w:val="nil"/>
              <w:bottom w:val="nil"/>
              <w:right w:val="nil"/>
            </w:tcBorders>
            <w:shd w:val="clear" w:color="000000" w:fill="FFFFFF"/>
            <w:noWrap/>
            <w:vAlign w:val="center"/>
            <w:hideMark/>
          </w:tcPr>
          <w:p w14:paraId="0AF9FA51"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21.9</w:t>
            </w:r>
          </w:p>
        </w:tc>
        <w:tc>
          <w:tcPr>
            <w:tcW w:w="59" w:type="pct"/>
            <w:tcBorders>
              <w:top w:val="nil"/>
              <w:left w:val="nil"/>
              <w:bottom w:val="nil"/>
              <w:right w:val="nil"/>
            </w:tcBorders>
            <w:shd w:val="clear" w:color="000000" w:fill="FFFFFF"/>
            <w:noWrap/>
            <w:vAlign w:val="center"/>
            <w:hideMark/>
          </w:tcPr>
          <w:p w14:paraId="3304A89A"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14:paraId="54C4F81B"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236F0DAF"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14:paraId="766CBF4C"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15.1</w:t>
            </w:r>
          </w:p>
        </w:tc>
      </w:tr>
      <w:tr w:rsidR="001009DD" w14:paraId="3ABA12E6" w14:textId="77777777" w:rsidTr="001009DD">
        <w:trPr>
          <w:trHeight w:hRule="exact" w:val="60"/>
        </w:trPr>
        <w:tc>
          <w:tcPr>
            <w:tcW w:w="1401" w:type="pct"/>
            <w:tcBorders>
              <w:top w:val="nil"/>
              <w:left w:val="nil"/>
              <w:bottom w:val="nil"/>
              <w:right w:val="nil"/>
            </w:tcBorders>
            <w:shd w:val="clear" w:color="000000" w:fill="FFFFFF"/>
            <w:noWrap/>
            <w:vAlign w:val="center"/>
            <w:hideMark/>
          </w:tcPr>
          <w:p w14:paraId="571EEB4F"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14:paraId="5836160E"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2DF9078E"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14:paraId="45A39EB7"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2" w:type="pct"/>
            <w:tcBorders>
              <w:top w:val="nil"/>
              <w:left w:val="nil"/>
              <w:bottom w:val="nil"/>
              <w:right w:val="nil"/>
            </w:tcBorders>
            <w:shd w:val="clear" w:color="000000" w:fill="E6F2FF"/>
            <w:noWrap/>
            <w:vAlign w:val="center"/>
            <w:hideMark/>
          </w:tcPr>
          <w:p w14:paraId="310C9AF0"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14:paraId="4BA0B577"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14:paraId="6F5E6C9F"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14:paraId="1479FA2A"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267ECE0A"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14:paraId="69B3129F"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15DE586C"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14:paraId="0DF2E7FA"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 </w:t>
            </w:r>
          </w:p>
        </w:tc>
      </w:tr>
      <w:tr w:rsidR="003A7910" w14:paraId="1939533A" w14:textId="77777777" w:rsidTr="009E058B">
        <w:trPr>
          <w:trHeight w:hRule="exact" w:val="225"/>
        </w:trPr>
        <w:tc>
          <w:tcPr>
            <w:tcW w:w="1401" w:type="pct"/>
            <w:tcBorders>
              <w:top w:val="nil"/>
              <w:left w:val="nil"/>
              <w:bottom w:val="nil"/>
              <w:right w:val="nil"/>
            </w:tcBorders>
            <w:shd w:val="clear" w:color="000000" w:fill="FFFFFF"/>
            <w:noWrap/>
            <w:vAlign w:val="center"/>
            <w:hideMark/>
          </w:tcPr>
          <w:p w14:paraId="0F73DA6C" w14:textId="77777777" w:rsidR="001009DD" w:rsidRPr="00F424C9" w:rsidRDefault="001009DD" w:rsidP="001009DD">
            <w:pPr>
              <w:spacing w:before="0" w:after="0" w:line="240" w:lineRule="auto"/>
              <w:rPr>
                <w:rFonts w:ascii="Arial" w:hAnsi="Arial" w:cs="Arial"/>
                <w:b/>
                <w:bCs/>
                <w:sz w:val="16"/>
                <w:szCs w:val="16"/>
              </w:rPr>
            </w:pPr>
            <w:r w:rsidRPr="00F424C9">
              <w:rPr>
                <w:rFonts w:ascii="Arial" w:hAnsi="Arial" w:cs="Arial"/>
                <w:b/>
                <w:bCs/>
                <w:sz w:val="16"/>
                <w:szCs w:val="16"/>
              </w:rPr>
              <w:t>Net interest payments</w:t>
            </w:r>
            <w:r w:rsidRPr="00F424C9">
              <w:rPr>
                <w:rFonts w:ascii="Arial" w:hAnsi="Arial" w:cs="Arial"/>
                <w:b/>
                <w:sz w:val="16"/>
                <w:szCs w:val="16"/>
              </w:rPr>
              <w:t>(e)</w:t>
            </w:r>
          </w:p>
        </w:tc>
        <w:tc>
          <w:tcPr>
            <w:tcW w:w="420" w:type="pct"/>
            <w:tcBorders>
              <w:top w:val="nil"/>
              <w:left w:val="nil"/>
              <w:bottom w:val="nil"/>
              <w:right w:val="nil"/>
            </w:tcBorders>
            <w:shd w:val="clear" w:color="000000" w:fill="FFFFFF"/>
            <w:noWrap/>
            <w:vAlign w:val="center"/>
            <w:hideMark/>
          </w:tcPr>
          <w:p w14:paraId="6A8F250B"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13.7</w:t>
            </w:r>
          </w:p>
        </w:tc>
        <w:tc>
          <w:tcPr>
            <w:tcW w:w="59" w:type="pct"/>
            <w:tcBorders>
              <w:top w:val="nil"/>
              <w:left w:val="nil"/>
              <w:bottom w:val="nil"/>
              <w:right w:val="nil"/>
            </w:tcBorders>
            <w:shd w:val="clear" w:color="000000" w:fill="FFFFFF"/>
            <w:noWrap/>
            <w:vAlign w:val="center"/>
            <w:hideMark/>
          </w:tcPr>
          <w:p w14:paraId="108CFF99"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 </w:t>
            </w:r>
          </w:p>
        </w:tc>
        <w:tc>
          <w:tcPr>
            <w:tcW w:w="413" w:type="pct"/>
            <w:tcBorders>
              <w:top w:val="nil"/>
              <w:left w:val="nil"/>
              <w:bottom w:val="nil"/>
              <w:right w:val="nil"/>
            </w:tcBorders>
            <w:shd w:val="clear" w:color="000000" w:fill="FFFFFF"/>
            <w:noWrap/>
            <w:vAlign w:val="center"/>
            <w:hideMark/>
          </w:tcPr>
          <w:p w14:paraId="0C3659F1"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17.7</w:t>
            </w:r>
          </w:p>
        </w:tc>
        <w:tc>
          <w:tcPr>
            <w:tcW w:w="412" w:type="pct"/>
            <w:tcBorders>
              <w:top w:val="nil"/>
              <w:left w:val="nil"/>
              <w:bottom w:val="nil"/>
              <w:right w:val="nil"/>
            </w:tcBorders>
            <w:shd w:val="clear" w:color="000000" w:fill="E6F2FF"/>
            <w:noWrap/>
            <w:vAlign w:val="center"/>
            <w:hideMark/>
          </w:tcPr>
          <w:p w14:paraId="1C251F5C"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19.9</w:t>
            </w:r>
          </w:p>
        </w:tc>
        <w:tc>
          <w:tcPr>
            <w:tcW w:w="412" w:type="pct"/>
            <w:tcBorders>
              <w:top w:val="nil"/>
              <w:left w:val="nil"/>
              <w:bottom w:val="nil"/>
              <w:right w:val="nil"/>
            </w:tcBorders>
            <w:shd w:val="clear" w:color="000000" w:fill="FFFFFF"/>
            <w:noWrap/>
            <w:vAlign w:val="center"/>
            <w:hideMark/>
          </w:tcPr>
          <w:p w14:paraId="5730D7B9"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26.7</w:t>
            </w:r>
          </w:p>
        </w:tc>
        <w:tc>
          <w:tcPr>
            <w:tcW w:w="412" w:type="pct"/>
            <w:tcBorders>
              <w:top w:val="nil"/>
              <w:left w:val="nil"/>
              <w:bottom w:val="nil"/>
              <w:right w:val="nil"/>
            </w:tcBorders>
            <w:shd w:val="clear" w:color="000000" w:fill="FFFFFF"/>
            <w:noWrap/>
            <w:vAlign w:val="center"/>
            <w:hideMark/>
          </w:tcPr>
          <w:p w14:paraId="07D0C31B"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28.0</w:t>
            </w:r>
          </w:p>
        </w:tc>
        <w:tc>
          <w:tcPr>
            <w:tcW w:w="412" w:type="pct"/>
            <w:tcBorders>
              <w:top w:val="nil"/>
              <w:left w:val="nil"/>
              <w:bottom w:val="nil"/>
              <w:right w:val="nil"/>
            </w:tcBorders>
            <w:shd w:val="clear" w:color="000000" w:fill="FFFFFF"/>
            <w:noWrap/>
            <w:vAlign w:val="center"/>
            <w:hideMark/>
          </w:tcPr>
          <w:p w14:paraId="6ED98FB0"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31.7</w:t>
            </w:r>
          </w:p>
        </w:tc>
        <w:tc>
          <w:tcPr>
            <w:tcW w:w="59" w:type="pct"/>
            <w:tcBorders>
              <w:top w:val="nil"/>
              <w:left w:val="nil"/>
              <w:bottom w:val="nil"/>
              <w:right w:val="nil"/>
            </w:tcBorders>
            <w:noWrap/>
            <w:vAlign w:val="center"/>
            <w:hideMark/>
          </w:tcPr>
          <w:p w14:paraId="2B6A4B93" w14:textId="77777777" w:rsidR="001009DD" w:rsidRPr="00F424C9" w:rsidRDefault="001009DD" w:rsidP="001009DD">
            <w:pPr>
              <w:spacing w:before="0" w:after="0" w:line="240" w:lineRule="auto"/>
              <w:jc w:val="right"/>
              <w:rPr>
                <w:rFonts w:ascii="Arial" w:hAnsi="Arial" w:cs="Arial"/>
                <w:b/>
                <w:bCs/>
                <w:sz w:val="16"/>
                <w:szCs w:val="16"/>
              </w:rPr>
            </w:pPr>
          </w:p>
        </w:tc>
        <w:tc>
          <w:tcPr>
            <w:tcW w:w="420" w:type="pct"/>
            <w:tcBorders>
              <w:top w:val="nil"/>
              <w:left w:val="nil"/>
              <w:bottom w:val="nil"/>
              <w:right w:val="nil"/>
            </w:tcBorders>
            <w:shd w:val="clear" w:color="000000" w:fill="FFFFFF"/>
            <w:noWrap/>
            <w:vAlign w:val="center"/>
            <w:hideMark/>
          </w:tcPr>
          <w:p w14:paraId="27E20AF7" w14:textId="77777777" w:rsidR="001009DD" w:rsidRPr="00F424C9" w:rsidRDefault="001009DD" w:rsidP="001009DD">
            <w:pPr>
              <w:spacing w:before="0" w:after="0" w:line="240" w:lineRule="auto"/>
              <w:jc w:val="right"/>
              <w:rPr>
                <w:rFonts w:ascii="Arial" w:hAnsi="Arial" w:cs="Arial"/>
                <w:b/>
                <w:bCs/>
                <w:sz w:val="16"/>
                <w:szCs w:val="16"/>
              </w:rPr>
            </w:pPr>
            <w:r w:rsidRPr="00F424C9">
              <w:rPr>
                <w:rFonts w:ascii="Arial" w:hAnsi="Arial" w:cs="Arial"/>
                <w:b/>
                <w:bCs/>
                <w:sz w:val="16"/>
                <w:szCs w:val="16"/>
              </w:rPr>
              <w:t xml:space="preserve">     124.0 </w:t>
            </w:r>
          </w:p>
        </w:tc>
        <w:tc>
          <w:tcPr>
            <w:tcW w:w="70" w:type="pct"/>
            <w:tcBorders>
              <w:top w:val="nil"/>
              <w:left w:val="nil"/>
              <w:bottom w:val="nil"/>
              <w:right w:val="nil"/>
            </w:tcBorders>
            <w:shd w:val="clear" w:color="000000" w:fill="FFFFFF"/>
            <w:noWrap/>
            <w:vAlign w:val="center"/>
            <w:hideMark/>
          </w:tcPr>
          <w:p w14:paraId="25CB60ED"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 </w:t>
            </w:r>
          </w:p>
        </w:tc>
        <w:tc>
          <w:tcPr>
            <w:tcW w:w="510" w:type="pct"/>
            <w:tcBorders>
              <w:top w:val="nil"/>
              <w:left w:val="nil"/>
              <w:right w:val="nil"/>
            </w:tcBorders>
            <w:shd w:val="clear" w:color="000000" w:fill="FFFFFF"/>
            <w:noWrap/>
            <w:vAlign w:val="center"/>
            <w:hideMark/>
          </w:tcPr>
          <w:p w14:paraId="06522A9C"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 </w:t>
            </w:r>
          </w:p>
        </w:tc>
      </w:tr>
      <w:tr w:rsidR="0014171D" w14:paraId="2D8EEA08" w14:textId="77777777" w:rsidTr="009E058B">
        <w:trPr>
          <w:trHeight w:hRule="exact" w:val="225"/>
        </w:trPr>
        <w:tc>
          <w:tcPr>
            <w:tcW w:w="1401" w:type="pct"/>
            <w:tcBorders>
              <w:top w:val="nil"/>
              <w:left w:val="nil"/>
              <w:bottom w:val="single" w:sz="4" w:space="0" w:color="293F5B"/>
              <w:right w:val="nil"/>
            </w:tcBorders>
            <w:shd w:val="clear" w:color="000000" w:fill="FFFFFF"/>
            <w:noWrap/>
            <w:vAlign w:val="center"/>
            <w:hideMark/>
          </w:tcPr>
          <w:p w14:paraId="473AA685"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Per cent of GDP</w:t>
            </w:r>
          </w:p>
        </w:tc>
        <w:tc>
          <w:tcPr>
            <w:tcW w:w="420" w:type="pct"/>
            <w:tcBorders>
              <w:top w:val="nil"/>
              <w:left w:val="nil"/>
              <w:bottom w:val="single" w:sz="4" w:space="0" w:color="293F5B"/>
              <w:right w:val="nil"/>
            </w:tcBorders>
            <w:shd w:val="clear" w:color="000000" w:fill="FFFFFF"/>
            <w:noWrap/>
            <w:vAlign w:val="center"/>
            <w:hideMark/>
          </w:tcPr>
          <w:p w14:paraId="30131CFA"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0.5</w:t>
            </w:r>
          </w:p>
        </w:tc>
        <w:tc>
          <w:tcPr>
            <w:tcW w:w="59" w:type="pct"/>
            <w:tcBorders>
              <w:top w:val="nil"/>
              <w:left w:val="nil"/>
              <w:bottom w:val="single" w:sz="4" w:space="0" w:color="293F5B"/>
              <w:right w:val="nil"/>
            </w:tcBorders>
            <w:shd w:val="clear" w:color="000000" w:fill="FFFFFF"/>
            <w:noWrap/>
            <w:vAlign w:val="center"/>
            <w:hideMark/>
          </w:tcPr>
          <w:p w14:paraId="684B626F"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 </w:t>
            </w:r>
          </w:p>
        </w:tc>
        <w:tc>
          <w:tcPr>
            <w:tcW w:w="413" w:type="pct"/>
            <w:tcBorders>
              <w:top w:val="nil"/>
              <w:left w:val="nil"/>
              <w:bottom w:val="single" w:sz="4" w:space="0" w:color="293F5B"/>
              <w:right w:val="nil"/>
            </w:tcBorders>
            <w:shd w:val="clear" w:color="000000" w:fill="FFFFFF"/>
            <w:noWrap/>
            <w:vAlign w:val="center"/>
            <w:hideMark/>
          </w:tcPr>
          <w:p w14:paraId="2F0C1E55"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0.6</w:t>
            </w:r>
          </w:p>
        </w:tc>
        <w:tc>
          <w:tcPr>
            <w:tcW w:w="412" w:type="pct"/>
            <w:tcBorders>
              <w:top w:val="nil"/>
              <w:left w:val="nil"/>
              <w:bottom w:val="single" w:sz="4" w:space="0" w:color="293F5B"/>
              <w:right w:val="nil"/>
            </w:tcBorders>
            <w:shd w:val="clear" w:color="000000" w:fill="E6F2FF"/>
            <w:noWrap/>
            <w:vAlign w:val="center"/>
            <w:hideMark/>
          </w:tcPr>
          <w:p w14:paraId="7EF46CD4"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0.6</w:t>
            </w:r>
          </w:p>
        </w:tc>
        <w:tc>
          <w:tcPr>
            <w:tcW w:w="412" w:type="pct"/>
            <w:tcBorders>
              <w:top w:val="nil"/>
              <w:left w:val="nil"/>
              <w:bottom w:val="single" w:sz="4" w:space="0" w:color="293F5B"/>
              <w:right w:val="nil"/>
            </w:tcBorders>
            <w:shd w:val="clear" w:color="000000" w:fill="FFFFFF"/>
            <w:noWrap/>
            <w:vAlign w:val="center"/>
            <w:hideMark/>
          </w:tcPr>
          <w:p w14:paraId="02000BF0"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0.8</w:t>
            </w:r>
          </w:p>
        </w:tc>
        <w:tc>
          <w:tcPr>
            <w:tcW w:w="412" w:type="pct"/>
            <w:tcBorders>
              <w:top w:val="nil"/>
              <w:left w:val="nil"/>
              <w:bottom w:val="single" w:sz="4" w:space="0" w:color="293F5B"/>
              <w:right w:val="nil"/>
            </w:tcBorders>
            <w:shd w:val="clear" w:color="000000" w:fill="FFFFFF"/>
            <w:noWrap/>
            <w:vAlign w:val="center"/>
            <w:hideMark/>
          </w:tcPr>
          <w:p w14:paraId="56D6A0AC"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0.8</w:t>
            </w:r>
          </w:p>
        </w:tc>
        <w:tc>
          <w:tcPr>
            <w:tcW w:w="412" w:type="pct"/>
            <w:tcBorders>
              <w:top w:val="nil"/>
              <w:left w:val="nil"/>
              <w:bottom w:val="single" w:sz="4" w:space="0" w:color="293F5B"/>
              <w:right w:val="nil"/>
            </w:tcBorders>
            <w:shd w:val="clear" w:color="000000" w:fill="FFFFFF"/>
            <w:noWrap/>
            <w:vAlign w:val="center"/>
            <w:hideMark/>
          </w:tcPr>
          <w:p w14:paraId="02DEBFF5"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0.9</w:t>
            </w:r>
          </w:p>
        </w:tc>
        <w:tc>
          <w:tcPr>
            <w:tcW w:w="59" w:type="pct"/>
            <w:tcBorders>
              <w:top w:val="nil"/>
              <w:left w:val="nil"/>
              <w:bottom w:val="single" w:sz="4" w:space="0" w:color="293F5B"/>
              <w:right w:val="nil"/>
            </w:tcBorders>
            <w:noWrap/>
            <w:vAlign w:val="center"/>
            <w:hideMark/>
          </w:tcPr>
          <w:p w14:paraId="3676B97A"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 </w:t>
            </w:r>
          </w:p>
        </w:tc>
        <w:tc>
          <w:tcPr>
            <w:tcW w:w="420" w:type="pct"/>
            <w:tcBorders>
              <w:top w:val="nil"/>
              <w:left w:val="nil"/>
              <w:bottom w:val="single" w:sz="4" w:space="0" w:color="293F5B"/>
              <w:right w:val="nil"/>
            </w:tcBorders>
            <w:shd w:val="clear" w:color="000000" w:fill="FFFFFF"/>
            <w:noWrap/>
            <w:vAlign w:val="center"/>
            <w:hideMark/>
          </w:tcPr>
          <w:p w14:paraId="03B63BE4"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 </w:t>
            </w:r>
          </w:p>
        </w:tc>
        <w:tc>
          <w:tcPr>
            <w:tcW w:w="70" w:type="pct"/>
            <w:tcBorders>
              <w:top w:val="nil"/>
              <w:left w:val="nil"/>
              <w:bottom w:val="single" w:sz="4" w:space="0" w:color="293F5B"/>
              <w:right w:val="nil"/>
            </w:tcBorders>
            <w:shd w:val="clear" w:color="000000" w:fill="FFFFFF"/>
            <w:noWrap/>
            <w:vAlign w:val="center"/>
            <w:hideMark/>
          </w:tcPr>
          <w:p w14:paraId="012457A6" w14:textId="77777777" w:rsidR="001009DD" w:rsidRPr="00F424C9" w:rsidRDefault="001009DD" w:rsidP="001009DD">
            <w:pPr>
              <w:spacing w:before="0" w:after="0" w:line="240" w:lineRule="auto"/>
              <w:rPr>
                <w:rFonts w:ascii="Arial" w:hAnsi="Arial" w:cs="Arial"/>
                <w:sz w:val="16"/>
                <w:szCs w:val="16"/>
              </w:rPr>
            </w:pPr>
            <w:r w:rsidRPr="00F424C9">
              <w:rPr>
                <w:rFonts w:ascii="Arial" w:hAnsi="Arial" w:cs="Arial"/>
                <w:sz w:val="16"/>
                <w:szCs w:val="16"/>
              </w:rPr>
              <w:t> </w:t>
            </w:r>
          </w:p>
        </w:tc>
        <w:tc>
          <w:tcPr>
            <w:tcW w:w="510" w:type="pct"/>
            <w:tcBorders>
              <w:top w:val="nil"/>
              <w:left w:val="nil"/>
              <w:bottom w:val="single" w:sz="4" w:space="0" w:color="auto"/>
              <w:right w:val="nil"/>
            </w:tcBorders>
            <w:shd w:val="clear" w:color="000000" w:fill="FFFFFF"/>
            <w:noWrap/>
            <w:vAlign w:val="center"/>
            <w:hideMark/>
          </w:tcPr>
          <w:p w14:paraId="6A432929" w14:textId="77777777" w:rsidR="001009DD" w:rsidRPr="00F424C9" w:rsidRDefault="001009DD" w:rsidP="001009DD">
            <w:pPr>
              <w:spacing w:before="0" w:after="0" w:line="240" w:lineRule="auto"/>
              <w:jc w:val="right"/>
              <w:rPr>
                <w:rFonts w:ascii="Arial" w:hAnsi="Arial" w:cs="Arial"/>
                <w:sz w:val="16"/>
                <w:szCs w:val="16"/>
              </w:rPr>
            </w:pPr>
            <w:r w:rsidRPr="00F424C9">
              <w:rPr>
                <w:rFonts w:ascii="Arial" w:hAnsi="Arial" w:cs="Arial"/>
                <w:sz w:val="16"/>
                <w:szCs w:val="16"/>
              </w:rPr>
              <w:t>1.0</w:t>
            </w:r>
          </w:p>
        </w:tc>
      </w:tr>
    </w:tbl>
    <w:p w14:paraId="564849A0" w14:textId="3772C0FD" w:rsidR="003C63BD" w:rsidRPr="003C63BD" w:rsidRDefault="003C63BD" w:rsidP="00690107">
      <w:pPr>
        <w:pStyle w:val="ChartandTableFootnoteAlpha"/>
        <w:rPr>
          <w:rFonts w:eastAsiaTheme="minorEastAsia"/>
        </w:rPr>
      </w:pPr>
      <w:r w:rsidRPr="003C63BD">
        <w:rPr>
          <w:rFonts w:eastAsiaTheme="minorEastAsia"/>
        </w:rPr>
        <w:t>Total is equal to the sum of amounts from 202</w:t>
      </w:r>
      <w:r w:rsidR="00967D15">
        <w:rPr>
          <w:rFonts w:eastAsiaTheme="minorEastAsia"/>
        </w:rPr>
        <w:t>5</w:t>
      </w:r>
      <w:r w:rsidRPr="003C63BD">
        <w:rPr>
          <w:rFonts w:eastAsiaTheme="minorEastAsia"/>
        </w:rPr>
        <w:t>–2</w:t>
      </w:r>
      <w:r w:rsidR="00967D15">
        <w:rPr>
          <w:rFonts w:eastAsiaTheme="minorEastAsia"/>
        </w:rPr>
        <w:t>6</w:t>
      </w:r>
      <w:r w:rsidRPr="003C63BD">
        <w:rPr>
          <w:rFonts w:eastAsiaTheme="minorEastAsia"/>
        </w:rPr>
        <w:t xml:space="preserve"> to 202</w:t>
      </w:r>
      <w:r w:rsidR="00967D15">
        <w:rPr>
          <w:rFonts w:eastAsiaTheme="minorEastAsia"/>
        </w:rPr>
        <w:t>9</w:t>
      </w:r>
      <w:r w:rsidRPr="003C63BD">
        <w:rPr>
          <w:rFonts w:eastAsiaTheme="minorEastAsia"/>
        </w:rPr>
        <w:t>–</w:t>
      </w:r>
      <w:r w:rsidR="00967D15">
        <w:rPr>
          <w:rFonts w:eastAsiaTheme="minorEastAsia"/>
        </w:rPr>
        <w:t>30</w:t>
      </w:r>
      <w:r w:rsidRPr="003C63BD">
        <w:rPr>
          <w:rFonts w:eastAsiaTheme="minorEastAsia"/>
        </w:rPr>
        <w:t>.</w:t>
      </w:r>
      <w:r w:rsidRPr="003C63BD">
        <w:t xml:space="preserve"> </w:t>
      </w:r>
    </w:p>
    <w:p w14:paraId="2E3D6D92" w14:textId="2BCC537A" w:rsidR="003C63BD" w:rsidRPr="003C63BD" w:rsidRDefault="003C63BD" w:rsidP="00690107">
      <w:pPr>
        <w:pStyle w:val="ChartandTableFootnoteAlpha"/>
        <w:rPr>
          <w:rFonts w:eastAsiaTheme="minorEastAsia"/>
        </w:rPr>
      </w:pPr>
      <w:r w:rsidRPr="003C63BD">
        <w:rPr>
          <w:rFonts w:eastAsiaTheme="minorEastAsia"/>
        </w:rPr>
        <w:t>Equivalent to cash payments for operating activities, purchases of non</w:t>
      </w:r>
      <w:r w:rsidRPr="003C63BD">
        <w:rPr>
          <w:rFonts w:eastAsiaTheme="minorEastAsia"/>
        </w:rPr>
        <w:noBreakHyphen/>
        <w:t>financial assets and principal payments of lease liabilities.</w:t>
      </w:r>
      <w:r w:rsidRPr="003C63BD">
        <w:t xml:space="preserve"> </w:t>
      </w:r>
    </w:p>
    <w:p w14:paraId="05A149D7" w14:textId="36D7BC7D" w:rsidR="003C63BD" w:rsidRPr="003C63BD" w:rsidRDefault="003C63BD" w:rsidP="00690107">
      <w:pPr>
        <w:pStyle w:val="ChartandTableFootnoteAlpha"/>
        <w:rPr>
          <w:rFonts w:eastAsiaTheme="minorEastAsia"/>
        </w:rPr>
      </w:pPr>
      <w:r w:rsidRPr="003C63BD">
        <w:rPr>
          <w:rFonts w:eastAsiaTheme="minorEastAsia"/>
        </w:rPr>
        <w:t xml:space="preserve">Gross debt measures the face value of Australian Government Securities (AGS) on issue as at the end of the financial year. </w:t>
      </w:r>
    </w:p>
    <w:p w14:paraId="179A81BE" w14:textId="3E8FB6A7" w:rsidR="003C63BD" w:rsidRPr="003C63BD" w:rsidRDefault="003C63BD" w:rsidP="00690107">
      <w:pPr>
        <w:pStyle w:val="ChartandTableFootnoteAlpha"/>
        <w:rPr>
          <w:rFonts w:eastAsiaTheme="minorEastAsia"/>
        </w:rPr>
      </w:pPr>
      <w:r w:rsidRPr="003C63BD">
        <w:rPr>
          <w:rFonts w:eastAsiaTheme="minorEastAsia"/>
        </w:rPr>
        <w:t>Net debt is the sum of interest</w:t>
      </w:r>
      <w:r w:rsidRPr="003C63BD">
        <w:rPr>
          <w:rFonts w:eastAsiaTheme="minorEastAsia"/>
        </w:rPr>
        <w:noBreakHyphen/>
        <w:t>bearing liabilities (which includes AGS on issue measured at market value) less the sum of selected financial assets (cash and deposits, advances paid and investments, loans and placements) as at the end of the financial year.</w:t>
      </w:r>
    </w:p>
    <w:p w14:paraId="1D701830" w14:textId="19053E3C" w:rsidR="003C63BD" w:rsidRPr="003C63BD" w:rsidRDefault="003C63BD" w:rsidP="00690107">
      <w:pPr>
        <w:pStyle w:val="ChartandTableFootnoteAlpha"/>
      </w:pPr>
      <w:r w:rsidRPr="003C63BD">
        <w:rPr>
          <w:rFonts w:eastAsiaTheme="minorEastAsia"/>
        </w:rPr>
        <w:t xml:space="preserve">Net interest payments are equal to the difference between interest payments and interest receipts. </w:t>
      </w:r>
    </w:p>
    <w:p w14:paraId="705CABD2" w14:textId="77777777" w:rsidR="003C63BD" w:rsidRPr="003C63BD" w:rsidRDefault="003C63BD" w:rsidP="00F73BEA">
      <w:pPr>
        <w:pStyle w:val="TableLine"/>
      </w:pPr>
    </w:p>
    <w:p w14:paraId="138C8B6D" w14:textId="77777777" w:rsidR="004B7D81" w:rsidRDefault="004B7D81" w:rsidP="0007571E">
      <w:pPr>
        <w:spacing w:before="0" w:after="160" w:line="259" w:lineRule="auto"/>
        <w:rPr>
          <w:lang w:val="en-US"/>
        </w:rPr>
      </w:pPr>
    </w:p>
    <w:p w14:paraId="6F322803" w14:textId="324492F9" w:rsidR="00F73BEA" w:rsidRPr="00207DD5" w:rsidRDefault="00F73BEA" w:rsidP="00945560">
      <w:pPr>
        <w:pStyle w:val="Heading2"/>
      </w:pPr>
      <w:bookmarkStart w:id="10" w:name="_Toc193537046"/>
      <w:bookmarkStart w:id="11" w:name="_Toc227842114"/>
      <w:bookmarkStart w:id="12" w:name="_Toc229240483"/>
      <w:r w:rsidRPr="00207DD5">
        <w:lastRenderedPageBreak/>
        <w:t>Economic and Fiscal Strategy</w:t>
      </w:r>
      <w:bookmarkEnd w:id="10"/>
      <w:bookmarkEnd w:id="11"/>
      <w:bookmarkEnd w:id="12"/>
    </w:p>
    <w:p w14:paraId="52A485B3" w14:textId="0166CC1C" w:rsidR="005E4D78" w:rsidRPr="00207DD5" w:rsidRDefault="005E4D78" w:rsidP="005E4D78">
      <w:pPr>
        <w:rPr>
          <w:b/>
        </w:rPr>
      </w:pPr>
      <w:r w:rsidRPr="00207DD5">
        <w:t xml:space="preserve">The Government’s Economic and Fiscal Strategy is consistent with the requirements of the </w:t>
      </w:r>
      <w:r w:rsidRPr="00207DD5">
        <w:rPr>
          <w:i/>
        </w:rPr>
        <w:t>Charter of Budget Honesty Act 1998</w:t>
      </w:r>
      <w:r w:rsidRPr="00207DD5">
        <w:t xml:space="preserve">, with </w:t>
      </w:r>
      <w:r w:rsidRPr="00207DD5">
        <w:rPr>
          <w:rFonts w:eastAsia="Calibri"/>
        </w:rPr>
        <w:t>progress reviewed each budget update.</w:t>
      </w:r>
      <w:r w:rsidR="008E52DF" w:rsidRPr="00207DD5">
        <w:t xml:space="preserve"> </w:t>
      </w:r>
    </w:p>
    <w:p w14:paraId="3A15DF2D" w14:textId="227407AE" w:rsidR="00C758C9" w:rsidRPr="00207DD5" w:rsidRDefault="005E4D78" w:rsidP="00C758C9">
      <w:r w:rsidRPr="00207DD5">
        <w:t xml:space="preserve">An update to the Fiscal Strategy (Box 3.1) and </w:t>
      </w:r>
      <w:r w:rsidR="005F48DA" w:rsidRPr="00207DD5">
        <w:t xml:space="preserve">the Government’s </w:t>
      </w:r>
      <w:r w:rsidRPr="00207DD5">
        <w:t>savings package are important further steps by the Government to manage the economy responsibly and ensure fiscal sustainability in an environment of heightened uncertainty and elevated inflationary pressures.</w:t>
      </w:r>
      <w:r w:rsidR="003D599E" w:rsidRPr="00207DD5">
        <w:t xml:space="preserve"> </w:t>
      </w:r>
    </w:p>
    <w:p w14:paraId="0CA9F973" w14:textId="26B96AD7" w:rsidR="005E4D78" w:rsidRPr="00207DD5" w:rsidRDefault="00C758C9" w:rsidP="005E4D78">
      <w:r w:rsidRPr="00207DD5">
        <w:t>The Government’s responsible fiscal management is underpinned by savings and reprioritisations, spending restraint and banking revenue upgrades. These actions mean that the budget position is stronger and the fiscal position is more constrained compared to the MYEFO projections. This budget update is helping to take the pressure off inflation and deliver substantial improvements in the fiscal position over time.</w:t>
      </w:r>
      <w:r w:rsidR="00890E04" w:rsidRPr="00207DD5">
        <w:t xml:space="preserve"> </w:t>
      </w:r>
    </w:p>
    <w:p w14:paraId="3B513C13" w14:textId="4C1B1554" w:rsidR="006826B7" w:rsidRPr="00E46471" w:rsidRDefault="00D265C0" w:rsidP="00DD451D">
      <w:pPr>
        <w:rPr>
          <w:b/>
          <w:color w:val="000000" w:themeColor="text1"/>
        </w:rPr>
      </w:pPr>
      <w:r w:rsidRPr="00207DD5">
        <w:t xml:space="preserve">Fiscal policy has a range of instruments that can </w:t>
      </w:r>
      <w:r w:rsidR="005037F3" w:rsidRPr="00207DD5">
        <w:t xml:space="preserve">be </w:t>
      </w:r>
      <w:r w:rsidRPr="00207DD5">
        <w:t xml:space="preserve">calibrated for a </w:t>
      </w:r>
      <w:r w:rsidR="00504531" w:rsidRPr="00207DD5">
        <w:t>specific</w:t>
      </w:r>
      <w:r w:rsidRPr="00207DD5">
        <w:t xml:space="preserve"> policy response. This makes fiscal policy better suited than monetary policy to respond to supply shocks, such as the </w:t>
      </w:r>
      <w:r w:rsidR="00EF7B2B" w:rsidRPr="00207DD5">
        <w:t>global oil shock.</w:t>
      </w:r>
      <w:r w:rsidRPr="00207DD5">
        <w:t xml:space="preserve"> </w:t>
      </w:r>
      <w:r w:rsidR="006155DE" w:rsidRPr="00207DD5">
        <w:t>Therefore, t</w:t>
      </w:r>
      <w:r w:rsidRPr="00207DD5">
        <w:t>he Government has deployed</w:t>
      </w:r>
      <w:r w:rsidR="005E4D78" w:rsidRPr="00207DD5">
        <w:t xml:space="preserve"> targeted policies to support the economy’s productive capacity</w:t>
      </w:r>
      <w:r w:rsidRPr="00207DD5">
        <w:t xml:space="preserve"> and ease adjustment pressures (Box 1.</w:t>
      </w:r>
      <w:r w:rsidR="00F9643B" w:rsidRPr="00207DD5">
        <w:t>1</w:t>
      </w:r>
      <w:r w:rsidRPr="00207DD5">
        <w:t>).</w:t>
      </w:r>
      <w:r w:rsidRPr="00207DD5">
        <w:rPr>
          <w:b/>
        </w:rPr>
        <w:t xml:space="preserve"> </w:t>
      </w:r>
    </w:p>
    <w:p w14:paraId="7FCB3BA2" w14:textId="54B2029D" w:rsidR="003D1C29" w:rsidRPr="00207DD5" w:rsidRDefault="003D1C29" w:rsidP="003D1C29">
      <w:r w:rsidRPr="00207DD5">
        <w:t>This has not come at the expense of</w:t>
      </w:r>
      <w:r w:rsidR="00D265C0" w:rsidRPr="00207DD5">
        <w:t xml:space="preserve"> </w:t>
      </w:r>
      <w:r w:rsidR="009E1E72" w:rsidRPr="00207DD5">
        <w:t>the</w:t>
      </w:r>
      <w:r w:rsidR="00D265C0" w:rsidRPr="00207DD5">
        <w:t xml:space="preserve"> Government exercising fiscal restraint</w:t>
      </w:r>
      <w:r w:rsidRPr="00207DD5">
        <w:t xml:space="preserve">. </w:t>
      </w:r>
      <w:r w:rsidR="00C8414C" w:rsidRPr="00207DD5">
        <w:t>T</w:t>
      </w:r>
      <w:r w:rsidR="00B93A48" w:rsidRPr="00207DD5">
        <w:t>his</w:t>
      </w:r>
      <w:r w:rsidRPr="00207DD5">
        <w:t xml:space="preserve"> Budget </w:t>
      </w:r>
      <w:r w:rsidR="00D265C0" w:rsidRPr="00207DD5">
        <w:t>builds</w:t>
      </w:r>
      <w:r w:rsidRPr="00207DD5">
        <w:t xml:space="preserve"> fiscal buffers </w:t>
      </w:r>
      <w:r w:rsidR="00587811" w:rsidRPr="00207DD5">
        <w:t>and retains</w:t>
      </w:r>
      <w:r w:rsidRPr="00207DD5">
        <w:t xml:space="preserve"> the capacity to respond flexibly if needed. </w:t>
      </w:r>
    </w:p>
    <w:p w14:paraId="1323C388" w14:textId="41E28E84" w:rsidR="00B93A48" w:rsidRPr="00207DD5" w:rsidRDefault="00B93A48" w:rsidP="00B93A48">
      <w:r w:rsidRPr="00207DD5">
        <w:t xml:space="preserve"> </w:t>
      </w:r>
    </w:p>
    <w:tbl>
      <w:tblPr>
        <w:tblW w:w="5024" w:type="pct"/>
        <w:shd w:val="clear" w:color="auto" w:fill="E6F2FF"/>
        <w:tblCellMar>
          <w:top w:w="284" w:type="dxa"/>
          <w:left w:w="284" w:type="dxa"/>
          <w:bottom w:w="284" w:type="dxa"/>
          <w:right w:w="284" w:type="dxa"/>
        </w:tblCellMar>
        <w:tblLook w:val="0620" w:firstRow="1" w:lastRow="0" w:firstColumn="0" w:lastColumn="0" w:noHBand="1" w:noVBand="1"/>
      </w:tblPr>
      <w:tblGrid>
        <w:gridCol w:w="7747"/>
      </w:tblGrid>
      <w:tr w:rsidR="00F73BEA" w:rsidRPr="00F73BEA" w14:paraId="1979E08D" w14:textId="77777777" w:rsidTr="00C236A0">
        <w:tc>
          <w:tcPr>
            <w:tcW w:w="5000" w:type="pct"/>
            <w:shd w:val="clear" w:color="auto" w:fill="E6F2FF"/>
          </w:tcPr>
          <w:p w14:paraId="0E4F97A3" w14:textId="7B280077" w:rsidR="00957438" w:rsidRPr="00207DD5" w:rsidRDefault="00957438" w:rsidP="00C236A0">
            <w:pPr>
              <w:pStyle w:val="BoxHeading"/>
              <w:rPr>
                <w:rFonts w:eastAsia="Calibri"/>
              </w:rPr>
            </w:pPr>
            <w:r w:rsidRPr="00207DD5">
              <w:rPr>
                <w:rFonts w:eastAsia="Calibri"/>
              </w:rPr>
              <w:lastRenderedPageBreak/>
              <w:t xml:space="preserve">Box 3.1: The Government's Economic and Fiscal Strategy </w:t>
            </w:r>
          </w:p>
          <w:p w14:paraId="691E5CEB" w14:textId="77777777" w:rsidR="00D51192" w:rsidRPr="00207DD5" w:rsidRDefault="00D51192" w:rsidP="00C236A0">
            <w:pPr>
              <w:pStyle w:val="BoxText"/>
              <w:rPr>
                <w:rFonts w:eastAsia="Calibri"/>
              </w:rPr>
            </w:pPr>
            <w:r w:rsidRPr="00207DD5">
              <w:rPr>
                <w:rFonts w:eastAsia="Calibri"/>
              </w:rPr>
              <w:t>The Government's Economic and Fiscal Strategy will make our economy more resilient and deliver a stronger and more sustainable budget.</w:t>
            </w:r>
          </w:p>
          <w:p w14:paraId="2570238A" w14:textId="77777777" w:rsidR="00957438" w:rsidRPr="00207DD5" w:rsidRDefault="00957438" w:rsidP="00C236A0">
            <w:pPr>
              <w:pStyle w:val="BoxText"/>
              <w:rPr>
                <w:rFonts w:eastAsia="Calibri"/>
              </w:rPr>
            </w:pPr>
            <w:r w:rsidRPr="00207DD5">
              <w:rPr>
                <w:rFonts w:eastAsia="Calibri"/>
              </w:rPr>
              <w:t xml:space="preserve">The Strategy is focused on the objectives of strong, inclusive and sustainable economic growth, full employment, growing real wages, ensuring women's economic participation and equality, and improving living standards for all Australians. </w:t>
            </w:r>
          </w:p>
          <w:p w14:paraId="53B28CFB" w14:textId="57659A0E" w:rsidR="00012147" w:rsidRPr="00207DD5" w:rsidRDefault="00957438" w:rsidP="00C236A0">
            <w:pPr>
              <w:pStyle w:val="BoxText"/>
              <w:rPr>
                <w:rFonts w:eastAsia="Calibri"/>
              </w:rPr>
            </w:pPr>
            <w:r w:rsidRPr="00207DD5">
              <w:rPr>
                <w:rFonts w:eastAsia="Calibri"/>
              </w:rPr>
              <w:t>The</w:t>
            </w:r>
            <w:r w:rsidRPr="00207DD5" w:rsidDel="00C4746D">
              <w:rPr>
                <w:rFonts w:eastAsia="Calibri"/>
              </w:rPr>
              <w:t xml:space="preserve"> </w:t>
            </w:r>
            <w:r w:rsidRPr="00207DD5">
              <w:rPr>
                <w:rFonts w:eastAsia="Calibri"/>
              </w:rPr>
              <w:t>Strategy provides necessary flexibility for the budget balance to vary in line with economic conditions</w:t>
            </w:r>
            <w:r w:rsidR="00012147" w:rsidRPr="00207DD5">
              <w:rPr>
                <w:rFonts w:eastAsia="Calibri"/>
              </w:rPr>
              <w:t>.</w:t>
            </w:r>
            <w:r w:rsidR="00C03276" w:rsidRPr="00207DD5">
              <w:rPr>
                <w:rFonts w:eastAsia="Calibri"/>
              </w:rPr>
              <w:t xml:space="preserve"> This approach enables fiscal policy to respond to changes </w:t>
            </w:r>
            <w:r w:rsidR="0050275F" w:rsidRPr="00207DD5">
              <w:rPr>
                <w:rFonts w:eastAsia="Calibri"/>
              </w:rPr>
              <w:t>in economic conditions to support macroeconomic stability, including in times of high inflation.</w:t>
            </w:r>
          </w:p>
          <w:p w14:paraId="58B3B71C" w14:textId="77777777" w:rsidR="00CA0624" w:rsidRPr="00207DD5" w:rsidRDefault="00CA0624" w:rsidP="00C236A0">
            <w:pPr>
              <w:pStyle w:val="BoxText"/>
              <w:rPr>
                <w:rFonts w:eastAsia="Calibri"/>
              </w:rPr>
            </w:pPr>
            <w:r w:rsidRPr="00207DD5">
              <w:rPr>
                <w:rFonts w:eastAsia="Calibri"/>
              </w:rPr>
              <w:t>Putting the budget on a more sustainable footing will ensure the Government has the fiscal buffers to withstand economic shocks and better manage fiscal pressures.</w:t>
            </w:r>
          </w:p>
          <w:p w14:paraId="5E9B33C2" w14:textId="03DB2FD1" w:rsidR="0050275F" w:rsidRPr="0002518F" w:rsidRDefault="0050275F" w:rsidP="00C236A0">
            <w:pPr>
              <w:pStyle w:val="BoxHeading2"/>
              <w:rPr>
                <w:rFonts w:eastAsia="Calibri"/>
                <w:b/>
              </w:rPr>
            </w:pPr>
            <w:r w:rsidRPr="0002518F">
              <w:rPr>
                <w:rFonts w:eastAsia="Calibri"/>
                <w:b/>
              </w:rPr>
              <w:t>The Fiscal Strategy</w:t>
            </w:r>
          </w:p>
          <w:p w14:paraId="5722F815" w14:textId="221C1722" w:rsidR="007950FF" w:rsidRPr="00207DD5" w:rsidRDefault="00505D65" w:rsidP="00C236A0">
            <w:pPr>
              <w:pStyle w:val="BoxText"/>
              <w:rPr>
                <w:rFonts w:eastAsia="Calibri"/>
              </w:rPr>
            </w:pPr>
            <w:r w:rsidRPr="00207DD5">
              <w:rPr>
                <w:rFonts w:eastAsia="Calibri"/>
              </w:rPr>
              <w:t xml:space="preserve">The overarching goal of the fiscal strategy is to reduce gross debt as a share of the economy over time. </w:t>
            </w:r>
            <w:r w:rsidR="007950FF" w:rsidRPr="00207DD5">
              <w:rPr>
                <w:rFonts w:eastAsia="Calibri"/>
              </w:rPr>
              <w:t>This will be underpinned by the following actions:</w:t>
            </w:r>
          </w:p>
          <w:p w14:paraId="739423C1" w14:textId="77777777" w:rsidR="007950FF" w:rsidRPr="00207DD5" w:rsidRDefault="007950FF" w:rsidP="00C236A0">
            <w:pPr>
              <w:pStyle w:val="BoxBullet"/>
              <w:rPr>
                <w:rFonts w:eastAsia="Calibri"/>
              </w:rPr>
            </w:pPr>
            <w:r w:rsidRPr="00207DD5">
              <w:rPr>
                <w:rFonts w:eastAsia="Calibri"/>
              </w:rPr>
              <w:t xml:space="preserve">Returning the budget to balance in a measured way, over time. </w:t>
            </w:r>
          </w:p>
          <w:p w14:paraId="6CF4903B" w14:textId="77777777" w:rsidR="00957438" w:rsidRPr="00207DD5" w:rsidRDefault="00957438" w:rsidP="00C236A0">
            <w:pPr>
              <w:pStyle w:val="BoxBullet"/>
              <w:rPr>
                <w:rFonts w:eastAsia="Calibri"/>
              </w:rPr>
            </w:pPr>
            <w:r w:rsidRPr="00207DD5">
              <w:rPr>
                <w:rFonts w:eastAsia="Calibri"/>
              </w:rPr>
              <w:t>Limiting growth in spending until gross debt as a share of GDP is on a downwards trajectory, while growth prospects are sound and unemployment is low.</w:t>
            </w:r>
          </w:p>
          <w:p w14:paraId="7D4E16D9" w14:textId="2AB03D02" w:rsidR="00957438" w:rsidRPr="00207DD5" w:rsidRDefault="00957438" w:rsidP="00C236A0">
            <w:pPr>
              <w:pStyle w:val="BoxBullet"/>
              <w:rPr>
                <w:rFonts w:eastAsia="Calibri"/>
              </w:rPr>
            </w:pPr>
            <w:r w:rsidRPr="00207DD5">
              <w:rPr>
                <w:rFonts w:eastAsia="Calibri"/>
              </w:rPr>
              <w:t xml:space="preserve">Working to put downward pressure on payments-to-GDP, including by </w:t>
            </w:r>
            <w:proofErr w:type="gramStart"/>
            <w:r w:rsidRPr="00207DD5">
              <w:rPr>
                <w:rFonts w:eastAsia="Calibri"/>
              </w:rPr>
              <w:t>taking action</w:t>
            </w:r>
            <w:proofErr w:type="gramEnd"/>
            <w:r w:rsidRPr="00207DD5">
              <w:rPr>
                <w:rFonts w:eastAsia="Calibri"/>
              </w:rPr>
              <w:t xml:space="preserve"> on structural fiscal pressures. </w:t>
            </w:r>
          </w:p>
          <w:p w14:paraId="37CF86EE" w14:textId="77777777" w:rsidR="00CA0624" w:rsidRPr="00207DD5" w:rsidRDefault="00CA0624" w:rsidP="00C236A0">
            <w:pPr>
              <w:pStyle w:val="BoxBullet"/>
              <w:rPr>
                <w:rFonts w:eastAsia="Calibri"/>
              </w:rPr>
            </w:pPr>
            <w:r w:rsidRPr="00207DD5">
              <w:rPr>
                <w:rFonts w:eastAsia="Calibri"/>
              </w:rPr>
              <w:t xml:space="preserve">Allowing tax receipts and income support to respond in line with changes in the economy and directing </w:t>
            </w:r>
            <w:proofErr w:type="gramStart"/>
            <w:r w:rsidRPr="00207DD5">
              <w:rPr>
                <w:rFonts w:eastAsia="Calibri"/>
              </w:rPr>
              <w:t>the majority of</w:t>
            </w:r>
            <w:proofErr w:type="gramEnd"/>
            <w:r w:rsidRPr="00207DD5">
              <w:rPr>
                <w:rFonts w:eastAsia="Calibri"/>
              </w:rPr>
              <w:t xml:space="preserve"> improvements in tax receipts to budget repair. </w:t>
            </w:r>
          </w:p>
          <w:p w14:paraId="127BB85F" w14:textId="46213E68" w:rsidR="00957438" w:rsidRPr="00207DD5" w:rsidRDefault="00957438" w:rsidP="00C236A0">
            <w:pPr>
              <w:pStyle w:val="BoxBullet"/>
              <w:rPr>
                <w:rFonts w:eastAsia="Calibri"/>
              </w:rPr>
            </w:pPr>
            <w:r w:rsidRPr="00207DD5">
              <w:rPr>
                <w:rFonts w:eastAsia="Calibri"/>
              </w:rPr>
              <w:t>Finding savings and reprioritisations to strengthen the budget over time</w:t>
            </w:r>
            <w:r w:rsidR="00EB6514" w:rsidRPr="00207DD5">
              <w:rPr>
                <w:rFonts w:eastAsia="Calibri"/>
              </w:rPr>
              <w:t xml:space="preserve"> and improve the quality of spending</w:t>
            </w:r>
            <w:r w:rsidRPr="00207DD5">
              <w:rPr>
                <w:rFonts w:eastAsia="Calibri"/>
              </w:rPr>
              <w:t>, focusing spending on investments and reforms to make the econom</w:t>
            </w:r>
            <w:r w:rsidR="00111ECF" w:rsidRPr="00207DD5">
              <w:rPr>
                <w:rFonts w:eastAsia="Calibri"/>
              </w:rPr>
              <w:t>y</w:t>
            </w:r>
            <w:r w:rsidRPr="00207DD5">
              <w:rPr>
                <w:rFonts w:eastAsia="Calibri"/>
              </w:rPr>
              <w:t xml:space="preserve"> more productive and improve resilience, and helping fund government services in a sustainable way. </w:t>
            </w:r>
          </w:p>
          <w:p w14:paraId="257520D9" w14:textId="72DAF33B" w:rsidR="00F73BEA" w:rsidRPr="00207DD5" w:rsidRDefault="00CA0624" w:rsidP="00C236A0">
            <w:pPr>
              <w:pStyle w:val="BoxBullet"/>
              <w:rPr>
                <w:rFonts w:eastAsia="Calibri"/>
              </w:rPr>
            </w:pPr>
            <w:r w:rsidRPr="00207DD5">
              <w:rPr>
                <w:rFonts w:eastAsia="Calibri"/>
              </w:rPr>
              <w:t xml:space="preserve">Delivering a more efficient, fairer and simpler tax system, </w:t>
            </w:r>
            <w:r w:rsidR="00EB6514" w:rsidRPr="00207DD5">
              <w:rPr>
                <w:rFonts w:eastAsia="Calibri"/>
              </w:rPr>
              <w:t>that lowers</w:t>
            </w:r>
            <w:r w:rsidR="00EB6514" w:rsidRPr="00207DD5">
              <w:t xml:space="preserve"> the tax burden on working Australians,</w:t>
            </w:r>
            <w:r w:rsidRPr="00207DD5">
              <w:t xml:space="preserve"> and </w:t>
            </w:r>
            <w:r w:rsidR="00EB6514" w:rsidRPr="00207DD5">
              <w:t>creates room</w:t>
            </w:r>
            <w:r w:rsidR="00AE6A11" w:rsidRPr="00207DD5">
              <w:rPr>
                <w:rFonts w:eastAsia="Calibri"/>
              </w:rPr>
              <w:t xml:space="preserve"> for </w:t>
            </w:r>
            <w:r w:rsidR="00EB6514" w:rsidRPr="00207DD5">
              <w:t>further tax relief</w:t>
            </w:r>
            <w:r w:rsidR="00AE6A11" w:rsidRPr="00207DD5">
              <w:rPr>
                <w:rFonts w:eastAsia="Calibri"/>
              </w:rPr>
              <w:t xml:space="preserve"> over time</w:t>
            </w:r>
            <w:r w:rsidR="00EB6514" w:rsidRPr="00207DD5">
              <w:t>.</w:t>
            </w:r>
            <w:r w:rsidR="00F73BEA" w:rsidRPr="00207DD5">
              <w:rPr>
                <w:rFonts w:eastAsia="Calibri"/>
              </w:rPr>
              <w:t xml:space="preserve"> </w:t>
            </w:r>
          </w:p>
        </w:tc>
      </w:tr>
    </w:tbl>
    <w:p w14:paraId="407A847D" w14:textId="77777777" w:rsidR="008436A7" w:rsidRPr="009F0B52" w:rsidRDefault="008436A7">
      <w:pPr>
        <w:spacing w:before="0" w:after="160" w:line="259" w:lineRule="auto"/>
        <w:rPr>
          <w:rStyle w:val="Mention"/>
        </w:rPr>
      </w:pPr>
      <w:bookmarkStart w:id="13" w:name="_Toc193537047"/>
      <w:r w:rsidRPr="009F0B52">
        <w:rPr>
          <w:rStyle w:val="Mention"/>
        </w:rPr>
        <w:br w:type="page"/>
      </w:r>
    </w:p>
    <w:p w14:paraId="73A85224" w14:textId="7B5B2658" w:rsidR="00F73BEA" w:rsidRPr="00207DD5" w:rsidRDefault="00F73BEA" w:rsidP="00945560">
      <w:pPr>
        <w:pStyle w:val="Heading3"/>
      </w:pPr>
      <w:bookmarkStart w:id="14" w:name="_Toc227842115"/>
      <w:bookmarkStart w:id="15" w:name="_Toc229240484"/>
      <w:r w:rsidRPr="00207DD5">
        <w:lastRenderedPageBreak/>
        <w:t>Delivering on the Economic and Fiscal Strategy</w:t>
      </w:r>
      <w:bookmarkEnd w:id="13"/>
      <w:bookmarkEnd w:id="14"/>
      <w:bookmarkEnd w:id="15"/>
    </w:p>
    <w:p w14:paraId="1B6435E0" w14:textId="00638266" w:rsidR="00F73BEA" w:rsidRPr="00207DD5" w:rsidRDefault="00F73BEA" w:rsidP="00F73BEA">
      <w:r w:rsidRPr="00207DD5">
        <w:t>This Budget delivers on the Government’s Economic and Fiscal Strategy by:</w:t>
      </w:r>
    </w:p>
    <w:p w14:paraId="7D194593" w14:textId="09E4F6CC" w:rsidR="00F73BEA" w:rsidRPr="00207DD5" w:rsidRDefault="00F73BEA" w:rsidP="00945560">
      <w:pPr>
        <w:pStyle w:val="Bullet"/>
      </w:pPr>
      <w:r w:rsidRPr="00207DD5">
        <w:t xml:space="preserve">Reducing </w:t>
      </w:r>
      <w:r w:rsidR="00206114" w:rsidRPr="00207DD5">
        <w:t>gross</w:t>
      </w:r>
      <w:r w:rsidR="009F10B4" w:rsidRPr="00207DD5">
        <w:t xml:space="preserve"> </w:t>
      </w:r>
      <w:r w:rsidRPr="00207DD5">
        <w:t>debt as a share of the economy over time.</w:t>
      </w:r>
    </w:p>
    <w:p w14:paraId="29F01B04" w14:textId="122D9FE1" w:rsidR="001A00F5" w:rsidRPr="00207DD5" w:rsidRDefault="001A00F5" w:rsidP="001A00F5">
      <w:pPr>
        <w:pStyle w:val="Dash"/>
      </w:pPr>
      <w:bookmarkStart w:id="16" w:name="_Hlk228884991"/>
      <w:r w:rsidRPr="00207DD5">
        <w:t xml:space="preserve">Compared to projections at </w:t>
      </w:r>
      <w:r w:rsidR="00846397" w:rsidRPr="00207DD5">
        <w:t>MYEFO</w:t>
      </w:r>
      <w:r w:rsidRPr="00207DD5">
        <w:t xml:space="preserve">, gross debt </w:t>
      </w:r>
      <w:r w:rsidR="004C1BCA" w:rsidRPr="00207DD5">
        <w:t xml:space="preserve">as a share of </w:t>
      </w:r>
      <w:r w:rsidRPr="00207DD5">
        <w:t>GDP is lower in every year of the forward estimates</w:t>
      </w:r>
      <w:r w:rsidR="00873768" w:rsidRPr="00207DD5">
        <w:t xml:space="preserve"> and medium</w:t>
      </w:r>
      <w:r w:rsidR="005056BE" w:rsidRPr="00207DD5">
        <w:t xml:space="preserve"> </w:t>
      </w:r>
      <w:r w:rsidR="00873768" w:rsidRPr="00207DD5">
        <w:t>term</w:t>
      </w:r>
      <w:bookmarkEnd w:id="16"/>
      <w:r w:rsidR="0073793C" w:rsidRPr="00207DD5">
        <w:t xml:space="preserve"> (Chart 3.</w:t>
      </w:r>
      <w:r w:rsidR="00950A48" w:rsidRPr="00207DD5">
        <w:t>9</w:t>
      </w:r>
      <w:r w:rsidR="0073793C" w:rsidRPr="00207DD5">
        <w:t>)</w:t>
      </w:r>
      <w:r w:rsidRPr="00207DD5">
        <w:t>.</w:t>
      </w:r>
      <w:r w:rsidR="00C56E55" w:rsidRPr="00207DD5">
        <w:t xml:space="preserve"> </w:t>
      </w:r>
    </w:p>
    <w:p w14:paraId="7B492ECF" w14:textId="19330429" w:rsidR="001A00F5" w:rsidRPr="00207DD5" w:rsidRDefault="001A00F5" w:rsidP="001A00F5">
      <w:pPr>
        <w:pStyle w:val="Dash"/>
      </w:pPr>
      <w:r w:rsidRPr="00207DD5">
        <w:t xml:space="preserve">Gross debt at </w:t>
      </w:r>
      <w:r w:rsidR="00EE68B2" w:rsidRPr="00207DD5">
        <w:t>30 June 2027</w:t>
      </w:r>
      <w:r w:rsidRPr="00207DD5">
        <w:t xml:space="preserve"> is forecast to be $</w:t>
      </w:r>
      <w:r w:rsidR="002F4265" w:rsidRPr="00207DD5">
        <w:t>18</w:t>
      </w:r>
      <w:r w:rsidR="00DF2ECA" w:rsidRPr="00207DD5">
        <w:t>.0</w:t>
      </w:r>
      <w:r w:rsidR="009F0B52" w:rsidRPr="00207DD5">
        <w:t> </w:t>
      </w:r>
      <w:r w:rsidRPr="00207DD5">
        <w:t xml:space="preserve">billion lower than estimated at </w:t>
      </w:r>
      <w:r w:rsidR="00846397" w:rsidRPr="00207DD5">
        <w:t>MYEFO</w:t>
      </w:r>
      <w:r w:rsidRPr="00207DD5">
        <w:t xml:space="preserve"> and $</w:t>
      </w:r>
      <w:r w:rsidR="00FD0490" w:rsidRPr="00207DD5">
        <w:t>173</w:t>
      </w:r>
      <w:r w:rsidR="00DF2ECA" w:rsidRPr="00207DD5">
        <w:t>.0</w:t>
      </w:r>
      <w:r w:rsidR="009F0B52" w:rsidRPr="00207DD5">
        <w:t> </w:t>
      </w:r>
      <w:r w:rsidRPr="00207DD5">
        <w:t xml:space="preserve">billion lower than estimated at the 2022 PEFO. </w:t>
      </w:r>
    </w:p>
    <w:p w14:paraId="4195AA8B" w14:textId="077CA77B" w:rsidR="001A00F5" w:rsidRPr="00207DD5" w:rsidRDefault="001A00F5" w:rsidP="001A00F5">
      <w:pPr>
        <w:pStyle w:val="Dash"/>
      </w:pPr>
      <w:r w:rsidRPr="00207DD5">
        <w:t>Gross debt</w:t>
      </w:r>
      <w:r w:rsidR="009F0B52" w:rsidRPr="00207DD5">
        <w:noBreakHyphen/>
      </w:r>
      <w:r w:rsidRPr="00207DD5">
        <w:t>to</w:t>
      </w:r>
      <w:r w:rsidR="009F0B52" w:rsidRPr="00207DD5">
        <w:noBreakHyphen/>
      </w:r>
      <w:r w:rsidRPr="00207DD5">
        <w:t xml:space="preserve">GDP is expected to peak at </w:t>
      </w:r>
      <w:r w:rsidR="00A61B4A" w:rsidRPr="00207DD5">
        <w:t>35</w:t>
      </w:r>
      <w:r w:rsidRPr="00207DD5">
        <w:t>.</w:t>
      </w:r>
      <w:r w:rsidR="00A61B4A" w:rsidRPr="00207DD5">
        <w:t>8</w:t>
      </w:r>
      <w:r w:rsidR="009F0B52" w:rsidRPr="00207DD5">
        <w:t> </w:t>
      </w:r>
      <w:r w:rsidRPr="00207DD5">
        <w:t>per</w:t>
      </w:r>
      <w:r w:rsidR="009F0B52" w:rsidRPr="00207DD5">
        <w:t> </w:t>
      </w:r>
      <w:r w:rsidRPr="00207DD5">
        <w:t>cent at 30 June 20</w:t>
      </w:r>
      <w:r w:rsidR="00E36EBC" w:rsidRPr="00207DD5">
        <w:t>29</w:t>
      </w:r>
      <w:r w:rsidR="00C173D7" w:rsidRPr="00430B6C">
        <w:t xml:space="preserve"> </w:t>
      </w:r>
      <w:r w:rsidRPr="00207DD5">
        <w:t xml:space="preserve">and then fall to </w:t>
      </w:r>
      <w:r w:rsidR="003A6968" w:rsidRPr="00207DD5">
        <w:t>27.2</w:t>
      </w:r>
      <w:r w:rsidR="009F0B52" w:rsidRPr="00207DD5">
        <w:t> </w:t>
      </w:r>
      <w:r w:rsidRPr="00207DD5">
        <w:t>per</w:t>
      </w:r>
      <w:r w:rsidR="009F0B52" w:rsidRPr="00207DD5">
        <w:t> </w:t>
      </w:r>
      <w:r w:rsidRPr="00207DD5">
        <w:t>cent at 30 June 203</w:t>
      </w:r>
      <w:r w:rsidR="00326D43" w:rsidRPr="00207DD5">
        <w:t>7</w:t>
      </w:r>
      <w:r w:rsidRPr="00207DD5">
        <w:t xml:space="preserve">. Gross debt is expected to peak </w:t>
      </w:r>
      <w:r w:rsidR="00A71CD7" w:rsidRPr="00207DD5">
        <w:t>two</w:t>
      </w:r>
      <w:r w:rsidR="009143E5" w:rsidRPr="00207DD5">
        <w:t xml:space="preserve"> years earlier and </w:t>
      </w:r>
      <w:r w:rsidR="00E4199E" w:rsidRPr="00207DD5">
        <w:t>1</w:t>
      </w:r>
      <w:r w:rsidR="00A71CD7" w:rsidRPr="00207DD5">
        <w:t>.2</w:t>
      </w:r>
      <w:r w:rsidR="00D5370A" w:rsidRPr="00207DD5">
        <w:t> </w:t>
      </w:r>
      <w:r w:rsidR="00C602CF" w:rsidRPr="00207DD5">
        <w:t xml:space="preserve">percentage points lower than at </w:t>
      </w:r>
      <w:r w:rsidR="00846397" w:rsidRPr="00207DD5">
        <w:t>MYEFO</w:t>
      </w:r>
      <w:r w:rsidR="00E80134" w:rsidRPr="00207DD5">
        <w:t>,</w:t>
      </w:r>
      <w:r w:rsidRPr="00207DD5">
        <w:t xml:space="preserve"> and </w:t>
      </w:r>
      <w:r w:rsidR="002E50E7" w:rsidRPr="00207DD5">
        <w:t>9.1</w:t>
      </w:r>
      <w:r w:rsidR="009F0B52" w:rsidRPr="00207DD5">
        <w:t> </w:t>
      </w:r>
      <w:r w:rsidRPr="00207DD5">
        <w:t>percentage points lower than the forecast peak at the 2022 PEFO.</w:t>
      </w:r>
      <w:r w:rsidR="00406BE6" w:rsidRPr="00207DD5">
        <w:t xml:space="preserve"> </w:t>
      </w:r>
    </w:p>
    <w:p w14:paraId="25BC6D57" w14:textId="2CE3003A" w:rsidR="001A00F5" w:rsidRPr="00207DD5" w:rsidRDefault="001A00F5" w:rsidP="001A00F5">
      <w:pPr>
        <w:pStyle w:val="Dash"/>
      </w:pPr>
      <w:r w:rsidRPr="00207DD5">
        <w:t>The cumulative improvements to the budget position, compared to the 2022 PEFO, are expected to save more than $</w:t>
      </w:r>
      <w:r w:rsidR="001E6F8D" w:rsidRPr="00207DD5">
        <w:t>7</w:t>
      </w:r>
      <w:r w:rsidR="004C1ADC" w:rsidRPr="00207DD5">
        <w:t>0</w:t>
      </w:r>
      <w:r w:rsidR="00DF2ECA" w:rsidRPr="00207DD5">
        <w:t>.0</w:t>
      </w:r>
      <w:r w:rsidR="009F0B52" w:rsidRPr="00207DD5">
        <w:t> </w:t>
      </w:r>
      <w:r w:rsidRPr="00207DD5">
        <w:t xml:space="preserve">billion in interest </w:t>
      </w:r>
      <w:r w:rsidR="001C3429" w:rsidRPr="00207DD5">
        <w:t>costs</w:t>
      </w:r>
      <w:r w:rsidRPr="00207DD5">
        <w:t xml:space="preserve"> over the </w:t>
      </w:r>
      <w:r w:rsidR="001C3429" w:rsidRPr="00207DD5">
        <w:t>eleven</w:t>
      </w:r>
      <w:r w:rsidRPr="00207DD5">
        <w:t xml:space="preserve"> years to 2032–33. </w:t>
      </w:r>
    </w:p>
    <w:p w14:paraId="5B7AB5E2" w14:textId="52AB30EB" w:rsidR="001D147D" w:rsidRPr="00207DD5" w:rsidRDefault="00F102DA" w:rsidP="001D147D">
      <w:pPr>
        <w:pStyle w:val="Bullet"/>
      </w:pPr>
      <w:r w:rsidRPr="00207DD5">
        <w:t>Returning</w:t>
      </w:r>
      <w:r w:rsidR="001D147D" w:rsidRPr="00207DD5">
        <w:t xml:space="preserve"> the budget </w:t>
      </w:r>
      <w:r w:rsidRPr="00207DD5">
        <w:t>to balance</w:t>
      </w:r>
      <w:r w:rsidR="00FD4246" w:rsidRPr="00207DD5">
        <w:t xml:space="preserve"> in a measured way</w:t>
      </w:r>
      <w:r w:rsidR="001D147D" w:rsidRPr="00207DD5">
        <w:t xml:space="preserve">. </w:t>
      </w:r>
    </w:p>
    <w:p w14:paraId="0DA090EC" w14:textId="7A03EE09" w:rsidR="001D147D" w:rsidRDefault="001D147D" w:rsidP="001D147D">
      <w:pPr>
        <w:pStyle w:val="Dash"/>
      </w:pPr>
      <w:r w:rsidRPr="00207DD5">
        <w:t xml:space="preserve">The underlying cash balance </w:t>
      </w:r>
      <w:r w:rsidR="004B4FB2" w:rsidRPr="00207DD5">
        <w:t xml:space="preserve">has improved by </w:t>
      </w:r>
      <w:r w:rsidRPr="00207DD5">
        <w:t>$</w:t>
      </w:r>
      <w:r w:rsidR="00EC2114" w:rsidRPr="00207DD5">
        <w:t>8</w:t>
      </w:r>
      <w:r w:rsidR="00567EF3" w:rsidRPr="00207DD5">
        <w:t>.</w:t>
      </w:r>
      <w:r w:rsidR="00EC2114" w:rsidRPr="00207DD5">
        <w:t>5</w:t>
      </w:r>
      <w:r w:rsidR="009F0B52" w:rsidRPr="00207DD5">
        <w:t> </w:t>
      </w:r>
      <w:r w:rsidR="004B4FB2" w:rsidRPr="00207DD5">
        <w:t xml:space="preserve">billion </w:t>
      </w:r>
      <w:r w:rsidRPr="00207DD5">
        <w:t xml:space="preserve">in </w:t>
      </w:r>
      <w:r w:rsidR="005D7089" w:rsidRPr="00207DD5">
        <w:t>2025–26</w:t>
      </w:r>
      <w:r w:rsidRPr="00207DD5">
        <w:t xml:space="preserve"> </w:t>
      </w:r>
      <w:r w:rsidR="00886F56" w:rsidRPr="00207DD5">
        <w:t xml:space="preserve">and </w:t>
      </w:r>
      <w:r w:rsidR="004B4FB2" w:rsidRPr="00207DD5">
        <w:t>by $</w:t>
      </w:r>
      <w:r w:rsidR="00FE7EE3" w:rsidRPr="00207DD5">
        <w:t>2.</w:t>
      </w:r>
      <w:r w:rsidR="00EC2114" w:rsidRPr="00207DD5">
        <w:t>8</w:t>
      </w:r>
      <w:r w:rsidR="003A38B0" w:rsidRPr="00207DD5">
        <w:t> </w:t>
      </w:r>
      <w:r w:rsidR="004B4FB2" w:rsidRPr="00207DD5">
        <w:t xml:space="preserve">billion </w:t>
      </w:r>
      <w:r w:rsidR="00886F56" w:rsidRPr="00207DD5">
        <w:t>in</w:t>
      </w:r>
      <w:r w:rsidRPr="00207DD5">
        <w:t xml:space="preserve"> 2026–27 since MYEFO. The underlying cash balance has improved in every year of the forward estimates since MYEFO, resulting in a cumulative budget improvement of $</w:t>
      </w:r>
      <w:r w:rsidR="00EC2114" w:rsidRPr="00207DD5">
        <w:t>44</w:t>
      </w:r>
      <w:r w:rsidRPr="00207DD5">
        <w:t>.</w:t>
      </w:r>
      <w:r w:rsidR="00EC2114" w:rsidRPr="00207DD5">
        <w:t>9</w:t>
      </w:r>
      <w:r w:rsidR="009F0B52" w:rsidRPr="00207DD5">
        <w:t> </w:t>
      </w:r>
      <w:r w:rsidRPr="00207DD5">
        <w:t xml:space="preserve">billion. </w:t>
      </w:r>
    </w:p>
    <w:p w14:paraId="707B115C" w14:textId="0702304F" w:rsidR="00CC2AB2" w:rsidRPr="00207DD5" w:rsidRDefault="00BB57FB" w:rsidP="001D147D">
      <w:pPr>
        <w:pStyle w:val="Dash"/>
      </w:pPr>
      <w:r w:rsidRPr="00207DD5">
        <w:t>The underlying cash balance improves over the</w:t>
      </w:r>
      <w:r w:rsidR="00C62A25" w:rsidRPr="00207DD5">
        <w:t xml:space="preserve"> medium term</w:t>
      </w:r>
      <w:r w:rsidR="00A04BDE" w:rsidRPr="00207DD5">
        <w:t xml:space="preserve">, </w:t>
      </w:r>
      <w:r w:rsidR="005728C2" w:rsidRPr="00207DD5">
        <w:t xml:space="preserve">returning to balance in </w:t>
      </w:r>
      <w:r w:rsidR="00783C6B" w:rsidRPr="00207DD5">
        <w:t>2034</w:t>
      </w:r>
      <w:r w:rsidR="00496AB1" w:rsidRPr="00207DD5">
        <w:t>–</w:t>
      </w:r>
      <w:r w:rsidR="00783C6B" w:rsidRPr="00207DD5">
        <w:t>35</w:t>
      </w:r>
      <w:r w:rsidR="005728C2" w:rsidRPr="00207DD5">
        <w:t xml:space="preserve"> and to </w:t>
      </w:r>
      <w:r w:rsidR="00A04BDE" w:rsidRPr="00207DD5">
        <w:t xml:space="preserve">a surplus of </w:t>
      </w:r>
      <w:r w:rsidR="00DF3447" w:rsidRPr="00207DD5">
        <w:t>0.</w:t>
      </w:r>
      <w:r w:rsidR="00BA0225" w:rsidRPr="00207DD5">
        <w:t>8</w:t>
      </w:r>
      <w:r w:rsidR="009F0B52" w:rsidRPr="00207DD5">
        <w:t> </w:t>
      </w:r>
      <w:r w:rsidR="00B15EE7" w:rsidRPr="00207DD5">
        <w:t>per</w:t>
      </w:r>
      <w:r w:rsidR="009F0B52" w:rsidRPr="00207DD5">
        <w:t> </w:t>
      </w:r>
      <w:r w:rsidR="00B15EE7" w:rsidRPr="00207DD5">
        <w:t>cent of GDP</w:t>
      </w:r>
      <w:r w:rsidR="00A04BDE" w:rsidRPr="00207DD5">
        <w:t xml:space="preserve"> in 20</w:t>
      </w:r>
      <w:r w:rsidR="002F6048" w:rsidRPr="00207DD5">
        <w:t>3</w:t>
      </w:r>
      <w:r w:rsidR="00445034" w:rsidRPr="00207DD5">
        <w:t>6</w:t>
      </w:r>
      <w:r w:rsidR="00506F3B" w:rsidRPr="00207DD5">
        <w:t>–</w:t>
      </w:r>
      <w:r w:rsidR="002F6048" w:rsidRPr="00207DD5">
        <w:t>3</w:t>
      </w:r>
      <w:r w:rsidR="00445034" w:rsidRPr="00207DD5">
        <w:t>7</w:t>
      </w:r>
      <w:r w:rsidR="0098482E" w:rsidRPr="00207DD5">
        <w:t xml:space="preserve"> </w:t>
      </w:r>
      <w:r w:rsidR="00CC5B9C" w:rsidRPr="00207DD5">
        <w:t>(Chart 3.</w:t>
      </w:r>
      <w:r w:rsidR="00950A48" w:rsidRPr="00207DD5">
        <w:t>4</w:t>
      </w:r>
      <w:r w:rsidR="00CC5B9C" w:rsidRPr="00207DD5">
        <w:t>)</w:t>
      </w:r>
      <w:r w:rsidR="005728C2" w:rsidRPr="00207DD5">
        <w:t>.</w:t>
      </w:r>
      <w:r w:rsidR="0088431A">
        <w:t xml:space="preserve"> </w:t>
      </w:r>
    </w:p>
    <w:p w14:paraId="63E45DD6" w14:textId="1F4064C4" w:rsidR="001D147D" w:rsidRPr="00207DD5" w:rsidRDefault="001D147D" w:rsidP="001D147D">
      <w:pPr>
        <w:pStyle w:val="Dash"/>
      </w:pPr>
      <w:r w:rsidRPr="00207DD5">
        <w:t>Compared to projections at the 2022 PEFO, the underlying cash balance has improved by $</w:t>
      </w:r>
      <w:r w:rsidR="000C30F7" w:rsidRPr="00207DD5">
        <w:t>14</w:t>
      </w:r>
      <w:r w:rsidRPr="00207DD5">
        <w:t>.</w:t>
      </w:r>
      <w:r w:rsidR="00756DF5" w:rsidRPr="00207DD5">
        <w:t>7</w:t>
      </w:r>
      <w:r w:rsidR="009F0B52" w:rsidRPr="00207DD5">
        <w:t> </w:t>
      </w:r>
      <w:r w:rsidRPr="00207DD5">
        <w:t>billion in 2025–26 and by a cumulative $</w:t>
      </w:r>
      <w:r w:rsidR="007723C2" w:rsidRPr="00207DD5">
        <w:t>26</w:t>
      </w:r>
      <w:r w:rsidR="008C761E" w:rsidRPr="00207DD5">
        <w:t>3</w:t>
      </w:r>
      <w:r w:rsidR="007723C2" w:rsidRPr="00207DD5">
        <w:t>.</w:t>
      </w:r>
      <w:r w:rsidR="008C761E" w:rsidRPr="00207DD5">
        <w:t>8</w:t>
      </w:r>
      <w:r w:rsidR="009F0B52" w:rsidRPr="00207DD5">
        <w:t> </w:t>
      </w:r>
      <w:r w:rsidRPr="00207DD5">
        <w:t>billion over the eight years to 2029–30.</w:t>
      </w:r>
    </w:p>
    <w:p w14:paraId="4FA2A947" w14:textId="245A7F81" w:rsidR="0086199F" w:rsidRPr="00207DD5" w:rsidRDefault="0086199F" w:rsidP="0086199F">
      <w:pPr>
        <w:pStyle w:val="Bullet"/>
      </w:pPr>
      <w:r w:rsidRPr="00207DD5">
        <w:t xml:space="preserve">Limiting </w:t>
      </w:r>
      <w:r w:rsidR="0078773F" w:rsidRPr="00207DD5">
        <w:t>growth in</w:t>
      </w:r>
      <w:r w:rsidRPr="00207DD5">
        <w:t xml:space="preserve"> spending</w:t>
      </w:r>
      <w:r w:rsidR="001A64CC" w:rsidRPr="00207DD5">
        <w:t xml:space="preserve"> </w:t>
      </w:r>
      <w:r w:rsidR="00635072" w:rsidRPr="00207DD5">
        <w:t xml:space="preserve">and </w:t>
      </w:r>
      <w:r w:rsidR="00732491" w:rsidRPr="00207DD5">
        <w:t>putting downward pressure on</w:t>
      </w:r>
      <w:r w:rsidR="00635072" w:rsidRPr="00207DD5">
        <w:t xml:space="preserve"> payments</w:t>
      </w:r>
      <w:r w:rsidR="009F0B52" w:rsidRPr="00207DD5">
        <w:noBreakHyphen/>
      </w:r>
      <w:r w:rsidR="00635072" w:rsidRPr="00207DD5">
        <w:t>to</w:t>
      </w:r>
      <w:r w:rsidR="009F0B52" w:rsidRPr="00207DD5">
        <w:noBreakHyphen/>
      </w:r>
      <w:r w:rsidR="00635072" w:rsidRPr="00207DD5">
        <w:t>GDP</w:t>
      </w:r>
      <w:r w:rsidRPr="00207DD5">
        <w:t>.</w:t>
      </w:r>
    </w:p>
    <w:p w14:paraId="6D5D415C" w14:textId="4B22E523" w:rsidR="003F786C" w:rsidRPr="00207DD5" w:rsidRDefault="003F786C" w:rsidP="00083B2F">
      <w:pPr>
        <w:pStyle w:val="Dash"/>
      </w:pPr>
      <w:r w:rsidRPr="00207DD5">
        <w:t xml:space="preserve">Payments as a share of GDP </w:t>
      </w:r>
      <w:r w:rsidR="00A27535" w:rsidRPr="00207DD5">
        <w:t xml:space="preserve">decline to </w:t>
      </w:r>
      <w:r w:rsidR="00790368" w:rsidRPr="00207DD5">
        <w:t>26</w:t>
      </w:r>
      <w:r w:rsidR="00A27535" w:rsidRPr="00207DD5">
        <w:t>.</w:t>
      </w:r>
      <w:r w:rsidR="00C546F8" w:rsidRPr="00207DD5">
        <w:t>2</w:t>
      </w:r>
      <w:r w:rsidR="009F0B52" w:rsidRPr="00207DD5">
        <w:t> </w:t>
      </w:r>
      <w:r w:rsidR="00A27535" w:rsidRPr="00207DD5">
        <w:t>per</w:t>
      </w:r>
      <w:r w:rsidR="009F0B52" w:rsidRPr="00207DD5">
        <w:t> </w:t>
      </w:r>
      <w:r w:rsidR="00A27535" w:rsidRPr="00207DD5">
        <w:t>cent in 2029</w:t>
      </w:r>
      <w:r w:rsidR="000779C1" w:rsidRPr="00207DD5">
        <w:t>–</w:t>
      </w:r>
      <w:r w:rsidR="00A27535" w:rsidRPr="00207DD5">
        <w:t xml:space="preserve">30, </w:t>
      </w:r>
      <w:r w:rsidR="00BE0CB5" w:rsidRPr="00207DD5">
        <w:t>0</w:t>
      </w:r>
      <w:r w:rsidR="00A27535" w:rsidRPr="00207DD5">
        <w:t>.</w:t>
      </w:r>
      <w:r w:rsidR="0070444E" w:rsidRPr="00207DD5">
        <w:t>4</w:t>
      </w:r>
      <w:r w:rsidR="009F0B52" w:rsidRPr="00207DD5">
        <w:t> </w:t>
      </w:r>
      <w:r w:rsidR="00A27535" w:rsidRPr="00207DD5">
        <w:t>percentage points lower than 2025</w:t>
      </w:r>
      <w:r w:rsidR="007533D8" w:rsidRPr="00207DD5">
        <w:t>–</w:t>
      </w:r>
      <w:r w:rsidR="00A27535" w:rsidRPr="00207DD5">
        <w:t>26.</w:t>
      </w:r>
    </w:p>
    <w:p w14:paraId="45F0F527" w14:textId="02627659" w:rsidR="00CA740A" w:rsidRPr="00207DD5" w:rsidRDefault="00CA740A" w:rsidP="00083B2F">
      <w:pPr>
        <w:pStyle w:val="Dash"/>
      </w:pPr>
      <w:r w:rsidRPr="00207DD5">
        <w:t>Payments</w:t>
      </w:r>
      <w:r w:rsidR="009F0B52" w:rsidRPr="00207DD5">
        <w:noBreakHyphen/>
      </w:r>
      <w:r w:rsidRPr="00207DD5">
        <w:t>to</w:t>
      </w:r>
      <w:r w:rsidR="009F0B52" w:rsidRPr="00207DD5">
        <w:noBreakHyphen/>
      </w:r>
      <w:r w:rsidRPr="00207DD5">
        <w:t xml:space="preserve">GDP </w:t>
      </w:r>
      <w:r w:rsidR="006644B3" w:rsidRPr="00207DD5">
        <w:t>are</w:t>
      </w:r>
      <w:r w:rsidRPr="00207DD5">
        <w:t xml:space="preserve"> lower than </w:t>
      </w:r>
      <w:r w:rsidR="00C31A64" w:rsidRPr="00207DD5">
        <w:t xml:space="preserve">at </w:t>
      </w:r>
      <w:r w:rsidRPr="00207DD5">
        <w:t>MYEFO in every year of the medium</w:t>
      </w:r>
      <w:r w:rsidR="003F3DA3" w:rsidRPr="00207DD5">
        <w:t xml:space="preserve"> </w:t>
      </w:r>
      <w:r w:rsidRPr="00207DD5">
        <w:t xml:space="preserve">term and </w:t>
      </w:r>
      <w:r w:rsidR="006644B3" w:rsidRPr="00207DD5">
        <w:t>are</w:t>
      </w:r>
      <w:r w:rsidRPr="00207DD5">
        <w:t xml:space="preserve"> 0.</w:t>
      </w:r>
      <w:r w:rsidR="00FF58FD" w:rsidRPr="00207DD5">
        <w:t>4</w:t>
      </w:r>
      <w:r w:rsidR="000206C7" w:rsidRPr="00207DD5">
        <w:t> </w:t>
      </w:r>
      <w:r w:rsidRPr="00207DD5">
        <w:t xml:space="preserve">percentage points lower </w:t>
      </w:r>
      <w:r w:rsidR="00AB055C" w:rsidRPr="00207DD5">
        <w:t xml:space="preserve">in </w:t>
      </w:r>
      <w:r w:rsidRPr="00207DD5">
        <w:t>2035–36.</w:t>
      </w:r>
      <w:r w:rsidR="00435AD4" w:rsidRPr="00207DD5">
        <w:t xml:space="preserve"> </w:t>
      </w:r>
      <w:r w:rsidR="00435AD4">
        <w:t xml:space="preserve"> </w:t>
      </w:r>
    </w:p>
    <w:p w14:paraId="5BA2239A" w14:textId="3A88155F" w:rsidR="00B02F04" w:rsidRPr="00207DD5" w:rsidRDefault="006D276D" w:rsidP="000406B0">
      <w:pPr>
        <w:pStyle w:val="Dash"/>
      </w:pPr>
      <w:r w:rsidRPr="00207DD5">
        <w:t>Real payments growth over the eight years to 2029–30 averages 1.5</w:t>
      </w:r>
      <w:r w:rsidR="009F0B52" w:rsidRPr="00207DD5">
        <w:t> </w:t>
      </w:r>
      <w:r w:rsidRPr="00207DD5">
        <w:t>per</w:t>
      </w:r>
      <w:r w:rsidR="009F0B52" w:rsidRPr="00207DD5">
        <w:t> </w:t>
      </w:r>
      <w:r w:rsidRPr="00207DD5">
        <w:t>cent per year, and 1.1</w:t>
      </w:r>
      <w:r w:rsidR="009F0B52" w:rsidRPr="00207DD5">
        <w:t> </w:t>
      </w:r>
      <w:r w:rsidRPr="00207DD5">
        <w:t>per</w:t>
      </w:r>
      <w:r w:rsidR="009F0B52" w:rsidRPr="00207DD5">
        <w:t> </w:t>
      </w:r>
      <w:r w:rsidRPr="00207DD5">
        <w:t xml:space="preserve">cent per year over the four years to 2029–30. </w:t>
      </w:r>
      <w:r w:rsidR="0086199F" w:rsidRPr="00207DD5">
        <w:t>Th</w:t>
      </w:r>
      <w:r w:rsidR="001432DB" w:rsidRPr="00207DD5">
        <w:t>is</w:t>
      </w:r>
      <w:r w:rsidR="0086199F" w:rsidRPr="00207DD5">
        <w:t xml:space="preserve"> compare</w:t>
      </w:r>
      <w:r w:rsidR="001432DB" w:rsidRPr="00207DD5">
        <w:t>s</w:t>
      </w:r>
      <w:r w:rsidR="0086199F" w:rsidRPr="00207DD5">
        <w:t xml:space="preserve"> to an annual average of </w:t>
      </w:r>
      <w:r w:rsidR="001F005E" w:rsidRPr="00207DD5">
        <w:t>3.3</w:t>
      </w:r>
      <w:r w:rsidR="009F0B52" w:rsidRPr="00207DD5">
        <w:t> </w:t>
      </w:r>
      <w:r w:rsidR="0086199F" w:rsidRPr="00207DD5">
        <w:t>per</w:t>
      </w:r>
      <w:r w:rsidR="009F0B52" w:rsidRPr="00207DD5">
        <w:t> </w:t>
      </w:r>
      <w:r w:rsidR="0086199F" w:rsidRPr="00207DD5">
        <w:t>cent over the past 30 years.</w:t>
      </w:r>
      <w:r w:rsidR="0088431A" w:rsidRPr="00207DD5">
        <w:t xml:space="preserve"> </w:t>
      </w:r>
    </w:p>
    <w:p w14:paraId="2CC71C86" w14:textId="10C15E76" w:rsidR="0086199F" w:rsidRPr="00207DD5" w:rsidRDefault="00D354C8" w:rsidP="00E46471">
      <w:pPr>
        <w:pStyle w:val="Bullet"/>
        <w:keepNext/>
      </w:pPr>
      <w:r w:rsidRPr="00207DD5">
        <w:lastRenderedPageBreak/>
        <w:t xml:space="preserve">Directing </w:t>
      </w:r>
      <w:proofErr w:type="gramStart"/>
      <w:r w:rsidR="0086199F" w:rsidRPr="00207DD5">
        <w:t>the majority of</w:t>
      </w:r>
      <w:proofErr w:type="gramEnd"/>
      <w:r w:rsidR="0086199F" w:rsidRPr="00207DD5">
        <w:t xml:space="preserve"> </w:t>
      </w:r>
      <w:r w:rsidR="00E54E5A" w:rsidRPr="00207DD5">
        <w:t xml:space="preserve">improvements in </w:t>
      </w:r>
      <w:r w:rsidR="0086199F" w:rsidRPr="00207DD5">
        <w:t>tax receipt</w:t>
      </w:r>
      <w:r w:rsidR="00E54E5A" w:rsidRPr="00207DD5">
        <w:t>s</w:t>
      </w:r>
      <w:r w:rsidR="0086199F" w:rsidRPr="00207DD5">
        <w:t xml:space="preserve"> to budget</w:t>
      </w:r>
      <w:r w:rsidR="00E54E5A" w:rsidRPr="00207DD5">
        <w:t xml:space="preserve"> repair</w:t>
      </w:r>
      <w:r w:rsidR="0086199F" w:rsidRPr="00207DD5">
        <w:t>.</w:t>
      </w:r>
    </w:p>
    <w:p w14:paraId="1701E2E8" w14:textId="23EEB116" w:rsidR="0086199F" w:rsidRPr="00207DD5" w:rsidRDefault="00A571DB" w:rsidP="0086199F">
      <w:pPr>
        <w:pStyle w:val="Dash"/>
      </w:pPr>
      <w:r w:rsidRPr="00207DD5">
        <w:t xml:space="preserve">For the second consecutive update, </w:t>
      </w:r>
      <w:r w:rsidR="003A01D2" w:rsidRPr="00207DD5">
        <w:t>100</w:t>
      </w:r>
      <w:r w:rsidR="009F0B52" w:rsidRPr="00207DD5">
        <w:t> </w:t>
      </w:r>
      <w:r w:rsidR="00326D43" w:rsidRPr="00207DD5">
        <w:t>per</w:t>
      </w:r>
      <w:r w:rsidR="009F0B52" w:rsidRPr="00207DD5">
        <w:t> </w:t>
      </w:r>
      <w:r w:rsidR="00326D43" w:rsidRPr="00207DD5">
        <w:t>cent of</w:t>
      </w:r>
      <w:r w:rsidR="0086199F" w:rsidRPr="00207DD5">
        <w:t xml:space="preserve"> tax receipt upgrades </w:t>
      </w:r>
      <w:r w:rsidR="00B274E9" w:rsidRPr="00207DD5">
        <w:t xml:space="preserve">have been returned </w:t>
      </w:r>
      <w:r w:rsidR="0086199F" w:rsidRPr="00207DD5">
        <w:t xml:space="preserve">to the budget. </w:t>
      </w:r>
    </w:p>
    <w:p w14:paraId="20327261" w14:textId="20B1508F" w:rsidR="00083459" w:rsidRDefault="0086199F" w:rsidP="00083B2F">
      <w:pPr>
        <w:pStyle w:val="Dash"/>
      </w:pPr>
      <w:r w:rsidRPr="00207DD5">
        <w:t xml:space="preserve">Since </w:t>
      </w:r>
      <w:r w:rsidR="00093DBB" w:rsidRPr="00207DD5">
        <w:t>the 2022 PEFO</w:t>
      </w:r>
      <w:r w:rsidRPr="00207DD5">
        <w:t xml:space="preserve">, the Government has returned to the budget </w:t>
      </w:r>
      <w:r w:rsidR="002420D1" w:rsidRPr="00207DD5">
        <w:t>7</w:t>
      </w:r>
      <w:r w:rsidR="00550CC5" w:rsidRPr="00207DD5">
        <w:t>6</w:t>
      </w:r>
      <w:r w:rsidR="004A4FD5" w:rsidRPr="00207DD5">
        <w:t> </w:t>
      </w:r>
      <w:r w:rsidRPr="00207DD5">
        <w:t>per</w:t>
      </w:r>
      <w:r w:rsidR="004A4FD5" w:rsidRPr="00207DD5">
        <w:t> </w:t>
      </w:r>
      <w:r w:rsidRPr="00207DD5">
        <w:t xml:space="preserve">cent of tax receipt upgrades over the </w:t>
      </w:r>
      <w:r w:rsidR="009D7050" w:rsidRPr="00207DD5">
        <w:t xml:space="preserve">eight </w:t>
      </w:r>
      <w:r w:rsidRPr="00207DD5">
        <w:t>years to 202</w:t>
      </w:r>
      <w:r w:rsidR="009D7050" w:rsidRPr="00207DD5">
        <w:t>9</w:t>
      </w:r>
      <w:r w:rsidRPr="00207DD5">
        <w:t>–</w:t>
      </w:r>
      <w:r w:rsidR="009D7050" w:rsidRPr="00207DD5">
        <w:t>30</w:t>
      </w:r>
      <w:r w:rsidRPr="00207DD5">
        <w:t>.</w:t>
      </w:r>
      <w:r w:rsidR="00DB1B69" w:rsidRPr="00207DD5">
        <w:t xml:space="preserve"> </w:t>
      </w:r>
    </w:p>
    <w:p w14:paraId="17DAF5BF" w14:textId="67BEE057" w:rsidR="008B1B02" w:rsidRPr="00207DD5" w:rsidRDefault="008B1B02" w:rsidP="008B1B02">
      <w:pPr>
        <w:pStyle w:val="Bullet"/>
      </w:pPr>
      <w:r w:rsidRPr="00207DD5">
        <w:rPr>
          <w:rFonts w:eastAsia="Calibri"/>
        </w:rPr>
        <w:t>Finding savings and reprioritisations to strengthen the budget over time</w:t>
      </w:r>
      <w:r w:rsidRPr="00207DD5" w:rsidDel="00A63C73">
        <w:t xml:space="preserve"> </w:t>
      </w:r>
      <w:r w:rsidRPr="00207DD5">
        <w:t>(Box 3.2).</w:t>
      </w:r>
    </w:p>
    <w:p w14:paraId="46124FAB" w14:textId="71C78508" w:rsidR="008B1B02" w:rsidRPr="00207DD5" w:rsidRDefault="008B1B02" w:rsidP="008B1B02">
      <w:pPr>
        <w:pStyle w:val="Dash"/>
      </w:pPr>
      <w:r w:rsidRPr="00207DD5">
        <w:t>This Budget provides $63.8</w:t>
      </w:r>
      <w:r w:rsidR="009F0B52" w:rsidRPr="00207DD5">
        <w:t> </w:t>
      </w:r>
      <w:r w:rsidRPr="00207DD5">
        <w:t>billion in savings and reprioritisations</w:t>
      </w:r>
      <w:r w:rsidR="00743CBF" w:rsidRPr="00207DD5">
        <w:t xml:space="preserve"> and a total of $75.9 billion of budget improvements</w:t>
      </w:r>
      <w:r w:rsidRPr="00207DD5">
        <w:t>.</w:t>
      </w:r>
    </w:p>
    <w:p w14:paraId="47871E33" w14:textId="4F04019E" w:rsidR="008B1B02" w:rsidRPr="00207DD5" w:rsidRDefault="008B1B02" w:rsidP="008B1B02">
      <w:pPr>
        <w:pStyle w:val="Dash"/>
      </w:pPr>
      <w:r w:rsidRPr="00207DD5">
        <w:t xml:space="preserve">This brings total savings and spending reprioritisations </w:t>
      </w:r>
      <w:r w:rsidR="004D051D" w:rsidRPr="00207DD5">
        <w:t xml:space="preserve">since the 2022 PEFO </w:t>
      </w:r>
      <w:r w:rsidRPr="00207DD5">
        <w:t>to $177.</w:t>
      </w:r>
      <w:r w:rsidR="00CF2FBF" w:rsidRPr="00207DD5">
        <w:t>9</w:t>
      </w:r>
      <w:r w:rsidR="009F0B52" w:rsidRPr="00207DD5">
        <w:t> </w:t>
      </w:r>
      <w:r w:rsidRPr="00207DD5">
        <w:t>billion and total budget improvements to $220.</w:t>
      </w:r>
      <w:r w:rsidR="00CF2FBF" w:rsidRPr="00207DD5">
        <w:t>9</w:t>
      </w:r>
      <w:r w:rsidR="009F0B52" w:rsidRPr="00207DD5">
        <w:t> </w:t>
      </w:r>
      <w:r w:rsidRPr="00207DD5">
        <w:t xml:space="preserve">billion.  </w:t>
      </w:r>
    </w:p>
    <w:p w14:paraId="4882FB90" w14:textId="64674060" w:rsidR="008B1B02" w:rsidRDefault="008B1B02" w:rsidP="008B1B02">
      <w:pPr>
        <w:pStyle w:val="Dash"/>
      </w:pPr>
      <w:r w:rsidRPr="00207DD5">
        <w:t>Net policy decisions improve the budget position.</w:t>
      </w:r>
      <w:r w:rsidRPr="00207DD5" w:rsidDel="00171747">
        <w:t xml:space="preserve"> </w:t>
      </w:r>
      <w:r w:rsidRPr="00207DD5">
        <w:t>Including policies already provisioned in previous updates, policy decisions improve the budget by $26.1</w:t>
      </w:r>
      <w:r w:rsidR="005D3AFF" w:rsidRPr="00207DD5">
        <w:t> </w:t>
      </w:r>
      <w:r w:rsidRPr="00207DD5">
        <w:t>billion</w:t>
      </w:r>
      <w:r w:rsidR="00354441" w:rsidRPr="00207DD5">
        <w:t xml:space="preserve"> (Table 3.2)</w:t>
      </w:r>
      <w:r w:rsidRPr="00207DD5">
        <w:t>.</w:t>
      </w:r>
      <w:r w:rsidR="00527141" w:rsidRPr="00312400">
        <w:t xml:space="preserve"> </w:t>
      </w:r>
      <w:r w:rsidRPr="00207DD5">
        <w:t xml:space="preserve">Excluding provisions, net policy decisions improve the budget by $8.2 billion. </w:t>
      </w:r>
    </w:p>
    <w:p w14:paraId="4C3FA239" w14:textId="20A80B30" w:rsidR="00D34DD0" w:rsidRPr="00207DD5" w:rsidRDefault="00D34DD0" w:rsidP="00F9243E">
      <w:pPr>
        <w:pStyle w:val="Bullet"/>
      </w:pPr>
      <w:r w:rsidRPr="00207DD5">
        <w:t xml:space="preserve">Delivering a more efficient, fairer and simpler tax system </w:t>
      </w:r>
      <w:r w:rsidRPr="00207DD5">
        <w:rPr>
          <w:rFonts w:eastAsia="Calibri"/>
        </w:rPr>
        <w:t>that will help more Australians into the housing market, lower</w:t>
      </w:r>
      <w:r w:rsidRPr="00207DD5">
        <w:t xml:space="preserve"> the tax burden on working Australians, and create room for further tax relief over time.</w:t>
      </w:r>
    </w:p>
    <w:p w14:paraId="403F4331" w14:textId="66C0D522" w:rsidR="00D34DD0" w:rsidRPr="00207DD5" w:rsidRDefault="00D34DD0" w:rsidP="00D34DD0">
      <w:pPr>
        <w:pStyle w:val="Dash"/>
      </w:pPr>
      <w:r w:rsidRPr="00207DD5">
        <w:t>The Working Australians Tax Offset will deliver a tax cut for more than 13</w:t>
      </w:r>
      <w:r w:rsidR="00220BAE">
        <w:t>.0</w:t>
      </w:r>
      <w:r w:rsidR="009F0B52" w:rsidRPr="00207DD5">
        <w:t> </w:t>
      </w:r>
      <w:r w:rsidRPr="00207DD5">
        <w:t>million Australian workers.</w:t>
      </w:r>
    </w:p>
    <w:p w14:paraId="56018A83" w14:textId="60897D29" w:rsidR="00D34DD0" w:rsidRPr="00207DD5" w:rsidRDefault="00D34DD0" w:rsidP="00D34DD0">
      <w:pPr>
        <w:pStyle w:val="Dash"/>
      </w:pPr>
      <w:r w:rsidRPr="00207DD5">
        <w:t xml:space="preserve">The Government’s reforms to negative gearing and capital gains taxation are expected to support an additional 75,000 Australians to become owner occupiers over the next decade.  </w:t>
      </w:r>
    </w:p>
    <w:p w14:paraId="142BAA05" w14:textId="78E04409" w:rsidR="00D34DD0" w:rsidRPr="00207DD5" w:rsidRDefault="00D34DD0" w:rsidP="00D34DD0">
      <w:pPr>
        <w:pStyle w:val="Dash"/>
      </w:pPr>
      <w:r w:rsidRPr="00207DD5">
        <w:t>The Government will support a more dynamic and resilient economy by introducing $3.5</w:t>
      </w:r>
      <w:r w:rsidR="009F0B52" w:rsidRPr="00207DD5">
        <w:t> </w:t>
      </w:r>
      <w:r w:rsidRPr="00207DD5">
        <w:t xml:space="preserve">billion of new measures that lower taxes for business. </w:t>
      </w:r>
    </w:p>
    <w:p w14:paraId="66005C76" w14:textId="6A1E1F6A" w:rsidR="00881BEB" w:rsidRPr="00D34DD0" w:rsidRDefault="00D34DD0" w:rsidP="00D34DD0">
      <w:pPr>
        <w:pStyle w:val="Dash"/>
      </w:pPr>
      <w:r w:rsidRPr="00207DD5">
        <w:t>The Government is also introducing simplification measures to reduce compliance costs for businesses and individuals by $540</w:t>
      </w:r>
      <w:r w:rsidR="004A09A8" w:rsidRPr="00207DD5">
        <w:t>.0</w:t>
      </w:r>
      <w:r w:rsidR="009F0B52" w:rsidRPr="00207DD5">
        <w:t> </w:t>
      </w:r>
      <w:r w:rsidRPr="00207DD5">
        <w:t xml:space="preserve">million per year. </w:t>
      </w:r>
    </w:p>
    <w:p w14:paraId="6EFFE22C" w14:textId="63488047" w:rsidR="00942B35" w:rsidRPr="00061E36" w:rsidRDefault="00942B35" w:rsidP="00061E36">
      <w:bookmarkStart w:id="17" w:name="_Toc193537048"/>
      <w:bookmarkStart w:id="18" w:name="_Toc227842116"/>
      <w:r>
        <w:rPr>
          <w:lang w:val="en-US"/>
        </w:rPr>
        <w:br w:type="page"/>
      </w:r>
    </w:p>
    <w:tbl>
      <w:tblPr>
        <w:tblW w:w="5000" w:type="pct"/>
        <w:shd w:val="clear" w:color="auto" w:fill="E6F2FF"/>
        <w:tblCellMar>
          <w:top w:w="284" w:type="dxa"/>
          <w:left w:w="284" w:type="dxa"/>
          <w:bottom w:w="284" w:type="dxa"/>
          <w:right w:w="284" w:type="dxa"/>
        </w:tblCellMar>
        <w:tblLook w:val="0620" w:firstRow="1" w:lastRow="0" w:firstColumn="0" w:lastColumn="0" w:noHBand="1" w:noVBand="1"/>
      </w:tblPr>
      <w:tblGrid>
        <w:gridCol w:w="7710"/>
      </w:tblGrid>
      <w:tr w:rsidR="00F90AC9" w:rsidRPr="00D43C89" w14:paraId="47995E8F" w14:textId="77777777" w:rsidTr="00AE4FF4">
        <w:trPr>
          <w:cantSplit/>
        </w:trPr>
        <w:tc>
          <w:tcPr>
            <w:tcW w:w="7710" w:type="dxa"/>
            <w:shd w:val="clear" w:color="auto" w:fill="E6F2FF"/>
          </w:tcPr>
          <w:p w14:paraId="08C1EBE2" w14:textId="6D5ED4FF" w:rsidR="00F90AC9" w:rsidRPr="00207DD5" w:rsidRDefault="00F90AC9" w:rsidP="00F90AC9">
            <w:pPr>
              <w:pStyle w:val="BoxHeading"/>
            </w:pPr>
            <w:r w:rsidRPr="00207DD5">
              <w:lastRenderedPageBreak/>
              <w:t>Box 3.</w:t>
            </w:r>
            <w:r w:rsidR="003D46B9" w:rsidRPr="00207DD5">
              <w:t>2</w:t>
            </w:r>
            <w:r w:rsidRPr="00207DD5">
              <w:t xml:space="preserve">: Delivering </w:t>
            </w:r>
            <w:r w:rsidR="00214338" w:rsidRPr="00207DD5">
              <w:t>s</w:t>
            </w:r>
            <w:r w:rsidRPr="00207DD5">
              <w:t xml:space="preserve">tructural </w:t>
            </w:r>
            <w:r w:rsidR="00214338" w:rsidRPr="00207DD5">
              <w:t>i</w:t>
            </w:r>
            <w:r w:rsidRPr="00207DD5">
              <w:t>mprovements to the Budget</w:t>
            </w:r>
          </w:p>
          <w:p w14:paraId="7EA28DE5" w14:textId="4B35E353" w:rsidR="008632A0" w:rsidRPr="00D43C89" w:rsidRDefault="004030C1" w:rsidP="005E01BF">
            <w:pPr>
              <w:pStyle w:val="BoxText"/>
            </w:pPr>
            <w:r w:rsidRPr="00207DD5">
              <w:t>Th</w:t>
            </w:r>
            <w:r w:rsidR="003D0C76" w:rsidRPr="00207DD5">
              <w:t>e</w:t>
            </w:r>
            <w:r w:rsidR="00C6571D" w:rsidRPr="00207DD5">
              <w:t xml:space="preserve"> Government is finding responsible long-term structural savings that are helping to </w:t>
            </w:r>
            <w:r w:rsidR="00BC2B8F" w:rsidRPr="00207DD5">
              <w:t>build</w:t>
            </w:r>
            <w:r w:rsidR="00C6571D" w:rsidRPr="00207DD5">
              <w:t xml:space="preserve"> fiscal buffers. </w:t>
            </w:r>
            <w:r w:rsidR="002D0F16" w:rsidRPr="00207DD5">
              <w:t xml:space="preserve">Importantly, </w:t>
            </w:r>
            <w:r w:rsidR="006024AC" w:rsidRPr="00207DD5">
              <w:t xml:space="preserve">the </w:t>
            </w:r>
            <w:r w:rsidR="002D0F16" w:rsidRPr="00207DD5">
              <w:t>s</w:t>
            </w:r>
            <w:r w:rsidR="00DD5E82" w:rsidRPr="00207DD5">
              <w:t xml:space="preserve">avings </w:t>
            </w:r>
            <w:r w:rsidR="006024AC" w:rsidRPr="00207DD5">
              <w:t>package</w:t>
            </w:r>
            <w:r w:rsidR="00DD5E82" w:rsidRPr="00207DD5">
              <w:t xml:space="preserve"> </w:t>
            </w:r>
            <w:r w:rsidR="006024AC" w:rsidRPr="00207DD5">
              <w:t>is</w:t>
            </w:r>
            <w:r w:rsidR="00DD5E82" w:rsidRPr="00207DD5">
              <w:t xml:space="preserve"> driven by </w:t>
            </w:r>
            <w:r w:rsidR="002D0F16" w:rsidRPr="00207DD5">
              <w:t>long</w:t>
            </w:r>
            <w:r w:rsidR="006A0F69" w:rsidRPr="00207DD5">
              <w:t>-</w:t>
            </w:r>
            <w:r w:rsidR="002D0F16" w:rsidRPr="00207DD5">
              <w:t xml:space="preserve">term </w:t>
            </w:r>
            <w:r w:rsidR="008632A0" w:rsidRPr="00207DD5">
              <w:t xml:space="preserve">structural improvements </w:t>
            </w:r>
            <w:r w:rsidR="00884647" w:rsidRPr="00207DD5">
              <w:t>to</w:t>
            </w:r>
            <w:r w:rsidR="00DD1D51" w:rsidRPr="00207DD5">
              <w:t xml:space="preserve"> </w:t>
            </w:r>
            <w:r w:rsidR="00786734" w:rsidRPr="00207DD5">
              <w:t>major spending programs</w:t>
            </w:r>
            <w:r w:rsidR="009B1EFC" w:rsidRPr="00207DD5">
              <w:t xml:space="preserve">, building on measures in previous Budgets </w:t>
            </w:r>
            <w:r w:rsidR="005D1140" w:rsidRPr="00207DD5">
              <w:t xml:space="preserve">to </w:t>
            </w:r>
            <w:r w:rsidR="00245A0F" w:rsidRPr="00207DD5">
              <w:t>lim</w:t>
            </w:r>
            <w:r w:rsidR="00AD5ABB" w:rsidRPr="00207DD5">
              <w:t>i</w:t>
            </w:r>
            <w:r w:rsidR="00245A0F" w:rsidRPr="00207DD5">
              <w:t>t</w:t>
            </w:r>
            <w:r w:rsidR="005D1140" w:rsidRPr="00207DD5">
              <w:t xml:space="preserve"> growth in</w:t>
            </w:r>
            <w:r w:rsidR="00DB4788" w:rsidRPr="00207DD5">
              <w:t xml:space="preserve"> the NDIS and </w:t>
            </w:r>
            <w:r w:rsidR="00F13992" w:rsidRPr="00207DD5">
              <w:t>a</w:t>
            </w:r>
            <w:r w:rsidR="00DB4788" w:rsidRPr="00207DD5">
              <w:t xml:space="preserve">ged </w:t>
            </w:r>
            <w:r w:rsidR="00F13992" w:rsidRPr="00207DD5">
              <w:t>c</w:t>
            </w:r>
            <w:r w:rsidR="00DB4788" w:rsidRPr="00207DD5">
              <w:t>are</w:t>
            </w:r>
            <w:r w:rsidR="00701514" w:rsidRPr="00207DD5">
              <w:t xml:space="preserve">. </w:t>
            </w:r>
            <w:r w:rsidR="00B2150E" w:rsidRPr="00207DD5">
              <w:t>In this Budget</w:t>
            </w:r>
            <w:r w:rsidR="00700C0B" w:rsidRPr="00207DD5">
              <w:t>, s</w:t>
            </w:r>
            <w:r w:rsidR="00701514" w:rsidRPr="00207DD5">
              <w:t xml:space="preserve">avings from </w:t>
            </w:r>
            <w:r w:rsidR="001C08AE" w:rsidRPr="00207DD5">
              <w:t xml:space="preserve">spending measures are </w:t>
            </w:r>
            <w:r w:rsidR="008D0649" w:rsidRPr="00207DD5">
              <w:t>almost three</w:t>
            </w:r>
            <w:r w:rsidR="002D0F16" w:rsidRPr="00207DD5">
              <w:t xml:space="preserve"> times savings </w:t>
            </w:r>
            <w:r w:rsidR="001C08AE" w:rsidRPr="00207DD5">
              <w:t>from revenue measures</w:t>
            </w:r>
            <w:r w:rsidR="002D0F16" w:rsidRPr="00207DD5">
              <w:t>.</w:t>
            </w:r>
            <w:r w:rsidR="00E12128" w:rsidRPr="00207DD5">
              <w:t xml:space="preserve"> </w:t>
            </w:r>
            <w:r w:rsidR="004752F1" w:rsidRPr="00207DD5">
              <w:t>S</w:t>
            </w:r>
            <w:r w:rsidR="007227B7" w:rsidRPr="00207DD5">
              <w:t xml:space="preserve">tructural improvements </w:t>
            </w:r>
            <w:r w:rsidR="00F25171" w:rsidRPr="00207DD5">
              <w:t>that</w:t>
            </w:r>
            <w:r w:rsidR="004752F1" w:rsidRPr="00207DD5">
              <w:t xml:space="preserve"> </w:t>
            </w:r>
            <w:r w:rsidR="00786734" w:rsidRPr="00207DD5">
              <w:t>directly improv</w:t>
            </w:r>
            <w:r w:rsidR="00554AB6" w:rsidRPr="00207DD5">
              <w:t>e</w:t>
            </w:r>
            <w:r w:rsidR="00786734" w:rsidRPr="00207DD5">
              <w:t xml:space="preserve"> the underlying cash balance </w:t>
            </w:r>
            <w:r w:rsidR="007227B7" w:rsidRPr="00207DD5">
              <w:t xml:space="preserve">and </w:t>
            </w:r>
            <w:r w:rsidR="00D93B74" w:rsidRPr="00207DD5">
              <w:t>secure the future of important social programs</w:t>
            </w:r>
            <w:r w:rsidR="00786734" w:rsidRPr="00207DD5">
              <w:t xml:space="preserve"> </w:t>
            </w:r>
            <w:r w:rsidR="007227B7" w:rsidRPr="00207DD5">
              <w:t>include</w:t>
            </w:r>
            <w:r w:rsidR="008632A0" w:rsidRPr="00207DD5">
              <w:t>:</w:t>
            </w:r>
            <w:r w:rsidR="00AA3E1C">
              <w:t xml:space="preserve"> </w:t>
            </w:r>
          </w:p>
          <w:p w14:paraId="3D2A7976" w14:textId="340BFEAC" w:rsidR="008632A0" w:rsidRPr="00D43C89" w:rsidRDefault="008632A0" w:rsidP="008632A0">
            <w:pPr>
              <w:pStyle w:val="BoxBullet"/>
            </w:pPr>
            <w:r w:rsidRPr="00207DD5">
              <w:t xml:space="preserve">Putting the NDIS on a sustainable growth </w:t>
            </w:r>
            <w:r w:rsidR="008119B5" w:rsidRPr="00207DD5">
              <w:t xml:space="preserve">trajectory. Scheme growth will average around </w:t>
            </w:r>
            <w:r w:rsidR="00DF7757" w:rsidRPr="00207DD5">
              <w:t>2</w:t>
            </w:r>
            <w:r w:rsidR="009F0B52" w:rsidRPr="00207DD5">
              <w:t> </w:t>
            </w:r>
            <w:r w:rsidR="008119B5" w:rsidRPr="00207DD5">
              <w:t>per</w:t>
            </w:r>
            <w:r w:rsidR="009F0B52" w:rsidRPr="00207DD5">
              <w:t> </w:t>
            </w:r>
            <w:r w:rsidR="008119B5" w:rsidRPr="00207DD5">
              <w:t>cent over the forward estimates as design features are reset</w:t>
            </w:r>
            <w:r w:rsidR="003661AC" w:rsidRPr="00207DD5">
              <w:t>,</w:t>
            </w:r>
            <w:r w:rsidR="008119B5" w:rsidRPr="00207DD5">
              <w:t xml:space="preserve"> before returning to 5</w:t>
            </w:r>
            <w:r w:rsidR="009F0B52" w:rsidRPr="00207DD5">
              <w:t> </w:t>
            </w:r>
            <w:r w:rsidR="008119B5" w:rsidRPr="00207DD5">
              <w:t>per</w:t>
            </w:r>
            <w:r w:rsidR="009F0B52" w:rsidRPr="00207DD5">
              <w:t> </w:t>
            </w:r>
            <w:r w:rsidR="008119B5" w:rsidRPr="00207DD5">
              <w:t>cent from 2030</w:t>
            </w:r>
            <w:r w:rsidR="00F958E3" w:rsidRPr="00207DD5">
              <w:t>–</w:t>
            </w:r>
            <w:r w:rsidR="008119B5" w:rsidRPr="00207DD5">
              <w:t xml:space="preserve">31 in line with </w:t>
            </w:r>
            <w:r w:rsidR="00D93B74" w:rsidRPr="00207DD5">
              <w:t xml:space="preserve">National Cabinet’s agreement and </w:t>
            </w:r>
            <w:r w:rsidR="005B7B7A" w:rsidRPr="00207DD5">
              <w:t xml:space="preserve">in line with </w:t>
            </w:r>
            <w:r w:rsidR="00D93B74" w:rsidRPr="00207DD5">
              <w:t xml:space="preserve">other </w:t>
            </w:r>
            <w:r w:rsidR="008119B5" w:rsidRPr="00207DD5">
              <w:t xml:space="preserve">care and support programs like aged care, medical benefits and the child care subsidy. These changes are projected to </w:t>
            </w:r>
            <w:r w:rsidR="00D93B74" w:rsidRPr="00207DD5">
              <w:t xml:space="preserve">lower Scheme payments by </w:t>
            </w:r>
            <w:r w:rsidR="00D212A3" w:rsidRPr="00207DD5">
              <w:t>$</w:t>
            </w:r>
            <w:r w:rsidR="00A32B04" w:rsidRPr="00207DD5">
              <w:t>184.9</w:t>
            </w:r>
            <w:r w:rsidR="009F0B52" w:rsidRPr="00207DD5">
              <w:t> </w:t>
            </w:r>
            <w:r w:rsidR="00D93B74" w:rsidRPr="00207DD5">
              <w:t>b</w:t>
            </w:r>
            <w:r w:rsidR="00A32B04" w:rsidRPr="00207DD5">
              <w:t>illion</w:t>
            </w:r>
            <w:r w:rsidR="00D93B74" w:rsidRPr="00207DD5">
              <w:t xml:space="preserve"> from 2025</w:t>
            </w:r>
            <w:r w:rsidR="00DC16E7" w:rsidRPr="00207DD5">
              <w:t>–</w:t>
            </w:r>
            <w:r w:rsidR="00D93B74" w:rsidRPr="00207DD5">
              <w:t>26 to 2036</w:t>
            </w:r>
            <w:r w:rsidR="00DC16E7" w:rsidRPr="00207DD5">
              <w:t>–</w:t>
            </w:r>
            <w:r w:rsidR="00D93B74" w:rsidRPr="00207DD5">
              <w:t>37,</w:t>
            </w:r>
            <w:r w:rsidR="007836B2" w:rsidRPr="00207DD5">
              <w:t xml:space="preserve"> </w:t>
            </w:r>
            <w:r w:rsidR="00D93B74" w:rsidRPr="00207DD5">
              <w:t>with</w:t>
            </w:r>
            <w:r w:rsidR="00356D69" w:rsidRPr="00207DD5">
              <w:t xml:space="preserve"> </w:t>
            </w:r>
            <w:r w:rsidR="008119B5" w:rsidRPr="00207DD5">
              <w:t>$32.</w:t>
            </w:r>
            <w:r w:rsidR="00FC6975" w:rsidRPr="00207DD5">
              <w:t>5</w:t>
            </w:r>
            <w:r w:rsidR="00D0535C" w:rsidRPr="00207DD5">
              <w:t> </w:t>
            </w:r>
            <w:r w:rsidR="008119B5" w:rsidRPr="00207DD5">
              <w:t xml:space="preserve">billion of </w:t>
            </w:r>
            <w:r w:rsidR="00D93B74" w:rsidRPr="00207DD5">
              <w:t>this</w:t>
            </w:r>
            <w:r w:rsidR="008119B5" w:rsidRPr="00207DD5">
              <w:t xml:space="preserve"> accruing to states and territories as lower </w:t>
            </w:r>
            <w:r w:rsidR="00401EAD" w:rsidRPr="00207DD5">
              <w:t>S</w:t>
            </w:r>
            <w:r w:rsidR="008119B5" w:rsidRPr="00207DD5">
              <w:t>cheme contributions.</w:t>
            </w:r>
            <w:r w:rsidR="00E81E86" w:rsidRPr="00207DD5">
              <w:t xml:space="preserve"> </w:t>
            </w:r>
          </w:p>
          <w:p w14:paraId="6831A39B" w14:textId="628AE827" w:rsidR="00F12781" w:rsidRPr="00171851" w:rsidRDefault="00F12781" w:rsidP="00C24D67">
            <w:pPr>
              <w:pStyle w:val="BoxBullet"/>
            </w:pPr>
            <w:r w:rsidRPr="00207DD5">
              <w:t>R</w:t>
            </w:r>
            <w:r w:rsidR="00D23901" w:rsidRPr="00207DD5">
              <w:t xml:space="preserve">emoving age </w:t>
            </w:r>
            <w:r w:rsidR="00E00D45" w:rsidRPr="00207DD5">
              <w:t xml:space="preserve">as a determinant </w:t>
            </w:r>
            <w:r w:rsidR="00D23901" w:rsidRPr="00207DD5">
              <w:t>of the private health insurance rebate</w:t>
            </w:r>
            <w:r w:rsidR="0086134E" w:rsidRPr="00207DD5">
              <w:t>, saving</w:t>
            </w:r>
            <w:r w:rsidR="00B75DCF" w:rsidRPr="00207DD5">
              <w:t xml:space="preserve"> </w:t>
            </w:r>
            <w:r w:rsidR="00740C8B" w:rsidRPr="00207DD5">
              <w:t>$</w:t>
            </w:r>
            <w:r w:rsidR="008944AF" w:rsidRPr="00207DD5">
              <w:t>11</w:t>
            </w:r>
            <w:r w:rsidR="00740C8B" w:rsidRPr="00207DD5">
              <w:t>.</w:t>
            </w:r>
            <w:r w:rsidR="008944AF" w:rsidRPr="00207DD5">
              <w:t>0</w:t>
            </w:r>
            <w:r w:rsidR="009F0B52" w:rsidRPr="00207DD5">
              <w:t> </w:t>
            </w:r>
            <w:r w:rsidR="00C735FC" w:rsidRPr="00207DD5">
              <w:t xml:space="preserve">billion </w:t>
            </w:r>
            <w:r w:rsidR="00292360" w:rsidRPr="00207DD5">
              <w:t>from 2025</w:t>
            </w:r>
            <w:r w:rsidR="00F958E3" w:rsidRPr="00207DD5">
              <w:t>–</w:t>
            </w:r>
            <w:r w:rsidR="00292360" w:rsidRPr="00207DD5">
              <w:t>26 to 2036</w:t>
            </w:r>
            <w:r w:rsidR="00F958E3" w:rsidRPr="00207DD5">
              <w:t>–</w:t>
            </w:r>
            <w:r w:rsidR="00292360" w:rsidRPr="00207DD5">
              <w:t>37.</w:t>
            </w:r>
            <w:r w:rsidR="00A429CC" w:rsidRPr="00207DD5">
              <w:t xml:space="preserve"> </w:t>
            </w:r>
            <w:r w:rsidR="00A429CC">
              <w:t xml:space="preserve"> </w:t>
            </w:r>
          </w:p>
          <w:p w14:paraId="58993D59" w14:textId="2BC95285" w:rsidR="005618E2" w:rsidRDefault="009C0965" w:rsidP="00C24D67">
            <w:pPr>
              <w:pStyle w:val="BoxBullet"/>
            </w:pPr>
            <w:r w:rsidRPr="00207DD5">
              <w:t xml:space="preserve">Reducing funding from the Hydrogen </w:t>
            </w:r>
            <w:proofErr w:type="spellStart"/>
            <w:r w:rsidRPr="00207DD5">
              <w:t>Headstart</w:t>
            </w:r>
            <w:proofErr w:type="spellEnd"/>
            <w:r w:rsidRPr="00207DD5">
              <w:t xml:space="preserve">, Solar </w:t>
            </w:r>
            <w:proofErr w:type="spellStart"/>
            <w:r w:rsidRPr="00207DD5">
              <w:t>Sunshot</w:t>
            </w:r>
            <w:proofErr w:type="spellEnd"/>
            <w:r w:rsidRPr="00207DD5">
              <w:t xml:space="preserve"> and Battery Breakthrough Initiative programs to achieve savings of $1.3</w:t>
            </w:r>
            <w:r w:rsidR="009F0B52" w:rsidRPr="00207DD5">
              <w:t> </w:t>
            </w:r>
            <w:r w:rsidRPr="00207DD5">
              <w:t>billion from 2025</w:t>
            </w:r>
            <w:r w:rsidR="00012E5E" w:rsidRPr="00207DD5">
              <w:t>–</w:t>
            </w:r>
            <w:r w:rsidRPr="00207DD5">
              <w:t>26 to 203</w:t>
            </w:r>
            <w:r w:rsidR="00090804" w:rsidRPr="00207DD5">
              <w:t>5</w:t>
            </w:r>
            <w:r w:rsidR="00012E5E" w:rsidRPr="00207DD5">
              <w:t>–</w:t>
            </w:r>
            <w:r w:rsidR="00E210E6" w:rsidRPr="00207DD5">
              <w:t>3</w:t>
            </w:r>
            <w:r w:rsidR="00090804" w:rsidRPr="00207DD5">
              <w:t>6</w:t>
            </w:r>
            <w:r w:rsidR="00E210E6" w:rsidRPr="00207DD5">
              <w:t>.</w:t>
            </w:r>
            <w:r w:rsidRPr="00207DD5" w:rsidDel="00E210E6">
              <w:t xml:space="preserve"> </w:t>
            </w:r>
          </w:p>
          <w:p w14:paraId="316F3A9B" w14:textId="28443046" w:rsidR="00786734" w:rsidRDefault="009430A7" w:rsidP="00C24D67">
            <w:pPr>
              <w:pStyle w:val="BoxBullet"/>
            </w:pPr>
            <w:r w:rsidRPr="00207DD5">
              <w:t>The</w:t>
            </w:r>
            <w:r w:rsidR="00786734" w:rsidRPr="00207DD5">
              <w:t xml:space="preserve"> tax package</w:t>
            </w:r>
            <w:r w:rsidR="00F043DC" w:rsidRPr="00207DD5">
              <w:t xml:space="preserve"> which</w:t>
            </w:r>
            <w:r w:rsidRPr="00207DD5">
              <w:t>, over time,</w:t>
            </w:r>
            <w:r w:rsidR="00786734" w:rsidRPr="00207DD5">
              <w:t xml:space="preserve"> improv</w:t>
            </w:r>
            <w:r w:rsidR="00A91B4E" w:rsidRPr="00207DD5">
              <w:t>es</w:t>
            </w:r>
            <w:r w:rsidR="00786734" w:rsidRPr="00207DD5">
              <w:t xml:space="preserve"> the underlying cash balance by $</w:t>
            </w:r>
            <w:r w:rsidR="00C61B3E" w:rsidRPr="00207DD5">
              <w:t>77</w:t>
            </w:r>
            <w:r w:rsidR="006868DE" w:rsidRPr="00207DD5">
              <w:t>.</w:t>
            </w:r>
            <w:r w:rsidR="00C61B3E" w:rsidRPr="00207DD5">
              <w:t>2</w:t>
            </w:r>
            <w:r w:rsidR="009F0B52" w:rsidRPr="00207DD5">
              <w:t> </w:t>
            </w:r>
            <w:r w:rsidR="00786734" w:rsidRPr="00207DD5">
              <w:t>billion from 2025–26 to 2036–37.</w:t>
            </w:r>
            <w:r w:rsidR="004A07AE" w:rsidRPr="00207DD5">
              <w:t xml:space="preserve"> </w:t>
            </w:r>
          </w:p>
          <w:p w14:paraId="41AA916A" w14:textId="5B7B65E0" w:rsidR="00F90AC9" w:rsidRPr="00D43C89" w:rsidRDefault="008632A0" w:rsidP="00C569E7">
            <w:pPr>
              <w:pStyle w:val="BoxText"/>
            </w:pPr>
            <w:r w:rsidRPr="00207DD5">
              <w:t xml:space="preserve">These direct improvements to the </w:t>
            </w:r>
            <w:r w:rsidR="00EF5CA8" w:rsidRPr="00207DD5">
              <w:t xml:space="preserve">budget </w:t>
            </w:r>
            <w:r w:rsidRPr="00207DD5">
              <w:t xml:space="preserve">balance </w:t>
            </w:r>
            <w:r w:rsidR="00131AE4" w:rsidRPr="00207DD5">
              <w:t>help</w:t>
            </w:r>
            <w:r w:rsidR="00D53434" w:rsidRPr="00207DD5">
              <w:t xml:space="preserve"> to </w:t>
            </w:r>
            <w:r w:rsidRPr="00207DD5">
              <w:t xml:space="preserve">avoid interest payments </w:t>
            </w:r>
            <w:r w:rsidR="00D53434" w:rsidRPr="00207DD5">
              <w:t xml:space="preserve">of </w:t>
            </w:r>
            <w:r w:rsidRPr="00207DD5">
              <w:t>$</w:t>
            </w:r>
            <w:r w:rsidR="002B0B71" w:rsidRPr="00207DD5">
              <w:t>5</w:t>
            </w:r>
            <w:r w:rsidR="004E72AB" w:rsidRPr="00207DD5">
              <w:t>5</w:t>
            </w:r>
            <w:r w:rsidR="0000709F" w:rsidRPr="00207DD5">
              <w:t>.</w:t>
            </w:r>
            <w:r w:rsidR="004E72AB" w:rsidRPr="00207DD5">
              <w:t>6</w:t>
            </w:r>
            <w:r w:rsidR="009F0B52" w:rsidRPr="00207DD5">
              <w:t> </w:t>
            </w:r>
            <w:r w:rsidRPr="00207DD5">
              <w:t>billion from 2025</w:t>
            </w:r>
            <w:r w:rsidR="00451EC9" w:rsidRPr="00207DD5">
              <w:t>–</w:t>
            </w:r>
            <w:r w:rsidRPr="00207DD5">
              <w:t xml:space="preserve">26 to 2036–37. By 2036–37, the underlying cash balance is </w:t>
            </w:r>
            <w:r w:rsidR="00F146BE" w:rsidRPr="00207DD5">
              <w:t>1.</w:t>
            </w:r>
            <w:r w:rsidR="0008157A" w:rsidRPr="00207DD5">
              <w:t>3</w:t>
            </w:r>
            <w:r w:rsidR="00A305F7" w:rsidRPr="00207DD5">
              <w:t> </w:t>
            </w:r>
            <w:r w:rsidRPr="00207DD5">
              <w:t xml:space="preserve">percentage points of GDP </w:t>
            </w:r>
            <w:r w:rsidR="0029203C" w:rsidRPr="00207DD5">
              <w:t>better</w:t>
            </w:r>
            <w:r w:rsidRPr="00207DD5">
              <w:t xml:space="preserve"> than it would have been had these improvements not been made</w:t>
            </w:r>
            <w:r w:rsidR="00B6798B" w:rsidRPr="00207DD5">
              <w:t xml:space="preserve"> (Chart </w:t>
            </w:r>
            <w:r w:rsidR="00FA31A2" w:rsidRPr="00207DD5">
              <w:t>3.</w:t>
            </w:r>
            <w:r w:rsidR="00E475E8" w:rsidRPr="00207DD5">
              <w:t>1</w:t>
            </w:r>
            <w:r w:rsidR="00B6798B" w:rsidRPr="00207DD5">
              <w:t>)</w:t>
            </w:r>
            <w:r w:rsidRPr="00207DD5">
              <w:t xml:space="preserve">. Gross debt is </w:t>
            </w:r>
            <w:r w:rsidR="00BD4729" w:rsidRPr="00207DD5">
              <w:t>7.</w:t>
            </w:r>
            <w:r w:rsidR="00655CCE" w:rsidRPr="00207DD5">
              <w:t>3</w:t>
            </w:r>
            <w:r w:rsidR="009F0B52" w:rsidRPr="00207DD5">
              <w:t> </w:t>
            </w:r>
            <w:r w:rsidR="00BD4729" w:rsidRPr="00207DD5">
              <w:t>per</w:t>
            </w:r>
            <w:r w:rsidR="00B47F89" w:rsidRPr="00207DD5">
              <w:t>c</w:t>
            </w:r>
            <w:r w:rsidR="00BD4729" w:rsidRPr="00207DD5">
              <w:t>ent</w:t>
            </w:r>
            <w:r w:rsidR="00B47F89" w:rsidRPr="00207DD5">
              <w:t>age points of GDP</w:t>
            </w:r>
            <w:r w:rsidRPr="00207DD5">
              <w:t xml:space="preserve"> lower by 2036</w:t>
            </w:r>
            <w:r w:rsidR="00AB56B9" w:rsidRPr="00207DD5">
              <w:t>–</w:t>
            </w:r>
            <w:r w:rsidRPr="00207DD5">
              <w:t>37.</w:t>
            </w:r>
          </w:p>
        </w:tc>
      </w:tr>
    </w:tbl>
    <w:p w14:paraId="4A410AF9" w14:textId="77777777" w:rsidR="00171192" w:rsidRDefault="00171192" w:rsidP="00E46471">
      <w:pPr>
        <w:rPr>
          <w:lang w:val="en-US"/>
        </w:rPr>
      </w:pPr>
    </w:p>
    <w:tbl>
      <w:tblPr>
        <w:tblW w:w="5000" w:type="pct"/>
        <w:shd w:val="clear" w:color="auto" w:fill="E6F2FF"/>
        <w:tblCellMar>
          <w:top w:w="284" w:type="dxa"/>
          <w:left w:w="284" w:type="dxa"/>
          <w:bottom w:w="284" w:type="dxa"/>
          <w:right w:w="284" w:type="dxa"/>
        </w:tblCellMar>
        <w:tblLook w:val="0620" w:firstRow="1" w:lastRow="0" w:firstColumn="0" w:lastColumn="0" w:noHBand="1" w:noVBand="1"/>
      </w:tblPr>
      <w:tblGrid>
        <w:gridCol w:w="7710"/>
      </w:tblGrid>
      <w:tr w:rsidR="00171192" w14:paraId="2618173F" w14:textId="77777777" w:rsidTr="00AE4FF4">
        <w:trPr>
          <w:cantSplit/>
          <w:trHeight w:val="5815"/>
        </w:trPr>
        <w:tc>
          <w:tcPr>
            <w:tcW w:w="5000" w:type="pct"/>
            <w:shd w:val="clear" w:color="auto" w:fill="E6F2FF"/>
          </w:tcPr>
          <w:p w14:paraId="137F129E" w14:textId="0084BF1C" w:rsidR="00171192" w:rsidRPr="00E46471" w:rsidRDefault="00171192" w:rsidP="00171192">
            <w:pPr>
              <w:pStyle w:val="BoxHeading"/>
              <w:rPr>
                <w:rStyle w:val="BoxHeading-Continued"/>
              </w:rPr>
            </w:pPr>
            <w:r w:rsidRPr="00207DD5">
              <w:lastRenderedPageBreak/>
              <w:t>Box 3.2: Delivering structural improvements to the Budget</w:t>
            </w:r>
            <w:r w:rsidR="00C569E7" w:rsidRPr="00207DD5">
              <w:t xml:space="preserve"> </w:t>
            </w:r>
            <w:r w:rsidR="00C569E7" w:rsidRPr="00207DD5">
              <w:rPr>
                <w:rStyle w:val="BoxHeading-Continued"/>
              </w:rPr>
              <w:t>(continued)</w:t>
            </w:r>
            <w:r w:rsidR="00E83D0E" w:rsidRPr="00207DD5">
              <w:rPr>
                <w:rStyle w:val="BoxHeading-Continued"/>
              </w:rPr>
              <w:t xml:space="preserve"> </w:t>
            </w:r>
          </w:p>
          <w:p w14:paraId="5D04CA5C" w14:textId="1313F1FC" w:rsidR="00C569E7" w:rsidRPr="00207DD5" w:rsidRDefault="00C569E7" w:rsidP="00C569E7">
            <w:pPr>
              <w:pStyle w:val="ChartMainHeading"/>
            </w:pPr>
            <w:r w:rsidRPr="00207DD5">
              <w:t>Chart 3.1: Structural improvements to the Budget</w:t>
            </w:r>
          </w:p>
          <w:p w14:paraId="1BD40E8E" w14:textId="77777777" w:rsidR="00C569E7" w:rsidRPr="00207DD5" w:rsidRDefault="00C569E7" w:rsidP="00C569E7">
            <w:pPr>
              <w:pStyle w:val="ChartMainHeading"/>
            </w:pPr>
            <w:r w:rsidRPr="00207DD5">
              <w:t xml:space="preserve"> </w:t>
            </w:r>
            <w:r w:rsidRPr="00207DD5">
              <w:rPr>
                <w:noProof/>
              </w:rPr>
              <w:drawing>
                <wp:inline distT="0" distB="0" distL="0" distR="0" wp14:anchorId="5D476FEC" wp14:editId="189D870E">
                  <wp:extent cx="4686300" cy="2867025"/>
                  <wp:effectExtent l="0" t="0" r="0" b="9525"/>
                  <wp:docPr id="594238430" name="Graphic 1" descr="This column and line combination chart shows the underlying cash balance at the 2026-27 Budget, compared to a hypothetical underlying cash balance without selected savings and tax packages. Structural savings improve the underlying cash balance by 0.4 per cent of GDP in 2029–30, increasing over the medium term to 0.7 per cent of GDP by 2036–37. Revenue measures improve the underlying cash balance by 0.1 per cent of GDP in 2029–30, increasing over the medium term to 0.3 per cent of GDP by 2036–37. The impact of these measures helps to avoid interest payments of 0.1 per cent of GDP by 2030–31, increasing to 0.3 per cent of GDP by 2036–37. Without these measures, the underlying cash balance would have been in a deficit of 1.3 per cent of GDP in 2029–30, deteriorating to a deficit of 1.5 per cent of GDP in 2030–31, before improving to a deficit of 0.5 per cent of GDP by 20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33051" name="Graphic 1" descr="This column and line combination chart shows the underlying cash balance at the 2026-27 Budget, compared to a hypothetical underlying cash balance without selected savings and tax packages. Structural savings improve the underlying cash balance by 0.4 per cent of GDP in 2029–30, increasing over the medium term to 0.7 per cent of GDP by 2036–37. Revenue measures improve the underlying cash balance by 0.1 per cent of GDP in 2029–30, increasing over the medium term to 0.3 per cent of GDP by 2036–37. The impact of these measures helps to avoid interest payments of 0.1 per cent of GDP by 2030–31, increasing to 0.3 per cent of GDP by 2036–37. Without these measures, the underlying cash balance would have been in a deficit of 1.3 per cent of GDP in 2029–30, deteriorating to a deficit of 1.5 per cent of GDP in 2030–31, before improving to a deficit of 0.5 per cent of GDP by 2036–37."/>
                          <pic:cNvPicPr/>
                        </pic:nvPicPr>
                        <pic:blipFill>
                          <a:blip r:embed="rId19">
                            <a:extLst>
                              <a:ext uri="{96DAC541-7B7A-43D3-8B79-37D633B846F1}">
                                <asvg:svgBlip xmlns:asvg="http://schemas.microsoft.com/office/drawing/2016/SVG/main" r:embed="rId20"/>
                              </a:ext>
                            </a:extLst>
                          </a:blip>
                          <a:stretch>
                            <a:fillRect/>
                          </a:stretch>
                        </pic:blipFill>
                        <pic:spPr>
                          <a:xfrm>
                            <a:off x="0" y="0"/>
                            <a:ext cx="4686300" cy="2867025"/>
                          </a:xfrm>
                          <a:prstGeom prst="rect">
                            <a:avLst/>
                          </a:prstGeom>
                        </pic:spPr>
                      </pic:pic>
                    </a:graphicData>
                  </a:graphic>
                </wp:inline>
              </w:drawing>
            </w:r>
          </w:p>
          <w:p w14:paraId="0FD98034" w14:textId="61D06733" w:rsidR="00171192" w:rsidRDefault="00C569E7" w:rsidP="00E46471">
            <w:pPr>
              <w:pStyle w:val="ChartandTableFootnote"/>
            </w:pPr>
            <w:r w:rsidRPr="00207DD5">
              <w:rPr>
                <w:color w:val="auto"/>
              </w:rPr>
              <w:t xml:space="preserve">Source: </w:t>
            </w:r>
            <w:r w:rsidR="00E93CF8" w:rsidRPr="00207DD5">
              <w:rPr>
                <w:color w:val="auto"/>
              </w:rPr>
              <w:tab/>
            </w:r>
            <w:r w:rsidRPr="00207DD5">
              <w:rPr>
                <w:color w:val="auto"/>
              </w:rPr>
              <w:t>Treasury.</w:t>
            </w:r>
            <w:r w:rsidR="00DE51A0" w:rsidRPr="00207DD5">
              <w:rPr>
                <w:color w:val="auto"/>
              </w:rPr>
              <w:t xml:space="preserve"> </w:t>
            </w:r>
          </w:p>
        </w:tc>
      </w:tr>
    </w:tbl>
    <w:p w14:paraId="11E03DF4" w14:textId="60BD8627" w:rsidR="00DB0D19" w:rsidRPr="00D74E42" w:rsidRDefault="00DB0D19" w:rsidP="000E4408">
      <w:pPr>
        <w:pStyle w:val="SingleParagraph"/>
      </w:pPr>
    </w:p>
    <w:p w14:paraId="5C1F3810" w14:textId="46C0B7DB" w:rsidR="007B7BDD" w:rsidRPr="00207DD5" w:rsidRDefault="007B7BDD" w:rsidP="00E85485">
      <w:pPr>
        <w:pStyle w:val="Heading3"/>
        <w:rPr>
          <w:lang w:val="en-US"/>
        </w:rPr>
      </w:pPr>
      <w:bookmarkStart w:id="19" w:name="_Toc229240485"/>
      <w:r w:rsidRPr="00207DD5">
        <w:rPr>
          <w:lang w:val="en-US"/>
        </w:rPr>
        <w:t>Addressing unavoidable issues</w:t>
      </w:r>
      <w:bookmarkEnd w:id="17"/>
      <w:bookmarkEnd w:id="18"/>
      <w:bookmarkEnd w:id="19"/>
    </w:p>
    <w:p w14:paraId="34B6ADFB" w14:textId="73460868" w:rsidR="007B7BDD" w:rsidRPr="008D283E" w:rsidRDefault="007B7BDD" w:rsidP="007B7BDD">
      <w:r w:rsidRPr="00207DD5">
        <w:t>The Government has provide</w:t>
      </w:r>
      <w:r w:rsidR="00B85822" w:rsidRPr="00207DD5">
        <w:t>d</w:t>
      </w:r>
      <w:r w:rsidRPr="00207DD5">
        <w:t xml:space="preserve"> $</w:t>
      </w:r>
      <w:r w:rsidR="00C9241C" w:rsidRPr="00207DD5">
        <w:t>14.0</w:t>
      </w:r>
      <w:r w:rsidR="009F0B52" w:rsidRPr="00207DD5">
        <w:t> </w:t>
      </w:r>
      <w:r w:rsidRPr="00207DD5">
        <w:t>billion over</w:t>
      </w:r>
      <w:r w:rsidRPr="00207DD5" w:rsidDel="007219D2">
        <w:t xml:space="preserve"> </w:t>
      </w:r>
      <w:r w:rsidRPr="00207DD5">
        <w:t>five</w:t>
      </w:r>
      <w:r w:rsidR="00C05C06" w:rsidRPr="00207DD5">
        <w:t xml:space="preserve"> </w:t>
      </w:r>
      <w:r w:rsidRPr="00207DD5">
        <w:t xml:space="preserve">years to </w:t>
      </w:r>
      <w:r w:rsidR="009B4D6B" w:rsidRPr="00207DD5">
        <w:t>2029–30</w:t>
      </w:r>
      <w:r w:rsidRPr="00207DD5">
        <w:t xml:space="preserve"> for unavoidable policy decisions </w:t>
      </w:r>
      <w:r w:rsidR="001F070D" w:rsidRPr="00207DD5">
        <w:t xml:space="preserve">in this </w:t>
      </w:r>
      <w:r w:rsidR="00A04E37" w:rsidRPr="00207DD5">
        <w:t>b</w:t>
      </w:r>
      <w:r w:rsidR="001F070D" w:rsidRPr="00207DD5">
        <w:t>udget update</w:t>
      </w:r>
      <w:r w:rsidRPr="00207DD5">
        <w:t>. Investment</w:t>
      </w:r>
      <w:r w:rsidR="00721AD1" w:rsidRPr="00207DD5">
        <w:t>s</w:t>
      </w:r>
      <w:r w:rsidRPr="00207DD5">
        <w:t xml:space="preserve"> in these critical areas support the delivery of essential services and prevent cuts to services Australians rely on</w:t>
      </w:r>
      <w:r w:rsidR="00D84E12" w:rsidRPr="00207DD5">
        <w:t>, and address urgent and unforeseen issues</w:t>
      </w:r>
      <w:r w:rsidR="00A60971" w:rsidRPr="00207DD5">
        <w:t>, including</w:t>
      </w:r>
      <w:r w:rsidR="00021386" w:rsidRPr="00207DD5">
        <w:t xml:space="preserve"> funding to</w:t>
      </w:r>
      <w:r w:rsidR="00A60971" w:rsidRPr="00207DD5">
        <w:t>:</w:t>
      </w:r>
    </w:p>
    <w:p w14:paraId="72509137" w14:textId="01F6C73C" w:rsidR="001D60A7" w:rsidRPr="00207DD5" w:rsidRDefault="00021386" w:rsidP="001D60A7">
      <w:pPr>
        <w:pStyle w:val="Bullet"/>
        <w:tabs>
          <w:tab w:val="clear" w:pos="283"/>
          <w:tab w:val="num" w:pos="449"/>
        </w:tabs>
        <w:ind w:left="449" w:hanging="449"/>
      </w:pPr>
      <w:r w:rsidRPr="00207DD5">
        <w:t xml:space="preserve">provide </w:t>
      </w:r>
      <w:r w:rsidR="001D60A7" w:rsidRPr="00207DD5">
        <w:t>new and amended PBS listings and vaccinations</w:t>
      </w:r>
    </w:p>
    <w:p w14:paraId="17DFE44B" w14:textId="3A1991AF" w:rsidR="001D60A7" w:rsidRDefault="001D60A7" w:rsidP="001D60A7">
      <w:pPr>
        <w:pStyle w:val="Bullet"/>
        <w:tabs>
          <w:tab w:val="clear" w:pos="283"/>
          <w:tab w:val="num" w:pos="449"/>
        </w:tabs>
        <w:ind w:left="449" w:hanging="449"/>
      </w:pPr>
      <w:r w:rsidRPr="00207DD5">
        <w:t>respond to the antisemitic Bondi terrorist attack in December 2025</w:t>
      </w:r>
    </w:p>
    <w:p w14:paraId="0345C7B9" w14:textId="1C03D98F" w:rsidR="001D60A7" w:rsidRDefault="001D60A7" w:rsidP="001D60A7">
      <w:pPr>
        <w:pStyle w:val="Bullet"/>
        <w:tabs>
          <w:tab w:val="clear" w:pos="283"/>
          <w:tab w:val="num" w:pos="449"/>
        </w:tabs>
        <w:ind w:left="449" w:hanging="449"/>
      </w:pPr>
      <w:r w:rsidRPr="00207DD5">
        <w:t>support security and frontline service delivery in Services Australia centres, and improve cybersecurity in the agency</w:t>
      </w:r>
      <w:r w:rsidR="009F0B52" w:rsidRPr="00207DD5">
        <w:t>’</w:t>
      </w:r>
      <w:r w:rsidRPr="00207DD5">
        <w:t>s ICT systems</w:t>
      </w:r>
    </w:p>
    <w:p w14:paraId="270BB9B5" w14:textId="49C4A824" w:rsidR="001D60A7" w:rsidRPr="00207DD5" w:rsidRDefault="001D60A7" w:rsidP="001D60A7">
      <w:pPr>
        <w:pStyle w:val="Bullet"/>
        <w:tabs>
          <w:tab w:val="clear" w:pos="283"/>
          <w:tab w:val="num" w:pos="449"/>
        </w:tabs>
        <w:ind w:left="449" w:hanging="449"/>
      </w:pPr>
      <w:r w:rsidRPr="00207DD5">
        <w:t>extend and provide ongoing funding for Medicare Urgent Care Clinics</w:t>
      </w:r>
    </w:p>
    <w:p w14:paraId="07E022C3" w14:textId="75E41348" w:rsidR="001D60A7" w:rsidRPr="00207DD5" w:rsidRDefault="001D60A7" w:rsidP="001D60A7">
      <w:pPr>
        <w:pStyle w:val="Bullet"/>
        <w:tabs>
          <w:tab w:val="clear" w:pos="283"/>
          <w:tab w:val="num" w:pos="449"/>
        </w:tabs>
        <w:ind w:left="449" w:hanging="449"/>
      </w:pPr>
      <w:r w:rsidRPr="00207DD5">
        <w:t xml:space="preserve">maintain essential capability of CSIRO, </w:t>
      </w:r>
      <w:r w:rsidR="00885EE1" w:rsidRPr="00207DD5">
        <w:t xml:space="preserve">the </w:t>
      </w:r>
      <w:r w:rsidRPr="00207DD5">
        <w:t xml:space="preserve">National Measurement Institute and </w:t>
      </w:r>
      <w:r w:rsidR="00885EE1" w:rsidRPr="00207DD5">
        <w:t xml:space="preserve">the </w:t>
      </w:r>
      <w:r w:rsidRPr="00207DD5">
        <w:t>Australian Centre for Disease Preparedness</w:t>
      </w:r>
    </w:p>
    <w:p w14:paraId="3CA23A54" w14:textId="495B0268" w:rsidR="001D60A7" w:rsidRDefault="001D60A7" w:rsidP="001D60A7">
      <w:pPr>
        <w:pStyle w:val="Bullet"/>
        <w:tabs>
          <w:tab w:val="clear" w:pos="283"/>
          <w:tab w:val="num" w:pos="449"/>
        </w:tabs>
        <w:ind w:left="449" w:hanging="449"/>
      </w:pPr>
      <w:r w:rsidRPr="00207DD5">
        <w:lastRenderedPageBreak/>
        <w:t>sustain critical ICT investments such as My</w:t>
      </w:r>
      <w:r w:rsidR="005B1F86" w:rsidRPr="00207DD5">
        <w:t xml:space="preserve"> </w:t>
      </w:r>
      <w:r w:rsidRPr="00207DD5">
        <w:t>Health Record, stab</w:t>
      </w:r>
      <w:r w:rsidR="006D1B76" w:rsidRPr="00207DD5">
        <w:t>i</w:t>
      </w:r>
      <w:r w:rsidRPr="00207DD5">
        <w:t>lise and uplift Australia’s business registers, and extend and provide ongoing funding for Digital</w:t>
      </w:r>
      <w:r w:rsidR="004919A1" w:rsidRPr="00207DD5">
        <w:t xml:space="preserve"> </w:t>
      </w:r>
      <w:r w:rsidRPr="00207DD5">
        <w:t>ID</w:t>
      </w:r>
    </w:p>
    <w:p w14:paraId="36A477CA" w14:textId="13F3CA89" w:rsidR="001D60A7" w:rsidRPr="00207DD5" w:rsidRDefault="001D60A7" w:rsidP="001D60A7">
      <w:pPr>
        <w:pStyle w:val="Bullet"/>
        <w:tabs>
          <w:tab w:val="clear" w:pos="283"/>
          <w:tab w:val="num" w:pos="449"/>
        </w:tabs>
        <w:ind w:left="449" w:hanging="449"/>
      </w:pPr>
      <w:r w:rsidRPr="00207DD5">
        <w:t>extend and provide ongoing funding for public dental services and the National Medical Stockpile</w:t>
      </w:r>
    </w:p>
    <w:p w14:paraId="5E9460F7" w14:textId="58CA76EA" w:rsidR="001D60A7" w:rsidRPr="00207DD5" w:rsidRDefault="001D60A7" w:rsidP="001D60A7">
      <w:pPr>
        <w:pStyle w:val="Bullet"/>
        <w:tabs>
          <w:tab w:val="clear" w:pos="283"/>
          <w:tab w:val="num" w:pos="449"/>
        </w:tabs>
        <w:ind w:left="449" w:hanging="449"/>
      </w:pPr>
      <w:r w:rsidRPr="00207DD5">
        <w:t xml:space="preserve">extend terminating programs in the Health, Disability and Ageing portfolio, including funding to eliminate HIV transmission and </w:t>
      </w:r>
      <w:r w:rsidR="00D54AC7" w:rsidRPr="00207DD5">
        <w:t xml:space="preserve">support </w:t>
      </w:r>
      <w:r w:rsidR="0031408B" w:rsidRPr="00207DD5">
        <w:t>a</w:t>
      </w:r>
      <w:r w:rsidRPr="00207DD5">
        <w:t xml:space="preserve">ged </w:t>
      </w:r>
      <w:r w:rsidR="0031408B" w:rsidRPr="00207DD5">
        <w:t>c</w:t>
      </w:r>
      <w:r w:rsidRPr="00207DD5">
        <w:t xml:space="preserve">are </w:t>
      </w:r>
      <w:r w:rsidR="0031408B" w:rsidRPr="00207DD5">
        <w:t xml:space="preserve">provider </w:t>
      </w:r>
      <w:r w:rsidR="003248A6" w:rsidRPr="00207DD5">
        <w:t>viability</w:t>
      </w:r>
    </w:p>
    <w:p w14:paraId="7D58C2BC" w14:textId="5E343576" w:rsidR="001D60A7" w:rsidRPr="00207DD5" w:rsidRDefault="001D60A7" w:rsidP="001D60A7">
      <w:pPr>
        <w:pStyle w:val="Bullet"/>
        <w:tabs>
          <w:tab w:val="clear" w:pos="283"/>
          <w:tab w:val="num" w:pos="449"/>
        </w:tabs>
        <w:ind w:left="449" w:hanging="449"/>
      </w:pPr>
      <w:r w:rsidRPr="00207DD5">
        <w:t>extend and provide ongoing funding for the Commonwealth Fraud Prevention Centre and the Fraud Fusion Taskforce to continue to detect and respond to fraud and non</w:t>
      </w:r>
      <w:r w:rsidR="00B74A98" w:rsidRPr="00207DD5">
        <w:noBreakHyphen/>
      </w:r>
      <w:r w:rsidRPr="00207DD5">
        <w:t>compliant payments in the NDIS and across other government payments</w:t>
      </w:r>
    </w:p>
    <w:p w14:paraId="5133B2C9" w14:textId="534ED407" w:rsidR="001D60A7" w:rsidRPr="00207DD5" w:rsidRDefault="00DF3DDF" w:rsidP="001D60A7">
      <w:pPr>
        <w:pStyle w:val="Bullet"/>
        <w:tabs>
          <w:tab w:val="clear" w:pos="283"/>
          <w:tab w:val="num" w:pos="449"/>
        </w:tabs>
        <w:ind w:left="449" w:hanging="449"/>
      </w:pPr>
      <w:r w:rsidRPr="00207DD5">
        <w:t>e</w:t>
      </w:r>
      <w:r w:rsidR="001D60A7" w:rsidRPr="00207DD5">
        <w:t xml:space="preserve">xtend terminating funding for the National Disability Insurance Agency to ensure </w:t>
      </w:r>
      <w:r w:rsidR="00A32B04" w:rsidRPr="00207DD5">
        <w:t>it is</w:t>
      </w:r>
      <w:r w:rsidR="001D60A7" w:rsidRPr="00207DD5">
        <w:t xml:space="preserve"> appropriately resourced to continue to support NDIS participants </w:t>
      </w:r>
    </w:p>
    <w:p w14:paraId="475EB90A" w14:textId="398B2368" w:rsidR="001D60A7" w:rsidRDefault="001D60A7" w:rsidP="001D60A7">
      <w:pPr>
        <w:pStyle w:val="Bullet"/>
        <w:tabs>
          <w:tab w:val="clear" w:pos="283"/>
          <w:tab w:val="num" w:pos="449"/>
        </w:tabs>
        <w:ind w:left="449" w:hanging="449"/>
      </w:pPr>
      <w:r w:rsidRPr="00207DD5">
        <w:t>sustain essential government services, including critical safety and regulatory functions at the Civil Aviation Safety Authority</w:t>
      </w:r>
      <w:r>
        <w:t xml:space="preserve">, </w:t>
      </w:r>
      <w:r w:rsidRPr="00207DD5">
        <w:t>Australia’s consular and overseas crisis management and response capability within the Department of Foreign Affairs and Trade</w:t>
      </w:r>
      <w:r>
        <w:t xml:space="preserve">, </w:t>
      </w:r>
      <w:r w:rsidRPr="00207DD5">
        <w:t xml:space="preserve">and Australia’s agricultural </w:t>
      </w:r>
      <w:r w:rsidR="006D0A2C" w:rsidRPr="00207DD5">
        <w:t>export</w:t>
      </w:r>
      <w:r w:rsidRPr="00207DD5">
        <w:t xml:space="preserve"> and trade functions at the Department of Agriculture, Fisheries and Forestry</w:t>
      </w:r>
      <w:r>
        <w:t xml:space="preserve">. </w:t>
      </w:r>
    </w:p>
    <w:p w14:paraId="17ED7D51" w14:textId="2D741DE7" w:rsidR="001D60A7" w:rsidRPr="00430B6C" w:rsidRDefault="001D60A7" w:rsidP="00E46471">
      <w:r w:rsidRPr="00207DD5">
        <w:t>Since the 2022 PEFO, the Government has spent $</w:t>
      </w:r>
      <w:r w:rsidR="006A5EC7" w:rsidRPr="00207DD5">
        <w:t>71.8</w:t>
      </w:r>
      <w:r w:rsidR="009F0B52" w:rsidRPr="00207DD5">
        <w:t> </w:t>
      </w:r>
      <w:r w:rsidRPr="00207DD5">
        <w:t>billion in addressing unavoidable pressures and prevent</w:t>
      </w:r>
      <w:r w:rsidR="0026177E" w:rsidRPr="00207DD5">
        <w:t>ing</w:t>
      </w:r>
      <w:r w:rsidRPr="00207DD5">
        <w:t xml:space="preserve"> cuts to services Australians rely on.</w:t>
      </w:r>
      <w:r w:rsidR="00BC3091" w:rsidRPr="00207DD5">
        <w:rPr>
          <w:lang w:val="en-US"/>
        </w:rPr>
        <w:t xml:space="preserve"> </w:t>
      </w:r>
    </w:p>
    <w:p w14:paraId="69427358" w14:textId="7AE00130" w:rsidR="0016583C" w:rsidRPr="00430B6C" w:rsidRDefault="0016583C" w:rsidP="00C6789E">
      <w:pPr>
        <w:pStyle w:val="Bullet"/>
        <w:numPr>
          <w:ilvl w:val="0"/>
          <w:numId w:val="0"/>
        </w:numPr>
        <w:ind w:left="283"/>
      </w:pPr>
    </w:p>
    <w:tbl>
      <w:tblPr>
        <w:tblW w:w="5000" w:type="pct"/>
        <w:shd w:val="clear" w:color="auto" w:fill="E6F2FF"/>
        <w:tblLayout w:type="fixed"/>
        <w:tblCellMar>
          <w:top w:w="284" w:type="dxa"/>
          <w:left w:w="284" w:type="dxa"/>
          <w:bottom w:w="284" w:type="dxa"/>
          <w:right w:w="284" w:type="dxa"/>
        </w:tblCellMar>
        <w:tblLook w:val="0620" w:firstRow="1" w:lastRow="0" w:firstColumn="0" w:lastColumn="0" w:noHBand="1" w:noVBand="1"/>
      </w:tblPr>
      <w:tblGrid>
        <w:gridCol w:w="7710"/>
      </w:tblGrid>
      <w:tr w:rsidR="007B7BDD" w:rsidRPr="007B7BDD" w14:paraId="72BB9F75" w14:textId="77777777" w:rsidTr="00AE4FF4">
        <w:trPr>
          <w:cantSplit/>
          <w:trHeight w:val="9500"/>
        </w:trPr>
        <w:tc>
          <w:tcPr>
            <w:tcW w:w="5000" w:type="pct"/>
            <w:shd w:val="clear" w:color="auto" w:fill="E6F2FF"/>
          </w:tcPr>
          <w:p w14:paraId="72FCEDC3" w14:textId="2FD4004F" w:rsidR="00CC2EB9" w:rsidRPr="00207DD5" w:rsidRDefault="007B7BDD" w:rsidP="00CC2EB9">
            <w:pPr>
              <w:pStyle w:val="BoxHeading"/>
            </w:pPr>
            <w:r w:rsidRPr="00207DD5">
              <w:lastRenderedPageBreak/>
              <w:t>Box 3.</w:t>
            </w:r>
            <w:r w:rsidR="00265873" w:rsidRPr="00207DD5">
              <w:t>3</w:t>
            </w:r>
            <w:r w:rsidRPr="00207DD5">
              <w:t xml:space="preserve">: International comparisons of </w:t>
            </w:r>
            <w:r w:rsidR="00CC2EB9" w:rsidRPr="00207DD5">
              <w:t>the fiscal position</w:t>
            </w:r>
          </w:p>
          <w:p w14:paraId="7C226D4D" w14:textId="5AC6CDE5" w:rsidR="00816A63" w:rsidRPr="00207DD5" w:rsidRDefault="007B5DC7" w:rsidP="00816A63">
            <w:pPr>
              <w:pStyle w:val="BoxText"/>
            </w:pPr>
            <w:r w:rsidRPr="00207DD5">
              <w:t xml:space="preserve">The </w:t>
            </w:r>
            <w:r w:rsidR="00CC2EB9" w:rsidRPr="00207DD5">
              <w:t>IMF’s</w:t>
            </w:r>
            <w:r w:rsidRPr="00207DD5">
              <w:t xml:space="preserve"> project</w:t>
            </w:r>
            <w:r w:rsidR="006639D7" w:rsidRPr="00207DD5">
              <w:t xml:space="preserve">ions </w:t>
            </w:r>
            <w:r w:rsidR="00CA0D98" w:rsidRPr="00207DD5">
              <w:t>show</w:t>
            </w:r>
            <w:r w:rsidRPr="00207DD5">
              <w:t xml:space="preserve"> Australia’s </w:t>
            </w:r>
            <w:r w:rsidR="00EA2665" w:rsidRPr="00207DD5">
              <w:t>public finances are</w:t>
            </w:r>
            <w:r w:rsidR="00DB7073" w:rsidRPr="00207DD5">
              <w:t xml:space="preserve"> </w:t>
            </w:r>
            <w:r w:rsidR="00816A63" w:rsidRPr="00207DD5">
              <w:t xml:space="preserve">strong </w:t>
            </w:r>
            <w:r w:rsidR="00B00EAB" w:rsidRPr="00207DD5">
              <w:t>relative to our peers</w:t>
            </w:r>
            <w:r w:rsidR="00816A63" w:rsidRPr="00207DD5">
              <w:t xml:space="preserve"> (Chart 3.</w:t>
            </w:r>
            <w:r w:rsidR="00E535DC" w:rsidRPr="00207DD5">
              <w:t>2</w:t>
            </w:r>
            <w:r w:rsidR="00816A63" w:rsidRPr="00207DD5">
              <w:t>).</w:t>
            </w:r>
          </w:p>
          <w:p w14:paraId="15085AB5" w14:textId="3DBC7D30" w:rsidR="003B77E2" w:rsidRPr="00207DD5" w:rsidRDefault="005A433D" w:rsidP="003B77E2">
            <w:pPr>
              <w:pStyle w:val="BoxText"/>
            </w:pPr>
            <w:r w:rsidRPr="00207DD5">
              <w:t>Australia</w:t>
            </w:r>
            <w:r w:rsidR="00D11247" w:rsidRPr="00207DD5">
              <w:t>’</w:t>
            </w:r>
            <w:r w:rsidRPr="00207DD5">
              <w:t xml:space="preserve">s general government budget deficit as a share of GDP is expected </w:t>
            </w:r>
            <w:r w:rsidR="007B5DC7" w:rsidRPr="00207DD5">
              <w:t>to narrow to 2.</w:t>
            </w:r>
            <w:r w:rsidR="000932EC" w:rsidRPr="00207DD5">
              <w:t>1</w:t>
            </w:r>
            <w:r w:rsidR="009F0B52" w:rsidRPr="00207DD5">
              <w:t> </w:t>
            </w:r>
            <w:r w:rsidR="007B5DC7" w:rsidRPr="00207DD5">
              <w:t>per</w:t>
            </w:r>
            <w:r w:rsidR="009F0B52" w:rsidRPr="00207DD5">
              <w:t> </w:t>
            </w:r>
            <w:r w:rsidR="007B5DC7" w:rsidRPr="00207DD5">
              <w:t>cent of GDP in 202</w:t>
            </w:r>
            <w:r w:rsidR="000932EC" w:rsidRPr="00207DD5">
              <w:t>7</w:t>
            </w:r>
            <w:r w:rsidR="00097BAE" w:rsidRPr="00207DD5">
              <w:t>.</w:t>
            </w:r>
            <w:r w:rsidR="00C57A21" w:rsidRPr="00207DD5">
              <w:t xml:space="preserve"> </w:t>
            </w:r>
            <w:r w:rsidR="006138C3" w:rsidRPr="00207DD5">
              <w:t xml:space="preserve">This </w:t>
            </w:r>
            <w:r w:rsidR="000D1590" w:rsidRPr="00207DD5">
              <w:t>compares with a d</w:t>
            </w:r>
            <w:r w:rsidR="0033783C" w:rsidRPr="00207DD5">
              <w:t>eficit of</w:t>
            </w:r>
            <w:r w:rsidR="006138C3" w:rsidRPr="00207DD5">
              <w:t xml:space="preserve"> </w:t>
            </w:r>
            <w:r w:rsidR="003B77E2" w:rsidRPr="00207DD5">
              <w:t>2.</w:t>
            </w:r>
            <w:r w:rsidR="00B269F9" w:rsidRPr="00207DD5">
              <w:t>5</w:t>
            </w:r>
            <w:r w:rsidR="009F0B52" w:rsidRPr="00207DD5">
              <w:t> </w:t>
            </w:r>
            <w:r w:rsidR="003B77E2" w:rsidRPr="00207DD5">
              <w:t>per</w:t>
            </w:r>
            <w:r w:rsidR="009F0B52" w:rsidRPr="00207DD5">
              <w:t> </w:t>
            </w:r>
            <w:r w:rsidR="003B77E2" w:rsidRPr="00207DD5">
              <w:t>cent</w:t>
            </w:r>
            <w:r w:rsidR="0033783C" w:rsidRPr="00207DD5">
              <w:t xml:space="preserve"> of GDP for Canada</w:t>
            </w:r>
            <w:r w:rsidR="003B77E2" w:rsidRPr="00207DD5">
              <w:t xml:space="preserve">, </w:t>
            </w:r>
            <w:r w:rsidR="00CC2EB9" w:rsidRPr="00207DD5">
              <w:t>3.</w:t>
            </w:r>
            <w:r w:rsidR="00761528" w:rsidRPr="00207DD5">
              <w:t>1</w:t>
            </w:r>
            <w:r w:rsidR="009F0B52" w:rsidRPr="00207DD5">
              <w:t> </w:t>
            </w:r>
            <w:r w:rsidR="00CC2EB9" w:rsidRPr="00207DD5">
              <w:t>per</w:t>
            </w:r>
            <w:r w:rsidR="009F0B52" w:rsidRPr="00207DD5">
              <w:t> </w:t>
            </w:r>
            <w:r w:rsidR="00CC2EB9" w:rsidRPr="00207DD5">
              <w:t xml:space="preserve">cent for </w:t>
            </w:r>
            <w:r w:rsidR="003B77E2" w:rsidRPr="00207DD5">
              <w:t xml:space="preserve">the </w:t>
            </w:r>
            <w:r w:rsidR="00761528" w:rsidRPr="00207DD5">
              <w:t xml:space="preserve">United Kingdom, </w:t>
            </w:r>
            <w:r w:rsidR="00CC2EB9" w:rsidRPr="00207DD5">
              <w:t>3.</w:t>
            </w:r>
            <w:r w:rsidR="000932EC" w:rsidRPr="00207DD5">
              <w:t>4</w:t>
            </w:r>
            <w:r w:rsidR="004345F3" w:rsidRPr="00207DD5">
              <w:t> </w:t>
            </w:r>
            <w:r w:rsidR="003B77E2" w:rsidRPr="00207DD5">
              <w:t>per</w:t>
            </w:r>
            <w:r w:rsidR="009F0B52" w:rsidRPr="00207DD5">
              <w:t> </w:t>
            </w:r>
            <w:r w:rsidR="00CC2EB9" w:rsidRPr="00207DD5">
              <w:t xml:space="preserve">cent for </w:t>
            </w:r>
            <w:r w:rsidR="003B77E2" w:rsidRPr="00207DD5">
              <w:t>the Euro Area, and 7.</w:t>
            </w:r>
            <w:r w:rsidR="00761528" w:rsidRPr="00207DD5">
              <w:t>4</w:t>
            </w:r>
            <w:r w:rsidR="009F0B52" w:rsidRPr="00207DD5">
              <w:t> </w:t>
            </w:r>
            <w:r w:rsidR="003B77E2" w:rsidRPr="00207DD5">
              <w:t>per</w:t>
            </w:r>
            <w:r w:rsidR="009F0B52" w:rsidRPr="00207DD5">
              <w:t> </w:t>
            </w:r>
            <w:r w:rsidR="003B77E2" w:rsidRPr="00207DD5">
              <w:t>cent</w:t>
            </w:r>
            <w:r w:rsidR="00CC2EB9" w:rsidRPr="00207DD5">
              <w:t xml:space="preserve"> for the United States.</w:t>
            </w:r>
            <w:r w:rsidR="003B77E2" w:rsidRPr="00207DD5">
              <w:t xml:space="preserve"> Australia is estimated to have the </w:t>
            </w:r>
            <w:r w:rsidR="00D1209C" w:rsidRPr="00207DD5">
              <w:t xml:space="preserve">third </w:t>
            </w:r>
            <w:r w:rsidR="003B77E2" w:rsidRPr="00207DD5">
              <w:t>highest budget balance among G20 countries</w:t>
            </w:r>
            <w:r w:rsidR="000530CA" w:rsidRPr="00207DD5">
              <w:t xml:space="preserve"> in </w:t>
            </w:r>
            <w:r w:rsidR="00D1209C" w:rsidRPr="00207DD5">
              <w:t>2027</w:t>
            </w:r>
            <w:r w:rsidR="003B77E2" w:rsidRPr="00207DD5">
              <w:t>, up</w:t>
            </w:r>
            <w:r w:rsidR="00612F2A" w:rsidRPr="00207DD5">
              <w:t> </w:t>
            </w:r>
            <w:r w:rsidR="003B77E2" w:rsidRPr="00207DD5">
              <w:t>from fourteenth in 2021.</w:t>
            </w:r>
          </w:p>
          <w:p w14:paraId="1326536D" w14:textId="00C57849" w:rsidR="00E00A6C" w:rsidRPr="00207DD5" w:rsidRDefault="007B5DC7" w:rsidP="0099257D">
            <w:pPr>
              <w:pStyle w:val="BoxText"/>
            </w:pPr>
            <w:r w:rsidRPr="00207DD5">
              <w:t>A stronger budget position has helped to keep Australia’s gross debt low by international standards</w:t>
            </w:r>
            <w:r w:rsidR="00097BAE" w:rsidRPr="00207DD5">
              <w:t>. The IMF</w:t>
            </w:r>
            <w:r w:rsidRPr="00207DD5">
              <w:t xml:space="preserve"> project</w:t>
            </w:r>
            <w:r w:rsidR="00097BAE" w:rsidRPr="00207DD5">
              <w:t>s Australia’s gross debt</w:t>
            </w:r>
            <w:r w:rsidRPr="00207DD5">
              <w:t xml:space="preserve"> to be 50.</w:t>
            </w:r>
            <w:r w:rsidR="00CB14FA" w:rsidRPr="00207DD5">
              <w:t>7</w:t>
            </w:r>
            <w:r w:rsidR="009F0B52" w:rsidRPr="00207DD5">
              <w:t> </w:t>
            </w:r>
            <w:r w:rsidRPr="00207DD5">
              <w:t>per</w:t>
            </w:r>
            <w:r w:rsidR="009F0B52" w:rsidRPr="00207DD5">
              <w:t> </w:t>
            </w:r>
            <w:r w:rsidRPr="00207DD5">
              <w:t xml:space="preserve">cent of GDP </w:t>
            </w:r>
            <w:r w:rsidR="00615D48" w:rsidRPr="00207DD5">
              <w:t>in</w:t>
            </w:r>
            <w:r w:rsidR="00845A3B" w:rsidRPr="00207DD5">
              <w:t xml:space="preserve"> 202</w:t>
            </w:r>
            <w:r w:rsidR="00CB14FA" w:rsidRPr="00207DD5">
              <w:t>7</w:t>
            </w:r>
            <w:r w:rsidR="00097BAE" w:rsidRPr="00207DD5">
              <w:t>, which is less than half of the advanced economy average</w:t>
            </w:r>
            <w:r w:rsidR="00845A3B" w:rsidRPr="00207DD5">
              <w:t xml:space="preserve"> </w:t>
            </w:r>
            <w:r w:rsidRPr="00207DD5">
              <w:t>(Chart 3.</w:t>
            </w:r>
            <w:r w:rsidR="00C1526A" w:rsidRPr="00207DD5">
              <w:t>3</w:t>
            </w:r>
            <w:r w:rsidRPr="00207DD5">
              <w:t xml:space="preserve">). </w:t>
            </w:r>
            <w:r w:rsidR="007B7BDD" w:rsidRPr="00207DD5">
              <w:t>The IMF projects Australia’s gross debt</w:t>
            </w:r>
            <w:r w:rsidR="008F4C5D" w:rsidRPr="00207DD5">
              <w:t>-</w:t>
            </w:r>
            <w:r w:rsidR="007B7BDD" w:rsidRPr="00207DD5">
              <w:t>to</w:t>
            </w:r>
            <w:r w:rsidR="008F4C5D" w:rsidRPr="00207DD5">
              <w:t>-</w:t>
            </w:r>
            <w:r w:rsidR="007B7BDD" w:rsidRPr="00207DD5">
              <w:t xml:space="preserve">GDP to be </w:t>
            </w:r>
            <w:r w:rsidR="00430D22" w:rsidRPr="00207DD5">
              <w:t xml:space="preserve">about </w:t>
            </w:r>
            <w:r w:rsidR="00EC6C01" w:rsidRPr="00207DD5">
              <w:t>3</w:t>
            </w:r>
            <w:r w:rsidR="00430D22" w:rsidRPr="00207DD5">
              <w:t>8</w:t>
            </w:r>
            <w:r w:rsidR="007B7BDD" w:rsidRPr="00207DD5">
              <w:t xml:space="preserve"> percentage points below levels in the </w:t>
            </w:r>
            <w:r w:rsidR="00EC6C01" w:rsidRPr="00207DD5">
              <w:t>E</w:t>
            </w:r>
            <w:r w:rsidR="007B7BDD" w:rsidRPr="00207DD5">
              <w:t xml:space="preserve">uro </w:t>
            </w:r>
            <w:r w:rsidR="00EC6C01" w:rsidRPr="00207DD5">
              <w:t>A</w:t>
            </w:r>
            <w:r w:rsidR="007B7BDD" w:rsidRPr="00207DD5">
              <w:t>rea, more</w:t>
            </w:r>
            <w:r w:rsidRPr="00207DD5">
              <w:t xml:space="preserve"> </w:t>
            </w:r>
            <w:r w:rsidR="007B7BDD" w:rsidRPr="00207DD5">
              <w:t xml:space="preserve">than </w:t>
            </w:r>
            <w:r w:rsidR="00EC6C01" w:rsidRPr="00207DD5">
              <w:t>50</w:t>
            </w:r>
            <w:r w:rsidRPr="00207DD5">
              <w:t xml:space="preserve"> </w:t>
            </w:r>
            <w:r w:rsidR="007B7BDD" w:rsidRPr="00207DD5">
              <w:t>percentage</w:t>
            </w:r>
            <w:r w:rsidRPr="00207DD5">
              <w:t xml:space="preserve"> </w:t>
            </w:r>
            <w:r w:rsidR="007B7BDD" w:rsidRPr="00207DD5">
              <w:t xml:space="preserve">points below </w:t>
            </w:r>
            <w:r w:rsidR="00CC2EB9" w:rsidRPr="00207DD5">
              <w:t xml:space="preserve">levels in </w:t>
            </w:r>
            <w:r w:rsidR="007B7BDD" w:rsidRPr="00207DD5">
              <w:t xml:space="preserve">the United Kingdom, and more than </w:t>
            </w:r>
            <w:r w:rsidR="00EC6C01" w:rsidRPr="00207DD5">
              <w:t>75</w:t>
            </w:r>
            <w:r w:rsidRPr="00207DD5">
              <w:t xml:space="preserve"> </w:t>
            </w:r>
            <w:r w:rsidR="007B7BDD" w:rsidRPr="00207DD5">
              <w:t>percentage</w:t>
            </w:r>
            <w:r w:rsidRPr="00207DD5">
              <w:t xml:space="preserve"> </w:t>
            </w:r>
            <w:r w:rsidR="007B7BDD" w:rsidRPr="00207DD5">
              <w:t xml:space="preserve">points below </w:t>
            </w:r>
            <w:r w:rsidR="00CC2EB9" w:rsidRPr="00207DD5">
              <w:t xml:space="preserve">levels in </w:t>
            </w:r>
            <w:r w:rsidR="007B7BDD" w:rsidRPr="00207DD5">
              <w:t xml:space="preserve">the United States. Australia is estimated to have the </w:t>
            </w:r>
            <w:r w:rsidR="00366159" w:rsidRPr="00207DD5">
              <w:t>fif</w:t>
            </w:r>
            <w:r w:rsidR="00E269D7" w:rsidRPr="00207DD5">
              <w:t>t</w:t>
            </w:r>
            <w:r w:rsidR="007B7BDD" w:rsidRPr="00207DD5">
              <w:t>h</w:t>
            </w:r>
            <w:r w:rsidRPr="00207DD5">
              <w:t xml:space="preserve"> </w:t>
            </w:r>
            <w:r w:rsidR="007B7BDD" w:rsidRPr="00207DD5">
              <w:t>lowest gross debt</w:t>
            </w:r>
            <w:r w:rsidR="008F4C5D" w:rsidRPr="00207DD5">
              <w:t>-</w:t>
            </w:r>
            <w:r w:rsidR="007B7BDD" w:rsidRPr="00207DD5">
              <w:t>to</w:t>
            </w:r>
            <w:r w:rsidR="008F4C5D" w:rsidRPr="00207DD5">
              <w:t>-</w:t>
            </w:r>
            <w:r w:rsidR="007B7BDD" w:rsidRPr="00207DD5">
              <w:t xml:space="preserve">GDP ratio </w:t>
            </w:r>
            <w:r w:rsidR="00CC2EB9" w:rsidRPr="00207DD5">
              <w:t>among</w:t>
            </w:r>
            <w:r w:rsidR="007B7BDD" w:rsidRPr="00207DD5">
              <w:t xml:space="preserve"> G20 </w:t>
            </w:r>
            <w:r w:rsidR="00CC2EB9" w:rsidRPr="00207DD5">
              <w:t xml:space="preserve">countries </w:t>
            </w:r>
            <w:r w:rsidR="007B7BDD" w:rsidRPr="00207DD5">
              <w:t>in 202</w:t>
            </w:r>
            <w:r w:rsidR="00CB14FA" w:rsidRPr="00207DD5">
              <w:t>7</w:t>
            </w:r>
            <w:r w:rsidR="007B7BDD" w:rsidRPr="00207DD5">
              <w:t>.</w:t>
            </w:r>
          </w:p>
          <w:tbl>
            <w:tblPr>
              <w:tblW w:w="5000" w:type="pct"/>
              <w:tblLayout w:type="fixed"/>
              <w:tblCellMar>
                <w:left w:w="0" w:type="dxa"/>
                <w:right w:w="0" w:type="dxa"/>
              </w:tblCellMar>
              <w:tblLook w:val="0620" w:firstRow="1" w:lastRow="0" w:firstColumn="0" w:lastColumn="0" w:noHBand="1" w:noVBand="1"/>
            </w:tblPr>
            <w:tblGrid>
              <w:gridCol w:w="3571"/>
              <w:gridCol w:w="3571"/>
            </w:tblGrid>
            <w:tr w:rsidR="00E00A6C" w:rsidRPr="00D43C89" w14:paraId="67F4A2F8" w14:textId="77777777" w:rsidTr="00E91697">
              <w:trPr>
                <w:cantSplit/>
              </w:trPr>
              <w:tc>
                <w:tcPr>
                  <w:tcW w:w="3571" w:type="dxa"/>
                </w:tcPr>
                <w:p w14:paraId="5976EFE7" w14:textId="6A935002" w:rsidR="00E00A6C" w:rsidRPr="007B5379" w:rsidRDefault="00E00A6C" w:rsidP="009F0B52">
                  <w:pPr>
                    <w:pStyle w:val="ChartMainHeading"/>
                    <w:rPr>
                      <w:color w:val="FFFF00"/>
                      <w:highlight w:val="blue"/>
                    </w:rPr>
                  </w:pPr>
                  <w:r w:rsidRPr="00207DD5">
                    <w:t>Chart 3.</w:t>
                  </w:r>
                  <w:r w:rsidR="00C1526A" w:rsidRPr="00207DD5">
                    <w:t>2</w:t>
                  </w:r>
                  <w:r w:rsidRPr="00207DD5">
                    <w:t xml:space="preserve">: International fiscal </w:t>
                  </w:r>
                  <w:r w:rsidR="009F0B52" w:rsidRPr="00207DD5">
                    <w:br/>
                  </w:r>
                  <w:r w:rsidR="0084395F" w:rsidRPr="00207DD5">
                    <w:t>b</w:t>
                  </w:r>
                  <w:r w:rsidRPr="00207DD5">
                    <w:t>alance</w:t>
                  </w:r>
                  <w:r w:rsidR="0084395F" w:rsidRPr="00207DD5">
                    <w:t>-</w:t>
                  </w:r>
                  <w:r w:rsidRPr="00207DD5">
                    <w:t>to</w:t>
                  </w:r>
                  <w:r w:rsidR="0084395F" w:rsidRPr="00207DD5">
                    <w:t>-</w:t>
                  </w:r>
                  <w:r w:rsidRPr="00207DD5">
                    <w:t>GDP</w:t>
                  </w:r>
                </w:p>
              </w:tc>
              <w:tc>
                <w:tcPr>
                  <w:tcW w:w="3571" w:type="dxa"/>
                </w:tcPr>
                <w:p w14:paraId="42DE5F23" w14:textId="40659BEB" w:rsidR="00E00A6C" w:rsidRPr="00207DD5" w:rsidRDefault="00E00A6C" w:rsidP="00E00A6C">
                  <w:pPr>
                    <w:pStyle w:val="ChartMainHeading"/>
                  </w:pPr>
                  <w:r w:rsidRPr="00207DD5">
                    <w:t>Chart 3.</w:t>
                  </w:r>
                  <w:r w:rsidR="00C1526A" w:rsidRPr="00207DD5">
                    <w:t>3</w:t>
                  </w:r>
                  <w:r w:rsidRPr="00207DD5">
                    <w:t>: International gross debt-‍to-GDP</w:t>
                  </w:r>
                  <w:r w:rsidR="00AF6218" w:rsidRPr="00207DD5">
                    <w:t xml:space="preserve"> in 2027</w:t>
                  </w:r>
                </w:p>
              </w:tc>
            </w:tr>
            <w:tr w:rsidR="00E00A6C" w:rsidRPr="00D43C89" w14:paraId="1C083973" w14:textId="77777777" w:rsidTr="00E91697">
              <w:tblPrEx>
                <w:tblCellMar>
                  <w:left w:w="108" w:type="dxa"/>
                  <w:right w:w="108" w:type="dxa"/>
                </w:tblCellMar>
              </w:tblPrEx>
              <w:trPr>
                <w:cantSplit/>
                <w:trHeight w:val="2324"/>
              </w:trPr>
              <w:tc>
                <w:tcPr>
                  <w:tcW w:w="3571" w:type="dxa"/>
                </w:tcPr>
                <w:p w14:paraId="2F1CFB75" w14:textId="4A6DA3DC" w:rsidR="00E00A6C" w:rsidRPr="007B5379" w:rsidRDefault="0019388B" w:rsidP="00E00A6C">
                  <w:pPr>
                    <w:pStyle w:val="ChartGraphic"/>
                    <w:rPr>
                      <w:color w:val="FFFF00"/>
                      <w:highlight w:val="blue"/>
                    </w:rPr>
                  </w:pPr>
                  <w:r w:rsidRPr="00207DD5">
                    <w:rPr>
                      <w:noProof/>
                    </w:rPr>
                    <w:drawing>
                      <wp:inline distT="0" distB="0" distL="0" distR="0" wp14:anchorId="7118DC00" wp14:editId="08A26FE6">
                        <wp:extent cx="2130425" cy="2261235"/>
                        <wp:effectExtent l="0" t="0" r="0" b="5715"/>
                        <wp:docPr id="546253877" name="Graphic 1" descr="The chart shows IMF estimates for general government fiscal balance as a per cent of GDP for Australia and a range of selected economies between 2018 and 2027. The chart shows that over 2018 to 2021 Australia's general government fiscal balance as a share of GDP remained in the middle of the range of selected advanced economies, which includes Canada, the Euro Area, the United Kingdom and the United States. Australia's fiscal balance-to-GDP improves to pre-pandemic levels by 2023. Australia's fiscal deficit as a share of GDP in 2027 is projected to be 2.1 per cent, which is the lowest of the selected economies. Australia's projected fiscal deficit as a per cent of GDP in 2027 is less than Canada at 2.5 per cent, 3.1 per cent for the United Kingdom, 3.4 per cent for the Euro Area, and 7.4 per cent for the United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53877" name="Graphic 1" descr="The chart shows IMF estimates for general government fiscal balance as a per cent of GDP for Australia and a range of selected economies between 2018 and 2027. The chart shows that over 2018 to 2021 Australia's general government fiscal balance as a share of GDP remained in the middle of the range of selected advanced economies, which includes Canada, the Euro Area, the United Kingdom and the United States. Australia's fiscal balance-to-GDP improves to pre-pandemic levels by 2023. Australia's fiscal deficit as a share of GDP in 2027 is projected to be 2.1 per cent, which is the lowest of the selected economies. Australia's projected fiscal deficit as a per cent of GDP in 2027 is less than Canada at 2.5 per cent, 3.1 per cent for the United Kingdom, 3.4 per cent for the Euro Area, and 7.4 per cent for the United States."/>
                                <pic:cNvPicPr/>
                              </pic:nvPicPr>
                              <pic:blipFill>
                                <a:blip r:embed="rId21">
                                  <a:extLst>
                                    <a:ext uri="{96DAC541-7B7A-43D3-8B79-37D633B846F1}">
                                      <asvg:svgBlip xmlns:asvg="http://schemas.microsoft.com/office/drawing/2016/SVG/main" r:embed="rId22"/>
                                    </a:ext>
                                  </a:extLst>
                                </a:blip>
                                <a:stretch>
                                  <a:fillRect/>
                                </a:stretch>
                              </pic:blipFill>
                              <pic:spPr>
                                <a:xfrm>
                                  <a:off x="0" y="0"/>
                                  <a:ext cx="2130425" cy="2261235"/>
                                </a:xfrm>
                                <a:prstGeom prst="rect">
                                  <a:avLst/>
                                </a:prstGeom>
                              </pic:spPr>
                            </pic:pic>
                          </a:graphicData>
                        </a:graphic>
                      </wp:inline>
                    </w:drawing>
                  </w:r>
                </w:p>
              </w:tc>
              <w:tc>
                <w:tcPr>
                  <w:tcW w:w="3571" w:type="dxa"/>
                </w:tcPr>
                <w:p w14:paraId="05E7788C" w14:textId="694A352E" w:rsidR="00E00A6C" w:rsidRPr="00207DD5" w:rsidRDefault="00196626" w:rsidP="00E00A6C">
                  <w:pPr>
                    <w:pStyle w:val="ChartGraphic"/>
                  </w:pPr>
                  <w:r w:rsidRPr="00207DD5">
                    <w:rPr>
                      <w:noProof/>
                    </w:rPr>
                    <w:drawing>
                      <wp:inline distT="0" distB="0" distL="0" distR="0" wp14:anchorId="064122FF" wp14:editId="63C1AAE3">
                        <wp:extent cx="2130425" cy="2270760"/>
                        <wp:effectExtent l="0" t="0" r="3175" b="0"/>
                        <wp:docPr id="1480184150" name="Graphic 1" descr="This column chart shows, in ascending order, the estimate of general government gross debt as a per cent of GDP for 2027 for Australia, the Euro Area average, United Kingdom, the Advanced Economy average, Canada, and the United States. The chart shows Australia's projected gross debt as a per cent of GDP to be 50.7 per cent, which is the lowest of the selected economies. Australia's projected gross debt for 2027 is less than the Euro Area average at 88.4 per cent, and less than half the United Kingdom at 104.1 per cent, the Advanced Economy average at 109.4 per cent, Canada at 109.5 per cent, and the United States at 128.6 per c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84150" name="Graphic 1" descr="This column chart shows, in ascending order, the estimate of general government gross debt as a per cent of GDP for 2027 for Australia, the Euro Area average, United Kingdom, the Advanced Economy average, Canada, and the United States. The chart shows Australia's projected gross debt as a per cent of GDP to be 50.7 per cent, which is the lowest of the selected economies. Australia's projected gross debt for 2027 is less than the Euro Area average at 88.4 per cent, and less than half the United Kingdom at 104.1 per cent, the Advanced Economy average at 109.4 per cent, Canada at 109.5 per cent, and the United States at 128.6 per cent. "/>
                                <pic:cNvPicPr/>
                              </pic:nvPicPr>
                              <pic:blipFill>
                                <a:blip r:embed="rId23">
                                  <a:extLst>
                                    <a:ext uri="{96DAC541-7B7A-43D3-8B79-37D633B846F1}">
                                      <asvg:svgBlip xmlns:asvg="http://schemas.microsoft.com/office/drawing/2016/SVG/main" r:embed="rId24"/>
                                    </a:ext>
                                  </a:extLst>
                                </a:blip>
                                <a:stretch>
                                  <a:fillRect/>
                                </a:stretch>
                              </pic:blipFill>
                              <pic:spPr>
                                <a:xfrm>
                                  <a:off x="0" y="0"/>
                                  <a:ext cx="2130425" cy="2270760"/>
                                </a:xfrm>
                                <a:prstGeom prst="rect">
                                  <a:avLst/>
                                </a:prstGeom>
                              </pic:spPr>
                            </pic:pic>
                          </a:graphicData>
                        </a:graphic>
                      </wp:inline>
                    </w:drawing>
                  </w:r>
                </w:p>
              </w:tc>
            </w:tr>
          </w:tbl>
          <w:p w14:paraId="0290B92A" w14:textId="19DAB447" w:rsidR="00E00A6C" w:rsidRPr="00207DD5" w:rsidRDefault="00E00A6C" w:rsidP="00E00A6C">
            <w:pPr>
              <w:pStyle w:val="ChartandTableFootnote"/>
              <w:rPr>
                <w:color w:val="auto"/>
              </w:rPr>
            </w:pPr>
            <w:r w:rsidRPr="00207DD5">
              <w:rPr>
                <w:color w:val="auto"/>
              </w:rPr>
              <w:t xml:space="preserve">Note: </w:t>
            </w:r>
            <w:r w:rsidRPr="00207DD5">
              <w:rPr>
                <w:color w:val="auto"/>
              </w:rPr>
              <w:tab/>
            </w:r>
            <w:r w:rsidR="006B062A" w:rsidRPr="00207DD5">
              <w:rPr>
                <w:color w:val="auto"/>
              </w:rPr>
              <w:t>IMF</w:t>
            </w:r>
            <w:r w:rsidRPr="00207DD5">
              <w:rPr>
                <w:color w:val="auto"/>
              </w:rPr>
              <w:t xml:space="preserve"> fiscal data are produced on a consistent basis across countries. They are produced for calendar years and on a general government basis</w:t>
            </w:r>
            <w:r w:rsidR="006A6927" w:rsidRPr="00207DD5">
              <w:rPr>
                <w:color w:val="auto"/>
              </w:rPr>
              <w:t>, which includes state, territory and local governments</w:t>
            </w:r>
            <w:r w:rsidRPr="00207DD5">
              <w:rPr>
                <w:color w:val="auto"/>
              </w:rPr>
              <w:t>. They are not directly comparable with fiscal aggregates reported elsewhere in the Budget. The range has been calculated using a subset of selected advanced economies: Canada, the Euro Area, United Kingdom and United States.</w:t>
            </w:r>
          </w:p>
          <w:p w14:paraId="051C1F35" w14:textId="49A4D234" w:rsidR="00E00A6C" w:rsidRPr="00207DD5" w:rsidRDefault="00E00A6C" w:rsidP="00E00A6C">
            <w:pPr>
              <w:pStyle w:val="ChartandTableFootnote"/>
              <w:rPr>
                <w:color w:val="auto"/>
              </w:rPr>
            </w:pPr>
            <w:r w:rsidRPr="00207DD5">
              <w:rPr>
                <w:color w:val="auto"/>
              </w:rPr>
              <w:t xml:space="preserve">Source: </w:t>
            </w:r>
            <w:r w:rsidRPr="00207DD5">
              <w:rPr>
                <w:color w:val="auto"/>
              </w:rPr>
              <w:tab/>
              <w:t xml:space="preserve">Treasury, </w:t>
            </w:r>
            <w:r w:rsidR="006B062A" w:rsidRPr="00207DD5">
              <w:rPr>
                <w:color w:val="auto"/>
              </w:rPr>
              <w:t>IMF</w:t>
            </w:r>
            <w:r w:rsidRPr="00207DD5">
              <w:rPr>
                <w:color w:val="auto"/>
              </w:rPr>
              <w:t>.</w:t>
            </w:r>
          </w:p>
          <w:p w14:paraId="199B37E2" w14:textId="064568D9" w:rsidR="007B7BDD" w:rsidRPr="003131DF" w:rsidRDefault="007B7BDD" w:rsidP="00E46471">
            <w:pPr>
              <w:pStyle w:val="ChartLine"/>
              <w:rPr>
                <w:color w:val="FF0000"/>
              </w:rPr>
            </w:pPr>
          </w:p>
        </w:tc>
      </w:tr>
    </w:tbl>
    <w:p w14:paraId="457F353B" w14:textId="518BD795" w:rsidR="008F527F" w:rsidRDefault="008F527F" w:rsidP="009F0B52">
      <w:pPr>
        <w:rPr>
          <w:rFonts w:ascii="Arial Bold" w:hAnsi="Arial Bold"/>
          <w:sz w:val="26"/>
        </w:rPr>
      </w:pPr>
      <w:bookmarkStart w:id="20" w:name="_Toc117356557"/>
      <w:bookmarkStart w:id="21" w:name="_Toc193537049"/>
      <w:bookmarkStart w:id="22" w:name="_Toc227842117"/>
      <w:r>
        <w:br w:type="page"/>
      </w:r>
    </w:p>
    <w:p w14:paraId="77FB91EB" w14:textId="6C514EB5" w:rsidR="0056559E" w:rsidRPr="00207DD5" w:rsidRDefault="0056559E" w:rsidP="0056559E">
      <w:pPr>
        <w:pStyle w:val="Heading2"/>
      </w:pPr>
      <w:bookmarkStart w:id="23" w:name="_Toc229240486"/>
      <w:r w:rsidRPr="00207DD5">
        <w:lastRenderedPageBreak/>
        <w:t>Fiscal outlook</w:t>
      </w:r>
      <w:bookmarkEnd w:id="20"/>
      <w:bookmarkEnd w:id="21"/>
      <w:bookmarkEnd w:id="22"/>
      <w:bookmarkEnd w:id="23"/>
    </w:p>
    <w:p w14:paraId="0919D4C4" w14:textId="1D5FD0C3" w:rsidR="0056559E" w:rsidRPr="00207DD5" w:rsidRDefault="0056559E" w:rsidP="0056559E">
      <w:pPr>
        <w:pStyle w:val="Heading3"/>
        <w:rPr>
          <w:rFonts w:eastAsiaTheme="minorHAnsi"/>
        </w:rPr>
      </w:pPr>
      <w:bookmarkStart w:id="24" w:name="_Toc117356558"/>
      <w:bookmarkStart w:id="25" w:name="_Toc193537050"/>
      <w:bookmarkStart w:id="26" w:name="_Toc227842118"/>
      <w:bookmarkStart w:id="27" w:name="_Toc229240487"/>
      <w:r w:rsidRPr="00207DD5">
        <w:t>Underlying cash balance estimates</w:t>
      </w:r>
      <w:bookmarkEnd w:id="24"/>
      <w:bookmarkEnd w:id="25"/>
      <w:bookmarkEnd w:id="26"/>
      <w:bookmarkEnd w:id="27"/>
    </w:p>
    <w:p w14:paraId="08E480C0" w14:textId="2B994A8F" w:rsidR="00537BD9" w:rsidRPr="00207DD5" w:rsidRDefault="00537BD9" w:rsidP="00537BD9">
      <w:r w:rsidRPr="00207DD5">
        <w:t xml:space="preserve">The underlying cash balance has improved </w:t>
      </w:r>
      <w:r w:rsidR="00963941" w:rsidRPr="00207DD5">
        <w:t xml:space="preserve">since MYEFO </w:t>
      </w:r>
      <w:r w:rsidRPr="00207DD5">
        <w:t>by $</w:t>
      </w:r>
      <w:r w:rsidR="00433F15" w:rsidRPr="00207DD5">
        <w:t>2.</w:t>
      </w:r>
      <w:r w:rsidR="00901C55" w:rsidRPr="00207DD5">
        <w:t>8</w:t>
      </w:r>
      <w:r w:rsidR="009F0B52" w:rsidRPr="00207DD5">
        <w:t> </w:t>
      </w:r>
      <w:r w:rsidRPr="00207DD5">
        <w:t>billion in 2026–27 and a cumulative $</w:t>
      </w:r>
      <w:r w:rsidR="00901C55" w:rsidRPr="00207DD5">
        <w:t>44</w:t>
      </w:r>
      <w:r w:rsidR="0040563D" w:rsidRPr="00207DD5">
        <w:t>.</w:t>
      </w:r>
      <w:r w:rsidR="00901C55" w:rsidRPr="00207DD5">
        <w:t>9</w:t>
      </w:r>
      <w:r w:rsidR="009F0B52" w:rsidRPr="00207DD5">
        <w:t> </w:t>
      </w:r>
      <w:r w:rsidRPr="00207DD5">
        <w:t>billion over the five years to 2029–30.</w:t>
      </w:r>
    </w:p>
    <w:p w14:paraId="412BF16F" w14:textId="3298F3C4" w:rsidR="00537BD9" w:rsidRPr="00207DD5" w:rsidRDefault="00537BD9" w:rsidP="00537BD9">
      <w:r w:rsidRPr="00207DD5">
        <w:t>The underlying cash balance is estimated to be a</w:t>
      </w:r>
      <w:r w:rsidR="00E75DC9" w:rsidRPr="00207DD5">
        <w:t xml:space="preserve"> deficit of</w:t>
      </w:r>
      <w:r w:rsidRPr="00207DD5">
        <w:t xml:space="preserve"> $</w:t>
      </w:r>
      <w:r w:rsidR="00183DC7" w:rsidRPr="00207DD5">
        <w:t>28.</w:t>
      </w:r>
      <w:r w:rsidR="006F4F53" w:rsidRPr="00207DD5">
        <w:t>3</w:t>
      </w:r>
      <w:r w:rsidR="009F0B52" w:rsidRPr="00207DD5">
        <w:t> </w:t>
      </w:r>
      <w:r w:rsidRPr="00207DD5">
        <w:t>billion (</w:t>
      </w:r>
      <w:r w:rsidR="00B52E5F" w:rsidRPr="00207DD5">
        <w:t>1.0</w:t>
      </w:r>
      <w:r w:rsidR="009F0B52" w:rsidRPr="00207DD5">
        <w:t> </w:t>
      </w:r>
      <w:r w:rsidRPr="00207DD5">
        <w:t>per</w:t>
      </w:r>
      <w:r w:rsidR="009F0B52" w:rsidRPr="00207DD5">
        <w:t> </w:t>
      </w:r>
      <w:r w:rsidRPr="00207DD5">
        <w:t>cent of GDP) in 2025–26, which is an $</w:t>
      </w:r>
      <w:r w:rsidR="006F4F53" w:rsidRPr="00207DD5">
        <w:t>8</w:t>
      </w:r>
      <w:r w:rsidR="00244FE9" w:rsidRPr="00207DD5">
        <w:t>.</w:t>
      </w:r>
      <w:r w:rsidR="006F4F53" w:rsidRPr="00207DD5">
        <w:t>5</w:t>
      </w:r>
      <w:r w:rsidR="009F0B52" w:rsidRPr="00207DD5">
        <w:t> </w:t>
      </w:r>
      <w:r w:rsidRPr="00207DD5">
        <w:t>billion improvement compared to the forecast at MYEFO (Table 3.</w:t>
      </w:r>
      <w:r w:rsidR="00310D23" w:rsidRPr="00207DD5">
        <w:t>3</w:t>
      </w:r>
      <w:r w:rsidRPr="00207DD5">
        <w:t>).</w:t>
      </w:r>
    </w:p>
    <w:p w14:paraId="4DDA0531" w14:textId="1A32D5C3" w:rsidR="00537BD9" w:rsidRPr="00207DD5" w:rsidRDefault="00537BD9" w:rsidP="00537BD9">
      <w:r w:rsidRPr="00207DD5">
        <w:t>An underlying cash deficit of $</w:t>
      </w:r>
      <w:r w:rsidR="00B1061E" w:rsidRPr="00207DD5">
        <w:t>3</w:t>
      </w:r>
      <w:r w:rsidR="00941703" w:rsidRPr="00207DD5">
        <w:t>1</w:t>
      </w:r>
      <w:r w:rsidR="00B1061E" w:rsidRPr="00207DD5">
        <w:t>.</w:t>
      </w:r>
      <w:r w:rsidR="00941703" w:rsidRPr="00207DD5">
        <w:t>5</w:t>
      </w:r>
      <w:r w:rsidR="009F0B52" w:rsidRPr="00207DD5">
        <w:t> </w:t>
      </w:r>
      <w:r w:rsidRPr="00207DD5">
        <w:t>billion (</w:t>
      </w:r>
      <w:r w:rsidR="00430B18" w:rsidRPr="00207DD5">
        <w:t>1.</w:t>
      </w:r>
      <w:r w:rsidR="00C75D9E" w:rsidRPr="00207DD5">
        <w:t>0</w:t>
      </w:r>
      <w:r w:rsidR="009F0B52" w:rsidRPr="00207DD5">
        <w:t> </w:t>
      </w:r>
      <w:r w:rsidRPr="00207DD5">
        <w:t>per</w:t>
      </w:r>
      <w:r w:rsidR="009F0B52" w:rsidRPr="00207DD5">
        <w:t> </w:t>
      </w:r>
      <w:r w:rsidRPr="00207DD5">
        <w:t>cent of GDP) is forecast for 2026–27, a $</w:t>
      </w:r>
      <w:r w:rsidR="00F52463" w:rsidRPr="00207DD5">
        <w:t>2.</w:t>
      </w:r>
      <w:r w:rsidR="00941703" w:rsidRPr="00207DD5">
        <w:t>8</w:t>
      </w:r>
      <w:r w:rsidR="009F0B52" w:rsidRPr="00207DD5">
        <w:t> </w:t>
      </w:r>
      <w:r w:rsidRPr="00207DD5">
        <w:t>billion improvement from the forecast at MYEFO. The underlying cash deficit is then expected to improve to $</w:t>
      </w:r>
      <w:r w:rsidR="004E29FF" w:rsidRPr="00207DD5">
        <w:t>2</w:t>
      </w:r>
      <w:r w:rsidR="00941703" w:rsidRPr="00207DD5">
        <w:t>5</w:t>
      </w:r>
      <w:r w:rsidR="004E29FF" w:rsidRPr="00207DD5">
        <w:t>.</w:t>
      </w:r>
      <w:r w:rsidR="005B026E" w:rsidRPr="00207DD5">
        <w:t>3</w:t>
      </w:r>
      <w:r w:rsidR="009F0B52" w:rsidRPr="00207DD5">
        <w:t> </w:t>
      </w:r>
      <w:r w:rsidRPr="00207DD5">
        <w:t>billion (</w:t>
      </w:r>
      <w:r w:rsidR="004A4BC5" w:rsidRPr="00207DD5">
        <w:t>0.7</w:t>
      </w:r>
      <w:r w:rsidR="009F0B52" w:rsidRPr="00207DD5">
        <w:t> </w:t>
      </w:r>
      <w:r w:rsidRPr="00207DD5">
        <w:t>per</w:t>
      </w:r>
      <w:r w:rsidR="009F0B52" w:rsidRPr="00207DD5">
        <w:t> </w:t>
      </w:r>
      <w:r w:rsidRPr="00207DD5">
        <w:t>cent of GDP) in 2029–30</w:t>
      </w:r>
      <w:r w:rsidR="00805A5D" w:rsidRPr="00207DD5">
        <w:t>, an improvement of $</w:t>
      </w:r>
      <w:r w:rsidR="002F52CA" w:rsidRPr="00207DD5">
        <w:t>2</w:t>
      </w:r>
      <w:r w:rsidR="00341628" w:rsidRPr="00207DD5">
        <w:t>6</w:t>
      </w:r>
      <w:r w:rsidR="002F52CA" w:rsidRPr="00207DD5">
        <w:t>.</w:t>
      </w:r>
      <w:r w:rsidR="00341628" w:rsidRPr="00207DD5">
        <w:t>9</w:t>
      </w:r>
      <w:r w:rsidR="009F0B52" w:rsidRPr="00207DD5">
        <w:t> </w:t>
      </w:r>
      <w:r w:rsidR="00805A5D" w:rsidRPr="00207DD5">
        <w:t>billion</w:t>
      </w:r>
      <w:r w:rsidR="001412CC" w:rsidRPr="00207DD5">
        <w:t xml:space="preserve"> compared to the forecast at MYEFO</w:t>
      </w:r>
      <w:r w:rsidRPr="00207DD5">
        <w:t>.</w:t>
      </w:r>
    </w:p>
    <w:p w14:paraId="58DEBAF0" w14:textId="53973ECE" w:rsidR="00C32A58" w:rsidRDefault="00E27AD8" w:rsidP="00C32A58">
      <w:r w:rsidRPr="00207DD5">
        <w:t>In this Budget, $17.</w:t>
      </w:r>
      <w:r w:rsidR="00825DE9" w:rsidRPr="00207DD5">
        <w:t>9</w:t>
      </w:r>
      <w:r w:rsidR="009F0B52" w:rsidRPr="00207DD5">
        <w:t> </w:t>
      </w:r>
      <w:r w:rsidRPr="00207DD5">
        <w:t>billion of policy decisions were funded by provisions made in previous updates, limiting their impacts on the underlying cash balance in this update. These provisions include</w:t>
      </w:r>
      <w:r w:rsidR="00D25704" w:rsidRPr="00207DD5">
        <w:t>d</w:t>
      </w:r>
      <w:r w:rsidRPr="00207DD5">
        <w:t xml:space="preserve"> $15.9</w:t>
      </w:r>
      <w:r w:rsidR="009F0B52" w:rsidRPr="00207DD5">
        <w:t> </w:t>
      </w:r>
      <w:r w:rsidRPr="00207DD5">
        <w:t xml:space="preserve">billion to fund the National Health Reform Agreement (NHRA) and </w:t>
      </w:r>
      <w:r w:rsidR="00FE6098" w:rsidRPr="00207DD5">
        <w:t>$1.6</w:t>
      </w:r>
      <w:r w:rsidRPr="00207DD5">
        <w:t xml:space="preserve"> billion to fund </w:t>
      </w:r>
      <w:r w:rsidR="00A52417" w:rsidRPr="00207DD5">
        <w:t>Thriving Kids</w:t>
      </w:r>
      <w:r w:rsidRPr="00207DD5">
        <w:t xml:space="preserve"> foundational supports. Taking provisions into account, the impact of policy decisions on the underlying cash balance at the 2026–</w:t>
      </w:r>
      <w:r w:rsidR="00FB297E" w:rsidRPr="00207DD5">
        <w:rPr>
          <w:w w:val="1"/>
        </w:rPr>
        <w:t> </w:t>
      </w:r>
      <w:r w:rsidRPr="00207DD5">
        <w:t>27</w:t>
      </w:r>
      <w:r w:rsidR="00FB297E" w:rsidRPr="00207DD5">
        <w:t> </w:t>
      </w:r>
      <w:r w:rsidRPr="00207DD5">
        <w:t>Budget is $26.1</w:t>
      </w:r>
      <w:r w:rsidR="009F0B52" w:rsidRPr="00207DD5">
        <w:t> </w:t>
      </w:r>
      <w:r w:rsidRPr="00207DD5">
        <w:t>billion</w:t>
      </w:r>
      <w:r w:rsidR="00033B36" w:rsidRPr="00207DD5">
        <w:t xml:space="preserve"> (Table 3.2)</w:t>
      </w:r>
      <w:r w:rsidRPr="00207DD5">
        <w:t>.</w:t>
      </w:r>
      <w:r w:rsidR="00C74984" w:rsidRPr="00207DD5" w:rsidDel="00C74984">
        <w:t xml:space="preserve"> </w:t>
      </w:r>
    </w:p>
    <w:p w14:paraId="400608C9" w14:textId="49816B26" w:rsidR="00537BD9" w:rsidRPr="00207DD5" w:rsidRDefault="00537BD9" w:rsidP="00537BD9">
      <w:r w:rsidRPr="00207DD5">
        <w:t xml:space="preserve">Over the five years to 2029–30, net policy decisions </w:t>
      </w:r>
      <w:r w:rsidR="00761E32" w:rsidRPr="00207DD5">
        <w:t>excluding provisions</w:t>
      </w:r>
      <w:r w:rsidRPr="00207DD5">
        <w:t xml:space="preserve"> </w:t>
      </w:r>
      <w:r w:rsidR="003D407A" w:rsidRPr="00207DD5">
        <w:t>improve</w:t>
      </w:r>
      <w:r w:rsidRPr="00207DD5">
        <w:t xml:space="preserve"> the underlying cash </w:t>
      </w:r>
      <w:r w:rsidR="00481B66" w:rsidRPr="00207DD5">
        <w:t xml:space="preserve">balance </w:t>
      </w:r>
      <w:r w:rsidRPr="00207DD5">
        <w:t>by $</w:t>
      </w:r>
      <w:r w:rsidR="00455ACE" w:rsidRPr="00207DD5">
        <w:t>8</w:t>
      </w:r>
      <w:r w:rsidR="006860C8" w:rsidRPr="00207DD5">
        <w:t>.</w:t>
      </w:r>
      <w:r w:rsidR="00455ACE" w:rsidRPr="00207DD5">
        <w:t>2</w:t>
      </w:r>
      <w:r w:rsidR="00AC4081" w:rsidRPr="00207DD5">
        <w:t> </w:t>
      </w:r>
      <w:r w:rsidRPr="00207DD5">
        <w:t>billion</w:t>
      </w:r>
      <w:r w:rsidR="001720D6" w:rsidRPr="00207DD5">
        <w:t xml:space="preserve"> and parameter and other variations since MYEFO improve it by another $3</w:t>
      </w:r>
      <w:r w:rsidR="00542C37" w:rsidRPr="00207DD5">
        <w:t>6</w:t>
      </w:r>
      <w:r w:rsidR="001720D6" w:rsidRPr="00207DD5">
        <w:t>.6</w:t>
      </w:r>
      <w:r w:rsidR="00EF3733" w:rsidRPr="00207DD5">
        <w:t> </w:t>
      </w:r>
      <w:r w:rsidR="001720D6" w:rsidRPr="00207DD5">
        <w:t>billion</w:t>
      </w:r>
      <w:r w:rsidRPr="00207DD5" w:rsidDel="001720D6">
        <w:t>.</w:t>
      </w:r>
    </w:p>
    <w:p w14:paraId="499F5B08" w14:textId="66069B35" w:rsidR="008F780D" w:rsidRPr="00207DD5" w:rsidRDefault="008F780D" w:rsidP="008F780D">
      <w:pPr>
        <w:pStyle w:val="TableHeading"/>
      </w:pPr>
      <w:r w:rsidRPr="00207DD5">
        <w:t>Table 3.</w:t>
      </w:r>
      <w:r w:rsidR="00AE5304" w:rsidRPr="00207DD5">
        <w:t>2</w:t>
      </w:r>
      <w:r w:rsidRPr="00207DD5">
        <w:t xml:space="preserve">: </w:t>
      </w:r>
      <w:r w:rsidR="00E809CD" w:rsidRPr="00207DD5">
        <w:t>Net i</w:t>
      </w:r>
      <w:r w:rsidR="000802A2" w:rsidRPr="00207DD5">
        <w:t>mpact</w:t>
      </w:r>
      <w:r w:rsidRPr="00207DD5">
        <w:t xml:space="preserve"> of policy decisions on the Underlying Cash Balance</w:t>
      </w:r>
      <w:r w:rsidR="000802A2" w:rsidRPr="00207DD5">
        <w:t xml:space="preserve"> </w:t>
      </w:r>
      <w:r w:rsidR="00EF3733" w:rsidRPr="00207DD5">
        <w:t>after</w:t>
      </w:r>
      <w:r w:rsidR="000802A2" w:rsidRPr="00207DD5">
        <w:t xml:space="preserve"> accounting for provisions</w:t>
      </w:r>
    </w:p>
    <w:tbl>
      <w:tblPr>
        <w:tblW w:w="5000" w:type="pct"/>
        <w:tblLayout w:type="fixed"/>
        <w:tblCellMar>
          <w:left w:w="0" w:type="dxa"/>
          <w:right w:w="28" w:type="dxa"/>
        </w:tblCellMar>
        <w:tblLook w:val="0620" w:firstRow="1" w:lastRow="0" w:firstColumn="0" w:lastColumn="0" w:noHBand="1" w:noVBand="1"/>
      </w:tblPr>
      <w:tblGrid>
        <w:gridCol w:w="3595"/>
        <w:gridCol w:w="656"/>
        <w:gridCol w:w="710"/>
        <w:gridCol w:w="709"/>
        <w:gridCol w:w="712"/>
        <w:gridCol w:w="732"/>
        <w:gridCol w:w="72"/>
        <w:gridCol w:w="524"/>
      </w:tblGrid>
      <w:tr w:rsidR="008F780D" w14:paraId="3C94BA97" w14:textId="77777777" w:rsidTr="00E91697">
        <w:trPr>
          <w:trHeight w:hRule="exact" w:val="315"/>
        </w:trPr>
        <w:tc>
          <w:tcPr>
            <w:tcW w:w="2331" w:type="pct"/>
            <w:tcBorders>
              <w:top w:val="single" w:sz="4" w:space="0" w:color="293F5B"/>
              <w:left w:val="nil"/>
              <w:bottom w:val="nil"/>
              <w:right w:val="nil"/>
            </w:tcBorders>
            <w:noWrap/>
            <w:vAlign w:val="bottom"/>
            <w:hideMark/>
          </w:tcPr>
          <w:p w14:paraId="01741A8D" w14:textId="77777777" w:rsidR="008F780D" w:rsidRPr="007B5379" w:rsidRDefault="008F780D" w:rsidP="008F780D">
            <w:pPr>
              <w:spacing w:before="0" w:after="0" w:line="240" w:lineRule="auto"/>
              <w:rPr>
                <w:rFonts w:ascii="Times New Roman" w:hAnsi="Times New Roman"/>
                <w:sz w:val="20"/>
                <w:highlight w:val="green"/>
              </w:rPr>
            </w:pPr>
          </w:p>
        </w:tc>
        <w:tc>
          <w:tcPr>
            <w:tcW w:w="2669" w:type="pct"/>
            <w:gridSpan w:val="7"/>
            <w:tcBorders>
              <w:top w:val="single" w:sz="4" w:space="0" w:color="293F5B"/>
              <w:left w:val="nil"/>
              <w:bottom w:val="nil"/>
              <w:right w:val="nil"/>
            </w:tcBorders>
            <w:shd w:val="clear" w:color="000000" w:fill="FFFFFF"/>
            <w:noWrap/>
            <w:vAlign w:val="center"/>
            <w:hideMark/>
          </w:tcPr>
          <w:p w14:paraId="5E2B4220" w14:textId="77777777" w:rsidR="008F780D" w:rsidRPr="00207DD5" w:rsidRDefault="008F780D" w:rsidP="008F780D">
            <w:pPr>
              <w:spacing w:before="0" w:after="0" w:line="240" w:lineRule="auto"/>
              <w:jc w:val="center"/>
              <w:rPr>
                <w:rFonts w:ascii="Arial" w:hAnsi="Arial" w:cs="Arial"/>
                <w:sz w:val="16"/>
                <w:szCs w:val="16"/>
              </w:rPr>
            </w:pPr>
            <w:r w:rsidRPr="00207DD5">
              <w:rPr>
                <w:rFonts w:ascii="Arial" w:hAnsi="Arial" w:cs="Arial"/>
                <w:sz w:val="16"/>
                <w:szCs w:val="16"/>
              </w:rPr>
              <w:t>Estimates</w:t>
            </w:r>
          </w:p>
        </w:tc>
      </w:tr>
      <w:tr w:rsidR="008F780D" w14:paraId="381054F3" w14:textId="77777777" w:rsidTr="00E91697">
        <w:trPr>
          <w:trHeight w:val="300"/>
        </w:trPr>
        <w:tc>
          <w:tcPr>
            <w:tcW w:w="2331" w:type="pct"/>
            <w:tcBorders>
              <w:top w:val="nil"/>
              <w:left w:val="nil"/>
              <w:bottom w:val="nil"/>
              <w:right w:val="nil"/>
            </w:tcBorders>
            <w:shd w:val="clear" w:color="000000" w:fill="FFFFFF"/>
            <w:noWrap/>
            <w:vAlign w:val="center"/>
            <w:hideMark/>
          </w:tcPr>
          <w:p w14:paraId="30C7068D" w14:textId="77777777" w:rsidR="008F780D" w:rsidRPr="007B5379" w:rsidRDefault="008F780D" w:rsidP="008F780D">
            <w:pPr>
              <w:spacing w:before="0" w:after="0" w:line="240" w:lineRule="auto"/>
              <w:rPr>
                <w:rFonts w:ascii="Arial" w:hAnsi="Arial" w:cs="Arial"/>
                <w:sz w:val="16"/>
                <w:szCs w:val="16"/>
                <w:highlight w:val="green"/>
              </w:rPr>
            </w:pPr>
            <w:r w:rsidRPr="00207DD5">
              <w:rPr>
                <w:rFonts w:ascii="Arial" w:hAnsi="Arial" w:cs="Arial"/>
                <w:sz w:val="16"/>
                <w:szCs w:val="16"/>
              </w:rPr>
              <w:t> </w:t>
            </w:r>
          </w:p>
        </w:tc>
        <w:tc>
          <w:tcPr>
            <w:tcW w:w="425" w:type="pct"/>
            <w:tcBorders>
              <w:top w:val="single" w:sz="4" w:space="0" w:color="293F5B"/>
              <w:left w:val="nil"/>
              <w:bottom w:val="nil"/>
              <w:right w:val="nil"/>
            </w:tcBorders>
            <w:shd w:val="clear" w:color="000000" w:fill="FFFFFF"/>
            <w:noWrap/>
            <w:vAlign w:val="center"/>
            <w:hideMark/>
          </w:tcPr>
          <w:p w14:paraId="5E5324F0" w14:textId="77777777" w:rsidR="008F780D" w:rsidRPr="007B5379" w:rsidRDefault="008F780D"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2025-26</w:t>
            </w:r>
          </w:p>
        </w:tc>
        <w:tc>
          <w:tcPr>
            <w:tcW w:w="460" w:type="pct"/>
            <w:tcBorders>
              <w:top w:val="single" w:sz="4" w:space="0" w:color="293F5B"/>
              <w:left w:val="nil"/>
              <w:bottom w:val="nil"/>
              <w:right w:val="nil"/>
            </w:tcBorders>
            <w:shd w:val="clear" w:color="000000" w:fill="E6F2FF"/>
            <w:noWrap/>
            <w:vAlign w:val="center"/>
            <w:hideMark/>
          </w:tcPr>
          <w:p w14:paraId="36BD0399" w14:textId="77777777" w:rsidR="008F780D" w:rsidRPr="007B5379" w:rsidRDefault="008F780D"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2026-27</w:t>
            </w:r>
          </w:p>
        </w:tc>
        <w:tc>
          <w:tcPr>
            <w:tcW w:w="460" w:type="pct"/>
            <w:tcBorders>
              <w:top w:val="single" w:sz="4" w:space="0" w:color="293F5B"/>
              <w:left w:val="nil"/>
              <w:bottom w:val="nil"/>
              <w:right w:val="nil"/>
            </w:tcBorders>
            <w:shd w:val="clear" w:color="000000" w:fill="FFFFFF"/>
            <w:noWrap/>
            <w:vAlign w:val="center"/>
            <w:hideMark/>
          </w:tcPr>
          <w:p w14:paraId="0C3FDA74" w14:textId="77777777" w:rsidR="008F780D" w:rsidRPr="007B5379" w:rsidRDefault="008F780D"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2027-28</w:t>
            </w:r>
          </w:p>
        </w:tc>
        <w:tc>
          <w:tcPr>
            <w:tcW w:w="462" w:type="pct"/>
            <w:tcBorders>
              <w:top w:val="single" w:sz="4" w:space="0" w:color="293F5B"/>
              <w:left w:val="nil"/>
              <w:bottom w:val="nil"/>
              <w:right w:val="nil"/>
            </w:tcBorders>
            <w:shd w:val="clear" w:color="000000" w:fill="FFFFFF"/>
            <w:noWrap/>
            <w:vAlign w:val="center"/>
            <w:hideMark/>
          </w:tcPr>
          <w:p w14:paraId="08AC4DC4" w14:textId="77777777" w:rsidR="008F780D" w:rsidRPr="007B5379" w:rsidRDefault="008F780D"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2028-29</w:t>
            </w:r>
          </w:p>
        </w:tc>
        <w:tc>
          <w:tcPr>
            <w:tcW w:w="475" w:type="pct"/>
            <w:tcBorders>
              <w:top w:val="single" w:sz="4" w:space="0" w:color="293F5B"/>
              <w:left w:val="nil"/>
              <w:bottom w:val="nil"/>
              <w:right w:val="nil"/>
            </w:tcBorders>
            <w:shd w:val="clear" w:color="000000" w:fill="FFFFFF"/>
            <w:noWrap/>
            <w:vAlign w:val="center"/>
            <w:hideMark/>
          </w:tcPr>
          <w:p w14:paraId="552FFF77" w14:textId="77777777" w:rsidR="008F780D" w:rsidRPr="007B5379" w:rsidRDefault="008F780D"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2029-30</w:t>
            </w:r>
          </w:p>
        </w:tc>
        <w:tc>
          <w:tcPr>
            <w:tcW w:w="47" w:type="pct"/>
            <w:tcBorders>
              <w:top w:val="nil"/>
              <w:left w:val="nil"/>
              <w:bottom w:val="nil"/>
              <w:right w:val="nil"/>
            </w:tcBorders>
            <w:shd w:val="clear" w:color="000000" w:fill="FFFFFF"/>
            <w:noWrap/>
            <w:vAlign w:val="center"/>
            <w:hideMark/>
          </w:tcPr>
          <w:p w14:paraId="2D6858F7" w14:textId="77777777" w:rsidR="008F780D" w:rsidRPr="007B5379" w:rsidRDefault="008F780D"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 </w:t>
            </w:r>
          </w:p>
        </w:tc>
        <w:tc>
          <w:tcPr>
            <w:tcW w:w="340" w:type="pct"/>
            <w:tcBorders>
              <w:top w:val="single" w:sz="4" w:space="0" w:color="293F5B"/>
              <w:left w:val="nil"/>
              <w:bottom w:val="nil"/>
              <w:right w:val="nil"/>
            </w:tcBorders>
            <w:shd w:val="clear" w:color="000000" w:fill="FFFFFF"/>
            <w:noWrap/>
            <w:vAlign w:val="center"/>
            <w:hideMark/>
          </w:tcPr>
          <w:p w14:paraId="1729C251" w14:textId="77777777" w:rsidR="008F780D" w:rsidRPr="00207DD5" w:rsidRDefault="008F780D" w:rsidP="008F780D">
            <w:pPr>
              <w:spacing w:before="0" w:after="0" w:line="240" w:lineRule="auto"/>
              <w:jc w:val="right"/>
              <w:rPr>
                <w:rFonts w:ascii="Arial" w:hAnsi="Arial" w:cs="Arial"/>
                <w:sz w:val="16"/>
                <w:szCs w:val="16"/>
              </w:rPr>
            </w:pPr>
            <w:r w:rsidRPr="00207DD5">
              <w:rPr>
                <w:rFonts w:ascii="Arial" w:hAnsi="Arial" w:cs="Arial"/>
                <w:sz w:val="16"/>
                <w:szCs w:val="16"/>
              </w:rPr>
              <w:t>Total</w:t>
            </w:r>
          </w:p>
        </w:tc>
      </w:tr>
      <w:tr w:rsidR="008F780D" w14:paraId="64AEDEE1" w14:textId="77777777" w:rsidTr="00E91697">
        <w:trPr>
          <w:trHeight w:hRule="exact" w:val="315"/>
        </w:trPr>
        <w:tc>
          <w:tcPr>
            <w:tcW w:w="2331" w:type="pct"/>
            <w:tcBorders>
              <w:top w:val="nil"/>
              <w:left w:val="nil"/>
              <w:bottom w:val="nil"/>
              <w:right w:val="nil"/>
            </w:tcBorders>
            <w:shd w:val="clear" w:color="000000" w:fill="FFFFFF"/>
            <w:noWrap/>
            <w:vAlign w:val="center"/>
            <w:hideMark/>
          </w:tcPr>
          <w:p w14:paraId="6597B89B" w14:textId="77777777" w:rsidR="008F780D" w:rsidRPr="007B5379" w:rsidRDefault="008F780D" w:rsidP="008F780D">
            <w:pPr>
              <w:spacing w:before="0" w:after="0" w:line="240" w:lineRule="auto"/>
              <w:rPr>
                <w:rFonts w:ascii="Arial" w:hAnsi="Arial" w:cs="Arial"/>
                <w:sz w:val="16"/>
                <w:szCs w:val="16"/>
                <w:highlight w:val="green"/>
              </w:rPr>
            </w:pPr>
            <w:r w:rsidRPr="00207DD5">
              <w:rPr>
                <w:rFonts w:ascii="Arial" w:hAnsi="Arial" w:cs="Arial"/>
                <w:sz w:val="16"/>
                <w:szCs w:val="16"/>
              </w:rPr>
              <w:t> </w:t>
            </w:r>
          </w:p>
        </w:tc>
        <w:tc>
          <w:tcPr>
            <w:tcW w:w="425" w:type="pct"/>
            <w:tcBorders>
              <w:top w:val="nil"/>
              <w:left w:val="nil"/>
              <w:bottom w:val="single" w:sz="8" w:space="0" w:color="293F5B"/>
              <w:right w:val="nil"/>
            </w:tcBorders>
            <w:shd w:val="clear" w:color="000000" w:fill="FFFFFF"/>
            <w:noWrap/>
            <w:vAlign w:val="center"/>
            <w:hideMark/>
          </w:tcPr>
          <w:p w14:paraId="0891F358" w14:textId="77777777" w:rsidR="008F780D" w:rsidRPr="007B5379" w:rsidRDefault="008F780D"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$m</w:t>
            </w:r>
          </w:p>
        </w:tc>
        <w:tc>
          <w:tcPr>
            <w:tcW w:w="460" w:type="pct"/>
            <w:tcBorders>
              <w:top w:val="nil"/>
              <w:left w:val="nil"/>
              <w:bottom w:val="single" w:sz="8" w:space="0" w:color="293F5B"/>
              <w:right w:val="nil"/>
            </w:tcBorders>
            <w:shd w:val="clear" w:color="000000" w:fill="E6F2FF"/>
            <w:noWrap/>
            <w:vAlign w:val="center"/>
            <w:hideMark/>
          </w:tcPr>
          <w:p w14:paraId="6231330F" w14:textId="77777777" w:rsidR="008F780D" w:rsidRPr="007B5379" w:rsidRDefault="008F780D"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$m</w:t>
            </w:r>
          </w:p>
        </w:tc>
        <w:tc>
          <w:tcPr>
            <w:tcW w:w="460" w:type="pct"/>
            <w:tcBorders>
              <w:top w:val="nil"/>
              <w:left w:val="nil"/>
              <w:bottom w:val="single" w:sz="8" w:space="0" w:color="293F5B"/>
              <w:right w:val="nil"/>
            </w:tcBorders>
            <w:shd w:val="clear" w:color="000000" w:fill="FFFFFF"/>
            <w:noWrap/>
            <w:vAlign w:val="center"/>
            <w:hideMark/>
          </w:tcPr>
          <w:p w14:paraId="1480BA37" w14:textId="77777777" w:rsidR="008F780D" w:rsidRPr="007B5379" w:rsidRDefault="008F780D"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$m</w:t>
            </w:r>
          </w:p>
        </w:tc>
        <w:tc>
          <w:tcPr>
            <w:tcW w:w="462" w:type="pct"/>
            <w:tcBorders>
              <w:top w:val="nil"/>
              <w:left w:val="nil"/>
              <w:bottom w:val="single" w:sz="8" w:space="0" w:color="293F5B"/>
              <w:right w:val="nil"/>
            </w:tcBorders>
            <w:shd w:val="clear" w:color="000000" w:fill="FFFFFF"/>
            <w:noWrap/>
            <w:vAlign w:val="center"/>
            <w:hideMark/>
          </w:tcPr>
          <w:p w14:paraId="29749BCF" w14:textId="77777777" w:rsidR="008F780D" w:rsidRPr="007B5379" w:rsidRDefault="008F780D"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$m</w:t>
            </w:r>
          </w:p>
        </w:tc>
        <w:tc>
          <w:tcPr>
            <w:tcW w:w="475" w:type="pct"/>
            <w:tcBorders>
              <w:top w:val="nil"/>
              <w:left w:val="nil"/>
              <w:bottom w:val="single" w:sz="8" w:space="0" w:color="293F5B"/>
              <w:right w:val="nil"/>
            </w:tcBorders>
            <w:shd w:val="clear" w:color="000000" w:fill="FFFFFF"/>
            <w:noWrap/>
            <w:vAlign w:val="center"/>
            <w:hideMark/>
          </w:tcPr>
          <w:p w14:paraId="798A2724" w14:textId="77777777" w:rsidR="008F780D" w:rsidRPr="007B5379" w:rsidRDefault="008F780D"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$m</w:t>
            </w:r>
          </w:p>
        </w:tc>
        <w:tc>
          <w:tcPr>
            <w:tcW w:w="47" w:type="pct"/>
            <w:tcBorders>
              <w:top w:val="nil"/>
              <w:left w:val="nil"/>
              <w:bottom w:val="nil"/>
              <w:right w:val="nil"/>
            </w:tcBorders>
            <w:shd w:val="clear" w:color="000000" w:fill="FFFFFF"/>
            <w:noWrap/>
            <w:vAlign w:val="center"/>
            <w:hideMark/>
          </w:tcPr>
          <w:p w14:paraId="440C9334" w14:textId="77777777" w:rsidR="008F780D" w:rsidRPr="007B5379" w:rsidRDefault="008F780D"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 </w:t>
            </w:r>
          </w:p>
        </w:tc>
        <w:tc>
          <w:tcPr>
            <w:tcW w:w="340" w:type="pct"/>
            <w:tcBorders>
              <w:top w:val="nil"/>
              <w:left w:val="nil"/>
              <w:bottom w:val="single" w:sz="8" w:space="0" w:color="293F5B"/>
              <w:right w:val="nil"/>
            </w:tcBorders>
            <w:shd w:val="clear" w:color="000000" w:fill="FFFFFF"/>
            <w:noWrap/>
            <w:vAlign w:val="center"/>
            <w:hideMark/>
          </w:tcPr>
          <w:p w14:paraId="317806EF" w14:textId="77777777" w:rsidR="008F780D" w:rsidRPr="00207DD5" w:rsidRDefault="008F780D" w:rsidP="008F780D">
            <w:pPr>
              <w:spacing w:before="0" w:after="0" w:line="240" w:lineRule="auto"/>
              <w:jc w:val="right"/>
              <w:rPr>
                <w:rFonts w:ascii="Arial" w:hAnsi="Arial" w:cs="Arial"/>
                <w:sz w:val="16"/>
                <w:szCs w:val="16"/>
              </w:rPr>
            </w:pPr>
            <w:r w:rsidRPr="00207DD5">
              <w:rPr>
                <w:rFonts w:ascii="Arial" w:hAnsi="Arial" w:cs="Arial"/>
                <w:sz w:val="16"/>
                <w:szCs w:val="16"/>
              </w:rPr>
              <w:t>$m</w:t>
            </w:r>
          </w:p>
        </w:tc>
      </w:tr>
      <w:tr w:rsidR="006867C2" w14:paraId="6001A4D4" w14:textId="77777777" w:rsidTr="00E91697">
        <w:trPr>
          <w:trHeight w:val="406"/>
        </w:trPr>
        <w:tc>
          <w:tcPr>
            <w:tcW w:w="2331" w:type="pct"/>
            <w:tcBorders>
              <w:top w:val="nil"/>
              <w:left w:val="nil"/>
              <w:bottom w:val="nil"/>
              <w:right w:val="nil"/>
            </w:tcBorders>
            <w:shd w:val="clear" w:color="000000" w:fill="FFFFFF"/>
            <w:noWrap/>
            <w:vAlign w:val="center"/>
          </w:tcPr>
          <w:p w14:paraId="63BD4504" w14:textId="6D1F8D3F" w:rsidR="006867C2" w:rsidRPr="007B5379" w:rsidRDefault="006867C2" w:rsidP="006867C2">
            <w:pPr>
              <w:spacing w:before="0" w:after="0" w:line="240" w:lineRule="auto"/>
              <w:rPr>
                <w:rFonts w:ascii="Arial" w:hAnsi="Arial" w:cs="Arial"/>
                <w:b/>
                <w:sz w:val="16"/>
                <w:szCs w:val="16"/>
                <w:highlight w:val="green"/>
              </w:rPr>
            </w:pPr>
            <w:r w:rsidRPr="00207DD5">
              <w:rPr>
                <w:rFonts w:ascii="Arial" w:hAnsi="Arial" w:cs="Arial"/>
                <w:b/>
                <w:sz w:val="16"/>
                <w:szCs w:val="16"/>
              </w:rPr>
              <w:t xml:space="preserve">Effect of policy decisions </w:t>
            </w:r>
            <w:r w:rsidR="0096325B" w:rsidRPr="00207DD5">
              <w:rPr>
                <w:rFonts w:ascii="Arial" w:hAnsi="Arial" w:cs="Arial"/>
                <w:b/>
                <w:sz w:val="16"/>
                <w:szCs w:val="16"/>
              </w:rPr>
              <w:t xml:space="preserve">including </w:t>
            </w:r>
            <w:r w:rsidR="000B157A" w:rsidRPr="00207DD5">
              <w:rPr>
                <w:rFonts w:ascii="Arial" w:hAnsi="Arial" w:cs="Arial"/>
                <w:b/>
                <w:sz w:val="16"/>
                <w:szCs w:val="16"/>
              </w:rPr>
              <w:t>previous</w:t>
            </w:r>
            <w:r w:rsidR="0016354C" w:rsidRPr="00207DD5">
              <w:rPr>
                <w:rFonts w:ascii="Arial" w:hAnsi="Arial" w:cs="Arial"/>
                <w:b/>
                <w:sz w:val="16"/>
                <w:szCs w:val="16"/>
              </w:rPr>
              <w:t>ly made</w:t>
            </w:r>
            <w:r w:rsidR="000B157A" w:rsidRPr="00207DD5">
              <w:rPr>
                <w:rFonts w:ascii="Arial" w:hAnsi="Arial" w:cs="Arial"/>
                <w:b/>
                <w:sz w:val="16"/>
                <w:szCs w:val="16"/>
              </w:rPr>
              <w:t xml:space="preserve"> provisions</w:t>
            </w:r>
          </w:p>
        </w:tc>
        <w:tc>
          <w:tcPr>
            <w:tcW w:w="425" w:type="pct"/>
            <w:tcBorders>
              <w:top w:val="nil"/>
              <w:left w:val="nil"/>
              <w:bottom w:val="nil"/>
              <w:right w:val="nil"/>
            </w:tcBorders>
            <w:shd w:val="clear" w:color="000000" w:fill="FFFFFF"/>
            <w:noWrap/>
          </w:tcPr>
          <w:p w14:paraId="5E719730" w14:textId="77777777" w:rsidR="006867C2" w:rsidRPr="00207DD5" w:rsidRDefault="006867C2" w:rsidP="006867C2">
            <w:pPr>
              <w:spacing w:before="0" w:after="0" w:line="240" w:lineRule="auto"/>
              <w:jc w:val="right"/>
              <w:rPr>
                <w:rFonts w:ascii="Arial" w:hAnsi="Arial" w:cs="Arial"/>
                <w:b/>
                <w:sz w:val="16"/>
                <w:szCs w:val="16"/>
              </w:rPr>
            </w:pPr>
          </w:p>
          <w:p w14:paraId="6F0DA45C" w14:textId="46C20406" w:rsidR="006867C2" w:rsidRPr="007B5379" w:rsidRDefault="006867C2" w:rsidP="006867C2">
            <w:pPr>
              <w:spacing w:before="0" w:after="0" w:line="240" w:lineRule="auto"/>
              <w:jc w:val="right"/>
              <w:rPr>
                <w:rFonts w:ascii="Arial" w:hAnsi="Arial" w:cs="Arial"/>
                <w:b/>
                <w:sz w:val="16"/>
                <w:szCs w:val="16"/>
                <w:highlight w:val="green"/>
              </w:rPr>
            </w:pPr>
            <w:r w:rsidRPr="00207DD5">
              <w:rPr>
                <w:rFonts w:ascii="Arial" w:hAnsi="Arial" w:cs="Arial"/>
                <w:b/>
                <w:sz w:val="16"/>
                <w:szCs w:val="16"/>
              </w:rPr>
              <w:t>-5,264</w:t>
            </w:r>
          </w:p>
        </w:tc>
        <w:tc>
          <w:tcPr>
            <w:tcW w:w="460" w:type="pct"/>
            <w:tcBorders>
              <w:top w:val="nil"/>
              <w:left w:val="nil"/>
              <w:bottom w:val="nil"/>
              <w:right w:val="nil"/>
            </w:tcBorders>
            <w:shd w:val="clear" w:color="000000" w:fill="E6F2FF"/>
            <w:noWrap/>
          </w:tcPr>
          <w:p w14:paraId="1C213020" w14:textId="77777777" w:rsidR="006867C2" w:rsidRPr="00207DD5" w:rsidRDefault="006867C2" w:rsidP="006867C2">
            <w:pPr>
              <w:spacing w:before="0" w:after="0" w:line="240" w:lineRule="auto"/>
              <w:jc w:val="right"/>
              <w:rPr>
                <w:rFonts w:ascii="Arial" w:hAnsi="Arial" w:cs="Arial"/>
                <w:b/>
                <w:sz w:val="16"/>
                <w:szCs w:val="16"/>
              </w:rPr>
            </w:pPr>
          </w:p>
          <w:p w14:paraId="79674B90" w14:textId="6E7AA43E" w:rsidR="006867C2" w:rsidRPr="007B5379" w:rsidRDefault="006867C2" w:rsidP="006867C2">
            <w:pPr>
              <w:spacing w:before="0" w:after="0" w:line="240" w:lineRule="auto"/>
              <w:jc w:val="right"/>
              <w:rPr>
                <w:rFonts w:ascii="Arial" w:hAnsi="Arial" w:cs="Arial"/>
                <w:b/>
                <w:sz w:val="16"/>
                <w:szCs w:val="16"/>
                <w:highlight w:val="green"/>
              </w:rPr>
            </w:pPr>
            <w:r w:rsidRPr="00207DD5">
              <w:rPr>
                <w:rFonts w:ascii="Arial" w:hAnsi="Arial" w:cs="Arial"/>
                <w:b/>
                <w:sz w:val="16"/>
                <w:szCs w:val="16"/>
              </w:rPr>
              <w:t>-3,</w:t>
            </w:r>
            <w:r w:rsidR="00CC1F55" w:rsidRPr="00207DD5">
              <w:rPr>
                <w:rFonts w:ascii="Arial" w:hAnsi="Arial" w:cs="Arial"/>
                <w:b/>
                <w:sz w:val="16"/>
                <w:szCs w:val="16"/>
              </w:rPr>
              <w:t>6</w:t>
            </w:r>
            <w:r w:rsidRPr="00207DD5">
              <w:rPr>
                <w:rFonts w:ascii="Arial" w:hAnsi="Arial" w:cs="Arial"/>
                <w:b/>
                <w:sz w:val="16"/>
                <w:szCs w:val="16"/>
              </w:rPr>
              <w:t>55</w:t>
            </w:r>
          </w:p>
        </w:tc>
        <w:tc>
          <w:tcPr>
            <w:tcW w:w="460" w:type="pct"/>
            <w:tcBorders>
              <w:top w:val="nil"/>
              <w:left w:val="nil"/>
              <w:bottom w:val="nil"/>
              <w:right w:val="nil"/>
            </w:tcBorders>
            <w:shd w:val="clear" w:color="000000" w:fill="FFFFFF"/>
            <w:noWrap/>
          </w:tcPr>
          <w:p w14:paraId="71BB937B" w14:textId="77777777" w:rsidR="006867C2" w:rsidRPr="00207DD5" w:rsidRDefault="006867C2" w:rsidP="006867C2">
            <w:pPr>
              <w:spacing w:before="0" w:after="0" w:line="240" w:lineRule="auto"/>
              <w:jc w:val="right"/>
              <w:rPr>
                <w:rFonts w:ascii="Arial" w:hAnsi="Arial" w:cs="Arial"/>
                <w:b/>
                <w:sz w:val="16"/>
                <w:szCs w:val="16"/>
              </w:rPr>
            </w:pPr>
          </w:p>
          <w:p w14:paraId="0ACAD41E" w14:textId="4415DD27" w:rsidR="006867C2" w:rsidRPr="007B5379" w:rsidRDefault="006867C2" w:rsidP="006867C2">
            <w:pPr>
              <w:spacing w:before="0" w:after="0" w:line="240" w:lineRule="auto"/>
              <w:jc w:val="right"/>
              <w:rPr>
                <w:rFonts w:ascii="Arial" w:hAnsi="Arial" w:cs="Arial"/>
                <w:b/>
                <w:sz w:val="16"/>
                <w:szCs w:val="16"/>
                <w:highlight w:val="green"/>
              </w:rPr>
            </w:pPr>
            <w:r w:rsidRPr="00207DD5">
              <w:rPr>
                <w:rFonts w:ascii="Arial" w:hAnsi="Arial" w:cs="Arial"/>
                <w:b/>
                <w:sz w:val="16"/>
                <w:szCs w:val="16"/>
              </w:rPr>
              <w:t>363</w:t>
            </w:r>
          </w:p>
        </w:tc>
        <w:tc>
          <w:tcPr>
            <w:tcW w:w="462" w:type="pct"/>
            <w:tcBorders>
              <w:top w:val="nil"/>
              <w:left w:val="nil"/>
              <w:bottom w:val="nil"/>
              <w:right w:val="nil"/>
            </w:tcBorders>
            <w:shd w:val="clear" w:color="000000" w:fill="FFFFFF"/>
            <w:noWrap/>
          </w:tcPr>
          <w:p w14:paraId="15D20A98" w14:textId="77777777" w:rsidR="006867C2" w:rsidRPr="00207DD5" w:rsidRDefault="006867C2" w:rsidP="006867C2">
            <w:pPr>
              <w:spacing w:before="0" w:after="0" w:line="240" w:lineRule="auto"/>
              <w:jc w:val="right"/>
              <w:rPr>
                <w:rFonts w:ascii="Arial" w:hAnsi="Arial" w:cs="Arial"/>
                <w:b/>
                <w:sz w:val="16"/>
                <w:szCs w:val="16"/>
              </w:rPr>
            </w:pPr>
          </w:p>
          <w:p w14:paraId="22383FAB" w14:textId="35ED3280" w:rsidR="006867C2" w:rsidRPr="007B5379" w:rsidRDefault="006867C2" w:rsidP="006867C2">
            <w:pPr>
              <w:spacing w:before="0" w:after="0" w:line="240" w:lineRule="auto"/>
              <w:jc w:val="right"/>
              <w:rPr>
                <w:rFonts w:ascii="Arial" w:hAnsi="Arial" w:cs="Arial"/>
                <w:b/>
                <w:sz w:val="16"/>
                <w:szCs w:val="16"/>
                <w:highlight w:val="green"/>
              </w:rPr>
            </w:pPr>
            <w:r w:rsidRPr="00207DD5">
              <w:rPr>
                <w:rFonts w:ascii="Arial" w:hAnsi="Arial" w:cs="Arial"/>
                <w:b/>
                <w:sz w:val="16"/>
                <w:szCs w:val="16"/>
              </w:rPr>
              <w:t>6,662</w:t>
            </w:r>
          </w:p>
        </w:tc>
        <w:tc>
          <w:tcPr>
            <w:tcW w:w="475" w:type="pct"/>
            <w:tcBorders>
              <w:top w:val="nil"/>
              <w:left w:val="nil"/>
              <w:bottom w:val="nil"/>
              <w:right w:val="nil"/>
            </w:tcBorders>
            <w:shd w:val="clear" w:color="000000" w:fill="FFFFFF"/>
            <w:noWrap/>
          </w:tcPr>
          <w:p w14:paraId="67B724B3" w14:textId="77777777" w:rsidR="006867C2" w:rsidRPr="00207DD5" w:rsidRDefault="006867C2" w:rsidP="006867C2">
            <w:pPr>
              <w:spacing w:before="0" w:after="0" w:line="240" w:lineRule="auto"/>
              <w:jc w:val="right"/>
              <w:rPr>
                <w:rFonts w:ascii="Arial" w:hAnsi="Arial" w:cs="Arial"/>
                <w:b/>
                <w:sz w:val="16"/>
                <w:szCs w:val="16"/>
              </w:rPr>
            </w:pPr>
          </w:p>
          <w:p w14:paraId="62EF4282" w14:textId="7807DCD0" w:rsidR="006867C2" w:rsidRPr="007B5379" w:rsidRDefault="006867C2" w:rsidP="006867C2">
            <w:pPr>
              <w:spacing w:before="0" w:after="0" w:line="240" w:lineRule="auto"/>
              <w:jc w:val="right"/>
              <w:rPr>
                <w:rFonts w:ascii="Arial" w:hAnsi="Arial" w:cs="Arial"/>
                <w:b/>
                <w:sz w:val="16"/>
                <w:szCs w:val="16"/>
                <w:highlight w:val="green"/>
              </w:rPr>
            </w:pPr>
            <w:r w:rsidRPr="00207DD5">
              <w:rPr>
                <w:rFonts w:ascii="Arial" w:hAnsi="Arial" w:cs="Arial"/>
                <w:b/>
                <w:sz w:val="16"/>
                <w:szCs w:val="16"/>
              </w:rPr>
              <w:t>28,033</w:t>
            </w:r>
          </w:p>
        </w:tc>
        <w:tc>
          <w:tcPr>
            <w:tcW w:w="47" w:type="pct"/>
            <w:tcBorders>
              <w:top w:val="nil"/>
              <w:left w:val="nil"/>
              <w:bottom w:val="nil"/>
              <w:right w:val="nil"/>
            </w:tcBorders>
            <w:shd w:val="clear" w:color="000000" w:fill="FFFFFF"/>
            <w:noWrap/>
            <w:vAlign w:val="bottom"/>
          </w:tcPr>
          <w:p w14:paraId="0FD768B2" w14:textId="77777777" w:rsidR="006867C2" w:rsidRPr="007B5379" w:rsidRDefault="006867C2" w:rsidP="006867C2">
            <w:pPr>
              <w:spacing w:before="0" w:after="0" w:line="240" w:lineRule="auto"/>
              <w:jc w:val="right"/>
              <w:rPr>
                <w:rFonts w:ascii="Arial" w:hAnsi="Arial" w:cs="Arial"/>
                <w:b/>
                <w:sz w:val="16"/>
                <w:szCs w:val="16"/>
                <w:highlight w:val="green"/>
              </w:rPr>
            </w:pPr>
          </w:p>
        </w:tc>
        <w:tc>
          <w:tcPr>
            <w:tcW w:w="340" w:type="pct"/>
            <w:tcBorders>
              <w:top w:val="nil"/>
              <w:left w:val="nil"/>
              <w:bottom w:val="nil"/>
              <w:right w:val="nil"/>
            </w:tcBorders>
            <w:shd w:val="clear" w:color="000000" w:fill="FFFFFF"/>
            <w:noWrap/>
          </w:tcPr>
          <w:p w14:paraId="60AF0614" w14:textId="77777777" w:rsidR="006867C2" w:rsidRPr="00207DD5" w:rsidRDefault="006867C2" w:rsidP="006867C2">
            <w:pPr>
              <w:spacing w:before="0" w:after="0" w:line="240" w:lineRule="auto"/>
              <w:jc w:val="right"/>
              <w:rPr>
                <w:rFonts w:ascii="Arial" w:hAnsi="Arial" w:cs="Arial"/>
                <w:b/>
                <w:sz w:val="16"/>
                <w:szCs w:val="16"/>
              </w:rPr>
            </w:pPr>
          </w:p>
          <w:p w14:paraId="55D8249E" w14:textId="35892A79" w:rsidR="006867C2" w:rsidRPr="00207DD5" w:rsidRDefault="006867C2" w:rsidP="006867C2">
            <w:pPr>
              <w:spacing w:before="0" w:after="0" w:line="240" w:lineRule="auto"/>
              <w:jc w:val="right"/>
              <w:rPr>
                <w:rFonts w:ascii="Arial" w:hAnsi="Arial" w:cs="Arial"/>
                <w:b/>
                <w:sz w:val="16"/>
                <w:szCs w:val="16"/>
              </w:rPr>
            </w:pPr>
            <w:r w:rsidRPr="00207DD5">
              <w:rPr>
                <w:rFonts w:ascii="Arial" w:hAnsi="Arial" w:cs="Arial"/>
                <w:b/>
                <w:sz w:val="16"/>
                <w:szCs w:val="16"/>
              </w:rPr>
              <w:t>26,139</w:t>
            </w:r>
          </w:p>
        </w:tc>
      </w:tr>
      <w:tr w:rsidR="003A6DCB" w14:paraId="723AC15D" w14:textId="77777777" w:rsidTr="00E91697">
        <w:trPr>
          <w:trHeight w:hRule="exact" w:val="419"/>
        </w:trPr>
        <w:tc>
          <w:tcPr>
            <w:tcW w:w="2331" w:type="pct"/>
            <w:tcBorders>
              <w:top w:val="nil"/>
              <w:left w:val="nil"/>
              <w:right w:val="nil"/>
            </w:tcBorders>
            <w:shd w:val="clear" w:color="000000" w:fill="FFFFFF"/>
            <w:noWrap/>
            <w:vAlign w:val="center"/>
            <w:hideMark/>
          </w:tcPr>
          <w:p w14:paraId="02540E29" w14:textId="6E3A0ECB" w:rsidR="008F780D" w:rsidRPr="007B5379" w:rsidRDefault="00692FBA" w:rsidP="008F780D">
            <w:pPr>
              <w:spacing w:before="0" w:after="0" w:line="240" w:lineRule="auto"/>
              <w:rPr>
                <w:rFonts w:ascii="Arial" w:hAnsi="Arial" w:cs="Arial"/>
                <w:sz w:val="16"/>
                <w:szCs w:val="16"/>
                <w:highlight w:val="green"/>
              </w:rPr>
            </w:pPr>
            <w:r w:rsidRPr="00207DD5">
              <w:rPr>
                <w:rFonts w:ascii="Arial" w:hAnsi="Arial" w:cs="Arial"/>
                <w:sz w:val="16"/>
                <w:szCs w:val="16"/>
              </w:rPr>
              <w:t>Subtract</w:t>
            </w:r>
            <w:r w:rsidR="008F780D" w:rsidRPr="00207DD5">
              <w:rPr>
                <w:rFonts w:ascii="Arial" w:hAnsi="Arial" w:cs="Arial"/>
                <w:sz w:val="16"/>
                <w:szCs w:val="16"/>
              </w:rPr>
              <w:t xml:space="preserve">: Provisions made for expenditure </w:t>
            </w:r>
          </w:p>
        </w:tc>
        <w:tc>
          <w:tcPr>
            <w:tcW w:w="425" w:type="pct"/>
            <w:tcBorders>
              <w:top w:val="nil"/>
              <w:left w:val="nil"/>
              <w:right w:val="nil"/>
            </w:tcBorders>
            <w:shd w:val="clear" w:color="000000" w:fill="FFFFFF"/>
            <w:noWrap/>
            <w:hideMark/>
          </w:tcPr>
          <w:p w14:paraId="094EAE14" w14:textId="77777777" w:rsidR="00F7682D" w:rsidRPr="00207DD5" w:rsidRDefault="00F7682D" w:rsidP="00F01B02">
            <w:pPr>
              <w:spacing w:before="0" w:after="0" w:line="240" w:lineRule="auto"/>
              <w:jc w:val="right"/>
              <w:rPr>
                <w:rFonts w:ascii="Arial" w:hAnsi="Arial" w:cs="Arial"/>
                <w:sz w:val="16"/>
                <w:szCs w:val="16"/>
              </w:rPr>
            </w:pPr>
          </w:p>
          <w:p w14:paraId="6DAFF290" w14:textId="79F906A7" w:rsidR="008F780D" w:rsidRPr="007B5379" w:rsidRDefault="00E92DE3"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34</w:t>
            </w:r>
          </w:p>
        </w:tc>
        <w:tc>
          <w:tcPr>
            <w:tcW w:w="460" w:type="pct"/>
            <w:tcBorders>
              <w:top w:val="nil"/>
              <w:left w:val="nil"/>
              <w:right w:val="nil"/>
            </w:tcBorders>
            <w:shd w:val="clear" w:color="000000" w:fill="E6F2FF"/>
            <w:noWrap/>
            <w:hideMark/>
          </w:tcPr>
          <w:p w14:paraId="7B3DB5ED" w14:textId="77777777" w:rsidR="00F7682D" w:rsidRPr="00207DD5" w:rsidRDefault="00F7682D" w:rsidP="00F01B02">
            <w:pPr>
              <w:spacing w:before="0" w:after="0" w:line="240" w:lineRule="auto"/>
              <w:jc w:val="right"/>
              <w:rPr>
                <w:rFonts w:ascii="Arial" w:hAnsi="Arial" w:cs="Arial"/>
                <w:sz w:val="16"/>
                <w:szCs w:val="16"/>
              </w:rPr>
            </w:pPr>
          </w:p>
          <w:p w14:paraId="11F97CF2" w14:textId="445685EB" w:rsidR="008F780D" w:rsidRPr="007B5379" w:rsidRDefault="008F780D"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2,</w:t>
            </w:r>
            <w:r w:rsidR="00A85BDC" w:rsidRPr="00207DD5">
              <w:rPr>
                <w:rFonts w:ascii="Arial" w:hAnsi="Arial" w:cs="Arial"/>
                <w:sz w:val="16"/>
                <w:szCs w:val="16"/>
              </w:rPr>
              <w:t>866</w:t>
            </w:r>
          </w:p>
        </w:tc>
        <w:tc>
          <w:tcPr>
            <w:tcW w:w="460" w:type="pct"/>
            <w:tcBorders>
              <w:top w:val="nil"/>
              <w:left w:val="nil"/>
              <w:right w:val="nil"/>
            </w:tcBorders>
            <w:shd w:val="clear" w:color="000000" w:fill="FFFFFF"/>
            <w:noWrap/>
            <w:hideMark/>
          </w:tcPr>
          <w:p w14:paraId="0A84623F" w14:textId="77777777" w:rsidR="00F7682D" w:rsidRPr="00207DD5" w:rsidRDefault="00F7682D" w:rsidP="00F01B02">
            <w:pPr>
              <w:spacing w:before="0" w:after="0" w:line="240" w:lineRule="auto"/>
              <w:jc w:val="right"/>
              <w:rPr>
                <w:rFonts w:ascii="Arial" w:hAnsi="Arial" w:cs="Arial"/>
                <w:sz w:val="16"/>
                <w:szCs w:val="16"/>
              </w:rPr>
            </w:pPr>
          </w:p>
          <w:p w14:paraId="2B3B196C" w14:textId="7EE31729" w:rsidR="008F780D" w:rsidRPr="007B5379" w:rsidRDefault="00D77074"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2,</w:t>
            </w:r>
            <w:r w:rsidR="00F01B02" w:rsidRPr="00207DD5">
              <w:rPr>
                <w:rFonts w:ascii="Arial" w:hAnsi="Arial" w:cs="Arial"/>
                <w:sz w:val="16"/>
                <w:szCs w:val="16"/>
              </w:rPr>
              <w:t>690</w:t>
            </w:r>
          </w:p>
        </w:tc>
        <w:tc>
          <w:tcPr>
            <w:tcW w:w="462" w:type="pct"/>
            <w:tcBorders>
              <w:top w:val="nil"/>
              <w:left w:val="nil"/>
              <w:right w:val="nil"/>
            </w:tcBorders>
            <w:shd w:val="clear" w:color="000000" w:fill="FFFFFF"/>
            <w:noWrap/>
            <w:hideMark/>
          </w:tcPr>
          <w:p w14:paraId="575E6C3E" w14:textId="77777777" w:rsidR="00F7682D" w:rsidRPr="00207DD5" w:rsidRDefault="00F7682D" w:rsidP="00F01B02">
            <w:pPr>
              <w:spacing w:before="0" w:after="0" w:line="240" w:lineRule="auto"/>
              <w:jc w:val="right"/>
              <w:rPr>
                <w:rFonts w:ascii="Arial" w:hAnsi="Arial" w:cs="Arial"/>
                <w:sz w:val="16"/>
                <w:szCs w:val="16"/>
              </w:rPr>
            </w:pPr>
          </w:p>
          <w:p w14:paraId="154AFEFB" w14:textId="465C7218" w:rsidR="008F780D" w:rsidRPr="007B5379" w:rsidRDefault="006506E9"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3,</w:t>
            </w:r>
            <w:r w:rsidR="00F01B02" w:rsidRPr="00207DD5">
              <w:rPr>
                <w:rFonts w:ascii="Arial" w:hAnsi="Arial" w:cs="Arial"/>
                <w:sz w:val="16"/>
                <w:szCs w:val="16"/>
              </w:rPr>
              <w:t>57</w:t>
            </w:r>
            <w:r w:rsidR="00E235A9" w:rsidRPr="00207DD5">
              <w:rPr>
                <w:rFonts w:ascii="Arial" w:hAnsi="Arial" w:cs="Arial"/>
                <w:sz w:val="16"/>
                <w:szCs w:val="16"/>
              </w:rPr>
              <w:t>4</w:t>
            </w:r>
          </w:p>
        </w:tc>
        <w:tc>
          <w:tcPr>
            <w:tcW w:w="475" w:type="pct"/>
            <w:tcBorders>
              <w:top w:val="nil"/>
              <w:left w:val="nil"/>
              <w:right w:val="nil"/>
            </w:tcBorders>
            <w:shd w:val="clear" w:color="000000" w:fill="FFFFFF"/>
            <w:noWrap/>
            <w:hideMark/>
          </w:tcPr>
          <w:p w14:paraId="1E2603EB" w14:textId="77777777" w:rsidR="00F7682D" w:rsidRPr="00207DD5" w:rsidRDefault="00F7682D" w:rsidP="00F01B02">
            <w:pPr>
              <w:spacing w:before="0" w:after="0" w:line="240" w:lineRule="auto"/>
              <w:jc w:val="right"/>
              <w:rPr>
                <w:rFonts w:ascii="Arial" w:hAnsi="Arial" w:cs="Arial"/>
                <w:sz w:val="16"/>
                <w:szCs w:val="16"/>
              </w:rPr>
            </w:pPr>
          </w:p>
          <w:p w14:paraId="7924A63E" w14:textId="0DC3D77B" w:rsidR="008F780D" w:rsidRPr="007B5379" w:rsidRDefault="006506E9"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8,</w:t>
            </w:r>
            <w:r w:rsidR="007A75A4" w:rsidRPr="00207DD5">
              <w:rPr>
                <w:rFonts w:ascii="Arial" w:hAnsi="Arial" w:cs="Arial"/>
                <w:sz w:val="16"/>
                <w:szCs w:val="16"/>
              </w:rPr>
              <w:t>734</w:t>
            </w:r>
          </w:p>
        </w:tc>
        <w:tc>
          <w:tcPr>
            <w:tcW w:w="47" w:type="pct"/>
            <w:tcBorders>
              <w:top w:val="nil"/>
              <w:left w:val="nil"/>
              <w:right w:val="nil"/>
            </w:tcBorders>
            <w:shd w:val="clear" w:color="000000" w:fill="FFFFFF"/>
            <w:noWrap/>
            <w:vAlign w:val="center"/>
            <w:hideMark/>
          </w:tcPr>
          <w:p w14:paraId="0E0A882C" w14:textId="77777777" w:rsidR="008F780D" w:rsidRPr="007B5379" w:rsidRDefault="008F780D" w:rsidP="008F780D">
            <w:pPr>
              <w:spacing w:before="0" w:after="0" w:line="240" w:lineRule="auto"/>
              <w:jc w:val="right"/>
              <w:rPr>
                <w:rFonts w:ascii="Arial" w:hAnsi="Arial" w:cs="Arial"/>
                <w:sz w:val="16"/>
                <w:szCs w:val="16"/>
                <w:highlight w:val="green"/>
              </w:rPr>
            </w:pPr>
            <w:r w:rsidRPr="00207DD5">
              <w:rPr>
                <w:rFonts w:ascii="Arial" w:hAnsi="Arial" w:cs="Arial"/>
                <w:sz w:val="16"/>
                <w:szCs w:val="16"/>
              </w:rPr>
              <w:t> </w:t>
            </w:r>
          </w:p>
        </w:tc>
        <w:tc>
          <w:tcPr>
            <w:tcW w:w="340" w:type="pct"/>
            <w:tcBorders>
              <w:top w:val="nil"/>
              <w:left w:val="nil"/>
              <w:right w:val="nil"/>
            </w:tcBorders>
            <w:shd w:val="clear" w:color="000000" w:fill="FFFFFF"/>
            <w:noWrap/>
            <w:hideMark/>
          </w:tcPr>
          <w:p w14:paraId="118BD191" w14:textId="77777777" w:rsidR="00F7682D" w:rsidRPr="00207DD5" w:rsidRDefault="00F7682D" w:rsidP="00F01B02">
            <w:pPr>
              <w:spacing w:before="0" w:after="0" w:line="240" w:lineRule="auto"/>
              <w:jc w:val="right"/>
              <w:rPr>
                <w:rFonts w:ascii="Arial" w:hAnsi="Arial" w:cs="Arial"/>
                <w:sz w:val="16"/>
                <w:szCs w:val="16"/>
              </w:rPr>
            </w:pPr>
          </w:p>
          <w:p w14:paraId="4516A5F9" w14:textId="6391E7DF" w:rsidR="008F780D" w:rsidRPr="00207DD5" w:rsidRDefault="008F780D" w:rsidP="008F780D">
            <w:pPr>
              <w:spacing w:before="0" w:after="0" w:line="240" w:lineRule="auto"/>
              <w:jc w:val="right"/>
              <w:rPr>
                <w:rFonts w:ascii="Arial" w:hAnsi="Arial" w:cs="Arial"/>
                <w:sz w:val="16"/>
                <w:szCs w:val="16"/>
              </w:rPr>
            </w:pPr>
            <w:r w:rsidRPr="00207DD5">
              <w:rPr>
                <w:rFonts w:ascii="Arial" w:hAnsi="Arial" w:cs="Arial"/>
                <w:sz w:val="16"/>
                <w:szCs w:val="16"/>
              </w:rPr>
              <w:t>17,</w:t>
            </w:r>
            <w:r w:rsidR="00F01B02" w:rsidRPr="00207DD5">
              <w:rPr>
                <w:rFonts w:ascii="Arial" w:hAnsi="Arial" w:cs="Arial"/>
                <w:sz w:val="16"/>
                <w:szCs w:val="16"/>
              </w:rPr>
              <w:t>89</w:t>
            </w:r>
            <w:r w:rsidR="00C92536" w:rsidRPr="00207DD5">
              <w:rPr>
                <w:rFonts w:ascii="Arial" w:hAnsi="Arial" w:cs="Arial"/>
                <w:sz w:val="16"/>
                <w:szCs w:val="16"/>
              </w:rPr>
              <w:t>6</w:t>
            </w:r>
          </w:p>
        </w:tc>
      </w:tr>
      <w:tr w:rsidR="008F780D" w14:paraId="7D47C552" w14:textId="77777777" w:rsidTr="00E91697">
        <w:trPr>
          <w:trHeight w:hRule="exact" w:val="603"/>
        </w:trPr>
        <w:tc>
          <w:tcPr>
            <w:tcW w:w="2331" w:type="pct"/>
            <w:tcBorders>
              <w:top w:val="nil"/>
              <w:left w:val="nil"/>
              <w:bottom w:val="single" w:sz="4" w:space="0" w:color="293F5B"/>
              <w:right w:val="nil"/>
            </w:tcBorders>
            <w:shd w:val="clear" w:color="000000" w:fill="FFFFFF"/>
            <w:vAlign w:val="center"/>
          </w:tcPr>
          <w:p w14:paraId="00AD1E35" w14:textId="4A568A70" w:rsidR="008F780D" w:rsidRPr="007B5379" w:rsidRDefault="0096325B" w:rsidP="008F780D">
            <w:pPr>
              <w:spacing w:before="0" w:after="0" w:line="240" w:lineRule="auto"/>
              <w:rPr>
                <w:rFonts w:ascii="Arial" w:hAnsi="Arial" w:cs="Arial"/>
                <w:b/>
                <w:sz w:val="16"/>
                <w:szCs w:val="16"/>
                <w:highlight w:val="green"/>
              </w:rPr>
            </w:pPr>
            <w:r w:rsidRPr="00207DD5">
              <w:rPr>
                <w:rFonts w:ascii="Arial" w:hAnsi="Arial" w:cs="Arial"/>
                <w:b/>
                <w:sz w:val="16"/>
                <w:szCs w:val="16"/>
              </w:rPr>
              <w:t>Effect</w:t>
            </w:r>
            <w:r w:rsidR="006867C2" w:rsidRPr="00207DD5">
              <w:rPr>
                <w:rFonts w:ascii="Arial" w:hAnsi="Arial" w:cs="Arial"/>
                <w:b/>
                <w:sz w:val="16"/>
                <w:szCs w:val="16"/>
              </w:rPr>
              <w:t xml:space="preserve"> of policy decisions since </w:t>
            </w:r>
            <w:r w:rsidRPr="00207DD5">
              <w:rPr>
                <w:rFonts w:ascii="Arial" w:hAnsi="Arial" w:cs="Arial"/>
                <w:b/>
                <w:sz w:val="16"/>
                <w:szCs w:val="16"/>
              </w:rPr>
              <w:t>2025</w:t>
            </w:r>
            <w:r w:rsidRPr="00207DD5">
              <w:rPr>
                <w:rFonts w:asciiTheme="majorHAnsi" w:hAnsiTheme="majorHAnsi" w:cstheme="majorHAnsi"/>
                <w:sz w:val="16"/>
                <w:szCs w:val="16"/>
              </w:rPr>
              <w:t>–‍</w:t>
            </w:r>
            <w:r w:rsidRPr="00207DD5">
              <w:rPr>
                <w:rFonts w:ascii="Arial" w:hAnsi="Arial" w:cs="Arial"/>
                <w:b/>
                <w:sz w:val="16"/>
                <w:szCs w:val="16"/>
              </w:rPr>
              <w:t>26 </w:t>
            </w:r>
            <w:r w:rsidR="006867C2" w:rsidRPr="00207DD5">
              <w:rPr>
                <w:rFonts w:ascii="Arial" w:hAnsi="Arial" w:cs="Arial"/>
                <w:b/>
                <w:sz w:val="16"/>
                <w:szCs w:val="16"/>
              </w:rPr>
              <w:t>MYEFO</w:t>
            </w:r>
          </w:p>
        </w:tc>
        <w:tc>
          <w:tcPr>
            <w:tcW w:w="425" w:type="pct"/>
            <w:tcBorders>
              <w:top w:val="nil"/>
              <w:left w:val="nil"/>
              <w:bottom w:val="single" w:sz="4" w:space="0" w:color="293F5B"/>
              <w:right w:val="nil"/>
            </w:tcBorders>
            <w:shd w:val="clear" w:color="000000" w:fill="FFFFFF"/>
            <w:noWrap/>
            <w:vAlign w:val="center"/>
          </w:tcPr>
          <w:p w14:paraId="0C6C8869" w14:textId="0386B654" w:rsidR="008F780D" w:rsidRPr="007B5379" w:rsidRDefault="006867C2" w:rsidP="008F780D">
            <w:pPr>
              <w:spacing w:before="0" w:after="0" w:line="240" w:lineRule="auto"/>
              <w:jc w:val="right"/>
              <w:rPr>
                <w:rFonts w:ascii="Arial" w:hAnsi="Arial" w:cs="Arial"/>
                <w:b/>
                <w:sz w:val="16"/>
                <w:szCs w:val="16"/>
                <w:highlight w:val="green"/>
              </w:rPr>
            </w:pPr>
            <w:r w:rsidRPr="00207DD5">
              <w:rPr>
                <w:rFonts w:ascii="Arial" w:hAnsi="Arial" w:cs="Arial"/>
                <w:b/>
                <w:sz w:val="16"/>
                <w:szCs w:val="16"/>
              </w:rPr>
              <w:t>-5,298</w:t>
            </w:r>
          </w:p>
        </w:tc>
        <w:tc>
          <w:tcPr>
            <w:tcW w:w="460" w:type="pct"/>
            <w:tcBorders>
              <w:top w:val="nil"/>
              <w:left w:val="nil"/>
              <w:bottom w:val="single" w:sz="4" w:space="0" w:color="293F5B"/>
              <w:right w:val="nil"/>
            </w:tcBorders>
            <w:shd w:val="clear" w:color="000000" w:fill="E6F2FF"/>
            <w:noWrap/>
            <w:vAlign w:val="center"/>
          </w:tcPr>
          <w:p w14:paraId="3AB9DD9E" w14:textId="62305BD1" w:rsidR="008F780D" w:rsidRPr="007B5379" w:rsidRDefault="006867C2" w:rsidP="008F780D">
            <w:pPr>
              <w:spacing w:before="0" w:after="0" w:line="240" w:lineRule="auto"/>
              <w:jc w:val="right"/>
              <w:rPr>
                <w:rFonts w:ascii="Arial" w:hAnsi="Arial" w:cs="Arial"/>
                <w:b/>
                <w:sz w:val="16"/>
                <w:szCs w:val="16"/>
                <w:highlight w:val="green"/>
              </w:rPr>
            </w:pPr>
            <w:r w:rsidRPr="00207DD5">
              <w:rPr>
                <w:rFonts w:ascii="Arial" w:hAnsi="Arial" w:cs="Arial"/>
                <w:b/>
                <w:sz w:val="16"/>
                <w:szCs w:val="16"/>
              </w:rPr>
              <w:t>-6,520</w:t>
            </w:r>
          </w:p>
        </w:tc>
        <w:tc>
          <w:tcPr>
            <w:tcW w:w="460" w:type="pct"/>
            <w:tcBorders>
              <w:top w:val="nil"/>
              <w:left w:val="nil"/>
              <w:bottom w:val="single" w:sz="4" w:space="0" w:color="293F5B"/>
              <w:right w:val="nil"/>
            </w:tcBorders>
            <w:shd w:val="clear" w:color="000000" w:fill="FFFFFF"/>
            <w:noWrap/>
            <w:vAlign w:val="center"/>
          </w:tcPr>
          <w:p w14:paraId="0777C198" w14:textId="3B8ADD5C" w:rsidR="008F780D" w:rsidRPr="007B5379" w:rsidRDefault="006867C2" w:rsidP="008F780D">
            <w:pPr>
              <w:spacing w:before="0" w:after="0" w:line="240" w:lineRule="auto"/>
              <w:jc w:val="right"/>
              <w:rPr>
                <w:rFonts w:ascii="Arial" w:hAnsi="Arial" w:cs="Arial"/>
                <w:b/>
                <w:sz w:val="16"/>
                <w:szCs w:val="16"/>
                <w:highlight w:val="green"/>
              </w:rPr>
            </w:pPr>
            <w:r w:rsidRPr="00207DD5">
              <w:rPr>
                <w:rFonts w:ascii="Arial" w:hAnsi="Arial" w:cs="Arial"/>
                <w:b/>
                <w:sz w:val="16"/>
                <w:szCs w:val="16"/>
              </w:rPr>
              <w:t>-2,327</w:t>
            </w:r>
          </w:p>
        </w:tc>
        <w:tc>
          <w:tcPr>
            <w:tcW w:w="462" w:type="pct"/>
            <w:tcBorders>
              <w:top w:val="nil"/>
              <w:left w:val="nil"/>
              <w:bottom w:val="single" w:sz="4" w:space="0" w:color="293F5B"/>
              <w:right w:val="nil"/>
            </w:tcBorders>
            <w:shd w:val="clear" w:color="000000" w:fill="FFFFFF"/>
            <w:noWrap/>
            <w:vAlign w:val="center"/>
          </w:tcPr>
          <w:p w14:paraId="184A8F15" w14:textId="2451AC74" w:rsidR="008F780D" w:rsidRPr="007B5379" w:rsidRDefault="006867C2" w:rsidP="008F780D">
            <w:pPr>
              <w:spacing w:before="0" w:after="0" w:line="240" w:lineRule="auto"/>
              <w:jc w:val="right"/>
              <w:rPr>
                <w:rFonts w:ascii="Arial" w:hAnsi="Arial" w:cs="Arial"/>
                <w:b/>
                <w:sz w:val="16"/>
                <w:szCs w:val="16"/>
                <w:highlight w:val="green"/>
              </w:rPr>
            </w:pPr>
            <w:r w:rsidRPr="00207DD5">
              <w:rPr>
                <w:rFonts w:ascii="Arial" w:hAnsi="Arial" w:cs="Arial"/>
                <w:b/>
                <w:sz w:val="16"/>
                <w:szCs w:val="16"/>
              </w:rPr>
              <w:t>3,088</w:t>
            </w:r>
          </w:p>
        </w:tc>
        <w:tc>
          <w:tcPr>
            <w:tcW w:w="475" w:type="pct"/>
            <w:tcBorders>
              <w:top w:val="nil"/>
              <w:left w:val="nil"/>
              <w:bottom w:val="single" w:sz="4" w:space="0" w:color="293F5B"/>
              <w:right w:val="nil"/>
            </w:tcBorders>
            <w:shd w:val="clear" w:color="000000" w:fill="FFFFFF"/>
            <w:noWrap/>
            <w:vAlign w:val="center"/>
          </w:tcPr>
          <w:p w14:paraId="7F5FC834" w14:textId="4860EA6E" w:rsidR="008F780D" w:rsidRPr="007B5379" w:rsidRDefault="006867C2" w:rsidP="008F780D">
            <w:pPr>
              <w:spacing w:before="0" w:after="0" w:line="240" w:lineRule="auto"/>
              <w:jc w:val="right"/>
              <w:rPr>
                <w:rFonts w:ascii="Arial" w:hAnsi="Arial" w:cs="Arial"/>
                <w:b/>
                <w:sz w:val="16"/>
                <w:szCs w:val="16"/>
                <w:highlight w:val="green"/>
              </w:rPr>
            </w:pPr>
            <w:r w:rsidRPr="00207DD5">
              <w:rPr>
                <w:rFonts w:ascii="Arial" w:hAnsi="Arial" w:cs="Arial"/>
                <w:b/>
                <w:sz w:val="16"/>
                <w:szCs w:val="16"/>
              </w:rPr>
              <w:t>19,299</w:t>
            </w:r>
          </w:p>
        </w:tc>
        <w:tc>
          <w:tcPr>
            <w:tcW w:w="47" w:type="pct"/>
            <w:tcBorders>
              <w:top w:val="nil"/>
              <w:left w:val="nil"/>
              <w:bottom w:val="single" w:sz="4" w:space="0" w:color="293F5B"/>
              <w:right w:val="nil"/>
            </w:tcBorders>
            <w:shd w:val="clear" w:color="000000" w:fill="FFFFFF"/>
            <w:noWrap/>
            <w:vAlign w:val="center"/>
          </w:tcPr>
          <w:p w14:paraId="18908035" w14:textId="132ECAC7" w:rsidR="008F780D" w:rsidRPr="007B5379" w:rsidRDefault="008F780D" w:rsidP="008F780D">
            <w:pPr>
              <w:spacing w:before="0" w:after="0" w:line="240" w:lineRule="auto"/>
              <w:jc w:val="right"/>
              <w:rPr>
                <w:rFonts w:ascii="Arial" w:hAnsi="Arial" w:cs="Arial"/>
                <w:b/>
                <w:sz w:val="16"/>
                <w:szCs w:val="16"/>
                <w:highlight w:val="green"/>
              </w:rPr>
            </w:pPr>
            <w:r w:rsidRPr="00207DD5">
              <w:rPr>
                <w:rFonts w:ascii="Arial" w:hAnsi="Arial" w:cs="Arial"/>
                <w:b/>
                <w:sz w:val="16"/>
                <w:szCs w:val="16"/>
              </w:rPr>
              <w:t> </w:t>
            </w:r>
          </w:p>
        </w:tc>
        <w:tc>
          <w:tcPr>
            <w:tcW w:w="340" w:type="pct"/>
            <w:tcBorders>
              <w:top w:val="nil"/>
              <w:left w:val="nil"/>
              <w:bottom w:val="single" w:sz="4" w:space="0" w:color="293F5B"/>
              <w:right w:val="nil"/>
            </w:tcBorders>
            <w:shd w:val="clear" w:color="000000" w:fill="FFFFFF"/>
            <w:noWrap/>
            <w:vAlign w:val="center"/>
          </w:tcPr>
          <w:p w14:paraId="7A933AE8" w14:textId="1FF27DB7" w:rsidR="008F780D" w:rsidRPr="00207DD5" w:rsidRDefault="006867C2" w:rsidP="008F780D">
            <w:pPr>
              <w:spacing w:before="0" w:after="0" w:line="240" w:lineRule="auto"/>
              <w:jc w:val="right"/>
              <w:rPr>
                <w:rFonts w:ascii="Arial" w:hAnsi="Arial" w:cs="Arial"/>
                <w:b/>
                <w:sz w:val="16"/>
                <w:szCs w:val="16"/>
              </w:rPr>
            </w:pPr>
            <w:r w:rsidRPr="00207DD5">
              <w:rPr>
                <w:rFonts w:ascii="Arial" w:hAnsi="Arial" w:cs="Arial"/>
                <w:b/>
                <w:sz w:val="16"/>
                <w:szCs w:val="16"/>
              </w:rPr>
              <w:t>8,242</w:t>
            </w:r>
          </w:p>
        </w:tc>
      </w:tr>
    </w:tbl>
    <w:p w14:paraId="5ED37F81" w14:textId="4374E792" w:rsidR="00FB2676" w:rsidRPr="003131DF" w:rsidRDefault="006808EC" w:rsidP="009F0B52">
      <w:r w:rsidRPr="003131DF">
        <w:br w:type="page"/>
      </w:r>
    </w:p>
    <w:p w14:paraId="7C62BC97" w14:textId="1B5FC0D2" w:rsidR="008B0F1E" w:rsidRPr="00207DD5" w:rsidRDefault="008B0F1E" w:rsidP="008B0F1E">
      <w:pPr>
        <w:pStyle w:val="TableHeading"/>
        <w:rPr>
          <w:rFonts w:eastAsiaTheme="minorHAnsi"/>
        </w:rPr>
      </w:pPr>
      <w:r w:rsidRPr="00207DD5">
        <w:lastRenderedPageBreak/>
        <w:t>Table 3.</w:t>
      </w:r>
      <w:r w:rsidR="00764A26" w:rsidRPr="00207DD5">
        <w:t>3</w:t>
      </w:r>
      <w:r w:rsidRPr="00207DD5">
        <w:t>: Reconciliation of general government sector underlying cash balance estimates</w:t>
      </w:r>
      <w:bookmarkStart w:id="28" w:name="_1803892293"/>
      <w:bookmarkStart w:id="29" w:name="_1803891220"/>
      <w:bookmarkStart w:id="30" w:name="_1803876629"/>
      <w:bookmarkStart w:id="31" w:name="_1804053267"/>
      <w:bookmarkStart w:id="32" w:name="_1804053652"/>
      <w:bookmarkStart w:id="33" w:name="_1804052963"/>
      <w:bookmarkStart w:id="34" w:name="_1804053961"/>
      <w:bookmarkEnd w:id="28"/>
      <w:bookmarkEnd w:id="29"/>
      <w:bookmarkEnd w:id="30"/>
      <w:bookmarkEnd w:id="31"/>
      <w:bookmarkEnd w:id="32"/>
      <w:bookmarkEnd w:id="33"/>
      <w:bookmarkEnd w:id="34"/>
    </w:p>
    <w:tbl>
      <w:tblPr>
        <w:tblW w:w="5000" w:type="pct"/>
        <w:tblCellMar>
          <w:left w:w="0" w:type="dxa"/>
          <w:right w:w="28" w:type="dxa"/>
        </w:tblCellMar>
        <w:tblLook w:val="0620" w:firstRow="1" w:lastRow="0" w:firstColumn="0" w:lastColumn="0" w:noHBand="1" w:noVBand="1"/>
      </w:tblPr>
      <w:tblGrid>
        <w:gridCol w:w="3258"/>
        <w:gridCol w:w="709"/>
        <w:gridCol w:w="731"/>
        <w:gridCol w:w="731"/>
        <w:gridCol w:w="731"/>
        <w:gridCol w:w="731"/>
        <w:gridCol w:w="76"/>
        <w:gridCol w:w="743"/>
      </w:tblGrid>
      <w:tr w:rsidR="004C256B" w14:paraId="0378CAE6" w14:textId="77777777" w:rsidTr="00E91697">
        <w:trPr>
          <w:trHeight w:hRule="exact" w:val="225"/>
        </w:trPr>
        <w:tc>
          <w:tcPr>
            <w:tcW w:w="2113" w:type="pct"/>
            <w:tcBorders>
              <w:top w:val="single" w:sz="4" w:space="0" w:color="293F5B"/>
              <w:left w:val="nil"/>
              <w:bottom w:val="nil"/>
              <w:right w:val="nil"/>
            </w:tcBorders>
            <w:shd w:val="clear" w:color="000000" w:fill="FFFFFF"/>
            <w:noWrap/>
            <w:vAlign w:val="bottom"/>
            <w:hideMark/>
          </w:tcPr>
          <w:p w14:paraId="4176B363" w14:textId="77777777" w:rsidR="004C256B" w:rsidRPr="007B5379" w:rsidRDefault="004C256B" w:rsidP="004C256B">
            <w:pPr>
              <w:spacing w:before="0" w:after="0" w:line="240" w:lineRule="auto"/>
              <w:rPr>
                <w:rFonts w:ascii="Calibri" w:hAnsi="Calibri" w:cs="Calibri"/>
                <w:color w:val="00FFFF"/>
                <w:sz w:val="22"/>
                <w:szCs w:val="22"/>
                <w:highlight w:val="magenta"/>
              </w:rPr>
            </w:pPr>
            <w:r w:rsidRPr="00207DD5">
              <w:rPr>
                <w:rFonts w:ascii="Calibri" w:hAnsi="Calibri" w:cs="Calibri"/>
                <w:sz w:val="22"/>
                <w:szCs w:val="22"/>
              </w:rPr>
              <w:t> </w:t>
            </w:r>
          </w:p>
        </w:tc>
        <w:tc>
          <w:tcPr>
            <w:tcW w:w="2355" w:type="pct"/>
            <w:gridSpan w:val="5"/>
            <w:tcBorders>
              <w:top w:val="single" w:sz="4" w:space="0" w:color="293F5B"/>
              <w:left w:val="nil"/>
              <w:bottom w:val="single" w:sz="4" w:space="0" w:color="293F5B"/>
              <w:right w:val="nil"/>
            </w:tcBorders>
            <w:shd w:val="clear" w:color="000000" w:fill="FFFFFF"/>
            <w:noWrap/>
            <w:vAlign w:val="center"/>
            <w:hideMark/>
          </w:tcPr>
          <w:p w14:paraId="01CCB336" w14:textId="77777777" w:rsidR="004C256B" w:rsidRPr="007B5379" w:rsidRDefault="004C256B" w:rsidP="004C256B">
            <w:pPr>
              <w:spacing w:before="0" w:after="0" w:line="240" w:lineRule="auto"/>
              <w:jc w:val="center"/>
              <w:rPr>
                <w:rFonts w:ascii="Arial" w:hAnsi="Arial" w:cs="Arial"/>
                <w:color w:val="00FFFF"/>
                <w:sz w:val="16"/>
                <w:szCs w:val="16"/>
                <w:highlight w:val="magenta"/>
              </w:rPr>
            </w:pPr>
            <w:r w:rsidRPr="00207DD5">
              <w:rPr>
                <w:rFonts w:ascii="Arial" w:hAnsi="Arial" w:cs="Arial"/>
                <w:sz w:val="16"/>
                <w:szCs w:val="16"/>
              </w:rPr>
              <w:t>Estimates</w:t>
            </w:r>
          </w:p>
        </w:tc>
        <w:tc>
          <w:tcPr>
            <w:tcW w:w="49" w:type="pct"/>
            <w:tcBorders>
              <w:top w:val="single" w:sz="4" w:space="0" w:color="293F5B"/>
              <w:left w:val="nil"/>
              <w:bottom w:val="nil"/>
              <w:right w:val="nil"/>
            </w:tcBorders>
            <w:shd w:val="clear" w:color="000000" w:fill="FFFFFF"/>
            <w:noWrap/>
            <w:vAlign w:val="center"/>
            <w:hideMark/>
          </w:tcPr>
          <w:p w14:paraId="2503D4B8" w14:textId="77777777" w:rsidR="004C256B" w:rsidRPr="007B5379" w:rsidRDefault="004C256B" w:rsidP="004C256B">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single" w:sz="4" w:space="0" w:color="293F5B"/>
              <w:left w:val="nil"/>
              <w:bottom w:val="nil"/>
              <w:right w:val="nil"/>
            </w:tcBorders>
            <w:shd w:val="clear" w:color="000000" w:fill="FFFFFF"/>
            <w:noWrap/>
            <w:vAlign w:val="center"/>
            <w:hideMark/>
          </w:tcPr>
          <w:p w14:paraId="1F044FDE" w14:textId="77777777" w:rsidR="004C256B" w:rsidRPr="00207DD5" w:rsidRDefault="004C256B" w:rsidP="004C256B">
            <w:pPr>
              <w:spacing w:before="0" w:after="0" w:line="240" w:lineRule="auto"/>
              <w:rPr>
                <w:rFonts w:ascii="Arial" w:hAnsi="Arial" w:cs="Arial"/>
                <w:sz w:val="16"/>
                <w:szCs w:val="16"/>
              </w:rPr>
            </w:pPr>
            <w:r w:rsidRPr="00207DD5">
              <w:rPr>
                <w:rFonts w:ascii="Arial" w:hAnsi="Arial" w:cs="Arial"/>
                <w:sz w:val="16"/>
                <w:szCs w:val="16"/>
              </w:rPr>
              <w:t> </w:t>
            </w:r>
          </w:p>
        </w:tc>
      </w:tr>
      <w:tr w:rsidR="004C256B" w14:paraId="42A82D48" w14:textId="77777777" w:rsidTr="00E91697">
        <w:trPr>
          <w:trHeight w:hRule="exact" w:val="225"/>
        </w:trPr>
        <w:tc>
          <w:tcPr>
            <w:tcW w:w="2113" w:type="pct"/>
            <w:tcBorders>
              <w:top w:val="nil"/>
              <w:left w:val="nil"/>
              <w:bottom w:val="nil"/>
              <w:right w:val="nil"/>
            </w:tcBorders>
            <w:shd w:val="clear" w:color="000000" w:fill="FFFFFF"/>
            <w:noWrap/>
            <w:vAlign w:val="bottom"/>
            <w:hideMark/>
          </w:tcPr>
          <w:p w14:paraId="4C0C8576" w14:textId="77777777" w:rsidR="004C256B" w:rsidRPr="007B5379" w:rsidRDefault="004C256B" w:rsidP="004C256B">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60" w:type="pct"/>
            <w:tcBorders>
              <w:top w:val="single" w:sz="4" w:space="0" w:color="293F5B"/>
              <w:left w:val="nil"/>
              <w:bottom w:val="nil"/>
              <w:right w:val="nil"/>
            </w:tcBorders>
            <w:shd w:val="clear" w:color="000000" w:fill="FFFFFF"/>
            <w:noWrap/>
            <w:vAlign w:val="center"/>
            <w:hideMark/>
          </w:tcPr>
          <w:p w14:paraId="1768EAA5"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2025-26</w:t>
            </w:r>
          </w:p>
        </w:tc>
        <w:tc>
          <w:tcPr>
            <w:tcW w:w="474" w:type="pct"/>
            <w:tcBorders>
              <w:top w:val="single" w:sz="4" w:space="0" w:color="293F5B"/>
              <w:left w:val="nil"/>
              <w:bottom w:val="nil"/>
              <w:right w:val="nil"/>
            </w:tcBorders>
            <w:shd w:val="clear" w:color="000000" w:fill="E6F2FF"/>
            <w:noWrap/>
            <w:vAlign w:val="center"/>
            <w:hideMark/>
          </w:tcPr>
          <w:p w14:paraId="2EFE6933"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2026-27</w:t>
            </w:r>
          </w:p>
        </w:tc>
        <w:tc>
          <w:tcPr>
            <w:tcW w:w="474" w:type="pct"/>
            <w:tcBorders>
              <w:top w:val="single" w:sz="4" w:space="0" w:color="293F5B"/>
              <w:left w:val="nil"/>
              <w:bottom w:val="nil"/>
              <w:right w:val="nil"/>
            </w:tcBorders>
            <w:shd w:val="clear" w:color="000000" w:fill="FFFFFF"/>
            <w:noWrap/>
            <w:vAlign w:val="center"/>
            <w:hideMark/>
          </w:tcPr>
          <w:p w14:paraId="71169846"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2027-28</w:t>
            </w:r>
          </w:p>
        </w:tc>
        <w:tc>
          <w:tcPr>
            <w:tcW w:w="474" w:type="pct"/>
            <w:tcBorders>
              <w:top w:val="single" w:sz="4" w:space="0" w:color="293F5B"/>
              <w:left w:val="nil"/>
              <w:bottom w:val="nil"/>
              <w:right w:val="nil"/>
            </w:tcBorders>
            <w:shd w:val="clear" w:color="000000" w:fill="FFFFFF"/>
            <w:noWrap/>
            <w:vAlign w:val="center"/>
            <w:hideMark/>
          </w:tcPr>
          <w:p w14:paraId="0ADCB1F7"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2028-29</w:t>
            </w:r>
          </w:p>
        </w:tc>
        <w:tc>
          <w:tcPr>
            <w:tcW w:w="474" w:type="pct"/>
            <w:tcBorders>
              <w:top w:val="single" w:sz="4" w:space="0" w:color="293F5B"/>
              <w:left w:val="nil"/>
              <w:bottom w:val="nil"/>
              <w:right w:val="nil"/>
            </w:tcBorders>
            <w:shd w:val="clear" w:color="000000" w:fill="FFFFFF"/>
            <w:noWrap/>
            <w:vAlign w:val="center"/>
            <w:hideMark/>
          </w:tcPr>
          <w:p w14:paraId="4FA40002"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2029-30</w:t>
            </w:r>
          </w:p>
        </w:tc>
        <w:tc>
          <w:tcPr>
            <w:tcW w:w="49" w:type="pct"/>
            <w:tcBorders>
              <w:top w:val="nil"/>
              <w:left w:val="nil"/>
              <w:bottom w:val="nil"/>
              <w:right w:val="nil"/>
            </w:tcBorders>
            <w:shd w:val="clear" w:color="000000" w:fill="FFFFFF"/>
            <w:noWrap/>
            <w:vAlign w:val="center"/>
            <w:hideMark/>
          </w:tcPr>
          <w:p w14:paraId="61A13E2B"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single" w:sz="4" w:space="0" w:color="293F5B"/>
              <w:left w:val="nil"/>
              <w:bottom w:val="nil"/>
              <w:right w:val="nil"/>
            </w:tcBorders>
            <w:shd w:val="clear" w:color="000000" w:fill="FFFFFF"/>
            <w:noWrap/>
            <w:vAlign w:val="center"/>
            <w:hideMark/>
          </w:tcPr>
          <w:p w14:paraId="01DAD19D" w14:textId="77777777" w:rsidR="004C256B" w:rsidRPr="00207DD5" w:rsidRDefault="004C256B" w:rsidP="004C256B">
            <w:pPr>
              <w:spacing w:before="0" w:after="0" w:line="240" w:lineRule="auto"/>
              <w:jc w:val="right"/>
              <w:rPr>
                <w:rFonts w:ascii="Arial" w:hAnsi="Arial" w:cs="Arial"/>
                <w:sz w:val="16"/>
                <w:szCs w:val="16"/>
              </w:rPr>
            </w:pPr>
            <w:r w:rsidRPr="00207DD5">
              <w:rPr>
                <w:rFonts w:ascii="Arial" w:hAnsi="Arial" w:cs="Arial"/>
                <w:sz w:val="16"/>
                <w:szCs w:val="16"/>
              </w:rPr>
              <w:t>Total</w:t>
            </w:r>
          </w:p>
        </w:tc>
      </w:tr>
      <w:tr w:rsidR="004C256B" w14:paraId="5E7947A3"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48DDF44E" w14:textId="77777777" w:rsidR="004C256B" w:rsidRPr="007B5379" w:rsidRDefault="004C256B" w:rsidP="004C256B">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60" w:type="pct"/>
            <w:tcBorders>
              <w:top w:val="nil"/>
              <w:left w:val="nil"/>
              <w:bottom w:val="single" w:sz="4" w:space="0" w:color="293F5B"/>
              <w:right w:val="nil"/>
            </w:tcBorders>
            <w:shd w:val="clear" w:color="000000" w:fill="FFFFFF"/>
            <w:noWrap/>
            <w:vAlign w:val="center"/>
            <w:hideMark/>
          </w:tcPr>
          <w:p w14:paraId="05F23A51"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74" w:type="pct"/>
            <w:tcBorders>
              <w:top w:val="nil"/>
              <w:left w:val="nil"/>
              <w:bottom w:val="single" w:sz="4" w:space="0" w:color="293F5B"/>
              <w:right w:val="nil"/>
            </w:tcBorders>
            <w:shd w:val="clear" w:color="000000" w:fill="E6F2FF"/>
            <w:noWrap/>
            <w:vAlign w:val="center"/>
            <w:hideMark/>
          </w:tcPr>
          <w:p w14:paraId="38B3F112"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74" w:type="pct"/>
            <w:tcBorders>
              <w:top w:val="nil"/>
              <w:left w:val="nil"/>
              <w:bottom w:val="single" w:sz="4" w:space="0" w:color="293F5B"/>
              <w:right w:val="nil"/>
            </w:tcBorders>
            <w:shd w:val="clear" w:color="000000" w:fill="FFFFFF"/>
            <w:noWrap/>
            <w:vAlign w:val="center"/>
            <w:hideMark/>
          </w:tcPr>
          <w:p w14:paraId="6A34097E"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74" w:type="pct"/>
            <w:tcBorders>
              <w:top w:val="nil"/>
              <w:left w:val="nil"/>
              <w:bottom w:val="single" w:sz="4" w:space="0" w:color="293F5B"/>
              <w:right w:val="nil"/>
            </w:tcBorders>
            <w:shd w:val="clear" w:color="000000" w:fill="FFFFFF"/>
            <w:noWrap/>
            <w:vAlign w:val="center"/>
            <w:hideMark/>
          </w:tcPr>
          <w:p w14:paraId="695D0B53"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74" w:type="pct"/>
            <w:tcBorders>
              <w:top w:val="nil"/>
              <w:left w:val="nil"/>
              <w:bottom w:val="single" w:sz="4" w:space="0" w:color="293F5B"/>
              <w:right w:val="nil"/>
            </w:tcBorders>
            <w:shd w:val="clear" w:color="000000" w:fill="FFFFFF"/>
            <w:noWrap/>
            <w:vAlign w:val="center"/>
            <w:hideMark/>
          </w:tcPr>
          <w:p w14:paraId="31886637"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9" w:type="pct"/>
            <w:tcBorders>
              <w:top w:val="nil"/>
              <w:left w:val="nil"/>
              <w:bottom w:val="nil"/>
              <w:right w:val="nil"/>
            </w:tcBorders>
            <w:shd w:val="clear" w:color="000000" w:fill="FFFFFF"/>
            <w:noWrap/>
            <w:vAlign w:val="center"/>
            <w:hideMark/>
          </w:tcPr>
          <w:p w14:paraId="58C61782"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single" w:sz="4" w:space="0" w:color="293F5B"/>
              <w:right w:val="nil"/>
            </w:tcBorders>
            <w:shd w:val="clear" w:color="000000" w:fill="FFFFFF"/>
            <w:noWrap/>
            <w:vAlign w:val="center"/>
            <w:hideMark/>
          </w:tcPr>
          <w:p w14:paraId="4280B3AA" w14:textId="77777777" w:rsidR="004C256B" w:rsidRPr="00207DD5" w:rsidRDefault="004C256B" w:rsidP="004C256B">
            <w:pPr>
              <w:spacing w:before="0" w:after="0" w:line="240" w:lineRule="auto"/>
              <w:jc w:val="right"/>
              <w:rPr>
                <w:rFonts w:ascii="Arial" w:hAnsi="Arial" w:cs="Arial"/>
                <w:sz w:val="16"/>
                <w:szCs w:val="16"/>
              </w:rPr>
            </w:pPr>
            <w:r w:rsidRPr="00207DD5">
              <w:rPr>
                <w:rFonts w:ascii="Arial" w:hAnsi="Arial" w:cs="Arial"/>
                <w:sz w:val="16"/>
                <w:szCs w:val="16"/>
              </w:rPr>
              <w:t>$m</w:t>
            </w:r>
          </w:p>
        </w:tc>
      </w:tr>
      <w:tr w:rsidR="004C256B" w14:paraId="5890A54E"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6DBE31F9" w14:textId="77777777" w:rsidR="004C256B" w:rsidRPr="007B5379" w:rsidRDefault="004C256B" w:rsidP="004C256B">
            <w:pPr>
              <w:spacing w:before="0" w:after="0" w:line="240" w:lineRule="auto"/>
              <w:rPr>
                <w:rFonts w:ascii="Arial" w:hAnsi="Arial" w:cs="Arial"/>
                <w:b/>
                <w:color w:val="00FFFF"/>
                <w:sz w:val="16"/>
                <w:szCs w:val="16"/>
                <w:highlight w:val="magenta"/>
              </w:rPr>
            </w:pPr>
            <w:r w:rsidRPr="00207DD5">
              <w:rPr>
                <w:rFonts w:ascii="Arial" w:hAnsi="Arial" w:cs="Arial"/>
                <w:b/>
                <w:sz w:val="16"/>
                <w:szCs w:val="16"/>
              </w:rPr>
              <w:t>2025 PEFO underlying cash</w:t>
            </w:r>
          </w:p>
        </w:tc>
        <w:tc>
          <w:tcPr>
            <w:tcW w:w="460" w:type="pct"/>
            <w:tcBorders>
              <w:top w:val="nil"/>
              <w:left w:val="nil"/>
              <w:bottom w:val="nil"/>
              <w:right w:val="nil"/>
            </w:tcBorders>
            <w:shd w:val="clear" w:color="000000" w:fill="FFFFFF"/>
            <w:noWrap/>
            <w:vAlign w:val="center"/>
            <w:hideMark/>
          </w:tcPr>
          <w:p w14:paraId="348FFDAA"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center"/>
            <w:hideMark/>
          </w:tcPr>
          <w:p w14:paraId="1303454B"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center"/>
            <w:hideMark/>
          </w:tcPr>
          <w:p w14:paraId="7F85FC40"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522B1152"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59444A2F"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9" w:type="pct"/>
            <w:tcBorders>
              <w:top w:val="nil"/>
              <w:left w:val="nil"/>
              <w:bottom w:val="nil"/>
              <w:right w:val="nil"/>
            </w:tcBorders>
            <w:shd w:val="clear" w:color="000000" w:fill="FFFFFF"/>
            <w:noWrap/>
            <w:vAlign w:val="center"/>
            <w:hideMark/>
          </w:tcPr>
          <w:p w14:paraId="2BDECD49"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1D7625B0" w14:textId="77777777" w:rsidR="004C256B" w:rsidRPr="00207DD5" w:rsidRDefault="004C256B" w:rsidP="004C256B">
            <w:pPr>
              <w:spacing w:before="0" w:after="0" w:line="240" w:lineRule="auto"/>
              <w:rPr>
                <w:rFonts w:ascii="Arial" w:hAnsi="Arial" w:cs="Arial"/>
                <w:sz w:val="16"/>
                <w:szCs w:val="16"/>
              </w:rPr>
            </w:pPr>
            <w:r w:rsidRPr="00207DD5">
              <w:rPr>
                <w:rFonts w:ascii="Arial" w:hAnsi="Arial" w:cs="Arial"/>
                <w:sz w:val="16"/>
                <w:szCs w:val="16"/>
              </w:rPr>
              <w:t> </w:t>
            </w:r>
          </w:p>
        </w:tc>
      </w:tr>
      <w:tr w:rsidR="004C256B" w14:paraId="53479123"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40228F68" w14:textId="77777777" w:rsidR="004C256B" w:rsidRPr="007B5379" w:rsidRDefault="004C256B" w:rsidP="004C256B">
            <w:pPr>
              <w:spacing w:before="0" w:after="0" w:line="240" w:lineRule="auto"/>
              <w:ind w:firstLineChars="100" w:firstLine="161"/>
              <w:rPr>
                <w:rFonts w:ascii="Arial" w:hAnsi="Arial" w:cs="Arial"/>
                <w:b/>
                <w:color w:val="00FFFF"/>
                <w:sz w:val="16"/>
                <w:szCs w:val="16"/>
                <w:highlight w:val="magenta"/>
              </w:rPr>
            </w:pPr>
            <w:r w:rsidRPr="00207DD5">
              <w:rPr>
                <w:rFonts w:ascii="Arial" w:hAnsi="Arial" w:cs="Arial"/>
                <w:b/>
                <w:sz w:val="16"/>
                <w:szCs w:val="16"/>
              </w:rPr>
              <w:t>balance</w:t>
            </w:r>
          </w:p>
        </w:tc>
        <w:tc>
          <w:tcPr>
            <w:tcW w:w="460" w:type="pct"/>
            <w:tcBorders>
              <w:top w:val="nil"/>
              <w:left w:val="nil"/>
              <w:bottom w:val="nil"/>
              <w:right w:val="nil"/>
            </w:tcBorders>
            <w:shd w:val="clear" w:color="000000" w:fill="FFFFFF"/>
            <w:noWrap/>
            <w:vAlign w:val="center"/>
            <w:hideMark/>
          </w:tcPr>
          <w:p w14:paraId="08E45C1B"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-42,165</w:t>
            </w:r>
          </w:p>
        </w:tc>
        <w:tc>
          <w:tcPr>
            <w:tcW w:w="474" w:type="pct"/>
            <w:tcBorders>
              <w:top w:val="nil"/>
              <w:left w:val="nil"/>
              <w:bottom w:val="nil"/>
              <w:right w:val="nil"/>
            </w:tcBorders>
            <w:shd w:val="clear" w:color="000000" w:fill="E6F2FF"/>
            <w:noWrap/>
            <w:vAlign w:val="center"/>
            <w:hideMark/>
          </w:tcPr>
          <w:p w14:paraId="3BAE2AAF"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-35,366</w:t>
            </w:r>
          </w:p>
        </w:tc>
        <w:tc>
          <w:tcPr>
            <w:tcW w:w="474" w:type="pct"/>
            <w:tcBorders>
              <w:top w:val="nil"/>
              <w:left w:val="nil"/>
              <w:bottom w:val="nil"/>
              <w:right w:val="nil"/>
            </w:tcBorders>
            <w:shd w:val="clear" w:color="000000" w:fill="FFFFFF"/>
            <w:noWrap/>
            <w:vAlign w:val="center"/>
            <w:hideMark/>
          </w:tcPr>
          <w:p w14:paraId="23A8623A"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-37,087</w:t>
            </w:r>
          </w:p>
        </w:tc>
        <w:tc>
          <w:tcPr>
            <w:tcW w:w="474" w:type="pct"/>
            <w:tcBorders>
              <w:top w:val="nil"/>
              <w:left w:val="nil"/>
              <w:bottom w:val="nil"/>
              <w:right w:val="nil"/>
            </w:tcBorders>
            <w:shd w:val="clear" w:color="000000" w:fill="FFFFFF"/>
            <w:noWrap/>
            <w:vAlign w:val="center"/>
            <w:hideMark/>
          </w:tcPr>
          <w:p w14:paraId="0DCD1F11"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-37,028</w:t>
            </w:r>
          </w:p>
        </w:tc>
        <w:tc>
          <w:tcPr>
            <w:tcW w:w="474" w:type="pct"/>
            <w:tcBorders>
              <w:top w:val="nil"/>
              <w:left w:val="nil"/>
              <w:bottom w:val="nil"/>
              <w:right w:val="nil"/>
            </w:tcBorders>
            <w:shd w:val="clear" w:color="000000" w:fill="FFFFFF"/>
            <w:noWrap/>
            <w:vAlign w:val="center"/>
            <w:hideMark/>
          </w:tcPr>
          <w:p w14:paraId="112D9A68"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w:t>
            </w:r>
          </w:p>
        </w:tc>
        <w:tc>
          <w:tcPr>
            <w:tcW w:w="49" w:type="pct"/>
            <w:tcBorders>
              <w:top w:val="nil"/>
              <w:left w:val="nil"/>
              <w:bottom w:val="nil"/>
              <w:right w:val="nil"/>
            </w:tcBorders>
            <w:shd w:val="clear" w:color="000000" w:fill="FFFFFF"/>
            <w:noWrap/>
            <w:vAlign w:val="center"/>
            <w:hideMark/>
          </w:tcPr>
          <w:p w14:paraId="1D894959"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83" w:type="pct"/>
            <w:tcBorders>
              <w:top w:val="nil"/>
              <w:left w:val="nil"/>
              <w:bottom w:val="nil"/>
              <w:right w:val="nil"/>
            </w:tcBorders>
            <w:shd w:val="clear" w:color="000000" w:fill="FFFFFF"/>
            <w:noWrap/>
            <w:vAlign w:val="center"/>
            <w:hideMark/>
          </w:tcPr>
          <w:p w14:paraId="36CF8C56" w14:textId="77777777" w:rsidR="004C256B" w:rsidRPr="00207DD5" w:rsidRDefault="004C256B" w:rsidP="004C256B">
            <w:pPr>
              <w:spacing w:before="0" w:after="0" w:line="240" w:lineRule="auto"/>
              <w:jc w:val="right"/>
              <w:rPr>
                <w:rFonts w:ascii="Arial" w:hAnsi="Arial" w:cs="Arial"/>
                <w:b/>
                <w:sz w:val="16"/>
                <w:szCs w:val="16"/>
              </w:rPr>
            </w:pPr>
            <w:r w:rsidRPr="00207DD5">
              <w:rPr>
                <w:rFonts w:ascii="Arial" w:hAnsi="Arial" w:cs="Arial"/>
                <w:b/>
                <w:sz w:val="16"/>
                <w:szCs w:val="16"/>
              </w:rPr>
              <w:t>*</w:t>
            </w:r>
          </w:p>
        </w:tc>
      </w:tr>
      <w:tr w:rsidR="004C256B" w14:paraId="0DB1A1B2"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7B97DA02" w14:textId="77777777" w:rsidR="004C256B" w:rsidRPr="007B5379" w:rsidRDefault="004C256B" w:rsidP="004C256B">
            <w:pPr>
              <w:spacing w:before="0" w:after="0" w:line="240" w:lineRule="auto"/>
              <w:rPr>
                <w:rFonts w:ascii="Arial" w:hAnsi="Arial" w:cs="Arial"/>
                <w:color w:val="00FFFF"/>
                <w:sz w:val="16"/>
                <w:szCs w:val="16"/>
                <w:highlight w:val="magenta"/>
              </w:rPr>
            </w:pPr>
            <w:r w:rsidRPr="00207DD5">
              <w:rPr>
                <w:rFonts w:ascii="Arial" w:hAnsi="Arial" w:cs="Arial"/>
                <w:sz w:val="16"/>
                <w:szCs w:val="16"/>
              </w:rPr>
              <w:t>Per cent of GDP</w:t>
            </w:r>
          </w:p>
        </w:tc>
        <w:tc>
          <w:tcPr>
            <w:tcW w:w="460" w:type="pct"/>
            <w:tcBorders>
              <w:top w:val="nil"/>
              <w:left w:val="nil"/>
              <w:bottom w:val="nil"/>
              <w:right w:val="nil"/>
            </w:tcBorders>
            <w:shd w:val="clear" w:color="000000" w:fill="FFFFFF"/>
            <w:noWrap/>
            <w:vAlign w:val="center"/>
            <w:hideMark/>
          </w:tcPr>
          <w:p w14:paraId="0B9366F5"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-1.5</w:t>
            </w:r>
          </w:p>
        </w:tc>
        <w:tc>
          <w:tcPr>
            <w:tcW w:w="474" w:type="pct"/>
            <w:tcBorders>
              <w:top w:val="nil"/>
              <w:left w:val="nil"/>
              <w:bottom w:val="nil"/>
              <w:right w:val="nil"/>
            </w:tcBorders>
            <w:shd w:val="clear" w:color="000000" w:fill="E6F2FF"/>
            <w:noWrap/>
            <w:vAlign w:val="center"/>
            <w:hideMark/>
          </w:tcPr>
          <w:p w14:paraId="30E16B98"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-1.2</w:t>
            </w:r>
          </w:p>
        </w:tc>
        <w:tc>
          <w:tcPr>
            <w:tcW w:w="474" w:type="pct"/>
            <w:tcBorders>
              <w:top w:val="nil"/>
              <w:left w:val="nil"/>
              <w:bottom w:val="nil"/>
              <w:right w:val="nil"/>
            </w:tcBorders>
            <w:shd w:val="clear" w:color="000000" w:fill="FFFFFF"/>
            <w:noWrap/>
            <w:vAlign w:val="center"/>
            <w:hideMark/>
          </w:tcPr>
          <w:p w14:paraId="52E96E99"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-1.2</w:t>
            </w:r>
          </w:p>
        </w:tc>
        <w:tc>
          <w:tcPr>
            <w:tcW w:w="474" w:type="pct"/>
            <w:tcBorders>
              <w:top w:val="nil"/>
              <w:left w:val="nil"/>
              <w:bottom w:val="nil"/>
              <w:right w:val="nil"/>
            </w:tcBorders>
            <w:shd w:val="clear" w:color="000000" w:fill="FFFFFF"/>
            <w:noWrap/>
            <w:vAlign w:val="center"/>
            <w:hideMark/>
          </w:tcPr>
          <w:p w14:paraId="6044CF41"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-1.1</w:t>
            </w:r>
          </w:p>
        </w:tc>
        <w:tc>
          <w:tcPr>
            <w:tcW w:w="474" w:type="pct"/>
            <w:tcBorders>
              <w:top w:val="nil"/>
              <w:left w:val="nil"/>
              <w:bottom w:val="nil"/>
              <w:right w:val="nil"/>
            </w:tcBorders>
            <w:shd w:val="clear" w:color="000000" w:fill="FFFFFF"/>
            <w:noWrap/>
            <w:vAlign w:val="center"/>
            <w:hideMark/>
          </w:tcPr>
          <w:p w14:paraId="4ACFCB20"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w:t>
            </w:r>
          </w:p>
        </w:tc>
        <w:tc>
          <w:tcPr>
            <w:tcW w:w="49" w:type="pct"/>
            <w:tcBorders>
              <w:top w:val="nil"/>
              <w:left w:val="nil"/>
              <w:bottom w:val="nil"/>
              <w:right w:val="nil"/>
            </w:tcBorders>
            <w:shd w:val="clear" w:color="000000" w:fill="FFFFFF"/>
            <w:noWrap/>
            <w:vAlign w:val="center"/>
            <w:hideMark/>
          </w:tcPr>
          <w:p w14:paraId="20B074A7"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2C77DEF8" w14:textId="77777777" w:rsidR="004C256B" w:rsidRPr="00207DD5" w:rsidRDefault="004C256B" w:rsidP="004C256B">
            <w:pPr>
              <w:spacing w:before="0" w:after="0" w:line="240" w:lineRule="auto"/>
              <w:rPr>
                <w:rFonts w:ascii="Arial" w:hAnsi="Arial" w:cs="Arial"/>
                <w:sz w:val="16"/>
                <w:szCs w:val="16"/>
              </w:rPr>
            </w:pPr>
            <w:r w:rsidRPr="00207DD5">
              <w:rPr>
                <w:rFonts w:ascii="Arial" w:hAnsi="Arial" w:cs="Arial"/>
                <w:sz w:val="16"/>
                <w:szCs w:val="16"/>
              </w:rPr>
              <w:t> </w:t>
            </w:r>
          </w:p>
        </w:tc>
      </w:tr>
      <w:tr w:rsidR="004C256B" w14:paraId="64EC1A3B" w14:textId="77777777" w:rsidTr="00E91697">
        <w:trPr>
          <w:trHeight w:hRule="exact" w:val="60"/>
        </w:trPr>
        <w:tc>
          <w:tcPr>
            <w:tcW w:w="2113" w:type="pct"/>
            <w:tcBorders>
              <w:top w:val="nil"/>
              <w:left w:val="nil"/>
              <w:bottom w:val="nil"/>
              <w:right w:val="nil"/>
            </w:tcBorders>
            <w:shd w:val="clear" w:color="000000" w:fill="FFFFFF"/>
            <w:noWrap/>
            <w:vAlign w:val="center"/>
            <w:hideMark/>
          </w:tcPr>
          <w:p w14:paraId="7294D5B8" w14:textId="77777777" w:rsidR="004C256B" w:rsidRPr="007B5379" w:rsidRDefault="004C256B" w:rsidP="004C256B">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60" w:type="pct"/>
            <w:tcBorders>
              <w:top w:val="nil"/>
              <w:left w:val="nil"/>
              <w:bottom w:val="nil"/>
              <w:right w:val="nil"/>
            </w:tcBorders>
            <w:shd w:val="clear" w:color="000000" w:fill="FFFFFF"/>
            <w:noWrap/>
            <w:vAlign w:val="center"/>
            <w:hideMark/>
          </w:tcPr>
          <w:p w14:paraId="52D7EC8D"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center"/>
            <w:hideMark/>
          </w:tcPr>
          <w:p w14:paraId="409ACF0A"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center"/>
            <w:hideMark/>
          </w:tcPr>
          <w:p w14:paraId="0E05891A"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05697574"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39CB8FCC"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9" w:type="pct"/>
            <w:tcBorders>
              <w:top w:val="nil"/>
              <w:left w:val="nil"/>
              <w:bottom w:val="nil"/>
              <w:right w:val="nil"/>
            </w:tcBorders>
            <w:shd w:val="clear" w:color="000000" w:fill="FFFFFF"/>
            <w:noWrap/>
            <w:vAlign w:val="center"/>
            <w:hideMark/>
          </w:tcPr>
          <w:p w14:paraId="515868D7"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47BAD0E1" w14:textId="77777777" w:rsidR="004C256B" w:rsidRPr="00207DD5" w:rsidRDefault="004C256B" w:rsidP="004C256B">
            <w:pPr>
              <w:spacing w:before="0" w:after="0" w:line="240" w:lineRule="auto"/>
              <w:rPr>
                <w:rFonts w:ascii="Arial" w:hAnsi="Arial" w:cs="Arial"/>
                <w:sz w:val="16"/>
                <w:szCs w:val="16"/>
              </w:rPr>
            </w:pPr>
            <w:r w:rsidRPr="00207DD5">
              <w:rPr>
                <w:rFonts w:ascii="Arial" w:hAnsi="Arial" w:cs="Arial"/>
                <w:sz w:val="16"/>
                <w:szCs w:val="16"/>
              </w:rPr>
              <w:t> </w:t>
            </w:r>
          </w:p>
        </w:tc>
      </w:tr>
      <w:tr w:rsidR="004C256B" w14:paraId="0392535B"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50B7491C" w14:textId="77777777" w:rsidR="004C256B" w:rsidRPr="007B5379" w:rsidRDefault="004C256B" w:rsidP="004C256B">
            <w:pPr>
              <w:spacing w:before="0" w:after="0" w:line="240" w:lineRule="auto"/>
              <w:rPr>
                <w:rFonts w:ascii="Arial" w:hAnsi="Arial" w:cs="Arial"/>
                <w:b/>
                <w:color w:val="00FFFF"/>
                <w:sz w:val="16"/>
                <w:szCs w:val="16"/>
                <w:highlight w:val="magenta"/>
              </w:rPr>
            </w:pPr>
            <w:r w:rsidRPr="00207DD5">
              <w:rPr>
                <w:rFonts w:ascii="Arial" w:hAnsi="Arial" w:cs="Arial"/>
                <w:b/>
                <w:sz w:val="16"/>
                <w:szCs w:val="16"/>
              </w:rPr>
              <w:t>Changes from 2025 PEFO to</w:t>
            </w:r>
          </w:p>
        </w:tc>
        <w:tc>
          <w:tcPr>
            <w:tcW w:w="460" w:type="pct"/>
            <w:tcBorders>
              <w:top w:val="nil"/>
              <w:left w:val="nil"/>
              <w:bottom w:val="nil"/>
              <w:right w:val="nil"/>
            </w:tcBorders>
            <w:shd w:val="clear" w:color="000000" w:fill="FFFFFF"/>
            <w:noWrap/>
            <w:vAlign w:val="center"/>
            <w:hideMark/>
          </w:tcPr>
          <w:p w14:paraId="227CA4CB"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center"/>
            <w:hideMark/>
          </w:tcPr>
          <w:p w14:paraId="22CACF9F"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center"/>
            <w:hideMark/>
          </w:tcPr>
          <w:p w14:paraId="598BD25D"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64121E30"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261D0090"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9" w:type="pct"/>
            <w:tcBorders>
              <w:top w:val="nil"/>
              <w:left w:val="nil"/>
              <w:bottom w:val="nil"/>
              <w:right w:val="nil"/>
            </w:tcBorders>
            <w:shd w:val="clear" w:color="000000" w:fill="FFFFFF"/>
            <w:noWrap/>
            <w:vAlign w:val="center"/>
            <w:hideMark/>
          </w:tcPr>
          <w:p w14:paraId="41AB6815"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67C4CA50" w14:textId="77777777" w:rsidR="004C256B" w:rsidRPr="00207DD5" w:rsidRDefault="004C256B" w:rsidP="004C256B">
            <w:pPr>
              <w:spacing w:before="0" w:after="0" w:line="240" w:lineRule="auto"/>
              <w:rPr>
                <w:rFonts w:ascii="Arial" w:hAnsi="Arial" w:cs="Arial"/>
                <w:sz w:val="16"/>
                <w:szCs w:val="16"/>
              </w:rPr>
            </w:pPr>
            <w:r w:rsidRPr="00207DD5">
              <w:rPr>
                <w:rFonts w:ascii="Arial" w:hAnsi="Arial" w:cs="Arial"/>
                <w:sz w:val="16"/>
                <w:szCs w:val="16"/>
              </w:rPr>
              <w:t> </w:t>
            </w:r>
          </w:p>
        </w:tc>
      </w:tr>
      <w:tr w:rsidR="004C256B" w14:paraId="3E8F394A"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1F9479F1" w14:textId="77777777" w:rsidR="004C256B" w:rsidRPr="007B5379" w:rsidRDefault="004C256B" w:rsidP="004C256B">
            <w:pPr>
              <w:spacing w:before="0" w:after="0" w:line="240" w:lineRule="auto"/>
              <w:ind w:firstLineChars="100" w:firstLine="161"/>
              <w:rPr>
                <w:rFonts w:ascii="Arial" w:hAnsi="Arial" w:cs="Arial"/>
                <w:b/>
                <w:color w:val="00FFFF"/>
                <w:sz w:val="16"/>
                <w:szCs w:val="16"/>
                <w:highlight w:val="magenta"/>
              </w:rPr>
            </w:pPr>
            <w:r w:rsidRPr="00207DD5">
              <w:rPr>
                <w:rFonts w:ascii="Arial" w:hAnsi="Arial" w:cs="Arial"/>
                <w:b/>
                <w:sz w:val="16"/>
                <w:szCs w:val="16"/>
              </w:rPr>
              <w:t>2025-26 MYEFO</w:t>
            </w:r>
          </w:p>
        </w:tc>
        <w:tc>
          <w:tcPr>
            <w:tcW w:w="460" w:type="pct"/>
            <w:tcBorders>
              <w:top w:val="nil"/>
              <w:left w:val="nil"/>
              <w:bottom w:val="nil"/>
              <w:right w:val="nil"/>
            </w:tcBorders>
            <w:shd w:val="clear" w:color="000000" w:fill="FFFFFF"/>
            <w:noWrap/>
            <w:vAlign w:val="center"/>
            <w:hideMark/>
          </w:tcPr>
          <w:p w14:paraId="1E16C8A7"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center"/>
            <w:hideMark/>
          </w:tcPr>
          <w:p w14:paraId="6B1C67B0"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3BC2AD8B"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368888D6"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2EF63D54"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9" w:type="pct"/>
            <w:tcBorders>
              <w:top w:val="nil"/>
              <w:left w:val="nil"/>
              <w:bottom w:val="nil"/>
              <w:right w:val="nil"/>
            </w:tcBorders>
            <w:shd w:val="clear" w:color="000000" w:fill="FFFFFF"/>
            <w:noWrap/>
            <w:vAlign w:val="center"/>
            <w:hideMark/>
          </w:tcPr>
          <w:p w14:paraId="379B9336"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666B5455" w14:textId="77777777" w:rsidR="004C256B" w:rsidRPr="00207DD5" w:rsidRDefault="004C256B" w:rsidP="004C256B">
            <w:pPr>
              <w:spacing w:before="0" w:after="0" w:line="240" w:lineRule="auto"/>
              <w:rPr>
                <w:rFonts w:ascii="Arial" w:hAnsi="Arial" w:cs="Arial"/>
                <w:sz w:val="16"/>
                <w:szCs w:val="16"/>
              </w:rPr>
            </w:pPr>
            <w:r w:rsidRPr="00207DD5">
              <w:rPr>
                <w:rFonts w:ascii="Arial" w:hAnsi="Arial" w:cs="Arial"/>
                <w:sz w:val="16"/>
                <w:szCs w:val="16"/>
              </w:rPr>
              <w:t> </w:t>
            </w:r>
          </w:p>
        </w:tc>
      </w:tr>
      <w:tr w:rsidR="004C256B" w14:paraId="0011827E"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1795A1C1" w14:textId="77777777" w:rsidR="004C256B" w:rsidRPr="007B5379" w:rsidRDefault="004C256B" w:rsidP="004C256B">
            <w:pPr>
              <w:spacing w:before="0" w:after="0" w:line="240" w:lineRule="auto"/>
              <w:rPr>
                <w:rFonts w:ascii="Arial" w:hAnsi="Arial" w:cs="Arial"/>
                <w:color w:val="00FFFF"/>
                <w:sz w:val="16"/>
                <w:szCs w:val="16"/>
                <w:highlight w:val="magenta"/>
              </w:rPr>
            </w:pPr>
            <w:r w:rsidRPr="00207DD5">
              <w:rPr>
                <w:rFonts w:ascii="Arial" w:hAnsi="Arial" w:cs="Arial"/>
                <w:sz w:val="16"/>
                <w:szCs w:val="16"/>
              </w:rPr>
              <w:t>Effect of policy decisions(a)</w:t>
            </w:r>
          </w:p>
        </w:tc>
        <w:tc>
          <w:tcPr>
            <w:tcW w:w="460" w:type="pct"/>
            <w:tcBorders>
              <w:top w:val="nil"/>
              <w:left w:val="nil"/>
              <w:bottom w:val="nil"/>
              <w:right w:val="nil"/>
            </w:tcBorders>
            <w:shd w:val="clear" w:color="000000" w:fill="FFFFFF"/>
            <w:noWrap/>
            <w:vAlign w:val="center"/>
            <w:hideMark/>
          </w:tcPr>
          <w:p w14:paraId="626B22BB"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-1,909</w:t>
            </w:r>
          </w:p>
        </w:tc>
        <w:tc>
          <w:tcPr>
            <w:tcW w:w="474" w:type="pct"/>
            <w:tcBorders>
              <w:top w:val="nil"/>
              <w:left w:val="nil"/>
              <w:bottom w:val="nil"/>
              <w:right w:val="nil"/>
            </w:tcBorders>
            <w:shd w:val="clear" w:color="000000" w:fill="E6F2FF"/>
            <w:noWrap/>
            <w:vAlign w:val="center"/>
            <w:hideMark/>
          </w:tcPr>
          <w:p w14:paraId="432053EC"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-147</w:t>
            </w:r>
          </w:p>
        </w:tc>
        <w:tc>
          <w:tcPr>
            <w:tcW w:w="474" w:type="pct"/>
            <w:tcBorders>
              <w:top w:val="nil"/>
              <w:left w:val="nil"/>
              <w:bottom w:val="nil"/>
              <w:right w:val="nil"/>
            </w:tcBorders>
            <w:shd w:val="clear" w:color="000000" w:fill="FFFFFF"/>
            <w:noWrap/>
            <w:vAlign w:val="center"/>
            <w:hideMark/>
          </w:tcPr>
          <w:p w14:paraId="4A406577"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1,337</w:t>
            </w:r>
          </w:p>
        </w:tc>
        <w:tc>
          <w:tcPr>
            <w:tcW w:w="474" w:type="pct"/>
            <w:tcBorders>
              <w:top w:val="nil"/>
              <w:left w:val="nil"/>
              <w:bottom w:val="nil"/>
              <w:right w:val="nil"/>
            </w:tcBorders>
            <w:shd w:val="clear" w:color="000000" w:fill="FFFFFF"/>
            <w:noWrap/>
            <w:vAlign w:val="center"/>
            <w:hideMark/>
          </w:tcPr>
          <w:p w14:paraId="2381732E"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2,888</w:t>
            </w:r>
          </w:p>
        </w:tc>
        <w:tc>
          <w:tcPr>
            <w:tcW w:w="474" w:type="pct"/>
            <w:tcBorders>
              <w:top w:val="nil"/>
              <w:left w:val="nil"/>
              <w:bottom w:val="nil"/>
              <w:right w:val="nil"/>
            </w:tcBorders>
            <w:shd w:val="clear" w:color="000000" w:fill="FFFFFF"/>
            <w:noWrap/>
            <w:vAlign w:val="center"/>
            <w:hideMark/>
          </w:tcPr>
          <w:p w14:paraId="382C633C"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w:t>
            </w:r>
          </w:p>
        </w:tc>
        <w:tc>
          <w:tcPr>
            <w:tcW w:w="49" w:type="pct"/>
            <w:tcBorders>
              <w:top w:val="nil"/>
              <w:left w:val="nil"/>
              <w:bottom w:val="nil"/>
              <w:right w:val="nil"/>
            </w:tcBorders>
            <w:shd w:val="clear" w:color="000000" w:fill="FFFFFF"/>
            <w:noWrap/>
            <w:vAlign w:val="center"/>
            <w:hideMark/>
          </w:tcPr>
          <w:p w14:paraId="19E7BF21"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6A9C0FA8" w14:textId="77777777" w:rsidR="004C256B" w:rsidRPr="00207DD5" w:rsidRDefault="004C256B" w:rsidP="004C256B">
            <w:pPr>
              <w:spacing w:before="0" w:after="0" w:line="240" w:lineRule="auto"/>
              <w:jc w:val="right"/>
              <w:rPr>
                <w:rFonts w:ascii="Arial" w:hAnsi="Arial" w:cs="Arial"/>
                <w:sz w:val="16"/>
                <w:szCs w:val="16"/>
              </w:rPr>
            </w:pPr>
            <w:r w:rsidRPr="00207DD5">
              <w:rPr>
                <w:rFonts w:ascii="Arial" w:hAnsi="Arial" w:cs="Arial"/>
                <w:sz w:val="16"/>
                <w:szCs w:val="16"/>
              </w:rPr>
              <w:t>*</w:t>
            </w:r>
          </w:p>
        </w:tc>
      </w:tr>
      <w:tr w:rsidR="004C256B" w14:paraId="7E55B558"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3AC7C2D0" w14:textId="77777777" w:rsidR="004C256B" w:rsidRPr="007B5379" w:rsidRDefault="004C256B" w:rsidP="004C256B">
            <w:pPr>
              <w:spacing w:before="0" w:after="0" w:line="240" w:lineRule="auto"/>
              <w:rPr>
                <w:rFonts w:ascii="Arial" w:hAnsi="Arial" w:cs="Arial"/>
                <w:color w:val="00FFFF"/>
                <w:sz w:val="16"/>
                <w:szCs w:val="16"/>
                <w:highlight w:val="magenta"/>
              </w:rPr>
            </w:pPr>
            <w:r w:rsidRPr="00207DD5">
              <w:rPr>
                <w:rFonts w:ascii="Arial" w:hAnsi="Arial" w:cs="Arial"/>
                <w:sz w:val="16"/>
                <w:szCs w:val="16"/>
              </w:rPr>
              <w:t>Effect of parameter and other variations</w:t>
            </w:r>
          </w:p>
        </w:tc>
        <w:tc>
          <w:tcPr>
            <w:tcW w:w="460" w:type="pct"/>
            <w:tcBorders>
              <w:top w:val="nil"/>
              <w:left w:val="nil"/>
              <w:bottom w:val="nil"/>
              <w:right w:val="nil"/>
            </w:tcBorders>
            <w:shd w:val="clear" w:color="000000" w:fill="FFFFFF"/>
            <w:noWrap/>
            <w:vAlign w:val="center"/>
            <w:hideMark/>
          </w:tcPr>
          <w:p w14:paraId="1C897165"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7,310</w:t>
            </w:r>
          </w:p>
        </w:tc>
        <w:tc>
          <w:tcPr>
            <w:tcW w:w="474" w:type="pct"/>
            <w:tcBorders>
              <w:top w:val="nil"/>
              <w:left w:val="nil"/>
              <w:bottom w:val="nil"/>
              <w:right w:val="nil"/>
            </w:tcBorders>
            <w:shd w:val="clear" w:color="000000" w:fill="E6F2FF"/>
            <w:noWrap/>
            <w:vAlign w:val="center"/>
            <w:hideMark/>
          </w:tcPr>
          <w:p w14:paraId="5FCFE9E9"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1,210</w:t>
            </w:r>
          </w:p>
        </w:tc>
        <w:tc>
          <w:tcPr>
            <w:tcW w:w="474" w:type="pct"/>
            <w:tcBorders>
              <w:top w:val="nil"/>
              <w:left w:val="nil"/>
              <w:bottom w:val="nil"/>
              <w:right w:val="nil"/>
            </w:tcBorders>
            <w:shd w:val="clear" w:color="000000" w:fill="FFFFFF"/>
            <w:noWrap/>
            <w:vAlign w:val="center"/>
            <w:hideMark/>
          </w:tcPr>
          <w:p w14:paraId="464D6EA7"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-439</w:t>
            </w:r>
          </w:p>
        </w:tc>
        <w:tc>
          <w:tcPr>
            <w:tcW w:w="474" w:type="pct"/>
            <w:tcBorders>
              <w:top w:val="nil"/>
              <w:left w:val="nil"/>
              <w:bottom w:val="nil"/>
              <w:right w:val="nil"/>
            </w:tcBorders>
            <w:shd w:val="clear" w:color="000000" w:fill="FFFFFF"/>
            <w:noWrap/>
            <w:vAlign w:val="center"/>
            <w:hideMark/>
          </w:tcPr>
          <w:p w14:paraId="239AE2CC"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-1,852</w:t>
            </w:r>
          </w:p>
        </w:tc>
        <w:tc>
          <w:tcPr>
            <w:tcW w:w="474" w:type="pct"/>
            <w:tcBorders>
              <w:top w:val="nil"/>
              <w:left w:val="nil"/>
              <w:bottom w:val="nil"/>
              <w:right w:val="nil"/>
            </w:tcBorders>
            <w:shd w:val="clear" w:color="000000" w:fill="FFFFFF"/>
            <w:noWrap/>
            <w:vAlign w:val="center"/>
            <w:hideMark/>
          </w:tcPr>
          <w:p w14:paraId="07FB75B1"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w:t>
            </w:r>
          </w:p>
        </w:tc>
        <w:tc>
          <w:tcPr>
            <w:tcW w:w="49" w:type="pct"/>
            <w:tcBorders>
              <w:top w:val="nil"/>
              <w:left w:val="nil"/>
              <w:bottom w:val="nil"/>
              <w:right w:val="nil"/>
            </w:tcBorders>
            <w:shd w:val="clear" w:color="000000" w:fill="FFFFFF"/>
            <w:noWrap/>
            <w:vAlign w:val="center"/>
            <w:hideMark/>
          </w:tcPr>
          <w:p w14:paraId="54DEC903"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01D25D66" w14:textId="77777777" w:rsidR="004C256B" w:rsidRPr="00207DD5" w:rsidRDefault="004C256B" w:rsidP="004C256B">
            <w:pPr>
              <w:spacing w:before="0" w:after="0" w:line="240" w:lineRule="auto"/>
              <w:jc w:val="right"/>
              <w:rPr>
                <w:rFonts w:ascii="Arial" w:hAnsi="Arial" w:cs="Arial"/>
                <w:sz w:val="16"/>
                <w:szCs w:val="16"/>
              </w:rPr>
            </w:pPr>
            <w:r w:rsidRPr="00207DD5">
              <w:rPr>
                <w:rFonts w:ascii="Arial" w:hAnsi="Arial" w:cs="Arial"/>
                <w:sz w:val="16"/>
                <w:szCs w:val="16"/>
              </w:rPr>
              <w:t>*</w:t>
            </w:r>
          </w:p>
        </w:tc>
      </w:tr>
      <w:tr w:rsidR="004C256B" w14:paraId="31CE779A"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391AE004" w14:textId="77777777" w:rsidR="004C256B" w:rsidRPr="007B5379" w:rsidRDefault="004C256B" w:rsidP="004C256B">
            <w:pPr>
              <w:spacing w:before="0" w:after="0" w:line="240" w:lineRule="auto"/>
              <w:rPr>
                <w:rFonts w:ascii="Arial" w:hAnsi="Arial" w:cs="Arial"/>
                <w:b/>
                <w:color w:val="00FFFF"/>
                <w:sz w:val="16"/>
                <w:szCs w:val="16"/>
                <w:highlight w:val="magenta"/>
              </w:rPr>
            </w:pPr>
            <w:r w:rsidRPr="00207DD5">
              <w:rPr>
                <w:rFonts w:ascii="Arial" w:hAnsi="Arial" w:cs="Arial"/>
                <w:b/>
                <w:sz w:val="16"/>
                <w:szCs w:val="16"/>
              </w:rPr>
              <w:t>Total variations</w:t>
            </w:r>
          </w:p>
        </w:tc>
        <w:tc>
          <w:tcPr>
            <w:tcW w:w="460" w:type="pct"/>
            <w:tcBorders>
              <w:top w:val="single" w:sz="4" w:space="0" w:color="293F5B"/>
              <w:left w:val="nil"/>
              <w:bottom w:val="single" w:sz="4" w:space="0" w:color="293F5B"/>
              <w:right w:val="nil"/>
            </w:tcBorders>
            <w:shd w:val="clear" w:color="000000" w:fill="FFFFFF"/>
            <w:noWrap/>
            <w:vAlign w:val="center"/>
            <w:hideMark/>
          </w:tcPr>
          <w:p w14:paraId="5710CB59"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5,401</w:t>
            </w:r>
          </w:p>
        </w:tc>
        <w:tc>
          <w:tcPr>
            <w:tcW w:w="474" w:type="pct"/>
            <w:tcBorders>
              <w:top w:val="single" w:sz="4" w:space="0" w:color="293F5B"/>
              <w:left w:val="nil"/>
              <w:bottom w:val="single" w:sz="4" w:space="0" w:color="293F5B"/>
              <w:right w:val="nil"/>
            </w:tcBorders>
            <w:shd w:val="clear" w:color="000000" w:fill="E6F2FF"/>
            <w:noWrap/>
            <w:vAlign w:val="center"/>
            <w:hideMark/>
          </w:tcPr>
          <w:p w14:paraId="3A5603A1"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1,063</w:t>
            </w:r>
          </w:p>
        </w:tc>
        <w:tc>
          <w:tcPr>
            <w:tcW w:w="474" w:type="pct"/>
            <w:tcBorders>
              <w:top w:val="single" w:sz="4" w:space="0" w:color="293F5B"/>
              <w:left w:val="nil"/>
              <w:bottom w:val="single" w:sz="4" w:space="0" w:color="293F5B"/>
              <w:right w:val="nil"/>
            </w:tcBorders>
            <w:shd w:val="clear" w:color="000000" w:fill="FFFFFF"/>
            <w:noWrap/>
            <w:vAlign w:val="center"/>
            <w:hideMark/>
          </w:tcPr>
          <w:p w14:paraId="10D5F95A"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898</w:t>
            </w:r>
          </w:p>
        </w:tc>
        <w:tc>
          <w:tcPr>
            <w:tcW w:w="474" w:type="pct"/>
            <w:tcBorders>
              <w:top w:val="single" w:sz="4" w:space="0" w:color="293F5B"/>
              <w:left w:val="nil"/>
              <w:bottom w:val="single" w:sz="4" w:space="0" w:color="293F5B"/>
              <w:right w:val="nil"/>
            </w:tcBorders>
            <w:shd w:val="clear" w:color="000000" w:fill="FFFFFF"/>
            <w:noWrap/>
            <w:vAlign w:val="center"/>
            <w:hideMark/>
          </w:tcPr>
          <w:p w14:paraId="7BCBBE92"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1,036</w:t>
            </w:r>
          </w:p>
        </w:tc>
        <w:tc>
          <w:tcPr>
            <w:tcW w:w="474" w:type="pct"/>
            <w:tcBorders>
              <w:top w:val="single" w:sz="4" w:space="0" w:color="293F5B"/>
              <w:left w:val="nil"/>
              <w:bottom w:val="single" w:sz="4" w:space="0" w:color="293F5B"/>
              <w:right w:val="nil"/>
            </w:tcBorders>
            <w:shd w:val="clear" w:color="000000" w:fill="FFFFFF"/>
            <w:noWrap/>
            <w:vAlign w:val="center"/>
            <w:hideMark/>
          </w:tcPr>
          <w:p w14:paraId="525ACED0"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w:t>
            </w:r>
          </w:p>
        </w:tc>
        <w:tc>
          <w:tcPr>
            <w:tcW w:w="49" w:type="pct"/>
            <w:tcBorders>
              <w:top w:val="nil"/>
              <w:left w:val="nil"/>
              <w:bottom w:val="nil"/>
              <w:right w:val="nil"/>
            </w:tcBorders>
            <w:shd w:val="clear" w:color="000000" w:fill="FFFFFF"/>
            <w:noWrap/>
            <w:vAlign w:val="center"/>
            <w:hideMark/>
          </w:tcPr>
          <w:p w14:paraId="00BCF16F"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83" w:type="pct"/>
            <w:tcBorders>
              <w:top w:val="single" w:sz="4" w:space="0" w:color="293F5B"/>
              <w:left w:val="nil"/>
              <w:bottom w:val="single" w:sz="4" w:space="0" w:color="293F5B"/>
              <w:right w:val="nil"/>
            </w:tcBorders>
            <w:shd w:val="clear" w:color="000000" w:fill="FFFFFF"/>
            <w:noWrap/>
            <w:vAlign w:val="center"/>
            <w:hideMark/>
          </w:tcPr>
          <w:p w14:paraId="6B86EA11" w14:textId="77777777" w:rsidR="004C256B" w:rsidRPr="00207DD5" w:rsidRDefault="004C256B" w:rsidP="004C256B">
            <w:pPr>
              <w:spacing w:before="0" w:after="0" w:line="240" w:lineRule="auto"/>
              <w:jc w:val="right"/>
              <w:rPr>
                <w:rFonts w:ascii="Arial" w:hAnsi="Arial" w:cs="Arial"/>
                <w:b/>
                <w:sz w:val="16"/>
                <w:szCs w:val="16"/>
              </w:rPr>
            </w:pPr>
            <w:r w:rsidRPr="00207DD5">
              <w:rPr>
                <w:rFonts w:ascii="Arial" w:hAnsi="Arial" w:cs="Arial"/>
                <w:b/>
                <w:sz w:val="16"/>
                <w:szCs w:val="16"/>
              </w:rPr>
              <w:t>*</w:t>
            </w:r>
          </w:p>
        </w:tc>
      </w:tr>
      <w:tr w:rsidR="004C256B" w14:paraId="5CEC72EA" w14:textId="77777777" w:rsidTr="00E91697">
        <w:trPr>
          <w:trHeight w:hRule="exact" w:val="60"/>
        </w:trPr>
        <w:tc>
          <w:tcPr>
            <w:tcW w:w="2113" w:type="pct"/>
            <w:tcBorders>
              <w:top w:val="nil"/>
              <w:left w:val="nil"/>
              <w:bottom w:val="nil"/>
              <w:right w:val="nil"/>
            </w:tcBorders>
            <w:shd w:val="clear" w:color="000000" w:fill="FFFFFF"/>
            <w:noWrap/>
            <w:vAlign w:val="center"/>
            <w:hideMark/>
          </w:tcPr>
          <w:p w14:paraId="58CF23D6" w14:textId="77777777" w:rsidR="004C256B" w:rsidRPr="007B5379" w:rsidRDefault="004C256B" w:rsidP="004C256B">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60" w:type="pct"/>
            <w:tcBorders>
              <w:top w:val="nil"/>
              <w:left w:val="nil"/>
              <w:bottom w:val="nil"/>
              <w:right w:val="nil"/>
            </w:tcBorders>
            <w:shd w:val="clear" w:color="000000" w:fill="FFFFFF"/>
            <w:noWrap/>
            <w:vAlign w:val="center"/>
            <w:hideMark/>
          </w:tcPr>
          <w:p w14:paraId="1D9EC13B"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E6F2FF"/>
            <w:noWrap/>
            <w:vAlign w:val="center"/>
            <w:hideMark/>
          </w:tcPr>
          <w:p w14:paraId="6E67AAE7"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center"/>
            <w:hideMark/>
          </w:tcPr>
          <w:p w14:paraId="1A146225"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center"/>
            <w:hideMark/>
          </w:tcPr>
          <w:p w14:paraId="1B05F398"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center"/>
            <w:hideMark/>
          </w:tcPr>
          <w:p w14:paraId="4E5ED301"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9" w:type="pct"/>
            <w:tcBorders>
              <w:top w:val="nil"/>
              <w:left w:val="nil"/>
              <w:bottom w:val="nil"/>
              <w:right w:val="nil"/>
            </w:tcBorders>
            <w:shd w:val="clear" w:color="000000" w:fill="FFFFFF"/>
            <w:noWrap/>
            <w:vAlign w:val="center"/>
            <w:hideMark/>
          </w:tcPr>
          <w:p w14:paraId="26D19D77"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83" w:type="pct"/>
            <w:tcBorders>
              <w:top w:val="nil"/>
              <w:left w:val="nil"/>
              <w:bottom w:val="nil"/>
              <w:right w:val="nil"/>
            </w:tcBorders>
            <w:shd w:val="clear" w:color="000000" w:fill="FFFFFF"/>
            <w:noWrap/>
            <w:vAlign w:val="center"/>
            <w:hideMark/>
          </w:tcPr>
          <w:p w14:paraId="52929860" w14:textId="77777777" w:rsidR="004C256B" w:rsidRPr="00207DD5" w:rsidRDefault="004C256B" w:rsidP="004C256B">
            <w:pPr>
              <w:spacing w:before="0" w:after="0" w:line="240" w:lineRule="auto"/>
              <w:jc w:val="right"/>
              <w:rPr>
                <w:rFonts w:ascii="Arial" w:hAnsi="Arial" w:cs="Arial"/>
                <w:b/>
                <w:sz w:val="16"/>
                <w:szCs w:val="16"/>
              </w:rPr>
            </w:pPr>
            <w:r w:rsidRPr="00207DD5">
              <w:rPr>
                <w:rFonts w:ascii="Arial" w:hAnsi="Arial" w:cs="Arial"/>
                <w:b/>
                <w:sz w:val="16"/>
                <w:szCs w:val="16"/>
              </w:rPr>
              <w:t> </w:t>
            </w:r>
          </w:p>
        </w:tc>
      </w:tr>
      <w:tr w:rsidR="004C256B" w14:paraId="3A03628F"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76016541" w14:textId="77777777" w:rsidR="004C256B" w:rsidRPr="007B5379" w:rsidRDefault="004C256B" w:rsidP="004C256B">
            <w:pPr>
              <w:spacing w:before="0" w:after="0" w:line="240" w:lineRule="auto"/>
              <w:rPr>
                <w:rFonts w:ascii="Arial" w:hAnsi="Arial" w:cs="Arial"/>
                <w:b/>
                <w:color w:val="00FFFF"/>
                <w:sz w:val="16"/>
                <w:szCs w:val="16"/>
                <w:highlight w:val="magenta"/>
              </w:rPr>
            </w:pPr>
            <w:r w:rsidRPr="00207DD5">
              <w:rPr>
                <w:rFonts w:ascii="Arial" w:hAnsi="Arial" w:cs="Arial"/>
                <w:b/>
                <w:sz w:val="16"/>
                <w:szCs w:val="16"/>
              </w:rPr>
              <w:t>2025-26 MYEFO underlying cash</w:t>
            </w:r>
          </w:p>
        </w:tc>
        <w:tc>
          <w:tcPr>
            <w:tcW w:w="460" w:type="pct"/>
            <w:tcBorders>
              <w:top w:val="nil"/>
              <w:left w:val="nil"/>
              <w:bottom w:val="nil"/>
              <w:right w:val="nil"/>
            </w:tcBorders>
            <w:shd w:val="clear" w:color="000000" w:fill="FFFFFF"/>
            <w:noWrap/>
            <w:vAlign w:val="center"/>
            <w:hideMark/>
          </w:tcPr>
          <w:p w14:paraId="2E965E2F"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center"/>
            <w:hideMark/>
          </w:tcPr>
          <w:p w14:paraId="59A7F662"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center"/>
            <w:hideMark/>
          </w:tcPr>
          <w:p w14:paraId="1BA3E81E"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7A0C8A8E"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4E2C6A9D"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9" w:type="pct"/>
            <w:tcBorders>
              <w:top w:val="nil"/>
              <w:left w:val="nil"/>
              <w:bottom w:val="nil"/>
              <w:right w:val="nil"/>
            </w:tcBorders>
            <w:shd w:val="clear" w:color="000000" w:fill="FFFFFF"/>
            <w:noWrap/>
            <w:vAlign w:val="center"/>
            <w:hideMark/>
          </w:tcPr>
          <w:p w14:paraId="1902DAC9"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1D900B04" w14:textId="77777777" w:rsidR="004C256B" w:rsidRPr="00207DD5" w:rsidRDefault="004C256B" w:rsidP="004C256B">
            <w:pPr>
              <w:spacing w:before="0" w:after="0" w:line="240" w:lineRule="auto"/>
              <w:jc w:val="right"/>
              <w:rPr>
                <w:rFonts w:ascii="Arial" w:hAnsi="Arial" w:cs="Arial"/>
                <w:sz w:val="16"/>
                <w:szCs w:val="16"/>
              </w:rPr>
            </w:pPr>
            <w:r w:rsidRPr="00207DD5">
              <w:rPr>
                <w:rFonts w:ascii="Arial" w:hAnsi="Arial" w:cs="Arial"/>
                <w:sz w:val="16"/>
                <w:szCs w:val="16"/>
              </w:rPr>
              <w:t> </w:t>
            </w:r>
          </w:p>
        </w:tc>
      </w:tr>
      <w:tr w:rsidR="004C256B" w14:paraId="661B5959"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2EE8D414" w14:textId="77777777" w:rsidR="004C256B" w:rsidRPr="007B5379" w:rsidRDefault="004C256B" w:rsidP="004C256B">
            <w:pPr>
              <w:spacing w:before="0" w:after="0" w:line="240" w:lineRule="auto"/>
              <w:ind w:firstLineChars="100" w:firstLine="161"/>
              <w:rPr>
                <w:rFonts w:ascii="Arial" w:hAnsi="Arial" w:cs="Arial"/>
                <w:b/>
                <w:color w:val="00FFFF"/>
                <w:sz w:val="16"/>
                <w:szCs w:val="16"/>
                <w:highlight w:val="magenta"/>
              </w:rPr>
            </w:pPr>
            <w:r w:rsidRPr="00207DD5">
              <w:rPr>
                <w:rFonts w:ascii="Arial" w:hAnsi="Arial" w:cs="Arial"/>
                <w:b/>
                <w:sz w:val="16"/>
                <w:szCs w:val="16"/>
              </w:rPr>
              <w:t>balance(b)</w:t>
            </w:r>
          </w:p>
        </w:tc>
        <w:tc>
          <w:tcPr>
            <w:tcW w:w="460" w:type="pct"/>
            <w:tcBorders>
              <w:top w:val="nil"/>
              <w:left w:val="nil"/>
              <w:bottom w:val="nil"/>
              <w:right w:val="nil"/>
            </w:tcBorders>
            <w:shd w:val="clear" w:color="000000" w:fill="FFFFFF"/>
            <w:noWrap/>
            <w:vAlign w:val="bottom"/>
            <w:hideMark/>
          </w:tcPr>
          <w:p w14:paraId="351CCBB9"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-36,764</w:t>
            </w:r>
          </w:p>
        </w:tc>
        <w:tc>
          <w:tcPr>
            <w:tcW w:w="474" w:type="pct"/>
            <w:tcBorders>
              <w:top w:val="nil"/>
              <w:left w:val="nil"/>
              <w:bottom w:val="nil"/>
              <w:right w:val="nil"/>
            </w:tcBorders>
            <w:shd w:val="clear" w:color="000000" w:fill="E6F2FF"/>
            <w:noWrap/>
            <w:vAlign w:val="bottom"/>
            <w:hideMark/>
          </w:tcPr>
          <w:p w14:paraId="2CC0447C"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-34,303</w:t>
            </w:r>
          </w:p>
        </w:tc>
        <w:tc>
          <w:tcPr>
            <w:tcW w:w="474" w:type="pct"/>
            <w:tcBorders>
              <w:top w:val="nil"/>
              <w:left w:val="nil"/>
              <w:bottom w:val="nil"/>
              <w:right w:val="nil"/>
            </w:tcBorders>
            <w:shd w:val="clear" w:color="000000" w:fill="FFFFFF"/>
            <w:noWrap/>
            <w:vAlign w:val="bottom"/>
            <w:hideMark/>
          </w:tcPr>
          <w:p w14:paraId="67101F70"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-36,189</w:t>
            </w:r>
          </w:p>
        </w:tc>
        <w:tc>
          <w:tcPr>
            <w:tcW w:w="474" w:type="pct"/>
            <w:tcBorders>
              <w:top w:val="nil"/>
              <w:left w:val="nil"/>
              <w:bottom w:val="nil"/>
              <w:right w:val="nil"/>
            </w:tcBorders>
            <w:shd w:val="clear" w:color="000000" w:fill="FFFFFF"/>
            <w:noWrap/>
            <w:vAlign w:val="bottom"/>
            <w:hideMark/>
          </w:tcPr>
          <w:p w14:paraId="7092F615"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-35,993</w:t>
            </w:r>
          </w:p>
        </w:tc>
        <w:tc>
          <w:tcPr>
            <w:tcW w:w="474" w:type="pct"/>
            <w:tcBorders>
              <w:top w:val="nil"/>
              <w:left w:val="nil"/>
              <w:bottom w:val="nil"/>
              <w:right w:val="nil"/>
            </w:tcBorders>
            <w:shd w:val="clear" w:color="000000" w:fill="FFFFFF"/>
            <w:noWrap/>
            <w:vAlign w:val="center"/>
            <w:hideMark/>
          </w:tcPr>
          <w:p w14:paraId="50F78122"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-52,138</w:t>
            </w:r>
          </w:p>
        </w:tc>
        <w:tc>
          <w:tcPr>
            <w:tcW w:w="49" w:type="pct"/>
            <w:tcBorders>
              <w:top w:val="nil"/>
              <w:left w:val="nil"/>
              <w:bottom w:val="nil"/>
              <w:right w:val="nil"/>
            </w:tcBorders>
            <w:shd w:val="clear" w:color="000000" w:fill="FFFFFF"/>
            <w:noWrap/>
            <w:vAlign w:val="center"/>
            <w:hideMark/>
          </w:tcPr>
          <w:p w14:paraId="4221D8C8"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27864BEC" w14:textId="77777777" w:rsidR="004C256B" w:rsidRPr="00207DD5" w:rsidRDefault="004C256B" w:rsidP="004C256B">
            <w:pPr>
              <w:spacing w:before="0" w:after="0" w:line="240" w:lineRule="auto"/>
              <w:jc w:val="right"/>
              <w:rPr>
                <w:rFonts w:ascii="Arial" w:hAnsi="Arial" w:cs="Arial"/>
                <w:b/>
                <w:sz w:val="16"/>
                <w:szCs w:val="16"/>
              </w:rPr>
            </w:pPr>
            <w:r w:rsidRPr="00207DD5">
              <w:rPr>
                <w:rFonts w:ascii="Arial" w:hAnsi="Arial" w:cs="Arial"/>
                <w:b/>
                <w:sz w:val="16"/>
                <w:szCs w:val="16"/>
              </w:rPr>
              <w:t>-195,386</w:t>
            </w:r>
          </w:p>
        </w:tc>
      </w:tr>
      <w:tr w:rsidR="004C256B" w14:paraId="78A6010A"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423FA983" w14:textId="77777777" w:rsidR="004C256B" w:rsidRPr="007B5379" w:rsidRDefault="004C256B" w:rsidP="004C256B">
            <w:pPr>
              <w:spacing w:before="0" w:after="0" w:line="240" w:lineRule="auto"/>
              <w:rPr>
                <w:rFonts w:ascii="Arial" w:hAnsi="Arial" w:cs="Arial"/>
                <w:color w:val="00FFFF"/>
                <w:sz w:val="16"/>
                <w:szCs w:val="16"/>
                <w:highlight w:val="magenta"/>
              </w:rPr>
            </w:pPr>
            <w:r w:rsidRPr="00207DD5">
              <w:rPr>
                <w:rFonts w:ascii="Arial" w:hAnsi="Arial" w:cs="Arial"/>
                <w:sz w:val="16"/>
                <w:szCs w:val="16"/>
              </w:rPr>
              <w:t>Per cent of GDP</w:t>
            </w:r>
          </w:p>
        </w:tc>
        <w:tc>
          <w:tcPr>
            <w:tcW w:w="460" w:type="pct"/>
            <w:tcBorders>
              <w:top w:val="nil"/>
              <w:left w:val="nil"/>
              <w:bottom w:val="nil"/>
              <w:right w:val="nil"/>
            </w:tcBorders>
            <w:shd w:val="clear" w:color="000000" w:fill="FFFFFF"/>
            <w:noWrap/>
            <w:vAlign w:val="center"/>
            <w:hideMark/>
          </w:tcPr>
          <w:p w14:paraId="1F56DBEF"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-1.3</w:t>
            </w:r>
          </w:p>
        </w:tc>
        <w:tc>
          <w:tcPr>
            <w:tcW w:w="474" w:type="pct"/>
            <w:tcBorders>
              <w:top w:val="nil"/>
              <w:left w:val="nil"/>
              <w:bottom w:val="nil"/>
              <w:right w:val="nil"/>
            </w:tcBorders>
            <w:shd w:val="clear" w:color="000000" w:fill="E6F2FF"/>
            <w:noWrap/>
            <w:vAlign w:val="center"/>
            <w:hideMark/>
          </w:tcPr>
          <w:p w14:paraId="62403564"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-1.1</w:t>
            </w:r>
          </w:p>
        </w:tc>
        <w:tc>
          <w:tcPr>
            <w:tcW w:w="474" w:type="pct"/>
            <w:tcBorders>
              <w:top w:val="nil"/>
              <w:left w:val="nil"/>
              <w:bottom w:val="nil"/>
              <w:right w:val="nil"/>
            </w:tcBorders>
            <w:shd w:val="clear" w:color="000000" w:fill="FFFFFF"/>
            <w:noWrap/>
            <w:vAlign w:val="center"/>
            <w:hideMark/>
          </w:tcPr>
          <w:p w14:paraId="544D27CD"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-1.1</w:t>
            </w:r>
          </w:p>
        </w:tc>
        <w:tc>
          <w:tcPr>
            <w:tcW w:w="474" w:type="pct"/>
            <w:tcBorders>
              <w:top w:val="nil"/>
              <w:left w:val="nil"/>
              <w:bottom w:val="nil"/>
              <w:right w:val="nil"/>
            </w:tcBorders>
            <w:shd w:val="clear" w:color="000000" w:fill="FFFFFF"/>
            <w:noWrap/>
            <w:vAlign w:val="center"/>
            <w:hideMark/>
          </w:tcPr>
          <w:p w14:paraId="2EFCC195"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-1.1</w:t>
            </w:r>
          </w:p>
        </w:tc>
        <w:tc>
          <w:tcPr>
            <w:tcW w:w="474" w:type="pct"/>
            <w:tcBorders>
              <w:top w:val="nil"/>
              <w:left w:val="nil"/>
              <w:bottom w:val="nil"/>
              <w:right w:val="nil"/>
            </w:tcBorders>
            <w:shd w:val="clear" w:color="000000" w:fill="FFFFFF"/>
            <w:noWrap/>
            <w:vAlign w:val="center"/>
            <w:hideMark/>
          </w:tcPr>
          <w:p w14:paraId="319B505D"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-1.5</w:t>
            </w:r>
          </w:p>
        </w:tc>
        <w:tc>
          <w:tcPr>
            <w:tcW w:w="49" w:type="pct"/>
            <w:tcBorders>
              <w:top w:val="nil"/>
              <w:left w:val="nil"/>
              <w:bottom w:val="nil"/>
              <w:right w:val="nil"/>
            </w:tcBorders>
            <w:shd w:val="clear" w:color="000000" w:fill="FFFFFF"/>
            <w:noWrap/>
            <w:vAlign w:val="center"/>
            <w:hideMark/>
          </w:tcPr>
          <w:p w14:paraId="2E66D475"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39F149B9" w14:textId="77777777" w:rsidR="004C256B" w:rsidRPr="00207DD5" w:rsidRDefault="004C256B" w:rsidP="004C256B">
            <w:pPr>
              <w:spacing w:before="0" w:after="0" w:line="240" w:lineRule="auto"/>
              <w:rPr>
                <w:rFonts w:ascii="Arial" w:hAnsi="Arial" w:cs="Arial"/>
                <w:sz w:val="16"/>
                <w:szCs w:val="16"/>
              </w:rPr>
            </w:pPr>
            <w:r w:rsidRPr="00207DD5">
              <w:rPr>
                <w:rFonts w:ascii="Arial" w:hAnsi="Arial" w:cs="Arial"/>
                <w:sz w:val="16"/>
                <w:szCs w:val="16"/>
              </w:rPr>
              <w:t> </w:t>
            </w:r>
          </w:p>
        </w:tc>
      </w:tr>
      <w:tr w:rsidR="004C256B" w14:paraId="3D7CA982" w14:textId="77777777" w:rsidTr="00E91697">
        <w:trPr>
          <w:trHeight w:hRule="exact" w:val="60"/>
        </w:trPr>
        <w:tc>
          <w:tcPr>
            <w:tcW w:w="2113" w:type="pct"/>
            <w:tcBorders>
              <w:top w:val="nil"/>
              <w:left w:val="nil"/>
              <w:bottom w:val="nil"/>
              <w:right w:val="nil"/>
            </w:tcBorders>
            <w:shd w:val="clear" w:color="000000" w:fill="FFFFFF"/>
            <w:noWrap/>
            <w:vAlign w:val="center"/>
            <w:hideMark/>
          </w:tcPr>
          <w:p w14:paraId="1382DDBD" w14:textId="77777777" w:rsidR="004C256B" w:rsidRPr="007B5379" w:rsidRDefault="004C256B" w:rsidP="004C256B">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60" w:type="pct"/>
            <w:tcBorders>
              <w:top w:val="nil"/>
              <w:left w:val="nil"/>
              <w:bottom w:val="nil"/>
              <w:right w:val="nil"/>
            </w:tcBorders>
            <w:shd w:val="clear" w:color="000000" w:fill="FFFFFF"/>
            <w:noWrap/>
            <w:vAlign w:val="center"/>
            <w:hideMark/>
          </w:tcPr>
          <w:p w14:paraId="1E814DF0"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center"/>
            <w:hideMark/>
          </w:tcPr>
          <w:p w14:paraId="6197C574"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167EE81B"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1D9B1C0B"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628F895E"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9" w:type="pct"/>
            <w:tcBorders>
              <w:top w:val="nil"/>
              <w:left w:val="nil"/>
              <w:bottom w:val="nil"/>
              <w:right w:val="nil"/>
            </w:tcBorders>
            <w:shd w:val="clear" w:color="000000" w:fill="FFFFFF"/>
            <w:noWrap/>
            <w:vAlign w:val="center"/>
            <w:hideMark/>
          </w:tcPr>
          <w:p w14:paraId="3795BDE8"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06A33032" w14:textId="77777777" w:rsidR="004C256B" w:rsidRPr="00207DD5" w:rsidRDefault="004C256B" w:rsidP="004C256B">
            <w:pPr>
              <w:spacing w:before="0" w:after="0" w:line="240" w:lineRule="auto"/>
              <w:rPr>
                <w:rFonts w:ascii="Arial" w:hAnsi="Arial" w:cs="Arial"/>
                <w:sz w:val="16"/>
                <w:szCs w:val="16"/>
              </w:rPr>
            </w:pPr>
            <w:r w:rsidRPr="00207DD5">
              <w:rPr>
                <w:rFonts w:ascii="Arial" w:hAnsi="Arial" w:cs="Arial"/>
                <w:sz w:val="16"/>
                <w:szCs w:val="16"/>
              </w:rPr>
              <w:t> </w:t>
            </w:r>
          </w:p>
        </w:tc>
      </w:tr>
      <w:tr w:rsidR="004C256B" w14:paraId="104EFFFC"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727FB4AB" w14:textId="77777777" w:rsidR="004C256B" w:rsidRPr="007B5379" w:rsidRDefault="004C256B" w:rsidP="004C256B">
            <w:pPr>
              <w:spacing w:before="0" w:after="0" w:line="240" w:lineRule="auto"/>
              <w:rPr>
                <w:rFonts w:ascii="Arial" w:hAnsi="Arial" w:cs="Arial"/>
                <w:b/>
                <w:color w:val="00FFFF"/>
                <w:sz w:val="16"/>
                <w:szCs w:val="16"/>
                <w:highlight w:val="magenta"/>
              </w:rPr>
            </w:pPr>
            <w:r w:rsidRPr="00207DD5">
              <w:rPr>
                <w:rFonts w:ascii="Arial" w:hAnsi="Arial" w:cs="Arial"/>
                <w:b/>
                <w:sz w:val="16"/>
                <w:szCs w:val="16"/>
              </w:rPr>
              <w:t>Changes from 2025-26 MYEFO</w:t>
            </w:r>
          </w:p>
        </w:tc>
        <w:tc>
          <w:tcPr>
            <w:tcW w:w="460" w:type="pct"/>
            <w:tcBorders>
              <w:top w:val="nil"/>
              <w:left w:val="nil"/>
              <w:bottom w:val="nil"/>
              <w:right w:val="nil"/>
            </w:tcBorders>
            <w:shd w:val="clear" w:color="000000" w:fill="FFFFFF"/>
            <w:noWrap/>
            <w:vAlign w:val="center"/>
            <w:hideMark/>
          </w:tcPr>
          <w:p w14:paraId="2842F929"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center"/>
            <w:hideMark/>
          </w:tcPr>
          <w:p w14:paraId="2C5D693F"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169B5714"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60684ECA"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1CA381E3"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9" w:type="pct"/>
            <w:tcBorders>
              <w:top w:val="nil"/>
              <w:left w:val="nil"/>
              <w:bottom w:val="nil"/>
              <w:right w:val="nil"/>
            </w:tcBorders>
            <w:shd w:val="clear" w:color="000000" w:fill="FFFFFF"/>
            <w:noWrap/>
            <w:vAlign w:val="center"/>
            <w:hideMark/>
          </w:tcPr>
          <w:p w14:paraId="47BAA786"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5EB99326" w14:textId="77777777" w:rsidR="004C256B" w:rsidRPr="00207DD5" w:rsidRDefault="004C256B" w:rsidP="004C256B">
            <w:pPr>
              <w:spacing w:before="0" w:after="0" w:line="240" w:lineRule="auto"/>
              <w:rPr>
                <w:rFonts w:ascii="Arial" w:hAnsi="Arial" w:cs="Arial"/>
                <w:sz w:val="16"/>
                <w:szCs w:val="16"/>
              </w:rPr>
            </w:pPr>
            <w:r w:rsidRPr="00207DD5">
              <w:rPr>
                <w:rFonts w:ascii="Arial" w:hAnsi="Arial" w:cs="Arial"/>
                <w:sz w:val="16"/>
                <w:szCs w:val="16"/>
              </w:rPr>
              <w:t> </w:t>
            </w:r>
          </w:p>
        </w:tc>
      </w:tr>
      <w:tr w:rsidR="004C256B" w14:paraId="1967F3F1"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41BF1E98" w14:textId="77777777" w:rsidR="004C256B" w:rsidRPr="007B5379" w:rsidRDefault="004C256B" w:rsidP="004C256B">
            <w:pPr>
              <w:spacing w:before="0" w:after="0" w:line="240" w:lineRule="auto"/>
              <w:ind w:firstLineChars="100" w:firstLine="161"/>
              <w:rPr>
                <w:rFonts w:ascii="Arial" w:hAnsi="Arial" w:cs="Arial"/>
                <w:b/>
                <w:color w:val="00FFFF"/>
                <w:sz w:val="16"/>
                <w:szCs w:val="16"/>
                <w:highlight w:val="magenta"/>
              </w:rPr>
            </w:pPr>
            <w:r w:rsidRPr="00207DD5">
              <w:rPr>
                <w:rFonts w:ascii="Arial" w:hAnsi="Arial" w:cs="Arial"/>
                <w:b/>
                <w:sz w:val="16"/>
                <w:szCs w:val="16"/>
              </w:rPr>
              <w:t>to 2026-27 Budget</w:t>
            </w:r>
          </w:p>
        </w:tc>
        <w:tc>
          <w:tcPr>
            <w:tcW w:w="460" w:type="pct"/>
            <w:tcBorders>
              <w:top w:val="nil"/>
              <w:left w:val="nil"/>
              <w:bottom w:val="nil"/>
              <w:right w:val="nil"/>
            </w:tcBorders>
            <w:shd w:val="clear" w:color="000000" w:fill="FFFFFF"/>
            <w:noWrap/>
            <w:vAlign w:val="center"/>
            <w:hideMark/>
          </w:tcPr>
          <w:p w14:paraId="5C0581F6" w14:textId="77777777" w:rsidR="004C256B" w:rsidRPr="007B5379" w:rsidRDefault="004C256B" w:rsidP="004C256B">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E6F2FF"/>
            <w:noWrap/>
            <w:vAlign w:val="center"/>
            <w:hideMark/>
          </w:tcPr>
          <w:p w14:paraId="5A57A4EA"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center"/>
            <w:hideMark/>
          </w:tcPr>
          <w:p w14:paraId="6F5E8A15" w14:textId="77777777" w:rsidR="004C256B" w:rsidRPr="007B5379" w:rsidRDefault="004C256B" w:rsidP="004C256B">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center"/>
            <w:hideMark/>
          </w:tcPr>
          <w:p w14:paraId="18E4491C" w14:textId="77777777" w:rsidR="004C256B" w:rsidRPr="007B5379" w:rsidRDefault="004C256B" w:rsidP="004C256B">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center"/>
            <w:hideMark/>
          </w:tcPr>
          <w:p w14:paraId="08D565DB" w14:textId="77777777" w:rsidR="004C256B" w:rsidRPr="007B5379" w:rsidRDefault="004C256B" w:rsidP="004C256B">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9" w:type="pct"/>
            <w:tcBorders>
              <w:top w:val="nil"/>
              <w:left w:val="nil"/>
              <w:bottom w:val="nil"/>
              <w:right w:val="nil"/>
            </w:tcBorders>
            <w:shd w:val="clear" w:color="000000" w:fill="FFFFFF"/>
            <w:noWrap/>
            <w:vAlign w:val="center"/>
            <w:hideMark/>
          </w:tcPr>
          <w:p w14:paraId="7DB13C40" w14:textId="77777777" w:rsidR="004C256B" w:rsidRPr="007B5379" w:rsidRDefault="004C256B" w:rsidP="004C256B">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83" w:type="pct"/>
            <w:tcBorders>
              <w:top w:val="nil"/>
              <w:left w:val="nil"/>
              <w:bottom w:val="nil"/>
              <w:right w:val="nil"/>
            </w:tcBorders>
            <w:shd w:val="clear" w:color="000000" w:fill="FFFFFF"/>
            <w:noWrap/>
            <w:vAlign w:val="center"/>
            <w:hideMark/>
          </w:tcPr>
          <w:p w14:paraId="13615E36" w14:textId="77777777" w:rsidR="004C256B" w:rsidRPr="00207DD5" w:rsidRDefault="004C256B" w:rsidP="004C256B">
            <w:pPr>
              <w:spacing w:before="0" w:after="0" w:line="240" w:lineRule="auto"/>
              <w:rPr>
                <w:rFonts w:ascii="Arial" w:hAnsi="Arial" w:cs="Arial"/>
                <w:sz w:val="16"/>
                <w:szCs w:val="16"/>
              </w:rPr>
            </w:pPr>
            <w:r w:rsidRPr="00207DD5">
              <w:rPr>
                <w:rFonts w:ascii="Arial" w:hAnsi="Arial" w:cs="Arial"/>
                <w:sz w:val="16"/>
                <w:szCs w:val="16"/>
              </w:rPr>
              <w:t> </w:t>
            </w:r>
          </w:p>
        </w:tc>
      </w:tr>
      <w:tr w:rsidR="004C256B" w14:paraId="13F4115B"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4406327A" w14:textId="77777777" w:rsidR="004C256B" w:rsidRPr="007B5379" w:rsidRDefault="004C256B" w:rsidP="004C256B">
            <w:pPr>
              <w:spacing w:before="0" w:after="0" w:line="240" w:lineRule="auto"/>
              <w:rPr>
                <w:rFonts w:ascii="Arial" w:hAnsi="Arial" w:cs="Arial"/>
                <w:color w:val="00FFFF"/>
                <w:sz w:val="16"/>
                <w:szCs w:val="16"/>
                <w:highlight w:val="magenta"/>
              </w:rPr>
            </w:pPr>
            <w:r w:rsidRPr="00207DD5">
              <w:rPr>
                <w:rFonts w:ascii="Arial" w:hAnsi="Arial" w:cs="Arial"/>
                <w:sz w:val="16"/>
                <w:szCs w:val="16"/>
              </w:rPr>
              <w:t>Effect of policy decisions(a)(c)</w:t>
            </w:r>
          </w:p>
        </w:tc>
        <w:tc>
          <w:tcPr>
            <w:tcW w:w="460" w:type="pct"/>
            <w:tcBorders>
              <w:top w:val="nil"/>
              <w:left w:val="nil"/>
              <w:bottom w:val="nil"/>
              <w:right w:val="nil"/>
            </w:tcBorders>
            <w:shd w:val="clear" w:color="000000" w:fill="FFFFFF"/>
            <w:noWrap/>
            <w:vAlign w:val="center"/>
            <w:hideMark/>
          </w:tcPr>
          <w:p w14:paraId="3CCB4890"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center"/>
            <w:hideMark/>
          </w:tcPr>
          <w:p w14:paraId="5DAB98C6"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1B10C351"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6D21B6AA"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41699975"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9" w:type="pct"/>
            <w:tcBorders>
              <w:top w:val="nil"/>
              <w:left w:val="nil"/>
              <w:bottom w:val="nil"/>
              <w:right w:val="nil"/>
            </w:tcBorders>
            <w:shd w:val="clear" w:color="000000" w:fill="FFFFFF"/>
            <w:noWrap/>
            <w:vAlign w:val="center"/>
            <w:hideMark/>
          </w:tcPr>
          <w:p w14:paraId="0B310788"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72FAA0B4" w14:textId="77777777" w:rsidR="004C256B" w:rsidRPr="00207DD5" w:rsidRDefault="004C256B" w:rsidP="004C256B">
            <w:pPr>
              <w:spacing w:before="0" w:after="0" w:line="240" w:lineRule="auto"/>
              <w:rPr>
                <w:rFonts w:ascii="Arial" w:hAnsi="Arial" w:cs="Arial"/>
                <w:sz w:val="16"/>
                <w:szCs w:val="16"/>
              </w:rPr>
            </w:pPr>
            <w:r w:rsidRPr="00207DD5">
              <w:rPr>
                <w:rFonts w:ascii="Arial" w:hAnsi="Arial" w:cs="Arial"/>
                <w:sz w:val="16"/>
                <w:szCs w:val="16"/>
              </w:rPr>
              <w:t> </w:t>
            </w:r>
          </w:p>
        </w:tc>
      </w:tr>
      <w:tr w:rsidR="004C256B" w14:paraId="30ABE99D"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154A7C32" w14:textId="77777777" w:rsidR="004C256B" w:rsidRPr="007B5379" w:rsidRDefault="004C256B" w:rsidP="004C256B">
            <w:pPr>
              <w:spacing w:before="0" w:after="0" w:line="240" w:lineRule="auto"/>
              <w:ind w:firstLineChars="100" w:firstLine="160"/>
              <w:rPr>
                <w:rFonts w:ascii="Arial" w:hAnsi="Arial" w:cs="Arial"/>
                <w:i/>
                <w:color w:val="00FFFF"/>
                <w:sz w:val="16"/>
                <w:szCs w:val="16"/>
                <w:highlight w:val="magenta"/>
              </w:rPr>
            </w:pPr>
            <w:r w:rsidRPr="00207DD5">
              <w:rPr>
                <w:rFonts w:ascii="Arial" w:hAnsi="Arial" w:cs="Arial"/>
                <w:i/>
                <w:sz w:val="16"/>
                <w:szCs w:val="16"/>
              </w:rPr>
              <w:t>Receipts</w:t>
            </w:r>
          </w:p>
        </w:tc>
        <w:tc>
          <w:tcPr>
            <w:tcW w:w="460" w:type="pct"/>
            <w:tcBorders>
              <w:top w:val="nil"/>
              <w:left w:val="nil"/>
              <w:bottom w:val="nil"/>
              <w:right w:val="nil"/>
            </w:tcBorders>
            <w:shd w:val="clear" w:color="000000" w:fill="FFFFFF"/>
            <w:noWrap/>
            <w:vAlign w:val="center"/>
            <w:hideMark/>
          </w:tcPr>
          <w:p w14:paraId="658B3D1D"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-3,570</w:t>
            </w:r>
          </w:p>
        </w:tc>
        <w:tc>
          <w:tcPr>
            <w:tcW w:w="474" w:type="pct"/>
            <w:tcBorders>
              <w:top w:val="nil"/>
              <w:left w:val="nil"/>
              <w:bottom w:val="nil"/>
              <w:right w:val="nil"/>
            </w:tcBorders>
            <w:shd w:val="clear" w:color="000000" w:fill="E6F2FF"/>
            <w:noWrap/>
            <w:vAlign w:val="center"/>
            <w:hideMark/>
          </w:tcPr>
          <w:p w14:paraId="29B46F28"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2,226</w:t>
            </w:r>
          </w:p>
        </w:tc>
        <w:tc>
          <w:tcPr>
            <w:tcW w:w="474" w:type="pct"/>
            <w:tcBorders>
              <w:top w:val="nil"/>
              <w:left w:val="nil"/>
              <w:bottom w:val="nil"/>
              <w:right w:val="nil"/>
            </w:tcBorders>
            <w:shd w:val="clear" w:color="000000" w:fill="FFFFFF"/>
            <w:noWrap/>
            <w:vAlign w:val="center"/>
            <w:hideMark/>
          </w:tcPr>
          <w:p w14:paraId="0A192169"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961</w:t>
            </w:r>
          </w:p>
        </w:tc>
        <w:tc>
          <w:tcPr>
            <w:tcW w:w="474" w:type="pct"/>
            <w:tcBorders>
              <w:top w:val="nil"/>
              <w:left w:val="nil"/>
              <w:bottom w:val="nil"/>
              <w:right w:val="nil"/>
            </w:tcBorders>
            <w:shd w:val="clear" w:color="000000" w:fill="FFFFFF"/>
            <w:noWrap/>
            <w:vAlign w:val="center"/>
            <w:hideMark/>
          </w:tcPr>
          <w:p w14:paraId="01235E63"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862</w:t>
            </w:r>
          </w:p>
        </w:tc>
        <w:tc>
          <w:tcPr>
            <w:tcW w:w="474" w:type="pct"/>
            <w:tcBorders>
              <w:top w:val="nil"/>
              <w:left w:val="nil"/>
              <w:bottom w:val="nil"/>
              <w:right w:val="nil"/>
            </w:tcBorders>
            <w:shd w:val="clear" w:color="000000" w:fill="FFFFFF"/>
            <w:noWrap/>
            <w:vAlign w:val="center"/>
            <w:hideMark/>
          </w:tcPr>
          <w:p w14:paraId="44E8BA01"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8,299</w:t>
            </w:r>
          </w:p>
        </w:tc>
        <w:tc>
          <w:tcPr>
            <w:tcW w:w="49" w:type="pct"/>
            <w:tcBorders>
              <w:top w:val="nil"/>
              <w:left w:val="nil"/>
              <w:bottom w:val="nil"/>
              <w:right w:val="nil"/>
            </w:tcBorders>
            <w:shd w:val="clear" w:color="000000" w:fill="FFFFFF"/>
            <w:noWrap/>
            <w:vAlign w:val="center"/>
            <w:hideMark/>
          </w:tcPr>
          <w:p w14:paraId="2F34A17D"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83" w:type="pct"/>
            <w:tcBorders>
              <w:top w:val="nil"/>
              <w:left w:val="nil"/>
              <w:bottom w:val="nil"/>
              <w:right w:val="nil"/>
            </w:tcBorders>
            <w:shd w:val="clear" w:color="000000" w:fill="FFFFFF"/>
            <w:noWrap/>
            <w:vAlign w:val="center"/>
            <w:hideMark/>
          </w:tcPr>
          <w:p w14:paraId="112417A6" w14:textId="77777777" w:rsidR="004C256B" w:rsidRPr="00207DD5" w:rsidRDefault="004C256B" w:rsidP="004C256B">
            <w:pPr>
              <w:spacing w:before="0" w:after="0" w:line="240" w:lineRule="auto"/>
              <w:jc w:val="right"/>
              <w:rPr>
                <w:rFonts w:ascii="Arial" w:hAnsi="Arial" w:cs="Arial"/>
                <w:i/>
                <w:sz w:val="16"/>
                <w:szCs w:val="16"/>
              </w:rPr>
            </w:pPr>
            <w:r w:rsidRPr="00207DD5">
              <w:rPr>
                <w:rFonts w:ascii="Arial" w:hAnsi="Arial" w:cs="Arial"/>
                <w:i/>
                <w:sz w:val="16"/>
                <w:szCs w:val="16"/>
              </w:rPr>
              <w:t>8,777</w:t>
            </w:r>
          </w:p>
        </w:tc>
      </w:tr>
      <w:tr w:rsidR="004C256B" w14:paraId="3E328F87"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4E2DE940" w14:textId="77777777" w:rsidR="004C256B" w:rsidRPr="007B5379" w:rsidRDefault="004C256B" w:rsidP="004C256B">
            <w:pPr>
              <w:spacing w:before="0" w:after="0" w:line="240" w:lineRule="auto"/>
              <w:ind w:firstLineChars="100" w:firstLine="160"/>
              <w:rPr>
                <w:rFonts w:ascii="Arial" w:hAnsi="Arial" w:cs="Arial"/>
                <w:i/>
                <w:color w:val="00FFFF"/>
                <w:sz w:val="16"/>
                <w:szCs w:val="16"/>
                <w:highlight w:val="magenta"/>
              </w:rPr>
            </w:pPr>
            <w:r w:rsidRPr="00207DD5">
              <w:rPr>
                <w:rFonts w:ascii="Arial" w:hAnsi="Arial" w:cs="Arial"/>
                <w:i/>
                <w:sz w:val="16"/>
                <w:szCs w:val="16"/>
              </w:rPr>
              <w:t>Payments</w:t>
            </w:r>
          </w:p>
        </w:tc>
        <w:tc>
          <w:tcPr>
            <w:tcW w:w="460" w:type="pct"/>
            <w:tcBorders>
              <w:top w:val="nil"/>
              <w:left w:val="nil"/>
              <w:bottom w:val="single" w:sz="4" w:space="0" w:color="293F5B"/>
              <w:right w:val="nil"/>
            </w:tcBorders>
            <w:shd w:val="clear" w:color="000000" w:fill="FFFFFF"/>
            <w:noWrap/>
            <w:vAlign w:val="center"/>
            <w:hideMark/>
          </w:tcPr>
          <w:p w14:paraId="525A2573"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1,728</w:t>
            </w:r>
          </w:p>
        </w:tc>
        <w:tc>
          <w:tcPr>
            <w:tcW w:w="474" w:type="pct"/>
            <w:tcBorders>
              <w:top w:val="nil"/>
              <w:left w:val="nil"/>
              <w:bottom w:val="single" w:sz="4" w:space="0" w:color="293F5B"/>
              <w:right w:val="nil"/>
            </w:tcBorders>
            <w:shd w:val="clear" w:color="000000" w:fill="E6F2FF"/>
            <w:noWrap/>
            <w:vAlign w:val="center"/>
            <w:hideMark/>
          </w:tcPr>
          <w:p w14:paraId="675B8783"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8,747</w:t>
            </w:r>
          </w:p>
        </w:tc>
        <w:tc>
          <w:tcPr>
            <w:tcW w:w="474" w:type="pct"/>
            <w:tcBorders>
              <w:top w:val="nil"/>
              <w:left w:val="nil"/>
              <w:bottom w:val="single" w:sz="4" w:space="0" w:color="293F5B"/>
              <w:right w:val="nil"/>
            </w:tcBorders>
            <w:shd w:val="clear" w:color="000000" w:fill="FFFFFF"/>
            <w:noWrap/>
            <w:vAlign w:val="center"/>
            <w:hideMark/>
          </w:tcPr>
          <w:p w14:paraId="3D6AAB85"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3,288</w:t>
            </w:r>
          </w:p>
        </w:tc>
        <w:tc>
          <w:tcPr>
            <w:tcW w:w="474" w:type="pct"/>
            <w:tcBorders>
              <w:top w:val="nil"/>
              <w:left w:val="nil"/>
              <w:bottom w:val="single" w:sz="4" w:space="0" w:color="293F5B"/>
              <w:right w:val="nil"/>
            </w:tcBorders>
            <w:shd w:val="clear" w:color="000000" w:fill="FFFFFF"/>
            <w:noWrap/>
            <w:vAlign w:val="center"/>
            <w:hideMark/>
          </w:tcPr>
          <w:p w14:paraId="4042DB9E"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-2,226</w:t>
            </w:r>
          </w:p>
        </w:tc>
        <w:tc>
          <w:tcPr>
            <w:tcW w:w="474" w:type="pct"/>
            <w:tcBorders>
              <w:top w:val="nil"/>
              <w:left w:val="nil"/>
              <w:bottom w:val="single" w:sz="4" w:space="0" w:color="293F5B"/>
              <w:right w:val="nil"/>
            </w:tcBorders>
            <w:shd w:val="clear" w:color="000000" w:fill="FFFFFF"/>
            <w:noWrap/>
            <w:vAlign w:val="center"/>
            <w:hideMark/>
          </w:tcPr>
          <w:p w14:paraId="5FF00F1E"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-11,000</w:t>
            </w:r>
          </w:p>
        </w:tc>
        <w:tc>
          <w:tcPr>
            <w:tcW w:w="49" w:type="pct"/>
            <w:tcBorders>
              <w:top w:val="nil"/>
              <w:left w:val="nil"/>
              <w:bottom w:val="nil"/>
              <w:right w:val="nil"/>
            </w:tcBorders>
            <w:shd w:val="clear" w:color="000000" w:fill="FFFFFF"/>
            <w:noWrap/>
            <w:vAlign w:val="center"/>
            <w:hideMark/>
          </w:tcPr>
          <w:p w14:paraId="1780E01F"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83" w:type="pct"/>
            <w:tcBorders>
              <w:top w:val="nil"/>
              <w:left w:val="nil"/>
              <w:bottom w:val="single" w:sz="4" w:space="0" w:color="293F5B"/>
              <w:right w:val="nil"/>
            </w:tcBorders>
            <w:shd w:val="clear" w:color="000000" w:fill="FFFFFF"/>
            <w:noWrap/>
            <w:vAlign w:val="center"/>
            <w:hideMark/>
          </w:tcPr>
          <w:p w14:paraId="4622C028" w14:textId="77777777" w:rsidR="004C256B" w:rsidRPr="00207DD5" w:rsidRDefault="004C256B" w:rsidP="004C256B">
            <w:pPr>
              <w:spacing w:before="0" w:after="0" w:line="240" w:lineRule="auto"/>
              <w:jc w:val="right"/>
              <w:rPr>
                <w:rFonts w:ascii="Arial" w:hAnsi="Arial" w:cs="Arial"/>
                <w:i/>
                <w:sz w:val="16"/>
                <w:szCs w:val="16"/>
              </w:rPr>
            </w:pPr>
            <w:r w:rsidRPr="00207DD5">
              <w:rPr>
                <w:rFonts w:ascii="Arial" w:hAnsi="Arial" w:cs="Arial"/>
                <w:i/>
                <w:sz w:val="16"/>
                <w:szCs w:val="16"/>
              </w:rPr>
              <w:t>535</w:t>
            </w:r>
          </w:p>
        </w:tc>
      </w:tr>
      <w:tr w:rsidR="004C256B" w14:paraId="0A55A2B6"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34B91572" w14:textId="77777777" w:rsidR="004C256B" w:rsidRPr="007B5379" w:rsidRDefault="004C256B" w:rsidP="004C256B">
            <w:pPr>
              <w:spacing w:before="0" w:after="0" w:line="240" w:lineRule="auto"/>
              <w:rPr>
                <w:rFonts w:ascii="Arial" w:hAnsi="Arial" w:cs="Arial"/>
                <w:color w:val="00FFFF"/>
                <w:sz w:val="16"/>
                <w:szCs w:val="16"/>
                <w:highlight w:val="magenta"/>
              </w:rPr>
            </w:pPr>
            <w:r w:rsidRPr="00207DD5">
              <w:rPr>
                <w:rFonts w:ascii="Arial" w:hAnsi="Arial" w:cs="Arial"/>
                <w:sz w:val="16"/>
                <w:szCs w:val="16"/>
              </w:rPr>
              <w:t>Total policy decisions impact on</w:t>
            </w:r>
          </w:p>
        </w:tc>
        <w:tc>
          <w:tcPr>
            <w:tcW w:w="460" w:type="pct"/>
            <w:tcBorders>
              <w:top w:val="nil"/>
              <w:left w:val="nil"/>
              <w:bottom w:val="nil"/>
              <w:right w:val="nil"/>
            </w:tcBorders>
            <w:shd w:val="clear" w:color="000000" w:fill="FFFFFF"/>
            <w:noWrap/>
            <w:vAlign w:val="center"/>
            <w:hideMark/>
          </w:tcPr>
          <w:p w14:paraId="3B78835E"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74" w:type="pct"/>
            <w:tcBorders>
              <w:top w:val="nil"/>
              <w:left w:val="nil"/>
              <w:bottom w:val="nil"/>
              <w:right w:val="nil"/>
            </w:tcBorders>
            <w:shd w:val="clear" w:color="000000" w:fill="E6F2FF"/>
            <w:noWrap/>
            <w:vAlign w:val="center"/>
            <w:hideMark/>
          </w:tcPr>
          <w:p w14:paraId="19547588"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74" w:type="pct"/>
            <w:tcBorders>
              <w:top w:val="nil"/>
              <w:left w:val="nil"/>
              <w:bottom w:val="nil"/>
              <w:right w:val="nil"/>
            </w:tcBorders>
            <w:shd w:val="clear" w:color="000000" w:fill="FFFFFF"/>
            <w:noWrap/>
            <w:vAlign w:val="center"/>
            <w:hideMark/>
          </w:tcPr>
          <w:p w14:paraId="582DA7B7"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74" w:type="pct"/>
            <w:tcBorders>
              <w:top w:val="nil"/>
              <w:left w:val="nil"/>
              <w:bottom w:val="nil"/>
              <w:right w:val="nil"/>
            </w:tcBorders>
            <w:shd w:val="clear" w:color="000000" w:fill="FFFFFF"/>
            <w:noWrap/>
            <w:vAlign w:val="center"/>
            <w:hideMark/>
          </w:tcPr>
          <w:p w14:paraId="6A87F1FE"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74" w:type="pct"/>
            <w:tcBorders>
              <w:top w:val="nil"/>
              <w:left w:val="nil"/>
              <w:bottom w:val="nil"/>
              <w:right w:val="nil"/>
            </w:tcBorders>
            <w:shd w:val="clear" w:color="000000" w:fill="FFFFFF"/>
            <w:noWrap/>
            <w:vAlign w:val="center"/>
            <w:hideMark/>
          </w:tcPr>
          <w:p w14:paraId="7C5B874B"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9" w:type="pct"/>
            <w:tcBorders>
              <w:top w:val="nil"/>
              <w:left w:val="nil"/>
              <w:bottom w:val="nil"/>
              <w:right w:val="nil"/>
            </w:tcBorders>
            <w:shd w:val="clear" w:color="000000" w:fill="FFFFFF"/>
            <w:noWrap/>
            <w:vAlign w:val="center"/>
            <w:hideMark/>
          </w:tcPr>
          <w:p w14:paraId="5E624945"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83" w:type="pct"/>
            <w:tcBorders>
              <w:top w:val="nil"/>
              <w:left w:val="nil"/>
              <w:bottom w:val="nil"/>
              <w:right w:val="nil"/>
            </w:tcBorders>
            <w:shd w:val="clear" w:color="000000" w:fill="FFFFFF"/>
            <w:noWrap/>
            <w:vAlign w:val="center"/>
            <w:hideMark/>
          </w:tcPr>
          <w:p w14:paraId="7BA1D42C" w14:textId="77777777" w:rsidR="004C256B" w:rsidRPr="00207DD5" w:rsidRDefault="004C256B" w:rsidP="004C256B">
            <w:pPr>
              <w:spacing w:before="0" w:after="0" w:line="240" w:lineRule="auto"/>
              <w:jc w:val="right"/>
              <w:rPr>
                <w:rFonts w:ascii="Arial" w:hAnsi="Arial" w:cs="Arial"/>
                <w:i/>
                <w:sz w:val="16"/>
                <w:szCs w:val="16"/>
              </w:rPr>
            </w:pPr>
            <w:r w:rsidRPr="00207DD5">
              <w:rPr>
                <w:rFonts w:ascii="Arial" w:hAnsi="Arial" w:cs="Arial"/>
                <w:i/>
                <w:sz w:val="16"/>
                <w:szCs w:val="16"/>
              </w:rPr>
              <w:t> </w:t>
            </w:r>
          </w:p>
        </w:tc>
      </w:tr>
      <w:tr w:rsidR="004C256B" w14:paraId="79246111"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124FC403" w14:textId="77777777" w:rsidR="004C256B" w:rsidRPr="007B5379" w:rsidRDefault="004C256B" w:rsidP="004C256B">
            <w:pPr>
              <w:spacing w:before="0" w:after="0" w:line="240" w:lineRule="auto"/>
              <w:ind w:firstLineChars="100" w:firstLine="160"/>
              <w:rPr>
                <w:rFonts w:ascii="Arial" w:hAnsi="Arial" w:cs="Arial"/>
                <w:color w:val="00FFFF"/>
                <w:sz w:val="16"/>
                <w:szCs w:val="16"/>
                <w:highlight w:val="magenta"/>
              </w:rPr>
            </w:pPr>
            <w:r w:rsidRPr="00207DD5">
              <w:rPr>
                <w:rFonts w:ascii="Arial" w:hAnsi="Arial" w:cs="Arial"/>
                <w:sz w:val="16"/>
                <w:szCs w:val="16"/>
              </w:rPr>
              <w:t>underlying cash balance</w:t>
            </w:r>
          </w:p>
        </w:tc>
        <w:tc>
          <w:tcPr>
            <w:tcW w:w="460" w:type="pct"/>
            <w:tcBorders>
              <w:top w:val="nil"/>
              <w:left w:val="nil"/>
              <w:bottom w:val="single" w:sz="4" w:space="0" w:color="293F5B"/>
              <w:right w:val="nil"/>
            </w:tcBorders>
            <w:shd w:val="clear" w:color="000000" w:fill="FFFFFF"/>
            <w:vAlign w:val="center"/>
            <w:hideMark/>
          </w:tcPr>
          <w:p w14:paraId="191F5ACB"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-5,298</w:t>
            </w:r>
          </w:p>
        </w:tc>
        <w:tc>
          <w:tcPr>
            <w:tcW w:w="474" w:type="pct"/>
            <w:tcBorders>
              <w:top w:val="nil"/>
              <w:left w:val="nil"/>
              <w:bottom w:val="single" w:sz="4" w:space="0" w:color="293F5B"/>
              <w:right w:val="nil"/>
            </w:tcBorders>
            <w:shd w:val="clear" w:color="000000" w:fill="E6F2FF"/>
            <w:vAlign w:val="center"/>
            <w:hideMark/>
          </w:tcPr>
          <w:p w14:paraId="62EADDF5"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-6,520</w:t>
            </w:r>
          </w:p>
        </w:tc>
        <w:tc>
          <w:tcPr>
            <w:tcW w:w="474" w:type="pct"/>
            <w:tcBorders>
              <w:top w:val="nil"/>
              <w:left w:val="nil"/>
              <w:bottom w:val="single" w:sz="4" w:space="0" w:color="293F5B"/>
              <w:right w:val="nil"/>
            </w:tcBorders>
            <w:shd w:val="clear" w:color="000000" w:fill="FFFFFF"/>
            <w:vAlign w:val="center"/>
            <w:hideMark/>
          </w:tcPr>
          <w:p w14:paraId="6751F364"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-2,327</w:t>
            </w:r>
          </w:p>
        </w:tc>
        <w:tc>
          <w:tcPr>
            <w:tcW w:w="474" w:type="pct"/>
            <w:tcBorders>
              <w:top w:val="nil"/>
              <w:left w:val="nil"/>
              <w:bottom w:val="single" w:sz="4" w:space="0" w:color="293F5B"/>
              <w:right w:val="nil"/>
            </w:tcBorders>
            <w:shd w:val="clear" w:color="000000" w:fill="FFFFFF"/>
            <w:vAlign w:val="center"/>
            <w:hideMark/>
          </w:tcPr>
          <w:p w14:paraId="4DF3390A"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3,088</w:t>
            </w:r>
          </w:p>
        </w:tc>
        <w:tc>
          <w:tcPr>
            <w:tcW w:w="474" w:type="pct"/>
            <w:tcBorders>
              <w:top w:val="nil"/>
              <w:left w:val="nil"/>
              <w:bottom w:val="single" w:sz="4" w:space="0" w:color="293F5B"/>
              <w:right w:val="nil"/>
            </w:tcBorders>
            <w:shd w:val="clear" w:color="000000" w:fill="FFFFFF"/>
            <w:vAlign w:val="center"/>
            <w:hideMark/>
          </w:tcPr>
          <w:p w14:paraId="06E01C30"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19,299</w:t>
            </w:r>
          </w:p>
        </w:tc>
        <w:tc>
          <w:tcPr>
            <w:tcW w:w="49" w:type="pct"/>
            <w:tcBorders>
              <w:top w:val="nil"/>
              <w:left w:val="nil"/>
              <w:bottom w:val="nil"/>
              <w:right w:val="nil"/>
            </w:tcBorders>
            <w:shd w:val="clear" w:color="000000" w:fill="FFFFFF"/>
            <w:vAlign w:val="center"/>
            <w:hideMark/>
          </w:tcPr>
          <w:p w14:paraId="5EA611F6" w14:textId="77777777" w:rsidR="004C256B" w:rsidRPr="007B5379" w:rsidRDefault="004C256B" w:rsidP="004C256B">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single" w:sz="4" w:space="0" w:color="293F5B"/>
              <w:right w:val="nil"/>
            </w:tcBorders>
            <w:shd w:val="clear" w:color="000000" w:fill="FFFFFF"/>
            <w:vAlign w:val="center"/>
            <w:hideMark/>
          </w:tcPr>
          <w:p w14:paraId="240BF0DF" w14:textId="77777777" w:rsidR="004C256B" w:rsidRPr="00207DD5" w:rsidRDefault="004C256B" w:rsidP="004C256B">
            <w:pPr>
              <w:spacing w:before="0" w:after="0" w:line="240" w:lineRule="auto"/>
              <w:jc w:val="right"/>
              <w:rPr>
                <w:rFonts w:ascii="Arial" w:hAnsi="Arial" w:cs="Arial"/>
                <w:sz w:val="16"/>
                <w:szCs w:val="16"/>
              </w:rPr>
            </w:pPr>
            <w:r w:rsidRPr="00207DD5">
              <w:rPr>
                <w:rFonts w:ascii="Arial" w:hAnsi="Arial" w:cs="Arial"/>
                <w:sz w:val="16"/>
                <w:szCs w:val="16"/>
              </w:rPr>
              <w:t>8,242</w:t>
            </w:r>
          </w:p>
        </w:tc>
      </w:tr>
      <w:tr w:rsidR="004C256B" w14:paraId="36E5B95A" w14:textId="77777777" w:rsidTr="00E91697">
        <w:trPr>
          <w:trHeight w:hRule="exact" w:val="60"/>
        </w:trPr>
        <w:tc>
          <w:tcPr>
            <w:tcW w:w="2113" w:type="pct"/>
            <w:tcBorders>
              <w:top w:val="nil"/>
              <w:left w:val="nil"/>
              <w:bottom w:val="nil"/>
              <w:right w:val="nil"/>
            </w:tcBorders>
            <w:shd w:val="clear" w:color="000000" w:fill="FFFFFF"/>
            <w:noWrap/>
            <w:vAlign w:val="center"/>
            <w:hideMark/>
          </w:tcPr>
          <w:p w14:paraId="03ACC303" w14:textId="77777777" w:rsidR="004C256B" w:rsidRPr="007B5379" w:rsidRDefault="004C256B" w:rsidP="004C256B">
            <w:pPr>
              <w:spacing w:before="0" w:after="0" w:line="240" w:lineRule="auto"/>
              <w:ind w:firstLineChars="100" w:firstLine="160"/>
              <w:rPr>
                <w:rFonts w:ascii="Arial" w:hAnsi="Arial" w:cs="Arial"/>
                <w:i/>
                <w:color w:val="00FFFF"/>
                <w:sz w:val="16"/>
                <w:szCs w:val="16"/>
                <w:highlight w:val="magenta"/>
              </w:rPr>
            </w:pPr>
            <w:r w:rsidRPr="00207DD5">
              <w:rPr>
                <w:rFonts w:ascii="Arial" w:hAnsi="Arial" w:cs="Arial"/>
                <w:i/>
                <w:sz w:val="16"/>
                <w:szCs w:val="16"/>
              </w:rPr>
              <w:t> </w:t>
            </w:r>
          </w:p>
        </w:tc>
        <w:tc>
          <w:tcPr>
            <w:tcW w:w="460" w:type="pct"/>
            <w:tcBorders>
              <w:top w:val="nil"/>
              <w:left w:val="nil"/>
              <w:bottom w:val="nil"/>
              <w:right w:val="nil"/>
            </w:tcBorders>
            <w:shd w:val="clear" w:color="000000" w:fill="FFFFFF"/>
            <w:noWrap/>
            <w:vAlign w:val="center"/>
            <w:hideMark/>
          </w:tcPr>
          <w:p w14:paraId="15C20B0E"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74" w:type="pct"/>
            <w:tcBorders>
              <w:top w:val="nil"/>
              <w:left w:val="nil"/>
              <w:bottom w:val="nil"/>
              <w:right w:val="nil"/>
            </w:tcBorders>
            <w:shd w:val="clear" w:color="000000" w:fill="E6F2FF"/>
            <w:noWrap/>
            <w:vAlign w:val="center"/>
            <w:hideMark/>
          </w:tcPr>
          <w:p w14:paraId="502EDE11"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74" w:type="pct"/>
            <w:tcBorders>
              <w:top w:val="nil"/>
              <w:left w:val="nil"/>
              <w:bottom w:val="nil"/>
              <w:right w:val="nil"/>
            </w:tcBorders>
            <w:shd w:val="clear" w:color="000000" w:fill="FFFFFF"/>
            <w:noWrap/>
            <w:vAlign w:val="center"/>
            <w:hideMark/>
          </w:tcPr>
          <w:p w14:paraId="310A250B"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74" w:type="pct"/>
            <w:tcBorders>
              <w:top w:val="nil"/>
              <w:left w:val="nil"/>
              <w:bottom w:val="nil"/>
              <w:right w:val="nil"/>
            </w:tcBorders>
            <w:shd w:val="clear" w:color="000000" w:fill="FFFFFF"/>
            <w:noWrap/>
            <w:vAlign w:val="center"/>
            <w:hideMark/>
          </w:tcPr>
          <w:p w14:paraId="6D3BDBED"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74" w:type="pct"/>
            <w:tcBorders>
              <w:top w:val="nil"/>
              <w:left w:val="nil"/>
              <w:bottom w:val="nil"/>
              <w:right w:val="nil"/>
            </w:tcBorders>
            <w:shd w:val="clear" w:color="000000" w:fill="FFFFFF"/>
            <w:noWrap/>
            <w:vAlign w:val="center"/>
            <w:hideMark/>
          </w:tcPr>
          <w:p w14:paraId="2C71177F"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9" w:type="pct"/>
            <w:tcBorders>
              <w:top w:val="nil"/>
              <w:left w:val="nil"/>
              <w:bottom w:val="nil"/>
              <w:right w:val="nil"/>
            </w:tcBorders>
            <w:shd w:val="clear" w:color="000000" w:fill="FFFFFF"/>
            <w:noWrap/>
            <w:vAlign w:val="center"/>
            <w:hideMark/>
          </w:tcPr>
          <w:p w14:paraId="099F3B7B"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83" w:type="pct"/>
            <w:tcBorders>
              <w:top w:val="nil"/>
              <w:left w:val="nil"/>
              <w:bottom w:val="nil"/>
              <w:right w:val="nil"/>
            </w:tcBorders>
            <w:shd w:val="clear" w:color="000000" w:fill="FFFFFF"/>
            <w:noWrap/>
            <w:vAlign w:val="center"/>
            <w:hideMark/>
          </w:tcPr>
          <w:p w14:paraId="3CB99714" w14:textId="77777777" w:rsidR="004C256B" w:rsidRPr="00207DD5" w:rsidRDefault="004C256B" w:rsidP="004C256B">
            <w:pPr>
              <w:spacing w:before="0" w:after="0" w:line="240" w:lineRule="auto"/>
              <w:rPr>
                <w:rFonts w:ascii="Arial" w:hAnsi="Arial" w:cs="Arial"/>
                <w:sz w:val="16"/>
                <w:szCs w:val="16"/>
              </w:rPr>
            </w:pPr>
            <w:r w:rsidRPr="00207DD5">
              <w:rPr>
                <w:rFonts w:ascii="Arial" w:hAnsi="Arial" w:cs="Arial"/>
                <w:sz w:val="16"/>
                <w:szCs w:val="16"/>
              </w:rPr>
              <w:t> </w:t>
            </w:r>
          </w:p>
        </w:tc>
      </w:tr>
      <w:tr w:rsidR="004C256B" w14:paraId="085B0E83" w14:textId="77777777" w:rsidTr="00E91697">
        <w:trPr>
          <w:trHeight w:hRule="exact" w:val="225"/>
        </w:trPr>
        <w:tc>
          <w:tcPr>
            <w:tcW w:w="2113" w:type="pct"/>
            <w:tcBorders>
              <w:top w:val="nil"/>
              <w:left w:val="nil"/>
              <w:bottom w:val="nil"/>
              <w:right w:val="nil"/>
            </w:tcBorders>
            <w:shd w:val="clear" w:color="000000" w:fill="FFFFFF"/>
            <w:noWrap/>
            <w:vAlign w:val="bottom"/>
            <w:hideMark/>
          </w:tcPr>
          <w:p w14:paraId="2604786E" w14:textId="77777777" w:rsidR="004C256B" w:rsidRPr="007B5379" w:rsidRDefault="004C256B" w:rsidP="004C256B">
            <w:pPr>
              <w:spacing w:before="0" w:after="0" w:line="240" w:lineRule="auto"/>
              <w:rPr>
                <w:rFonts w:ascii="Arial" w:hAnsi="Arial" w:cs="Arial"/>
                <w:color w:val="00FFFF"/>
                <w:sz w:val="16"/>
                <w:szCs w:val="16"/>
                <w:highlight w:val="magenta"/>
              </w:rPr>
            </w:pPr>
            <w:r w:rsidRPr="00207DD5">
              <w:rPr>
                <w:rFonts w:ascii="Arial" w:hAnsi="Arial" w:cs="Arial"/>
                <w:sz w:val="16"/>
                <w:szCs w:val="16"/>
              </w:rPr>
              <w:t>Effect of parameter and other variations(c)</w:t>
            </w:r>
          </w:p>
        </w:tc>
        <w:tc>
          <w:tcPr>
            <w:tcW w:w="460" w:type="pct"/>
            <w:tcBorders>
              <w:top w:val="nil"/>
              <w:left w:val="nil"/>
              <w:bottom w:val="nil"/>
              <w:right w:val="nil"/>
            </w:tcBorders>
            <w:shd w:val="clear" w:color="000000" w:fill="FFFFFF"/>
            <w:noWrap/>
            <w:vAlign w:val="center"/>
            <w:hideMark/>
          </w:tcPr>
          <w:p w14:paraId="148CD96C"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center"/>
            <w:hideMark/>
          </w:tcPr>
          <w:p w14:paraId="7A7DC651"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462E1992"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7197D186"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684DF990"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9" w:type="pct"/>
            <w:tcBorders>
              <w:top w:val="nil"/>
              <w:left w:val="nil"/>
              <w:bottom w:val="nil"/>
              <w:right w:val="nil"/>
            </w:tcBorders>
            <w:shd w:val="clear" w:color="000000" w:fill="FFFFFF"/>
            <w:noWrap/>
            <w:vAlign w:val="center"/>
            <w:hideMark/>
          </w:tcPr>
          <w:p w14:paraId="126BFB22"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538DF774" w14:textId="77777777" w:rsidR="004C256B" w:rsidRPr="00207DD5" w:rsidRDefault="004C256B" w:rsidP="004C256B">
            <w:pPr>
              <w:spacing w:before="0" w:after="0" w:line="240" w:lineRule="auto"/>
              <w:rPr>
                <w:rFonts w:ascii="Arial" w:hAnsi="Arial" w:cs="Arial"/>
                <w:sz w:val="16"/>
                <w:szCs w:val="16"/>
              </w:rPr>
            </w:pPr>
            <w:r w:rsidRPr="00207DD5">
              <w:rPr>
                <w:rFonts w:ascii="Arial" w:hAnsi="Arial" w:cs="Arial"/>
                <w:sz w:val="16"/>
                <w:szCs w:val="16"/>
              </w:rPr>
              <w:t> </w:t>
            </w:r>
          </w:p>
        </w:tc>
      </w:tr>
      <w:tr w:rsidR="004C256B" w14:paraId="143D1FB3"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28486440" w14:textId="77777777" w:rsidR="004C256B" w:rsidRPr="007B5379" w:rsidRDefault="004C256B" w:rsidP="004C256B">
            <w:pPr>
              <w:spacing w:before="0" w:after="0" w:line="240" w:lineRule="auto"/>
              <w:ind w:firstLineChars="100" w:firstLine="160"/>
              <w:rPr>
                <w:rFonts w:ascii="Arial" w:hAnsi="Arial" w:cs="Arial"/>
                <w:i/>
                <w:color w:val="00FFFF"/>
                <w:sz w:val="16"/>
                <w:szCs w:val="16"/>
                <w:highlight w:val="magenta"/>
              </w:rPr>
            </w:pPr>
            <w:r w:rsidRPr="00207DD5">
              <w:rPr>
                <w:rFonts w:ascii="Arial" w:hAnsi="Arial" w:cs="Arial"/>
                <w:i/>
                <w:sz w:val="16"/>
                <w:szCs w:val="16"/>
              </w:rPr>
              <w:t>Receipts</w:t>
            </w:r>
          </w:p>
        </w:tc>
        <w:tc>
          <w:tcPr>
            <w:tcW w:w="460" w:type="pct"/>
            <w:tcBorders>
              <w:top w:val="nil"/>
              <w:left w:val="nil"/>
              <w:bottom w:val="nil"/>
              <w:right w:val="nil"/>
            </w:tcBorders>
            <w:shd w:val="clear" w:color="000000" w:fill="FFFFFF"/>
            <w:noWrap/>
            <w:vAlign w:val="center"/>
            <w:hideMark/>
          </w:tcPr>
          <w:p w14:paraId="7C3AA89D"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13,551</w:t>
            </w:r>
          </w:p>
        </w:tc>
        <w:tc>
          <w:tcPr>
            <w:tcW w:w="474" w:type="pct"/>
            <w:tcBorders>
              <w:top w:val="nil"/>
              <w:left w:val="nil"/>
              <w:bottom w:val="nil"/>
              <w:right w:val="nil"/>
            </w:tcBorders>
            <w:shd w:val="clear" w:color="000000" w:fill="E6F2FF"/>
            <w:noWrap/>
            <w:vAlign w:val="center"/>
            <w:hideMark/>
          </w:tcPr>
          <w:p w14:paraId="7163862B"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18,842</w:t>
            </w:r>
          </w:p>
        </w:tc>
        <w:tc>
          <w:tcPr>
            <w:tcW w:w="474" w:type="pct"/>
            <w:tcBorders>
              <w:top w:val="nil"/>
              <w:left w:val="nil"/>
              <w:bottom w:val="nil"/>
              <w:right w:val="nil"/>
            </w:tcBorders>
            <w:shd w:val="clear" w:color="000000" w:fill="FFFFFF"/>
            <w:noWrap/>
            <w:vAlign w:val="center"/>
            <w:hideMark/>
          </w:tcPr>
          <w:p w14:paraId="121F18A2"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16,352</w:t>
            </w:r>
          </w:p>
        </w:tc>
        <w:tc>
          <w:tcPr>
            <w:tcW w:w="474" w:type="pct"/>
            <w:tcBorders>
              <w:top w:val="nil"/>
              <w:left w:val="nil"/>
              <w:bottom w:val="nil"/>
              <w:right w:val="nil"/>
            </w:tcBorders>
            <w:shd w:val="clear" w:color="000000" w:fill="FFFFFF"/>
            <w:noWrap/>
            <w:vAlign w:val="center"/>
            <w:hideMark/>
          </w:tcPr>
          <w:p w14:paraId="4E00BFD0"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598</w:t>
            </w:r>
          </w:p>
        </w:tc>
        <w:tc>
          <w:tcPr>
            <w:tcW w:w="474" w:type="pct"/>
            <w:tcBorders>
              <w:top w:val="nil"/>
              <w:left w:val="nil"/>
              <w:bottom w:val="nil"/>
              <w:right w:val="nil"/>
            </w:tcBorders>
            <w:shd w:val="clear" w:color="000000" w:fill="FFFFFF"/>
            <w:noWrap/>
            <w:vAlign w:val="center"/>
            <w:hideMark/>
          </w:tcPr>
          <w:p w14:paraId="0DCB7AEA"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-8,228</w:t>
            </w:r>
          </w:p>
        </w:tc>
        <w:tc>
          <w:tcPr>
            <w:tcW w:w="49" w:type="pct"/>
            <w:tcBorders>
              <w:top w:val="nil"/>
              <w:left w:val="nil"/>
              <w:bottom w:val="nil"/>
              <w:right w:val="nil"/>
            </w:tcBorders>
            <w:shd w:val="clear" w:color="000000" w:fill="FFFFFF"/>
            <w:noWrap/>
            <w:vAlign w:val="center"/>
            <w:hideMark/>
          </w:tcPr>
          <w:p w14:paraId="52370925"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83" w:type="pct"/>
            <w:tcBorders>
              <w:top w:val="nil"/>
              <w:left w:val="nil"/>
              <w:bottom w:val="nil"/>
              <w:right w:val="nil"/>
            </w:tcBorders>
            <w:shd w:val="clear" w:color="000000" w:fill="FFFFFF"/>
            <w:noWrap/>
            <w:vAlign w:val="center"/>
            <w:hideMark/>
          </w:tcPr>
          <w:p w14:paraId="2466BBBE" w14:textId="77777777" w:rsidR="004C256B" w:rsidRPr="00207DD5" w:rsidRDefault="004C256B" w:rsidP="004C256B">
            <w:pPr>
              <w:spacing w:before="0" w:after="0" w:line="240" w:lineRule="auto"/>
              <w:jc w:val="right"/>
              <w:rPr>
                <w:rFonts w:ascii="Arial" w:hAnsi="Arial" w:cs="Arial"/>
                <w:i/>
                <w:sz w:val="16"/>
                <w:szCs w:val="16"/>
              </w:rPr>
            </w:pPr>
            <w:r w:rsidRPr="00207DD5">
              <w:rPr>
                <w:rFonts w:ascii="Arial" w:hAnsi="Arial" w:cs="Arial"/>
                <w:i/>
                <w:sz w:val="16"/>
                <w:szCs w:val="16"/>
              </w:rPr>
              <w:t>41,116</w:t>
            </w:r>
          </w:p>
        </w:tc>
      </w:tr>
      <w:tr w:rsidR="004C256B" w14:paraId="0096A1F5"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07F5C7EF" w14:textId="77777777" w:rsidR="004C256B" w:rsidRPr="007B5379" w:rsidRDefault="004C256B" w:rsidP="004C256B">
            <w:pPr>
              <w:spacing w:before="0" w:after="0" w:line="240" w:lineRule="auto"/>
              <w:ind w:firstLineChars="100" w:firstLine="160"/>
              <w:rPr>
                <w:rFonts w:ascii="Arial" w:hAnsi="Arial" w:cs="Arial"/>
                <w:i/>
                <w:color w:val="00FFFF"/>
                <w:sz w:val="16"/>
                <w:szCs w:val="16"/>
                <w:highlight w:val="magenta"/>
              </w:rPr>
            </w:pPr>
            <w:r w:rsidRPr="00207DD5">
              <w:rPr>
                <w:rFonts w:ascii="Arial" w:hAnsi="Arial" w:cs="Arial"/>
                <w:i/>
                <w:sz w:val="16"/>
                <w:szCs w:val="16"/>
              </w:rPr>
              <w:t>Payments</w:t>
            </w:r>
          </w:p>
        </w:tc>
        <w:tc>
          <w:tcPr>
            <w:tcW w:w="460" w:type="pct"/>
            <w:tcBorders>
              <w:top w:val="nil"/>
              <w:left w:val="nil"/>
              <w:bottom w:val="single" w:sz="4" w:space="0" w:color="293F5B"/>
              <w:right w:val="nil"/>
            </w:tcBorders>
            <w:shd w:val="clear" w:color="000000" w:fill="FFFFFF"/>
            <w:noWrap/>
            <w:vAlign w:val="center"/>
            <w:hideMark/>
          </w:tcPr>
          <w:p w14:paraId="7B03CE3F"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-228</w:t>
            </w:r>
          </w:p>
        </w:tc>
        <w:tc>
          <w:tcPr>
            <w:tcW w:w="474" w:type="pct"/>
            <w:tcBorders>
              <w:top w:val="nil"/>
              <w:left w:val="nil"/>
              <w:bottom w:val="single" w:sz="4" w:space="0" w:color="293F5B"/>
              <w:right w:val="nil"/>
            </w:tcBorders>
            <w:shd w:val="clear" w:color="000000" w:fill="E6F2FF"/>
            <w:noWrap/>
            <w:vAlign w:val="center"/>
            <w:hideMark/>
          </w:tcPr>
          <w:p w14:paraId="5C0C5074"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9,561</w:t>
            </w:r>
          </w:p>
        </w:tc>
        <w:tc>
          <w:tcPr>
            <w:tcW w:w="474" w:type="pct"/>
            <w:tcBorders>
              <w:top w:val="nil"/>
              <w:left w:val="nil"/>
              <w:bottom w:val="single" w:sz="4" w:space="0" w:color="293F5B"/>
              <w:right w:val="nil"/>
            </w:tcBorders>
            <w:shd w:val="clear" w:color="000000" w:fill="FFFFFF"/>
            <w:noWrap/>
            <w:vAlign w:val="center"/>
            <w:hideMark/>
          </w:tcPr>
          <w:p w14:paraId="5F775EDC"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8,836</w:t>
            </w:r>
          </w:p>
        </w:tc>
        <w:tc>
          <w:tcPr>
            <w:tcW w:w="474" w:type="pct"/>
            <w:tcBorders>
              <w:top w:val="nil"/>
              <w:left w:val="nil"/>
              <w:bottom w:val="single" w:sz="4" w:space="0" w:color="293F5B"/>
              <w:right w:val="nil"/>
            </w:tcBorders>
            <w:shd w:val="clear" w:color="000000" w:fill="FFFFFF"/>
            <w:noWrap/>
            <w:vAlign w:val="center"/>
            <w:hideMark/>
          </w:tcPr>
          <w:p w14:paraId="017F0D45"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2,139</w:t>
            </w:r>
          </w:p>
        </w:tc>
        <w:tc>
          <w:tcPr>
            <w:tcW w:w="474" w:type="pct"/>
            <w:tcBorders>
              <w:top w:val="nil"/>
              <w:left w:val="nil"/>
              <w:bottom w:val="single" w:sz="4" w:space="0" w:color="293F5B"/>
              <w:right w:val="nil"/>
            </w:tcBorders>
            <w:shd w:val="clear" w:color="000000" w:fill="FFFFFF"/>
            <w:noWrap/>
            <w:vAlign w:val="center"/>
            <w:hideMark/>
          </w:tcPr>
          <w:p w14:paraId="022CC066"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-15,808</w:t>
            </w:r>
          </w:p>
        </w:tc>
        <w:tc>
          <w:tcPr>
            <w:tcW w:w="49" w:type="pct"/>
            <w:tcBorders>
              <w:top w:val="nil"/>
              <w:left w:val="nil"/>
              <w:bottom w:val="nil"/>
              <w:right w:val="nil"/>
            </w:tcBorders>
            <w:shd w:val="clear" w:color="000000" w:fill="FFFFFF"/>
            <w:noWrap/>
            <w:vAlign w:val="center"/>
            <w:hideMark/>
          </w:tcPr>
          <w:p w14:paraId="09DDC29B"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83" w:type="pct"/>
            <w:tcBorders>
              <w:top w:val="nil"/>
              <w:left w:val="nil"/>
              <w:bottom w:val="single" w:sz="4" w:space="0" w:color="293F5B"/>
              <w:right w:val="nil"/>
            </w:tcBorders>
            <w:shd w:val="clear" w:color="000000" w:fill="FFFFFF"/>
            <w:noWrap/>
            <w:vAlign w:val="center"/>
            <w:hideMark/>
          </w:tcPr>
          <w:p w14:paraId="1B7F601B" w14:textId="77777777" w:rsidR="004C256B" w:rsidRPr="00207DD5" w:rsidRDefault="004C256B" w:rsidP="004C256B">
            <w:pPr>
              <w:spacing w:before="0" w:after="0" w:line="240" w:lineRule="auto"/>
              <w:jc w:val="right"/>
              <w:rPr>
                <w:rFonts w:ascii="Arial" w:hAnsi="Arial" w:cs="Arial"/>
                <w:i/>
                <w:sz w:val="16"/>
                <w:szCs w:val="16"/>
              </w:rPr>
            </w:pPr>
            <w:r w:rsidRPr="00207DD5">
              <w:rPr>
                <w:rFonts w:ascii="Arial" w:hAnsi="Arial" w:cs="Arial"/>
                <w:i/>
                <w:sz w:val="16"/>
                <w:szCs w:val="16"/>
              </w:rPr>
              <w:t>4,501</w:t>
            </w:r>
          </w:p>
        </w:tc>
      </w:tr>
      <w:tr w:rsidR="004C256B" w14:paraId="165EED8B"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2DCFEC94" w14:textId="77777777" w:rsidR="004C256B" w:rsidRPr="007B5379" w:rsidRDefault="004C256B" w:rsidP="004C256B">
            <w:pPr>
              <w:spacing w:before="0" w:after="0" w:line="240" w:lineRule="auto"/>
              <w:rPr>
                <w:rFonts w:ascii="Arial" w:hAnsi="Arial" w:cs="Arial"/>
                <w:color w:val="00FFFF"/>
                <w:sz w:val="16"/>
                <w:szCs w:val="16"/>
                <w:highlight w:val="magenta"/>
              </w:rPr>
            </w:pPr>
            <w:r w:rsidRPr="00207DD5">
              <w:rPr>
                <w:rFonts w:ascii="Arial" w:hAnsi="Arial" w:cs="Arial"/>
                <w:sz w:val="16"/>
                <w:szCs w:val="16"/>
              </w:rPr>
              <w:t>Total parameter and other variations</w:t>
            </w:r>
          </w:p>
        </w:tc>
        <w:tc>
          <w:tcPr>
            <w:tcW w:w="460" w:type="pct"/>
            <w:tcBorders>
              <w:top w:val="nil"/>
              <w:left w:val="nil"/>
              <w:bottom w:val="nil"/>
              <w:right w:val="nil"/>
            </w:tcBorders>
            <w:shd w:val="clear" w:color="000000" w:fill="FFFFFF"/>
            <w:noWrap/>
            <w:vAlign w:val="center"/>
            <w:hideMark/>
          </w:tcPr>
          <w:p w14:paraId="1CB3A291"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center"/>
            <w:hideMark/>
          </w:tcPr>
          <w:p w14:paraId="32704784"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187462F1"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74" w:type="pct"/>
            <w:tcBorders>
              <w:top w:val="nil"/>
              <w:left w:val="nil"/>
              <w:bottom w:val="nil"/>
              <w:right w:val="nil"/>
            </w:tcBorders>
            <w:shd w:val="clear" w:color="000000" w:fill="FFFFFF"/>
            <w:noWrap/>
            <w:vAlign w:val="center"/>
            <w:hideMark/>
          </w:tcPr>
          <w:p w14:paraId="44047A6D"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74" w:type="pct"/>
            <w:tcBorders>
              <w:top w:val="nil"/>
              <w:left w:val="nil"/>
              <w:bottom w:val="nil"/>
              <w:right w:val="nil"/>
            </w:tcBorders>
            <w:shd w:val="clear" w:color="000000" w:fill="FFFFFF"/>
            <w:noWrap/>
            <w:vAlign w:val="center"/>
            <w:hideMark/>
          </w:tcPr>
          <w:p w14:paraId="7AD972A3" w14:textId="77777777" w:rsidR="004C256B" w:rsidRPr="007B5379" w:rsidRDefault="004C256B" w:rsidP="004C256B">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9" w:type="pct"/>
            <w:tcBorders>
              <w:top w:val="nil"/>
              <w:left w:val="nil"/>
              <w:bottom w:val="nil"/>
              <w:right w:val="nil"/>
            </w:tcBorders>
            <w:shd w:val="clear" w:color="000000" w:fill="FFFFFF"/>
            <w:noWrap/>
            <w:vAlign w:val="center"/>
            <w:hideMark/>
          </w:tcPr>
          <w:p w14:paraId="030FC0DE"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0E66BCA0" w14:textId="77777777" w:rsidR="004C256B" w:rsidRPr="00207DD5" w:rsidRDefault="004C256B" w:rsidP="004C256B">
            <w:pPr>
              <w:spacing w:before="0" w:after="0" w:line="240" w:lineRule="auto"/>
              <w:jc w:val="right"/>
              <w:rPr>
                <w:rFonts w:ascii="Arial" w:hAnsi="Arial" w:cs="Arial"/>
                <w:i/>
                <w:sz w:val="16"/>
                <w:szCs w:val="16"/>
              </w:rPr>
            </w:pPr>
            <w:r w:rsidRPr="00207DD5">
              <w:rPr>
                <w:rFonts w:ascii="Arial" w:hAnsi="Arial" w:cs="Arial"/>
                <w:i/>
                <w:sz w:val="16"/>
                <w:szCs w:val="16"/>
              </w:rPr>
              <w:t> </w:t>
            </w:r>
          </w:p>
        </w:tc>
      </w:tr>
      <w:tr w:rsidR="004C256B" w14:paraId="4E420A27"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52CBA671" w14:textId="77777777" w:rsidR="004C256B" w:rsidRPr="007B5379" w:rsidRDefault="004C256B" w:rsidP="004C256B">
            <w:pPr>
              <w:spacing w:before="0" w:after="0" w:line="240" w:lineRule="auto"/>
              <w:ind w:firstLineChars="100" w:firstLine="160"/>
              <w:rPr>
                <w:rFonts w:ascii="Arial" w:hAnsi="Arial" w:cs="Arial"/>
                <w:color w:val="00FFFF"/>
                <w:sz w:val="16"/>
                <w:szCs w:val="16"/>
                <w:highlight w:val="magenta"/>
              </w:rPr>
            </w:pPr>
            <w:r w:rsidRPr="00207DD5">
              <w:rPr>
                <w:rFonts w:ascii="Arial" w:hAnsi="Arial" w:cs="Arial"/>
                <w:sz w:val="16"/>
                <w:szCs w:val="16"/>
              </w:rPr>
              <w:t>impact on underlying cash balance</w:t>
            </w:r>
          </w:p>
        </w:tc>
        <w:tc>
          <w:tcPr>
            <w:tcW w:w="460" w:type="pct"/>
            <w:tcBorders>
              <w:top w:val="nil"/>
              <w:left w:val="nil"/>
              <w:bottom w:val="single" w:sz="4" w:space="0" w:color="293F5B"/>
              <w:right w:val="nil"/>
            </w:tcBorders>
            <w:shd w:val="clear" w:color="000000" w:fill="FFFFFF"/>
            <w:noWrap/>
            <w:vAlign w:val="center"/>
            <w:hideMark/>
          </w:tcPr>
          <w:p w14:paraId="69BD18B0"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13,778</w:t>
            </w:r>
          </w:p>
        </w:tc>
        <w:tc>
          <w:tcPr>
            <w:tcW w:w="474" w:type="pct"/>
            <w:tcBorders>
              <w:top w:val="nil"/>
              <w:left w:val="nil"/>
              <w:bottom w:val="single" w:sz="4" w:space="0" w:color="293F5B"/>
              <w:right w:val="nil"/>
            </w:tcBorders>
            <w:shd w:val="clear" w:color="000000" w:fill="E6F2FF"/>
            <w:noWrap/>
            <w:vAlign w:val="center"/>
            <w:hideMark/>
          </w:tcPr>
          <w:p w14:paraId="1668F766"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9,281</w:t>
            </w:r>
          </w:p>
        </w:tc>
        <w:tc>
          <w:tcPr>
            <w:tcW w:w="474" w:type="pct"/>
            <w:tcBorders>
              <w:top w:val="nil"/>
              <w:left w:val="nil"/>
              <w:bottom w:val="single" w:sz="4" w:space="0" w:color="293F5B"/>
              <w:right w:val="nil"/>
            </w:tcBorders>
            <w:shd w:val="clear" w:color="000000" w:fill="FFFFFF"/>
            <w:noWrap/>
            <w:vAlign w:val="center"/>
            <w:hideMark/>
          </w:tcPr>
          <w:p w14:paraId="53E7C744"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7,516</w:t>
            </w:r>
          </w:p>
        </w:tc>
        <w:tc>
          <w:tcPr>
            <w:tcW w:w="474" w:type="pct"/>
            <w:tcBorders>
              <w:top w:val="nil"/>
              <w:left w:val="nil"/>
              <w:bottom w:val="single" w:sz="4" w:space="0" w:color="293F5B"/>
              <w:right w:val="nil"/>
            </w:tcBorders>
            <w:shd w:val="clear" w:color="000000" w:fill="FFFFFF"/>
            <w:noWrap/>
            <w:vAlign w:val="center"/>
            <w:hideMark/>
          </w:tcPr>
          <w:p w14:paraId="7DD452EB"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-1,541</w:t>
            </w:r>
          </w:p>
        </w:tc>
        <w:tc>
          <w:tcPr>
            <w:tcW w:w="474" w:type="pct"/>
            <w:tcBorders>
              <w:top w:val="nil"/>
              <w:left w:val="nil"/>
              <w:bottom w:val="single" w:sz="4" w:space="0" w:color="293F5B"/>
              <w:right w:val="nil"/>
            </w:tcBorders>
            <w:shd w:val="clear" w:color="000000" w:fill="FFFFFF"/>
            <w:noWrap/>
            <w:vAlign w:val="center"/>
            <w:hideMark/>
          </w:tcPr>
          <w:p w14:paraId="557DEBB2"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7,580</w:t>
            </w:r>
          </w:p>
        </w:tc>
        <w:tc>
          <w:tcPr>
            <w:tcW w:w="49" w:type="pct"/>
            <w:tcBorders>
              <w:top w:val="nil"/>
              <w:left w:val="nil"/>
              <w:bottom w:val="nil"/>
              <w:right w:val="nil"/>
            </w:tcBorders>
            <w:shd w:val="clear" w:color="000000" w:fill="FFFFFF"/>
            <w:noWrap/>
            <w:vAlign w:val="center"/>
            <w:hideMark/>
          </w:tcPr>
          <w:p w14:paraId="5AC7DBE9"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single" w:sz="4" w:space="0" w:color="293F5B"/>
              <w:right w:val="nil"/>
            </w:tcBorders>
            <w:shd w:val="clear" w:color="000000" w:fill="FFFFFF"/>
            <w:noWrap/>
            <w:vAlign w:val="center"/>
            <w:hideMark/>
          </w:tcPr>
          <w:p w14:paraId="404C6817" w14:textId="77777777" w:rsidR="004C256B" w:rsidRPr="00207DD5" w:rsidRDefault="004C256B" w:rsidP="004C256B">
            <w:pPr>
              <w:spacing w:before="0" w:after="0" w:line="240" w:lineRule="auto"/>
              <w:jc w:val="right"/>
              <w:rPr>
                <w:rFonts w:ascii="Arial" w:hAnsi="Arial" w:cs="Arial"/>
                <w:sz w:val="16"/>
                <w:szCs w:val="16"/>
              </w:rPr>
            </w:pPr>
            <w:r w:rsidRPr="00207DD5">
              <w:rPr>
                <w:rFonts w:ascii="Arial" w:hAnsi="Arial" w:cs="Arial"/>
                <w:sz w:val="16"/>
                <w:szCs w:val="16"/>
              </w:rPr>
              <w:t>36,615</w:t>
            </w:r>
          </w:p>
        </w:tc>
      </w:tr>
      <w:tr w:rsidR="004C256B" w14:paraId="00F8D977" w14:textId="77777777" w:rsidTr="00E91697">
        <w:trPr>
          <w:trHeight w:hRule="exact" w:val="60"/>
        </w:trPr>
        <w:tc>
          <w:tcPr>
            <w:tcW w:w="2113" w:type="pct"/>
            <w:tcBorders>
              <w:top w:val="nil"/>
              <w:left w:val="nil"/>
              <w:bottom w:val="nil"/>
              <w:right w:val="nil"/>
            </w:tcBorders>
            <w:shd w:val="clear" w:color="000000" w:fill="FFFFFF"/>
            <w:noWrap/>
            <w:vAlign w:val="center"/>
            <w:hideMark/>
          </w:tcPr>
          <w:p w14:paraId="568C652A" w14:textId="77777777" w:rsidR="004C256B" w:rsidRPr="007B5379" w:rsidRDefault="004C256B" w:rsidP="004C256B">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60" w:type="pct"/>
            <w:tcBorders>
              <w:top w:val="nil"/>
              <w:left w:val="nil"/>
              <w:bottom w:val="nil"/>
              <w:right w:val="nil"/>
            </w:tcBorders>
            <w:shd w:val="clear" w:color="000000" w:fill="FFFFFF"/>
            <w:noWrap/>
            <w:vAlign w:val="center"/>
            <w:hideMark/>
          </w:tcPr>
          <w:p w14:paraId="6311E4C8"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center"/>
            <w:hideMark/>
          </w:tcPr>
          <w:p w14:paraId="4082B568"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71762E12"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5DD259D4"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center"/>
            <w:hideMark/>
          </w:tcPr>
          <w:p w14:paraId="69CD0C6E"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9" w:type="pct"/>
            <w:tcBorders>
              <w:top w:val="nil"/>
              <w:left w:val="nil"/>
              <w:bottom w:val="nil"/>
              <w:right w:val="nil"/>
            </w:tcBorders>
            <w:shd w:val="clear" w:color="000000" w:fill="FFFFFF"/>
            <w:noWrap/>
            <w:vAlign w:val="center"/>
            <w:hideMark/>
          </w:tcPr>
          <w:p w14:paraId="7A62BFCF"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39655EF6" w14:textId="77777777" w:rsidR="004C256B" w:rsidRPr="00207DD5" w:rsidRDefault="004C256B" w:rsidP="004C256B">
            <w:pPr>
              <w:spacing w:before="0" w:after="0" w:line="240" w:lineRule="auto"/>
              <w:jc w:val="right"/>
              <w:rPr>
                <w:rFonts w:ascii="Arial" w:hAnsi="Arial" w:cs="Arial"/>
                <w:sz w:val="16"/>
                <w:szCs w:val="16"/>
              </w:rPr>
            </w:pPr>
            <w:r w:rsidRPr="00207DD5">
              <w:rPr>
                <w:rFonts w:ascii="Arial" w:hAnsi="Arial" w:cs="Arial"/>
                <w:sz w:val="16"/>
                <w:szCs w:val="16"/>
              </w:rPr>
              <w:t> </w:t>
            </w:r>
          </w:p>
        </w:tc>
      </w:tr>
      <w:tr w:rsidR="004C256B" w14:paraId="4007B66F"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65BB5264" w14:textId="77777777" w:rsidR="004C256B" w:rsidRPr="007B5379" w:rsidRDefault="004C256B" w:rsidP="004C256B">
            <w:pPr>
              <w:spacing w:before="0" w:after="0" w:line="240" w:lineRule="auto"/>
              <w:rPr>
                <w:rFonts w:ascii="Arial" w:hAnsi="Arial" w:cs="Arial"/>
                <w:b/>
                <w:color w:val="00FFFF"/>
                <w:sz w:val="16"/>
                <w:szCs w:val="16"/>
                <w:highlight w:val="magenta"/>
              </w:rPr>
            </w:pPr>
            <w:r w:rsidRPr="00207DD5">
              <w:rPr>
                <w:rFonts w:ascii="Arial" w:hAnsi="Arial" w:cs="Arial"/>
                <w:b/>
                <w:sz w:val="16"/>
                <w:szCs w:val="16"/>
              </w:rPr>
              <w:t>2026-27 Budget underlying cash</w:t>
            </w:r>
          </w:p>
        </w:tc>
        <w:tc>
          <w:tcPr>
            <w:tcW w:w="460" w:type="pct"/>
            <w:tcBorders>
              <w:top w:val="nil"/>
              <w:left w:val="nil"/>
              <w:bottom w:val="nil"/>
              <w:right w:val="nil"/>
            </w:tcBorders>
            <w:shd w:val="clear" w:color="000000" w:fill="FFFFFF"/>
            <w:noWrap/>
            <w:vAlign w:val="center"/>
            <w:hideMark/>
          </w:tcPr>
          <w:p w14:paraId="5E54ADF4"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E6F2FF"/>
            <w:noWrap/>
            <w:vAlign w:val="center"/>
            <w:hideMark/>
          </w:tcPr>
          <w:p w14:paraId="71A256F5"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center"/>
            <w:hideMark/>
          </w:tcPr>
          <w:p w14:paraId="7BEEF5BA"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center"/>
            <w:hideMark/>
          </w:tcPr>
          <w:p w14:paraId="1955E32C"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center"/>
            <w:hideMark/>
          </w:tcPr>
          <w:p w14:paraId="0EF8D98B"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9" w:type="pct"/>
            <w:tcBorders>
              <w:top w:val="nil"/>
              <w:left w:val="nil"/>
              <w:bottom w:val="nil"/>
              <w:right w:val="nil"/>
            </w:tcBorders>
            <w:shd w:val="clear" w:color="000000" w:fill="FFFFFF"/>
            <w:noWrap/>
            <w:vAlign w:val="center"/>
            <w:hideMark/>
          </w:tcPr>
          <w:p w14:paraId="7BBE52B4"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83" w:type="pct"/>
            <w:tcBorders>
              <w:top w:val="nil"/>
              <w:left w:val="nil"/>
              <w:bottom w:val="nil"/>
              <w:right w:val="nil"/>
            </w:tcBorders>
            <w:shd w:val="clear" w:color="000000" w:fill="FFFFFF"/>
            <w:noWrap/>
            <w:vAlign w:val="center"/>
            <w:hideMark/>
          </w:tcPr>
          <w:p w14:paraId="4F77BFD9" w14:textId="77777777" w:rsidR="004C256B" w:rsidRPr="00207DD5" w:rsidRDefault="004C256B" w:rsidP="004C256B">
            <w:pPr>
              <w:spacing w:before="0" w:after="0" w:line="240" w:lineRule="auto"/>
              <w:jc w:val="right"/>
              <w:rPr>
                <w:rFonts w:ascii="Arial" w:hAnsi="Arial" w:cs="Arial"/>
                <w:b/>
                <w:sz w:val="16"/>
                <w:szCs w:val="16"/>
              </w:rPr>
            </w:pPr>
            <w:r w:rsidRPr="00207DD5">
              <w:rPr>
                <w:rFonts w:ascii="Arial" w:hAnsi="Arial" w:cs="Arial"/>
                <w:b/>
                <w:sz w:val="16"/>
                <w:szCs w:val="16"/>
              </w:rPr>
              <w:t> </w:t>
            </w:r>
          </w:p>
        </w:tc>
      </w:tr>
      <w:tr w:rsidR="004C256B" w14:paraId="3C2272A0" w14:textId="77777777" w:rsidTr="00E91697">
        <w:trPr>
          <w:trHeight w:hRule="exact" w:val="225"/>
        </w:trPr>
        <w:tc>
          <w:tcPr>
            <w:tcW w:w="2113" w:type="pct"/>
            <w:tcBorders>
              <w:top w:val="nil"/>
              <w:left w:val="nil"/>
              <w:bottom w:val="nil"/>
              <w:right w:val="nil"/>
            </w:tcBorders>
            <w:shd w:val="clear" w:color="000000" w:fill="FFFFFF"/>
            <w:noWrap/>
            <w:vAlign w:val="center"/>
            <w:hideMark/>
          </w:tcPr>
          <w:p w14:paraId="02EE888F" w14:textId="77777777" w:rsidR="004C256B" w:rsidRPr="007B5379" w:rsidRDefault="004C256B" w:rsidP="004C256B">
            <w:pPr>
              <w:spacing w:before="0" w:after="0" w:line="240" w:lineRule="auto"/>
              <w:ind w:firstLineChars="100" w:firstLine="161"/>
              <w:rPr>
                <w:rFonts w:ascii="Arial" w:hAnsi="Arial" w:cs="Arial"/>
                <w:b/>
                <w:color w:val="00FFFF"/>
                <w:sz w:val="16"/>
                <w:szCs w:val="16"/>
                <w:highlight w:val="magenta"/>
              </w:rPr>
            </w:pPr>
            <w:r w:rsidRPr="00207DD5">
              <w:rPr>
                <w:rFonts w:ascii="Arial" w:hAnsi="Arial" w:cs="Arial"/>
                <w:b/>
                <w:sz w:val="16"/>
                <w:szCs w:val="16"/>
              </w:rPr>
              <w:t>balance</w:t>
            </w:r>
          </w:p>
        </w:tc>
        <w:tc>
          <w:tcPr>
            <w:tcW w:w="460" w:type="pct"/>
            <w:tcBorders>
              <w:top w:val="nil"/>
              <w:left w:val="nil"/>
              <w:bottom w:val="nil"/>
              <w:right w:val="nil"/>
            </w:tcBorders>
            <w:shd w:val="clear" w:color="000000" w:fill="FFFFFF"/>
            <w:noWrap/>
            <w:vAlign w:val="center"/>
            <w:hideMark/>
          </w:tcPr>
          <w:p w14:paraId="13F98D53"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-28,284</w:t>
            </w:r>
          </w:p>
        </w:tc>
        <w:tc>
          <w:tcPr>
            <w:tcW w:w="474" w:type="pct"/>
            <w:tcBorders>
              <w:top w:val="nil"/>
              <w:left w:val="nil"/>
              <w:bottom w:val="nil"/>
              <w:right w:val="nil"/>
            </w:tcBorders>
            <w:shd w:val="clear" w:color="000000" w:fill="E6F2FF"/>
            <w:noWrap/>
            <w:vAlign w:val="center"/>
            <w:hideMark/>
          </w:tcPr>
          <w:p w14:paraId="67AF658B"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-31,542</w:t>
            </w:r>
          </w:p>
        </w:tc>
        <w:tc>
          <w:tcPr>
            <w:tcW w:w="474" w:type="pct"/>
            <w:tcBorders>
              <w:top w:val="nil"/>
              <w:left w:val="nil"/>
              <w:bottom w:val="nil"/>
              <w:right w:val="nil"/>
            </w:tcBorders>
            <w:shd w:val="clear" w:color="000000" w:fill="FFFFFF"/>
            <w:noWrap/>
            <w:vAlign w:val="center"/>
            <w:hideMark/>
          </w:tcPr>
          <w:p w14:paraId="4ED785C6"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-31,000</w:t>
            </w:r>
          </w:p>
        </w:tc>
        <w:tc>
          <w:tcPr>
            <w:tcW w:w="474" w:type="pct"/>
            <w:tcBorders>
              <w:top w:val="nil"/>
              <w:left w:val="nil"/>
              <w:bottom w:val="nil"/>
              <w:right w:val="nil"/>
            </w:tcBorders>
            <w:shd w:val="clear" w:color="000000" w:fill="FFFFFF"/>
            <w:noWrap/>
            <w:vAlign w:val="center"/>
            <w:hideMark/>
          </w:tcPr>
          <w:p w14:paraId="3D33D592"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-34,445</w:t>
            </w:r>
          </w:p>
        </w:tc>
        <w:tc>
          <w:tcPr>
            <w:tcW w:w="474" w:type="pct"/>
            <w:tcBorders>
              <w:top w:val="nil"/>
              <w:left w:val="nil"/>
              <w:bottom w:val="nil"/>
              <w:right w:val="nil"/>
            </w:tcBorders>
            <w:shd w:val="clear" w:color="000000" w:fill="FFFFFF"/>
            <w:noWrap/>
            <w:vAlign w:val="center"/>
            <w:hideMark/>
          </w:tcPr>
          <w:p w14:paraId="08951750"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-25,259</w:t>
            </w:r>
          </w:p>
        </w:tc>
        <w:tc>
          <w:tcPr>
            <w:tcW w:w="49" w:type="pct"/>
            <w:tcBorders>
              <w:top w:val="nil"/>
              <w:left w:val="nil"/>
              <w:bottom w:val="nil"/>
              <w:right w:val="nil"/>
            </w:tcBorders>
            <w:shd w:val="clear" w:color="000000" w:fill="FFFFFF"/>
            <w:noWrap/>
            <w:vAlign w:val="center"/>
            <w:hideMark/>
          </w:tcPr>
          <w:p w14:paraId="5AAC004C" w14:textId="77777777" w:rsidR="004C256B" w:rsidRPr="007B5379" w:rsidRDefault="004C256B" w:rsidP="004C256B">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83" w:type="pct"/>
            <w:tcBorders>
              <w:top w:val="nil"/>
              <w:left w:val="nil"/>
              <w:bottom w:val="nil"/>
              <w:right w:val="nil"/>
            </w:tcBorders>
            <w:shd w:val="clear" w:color="000000" w:fill="FFFFFF"/>
            <w:noWrap/>
            <w:vAlign w:val="center"/>
            <w:hideMark/>
          </w:tcPr>
          <w:p w14:paraId="13945235" w14:textId="77777777" w:rsidR="004C256B" w:rsidRPr="00207DD5" w:rsidRDefault="004C256B" w:rsidP="004C256B">
            <w:pPr>
              <w:spacing w:before="0" w:after="0" w:line="240" w:lineRule="auto"/>
              <w:jc w:val="right"/>
              <w:rPr>
                <w:rFonts w:ascii="Arial" w:hAnsi="Arial" w:cs="Arial"/>
                <w:b/>
                <w:sz w:val="16"/>
                <w:szCs w:val="16"/>
              </w:rPr>
            </w:pPr>
            <w:r w:rsidRPr="00207DD5">
              <w:rPr>
                <w:rFonts w:ascii="Arial" w:hAnsi="Arial" w:cs="Arial"/>
                <w:b/>
                <w:sz w:val="16"/>
                <w:szCs w:val="16"/>
              </w:rPr>
              <w:t>-150,530</w:t>
            </w:r>
          </w:p>
        </w:tc>
      </w:tr>
      <w:tr w:rsidR="004C256B" w14:paraId="369BF6C8" w14:textId="77777777" w:rsidTr="00E91697">
        <w:trPr>
          <w:trHeight w:hRule="exact" w:val="225"/>
        </w:trPr>
        <w:tc>
          <w:tcPr>
            <w:tcW w:w="2113" w:type="pct"/>
            <w:tcBorders>
              <w:top w:val="nil"/>
              <w:left w:val="nil"/>
              <w:bottom w:val="single" w:sz="4" w:space="0" w:color="293F5B"/>
              <w:right w:val="nil"/>
            </w:tcBorders>
            <w:shd w:val="clear" w:color="000000" w:fill="FFFFFF"/>
            <w:noWrap/>
            <w:vAlign w:val="center"/>
            <w:hideMark/>
          </w:tcPr>
          <w:p w14:paraId="109446E2" w14:textId="77777777" w:rsidR="004C256B" w:rsidRPr="007B5379" w:rsidRDefault="004C256B" w:rsidP="004C256B">
            <w:pPr>
              <w:spacing w:before="0" w:after="0" w:line="240" w:lineRule="auto"/>
              <w:rPr>
                <w:rFonts w:ascii="Arial" w:hAnsi="Arial" w:cs="Arial"/>
                <w:color w:val="00FFFF"/>
                <w:sz w:val="16"/>
                <w:szCs w:val="16"/>
                <w:highlight w:val="magenta"/>
              </w:rPr>
            </w:pPr>
            <w:r w:rsidRPr="00207DD5">
              <w:rPr>
                <w:rFonts w:ascii="Arial" w:hAnsi="Arial" w:cs="Arial"/>
                <w:sz w:val="16"/>
                <w:szCs w:val="16"/>
              </w:rPr>
              <w:t>Per cent of GDP</w:t>
            </w:r>
          </w:p>
        </w:tc>
        <w:tc>
          <w:tcPr>
            <w:tcW w:w="460" w:type="pct"/>
            <w:tcBorders>
              <w:top w:val="nil"/>
              <w:left w:val="nil"/>
              <w:bottom w:val="single" w:sz="4" w:space="0" w:color="293F5B"/>
              <w:right w:val="nil"/>
            </w:tcBorders>
            <w:shd w:val="clear" w:color="000000" w:fill="FFFFFF"/>
            <w:noWrap/>
            <w:vAlign w:val="center"/>
            <w:hideMark/>
          </w:tcPr>
          <w:p w14:paraId="23700F04"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w:t>
            </w:r>
          </w:p>
        </w:tc>
        <w:tc>
          <w:tcPr>
            <w:tcW w:w="474" w:type="pct"/>
            <w:tcBorders>
              <w:top w:val="nil"/>
              <w:left w:val="nil"/>
              <w:bottom w:val="single" w:sz="4" w:space="0" w:color="293F5B"/>
              <w:right w:val="nil"/>
            </w:tcBorders>
            <w:shd w:val="clear" w:color="000000" w:fill="E6F2FF"/>
            <w:noWrap/>
            <w:vAlign w:val="center"/>
            <w:hideMark/>
          </w:tcPr>
          <w:p w14:paraId="1CFCC7CC"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w:t>
            </w:r>
          </w:p>
        </w:tc>
        <w:tc>
          <w:tcPr>
            <w:tcW w:w="474" w:type="pct"/>
            <w:tcBorders>
              <w:top w:val="nil"/>
              <w:left w:val="nil"/>
              <w:bottom w:val="single" w:sz="4" w:space="0" w:color="293F5B"/>
              <w:right w:val="nil"/>
            </w:tcBorders>
            <w:shd w:val="clear" w:color="000000" w:fill="FFFFFF"/>
            <w:noWrap/>
            <w:vAlign w:val="center"/>
            <w:hideMark/>
          </w:tcPr>
          <w:p w14:paraId="2889B18E"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w:t>
            </w:r>
          </w:p>
        </w:tc>
        <w:tc>
          <w:tcPr>
            <w:tcW w:w="474" w:type="pct"/>
            <w:tcBorders>
              <w:top w:val="nil"/>
              <w:left w:val="nil"/>
              <w:bottom w:val="single" w:sz="4" w:space="0" w:color="293F5B"/>
              <w:right w:val="nil"/>
            </w:tcBorders>
            <w:shd w:val="clear" w:color="000000" w:fill="FFFFFF"/>
            <w:noWrap/>
            <w:vAlign w:val="center"/>
            <w:hideMark/>
          </w:tcPr>
          <w:p w14:paraId="456D6343"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w:t>
            </w:r>
          </w:p>
        </w:tc>
        <w:tc>
          <w:tcPr>
            <w:tcW w:w="474" w:type="pct"/>
            <w:tcBorders>
              <w:top w:val="nil"/>
              <w:left w:val="nil"/>
              <w:bottom w:val="single" w:sz="4" w:space="0" w:color="293F5B"/>
              <w:right w:val="nil"/>
            </w:tcBorders>
            <w:shd w:val="clear" w:color="000000" w:fill="FFFFFF"/>
            <w:noWrap/>
            <w:vAlign w:val="center"/>
            <w:hideMark/>
          </w:tcPr>
          <w:p w14:paraId="1085D08B"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-0.7</w:t>
            </w:r>
          </w:p>
        </w:tc>
        <w:tc>
          <w:tcPr>
            <w:tcW w:w="49" w:type="pct"/>
            <w:tcBorders>
              <w:top w:val="nil"/>
              <w:left w:val="nil"/>
              <w:bottom w:val="single" w:sz="4" w:space="0" w:color="293F5B"/>
              <w:right w:val="nil"/>
            </w:tcBorders>
            <w:shd w:val="clear" w:color="000000" w:fill="FFFFFF"/>
            <w:noWrap/>
            <w:vAlign w:val="center"/>
            <w:hideMark/>
          </w:tcPr>
          <w:p w14:paraId="789E17BE" w14:textId="77777777" w:rsidR="004C256B" w:rsidRPr="007B5379" w:rsidRDefault="004C256B" w:rsidP="004C256B">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single" w:sz="4" w:space="0" w:color="293F5B"/>
              <w:right w:val="nil"/>
            </w:tcBorders>
            <w:shd w:val="clear" w:color="000000" w:fill="FFFFFF"/>
            <w:noWrap/>
            <w:vAlign w:val="center"/>
            <w:hideMark/>
          </w:tcPr>
          <w:p w14:paraId="6401DD84" w14:textId="77777777" w:rsidR="004C256B" w:rsidRPr="00207DD5" w:rsidRDefault="004C256B" w:rsidP="004C256B">
            <w:pPr>
              <w:spacing w:before="0" w:after="0" w:line="240" w:lineRule="auto"/>
              <w:jc w:val="right"/>
              <w:rPr>
                <w:rFonts w:ascii="Arial" w:hAnsi="Arial" w:cs="Arial"/>
                <w:sz w:val="16"/>
                <w:szCs w:val="16"/>
              </w:rPr>
            </w:pPr>
            <w:r w:rsidRPr="00207DD5">
              <w:rPr>
                <w:rFonts w:ascii="Arial" w:hAnsi="Arial" w:cs="Arial"/>
                <w:sz w:val="16"/>
                <w:szCs w:val="16"/>
              </w:rPr>
              <w:t> </w:t>
            </w:r>
          </w:p>
        </w:tc>
      </w:tr>
    </w:tbl>
    <w:p w14:paraId="60492396" w14:textId="77777777" w:rsidR="008B0F1E" w:rsidRPr="00207DD5" w:rsidRDefault="008B0F1E" w:rsidP="00E16C3B">
      <w:pPr>
        <w:pStyle w:val="ChartandTableFootnote"/>
        <w:ind w:left="0" w:firstLine="0"/>
        <w:rPr>
          <w:rFonts w:ascii="Calibri" w:eastAsiaTheme="minorEastAsia" w:hAnsi="Calibri" w:cs="Calibri"/>
          <w:color w:val="auto"/>
          <w:sz w:val="22"/>
          <w:szCs w:val="22"/>
        </w:rPr>
      </w:pPr>
      <w:r w:rsidRPr="00207DD5">
        <w:rPr>
          <w:color w:val="auto"/>
        </w:rPr>
        <w:t>*Data are not available.</w:t>
      </w:r>
    </w:p>
    <w:p w14:paraId="463CB8FC" w14:textId="77777777" w:rsidR="00930BD2" w:rsidRPr="00207DD5" w:rsidRDefault="00930BD2" w:rsidP="00930BD2">
      <w:pPr>
        <w:pStyle w:val="ChartandTableFootnoteAlpha"/>
        <w:numPr>
          <w:ilvl w:val="0"/>
          <w:numId w:val="24"/>
        </w:numPr>
        <w:rPr>
          <w:rFonts w:eastAsiaTheme="minorEastAsia"/>
          <w:color w:val="auto"/>
          <w:lang w:eastAsia="en-US"/>
        </w:rPr>
      </w:pPr>
      <w:r w:rsidRPr="00207DD5">
        <w:rPr>
          <w:rFonts w:eastAsiaTheme="minorEastAsia"/>
          <w:color w:val="auto"/>
        </w:rPr>
        <w:t>Excludes secondary impacts on public debt interest of policy decisions and offsets from the Contingency Reserve for decisions taken.</w:t>
      </w:r>
    </w:p>
    <w:p w14:paraId="4F8C1B34" w14:textId="633A2BD4" w:rsidR="0043059B" w:rsidRPr="00207DD5" w:rsidRDefault="0043059B" w:rsidP="00C329B3">
      <w:pPr>
        <w:pStyle w:val="ChartandTableFootnoteAlpha"/>
        <w:numPr>
          <w:ilvl w:val="0"/>
          <w:numId w:val="24"/>
        </w:numPr>
        <w:rPr>
          <w:rFonts w:eastAsiaTheme="minorEastAsia"/>
          <w:color w:val="auto"/>
          <w:lang w:eastAsia="en-US"/>
        </w:rPr>
      </w:pPr>
      <w:r w:rsidRPr="00207DD5">
        <w:rPr>
          <w:rFonts w:eastAsiaTheme="minorEastAsia"/>
          <w:color w:val="auto"/>
        </w:rPr>
        <w:t>2029–30 as published in the medium</w:t>
      </w:r>
      <w:r w:rsidRPr="00207DD5">
        <w:rPr>
          <w:rFonts w:eastAsiaTheme="minorEastAsia"/>
          <w:color w:val="auto"/>
        </w:rPr>
        <w:noBreakHyphen/>
        <w:t>term projections, page 57 of</w:t>
      </w:r>
      <w:r w:rsidRPr="00207DD5" w:rsidDel="008E01F9">
        <w:rPr>
          <w:rFonts w:eastAsiaTheme="minorEastAsia"/>
          <w:color w:val="auto"/>
        </w:rPr>
        <w:t xml:space="preserve"> </w:t>
      </w:r>
      <w:r w:rsidRPr="00207DD5">
        <w:rPr>
          <w:rFonts w:eastAsiaTheme="minorEastAsia"/>
          <w:color w:val="auto"/>
        </w:rPr>
        <w:t xml:space="preserve">the </w:t>
      </w:r>
      <w:r w:rsidRPr="00207DD5">
        <w:rPr>
          <w:rFonts w:eastAsiaTheme="minorEastAsia"/>
          <w:i/>
          <w:color w:val="auto"/>
        </w:rPr>
        <w:t>Mid</w:t>
      </w:r>
      <w:r w:rsidRPr="00207DD5">
        <w:rPr>
          <w:rFonts w:eastAsiaTheme="minorHAnsi"/>
          <w:i/>
          <w:color w:val="auto"/>
        </w:rPr>
        <w:noBreakHyphen/>
      </w:r>
      <w:r w:rsidRPr="00207DD5">
        <w:rPr>
          <w:rFonts w:eastAsiaTheme="minorEastAsia"/>
          <w:i/>
          <w:color w:val="auto"/>
        </w:rPr>
        <w:t>Year Economic and Fiscal Outlook 2025–26.</w:t>
      </w:r>
    </w:p>
    <w:p w14:paraId="78811B35" w14:textId="790D7A4C" w:rsidR="008B0F1E" w:rsidRPr="00207DD5" w:rsidRDefault="008B0F1E" w:rsidP="0055400A">
      <w:pPr>
        <w:pStyle w:val="ChartandTableFootnoteAlpha"/>
        <w:rPr>
          <w:color w:val="auto"/>
        </w:rPr>
      </w:pPr>
      <w:r w:rsidRPr="00207DD5">
        <w:rPr>
          <w:rFonts w:eastAsiaTheme="minorEastAsia"/>
          <w:color w:val="auto"/>
        </w:rPr>
        <w:t>A positive number for receipts improves the underlying cash balance, while a positive number for payments worsens the underlying cash balance</w:t>
      </w:r>
      <w:r w:rsidRPr="00207DD5">
        <w:rPr>
          <w:color w:val="auto"/>
        </w:rPr>
        <w:t>.</w:t>
      </w:r>
    </w:p>
    <w:p w14:paraId="0BFDAE7A" w14:textId="77777777" w:rsidR="008B0F1E" w:rsidRPr="00207DD5" w:rsidRDefault="008B0F1E" w:rsidP="008B0F1E">
      <w:pPr>
        <w:pStyle w:val="TableLine"/>
      </w:pPr>
    </w:p>
    <w:p w14:paraId="3469A97F" w14:textId="71D1DEDD" w:rsidR="008B0F1E" w:rsidRDefault="008B0F1E" w:rsidP="009F0B52">
      <w:r>
        <w:br w:type="page"/>
      </w:r>
    </w:p>
    <w:p w14:paraId="18024D00" w14:textId="0DE052B7" w:rsidR="00B4451B" w:rsidRPr="00207DD5" w:rsidRDefault="00B4451B" w:rsidP="00B4451B">
      <w:pPr>
        <w:pStyle w:val="Heading3"/>
      </w:pPr>
      <w:bookmarkStart w:id="35" w:name="_Toc193537051"/>
      <w:bookmarkStart w:id="36" w:name="_Toc227842119"/>
      <w:bookmarkStart w:id="37" w:name="_Toc229240488"/>
      <w:r w:rsidRPr="00207DD5">
        <w:lastRenderedPageBreak/>
        <w:t>Receipts estimates</w:t>
      </w:r>
      <w:bookmarkEnd w:id="35"/>
      <w:bookmarkEnd w:id="36"/>
      <w:bookmarkEnd w:id="37"/>
    </w:p>
    <w:p w14:paraId="701CA375" w14:textId="7D8D0A5F" w:rsidR="00927BCC" w:rsidRPr="00207DD5" w:rsidRDefault="00927BCC" w:rsidP="00452C3F">
      <w:pPr>
        <w:rPr>
          <w:b/>
        </w:rPr>
      </w:pPr>
      <w:r w:rsidRPr="00207DD5">
        <w:t>Since MYEFO, forecast total receipts have increased by $</w:t>
      </w:r>
      <w:r w:rsidR="00C01063" w:rsidRPr="00207DD5">
        <w:t>10</w:t>
      </w:r>
      <w:r w:rsidR="001D7127" w:rsidRPr="00207DD5">
        <w:t>.0</w:t>
      </w:r>
      <w:r w:rsidR="009F0B52" w:rsidRPr="00207DD5">
        <w:t> </w:t>
      </w:r>
      <w:r w:rsidRPr="00207DD5">
        <w:t>billion in 2025–26, $</w:t>
      </w:r>
      <w:r w:rsidR="009D016A" w:rsidRPr="00207DD5">
        <w:t>2</w:t>
      </w:r>
      <w:r w:rsidR="00F842BB" w:rsidRPr="00207DD5">
        <w:t>1</w:t>
      </w:r>
      <w:r w:rsidR="00726AD6" w:rsidRPr="00207DD5">
        <w:t>.</w:t>
      </w:r>
      <w:r w:rsidR="00F842BB" w:rsidRPr="00207DD5">
        <w:t>1</w:t>
      </w:r>
      <w:r w:rsidR="009F0B52" w:rsidRPr="00207DD5">
        <w:t> </w:t>
      </w:r>
      <w:r w:rsidRPr="00207DD5">
        <w:t>billion in 2026–27 and</w:t>
      </w:r>
      <w:r w:rsidR="001E5FBE" w:rsidRPr="00207DD5">
        <w:t xml:space="preserve"> </w:t>
      </w:r>
      <w:r w:rsidRPr="00207DD5">
        <w:t>by $</w:t>
      </w:r>
      <w:r w:rsidR="0052601A" w:rsidRPr="00207DD5" w:rsidDel="00382302">
        <w:t>4</w:t>
      </w:r>
      <w:r w:rsidR="00382302" w:rsidRPr="00207DD5">
        <w:t>9</w:t>
      </w:r>
      <w:r w:rsidR="0052601A" w:rsidRPr="00207DD5">
        <w:t>.</w:t>
      </w:r>
      <w:r w:rsidR="00382302" w:rsidRPr="00207DD5">
        <w:t>9</w:t>
      </w:r>
      <w:r w:rsidR="009F0B52" w:rsidRPr="00207DD5">
        <w:t> </w:t>
      </w:r>
      <w:r w:rsidRPr="00207DD5">
        <w:t>billion over the five years to 2029–30.</w:t>
      </w:r>
    </w:p>
    <w:p w14:paraId="5CF64765" w14:textId="7E2C8B13" w:rsidR="00927BCC" w:rsidRDefault="00927BCC" w:rsidP="002B7064">
      <w:pPr>
        <w:rPr>
          <w:b/>
        </w:rPr>
      </w:pPr>
      <w:r w:rsidRPr="00207DD5">
        <w:t>Since MYEFO, forecast tax receipts have increased by $</w:t>
      </w:r>
      <w:r w:rsidR="00C700D3" w:rsidRPr="00207DD5">
        <w:t>8.4</w:t>
      </w:r>
      <w:r w:rsidR="009F0B52" w:rsidRPr="00207DD5">
        <w:t> </w:t>
      </w:r>
      <w:r w:rsidR="00C700D3" w:rsidRPr="00207DD5">
        <w:t>billion in 2025–26,</w:t>
      </w:r>
      <w:r w:rsidRPr="00207DD5">
        <w:t xml:space="preserve"> $</w:t>
      </w:r>
      <w:r w:rsidR="009E5381" w:rsidRPr="00207DD5">
        <w:t>1</w:t>
      </w:r>
      <w:r w:rsidR="00F54C36" w:rsidRPr="00207DD5">
        <w:t>8</w:t>
      </w:r>
      <w:r w:rsidR="009E5381" w:rsidRPr="00207DD5">
        <w:t>.</w:t>
      </w:r>
      <w:r w:rsidR="00F54C36" w:rsidRPr="00207DD5">
        <w:t>6</w:t>
      </w:r>
      <w:r w:rsidR="009F0B52" w:rsidRPr="00207DD5">
        <w:t> </w:t>
      </w:r>
      <w:r w:rsidRPr="00207DD5">
        <w:t>billion in 2026–27 and by $</w:t>
      </w:r>
      <w:r w:rsidR="001C4A3B" w:rsidRPr="00207DD5">
        <w:t>3</w:t>
      </w:r>
      <w:r w:rsidR="00FE4D03" w:rsidRPr="00207DD5">
        <w:t>8</w:t>
      </w:r>
      <w:r w:rsidR="001C4A3B" w:rsidRPr="00207DD5">
        <w:t>.</w:t>
      </w:r>
      <w:r w:rsidR="00F54C36" w:rsidRPr="00207DD5">
        <w:t>4</w:t>
      </w:r>
      <w:r w:rsidR="009F0B52" w:rsidRPr="00207DD5">
        <w:t> </w:t>
      </w:r>
      <w:r w:rsidRPr="00207DD5">
        <w:t>billion over the five years to 2029–30. Since MYEFO, forecast non</w:t>
      </w:r>
      <w:r w:rsidR="00171851" w:rsidRPr="00207DD5">
        <w:noBreakHyphen/>
      </w:r>
      <w:r w:rsidRPr="00207DD5">
        <w:t>tax receipts have increased by $</w:t>
      </w:r>
      <w:r w:rsidR="006B41C3" w:rsidRPr="00207DD5">
        <w:t>1.6</w:t>
      </w:r>
      <w:r w:rsidR="009F0B52" w:rsidRPr="00207DD5">
        <w:t> </w:t>
      </w:r>
      <w:r w:rsidRPr="00207DD5">
        <w:t>billion in 2025–26, $</w:t>
      </w:r>
      <w:r w:rsidR="006B41C3" w:rsidRPr="00207DD5">
        <w:t>2.5</w:t>
      </w:r>
      <w:r w:rsidR="009F0B52" w:rsidRPr="00207DD5">
        <w:t> </w:t>
      </w:r>
      <w:r w:rsidRPr="00207DD5">
        <w:t>billion in 2026–27 and by $</w:t>
      </w:r>
      <w:r w:rsidR="006C1892" w:rsidRPr="00207DD5">
        <w:t>13.8</w:t>
      </w:r>
      <w:r w:rsidR="006363DE" w:rsidRPr="00207DD5">
        <w:t> </w:t>
      </w:r>
      <w:r w:rsidRPr="00207DD5">
        <w:t>billion over the five</w:t>
      </w:r>
      <w:r w:rsidR="000C17E5" w:rsidRPr="00207DD5">
        <w:t> </w:t>
      </w:r>
      <w:r w:rsidRPr="00207DD5">
        <w:t>years to 2029–30.</w:t>
      </w:r>
    </w:p>
    <w:p w14:paraId="10156A13" w14:textId="435F8ED2" w:rsidR="00B4451B" w:rsidRPr="00207DD5" w:rsidRDefault="00B4451B" w:rsidP="00B4451B">
      <w:pPr>
        <w:pStyle w:val="Heading4"/>
      </w:pPr>
      <w:bookmarkStart w:id="38" w:name="_Hlk165994462"/>
      <w:r w:rsidRPr="00207DD5">
        <w:t>Receipts policy decisions over the forward estimates</w:t>
      </w:r>
    </w:p>
    <w:bookmarkEnd w:id="38"/>
    <w:p w14:paraId="32BAA8F7" w14:textId="4BA63C2E" w:rsidR="004627E2" w:rsidRPr="00207DD5" w:rsidRDefault="006E70B2" w:rsidP="004627E2">
      <w:r w:rsidRPr="00207DD5">
        <w:t>As a result of policy decision</w:t>
      </w:r>
      <w:r w:rsidR="0020611A" w:rsidRPr="00207DD5">
        <w:t>s</w:t>
      </w:r>
      <w:r w:rsidR="00621632" w:rsidRPr="00207DD5">
        <w:t xml:space="preserve"> since MYEFO</w:t>
      </w:r>
      <w:r w:rsidRPr="00207DD5">
        <w:t xml:space="preserve">, total receipts </w:t>
      </w:r>
      <w:r w:rsidR="00B75317" w:rsidRPr="00207DD5">
        <w:t>decrease</w:t>
      </w:r>
      <w:r w:rsidR="001E78AD" w:rsidRPr="00207DD5">
        <w:t xml:space="preserve"> by </w:t>
      </w:r>
      <w:r w:rsidR="00B75317" w:rsidRPr="00207DD5">
        <w:t>$</w:t>
      </w:r>
      <w:r w:rsidR="00302EF5" w:rsidRPr="00207DD5">
        <w:t>3.6</w:t>
      </w:r>
      <w:r w:rsidR="009F0B52" w:rsidRPr="00207DD5">
        <w:t> </w:t>
      </w:r>
      <w:r w:rsidR="001E78AD" w:rsidRPr="00207DD5">
        <w:t>billion in 2025</w:t>
      </w:r>
      <w:r w:rsidR="00FF6ACC" w:rsidRPr="00207DD5">
        <w:noBreakHyphen/>
      </w:r>
      <w:r w:rsidR="001E78AD" w:rsidRPr="00207DD5">
        <w:t>2</w:t>
      </w:r>
      <w:r w:rsidR="00605BD5" w:rsidRPr="00207DD5">
        <w:t>6</w:t>
      </w:r>
      <w:r w:rsidR="00B75317" w:rsidRPr="00207DD5">
        <w:t>, increase</w:t>
      </w:r>
      <w:r w:rsidR="00302EF5" w:rsidRPr="00207DD5">
        <w:t xml:space="preserve"> by </w:t>
      </w:r>
      <w:r w:rsidR="00B75317" w:rsidRPr="00207DD5">
        <w:t>$</w:t>
      </w:r>
      <w:r w:rsidR="00302EF5" w:rsidRPr="00207DD5">
        <w:t>2.2</w:t>
      </w:r>
      <w:r w:rsidR="009F0B52" w:rsidRPr="00207DD5">
        <w:t> </w:t>
      </w:r>
      <w:r w:rsidR="001E78AD" w:rsidRPr="00207DD5">
        <w:t xml:space="preserve">billion in </w:t>
      </w:r>
      <w:r w:rsidR="003527FC" w:rsidRPr="00207DD5">
        <w:t>2026–27</w:t>
      </w:r>
      <w:r w:rsidR="00B75317" w:rsidRPr="00207DD5">
        <w:t xml:space="preserve"> and increase by $8.8</w:t>
      </w:r>
      <w:r w:rsidR="009F0B52" w:rsidRPr="00207DD5">
        <w:t> </w:t>
      </w:r>
      <w:r w:rsidR="00B75317" w:rsidRPr="00207DD5">
        <w:t xml:space="preserve">billion </w:t>
      </w:r>
      <w:r w:rsidR="00CF252A" w:rsidRPr="00207DD5">
        <w:t>over</w:t>
      </w:r>
      <w:r w:rsidR="00B4451B" w:rsidRPr="00207DD5">
        <w:t xml:space="preserve"> the five</w:t>
      </w:r>
      <w:r w:rsidR="006B1CDC" w:rsidRPr="00207DD5">
        <w:t xml:space="preserve"> </w:t>
      </w:r>
      <w:r w:rsidR="00B4451B" w:rsidRPr="00207DD5">
        <w:t xml:space="preserve">years to </w:t>
      </w:r>
      <w:r w:rsidR="009B4D6B" w:rsidRPr="00207DD5">
        <w:t>2029–30</w:t>
      </w:r>
      <w:r w:rsidR="00CF252A" w:rsidRPr="00207DD5">
        <w:t xml:space="preserve">. </w:t>
      </w:r>
      <w:r w:rsidR="00621632" w:rsidRPr="00207DD5">
        <w:t>This reflects increases from non</w:t>
      </w:r>
      <w:r w:rsidR="009F0B52" w:rsidRPr="00207DD5">
        <w:noBreakHyphen/>
      </w:r>
      <w:r w:rsidR="00621632" w:rsidRPr="00207DD5">
        <w:t xml:space="preserve">tax receipts measures outweighing </w:t>
      </w:r>
      <w:r w:rsidR="008C41C4" w:rsidRPr="00207DD5">
        <w:t>the</w:t>
      </w:r>
      <w:r w:rsidR="00621632" w:rsidRPr="00207DD5">
        <w:t xml:space="preserve"> decrease from tax receipts measures. </w:t>
      </w:r>
      <w:r w:rsidR="004627E2" w:rsidRPr="00207DD5">
        <w:t>As a result of policy decisions, tax receipts will increase by $583.9</w:t>
      </w:r>
      <w:r w:rsidR="009F0B52" w:rsidRPr="00207DD5">
        <w:t> </w:t>
      </w:r>
      <w:r w:rsidR="004627E2" w:rsidRPr="00207DD5">
        <w:t>million in 2026–27 and decrease by $1.8</w:t>
      </w:r>
      <w:r w:rsidR="009F0B52" w:rsidRPr="00207DD5">
        <w:t> </w:t>
      </w:r>
      <w:r w:rsidR="004627E2" w:rsidRPr="00207DD5">
        <w:t xml:space="preserve">billion over the five years from 2025–26 to 2029–30.  </w:t>
      </w:r>
    </w:p>
    <w:p w14:paraId="20931280" w14:textId="0B6F2852" w:rsidR="00B4451B" w:rsidRPr="00207DD5" w:rsidRDefault="00B4451B" w:rsidP="00B4451B">
      <w:r w:rsidRPr="00207DD5">
        <w:t>Key tax receipts measures include:</w:t>
      </w:r>
    </w:p>
    <w:p w14:paraId="115247CF" w14:textId="2B846C55" w:rsidR="00BE5579" w:rsidRPr="00207DD5" w:rsidRDefault="00BE5579" w:rsidP="00BE5579">
      <w:pPr>
        <w:pStyle w:val="Bullet"/>
      </w:pPr>
      <w:r w:rsidRPr="00207DD5">
        <w:t>introducing a Working Australians Tax Offset from 2027</w:t>
      </w:r>
      <w:r w:rsidR="00DC16E7" w:rsidRPr="00207DD5">
        <w:t>–</w:t>
      </w:r>
      <w:r w:rsidRPr="00207DD5">
        <w:t>28 to increase the effective tax</w:t>
      </w:r>
      <w:r w:rsidR="00FD21A2" w:rsidRPr="00207DD5">
        <w:noBreakHyphen/>
      </w:r>
      <w:r w:rsidRPr="00207DD5">
        <w:t>free threshold for income derived from work by nearly $1,800 to $19,985. This measure is estimated to decrease receipts by $6.4</w:t>
      </w:r>
      <w:r w:rsidR="009F0B52" w:rsidRPr="00207DD5">
        <w:t> </w:t>
      </w:r>
      <w:r w:rsidRPr="00207DD5">
        <w:t>billion over the five years from 2025</w:t>
      </w:r>
      <w:r w:rsidR="00DC16E7" w:rsidRPr="00207DD5">
        <w:t>–</w:t>
      </w:r>
      <w:r w:rsidR="007E096D" w:rsidRPr="00207DD5">
        <w:rPr>
          <w:w w:val="1"/>
        </w:rPr>
        <w:t> </w:t>
      </w:r>
      <w:r w:rsidRPr="00207DD5">
        <w:t>26.</w:t>
      </w:r>
    </w:p>
    <w:p w14:paraId="1C998746" w14:textId="6F6D5CD8" w:rsidR="00BE5579" w:rsidRPr="00207DD5" w:rsidRDefault="00BE5579" w:rsidP="00BE5579">
      <w:pPr>
        <w:pStyle w:val="Bullet"/>
      </w:pPr>
      <w:r w:rsidRPr="00207DD5">
        <w:t>reforming negative gearing and capital gains tax from 1 July 2027. This measure is estimated to increase receipts by $3.6</w:t>
      </w:r>
      <w:r w:rsidR="009F0B52" w:rsidRPr="00207DD5">
        <w:t> </w:t>
      </w:r>
      <w:r w:rsidRPr="00207DD5">
        <w:t>billion over five years from 2025</w:t>
      </w:r>
      <w:r w:rsidR="00DC16E7" w:rsidRPr="00207DD5">
        <w:t>–</w:t>
      </w:r>
      <w:r w:rsidRPr="00207DD5">
        <w:t>26.</w:t>
      </w:r>
    </w:p>
    <w:p w14:paraId="48E74F50" w14:textId="0CB2D155" w:rsidR="00BE5579" w:rsidRPr="00207DD5" w:rsidRDefault="00BE5579" w:rsidP="00BE5579">
      <w:pPr>
        <w:pStyle w:val="Bullet"/>
      </w:pPr>
      <w:r w:rsidRPr="00207DD5">
        <w:t>introducing a minimum 30</w:t>
      </w:r>
      <w:r w:rsidR="009F0B52" w:rsidRPr="00207DD5">
        <w:t> </w:t>
      </w:r>
      <w:r w:rsidRPr="00207DD5">
        <w:t>per</w:t>
      </w:r>
      <w:r w:rsidR="009F0B52" w:rsidRPr="00207DD5">
        <w:t> </w:t>
      </w:r>
      <w:r w:rsidRPr="00207DD5">
        <w:t>cent tax on discretionary trusts to improve the fairness of the tax system. This measure is estimated to increase receipts by $4.5</w:t>
      </w:r>
      <w:r w:rsidR="009F0B52" w:rsidRPr="00207DD5">
        <w:t> </w:t>
      </w:r>
      <w:r w:rsidRPr="00207DD5">
        <w:t>billion over the five years from 2025</w:t>
      </w:r>
      <w:r w:rsidR="00DC16E7" w:rsidRPr="00207DD5">
        <w:t>–</w:t>
      </w:r>
      <w:r w:rsidRPr="00207DD5">
        <w:t xml:space="preserve">26. </w:t>
      </w:r>
    </w:p>
    <w:p w14:paraId="2058F222" w14:textId="6E59D9D6" w:rsidR="00B4451B" w:rsidRPr="00207DD5" w:rsidRDefault="00B4451B" w:rsidP="00B4451B">
      <w:pPr>
        <w:rPr>
          <w:rFonts w:eastAsia="Calibri" w:cs="Calibri"/>
          <w:vertAlign w:val="subscript"/>
          <w:lang w:val="en-US"/>
        </w:rPr>
      </w:pPr>
      <w:r w:rsidRPr="00207DD5">
        <w:rPr>
          <w:rFonts w:eastAsia="Calibri" w:cs="Calibri"/>
          <w:lang w:val="en-US"/>
        </w:rPr>
        <w:t xml:space="preserve">Since MYEFO, policy decisions are expected to </w:t>
      </w:r>
      <w:r w:rsidR="00656737" w:rsidRPr="00207DD5">
        <w:rPr>
          <w:rFonts w:eastAsia="Calibri" w:cs="Calibri"/>
          <w:lang w:val="en-US"/>
        </w:rPr>
        <w:t>increase</w:t>
      </w:r>
      <w:r w:rsidRPr="00207DD5">
        <w:rPr>
          <w:rFonts w:eastAsia="Calibri" w:cs="Calibri"/>
          <w:lang w:val="en-US"/>
        </w:rPr>
        <w:t xml:space="preserve"> non</w:t>
      </w:r>
      <w:r w:rsidR="00171851" w:rsidRPr="00207DD5">
        <w:rPr>
          <w:rFonts w:eastAsia="Calibri" w:cs="Calibri"/>
          <w:lang w:val="en-US"/>
        </w:rPr>
        <w:noBreakHyphen/>
      </w:r>
      <w:r w:rsidRPr="00207DD5">
        <w:rPr>
          <w:rFonts w:eastAsia="Calibri" w:cs="Calibri"/>
          <w:lang w:val="en-US"/>
        </w:rPr>
        <w:t>tax receipts by $</w:t>
      </w:r>
      <w:r w:rsidR="00386B89" w:rsidRPr="00207DD5">
        <w:rPr>
          <w:rFonts w:eastAsia="Calibri" w:cs="Calibri"/>
          <w:lang w:val="en-US"/>
        </w:rPr>
        <w:t>0.3</w:t>
      </w:r>
      <w:r w:rsidR="009F0B52" w:rsidRPr="00207DD5">
        <w:rPr>
          <w:rFonts w:eastAsia="Calibri" w:cs="Calibri"/>
          <w:lang w:val="en-US"/>
        </w:rPr>
        <w:t> </w:t>
      </w:r>
      <w:r w:rsidRPr="00207DD5">
        <w:rPr>
          <w:rFonts w:eastAsia="Calibri" w:cs="Calibri"/>
          <w:lang w:val="en-US"/>
        </w:rPr>
        <w:t xml:space="preserve">billion in </w:t>
      </w:r>
      <w:r w:rsidR="000B4801" w:rsidRPr="00207DD5">
        <w:rPr>
          <w:rFonts w:eastAsia="Calibri" w:cs="Calibri"/>
          <w:lang w:val="en-US"/>
        </w:rPr>
        <w:t>2025</w:t>
      </w:r>
      <w:r w:rsidR="00D1321F" w:rsidRPr="00207DD5">
        <w:t>–</w:t>
      </w:r>
      <w:r w:rsidR="000B4801" w:rsidRPr="00207DD5">
        <w:rPr>
          <w:rFonts w:eastAsia="Calibri" w:cs="Calibri"/>
          <w:lang w:val="en-US"/>
        </w:rPr>
        <w:t>26, $</w:t>
      </w:r>
      <w:r w:rsidR="00A27914" w:rsidRPr="00207DD5">
        <w:rPr>
          <w:rFonts w:eastAsia="Calibri" w:cs="Calibri"/>
          <w:lang w:val="en-US"/>
        </w:rPr>
        <w:t>1.6</w:t>
      </w:r>
      <w:r w:rsidR="009F0B52" w:rsidRPr="00207DD5">
        <w:rPr>
          <w:rFonts w:eastAsia="Calibri" w:cs="Calibri"/>
          <w:lang w:val="en-US"/>
        </w:rPr>
        <w:t> </w:t>
      </w:r>
      <w:r w:rsidR="000B4801" w:rsidRPr="00207DD5">
        <w:rPr>
          <w:rFonts w:eastAsia="Calibri" w:cs="Calibri"/>
          <w:lang w:val="en-US"/>
        </w:rPr>
        <w:t xml:space="preserve">billion in </w:t>
      </w:r>
      <w:r w:rsidR="00DB3175" w:rsidRPr="00207DD5">
        <w:rPr>
          <w:rFonts w:eastAsia="Calibri" w:cs="Calibri"/>
          <w:lang w:val="en-US"/>
        </w:rPr>
        <w:t>2026–27</w:t>
      </w:r>
      <w:r w:rsidRPr="00207DD5">
        <w:rPr>
          <w:rFonts w:eastAsia="Calibri" w:cs="Calibri"/>
          <w:lang w:val="en-US"/>
        </w:rPr>
        <w:t>, and by $</w:t>
      </w:r>
      <w:r w:rsidR="00A27914" w:rsidRPr="00207DD5">
        <w:rPr>
          <w:rFonts w:eastAsia="Calibri" w:cs="Calibri"/>
          <w:lang w:val="en-US"/>
        </w:rPr>
        <w:t>10.6</w:t>
      </w:r>
      <w:r w:rsidR="009F0B52" w:rsidRPr="00207DD5">
        <w:rPr>
          <w:rFonts w:eastAsia="Calibri" w:cs="Calibri"/>
          <w:lang w:val="en-US"/>
        </w:rPr>
        <w:t> </w:t>
      </w:r>
      <w:r w:rsidRPr="00207DD5">
        <w:rPr>
          <w:rFonts w:eastAsia="Calibri" w:cs="Calibri"/>
          <w:lang w:val="en-US"/>
        </w:rPr>
        <w:t xml:space="preserve">billion over the five years to </w:t>
      </w:r>
      <w:r w:rsidR="009B4D6B" w:rsidRPr="00207DD5">
        <w:rPr>
          <w:rFonts w:eastAsia="Calibri" w:cs="Calibri"/>
          <w:lang w:val="en-US"/>
        </w:rPr>
        <w:t>2029–30</w:t>
      </w:r>
      <w:r w:rsidRPr="00207DD5">
        <w:rPr>
          <w:rFonts w:eastAsia="Calibri" w:cs="Calibri"/>
          <w:lang w:val="en-US"/>
        </w:rPr>
        <w:t>. This increase</w:t>
      </w:r>
      <w:r w:rsidR="00A27914" w:rsidRPr="00207DD5">
        <w:rPr>
          <w:rFonts w:eastAsia="Calibri" w:cs="Calibri"/>
          <w:lang w:val="en-US"/>
        </w:rPr>
        <w:t xml:space="preserve"> </w:t>
      </w:r>
      <w:r w:rsidRPr="00207DD5">
        <w:rPr>
          <w:rFonts w:eastAsia="Calibri" w:cs="Calibri"/>
          <w:lang w:val="en-US"/>
        </w:rPr>
        <w:t xml:space="preserve">is largely driven by </w:t>
      </w:r>
      <w:r w:rsidR="00323780" w:rsidRPr="00207DD5">
        <w:rPr>
          <w:rFonts w:eastAsia="Calibri" w:cs="Calibri"/>
          <w:lang w:val="en-US"/>
        </w:rPr>
        <w:t>the standard non</w:t>
      </w:r>
      <w:r w:rsidR="009F0B52" w:rsidRPr="00207DD5">
        <w:rPr>
          <w:rFonts w:eastAsia="Calibri" w:cs="Calibri"/>
          <w:lang w:val="en-US"/>
        </w:rPr>
        <w:noBreakHyphen/>
      </w:r>
      <w:r w:rsidR="00323780" w:rsidRPr="00207DD5">
        <w:rPr>
          <w:rFonts w:eastAsia="Calibri" w:cs="Calibri"/>
          <w:lang w:val="en-US"/>
        </w:rPr>
        <w:t xml:space="preserve">tax receipts impacts of Pharmaceutical Benefits Scheme listings, </w:t>
      </w:r>
      <w:r w:rsidR="00B749C5" w:rsidRPr="00207DD5">
        <w:rPr>
          <w:rFonts w:eastAsia="Calibri" w:cs="Calibri"/>
          <w:lang w:val="en-US"/>
        </w:rPr>
        <w:t xml:space="preserve">amounts for which are not for publication, and which </w:t>
      </w:r>
      <w:r w:rsidR="00323780" w:rsidRPr="00207DD5">
        <w:rPr>
          <w:rFonts w:eastAsia="Calibri" w:cs="Calibri"/>
          <w:lang w:val="en-US"/>
        </w:rPr>
        <w:t>partially offset expenditure impacts of these listings</w:t>
      </w:r>
      <w:r w:rsidR="00B749C5" w:rsidRPr="00207DD5">
        <w:rPr>
          <w:rFonts w:eastAsia="Calibri" w:cs="Calibri"/>
          <w:lang w:val="en-US"/>
        </w:rPr>
        <w:t>;</w:t>
      </w:r>
      <w:r w:rsidR="00323780" w:rsidRPr="00207DD5">
        <w:rPr>
          <w:rFonts w:eastAsia="Calibri" w:cs="Calibri"/>
          <w:lang w:val="en-US"/>
        </w:rPr>
        <w:t xml:space="preserve"> and receipts expected from the divestment of selected properties in the </w:t>
      </w:r>
      <w:proofErr w:type="spellStart"/>
      <w:r w:rsidR="00323780" w:rsidRPr="00207DD5">
        <w:rPr>
          <w:rFonts w:eastAsia="Calibri" w:cs="Calibri"/>
          <w:lang w:val="en-US"/>
        </w:rPr>
        <w:t>Defence</w:t>
      </w:r>
      <w:proofErr w:type="spellEnd"/>
      <w:r w:rsidR="00323780" w:rsidRPr="00207DD5">
        <w:rPr>
          <w:rFonts w:eastAsia="Calibri" w:cs="Calibri"/>
          <w:lang w:val="en-US"/>
        </w:rPr>
        <w:t xml:space="preserve"> estate</w:t>
      </w:r>
      <w:r w:rsidR="00B749C5" w:rsidRPr="00207DD5">
        <w:rPr>
          <w:rFonts w:eastAsia="Calibri" w:cs="Calibri"/>
          <w:lang w:val="en-US"/>
        </w:rPr>
        <w:t xml:space="preserve">, also not for publication due </w:t>
      </w:r>
      <w:r w:rsidR="004A1444" w:rsidRPr="00207DD5">
        <w:rPr>
          <w:rFonts w:eastAsia="Calibri" w:cs="Calibri"/>
          <w:lang w:val="en-US"/>
        </w:rPr>
        <w:t xml:space="preserve">to </w:t>
      </w:r>
      <w:r w:rsidR="00B749C5" w:rsidRPr="00207DD5">
        <w:rPr>
          <w:rFonts w:eastAsia="Calibri" w:cs="Calibri"/>
          <w:lang w:val="en-US"/>
        </w:rPr>
        <w:t xml:space="preserve">commercial sensitivities. </w:t>
      </w:r>
    </w:p>
    <w:p w14:paraId="7FF56674" w14:textId="2251D6B5" w:rsidR="00B4451B" w:rsidRPr="008D283E" w:rsidRDefault="00B4451B" w:rsidP="00B4451B">
      <w:r w:rsidRPr="00207DD5">
        <w:rPr>
          <w:rFonts w:eastAsia="Calibri" w:cs="Calibri"/>
          <w:lang w:val="en-US"/>
        </w:rPr>
        <w:t>Further details of Government policy decisions are provided in Budget Paper No.</w:t>
      </w:r>
      <w:r w:rsidR="00FF69E1" w:rsidRPr="00207DD5">
        <w:rPr>
          <w:rFonts w:eastAsia="Calibri" w:cs="Calibri"/>
          <w:lang w:val="en-US"/>
        </w:rPr>
        <w:t xml:space="preserve"> </w:t>
      </w:r>
      <w:r w:rsidRPr="00207DD5">
        <w:rPr>
          <w:rFonts w:eastAsia="Calibri" w:cs="Calibri"/>
          <w:lang w:val="en-US"/>
        </w:rPr>
        <w:t xml:space="preserve">2, </w:t>
      </w:r>
      <w:r w:rsidRPr="00207DD5">
        <w:rPr>
          <w:rFonts w:eastAsia="Calibri" w:cs="Calibri"/>
          <w:i/>
          <w:lang w:val="en-US"/>
        </w:rPr>
        <w:t xml:space="preserve">Budget Measures </w:t>
      </w:r>
      <w:r w:rsidR="00DB3175" w:rsidRPr="00207DD5">
        <w:rPr>
          <w:rFonts w:eastAsia="Calibri" w:cs="Calibri"/>
          <w:i/>
          <w:lang w:val="en-US"/>
        </w:rPr>
        <w:t>2026–27</w:t>
      </w:r>
      <w:r w:rsidRPr="00207DD5">
        <w:rPr>
          <w:rFonts w:eastAsia="Calibri" w:cs="Calibri"/>
          <w:i/>
          <w:lang w:val="en-US"/>
        </w:rPr>
        <w:t>.</w:t>
      </w:r>
      <w:r w:rsidRPr="00207DD5">
        <w:rPr>
          <w:i/>
        </w:rPr>
        <w:t xml:space="preserve"> </w:t>
      </w:r>
    </w:p>
    <w:p w14:paraId="046862B6" w14:textId="70021E33" w:rsidR="00B4451B" w:rsidRPr="00207DD5" w:rsidRDefault="00B4451B" w:rsidP="00B4451B">
      <w:pPr>
        <w:pStyle w:val="Heading4"/>
        <w:spacing w:after="240"/>
      </w:pPr>
      <w:bookmarkStart w:id="39" w:name="_Hlk134019357"/>
      <w:r w:rsidRPr="00207DD5">
        <w:lastRenderedPageBreak/>
        <w:t>Receipts parameter and other variations over the forward estimates</w:t>
      </w:r>
    </w:p>
    <w:bookmarkEnd w:id="39"/>
    <w:p w14:paraId="30BE1927" w14:textId="7BAEE68E" w:rsidR="001729D5" w:rsidRPr="00207DD5" w:rsidRDefault="001729D5" w:rsidP="001729D5">
      <w:r w:rsidRPr="00207DD5">
        <w:t>Parameter and other variations have increased total receipts since MYEFO by $</w:t>
      </w:r>
      <w:r w:rsidR="00A864EA" w:rsidRPr="00207DD5">
        <w:t>13.</w:t>
      </w:r>
      <w:r w:rsidR="00A078B3" w:rsidRPr="00207DD5">
        <w:t>6</w:t>
      </w:r>
      <w:r w:rsidR="009F0B52" w:rsidRPr="00207DD5">
        <w:t> </w:t>
      </w:r>
      <w:r w:rsidRPr="00207DD5">
        <w:t>billion in 2025–26, $</w:t>
      </w:r>
      <w:r w:rsidR="009E7A34" w:rsidRPr="00207DD5">
        <w:t>18.</w:t>
      </w:r>
      <w:r w:rsidR="00A078B3" w:rsidRPr="00207DD5">
        <w:t>8</w:t>
      </w:r>
      <w:r w:rsidR="009F0B52" w:rsidRPr="00207DD5">
        <w:t> </w:t>
      </w:r>
      <w:r w:rsidRPr="00207DD5">
        <w:t>billion in 2026–27 and by $</w:t>
      </w:r>
      <w:r w:rsidR="002A1D46" w:rsidRPr="00207DD5">
        <w:t>41</w:t>
      </w:r>
      <w:r w:rsidR="00796DA9" w:rsidRPr="00207DD5">
        <w:t>.</w:t>
      </w:r>
      <w:r w:rsidR="00BC6574" w:rsidRPr="00207DD5">
        <w:t>1</w:t>
      </w:r>
      <w:r w:rsidR="009F0B52" w:rsidRPr="00207DD5">
        <w:t> </w:t>
      </w:r>
      <w:r w:rsidRPr="00207DD5">
        <w:t xml:space="preserve">billion over five years to </w:t>
      </w:r>
      <w:r w:rsidR="008E7730" w:rsidRPr="00207DD5">
        <w:t>2029</w:t>
      </w:r>
      <w:r w:rsidR="005472B6" w:rsidRPr="00207DD5">
        <w:rPr>
          <w:lang w:val="en-US"/>
        </w:rPr>
        <w:t>–</w:t>
      </w:r>
      <w:r w:rsidR="005472B6" w:rsidRPr="00207DD5">
        <w:rPr>
          <w:w w:val="1"/>
          <w:lang w:val="en-US"/>
        </w:rPr>
        <w:t> </w:t>
      </w:r>
      <w:r w:rsidR="008E7730" w:rsidRPr="00207DD5">
        <w:t>30</w:t>
      </w:r>
      <w:r w:rsidRPr="00207DD5">
        <w:t xml:space="preserve"> (Table</w:t>
      </w:r>
      <w:r w:rsidR="009B689D" w:rsidRPr="00207DD5">
        <w:t> </w:t>
      </w:r>
      <w:r w:rsidRPr="00207DD5">
        <w:t>3.</w:t>
      </w:r>
      <w:r w:rsidR="00630FB7" w:rsidRPr="00207DD5">
        <w:t>3</w:t>
      </w:r>
      <w:r w:rsidRPr="00207DD5">
        <w:t>).</w:t>
      </w:r>
    </w:p>
    <w:p w14:paraId="0A6151BE" w14:textId="1D5C10ED" w:rsidR="00B4451B" w:rsidRPr="00207DD5" w:rsidRDefault="00B4451B" w:rsidP="00B4451B">
      <w:r w:rsidRPr="00207DD5">
        <w:t>The change in total receipts due to parameter and other variations since MYEFO primarily reflects tax receipts, which have been revised up by $</w:t>
      </w:r>
      <w:r w:rsidR="004E05BC" w:rsidRPr="00207DD5">
        <w:t>1</w:t>
      </w:r>
      <w:r w:rsidR="00FE4D03" w:rsidRPr="00207DD5">
        <w:t>8</w:t>
      </w:r>
      <w:r w:rsidR="006B7B8D" w:rsidRPr="00207DD5">
        <w:t>.</w:t>
      </w:r>
      <w:r w:rsidR="00EB6070" w:rsidRPr="00207DD5">
        <w:t>0</w:t>
      </w:r>
      <w:r w:rsidR="009F0B52" w:rsidRPr="00207DD5">
        <w:t> </w:t>
      </w:r>
      <w:r w:rsidRPr="00207DD5">
        <w:t xml:space="preserve">billion in </w:t>
      </w:r>
      <w:r w:rsidR="00DB3175" w:rsidRPr="00207DD5">
        <w:t>2026–27</w:t>
      </w:r>
      <w:r w:rsidRPr="00207DD5">
        <w:t xml:space="preserve"> and by $</w:t>
      </w:r>
      <w:r w:rsidR="00FE4D03" w:rsidRPr="00207DD5">
        <w:t>40</w:t>
      </w:r>
      <w:r w:rsidR="006B7B8D" w:rsidRPr="00207DD5">
        <w:t>.</w:t>
      </w:r>
      <w:r w:rsidR="00FE4D03" w:rsidRPr="00207DD5">
        <w:t>2</w:t>
      </w:r>
      <w:r w:rsidR="006D118E" w:rsidRPr="00207DD5">
        <w:t> </w:t>
      </w:r>
      <w:r w:rsidRPr="00207DD5">
        <w:t>billion over five</w:t>
      </w:r>
      <w:r w:rsidR="001729D5" w:rsidRPr="00207DD5">
        <w:t xml:space="preserve"> </w:t>
      </w:r>
      <w:r w:rsidRPr="00207DD5">
        <w:t xml:space="preserve">years to </w:t>
      </w:r>
      <w:r w:rsidR="009B4D6B" w:rsidRPr="00207DD5">
        <w:t>2029–30</w:t>
      </w:r>
      <w:r w:rsidRPr="00207DD5">
        <w:t>.</w:t>
      </w:r>
    </w:p>
    <w:p w14:paraId="5289924E" w14:textId="4AE94E9F" w:rsidR="00B4451B" w:rsidRPr="00207DD5" w:rsidRDefault="00B4451B" w:rsidP="00B4451B">
      <w:r w:rsidRPr="00207DD5">
        <w:t xml:space="preserve">Excluding GST and policy decisions, tax receipts have been revised </w:t>
      </w:r>
      <w:r w:rsidR="00CD79E4" w:rsidRPr="00207DD5">
        <w:t>up</w:t>
      </w:r>
      <w:r w:rsidRPr="00207DD5">
        <w:t xml:space="preserve"> by $</w:t>
      </w:r>
      <w:r w:rsidR="00E22779" w:rsidRPr="00207DD5">
        <w:t>11.5</w:t>
      </w:r>
      <w:r w:rsidR="009F0B52" w:rsidRPr="00207DD5">
        <w:t> </w:t>
      </w:r>
      <w:r w:rsidR="00E22779" w:rsidRPr="00207DD5">
        <w:t xml:space="preserve">billion in 2025–26, </w:t>
      </w:r>
      <w:r w:rsidRPr="00207DD5">
        <w:t>$</w:t>
      </w:r>
      <w:r w:rsidR="00D92FEA" w:rsidRPr="00207DD5">
        <w:t>1</w:t>
      </w:r>
      <w:r w:rsidR="00676CDF" w:rsidRPr="00207DD5">
        <w:t>6</w:t>
      </w:r>
      <w:r w:rsidR="00D92FEA" w:rsidRPr="00207DD5">
        <w:t>.</w:t>
      </w:r>
      <w:r w:rsidR="00C47CF5" w:rsidRPr="00207DD5">
        <w:t>2</w:t>
      </w:r>
      <w:r w:rsidRPr="00207DD5">
        <w:t xml:space="preserve"> billion in </w:t>
      </w:r>
      <w:r w:rsidR="00DB3175" w:rsidRPr="00207DD5">
        <w:t>2026–27</w:t>
      </w:r>
      <w:r w:rsidRPr="00207DD5">
        <w:t xml:space="preserve"> and $</w:t>
      </w:r>
      <w:r w:rsidR="00602A24" w:rsidRPr="00207DD5">
        <w:t>34</w:t>
      </w:r>
      <w:r w:rsidR="00D92FEA" w:rsidRPr="00207DD5">
        <w:t>.</w:t>
      </w:r>
      <w:r w:rsidR="00602A24" w:rsidRPr="00207DD5">
        <w:t>5</w:t>
      </w:r>
      <w:r w:rsidR="009F0B52" w:rsidRPr="00207DD5">
        <w:t> </w:t>
      </w:r>
      <w:r w:rsidRPr="00207DD5">
        <w:t xml:space="preserve">billion over the five years to </w:t>
      </w:r>
      <w:r w:rsidR="009B4D6B" w:rsidRPr="00207DD5">
        <w:t>2029–30</w:t>
      </w:r>
      <w:r w:rsidRPr="00207DD5">
        <w:t xml:space="preserve">. </w:t>
      </w:r>
      <w:r w:rsidR="00FC487C" w:rsidRPr="00207DD5">
        <w:t>T</w:t>
      </w:r>
      <w:r w:rsidR="00CA4C93" w:rsidRPr="00207DD5">
        <w:t>ax receipts have been revised up in the near</w:t>
      </w:r>
      <w:r w:rsidR="009F0B52" w:rsidRPr="00207DD5">
        <w:noBreakHyphen/>
      </w:r>
      <w:r w:rsidR="00CA4C93" w:rsidRPr="00207DD5">
        <w:t>term driven by higher superannuation fund, personal income and company taxes</w:t>
      </w:r>
      <w:r w:rsidR="00747203" w:rsidRPr="00207DD5">
        <w:t xml:space="preserve">. However, tax receipts </w:t>
      </w:r>
      <w:r w:rsidR="0041418B" w:rsidRPr="00207DD5">
        <w:t xml:space="preserve">excluding GST and policy decisions </w:t>
      </w:r>
      <w:r w:rsidR="00747203" w:rsidRPr="00207DD5">
        <w:t>have been</w:t>
      </w:r>
      <w:r w:rsidR="00CA4C93" w:rsidRPr="00207DD5">
        <w:t xml:space="preserve"> revised down by $</w:t>
      </w:r>
      <w:r w:rsidR="00F642A8" w:rsidRPr="00207DD5">
        <w:t>7.</w:t>
      </w:r>
      <w:r w:rsidR="009A72A4" w:rsidRPr="00207DD5">
        <w:t>6</w:t>
      </w:r>
      <w:r w:rsidR="009F0B52" w:rsidRPr="00207DD5">
        <w:t> </w:t>
      </w:r>
      <w:r w:rsidR="00CA4C93" w:rsidRPr="00207DD5">
        <w:t xml:space="preserve">billion </w:t>
      </w:r>
      <w:r w:rsidR="00882DDB" w:rsidRPr="00207DD5">
        <w:t>in 2029</w:t>
      </w:r>
      <w:r w:rsidR="00C444CD" w:rsidRPr="00207DD5">
        <w:t>–</w:t>
      </w:r>
      <w:r w:rsidR="00882DDB" w:rsidRPr="00207DD5">
        <w:t>30</w:t>
      </w:r>
      <w:r w:rsidR="007E72F0" w:rsidRPr="00207DD5">
        <w:t xml:space="preserve"> </w:t>
      </w:r>
      <w:r w:rsidR="004856B0" w:rsidRPr="00207DD5">
        <w:t>alongside</w:t>
      </w:r>
      <w:r w:rsidR="00151CD9" w:rsidRPr="00207DD5">
        <w:t xml:space="preserve"> the projected decline in </w:t>
      </w:r>
      <w:r w:rsidR="000A4C04" w:rsidRPr="00207DD5">
        <w:t>the prices for key commodities</w:t>
      </w:r>
      <w:r w:rsidR="006119FD" w:rsidRPr="00207DD5">
        <w:t xml:space="preserve"> </w:t>
      </w:r>
      <w:r w:rsidR="003B078A" w:rsidRPr="00207DD5">
        <w:t xml:space="preserve">as well as </w:t>
      </w:r>
      <w:r w:rsidR="00CA4C93" w:rsidRPr="00207DD5">
        <w:t>lower, but still positive, labour income growth.</w:t>
      </w:r>
    </w:p>
    <w:p w14:paraId="530D9FEF" w14:textId="03B801BF" w:rsidR="00B4451B" w:rsidRPr="00712254" w:rsidRDefault="00B4451B" w:rsidP="00B4451B">
      <w:r w:rsidRPr="00207DD5">
        <w:rPr>
          <w:rFonts w:eastAsia="Calibri"/>
        </w:rPr>
        <w:t xml:space="preserve">Since </w:t>
      </w:r>
      <w:r w:rsidRPr="00207DD5">
        <w:t>MYEFO</w:t>
      </w:r>
      <w:r w:rsidRPr="00207DD5">
        <w:rPr>
          <w:rFonts w:eastAsia="Calibri"/>
        </w:rPr>
        <w:t xml:space="preserve">, parameter and other variations are expected to </w:t>
      </w:r>
      <w:r w:rsidR="00656737" w:rsidRPr="00207DD5">
        <w:rPr>
          <w:rFonts w:eastAsia="Calibri"/>
        </w:rPr>
        <w:t>increase</w:t>
      </w:r>
      <w:r w:rsidRPr="00207DD5">
        <w:rPr>
          <w:rFonts w:eastAsia="Calibri"/>
        </w:rPr>
        <w:t xml:space="preserve"> non</w:t>
      </w:r>
      <w:r w:rsidR="00171851" w:rsidRPr="00207DD5">
        <w:noBreakHyphen/>
      </w:r>
      <w:r w:rsidRPr="00207DD5">
        <w:rPr>
          <w:rFonts w:eastAsia="Calibri"/>
        </w:rPr>
        <w:t>tax receipts by $</w:t>
      </w:r>
      <w:r w:rsidR="0015635F" w:rsidRPr="00207DD5">
        <w:rPr>
          <w:rFonts w:eastAsia="Calibri"/>
        </w:rPr>
        <w:t>1.3</w:t>
      </w:r>
      <w:r w:rsidR="009F0B52" w:rsidRPr="00207DD5">
        <w:rPr>
          <w:rFonts w:eastAsia="Calibri"/>
        </w:rPr>
        <w:t> </w:t>
      </w:r>
      <w:r w:rsidRPr="00207DD5">
        <w:rPr>
          <w:rFonts w:eastAsia="Calibri"/>
        </w:rPr>
        <w:t xml:space="preserve">billion in </w:t>
      </w:r>
      <w:r w:rsidR="0005683D" w:rsidRPr="00207DD5">
        <w:rPr>
          <w:rFonts w:eastAsia="Calibri"/>
        </w:rPr>
        <w:t>2025</w:t>
      </w:r>
      <w:r w:rsidR="005C2025" w:rsidRPr="00207DD5">
        <w:t>–</w:t>
      </w:r>
      <w:r w:rsidR="0005683D" w:rsidRPr="00207DD5">
        <w:rPr>
          <w:rFonts w:eastAsia="Calibri"/>
        </w:rPr>
        <w:t>26, $</w:t>
      </w:r>
      <w:r w:rsidR="0015635F" w:rsidRPr="00207DD5">
        <w:rPr>
          <w:rFonts w:eastAsia="Calibri"/>
        </w:rPr>
        <w:t>0.8</w:t>
      </w:r>
      <w:r w:rsidR="009F0B52" w:rsidRPr="00207DD5">
        <w:rPr>
          <w:rFonts w:eastAsia="Calibri"/>
        </w:rPr>
        <w:t> </w:t>
      </w:r>
      <w:r w:rsidR="0005683D" w:rsidRPr="00207DD5">
        <w:rPr>
          <w:rFonts w:eastAsia="Calibri"/>
        </w:rPr>
        <w:t xml:space="preserve">billion in </w:t>
      </w:r>
      <w:r w:rsidR="00DB3175" w:rsidRPr="00207DD5">
        <w:rPr>
          <w:rFonts w:eastAsia="Calibri"/>
        </w:rPr>
        <w:t>2026–27</w:t>
      </w:r>
      <w:r w:rsidRPr="00207DD5">
        <w:rPr>
          <w:rFonts w:eastAsia="Calibri"/>
        </w:rPr>
        <w:t xml:space="preserve"> and by $</w:t>
      </w:r>
      <w:r w:rsidR="0015635F" w:rsidRPr="00207DD5">
        <w:rPr>
          <w:rFonts w:eastAsia="Calibri"/>
        </w:rPr>
        <w:t>3.2</w:t>
      </w:r>
      <w:r w:rsidR="009F0B52" w:rsidRPr="00207DD5">
        <w:rPr>
          <w:rFonts w:eastAsia="Calibri"/>
        </w:rPr>
        <w:t> </w:t>
      </w:r>
      <w:r w:rsidRPr="00207DD5">
        <w:rPr>
          <w:rFonts w:eastAsia="Calibri"/>
        </w:rPr>
        <w:t xml:space="preserve">billion over the five years to </w:t>
      </w:r>
      <w:r w:rsidR="009B4D6B" w:rsidRPr="00207DD5">
        <w:rPr>
          <w:rFonts w:eastAsia="Calibri"/>
        </w:rPr>
        <w:t>2029–30</w:t>
      </w:r>
      <w:r w:rsidRPr="00207DD5">
        <w:rPr>
          <w:rFonts w:eastAsia="Calibri"/>
        </w:rPr>
        <w:t xml:space="preserve">. </w:t>
      </w:r>
      <w:r w:rsidR="004721E9" w:rsidRPr="00207DD5">
        <w:rPr>
          <w:rFonts w:eastAsia="Calibri"/>
        </w:rPr>
        <w:t xml:space="preserve">A forecast increase in earnings from the Future Fund and other Australian Government Investment Funds is partially offset by reduced funding contributions from states and territories to the NDIS </w:t>
      </w:r>
      <w:proofErr w:type="gramStart"/>
      <w:r w:rsidR="004721E9" w:rsidRPr="00207DD5">
        <w:rPr>
          <w:rFonts w:eastAsia="Calibri"/>
        </w:rPr>
        <w:t>as a result of</w:t>
      </w:r>
      <w:proofErr w:type="gramEnd"/>
      <w:r w:rsidR="004721E9" w:rsidRPr="00207DD5">
        <w:rPr>
          <w:rFonts w:eastAsia="Calibri"/>
        </w:rPr>
        <w:t xml:space="preserve"> lower NDIS growth rates from reforms included in the 2026</w:t>
      </w:r>
      <w:r w:rsidR="00D2535B" w:rsidRPr="00207DD5">
        <w:rPr>
          <w:rFonts w:eastAsia="Calibri"/>
        </w:rPr>
        <w:t>–</w:t>
      </w:r>
      <w:r w:rsidR="004721E9" w:rsidRPr="00207DD5">
        <w:rPr>
          <w:rFonts w:eastAsia="Calibri"/>
        </w:rPr>
        <w:t xml:space="preserve">27 Budget measure </w:t>
      </w:r>
      <w:r w:rsidR="004721E9" w:rsidRPr="00207DD5">
        <w:rPr>
          <w:rFonts w:eastAsia="Calibri"/>
          <w:i/>
        </w:rPr>
        <w:t>Securing the National Disability Insurance Scheme for future generations</w:t>
      </w:r>
      <w:r w:rsidR="004721E9" w:rsidRPr="00207DD5">
        <w:rPr>
          <w:rFonts w:eastAsia="Calibri"/>
        </w:rPr>
        <w:t>.</w:t>
      </w:r>
    </w:p>
    <w:p w14:paraId="6649DCDE" w14:textId="51628194" w:rsidR="00B4451B" w:rsidRPr="00207DD5" w:rsidRDefault="00B4451B" w:rsidP="00B4451B">
      <w:r w:rsidRPr="00207DD5">
        <w:t xml:space="preserve">Further information on expected receipts is provided in </w:t>
      </w:r>
      <w:r w:rsidRPr="00207DD5">
        <w:rPr>
          <w:i/>
        </w:rPr>
        <w:t>Statement</w:t>
      </w:r>
      <w:r w:rsidR="001729D5" w:rsidRPr="00207DD5">
        <w:rPr>
          <w:i/>
        </w:rPr>
        <w:t xml:space="preserve"> </w:t>
      </w:r>
      <w:r w:rsidR="00BB18B6" w:rsidRPr="00207DD5">
        <w:rPr>
          <w:i/>
        </w:rPr>
        <w:t>5</w:t>
      </w:r>
      <w:r w:rsidRPr="00207DD5">
        <w:rPr>
          <w:i/>
        </w:rPr>
        <w:t>: Revenue</w:t>
      </w:r>
      <w:r w:rsidRPr="00207DD5">
        <w:t xml:space="preserve">. Analysis of the sensitivity of the receipts estimates to changes in the economic outlook is provided in </w:t>
      </w:r>
      <w:r w:rsidRPr="00207DD5">
        <w:rPr>
          <w:i/>
        </w:rPr>
        <w:t>Statement</w:t>
      </w:r>
      <w:r w:rsidR="001729D5" w:rsidRPr="00207DD5">
        <w:rPr>
          <w:i/>
        </w:rPr>
        <w:t xml:space="preserve"> </w:t>
      </w:r>
      <w:r w:rsidR="00BB18B6" w:rsidRPr="00207DD5">
        <w:rPr>
          <w:i/>
        </w:rPr>
        <w:t>8</w:t>
      </w:r>
      <w:r w:rsidRPr="00207DD5">
        <w:rPr>
          <w:i/>
        </w:rPr>
        <w:t>: Forecasting Performance and Sensitivity Analysis</w:t>
      </w:r>
      <w:r w:rsidRPr="00207DD5">
        <w:t>.</w:t>
      </w:r>
      <w:bookmarkStart w:id="40" w:name="_Toc117356561"/>
    </w:p>
    <w:p w14:paraId="4BF3B479" w14:textId="5883BFD0" w:rsidR="00234BEB" w:rsidRDefault="00234BEB" w:rsidP="009F0B52">
      <w:r>
        <w:br w:type="page"/>
      </w:r>
    </w:p>
    <w:p w14:paraId="3AAB27A3" w14:textId="7212DBB6" w:rsidR="00B4451B" w:rsidRPr="00576DC7" w:rsidRDefault="00B4451B" w:rsidP="00B4451B">
      <w:pPr>
        <w:pStyle w:val="Heading3"/>
        <w:spacing w:before="0" w:after="240"/>
      </w:pPr>
      <w:bookmarkStart w:id="41" w:name="_Toc193537052"/>
      <w:bookmarkStart w:id="42" w:name="_Toc227842120"/>
      <w:bookmarkStart w:id="43" w:name="_Toc229240489"/>
      <w:r w:rsidRPr="00207DD5">
        <w:lastRenderedPageBreak/>
        <w:t>Payments estimates</w:t>
      </w:r>
      <w:bookmarkEnd w:id="40"/>
      <w:bookmarkEnd w:id="41"/>
      <w:bookmarkEnd w:id="42"/>
      <w:bookmarkEnd w:id="43"/>
    </w:p>
    <w:p w14:paraId="0A66E3F8" w14:textId="59A286A7" w:rsidR="00196033" w:rsidRDefault="00B4451B" w:rsidP="00A54695">
      <w:pPr>
        <w:rPr>
          <w:b/>
        </w:rPr>
      </w:pPr>
      <w:r w:rsidRPr="00207DD5">
        <w:t xml:space="preserve">Since MYEFO, total projected </w:t>
      </w:r>
      <w:r w:rsidRPr="00A54695">
        <w:t>payments</w:t>
      </w:r>
      <w:r w:rsidRPr="00207DD5">
        <w:t xml:space="preserve"> have </w:t>
      </w:r>
      <w:r w:rsidR="002808A1" w:rsidRPr="00207DD5">
        <w:t>increased</w:t>
      </w:r>
      <w:r w:rsidRPr="00207DD5">
        <w:t xml:space="preserve"> by $</w:t>
      </w:r>
      <w:r w:rsidR="00D6224E" w:rsidRPr="00207DD5">
        <w:t>1</w:t>
      </w:r>
      <w:r w:rsidR="0046352A" w:rsidRPr="00207DD5">
        <w:t>.</w:t>
      </w:r>
      <w:r w:rsidR="00F94103" w:rsidRPr="00207DD5">
        <w:t>5</w:t>
      </w:r>
      <w:r w:rsidR="009F0B52" w:rsidRPr="00207DD5">
        <w:t> </w:t>
      </w:r>
      <w:r w:rsidRPr="00207DD5">
        <w:t xml:space="preserve">billion in </w:t>
      </w:r>
      <w:r w:rsidR="00C13660" w:rsidRPr="00207DD5">
        <w:t>2025–26, $</w:t>
      </w:r>
      <w:r w:rsidR="00A87F6A" w:rsidRPr="00207DD5">
        <w:t>18</w:t>
      </w:r>
      <w:r w:rsidR="00710949" w:rsidRPr="00207DD5">
        <w:t>.</w:t>
      </w:r>
      <w:r w:rsidR="00F94103" w:rsidRPr="00207DD5">
        <w:t>3</w:t>
      </w:r>
      <w:r w:rsidR="00376ACC" w:rsidRPr="00207DD5">
        <w:t> </w:t>
      </w:r>
      <w:r w:rsidR="00C13660" w:rsidRPr="00207DD5">
        <w:t>billion in</w:t>
      </w:r>
      <w:r w:rsidRPr="00207DD5">
        <w:t xml:space="preserve"> </w:t>
      </w:r>
      <w:r w:rsidR="00DB3175" w:rsidRPr="00207DD5">
        <w:t>2026–27</w:t>
      </w:r>
      <w:r w:rsidRPr="00207DD5">
        <w:t xml:space="preserve"> and</w:t>
      </w:r>
      <w:r w:rsidR="002E6675" w:rsidRPr="00207DD5">
        <w:t xml:space="preserve"> </w:t>
      </w:r>
      <w:r w:rsidRPr="00207DD5">
        <w:t>by $</w:t>
      </w:r>
      <w:r w:rsidR="00F533BE" w:rsidRPr="00207DD5">
        <w:t>5.0</w:t>
      </w:r>
      <w:r w:rsidR="009F0B52" w:rsidRPr="00207DD5">
        <w:t> </w:t>
      </w:r>
      <w:r w:rsidRPr="00207DD5">
        <w:t>billion over five</w:t>
      </w:r>
      <w:r w:rsidR="00726751" w:rsidRPr="00207DD5">
        <w:t xml:space="preserve"> </w:t>
      </w:r>
      <w:r w:rsidRPr="00207DD5">
        <w:t xml:space="preserve">years to </w:t>
      </w:r>
      <w:r w:rsidR="009B4D6B" w:rsidRPr="00207DD5">
        <w:t>2029–30</w:t>
      </w:r>
      <w:r w:rsidRPr="00207DD5">
        <w:t xml:space="preserve"> (Table 3.</w:t>
      </w:r>
      <w:r w:rsidR="00583B30" w:rsidRPr="00207DD5">
        <w:t>4</w:t>
      </w:r>
      <w:r w:rsidRPr="00207DD5">
        <w:t xml:space="preserve">). Real payments growth </w:t>
      </w:r>
      <w:r w:rsidR="002D44A2" w:rsidRPr="00207DD5">
        <w:t>o</w:t>
      </w:r>
      <w:r w:rsidRPr="00207DD5">
        <w:t xml:space="preserve">ver the </w:t>
      </w:r>
      <w:r w:rsidR="00925464" w:rsidRPr="00207DD5">
        <w:t>four</w:t>
      </w:r>
      <w:r w:rsidRPr="00207DD5">
        <w:t xml:space="preserve"> years to 202</w:t>
      </w:r>
      <w:r w:rsidR="0091421A" w:rsidRPr="00207DD5">
        <w:t>9</w:t>
      </w:r>
      <w:r w:rsidRPr="00207DD5">
        <w:t>–</w:t>
      </w:r>
      <w:r w:rsidR="0091421A" w:rsidRPr="00207DD5">
        <w:t xml:space="preserve">30 </w:t>
      </w:r>
      <w:r w:rsidRPr="00207DD5">
        <w:t xml:space="preserve">is expected to average </w:t>
      </w:r>
      <w:r w:rsidR="00292642" w:rsidRPr="00207DD5">
        <w:t>1.</w:t>
      </w:r>
      <w:r w:rsidR="003026B8" w:rsidRPr="00207DD5">
        <w:t>1</w:t>
      </w:r>
      <w:r w:rsidR="009F0B52" w:rsidRPr="00207DD5">
        <w:t> </w:t>
      </w:r>
      <w:r w:rsidRPr="00207DD5">
        <w:t>per</w:t>
      </w:r>
      <w:r w:rsidR="009F0B52" w:rsidRPr="00207DD5">
        <w:t> </w:t>
      </w:r>
      <w:r w:rsidRPr="00207DD5">
        <w:t>cent</w:t>
      </w:r>
      <w:r w:rsidR="00726751" w:rsidRPr="00207DD5">
        <w:t xml:space="preserve"> </w:t>
      </w:r>
      <w:r w:rsidRPr="00207DD5">
        <w:t>per</w:t>
      </w:r>
      <w:r w:rsidR="00726751" w:rsidRPr="00207DD5">
        <w:t xml:space="preserve"> </w:t>
      </w:r>
      <w:r w:rsidRPr="00207DD5">
        <w:t>year</w:t>
      </w:r>
      <w:r w:rsidR="000A52E2" w:rsidRPr="00207DD5">
        <w:t xml:space="preserve">, compared to the 30–year average of </w:t>
      </w:r>
      <w:r w:rsidR="001E096F" w:rsidRPr="00207DD5">
        <w:t>3.3</w:t>
      </w:r>
      <w:r w:rsidR="009F0B52" w:rsidRPr="00207DD5">
        <w:t> </w:t>
      </w:r>
      <w:r w:rsidR="000A52E2" w:rsidRPr="00207DD5">
        <w:t>per</w:t>
      </w:r>
      <w:r w:rsidR="009F0B52" w:rsidRPr="00207DD5">
        <w:t> </w:t>
      </w:r>
      <w:r w:rsidR="000A52E2" w:rsidRPr="00207DD5">
        <w:t>cent</w:t>
      </w:r>
      <w:r w:rsidR="00196033" w:rsidRPr="00207DD5">
        <w:t>.</w:t>
      </w:r>
    </w:p>
    <w:p w14:paraId="5B6ED003" w14:textId="5FEF9897" w:rsidR="00196033" w:rsidRPr="00207DD5" w:rsidRDefault="00196033" w:rsidP="00196033">
      <w:pPr>
        <w:pStyle w:val="TableHeading"/>
        <w:rPr>
          <w:rFonts w:asciiTheme="minorHAnsi" w:eastAsiaTheme="minorHAnsi" w:hAnsiTheme="minorHAnsi" w:cstheme="minorBidi"/>
          <w:sz w:val="22"/>
          <w:szCs w:val="22"/>
          <w:lang w:eastAsia="en-US"/>
        </w:rPr>
      </w:pPr>
      <w:r w:rsidRPr="00207DD5">
        <w:t>Table 3.</w:t>
      </w:r>
      <w:r w:rsidR="00077000" w:rsidRPr="00207DD5">
        <w:t>4</w:t>
      </w:r>
      <w:r w:rsidRPr="00207DD5">
        <w:t>: Reconciliation of general government sector payments estimates</w:t>
      </w:r>
      <w:r w:rsidRPr="00207DD5">
        <w:rPr>
          <w:vertAlign w:val="superscript"/>
        </w:rPr>
        <w:t>(a)</w:t>
      </w:r>
      <w:bookmarkStart w:id="44" w:name="_1804054003"/>
      <w:bookmarkStart w:id="45" w:name="_1804053003"/>
      <w:bookmarkStart w:id="46" w:name="_1804053692"/>
      <w:bookmarkStart w:id="47" w:name="_1804053312"/>
      <w:bookmarkStart w:id="48" w:name="_1803883746"/>
      <w:bookmarkStart w:id="49" w:name="_1803891221"/>
      <w:bookmarkStart w:id="50" w:name="_1803892304"/>
      <w:bookmarkEnd w:id="44"/>
      <w:bookmarkEnd w:id="45"/>
      <w:bookmarkEnd w:id="46"/>
      <w:bookmarkEnd w:id="47"/>
      <w:bookmarkEnd w:id="48"/>
      <w:bookmarkEnd w:id="49"/>
      <w:bookmarkEnd w:id="50"/>
    </w:p>
    <w:tbl>
      <w:tblPr>
        <w:tblW w:w="5000" w:type="pct"/>
        <w:tblCellMar>
          <w:left w:w="0" w:type="dxa"/>
          <w:right w:w="28" w:type="dxa"/>
        </w:tblCellMar>
        <w:tblLook w:val="0620" w:firstRow="1" w:lastRow="0" w:firstColumn="0" w:lastColumn="0" w:noHBand="1" w:noVBand="1"/>
      </w:tblPr>
      <w:tblGrid>
        <w:gridCol w:w="3120"/>
        <w:gridCol w:w="753"/>
        <w:gridCol w:w="745"/>
        <w:gridCol w:w="746"/>
        <w:gridCol w:w="752"/>
        <w:gridCol w:w="752"/>
        <w:gridCol w:w="91"/>
        <w:gridCol w:w="751"/>
      </w:tblGrid>
      <w:tr w:rsidR="00B81CAA" w14:paraId="04FCDDEA" w14:textId="77777777" w:rsidTr="00E91697">
        <w:trPr>
          <w:trHeight w:hRule="exact" w:val="225"/>
        </w:trPr>
        <w:tc>
          <w:tcPr>
            <w:tcW w:w="2023" w:type="pct"/>
            <w:tcBorders>
              <w:top w:val="single" w:sz="4" w:space="0" w:color="293F5B"/>
              <w:left w:val="nil"/>
              <w:bottom w:val="nil"/>
              <w:right w:val="nil"/>
            </w:tcBorders>
            <w:shd w:val="clear" w:color="000000" w:fill="FFFFFF"/>
            <w:noWrap/>
            <w:vAlign w:val="center"/>
            <w:hideMark/>
          </w:tcPr>
          <w:p w14:paraId="4EE1DE1B"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single" w:sz="4" w:space="0" w:color="293F5B"/>
              <w:left w:val="nil"/>
              <w:bottom w:val="single" w:sz="4" w:space="0" w:color="293F5B"/>
              <w:right w:val="nil"/>
            </w:tcBorders>
            <w:shd w:val="clear" w:color="000000" w:fill="FFFFFF"/>
            <w:noWrap/>
            <w:vAlign w:val="center"/>
            <w:hideMark/>
          </w:tcPr>
          <w:p w14:paraId="4A129490"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967" w:type="pct"/>
            <w:gridSpan w:val="2"/>
            <w:tcBorders>
              <w:top w:val="single" w:sz="4" w:space="0" w:color="293F5B"/>
              <w:left w:val="nil"/>
              <w:bottom w:val="single" w:sz="4" w:space="0" w:color="293F5B"/>
              <w:right w:val="nil"/>
            </w:tcBorders>
            <w:shd w:val="clear" w:color="000000" w:fill="FFFFFF"/>
            <w:noWrap/>
            <w:vAlign w:val="center"/>
            <w:hideMark/>
          </w:tcPr>
          <w:p w14:paraId="45DA4196" w14:textId="77777777" w:rsidR="00B81CAA" w:rsidRPr="007B5379" w:rsidRDefault="00B81CAA" w:rsidP="00B81CAA">
            <w:pPr>
              <w:spacing w:before="0" w:after="0" w:line="240" w:lineRule="auto"/>
              <w:jc w:val="center"/>
              <w:rPr>
                <w:rFonts w:ascii="Arial" w:hAnsi="Arial" w:cs="Arial"/>
                <w:color w:val="00FFFF"/>
                <w:sz w:val="16"/>
                <w:szCs w:val="16"/>
                <w:highlight w:val="magenta"/>
              </w:rPr>
            </w:pPr>
            <w:r w:rsidRPr="00207DD5">
              <w:rPr>
                <w:rFonts w:ascii="Arial" w:hAnsi="Arial" w:cs="Arial"/>
                <w:sz w:val="16"/>
                <w:szCs w:val="16"/>
              </w:rPr>
              <w:t>Estimates</w:t>
            </w:r>
          </w:p>
        </w:tc>
        <w:tc>
          <w:tcPr>
            <w:tcW w:w="488" w:type="pct"/>
            <w:tcBorders>
              <w:top w:val="single" w:sz="4" w:space="0" w:color="293F5B"/>
              <w:left w:val="nil"/>
              <w:bottom w:val="single" w:sz="4" w:space="0" w:color="293F5B"/>
              <w:right w:val="nil"/>
            </w:tcBorders>
            <w:shd w:val="clear" w:color="000000" w:fill="FFFFFF"/>
            <w:noWrap/>
            <w:vAlign w:val="center"/>
            <w:hideMark/>
          </w:tcPr>
          <w:p w14:paraId="6112F932"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single" w:sz="4" w:space="0" w:color="293F5B"/>
              <w:left w:val="nil"/>
              <w:bottom w:val="single" w:sz="4" w:space="0" w:color="293F5B"/>
              <w:right w:val="nil"/>
            </w:tcBorders>
            <w:shd w:val="clear" w:color="000000" w:fill="FFFFFF"/>
            <w:noWrap/>
            <w:vAlign w:val="center"/>
            <w:hideMark/>
          </w:tcPr>
          <w:p w14:paraId="2FEEEDF9"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59" w:type="pct"/>
            <w:tcBorders>
              <w:top w:val="single" w:sz="4" w:space="0" w:color="293F5B"/>
              <w:left w:val="nil"/>
              <w:bottom w:val="nil"/>
              <w:right w:val="nil"/>
            </w:tcBorders>
            <w:shd w:val="clear" w:color="000000" w:fill="FFFFFF"/>
            <w:noWrap/>
            <w:vAlign w:val="center"/>
            <w:hideMark/>
          </w:tcPr>
          <w:p w14:paraId="7C2C3821"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single" w:sz="4" w:space="0" w:color="293F5B"/>
              <w:left w:val="nil"/>
              <w:bottom w:val="single" w:sz="4" w:space="0" w:color="293F5B"/>
              <w:right w:val="nil"/>
            </w:tcBorders>
            <w:shd w:val="clear" w:color="000000" w:fill="FFFFFF"/>
            <w:noWrap/>
            <w:vAlign w:val="center"/>
            <w:hideMark/>
          </w:tcPr>
          <w:p w14:paraId="47723F8D" w14:textId="77777777" w:rsidR="00B81CAA" w:rsidRPr="00207DD5" w:rsidRDefault="00B81CAA" w:rsidP="00B81CAA">
            <w:pPr>
              <w:spacing w:before="0" w:after="0" w:line="240" w:lineRule="auto"/>
              <w:rPr>
                <w:rFonts w:ascii="Arial" w:hAnsi="Arial" w:cs="Arial"/>
                <w:sz w:val="16"/>
                <w:szCs w:val="16"/>
              </w:rPr>
            </w:pPr>
            <w:r w:rsidRPr="00207DD5">
              <w:rPr>
                <w:rFonts w:ascii="Arial" w:hAnsi="Arial" w:cs="Arial"/>
                <w:sz w:val="16"/>
                <w:szCs w:val="16"/>
              </w:rPr>
              <w:t> </w:t>
            </w:r>
          </w:p>
        </w:tc>
      </w:tr>
      <w:tr w:rsidR="00B81CAA" w14:paraId="1B7D69B2" w14:textId="77777777" w:rsidTr="00E91697">
        <w:trPr>
          <w:trHeight w:hRule="exact" w:val="225"/>
        </w:trPr>
        <w:tc>
          <w:tcPr>
            <w:tcW w:w="2023" w:type="pct"/>
            <w:tcBorders>
              <w:top w:val="nil"/>
              <w:left w:val="nil"/>
              <w:bottom w:val="nil"/>
              <w:right w:val="nil"/>
            </w:tcBorders>
            <w:shd w:val="clear" w:color="000000" w:fill="FFFFFF"/>
            <w:noWrap/>
            <w:vAlign w:val="bottom"/>
            <w:hideMark/>
          </w:tcPr>
          <w:p w14:paraId="73DA1DBD"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single" w:sz="4" w:space="0" w:color="293F5B"/>
              <w:left w:val="nil"/>
              <w:bottom w:val="nil"/>
              <w:right w:val="nil"/>
            </w:tcBorders>
            <w:shd w:val="clear" w:color="000000" w:fill="FFFFFF"/>
            <w:noWrap/>
            <w:vAlign w:val="center"/>
            <w:hideMark/>
          </w:tcPr>
          <w:p w14:paraId="11B3E3A8"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2025-26</w:t>
            </w:r>
          </w:p>
        </w:tc>
        <w:tc>
          <w:tcPr>
            <w:tcW w:w="483" w:type="pct"/>
            <w:tcBorders>
              <w:top w:val="single" w:sz="4" w:space="0" w:color="293F5B"/>
              <w:left w:val="nil"/>
              <w:bottom w:val="nil"/>
              <w:right w:val="nil"/>
            </w:tcBorders>
            <w:shd w:val="clear" w:color="000000" w:fill="E6F2FF"/>
            <w:noWrap/>
            <w:vAlign w:val="center"/>
            <w:hideMark/>
          </w:tcPr>
          <w:p w14:paraId="3D317195"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2026-27</w:t>
            </w:r>
          </w:p>
        </w:tc>
        <w:tc>
          <w:tcPr>
            <w:tcW w:w="483" w:type="pct"/>
            <w:tcBorders>
              <w:top w:val="single" w:sz="4" w:space="0" w:color="293F5B"/>
              <w:left w:val="nil"/>
              <w:bottom w:val="nil"/>
              <w:right w:val="nil"/>
            </w:tcBorders>
            <w:shd w:val="clear" w:color="000000" w:fill="FFFFFF"/>
            <w:noWrap/>
            <w:vAlign w:val="center"/>
            <w:hideMark/>
          </w:tcPr>
          <w:p w14:paraId="2CDF3AE5"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2027-28</w:t>
            </w:r>
          </w:p>
        </w:tc>
        <w:tc>
          <w:tcPr>
            <w:tcW w:w="488" w:type="pct"/>
            <w:tcBorders>
              <w:top w:val="single" w:sz="4" w:space="0" w:color="293F5B"/>
              <w:left w:val="nil"/>
              <w:bottom w:val="nil"/>
              <w:right w:val="nil"/>
            </w:tcBorders>
            <w:shd w:val="clear" w:color="000000" w:fill="FFFFFF"/>
            <w:noWrap/>
            <w:vAlign w:val="center"/>
            <w:hideMark/>
          </w:tcPr>
          <w:p w14:paraId="0AE32DE6"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2028-29</w:t>
            </w:r>
          </w:p>
        </w:tc>
        <w:tc>
          <w:tcPr>
            <w:tcW w:w="488" w:type="pct"/>
            <w:tcBorders>
              <w:top w:val="single" w:sz="4" w:space="0" w:color="293F5B"/>
              <w:left w:val="nil"/>
              <w:bottom w:val="nil"/>
              <w:right w:val="nil"/>
            </w:tcBorders>
            <w:shd w:val="clear" w:color="000000" w:fill="FFFFFF"/>
            <w:noWrap/>
            <w:vAlign w:val="center"/>
            <w:hideMark/>
          </w:tcPr>
          <w:p w14:paraId="486487B4"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2029-30</w:t>
            </w:r>
          </w:p>
        </w:tc>
        <w:tc>
          <w:tcPr>
            <w:tcW w:w="59" w:type="pct"/>
            <w:tcBorders>
              <w:top w:val="nil"/>
              <w:left w:val="nil"/>
              <w:bottom w:val="nil"/>
              <w:right w:val="nil"/>
            </w:tcBorders>
            <w:shd w:val="clear" w:color="000000" w:fill="FFFFFF"/>
            <w:noWrap/>
            <w:vAlign w:val="center"/>
            <w:hideMark/>
          </w:tcPr>
          <w:p w14:paraId="53B6D23E"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single" w:sz="4" w:space="0" w:color="293F5B"/>
              <w:left w:val="nil"/>
              <w:bottom w:val="nil"/>
              <w:right w:val="nil"/>
            </w:tcBorders>
            <w:shd w:val="clear" w:color="000000" w:fill="FFFFFF"/>
            <w:noWrap/>
            <w:vAlign w:val="center"/>
            <w:hideMark/>
          </w:tcPr>
          <w:p w14:paraId="27AC63CD" w14:textId="77777777" w:rsidR="00B81CAA" w:rsidRPr="00207DD5" w:rsidRDefault="00B81CAA" w:rsidP="00B81CAA">
            <w:pPr>
              <w:spacing w:before="0" w:after="0" w:line="240" w:lineRule="auto"/>
              <w:jc w:val="right"/>
              <w:rPr>
                <w:rFonts w:ascii="Arial" w:hAnsi="Arial" w:cs="Arial"/>
                <w:sz w:val="16"/>
                <w:szCs w:val="16"/>
              </w:rPr>
            </w:pPr>
            <w:r w:rsidRPr="00207DD5">
              <w:rPr>
                <w:rFonts w:ascii="Arial" w:hAnsi="Arial" w:cs="Arial"/>
                <w:sz w:val="16"/>
                <w:szCs w:val="16"/>
              </w:rPr>
              <w:t>Total</w:t>
            </w:r>
          </w:p>
        </w:tc>
      </w:tr>
      <w:tr w:rsidR="00B81CAA" w14:paraId="43FBF7B0"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354C8A50"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single" w:sz="4" w:space="0" w:color="293F5B"/>
              <w:right w:val="nil"/>
            </w:tcBorders>
            <w:shd w:val="clear" w:color="000000" w:fill="FFFFFF"/>
            <w:noWrap/>
            <w:vAlign w:val="center"/>
            <w:hideMark/>
          </w:tcPr>
          <w:p w14:paraId="5462DED3"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83" w:type="pct"/>
            <w:tcBorders>
              <w:top w:val="nil"/>
              <w:left w:val="nil"/>
              <w:bottom w:val="single" w:sz="4" w:space="0" w:color="293F5B"/>
              <w:right w:val="nil"/>
            </w:tcBorders>
            <w:shd w:val="clear" w:color="000000" w:fill="E6F2FF"/>
            <w:noWrap/>
            <w:vAlign w:val="center"/>
            <w:hideMark/>
          </w:tcPr>
          <w:p w14:paraId="700B3498"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83" w:type="pct"/>
            <w:tcBorders>
              <w:top w:val="nil"/>
              <w:left w:val="nil"/>
              <w:bottom w:val="single" w:sz="4" w:space="0" w:color="293F5B"/>
              <w:right w:val="nil"/>
            </w:tcBorders>
            <w:shd w:val="clear" w:color="000000" w:fill="FFFFFF"/>
            <w:noWrap/>
            <w:vAlign w:val="center"/>
            <w:hideMark/>
          </w:tcPr>
          <w:p w14:paraId="78ED934A"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88" w:type="pct"/>
            <w:tcBorders>
              <w:top w:val="nil"/>
              <w:left w:val="nil"/>
              <w:bottom w:val="single" w:sz="4" w:space="0" w:color="293F5B"/>
              <w:right w:val="nil"/>
            </w:tcBorders>
            <w:shd w:val="clear" w:color="000000" w:fill="FFFFFF"/>
            <w:noWrap/>
            <w:vAlign w:val="center"/>
            <w:hideMark/>
          </w:tcPr>
          <w:p w14:paraId="4D3889A0"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88" w:type="pct"/>
            <w:tcBorders>
              <w:top w:val="nil"/>
              <w:left w:val="nil"/>
              <w:bottom w:val="single" w:sz="4" w:space="0" w:color="293F5B"/>
              <w:right w:val="nil"/>
            </w:tcBorders>
            <w:shd w:val="clear" w:color="000000" w:fill="FFFFFF"/>
            <w:noWrap/>
            <w:vAlign w:val="center"/>
            <w:hideMark/>
          </w:tcPr>
          <w:p w14:paraId="0D048FD4"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59" w:type="pct"/>
            <w:tcBorders>
              <w:top w:val="nil"/>
              <w:left w:val="nil"/>
              <w:bottom w:val="nil"/>
              <w:right w:val="nil"/>
            </w:tcBorders>
            <w:shd w:val="clear" w:color="000000" w:fill="FFFFFF"/>
            <w:noWrap/>
            <w:vAlign w:val="center"/>
            <w:hideMark/>
          </w:tcPr>
          <w:p w14:paraId="030E5D2F"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single" w:sz="4" w:space="0" w:color="293F5B"/>
              <w:right w:val="nil"/>
            </w:tcBorders>
            <w:shd w:val="clear" w:color="000000" w:fill="FFFFFF"/>
            <w:noWrap/>
            <w:vAlign w:val="center"/>
            <w:hideMark/>
          </w:tcPr>
          <w:p w14:paraId="59198B25" w14:textId="77777777" w:rsidR="00B81CAA" w:rsidRPr="00207DD5" w:rsidRDefault="00B81CAA" w:rsidP="00B81CAA">
            <w:pPr>
              <w:spacing w:before="0" w:after="0" w:line="240" w:lineRule="auto"/>
              <w:jc w:val="right"/>
              <w:rPr>
                <w:rFonts w:ascii="Arial" w:hAnsi="Arial" w:cs="Arial"/>
                <w:sz w:val="16"/>
                <w:szCs w:val="16"/>
              </w:rPr>
            </w:pPr>
            <w:r w:rsidRPr="00207DD5">
              <w:rPr>
                <w:rFonts w:ascii="Arial" w:hAnsi="Arial" w:cs="Arial"/>
                <w:sz w:val="16"/>
                <w:szCs w:val="16"/>
              </w:rPr>
              <w:t>$m</w:t>
            </w:r>
          </w:p>
        </w:tc>
      </w:tr>
      <w:tr w:rsidR="00B81CAA" w14:paraId="7A99EE99"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345A0556" w14:textId="77777777" w:rsidR="00B81CAA" w:rsidRPr="007B5379" w:rsidRDefault="00B81CAA" w:rsidP="00B81CAA">
            <w:pPr>
              <w:spacing w:before="0" w:after="0" w:line="240" w:lineRule="auto"/>
              <w:rPr>
                <w:rFonts w:ascii="Arial" w:hAnsi="Arial" w:cs="Arial"/>
                <w:b/>
                <w:color w:val="00FFFF"/>
                <w:sz w:val="16"/>
                <w:szCs w:val="16"/>
                <w:highlight w:val="magenta"/>
              </w:rPr>
            </w:pPr>
            <w:r w:rsidRPr="00207DD5">
              <w:rPr>
                <w:rFonts w:ascii="Arial" w:hAnsi="Arial" w:cs="Arial"/>
                <w:b/>
                <w:sz w:val="16"/>
                <w:szCs w:val="16"/>
              </w:rPr>
              <w:t>2025 PEFO payments</w:t>
            </w:r>
          </w:p>
        </w:tc>
        <w:tc>
          <w:tcPr>
            <w:tcW w:w="488" w:type="pct"/>
            <w:tcBorders>
              <w:top w:val="single" w:sz="4" w:space="0" w:color="293F5B"/>
              <w:left w:val="nil"/>
              <w:bottom w:val="nil"/>
              <w:right w:val="nil"/>
            </w:tcBorders>
            <w:shd w:val="clear" w:color="000000" w:fill="FFFFFF"/>
            <w:noWrap/>
            <w:vAlign w:val="center"/>
            <w:hideMark/>
          </w:tcPr>
          <w:p w14:paraId="7C8B8B61"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777,523</w:t>
            </w:r>
          </w:p>
        </w:tc>
        <w:tc>
          <w:tcPr>
            <w:tcW w:w="483" w:type="pct"/>
            <w:tcBorders>
              <w:top w:val="single" w:sz="4" w:space="0" w:color="293F5B"/>
              <w:left w:val="nil"/>
              <w:bottom w:val="nil"/>
              <w:right w:val="nil"/>
            </w:tcBorders>
            <w:shd w:val="clear" w:color="000000" w:fill="E6F2FF"/>
            <w:noWrap/>
            <w:vAlign w:val="center"/>
            <w:hideMark/>
          </w:tcPr>
          <w:p w14:paraId="106F11F6"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801,340</w:t>
            </w:r>
          </w:p>
        </w:tc>
        <w:tc>
          <w:tcPr>
            <w:tcW w:w="483" w:type="pct"/>
            <w:tcBorders>
              <w:top w:val="single" w:sz="4" w:space="0" w:color="293F5B"/>
              <w:left w:val="nil"/>
              <w:bottom w:val="nil"/>
              <w:right w:val="nil"/>
            </w:tcBorders>
            <w:shd w:val="clear" w:color="000000" w:fill="FFFFFF"/>
            <w:noWrap/>
            <w:vAlign w:val="center"/>
            <w:hideMark/>
          </w:tcPr>
          <w:p w14:paraId="1010B874"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834,471</w:t>
            </w:r>
          </w:p>
        </w:tc>
        <w:tc>
          <w:tcPr>
            <w:tcW w:w="488" w:type="pct"/>
            <w:tcBorders>
              <w:top w:val="single" w:sz="4" w:space="0" w:color="293F5B"/>
              <w:left w:val="nil"/>
              <w:bottom w:val="nil"/>
              <w:right w:val="nil"/>
            </w:tcBorders>
            <w:shd w:val="clear" w:color="000000" w:fill="FFFFFF"/>
            <w:noWrap/>
            <w:vAlign w:val="center"/>
            <w:hideMark/>
          </w:tcPr>
          <w:p w14:paraId="6C80E273"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877,873</w:t>
            </w:r>
          </w:p>
        </w:tc>
        <w:tc>
          <w:tcPr>
            <w:tcW w:w="488" w:type="pct"/>
            <w:tcBorders>
              <w:top w:val="single" w:sz="4" w:space="0" w:color="293F5B"/>
              <w:left w:val="nil"/>
              <w:bottom w:val="nil"/>
              <w:right w:val="nil"/>
            </w:tcBorders>
            <w:shd w:val="clear" w:color="000000" w:fill="FFFFFF"/>
            <w:noWrap/>
            <w:vAlign w:val="center"/>
            <w:hideMark/>
          </w:tcPr>
          <w:p w14:paraId="277C4B57"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w:t>
            </w:r>
          </w:p>
        </w:tc>
        <w:tc>
          <w:tcPr>
            <w:tcW w:w="59" w:type="pct"/>
            <w:tcBorders>
              <w:top w:val="nil"/>
              <w:left w:val="nil"/>
              <w:bottom w:val="nil"/>
              <w:right w:val="nil"/>
            </w:tcBorders>
            <w:shd w:val="clear" w:color="000000" w:fill="FFFFFF"/>
            <w:noWrap/>
            <w:vAlign w:val="center"/>
            <w:hideMark/>
          </w:tcPr>
          <w:p w14:paraId="6663224B"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88" w:type="pct"/>
            <w:tcBorders>
              <w:top w:val="single" w:sz="4" w:space="0" w:color="293F5B"/>
              <w:left w:val="nil"/>
              <w:bottom w:val="nil"/>
              <w:right w:val="nil"/>
            </w:tcBorders>
            <w:shd w:val="clear" w:color="000000" w:fill="FFFFFF"/>
            <w:noWrap/>
            <w:vAlign w:val="center"/>
            <w:hideMark/>
          </w:tcPr>
          <w:p w14:paraId="04278159" w14:textId="77777777" w:rsidR="00B81CAA" w:rsidRPr="00207DD5" w:rsidRDefault="00B81CAA" w:rsidP="00B81CAA">
            <w:pPr>
              <w:spacing w:before="0" w:after="0" w:line="240" w:lineRule="auto"/>
              <w:jc w:val="right"/>
              <w:rPr>
                <w:rFonts w:ascii="Arial" w:hAnsi="Arial" w:cs="Arial"/>
                <w:b/>
                <w:sz w:val="16"/>
                <w:szCs w:val="16"/>
              </w:rPr>
            </w:pPr>
            <w:r w:rsidRPr="00207DD5">
              <w:rPr>
                <w:rFonts w:ascii="Arial" w:hAnsi="Arial" w:cs="Arial"/>
                <w:b/>
                <w:sz w:val="16"/>
                <w:szCs w:val="16"/>
              </w:rPr>
              <w:t>*</w:t>
            </w:r>
          </w:p>
        </w:tc>
      </w:tr>
      <w:tr w:rsidR="00B81CAA" w14:paraId="2BF31B32" w14:textId="77777777" w:rsidTr="00E91697">
        <w:trPr>
          <w:trHeight w:hRule="exact" w:val="60"/>
        </w:trPr>
        <w:tc>
          <w:tcPr>
            <w:tcW w:w="2023" w:type="pct"/>
            <w:tcBorders>
              <w:top w:val="nil"/>
              <w:left w:val="nil"/>
              <w:bottom w:val="nil"/>
              <w:right w:val="nil"/>
            </w:tcBorders>
            <w:shd w:val="clear" w:color="000000" w:fill="FFFFFF"/>
            <w:noWrap/>
            <w:vAlign w:val="center"/>
            <w:hideMark/>
          </w:tcPr>
          <w:p w14:paraId="7E63576B" w14:textId="77777777" w:rsidR="00B81CAA" w:rsidRPr="007B5379" w:rsidRDefault="00B81CAA" w:rsidP="00B81CAA">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88" w:type="pct"/>
            <w:tcBorders>
              <w:top w:val="nil"/>
              <w:left w:val="nil"/>
              <w:bottom w:val="nil"/>
              <w:right w:val="nil"/>
            </w:tcBorders>
            <w:shd w:val="clear" w:color="000000" w:fill="FFFFFF"/>
            <w:noWrap/>
            <w:vAlign w:val="center"/>
            <w:hideMark/>
          </w:tcPr>
          <w:p w14:paraId="441D9D2E"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E6F2FF"/>
            <w:noWrap/>
            <w:vAlign w:val="center"/>
            <w:hideMark/>
          </w:tcPr>
          <w:p w14:paraId="3F23CA8C"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5B1E38B8"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3172DF35"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1EE9D178"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0B159A93"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56D7B2CC" w14:textId="77777777" w:rsidR="00B81CAA" w:rsidRPr="00207DD5" w:rsidRDefault="00B81CAA" w:rsidP="00B81CAA">
            <w:pPr>
              <w:spacing w:before="0" w:after="0" w:line="240" w:lineRule="auto"/>
              <w:jc w:val="right"/>
              <w:rPr>
                <w:rFonts w:ascii="Arial" w:hAnsi="Arial" w:cs="Arial"/>
                <w:sz w:val="16"/>
                <w:szCs w:val="16"/>
              </w:rPr>
            </w:pPr>
            <w:r w:rsidRPr="00207DD5">
              <w:rPr>
                <w:rFonts w:ascii="Arial" w:hAnsi="Arial" w:cs="Arial"/>
                <w:sz w:val="16"/>
                <w:szCs w:val="16"/>
              </w:rPr>
              <w:t> </w:t>
            </w:r>
          </w:p>
        </w:tc>
      </w:tr>
      <w:tr w:rsidR="00B81CAA" w14:paraId="504414FA"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286713E6" w14:textId="77777777" w:rsidR="00B81CAA" w:rsidRPr="007B5379" w:rsidRDefault="00B81CAA" w:rsidP="00B81CAA">
            <w:pPr>
              <w:spacing w:before="0" w:after="0" w:line="240" w:lineRule="auto"/>
              <w:rPr>
                <w:rFonts w:ascii="Arial" w:hAnsi="Arial" w:cs="Arial"/>
                <w:b/>
                <w:color w:val="00FFFF"/>
                <w:sz w:val="16"/>
                <w:szCs w:val="16"/>
                <w:highlight w:val="magenta"/>
              </w:rPr>
            </w:pPr>
            <w:r w:rsidRPr="00207DD5">
              <w:rPr>
                <w:rFonts w:ascii="Arial" w:hAnsi="Arial" w:cs="Arial"/>
                <w:b/>
                <w:sz w:val="16"/>
                <w:szCs w:val="16"/>
              </w:rPr>
              <w:t>Changes from 2025 PEFO to</w:t>
            </w:r>
          </w:p>
        </w:tc>
        <w:tc>
          <w:tcPr>
            <w:tcW w:w="488" w:type="pct"/>
            <w:tcBorders>
              <w:top w:val="nil"/>
              <w:left w:val="nil"/>
              <w:bottom w:val="nil"/>
              <w:right w:val="nil"/>
            </w:tcBorders>
            <w:shd w:val="clear" w:color="000000" w:fill="FFFFFF"/>
            <w:noWrap/>
            <w:vAlign w:val="center"/>
            <w:hideMark/>
          </w:tcPr>
          <w:p w14:paraId="15732404"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E6F2FF"/>
            <w:noWrap/>
            <w:vAlign w:val="center"/>
            <w:hideMark/>
          </w:tcPr>
          <w:p w14:paraId="7D396F89"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1F78E2EB"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7BA6067E"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2B5407A9"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51B6A9D9"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679EC04C" w14:textId="77777777" w:rsidR="00B81CAA" w:rsidRPr="00207DD5" w:rsidRDefault="00B81CAA" w:rsidP="00B81CAA">
            <w:pPr>
              <w:spacing w:before="0" w:after="0" w:line="240" w:lineRule="auto"/>
              <w:jc w:val="right"/>
              <w:rPr>
                <w:rFonts w:ascii="Arial" w:hAnsi="Arial" w:cs="Arial"/>
                <w:sz w:val="16"/>
                <w:szCs w:val="16"/>
              </w:rPr>
            </w:pPr>
            <w:r w:rsidRPr="00207DD5">
              <w:rPr>
                <w:rFonts w:ascii="Arial" w:hAnsi="Arial" w:cs="Arial"/>
                <w:sz w:val="16"/>
                <w:szCs w:val="16"/>
              </w:rPr>
              <w:t> </w:t>
            </w:r>
          </w:p>
        </w:tc>
      </w:tr>
      <w:tr w:rsidR="00B81CAA" w14:paraId="4E972B1B"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5EE58DD7" w14:textId="77777777" w:rsidR="00B81CAA" w:rsidRPr="007B5379" w:rsidRDefault="00B81CAA" w:rsidP="00B81CAA">
            <w:pPr>
              <w:spacing w:before="0" w:after="0" w:line="240" w:lineRule="auto"/>
              <w:ind w:firstLineChars="100" w:firstLine="161"/>
              <w:rPr>
                <w:rFonts w:ascii="Arial" w:hAnsi="Arial" w:cs="Arial"/>
                <w:b/>
                <w:color w:val="00FFFF"/>
                <w:sz w:val="16"/>
                <w:szCs w:val="16"/>
                <w:highlight w:val="magenta"/>
              </w:rPr>
            </w:pPr>
            <w:r w:rsidRPr="00207DD5">
              <w:rPr>
                <w:rFonts w:ascii="Arial" w:hAnsi="Arial" w:cs="Arial"/>
                <w:b/>
                <w:sz w:val="16"/>
                <w:szCs w:val="16"/>
              </w:rPr>
              <w:t>2025-26 MYEFO</w:t>
            </w:r>
          </w:p>
        </w:tc>
        <w:tc>
          <w:tcPr>
            <w:tcW w:w="488" w:type="pct"/>
            <w:tcBorders>
              <w:top w:val="nil"/>
              <w:left w:val="nil"/>
              <w:bottom w:val="nil"/>
              <w:right w:val="nil"/>
            </w:tcBorders>
            <w:shd w:val="clear" w:color="000000" w:fill="FFFFFF"/>
            <w:noWrap/>
            <w:vAlign w:val="center"/>
            <w:hideMark/>
          </w:tcPr>
          <w:p w14:paraId="277F54D6"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E6F2FF"/>
            <w:noWrap/>
            <w:vAlign w:val="center"/>
            <w:hideMark/>
          </w:tcPr>
          <w:p w14:paraId="5AE66683"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53F7A873"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5F061D17"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0896E8FB"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20748EB2"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32930E45" w14:textId="77777777" w:rsidR="00B81CAA" w:rsidRPr="00207DD5" w:rsidRDefault="00B81CAA" w:rsidP="00B81CAA">
            <w:pPr>
              <w:spacing w:before="0" w:after="0" w:line="240" w:lineRule="auto"/>
              <w:jc w:val="right"/>
              <w:rPr>
                <w:rFonts w:ascii="Arial" w:hAnsi="Arial" w:cs="Arial"/>
                <w:sz w:val="16"/>
                <w:szCs w:val="16"/>
              </w:rPr>
            </w:pPr>
            <w:r w:rsidRPr="00207DD5">
              <w:rPr>
                <w:rFonts w:ascii="Arial" w:hAnsi="Arial" w:cs="Arial"/>
                <w:sz w:val="16"/>
                <w:szCs w:val="16"/>
              </w:rPr>
              <w:t> </w:t>
            </w:r>
          </w:p>
        </w:tc>
      </w:tr>
      <w:tr w:rsidR="00B81CAA" w14:paraId="4A845F94"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185D93F0"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Effect of policy decisions(b)</w:t>
            </w:r>
          </w:p>
        </w:tc>
        <w:tc>
          <w:tcPr>
            <w:tcW w:w="488" w:type="pct"/>
            <w:tcBorders>
              <w:top w:val="nil"/>
              <w:left w:val="nil"/>
              <w:bottom w:val="nil"/>
              <w:right w:val="nil"/>
            </w:tcBorders>
            <w:shd w:val="clear" w:color="000000" w:fill="FFFFFF"/>
            <w:noWrap/>
            <w:vAlign w:val="center"/>
            <w:hideMark/>
          </w:tcPr>
          <w:p w14:paraId="59010B98"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1,758</w:t>
            </w:r>
          </w:p>
        </w:tc>
        <w:tc>
          <w:tcPr>
            <w:tcW w:w="483" w:type="pct"/>
            <w:tcBorders>
              <w:top w:val="nil"/>
              <w:left w:val="nil"/>
              <w:bottom w:val="nil"/>
              <w:right w:val="nil"/>
            </w:tcBorders>
            <w:shd w:val="clear" w:color="000000" w:fill="E6F2FF"/>
            <w:noWrap/>
            <w:vAlign w:val="center"/>
            <w:hideMark/>
          </w:tcPr>
          <w:p w14:paraId="1826A2E8"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44</w:t>
            </w:r>
          </w:p>
        </w:tc>
        <w:tc>
          <w:tcPr>
            <w:tcW w:w="483" w:type="pct"/>
            <w:tcBorders>
              <w:top w:val="nil"/>
              <w:left w:val="nil"/>
              <w:bottom w:val="nil"/>
              <w:right w:val="nil"/>
            </w:tcBorders>
            <w:shd w:val="clear" w:color="000000" w:fill="FFFFFF"/>
            <w:noWrap/>
            <w:vAlign w:val="center"/>
            <w:hideMark/>
          </w:tcPr>
          <w:p w14:paraId="1D446C36"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-2,156</w:t>
            </w:r>
          </w:p>
        </w:tc>
        <w:tc>
          <w:tcPr>
            <w:tcW w:w="488" w:type="pct"/>
            <w:tcBorders>
              <w:top w:val="nil"/>
              <w:left w:val="nil"/>
              <w:bottom w:val="nil"/>
              <w:right w:val="nil"/>
            </w:tcBorders>
            <w:shd w:val="clear" w:color="000000" w:fill="FFFFFF"/>
            <w:noWrap/>
            <w:vAlign w:val="center"/>
            <w:hideMark/>
          </w:tcPr>
          <w:p w14:paraId="64F8037F"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-3,399</w:t>
            </w:r>
          </w:p>
        </w:tc>
        <w:tc>
          <w:tcPr>
            <w:tcW w:w="488" w:type="pct"/>
            <w:tcBorders>
              <w:top w:val="nil"/>
              <w:left w:val="nil"/>
              <w:bottom w:val="nil"/>
              <w:right w:val="nil"/>
            </w:tcBorders>
            <w:shd w:val="clear" w:color="000000" w:fill="FFFFFF"/>
            <w:noWrap/>
            <w:vAlign w:val="center"/>
            <w:hideMark/>
          </w:tcPr>
          <w:p w14:paraId="19AAFB9A"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w:t>
            </w:r>
          </w:p>
        </w:tc>
        <w:tc>
          <w:tcPr>
            <w:tcW w:w="59" w:type="pct"/>
            <w:tcBorders>
              <w:top w:val="nil"/>
              <w:left w:val="nil"/>
              <w:bottom w:val="nil"/>
              <w:right w:val="nil"/>
            </w:tcBorders>
            <w:shd w:val="clear" w:color="000000" w:fill="FFFFFF"/>
            <w:noWrap/>
            <w:vAlign w:val="center"/>
            <w:hideMark/>
          </w:tcPr>
          <w:p w14:paraId="4F82FBF7"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6F091555" w14:textId="77777777" w:rsidR="00B81CAA" w:rsidRPr="00207DD5" w:rsidRDefault="00B81CAA" w:rsidP="00B81CAA">
            <w:pPr>
              <w:spacing w:before="0" w:after="0" w:line="240" w:lineRule="auto"/>
              <w:jc w:val="right"/>
              <w:rPr>
                <w:rFonts w:ascii="Arial" w:hAnsi="Arial" w:cs="Arial"/>
                <w:sz w:val="16"/>
                <w:szCs w:val="16"/>
              </w:rPr>
            </w:pPr>
            <w:r w:rsidRPr="00207DD5">
              <w:rPr>
                <w:rFonts w:ascii="Arial" w:hAnsi="Arial" w:cs="Arial"/>
                <w:sz w:val="16"/>
                <w:szCs w:val="16"/>
              </w:rPr>
              <w:t>*</w:t>
            </w:r>
          </w:p>
        </w:tc>
      </w:tr>
      <w:tr w:rsidR="00B81CAA" w14:paraId="55CCB33D"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53539ACA"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Effect of parameter and other variations</w:t>
            </w:r>
          </w:p>
        </w:tc>
        <w:tc>
          <w:tcPr>
            <w:tcW w:w="488" w:type="pct"/>
            <w:tcBorders>
              <w:top w:val="nil"/>
              <w:left w:val="nil"/>
              <w:bottom w:val="single" w:sz="4" w:space="0" w:color="293F5B"/>
              <w:right w:val="nil"/>
            </w:tcBorders>
            <w:shd w:val="clear" w:color="000000" w:fill="FFFFFF"/>
            <w:noWrap/>
            <w:vAlign w:val="center"/>
            <w:hideMark/>
          </w:tcPr>
          <w:p w14:paraId="4966120C"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7,275</w:t>
            </w:r>
          </w:p>
        </w:tc>
        <w:tc>
          <w:tcPr>
            <w:tcW w:w="483" w:type="pct"/>
            <w:tcBorders>
              <w:top w:val="nil"/>
              <w:left w:val="nil"/>
              <w:bottom w:val="single" w:sz="4" w:space="0" w:color="293F5B"/>
              <w:right w:val="nil"/>
            </w:tcBorders>
            <w:shd w:val="clear" w:color="000000" w:fill="E6F2FF"/>
            <w:noWrap/>
            <w:vAlign w:val="center"/>
            <w:hideMark/>
          </w:tcPr>
          <w:p w14:paraId="6BCF27F4"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9,948</w:t>
            </w:r>
          </w:p>
        </w:tc>
        <w:tc>
          <w:tcPr>
            <w:tcW w:w="483" w:type="pct"/>
            <w:tcBorders>
              <w:top w:val="nil"/>
              <w:left w:val="nil"/>
              <w:bottom w:val="single" w:sz="4" w:space="0" w:color="293F5B"/>
              <w:right w:val="nil"/>
            </w:tcBorders>
            <w:shd w:val="clear" w:color="000000" w:fill="FFFFFF"/>
            <w:noWrap/>
            <w:vAlign w:val="center"/>
            <w:hideMark/>
          </w:tcPr>
          <w:p w14:paraId="053CB46E"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9,428</w:t>
            </w:r>
          </w:p>
        </w:tc>
        <w:tc>
          <w:tcPr>
            <w:tcW w:w="488" w:type="pct"/>
            <w:tcBorders>
              <w:top w:val="nil"/>
              <w:left w:val="nil"/>
              <w:bottom w:val="single" w:sz="4" w:space="0" w:color="293F5B"/>
              <w:right w:val="nil"/>
            </w:tcBorders>
            <w:shd w:val="clear" w:color="000000" w:fill="FFFFFF"/>
            <w:noWrap/>
            <w:vAlign w:val="center"/>
            <w:hideMark/>
          </w:tcPr>
          <w:p w14:paraId="04E28BF3"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8,442</w:t>
            </w:r>
          </w:p>
        </w:tc>
        <w:tc>
          <w:tcPr>
            <w:tcW w:w="488" w:type="pct"/>
            <w:tcBorders>
              <w:top w:val="nil"/>
              <w:left w:val="nil"/>
              <w:bottom w:val="single" w:sz="4" w:space="0" w:color="293F5B"/>
              <w:right w:val="nil"/>
            </w:tcBorders>
            <w:shd w:val="clear" w:color="000000" w:fill="FFFFFF"/>
            <w:noWrap/>
            <w:vAlign w:val="center"/>
            <w:hideMark/>
          </w:tcPr>
          <w:p w14:paraId="021F8E4C"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w:t>
            </w:r>
          </w:p>
        </w:tc>
        <w:tc>
          <w:tcPr>
            <w:tcW w:w="59" w:type="pct"/>
            <w:tcBorders>
              <w:top w:val="nil"/>
              <w:left w:val="nil"/>
              <w:bottom w:val="nil"/>
              <w:right w:val="nil"/>
            </w:tcBorders>
            <w:shd w:val="clear" w:color="000000" w:fill="FFFFFF"/>
            <w:noWrap/>
            <w:vAlign w:val="center"/>
            <w:hideMark/>
          </w:tcPr>
          <w:p w14:paraId="0FA2A2C0"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single" w:sz="4" w:space="0" w:color="293F5B"/>
              <w:right w:val="nil"/>
            </w:tcBorders>
            <w:shd w:val="clear" w:color="000000" w:fill="FFFFFF"/>
            <w:noWrap/>
            <w:vAlign w:val="center"/>
            <w:hideMark/>
          </w:tcPr>
          <w:p w14:paraId="6D4A4883" w14:textId="77777777" w:rsidR="00B81CAA" w:rsidRPr="00207DD5" w:rsidRDefault="00B81CAA" w:rsidP="00B81CAA">
            <w:pPr>
              <w:spacing w:before="0" w:after="0" w:line="240" w:lineRule="auto"/>
              <w:jc w:val="right"/>
              <w:rPr>
                <w:rFonts w:ascii="Arial" w:hAnsi="Arial" w:cs="Arial"/>
                <w:sz w:val="16"/>
                <w:szCs w:val="16"/>
              </w:rPr>
            </w:pPr>
            <w:r w:rsidRPr="00207DD5">
              <w:rPr>
                <w:rFonts w:ascii="Arial" w:hAnsi="Arial" w:cs="Arial"/>
                <w:sz w:val="16"/>
                <w:szCs w:val="16"/>
              </w:rPr>
              <w:t>*</w:t>
            </w:r>
          </w:p>
        </w:tc>
      </w:tr>
      <w:tr w:rsidR="00B81CAA" w14:paraId="6C7D157F"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2905097F" w14:textId="77777777" w:rsidR="00B81CAA" w:rsidRPr="007B5379" w:rsidRDefault="00B81CAA" w:rsidP="00B81CAA">
            <w:pPr>
              <w:spacing w:before="0" w:after="0" w:line="240" w:lineRule="auto"/>
              <w:rPr>
                <w:rFonts w:ascii="Arial" w:hAnsi="Arial" w:cs="Arial"/>
                <w:b/>
                <w:color w:val="00FFFF"/>
                <w:sz w:val="16"/>
                <w:szCs w:val="16"/>
                <w:highlight w:val="magenta"/>
              </w:rPr>
            </w:pPr>
            <w:r w:rsidRPr="00207DD5">
              <w:rPr>
                <w:rFonts w:ascii="Arial" w:hAnsi="Arial" w:cs="Arial"/>
                <w:b/>
                <w:sz w:val="16"/>
                <w:szCs w:val="16"/>
              </w:rPr>
              <w:t>Total variations</w:t>
            </w:r>
          </w:p>
        </w:tc>
        <w:tc>
          <w:tcPr>
            <w:tcW w:w="488" w:type="pct"/>
            <w:tcBorders>
              <w:top w:val="single" w:sz="4" w:space="0" w:color="293F5B"/>
              <w:left w:val="nil"/>
              <w:bottom w:val="single" w:sz="4" w:space="0" w:color="293F5B"/>
              <w:right w:val="nil"/>
            </w:tcBorders>
            <w:shd w:val="clear" w:color="000000" w:fill="FFFFFF"/>
            <w:noWrap/>
            <w:vAlign w:val="center"/>
            <w:hideMark/>
          </w:tcPr>
          <w:p w14:paraId="414A1AEA"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9,033</w:t>
            </w:r>
          </w:p>
        </w:tc>
        <w:tc>
          <w:tcPr>
            <w:tcW w:w="483" w:type="pct"/>
            <w:tcBorders>
              <w:top w:val="single" w:sz="4" w:space="0" w:color="293F5B"/>
              <w:left w:val="nil"/>
              <w:bottom w:val="single" w:sz="4" w:space="0" w:color="293F5B"/>
              <w:right w:val="nil"/>
            </w:tcBorders>
            <w:shd w:val="clear" w:color="000000" w:fill="E6F2FF"/>
            <w:noWrap/>
            <w:vAlign w:val="center"/>
            <w:hideMark/>
          </w:tcPr>
          <w:p w14:paraId="52F74B50"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9,992</w:t>
            </w:r>
          </w:p>
        </w:tc>
        <w:tc>
          <w:tcPr>
            <w:tcW w:w="483" w:type="pct"/>
            <w:tcBorders>
              <w:top w:val="single" w:sz="4" w:space="0" w:color="293F5B"/>
              <w:left w:val="nil"/>
              <w:bottom w:val="single" w:sz="4" w:space="0" w:color="293F5B"/>
              <w:right w:val="nil"/>
            </w:tcBorders>
            <w:shd w:val="clear" w:color="000000" w:fill="FFFFFF"/>
            <w:noWrap/>
            <w:vAlign w:val="center"/>
            <w:hideMark/>
          </w:tcPr>
          <w:p w14:paraId="741120C3"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7,272</w:t>
            </w:r>
          </w:p>
        </w:tc>
        <w:tc>
          <w:tcPr>
            <w:tcW w:w="488" w:type="pct"/>
            <w:tcBorders>
              <w:top w:val="single" w:sz="4" w:space="0" w:color="293F5B"/>
              <w:left w:val="nil"/>
              <w:bottom w:val="single" w:sz="4" w:space="0" w:color="293F5B"/>
              <w:right w:val="nil"/>
            </w:tcBorders>
            <w:shd w:val="clear" w:color="000000" w:fill="FFFFFF"/>
            <w:noWrap/>
            <w:vAlign w:val="center"/>
            <w:hideMark/>
          </w:tcPr>
          <w:p w14:paraId="5022DDD6"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5,043</w:t>
            </w:r>
          </w:p>
        </w:tc>
        <w:tc>
          <w:tcPr>
            <w:tcW w:w="488" w:type="pct"/>
            <w:tcBorders>
              <w:top w:val="single" w:sz="4" w:space="0" w:color="293F5B"/>
              <w:left w:val="nil"/>
              <w:bottom w:val="single" w:sz="4" w:space="0" w:color="293F5B"/>
              <w:right w:val="nil"/>
            </w:tcBorders>
            <w:shd w:val="clear" w:color="000000" w:fill="FFFFFF"/>
            <w:noWrap/>
            <w:vAlign w:val="center"/>
            <w:hideMark/>
          </w:tcPr>
          <w:p w14:paraId="64A54477"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w:t>
            </w:r>
          </w:p>
        </w:tc>
        <w:tc>
          <w:tcPr>
            <w:tcW w:w="59" w:type="pct"/>
            <w:tcBorders>
              <w:top w:val="nil"/>
              <w:left w:val="nil"/>
              <w:bottom w:val="nil"/>
              <w:right w:val="nil"/>
            </w:tcBorders>
            <w:shd w:val="clear" w:color="000000" w:fill="FFFFFF"/>
            <w:noWrap/>
            <w:vAlign w:val="center"/>
            <w:hideMark/>
          </w:tcPr>
          <w:p w14:paraId="33406E62"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88" w:type="pct"/>
            <w:tcBorders>
              <w:top w:val="single" w:sz="4" w:space="0" w:color="293F5B"/>
              <w:left w:val="nil"/>
              <w:bottom w:val="single" w:sz="4" w:space="0" w:color="293F5B"/>
              <w:right w:val="nil"/>
            </w:tcBorders>
            <w:shd w:val="clear" w:color="000000" w:fill="FFFFFF"/>
            <w:noWrap/>
            <w:vAlign w:val="center"/>
            <w:hideMark/>
          </w:tcPr>
          <w:p w14:paraId="49D787AF" w14:textId="77777777" w:rsidR="00B81CAA" w:rsidRPr="00207DD5" w:rsidRDefault="00B81CAA" w:rsidP="00B81CAA">
            <w:pPr>
              <w:spacing w:before="0" w:after="0" w:line="240" w:lineRule="auto"/>
              <w:jc w:val="right"/>
              <w:rPr>
                <w:rFonts w:ascii="Arial" w:hAnsi="Arial" w:cs="Arial"/>
                <w:b/>
                <w:sz w:val="16"/>
                <w:szCs w:val="16"/>
              </w:rPr>
            </w:pPr>
            <w:r w:rsidRPr="00207DD5">
              <w:rPr>
                <w:rFonts w:ascii="Arial" w:hAnsi="Arial" w:cs="Arial"/>
                <w:b/>
                <w:sz w:val="16"/>
                <w:szCs w:val="16"/>
              </w:rPr>
              <w:t>*</w:t>
            </w:r>
          </w:p>
        </w:tc>
      </w:tr>
      <w:tr w:rsidR="00B81CAA" w14:paraId="4936D5C9" w14:textId="77777777" w:rsidTr="00E91697">
        <w:trPr>
          <w:trHeight w:hRule="exact" w:val="60"/>
        </w:trPr>
        <w:tc>
          <w:tcPr>
            <w:tcW w:w="2023" w:type="pct"/>
            <w:tcBorders>
              <w:top w:val="nil"/>
              <w:left w:val="nil"/>
              <w:bottom w:val="nil"/>
              <w:right w:val="nil"/>
            </w:tcBorders>
            <w:shd w:val="clear" w:color="000000" w:fill="FFFFFF"/>
            <w:noWrap/>
            <w:vAlign w:val="center"/>
            <w:hideMark/>
          </w:tcPr>
          <w:p w14:paraId="15AE8993" w14:textId="77777777" w:rsidR="00B81CAA" w:rsidRPr="007B5379" w:rsidRDefault="00B81CAA" w:rsidP="00B81CAA">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88" w:type="pct"/>
            <w:tcBorders>
              <w:top w:val="single" w:sz="4" w:space="0" w:color="293F5B"/>
              <w:left w:val="nil"/>
              <w:bottom w:val="nil"/>
              <w:right w:val="nil"/>
            </w:tcBorders>
            <w:shd w:val="clear" w:color="000000" w:fill="FFFFFF"/>
            <w:noWrap/>
            <w:vAlign w:val="center"/>
            <w:hideMark/>
          </w:tcPr>
          <w:p w14:paraId="63E0772F"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single" w:sz="4" w:space="0" w:color="293F5B"/>
              <w:left w:val="nil"/>
              <w:bottom w:val="nil"/>
              <w:right w:val="nil"/>
            </w:tcBorders>
            <w:shd w:val="clear" w:color="000000" w:fill="E6F2FF"/>
            <w:noWrap/>
            <w:vAlign w:val="center"/>
            <w:hideMark/>
          </w:tcPr>
          <w:p w14:paraId="35493B6A"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single" w:sz="4" w:space="0" w:color="293F5B"/>
              <w:left w:val="nil"/>
              <w:bottom w:val="nil"/>
              <w:right w:val="nil"/>
            </w:tcBorders>
            <w:shd w:val="clear" w:color="000000" w:fill="FFFFFF"/>
            <w:noWrap/>
            <w:vAlign w:val="center"/>
            <w:hideMark/>
          </w:tcPr>
          <w:p w14:paraId="55791637"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single" w:sz="4" w:space="0" w:color="293F5B"/>
              <w:left w:val="nil"/>
              <w:bottom w:val="nil"/>
              <w:right w:val="nil"/>
            </w:tcBorders>
            <w:shd w:val="clear" w:color="000000" w:fill="FFFFFF"/>
            <w:noWrap/>
            <w:vAlign w:val="center"/>
            <w:hideMark/>
          </w:tcPr>
          <w:p w14:paraId="21562B7A"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single" w:sz="4" w:space="0" w:color="293F5B"/>
              <w:left w:val="nil"/>
              <w:bottom w:val="nil"/>
              <w:right w:val="nil"/>
            </w:tcBorders>
            <w:shd w:val="clear" w:color="000000" w:fill="FFFFFF"/>
            <w:noWrap/>
            <w:vAlign w:val="center"/>
            <w:hideMark/>
          </w:tcPr>
          <w:p w14:paraId="01CEA597"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6FB34328"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single" w:sz="4" w:space="0" w:color="293F5B"/>
              <w:left w:val="nil"/>
              <w:bottom w:val="nil"/>
              <w:right w:val="nil"/>
            </w:tcBorders>
            <w:shd w:val="clear" w:color="000000" w:fill="FFFFFF"/>
            <w:noWrap/>
            <w:vAlign w:val="center"/>
            <w:hideMark/>
          </w:tcPr>
          <w:p w14:paraId="4B24434E" w14:textId="77777777" w:rsidR="00B81CAA" w:rsidRPr="00207DD5" w:rsidRDefault="00B81CAA" w:rsidP="00B81CAA">
            <w:pPr>
              <w:spacing w:before="0" w:after="0" w:line="240" w:lineRule="auto"/>
              <w:jc w:val="right"/>
              <w:rPr>
                <w:rFonts w:ascii="Arial" w:hAnsi="Arial" w:cs="Arial"/>
                <w:sz w:val="16"/>
                <w:szCs w:val="16"/>
              </w:rPr>
            </w:pPr>
            <w:r w:rsidRPr="00207DD5">
              <w:rPr>
                <w:rFonts w:ascii="Arial" w:hAnsi="Arial" w:cs="Arial"/>
                <w:sz w:val="16"/>
                <w:szCs w:val="16"/>
              </w:rPr>
              <w:t> </w:t>
            </w:r>
          </w:p>
        </w:tc>
      </w:tr>
      <w:tr w:rsidR="00B81CAA" w14:paraId="41A9A1AF"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57B460AD" w14:textId="77777777" w:rsidR="00B81CAA" w:rsidRPr="007B5379" w:rsidRDefault="00B81CAA" w:rsidP="00B81CAA">
            <w:pPr>
              <w:spacing w:before="0" w:after="0" w:line="240" w:lineRule="auto"/>
              <w:rPr>
                <w:rFonts w:ascii="Arial" w:hAnsi="Arial" w:cs="Arial"/>
                <w:b/>
                <w:color w:val="00FFFF"/>
                <w:sz w:val="16"/>
                <w:szCs w:val="16"/>
                <w:highlight w:val="magenta"/>
              </w:rPr>
            </w:pPr>
            <w:r w:rsidRPr="00207DD5">
              <w:rPr>
                <w:rFonts w:ascii="Arial" w:hAnsi="Arial" w:cs="Arial"/>
                <w:b/>
                <w:sz w:val="16"/>
                <w:szCs w:val="16"/>
              </w:rPr>
              <w:t>2025-26 MYEFO payments(c)</w:t>
            </w:r>
          </w:p>
        </w:tc>
        <w:tc>
          <w:tcPr>
            <w:tcW w:w="488" w:type="pct"/>
            <w:tcBorders>
              <w:top w:val="nil"/>
              <w:left w:val="nil"/>
              <w:bottom w:val="nil"/>
              <w:right w:val="nil"/>
            </w:tcBorders>
            <w:shd w:val="clear" w:color="000000" w:fill="FFFFFF"/>
            <w:noWrap/>
            <w:vAlign w:val="center"/>
            <w:hideMark/>
          </w:tcPr>
          <w:p w14:paraId="3DEDB2D3"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786,556</w:t>
            </w:r>
          </w:p>
        </w:tc>
        <w:tc>
          <w:tcPr>
            <w:tcW w:w="483" w:type="pct"/>
            <w:tcBorders>
              <w:top w:val="nil"/>
              <w:left w:val="nil"/>
              <w:bottom w:val="nil"/>
              <w:right w:val="nil"/>
            </w:tcBorders>
            <w:shd w:val="clear" w:color="000000" w:fill="E6F2FF"/>
            <w:noWrap/>
            <w:vAlign w:val="center"/>
            <w:hideMark/>
          </w:tcPr>
          <w:p w14:paraId="62F22AA8"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811,332</w:t>
            </w:r>
          </w:p>
        </w:tc>
        <w:tc>
          <w:tcPr>
            <w:tcW w:w="483" w:type="pct"/>
            <w:tcBorders>
              <w:top w:val="nil"/>
              <w:left w:val="nil"/>
              <w:bottom w:val="nil"/>
              <w:right w:val="nil"/>
            </w:tcBorders>
            <w:shd w:val="clear" w:color="000000" w:fill="FFFFFF"/>
            <w:noWrap/>
            <w:vAlign w:val="center"/>
            <w:hideMark/>
          </w:tcPr>
          <w:p w14:paraId="7F5B5F58"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841,743</w:t>
            </w:r>
          </w:p>
        </w:tc>
        <w:tc>
          <w:tcPr>
            <w:tcW w:w="488" w:type="pct"/>
            <w:tcBorders>
              <w:top w:val="nil"/>
              <w:left w:val="nil"/>
              <w:bottom w:val="nil"/>
              <w:right w:val="nil"/>
            </w:tcBorders>
            <w:shd w:val="clear" w:color="000000" w:fill="FFFFFF"/>
            <w:noWrap/>
            <w:vAlign w:val="center"/>
            <w:hideMark/>
          </w:tcPr>
          <w:p w14:paraId="6F65BDE2"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882,916</w:t>
            </w:r>
          </w:p>
        </w:tc>
        <w:tc>
          <w:tcPr>
            <w:tcW w:w="488" w:type="pct"/>
            <w:tcBorders>
              <w:top w:val="nil"/>
              <w:left w:val="nil"/>
              <w:bottom w:val="nil"/>
              <w:right w:val="nil"/>
            </w:tcBorders>
            <w:shd w:val="clear" w:color="000000" w:fill="FFFFFF"/>
            <w:noWrap/>
            <w:vAlign w:val="center"/>
            <w:hideMark/>
          </w:tcPr>
          <w:p w14:paraId="2D327E50"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946,860</w:t>
            </w:r>
          </w:p>
        </w:tc>
        <w:tc>
          <w:tcPr>
            <w:tcW w:w="59" w:type="pct"/>
            <w:tcBorders>
              <w:top w:val="nil"/>
              <w:left w:val="nil"/>
              <w:bottom w:val="nil"/>
              <w:right w:val="nil"/>
            </w:tcBorders>
            <w:shd w:val="clear" w:color="000000" w:fill="FFFFFF"/>
            <w:noWrap/>
            <w:vAlign w:val="center"/>
            <w:hideMark/>
          </w:tcPr>
          <w:p w14:paraId="05249C9B"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88" w:type="pct"/>
            <w:tcBorders>
              <w:top w:val="nil"/>
              <w:left w:val="nil"/>
              <w:bottom w:val="nil"/>
              <w:right w:val="nil"/>
            </w:tcBorders>
            <w:shd w:val="clear" w:color="000000" w:fill="FFFFFF"/>
            <w:noWrap/>
            <w:vAlign w:val="center"/>
            <w:hideMark/>
          </w:tcPr>
          <w:p w14:paraId="68989C1B" w14:textId="77777777" w:rsidR="00B81CAA" w:rsidRPr="00207DD5" w:rsidRDefault="00B81CAA" w:rsidP="00B81CAA">
            <w:pPr>
              <w:spacing w:before="0" w:after="0" w:line="240" w:lineRule="auto"/>
              <w:jc w:val="right"/>
              <w:rPr>
                <w:rFonts w:ascii="Arial" w:hAnsi="Arial" w:cs="Arial"/>
                <w:b/>
                <w:sz w:val="16"/>
                <w:szCs w:val="16"/>
              </w:rPr>
            </w:pPr>
            <w:r w:rsidRPr="00207DD5">
              <w:rPr>
                <w:rFonts w:ascii="Arial" w:hAnsi="Arial" w:cs="Arial"/>
                <w:b/>
                <w:sz w:val="16"/>
                <w:szCs w:val="16"/>
              </w:rPr>
              <w:t>4,269,407</w:t>
            </w:r>
          </w:p>
        </w:tc>
      </w:tr>
      <w:tr w:rsidR="00B81CAA" w14:paraId="5AC3F078" w14:textId="77777777" w:rsidTr="00E91697">
        <w:trPr>
          <w:trHeight w:hRule="exact" w:val="60"/>
        </w:trPr>
        <w:tc>
          <w:tcPr>
            <w:tcW w:w="2023" w:type="pct"/>
            <w:tcBorders>
              <w:top w:val="nil"/>
              <w:left w:val="nil"/>
              <w:bottom w:val="nil"/>
              <w:right w:val="nil"/>
            </w:tcBorders>
            <w:shd w:val="clear" w:color="000000" w:fill="FFFFFF"/>
            <w:noWrap/>
            <w:vAlign w:val="center"/>
            <w:hideMark/>
          </w:tcPr>
          <w:p w14:paraId="23AC834E" w14:textId="77777777" w:rsidR="00B81CAA" w:rsidRPr="007B5379" w:rsidRDefault="00B81CAA" w:rsidP="00B81CAA">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88" w:type="pct"/>
            <w:tcBorders>
              <w:top w:val="nil"/>
              <w:left w:val="nil"/>
              <w:bottom w:val="nil"/>
              <w:right w:val="nil"/>
            </w:tcBorders>
            <w:shd w:val="clear" w:color="000000" w:fill="FFFFFF"/>
            <w:noWrap/>
            <w:vAlign w:val="center"/>
            <w:hideMark/>
          </w:tcPr>
          <w:p w14:paraId="2C35FAD0"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E6F2FF"/>
            <w:noWrap/>
            <w:vAlign w:val="center"/>
            <w:hideMark/>
          </w:tcPr>
          <w:p w14:paraId="2DE3CF3C"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17920A30"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589DA1A9"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324FC283"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38E5E791"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66F1868E" w14:textId="77777777" w:rsidR="00B81CAA" w:rsidRPr="00207DD5" w:rsidRDefault="00B81CAA" w:rsidP="00B81CAA">
            <w:pPr>
              <w:spacing w:before="0" w:after="0" w:line="240" w:lineRule="auto"/>
              <w:rPr>
                <w:rFonts w:ascii="Arial" w:hAnsi="Arial" w:cs="Arial"/>
                <w:sz w:val="16"/>
                <w:szCs w:val="16"/>
              </w:rPr>
            </w:pPr>
            <w:r w:rsidRPr="00207DD5">
              <w:rPr>
                <w:rFonts w:ascii="Arial" w:hAnsi="Arial" w:cs="Arial"/>
                <w:sz w:val="16"/>
                <w:szCs w:val="16"/>
              </w:rPr>
              <w:t> </w:t>
            </w:r>
          </w:p>
        </w:tc>
      </w:tr>
      <w:tr w:rsidR="00B81CAA" w14:paraId="48F5928E"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29ED013D" w14:textId="77777777" w:rsidR="00B81CAA" w:rsidRPr="007B5379" w:rsidRDefault="00B81CAA" w:rsidP="00B81CAA">
            <w:pPr>
              <w:spacing w:before="0" w:after="0" w:line="240" w:lineRule="auto"/>
              <w:rPr>
                <w:rFonts w:ascii="Arial" w:hAnsi="Arial" w:cs="Arial"/>
                <w:b/>
                <w:color w:val="00FFFF"/>
                <w:sz w:val="16"/>
                <w:szCs w:val="16"/>
                <w:highlight w:val="magenta"/>
              </w:rPr>
            </w:pPr>
            <w:r w:rsidRPr="00207DD5">
              <w:rPr>
                <w:rFonts w:ascii="Arial" w:hAnsi="Arial" w:cs="Arial"/>
                <w:b/>
                <w:sz w:val="16"/>
                <w:szCs w:val="16"/>
              </w:rPr>
              <w:t>Changes from 2025-26 MYEFO</w:t>
            </w:r>
          </w:p>
        </w:tc>
        <w:tc>
          <w:tcPr>
            <w:tcW w:w="488" w:type="pct"/>
            <w:tcBorders>
              <w:top w:val="nil"/>
              <w:left w:val="nil"/>
              <w:bottom w:val="nil"/>
              <w:right w:val="nil"/>
            </w:tcBorders>
            <w:shd w:val="clear" w:color="000000" w:fill="FFFFFF"/>
            <w:noWrap/>
            <w:vAlign w:val="center"/>
            <w:hideMark/>
          </w:tcPr>
          <w:p w14:paraId="04554C3E"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E6F2FF"/>
            <w:noWrap/>
            <w:vAlign w:val="center"/>
            <w:hideMark/>
          </w:tcPr>
          <w:p w14:paraId="575A9A26"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nil"/>
              <w:left w:val="nil"/>
              <w:bottom w:val="nil"/>
              <w:right w:val="nil"/>
            </w:tcBorders>
            <w:shd w:val="clear" w:color="000000" w:fill="FFFFFF"/>
            <w:noWrap/>
            <w:vAlign w:val="center"/>
            <w:hideMark/>
          </w:tcPr>
          <w:p w14:paraId="49D8836A"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12364AA9"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47DADE01"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3283B770"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02210CD2" w14:textId="77777777" w:rsidR="00B81CAA" w:rsidRPr="00207DD5" w:rsidRDefault="00B81CAA" w:rsidP="00B81CAA">
            <w:pPr>
              <w:spacing w:before="0" w:after="0" w:line="240" w:lineRule="auto"/>
              <w:rPr>
                <w:rFonts w:ascii="Arial" w:hAnsi="Arial" w:cs="Arial"/>
                <w:sz w:val="16"/>
                <w:szCs w:val="16"/>
              </w:rPr>
            </w:pPr>
            <w:r w:rsidRPr="00207DD5">
              <w:rPr>
                <w:rFonts w:ascii="Arial" w:hAnsi="Arial" w:cs="Arial"/>
                <w:sz w:val="16"/>
                <w:szCs w:val="16"/>
              </w:rPr>
              <w:t> </w:t>
            </w:r>
          </w:p>
        </w:tc>
      </w:tr>
      <w:tr w:rsidR="00B81CAA" w14:paraId="12796362"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10042942" w14:textId="77777777" w:rsidR="00B81CAA" w:rsidRPr="007B5379" w:rsidRDefault="00B81CAA" w:rsidP="00B81CAA">
            <w:pPr>
              <w:spacing w:before="0" w:after="0" w:line="240" w:lineRule="auto"/>
              <w:ind w:firstLineChars="100" w:firstLine="161"/>
              <w:rPr>
                <w:rFonts w:ascii="Arial" w:hAnsi="Arial" w:cs="Arial"/>
                <w:b/>
                <w:color w:val="00FFFF"/>
                <w:sz w:val="16"/>
                <w:szCs w:val="16"/>
                <w:highlight w:val="magenta"/>
              </w:rPr>
            </w:pPr>
            <w:r w:rsidRPr="00207DD5">
              <w:rPr>
                <w:rFonts w:ascii="Arial" w:hAnsi="Arial" w:cs="Arial"/>
                <w:b/>
                <w:sz w:val="16"/>
                <w:szCs w:val="16"/>
              </w:rPr>
              <w:t>to 2026-27 Budget</w:t>
            </w:r>
          </w:p>
        </w:tc>
        <w:tc>
          <w:tcPr>
            <w:tcW w:w="488" w:type="pct"/>
            <w:tcBorders>
              <w:top w:val="nil"/>
              <w:left w:val="nil"/>
              <w:bottom w:val="nil"/>
              <w:right w:val="nil"/>
            </w:tcBorders>
            <w:shd w:val="clear" w:color="000000" w:fill="FFFFFF"/>
            <w:noWrap/>
            <w:vAlign w:val="center"/>
            <w:hideMark/>
          </w:tcPr>
          <w:p w14:paraId="0AAF8107" w14:textId="77777777" w:rsidR="00B81CAA" w:rsidRPr="007B5379" w:rsidRDefault="00B81CAA" w:rsidP="00B81CAA">
            <w:pPr>
              <w:spacing w:before="0" w:after="0" w:line="240" w:lineRule="auto"/>
              <w:rPr>
                <w:rFonts w:ascii="Arial" w:hAnsi="Arial" w:cs="Arial"/>
                <w:i/>
                <w:color w:val="00FFFF"/>
                <w:sz w:val="16"/>
                <w:szCs w:val="16"/>
                <w:highlight w:val="magenta"/>
              </w:rPr>
            </w:pPr>
            <w:r w:rsidRPr="00207DD5">
              <w:rPr>
                <w:rFonts w:ascii="Arial" w:hAnsi="Arial" w:cs="Arial"/>
                <w:i/>
                <w:sz w:val="16"/>
                <w:szCs w:val="16"/>
              </w:rPr>
              <w:t> </w:t>
            </w:r>
          </w:p>
        </w:tc>
        <w:tc>
          <w:tcPr>
            <w:tcW w:w="483" w:type="pct"/>
            <w:tcBorders>
              <w:top w:val="nil"/>
              <w:left w:val="nil"/>
              <w:bottom w:val="nil"/>
              <w:right w:val="nil"/>
            </w:tcBorders>
            <w:shd w:val="clear" w:color="000000" w:fill="E6F2FF"/>
            <w:noWrap/>
            <w:vAlign w:val="center"/>
            <w:hideMark/>
          </w:tcPr>
          <w:p w14:paraId="09F597ED" w14:textId="77777777" w:rsidR="00B81CAA" w:rsidRPr="007B5379" w:rsidRDefault="00B81CAA" w:rsidP="00B81CAA">
            <w:pPr>
              <w:spacing w:before="0" w:after="0" w:line="240" w:lineRule="auto"/>
              <w:rPr>
                <w:rFonts w:ascii="Arial" w:hAnsi="Arial" w:cs="Arial"/>
                <w:i/>
                <w:color w:val="00FFFF"/>
                <w:sz w:val="16"/>
                <w:szCs w:val="16"/>
                <w:highlight w:val="magenta"/>
              </w:rPr>
            </w:pPr>
            <w:r w:rsidRPr="00207DD5">
              <w:rPr>
                <w:rFonts w:ascii="Arial" w:hAnsi="Arial" w:cs="Arial"/>
                <w:i/>
                <w:sz w:val="16"/>
                <w:szCs w:val="16"/>
              </w:rPr>
              <w:t> </w:t>
            </w:r>
          </w:p>
        </w:tc>
        <w:tc>
          <w:tcPr>
            <w:tcW w:w="483" w:type="pct"/>
            <w:tcBorders>
              <w:top w:val="nil"/>
              <w:left w:val="nil"/>
              <w:bottom w:val="nil"/>
              <w:right w:val="nil"/>
            </w:tcBorders>
            <w:shd w:val="clear" w:color="000000" w:fill="FFFFFF"/>
            <w:noWrap/>
            <w:vAlign w:val="center"/>
            <w:hideMark/>
          </w:tcPr>
          <w:p w14:paraId="2DD22349" w14:textId="77777777" w:rsidR="00B81CAA" w:rsidRPr="007B5379" w:rsidRDefault="00B81CAA" w:rsidP="00B81CAA">
            <w:pPr>
              <w:spacing w:before="0" w:after="0" w:line="240" w:lineRule="auto"/>
              <w:rPr>
                <w:rFonts w:ascii="Arial" w:hAnsi="Arial" w:cs="Arial"/>
                <w:i/>
                <w:color w:val="00FFFF"/>
                <w:sz w:val="16"/>
                <w:szCs w:val="16"/>
                <w:highlight w:val="magenta"/>
              </w:rPr>
            </w:pPr>
            <w:r w:rsidRPr="00207DD5">
              <w:rPr>
                <w:rFonts w:ascii="Arial" w:hAnsi="Arial" w:cs="Arial"/>
                <w:i/>
                <w:sz w:val="16"/>
                <w:szCs w:val="16"/>
              </w:rPr>
              <w:t> </w:t>
            </w:r>
          </w:p>
        </w:tc>
        <w:tc>
          <w:tcPr>
            <w:tcW w:w="488" w:type="pct"/>
            <w:tcBorders>
              <w:top w:val="nil"/>
              <w:left w:val="nil"/>
              <w:bottom w:val="nil"/>
              <w:right w:val="nil"/>
            </w:tcBorders>
            <w:shd w:val="clear" w:color="000000" w:fill="FFFFFF"/>
            <w:noWrap/>
            <w:vAlign w:val="center"/>
            <w:hideMark/>
          </w:tcPr>
          <w:p w14:paraId="71A0663B" w14:textId="77777777" w:rsidR="00B81CAA" w:rsidRPr="007B5379" w:rsidRDefault="00B81CAA" w:rsidP="00B81CAA">
            <w:pPr>
              <w:spacing w:before="0" w:after="0" w:line="240" w:lineRule="auto"/>
              <w:rPr>
                <w:rFonts w:ascii="Arial" w:hAnsi="Arial" w:cs="Arial"/>
                <w:i/>
                <w:color w:val="00FFFF"/>
                <w:sz w:val="16"/>
                <w:szCs w:val="16"/>
                <w:highlight w:val="magenta"/>
              </w:rPr>
            </w:pPr>
            <w:r w:rsidRPr="00207DD5">
              <w:rPr>
                <w:rFonts w:ascii="Arial" w:hAnsi="Arial" w:cs="Arial"/>
                <w:i/>
                <w:sz w:val="16"/>
                <w:szCs w:val="16"/>
              </w:rPr>
              <w:t> </w:t>
            </w:r>
          </w:p>
        </w:tc>
        <w:tc>
          <w:tcPr>
            <w:tcW w:w="488" w:type="pct"/>
            <w:tcBorders>
              <w:top w:val="nil"/>
              <w:left w:val="nil"/>
              <w:bottom w:val="nil"/>
              <w:right w:val="nil"/>
            </w:tcBorders>
            <w:shd w:val="clear" w:color="000000" w:fill="FFFFFF"/>
            <w:noWrap/>
            <w:vAlign w:val="center"/>
            <w:hideMark/>
          </w:tcPr>
          <w:p w14:paraId="317EE6E9" w14:textId="77777777" w:rsidR="00B81CAA" w:rsidRPr="007B5379" w:rsidRDefault="00B81CAA" w:rsidP="00B81CAA">
            <w:pPr>
              <w:spacing w:before="0" w:after="0" w:line="240" w:lineRule="auto"/>
              <w:rPr>
                <w:rFonts w:ascii="Arial" w:hAnsi="Arial" w:cs="Arial"/>
                <w:i/>
                <w:color w:val="00FFFF"/>
                <w:sz w:val="16"/>
                <w:szCs w:val="16"/>
                <w:highlight w:val="magenta"/>
              </w:rPr>
            </w:pPr>
            <w:r w:rsidRPr="00207DD5">
              <w:rPr>
                <w:rFonts w:ascii="Arial" w:hAnsi="Arial" w:cs="Arial"/>
                <w:i/>
                <w:sz w:val="16"/>
                <w:szCs w:val="16"/>
              </w:rPr>
              <w:t> </w:t>
            </w:r>
          </w:p>
        </w:tc>
        <w:tc>
          <w:tcPr>
            <w:tcW w:w="59" w:type="pct"/>
            <w:tcBorders>
              <w:top w:val="nil"/>
              <w:left w:val="nil"/>
              <w:bottom w:val="nil"/>
              <w:right w:val="nil"/>
            </w:tcBorders>
            <w:shd w:val="clear" w:color="000000" w:fill="FFFFFF"/>
            <w:noWrap/>
            <w:vAlign w:val="center"/>
            <w:hideMark/>
          </w:tcPr>
          <w:p w14:paraId="6C6D4DB0" w14:textId="77777777" w:rsidR="00B81CAA" w:rsidRPr="007B5379" w:rsidRDefault="00B81CAA" w:rsidP="00B81CAA">
            <w:pPr>
              <w:spacing w:before="0" w:after="0" w:line="240" w:lineRule="auto"/>
              <w:rPr>
                <w:rFonts w:ascii="Arial" w:hAnsi="Arial" w:cs="Arial"/>
                <w:i/>
                <w:color w:val="00FFFF"/>
                <w:sz w:val="16"/>
                <w:szCs w:val="16"/>
                <w:highlight w:val="magenta"/>
              </w:rPr>
            </w:pPr>
            <w:r w:rsidRPr="00207DD5">
              <w:rPr>
                <w:rFonts w:ascii="Arial" w:hAnsi="Arial" w:cs="Arial"/>
                <w:i/>
                <w:sz w:val="16"/>
                <w:szCs w:val="16"/>
              </w:rPr>
              <w:t> </w:t>
            </w:r>
          </w:p>
        </w:tc>
        <w:tc>
          <w:tcPr>
            <w:tcW w:w="488" w:type="pct"/>
            <w:tcBorders>
              <w:top w:val="nil"/>
              <w:left w:val="nil"/>
              <w:bottom w:val="nil"/>
              <w:right w:val="nil"/>
            </w:tcBorders>
            <w:shd w:val="clear" w:color="000000" w:fill="FFFFFF"/>
            <w:noWrap/>
            <w:vAlign w:val="center"/>
            <w:hideMark/>
          </w:tcPr>
          <w:p w14:paraId="384A38FF" w14:textId="77777777" w:rsidR="00B81CAA" w:rsidRPr="00207DD5" w:rsidRDefault="00B81CAA" w:rsidP="00B81CAA">
            <w:pPr>
              <w:spacing w:before="0" w:after="0" w:line="240" w:lineRule="auto"/>
              <w:rPr>
                <w:rFonts w:ascii="Arial" w:hAnsi="Arial" w:cs="Arial"/>
                <w:sz w:val="16"/>
                <w:szCs w:val="16"/>
              </w:rPr>
            </w:pPr>
            <w:r w:rsidRPr="00207DD5">
              <w:rPr>
                <w:rFonts w:ascii="Arial" w:hAnsi="Arial" w:cs="Arial"/>
                <w:sz w:val="16"/>
                <w:szCs w:val="16"/>
              </w:rPr>
              <w:t> </w:t>
            </w:r>
          </w:p>
        </w:tc>
      </w:tr>
      <w:tr w:rsidR="00B81CAA" w14:paraId="372FC3FD"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55E66AC9"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Effect of policy decisions(b)</w:t>
            </w:r>
          </w:p>
        </w:tc>
        <w:tc>
          <w:tcPr>
            <w:tcW w:w="488" w:type="pct"/>
            <w:tcBorders>
              <w:top w:val="nil"/>
              <w:left w:val="nil"/>
              <w:bottom w:val="nil"/>
              <w:right w:val="nil"/>
            </w:tcBorders>
            <w:shd w:val="clear" w:color="000000" w:fill="FFFFFF"/>
            <w:noWrap/>
            <w:vAlign w:val="center"/>
            <w:hideMark/>
          </w:tcPr>
          <w:p w14:paraId="039B861A"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1,728</w:t>
            </w:r>
          </w:p>
        </w:tc>
        <w:tc>
          <w:tcPr>
            <w:tcW w:w="483" w:type="pct"/>
            <w:tcBorders>
              <w:top w:val="nil"/>
              <w:left w:val="nil"/>
              <w:bottom w:val="nil"/>
              <w:right w:val="nil"/>
            </w:tcBorders>
            <w:shd w:val="clear" w:color="000000" w:fill="E6F2FF"/>
            <w:noWrap/>
            <w:vAlign w:val="center"/>
            <w:hideMark/>
          </w:tcPr>
          <w:p w14:paraId="00744833"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8,747</w:t>
            </w:r>
          </w:p>
        </w:tc>
        <w:tc>
          <w:tcPr>
            <w:tcW w:w="483" w:type="pct"/>
            <w:tcBorders>
              <w:top w:val="nil"/>
              <w:left w:val="nil"/>
              <w:bottom w:val="nil"/>
              <w:right w:val="nil"/>
            </w:tcBorders>
            <w:shd w:val="clear" w:color="000000" w:fill="FFFFFF"/>
            <w:noWrap/>
            <w:vAlign w:val="center"/>
            <w:hideMark/>
          </w:tcPr>
          <w:p w14:paraId="08027B36"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3,288</w:t>
            </w:r>
          </w:p>
        </w:tc>
        <w:tc>
          <w:tcPr>
            <w:tcW w:w="488" w:type="pct"/>
            <w:tcBorders>
              <w:top w:val="nil"/>
              <w:left w:val="nil"/>
              <w:bottom w:val="nil"/>
              <w:right w:val="nil"/>
            </w:tcBorders>
            <w:shd w:val="clear" w:color="000000" w:fill="FFFFFF"/>
            <w:noWrap/>
            <w:vAlign w:val="center"/>
            <w:hideMark/>
          </w:tcPr>
          <w:p w14:paraId="623D8050"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-2,226</w:t>
            </w:r>
          </w:p>
        </w:tc>
        <w:tc>
          <w:tcPr>
            <w:tcW w:w="488" w:type="pct"/>
            <w:tcBorders>
              <w:top w:val="nil"/>
              <w:left w:val="nil"/>
              <w:bottom w:val="nil"/>
              <w:right w:val="nil"/>
            </w:tcBorders>
            <w:shd w:val="clear" w:color="000000" w:fill="FFFFFF"/>
            <w:noWrap/>
            <w:vAlign w:val="center"/>
            <w:hideMark/>
          </w:tcPr>
          <w:p w14:paraId="6C705D28"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-11,000</w:t>
            </w:r>
          </w:p>
        </w:tc>
        <w:tc>
          <w:tcPr>
            <w:tcW w:w="59" w:type="pct"/>
            <w:tcBorders>
              <w:top w:val="nil"/>
              <w:left w:val="nil"/>
              <w:bottom w:val="nil"/>
              <w:right w:val="nil"/>
            </w:tcBorders>
            <w:shd w:val="clear" w:color="000000" w:fill="FFFFFF"/>
            <w:noWrap/>
            <w:vAlign w:val="center"/>
            <w:hideMark/>
          </w:tcPr>
          <w:p w14:paraId="2DB2B2D4"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3B834D0D" w14:textId="77777777" w:rsidR="00B81CAA" w:rsidRPr="00207DD5" w:rsidRDefault="00B81CAA" w:rsidP="00B81CAA">
            <w:pPr>
              <w:spacing w:before="0" w:after="0" w:line="240" w:lineRule="auto"/>
              <w:jc w:val="right"/>
              <w:rPr>
                <w:rFonts w:ascii="Arial" w:hAnsi="Arial" w:cs="Arial"/>
                <w:sz w:val="16"/>
                <w:szCs w:val="16"/>
              </w:rPr>
            </w:pPr>
            <w:r w:rsidRPr="00207DD5">
              <w:rPr>
                <w:rFonts w:ascii="Arial" w:hAnsi="Arial" w:cs="Arial"/>
                <w:sz w:val="16"/>
                <w:szCs w:val="16"/>
              </w:rPr>
              <w:t>535</w:t>
            </w:r>
          </w:p>
        </w:tc>
      </w:tr>
      <w:tr w:rsidR="00B81CAA" w14:paraId="45E78601"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3E7E99B3"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Effect of parameter and other variations</w:t>
            </w:r>
          </w:p>
        </w:tc>
        <w:tc>
          <w:tcPr>
            <w:tcW w:w="488" w:type="pct"/>
            <w:tcBorders>
              <w:top w:val="nil"/>
              <w:left w:val="nil"/>
              <w:bottom w:val="nil"/>
              <w:right w:val="nil"/>
            </w:tcBorders>
            <w:shd w:val="clear" w:color="000000" w:fill="FFFFFF"/>
            <w:noWrap/>
            <w:vAlign w:val="center"/>
            <w:hideMark/>
          </w:tcPr>
          <w:p w14:paraId="19DB4B3C"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-228</w:t>
            </w:r>
          </w:p>
        </w:tc>
        <w:tc>
          <w:tcPr>
            <w:tcW w:w="483" w:type="pct"/>
            <w:tcBorders>
              <w:top w:val="nil"/>
              <w:left w:val="nil"/>
              <w:bottom w:val="nil"/>
              <w:right w:val="nil"/>
            </w:tcBorders>
            <w:shd w:val="clear" w:color="000000" w:fill="E6F2FF"/>
            <w:noWrap/>
            <w:vAlign w:val="center"/>
            <w:hideMark/>
          </w:tcPr>
          <w:p w14:paraId="0CE20328"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9,561</w:t>
            </w:r>
          </w:p>
        </w:tc>
        <w:tc>
          <w:tcPr>
            <w:tcW w:w="483" w:type="pct"/>
            <w:tcBorders>
              <w:top w:val="nil"/>
              <w:left w:val="nil"/>
              <w:bottom w:val="nil"/>
              <w:right w:val="nil"/>
            </w:tcBorders>
            <w:shd w:val="clear" w:color="000000" w:fill="FFFFFF"/>
            <w:noWrap/>
            <w:vAlign w:val="center"/>
            <w:hideMark/>
          </w:tcPr>
          <w:p w14:paraId="559FDE83"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8,836</w:t>
            </w:r>
          </w:p>
        </w:tc>
        <w:tc>
          <w:tcPr>
            <w:tcW w:w="488" w:type="pct"/>
            <w:tcBorders>
              <w:top w:val="nil"/>
              <w:left w:val="nil"/>
              <w:bottom w:val="nil"/>
              <w:right w:val="nil"/>
            </w:tcBorders>
            <w:shd w:val="clear" w:color="000000" w:fill="FFFFFF"/>
            <w:noWrap/>
            <w:vAlign w:val="center"/>
            <w:hideMark/>
          </w:tcPr>
          <w:p w14:paraId="71281E47"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2,139</w:t>
            </w:r>
          </w:p>
        </w:tc>
        <w:tc>
          <w:tcPr>
            <w:tcW w:w="488" w:type="pct"/>
            <w:tcBorders>
              <w:top w:val="nil"/>
              <w:left w:val="nil"/>
              <w:bottom w:val="nil"/>
              <w:right w:val="nil"/>
            </w:tcBorders>
            <w:shd w:val="clear" w:color="000000" w:fill="FFFFFF"/>
            <w:noWrap/>
            <w:vAlign w:val="center"/>
            <w:hideMark/>
          </w:tcPr>
          <w:p w14:paraId="2B1E9011"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-15,808</w:t>
            </w:r>
          </w:p>
        </w:tc>
        <w:tc>
          <w:tcPr>
            <w:tcW w:w="59" w:type="pct"/>
            <w:tcBorders>
              <w:top w:val="nil"/>
              <w:left w:val="nil"/>
              <w:bottom w:val="nil"/>
              <w:right w:val="nil"/>
            </w:tcBorders>
            <w:shd w:val="clear" w:color="000000" w:fill="FFFFFF"/>
            <w:noWrap/>
            <w:vAlign w:val="center"/>
            <w:hideMark/>
          </w:tcPr>
          <w:p w14:paraId="4E89A2D5"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1138AA3C" w14:textId="77777777" w:rsidR="00B81CAA" w:rsidRPr="00207DD5" w:rsidRDefault="00B81CAA" w:rsidP="00B81CAA">
            <w:pPr>
              <w:spacing w:before="0" w:after="0" w:line="240" w:lineRule="auto"/>
              <w:jc w:val="right"/>
              <w:rPr>
                <w:rFonts w:ascii="Arial" w:hAnsi="Arial" w:cs="Arial"/>
                <w:sz w:val="16"/>
                <w:szCs w:val="16"/>
              </w:rPr>
            </w:pPr>
            <w:r w:rsidRPr="00207DD5">
              <w:rPr>
                <w:rFonts w:ascii="Arial" w:hAnsi="Arial" w:cs="Arial"/>
                <w:sz w:val="16"/>
                <w:szCs w:val="16"/>
              </w:rPr>
              <w:t>4,501</w:t>
            </w:r>
          </w:p>
        </w:tc>
      </w:tr>
      <w:tr w:rsidR="00B81CAA" w14:paraId="3FBADCB5"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5E0CB5C5" w14:textId="77777777" w:rsidR="00B81CAA" w:rsidRPr="007B5379" w:rsidRDefault="00B81CAA" w:rsidP="00B81CAA">
            <w:pPr>
              <w:spacing w:before="0" w:after="0" w:line="240" w:lineRule="auto"/>
              <w:ind w:firstLineChars="100" w:firstLine="160"/>
              <w:rPr>
                <w:rFonts w:ascii="Arial" w:hAnsi="Arial" w:cs="Arial"/>
                <w:color w:val="00FFFF"/>
                <w:sz w:val="16"/>
                <w:szCs w:val="16"/>
                <w:highlight w:val="magenta"/>
              </w:rPr>
            </w:pPr>
            <w:r w:rsidRPr="00207DD5">
              <w:rPr>
                <w:rFonts w:ascii="Arial" w:hAnsi="Arial" w:cs="Arial"/>
                <w:sz w:val="16"/>
                <w:szCs w:val="16"/>
              </w:rPr>
              <w:t>Total economic parameter variations</w:t>
            </w:r>
          </w:p>
        </w:tc>
        <w:tc>
          <w:tcPr>
            <w:tcW w:w="488" w:type="pct"/>
            <w:tcBorders>
              <w:top w:val="nil"/>
              <w:left w:val="nil"/>
              <w:bottom w:val="nil"/>
              <w:right w:val="nil"/>
            </w:tcBorders>
            <w:shd w:val="clear" w:color="000000" w:fill="FFFFFF"/>
            <w:noWrap/>
            <w:vAlign w:val="center"/>
            <w:hideMark/>
          </w:tcPr>
          <w:p w14:paraId="28A62581"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270</w:t>
            </w:r>
          </w:p>
        </w:tc>
        <w:tc>
          <w:tcPr>
            <w:tcW w:w="483" w:type="pct"/>
            <w:tcBorders>
              <w:top w:val="nil"/>
              <w:left w:val="nil"/>
              <w:bottom w:val="nil"/>
              <w:right w:val="nil"/>
            </w:tcBorders>
            <w:shd w:val="clear" w:color="000000" w:fill="E6F2FF"/>
            <w:noWrap/>
            <w:vAlign w:val="center"/>
            <w:hideMark/>
          </w:tcPr>
          <w:p w14:paraId="08F97EAA"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4,067</w:t>
            </w:r>
          </w:p>
        </w:tc>
        <w:tc>
          <w:tcPr>
            <w:tcW w:w="483" w:type="pct"/>
            <w:tcBorders>
              <w:top w:val="nil"/>
              <w:left w:val="nil"/>
              <w:bottom w:val="nil"/>
              <w:right w:val="nil"/>
            </w:tcBorders>
            <w:shd w:val="clear" w:color="000000" w:fill="FFFFFF"/>
            <w:noWrap/>
            <w:vAlign w:val="center"/>
            <w:hideMark/>
          </w:tcPr>
          <w:p w14:paraId="667CE718"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4,947</w:t>
            </w:r>
          </w:p>
        </w:tc>
        <w:tc>
          <w:tcPr>
            <w:tcW w:w="488" w:type="pct"/>
            <w:tcBorders>
              <w:top w:val="nil"/>
              <w:left w:val="nil"/>
              <w:bottom w:val="nil"/>
              <w:right w:val="nil"/>
            </w:tcBorders>
            <w:shd w:val="clear" w:color="000000" w:fill="FFFFFF"/>
            <w:noWrap/>
            <w:vAlign w:val="center"/>
            <w:hideMark/>
          </w:tcPr>
          <w:p w14:paraId="60BA6B6B"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4,137</w:t>
            </w:r>
          </w:p>
        </w:tc>
        <w:tc>
          <w:tcPr>
            <w:tcW w:w="488" w:type="pct"/>
            <w:tcBorders>
              <w:top w:val="nil"/>
              <w:left w:val="nil"/>
              <w:bottom w:val="nil"/>
              <w:right w:val="nil"/>
            </w:tcBorders>
            <w:shd w:val="clear" w:color="000000" w:fill="FFFFFF"/>
            <w:noWrap/>
            <w:vAlign w:val="center"/>
            <w:hideMark/>
          </w:tcPr>
          <w:p w14:paraId="6AB7D0B2"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w:t>
            </w:r>
          </w:p>
        </w:tc>
        <w:tc>
          <w:tcPr>
            <w:tcW w:w="59" w:type="pct"/>
            <w:tcBorders>
              <w:top w:val="nil"/>
              <w:left w:val="nil"/>
              <w:bottom w:val="nil"/>
              <w:right w:val="nil"/>
            </w:tcBorders>
            <w:shd w:val="clear" w:color="000000" w:fill="FFFFFF"/>
            <w:noWrap/>
            <w:vAlign w:val="center"/>
            <w:hideMark/>
          </w:tcPr>
          <w:p w14:paraId="28CE1AED"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05EBBCE9" w14:textId="77777777" w:rsidR="00B81CAA" w:rsidRPr="00207DD5" w:rsidRDefault="00B81CAA" w:rsidP="00B81CAA">
            <w:pPr>
              <w:spacing w:before="0" w:after="0" w:line="240" w:lineRule="auto"/>
              <w:jc w:val="right"/>
              <w:rPr>
                <w:rFonts w:ascii="Arial" w:hAnsi="Arial" w:cs="Arial"/>
                <w:sz w:val="16"/>
                <w:szCs w:val="16"/>
              </w:rPr>
            </w:pPr>
            <w:r w:rsidRPr="00207DD5">
              <w:rPr>
                <w:rFonts w:ascii="Arial" w:hAnsi="Arial" w:cs="Arial"/>
                <w:sz w:val="16"/>
                <w:szCs w:val="16"/>
              </w:rPr>
              <w:t>*</w:t>
            </w:r>
          </w:p>
        </w:tc>
      </w:tr>
      <w:tr w:rsidR="00B81CAA" w14:paraId="3BBFE53A"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7EB1F014" w14:textId="77777777" w:rsidR="00B81CAA" w:rsidRPr="007B5379" w:rsidRDefault="00B81CAA" w:rsidP="00B81CAA">
            <w:pPr>
              <w:spacing w:before="0" w:after="0" w:line="240" w:lineRule="auto"/>
              <w:ind w:firstLineChars="200" w:firstLine="320"/>
              <w:rPr>
                <w:rFonts w:ascii="Arial" w:hAnsi="Arial" w:cs="Arial"/>
                <w:i/>
                <w:color w:val="00FFFF"/>
                <w:sz w:val="16"/>
                <w:szCs w:val="16"/>
                <w:highlight w:val="magenta"/>
              </w:rPr>
            </w:pPr>
            <w:r w:rsidRPr="00207DD5">
              <w:rPr>
                <w:rFonts w:ascii="Arial" w:hAnsi="Arial" w:cs="Arial"/>
                <w:i/>
                <w:sz w:val="16"/>
                <w:szCs w:val="16"/>
              </w:rPr>
              <w:t>Unemployment benefits</w:t>
            </w:r>
          </w:p>
        </w:tc>
        <w:tc>
          <w:tcPr>
            <w:tcW w:w="488" w:type="pct"/>
            <w:tcBorders>
              <w:top w:val="nil"/>
              <w:left w:val="nil"/>
              <w:bottom w:val="nil"/>
              <w:right w:val="nil"/>
            </w:tcBorders>
            <w:shd w:val="clear" w:color="000000" w:fill="FFFFFF"/>
            <w:noWrap/>
            <w:vAlign w:val="center"/>
            <w:hideMark/>
          </w:tcPr>
          <w:p w14:paraId="0B5437CA"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7</w:t>
            </w:r>
          </w:p>
        </w:tc>
        <w:tc>
          <w:tcPr>
            <w:tcW w:w="483" w:type="pct"/>
            <w:tcBorders>
              <w:top w:val="nil"/>
              <w:left w:val="nil"/>
              <w:bottom w:val="nil"/>
              <w:right w:val="nil"/>
            </w:tcBorders>
            <w:shd w:val="clear" w:color="000000" w:fill="E6F2FF"/>
            <w:noWrap/>
            <w:vAlign w:val="center"/>
            <w:hideMark/>
          </w:tcPr>
          <w:p w14:paraId="38ECF210"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776</w:t>
            </w:r>
          </w:p>
        </w:tc>
        <w:tc>
          <w:tcPr>
            <w:tcW w:w="483" w:type="pct"/>
            <w:tcBorders>
              <w:top w:val="nil"/>
              <w:left w:val="nil"/>
              <w:bottom w:val="nil"/>
              <w:right w:val="nil"/>
            </w:tcBorders>
            <w:shd w:val="clear" w:color="000000" w:fill="FFFFFF"/>
            <w:noWrap/>
            <w:vAlign w:val="center"/>
            <w:hideMark/>
          </w:tcPr>
          <w:p w14:paraId="750F13B2"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861</w:t>
            </w:r>
          </w:p>
        </w:tc>
        <w:tc>
          <w:tcPr>
            <w:tcW w:w="488" w:type="pct"/>
            <w:tcBorders>
              <w:top w:val="nil"/>
              <w:left w:val="nil"/>
              <w:bottom w:val="nil"/>
              <w:right w:val="nil"/>
            </w:tcBorders>
            <w:shd w:val="clear" w:color="000000" w:fill="FFFFFF"/>
            <w:noWrap/>
            <w:vAlign w:val="center"/>
            <w:hideMark/>
          </w:tcPr>
          <w:p w14:paraId="5E73833B"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788</w:t>
            </w:r>
          </w:p>
        </w:tc>
        <w:tc>
          <w:tcPr>
            <w:tcW w:w="488" w:type="pct"/>
            <w:tcBorders>
              <w:top w:val="nil"/>
              <w:left w:val="nil"/>
              <w:bottom w:val="nil"/>
              <w:right w:val="nil"/>
            </w:tcBorders>
            <w:shd w:val="clear" w:color="000000" w:fill="FFFFFF"/>
            <w:noWrap/>
            <w:vAlign w:val="center"/>
            <w:hideMark/>
          </w:tcPr>
          <w:p w14:paraId="107E5A1C"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w:t>
            </w:r>
          </w:p>
        </w:tc>
        <w:tc>
          <w:tcPr>
            <w:tcW w:w="59" w:type="pct"/>
            <w:tcBorders>
              <w:top w:val="nil"/>
              <w:left w:val="nil"/>
              <w:bottom w:val="nil"/>
              <w:right w:val="nil"/>
            </w:tcBorders>
            <w:shd w:val="clear" w:color="000000" w:fill="FFFFFF"/>
            <w:noWrap/>
            <w:vAlign w:val="center"/>
            <w:hideMark/>
          </w:tcPr>
          <w:p w14:paraId="5A539852"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88" w:type="pct"/>
            <w:tcBorders>
              <w:top w:val="nil"/>
              <w:left w:val="nil"/>
              <w:bottom w:val="nil"/>
              <w:right w:val="nil"/>
            </w:tcBorders>
            <w:shd w:val="clear" w:color="000000" w:fill="FFFFFF"/>
            <w:noWrap/>
            <w:vAlign w:val="center"/>
            <w:hideMark/>
          </w:tcPr>
          <w:p w14:paraId="54076BD0" w14:textId="77777777" w:rsidR="00B81CAA" w:rsidRPr="00207DD5" w:rsidRDefault="00B81CAA" w:rsidP="00B81CAA">
            <w:pPr>
              <w:spacing w:before="0" w:after="0" w:line="240" w:lineRule="auto"/>
              <w:jc w:val="right"/>
              <w:rPr>
                <w:rFonts w:ascii="Arial" w:hAnsi="Arial" w:cs="Arial"/>
                <w:i/>
                <w:sz w:val="16"/>
                <w:szCs w:val="16"/>
              </w:rPr>
            </w:pPr>
            <w:r w:rsidRPr="00207DD5">
              <w:rPr>
                <w:rFonts w:ascii="Arial" w:hAnsi="Arial" w:cs="Arial"/>
                <w:i/>
                <w:sz w:val="16"/>
                <w:szCs w:val="16"/>
              </w:rPr>
              <w:t>*</w:t>
            </w:r>
          </w:p>
        </w:tc>
      </w:tr>
      <w:tr w:rsidR="00B81CAA" w14:paraId="618FAC11"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4BC9B3AB" w14:textId="77777777" w:rsidR="00B81CAA" w:rsidRPr="007B5379" w:rsidRDefault="00B81CAA" w:rsidP="00B81CAA">
            <w:pPr>
              <w:spacing w:before="0" w:after="0" w:line="240" w:lineRule="auto"/>
              <w:ind w:firstLineChars="200" w:firstLine="320"/>
              <w:rPr>
                <w:rFonts w:ascii="Arial" w:hAnsi="Arial" w:cs="Arial"/>
                <w:i/>
                <w:color w:val="00FFFF"/>
                <w:sz w:val="16"/>
                <w:szCs w:val="16"/>
                <w:highlight w:val="magenta"/>
              </w:rPr>
            </w:pPr>
            <w:r w:rsidRPr="00207DD5">
              <w:rPr>
                <w:rFonts w:ascii="Arial" w:hAnsi="Arial" w:cs="Arial"/>
                <w:i/>
                <w:sz w:val="16"/>
                <w:szCs w:val="16"/>
              </w:rPr>
              <w:t>Prices and wages</w:t>
            </w:r>
          </w:p>
        </w:tc>
        <w:tc>
          <w:tcPr>
            <w:tcW w:w="488" w:type="pct"/>
            <w:tcBorders>
              <w:top w:val="nil"/>
              <w:left w:val="nil"/>
              <w:bottom w:val="nil"/>
              <w:right w:val="nil"/>
            </w:tcBorders>
            <w:shd w:val="clear" w:color="000000" w:fill="FFFFFF"/>
            <w:noWrap/>
            <w:vAlign w:val="center"/>
            <w:hideMark/>
          </w:tcPr>
          <w:p w14:paraId="13FE798C"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-37</w:t>
            </w:r>
          </w:p>
        </w:tc>
        <w:tc>
          <w:tcPr>
            <w:tcW w:w="483" w:type="pct"/>
            <w:tcBorders>
              <w:top w:val="nil"/>
              <w:left w:val="nil"/>
              <w:bottom w:val="nil"/>
              <w:right w:val="nil"/>
            </w:tcBorders>
            <w:shd w:val="clear" w:color="000000" w:fill="E6F2FF"/>
            <w:noWrap/>
            <w:vAlign w:val="center"/>
            <w:hideMark/>
          </w:tcPr>
          <w:p w14:paraId="24899BD8"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2,536</w:t>
            </w:r>
          </w:p>
        </w:tc>
        <w:tc>
          <w:tcPr>
            <w:tcW w:w="483" w:type="pct"/>
            <w:tcBorders>
              <w:top w:val="nil"/>
              <w:left w:val="nil"/>
              <w:bottom w:val="nil"/>
              <w:right w:val="nil"/>
            </w:tcBorders>
            <w:shd w:val="clear" w:color="000000" w:fill="FFFFFF"/>
            <w:noWrap/>
            <w:vAlign w:val="center"/>
            <w:hideMark/>
          </w:tcPr>
          <w:p w14:paraId="4E2C78D9"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4,020</w:t>
            </w:r>
          </w:p>
        </w:tc>
        <w:tc>
          <w:tcPr>
            <w:tcW w:w="488" w:type="pct"/>
            <w:tcBorders>
              <w:top w:val="nil"/>
              <w:left w:val="nil"/>
              <w:bottom w:val="nil"/>
              <w:right w:val="nil"/>
            </w:tcBorders>
            <w:shd w:val="clear" w:color="000000" w:fill="FFFFFF"/>
            <w:noWrap/>
            <w:vAlign w:val="center"/>
            <w:hideMark/>
          </w:tcPr>
          <w:p w14:paraId="1B24EC55"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3,740</w:t>
            </w:r>
          </w:p>
        </w:tc>
        <w:tc>
          <w:tcPr>
            <w:tcW w:w="488" w:type="pct"/>
            <w:tcBorders>
              <w:top w:val="nil"/>
              <w:left w:val="nil"/>
              <w:bottom w:val="nil"/>
              <w:right w:val="nil"/>
            </w:tcBorders>
            <w:shd w:val="clear" w:color="000000" w:fill="FFFFFF"/>
            <w:noWrap/>
            <w:vAlign w:val="center"/>
            <w:hideMark/>
          </w:tcPr>
          <w:p w14:paraId="728B4800"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w:t>
            </w:r>
          </w:p>
        </w:tc>
        <w:tc>
          <w:tcPr>
            <w:tcW w:w="59" w:type="pct"/>
            <w:tcBorders>
              <w:top w:val="nil"/>
              <w:left w:val="nil"/>
              <w:bottom w:val="nil"/>
              <w:right w:val="nil"/>
            </w:tcBorders>
            <w:shd w:val="clear" w:color="000000" w:fill="FFFFFF"/>
            <w:noWrap/>
            <w:vAlign w:val="center"/>
            <w:hideMark/>
          </w:tcPr>
          <w:p w14:paraId="64562102"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88" w:type="pct"/>
            <w:tcBorders>
              <w:top w:val="nil"/>
              <w:left w:val="nil"/>
              <w:bottom w:val="nil"/>
              <w:right w:val="nil"/>
            </w:tcBorders>
            <w:shd w:val="clear" w:color="000000" w:fill="FFFFFF"/>
            <w:noWrap/>
            <w:vAlign w:val="center"/>
            <w:hideMark/>
          </w:tcPr>
          <w:p w14:paraId="573D310D" w14:textId="77777777" w:rsidR="00B81CAA" w:rsidRPr="00207DD5" w:rsidRDefault="00B81CAA" w:rsidP="00B81CAA">
            <w:pPr>
              <w:spacing w:before="0" w:after="0" w:line="240" w:lineRule="auto"/>
              <w:jc w:val="right"/>
              <w:rPr>
                <w:rFonts w:ascii="Arial" w:hAnsi="Arial" w:cs="Arial"/>
                <w:i/>
                <w:sz w:val="16"/>
                <w:szCs w:val="16"/>
              </w:rPr>
            </w:pPr>
            <w:r w:rsidRPr="00207DD5">
              <w:rPr>
                <w:rFonts w:ascii="Arial" w:hAnsi="Arial" w:cs="Arial"/>
                <w:i/>
                <w:sz w:val="16"/>
                <w:szCs w:val="16"/>
              </w:rPr>
              <w:t>*</w:t>
            </w:r>
          </w:p>
        </w:tc>
      </w:tr>
      <w:tr w:rsidR="00B81CAA" w14:paraId="01808240"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5FC8FB0A" w14:textId="77777777" w:rsidR="00B81CAA" w:rsidRPr="007B5379" w:rsidRDefault="00B81CAA" w:rsidP="00B81CAA">
            <w:pPr>
              <w:spacing w:before="0" w:after="0" w:line="240" w:lineRule="auto"/>
              <w:ind w:firstLineChars="200" w:firstLine="320"/>
              <w:rPr>
                <w:rFonts w:ascii="Arial" w:hAnsi="Arial" w:cs="Arial"/>
                <w:i/>
                <w:color w:val="00FFFF"/>
                <w:sz w:val="16"/>
                <w:szCs w:val="16"/>
                <w:highlight w:val="magenta"/>
              </w:rPr>
            </w:pPr>
            <w:r w:rsidRPr="00207DD5">
              <w:rPr>
                <w:rFonts w:ascii="Arial" w:hAnsi="Arial" w:cs="Arial"/>
                <w:i/>
                <w:sz w:val="16"/>
                <w:szCs w:val="16"/>
              </w:rPr>
              <w:t>Interest and exchange rates</w:t>
            </w:r>
          </w:p>
        </w:tc>
        <w:tc>
          <w:tcPr>
            <w:tcW w:w="488" w:type="pct"/>
            <w:tcBorders>
              <w:top w:val="nil"/>
              <w:left w:val="nil"/>
              <w:bottom w:val="nil"/>
              <w:right w:val="nil"/>
            </w:tcBorders>
            <w:shd w:val="clear" w:color="000000" w:fill="FFFFFF"/>
            <w:noWrap/>
            <w:vAlign w:val="center"/>
            <w:hideMark/>
          </w:tcPr>
          <w:p w14:paraId="3C5399EE"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-498</w:t>
            </w:r>
          </w:p>
        </w:tc>
        <w:tc>
          <w:tcPr>
            <w:tcW w:w="483" w:type="pct"/>
            <w:tcBorders>
              <w:top w:val="nil"/>
              <w:left w:val="nil"/>
              <w:bottom w:val="nil"/>
              <w:right w:val="nil"/>
            </w:tcBorders>
            <w:shd w:val="clear" w:color="000000" w:fill="E6F2FF"/>
            <w:noWrap/>
            <w:vAlign w:val="center"/>
            <w:hideMark/>
          </w:tcPr>
          <w:p w14:paraId="6E451D7E"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-1,047</w:t>
            </w:r>
          </w:p>
        </w:tc>
        <w:tc>
          <w:tcPr>
            <w:tcW w:w="483" w:type="pct"/>
            <w:tcBorders>
              <w:top w:val="nil"/>
              <w:left w:val="nil"/>
              <w:bottom w:val="nil"/>
              <w:right w:val="nil"/>
            </w:tcBorders>
            <w:shd w:val="clear" w:color="000000" w:fill="FFFFFF"/>
            <w:noWrap/>
            <w:vAlign w:val="center"/>
            <w:hideMark/>
          </w:tcPr>
          <w:p w14:paraId="6C896966"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-1,168</w:t>
            </w:r>
          </w:p>
        </w:tc>
        <w:tc>
          <w:tcPr>
            <w:tcW w:w="488" w:type="pct"/>
            <w:tcBorders>
              <w:top w:val="nil"/>
              <w:left w:val="nil"/>
              <w:bottom w:val="nil"/>
              <w:right w:val="nil"/>
            </w:tcBorders>
            <w:shd w:val="clear" w:color="000000" w:fill="FFFFFF"/>
            <w:noWrap/>
            <w:vAlign w:val="center"/>
            <w:hideMark/>
          </w:tcPr>
          <w:p w14:paraId="6E9D6D5B"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-1,307</w:t>
            </w:r>
          </w:p>
        </w:tc>
        <w:tc>
          <w:tcPr>
            <w:tcW w:w="488" w:type="pct"/>
            <w:tcBorders>
              <w:top w:val="nil"/>
              <w:left w:val="nil"/>
              <w:bottom w:val="nil"/>
              <w:right w:val="nil"/>
            </w:tcBorders>
            <w:shd w:val="clear" w:color="000000" w:fill="FFFFFF"/>
            <w:noWrap/>
            <w:vAlign w:val="center"/>
            <w:hideMark/>
          </w:tcPr>
          <w:p w14:paraId="28792D47"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w:t>
            </w:r>
          </w:p>
        </w:tc>
        <w:tc>
          <w:tcPr>
            <w:tcW w:w="59" w:type="pct"/>
            <w:tcBorders>
              <w:top w:val="nil"/>
              <w:left w:val="nil"/>
              <w:bottom w:val="nil"/>
              <w:right w:val="nil"/>
            </w:tcBorders>
            <w:shd w:val="clear" w:color="000000" w:fill="FFFFFF"/>
            <w:noWrap/>
            <w:vAlign w:val="center"/>
            <w:hideMark/>
          </w:tcPr>
          <w:p w14:paraId="4BCAC1F4"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88" w:type="pct"/>
            <w:tcBorders>
              <w:top w:val="nil"/>
              <w:left w:val="nil"/>
              <w:bottom w:val="nil"/>
              <w:right w:val="nil"/>
            </w:tcBorders>
            <w:shd w:val="clear" w:color="000000" w:fill="FFFFFF"/>
            <w:noWrap/>
            <w:vAlign w:val="center"/>
            <w:hideMark/>
          </w:tcPr>
          <w:p w14:paraId="3C7F7A38" w14:textId="77777777" w:rsidR="00B81CAA" w:rsidRPr="00207DD5" w:rsidRDefault="00B81CAA" w:rsidP="00B81CAA">
            <w:pPr>
              <w:spacing w:before="0" w:after="0" w:line="240" w:lineRule="auto"/>
              <w:jc w:val="right"/>
              <w:rPr>
                <w:rFonts w:ascii="Arial" w:hAnsi="Arial" w:cs="Arial"/>
                <w:i/>
                <w:sz w:val="16"/>
                <w:szCs w:val="16"/>
              </w:rPr>
            </w:pPr>
            <w:r w:rsidRPr="00207DD5">
              <w:rPr>
                <w:rFonts w:ascii="Arial" w:hAnsi="Arial" w:cs="Arial"/>
                <w:i/>
                <w:sz w:val="16"/>
                <w:szCs w:val="16"/>
              </w:rPr>
              <w:t>*</w:t>
            </w:r>
          </w:p>
        </w:tc>
      </w:tr>
      <w:tr w:rsidR="00B81CAA" w14:paraId="1ABB9992"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3A1184CD" w14:textId="77777777" w:rsidR="00B81CAA" w:rsidRPr="007B5379" w:rsidRDefault="00B81CAA" w:rsidP="00B81CAA">
            <w:pPr>
              <w:spacing w:before="0" w:after="0" w:line="240" w:lineRule="auto"/>
              <w:ind w:firstLineChars="200" w:firstLine="320"/>
              <w:rPr>
                <w:rFonts w:ascii="Arial" w:hAnsi="Arial" w:cs="Arial"/>
                <w:i/>
                <w:color w:val="00FFFF"/>
                <w:sz w:val="16"/>
                <w:szCs w:val="16"/>
                <w:highlight w:val="magenta"/>
              </w:rPr>
            </w:pPr>
            <w:r w:rsidRPr="00207DD5">
              <w:rPr>
                <w:rFonts w:ascii="Arial" w:hAnsi="Arial" w:cs="Arial"/>
                <w:i/>
                <w:sz w:val="16"/>
                <w:szCs w:val="16"/>
              </w:rPr>
              <w:t>GST payments to the States</w:t>
            </w:r>
          </w:p>
        </w:tc>
        <w:tc>
          <w:tcPr>
            <w:tcW w:w="488" w:type="pct"/>
            <w:tcBorders>
              <w:top w:val="nil"/>
              <w:left w:val="nil"/>
              <w:bottom w:val="nil"/>
              <w:right w:val="nil"/>
            </w:tcBorders>
            <w:shd w:val="clear" w:color="000000" w:fill="FFFFFF"/>
            <w:noWrap/>
            <w:vAlign w:val="center"/>
            <w:hideMark/>
          </w:tcPr>
          <w:p w14:paraId="4D20851D"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798</w:t>
            </w:r>
          </w:p>
        </w:tc>
        <w:tc>
          <w:tcPr>
            <w:tcW w:w="483" w:type="pct"/>
            <w:tcBorders>
              <w:top w:val="nil"/>
              <w:left w:val="nil"/>
              <w:bottom w:val="nil"/>
              <w:right w:val="nil"/>
            </w:tcBorders>
            <w:shd w:val="clear" w:color="000000" w:fill="E6F2FF"/>
            <w:noWrap/>
            <w:vAlign w:val="center"/>
            <w:hideMark/>
          </w:tcPr>
          <w:p w14:paraId="739F8A44"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1,802</w:t>
            </w:r>
          </w:p>
        </w:tc>
        <w:tc>
          <w:tcPr>
            <w:tcW w:w="483" w:type="pct"/>
            <w:tcBorders>
              <w:top w:val="nil"/>
              <w:left w:val="nil"/>
              <w:bottom w:val="nil"/>
              <w:right w:val="nil"/>
            </w:tcBorders>
            <w:shd w:val="clear" w:color="000000" w:fill="FFFFFF"/>
            <w:noWrap/>
            <w:vAlign w:val="center"/>
            <w:hideMark/>
          </w:tcPr>
          <w:p w14:paraId="4A883FA6"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1,234</w:t>
            </w:r>
          </w:p>
        </w:tc>
        <w:tc>
          <w:tcPr>
            <w:tcW w:w="488" w:type="pct"/>
            <w:tcBorders>
              <w:top w:val="nil"/>
              <w:left w:val="nil"/>
              <w:bottom w:val="nil"/>
              <w:right w:val="nil"/>
            </w:tcBorders>
            <w:shd w:val="clear" w:color="000000" w:fill="FFFFFF"/>
            <w:noWrap/>
            <w:vAlign w:val="center"/>
            <w:hideMark/>
          </w:tcPr>
          <w:p w14:paraId="67FEA156"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916</w:t>
            </w:r>
          </w:p>
        </w:tc>
        <w:tc>
          <w:tcPr>
            <w:tcW w:w="488" w:type="pct"/>
            <w:tcBorders>
              <w:top w:val="nil"/>
              <w:left w:val="nil"/>
              <w:bottom w:val="nil"/>
              <w:right w:val="nil"/>
            </w:tcBorders>
            <w:shd w:val="clear" w:color="000000" w:fill="FFFFFF"/>
            <w:noWrap/>
            <w:vAlign w:val="center"/>
            <w:hideMark/>
          </w:tcPr>
          <w:p w14:paraId="2E805EDF"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w:t>
            </w:r>
          </w:p>
        </w:tc>
        <w:tc>
          <w:tcPr>
            <w:tcW w:w="59" w:type="pct"/>
            <w:tcBorders>
              <w:top w:val="nil"/>
              <w:left w:val="nil"/>
              <w:bottom w:val="nil"/>
              <w:right w:val="nil"/>
            </w:tcBorders>
            <w:shd w:val="clear" w:color="000000" w:fill="FFFFFF"/>
            <w:noWrap/>
            <w:vAlign w:val="center"/>
            <w:hideMark/>
          </w:tcPr>
          <w:p w14:paraId="0DC469CE" w14:textId="77777777" w:rsidR="00B81CAA" w:rsidRPr="007B5379" w:rsidRDefault="00B81CAA" w:rsidP="00B81CAA">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488" w:type="pct"/>
            <w:tcBorders>
              <w:top w:val="nil"/>
              <w:left w:val="nil"/>
              <w:bottom w:val="nil"/>
              <w:right w:val="nil"/>
            </w:tcBorders>
            <w:shd w:val="clear" w:color="000000" w:fill="FFFFFF"/>
            <w:noWrap/>
            <w:vAlign w:val="center"/>
            <w:hideMark/>
          </w:tcPr>
          <w:p w14:paraId="431BC0AE" w14:textId="77777777" w:rsidR="00B81CAA" w:rsidRPr="00207DD5" w:rsidRDefault="00B81CAA" w:rsidP="00B81CAA">
            <w:pPr>
              <w:spacing w:before="0" w:after="0" w:line="240" w:lineRule="auto"/>
              <w:jc w:val="right"/>
              <w:rPr>
                <w:rFonts w:ascii="Arial" w:hAnsi="Arial" w:cs="Arial"/>
                <w:i/>
                <w:sz w:val="16"/>
                <w:szCs w:val="16"/>
              </w:rPr>
            </w:pPr>
            <w:r w:rsidRPr="00207DD5">
              <w:rPr>
                <w:rFonts w:ascii="Arial" w:hAnsi="Arial" w:cs="Arial"/>
                <w:i/>
                <w:sz w:val="16"/>
                <w:szCs w:val="16"/>
              </w:rPr>
              <w:t>*</w:t>
            </w:r>
          </w:p>
        </w:tc>
      </w:tr>
      <w:tr w:rsidR="00B81CAA" w14:paraId="5D94E06A"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29FF3F05" w14:textId="77777777" w:rsidR="00B81CAA" w:rsidRPr="007B5379" w:rsidRDefault="00B81CAA" w:rsidP="00B81CAA">
            <w:pPr>
              <w:spacing w:before="0" w:after="0" w:line="240" w:lineRule="auto"/>
              <w:ind w:firstLineChars="100" w:firstLine="160"/>
              <w:rPr>
                <w:rFonts w:ascii="Arial" w:hAnsi="Arial" w:cs="Arial"/>
                <w:color w:val="00FFFF"/>
                <w:sz w:val="16"/>
                <w:szCs w:val="16"/>
                <w:highlight w:val="magenta"/>
              </w:rPr>
            </w:pPr>
            <w:r w:rsidRPr="00207DD5">
              <w:rPr>
                <w:rFonts w:ascii="Arial" w:hAnsi="Arial" w:cs="Arial"/>
                <w:sz w:val="16"/>
                <w:szCs w:val="16"/>
              </w:rPr>
              <w:t>Interest payments on AGS</w:t>
            </w:r>
          </w:p>
        </w:tc>
        <w:tc>
          <w:tcPr>
            <w:tcW w:w="488" w:type="pct"/>
            <w:tcBorders>
              <w:top w:val="nil"/>
              <w:left w:val="nil"/>
              <w:bottom w:val="nil"/>
              <w:right w:val="nil"/>
            </w:tcBorders>
            <w:shd w:val="clear" w:color="000000" w:fill="FFFFFF"/>
            <w:noWrap/>
            <w:vAlign w:val="center"/>
            <w:hideMark/>
          </w:tcPr>
          <w:p w14:paraId="40217982"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-267</w:t>
            </w:r>
          </w:p>
        </w:tc>
        <w:tc>
          <w:tcPr>
            <w:tcW w:w="483" w:type="pct"/>
            <w:tcBorders>
              <w:top w:val="nil"/>
              <w:left w:val="nil"/>
              <w:bottom w:val="nil"/>
              <w:right w:val="nil"/>
            </w:tcBorders>
            <w:shd w:val="clear" w:color="000000" w:fill="E6F2FF"/>
            <w:noWrap/>
            <w:vAlign w:val="center"/>
            <w:hideMark/>
          </w:tcPr>
          <w:p w14:paraId="5F3F5022"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17</w:t>
            </w:r>
          </w:p>
        </w:tc>
        <w:tc>
          <w:tcPr>
            <w:tcW w:w="483" w:type="pct"/>
            <w:tcBorders>
              <w:top w:val="nil"/>
              <w:left w:val="nil"/>
              <w:bottom w:val="nil"/>
              <w:right w:val="nil"/>
            </w:tcBorders>
            <w:shd w:val="clear" w:color="000000" w:fill="FFFFFF"/>
            <w:noWrap/>
            <w:vAlign w:val="center"/>
            <w:hideMark/>
          </w:tcPr>
          <w:p w14:paraId="1AF21560"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-484</w:t>
            </w:r>
          </w:p>
        </w:tc>
        <w:tc>
          <w:tcPr>
            <w:tcW w:w="488" w:type="pct"/>
            <w:tcBorders>
              <w:top w:val="nil"/>
              <w:left w:val="nil"/>
              <w:bottom w:val="nil"/>
              <w:right w:val="nil"/>
            </w:tcBorders>
            <w:shd w:val="clear" w:color="000000" w:fill="FFFFFF"/>
            <w:noWrap/>
            <w:vAlign w:val="center"/>
            <w:hideMark/>
          </w:tcPr>
          <w:p w14:paraId="542AC25D"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-483</w:t>
            </w:r>
          </w:p>
        </w:tc>
        <w:tc>
          <w:tcPr>
            <w:tcW w:w="488" w:type="pct"/>
            <w:tcBorders>
              <w:top w:val="nil"/>
              <w:left w:val="nil"/>
              <w:bottom w:val="nil"/>
              <w:right w:val="nil"/>
            </w:tcBorders>
            <w:shd w:val="clear" w:color="000000" w:fill="FFFFFF"/>
            <w:noWrap/>
            <w:vAlign w:val="center"/>
            <w:hideMark/>
          </w:tcPr>
          <w:p w14:paraId="076F565C"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w:t>
            </w:r>
          </w:p>
        </w:tc>
        <w:tc>
          <w:tcPr>
            <w:tcW w:w="59" w:type="pct"/>
            <w:tcBorders>
              <w:top w:val="nil"/>
              <w:left w:val="nil"/>
              <w:bottom w:val="nil"/>
              <w:right w:val="nil"/>
            </w:tcBorders>
            <w:shd w:val="clear" w:color="000000" w:fill="FFFFFF"/>
            <w:noWrap/>
            <w:vAlign w:val="center"/>
            <w:hideMark/>
          </w:tcPr>
          <w:p w14:paraId="5550C277"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16412E2B" w14:textId="77777777" w:rsidR="00B81CAA" w:rsidRPr="00207DD5" w:rsidRDefault="00B81CAA" w:rsidP="00B81CAA">
            <w:pPr>
              <w:spacing w:before="0" w:after="0" w:line="240" w:lineRule="auto"/>
              <w:jc w:val="right"/>
              <w:rPr>
                <w:rFonts w:ascii="Arial" w:hAnsi="Arial" w:cs="Arial"/>
                <w:sz w:val="16"/>
                <w:szCs w:val="16"/>
              </w:rPr>
            </w:pPr>
            <w:r w:rsidRPr="00207DD5">
              <w:rPr>
                <w:rFonts w:ascii="Arial" w:hAnsi="Arial" w:cs="Arial"/>
                <w:sz w:val="16"/>
                <w:szCs w:val="16"/>
              </w:rPr>
              <w:t>*</w:t>
            </w:r>
          </w:p>
        </w:tc>
      </w:tr>
      <w:tr w:rsidR="00B81CAA" w14:paraId="01ACDDA4"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33723693" w14:textId="77777777" w:rsidR="00B81CAA" w:rsidRPr="007B5379" w:rsidRDefault="00B81CAA" w:rsidP="00B81CAA">
            <w:pPr>
              <w:spacing w:before="0" w:after="0" w:line="240" w:lineRule="auto"/>
              <w:ind w:firstLineChars="100" w:firstLine="160"/>
              <w:rPr>
                <w:rFonts w:ascii="Arial" w:hAnsi="Arial" w:cs="Arial"/>
                <w:color w:val="00FFFF"/>
                <w:sz w:val="16"/>
                <w:szCs w:val="16"/>
                <w:highlight w:val="magenta"/>
              </w:rPr>
            </w:pPr>
            <w:r w:rsidRPr="00207DD5">
              <w:rPr>
                <w:rFonts w:ascii="Arial" w:hAnsi="Arial" w:cs="Arial"/>
                <w:sz w:val="16"/>
                <w:szCs w:val="16"/>
              </w:rPr>
              <w:t>Program specific parameter variations</w:t>
            </w:r>
          </w:p>
        </w:tc>
        <w:tc>
          <w:tcPr>
            <w:tcW w:w="488" w:type="pct"/>
            <w:tcBorders>
              <w:top w:val="nil"/>
              <w:left w:val="nil"/>
              <w:bottom w:val="nil"/>
              <w:right w:val="nil"/>
            </w:tcBorders>
            <w:shd w:val="clear" w:color="000000" w:fill="FFFFFF"/>
            <w:noWrap/>
            <w:vAlign w:val="center"/>
            <w:hideMark/>
          </w:tcPr>
          <w:p w14:paraId="3FA466BD"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1,365</w:t>
            </w:r>
          </w:p>
        </w:tc>
        <w:tc>
          <w:tcPr>
            <w:tcW w:w="483" w:type="pct"/>
            <w:tcBorders>
              <w:top w:val="nil"/>
              <w:left w:val="nil"/>
              <w:bottom w:val="nil"/>
              <w:right w:val="nil"/>
            </w:tcBorders>
            <w:shd w:val="clear" w:color="000000" w:fill="E6F2FF"/>
            <w:noWrap/>
            <w:vAlign w:val="center"/>
            <w:hideMark/>
          </w:tcPr>
          <w:p w14:paraId="2106497D"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5,016</w:t>
            </w:r>
          </w:p>
        </w:tc>
        <w:tc>
          <w:tcPr>
            <w:tcW w:w="483" w:type="pct"/>
            <w:tcBorders>
              <w:top w:val="nil"/>
              <w:left w:val="nil"/>
              <w:bottom w:val="nil"/>
              <w:right w:val="nil"/>
            </w:tcBorders>
            <w:shd w:val="clear" w:color="000000" w:fill="FFFFFF"/>
            <w:noWrap/>
            <w:vAlign w:val="center"/>
            <w:hideMark/>
          </w:tcPr>
          <w:p w14:paraId="093DF84F"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5,424</w:t>
            </w:r>
          </w:p>
        </w:tc>
        <w:tc>
          <w:tcPr>
            <w:tcW w:w="488" w:type="pct"/>
            <w:tcBorders>
              <w:top w:val="nil"/>
              <w:left w:val="nil"/>
              <w:bottom w:val="nil"/>
              <w:right w:val="nil"/>
            </w:tcBorders>
            <w:shd w:val="clear" w:color="000000" w:fill="FFFFFF"/>
            <w:noWrap/>
            <w:vAlign w:val="center"/>
            <w:hideMark/>
          </w:tcPr>
          <w:p w14:paraId="296BB582"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5,131</w:t>
            </w:r>
          </w:p>
        </w:tc>
        <w:tc>
          <w:tcPr>
            <w:tcW w:w="488" w:type="pct"/>
            <w:tcBorders>
              <w:top w:val="nil"/>
              <w:left w:val="nil"/>
              <w:bottom w:val="nil"/>
              <w:right w:val="nil"/>
            </w:tcBorders>
            <w:shd w:val="clear" w:color="000000" w:fill="FFFFFF"/>
            <w:noWrap/>
            <w:vAlign w:val="center"/>
            <w:hideMark/>
          </w:tcPr>
          <w:p w14:paraId="241F08A8"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w:t>
            </w:r>
          </w:p>
        </w:tc>
        <w:tc>
          <w:tcPr>
            <w:tcW w:w="59" w:type="pct"/>
            <w:tcBorders>
              <w:top w:val="nil"/>
              <w:left w:val="nil"/>
              <w:bottom w:val="nil"/>
              <w:right w:val="nil"/>
            </w:tcBorders>
            <w:shd w:val="clear" w:color="000000" w:fill="FFFFFF"/>
            <w:noWrap/>
            <w:vAlign w:val="center"/>
            <w:hideMark/>
          </w:tcPr>
          <w:p w14:paraId="559BD2FF"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nil"/>
              <w:right w:val="nil"/>
            </w:tcBorders>
            <w:shd w:val="clear" w:color="000000" w:fill="FFFFFF"/>
            <w:noWrap/>
            <w:vAlign w:val="center"/>
            <w:hideMark/>
          </w:tcPr>
          <w:p w14:paraId="55FA62CB" w14:textId="77777777" w:rsidR="00B81CAA" w:rsidRPr="00207DD5" w:rsidRDefault="00B81CAA" w:rsidP="00B81CAA">
            <w:pPr>
              <w:spacing w:before="0" w:after="0" w:line="240" w:lineRule="auto"/>
              <w:jc w:val="right"/>
              <w:rPr>
                <w:rFonts w:ascii="Arial" w:hAnsi="Arial" w:cs="Arial"/>
                <w:sz w:val="16"/>
                <w:szCs w:val="16"/>
              </w:rPr>
            </w:pPr>
            <w:r w:rsidRPr="00207DD5">
              <w:rPr>
                <w:rFonts w:ascii="Arial" w:hAnsi="Arial" w:cs="Arial"/>
                <w:sz w:val="16"/>
                <w:szCs w:val="16"/>
              </w:rPr>
              <w:t>*</w:t>
            </w:r>
          </w:p>
        </w:tc>
      </w:tr>
      <w:tr w:rsidR="00B81CAA" w14:paraId="4BCD1BEC"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5FBF9286" w14:textId="77777777" w:rsidR="00B81CAA" w:rsidRPr="007B5379" w:rsidRDefault="00B81CAA" w:rsidP="00B81CAA">
            <w:pPr>
              <w:spacing w:before="0" w:after="0" w:line="240" w:lineRule="auto"/>
              <w:ind w:firstLineChars="100" w:firstLine="160"/>
              <w:rPr>
                <w:rFonts w:ascii="Arial" w:hAnsi="Arial" w:cs="Arial"/>
                <w:color w:val="00FFFF"/>
                <w:sz w:val="16"/>
                <w:szCs w:val="16"/>
                <w:highlight w:val="magenta"/>
              </w:rPr>
            </w:pPr>
            <w:r w:rsidRPr="00207DD5">
              <w:rPr>
                <w:rFonts w:ascii="Arial" w:hAnsi="Arial" w:cs="Arial"/>
                <w:sz w:val="16"/>
                <w:szCs w:val="16"/>
              </w:rPr>
              <w:t>Other variations(d)</w:t>
            </w:r>
          </w:p>
        </w:tc>
        <w:tc>
          <w:tcPr>
            <w:tcW w:w="488" w:type="pct"/>
            <w:tcBorders>
              <w:top w:val="nil"/>
              <w:left w:val="nil"/>
              <w:bottom w:val="single" w:sz="4" w:space="0" w:color="293F5B"/>
              <w:right w:val="nil"/>
            </w:tcBorders>
            <w:shd w:val="clear" w:color="000000" w:fill="FFFFFF"/>
            <w:noWrap/>
            <w:vAlign w:val="center"/>
            <w:hideMark/>
          </w:tcPr>
          <w:p w14:paraId="5365167E"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-1,595</w:t>
            </w:r>
          </w:p>
        </w:tc>
        <w:tc>
          <w:tcPr>
            <w:tcW w:w="483" w:type="pct"/>
            <w:tcBorders>
              <w:top w:val="nil"/>
              <w:left w:val="nil"/>
              <w:bottom w:val="single" w:sz="4" w:space="0" w:color="293F5B"/>
              <w:right w:val="nil"/>
            </w:tcBorders>
            <w:shd w:val="clear" w:color="000000" w:fill="E6F2FF"/>
            <w:noWrap/>
            <w:vAlign w:val="center"/>
            <w:hideMark/>
          </w:tcPr>
          <w:p w14:paraId="681CBB42"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462</w:t>
            </w:r>
          </w:p>
        </w:tc>
        <w:tc>
          <w:tcPr>
            <w:tcW w:w="483" w:type="pct"/>
            <w:tcBorders>
              <w:top w:val="nil"/>
              <w:left w:val="nil"/>
              <w:bottom w:val="single" w:sz="4" w:space="0" w:color="293F5B"/>
              <w:right w:val="nil"/>
            </w:tcBorders>
            <w:shd w:val="clear" w:color="000000" w:fill="FFFFFF"/>
            <w:noWrap/>
            <w:vAlign w:val="center"/>
            <w:hideMark/>
          </w:tcPr>
          <w:p w14:paraId="3148CADD"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-1,051</w:t>
            </w:r>
          </w:p>
        </w:tc>
        <w:tc>
          <w:tcPr>
            <w:tcW w:w="488" w:type="pct"/>
            <w:tcBorders>
              <w:top w:val="nil"/>
              <w:left w:val="nil"/>
              <w:bottom w:val="single" w:sz="4" w:space="0" w:color="293F5B"/>
              <w:right w:val="nil"/>
            </w:tcBorders>
            <w:shd w:val="clear" w:color="000000" w:fill="FFFFFF"/>
            <w:noWrap/>
            <w:vAlign w:val="center"/>
            <w:hideMark/>
          </w:tcPr>
          <w:p w14:paraId="509B4BBD"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-6,646</w:t>
            </w:r>
          </w:p>
        </w:tc>
        <w:tc>
          <w:tcPr>
            <w:tcW w:w="488" w:type="pct"/>
            <w:tcBorders>
              <w:top w:val="nil"/>
              <w:left w:val="nil"/>
              <w:bottom w:val="single" w:sz="4" w:space="0" w:color="293F5B"/>
              <w:right w:val="nil"/>
            </w:tcBorders>
            <w:shd w:val="clear" w:color="000000" w:fill="FFFFFF"/>
            <w:noWrap/>
            <w:vAlign w:val="center"/>
            <w:hideMark/>
          </w:tcPr>
          <w:p w14:paraId="70B56820"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w:t>
            </w:r>
          </w:p>
        </w:tc>
        <w:tc>
          <w:tcPr>
            <w:tcW w:w="59" w:type="pct"/>
            <w:tcBorders>
              <w:top w:val="nil"/>
              <w:left w:val="nil"/>
              <w:bottom w:val="nil"/>
              <w:right w:val="nil"/>
            </w:tcBorders>
            <w:shd w:val="clear" w:color="000000" w:fill="FFFFFF"/>
            <w:noWrap/>
            <w:vAlign w:val="center"/>
            <w:hideMark/>
          </w:tcPr>
          <w:p w14:paraId="7A6884FD" w14:textId="77777777" w:rsidR="00B81CAA" w:rsidRPr="007B5379" w:rsidRDefault="00B81CAA" w:rsidP="00B81CAA">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nil"/>
              <w:left w:val="nil"/>
              <w:bottom w:val="single" w:sz="4" w:space="0" w:color="293F5B"/>
              <w:right w:val="nil"/>
            </w:tcBorders>
            <w:shd w:val="clear" w:color="000000" w:fill="FFFFFF"/>
            <w:noWrap/>
            <w:vAlign w:val="center"/>
            <w:hideMark/>
          </w:tcPr>
          <w:p w14:paraId="16C2D75F" w14:textId="77777777" w:rsidR="00B81CAA" w:rsidRPr="00207DD5" w:rsidRDefault="00B81CAA" w:rsidP="00B81CAA">
            <w:pPr>
              <w:spacing w:before="0" w:after="0" w:line="240" w:lineRule="auto"/>
              <w:jc w:val="right"/>
              <w:rPr>
                <w:rFonts w:ascii="Arial" w:hAnsi="Arial" w:cs="Arial"/>
                <w:sz w:val="16"/>
                <w:szCs w:val="16"/>
              </w:rPr>
            </w:pPr>
            <w:r w:rsidRPr="00207DD5">
              <w:rPr>
                <w:rFonts w:ascii="Arial" w:hAnsi="Arial" w:cs="Arial"/>
                <w:sz w:val="16"/>
                <w:szCs w:val="16"/>
              </w:rPr>
              <w:t>*</w:t>
            </w:r>
          </w:p>
        </w:tc>
      </w:tr>
      <w:tr w:rsidR="00B81CAA" w14:paraId="236C6DA8" w14:textId="77777777" w:rsidTr="00E91697">
        <w:trPr>
          <w:trHeight w:hRule="exact" w:val="225"/>
        </w:trPr>
        <w:tc>
          <w:tcPr>
            <w:tcW w:w="2023" w:type="pct"/>
            <w:tcBorders>
              <w:top w:val="nil"/>
              <w:left w:val="nil"/>
              <w:bottom w:val="nil"/>
              <w:right w:val="nil"/>
            </w:tcBorders>
            <w:shd w:val="clear" w:color="000000" w:fill="FFFFFF"/>
            <w:noWrap/>
            <w:vAlign w:val="center"/>
            <w:hideMark/>
          </w:tcPr>
          <w:p w14:paraId="16B5005B" w14:textId="77777777" w:rsidR="00B81CAA" w:rsidRPr="007B5379" w:rsidRDefault="00B81CAA" w:rsidP="00B81CAA">
            <w:pPr>
              <w:spacing w:before="0" w:after="0" w:line="240" w:lineRule="auto"/>
              <w:rPr>
                <w:rFonts w:ascii="Arial" w:hAnsi="Arial" w:cs="Arial"/>
                <w:b/>
                <w:color w:val="00FFFF"/>
                <w:sz w:val="16"/>
                <w:szCs w:val="16"/>
                <w:highlight w:val="magenta"/>
              </w:rPr>
            </w:pPr>
            <w:r w:rsidRPr="00207DD5">
              <w:rPr>
                <w:rFonts w:ascii="Arial" w:hAnsi="Arial" w:cs="Arial"/>
                <w:b/>
                <w:sz w:val="16"/>
                <w:szCs w:val="16"/>
              </w:rPr>
              <w:t>Total variations</w:t>
            </w:r>
          </w:p>
        </w:tc>
        <w:tc>
          <w:tcPr>
            <w:tcW w:w="488" w:type="pct"/>
            <w:tcBorders>
              <w:top w:val="single" w:sz="4" w:space="0" w:color="293F5B"/>
              <w:left w:val="nil"/>
              <w:bottom w:val="single" w:sz="4" w:space="0" w:color="293F5B"/>
              <w:right w:val="nil"/>
            </w:tcBorders>
            <w:shd w:val="clear" w:color="000000" w:fill="FFFFFF"/>
            <w:noWrap/>
            <w:vAlign w:val="center"/>
            <w:hideMark/>
          </w:tcPr>
          <w:p w14:paraId="38DB71CF"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1,500</w:t>
            </w:r>
          </w:p>
        </w:tc>
        <w:tc>
          <w:tcPr>
            <w:tcW w:w="483" w:type="pct"/>
            <w:tcBorders>
              <w:top w:val="single" w:sz="4" w:space="0" w:color="293F5B"/>
              <w:left w:val="nil"/>
              <w:bottom w:val="single" w:sz="4" w:space="0" w:color="293F5B"/>
              <w:right w:val="nil"/>
            </w:tcBorders>
            <w:shd w:val="clear" w:color="000000" w:fill="E6F2FF"/>
            <w:noWrap/>
            <w:vAlign w:val="center"/>
            <w:hideMark/>
          </w:tcPr>
          <w:p w14:paraId="55A9E85E"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18,308</w:t>
            </w:r>
          </w:p>
        </w:tc>
        <w:tc>
          <w:tcPr>
            <w:tcW w:w="483" w:type="pct"/>
            <w:tcBorders>
              <w:top w:val="single" w:sz="4" w:space="0" w:color="293F5B"/>
              <w:left w:val="nil"/>
              <w:bottom w:val="single" w:sz="4" w:space="0" w:color="293F5B"/>
              <w:right w:val="nil"/>
            </w:tcBorders>
            <w:shd w:val="clear" w:color="000000" w:fill="FFFFFF"/>
            <w:noWrap/>
            <w:vAlign w:val="center"/>
            <w:hideMark/>
          </w:tcPr>
          <w:p w14:paraId="724433A4"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12,124</w:t>
            </w:r>
          </w:p>
        </w:tc>
        <w:tc>
          <w:tcPr>
            <w:tcW w:w="488" w:type="pct"/>
            <w:tcBorders>
              <w:top w:val="single" w:sz="4" w:space="0" w:color="293F5B"/>
              <w:left w:val="nil"/>
              <w:bottom w:val="single" w:sz="4" w:space="0" w:color="293F5B"/>
              <w:right w:val="nil"/>
            </w:tcBorders>
            <w:shd w:val="clear" w:color="000000" w:fill="FFFFFF"/>
            <w:noWrap/>
            <w:vAlign w:val="center"/>
            <w:hideMark/>
          </w:tcPr>
          <w:p w14:paraId="3D7DFE15"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-87</w:t>
            </w:r>
          </w:p>
        </w:tc>
        <w:tc>
          <w:tcPr>
            <w:tcW w:w="488" w:type="pct"/>
            <w:tcBorders>
              <w:top w:val="single" w:sz="4" w:space="0" w:color="293F5B"/>
              <w:left w:val="nil"/>
              <w:bottom w:val="single" w:sz="4" w:space="0" w:color="293F5B"/>
              <w:right w:val="nil"/>
            </w:tcBorders>
            <w:shd w:val="clear" w:color="000000" w:fill="FFFFFF"/>
            <w:noWrap/>
            <w:vAlign w:val="center"/>
            <w:hideMark/>
          </w:tcPr>
          <w:p w14:paraId="25894DDD"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-26,808</w:t>
            </w:r>
          </w:p>
        </w:tc>
        <w:tc>
          <w:tcPr>
            <w:tcW w:w="59" w:type="pct"/>
            <w:tcBorders>
              <w:top w:val="nil"/>
              <w:left w:val="nil"/>
              <w:bottom w:val="nil"/>
              <w:right w:val="nil"/>
            </w:tcBorders>
            <w:shd w:val="clear" w:color="000000" w:fill="FFFFFF"/>
            <w:noWrap/>
            <w:vAlign w:val="center"/>
            <w:hideMark/>
          </w:tcPr>
          <w:p w14:paraId="1F7CCFC9"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88" w:type="pct"/>
            <w:tcBorders>
              <w:top w:val="single" w:sz="4" w:space="0" w:color="293F5B"/>
              <w:left w:val="nil"/>
              <w:bottom w:val="single" w:sz="4" w:space="0" w:color="293F5B"/>
              <w:right w:val="nil"/>
            </w:tcBorders>
            <w:shd w:val="clear" w:color="000000" w:fill="FFFFFF"/>
            <w:noWrap/>
            <w:vAlign w:val="center"/>
            <w:hideMark/>
          </w:tcPr>
          <w:p w14:paraId="123C03DA" w14:textId="77777777" w:rsidR="00B81CAA" w:rsidRPr="00207DD5" w:rsidRDefault="00B81CAA" w:rsidP="00B81CAA">
            <w:pPr>
              <w:spacing w:before="0" w:after="0" w:line="240" w:lineRule="auto"/>
              <w:jc w:val="right"/>
              <w:rPr>
                <w:rFonts w:ascii="Arial" w:hAnsi="Arial" w:cs="Arial"/>
                <w:b/>
                <w:sz w:val="16"/>
                <w:szCs w:val="16"/>
              </w:rPr>
            </w:pPr>
            <w:r w:rsidRPr="00207DD5">
              <w:rPr>
                <w:rFonts w:ascii="Arial" w:hAnsi="Arial" w:cs="Arial"/>
                <w:b/>
                <w:sz w:val="16"/>
                <w:szCs w:val="16"/>
              </w:rPr>
              <w:t>5,037</w:t>
            </w:r>
          </w:p>
        </w:tc>
      </w:tr>
      <w:tr w:rsidR="00B81CAA" w14:paraId="7E7789CA" w14:textId="77777777" w:rsidTr="00E91697">
        <w:trPr>
          <w:trHeight w:hRule="exact" w:val="60"/>
        </w:trPr>
        <w:tc>
          <w:tcPr>
            <w:tcW w:w="2023" w:type="pct"/>
            <w:tcBorders>
              <w:top w:val="nil"/>
              <w:left w:val="nil"/>
              <w:bottom w:val="nil"/>
              <w:right w:val="nil"/>
            </w:tcBorders>
            <w:shd w:val="clear" w:color="000000" w:fill="FFFFFF"/>
            <w:noWrap/>
            <w:vAlign w:val="center"/>
            <w:hideMark/>
          </w:tcPr>
          <w:p w14:paraId="11B786FF" w14:textId="77777777" w:rsidR="00B81CAA" w:rsidRPr="007B5379" w:rsidRDefault="00B81CAA" w:rsidP="00B81CAA">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88" w:type="pct"/>
            <w:tcBorders>
              <w:top w:val="single" w:sz="4" w:space="0" w:color="293F5B"/>
              <w:left w:val="nil"/>
              <w:bottom w:val="nil"/>
              <w:right w:val="nil"/>
            </w:tcBorders>
            <w:shd w:val="clear" w:color="000000" w:fill="FFFFFF"/>
            <w:noWrap/>
            <w:vAlign w:val="center"/>
            <w:hideMark/>
          </w:tcPr>
          <w:p w14:paraId="48C2AA9F"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single" w:sz="4" w:space="0" w:color="293F5B"/>
              <w:left w:val="nil"/>
              <w:bottom w:val="nil"/>
              <w:right w:val="nil"/>
            </w:tcBorders>
            <w:shd w:val="clear" w:color="000000" w:fill="E6F2FF"/>
            <w:noWrap/>
            <w:vAlign w:val="center"/>
            <w:hideMark/>
          </w:tcPr>
          <w:p w14:paraId="6F186243"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3" w:type="pct"/>
            <w:tcBorders>
              <w:top w:val="single" w:sz="4" w:space="0" w:color="293F5B"/>
              <w:left w:val="nil"/>
              <w:bottom w:val="nil"/>
              <w:right w:val="nil"/>
            </w:tcBorders>
            <w:shd w:val="clear" w:color="000000" w:fill="FFFFFF"/>
            <w:noWrap/>
            <w:vAlign w:val="center"/>
            <w:hideMark/>
          </w:tcPr>
          <w:p w14:paraId="157E8FA4"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single" w:sz="4" w:space="0" w:color="293F5B"/>
              <w:left w:val="nil"/>
              <w:bottom w:val="nil"/>
              <w:right w:val="nil"/>
            </w:tcBorders>
            <w:shd w:val="clear" w:color="000000" w:fill="FFFFFF"/>
            <w:noWrap/>
            <w:vAlign w:val="center"/>
            <w:hideMark/>
          </w:tcPr>
          <w:p w14:paraId="33593E40"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single" w:sz="4" w:space="0" w:color="293F5B"/>
              <w:left w:val="nil"/>
              <w:bottom w:val="nil"/>
              <w:right w:val="nil"/>
            </w:tcBorders>
            <w:shd w:val="clear" w:color="000000" w:fill="FFFFFF"/>
            <w:noWrap/>
            <w:vAlign w:val="center"/>
            <w:hideMark/>
          </w:tcPr>
          <w:p w14:paraId="01B5F585"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3C98A1BE" w14:textId="77777777" w:rsidR="00B81CAA" w:rsidRPr="007B5379" w:rsidRDefault="00B81CAA" w:rsidP="00B81CAA">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8" w:type="pct"/>
            <w:tcBorders>
              <w:top w:val="single" w:sz="4" w:space="0" w:color="293F5B"/>
              <w:left w:val="nil"/>
              <w:bottom w:val="nil"/>
              <w:right w:val="nil"/>
            </w:tcBorders>
            <w:shd w:val="clear" w:color="000000" w:fill="FFFFFF"/>
            <w:noWrap/>
            <w:vAlign w:val="center"/>
            <w:hideMark/>
          </w:tcPr>
          <w:p w14:paraId="4681D93B" w14:textId="77777777" w:rsidR="00B81CAA" w:rsidRPr="00207DD5" w:rsidRDefault="00B81CAA" w:rsidP="00B81CAA">
            <w:pPr>
              <w:spacing w:before="0" w:after="0" w:line="240" w:lineRule="auto"/>
              <w:rPr>
                <w:rFonts w:ascii="Arial" w:hAnsi="Arial" w:cs="Arial"/>
                <w:sz w:val="16"/>
                <w:szCs w:val="16"/>
              </w:rPr>
            </w:pPr>
            <w:r w:rsidRPr="00207DD5">
              <w:rPr>
                <w:rFonts w:ascii="Arial" w:hAnsi="Arial" w:cs="Arial"/>
                <w:sz w:val="16"/>
                <w:szCs w:val="16"/>
              </w:rPr>
              <w:t> </w:t>
            </w:r>
          </w:p>
        </w:tc>
      </w:tr>
      <w:tr w:rsidR="00B81CAA" w14:paraId="5620AC1F" w14:textId="77777777" w:rsidTr="00E91697">
        <w:trPr>
          <w:trHeight w:hRule="exact" w:val="225"/>
        </w:trPr>
        <w:tc>
          <w:tcPr>
            <w:tcW w:w="2023" w:type="pct"/>
            <w:tcBorders>
              <w:top w:val="nil"/>
              <w:left w:val="nil"/>
              <w:bottom w:val="single" w:sz="4" w:space="0" w:color="293F5B"/>
              <w:right w:val="nil"/>
            </w:tcBorders>
            <w:shd w:val="clear" w:color="000000" w:fill="FFFFFF"/>
            <w:noWrap/>
            <w:vAlign w:val="center"/>
            <w:hideMark/>
          </w:tcPr>
          <w:p w14:paraId="4AEE1706" w14:textId="77777777" w:rsidR="00B81CAA" w:rsidRPr="007B5379" w:rsidRDefault="00B81CAA" w:rsidP="00B81CAA">
            <w:pPr>
              <w:spacing w:before="0" w:after="0" w:line="240" w:lineRule="auto"/>
              <w:rPr>
                <w:rFonts w:ascii="Arial" w:hAnsi="Arial" w:cs="Arial"/>
                <w:b/>
                <w:color w:val="00FFFF"/>
                <w:sz w:val="16"/>
                <w:szCs w:val="16"/>
                <w:highlight w:val="magenta"/>
              </w:rPr>
            </w:pPr>
            <w:r w:rsidRPr="00207DD5">
              <w:rPr>
                <w:rFonts w:ascii="Arial" w:hAnsi="Arial" w:cs="Arial"/>
                <w:b/>
                <w:sz w:val="16"/>
                <w:szCs w:val="16"/>
              </w:rPr>
              <w:t>2026-27 Budget payments</w:t>
            </w:r>
          </w:p>
        </w:tc>
        <w:tc>
          <w:tcPr>
            <w:tcW w:w="488" w:type="pct"/>
            <w:tcBorders>
              <w:top w:val="nil"/>
              <w:left w:val="nil"/>
              <w:bottom w:val="single" w:sz="4" w:space="0" w:color="293F5B"/>
              <w:right w:val="nil"/>
            </w:tcBorders>
            <w:shd w:val="clear" w:color="000000" w:fill="FFFFFF"/>
            <w:noWrap/>
            <w:vAlign w:val="center"/>
            <w:hideMark/>
          </w:tcPr>
          <w:p w14:paraId="2AF618C6"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788,056</w:t>
            </w:r>
          </w:p>
        </w:tc>
        <w:tc>
          <w:tcPr>
            <w:tcW w:w="483" w:type="pct"/>
            <w:tcBorders>
              <w:top w:val="nil"/>
              <w:left w:val="nil"/>
              <w:bottom w:val="single" w:sz="4" w:space="0" w:color="293F5B"/>
              <w:right w:val="nil"/>
            </w:tcBorders>
            <w:shd w:val="clear" w:color="000000" w:fill="E6F2FF"/>
            <w:noWrap/>
            <w:vAlign w:val="center"/>
            <w:hideMark/>
          </w:tcPr>
          <w:p w14:paraId="3E21245E"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829,640</w:t>
            </w:r>
          </w:p>
        </w:tc>
        <w:tc>
          <w:tcPr>
            <w:tcW w:w="483" w:type="pct"/>
            <w:tcBorders>
              <w:top w:val="nil"/>
              <w:left w:val="nil"/>
              <w:bottom w:val="single" w:sz="4" w:space="0" w:color="293F5B"/>
              <w:right w:val="nil"/>
            </w:tcBorders>
            <w:shd w:val="clear" w:color="000000" w:fill="FFFFFF"/>
            <w:noWrap/>
            <w:vAlign w:val="center"/>
            <w:hideMark/>
          </w:tcPr>
          <w:p w14:paraId="187D0C15"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853,867</w:t>
            </w:r>
          </w:p>
        </w:tc>
        <w:tc>
          <w:tcPr>
            <w:tcW w:w="488" w:type="pct"/>
            <w:tcBorders>
              <w:top w:val="nil"/>
              <w:left w:val="nil"/>
              <w:bottom w:val="single" w:sz="4" w:space="0" w:color="293F5B"/>
              <w:right w:val="nil"/>
            </w:tcBorders>
            <w:shd w:val="clear" w:color="000000" w:fill="FFFFFF"/>
            <w:noWrap/>
            <w:vAlign w:val="center"/>
            <w:hideMark/>
          </w:tcPr>
          <w:p w14:paraId="1045449E"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882,829</w:t>
            </w:r>
          </w:p>
        </w:tc>
        <w:tc>
          <w:tcPr>
            <w:tcW w:w="488" w:type="pct"/>
            <w:tcBorders>
              <w:top w:val="nil"/>
              <w:left w:val="nil"/>
              <w:bottom w:val="single" w:sz="4" w:space="0" w:color="293F5B"/>
              <w:right w:val="nil"/>
            </w:tcBorders>
            <w:shd w:val="clear" w:color="000000" w:fill="FFFFFF"/>
            <w:noWrap/>
            <w:vAlign w:val="center"/>
            <w:hideMark/>
          </w:tcPr>
          <w:p w14:paraId="4C6623B6"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920,052</w:t>
            </w:r>
          </w:p>
        </w:tc>
        <w:tc>
          <w:tcPr>
            <w:tcW w:w="59" w:type="pct"/>
            <w:tcBorders>
              <w:top w:val="nil"/>
              <w:left w:val="nil"/>
              <w:bottom w:val="single" w:sz="4" w:space="0" w:color="293F5B"/>
              <w:right w:val="nil"/>
            </w:tcBorders>
            <w:shd w:val="clear" w:color="000000" w:fill="FFFFFF"/>
            <w:noWrap/>
            <w:vAlign w:val="center"/>
            <w:hideMark/>
          </w:tcPr>
          <w:p w14:paraId="0574CD72" w14:textId="77777777" w:rsidR="00B81CAA" w:rsidRPr="007B5379" w:rsidRDefault="00B81CAA" w:rsidP="00B81CAA">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88" w:type="pct"/>
            <w:tcBorders>
              <w:top w:val="nil"/>
              <w:left w:val="nil"/>
              <w:bottom w:val="single" w:sz="4" w:space="0" w:color="293F5B"/>
              <w:right w:val="nil"/>
            </w:tcBorders>
            <w:shd w:val="clear" w:color="000000" w:fill="FFFFFF"/>
            <w:noWrap/>
            <w:vAlign w:val="center"/>
            <w:hideMark/>
          </w:tcPr>
          <w:p w14:paraId="6CFA3719" w14:textId="77777777" w:rsidR="00B81CAA" w:rsidRPr="00207DD5" w:rsidRDefault="00B81CAA" w:rsidP="00B81CAA">
            <w:pPr>
              <w:spacing w:before="0" w:after="0" w:line="240" w:lineRule="auto"/>
              <w:jc w:val="right"/>
              <w:rPr>
                <w:rFonts w:ascii="Arial" w:hAnsi="Arial" w:cs="Arial"/>
                <w:b/>
                <w:sz w:val="16"/>
                <w:szCs w:val="16"/>
              </w:rPr>
            </w:pPr>
            <w:r w:rsidRPr="00207DD5">
              <w:rPr>
                <w:rFonts w:ascii="Arial" w:hAnsi="Arial" w:cs="Arial"/>
                <w:b/>
                <w:sz w:val="16"/>
                <w:szCs w:val="16"/>
              </w:rPr>
              <w:t>4,274,444</w:t>
            </w:r>
          </w:p>
        </w:tc>
      </w:tr>
    </w:tbl>
    <w:p w14:paraId="32CBF66C" w14:textId="77777777" w:rsidR="00196033" w:rsidRPr="00207DD5" w:rsidRDefault="00196033" w:rsidP="00196033">
      <w:pPr>
        <w:pStyle w:val="ChartandTableFootnote"/>
        <w:rPr>
          <w:rFonts w:eastAsiaTheme="minorEastAsia"/>
          <w:color w:val="auto"/>
        </w:rPr>
      </w:pPr>
      <w:r w:rsidRPr="00207DD5">
        <w:rPr>
          <w:rFonts w:eastAsiaTheme="minorEastAsia"/>
          <w:color w:val="auto"/>
        </w:rPr>
        <w:t>*Data are not available.</w:t>
      </w:r>
    </w:p>
    <w:p w14:paraId="55B95DC8" w14:textId="4979E9AD" w:rsidR="00196033" w:rsidRPr="00207DD5" w:rsidRDefault="00196033" w:rsidP="00196033">
      <w:pPr>
        <w:pStyle w:val="ChartandTableFootnoteAlpha"/>
        <w:numPr>
          <w:ilvl w:val="0"/>
          <w:numId w:val="19"/>
        </w:numPr>
        <w:rPr>
          <w:color w:val="auto"/>
        </w:rPr>
      </w:pPr>
      <w:r w:rsidRPr="00207DD5">
        <w:rPr>
          <w:color w:val="auto"/>
        </w:rPr>
        <w:t>A positive number for payments worsens the underlying cash balance.</w:t>
      </w:r>
    </w:p>
    <w:p w14:paraId="434FA59C" w14:textId="77777777" w:rsidR="00B52C97" w:rsidRPr="00207DD5" w:rsidRDefault="00B52C97" w:rsidP="00B52C97">
      <w:pPr>
        <w:pStyle w:val="ChartandTableFootnoteAlpha"/>
        <w:numPr>
          <w:ilvl w:val="0"/>
          <w:numId w:val="19"/>
        </w:numPr>
        <w:rPr>
          <w:color w:val="auto"/>
        </w:rPr>
      </w:pPr>
      <w:r w:rsidRPr="00207DD5">
        <w:rPr>
          <w:color w:val="auto"/>
        </w:rPr>
        <w:t>Excludes secondary impacts on public debt interest of policy decisions and offsets from the</w:t>
      </w:r>
      <w:r w:rsidR="00114547" w:rsidRPr="00207DD5">
        <w:rPr>
          <w:color w:val="auto"/>
        </w:rPr>
        <w:t xml:space="preserve"> Contingency Reserve for decisions taken.</w:t>
      </w:r>
    </w:p>
    <w:p w14:paraId="61913759" w14:textId="525FC909" w:rsidR="00196033" w:rsidRPr="00207DD5" w:rsidRDefault="00196033" w:rsidP="00196033">
      <w:pPr>
        <w:pStyle w:val="ChartandTableFootnoteAlpha"/>
        <w:numPr>
          <w:ilvl w:val="0"/>
          <w:numId w:val="19"/>
        </w:numPr>
        <w:rPr>
          <w:color w:val="auto"/>
        </w:rPr>
      </w:pPr>
      <w:r w:rsidRPr="00207DD5">
        <w:rPr>
          <w:color w:val="auto"/>
        </w:rPr>
        <w:t>202</w:t>
      </w:r>
      <w:r w:rsidR="00F973D5" w:rsidRPr="00207DD5">
        <w:rPr>
          <w:color w:val="auto"/>
        </w:rPr>
        <w:t>9</w:t>
      </w:r>
      <w:r w:rsidRPr="00207DD5">
        <w:rPr>
          <w:color w:val="auto"/>
        </w:rPr>
        <w:t>–</w:t>
      </w:r>
      <w:r w:rsidR="00F973D5" w:rsidRPr="00207DD5">
        <w:rPr>
          <w:color w:val="auto"/>
        </w:rPr>
        <w:t>30</w:t>
      </w:r>
      <w:r w:rsidRPr="00207DD5">
        <w:rPr>
          <w:color w:val="auto"/>
        </w:rPr>
        <w:t xml:space="preserve"> as published in the medium</w:t>
      </w:r>
      <w:r w:rsidRPr="00207DD5">
        <w:rPr>
          <w:color w:val="auto"/>
        </w:rPr>
        <w:noBreakHyphen/>
        <w:t>term projections, page </w:t>
      </w:r>
      <w:r w:rsidR="00F973D5" w:rsidRPr="00207DD5">
        <w:rPr>
          <w:color w:val="auto"/>
        </w:rPr>
        <w:t>57</w:t>
      </w:r>
      <w:r w:rsidRPr="00207DD5">
        <w:rPr>
          <w:color w:val="auto"/>
        </w:rPr>
        <w:t xml:space="preserve"> of the </w:t>
      </w:r>
      <w:r w:rsidRPr="00207DD5">
        <w:rPr>
          <w:rStyle w:val="Emphasis"/>
          <w:color w:val="auto"/>
        </w:rPr>
        <w:t>Mid</w:t>
      </w:r>
      <w:r w:rsidRPr="00207DD5">
        <w:rPr>
          <w:rStyle w:val="Emphasis"/>
          <w:color w:val="auto"/>
        </w:rPr>
        <w:noBreakHyphen/>
        <w:t>Year Economic and Fiscal Outlook 202</w:t>
      </w:r>
      <w:r w:rsidR="00F973D5" w:rsidRPr="00207DD5">
        <w:rPr>
          <w:rStyle w:val="Emphasis"/>
          <w:color w:val="auto"/>
        </w:rPr>
        <w:t>5</w:t>
      </w:r>
      <w:r w:rsidRPr="00207DD5">
        <w:rPr>
          <w:rStyle w:val="Emphasis"/>
          <w:color w:val="auto"/>
        </w:rPr>
        <w:t>–2</w:t>
      </w:r>
      <w:r w:rsidR="00F973D5" w:rsidRPr="00207DD5">
        <w:rPr>
          <w:rStyle w:val="Emphasis"/>
          <w:color w:val="auto"/>
        </w:rPr>
        <w:t>6</w:t>
      </w:r>
      <w:r w:rsidRPr="00207DD5">
        <w:rPr>
          <w:i/>
          <w:color w:val="auto"/>
        </w:rPr>
        <w:t>.</w:t>
      </w:r>
    </w:p>
    <w:p w14:paraId="1B053DD5" w14:textId="367B509E" w:rsidR="00196033" w:rsidRPr="00207DD5" w:rsidRDefault="00196033" w:rsidP="00B52C97">
      <w:pPr>
        <w:pStyle w:val="ChartandTableFootnoteAlpha"/>
        <w:numPr>
          <w:ilvl w:val="0"/>
          <w:numId w:val="19"/>
        </w:numPr>
        <w:rPr>
          <w:color w:val="auto"/>
        </w:rPr>
      </w:pPr>
      <w:r w:rsidRPr="00207DD5">
        <w:rPr>
          <w:color w:val="auto"/>
        </w:rPr>
        <w:t>Includes changes in the conservative bias allowance component in the Contingency Reserve and impacts of changes in program payments for a range of reasons including movement of funds and reprofiling.</w:t>
      </w:r>
    </w:p>
    <w:p w14:paraId="3321C875" w14:textId="77777777" w:rsidR="00196033" w:rsidRPr="00207DD5" w:rsidRDefault="00196033" w:rsidP="00196033">
      <w:pPr>
        <w:pStyle w:val="TableLine"/>
      </w:pPr>
    </w:p>
    <w:p w14:paraId="274B85A7" w14:textId="54691FA3" w:rsidR="00026180" w:rsidRDefault="00026180" w:rsidP="00026180">
      <w:pPr>
        <w:rPr>
          <w:rFonts w:ascii="Arial Bold" w:hAnsi="Arial Bold"/>
          <w:sz w:val="20"/>
        </w:rPr>
      </w:pPr>
      <w:r>
        <w:br w:type="page"/>
      </w:r>
    </w:p>
    <w:p w14:paraId="3213ED32" w14:textId="28801317" w:rsidR="00196033" w:rsidRPr="00207DD5" w:rsidRDefault="00196033" w:rsidP="00196033">
      <w:pPr>
        <w:pStyle w:val="Heading4"/>
      </w:pPr>
      <w:r w:rsidRPr="00207DD5">
        <w:lastRenderedPageBreak/>
        <w:t>Payment policy decisions over the forward estimates</w:t>
      </w:r>
    </w:p>
    <w:p w14:paraId="758DD609" w14:textId="725961D5" w:rsidR="00731341" w:rsidRPr="00207DD5" w:rsidRDefault="00731341" w:rsidP="00196033">
      <w:r w:rsidRPr="00207DD5">
        <w:t>New policy decisions since MYEFO have increased total payments by $</w:t>
      </w:r>
      <w:r w:rsidR="00EB3085" w:rsidRPr="00207DD5">
        <w:t>1.</w:t>
      </w:r>
      <w:r w:rsidR="004357BF" w:rsidRPr="00207DD5">
        <w:t>7</w:t>
      </w:r>
      <w:r w:rsidR="00803517" w:rsidRPr="00207DD5">
        <w:t> </w:t>
      </w:r>
      <w:r w:rsidRPr="00207DD5">
        <w:t>billion in 2025–</w:t>
      </w:r>
      <w:r w:rsidR="00EA122A" w:rsidRPr="00207DD5">
        <w:rPr>
          <w:w w:val="1"/>
        </w:rPr>
        <w:t> </w:t>
      </w:r>
      <w:r w:rsidRPr="00207DD5">
        <w:t>26, by $</w:t>
      </w:r>
      <w:r w:rsidR="001E4ACC" w:rsidRPr="00207DD5">
        <w:t>8.</w:t>
      </w:r>
      <w:r w:rsidR="0081577F" w:rsidRPr="00207DD5">
        <w:t>7</w:t>
      </w:r>
      <w:r w:rsidR="009F0B52" w:rsidRPr="00207DD5">
        <w:t> </w:t>
      </w:r>
      <w:r w:rsidRPr="00207DD5">
        <w:t>billion in 2026–27, and by $</w:t>
      </w:r>
      <w:r w:rsidR="0081577F" w:rsidRPr="00207DD5">
        <w:t>0.5</w:t>
      </w:r>
      <w:r w:rsidR="009F0B52" w:rsidRPr="00207DD5">
        <w:t> </w:t>
      </w:r>
      <w:r w:rsidRPr="00207DD5">
        <w:t>billion over five years from 2025–26 to 2029–</w:t>
      </w:r>
      <w:r w:rsidR="00EA122A" w:rsidRPr="00207DD5">
        <w:rPr>
          <w:w w:val="1"/>
        </w:rPr>
        <w:t> </w:t>
      </w:r>
      <w:r w:rsidRPr="00207DD5">
        <w:t>30.</w:t>
      </w:r>
    </w:p>
    <w:p w14:paraId="57FB6ED2" w14:textId="77777777" w:rsidR="00C54489" w:rsidRPr="00207DD5" w:rsidRDefault="00C54489" w:rsidP="00C54489">
      <w:r w:rsidRPr="00207DD5">
        <w:t xml:space="preserve">Major policy decisions since MYEFO that have had a net increase in payments include: </w:t>
      </w:r>
    </w:p>
    <w:p w14:paraId="63D75577" w14:textId="6D71F2FC" w:rsidR="00C54489" w:rsidRPr="00207DD5" w:rsidRDefault="00C54489" w:rsidP="00030B79">
      <w:pPr>
        <w:pStyle w:val="Bullet"/>
      </w:pPr>
      <w:r w:rsidRPr="00207DD5">
        <w:t xml:space="preserve">funding to the states and territories for public hospital services and the implementation of the </w:t>
      </w:r>
      <w:r w:rsidRPr="00207DD5">
        <w:rPr>
          <w:i/>
        </w:rPr>
        <w:t>2026</w:t>
      </w:r>
      <w:r w:rsidR="00E72EF9">
        <w:rPr>
          <w:i/>
        </w:rPr>
        <w:t>–</w:t>
      </w:r>
      <w:r w:rsidRPr="00207DD5">
        <w:rPr>
          <w:i/>
        </w:rPr>
        <w:t>2031</w:t>
      </w:r>
      <w:r w:rsidRPr="00207DD5">
        <w:t xml:space="preserve"> </w:t>
      </w:r>
      <w:r w:rsidRPr="00207DD5">
        <w:rPr>
          <w:i/>
        </w:rPr>
        <w:t>Addendum to the National Health Reform Agreement</w:t>
      </w:r>
      <w:r w:rsidRPr="00207DD5">
        <w:t>, which is expected to increase payments by $18.1</w:t>
      </w:r>
      <w:r w:rsidR="009F0B52" w:rsidRPr="00207DD5">
        <w:t> </w:t>
      </w:r>
      <w:r w:rsidRPr="00207DD5">
        <w:t>billion over the four years to 2029</w:t>
      </w:r>
      <w:r w:rsidR="00DC6BA9" w:rsidRPr="00207DD5">
        <w:t>–</w:t>
      </w:r>
      <w:r w:rsidRPr="00207DD5">
        <w:t>30.</w:t>
      </w:r>
      <w:r w:rsidR="002929A9" w:rsidRPr="00207DD5">
        <w:t xml:space="preserve"> The Government had already provisioned for </w:t>
      </w:r>
      <w:proofErr w:type="gramStart"/>
      <w:r w:rsidR="002929A9" w:rsidRPr="00207DD5">
        <w:t>the majority of</w:t>
      </w:r>
      <w:proofErr w:type="gramEnd"/>
      <w:r w:rsidR="002929A9" w:rsidRPr="00207DD5">
        <w:t xml:space="preserve"> this funding.</w:t>
      </w:r>
    </w:p>
    <w:p w14:paraId="56F694A4" w14:textId="16BEAA22" w:rsidR="00C54489" w:rsidRPr="00207DD5" w:rsidRDefault="00C54489" w:rsidP="00030B79">
      <w:pPr>
        <w:pStyle w:val="Bullet"/>
      </w:pPr>
      <w:r w:rsidRPr="00207DD5">
        <w:t>funding to support the delivery of the 2026 National Defence Strategy and Integrated Investment Program to enhance Defence capability, preparedness and resilience, which is expected to increase payments by $6.8</w:t>
      </w:r>
      <w:r w:rsidR="009F0B52" w:rsidRPr="00207DD5">
        <w:t> </w:t>
      </w:r>
      <w:r w:rsidRPr="00207DD5">
        <w:t>billion over the five years to 2029</w:t>
      </w:r>
      <w:r w:rsidR="00E1305B" w:rsidRPr="00207DD5">
        <w:t>–</w:t>
      </w:r>
      <w:r w:rsidRPr="00207DD5">
        <w:t>30</w:t>
      </w:r>
      <w:r w:rsidR="0003352C" w:rsidRPr="00207DD5">
        <w:t xml:space="preserve"> in addition to alternative financing opportunities in the Defence portfolio through public and private sector financing</w:t>
      </w:r>
      <w:r w:rsidRPr="00207DD5">
        <w:t>.</w:t>
      </w:r>
    </w:p>
    <w:p w14:paraId="4CB12C52" w14:textId="52A65D63" w:rsidR="00C54489" w:rsidRPr="00207DD5" w:rsidRDefault="00C54489" w:rsidP="00030B79">
      <w:pPr>
        <w:pStyle w:val="Bullet"/>
      </w:pPr>
      <w:r w:rsidRPr="00207DD5">
        <w:t>funding for new and amended listings on the Pharmaceutical Benefits Scheme and Repatriation Pharmaceutical Benefits Scheme, which is expected to increase payments by $5.9</w:t>
      </w:r>
      <w:r w:rsidR="009F0B52" w:rsidRPr="00207DD5">
        <w:t> </w:t>
      </w:r>
      <w:r w:rsidRPr="00207DD5">
        <w:t>billion over the five years to 2029</w:t>
      </w:r>
      <w:r w:rsidR="00E1305B" w:rsidRPr="00207DD5">
        <w:t>–</w:t>
      </w:r>
      <w:r w:rsidRPr="00207DD5">
        <w:t>30.</w:t>
      </w:r>
    </w:p>
    <w:p w14:paraId="43FE3056" w14:textId="48BC479D" w:rsidR="00C54489" w:rsidRPr="00207DD5" w:rsidRDefault="00C54489" w:rsidP="00030B79">
      <w:pPr>
        <w:pStyle w:val="Bullet"/>
      </w:pPr>
      <w:r w:rsidRPr="00207DD5">
        <w:t xml:space="preserve">funding to improve the way Services Australia delivers services to the Australian community, including by maintaining frontline </w:t>
      </w:r>
      <w:r w:rsidR="009925C1" w:rsidRPr="00207DD5">
        <w:t>and emergency response</w:t>
      </w:r>
      <w:r w:rsidRPr="00207DD5">
        <w:t xml:space="preserve"> staff, enhancing safety and security at Services Australia centres, </w:t>
      </w:r>
      <w:r w:rsidR="009F0BB0" w:rsidRPr="00207DD5">
        <w:t>enhancements to myGov and cyber security uplift</w:t>
      </w:r>
      <w:r w:rsidRPr="00207DD5">
        <w:t>, which is expected to increase payments by $2.1</w:t>
      </w:r>
      <w:r w:rsidR="009F0B52" w:rsidRPr="00207DD5">
        <w:t> </w:t>
      </w:r>
      <w:r w:rsidRPr="00207DD5">
        <w:t>billion over the five years to 2029</w:t>
      </w:r>
      <w:r w:rsidR="00030B79" w:rsidRPr="00207DD5">
        <w:t>–</w:t>
      </w:r>
      <w:r w:rsidRPr="00207DD5">
        <w:t>30.</w:t>
      </w:r>
    </w:p>
    <w:p w14:paraId="09913853" w14:textId="42229670" w:rsidR="00C54489" w:rsidRPr="00207DD5" w:rsidRDefault="00C54489" w:rsidP="00030B79">
      <w:pPr>
        <w:pStyle w:val="Bullet"/>
      </w:pPr>
      <w:r w:rsidRPr="00207DD5">
        <w:t>funding to support increased housing supply and research, including through the Housing Support Program</w:t>
      </w:r>
      <w:r w:rsidR="00FD6B29" w:rsidRPr="00207DD5">
        <w:t>—</w:t>
      </w:r>
      <w:r w:rsidRPr="00207DD5">
        <w:t xml:space="preserve">Local Infrastructure Fund to support local governments and state utility providers to </w:t>
      </w:r>
      <w:r w:rsidR="002B4339" w:rsidRPr="00207DD5">
        <w:t>deliver</w:t>
      </w:r>
      <w:r w:rsidRPr="00207DD5">
        <w:t xml:space="preserve"> housing enabling infrastructure, which is expected to increase payments by $2.1</w:t>
      </w:r>
      <w:r w:rsidR="009F0B52" w:rsidRPr="00207DD5">
        <w:t> </w:t>
      </w:r>
      <w:r w:rsidRPr="00207DD5">
        <w:t>billion over the four years to 2029</w:t>
      </w:r>
      <w:r w:rsidR="00DA468E" w:rsidRPr="00207DD5">
        <w:t>–</w:t>
      </w:r>
      <w:r w:rsidRPr="00207DD5">
        <w:t xml:space="preserve">30. </w:t>
      </w:r>
    </w:p>
    <w:p w14:paraId="232A7CE7" w14:textId="25B60B07" w:rsidR="00C54489" w:rsidRPr="00207DD5" w:rsidRDefault="00C54489" w:rsidP="00030B79">
      <w:pPr>
        <w:pStyle w:val="Bullet"/>
      </w:pPr>
      <w:r w:rsidRPr="00207DD5">
        <w:t>funding to ensure all Australians have affordable access to high quality primary health care services and increase access to bulk billing</w:t>
      </w:r>
      <w:r w:rsidR="00CE4D75" w:rsidRPr="00207DD5">
        <w:t>,</w:t>
      </w:r>
      <w:r w:rsidR="009540B0" w:rsidRPr="00207DD5">
        <w:t xml:space="preserve"> including through funding Medicare Urgent Care Clinics ongoing</w:t>
      </w:r>
      <w:r w:rsidRPr="00207DD5">
        <w:t>, which is expected to increase payments by $1.9</w:t>
      </w:r>
      <w:r w:rsidR="009F0B52" w:rsidRPr="00207DD5">
        <w:t> </w:t>
      </w:r>
      <w:r w:rsidRPr="00207DD5">
        <w:t>billion over the five years to 2029</w:t>
      </w:r>
      <w:r w:rsidR="00265B75" w:rsidRPr="00207DD5">
        <w:t>–</w:t>
      </w:r>
      <w:r w:rsidRPr="00207DD5">
        <w:t>30.</w:t>
      </w:r>
    </w:p>
    <w:p w14:paraId="30067EF6" w14:textId="0C755A32" w:rsidR="00C54489" w:rsidRPr="00207DD5" w:rsidRDefault="00C54489" w:rsidP="009B6215">
      <w:pPr>
        <w:pStyle w:val="Bullet"/>
      </w:pPr>
      <w:r w:rsidRPr="00207DD5">
        <w:t xml:space="preserve">funding to deliver </w:t>
      </w:r>
      <w:r w:rsidR="002B2444" w:rsidRPr="00207DD5">
        <w:t>national</w:t>
      </w:r>
      <w:r w:rsidRPr="00207DD5">
        <w:t xml:space="preserve"> services</w:t>
      </w:r>
      <w:r w:rsidR="002B2444" w:rsidRPr="00207DD5">
        <w:t>, contribute to state</w:t>
      </w:r>
      <w:r w:rsidRPr="00207DD5">
        <w:t xml:space="preserve"> and </w:t>
      </w:r>
      <w:r w:rsidR="002B2444" w:rsidRPr="00207DD5">
        <w:t>territory services, and fund</w:t>
      </w:r>
      <w:r w:rsidRPr="00207DD5">
        <w:t xml:space="preserve"> enabling supports for the Thriving Kids program, which is expected to increase payments by $1.6</w:t>
      </w:r>
      <w:r w:rsidR="00FF1AE3" w:rsidRPr="00207DD5">
        <w:t> </w:t>
      </w:r>
      <w:r w:rsidRPr="00207DD5">
        <w:t>billion over the four years to 2029</w:t>
      </w:r>
      <w:r w:rsidR="005A6439" w:rsidRPr="00207DD5">
        <w:t>–</w:t>
      </w:r>
      <w:r w:rsidRPr="00207DD5">
        <w:t>30.</w:t>
      </w:r>
      <w:r w:rsidR="00F87EBD" w:rsidRPr="00207DD5">
        <w:t xml:space="preserve"> The Government had already provisioned for this funding.</w:t>
      </w:r>
    </w:p>
    <w:p w14:paraId="0441836E" w14:textId="5E517CDD" w:rsidR="00C54489" w:rsidRPr="00207DD5" w:rsidRDefault="00C54489" w:rsidP="009B6215">
      <w:pPr>
        <w:pStyle w:val="Bullet"/>
      </w:pPr>
      <w:r w:rsidRPr="00207DD5">
        <w:t>funding for the Support at Home program to improve affordability and access to home care supports, which is expected to increase payments by $1.4</w:t>
      </w:r>
      <w:r w:rsidR="009F0B52" w:rsidRPr="00207DD5">
        <w:t> </w:t>
      </w:r>
      <w:r w:rsidRPr="00207DD5">
        <w:t>billion over the four years to 2029</w:t>
      </w:r>
      <w:r w:rsidR="00B8317A" w:rsidRPr="00207DD5">
        <w:t>–</w:t>
      </w:r>
      <w:r w:rsidRPr="00207DD5">
        <w:t>30.</w:t>
      </w:r>
    </w:p>
    <w:p w14:paraId="605BC131" w14:textId="6B6C6656" w:rsidR="00C54489" w:rsidRPr="00207DD5" w:rsidRDefault="00C54489" w:rsidP="009B6215">
      <w:pPr>
        <w:pStyle w:val="Bullet"/>
      </w:pPr>
      <w:r w:rsidRPr="00207DD5">
        <w:lastRenderedPageBreak/>
        <w:t xml:space="preserve">funding for priority road and rail infrastructure projects, partially offset by the </w:t>
      </w:r>
      <w:r w:rsidR="00E50F67" w:rsidRPr="00207DD5">
        <w:t>application</w:t>
      </w:r>
      <w:r w:rsidRPr="00207DD5">
        <w:t xml:space="preserve"> of a temporary fuel and other materials disruption slippage adjustment to recognise the uncertain impacts of the Middle East conflict on the availability of key materials</w:t>
      </w:r>
      <w:r w:rsidR="00A276CC" w:rsidRPr="00207DD5">
        <w:t xml:space="preserve"> for the delivery of projects</w:t>
      </w:r>
      <w:r w:rsidRPr="00207DD5">
        <w:t>, which is expected to increase payments by $966.8</w:t>
      </w:r>
      <w:r w:rsidR="006649D9" w:rsidRPr="00207DD5">
        <w:t> </w:t>
      </w:r>
      <w:r w:rsidRPr="00207DD5">
        <w:t>million over the five years to 2029</w:t>
      </w:r>
      <w:r w:rsidR="00C31BD9" w:rsidRPr="00207DD5">
        <w:t>–</w:t>
      </w:r>
      <w:r w:rsidRPr="00207DD5">
        <w:t>30.</w:t>
      </w:r>
    </w:p>
    <w:p w14:paraId="3B0F516A" w14:textId="0803D01F" w:rsidR="00C54489" w:rsidRPr="00207DD5" w:rsidRDefault="00C54489" w:rsidP="009B6215">
      <w:pPr>
        <w:pStyle w:val="Bullet"/>
      </w:pPr>
      <w:r w:rsidRPr="00207DD5">
        <w:t>funding to support economic growth and development across urban and regional Australia by delivering community infrastructure projects, which is expected to increase payments by $734.3</w:t>
      </w:r>
      <w:r w:rsidR="009F0B52" w:rsidRPr="00207DD5">
        <w:t> </w:t>
      </w:r>
      <w:r w:rsidRPr="00207DD5">
        <w:t>million over the five years to 2029</w:t>
      </w:r>
      <w:r w:rsidR="00871EFF" w:rsidRPr="00207DD5">
        <w:t>–</w:t>
      </w:r>
      <w:r w:rsidRPr="00207DD5">
        <w:t>30.</w:t>
      </w:r>
    </w:p>
    <w:p w14:paraId="55B31677" w14:textId="73D665E6" w:rsidR="00C54489" w:rsidRPr="00207DD5" w:rsidRDefault="00C54489" w:rsidP="009B6215">
      <w:pPr>
        <w:pStyle w:val="Bullet"/>
      </w:pPr>
      <w:r w:rsidRPr="00207DD5">
        <w:t>funding to continue the Australian Government</w:t>
      </w:r>
      <w:r w:rsidR="009F0B52" w:rsidRPr="00207DD5">
        <w:t>’</w:t>
      </w:r>
      <w:r w:rsidRPr="00207DD5">
        <w:t xml:space="preserve">s Digital ID System, </w:t>
      </w:r>
      <w:r w:rsidR="000032E1" w:rsidRPr="00207DD5">
        <w:t xml:space="preserve">to support productivity and security by reducing the sharing and storage of personal data, </w:t>
      </w:r>
      <w:r w:rsidRPr="00207DD5">
        <w:t>which is expected to increase payments by $654.3</w:t>
      </w:r>
      <w:r w:rsidR="009F0B52" w:rsidRPr="00207DD5">
        <w:t> </w:t>
      </w:r>
      <w:r w:rsidRPr="00207DD5">
        <w:t>million over the four years to 2029</w:t>
      </w:r>
      <w:r w:rsidR="005A6439" w:rsidRPr="00207DD5">
        <w:t>–</w:t>
      </w:r>
      <w:r w:rsidRPr="00207DD5">
        <w:t>30.</w:t>
      </w:r>
    </w:p>
    <w:p w14:paraId="5271AD98" w14:textId="77777777" w:rsidR="00C54489" w:rsidRPr="00207DD5" w:rsidRDefault="00C54489" w:rsidP="00E46471">
      <w:r w:rsidRPr="00207DD5">
        <w:t>Major policy decisions since MYEFO that have had a net decrease in payments include:</w:t>
      </w:r>
    </w:p>
    <w:p w14:paraId="6E1D7C4E" w14:textId="3FCF5054" w:rsidR="00C54489" w:rsidRPr="00207DD5" w:rsidRDefault="00C54489" w:rsidP="009B6215">
      <w:pPr>
        <w:pStyle w:val="Bullet"/>
      </w:pPr>
      <w:r w:rsidRPr="00207DD5">
        <w:t>measures to restore the NDIS to its original intent and secure the sustainability of the scheme for future generations, which are expected to decrease payments by $</w:t>
      </w:r>
      <w:r w:rsidR="003233F4" w:rsidRPr="00207DD5">
        <w:t>37.8</w:t>
      </w:r>
      <w:r w:rsidR="009F0B52" w:rsidRPr="00207DD5">
        <w:t> </w:t>
      </w:r>
      <w:r w:rsidRPr="00207DD5">
        <w:t xml:space="preserve">billion over </w:t>
      </w:r>
      <w:r w:rsidR="00430216" w:rsidRPr="00207DD5">
        <w:t>four years</w:t>
      </w:r>
      <w:r w:rsidRPr="00207DD5">
        <w:t xml:space="preserve"> to 2029</w:t>
      </w:r>
      <w:r w:rsidR="00F31401" w:rsidRPr="00207DD5">
        <w:t>–</w:t>
      </w:r>
      <w:r w:rsidRPr="00207DD5">
        <w:t>30</w:t>
      </w:r>
      <w:r w:rsidR="00E04695" w:rsidRPr="00207DD5">
        <w:t>, partially offset by the Government’s investment of $1.7</w:t>
      </w:r>
      <w:r w:rsidR="00665E4E" w:rsidRPr="00207DD5">
        <w:t> </w:t>
      </w:r>
      <w:r w:rsidR="00E04695" w:rsidRPr="00207DD5">
        <w:t>billion to support people with disability and to improve the quality of supports delivered through the NDIS</w:t>
      </w:r>
      <w:r w:rsidR="001A1F76" w:rsidRPr="00207DD5">
        <w:t>.</w:t>
      </w:r>
      <w:r w:rsidRPr="00207DD5">
        <w:t xml:space="preserve"> </w:t>
      </w:r>
    </w:p>
    <w:p w14:paraId="7C369F3D" w14:textId="1D82486C" w:rsidR="00C54489" w:rsidRPr="00207DD5" w:rsidRDefault="00C54489" w:rsidP="009B6215">
      <w:pPr>
        <w:pStyle w:val="Bullet"/>
      </w:pPr>
      <w:r w:rsidRPr="00207DD5">
        <w:t>removing the age</w:t>
      </w:r>
      <w:r w:rsidR="009F0B52" w:rsidRPr="00207DD5">
        <w:noBreakHyphen/>
      </w:r>
      <w:r w:rsidRPr="00207DD5">
        <w:t>based uplift of the Private Health Insurance Rebate from 1 April 2027 to simplify its distribution and make it more equitable, which is expected to decrease payments by $3.0</w:t>
      </w:r>
      <w:r w:rsidR="009F0B52" w:rsidRPr="00207DD5">
        <w:t> </w:t>
      </w:r>
      <w:r w:rsidRPr="00207DD5">
        <w:t>billion over the four years to 2029</w:t>
      </w:r>
      <w:r w:rsidR="00F31401" w:rsidRPr="00207DD5">
        <w:t>–</w:t>
      </w:r>
      <w:r w:rsidRPr="00207DD5">
        <w:t>30.</w:t>
      </w:r>
    </w:p>
    <w:p w14:paraId="5687DE5F" w14:textId="11DADA33" w:rsidR="00C54489" w:rsidRPr="00207DD5" w:rsidRDefault="00C54489" w:rsidP="009B6215">
      <w:pPr>
        <w:pStyle w:val="Bullet"/>
      </w:pPr>
      <w:r w:rsidRPr="00207DD5">
        <w:t>further reducing spending on external labour and other non</w:t>
      </w:r>
      <w:r w:rsidR="009F0B52" w:rsidRPr="00207DD5">
        <w:noBreakHyphen/>
      </w:r>
      <w:r w:rsidRPr="00207DD5">
        <w:t>wage expenses like travel, hospitality and property, which is expected to decrease payments by $2.7</w:t>
      </w:r>
      <w:r w:rsidR="009F0B52" w:rsidRPr="00207DD5">
        <w:t> </w:t>
      </w:r>
      <w:r w:rsidRPr="00207DD5">
        <w:t>billion in 2029</w:t>
      </w:r>
      <w:r w:rsidR="00496AB1" w:rsidRPr="00207DD5">
        <w:t>–</w:t>
      </w:r>
      <w:r w:rsidRPr="00207DD5">
        <w:t>30.</w:t>
      </w:r>
    </w:p>
    <w:p w14:paraId="356ABC0D" w14:textId="6B4C5D43" w:rsidR="00C54489" w:rsidRPr="00207DD5" w:rsidRDefault="00C54489" w:rsidP="009B6215">
      <w:pPr>
        <w:pStyle w:val="Bullet"/>
      </w:pPr>
      <w:r w:rsidRPr="00207DD5">
        <w:t>identifying savings from health, disability and ageing programs, which is expected to decrease payments by $2.7</w:t>
      </w:r>
      <w:r w:rsidR="009F0B52" w:rsidRPr="00207DD5">
        <w:t> </w:t>
      </w:r>
      <w:r w:rsidRPr="00207DD5">
        <w:t>billion over the five years to 2029</w:t>
      </w:r>
      <w:r w:rsidR="00496AB1" w:rsidRPr="00207DD5">
        <w:t>–</w:t>
      </w:r>
      <w:r w:rsidRPr="00207DD5">
        <w:t>30, to be reinvested in new or expanded health, disability and ageing services.</w:t>
      </w:r>
    </w:p>
    <w:p w14:paraId="5ABD1AE2" w14:textId="5B329706" w:rsidR="00C54489" w:rsidRPr="00207DD5" w:rsidRDefault="00C54489" w:rsidP="009B6215">
      <w:pPr>
        <w:pStyle w:val="Bullet"/>
      </w:pPr>
      <w:r w:rsidRPr="00207DD5">
        <w:t>reforming the Research and Development Tax Incentive to simplify and better target Government support for business research and development, which is expected to decrease payments by $1.6</w:t>
      </w:r>
      <w:r w:rsidR="009F0B52" w:rsidRPr="00207DD5">
        <w:t> </w:t>
      </w:r>
      <w:r w:rsidRPr="00207DD5">
        <w:t>billion over the three years to 2029</w:t>
      </w:r>
      <w:r w:rsidR="00496AB1" w:rsidRPr="00207DD5">
        <w:t>–</w:t>
      </w:r>
      <w:r w:rsidRPr="00207DD5">
        <w:t>30. This measure will also decrease receipts by $910.0</w:t>
      </w:r>
      <w:r w:rsidR="009F0B52" w:rsidRPr="00207DD5">
        <w:t> </w:t>
      </w:r>
      <w:r w:rsidRPr="00207DD5">
        <w:t xml:space="preserve">million over the same period. </w:t>
      </w:r>
    </w:p>
    <w:p w14:paraId="23BD39FA" w14:textId="646A69DE" w:rsidR="00C54489" w:rsidRPr="00207DD5" w:rsidRDefault="00C54489" w:rsidP="009B6215">
      <w:pPr>
        <w:pStyle w:val="Bullet"/>
      </w:pPr>
      <w:r w:rsidRPr="00207DD5">
        <w:t>temporarily reducing fuel excise and the heavy vehicle road user charge, which is expected to decrease payments by $1.3</w:t>
      </w:r>
      <w:r w:rsidR="009F0B52" w:rsidRPr="00207DD5">
        <w:t> </w:t>
      </w:r>
      <w:r w:rsidRPr="00207DD5">
        <w:t>billion over the two years to 2026</w:t>
      </w:r>
      <w:r w:rsidR="009E13B5" w:rsidRPr="00207DD5">
        <w:t>–</w:t>
      </w:r>
      <w:r w:rsidRPr="00207DD5">
        <w:t>27 through a reduction in Fuel Tax Credits. This measure is also expected to decrease receipts by $3.8</w:t>
      </w:r>
      <w:r w:rsidR="00675EE0" w:rsidRPr="00207DD5">
        <w:t> </w:t>
      </w:r>
      <w:r w:rsidRPr="00207DD5">
        <w:t xml:space="preserve">billion over the same period. </w:t>
      </w:r>
    </w:p>
    <w:p w14:paraId="2D65F88C" w14:textId="5FF3BB24" w:rsidR="00C54489" w:rsidRPr="00207DD5" w:rsidRDefault="00C54489" w:rsidP="009B6215">
      <w:pPr>
        <w:pStyle w:val="Bullet"/>
      </w:pPr>
      <w:r w:rsidRPr="00207DD5">
        <w:t>reforming Australian science and research and development capabilities</w:t>
      </w:r>
      <w:r w:rsidR="00E77FEB" w:rsidRPr="00207DD5">
        <w:t>,</w:t>
      </w:r>
      <w:r w:rsidRPr="00207DD5">
        <w:t xml:space="preserve"> including by returning uncommitted funding from the Australia</w:t>
      </w:r>
      <w:r w:rsidR="009F0B52" w:rsidRPr="00207DD5">
        <w:t>’</w:t>
      </w:r>
      <w:r w:rsidRPr="00207DD5">
        <w:t>s Economic Accelerator program, which is expected to decrease payments by $759.9</w:t>
      </w:r>
      <w:r w:rsidR="009F0B52" w:rsidRPr="00207DD5">
        <w:t> </w:t>
      </w:r>
      <w:r w:rsidRPr="00207DD5">
        <w:t>million over the five years to 2029</w:t>
      </w:r>
      <w:r w:rsidR="00AF3508" w:rsidRPr="00207DD5">
        <w:t>–</w:t>
      </w:r>
      <w:r w:rsidRPr="00207DD5">
        <w:t>30.</w:t>
      </w:r>
    </w:p>
    <w:p w14:paraId="3BFCECB3" w14:textId="01C3CA8E" w:rsidR="00C54489" w:rsidRPr="00207DD5" w:rsidRDefault="00C54489" w:rsidP="009B6215">
      <w:pPr>
        <w:pStyle w:val="Bullet"/>
      </w:pPr>
      <w:r w:rsidRPr="00207DD5">
        <w:lastRenderedPageBreak/>
        <w:t>identifying savings from across the Climate Change, Energy, the Environment and Water portfolio, which is expected to decrease payments by $727.0</w:t>
      </w:r>
      <w:r w:rsidR="009F0B52" w:rsidRPr="00207DD5">
        <w:t> </w:t>
      </w:r>
      <w:r w:rsidRPr="00207DD5">
        <w:t>million over the five</w:t>
      </w:r>
      <w:r w:rsidR="00444D2B" w:rsidRPr="00207DD5">
        <w:t> </w:t>
      </w:r>
      <w:r w:rsidRPr="00207DD5">
        <w:t>years to 2029</w:t>
      </w:r>
      <w:r w:rsidR="008D36C4" w:rsidRPr="00207DD5">
        <w:t>–</w:t>
      </w:r>
      <w:r w:rsidRPr="00207DD5">
        <w:t>30, to be redirected to other Government policy priorities within the portfolio.</w:t>
      </w:r>
    </w:p>
    <w:p w14:paraId="40C667E7" w14:textId="139555B7" w:rsidR="005D1BE1" w:rsidRPr="00207DD5" w:rsidRDefault="00C54489" w:rsidP="00E46471">
      <w:pPr>
        <w:pStyle w:val="Bullet"/>
        <w:rPr>
          <w:rFonts w:ascii="Arial Bold" w:hAnsi="Arial Bold"/>
          <w:b/>
          <w:sz w:val="20"/>
        </w:rPr>
      </w:pPr>
      <w:r w:rsidRPr="00207DD5">
        <w:t xml:space="preserve">better targeting of services for veterans and their families, which is expected to decrease payments </w:t>
      </w:r>
      <w:r w:rsidR="008A79B6" w:rsidRPr="00207DD5">
        <w:t xml:space="preserve">to providers </w:t>
      </w:r>
      <w:r w:rsidRPr="00207DD5">
        <w:t>by $606.6</w:t>
      </w:r>
      <w:r w:rsidR="009F0B52" w:rsidRPr="00207DD5">
        <w:t> </w:t>
      </w:r>
      <w:r w:rsidRPr="00207DD5">
        <w:t>million over the five years to 2029</w:t>
      </w:r>
      <w:r w:rsidR="00600928" w:rsidRPr="00207DD5">
        <w:t>–</w:t>
      </w:r>
      <w:r w:rsidRPr="00207DD5">
        <w:t>30.</w:t>
      </w:r>
    </w:p>
    <w:p w14:paraId="1D0189A8" w14:textId="080AFC5C" w:rsidR="00196033" w:rsidRPr="00207DD5" w:rsidRDefault="00196033" w:rsidP="00196033">
      <w:pPr>
        <w:pStyle w:val="Heading4"/>
        <w:spacing w:after="240"/>
      </w:pPr>
      <w:r w:rsidRPr="00207DD5">
        <w:t>Payment parameter and other variations over the forward estimates</w:t>
      </w:r>
    </w:p>
    <w:p w14:paraId="67D585E2" w14:textId="5AC8B285" w:rsidR="000D3068" w:rsidRPr="00207DD5" w:rsidRDefault="000D3068" w:rsidP="000D3068">
      <w:r w:rsidRPr="00207DD5">
        <w:t>Parameter and other variations since MYEFO have decreased payments by $</w:t>
      </w:r>
      <w:r w:rsidR="00FA2CB3" w:rsidRPr="00207DD5">
        <w:t>0.2</w:t>
      </w:r>
      <w:r w:rsidR="009F0B52" w:rsidRPr="00207DD5">
        <w:t> </w:t>
      </w:r>
      <w:r w:rsidRPr="00207DD5">
        <w:t xml:space="preserve">billion in 2025–26, </w:t>
      </w:r>
      <w:r w:rsidR="008064C1" w:rsidRPr="00207DD5">
        <w:t xml:space="preserve">but </w:t>
      </w:r>
      <w:r w:rsidRPr="00207DD5">
        <w:t>increased payments by $</w:t>
      </w:r>
      <w:r w:rsidR="00BC40EC" w:rsidRPr="00207DD5">
        <w:t>9.</w:t>
      </w:r>
      <w:r w:rsidR="00FB19B4" w:rsidRPr="00207DD5">
        <w:t>6</w:t>
      </w:r>
      <w:r w:rsidR="009F0B52" w:rsidRPr="00207DD5">
        <w:t> </w:t>
      </w:r>
      <w:r w:rsidRPr="00207DD5">
        <w:t xml:space="preserve">billion in 2026–27 and </w:t>
      </w:r>
      <w:r w:rsidR="00672264" w:rsidRPr="00207DD5">
        <w:t>by</w:t>
      </w:r>
      <w:r w:rsidRPr="00207DD5">
        <w:t xml:space="preserve"> $</w:t>
      </w:r>
      <w:r w:rsidR="008064C1" w:rsidRPr="00207DD5">
        <w:t>4.</w:t>
      </w:r>
      <w:r w:rsidR="00D1027A" w:rsidRPr="00207DD5">
        <w:t>5</w:t>
      </w:r>
      <w:r w:rsidR="009F0B52" w:rsidRPr="00207DD5">
        <w:t> </w:t>
      </w:r>
      <w:r w:rsidRPr="00207DD5">
        <w:t>billion</w:t>
      </w:r>
      <w:r w:rsidR="00AE3937" w:rsidRPr="00207DD5">
        <w:t xml:space="preserve"> </w:t>
      </w:r>
      <w:r w:rsidRPr="00207DD5">
        <w:t xml:space="preserve">over </w:t>
      </w:r>
      <w:r w:rsidR="0086616B" w:rsidRPr="00207DD5">
        <w:t>the</w:t>
      </w:r>
      <w:r w:rsidRPr="00207DD5">
        <w:t xml:space="preserve"> five</w:t>
      </w:r>
      <w:r w:rsidR="0086616B" w:rsidRPr="00207DD5">
        <w:t> </w:t>
      </w:r>
      <w:r w:rsidRPr="00207DD5">
        <w:t xml:space="preserve">years to 2029–30. </w:t>
      </w:r>
    </w:p>
    <w:p w14:paraId="2BF32F6D" w14:textId="25F172F9" w:rsidR="00A468FA" w:rsidRPr="00207DD5" w:rsidRDefault="00196033" w:rsidP="00196033">
      <w:r w:rsidRPr="00207DD5">
        <w:t xml:space="preserve">This is primarily driven by </w:t>
      </w:r>
      <w:r w:rsidR="00A468FA" w:rsidRPr="00207DD5">
        <w:t>higher estimated payments related to the NDIS and Financial Support for People with Disability program along with higher GST payments to the states and territories. These are partially offset by the drawdown of provisions for policy decisions announced in the 2026</w:t>
      </w:r>
      <w:r w:rsidR="00496AB1" w:rsidRPr="00207DD5">
        <w:t>–</w:t>
      </w:r>
      <w:r w:rsidR="00A468FA" w:rsidRPr="00207DD5">
        <w:t>27 Budget and lower estimated payments for road and rail transport projects under the Infrastructure Investment Program.</w:t>
      </w:r>
      <w:r w:rsidR="00A468FA" w:rsidRPr="00207DD5" w:rsidDel="00A468FA">
        <w:t xml:space="preserve"> </w:t>
      </w:r>
    </w:p>
    <w:p w14:paraId="2E18846E" w14:textId="2151D527" w:rsidR="00196033" w:rsidRPr="00207DD5" w:rsidRDefault="00196033" w:rsidP="00196033">
      <w:r w:rsidRPr="00207DD5">
        <w:t xml:space="preserve">Major </w:t>
      </w:r>
      <w:r w:rsidR="002B3DE2" w:rsidRPr="00207DD5">
        <w:t>increases</w:t>
      </w:r>
      <w:r w:rsidRPr="00207DD5">
        <w:t xml:space="preserve"> in payments from parameter and other variations since MYEFO include:</w:t>
      </w:r>
    </w:p>
    <w:p w14:paraId="28F72DAB" w14:textId="7C24FA3D" w:rsidR="00886827" w:rsidRPr="00207DD5" w:rsidRDefault="00886827" w:rsidP="003F3A0D">
      <w:pPr>
        <w:pStyle w:val="Bullet"/>
        <w:tabs>
          <w:tab w:val="left" w:pos="1134"/>
        </w:tabs>
      </w:pPr>
      <w:r w:rsidRPr="00207DD5">
        <w:t>payments related to the NDIS, which would have been expected to increase by $1.8</w:t>
      </w:r>
      <w:r w:rsidR="00603B5D" w:rsidRPr="00207DD5">
        <w:t> </w:t>
      </w:r>
      <w:r w:rsidRPr="00207DD5">
        <w:t>billion in 2026</w:t>
      </w:r>
      <w:r w:rsidR="009C499D" w:rsidRPr="00207DD5">
        <w:t>–</w:t>
      </w:r>
      <w:r w:rsidRPr="00207DD5">
        <w:t>27 and $13.9</w:t>
      </w:r>
      <w:r w:rsidR="009F0B52" w:rsidRPr="00207DD5">
        <w:t> </w:t>
      </w:r>
      <w:r w:rsidRPr="00207DD5">
        <w:t>billion over the five years to 2029</w:t>
      </w:r>
      <w:r w:rsidR="0099096C" w:rsidRPr="00207DD5">
        <w:t>–</w:t>
      </w:r>
      <w:r w:rsidRPr="00207DD5">
        <w:t>30, largely reflecting higher</w:t>
      </w:r>
      <w:r w:rsidR="009F0B52" w:rsidRPr="00207DD5">
        <w:noBreakHyphen/>
      </w:r>
      <w:r w:rsidRPr="00207DD5">
        <w:t>than</w:t>
      </w:r>
      <w:r w:rsidR="009F0B52" w:rsidRPr="00207DD5">
        <w:noBreakHyphen/>
      </w:r>
      <w:r w:rsidRPr="00207DD5">
        <w:t>expected participant numbers and payment rates than those modelled by the NDIS Actuary and delays to the commencement of the New Framework Planning from 1 July 2026 to 1 April 2027. This variation has been more than offset by the Government</w:t>
      </w:r>
      <w:r w:rsidR="009F0B52" w:rsidRPr="00207DD5">
        <w:t>’</w:t>
      </w:r>
      <w:r w:rsidRPr="00207DD5">
        <w:t>s reforms under the 2026</w:t>
      </w:r>
      <w:r w:rsidR="00496AB1" w:rsidRPr="00207DD5">
        <w:t>–</w:t>
      </w:r>
      <w:r w:rsidRPr="00207DD5">
        <w:t xml:space="preserve">27 Budget measure </w:t>
      </w:r>
      <w:r w:rsidRPr="00207DD5">
        <w:rPr>
          <w:i/>
        </w:rPr>
        <w:t>Securing the National Disability Insurance Scheme for future generations</w:t>
      </w:r>
      <w:r w:rsidRPr="00207DD5">
        <w:t>, which are expected to reduce growth in NDIS payments by $37.8</w:t>
      </w:r>
      <w:r w:rsidR="009F0B52" w:rsidRPr="00207DD5">
        <w:t> </w:t>
      </w:r>
      <w:r w:rsidRPr="00207DD5">
        <w:t>billion relative to the NDIS Actuary</w:t>
      </w:r>
      <w:r w:rsidR="009F0B52" w:rsidRPr="00207DD5">
        <w:t>’</w:t>
      </w:r>
      <w:r w:rsidRPr="00207DD5">
        <w:t xml:space="preserve">s projections. </w:t>
      </w:r>
    </w:p>
    <w:p w14:paraId="2D9FC34D" w14:textId="697AB37D" w:rsidR="00886827" w:rsidRPr="00207DD5" w:rsidRDefault="00886827" w:rsidP="00805AED">
      <w:pPr>
        <w:pStyle w:val="Bullet"/>
      </w:pPr>
      <w:r w:rsidRPr="00207DD5">
        <w:t>payments related to the Financial Support for People with Disability program, which are expected to increase by $867.5</w:t>
      </w:r>
      <w:r w:rsidR="009F0B52" w:rsidRPr="00207DD5">
        <w:t> </w:t>
      </w:r>
      <w:r w:rsidRPr="00207DD5">
        <w:t>million in 2026</w:t>
      </w:r>
      <w:r w:rsidR="00496AB1" w:rsidRPr="00207DD5">
        <w:t>–</w:t>
      </w:r>
      <w:r w:rsidRPr="00207DD5">
        <w:t>27 and $4.4</w:t>
      </w:r>
      <w:r w:rsidR="009F0B52" w:rsidRPr="00207DD5">
        <w:t> </w:t>
      </w:r>
      <w:r w:rsidRPr="00207DD5">
        <w:t>billion over the five years to 2029</w:t>
      </w:r>
      <w:r w:rsidR="003F3A0D" w:rsidRPr="00207DD5">
        <w:t>–</w:t>
      </w:r>
      <w:r w:rsidRPr="00207DD5">
        <w:t>30, largely reflecting high</w:t>
      </w:r>
      <w:r w:rsidR="005F297C" w:rsidRPr="00207DD5">
        <w:t>er</w:t>
      </w:r>
      <w:r w:rsidR="009F0B52" w:rsidRPr="00207DD5">
        <w:noBreakHyphen/>
      </w:r>
      <w:r w:rsidRPr="00207DD5">
        <w:t>than</w:t>
      </w:r>
      <w:r w:rsidR="009F0B52" w:rsidRPr="00207DD5">
        <w:noBreakHyphen/>
      </w:r>
      <w:r w:rsidRPr="00207DD5">
        <w:t xml:space="preserve">expected </w:t>
      </w:r>
      <w:r w:rsidR="008108C0" w:rsidRPr="00207DD5">
        <w:t xml:space="preserve">indexation rates, </w:t>
      </w:r>
      <w:r w:rsidRPr="00207DD5">
        <w:t xml:space="preserve">recipient numbers, </w:t>
      </w:r>
      <w:r w:rsidR="008108C0" w:rsidRPr="00207DD5">
        <w:t>and</w:t>
      </w:r>
      <w:r w:rsidRPr="00207DD5">
        <w:t xml:space="preserve"> average payment rates.</w:t>
      </w:r>
    </w:p>
    <w:p w14:paraId="65143411" w14:textId="28719F4C" w:rsidR="00886827" w:rsidRPr="00207DD5" w:rsidRDefault="00886827" w:rsidP="00805AED">
      <w:pPr>
        <w:pStyle w:val="Bullet"/>
      </w:pPr>
      <w:r w:rsidRPr="00207DD5">
        <w:t>GST</w:t>
      </w:r>
      <w:r w:rsidR="009F0B52" w:rsidRPr="00207DD5">
        <w:noBreakHyphen/>
      </w:r>
      <w:r w:rsidRPr="00207DD5">
        <w:t>related payments to the states and territories, which are expected to increase by $1.7</w:t>
      </w:r>
      <w:r w:rsidR="009F0B52" w:rsidRPr="00207DD5">
        <w:t> </w:t>
      </w:r>
      <w:r w:rsidRPr="00207DD5">
        <w:t>billion in 2026</w:t>
      </w:r>
      <w:r w:rsidR="00496AB1" w:rsidRPr="00207DD5">
        <w:t>–</w:t>
      </w:r>
      <w:r w:rsidRPr="00207DD5">
        <w:t>27 and $4.2</w:t>
      </w:r>
      <w:r w:rsidR="009F0B52" w:rsidRPr="00207DD5">
        <w:t> </w:t>
      </w:r>
      <w:r w:rsidRPr="00207DD5">
        <w:t>billion over the five years to 2029</w:t>
      </w:r>
      <w:r w:rsidR="00496AB1" w:rsidRPr="00207DD5">
        <w:t>–</w:t>
      </w:r>
      <w:r w:rsidRPr="00207DD5">
        <w:t>30, and are offset by an increase in GST receipts.</w:t>
      </w:r>
    </w:p>
    <w:p w14:paraId="531E5ADF" w14:textId="747045F9" w:rsidR="00886827" w:rsidRPr="00207DD5" w:rsidRDefault="00886827" w:rsidP="00805AED">
      <w:pPr>
        <w:pStyle w:val="Bullet"/>
      </w:pPr>
      <w:r w:rsidRPr="00207DD5">
        <w:t xml:space="preserve">payments related to the </w:t>
      </w:r>
      <w:proofErr w:type="spellStart"/>
      <w:r w:rsidRPr="00207DD5">
        <w:t>JobSeeker</w:t>
      </w:r>
      <w:proofErr w:type="spellEnd"/>
      <w:r w:rsidRPr="00207DD5">
        <w:t xml:space="preserve"> Income Support program, which are expected to increase by $941.4</w:t>
      </w:r>
      <w:r w:rsidR="009F0B52" w:rsidRPr="00207DD5">
        <w:t> </w:t>
      </w:r>
      <w:r w:rsidRPr="00207DD5">
        <w:t>million in 2026</w:t>
      </w:r>
      <w:r w:rsidR="008D2E50" w:rsidRPr="00207DD5">
        <w:t>–</w:t>
      </w:r>
      <w:r w:rsidRPr="00207DD5">
        <w:t>27 and $3.2</w:t>
      </w:r>
      <w:r w:rsidR="009F0B52" w:rsidRPr="00207DD5">
        <w:t> </w:t>
      </w:r>
      <w:r w:rsidRPr="00207DD5">
        <w:t>billion over the five years to 2029</w:t>
      </w:r>
      <w:r w:rsidR="00617AD0" w:rsidRPr="00207DD5">
        <w:t>–</w:t>
      </w:r>
      <w:r w:rsidRPr="00207DD5">
        <w:t>30, largely reflecting higher</w:t>
      </w:r>
      <w:r w:rsidR="009F0B52" w:rsidRPr="00207DD5">
        <w:noBreakHyphen/>
      </w:r>
      <w:r w:rsidRPr="00207DD5">
        <w:t>than</w:t>
      </w:r>
      <w:r w:rsidR="009F0B52" w:rsidRPr="00207DD5">
        <w:noBreakHyphen/>
      </w:r>
      <w:r w:rsidRPr="00207DD5">
        <w:t xml:space="preserve">expected </w:t>
      </w:r>
      <w:r w:rsidR="006808B8" w:rsidRPr="00207DD5">
        <w:t xml:space="preserve">indexation rates, </w:t>
      </w:r>
      <w:r w:rsidRPr="00207DD5">
        <w:t>recipient numbers, and average payment rates.</w:t>
      </w:r>
    </w:p>
    <w:p w14:paraId="6241D30E" w14:textId="77777777" w:rsidR="005E05A5" w:rsidRPr="00207DD5" w:rsidRDefault="005E05A5">
      <w:pPr>
        <w:spacing w:before="0" w:after="160" w:line="259" w:lineRule="auto"/>
      </w:pPr>
      <w:r w:rsidRPr="00207DD5">
        <w:br w:type="page"/>
      </w:r>
    </w:p>
    <w:p w14:paraId="4E911007" w14:textId="13D67D9B" w:rsidR="00886827" w:rsidRPr="00207DD5" w:rsidRDefault="00886827" w:rsidP="00805AED">
      <w:pPr>
        <w:pStyle w:val="Bullet"/>
      </w:pPr>
      <w:r w:rsidRPr="00207DD5">
        <w:lastRenderedPageBreak/>
        <w:t>payments related to the National Partnership Payments</w:t>
      </w:r>
      <w:r w:rsidR="00141271" w:rsidRPr="00207DD5">
        <w:t>—</w:t>
      </w:r>
      <w:r w:rsidRPr="00207DD5">
        <w:t>Natural Disaster Relief program, which are expected to increase by $458.4</w:t>
      </w:r>
      <w:r w:rsidR="009F0B52" w:rsidRPr="00207DD5">
        <w:t> </w:t>
      </w:r>
      <w:r w:rsidRPr="00207DD5">
        <w:t>million in 2026</w:t>
      </w:r>
      <w:r w:rsidR="00562FD4" w:rsidRPr="00207DD5">
        <w:t>–</w:t>
      </w:r>
      <w:r w:rsidRPr="00207DD5">
        <w:t>27 and $2.5</w:t>
      </w:r>
      <w:r w:rsidR="009F0B52" w:rsidRPr="00207DD5">
        <w:t> </w:t>
      </w:r>
      <w:r w:rsidRPr="00207DD5">
        <w:t>billion over the five years to 2029</w:t>
      </w:r>
      <w:r w:rsidR="00E96706" w:rsidRPr="00207DD5">
        <w:t>–</w:t>
      </w:r>
      <w:r w:rsidRPr="00207DD5">
        <w:t>30, largely reflecting updated estimates for future expenditure on past disaster events.</w:t>
      </w:r>
    </w:p>
    <w:p w14:paraId="2E20AF6A" w14:textId="5C7A0E24" w:rsidR="00886827" w:rsidRPr="00207DD5" w:rsidRDefault="00886827" w:rsidP="00085D51">
      <w:pPr>
        <w:pStyle w:val="Bullet"/>
      </w:pPr>
      <w:r w:rsidRPr="00207DD5">
        <w:t>payments related to non</w:t>
      </w:r>
      <w:r w:rsidR="009F0B52" w:rsidRPr="00207DD5">
        <w:noBreakHyphen/>
      </w:r>
      <w:r w:rsidRPr="00207DD5">
        <w:t>government schools, which are expected to increase by $270.1</w:t>
      </w:r>
      <w:r w:rsidR="008A15BD" w:rsidRPr="00207DD5">
        <w:t> </w:t>
      </w:r>
      <w:r w:rsidRPr="00207DD5">
        <w:t>million in 2026</w:t>
      </w:r>
      <w:r w:rsidR="002111CB" w:rsidRPr="00207DD5">
        <w:t>–</w:t>
      </w:r>
      <w:r w:rsidRPr="00207DD5">
        <w:t>27 and $2.3</w:t>
      </w:r>
      <w:r w:rsidR="009F0B52" w:rsidRPr="00207DD5">
        <w:t> </w:t>
      </w:r>
      <w:r w:rsidRPr="00207DD5">
        <w:t>billion over the five years to 2029</w:t>
      </w:r>
      <w:r w:rsidR="00821022" w:rsidRPr="00207DD5">
        <w:t>–</w:t>
      </w:r>
      <w:r w:rsidRPr="00207DD5">
        <w:t>30, largely reflecting an increase in non</w:t>
      </w:r>
      <w:r w:rsidR="009F0B52" w:rsidRPr="00207DD5">
        <w:noBreakHyphen/>
      </w:r>
      <w:r w:rsidRPr="00207DD5">
        <w:t>government school enrolments, and an increase in the number of students with a disability eligible to attract a higher level of funding.</w:t>
      </w:r>
      <w:r w:rsidR="007255AD" w:rsidRPr="00207DD5">
        <w:t xml:space="preserve"> The Government is increasing compliance activities to safeguard Australia’s investment in schooling, including mechanisms protecting the integrity of the students with a disability loading to ensure funding is directed based on need, and introducing controls to reduce inaccurate claiming.</w:t>
      </w:r>
    </w:p>
    <w:p w14:paraId="36F64B4D" w14:textId="35982AD2" w:rsidR="00886827" w:rsidRPr="00207DD5" w:rsidRDefault="00886827" w:rsidP="00085D51">
      <w:pPr>
        <w:pStyle w:val="Bullet"/>
      </w:pPr>
      <w:r w:rsidRPr="00207DD5">
        <w:t xml:space="preserve">payments related to the </w:t>
      </w:r>
      <w:r w:rsidR="00C21C6E" w:rsidRPr="00207DD5">
        <w:t>Financial</w:t>
      </w:r>
      <w:r w:rsidRPr="00207DD5">
        <w:t xml:space="preserve"> Support for Carers program, which are expected to increase by $286.4</w:t>
      </w:r>
      <w:r w:rsidR="009F0B52" w:rsidRPr="00207DD5">
        <w:t> </w:t>
      </w:r>
      <w:r w:rsidRPr="00207DD5">
        <w:t>million in 2026</w:t>
      </w:r>
      <w:r w:rsidR="009F4922" w:rsidRPr="00207DD5">
        <w:t>–</w:t>
      </w:r>
      <w:r w:rsidRPr="00207DD5">
        <w:t>27 and $1.5</w:t>
      </w:r>
      <w:r w:rsidR="009F0B52" w:rsidRPr="00207DD5">
        <w:t> </w:t>
      </w:r>
      <w:r w:rsidRPr="00207DD5">
        <w:t>billion over five years to 2029</w:t>
      </w:r>
      <w:r w:rsidR="009F4922" w:rsidRPr="00207DD5">
        <w:t>–</w:t>
      </w:r>
      <w:r w:rsidRPr="00207DD5">
        <w:t>30, largely reflecting higher</w:t>
      </w:r>
      <w:r w:rsidR="009F0B52" w:rsidRPr="00207DD5">
        <w:noBreakHyphen/>
      </w:r>
      <w:r w:rsidRPr="00207DD5">
        <w:t>than</w:t>
      </w:r>
      <w:r w:rsidR="009F0B52" w:rsidRPr="00207DD5">
        <w:noBreakHyphen/>
      </w:r>
      <w:r w:rsidRPr="00207DD5">
        <w:t xml:space="preserve">expected </w:t>
      </w:r>
      <w:r w:rsidR="00BF40CF" w:rsidRPr="00207DD5">
        <w:t>indexation rates,</w:t>
      </w:r>
      <w:r w:rsidRPr="00207DD5">
        <w:t xml:space="preserve"> average payment rates and recipient numbers. </w:t>
      </w:r>
    </w:p>
    <w:p w14:paraId="21B3A1FD" w14:textId="05F78D3D" w:rsidR="00886827" w:rsidRPr="00207DD5" w:rsidRDefault="00886827" w:rsidP="00085D51">
      <w:pPr>
        <w:pStyle w:val="Bullet"/>
      </w:pPr>
      <w:r w:rsidRPr="00207DD5">
        <w:t>payments related to the Support for Seniors program, which are expected to increase by $388.5</w:t>
      </w:r>
      <w:r w:rsidR="009F0B52" w:rsidRPr="00207DD5">
        <w:t> </w:t>
      </w:r>
      <w:r w:rsidRPr="00207DD5">
        <w:t>million in 2026</w:t>
      </w:r>
      <w:r w:rsidR="00212214" w:rsidRPr="00207DD5">
        <w:t>–</w:t>
      </w:r>
      <w:r w:rsidRPr="00207DD5">
        <w:t>27 and $1.5</w:t>
      </w:r>
      <w:r w:rsidR="009F0B52" w:rsidRPr="00207DD5">
        <w:t> </w:t>
      </w:r>
      <w:r w:rsidRPr="00207DD5">
        <w:t>billion over five years to 2029</w:t>
      </w:r>
      <w:r w:rsidR="00212214" w:rsidRPr="00207DD5">
        <w:t>–</w:t>
      </w:r>
      <w:r w:rsidRPr="00207DD5">
        <w:t>30, largely reflecting higher</w:t>
      </w:r>
      <w:r w:rsidR="009F0B52" w:rsidRPr="00207DD5">
        <w:noBreakHyphen/>
      </w:r>
      <w:r w:rsidRPr="00207DD5">
        <w:t>than</w:t>
      </w:r>
      <w:r w:rsidR="009F0B52" w:rsidRPr="00207DD5">
        <w:noBreakHyphen/>
      </w:r>
      <w:r w:rsidRPr="00207DD5">
        <w:t xml:space="preserve">expected indexation rates, partially offset by </w:t>
      </w:r>
      <w:r w:rsidR="002A2739" w:rsidRPr="00207DD5">
        <w:t>future expected</w:t>
      </w:r>
      <w:r w:rsidRPr="00207DD5">
        <w:t xml:space="preserve"> changes to social security deeming rates. </w:t>
      </w:r>
    </w:p>
    <w:p w14:paraId="035A38A9" w14:textId="328763E0" w:rsidR="00886827" w:rsidRPr="00207DD5" w:rsidRDefault="00886827" w:rsidP="00085D51">
      <w:pPr>
        <w:pStyle w:val="Bullet"/>
      </w:pPr>
      <w:r w:rsidRPr="00207DD5">
        <w:t>payments related to the Military Rehabilitation Compensation Acts</w:t>
      </w:r>
      <w:r w:rsidR="00290274" w:rsidRPr="00207DD5">
        <w:t>—</w:t>
      </w:r>
      <w:r w:rsidRPr="00207DD5">
        <w:t>Income Support and Compensation program, which are expected to increase by $47.9</w:t>
      </w:r>
      <w:r w:rsidR="009F0B52" w:rsidRPr="00207DD5">
        <w:t> </w:t>
      </w:r>
      <w:r w:rsidRPr="00207DD5">
        <w:t>million in 2026</w:t>
      </w:r>
      <w:r w:rsidR="00C05C32" w:rsidRPr="00207DD5">
        <w:t>–</w:t>
      </w:r>
      <w:r w:rsidRPr="00207DD5">
        <w:t>27 and $813.2</w:t>
      </w:r>
      <w:r w:rsidR="009F0B52" w:rsidRPr="00207DD5">
        <w:t> </w:t>
      </w:r>
      <w:r w:rsidRPr="00207DD5">
        <w:t>million over the five years to 2029</w:t>
      </w:r>
      <w:r w:rsidR="00175CC9" w:rsidRPr="00207DD5">
        <w:t>–</w:t>
      </w:r>
      <w:r w:rsidRPr="00207DD5">
        <w:t>30, largely reflecting increases in the number of eligible veterans and average payment sizes.</w:t>
      </w:r>
    </w:p>
    <w:p w14:paraId="373C6564" w14:textId="024E829C" w:rsidR="00886827" w:rsidRPr="00207DD5" w:rsidRDefault="00886827" w:rsidP="00085D51">
      <w:pPr>
        <w:pStyle w:val="Bullet"/>
      </w:pPr>
      <w:r w:rsidRPr="00207DD5">
        <w:t>payments related to the Child Care Subsidy program, which are expected to decrease by $300.8</w:t>
      </w:r>
      <w:r w:rsidR="009F0B52" w:rsidRPr="00207DD5">
        <w:t> </w:t>
      </w:r>
      <w:r w:rsidRPr="00207DD5">
        <w:t>million in 2026</w:t>
      </w:r>
      <w:r w:rsidR="00B6605A" w:rsidRPr="00207DD5">
        <w:t>–</w:t>
      </w:r>
      <w:r w:rsidRPr="00207DD5">
        <w:t>27 and increase by $805.3</w:t>
      </w:r>
      <w:r w:rsidR="009F0B52" w:rsidRPr="00207DD5">
        <w:t> </w:t>
      </w:r>
      <w:r w:rsidRPr="00207DD5">
        <w:t>million over the five years to 2029</w:t>
      </w:r>
      <w:r w:rsidR="00D85FC8" w:rsidRPr="00207DD5">
        <w:t>–</w:t>
      </w:r>
      <w:r w:rsidRPr="00207DD5">
        <w:t>30, largely reflecting increases to the cost of care due to the Fair Work Commission</w:t>
      </w:r>
      <w:r w:rsidR="009F0B52" w:rsidRPr="00207DD5">
        <w:t>’</w:t>
      </w:r>
      <w:r w:rsidRPr="00207DD5">
        <w:t>s Gender</w:t>
      </w:r>
      <w:r w:rsidR="009F0B52" w:rsidRPr="00207DD5">
        <w:noBreakHyphen/>
      </w:r>
      <w:r w:rsidRPr="00207DD5">
        <w:t>based undervaluation priority review decision and higher</w:t>
      </w:r>
      <w:r w:rsidR="009F0B52" w:rsidRPr="00207DD5">
        <w:noBreakHyphen/>
      </w:r>
      <w:r w:rsidRPr="00207DD5">
        <w:t>than</w:t>
      </w:r>
      <w:r w:rsidR="009F0B52" w:rsidRPr="00207DD5">
        <w:noBreakHyphen/>
      </w:r>
      <w:r w:rsidRPr="00207DD5">
        <w:t>expected indexation, and partially offset by lower</w:t>
      </w:r>
      <w:r w:rsidR="009F0B52" w:rsidRPr="00207DD5">
        <w:noBreakHyphen/>
      </w:r>
      <w:r w:rsidRPr="00207DD5">
        <w:t>than</w:t>
      </w:r>
      <w:r w:rsidR="009F0B52" w:rsidRPr="00207DD5">
        <w:noBreakHyphen/>
      </w:r>
      <w:r w:rsidRPr="00207DD5">
        <w:t xml:space="preserve">expected demand for early childhood education and care. </w:t>
      </w:r>
    </w:p>
    <w:p w14:paraId="230A776F" w14:textId="4CC06CDE" w:rsidR="00886827" w:rsidRPr="00207DD5" w:rsidRDefault="00886827" w:rsidP="00085D51">
      <w:pPr>
        <w:pStyle w:val="Bullet"/>
      </w:pPr>
      <w:r w:rsidRPr="00207DD5">
        <w:t>payments related to the Support for Families program, which are expected to increase by $123.9</w:t>
      </w:r>
      <w:r w:rsidR="009F0B52" w:rsidRPr="00207DD5">
        <w:t> </w:t>
      </w:r>
      <w:r w:rsidRPr="00207DD5">
        <w:t>million in 2026</w:t>
      </w:r>
      <w:r w:rsidR="00363CFA" w:rsidRPr="00207DD5">
        <w:t>–</w:t>
      </w:r>
      <w:r w:rsidRPr="00207DD5">
        <w:t>27 and $771.0</w:t>
      </w:r>
      <w:r w:rsidR="009F0B52" w:rsidRPr="00207DD5">
        <w:t> </w:t>
      </w:r>
      <w:r w:rsidRPr="00207DD5">
        <w:t>million over the five years to 2029</w:t>
      </w:r>
      <w:r w:rsidR="00B940FA" w:rsidRPr="00207DD5">
        <w:t>–</w:t>
      </w:r>
      <w:r w:rsidRPr="00207DD5">
        <w:t>30, largely reflecting higher</w:t>
      </w:r>
      <w:r w:rsidR="009F0B52" w:rsidRPr="00207DD5">
        <w:noBreakHyphen/>
      </w:r>
      <w:r w:rsidRPr="00207DD5">
        <w:t>than</w:t>
      </w:r>
      <w:r w:rsidR="009F0B52" w:rsidRPr="00207DD5">
        <w:noBreakHyphen/>
      </w:r>
      <w:r w:rsidRPr="00207DD5">
        <w:t>expected indexation rates.</w:t>
      </w:r>
    </w:p>
    <w:p w14:paraId="6394A973" w14:textId="4D31556C" w:rsidR="00886827" w:rsidRPr="00207DD5" w:rsidRDefault="00886827" w:rsidP="00085D51">
      <w:pPr>
        <w:pStyle w:val="Bullet"/>
      </w:pPr>
      <w:r w:rsidRPr="00207DD5">
        <w:t>payments related to the Pharmaceutical Benefits Scheme, which are expected to increase by $123.5</w:t>
      </w:r>
      <w:r w:rsidR="009F0B52" w:rsidRPr="00207DD5">
        <w:t> </w:t>
      </w:r>
      <w:r w:rsidRPr="00207DD5">
        <w:t>million in 2026</w:t>
      </w:r>
      <w:r w:rsidR="00530F77" w:rsidRPr="00207DD5">
        <w:t>–</w:t>
      </w:r>
      <w:r w:rsidRPr="00207DD5">
        <w:t>27 and $757.0</w:t>
      </w:r>
      <w:r w:rsidR="009F0B52" w:rsidRPr="00207DD5">
        <w:t> </w:t>
      </w:r>
      <w:r w:rsidRPr="00207DD5">
        <w:t>million over five years to 2029</w:t>
      </w:r>
      <w:r w:rsidR="003D7174" w:rsidRPr="00207DD5">
        <w:t>–</w:t>
      </w:r>
      <w:r w:rsidRPr="00207DD5">
        <w:t>30, largely reflecting updated pharmaceutical pricing assumptions and changes to predicted prescription volumes.</w:t>
      </w:r>
    </w:p>
    <w:p w14:paraId="7DDF14F8" w14:textId="798D4787" w:rsidR="00293BC1" w:rsidRPr="00207DD5" w:rsidRDefault="00293BC1" w:rsidP="00E46471">
      <w:pPr>
        <w:keepNext/>
      </w:pPr>
      <w:r w:rsidRPr="00207DD5">
        <w:lastRenderedPageBreak/>
        <w:t xml:space="preserve">Major </w:t>
      </w:r>
      <w:r w:rsidR="00886827" w:rsidRPr="00207DD5">
        <w:t xml:space="preserve">decreases </w:t>
      </w:r>
      <w:r w:rsidRPr="00207DD5">
        <w:t xml:space="preserve">in payments from parameter and other variations since MYEFO include: </w:t>
      </w:r>
    </w:p>
    <w:p w14:paraId="07FFD662" w14:textId="18A8E8D6" w:rsidR="008E27D2" w:rsidRPr="00207DD5" w:rsidRDefault="008E27D2" w:rsidP="00E46471">
      <w:pPr>
        <w:pStyle w:val="Bullet"/>
        <w:keepNext/>
      </w:pPr>
      <w:r w:rsidRPr="00207DD5">
        <w:t>the drawdown of provisions for policy decisions announced in the 2026</w:t>
      </w:r>
      <w:r w:rsidR="000E44AC" w:rsidRPr="00207DD5">
        <w:t>–</w:t>
      </w:r>
      <w:r w:rsidRPr="00207DD5">
        <w:t>27 Budget, including for the National Health Reform Agreement and Thriving Kids, which have decreased expected payments by $2.</w:t>
      </w:r>
      <w:r w:rsidR="00EA498E" w:rsidRPr="00207DD5">
        <w:t>9</w:t>
      </w:r>
      <w:r w:rsidR="009F0B52" w:rsidRPr="00207DD5">
        <w:t> </w:t>
      </w:r>
      <w:r w:rsidRPr="00207DD5">
        <w:t>billion in 2026</w:t>
      </w:r>
      <w:r w:rsidR="00496AB1" w:rsidRPr="00207DD5">
        <w:t>–</w:t>
      </w:r>
      <w:r w:rsidRPr="00207DD5">
        <w:t>27 and $17.</w:t>
      </w:r>
      <w:r w:rsidR="00EA498E" w:rsidRPr="00207DD5">
        <w:t>9</w:t>
      </w:r>
      <w:r w:rsidR="009F0B52" w:rsidRPr="00207DD5">
        <w:t> </w:t>
      </w:r>
      <w:r w:rsidRPr="00207DD5">
        <w:t>billion over the five</w:t>
      </w:r>
      <w:r w:rsidR="00E834B0" w:rsidRPr="00207DD5">
        <w:t> </w:t>
      </w:r>
      <w:r w:rsidRPr="00207DD5">
        <w:t>years to 2029</w:t>
      </w:r>
      <w:r w:rsidR="00497A77" w:rsidRPr="00207DD5">
        <w:t>–</w:t>
      </w:r>
      <w:r w:rsidRPr="00207DD5">
        <w:t xml:space="preserve">30. </w:t>
      </w:r>
    </w:p>
    <w:p w14:paraId="7CD01A8E" w14:textId="4D3A2EA1" w:rsidR="008E27D2" w:rsidRPr="00207DD5" w:rsidRDefault="008E27D2" w:rsidP="00F36EAA">
      <w:pPr>
        <w:pStyle w:val="Bullet"/>
      </w:pPr>
      <w:r w:rsidRPr="00207DD5">
        <w:t>payments related to road and rail transport projects under the Infrastructure Investment Program, which are expected to increase by $97.4</w:t>
      </w:r>
      <w:r w:rsidR="009F0B52" w:rsidRPr="00207DD5">
        <w:t> </w:t>
      </w:r>
      <w:r w:rsidRPr="00207DD5">
        <w:t>million in 2026</w:t>
      </w:r>
      <w:r w:rsidR="00A12B19" w:rsidRPr="00207DD5">
        <w:t>–</w:t>
      </w:r>
      <w:r w:rsidRPr="00207DD5">
        <w:t>27 and decrease by $5.8</w:t>
      </w:r>
      <w:r w:rsidR="009F0B52" w:rsidRPr="00207DD5">
        <w:t> </w:t>
      </w:r>
      <w:r w:rsidRPr="00207DD5">
        <w:t>billion over the five years to 2029</w:t>
      </w:r>
      <w:r w:rsidR="00D62A31" w:rsidRPr="00207DD5">
        <w:t>–</w:t>
      </w:r>
      <w:r w:rsidRPr="00207DD5">
        <w:t>30, largely reflecting revised project delivery schedules and the application of a general slippage adjustment</w:t>
      </w:r>
      <w:r w:rsidR="00421CC9" w:rsidRPr="00207DD5">
        <w:t>, with slippage a usual occurrence for large and complex capital infrastructure projects</w:t>
      </w:r>
      <w:r w:rsidRPr="00207DD5">
        <w:t xml:space="preserve">. The decrease is partially offset by </w:t>
      </w:r>
      <w:r w:rsidR="00421CC9" w:rsidRPr="00207DD5">
        <w:t>the Governm</w:t>
      </w:r>
      <w:r w:rsidR="00644E70" w:rsidRPr="00207DD5">
        <w:t xml:space="preserve">ent’s </w:t>
      </w:r>
      <w:r w:rsidRPr="00207DD5">
        <w:t xml:space="preserve">additional funding </w:t>
      </w:r>
      <w:r w:rsidR="00612579" w:rsidRPr="00207DD5">
        <w:t>for</w:t>
      </w:r>
      <w:r w:rsidR="00686406" w:rsidRPr="00207DD5">
        <w:t xml:space="preserve"> existing </w:t>
      </w:r>
      <w:r w:rsidRPr="00207DD5">
        <w:t xml:space="preserve">road and rail </w:t>
      </w:r>
      <w:r w:rsidR="00686406" w:rsidRPr="00207DD5">
        <w:t>priority projects</w:t>
      </w:r>
      <w:r w:rsidRPr="00207DD5">
        <w:t>.</w:t>
      </w:r>
    </w:p>
    <w:p w14:paraId="5697B930" w14:textId="57BCBDA4" w:rsidR="008E27D2" w:rsidRPr="00207DD5" w:rsidRDefault="008E27D2" w:rsidP="00F36EAA">
      <w:pPr>
        <w:pStyle w:val="Bullet"/>
      </w:pPr>
      <w:r w:rsidRPr="00207DD5">
        <w:t>payments related to the National Partnership Payments</w:t>
      </w:r>
      <w:r w:rsidR="0060058D" w:rsidRPr="00207DD5">
        <w:t>—</w:t>
      </w:r>
      <w:r w:rsidRPr="00207DD5">
        <w:t>Housing program, which are expected to increase by $137.9</w:t>
      </w:r>
      <w:r w:rsidR="009F0B52" w:rsidRPr="00207DD5">
        <w:t> </w:t>
      </w:r>
      <w:r w:rsidRPr="00207DD5">
        <w:t>million in 2026</w:t>
      </w:r>
      <w:r w:rsidR="006806C0" w:rsidRPr="00207DD5">
        <w:t>–</w:t>
      </w:r>
      <w:r w:rsidRPr="00207DD5">
        <w:t>27 and decrease by $2.3</w:t>
      </w:r>
      <w:r w:rsidR="009F0B52" w:rsidRPr="00207DD5">
        <w:t> </w:t>
      </w:r>
      <w:r w:rsidRPr="00207DD5">
        <w:t>billion over the five years to 2029</w:t>
      </w:r>
      <w:r w:rsidR="00AB5B84" w:rsidRPr="00207DD5">
        <w:t>–</w:t>
      </w:r>
      <w:r w:rsidRPr="00207DD5">
        <w:t xml:space="preserve">30, largely reflecting estimates of incentive payments to states </w:t>
      </w:r>
      <w:r w:rsidR="00A75DC5" w:rsidRPr="00207DD5">
        <w:t xml:space="preserve">who choose to </w:t>
      </w:r>
      <w:r w:rsidR="003E2B2A" w:rsidRPr="00207DD5">
        <w:t xml:space="preserve">sign up to and meet targets under </w:t>
      </w:r>
      <w:r w:rsidRPr="00207DD5">
        <w:t xml:space="preserve">the </w:t>
      </w:r>
      <w:r w:rsidR="003E2B2A" w:rsidRPr="00207DD5">
        <w:t>New Homes Bonus commitment</w:t>
      </w:r>
      <w:r w:rsidRPr="00207DD5">
        <w:t xml:space="preserve">. </w:t>
      </w:r>
    </w:p>
    <w:p w14:paraId="15A84D2B" w14:textId="50750EC6" w:rsidR="008E27D2" w:rsidRPr="00207DD5" w:rsidRDefault="008E27D2" w:rsidP="00F36EAA">
      <w:pPr>
        <w:pStyle w:val="Bullet"/>
      </w:pPr>
      <w:r w:rsidRPr="00207DD5">
        <w:t>payments related to Department of Defence programs, which are expected to decrease by $883.8</w:t>
      </w:r>
      <w:r w:rsidR="009F0B52" w:rsidRPr="00207DD5">
        <w:t> </w:t>
      </w:r>
      <w:r w:rsidRPr="00207DD5">
        <w:t>million in 2026</w:t>
      </w:r>
      <w:r w:rsidR="00496AB1" w:rsidRPr="00207DD5">
        <w:t>–</w:t>
      </w:r>
      <w:r w:rsidRPr="00207DD5">
        <w:t>27 and $2.2</w:t>
      </w:r>
      <w:r w:rsidR="009F0B52" w:rsidRPr="00207DD5">
        <w:t> </w:t>
      </w:r>
      <w:r w:rsidRPr="00207DD5">
        <w:t>billion over the five years to 2029</w:t>
      </w:r>
      <w:r w:rsidR="00496AB1" w:rsidRPr="00207DD5">
        <w:t>–</w:t>
      </w:r>
      <w:r w:rsidRPr="00207DD5">
        <w:t xml:space="preserve">30, largely reflecting movements in foreign exchange rates, partially offset by bringing forward </w:t>
      </w:r>
      <w:r w:rsidR="00D61CE8" w:rsidRPr="00207DD5">
        <w:t xml:space="preserve">funding </w:t>
      </w:r>
      <w:r w:rsidRPr="00207DD5">
        <w:t>into 2025</w:t>
      </w:r>
      <w:r w:rsidR="00496AB1" w:rsidRPr="00207DD5">
        <w:t>–</w:t>
      </w:r>
      <w:r w:rsidRPr="00207DD5">
        <w:t xml:space="preserve">26 from beyond the forward estimates. This variation has been more than offset </w:t>
      </w:r>
      <w:r w:rsidR="00D61CE8" w:rsidRPr="00207DD5">
        <w:t>by</w:t>
      </w:r>
      <w:r w:rsidRPr="00207DD5">
        <w:t xml:space="preserve"> the Government</w:t>
      </w:r>
      <w:r w:rsidR="009F0B52" w:rsidRPr="00207DD5">
        <w:t>’</w:t>
      </w:r>
      <w:r w:rsidRPr="00207DD5">
        <w:t>s commitment to additional Defence funding of $6.8</w:t>
      </w:r>
      <w:r w:rsidR="001F1E8B" w:rsidRPr="00207DD5">
        <w:t> </w:t>
      </w:r>
      <w:r w:rsidRPr="00207DD5">
        <w:t>billion over the five years to 2029</w:t>
      </w:r>
      <w:r w:rsidR="00E7758C" w:rsidRPr="00207DD5">
        <w:t>–</w:t>
      </w:r>
      <w:r w:rsidRPr="00207DD5">
        <w:t>30 under the 2026</w:t>
      </w:r>
      <w:r w:rsidR="00496AB1" w:rsidRPr="00207DD5">
        <w:t>–</w:t>
      </w:r>
      <w:r w:rsidRPr="00207DD5">
        <w:t xml:space="preserve">27 Budget measure </w:t>
      </w:r>
      <w:r w:rsidRPr="00207DD5">
        <w:rPr>
          <w:i/>
        </w:rPr>
        <w:t>2026</w:t>
      </w:r>
      <w:r w:rsidR="00D75832" w:rsidRPr="00207DD5">
        <w:rPr>
          <w:i/>
        </w:rPr>
        <w:t> </w:t>
      </w:r>
      <w:r w:rsidRPr="00207DD5">
        <w:rPr>
          <w:i/>
        </w:rPr>
        <w:t>National Defence Strategy and Integrated Investment Program</w:t>
      </w:r>
      <w:r w:rsidRPr="00207DD5">
        <w:t>.</w:t>
      </w:r>
    </w:p>
    <w:p w14:paraId="74A51F38" w14:textId="0E770E6A" w:rsidR="008E27D2" w:rsidRPr="00207DD5" w:rsidRDefault="008E27D2" w:rsidP="00F36EAA">
      <w:pPr>
        <w:pStyle w:val="Bullet"/>
      </w:pPr>
      <w:r w:rsidRPr="00207DD5">
        <w:t>payments related to the Hydrogen Production Tax Incentive, which are expected to decrease by $1.9</w:t>
      </w:r>
      <w:r w:rsidR="009F0B52" w:rsidRPr="00207DD5">
        <w:t> </w:t>
      </w:r>
      <w:r w:rsidRPr="00207DD5">
        <w:t>billion over the five years to 2029</w:t>
      </w:r>
      <w:r w:rsidR="00496AB1" w:rsidRPr="00207DD5">
        <w:t>–</w:t>
      </w:r>
      <w:r w:rsidRPr="00207DD5">
        <w:t>30, largely reflecting lower</w:t>
      </w:r>
      <w:r w:rsidR="009F0B52" w:rsidRPr="00207DD5">
        <w:noBreakHyphen/>
      </w:r>
      <w:r w:rsidRPr="00207DD5">
        <w:t>than</w:t>
      </w:r>
      <w:r w:rsidR="009F0B52" w:rsidRPr="00207DD5">
        <w:noBreakHyphen/>
      </w:r>
      <w:r w:rsidRPr="00207DD5">
        <w:t>expected production forecasts from the renewable hydrogen industry.</w:t>
      </w:r>
    </w:p>
    <w:p w14:paraId="7DAB94D0" w14:textId="00C57849" w:rsidR="008E27D2" w:rsidRPr="00207DD5" w:rsidRDefault="008E27D2" w:rsidP="00F36EAA">
      <w:pPr>
        <w:pStyle w:val="Bullet"/>
      </w:pPr>
      <w:r w:rsidRPr="00207DD5">
        <w:t>payments related to Commonwealth debt management, which are expected to increase by $17.5</w:t>
      </w:r>
      <w:r w:rsidR="009F0B52" w:rsidRPr="00207DD5">
        <w:t> </w:t>
      </w:r>
      <w:r w:rsidRPr="00207DD5">
        <w:t>million in 2026</w:t>
      </w:r>
      <w:r w:rsidR="008E41FD" w:rsidRPr="00207DD5">
        <w:t>–</w:t>
      </w:r>
      <w:r w:rsidRPr="00207DD5">
        <w:t>27 and decrease by $1.7</w:t>
      </w:r>
      <w:r w:rsidR="009F0B52" w:rsidRPr="00207DD5">
        <w:t> </w:t>
      </w:r>
      <w:r w:rsidRPr="00207DD5">
        <w:t>billion over the five years to 2029</w:t>
      </w:r>
      <w:r w:rsidR="00E53BB5" w:rsidRPr="00207DD5">
        <w:t>–</w:t>
      </w:r>
      <w:r w:rsidRPr="00207DD5">
        <w:t xml:space="preserve">30, largely reflecting lower issuance of Australian Government Securities, partially offset by an increase in the expected yields on new issuance. </w:t>
      </w:r>
    </w:p>
    <w:p w14:paraId="3A78D7F0" w14:textId="52AD231E" w:rsidR="008E27D2" w:rsidRPr="00207DD5" w:rsidRDefault="008E27D2" w:rsidP="00F36EAA">
      <w:pPr>
        <w:pStyle w:val="Bullet"/>
      </w:pPr>
      <w:r w:rsidRPr="00207DD5">
        <w:t>payments related to the Research and Development Tax Incentive program, which are expected to decrease by $278.2</w:t>
      </w:r>
      <w:r w:rsidR="009F0B52" w:rsidRPr="00207DD5">
        <w:t> </w:t>
      </w:r>
      <w:r w:rsidRPr="00207DD5">
        <w:t>million in 2026</w:t>
      </w:r>
      <w:r w:rsidR="005346AC" w:rsidRPr="00207DD5">
        <w:t>–</w:t>
      </w:r>
      <w:r w:rsidRPr="00207DD5">
        <w:t>27 and $894.9</w:t>
      </w:r>
      <w:r w:rsidR="009F0B52" w:rsidRPr="00207DD5">
        <w:t> </w:t>
      </w:r>
      <w:r w:rsidRPr="00207DD5">
        <w:t>million over the five years to 2029</w:t>
      </w:r>
      <w:r w:rsidR="00496AB1" w:rsidRPr="00207DD5">
        <w:t>–</w:t>
      </w:r>
      <w:r w:rsidRPr="00207DD5">
        <w:t xml:space="preserve">30, largely reflecting </w:t>
      </w:r>
      <w:r w:rsidR="00372455" w:rsidRPr="00207DD5">
        <w:t xml:space="preserve">a </w:t>
      </w:r>
      <w:r w:rsidRPr="00207DD5">
        <w:t>lower</w:t>
      </w:r>
      <w:r w:rsidR="009F0B52" w:rsidRPr="00207DD5">
        <w:noBreakHyphen/>
      </w:r>
      <w:r w:rsidRPr="00207DD5">
        <w:t>than</w:t>
      </w:r>
      <w:r w:rsidR="009F0B52" w:rsidRPr="00207DD5">
        <w:noBreakHyphen/>
      </w:r>
      <w:r w:rsidRPr="00207DD5">
        <w:t>expected growth rate in claims compared to earlier years.</w:t>
      </w:r>
    </w:p>
    <w:p w14:paraId="38433846" w14:textId="1C96B3E9" w:rsidR="00D145AB" w:rsidRPr="00207DD5" w:rsidRDefault="00D145AB" w:rsidP="00E44BFA">
      <w:pPr>
        <w:rPr>
          <w:b/>
        </w:rPr>
      </w:pPr>
      <w:r w:rsidRPr="00207DD5">
        <w:t xml:space="preserve">Consistent with past budgets, the underlying cash balance has been improved by regular drawdown of the conservative bias allowance. Details in </w:t>
      </w:r>
      <w:r w:rsidRPr="00207DD5">
        <w:rPr>
          <w:i/>
        </w:rPr>
        <w:t>Statement 6: Expenses and Net Capital Investment.</w:t>
      </w:r>
    </w:p>
    <w:p w14:paraId="743F2F55" w14:textId="1327E28A" w:rsidR="006B4D1A" w:rsidRDefault="006B4D1A" w:rsidP="009F0B52">
      <w:pPr>
        <w:rPr>
          <w:rFonts w:ascii="Arial Bold" w:hAnsi="Arial Bold"/>
          <w:b/>
          <w:sz w:val="22"/>
        </w:rPr>
      </w:pPr>
      <w:bookmarkStart w:id="51" w:name="_Toc193537053"/>
      <w:r>
        <w:br w:type="page"/>
      </w:r>
    </w:p>
    <w:p w14:paraId="71139115" w14:textId="6489BD16" w:rsidR="00293BC1" w:rsidRPr="00207DD5" w:rsidRDefault="00293BC1" w:rsidP="00286C32">
      <w:pPr>
        <w:pStyle w:val="Heading3"/>
      </w:pPr>
      <w:bookmarkStart w:id="52" w:name="_Toc227842121"/>
      <w:bookmarkStart w:id="53" w:name="_Toc229240490"/>
      <w:r w:rsidRPr="00207DD5">
        <w:lastRenderedPageBreak/>
        <w:t>Headline cash balance</w:t>
      </w:r>
      <w:bookmarkEnd w:id="51"/>
      <w:bookmarkEnd w:id="52"/>
      <w:bookmarkEnd w:id="53"/>
    </w:p>
    <w:p w14:paraId="240CBB7A" w14:textId="34F0E674" w:rsidR="00E80D6C" w:rsidRPr="00207DD5" w:rsidRDefault="00E80D6C" w:rsidP="00A320BF">
      <w:pPr>
        <w:rPr>
          <w:lang w:val="en-US"/>
        </w:rPr>
      </w:pPr>
      <w:r w:rsidRPr="00207DD5">
        <w:rPr>
          <w:lang w:val="en-US"/>
        </w:rPr>
        <w:t>The headline cash balance adjusts the underlying cash balance to include net cash flows from investments in financial assets for policy purposes (IFAPPs). This includes Specialist Investment Vehicles which invest in projects that deliver public value and a financial return to taxpayers. For example, Clean Energy Finance Corporation (CEFC) loans and equity investments impact the headline cash balance but not the underlying cash balance. Table</w:t>
      </w:r>
      <w:r w:rsidR="009028BD" w:rsidRPr="00207DD5">
        <w:rPr>
          <w:lang w:val="en-US"/>
        </w:rPr>
        <w:t> </w:t>
      </w:r>
      <w:r w:rsidRPr="00207DD5">
        <w:rPr>
          <w:lang w:val="en-US"/>
        </w:rPr>
        <w:t>3.</w:t>
      </w:r>
      <w:r w:rsidR="00117305" w:rsidRPr="00207DD5">
        <w:rPr>
          <w:lang w:val="en-US"/>
        </w:rPr>
        <w:t>5</w:t>
      </w:r>
      <w:r w:rsidRPr="00207DD5">
        <w:rPr>
          <w:lang w:val="en-US"/>
        </w:rPr>
        <w:t xml:space="preserve"> details differences between the underlying and headline cash balance estimates.</w:t>
      </w:r>
    </w:p>
    <w:p w14:paraId="10A223C4" w14:textId="66A71ECD" w:rsidR="009F10A3" w:rsidRPr="00207DD5" w:rsidRDefault="00E80D6C" w:rsidP="00A320BF">
      <w:pPr>
        <w:rPr>
          <w:lang w:val="en-US"/>
        </w:rPr>
      </w:pPr>
      <w:r w:rsidRPr="00207DD5">
        <w:rPr>
          <w:lang w:val="en-US"/>
        </w:rPr>
        <w:t xml:space="preserve">A headline cash </w:t>
      </w:r>
      <w:r w:rsidR="00A36048" w:rsidRPr="00207DD5">
        <w:rPr>
          <w:lang w:val="en-US"/>
        </w:rPr>
        <w:t>balance</w:t>
      </w:r>
      <w:r w:rsidR="009F10A3" w:rsidRPr="00207DD5">
        <w:rPr>
          <w:lang w:val="en-US"/>
        </w:rPr>
        <w:t xml:space="preserve"> </w:t>
      </w:r>
      <w:r w:rsidRPr="00207DD5">
        <w:rPr>
          <w:lang w:val="en-US"/>
        </w:rPr>
        <w:t>deficit of $</w:t>
      </w:r>
      <w:r w:rsidR="00F11D17" w:rsidRPr="00207DD5">
        <w:rPr>
          <w:lang w:val="en-US"/>
        </w:rPr>
        <w:t>47.9</w:t>
      </w:r>
      <w:r w:rsidR="009F0B52" w:rsidRPr="00207DD5">
        <w:rPr>
          <w:lang w:val="en-US"/>
        </w:rPr>
        <w:t> </w:t>
      </w:r>
      <w:r w:rsidRPr="00207DD5">
        <w:rPr>
          <w:lang w:val="en-US"/>
        </w:rPr>
        <w:t>billion (</w:t>
      </w:r>
      <w:r w:rsidR="00621FA0" w:rsidRPr="00207DD5">
        <w:rPr>
          <w:lang w:val="en-US"/>
        </w:rPr>
        <w:t>1.6</w:t>
      </w:r>
      <w:r w:rsidR="009F0B52" w:rsidRPr="00207DD5">
        <w:rPr>
          <w:lang w:val="en-US"/>
        </w:rPr>
        <w:t> </w:t>
      </w:r>
      <w:r w:rsidRPr="00207DD5">
        <w:rPr>
          <w:lang w:val="en-US"/>
        </w:rPr>
        <w:t>per</w:t>
      </w:r>
      <w:r w:rsidR="009F0B52" w:rsidRPr="00207DD5">
        <w:rPr>
          <w:lang w:val="en-US"/>
        </w:rPr>
        <w:t> </w:t>
      </w:r>
      <w:r w:rsidRPr="00207DD5">
        <w:rPr>
          <w:lang w:val="en-US"/>
        </w:rPr>
        <w:t xml:space="preserve">cent of GDP) is estimated in </w:t>
      </w:r>
      <w:r w:rsidR="009F10A3" w:rsidRPr="00207DD5">
        <w:rPr>
          <w:lang w:val="en-US"/>
        </w:rPr>
        <w:t>2025</w:t>
      </w:r>
      <w:r w:rsidR="00C30323" w:rsidRPr="00207DD5">
        <w:rPr>
          <w:lang w:val="en-US"/>
        </w:rPr>
        <w:t>–</w:t>
      </w:r>
      <w:r w:rsidR="009F10A3" w:rsidRPr="00207DD5">
        <w:rPr>
          <w:lang w:val="en-US"/>
        </w:rPr>
        <w:t xml:space="preserve">26, </w:t>
      </w:r>
      <w:r w:rsidR="005A5537" w:rsidRPr="00207DD5">
        <w:rPr>
          <w:lang w:val="en-US"/>
        </w:rPr>
        <w:t>$</w:t>
      </w:r>
      <w:r w:rsidR="00882CE0" w:rsidRPr="00207DD5">
        <w:rPr>
          <w:lang w:val="en-US"/>
        </w:rPr>
        <w:t>10.6 billion</w:t>
      </w:r>
      <w:r w:rsidR="005A5537" w:rsidRPr="00207DD5">
        <w:rPr>
          <w:lang w:val="en-US"/>
        </w:rPr>
        <w:t xml:space="preserve"> lower than the estimated deficit of $</w:t>
      </w:r>
      <w:r w:rsidR="006A4619" w:rsidRPr="00207DD5">
        <w:rPr>
          <w:lang w:val="en-US"/>
        </w:rPr>
        <w:t>58.6</w:t>
      </w:r>
      <w:r w:rsidR="009F0B52" w:rsidRPr="00207DD5">
        <w:rPr>
          <w:lang w:val="en-US"/>
        </w:rPr>
        <w:t> </w:t>
      </w:r>
      <w:r w:rsidR="00DE5E11" w:rsidRPr="00207DD5">
        <w:rPr>
          <w:lang w:val="en-US"/>
        </w:rPr>
        <w:t>billion</w:t>
      </w:r>
      <w:r w:rsidR="005A5537" w:rsidRPr="00207DD5">
        <w:rPr>
          <w:lang w:val="en-US"/>
        </w:rPr>
        <w:t xml:space="preserve"> at MYEFO. The </w:t>
      </w:r>
      <w:r w:rsidR="0025492B" w:rsidRPr="00207DD5">
        <w:rPr>
          <w:lang w:val="en-US"/>
        </w:rPr>
        <w:t>improvement predominantly reflects the improvement to the underlying cash balance.</w:t>
      </w:r>
    </w:p>
    <w:p w14:paraId="178107F2" w14:textId="6B60A645" w:rsidR="00E80D6C" w:rsidRPr="00207DD5" w:rsidRDefault="0025492B" w:rsidP="00A320BF">
      <w:pPr>
        <w:rPr>
          <w:lang w:val="en-US"/>
        </w:rPr>
      </w:pPr>
      <w:r w:rsidRPr="00207DD5">
        <w:rPr>
          <w:lang w:val="en-US"/>
        </w:rPr>
        <w:t>The</w:t>
      </w:r>
      <w:r w:rsidR="00E80D6C" w:rsidRPr="00207DD5">
        <w:rPr>
          <w:lang w:val="en-US"/>
        </w:rPr>
        <w:t xml:space="preserve"> headline cash deficit </w:t>
      </w:r>
      <w:r w:rsidR="00BB5300" w:rsidRPr="00207DD5">
        <w:rPr>
          <w:lang w:val="en-US"/>
        </w:rPr>
        <w:t>increases to</w:t>
      </w:r>
      <w:r w:rsidR="00E80D6C" w:rsidRPr="00207DD5">
        <w:rPr>
          <w:lang w:val="en-US"/>
        </w:rPr>
        <w:t xml:space="preserve"> $</w:t>
      </w:r>
      <w:r w:rsidR="00102A6B" w:rsidRPr="00207DD5">
        <w:rPr>
          <w:lang w:val="en-US"/>
        </w:rPr>
        <w:t>64.1</w:t>
      </w:r>
      <w:r w:rsidR="009F0B52" w:rsidRPr="00207DD5">
        <w:rPr>
          <w:lang w:val="en-US"/>
        </w:rPr>
        <w:t> </w:t>
      </w:r>
      <w:r w:rsidR="00E80D6C" w:rsidRPr="00207DD5">
        <w:rPr>
          <w:lang w:val="en-US"/>
        </w:rPr>
        <w:t>billion (</w:t>
      </w:r>
      <w:r w:rsidR="009924BD" w:rsidRPr="00207DD5">
        <w:rPr>
          <w:lang w:val="en-US"/>
        </w:rPr>
        <w:t>2.1</w:t>
      </w:r>
      <w:r w:rsidR="009F0B52" w:rsidRPr="00207DD5">
        <w:rPr>
          <w:lang w:val="en-US"/>
        </w:rPr>
        <w:t> </w:t>
      </w:r>
      <w:r w:rsidR="00E80D6C" w:rsidRPr="00207DD5">
        <w:rPr>
          <w:lang w:val="en-US"/>
        </w:rPr>
        <w:t>per</w:t>
      </w:r>
      <w:r w:rsidR="009F0B52" w:rsidRPr="00207DD5">
        <w:rPr>
          <w:lang w:val="en-US"/>
        </w:rPr>
        <w:t> </w:t>
      </w:r>
      <w:r w:rsidR="00E80D6C" w:rsidRPr="00207DD5">
        <w:rPr>
          <w:lang w:val="en-US"/>
        </w:rPr>
        <w:t xml:space="preserve">cent of GDP) in </w:t>
      </w:r>
      <w:r w:rsidR="00E80D6C" w:rsidRPr="00207DD5">
        <w:t>2026</w:t>
      </w:r>
      <w:r w:rsidR="00276D62" w:rsidRPr="00207DD5">
        <w:rPr>
          <w:w w:val="1"/>
          <w:lang w:val="en-US"/>
        </w:rPr>
        <w:t> </w:t>
      </w:r>
      <w:r w:rsidR="00276D62" w:rsidRPr="00207DD5">
        <w:rPr>
          <w:lang w:val="en-US"/>
        </w:rPr>
        <w:t>–</w:t>
      </w:r>
      <w:r w:rsidR="00276D62" w:rsidRPr="00207DD5">
        <w:rPr>
          <w:w w:val="1"/>
          <w:lang w:val="en-US"/>
        </w:rPr>
        <w:t> </w:t>
      </w:r>
      <w:r w:rsidR="00E80D6C" w:rsidRPr="00207DD5">
        <w:t>27</w:t>
      </w:r>
      <w:r w:rsidR="00E80D6C" w:rsidRPr="00207DD5">
        <w:rPr>
          <w:lang w:val="en-US"/>
        </w:rPr>
        <w:t xml:space="preserve">, </w:t>
      </w:r>
      <w:r w:rsidR="00102A6B" w:rsidRPr="00207DD5">
        <w:rPr>
          <w:lang w:val="en-US"/>
        </w:rPr>
        <w:t>$1.4 billion higher than the</w:t>
      </w:r>
      <w:r w:rsidR="00A91C71" w:rsidRPr="00207DD5">
        <w:rPr>
          <w:lang w:val="en-US"/>
        </w:rPr>
        <w:t xml:space="preserve"> </w:t>
      </w:r>
      <w:r w:rsidR="00E80D6C" w:rsidRPr="00207DD5">
        <w:rPr>
          <w:lang w:val="en-US"/>
        </w:rPr>
        <w:t>estimated deficit of $</w:t>
      </w:r>
      <w:r w:rsidR="00417B43" w:rsidRPr="00207DD5">
        <w:rPr>
          <w:lang w:val="en-US"/>
        </w:rPr>
        <w:t>62.7</w:t>
      </w:r>
      <w:r w:rsidR="0041569D" w:rsidRPr="00207DD5">
        <w:rPr>
          <w:lang w:val="en-US"/>
        </w:rPr>
        <w:t> </w:t>
      </w:r>
      <w:r w:rsidR="00E80D6C" w:rsidRPr="00207DD5">
        <w:rPr>
          <w:lang w:val="en-US"/>
        </w:rPr>
        <w:t xml:space="preserve">billion at MYEFO. </w:t>
      </w:r>
      <w:r w:rsidR="00DC1DBD" w:rsidRPr="00207DD5">
        <w:rPr>
          <w:lang w:val="en-US"/>
        </w:rPr>
        <w:t xml:space="preserve">This reflects </w:t>
      </w:r>
      <w:r w:rsidR="00DC3AF4" w:rsidRPr="00207DD5">
        <w:rPr>
          <w:lang w:val="en-US"/>
        </w:rPr>
        <w:t xml:space="preserve">higher </w:t>
      </w:r>
      <w:r w:rsidR="009C697D" w:rsidRPr="00207DD5">
        <w:rPr>
          <w:lang w:val="en-US"/>
        </w:rPr>
        <w:t>net cash outflows for IFAPPs</w:t>
      </w:r>
      <w:r w:rsidR="00886EFB" w:rsidRPr="00207DD5">
        <w:rPr>
          <w:lang w:val="en-US"/>
        </w:rPr>
        <w:t xml:space="preserve"> since MYEFO</w:t>
      </w:r>
      <w:r w:rsidR="00DC3AF4" w:rsidRPr="00207DD5">
        <w:rPr>
          <w:lang w:val="en-US"/>
        </w:rPr>
        <w:t>, partially offset by</w:t>
      </w:r>
      <w:r w:rsidR="00DC1DBD" w:rsidRPr="00207DD5">
        <w:rPr>
          <w:lang w:val="en-US"/>
        </w:rPr>
        <w:t xml:space="preserve"> </w:t>
      </w:r>
      <w:r w:rsidR="00DC3AF4" w:rsidRPr="00207DD5">
        <w:rPr>
          <w:lang w:val="en-US"/>
        </w:rPr>
        <w:t>the</w:t>
      </w:r>
      <w:r w:rsidR="00DC1DBD" w:rsidRPr="00207DD5">
        <w:rPr>
          <w:lang w:val="en-US"/>
        </w:rPr>
        <w:t xml:space="preserve"> improved underlying cash balance</w:t>
      </w:r>
      <w:r w:rsidR="00E80D6C" w:rsidRPr="00207DD5">
        <w:rPr>
          <w:lang w:val="en-US"/>
        </w:rPr>
        <w:t xml:space="preserve">. The headline cash balance </w:t>
      </w:r>
      <w:r w:rsidR="00A757F2" w:rsidRPr="00207DD5">
        <w:rPr>
          <w:lang w:val="en-US"/>
        </w:rPr>
        <w:t>improves</w:t>
      </w:r>
      <w:r w:rsidR="00E80D6C" w:rsidRPr="00207DD5">
        <w:rPr>
          <w:lang w:val="en-US"/>
        </w:rPr>
        <w:t xml:space="preserve"> to a deficit of $</w:t>
      </w:r>
      <w:r w:rsidR="00DC3AF4" w:rsidRPr="00207DD5">
        <w:rPr>
          <w:lang w:val="en-US"/>
        </w:rPr>
        <w:t>41.0</w:t>
      </w:r>
      <w:r w:rsidR="00E80D6C" w:rsidRPr="00207DD5">
        <w:rPr>
          <w:lang w:val="en-US"/>
        </w:rPr>
        <w:t xml:space="preserve"> billion (</w:t>
      </w:r>
      <w:r w:rsidR="00C91DD2" w:rsidRPr="00207DD5">
        <w:rPr>
          <w:lang w:val="en-US"/>
        </w:rPr>
        <w:t>1.</w:t>
      </w:r>
      <w:r w:rsidR="00B725A5" w:rsidRPr="00207DD5">
        <w:rPr>
          <w:lang w:val="en-US"/>
        </w:rPr>
        <w:t>2</w:t>
      </w:r>
      <w:r w:rsidR="009F0B52" w:rsidRPr="00207DD5">
        <w:rPr>
          <w:lang w:val="en-US"/>
        </w:rPr>
        <w:t> </w:t>
      </w:r>
      <w:r w:rsidR="00E80D6C" w:rsidRPr="00207DD5">
        <w:rPr>
          <w:lang w:val="en-US"/>
        </w:rPr>
        <w:t>per</w:t>
      </w:r>
      <w:r w:rsidR="009F0B52" w:rsidRPr="00207DD5">
        <w:rPr>
          <w:lang w:val="en-US"/>
        </w:rPr>
        <w:t> </w:t>
      </w:r>
      <w:r w:rsidR="00E80D6C" w:rsidRPr="00207DD5">
        <w:rPr>
          <w:lang w:val="en-US"/>
        </w:rPr>
        <w:t>cent of GDP) in 2029–30.</w:t>
      </w:r>
    </w:p>
    <w:p w14:paraId="4C1A9379" w14:textId="129D36A4" w:rsidR="00E80D6C" w:rsidRPr="00207DD5" w:rsidRDefault="00E80D6C" w:rsidP="00A320BF">
      <w:pPr>
        <w:rPr>
          <w:lang w:val="en-US"/>
        </w:rPr>
      </w:pPr>
      <w:r w:rsidRPr="00207DD5">
        <w:rPr>
          <w:lang w:val="en-US"/>
        </w:rPr>
        <w:t>Net cash outflows for IFAPPs total $</w:t>
      </w:r>
      <w:r w:rsidR="00DC3AF4" w:rsidRPr="00207DD5">
        <w:rPr>
          <w:lang w:val="en-US"/>
        </w:rPr>
        <w:t>114.0</w:t>
      </w:r>
      <w:r w:rsidRPr="00207DD5">
        <w:rPr>
          <w:lang w:val="en-US"/>
        </w:rPr>
        <w:t xml:space="preserve"> billion over the five years to 2029–30. Estimated net cash outflows for IFAPPs </w:t>
      </w:r>
      <w:r w:rsidR="00DC3AF4" w:rsidRPr="00207DD5">
        <w:rPr>
          <w:lang w:val="en-US"/>
        </w:rPr>
        <w:t xml:space="preserve">have </w:t>
      </w:r>
      <w:r w:rsidRPr="00207DD5">
        <w:rPr>
          <w:lang w:val="en-US"/>
        </w:rPr>
        <w:t>increased by $</w:t>
      </w:r>
      <w:r w:rsidR="00DC3AF4" w:rsidRPr="00207DD5">
        <w:rPr>
          <w:lang w:val="en-US"/>
        </w:rPr>
        <w:t>4.5</w:t>
      </w:r>
      <w:r w:rsidR="009F0B52" w:rsidRPr="00207DD5">
        <w:rPr>
          <w:lang w:val="en-US"/>
        </w:rPr>
        <w:t> </w:t>
      </w:r>
      <w:r w:rsidRPr="00207DD5">
        <w:rPr>
          <w:lang w:val="en-US"/>
        </w:rPr>
        <w:t>billion over the four years to 2028–29 compared to the 2025–26 MYEFO.</w:t>
      </w:r>
    </w:p>
    <w:p w14:paraId="32986A84" w14:textId="13629EB5" w:rsidR="004742C0" w:rsidRPr="00207DD5" w:rsidRDefault="004742C0" w:rsidP="00C30DDC">
      <w:pPr>
        <w:rPr>
          <w:lang w:val="en-US"/>
        </w:rPr>
      </w:pPr>
      <w:r w:rsidRPr="00207DD5">
        <w:rPr>
          <w:lang w:val="en-US"/>
        </w:rPr>
        <w:t xml:space="preserve">Policy decisions </w:t>
      </w:r>
      <w:r w:rsidR="000306B0" w:rsidRPr="00207DD5">
        <w:rPr>
          <w:lang w:val="en-US"/>
        </w:rPr>
        <w:t>impacting</w:t>
      </w:r>
      <w:r w:rsidRPr="00207DD5">
        <w:rPr>
          <w:lang w:val="en-US"/>
        </w:rPr>
        <w:t xml:space="preserve"> net cash outflows </w:t>
      </w:r>
      <w:r w:rsidR="000306B0" w:rsidRPr="00207DD5">
        <w:rPr>
          <w:lang w:val="en-US"/>
        </w:rPr>
        <w:t xml:space="preserve">for IFAPPs </w:t>
      </w:r>
      <w:r w:rsidRPr="00207DD5">
        <w:rPr>
          <w:lang w:val="en-US"/>
        </w:rPr>
        <w:t>include:</w:t>
      </w:r>
    </w:p>
    <w:p w14:paraId="2C41143B" w14:textId="3B3CB227" w:rsidR="000306B0" w:rsidRPr="00207DD5" w:rsidRDefault="007D17CF" w:rsidP="000306B0">
      <w:pPr>
        <w:pStyle w:val="Bullet"/>
      </w:pPr>
      <w:r w:rsidRPr="00207DD5">
        <w:rPr>
          <w:lang w:val="en-US"/>
        </w:rPr>
        <w:t>T</w:t>
      </w:r>
      <w:r w:rsidR="000306B0" w:rsidRPr="00207DD5">
        <w:rPr>
          <w:lang w:val="en-US"/>
        </w:rPr>
        <w:t>he consolidation of the Inland Rail project at Parkes</w:t>
      </w:r>
      <w:r w:rsidR="008A7C3C" w:rsidRPr="00207DD5">
        <w:rPr>
          <w:lang w:val="en-US"/>
        </w:rPr>
        <w:t xml:space="preserve"> and preserv</w:t>
      </w:r>
      <w:r w:rsidR="0093110E" w:rsidRPr="00207DD5">
        <w:rPr>
          <w:lang w:val="en-US"/>
        </w:rPr>
        <w:t>ation</w:t>
      </w:r>
      <w:r w:rsidR="008A7C3C" w:rsidRPr="00207DD5">
        <w:rPr>
          <w:lang w:val="en-US"/>
        </w:rPr>
        <w:t xml:space="preserve"> of the remaining rail corridor and intermodal sites for future investment, with $4.4</w:t>
      </w:r>
      <w:r w:rsidR="009F0B52" w:rsidRPr="00207DD5">
        <w:rPr>
          <w:lang w:val="en-US"/>
        </w:rPr>
        <w:t> </w:t>
      </w:r>
      <w:r w:rsidR="008A7C3C" w:rsidRPr="00207DD5">
        <w:rPr>
          <w:lang w:val="en-US"/>
        </w:rPr>
        <w:t>billion in equity to be returned to the budget</w:t>
      </w:r>
      <w:r w:rsidR="000306B0" w:rsidRPr="00207DD5">
        <w:rPr>
          <w:lang w:val="en-US"/>
        </w:rPr>
        <w:t xml:space="preserve">. </w:t>
      </w:r>
      <w:r w:rsidR="004455AC" w:rsidRPr="00207DD5">
        <w:rPr>
          <w:lang w:val="en-US"/>
        </w:rPr>
        <w:t>The</w:t>
      </w:r>
      <w:r w:rsidR="00AC7E3C" w:rsidRPr="00207DD5">
        <w:rPr>
          <w:lang w:val="en-US"/>
        </w:rPr>
        <w:t xml:space="preserve"> </w:t>
      </w:r>
      <w:r w:rsidR="000306B0" w:rsidRPr="00207DD5">
        <w:rPr>
          <w:lang w:val="en-US"/>
        </w:rPr>
        <w:t xml:space="preserve">ARTC equity </w:t>
      </w:r>
      <w:r w:rsidR="004455AC" w:rsidRPr="00207DD5">
        <w:rPr>
          <w:lang w:val="en-US"/>
        </w:rPr>
        <w:t>profile</w:t>
      </w:r>
      <w:r w:rsidR="000306B0" w:rsidRPr="00207DD5">
        <w:rPr>
          <w:lang w:val="en-US"/>
        </w:rPr>
        <w:t xml:space="preserve"> is included in the ‘net other’ section of </w:t>
      </w:r>
      <w:r w:rsidR="00324A12" w:rsidRPr="00207DD5">
        <w:rPr>
          <w:lang w:val="en-US"/>
        </w:rPr>
        <w:t>T</w:t>
      </w:r>
      <w:r w:rsidR="000306B0" w:rsidRPr="00207DD5">
        <w:rPr>
          <w:lang w:val="en-US"/>
        </w:rPr>
        <w:t>able 3.</w:t>
      </w:r>
      <w:r w:rsidR="00324A12" w:rsidRPr="00207DD5">
        <w:rPr>
          <w:lang w:val="en-US"/>
        </w:rPr>
        <w:t>5</w:t>
      </w:r>
      <w:r w:rsidR="000306B0" w:rsidRPr="00207DD5">
        <w:rPr>
          <w:lang w:val="en-US"/>
        </w:rPr>
        <w:t xml:space="preserve"> due to commercial sensitivities. Further information can be found in the 2026</w:t>
      </w:r>
      <w:r w:rsidR="00506F3B" w:rsidRPr="00207DD5">
        <w:t>–</w:t>
      </w:r>
      <w:r w:rsidR="00E06994" w:rsidRPr="00207DD5">
        <w:rPr>
          <w:w w:val="1"/>
        </w:rPr>
        <w:t> </w:t>
      </w:r>
      <w:r w:rsidR="000306B0" w:rsidRPr="00207DD5">
        <w:rPr>
          <w:lang w:val="en-US"/>
        </w:rPr>
        <w:t xml:space="preserve">27 Budget measure </w:t>
      </w:r>
      <w:r w:rsidR="000306B0" w:rsidRPr="00207DD5">
        <w:rPr>
          <w:i/>
          <w:lang w:val="en-US"/>
        </w:rPr>
        <w:t>Building a Better Future through Considered Infrastructure Investment.</w:t>
      </w:r>
    </w:p>
    <w:p w14:paraId="0EE1C607" w14:textId="04CE8762" w:rsidR="007860D2" w:rsidRPr="00207DD5" w:rsidRDefault="00F72A90" w:rsidP="007860D2">
      <w:pPr>
        <w:pStyle w:val="Bullet"/>
      </w:pPr>
      <w:r w:rsidRPr="00207DD5">
        <w:t xml:space="preserve">An increase of </w:t>
      </w:r>
      <w:r w:rsidR="0011582A" w:rsidRPr="00207DD5">
        <w:t>$600</w:t>
      </w:r>
      <w:r w:rsidR="003F16F7" w:rsidRPr="00207DD5">
        <w:t>.0</w:t>
      </w:r>
      <w:r w:rsidR="009F0B52" w:rsidRPr="00207DD5">
        <w:t> </w:t>
      </w:r>
      <w:r w:rsidR="0011582A" w:rsidRPr="00207DD5">
        <w:t xml:space="preserve">million in 2026–27 </w:t>
      </w:r>
      <w:r w:rsidR="003F16F7" w:rsidRPr="00207DD5">
        <w:t>from</w:t>
      </w:r>
      <w:r w:rsidR="0011582A" w:rsidRPr="00207DD5">
        <w:t xml:space="preserve"> an equity investment in Airservices Australia to support continued provision of critical air navigation, air traffic control, </w:t>
      </w:r>
      <w:r w:rsidR="00B131D1" w:rsidRPr="00207DD5">
        <w:t xml:space="preserve">and </w:t>
      </w:r>
      <w:r w:rsidR="0011582A" w:rsidRPr="00207DD5">
        <w:t>aviation fire and rescue services at major Australian airports. Further information can be found in the 2026</w:t>
      </w:r>
      <w:r w:rsidR="00506F3B" w:rsidRPr="00207DD5">
        <w:t>–</w:t>
      </w:r>
      <w:r w:rsidR="0011582A" w:rsidRPr="00207DD5">
        <w:t xml:space="preserve">27 Budget measure </w:t>
      </w:r>
      <w:r w:rsidR="0011582A" w:rsidRPr="00207DD5">
        <w:rPr>
          <w:i/>
        </w:rPr>
        <w:t>Supporting Aviation Priorities.</w:t>
      </w:r>
    </w:p>
    <w:p w14:paraId="7F565A45" w14:textId="7C1412AB" w:rsidR="007853B9" w:rsidRPr="00207DD5" w:rsidRDefault="00B1708E" w:rsidP="007860D2">
      <w:pPr>
        <w:pStyle w:val="Bullet"/>
      </w:pPr>
      <w:r w:rsidRPr="00207DD5">
        <w:t>An equity injection over four years from 2026</w:t>
      </w:r>
      <w:r w:rsidR="00506F3B" w:rsidRPr="00207DD5">
        <w:t>–</w:t>
      </w:r>
      <w:r w:rsidRPr="00207DD5">
        <w:t>27 for Australian Naval Infrastructure Pty Ltd (ANI), to support construction of the Nuclear</w:t>
      </w:r>
      <w:r w:rsidR="009F0B52" w:rsidRPr="00207DD5">
        <w:noBreakHyphen/>
      </w:r>
      <w:r w:rsidRPr="00207DD5">
        <w:t>Powered Submarine Construction Yard in South Australia. The financial implications of this injection are not for publication because they would impair ANI’s position in negotiating contracts for these services. Further information can be found in the 2026</w:t>
      </w:r>
      <w:r w:rsidR="00506F3B" w:rsidRPr="00207DD5">
        <w:t>–</w:t>
      </w:r>
      <w:r w:rsidRPr="00207DD5">
        <w:t xml:space="preserve">27 Budget measure </w:t>
      </w:r>
      <w:r w:rsidRPr="00207DD5">
        <w:rPr>
          <w:i/>
        </w:rPr>
        <w:t>Australian</w:t>
      </w:r>
      <w:r w:rsidR="00CC463A" w:rsidRPr="00207DD5">
        <w:rPr>
          <w:i/>
        </w:rPr>
        <w:t> </w:t>
      </w:r>
      <w:r w:rsidRPr="00207DD5">
        <w:rPr>
          <w:i/>
        </w:rPr>
        <w:t>Naval Infrastructure Equity Injection</w:t>
      </w:r>
      <w:r w:rsidRPr="00207DD5">
        <w:t>.</w:t>
      </w:r>
    </w:p>
    <w:p w14:paraId="72397B88" w14:textId="77777777" w:rsidR="009F0B52" w:rsidRPr="00207DD5" w:rsidRDefault="009F0B52">
      <w:pPr>
        <w:spacing w:before="0" w:after="160" w:line="259" w:lineRule="auto"/>
        <w:rPr>
          <w:lang w:val="en-US"/>
        </w:rPr>
      </w:pPr>
      <w:r w:rsidRPr="00207DD5">
        <w:rPr>
          <w:lang w:val="en-US"/>
        </w:rPr>
        <w:br w:type="page"/>
      </w:r>
    </w:p>
    <w:p w14:paraId="564FBE13" w14:textId="3C5DB6C5" w:rsidR="004742C0" w:rsidRPr="00207DD5" w:rsidRDefault="004742C0" w:rsidP="00C30DDC">
      <w:pPr>
        <w:rPr>
          <w:lang w:val="en-US"/>
        </w:rPr>
      </w:pPr>
      <w:r w:rsidRPr="00207DD5">
        <w:rPr>
          <w:lang w:val="en-US"/>
        </w:rPr>
        <w:lastRenderedPageBreak/>
        <w:t xml:space="preserve">Parameter and other variations </w:t>
      </w:r>
      <w:r w:rsidR="00153A26" w:rsidRPr="00207DD5">
        <w:rPr>
          <w:lang w:val="en-US"/>
        </w:rPr>
        <w:t>increasing</w:t>
      </w:r>
      <w:r w:rsidRPr="00207DD5">
        <w:rPr>
          <w:lang w:val="en-US"/>
        </w:rPr>
        <w:t xml:space="preserve"> net cash outflows for IFAPPs include:</w:t>
      </w:r>
    </w:p>
    <w:p w14:paraId="2588C955" w14:textId="52B94EA0" w:rsidR="00B379D3" w:rsidRPr="00207DD5" w:rsidRDefault="00B379D3" w:rsidP="005848F3">
      <w:pPr>
        <w:pStyle w:val="Bullet"/>
        <w:rPr>
          <w:i/>
          <w:lang w:val="en-US"/>
        </w:rPr>
      </w:pPr>
      <w:r w:rsidRPr="00207DD5">
        <w:rPr>
          <w:lang w:val="en-US"/>
        </w:rPr>
        <w:t>$1.</w:t>
      </w:r>
      <w:r w:rsidR="00070C0A" w:rsidRPr="00207DD5">
        <w:rPr>
          <w:lang w:val="en-US"/>
        </w:rPr>
        <w:t>4</w:t>
      </w:r>
      <w:r w:rsidRPr="00207DD5">
        <w:rPr>
          <w:lang w:val="en-US"/>
        </w:rPr>
        <w:t xml:space="preserve"> billion over five years from 2025</w:t>
      </w:r>
      <w:r w:rsidR="005848F3" w:rsidRPr="00207DD5">
        <w:rPr>
          <w:lang w:val="en-US"/>
        </w:rPr>
        <w:t>–</w:t>
      </w:r>
      <w:r w:rsidRPr="00207DD5">
        <w:rPr>
          <w:lang w:val="en-US"/>
        </w:rPr>
        <w:t xml:space="preserve">26 for the line of credit provided to the Affordable Housing Bond Aggregator, reflecting the updated and reprofiled lending and repayment estimates due to </w:t>
      </w:r>
      <w:r w:rsidR="0027000A" w:rsidRPr="00207DD5">
        <w:rPr>
          <w:lang w:val="en-US"/>
        </w:rPr>
        <w:t>the</w:t>
      </w:r>
      <w:r w:rsidRPr="00207DD5">
        <w:rPr>
          <w:lang w:val="en-US"/>
        </w:rPr>
        <w:t xml:space="preserve"> timing of certain large transactions by Housing Australia. Further details on the line of credit can be found in </w:t>
      </w:r>
      <w:r w:rsidRPr="00207DD5">
        <w:rPr>
          <w:i/>
          <w:lang w:val="en-US"/>
        </w:rPr>
        <w:t>Budget Statement 9: Statement of Risks.</w:t>
      </w:r>
    </w:p>
    <w:p w14:paraId="5FEE83C1" w14:textId="0300935C" w:rsidR="00A14C6F" w:rsidRPr="00207DD5" w:rsidRDefault="00A14C6F" w:rsidP="00A14C6F">
      <w:pPr>
        <w:pStyle w:val="Bullet"/>
        <w:rPr>
          <w:i/>
          <w:lang w:val="en-US"/>
        </w:rPr>
      </w:pPr>
      <w:r w:rsidRPr="00207DD5">
        <w:t>$550.3 </w:t>
      </w:r>
      <w:r w:rsidR="00B379D3" w:rsidRPr="00207DD5">
        <w:t>million over five years from 2025</w:t>
      </w:r>
      <w:r w:rsidR="0027000A" w:rsidRPr="00207DD5">
        <w:rPr>
          <w:lang w:val="en-US"/>
        </w:rPr>
        <w:t>–</w:t>
      </w:r>
      <w:r w:rsidR="00B379D3" w:rsidRPr="00207DD5">
        <w:t xml:space="preserve">26 </w:t>
      </w:r>
      <w:r w:rsidR="004E2563" w:rsidRPr="00207DD5">
        <w:t>for the National Reconstruction Fund Corporation, reflecting</w:t>
      </w:r>
      <w:r w:rsidR="00D52F90" w:rsidRPr="00207DD5" w:rsidDel="00D52F90">
        <w:rPr>
          <w:lang w:val="en-US"/>
        </w:rPr>
        <w:t xml:space="preserve"> </w:t>
      </w:r>
      <w:r w:rsidR="001C01EC" w:rsidRPr="00207DD5">
        <w:t xml:space="preserve">revised </w:t>
      </w:r>
      <w:r w:rsidRPr="00207DD5">
        <w:t>capital deployment</w:t>
      </w:r>
      <w:r w:rsidR="002B29CC" w:rsidRPr="00207DD5">
        <w:t xml:space="preserve"> for investing activities.</w:t>
      </w:r>
    </w:p>
    <w:p w14:paraId="0BA087CA" w14:textId="640BD461" w:rsidR="00B379D3" w:rsidRPr="00207DD5" w:rsidRDefault="00B379D3" w:rsidP="005848F3">
      <w:pPr>
        <w:pStyle w:val="Bullet"/>
        <w:rPr>
          <w:lang w:val="en-US"/>
        </w:rPr>
      </w:pPr>
      <w:r w:rsidRPr="00207DD5">
        <w:rPr>
          <w:lang w:val="en-US"/>
        </w:rPr>
        <w:t>$286.9</w:t>
      </w:r>
      <w:r w:rsidR="009F0B52" w:rsidRPr="00207DD5">
        <w:rPr>
          <w:lang w:val="en-US"/>
        </w:rPr>
        <w:t> </w:t>
      </w:r>
      <w:r w:rsidRPr="00207DD5">
        <w:rPr>
          <w:lang w:val="en-US"/>
        </w:rPr>
        <w:t>million over five years from 2025</w:t>
      </w:r>
      <w:r w:rsidR="0027000A" w:rsidRPr="00207DD5">
        <w:rPr>
          <w:lang w:val="en-US"/>
        </w:rPr>
        <w:t>–</w:t>
      </w:r>
      <w:r w:rsidRPr="00207DD5">
        <w:rPr>
          <w:lang w:val="en-US"/>
        </w:rPr>
        <w:t xml:space="preserve">26 for </w:t>
      </w:r>
      <w:r w:rsidR="00F91CF0" w:rsidRPr="00207DD5">
        <w:rPr>
          <w:lang w:val="en-US"/>
        </w:rPr>
        <w:t>student loans</w:t>
      </w:r>
      <w:r w:rsidR="00746CCB" w:rsidRPr="00207DD5">
        <w:rPr>
          <w:lang w:val="en-US"/>
        </w:rPr>
        <w:t>,</w:t>
      </w:r>
      <w:r w:rsidRPr="00207DD5">
        <w:rPr>
          <w:lang w:val="en-US"/>
        </w:rPr>
        <w:t xml:space="preserve"> reflecting </w:t>
      </w:r>
      <w:r w:rsidR="00746CCB" w:rsidRPr="00207DD5">
        <w:rPr>
          <w:lang w:val="en-US"/>
        </w:rPr>
        <w:t xml:space="preserve">various updates </w:t>
      </w:r>
      <w:r w:rsidR="00EA76B9" w:rsidRPr="00207DD5">
        <w:rPr>
          <w:lang w:val="en-US"/>
        </w:rPr>
        <w:t xml:space="preserve">for </w:t>
      </w:r>
      <w:r w:rsidR="00286FAF" w:rsidRPr="00207DD5">
        <w:rPr>
          <w:lang w:val="en-US"/>
        </w:rPr>
        <w:t xml:space="preserve">actuarial, program and parameter </w:t>
      </w:r>
      <w:r w:rsidR="00643CB5" w:rsidRPr="00207DD5">
        <w:rPr>
          <w:lang w:val="en-US"/>
        </w:rPr>
        <w:t xml:space="preserve">changes resulting in </w:t>
      </w:r>
      <w:r w:rsidR="00A00E57" w:rsidRPr="00207DD5">
        <w:rPr>
          <w:lang w:val="en-US"/>
        </w:rPr>
        <w:t xml:space="preserve">higher </w:t>
      </w:r>
      <w:r w:rsidRPr="00207DD5">
        <w:rPr>
          <w:lang w:val="en-US"/>
        </w:rPr>
        <w:t>expect</w:t>
      </w:r>
      <w:r w:rsidR="00A00E57" w:rsidRPr="00207DD5">
        <w:rPr>
          <w:lang w:val="en-US"/>
        </w:rPr>
        <w:t>ed</w:t>
      </w:r>
      <w:r w:rsidRPr="00207DD5">
        <w:rPr>
          <w:lang w:val="en-US"/>
        </w:rPr>
        <w:t xml:space="preserve"> </w:t>
      </w:r>
      <w:r w:rsidR="008F0FC1" w:rsidRPr="00207DD5">
        <w:rPr>
          <w:lang w:val="en-US"/>
        </w:rPr>
        <w:t xml:space="preserve">loan </w:t>
      </w:r>
      <w:r w:rsidR="00906B93" w:rsidRPr="00207DD5">
        <w:rPr>
          <w:lang w:val="en-US"/>
        </w:rPr>
        <w:t>outflows</w:t>
      </w:r>
      <w:r w:rsidRPr="00207DD5">
        <w:rPr>
          <w:lang w:val="en-US"/>
        </w:rPr>
        <w:t xml:space="preserve"> alongside lower </w:t>
      </w:r>
      <w:r w:rsidR="00582CB2" w:rsidRPr="00207DD5">
        <w:rPr>
          <w:lang w:val="en-US"/>
        </w:rPr>
        <w:t>principal</w:t>
      </w:r>
      <w:r w:rsidRPr="00207DD5">
        <w:rPr>
          <w:lang w:val="en-US"/>
        </w:rPr>
        <w:t xml:space="preserve"> repayments. </w:t>
      </w:r>
    </w:p>
    <w:p w14:paraId="05B44425" w14:textId="6E1AD024" w:rsidR="00E80D6C" w:rsidRPr="00207DD5" w:rsidRDefault="00864C58" w:rsidP="00A320BF">
      <w:pPr>
        <w:rPr>
          <w:lang w:val="en-US"/>
        </w:rPr>
      </w:pPr>
      <w:r w:rsidRPr="00207DD5">
        <w:rPr>
          <w:lang w:val="en-US"/>
        </w:rPr>
        <w:t>Parameter and other variations decreasing net cash outflows for IFAPPs include</w:t>
      </w:r>
      <w:r w:rsidR="00E80D6C" w:rsidRPr="00207DD5">
        <w:rPr>
          <w:lang w:val="en-US"/>
        </w:rPr>
        <w:t>:</w:t>
      </w:r>
    </w:p>
    <w:p w14:paraId="314F487E" w14:textId="52F5A611" w:rsidR="004F599D" w:rsidRPr="00207DD5" w:rsidRDefault="004F599D" w:rsidP="00031159">
      <w:pPr>
        <w:pStyle w:val="Bullet"/>
        <w:rPr>
          <w:lang w:val="en-US"/>
        </w:rPr>
      </w:pPr>
      <w:r w:rsidRPr="00207DD5">
        <w:rPr>
          <w:lang w:val="en-US"/>
        </w:rPr>
        <w:t>$685.4</w:t>
      </w:r>
      <w:r w:rsidR="009F0B52" w:rsidRPr="00207DD5">
        <w:rPr>
          <w:lang w:val="en-US"/>
        </w:rPr>
        <w:t> </w:t>
      </w:r>
      <w:r w:rsidRPr="00207DD5">
        <w:rPr>
          <w:lang w:val="en-US"/>
        </w:rPr>
        <w:t>million over five years from 2025</w:t>
      </w:r>
      <w:r w:rsidR="00031159" w:rsidRPr="00207DD5">
        <w:rPr>
          <w:lang w:val="en-US"/>
        </w:rPr>
        <w:t>–</w:t>
      </w:r>
      <w:r w:rsidRPr="00207DD5">
        <w:rPr>
          <w:lang w:val="en-US"/>
        </w:rPr>
        <w:t xml:space="preserve">26 in lower investments through the Help to Buy scheme, reflecting reduced lending estimates in line with updated actuarial estimates of average loan values </w:t>
      </w:r>
      <w:r w:rsidR="004C6B0B" w:rsidRPr="00207DD5">
        <w:rPr>
          <w:lang w:val="en-US"/>
        </w:rPr>
        <w:t>eligible</w:t>
      </w:r>
      <w:r w:rsidRPr="00207DD5">
        <w:rPr>
          <w:lang w:val="en-US"/>
        </w:rPr>
        <w:t xml:space="preserve"> under the scheme.</w:t>
      </w:r>
    </w:p>
    <w:p w14:paraId="499CCDBC" w14:textId="1B990D9D" w:rsidR="004F599D" w:rsidRPr="00207DD5" w:rsidRDefault="004F599D" w:rsidP="00031159">
      <w:pPr>
        <w:pStyle w:val="Bullet"/>
        <w:rPr>
          <w:lang w:val="en-US"/>
        </w:rPr>
      </w:pPr>
      <w:r w:rsidRPr="00207DD5">
        <w:rPr>
          <w:lang w:val="en-US"/>
        </w:rPr>
        <w:t>$293.4</w:t>
      </w:r>
      <w:r w:rsidR="009F0B52" w:rsidRPr="00207DD5">
        <w:rPr>
          <w:lang w:val="en-US"/>
        </w:rPr>
        <w:t> </w:t>
      </w:r>
      <w:r w:rsidRPr="00207DD5">
        <w:rPr>
          <w:lang w:val="en-US"/>
        </w:rPr>
        <w:t>million over five years from 2025</w:t>
      </w:r>
      <w:r w:rsidR="00031159" w:rsidRPr="00207DD5">
        <w:rPr>
          <w:lang w:val="en-US"/>
        </w:rPr>
        <w:t>–</w:t>
      </w:r>
      <w:r w:rsidRPr="00207DD5">
        <w:rPr>
          <w:lang w:val="en-US"/>
        </w:rPr>
        <w:t>26 in lower investments by the Northern Australia Infrastructure Facility, reflecting adjust</w:t>
      </w:r>
      <w:r w:rsidR="001C45FA" w:rsidRPr="00207DD5">
        <w:rPr>
          <w:lang w:val="en-US"/>
        </w:rPr>
        <w:t>ed</w:t>
      </w:r>
      <w:r w:rsidRPr="00207DD5">
        <w:rPr>
          <w:lang w:val="en-US"/>
        </w:rPr>
        <w:t xml:space="preserve"> investing cash flows.</w:t>
      </w:r>
    </w:p>
    <w:p w14:paraId="6C5B0992" w14:textId="23FBC606" w:rsidR="008422BD" w:rsidRPr="00207DD5" w:rsidRDefault="008422BD" w:rsidP="00031159">
      <w:r w:rsidRPr="00207DD5">
        <w:t xml:space="preserve">In this Budget, </w:t>
      </w:r>
      <w:r w:rsidR="00D52938" w:rsidRPr="00207DD5">
        <w:t>T</w:t>
      </w:r>
      <w:r w:rsidRPr="00207DD5">
        <w:t>able 3.</w:t>
      </w:r>
      <w:r w:rsidR="00AC576E" w:rsidRPr="00207DD5">
        <w:t>5</w:t>
      </w:r>
      <w:r w:rsidRPr="00207DD5">
        <w:t xml:space="preserve"> </w:t>
      </w:r>
      <w:r w:rsidR="00BB75BF" w:rsidRPr="00207DD5">
        <w:t>separately</w:t>
      </w:r>
      <w:r w:rsidRPr="00207DD5">
        <w:t xml:space="preserve"> identifies </w:t>
      </w:r>
      <w:r w:rsidR="00CB751C" w:rsidRPr="00207DD5">
        <w:t>funding for</w:t>
      </w:r>
      <w:r w:rsidRPr="00207DD5">
        <w:t xml:space="preserve"> three additional programs which were previously captured within the ‘net other’ line. These </w:t>
      </w:r>
      <w:r w:rsidR="006E4EC4" w:rsidRPr="00207DD5">
        <w:t>are</w:t>
      </w:r>
      <w:r w:rsidRPr="00207DD5">
        <w:t>:</w:t>
      </w:r>
    </w:p>
    <w:p w14:paraId="7B8B04BF" w14:textId="7C9A2C46" w:rsidR="008422BD" w:rsidRPr="00207DD5" w:rsidRDefault="008422BD" w:rsidP="008422BD">
      <w:pPr>
        <w:pStyle w:val="Bullet"/>
      </w:pPr>
      <w:r w:rsidRPr="00207DD5">
        <w:t>100,000 Homes for First Home</w:t>
      </w:r>
      <w:r w:rsidR="00A713D8" w:rsidRPr="00207DD5">
        <w:t xml:space="preserve"> B</w:t>
      </w:r>
      <w:r w:rsidRPr="00207DD5">
        <w:t xml:space="preserve">uyers. Funding </w:t>
      </w:r>
      <w:r w:rsidR="00CB751C" w:rsidRPr="00207DD5">
        <w:t>previously held in the Contingency Reserve</w:t>
      </w:r>
      <w:r w:rsidRPr="00207DD5">
        <w:t xml:space="preserve"> as part of the 2025</w:t>
      </w:r>
      <w:r w:rsidR="006A791D" w:rsidRPr="00207DD5">
        <w:rPr>
          <w:lang w:val="en-US"/>
        </w:rPr>
        <w:t>–</w:t>
      </w:r>
      <w:r w:rsidRPr="00207DD5">
        <w:t xml:space="preserve">26 MYEFO measure </w:t>
      </w:r>
      <w:r w:rsidRPr="00207DD5">
        <w:rPr>
          <w:i/>
        </w:rPr>
        <w:t xml:space="preserve">Support for Homebuyers </w:t>
      </w:r>
      <w:r w:rsidRPr="00207DD5">
        <w:t xml:space="preserve">has now been allocated </w:t>
      </w:r>
      <w:r w:rsidR="00504D50" w:rsidRPr="00207DD5">
        <w:t xml:space="preserve">to </w:t>
      </w:r>
      <w:r w:rsidR="006130AB" w:rsidRPr="00207DD5">
        <w:t xml:space="preserve">QLD, WA, </w:t>
      </w:r>
      <w:r w:rsidR="00504D50" w:rsidRPr="00207DD5">
        <w:t xml:space="preserve">SA, </w:t>
      </w:r>
      <w:r w:rsidR="00E73D6F" w:rsidRPr="00207DD5">
        <w:t>TAS</w:t>
      </w:r>
      <w:r w:rsidR="00504D50" w:rsidRPr="00207DD5">
        <w:t xml:space="preserve"> and </w:t>
      </w:r>
      <w:r w:rsidRPr="00207DD5">
        <w:t xml:space="preserve">the </w:t>
      </w:r>
      <w:r w:rsidR="00504D50" w:rsidRPr="00207DD5">
        <w:t>ACT</w:t>
      </w:r>
      <w:r w:rsidR="006130AB" w:rsidRPr="00207DD5">
        <w:t xml:space="preserve">, </w:t>
      </w:r>
      <w:r w:rsidR="008F285F" w:rsidRPr="00207DD5">
        <w:t>with some reprofiling between years</w:t>
      </w:r>
      <w:r w:rsidR="00E17474" w:rsidRPr="00207DD5">
        <w:t xml:space="preserve"> to reflect the </w:t>
      </w:r>
      <w:r w:rsidR="00B15796" w:rsidRPr="00207DD5">
        <w:t>outcome</w:t>
      </w:r>
      <w:r w:rsidRPr="00207DD5">
        <w:t xml:space="preserve"> of </w:t>
      </w:r>
      <w:r w:rsidR="00B15796" w:rsidRPr="00207DD5">
        <w:t>negotiations</w:t>
      </w:r>
      <w:r w:rsidRPr="00207DD5">
        <w:t>.</w:t>
      </w:r>
    </w:p>
    <w:p w14:paraId="1F420402" w14:textId="41A165C7" w:rsidR="008422BD" w:rsidRPr="00207DD5" w:rsidRDefault="008422BD" w:rsidP="008422BD">
      <w:pPr>
        <w:pStyle w:val="Bullet"/>
      </w:pPr>
      <w:r w:rsidRPr="00207DD5">
        <w:t>Finance Procurement</w:t>
      </w:r>
      <w:r w:rsidR="008D0E64" w:rsidRPr="00207DD5">
        <w:t xml:space="preserve"> Services</w:t>
      </w:r>
      <w:r w:rsidRPr="00207DD5">
        <w:t>. Funding for this program was announced as part of the 2023</w:t>
      </w:r>
      <w:r w:rsidR="00541FDF" w:rsidRPr="00207DD5">
        <w:rPr>
          <w:lang w:val="en-US"/>
        </w:rPr>
        <w:t>–</w:t>
      </w:r>
      <w:r w:rsidRPr="00207DD5">
        <w:t xml:space="preserve">24 MYEFO measure </w:t>
      </w:r>
      <w:r w:rsidRPr="00207DD5">
        <w:rPr>
          <w:i/>
        </w:rPr>
        <w:t>More Efficient and Effective Vehicle Leasing and Fleet Management Arrangement</w:t>
      </w:r>
      <w:r w:rsidRPr="00207DD5">
        <w:t xml:space="preserve"> and was previously not separately identified due to commercial sensitivities.</w:t>
      </w:r>
    </w:p>
    <w:p w14:paraId="14F86F92" w14:textId="55042C04" w:rsidR="00EF461A" w:rsidRPr="00207DD5" w:rsidRDefault="008422BD" w:rsidP="00541FDF">
      <w:pPr>
        <w:pStyle w:val="Bullet"/>
        <w:numPr>
          <w:ilvl w:val="0"/>
          <w:numId w:val="0"/>
        </w:numPr>
        <w:ind w:left="284" w:hanging="284"/>
      </w:pPr>
      <w:r w:rsidRPr="00207DD5">
        <w:t>•</w:t>
      </w:r>
      <w:r w:rsidRPr="00207DD5">
        <w:tab/>
        <w:t>Marinus Link</w:t>
      </w:r>
      <w:r w:rsidR="008D0E64" w:rsidRPr="00207DD5">
        <w:t xml:space="preserve"> investment</w:t>
      </w:r>
      <w:r w:rsidRPr="00207DD5">
        <w:t xml:space="preserve">. </w:t>
      </w:r>
      <w:r w:rsidR="00044BEA" w:rsidRPr="00207DD5">
        <w:t>The Australian Government f</w:t>
      </w:r>
      <w:r w:rsidRPr="00207DD5">
        <w:t xml:space="preserve">unding </w:t>
      </w:r>
      <w:r w:rsidR="00044BEA" w:rsidRPr="00207DD5">
        <w:t xml:space="preserve">contribution </w:t>
      </w:r>
      <w:r w:rsidRPr="00207DD5">
        <w:t xml:space="preserve">for this program is provided through the CEFC’s Rewiring the Nation </w:t>
      </w:r>
      <w:r w:rsidR="00570F95" w:rsidRPr="00207DD5">
        <w:t xml:space="preserve">(RtN) </w:t>
      </w:r>
      <w:r w:rsidRPr="00207DD5">
        <w:t xml:space="preserve">program </w:t>
      </w:r>
      <w:r w:rsidR="00DD1781" w:rsidRPr="00207DD5">
        <w:t>(</w:t>
      </w:r>
      <w:r w:rsidR="00854A6F" w:rsidRPr="00207DD5">
        <w:t>included as part of</w:t>
      </w:r>
      <w:r w:rsidR="00300C6B" w:rsidRPr="00207DD5">
        <w:t xml:space="preserve"> the CEFC loans and investments program) </w:t>
      </w:r>
      <w:r w:rsidR="003444E0" w:rsidRPr="00207DD5">
        <w:t xml:space="preserve">and the RtN </w:t>
      </w:r>
      <w:r w:rsidR="00201A4D" w:rsidRPr="00207DD5">
        <w:t>S</w:t>
      </w:r>
      <w:r w:rsidR="003444E0" w:rsidRPr="00207DD5">
        <w:t xml:space="preserve">pecial </w:t>
      </w:r>
      <w:r w:rsidR="00201A4D" w:rsidRPr="00207DD5">
        <w:t>A</w:t>
      </w:r>
      <w:r w:rsidR="003444E0" w:rsidRPr="00207DD5">
        <w:t>ccount</w:t>
      </w:r>
      <w:r w:rsidR="00201A4D" w:rsidRPr="00207DD5">
        <w:t>,</w:t>
      </w:r>
      <w:r w:rsidR="00137E69" w:rsidRPr="00207DD5">
        <w:t xml:space="preserve"> administered by the Department of Climate Change, Energy, </w:t>
      </w:r>
      <w:r w:rsidR="008A72A1" w:rsidRPr="00207DD5">
        <w:t>the Environment and Water</w:t>
      </w:r>
      <w:r w:rsidR="00C03B4D" w:rsidRPr="00207DD5">
        <w:t>,</w:t>
      </w:r>
      <w:r w:rsidR="001A5978" w:rsidRPr="00207DD5">
        <w:t xml:space="preserve"> </w:t>
      </w:r>
      <w:r w:rsidRPr="00207DD5">
        <w:t>and was previously not separately identified due to commercial sensitivities.</w:t>
      </w:r>
    </w:p>
    <w:p w14:paraId="2D706592" w14:textId="68901824" w:rsidR="00293BC1" w:rsidRPr="00207DD5" w:rsidRDefault="00293BC1" w:rsidP="00373D94">
      <w:r w:rsidRPr="00207DD5">
        <w:rPr>
          <w:i/>
        </w:rPr>
        <w:t xml:space="preserve"> </w:t>
      </w:r>
      <w:r w:rsidRPr="00207DD5">
        <w:br w:type="page"/>
      </w:r>
    </w:p>
    <w:p w14:paraId="4BF54A62" w14:textId="6503F98F" w:rsidR="00293BC1" w:rsidRPr="00207DD5" w:rsidRDefault="00293BC1" w:rsidP="001E7968">
      <w:pPr>
        <w:pStyle w:val="TableHeading"/>
        <w:rPr>
          <w:rFonts w:asciiTheme="minorHAnsi" w:eastAsiaTheme="minorEastAsia" w:hAnsiTheme="minorHAnsi" w:cstheme="minorBidi"/>
          <w:sz w:val="22"/>
          <w:szCs w:val="22"/>
          <w:lang w:eastAsia="en-US"/>
        </w:rPr>
      </w:pPr>
      <w:r w:rsidRPr="00207DD5">
        <w:lastRenderedPageBreak/>
        <w:t>Table 3.</w:t>
      </w:r>
      <w:r w:rsidR="00AC576E" w:rsidRPr="00207DD5">
        <w:t>5</w:t>
      </w:r>
      <w:r w:rsidRPr="00207DD5">
        <w:t>: Reconciliation of general government sector underlying and headline cash balance estimates</w:t>
      </w:r>
      <w:bookmarkStart w:id="54" w:name="_1803793606"/>
      <w:bookmarkStart w:id="55" w:name="_1803803589"/>
      <w:bookmarkStart w:id="56" w:name="_1803822464"/>
      <w:bookmarkStart w:id="57" w:name="_1804054051"/>
      <w:bookmarkStart w:id="58" w:name="_1804053045"/>
      <w:bookmarkStart w:id="59" w:name="_1804053736"/>
      <w:bookmarkStart w:id="60" w:name="_1804053350"/>
      <w:bookmarkStart w:id="61" w:name="_1803883748"/>
      <w:bookmarkStart w:id="62" w:name="_1803794602"/>
      <w:bookmarkStart w:id="63" w:name="_1803821921"/>
      <w:bookmarkStart w:id="64" w:name="_1803821846"/>
      <w:bookmarkStart w:id="65" w:name="_1803822552"/>
      <w:bookmarkStart w:id="66" w:name="_1803821250"/>
      <w:bookmarkStart w:id="67" w:name="_1803821679"/>
      <w:bookmarkStart w:id="68" w:name="_1803821295"/>
      <w:bookmarkStart w:id="69" w:name="_1803821179"/>
      <w:bookmarkStart w:id="70" w:name="_1803824261"/>
      <w:bookmarkStart w:id="71" w:name="_1803824092"/>
      <w:bookmarkStart w:id="72" w:name="_1803823907"/>
      <w:bookmarkStart w:id="73" w:name="_1803823704"/>
      <w:bookmarkStart w:id="74" w:name="_1803823249"/>
      <w:bookmarkStart w:id="75" w:name="_1803816743"/>
      <w:bookmarkStart w:id="76" w:name="_1803823103"/>
      <w:bookmarkStart w:id="77" w:name="_1803891222"/>
      <w:bookmarkStart w:id="78" w:name="_1803892315"/>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tbl>
      <w:tblPr>
        <w:tblW w:w="5000" w:type="pct"/>
        <w:tblCellMar>
          <w:left w:w="0" w:type="dxa"/>
          <w:right w:w="28" w:type="dxa"/>
        </w:tblCellMar>
        <w:tblLook w:val="0620" w:firstRow="1" w:lastRow="0" w:firstColumn="0" w:lastColumn="0" w:noHBand="1" w:noVBand="1"/>
      </w:tblPr>
      <w:tblGrid>
        <w:gridCol w:w="3243"/>
        <w:gridCol w:w="730"/>
        <w:gridCol w:w="730"/>
        <w:gridCol w:w="730"/>
        <w:gridCol w:w="731"/>
        <w:gridCol w:w="731"/>
        <w:gridCol w:w="73"/>
        <w:gridCol w:w="742"/>
      </w:tblGrid>
      <w:tr w:rsidR="004F4318" w14:paraId="154E03B1" w14:textId="77777777" w:rsidTr="00E91697">
        <w:trPr>
          <w:trHeight w:hRule="exact" w:val="225"/>
        </w:trPr>
        <w:tc>
          <w:tcPr>
            <w:tcW w:w="2104" w:type="pct"/>
            <w:tcBorders>
              <w:top w:val="single" w:sz="4" w:space="0" w:color="293F5B"/>
              <w:left w:val="nil"/>
              <w:bottom w:val="nil"/>
              <w:right w:val="nil"/>
            </w:tcBorders>
            <w:shd w:val="clear" w:color="000000" w:fill="FFFFFF"/>
            <w:noWrap/>
            <w:vAlign w:val="bottom"/>
            <w:hideMark/>
          </w:tcPr>
          <w:p w14:paraId="1C7F5FCA"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2369" w:type="pct"/>
            <w:gridSpan w:val="5"/>
            <w:tcBorders>
              <w:top w:val="single" w:sz="4" w:space="0" w:color="293F5B"/>
              <w:left w:val="nil"/>
              <w:bottom w:val="single" w:sz="4" w:space="0" w:color="293F5B"/>
              <w:right w:val="nil"/>
            </w:tcBorders>
            <w:shd w:val="clear" w:color="000000" w:fill="FFFFFF"/>
            <w:noWrap/>
            <w:vAlign w:val="bottom"/>
            <w:hideMark/>
          </w:tcPr>
          <w:p w14:paraId="5D8A867F" w14:textId="77777777" w:rsidR="004F4318" w:rsidRPr="007B5379" w:rsidRDefault="004F4318" w:rsidP="004F4318">
            <w:pPr>
              <w:spacing w:before="0" w:after="0" w:line="240" w:lineRule="auto"/>
              <w:jc w:val="center"/>
              <w:rPr>
                <w:rFonts w:ascii="Arial" w:hAnsi="Arial" w:cs="Arial"/>
                <w:color w:val="00FFFF"/>
                <w:sz w:val="16"/>
                <w:szCs w:val="16"/>
                <w:highlight w:val="magenta"/>
              </w:rPr>
            </w:pPr>
            <w:r w:rsidRPr="00207DD5">
              <w:rPr>
                <w:rFonts w:ascii="Arial" w:hAnsi="Arial" w:cs="Arial"/>
                <w:sz w:val="16"/>
                <w:szCs w:val="16"/>
              </w:rPr>
              <w:t>Estimates</w:t>
            </w:r>
          </w:p>
        </w:tc>
        <w:tc>
          <w:tcPr>
            <w:tcW w:w="45" w:type="pct"/>
            <w:tcBorders>
              <w:top w:val="single" w:sz="4" w:space="0" w:color="293F5B"/>
              <w:left w:val="nil"/>
              <w:bottom w:val="nil"/>
              <w:right w:val="nil"/>
            </w:tcBorders>
            <w:shd w:val="clear" w:color="000000" w:fill="FFFFFF"/>
            <w:noWrap/>
            <w:vAlign w:val="bottom"/>
            <w:hideMark/>
          </w:tcPr>
          <w:p w14:paraId="2656A63B"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single" w:sz="4" w:space="0" w:color="293F5B"/>
              <w:left w:val="nil"/>
              <w:bottom w:val="single" w:sz="4" w:space="0" w:color="293F5B"/>
              <w:right w:val="nil"/>
            </w:tcBorders>
            <w:shd w:val="clear" w:color="000000" w:fill="FFFFFF"/>
            <w:noWrap/>
            <w:vAlign w:val="bottom"/>
            <w:hideMark/>
          </w:tcPr>
          <w:p w14:paraId="6533F515"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028F27B7"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6CF067B4"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left w:val="nil"/>
              <w:bottom w:val="nil"/>
              <w:right w:val="nil"/>
            </w:tcBorders>
            <w:shd w:val="clear" w:color="000000" w:fill="FFFFFF"/>
            <w:noWrap/>
            <w:vAlign w:val="center"/>
            <w:hideMark/>
          </w:tcPr>
          <w:p w14:paraId="5DC74C6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2025-26</w:t>
            </w:r>
          </w:p>
        </w:tc>
        <w:tc>
          <w:tcPr>
            <w:tcW w:w="474" w:type="pct"/>
            <w:tcBorders>
              <w:left w:val="nil"/>
              <w:bottom w:val="nil"/>
              <w:right w:val="nil"/>
            </w:tcBorders>
            <w:shd w:val="clear" w:color="000000" w:fill="E6F2FF"/>
            <w:noWrap/>
            <w:vAlign w:val="center"/>
            <w:hideMark/>
          </w:tcPr>
          <w:p w14:paraId="41CA76A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2026-27</w:t>
            </w:r>
          </w:p>
        </w:tc>
        <w:tc>
          <w:tcPr>
            <w:tcW w:w="474" w:type="pct"/>
            <w:tcBorders>
              <w:left w:val="nil"/>
              <w:bottom w:val="nil"/>
              <w:right w:val="nil"/>
            </w:tcBorders>
            <w:shd w:val="clear" w:color="000000" w:fill="FFFFFF"/>
            <w:noWrap/>
            <w:vAlign w:val="center"/>
            <w:hideMark/>
          </w:tcPr>
          <w:p w14:paraId="0F37258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2027-28</w:t>
            </w:r>
          </w:p>
        </w:tc>
        <w:tc>
          <w:tcPr>
            <w:tcW w:w="474" w:type="pct"/>
            <w:tcBorders>
              <w:left w:val="nil"/>
              <w:bottom w:val="nil"/>
              <w:right w:val="nil"/>
            </w:tcBorders>
            <w:shd w:val="clear" w:color="000000" w:fill="FFFFFF"/>
            <w:noWrap/>
            <w:vAlign w:val="center"/>
            <w:hideMark/>
          </w:tcPr>
          <w:p w14:paraId="51A7C11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2028-29</w:t>
            </w:r>
          </w:p>
        </w:tc>
        <w:tc>
          <w:tcPr>
            <w:tcW w:w="474" w:type="pct"/>
            <w:tcBorders>
              <w:left w:val="nil"/>
              <w:bottom w:val="nil"/>
              <w:right w:val="nil"/>
            </w:tcBorders>
            <w:shd w:val="clear" w:color="000000" w:fill="FFFFFF"/>
            <w:noWrap/>
            <w:vAlign w:val="center"/>
            <w:hideMark/>
          </w:tcPr>
          <w:p w14:paraId="2BA6DA9C"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2029-30</w:t>
            </w:r>
          </w:p>
        </w:tc>
        <w:tc>
          <w:tcPr>
            <w:tcW w:w="45" w:type="pct"/>
            <w:tcBorders>
              <w:top w:val="nil"/>
              <w:left w:val="nil"/>
              <w:bottom w:val="nil"/>
              <w:right w:val="nil"/>
            </w:tcBorders>
            <w:shd w:val="clear" w:color="000000" w:fill="FFFFFF"/>
            <w:noWrap/>
            <w:vAlign w:val="bottom"/>
            <w:hideMark/>
          </w:tcPr>
          <w:p w14:paraId="3B1D4AF2"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single" w:sz="4" w:space="0" w:color="293F5B"/>
              <w:left w:val="nil"/>
              <w:bottom w:val="nil"/>
              <w:right w:val="nil"/>
            </w:tcBorders>
            <w:shd w:val="clear" w:color="000000" w:fill="FFFFFF"/>
            <w:noWrap/>
            <w:vAlign w:val="bottom"/>
            <w:hideMark/>
          </w:tcPr>
          <w:p w14:paraId="6DD0E932"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Total</w:t>
            </w:r>
          </w:p>
        </w:tc>
      </w:tr>
      <w:tr w:rsidR="004F4318" w14:paraId="3D38E9BC"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48F35765"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single" w:sz="4" w:space="0" w:color="293F5B"/>
              <w:right w:val="nil"/>
            </w:tcBorders>
            <w:shd w:val="clear" w:color="000000" w:fill="FFFFFF"/>
            <w:noWrap/>
            <w:vAlign w:val="bottom"/>
            <w:hideMark/>
          </w:tcPr>
          <w:p w14:paraId="3A6C953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74" w:type="pct"/>
            <w:tcBorders>
              <w:top w:val="nil"/>
              <w:left w:val="nil"/>
              <w:bottom w:val="single" w:sz="4" w:space="0" w:color="293F5B"/>
              <w:right w:val="nil"/>
            </w:tcBorders>
            <w:shd w:val="clear" w:color="000000" w:fill="E6F2FF"/>
            <w:noWrap/>
            <w:vAlign w:val="bottom"/>
            <w:hideMark/>
          </w:tcPr>
          <w:p w14:paraId="72A5091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74" w:type="pct"/>
            <w:tcBorders>
              <w:top w:val="nil"/>
              <w:left w:val="nil"/>
              <w:bottom w:val="single" w:sz="4" w:space="0" w:color="293F5B"/>
              <w:right w:val="nil"/>
            </w:tcBorders>
            <w:shd w:val="clear" w:color="000000" w:fill="FFFFFF"/>
            <w:noWrap/>
            <w:vAlign w:val="bottom"/>
            <w:hideMark/>
          </w:tcPr>
          <w:p w14:paraId="405A945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74" w:type="pct"/>
            <w:tcBorders>
              <w:top w:val="nil"/>
              <w:left w:val="nil"/>
              <w:bottom w:val="single" w:sz="4" w:space="0" w:color="293F5B"/>
              <w:right w:val="nil"/>
            </w:tcBorders>
            <w:shd w:val="clear" w:color="000000" w:fill="FFFFFF"/>
            <w:noWrap/>
            <w:vAlign w:val="bottom"/>
            <w:hideMark/>
          </w:tcPr>
          <w:p w14:paraId="6DF9B77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74" w:type="pct"/>
            <w:tcBorders>
              <w:top w:val="nil"/>
              <w:left w:val="nil"/>
              <w:bottom w:val="single" w:sz="4" w:space="0" w:color="293F5B"/>
              <w:right w:val="nil"/>
            </w:tcBorders>
            <w:shd w:val="clear" w:color="000000" w:fill="FFFFFF"/>
            <w:noWrap/>
            <w:vAlign w:val="bottom"/>
            <w:hideMark/>
          </w:tcPr>
          <w:p w14:paraId="2000B66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5" w:type="pct"/>
            <w:tcBorders>
              <w:top w:val="nil"/>
              <w:left w:val="nil"/>
              <w:bottom w:val="nil"/>
              <w:right w:val="nil"/>
            </w:tcBorders>
            <w:shd w:val="clear" w:color="000000" w:fill="FFFFFF"/>
            <w:noWrap/>
            <w:vAlign w:val="bottom"/>
            <w:hideMark/>
          </w:tcPr>
          <w:p w14:paraId="5662B3FC"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single" w:sz="4" w:space="0" w:color="293F5B"/>
              <w:right w:val="nil"/>
            </w:tcBorders>
            <w:shd w:val="clear" w:color="000000" w:fill="FFFFFF"/>
            <w:noWrap/>
            <w:vAlign w:val="bottom"/>
            <w:hideMark/>
          </w:tcPr>
          <w:p w14:paraId="239F9C39"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$m</w:t>
            </w:r>
          </w:p>
        </w:tc>
      </w:tr>
      <w:tr w:rsidR="004F4318" w14:paraId="41DF5096"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4B6B9F86"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2026-27 Budget underlying</w:t>
            </w:r>
          </w:p>
        </w:tc>
        <w:tc>
          <w:tcPr>
            <w:tcW w:w="474" w:type="pct"/>
            <w:tcBorders>
              <w:top w:val="nil"/>
              <w:left w:val="nil"/>
              <w:bottom w:val="nil"/>
              <w:right w:val="nil"/>
            </w:tcBorders>
            <w:shd w:val="clear" w:color="000000" w:fill="FFFFFF"/>
            <w:noWrap/>
            <w:vAlign w:val="bottom"/>
            <w:hideMark/>
          </w:tcPr>
          <w:p w14:paraId="7AD3A36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bottom"/>
            <w:hideMark/>
          </w:tcPr>
          <w:p w14:paraId="2431A54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1F9F5C02"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3F9974D2"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7D2369B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 w:type="pct"/>
            <w:tcBorders>
              <w:top w:val="nil"/>
              <w:left w:val="nil"/>
              <w:bottom w:val="nil"/>
              <w:right w:val="nil"/>
            </w:tcBorders>
            <w:shd w:val="clear" w:color="000000" w:fill="FFFFFF"/>
            <w:noWrap/>
            <w:vAlign w:val="bottom"/>
            <w:hideMark/>
          </w:tcPr>
          <w:p w14:paraId="529A772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0AD8FFF0"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1CF49A22"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2F235F63" w14:textId="77777777" w:rsidR="004F4318" w:rsidRPr="007B5379" w:rsidRDefault="004F4318" w:rsidP="004F4318">
            <w:pPr>
              <w:spacing w:before="0" w:after="0" w:line="240" w:lineRule="auto"/>
              <w:ind w:firstLineChars="100" w:firstLine="161"/>
              <w:rPr>
                <w:rFonts w:ascii="Arial" w:hAnsi="Arial" w:cs="Arial"/>
                <w:b/>
                <w:color w:val="00FFFF"/>
                <w:sz w:val="16"/>
                <w:szCs w:val="16"/>
                <w:highlight w:val="magenta"/>
              </w:rPr>
            </w:pPr>
            <w:r w:rsidRPr="00207DD5">
              <w:rPr>
                <w:rFonts w:ascii="Arial" w:hAnsi="Arial" w:cs="Arial"/>
                <w:b/>
                <w:sz w:val="16"/>
                <w:szCs w:val="16"/>
              </w:rPr>
              <w:t>cash balance</w:t>
            </w:r>
          </w:p>
        </w:tc>
        <w:tc>
          <w:tcPr>
            <w:tcW w:w="474" w:type="pct"/>
            <w:tcBorders>
              <w:top w:val="nil"/>
              <w:left w:val="nil"/>
              <w:bottom w:val="nil"/>
              <w:right w:val="nil"/>
            </w:tcBorders>
            <w:shd w:val="clear" w:color="000000" w:fill="FFFFFF"/>
            <w:noWrap/>
            <w:vAlign w:val="bottom"/>
            <w:hideMark/>
          </w:tcPr>
          <w:p w14:paraId="7B0F2B15"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-28,284</w:t>
            </w:r>
          </w:p>
        </w:tc>
        <w:tc>
          <w:tcPr>
            <w:tcW w:w="474" w:type="pct"/>
            <w:tcBorders>
              <w:top w:val="nil"/>
              <w:left w:val="nil"/>
              <w:bottom w:val="nil"/>
              <w:right w:val="nil"/>
            </w:tcBorders>
            <w:shd w:val="clear" w:color="000000" w:fill="E6F2FF"/>
            <w:noWrap/>
            <w:vAlign w:val="bottom"/>
            <w:hideMark/>
          </w:tcPr>
          <w:p w14:paraId="0FF4C7D5"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-31,542</w:t>
            </w:r>
          </w:p>
        </w:tc>
        <w:tc>
          <w:tcPr>
            <w:tcW w:w="474" w:type="pct"/>
            <w:tcBorders>
              <w:top w:val="nil"/>
              <w:left w:val="nil"/>
              <w:bottom w:val="nil"/>
              <w:right w:val="nil"/>
            </w:tcBorders>
            <w:shd w:val="clear" w:color="000000" w:fill="FFFFFF"/>
            <w:noWrap/>
            <w:vAlign w:val="bottom"/>
            <w:hideMark/>
          </w:tcPr>
          <w:p w14:paraId="3CA2EBF4"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-31,000</w:t>
            </w:r>
          </w:p>
        </w:tc>
        <w:tc>
          <w:tcPr>
            <w:tcW w:w="474" w:type="pct"/>
            <w:tcBorders>
              <w:top w:val="nil"/>
              <w:left w:val="nil"/>
              <w:bottom w:val="nil"/>
              <w:right w:val="nil"/>
            </w:tcBorders>
            <w:shd w:val="clear" w:color="000000" w:fill="FFFFFF"/>
            <w:noWrap/>
            <w:vAlign w:val="bottom"/>
            <w:hideMark/>
          </w:tcPr>
          <w:p w14:paraId="5142C49C"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-34,445</w:t>
            </w:r>
          </w:p>
        </w:tc>
        <w:tc>
          <w:tcPr>
            <w:tcW w:w="474" w:type="pct"/>
            <w:tcBorders>
              <w:top w:val="nil"/>
              <w:left w:val="nil"/>
              <w:bottom w:val="nil"/>
              <w:right w:val="nil"/>
            </w:tcBorders>
            <w:shd w:val="clear" w:color="000000" w:fill="FFFFFF"/>
            <w:noWrap/>
            <w:vAlign w:val="bottom"/>
            <w:hideMark/>
          </w:tcPr>
          <w:p w14:paraId="097D6DC4"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-25,259</w:t>
            </w:r>
          </w:p>
        </w:tc>
        <w:tc>
          <w:tcPr>
            <w:tcW w:w="45" w:type="pct"/>
            <w:tcBorders>
              <w:top w:val="nil"/>
              <w:left w:val="nil"/>
              <w:bottom w:val="nil"/>
              <w:right w:val="nil"/>
            </w:tcBorders>
            <w:shd w:val="clear" w:color="000000" w:fill="FFFFFF"/>
            <w:noWrap/>
            <w:vAlign w:val="bottom"/>
            <w:hideMark/>
          </w:tcPr>
          <w:p w14:paraId="2BE8AA8E"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82" w:type="pct"/>
            <w:tcBorders>
              <w:top w:val="nil"/>
              <w:left w:val="nil"/>
              <w:bottom w:val="nil"/>
              <w:right w:val="nil"/>
            </w:tcBorders>
            <w:shd w:val="clear" w:color="000000" w:fill="FFFFFF"/>
            <w:noWrap/>
            <w:vAlign w:val="bottom"/>
            <w:hideMark/>
          </w:tcPr>
          <w:p w14:paraId="17E3E5D3" w14:textId="77777777" w:rsidR="004F4318" w:rsidRPr="00207DD5" w:rsidRDefault="004F4318" w:rsidP="004F4318">
            <w:pPr>
              <w:spacing w:before="0" w:after="0" w:line="240" w:lineRule="auto"/>
              <w:jc w:val="right"/>
              <w:rPr>
                <w:rFonts w:ascii="Arial" w:hAnsi="Arial" w:cs="Arial"/>
                <w:b/>
                <w:sz w:val="16"/>
                <w:szCs w:val="16"/>
              </w:rPr>
            </w:pPr>
            <w:r w:rsidRPr="00207DD5">
              <w:rPr>
                <w:rFonts w:ascii="Arial" w:hAnsi="Arial" w:cs="Arial"/>
                <w:b/>
                <w:sz w:val="16"/>
                <w:szCs w:val="16"/>
              </w:rPr>
              <w:t>-150,530</w:t>
            </w:r>
          </w:p>
        </w:tc>
      </w:tr>
      <w:tr w:rsidR="004F4318" w14:paraId="48A357FD"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6EC9D2F4" w14:textId="77777777" w:rsidR="004F4318" w:rsidRPr="007B5379" w:rsidRDefault="004F4318" w:rsidP="004F4318">
            <w:pPr>
              <w:spacing w:before="0" w:after="0" w:line="240" w:lineRule="auto"/>
              <w:rPr>
                <w:rFonts w:ascii="Arial" w:hAnsi="Arial" w:cs="Arial"/>
                <w:b/>
                <w:color w:val="00FFFF"/>
                <w:sz w:val="16"/>
                <w:szCs w:val="16"/>
                <w:highlight w:val="magenta"/>
              </w:rPr>
            </w:pPr>
            <w:proofErr w:type="gramStart"/>
            <w:r w:rsidRPr="00207DD5">
              <w:rPr>
                <w:rFonts w:ascii="Arial" w:hAnsi="Arial" w:cs="Arial"/>
                <w:b/>
                <w:i/>
                <w:sz w:val="16"/>
                <w:szCs w:val="16"/>
              </w:rPr>
              <w:t>plus</w:t>
            </w:r>
            <w:proofErr w:type="gramEnd"/>
            <w:r w:rsidRPr="00207DD5">
              <w:rPr>
                <w:rFonts w:ascii="Arial" w:hAnsi="Arial" w:cs="Arial"/>
                <w:b/>
                <w:sz w:val="16"/>
                <w:szCs w:val="16"/>
              </w:rPr>
              <w:t xml:space="preserve"> Net cash flows from </w:t>
            </w:r>
          </w:p>
        </w:tc>
        <w:tc>
          <w:tcPr>
            <w:tcW w:w="474" w:type="pct"/>
            <w:tcBorders>
              <w:top w:val="nil"/>
              <w:left w:val="nil"/>
              <w:bottom w:val="nil"/>
              <w:right w:val="nil"/>
            </w:tcBorders>
            <w:shd w:val="clear" w:color="000000" w:fill="FFFFFF"/>
            <w:noWrap/>
            <w:vAlign w:val="bottom"/>
            <w:hideMark/>
          </w:tcPr>
          <w:p w14:paraId="4FAEDB38"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E6F2FF"/>
            <w:noWrap/>
            <w:vAlign w:val="bottom"/>
            <w:hideMark/>
          </w:tcPr>
          <w:p w14:paraId="021CC180"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bottom"/>
            <w:hideMark/>
          </w:tcPr>
          <w:p w14:paraId="2437E9EC"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bottom"/>
            <w:hideMark/>
          </w:tcPr>
          <w:p w14:paraId="1015D2D7"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bottom"/>
            <w:hideMark/>
          </w:tcPr>
          <w:p w14:paraId="30462CE4"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5" w:type="pct"/>
            <w:tcBorders>
              <w:top w:val="nil"/>
              <w:left w:val="nil"/>
              <w:bottom w:val="nil"/>
              <w:right w:val="nil"/>
            </w:tcBorders>
            <w:shd w:val="clear" w:color="000000" w:fill="FFFFFF"/>
            <w:noWrap/>
            <w:vAlign w:val="bottom"/>
            <w:hideMark/>
          </w:tcPr>
          <w:p w14:paraId="0F34F5CE"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82" w:type="pct"/>
            <w:tcBorders>
              <w:top w:val="nil"/>
              <w:left w:val="nil"/>
              <w:bottom w:val="nil"/>
              <w:right w:val="nil"/>
            </w:tcBorders>
            <w:shd w:val="clear" w:color="000000" w:fill="FFFFFF"/>
            <w:noWrap/>
            <w:vAlign w:val="bottom"/>
            <w:hideMark/>
          </w:tcPr>
          <w:p w14:paraId="7DC6A48B" w14:textId="77777777" w:rsidR="004F4318" w:rsidRPr="00207DD5" w:rsidRDefault="004F4318" w:rsidP="004F4318">
            <w:pPr>
              <w:spacing w:before="0" w:after="0" w:line="240" w:lineRule="auto"/>
              <w:rPr>
                <w:rFonts w:ascii="Arial" w:hAnsi="Arial" w:cs="Arial"/>
                <w:b/>
                <w:sz w:val="16"/>
                <w:szCs w:val="16"/>
              </w:rPr>
            </w:pPr>
            <w:r w:rsidRPr="00207DD5">
              <w:rPr>
                <w:rFonts w:ascii="Arial" w:hAnsi="Arial" w:cs="Arial"/>
                <w:b/>
                <w:sz w:val="16"/>
                <w:szCs w:val="16"/>
              </w:rPr>
              <w:t> </w:t>
            </w:r>
          </w:p>
        </w:tc>
      </w:tr>
      <w:tr w:rsidR="004F4318" w14:paraId="508C9E10"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3D73698A" w14:textId="77777777" w:rsidR="004F4318" w:rsidRPr="007B5379" w:rsidRDefault="004F4318" w:rsidP="004F4318">
            <w:pPr>
              <w:spacing w:before="0" w:after="0" w:line="240" w:lineRule="auto"/>
              <w:ind w:firstLineChars="100" w:firstLine="161"/>
              <w:rPr>
                <w:rFonts w:ascii="Arial" w:hAnsi="Arial" w:cs="Arial"/>
                <w:b/>
                <w:color w:val="00FFFF"/>
                <w:sz w:val="16"/>
                <w:szCs w:val="16"/>
                <w:highlight w:val="magenta"/>
              </w:rPr>
            </w:pPr>
            <w:r w:rsidRPr="00207DD5">
              <w:rPr>
                <w:rFonts w:ascii="Arial" w:hAnsi="Arial" w:cs="Arial"/>
                <w:b/>
                <w:sz w:val="16"/>
                <w:szCs w:val="16"/>
              </w:rPr>
              <w:t xml:space="preserve">investments in financial </w:t>
            </w:r>
          </w:p>
        </w:tc>
        <w:tc>
          <w:tcPr>
            <w:tcW w:w="474" w:type="pct"/>
            <w:tcBorders>
              <w:top w:val="nil"/>
              <w:left w:val="nil"/>
              <w:bottom w:val="nil"/>
              <w:right w:val="nil"/>
            </w:tcBorders>
            <w:shd w:val="clear" w:color="000000" w:fill="FFFFFF"/>
            <w:noWrap/>
            <w:vAlign w:val="bottom"/>
            <w:hideMark/>
          </w:tcPr>
          <w:p w14:paraId="0FA4AACD"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bottom"/>
            <w:hideMark/>
          </w:tcPr>
          <w:p w14:paraId="3B3941E1"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1EA1328D"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291D0E96"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5AC54F48"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 w:type="pct"/>
            <w:tcBorders>
              <w:top w:val="nil"/>
              <w:left w:val="nil"/>
              <w:bottom w:val="nil"/>
              <w:right w:val="nil"/>
            </w:tcBorders>
            <w:shd w:val="clear" w:color="000000" w:fill="FFFFFF"/>
            <w:noWrap/>
            <w:vAlign w:val="bottom"/>
            <w:hideMark/>
          </w:tcPr>
          <w:p w14:paraId="5E7F5F3C"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57757815"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12B03E00"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3D989CE3" w14:textId="77777777" w:rsidR="004F4318" w:rsidRPr="007B5379" w:rsidRDefault="004F4318" w:rsidP="004F4318">
            <w:pPr>
              <w:spacing w:before="0" w:after="0" w:line="240" w:lineRule="auto"/>
              <w:ind w:firstLineChars="100" w:firstLine="161"/>
              <w:rPr>
                <w:rFonts w:ascii="Arial" w:hAnsi="Arial" w:cs="Arial"/>
                <w:b/>
                <w:color w:val="00FFFF"/>
                <w:sz w:val="16"/>
                <w:szCs w:val="16"/>
                <w:highlight w:val="magenta"/>
              </w:rPr>
            </w:pPr>
            <w:r w:rsidRPr="00207DD5">
              <w:rPr>
                <w:rFonts w:ascii="Arial" w:hAnsi="Arial" w:cs="Arial"/>
                <w:b/>
                <w:sz w:val="16"/>
                <w:szCs w:val="16"/>
              </w:rPr>
              <w:t>assets for policy purposes(a)</w:t>
            </w:r>
          </w:p>
        </w:tc>
        <w:tc>
          <w:tcPr>
            <w:tcW w:w="474" w:type="pct"/>
            <w:tcBorders>
              <w:top w:val="nil"/>
              <w:left w:val="nil"/>
              <w:bottom w:val="nil"/>
              <w:right w:val="nil"/>
            </w:tcBorders>
            <w:shd w:val="clear" w:color="000000" w:fill="FFFFFF"/>
            <w:noWrap/>
            <w:vAlign w:val="bottom"/>
            <w:hideMark/>
          </w:tcPr>
          <w:p w14:paraId="22C77879"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bottom"/>
            <w:hideMark/>
          </w:tcPr>
          <w:p w14:paraId="596582C9"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26574824"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7D774EDD"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6519608E"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 w:type="pct"/>
            <w:tcBorders>
              <w:top w:val="nil"/>
              <w:left w:val="nil"/>
              <w:bottom w:val="nil"/>
              <w:right w:val="nil"/>
            </w:tcBorders>
            <w:shd w:val="clear" w:color="000000" w:fill="FFFFFF"/>
            <w:noWrap/>
            <w:vAlign w:val="bottom"/>
            <w:hideMark/>
          </w:tcPr>
          <w:p w14:paraId="199A138F"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46ED24F9"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35FEADF6"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0E473BCD"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Student loans</w:t>
            </w:r>
          </w:p>
        </w:tc>
        <w:tc>
          <w:tcPr>
            <w:tcW w:w="474" w:type="pct"/>
            <w:tcBorders>
              <w:top w:val="nil"/>
              <w:left w:val="nil"/>
              <w:bottom w:val="nil"/>
              <w:right w:val="nil"/>
            </w:tcBorders>
            <w:shd w:val="clear" w:color="000000" w:fill="FFFFFF"/>
            <w:noWrap/>
            <w:vAlign w:val="bottom"/>
            <w:hideMark/>
          </w:tcPr>
          <w:p w14:paraId="5DCDEAF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-4,745</w:t>
            </w:r>
          </w:p>
        </w:tc>
        <w:tc>
          <w:tcPr>
            <w:tcW w:w="474" w:type="pct"/>
            <w:tcBorders>
              <w:top w:val="nil"/>
              <w:left w:val="nil"/>
              <w:bottom w:val="nil"/>
              <w:right w:val="nil"/>
            </w:tcBorders>
            <w:shd w:val="clear" w:color="000000" w:fill="E6F2FF"/>
            <w:noWrap/>
            <w:vAlign w:val="bottom"/>
            <w:hideMark/>
          </w:tcPr>
          <w:p w14:paraId="3FBC924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-5,272</w:t>
            </w:r>
          </w:p>
        </w:tc>
        <w:tc>
          <w:tcPr>
            <w:tcW w:w="474" w:type="pct"/>
            <w:tcBorders>
              <w:top w:val="nil"/>
              <w:left w:val="nil"/>
              <w:bottom w:val="nil"/>
              <w:right w:val="nil"/>
            </w:tcBorders>
            <w:shd w:val="clear" w:color="000000" w:fill="FFFFFF"/>
            <w:noWrap/>
            <w:vAlign w:val="bottom"/>
            <w:hideMark/>
          </w:tcPr>
          <w:p w14:paraId="4044614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-5,850</w:t>
            </w:r>
          </w:p>
        </w:tc>
        <w:tc>
          <w:tcPr>
            <w:tcW w:w="474" w:type="pct"/>
            <w:tcBorders>
              <w:top w:val="nil"/>
              <w:left w:val="nil"/>
              <w:bottom w:val="nil"/>
              <w:right w:val="nil"/>
            </w:tcBorders>
            <w:shd w:val="clear" w:color="000000" w:fill="FFFFFF"/>
            <w:noWrap/>
            <w:vAlign w:val="bottom"/>
            <w:hideMark/>
          </w:tcPr>
          <w:p w14:paraId="1A5465B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-6,299</w:t>
            </w:r>
          </w:p>
        </w:tc>
        <w:tc>
          <w:tcPr>
            <w:tcW w:w="474" w:type="pct"/>
            <w:tcBorders>
              <w:top w:val="nil"/>
              <w:left w:val="nil"/>
              <w:bottom w:val="nil"/>
              <w:right w:val="nil"/>
            </w:tcBorders>
            <w:shd w:val="clear" w:color="000000" w:fill="FFFFFF"/>
            <w:noWrap/>
            <w:vAlign w:val="bottom"/>
            <w:hideMark/>
          </w:tcPr>
          <w:p w14:paraId="32CFDD0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-6,673</w:t>
            </w:r>
          </w:p>
        </w:tc>
        <w:tc>
          <w:tcPr>
            <w:tcW w:w="45" w:type="pct"/>
            <w:tcBorders>
              <w:top w:val="nil"/>
              <w:left w:val="nil"/>
              <w:bottom w:val="nil"/>
              <w:right w:val="nil"/>
            </w:tcBorders>
            <w:shd w:val="clear" w:color="000000" w:fill="FFFFFF"/>
            <w:noWrap/>
            <w:vAlign w:val="bottom"/>
            <w:hideMark/>
          </w:tcPr>
          <w:p w14:paraId="6B6009F2"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5E6A7B07"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-28,839</w:t>
            </w:r>
          </w:p>
        </w:tc>
      </w:tr>
      <w:tr w:rsidR="004F4318" w14:paraId="5AB9DB5A"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066477DC"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NBN investment</w:t>
            </w:r>
          </w:p>
        </w:tc>
        <w:tc>
          <w:tcPr>
            <w:tcW w:w="474" w:type="pct"/>
            <w:tcBorders>
              <w:top w:val="nil"/>
              <w:left w:val="nil"/>
              <w:bottom w:val="nil"/>
              <w:right w:val="nil"/>
            </w:tcBorders>
            <w:shd w:val="clear" w:color="000000" w:fill="FFFFFF"/>
            <w:noWrap/>
            <w:vAlign w:val="bottom"/>
            <w:hideMark/>
          </w:tcPr>
          <w:p w14:paraId="5756DCF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-621</w:t>
            </w:r>
          </w:p>
        </w:tc>
        <w:tc>
          <w:tcPr>
            <w:tcW w:w="474" w:type="pct"/>
            <w:tcBorders>
              <w:top w:val="nil"/>
              <w:left w:val="nil"/>
              <w:bottom w:val="nil"/>
              <w:right w:val="nil"/>
            </w:tcBorders>
            <w:shd w:val="clear" w:color="000000" w:fill="E6F2FF"/>
            <w:noWrap/>
            <w:vAlign w:val="bottom"/>
            <w:hideMark/>
          </w:tcPr>
          <w:p w14:paraId="3A67790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-902</w:t>
            </w:r>
          </w:p>
        </w:tc>
        <w:tc>
          <w:tcPr>
            <w:tcW w:w="474" w:type="pct"/>
            <w:tcBorders>
              <w:top w:val="nil"/>
              <w:left w:val="nil"/>
              <w:bottom w:val="nil"/>
              <w:right w:val="nil"/>
            </w:tcBorders>
            <w:shd w:val="clear" w:color="000000" w:fill="FFFFFF"/>
            <w:noWrap/>
            <w:vAlign w:val="bottom"/>
            <w:hideMark/>
          </w:tcPr>
          <w:p w14:paraId="2E9AA2B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w:t>
            </w:r>
          </w:p>
        </w:tc>
        <w:tc>
          <w:tcPr>
            <w:tcW w:w="474" w:type="pct"/>
            <w:tcBorders>
              <w:top w:val="nil"/>
              <w:left w:val="nil"/>
              <w:bottom w:val="nil"/>
              <w:right w:val="nil"/>
            </w:tcBorders>
            <w:shd w:val="clear" w:color="000000" w:fill="FFFFFF"/>
            <w:noWrap/>
            <w:vAlign w:val="bottom"/>
            <w:hideMark/>
          </w:tcPr>
          <w:p w14:paraId="7D61F20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w:t>
            </w:r>
          </w:p>
        </w:tc>
        <w:tc>
          <w:tcPr>
            <w:tcW w:w="474" w:type="pct"/>
            <w:tcBorders>
              <w:top w:val="nil"/>
              <w:left w:val="nil"/>
              <w:bottom w:val="nil"/>
              <w:right w:val="nil"/>
            </w:tcBorders>
            <w:shd w:val="clear" w:color="000000" w:fill="FFFFFF"/>
            <w:noWrap/>
            <w:vAlign w:val="bottom"/>
            <w:hideMark/>
          </w:tcPr>
          <w:p w14:paraId="318F717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w:t>
            </w:r>
          </w:p>
        </w:tc>
        <w:tc>
          <w:tcPr>
            <w:tcW w:w="45" w:type="pct"/>
            <w:tcBorders>
              <w:top w:val="nil"/>
              <w:left w:val="nil"/>
              <w:bottom w:val="nil"/>
              <w:right w:val="nil"/>
            </w:tcBorders>
            <w:shd w:val="clear" w:color="000000" w:fill="FFFFFF"/>
            <w:noWrap/>
            <w:vAlign w:val="bottom"/>
            <w:hideMark/>
          </w:tcPr>
          <w:p w14:paraId="67013B4C"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354CB49E"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-1,523</w:t>
            </w:r>
          </w:p>
        </w:tc>
      </w:tr>
      <w:tr w:rsidR="004F4318" w14:paraId="4AEC14AC"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2720F040"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Snowy Hydro Limited loan</w:t>
            </w:r>
          </w:p>
        </w:tc>
        <w:tc>
          <w:tcPr>
            <w:tcW w:w="474" w:type="pct"/>
            <w:tcBorders>
              <w:top w:val="nil"/>
              <w:left w:val="nil"/>
              <w:bottom w:val="nil"/>
              <w:right w:val="nil"/>
            </w:tcBorders>
            <w:shd w:val="clear" w:color="000000" w:fill="FFFFFF"/>
            <w:noWrap/>
            <w:vAlign w:val="bottom"/>
            <w:hideMark/>
          </w:tcPr>
          <w:p w14:paraId="35AD97F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-1,450</w:t>
            </w:r>
          </w:p>
        </w:tc>
        <w:tc>
          <w:tcPr>
            <w:tcW w:w="474" w:type="pct"/>
            <w:tcBorders>
              <w:top w:val="nil"/>
              <w:left w:val="nil"/>
              <w:bottom w:val="nil"/>
              <w:right w:val="nil"/>
            </w:tcBorders>
            <w:shd w:val="clear" w:color="000000" w:fill="E6F2FF"/>
            <w:noWrap/>
            <w:vAlign w:val="bottom"/>
            <w:hideMark/>
          </w:tcPr>
          <w:p w14:paraId="5FAB10C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-2,900</w:t>
            </w:r>
          </w:p>
        </w:tc>
        <w:tc>
          <w:tcPr>
            <w:tcW w:w="474" w:type="pct"/>
            <w:tcBorders>
              <w:top w:val="nil"/>
              <w:left w:val="nil"/>
              <w:bottom w:val="nil"/>
              <w:right w:val="nil"/>
            </w:tcBorders>
            <w:shd w:val="clear" w:color="000000" w:fill="FFFFFF"/>
            <w:noWrap/>
            <w:vAlign w:val="bottom"/>
            <w:hideMark/>
          </w:tcPr>
          <w:p w14:paraId="40B08C4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w:t>
            </w:r>
          </w:p>
        </w:tc>
        <w:tc>
          <w:tcPr>
            <w:tcW w:w="474" w:type="pct"/>
            <w:tcBorders>
              <w:top w:val="nil"/>
              <w:left w:val="nil"/>
              <w:bottom w:val="nil"/>
              <w:right w:val="nil"/>
            </w:tcBorders>
            <w:shd w:val="clear" w:color="000000" w:fill="FFFFFF"/>
            <w:noWrap/>
            <w:vAlign w:val="bottom"/>
            <w:hideMark/>
          </w:tcPr>
          <w:p w14:paraId="5002205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w:t>
            </w:r>
          </w:p>
        </w:tc>
        <w:tc>
          <w:tcPr>
            <w:tcW w:w="474" w:type="pct"/>
            <w:tcBorders>
              <w:top w:val="nil"/>
              <w:left w:val="nil"/>
              <w:bottom w:val="nil"/>
              <w:right w:val="nil"/>
            </w:tcBorders>
            <w:shd w:val="clear" w:color="000000" w:fill="FFFFFF"/>
            <w:noWrap/>
            <w:vAlign w:val="bottom"/>
            <w:hideMark/>
          </w:tcPr>
          <w:p w14:paraId="7C9E707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150</w:t>
            </w:r>
          </w:p>
        </w:tc>
        <w:tc>
          <w:tcPr>
            <w:tcW w:w="45" w:type="pct"/>
            <w:tcBorders>
              <w:top w:val="nil"/>
              <w:left w:val="nil"/>
              <w:bottom w:val="nil"/>
              <w:right w:val="nil"/>
            </w:tcBorders>
            <w:shd w:val="clear" w:color="000000" w:fill="FFFFFF"/>
            <w:noWrap/>
            <w:vAlign w:val="bottom"/>
            <w:hideMark/>
          </w:tcPr>
          <w:p w14:paraId="654D18B6"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59B9E0A6"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-4,200</w:t>
            </w:r>
          </w:p>
        </w:tc>
      </w:tr>
      <w:tr w:rsidR="004F4318" w14:paraId="3196C230"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5DE1F88D"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Snowy Hydro Limited investment</w:t>
            </w:r>
          </w:p>
        </w:tc>
        <w:tc>
          <w:tcPr>
            <w:tcW w:w="474" w:type="pct"/>
            <w:tcBorders>
              <w:top w:val="nil"/>
              <w:left w:val="nil"/>
              <w:bottom w:val="nil"/>
              <w:right w:val="nil"/>
            </w:tcBorders>
            <w:shd w:val="clear" w:color="000000" w:fill="FFFFFF"/>
            <w:noWrap/>
            <w:vAlign w:val="bottom"/>
            <w:hideMark/>
          </w:tcPr>
          <w:p w14:paraId="410932E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-975</w:t>
            </w:r>
          </w:p>
        </w:tc>
        <w:tc>
          <w:tcPr>
            <w:tcW w:w="474" w:type="pct"/>
            <w:tcBorders>
              <w:top w:val="nil"/>
              <w:left w:val="nil"/>
              <w:bottom w:val="nil"/>
              <w:right w:val="nil"/>
            </w:tcBorders>
            <w:shd w:val="clear" w:color="000000" w:fill="E6F2FF"/>
            <w:noWrap/>
            <w:vAlign w:val="bottom"/>
            <w:hideMark/>
          </w:tcPr>
          <w:p w14:paraId="18F2C78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w:t>
            </w:r>
          </w:p>
        </w:tc>
        <w:tc>
          <w:tcPr>
            <w:tcW w:w="474" w:type="pct"/>
            <w:tcBorders>
              <w:top w:val="nil"/>
              <w:left w:val="nil"/>
              <w:bottom w:val="nil"/>
              <w:right w:val="nil"/>
            </w:tcBorders>
            <w:shd w:val="clear" w:color="000000" w:fill="FFFFFF"/>
            <w:noWrap/>
            <w:vAlign w:val="bottom"/>
            <w:hideMark/>
          </w:tcPr>
          <w:p w14:paraId="34DD1FF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w:t>
            </w:r>
          </w:p>
        </w:tc>
        <w:tc>
          <w:tcPr>
            <w:tcW w:w="474" w:type="pct"/>
            <w:tcBorders>
              <w:top w:val="nil"/>
              <w:left w:val="nil"/>
              <w:bottom w:val="nil"/>
              <w:right w:val="nil"/>
            </w:tcBorders>
            <w:shd w:val="clear" w:color="000000" w:fill="FFFFFF"/>
            <w:noWrap/>
            <w:vAlign w:val="bottom"/>
            <w:hideMark/>
          </w:tcPr>
          <w:p w14:paraId="2220411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w:t>
            </w:r>
          </w:p>
        </w:tc>
        <w:tc>
          <w:tcPr>
            <w:tcW w:w="474" w:type="pct"/>
            <w:tcBorders>
              <w:top w:val="nil"/>
              <w:left w:val="nil"/>
              <w:bottom w:val="nil"/>
              <w:right w:val="nil"/>
            </w:tcBorders>
            <w:shd w:val="clear" w:color="000000" w:fill="FFFFFF"/>
            <w:noWrap/>
            <w:vAlign w:val="bottom"/>
            <w:hideMark/>
          </w:tcPr>
          <w:p w14:paraId="4A6DDA9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w:t>
            </w:r>
          </w:p>
        </w:tc>
        <w:tc>
          <w:tcPr>
            <w:tcW w:w="45" w:type="pct"/>
            <w:tcBorders>
              <w:top w:val="nil"/>
              <w:left w:val="nil"/>
              <w:bottom w:val="nil"/>
              <w:right w:val="nil"/>
            </w:tcBorders>
            <w:shd w:val="clear" w:color="000000" w:fill="FFFFFF"/>
            <w:noWrap/>
            <w:vAlign w:val="bottom"/>
            <w:hideMark/>
          </w:tcPr>
          <w:p w14:paraId="73676E0D"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61F5E673"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-975</w:t>
            </w:r>
          </w:p>
        </w:tc>
      </w:tr>
      <w:tr w:rsidR="004F4318" w14:paraId="5802D932"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7FA4814D"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Australian apprenticeship</w:t>
            </w:r>
          </w:p>
        </w:tc>
        <w:tc>
          <w:tcPr>
            <w:tcW w:w="474" w:type="pct"/>
            <w:tcBorders>
              <w:top w:val="nil"/>
              <w:left w:val="nil"/>
              <w:bottom w:val="nil"/>
              <w:right w:val="nil"/>
            </w:tcBorders>
            <w:shd w:val="clear" w:color="000000" w:fill="FFFFFF"/>
            <w:noWrap/>
            <w:vAlign w:val="bottom"/>
            <w:hideMark/>
          </w:tcPr>
          <w:p w14:paraId="65016D51"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bottom"/>
            <w:hideMark/>
          </w:tcPr>
          <w:p w14:paraId="02CBB07E"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5B3E931C"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0A9E8201"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7DEE08E5"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 w:type="pct"/>
            <w:tcBorders>
              <w:top w:val="nil"/>
              <w:left w:val="nil"/>
              <w:bottom w:val="nil"/>
              <w:right w:val="nil"/>
            </w:tcBorders>
            <w:shd w:val="clear" w:color="000000" w:fill="FFFFFF"/>
            <w:noWrap/>
            <w:vAlign w:val="bottom"/>
            <w:hideMark/>
          </w:tcPr>
          <w:p w14:paraId="2FD843A9"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16A877A6"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0774E592"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00532E5B" w14:textId="77777777" w:rsidR="004F4318" w:rsidRPr="007B5379" w:rsidRDefault="004F4318" w:rsidP="004F4318">
            <w:pPr>
              <w:spacing w:before="0" w:after="0" w:line="240" w:lineRule="auto"/>
              <w:ind w:firstLineChars="300" w:firstLine="480"/>
              <w:rPr>
                <w:rFonts w:ascii="Arial" w:hAnsi="Arial" w:cs="Arial"/>
                <w:color w:val="00FFFF"/>
                <w:sz w:val="16"/>
                <w:szCs w:val="16"/>
                <w:highlight w:val="magenta"/>
              </w:rPr>
            </w:pPr>
            <w:r w:rsidRPr="00207DD5">
              <w:rPr>
                <w:rFonts w:ascii="Arial" w:hAnsi="Arial" w:cs="Arial"/>
                <w:sz w:val="16"/>
                <w:szCs w:val="16"/>
              </w:rPr>
              <w:t xml:space="preserve"> support loans</w:t>
            </w:r>
          </w:p>
        </w:tc>
        <w:tc>
          <w:tcPr>
            <w:tcW w:w="474" w:type="pct"/>
            <w:tcBorders>
              <w:top w:val="nil"/>
              <w:left w:val="nil"/>
              <w:bottom w:val="nil"/>
              <w:right w:val="nil"/>
            </w:tcBorders>
            <w:shd w:val="clear" w:color="000000" w:fill="FFFFFF"/>
            <w:noWrap/>
            <w:vAlign w:val="bottom"/>
            <w:hideMark/>
          </w:tcPr>
          <w:p w14:paraId="12260EB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-101</w:t>
            </w:r>
          </w:p>
        </w:tc>
        <w:tc>
          <w:tcPr>
            <w:tcW w:w="474" w:type="pct"/>
            <w:tcBorders>
              <w:top w:val="nil"/>
              <w:left w:val="nil"/>
              <w:bottom w:val="nil"/>
              <w:right w:val="nil"/>
            </w:tcBorders>
            <w:shd w:val="clear" w:color="000000" w:fill="E6F2FF"/>
            <w:noWrap/>
            <w:vAlign w:val="bottom"/>
            <w:hideMark/>
          </w:tcPr>
          <w:p w14:paraId="590F11B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-100</w:t>
            </w:r>
          </w:p>
        </w:tc>
        <w:tc>
          <w:tcPr>
            <w:tcW w:w="474" w:type="pct"/>
            <w:tcBorders>
              <w:top w:val="nil"/>
              <w:left w:val="nil"/>
              <w:bottom w:val="nil"/>
              <w:right w:val="nil"/>
            </w:tcBorders>
            <w:shd w:val="clear" w:color="000000" w:fill="FFFFFF"/>
            <w:noWrap/>
            <w:vAlign w:val="bottom"/>
            <w:hideMark/>
          </w:tcPr>
          <w:p w14:paraId="322696A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-86</w:t>
            </w:r>
          </w:p>
        </w:tc>
        <w:tc>
          <w:tcPr>
            <w:tcW w:w="474" w:type="pct"/>
            <w:tcBorders>
              <w:top w:val="nil"/>
              <w:left w:val="nil"/>
              <w:bottom w:val="nil"/>
              <w:right w:val="nil"/>
            </w:tcBorders>
            <w:shd w:val="clear" w:color="000000" w:fill="FFFFFF"/>
            <w:noWrap/>
            <w:vAlign w:val="bottom"/>
            <w:hideMark/>
          </w:tcPr>
          <w:p w14:paraId="0D6DC76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-78</w:t>
            </w:r>
          </w:p>
        </w:tc>
        <w:tc>
          <w:tcPr>
            <w:tcW w:w="474" w:type="pct"/>
            <w:tcBorders>
              <w:top w:val="nil"/>
              <w:left w:val="nil"/>
              <w:bottom w:val="nil"/>
              <w:right w:val="nil"/>
            </w:tcBorders>
            <w:shd w:val="clear" w:color="000000" w:fill="FFFFFF"/>
            <w:noWrap/>
            <w:vAlign w:val="bottom"/>
            <w:hideMark/>
          </w:tcPr>
          <w:p w14:paraId="478697C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-69</w:t>
            </w:r>
          </w:p>
        </w:tc>
        <w:tc>
          <w:tcPr>
            <w:tcW w:w="45" w:type="pct"/>
            <w:tcBorders>
              <w:top w:val="nil"/>
              <w:left w:val="nil"/>
              <w:bottom w:val="nil"/>
              <w:right w:val="nil"/>
            </w:tcBorders>
            <w:shd w:val="clear" w:color="000000" w:fill="FFFFFF"/>
            <w:noWrap/>
            <w:vAlign w:val="bottom"/>
            <w:hideMark/>
          </w:tcPr>
          <w:p w14:paraId="11786D7B"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540CBB29"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-435</w:t>
            </w:r>
          </w:p>
        </w:tc>
      </w:tr>
      <w:tr w:rsidR="004F4318" w14:paraId="5ADBF9A7"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2A97C511"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CEFC loans and investments</w:t>
            </w:r>
          </w:p>
        </w:tc>
        <w:tc>
          <w:tcPr>
            <w:tcW w:w="474" w:type="pct"/>
            <w:tcBorders>
              <w:top w:val="nil"/>
              <w:left w:val="nil"/>
              <w:bottom w:val="nil"/>
              <w:right w:val="nil"/>
            </w:tcBorders>
            <w:shd w:val="clear" w:color="000000" w:fill="FFFFFF"/>
            <w:noWrap/>
            <w:vAlign w:val="bottom"/>
            <w:hideMark/>
          </w:tcPr>
          <w:p w14:paraId="1B6FEB6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-939</w:t>
            </w:r>
          </w:p>
        </w:tc>
        <w:tc>
          <w:tcPr>
            <w:tcW w:w="474" w:type="pct"/>
            <w:tcBorders>
              <w:top w:val="nil"/>
              <w:left w:val="nil"/>
              <w:bottom w:val="nil"/>
              <w:right w:val="nil"/>
            </w:tcBorders>
            <w:shd w:val="clear" w:color="000000" w:fill="E6F2FF"/>
            <w:noWrap/>
            <w:vAlign w:val="bottom"/>
            <w:hideMark/>
          </w:tcPr>
          <w:p w14:paraId="2FA69A2C"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-4,143</w:t>
            </w:r>
          </w:p>
        </w:tc>
        <w:tc>
          <w:tcPr>
            <w:tcW w:w="474" w:type="pct"/>
            <w:tcBorders>
              <w:top w:val="nil"/>
              <w:left w:val="nil"/>
              <w:bottom w:val="nil"/>
              <w:right w:val="nil"/>
            </w:tcBorders>
            <w:shd w:val="clear" w:color="000000" w:fill="FFFFFF"/>
            <w:noWrap/>
            <w:vAlign w:val="bottom"/>
            <w:hideMark/>
          </w:tcPr>
          <w:p w14:paraId="257555F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-3,683</w:t>
            </w:r>
          </w:p>
        </w:tc>
        <w:tc>
          <w:tcPr>
            <w:tcW w:w="474" w:type="pct"/>
            <w:tcBorders>
              <w:top w:val="nil"/>
              <w:left w:val="nil"/>
              <w:bottom w:val="nil"/>
              <w:right w:val="nil"/>
            </w:tcBorders>
            <w:shd w:val="clear" w:color="000000" w:fill="FFFFFF"/>
            <w:noWrap/>
            <w:vAlign w:val="bottom"/>
            <w:hideMark/>
          </w:tcPr>
          <w:p w14:paraId="216F9F4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-5,712</w:t>
            </w:r>
          </w:p>
        </w:tc>
        <w:tc>
          <w:tcPr>
            <w:tcW w:w="474" w:type="pct"/>
            <w:tcBorders>
              <w:top w:val="nil"/>
              <w:left w:val="nil"/>
              <w:bottom w:val="nil"/>
              <w:right w:val="nil"/>
            </w:tcBorders>
            <w:shd w:val="clear" w:color="000000" w:fill="FFFFFF"/>
            <w:noWrap/>
            <w:vAlign w:val="bottom"/>
            <w:hideMark/>
          </w:tcPr>
          <w:p w14:paraId="523D2EC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-3,007</w:t>
            </w:r>
          </w:p>
        </w:tc>
        <w:tc>
          <w:tcPr>
            <w:tcW w:w="45" w:type="pct"/>
            <w:tcBorders>
              <w:top w:val="nil"/>
              <w:left w:val="nil"/>
              <w:bottom w:val="nil"/>
              <w:right w:val="nil"/>
            </w:tcBorders>
            <w:shd w:val="clear" w:color="000000" w:fill="FFFFFF"/>
            <w:noWrap/>
            <w:vAlign w:val="bottom"/>
            <w:hideMark/>
          </w:tcPr>
          <w:p w14:paraId="10381136"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51F90FB2"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-17,483</w:t>
            </w:r>
          </w:p>
        </w:tc>
      </w:tr>
      <w:tr w:rsidR="004F4318" w14:paraId="6FF4C381"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44055B47"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 xml:space="preserve">Northern Australia </w:t>
            </w:r>
          </w:p>
        </w:tc>
        <w:tc>
          <w:tcPr>
            <w:tcW w:w="474" w:type="pct"/>
            <w:tcBorders>
              <w:top w:val="nil"/>
              <w:left w:val="nil"/>
              <w:bottom w:val="nil"/>
              <w:right w:val="nil"/>
            </w:tcBorders>
            <w:shd w:val="clear" w:color="000000" w:fill="FFFFFF"/>
            <w:noWrap/>
            <w:vAlign w:val="bottom"/>
            <w:hideMark/>
          </w:tcPr>
          <w:p w14:paraId="1C8B83F1"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bottom"/>
            <w:hideMark/>
          </w:tcPr>
          <w:p w14:paraId="2F518387"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652F96C0"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6DB7333E"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2835B627"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 w:type="pct"/>
            <w:tcBorders>
              <w:top w:val="nil"/>
              <w:left w:val="nil"/>
              <w:bottom w:val="nil"/>
              <w:right w:val="nil"/>
            </w:tcBorders>
            <w:shd w:val="clear" w:color="000000" w:fill="FFFFFF"/>
            <w:noWrap/>
            <w:vAlign w:val="bottom"/>
            <w:hideMark/>
          </w:tcPr>
          <w:p w14:paraId="2F99CDE9"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3A7D3205"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734E04C1"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1BFD15F7" w14:textId="77777777" w:rsidR="004F4318" w:rsidRPr="007B5379" w:rsidRDefault="004F4318" w:rsidP="004F4318">
            <w:pPr>
              <w:spacing w:before="0" w:after="0" w:line="240" w:lineRule="auto"/>
              <w:ind w:firstLineChars="300" w:firstLine="480"/>
              <w:rPr>
                <w:rFonts w:ascii="Arial" w:hAnsi="Arial" w:cs="Arial"/>
                <w:color w:val="00FFFF"/>
                <w:sz w:val="16"/>
                <w:szCs w:val="16"/>
                <w:highlight w:val="magenta"/>
              </w:rPr>
            </w:pPr>
            <w:r w:rsidRPr="00207DD5">
              <w:rPr>
                <w:rFonts w:ascii="Arial" w:hAnsi="Arial" w:cs="Arial"/>
                <w:sz w:val="16"/>
                <w:szCs w:val="16"/>
              </w:rPr>
              <w:t xml:space="preserve">Infrastructure Facility </w:t>
            </w:r>
          </w:p>
        </w:tc>
        <w:tc>
          <w:tcPr>
            <w:tcW w:w="474" w:type="pct"/>
            <w:tcBorders>
              <w:top w:val="nil"/>
              <w:left w:val="nil"/>
              <w:bottom w:val="nil"/>
              <w:right w:val="nil"/>
            </w:tcBorders>
            <w:shd w:val="clear" w:color="000000" w:fill="FFFFFF"/>
            <w:noWrap/>
            <w:vAlign w:val="bottom"/>
            <w:hideMark/>
          </w:tcPr>
          <w:p w14:paraId="57405FF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-575</w:t>
            </w:r>
          </w:p>
        </w:tc>
        <w:tc>
          <w:tcPr>
            <w:tcW w:w="474" w:type="pct"/>
            <w:tcBorders>
              <w:top w:val="nil"/>
              <w:left w:val="nil"/>
              <w:bottom w:val="nil"/>
              <w:right w:val="nil"/>
            </w:tcBorders>
            <w:shd w:val="clear" w:color="000000" w:fill="E6F2FF"/>
            <w:noWrap/>
            <w:vAlign w:val="bottom"/>
            <w:hideMark/>
          </w:tcPr>
          <w:p w14:paraId="5BAFAD7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-350</w:t>
            </w:r>
          </w:p>
        </w:tc>
        <w:tc>
          <w:tcPr>
            <w:tcW w:w="474" w:type="pct"/>
            <w:tcBorders>
              <w:top w:val="nil"/>
              <w:left w:val="nil"/>
              <w:bottom w:val="nil"/>
              <w:right w:val="nil"/>
            </w:tcBorders>
            <w:shd w:val="clear" w:color="000000" w:fill="FFFFFF"/>
            <w:noWrap/>
            <w:vAlign w:val="bottom"/>
            <w:hideMark/>
          </w:tcPr>
          <w:p w14:paraId="7D9EF41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-361</w:t>
            </w:r>
          </w:p>
        </w:tc>
        <w:tc>
          <w:tcPr>
            <w:tcW w:w="474" w:type="pct"/>
            <w:tcBorders>
              <w:top w:val="nil"/>
              <w:left w:val="nil"/>
              <w:bottom w:val="nil"/>
              <w:right w:val="nil"/>
            </w:tcBorders>
            <w:shd w:val="clear" w:color="000000" w:fill="FFFFFF"/>
            <w:noWrap/>
            <w:vAlign w:val="bottom"/>
            <w:hideMark/>
          </w:tcPr>
          <w:p w14:paraId="5607F1B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-338</w:t>
            </w:r>
          </w:p>
        </w:tc>
        <w:tc>
          <w:tcPr>
            <w:tcW w:w="474" w:type="pct"/>
            <w:tcBorders>
              <w:top w:val="nil"/>
              <w:left w:val="nil"/>
              <w:bottom w:val="nil"/>
              <w:right w:val="nil"/>
            </w:tcBorders>
            <w:shd w:val="clear" w:color="000000" w:fill="FFFFFF"/>
            <w:noWrap/>
            <w:vAlign w:val="bottom"/>
            <w:hideMark/>
          </w:tcPr>
          <w:p w14:paraId="09D1235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-122</w:t>
            </w:r>
          </w:p>
        </w:tc>
        <w:tc>
          <w:tcPr>
            <w:tcW w:w="45" w:type="pct"/>
            <w:tcBorders>
              <w:top w:val="nil"/>
              <w:left w:val="nil"/>
              <w:bottom w:val="nil"/>
              <w:right w:val="nil"/>
            </w:tcBorders>
            <w:shd w:val="clear" w:color="000000" w:fill="FFFFFF"/>
            <w:noWrap/>
            <w:vAlign w:val="bottom"/>
            <w:hideMark/>
          </w:tcPr>
          <w:p w14:paraId="3745B857"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08BDC57D"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-1,746</w:t>
            </w:r>
          </w:p>
        </w:tc>
      </w:tr>
      <w:tr w:rsidR="004F4318" w14:paraId="2502A658"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131950BC"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NRFC loans and investments</w:t>
            </w:r>
          </w:p>
        </w:tc>
        <w:tc>
          <w:tcPr>
            <w:tcW w:w="474" w:type="pct"/>
            <w:tcBorders>
              <w:top w:val="nil"/>
              <w:left w:val="nil"/>
              <w:bottom w:val="nil"/>
              <w:right w:val="nil"/>
            </w:tcBorders>
            <w:shd w:val="clear" w:color="000000" w:fill="FFFFFF"/>
            <w:noWrap/>
            <w:vAlign w:val="bottom"/>
            <w:hideMark/>
          </w:tcPr>
          <w:p w14:paraId="4D3AF012"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-2,093</w:t>
            </w:r>
          </w:p>
        </w:tc>
        <w:tc>
          <w:tcPr>
            <w:tcW w:w="474" w:type="pct"/>
            <w:tcBorders>
              <w:top w:val="nil"/>
              <w:left w:val="nil"/>
              <w:bottom w:val="nil"/>
              <w:right w:val="nil"/>
            </w:tcBorders>
            <w:shd w:val="clear" w:color="000000" w:fill="E6F2FF"/>
            <w:noWrap/>
            <w:vAlign w:val="bottom"/>
            <w:hideMark/>
          </w:tcPr>
          <w:p w14:paraId="6918D01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-3,129</w:t>
            </w:r>
          </w:p>
        </w:tc>
        <w:tc>
          <w:tcPr>
            <w:tcW w:w="474" w:type="pct"/>
            <w:tcBorders>
              <w:top w:val="nil"/>
              <w:left w:val="nil"/>
              <w:bottom w:val="nil"/>
              <w:right w:val="nil"/>
            </w:tcBorders>
            <w:shd w:val="clear" w:color="000000" w:fill="FFFFFF"/>
            <w:noWrap/>
            <w:vAlign w:val="bottom"/>
            <w:hideMark/>
          </w:tcPr>
          <w:p w14:paraId="77F3A4E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-2,964</w:t>
            </w:r>
          </w:p>
        </w:tc>
        <w:tc>
          <w:tcPr>
            <w:tcW w:w="474" w:type="pct"/>
            <w:tcBorders>
              <w:top w:val="nil"/>
              <w:left w:val="nil"/>
              <w:bottom w:val="nil"/>
              <w:right w:val="nil"/>
            </w:tcBorders>
            <w:shd w:val="clear" w:color="000000" w:fill="FFFFFF"/>
            <w:noWrap/>
            <w:vAlign w:val="bottom"/>
            <w:hideMark/>
          </w:tcPr>
          <w:p w14:paraId="5909DB4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-4,172</w:t>
            </w:r>
          </w:p>
        </w:tc>
        <w:tc>
          <w:tcPr>
            <w:tcW w:w="474" w:type="pct"/>
            <w:tcBorders>
              <w:top w:val="nil"/>
              <w:left w:val="nil"/>
              <w:bottom w:val="nil"/>
              <w:right w:val="nil"/>
            </w:tcBorders>
            <w:shd w:val="clear" w:color="000000" w:fill="FFFFFF"/>
            <w:noWrap/>
            <w:vAlign w:val="bottom"/>
            <w:hideMark/>
          </w:tcPr>
          <w:p w14:paraId="6A2E16D2"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-2,530</w:t>
            </w:r>
          </w:p>
        </w:tc>
        <w:tc>
          <w:tcPr>
            <w:tcW w:w="45" w:type="pct"/>
            <w:tcBorders>
              <w:top w:val="nil"/>
              <w:left w:val="nil"/>
              <w:bottom w:val="nil"/>
              <w:right w:val="nil"/>
            </w:tcBorders>
            <w:shd w:val="clear" w:color="000000" w:fill="FFFFFF"/>
            <w:noWrap/>
            <w:vAlign w:val="bottom"/>
            <w:hideMark/>
          </w:tcPr>
          <w:p w14:paraId="052E62F0"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5F965333"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-14,888</w:t>
            </w:r>
          </w:p>
        </w:tc>
      </w:tr>
      <w:tr w:rsidR="004F4318" w14:paraId="37B774CD"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71B43723"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Australian Business</w:t>
            </w:r>
          </w:p>
        </w:tc>
        <w:tc>
          <w:tcPr>
            <w:tcW w:w="474" w:type="pct"/>
            <w:tcBorders>
              <w:top w:val="nil"/>
              <w:left w:val="nil"/>
              <w:bottom w:val="nil"/>
              <w:right w:val="nil"/>
            </w:tcBorders>
            <w:shd w:val="clear" w:color="000000" w:fill="FFFFFF"/>
            <w:noWrap/>
            <w:vAlign w:val="bottom"/>
            <w:hideMark/>
          </w:tcPr>
          <w:p w14:paraId="29B42A42"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bottom"/>
            <w:hideMark/>
          </w:tcPr>
          <w:p w14:paraId="7FC5F938"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68F6D1FA"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5FE24EBE"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07F3B095"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 w:type="pct"/>
            <w:tcBorders>
              <w:top w:val="nil"/>
              <w:left w:val="nil"/>
              <w:bottom w:val="nil"/>
              <w:right w:val="nil"/>
            </w:tcBorders>
            <w:shd w:val="clear" w:color="000000" w:fill="FFFFFF"/>
            <w:noWrap/>
            <w:vAlign w:val="bottom"/>
            <w:hideMark/>
          </w:tcPr>
          <w:p w14:paraId="2ACA0AA3"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2406E622"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1C2E9C6B"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1408BD22" w14:textId="77777777" w:rsidR="004F4318" w:rsidRPr="007B5379" w:rsidRDefault="004F4318" w:rsidP="004F4318">
            <w:pPr>
              <w:spacing w:before="0" w:after="0" w:line="240" w:lineRule="auto"/>
              <w:ind w:firstLineChars="300" w:firstLine="480"/>
              <w:rPr>
                <w:rFonts w:ascii="Arial" w:hAnsi="Arial" w:cs="Arial"/>
                <w:color w:val="00FFFF"/>
                <w:sz w:val="16"/>
                <w:szCs w:val="16"/>
                <w:highlight w:val="magenta"/>
              </w:rPr>
            </w:pPr>
            <w:r w:rsidRPr="00207DD5">
              <w:rPr>
                <w:rFonts w:ascii="Arial" w:hAnsi="Arial" w:cs="Arial"/>
                <w:sz w:val="16"/>
                <w:szCs w:val="16"/>
              </w:rPr>
              <w:t>Securitisation Fund</w:t>
            </w:r>
          </w:p>
        </w:tc>
        <w:tc>
          <w:tcPr>
            <w:tcW w:w="474" w:type="pct"/>
            <w:tcBorders>
              <w:top w:val="nil"/>
              <w:left w:val="nil"/>
              <w:bottom w:val="nil"/>
              <w:right w:val="nil"/>
            </w:tcBorders>
            <w:shd w:val="clear" w:color="000000" w:fill="FFFFFF"/>
            <w:noWrap/>
            <w:vAlign w:val="bottom"/>
            <w:hideMark/>
          </w:tcPr>
          <w:p w14:paraId="2E4C80F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-311</w:t>
            </w:r>
          </w:p>
        </w:tc>
        <w:tc>
          <w:tcPr>
            <w:tcW w:w="474" w:type="pct"/>
            <w:tcBorders>
              <w:top w:val="nil"/>
              <w:left w:val="nil"/>
              <w:bottom w:val="nil"/>
              <w:right w:val="nil"/>
            </w:tcBorders>
            <w:shd w:val="clear" w:color="000000" w:fill="E6F2FF"/>
            <w:noWrap/>
            <w:vAlign w:val="bottom"/>
            <w:hideMark/>
          </w:tcPr>
          <w:p w14:paraId="47FC65B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-343</w:t>
            </w:r>
          </w:p>
        </w:tc>
        <w:tc>
          <w:tcPr>
            <w:tcW w:w="474" w:type="pct"/>
            <w:tcBorders>
              <w:top w:val="nil"/>
              <w:left w:val="nil"/>
              <w:bottom w:val="nil"/>
              <w:right w:val="nil"/>
            </w:tcBorders>
            <w:shd w:val="clear" w:color="000000" w:fill="FFFFFF"/>
            <w:noWrap/>
            <w:vAlign w:val="bottom"/>
            <w:hideMark/>
          </w:tcPr>
          <w:p w14:paraId="38D7CD9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-101</w:t>
            </w:r>
          </w:p>
        </w:tc>
        <w:tc>
          <w:tcPr>
            <w:tcW w:w="474" w:type="pct"/>
            <w:tcBorders>
              <w:top w:val="nil"/>
              <w:left w:val="nil"/>
              <w:bottom w:val="nil"/>
              <w:right w:val="nil"/>
            </w:tcBorders>
            <w:shd w:val="clear" w:color="000000" w:fill="FFFFFF"/>
            <w:noWrap/>
            <w:vAlign w:val="bottom"/>
            <w:hideMark/>
          </w:tcPr>
          <w:p w14:paraId="49F7E49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-101</w:t>
            </w:r>
          </w:p>
        </w:tc>
        <w:tc>
          <w:tcPr>
            <w:tcW w:w="474" w:type="pct"/>
            <w:tcBorders>
              <w:top w:val="nil"/>
              <w:left w:val="nil"/>
              <w:bottom w:val="nil"/>
              <w:right w:val="nil"/>
            </w:tcBorders>
            <w:shd w:val="clear" w:color="000000" w:fill="FFFFFF"/>
            <w:noWrap/>
            <w:vAlign w:val="bottom"/>
            <w:hideMark/>
          </w:tcPr>
          <w:p w14:paraId="4609458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w:t>
            </w:r>
          </w:p>
        </w:tc>
        <w:tc>
          <w:tcPr>
            <w:tcW w:w="45" w:type="pct"/>
            <w:tcBorders>
              <w:top w:val="nil"/>
              <w:left w:val="nil"/>
              <w:bottom w:val="nil"/>
              <w:right w:val="nil"/>
            </w:tcBorders>
            <w:shd w:val="clear" w:color="000000" w:fill="FFFFFF"/>
            <w:noWrap/>
            <w:vAlign w:val="bottom"/>
            <w:hideMark/>
          </w:tcPr>
          <w:p w14:paraId="6CBE241C"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557C49F8"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-857</w:t>
            </w:r>
          </w:p>
        </w:tc>
      </w:tr>
      <w:tr w:rsidR="004F4318" w14:paraId="49E5C4FC"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433368DF"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Drought and rural assistance</w:t>
            </w:r>
          </w:p>
        </w:tc>
        <w:tc>
          <w:tcPr>
            <w:tcW w:w="474" w:type="pct"/>
            <w:tcBorders>
              <w:top w:val="nil"/>
              <w:left w:val="nil"/>
              <w:bottom w:val="nil"/>
              <w:right w:val="nil"/>
            </w:tcBorders>
            <w:shd w:val="clear" w:color="000000" w:fill="FFFFFF"/>
            <w:noWrap/>
            <w:vAlign w:val="bottom"/>
            <w:hideMark/>
          </w:tcPr>
          <w:p w14:paraId="264B0F1A"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bottom"/>
            <w:hideMark/>
          </w:tcPr>
          <w:p w14:paraId="288F14FD"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1424FEC3"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6A4E31F0"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54DEBFBE"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 w:type="pct"/>
            <w:tcBorders>
              <w:top w:val="nil"/>
              <w:left w:val="nil"/>
              <w:bottom w:val="nil"/>
              <w:right w:val="nil"/>
            </w:tcBorders>
            <w:shd w:val="clear" w:color="000000" w:fill="FFFFFF"/>
            <w:noWrap/>
            <w:vAlign w:val="bottom"/>
            <w:hideMark/>
          </w:tcPr>
          <w:p w14:paraId="006ECA06"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3548EE2B"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5D228895"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0EC2C2F7" w14:textId="77777777" w:rsidR="004F4318" w:rsidRPr="007B5379" w:rsidRDefault="004F4318" w:rsidP="004F4318">
            <w:pPr>
              <w:spacing w:before="0" w:after="0" w:line="240" w:lineRule="auto"/>
              <w:ind w:firstLineChars="300" w:firstLine="480"/>
              <w:rPr>
                <w:rFonts w:ascii="Arial" w:hAnsi="Arial" w:cs="Arial"/>
                <w:color w:val="00FFFF"/>
                <w:sz w:val="16"/>
                <w:szCs w:val="16"/>
                <w:highlight w:val="magenta"/>
              </w:rPr>
            </w:pPr>
            <w:r w:rsidRPr="00207DD5">
              <w:rPr>
                <w:rFonts w:ascii="Arial" w:hAnsi="Arial" w:cs="Arial"/>
                <w:sz w:val="16"/>
                <w:szCs w:val="16"/>
              </w:rPr>
              <w:t>loans</w:t>
            </w:r>
          </w:p>
        </w:tc>
        <w:tc>
          <w:tcPr>
            <w:tcW w:w="474" w:type="pct"/>
            <w:tcBorders>
              <w:top w:val="nil"/>
              <w:left w:val="nil"/>
              <w:bottom w:val="nil"/>
              <w:right w:val="nil"/>
            </w:tcBorders>
            <w:shd w:val="clear" w:color="000000" w:fill="FFFFFF"/>
            <w:noWrap/>
            <w:vAlign w:val="bottom"/>
            <w:hideMark/>
          </w:tcPr>
          <w:p w14:paraId="60BE3D9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-356</w:t>
            </w:r>
          </w:p>
        </w:tc>
        <w:tc>
          <w:tcPr>
            <w:tcW w:w="474" w:type="pct"/>
            <w:tcBorders>
              <w:top w:val="nil"/>
              <w:left w:val="nil"/>
              <w:bottom w:val="nil"/>
              <w:right w:val="nil"/>
            </w:tcBorders>
            <w:shd w:val="clear" w:color="000000" w:fill="E6F2FF"/>
            <w:noWrap/>
            <w:vAlign w:val="bottom"/>
            <w:hideMark/>
          </w:tcPr>
          <w:p w14:paraId="7D4CDA9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-101</w:t>
            </w:r>
          </w:p>
        </w:tc>
        <w:tc>
          <w:tcPr>
            <w:tcW w:w="474" w:type="pct"/>
            <w:tcBorders>
              <w:top w:val="nil"/>
              <w:left w:val="nil"/>
              <w:bottom w:val="nil"/>
              <w:right w:val="nil"/>
            </w:tcBorders>
            <w:shd w:val="clear" w:color="000000" w:fill="FFFFFF"/>
            <w:noWrap/>
            <w:vAlign w:val="bottom"/>
            <w:hideMark/>
          </w:tcPr>
          <w:p w14:paraId="086A907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-114</w:t>
            </w:r>
          </w:p>
        </w:tc>
        <w:tc>
          <w:tcPr>
            <w:tcW w:w="474" w:type="pct"/>
            <w:tcBorders>
              <w:top w:val="nil"/>
              <w:left w:val="nil"/>
              <w:bottom w:val="nil"/>
              <w:right w:val="nil"/>
            </w:tcBorders>
            <w:shd w:val="clear" w:color="000000" w:fill="FFFFFF"/>
            <w:noWrap/>
            <w:vAlign w:val="bottom"/>
            <w:hideMark/>
          </w:tcPr>
          <w:p w14:paraId="7B344B3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34</w:t>
            </w:r>
          </w:p>
        </w:tc>
        <w:tc>
          <w:tcPr>
            <w:tcW w:w="474" w:type="pct"/>
            <w:tcBorders>
              <w:top w:val="nil"/>
              <w:left w:val="nil"/>
              <w:bottom w:val="nil"/>
              <w:right w:val="nil"/>
            </w:tcBorders>
            <w:shd w:val="clear" w:color="000000" w:fill="FFFFFF"/>
            <w:noWrap/>
            <w:vAlign w:val="bottom"/>
            <w:hideMark/>
          </w:tcPr>
          <w:p w14:paraId="20375D9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710</w:t>
            </w:r>
          </w:p>
        </w:tc>
        <w:tc>
          <w:tcPr>
            <w:tcW w:w="45" w:type="pct"/>
            <w:tcBorders>
              <w:top w:val="nil"/>
              <w:left w:val="nil"/>
              <w:bottom w:val="nil"/>
              <w:right w:val="nil"/>
            </w:tcBorders>
            <w:shd w:val="clear" w:color="000000" w:fill="FFFFFF"/>
            <w:noWrap/>
            <w:vAlign w:val="bottom"/>
            <w:hideMark/>
          </w:tcPr>
          <w:p w14:paraId="070E6292"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4DE8200E"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173</w:t>
            </w:r>
          </w:p>
        </w:tc>
      </w:tr>
      <w:tr w:rsidR="004F4318" w14:paraId="0FF5FAB0" w14:textId="77777777" w:rsidTr="00E91697">
        <w:trPr>
          <w:trHeight w:hRule="exact" w:val="222"/>
        </w:trPr>
        <w:tc>
          <w:tcPr>
            <w:tcW w:w="2104" w:type="pct"/>
            <w:tcBorders>
              <w:top w:val="nil"/>
              <w:left w:val="nil"/>
              <w:bottom w:val="nil"/>
              <w:right w:val="nil"/>
            </w:tcBorders>
            <w:shd w:val="clear" w:color="000000" w:fill="FFFFFF"/>
            <w:noWrap/>
            <w:vAlign w:val="bottom"/>
            <w:hideMark/>
          </w:tcPr>
          <w:p w14:paraId="10DEB19F"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Official Development Assistance</w:t>
            </w:r>
          </w:p>
        </w:tc>
        <w:tc>
          <w:tcPr>
            <w:tcW w:w="474" w:type="pct"/>
            <w:tcBorders>
              <w:top w:val="nil"/>
              <w:left w:val="nil"/>
              <w:bottom w:val="nil"/>
              <w:right w:val="nil"/>
            </w:tcBorders>
            <w:shd w:val="clear" w:color="000000" w:fill="FFFFFF"/>
            <w:noWrap/>
            <w:vAlign w:val="bottom"/>
            <w:hideMark/>
          </w:tcPr>
          <w:p w14:paraId="4A50CD0B"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bottom"/>
            <w:hideMark/>
          </w:tcPr>
          <w:p w14:paraId="18D70640"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0C178445"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7D39F553"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33855C13"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 w:type="pct"/>
            <w:tcBorders>
              <w:top w:val="nil"/>
              <w:left w:val="nil"/>
              <w:bottom w:val="nil"/>
              <w:right w:val="nil"/>
            </w:tcBorders>
            <w:shd w:val="clear" w:color="000000" w:fill="FFFFFF"/>
            <w:noWrap/>
            <w:vAlign w:val="bottom"/>
            <w:hideMark/>
          </w:tcPr>
          <w:p w14:paraId="1E2A2689"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5215233F"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38D90D9F"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6A9EDA66" w14:textId="77777777" w:rsidR="004F4318" w:rsidRPr="007B5379" w:rsidRDefault="004F4318" w:rsidP="004F4318">
            <w:pPr>
              <w:spacing w:before="0" w:after="0" w:line="240" w:lineRule="auto"/>
              <w:ind w:firstLineChars="300" w:firstLine="480"/>
              <w:rPr>
                <w:rFonts w:ascii="Arial" w:hAnsi="Arial" w:cs="Arial"/>
                <w:color w:val="00FFFF"/>
                <w:sz w:val="16"/>
                <w:szCs w:val="16"/>
                <w:highlight w:val="magenta"/>
              </w:rPr>
            </w:pPr>
            <w:r w:rsidRPr="00207DD5">
              <w:rPr>
                <w:rFonts w:ascii="Arial" w:hAnsi="Arial" w:cs="Arial"/>
                <w:sz w:val="16"/>
                <w:szCs w:val="16"/>
              </w:rPr>
              <w:t>- Multilateral Replenishment</w:t>
            </w:r>
          </w:p>
        </w:tc>
        <w:tc>
          <w:tcPr>
            <w:tcW w:w="474" w:type="pct"/>
            <w:tcBorders>
              <w:top w:val="nil"/>
              <w:left w:val="nil"/>
              <w:bottom w:val="nil"/>
              <w:right w:val="nil"/>
            </w:tcBorders>
            <w:shd w:val="clear" w:color="000000" w:fill="FFFFFF"/>
            <w:noWrap/>
            <w:vAlign w:val="bottom"/>
            <w:hideMark/>
          </w:tcPr>
          <w:p w14:paraId="6B2D583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w:t>
            </w:r>
          </w:p>
        </w:tc>
        <w:tc>
          <w:tcPr>
            <w:tcW w:w="474" w:type="pct"/>
            <w:tcBorders>
              <w:top w:val="nil"/>
              <w:left w:val="nil"/>
              <w:bottom w:val="nil"/>
              <w:right w:val="nil"/>
            </w:tcBorders>
            <w:shd w:val="clear" w:color="000000" w:fill="E6F2FF"/>
            <w:noWrap/>
            <w:vAlign w:val="bottom"/>
            <w:hideMark/>
          </w:tcPr>
          <w:p w14:paraId="459D212C"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-149</w:t>
            </w:r>
          </w:p>
        </w:tc>
        <w:tc>
          <w:tcPr>
            <w:tcW w:w="474" w:type="pct"/>
            <w:tcBorders>
              <w:top w:val="nil"/>
              <w:left w:val="nil"/>
              <w:bottom w:val="nil"/>
              <w:right w:val="nil"/>
            </w:tcBorders>
            <w:shd w:val="clear" w:color="000000" w:fill="FFFFFF"/>
            <w:noWrap/>
            <w:vAlign w:val="bottom"/>
            <w:hideMark/>
          </w:tcPr>
          <w:p w14:paraId="380E790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-184</w:t>
            </w:r>
          </w:p>
        </w:tc>
        <w:tc>
          <w:tcPr>
            <w:tcW w:w="474" w:type="pct"/>
            <w:tcBorders>
              <w:top w:val="nil"/>
              <w:left w:val="nil"/>
              <w:bottom w:val="nil"/>
              <w:right w:val="nil"/>
            </w:tcBorders>
            <w:shd w:val="clear" w:color="000000" w:fill="FFFFFF"/>
            <w:noWrap/>
            <w:vAlign w:val="bottom"/>
            <w:hideMark/>
          </w:tcPr>
          <w:p w14:paraId="1E4554B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-195</w:t>
            </w:r>
          </w:p>
        </w:tc>
        <w:tc>
          <w:tcPr>
            <w:tcW w:w="474" w:type="pct"/>
            <w:tcBorders>
              <w:top w:val="nil"/>
              <w:left w:val="nil"/>
              <w:bottom w:val="nil"/>
              <w:right w:val="nil"/>
            </w:tcBorders>
            <w:shd w:val="clear" w:color="000000" w:fill="FFFFFF"/>
            <w:noWrap/>
            <w:vAlign w:val="bottom"/>
            <w:hideMark/>
          </w:tcPr>
          <w:p w14:paraId="64D098AC"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-188</w:t>
            </w:r>
          </w:p>
        </w:tc>
        <w:tc>
          <w:tcPr>
            <w:tcW w:w="45" w:type="pct"/>
            <w:tcBorders>
              <w:top w:val="nil"/>
              <w:left w:val="nil"/>
              <w:bottom w:val="nil"/>
              <w:right w:val="nil"/>
            </w:tcBorders>
            <w:shd w:val="clear" w:color="000000" w:fill="FFFFFF"/>
            <w:noWrap/>
            <w:vAlign w:val="bottom"/>
            <w:hideMark/>
          </w:tcPr>
          <w:p w14:paraId="317DD94C"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44061825"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-919</w:t>
            </w:r>
          </w:p>
        </w:tc>
      </w:tr>
      <w:tr w:rsidR="004F4318" w14:paraId="1F032CD4"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79EC5FDB"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Finance Procurement Services</w:t>
            </w:r>
          </w:p>
        </w:tc>
        <w:tc>
          <w:tcPr>
            <w:tcW w:w="474" w:type="pct"/>
            <w:tcBorders>
              <w:top w:val="nil"/>
              <w:left w:val="nil"/>
              <w:bottom w:val="nil"/>
              <w:right w:val="nil"/>
            </w:tcBorders>
            <w:shd w:val="clear" w:color="000000" w:fill="FFFFFF"/>
            <w:noWrap/>
            <w:vAlign w:val="bottom"/>
            <w:hideMark/>
          </w:tcPr>
          <w:p w14:paraId="7C263F4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-12</w:t>
            </w:r>
          </w:p>
        </w:tc>
        <w:tc>
          <w:tcPr>
            <w:tcW w:w="474" w:type="pct"/>
            <w:tcBorders>
              <w:top w:val="nil"/>
              <w:left w:val="nil"/>
              <w:bottom w:val="nil"/>
              <w:right w:val="nil"/>
            </w:tcBorders>
            <w:shd w:val="clear" w:color="000000" w:fill="E6F2FF"/>
            <w:noWrap/>
            <w:vAlign w:val="bottom"/>
            <w:hideMark/>
          </w:tcPr>
          <w:p w14:paraId="625593A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-84</w:t>
            </w:r>
          </w:p>
        </w:tc>
        <w:tc>
          <w:tcPr>
            <w:tcW w:w="474" w:type="pct"/>
            <w:tcBorders>
              <w:top w:val="nil"/>
              <w:left w:val="nil"/>
              <w:bottom w:val="nil"/>
              <w:right w:val="nil"/>
            </w:tcBorders>
            <w:shd w:val="clear" w:color="000000" w:fill="FFFFFF"/>
            <w:noWrap/>
            <w:vAlign w:val="bottom"/>
            <w:hideMark/>
          </w:tcPr>
          <w:p w14:paraId="080D5A7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-114</w:t>
            </w:r>
          </w:p>
        </w:tc>
        <w:tc>
          <w:tcPr>
            <w:tcW w:w="474" w:type="pct"/>
            <w:tcBorders>
              <w:top w:val="nil"/>
              <w:left w:val="nil"/>
              <w:bottom w:val="nil"/>
              <w:right w:val="nil"/>
            </w:tcBorders>
            <w:shd w:val="clear" w:color="000000" w:fill="FFFFFF"/>
            <w:noWrap/>
            <w:vAlign w:val="bottom"/>
            <w:hideMark/>
          </w:tcPr>
          <w:p w14:paraId="0353311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-94</w:t>
            </w:r>
          </w:p>
        </w:tc>
        <w:tc>
          <w:tcPr>
            <w:tcW w:w="474" w:type="pct"/>
            <w:tcBorders>
              <w:top w:val="nil"/>
              <w:left w:val="nil"/>
              <w:bottom w:val="nil"/>
              <w:right w:val="nil"/>
            </w:tcBorders>
            <w:shd w:val="clear" w:color="000000" w:fill="FFFFFF"/>
            <w:noWrap/>
            <w:vAlign w:val="bottom"/>
            <w:hideMark/>
          </w:tcPr>
          <w:p w14:paraId="298EEDE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-65</w:t>
            </w:r>
          </w:p>
        </w:tc>
        <w:tc>
          <w:tcPr>
            <w:tcW w:w="45" w:type="pct"/>
            <w:tcBorders>
              <w:top w:val="nil"/>
              <w:left w:val="nil"/>
              <w:bottom w:val="nil"/>
              <w:right w:val="nil"/>
            </w:tcBorders>
            <w:shd w:val="clear" w:color="000000" w:fill="FFFFFF"/>
            <w:noWrap/>
            <w:vAlign w:val="bottom"/>
            <w:hideMark/>
          </w:tcPr>
          <w:p w14:paraId="6B48EF96"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681C4154"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-368</w:t>
            </w:r>
          </w:p>
        </w:tc>
      </w:tr>
      <w:tr w:rsidR="004F4318" w14:paraId="491ED83C"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57DB776A"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Historical state and territory loans</w:t>
            </w:r>
          </w:p>
        </w:tc>
        <w:tc>
          <w:tcPr>
            <w:tcW w:w="474" w:type="pct"/>
            <w:tcBorders>
              <w:top w:val="nil"/>
              <w:left w:val="nil"/>
              <w:bottom w:val="nil"/>
              <w:right w:val="nil"/>
            </w:tcBorders>
            <w:shd w:val="clear" w:color="000000" w:fill="FFFFFF"/>
            <w:noWrap/>
            <w:vAlign w:val="bottom"/>
            <w:hideMark/>
          </w:tcPr>
          <w:p w14:paraId="1980F26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97</w:t>
            </w:r>
          </w:p>
        </w:tc>
        <w:tc>
          <w:tcPr>
            <w:tcW w:w="474" w:type="pct"/>
            <w:tcBorders>
              <w:top w:val="nil"/>
              <w:left w:val="nil"/>
              <w:bottom w:val="nil"/>
              <w:right w:val="nil"/>
            </w:tcBorders>
            <w:shd w:val="clear" w:color="000000" w:fill="E6F2FF"/>
            <w:noWrap/>
            <w:vAlign w:val="bottom"/>
            <w:hideMark/>
          </w:tcPr>
          <w:p w14:paraId="02E02B8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101</w:t>
            </w:r>
          </w:p>
        </w:tc>
        <w:tc>
          <w:tcPr>
            <w:tcW w:w="474" w:type="pct"/>
            <w:tcBorders>
              <w:top w:val="nil"/>
              <w:left w:val="nil"/>
              <w:bottom w:val="nil"/>
              <w:right w:val="nil"/>
            </w:tcBorders>
            <w:shd w:val="clear" w:color="000000" w:fill="FFFFFF"/>
            <w:noWrap/>
            <w:vAlign w:val="bottom"/>
            <w:hideMark/>
          </w:tcPr>
          <w:p w14:paraId="6CF329F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100</w:t>
            </w:r>
          </w:p>
        </w:tc>
        <w:tc>
          <w:tcPr>
            <w:tcW w:w="474" w:type="pct"/>
            <w:tcBorders>
              <w:top w:val="nil"/>
              <w:left w:val="nil"/>
              <w:bottom w:val="nil"/>
              <w:right w:val="nil"/>
            </w:tcBorders>
            <w:shd w:val="clear" w:color="000000" w:fill="FFFFFF"/>
            <w:noWrap/>
            <w:vAlign w:val="bottom"/>
            <w:hideMark/>
          </w:tcPr>
          <w:p w14:paraId="479DEAF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94</w:t>
            </w:r>
          </w:p>
        </w:tc>
        <w:tc>
          <w:tcPr>
            <w:tcW w:w="474" w:type="pct"/>
            <w:tcBorders>
              <w:top w:val="nil"/>
              <w:left w:val="nil"/>
              <w:bottom w:val="nil"/>
              <w:right w:val="nil"/>
            </w:tcBorders>
            <w:shd w:val="clear" w:color="000000" w:fill="FFFFFF"/>
            <w:noWrap/>
            <w:vAlign w:val="bottom"/>
            <w:hideMark/>
          </w:tcPr>
          <w:p w14:paraId="104B9E1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90</w:t>
            </w:r>
          </w:p>
        </w:tc>
        <w:tc>
          <w:tcPr>
            <w:tcW w:w="45" w:type="pct"/>
            <w:tcBorders>
              <w:top w:val="nil"/>
              <w:left w:val="nil"/>
              <w:bottom w:val="nil"/>
              <w:right w:val="nil"/>
            </w:tcBorders>
            <w:shd w:val="clear" w:color="000000" w:fill="FFFFFF"/>
            <w:noWrap/>
            <w:vAlign w:val="bottom"/>
            <w:hideMark/>
          </w:tcPr>
          <w:p w14:paraId="3FFC66BE"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50FE5C11"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481</w:t>
            </w:r>
          </w:p>
        </w:tc>
      </w:tr>
      <w:tr w:rsidR="004F4318" w14:paraId="12A83F41"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3F5A4A64"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Home Equity Access Scheme</w:t>
            </w:r>
          </w:p>
        </w:tc>
        <w:tc>
          <w:tcPr>
            <w:tcW w:w="474" w:type="pct"/>
            <w:tcBorders>
              <w:top w:val="nil"/>
              <w:left w:val="nil"/>
              <w:bottom w:val="nil"/>
              <w:right w:val="nil"/>
            </w:tcBorders>
            <w:shd w:val="clear" w:color="000000" w:fill="FFFFFF"/>
            <w:noWrap/>
            <w:vAlign w:val="bottom"/>
            <w:hideMark/>
          </w:tcPr>
          <w:p w14:paraId="05E4BAF2"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-232</w:t>
            </w:r>
          </w:p>
        </w:tc>
        <w:tc>
          <w:tcPr>
            <w:tcW w:w="474" w:type="pct"/>
            <w:tcBorders>
              <w:top w:val="nil"/>
              <w:left w:val="nil"/>
              <w:bottom w:val="nil"/>
              <w:right w:val="nil"/>
            </w:tcBorders>
            <w:shd w:val="clear" w:color="000000" w:fill="E6F2FF"/>
            <w:noWrap/>
            <w:vAlign w:val="bottom"/>
            <w:hideMark/>
          </w:tcPr>
          <w:p w14:paraId="32E47682"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-289</w:t>
            </w:r>
          </w:p>
        </w:tc>
        <w:tc>
          <w:tcPr>
            <w:tcW w:w="474" w:type="pct"/>
            <w:tcBorders>
              <w:top w:val="nil"/>
              <w:left w:val="nil"/>
              <w:bottom w:val="nil"/>
              <w:right w:val="nil"/>
            </w:tcBorders>
            <w:shd w:val="clear" w:color="000000" w:fill="FFFFFF"/>
            <w:noWrap/>
            <w:vAlign w:val="bottom"/>
            <w:hideMark/>
          </w:tcPr>
          <w:p w14:paraId="01A3339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-335</w:t>
            </w:r>
          </w:p>
        </w:tc>
        <w:tc>
          <w:tcPr>
            <w:tcW w:w="474" w:type="pct"/>
            <w:tcBorders>
              <w:top w:val="nil"/>
              <w:left w:val="nil"/>
              <w:bottom w:val="nil"/>
              <w:right w:val="nil"/>
            </w:tcBorders>
            <w:shd w:val="clear" w:color="000000" w:fill="FFFFFF"/>
            <w:noWrap/>
            <w:vAlign w:val="bottom"/>
            <w:hideMark/>
          </w:tcPr>
          <w:p w14:paraId="6CFF03F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-364</w:t>
            </w:r>
          </w:p>
        </w:tc>
        <w:tc>
          <w:tcPr>
            <w:tcW w:w="474" w:type="pct"/>
            <w:tcBorders>
              <w:top w:val="nil"/>
              <w:left w:val="nil"/>
              <w:bottom w:val="nil"/>
              <w:right w:val="nil"/>
            </w:tcBorders>
            <w:shd w:val="clear" w:color="000000" w:fill="FFFFFF"/>
            <w:noWrap/>
            <w:vAlign w:val="bottom"/>
            <w:hideMark/>
          </w:tcPr>
          <w:p w14:paraId="0E47177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-381</w:t>
            </w:r>
          </w:p>
        </w:tc>
        <w:tc>
          <w:tcPr>
            <w:tcW w:w="45" w:type="pct"/>
            <w:tcBorders>
              <w:top w:val="nil"/>
              <w:left w:val="nil"/>
              <w:bottom w:val="nil"/>
              <w:right w:val="nil"/>
            </w:tcBorders>
            <w:shd w:val="clear" w:color="000000" w:fill="FFFFFF"/>
            <w:noWrap/>
            <w:vAlign w:val="bottom"/>
            <w:hideMark/>
          </w:tcPr>
          <w:p w14:paraId="585BBFE4"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52DD663E"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-1,600</w:t>
            </w:r>
          </w:p>
        </w:tc>
      </w:tr>
      <w:tr w:rsidR="004F4318" w14:paraId="649285DB"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5B8F5536"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Housing Australia</w:t>
            </w:r>
          </w:p>
        </w:tc>
        <w:tc>
          <w:tcPr>
            <w:tcW w:w="474" w:type="pct"/>
            <w:tcBorders>
              <w:top w:val="nil"/>
              <w:left w:val="nil"/>
              <w:bottom w:val="nil"/>
              <w:right w:val="nil"/>
            </w:tcBorders>
            <w:shd w:val="clear" w:color="000000" w:fill="FFFFFF"/>
            <w:noWrap/>
            <w:vAlign w:val="bottom"/>
            <w:hideMark/>
          </w:tcPr>
          <w:p w14:paraId="24C4E61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-2,455</w:t>
            </w:r>
          </w:p>
        </w:tc>
        <w:tc>
          <w:tcPr>
            <w:tcW w:w="474" w:type="pct"/>
            <w:tcBorders>
              <w:top w:val="nil"/>
              <w:left w:val="nil"/>
              <w:bottom w:val="nil"/>
              <w:right w:val="nil"/>
            </w:tcBorders>
            <w:shd w:val="clear" w:color="000000" w:fill="E6F2FF"/>
            <w:noWrap/>
            <w:vAlign w:val="bottom"/>
            <w:hideMark/>
          </w:tcPr>
          <w:p w14:paraId="30BBC24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-6,330</w:t>
            </w:r>
          </w:p>
        </w:tc>
        <w:tc>
          <w:tcPr>
            <w:tcW w:w="474" w:type="pct"/>
            <w:tcBorders>
              <w:top w:val="nil"/>
              <w:left w:val="nil"/>
              <w:bottom w:val="nil"/>
              <w:right w:val="nil"/>
            </w:tcBorders>
            <w:shd w:val="clear" w:color="000000" w:fill="FFFFFF"/>
            <w:noWrap/>
            <w:vAlign w:val="bottom"/>
            <w:hideMark/>
          </w:tcPr>
          <w:p w14:paraId="2E198B1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-3,915</w:t>
            </w:r>
          </w:p>
        </w:tc>
        <w:tc>
          <w:tcPr>
            <w:tcW w:w="474" w:type="pct"/>
            <w:tcBorders>
              <w:top w:val="nil"/>
              <w:left w:val="nil"/>
              <w:bottom w:val="nil"/>
              <w:right w:val="nil"/>
            </w:tcBorders>
            <w:shd w:val="clear" w:color="000000" w:fill="FFFFFF"/>
            <w:noWrap/>
            <w:vAlign w:val="bottom"/>
            <w:hideMark/>
          </w:tcPr>
          <w:p w14:paraId="24F9D50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-2,114</w:t>
            </w:r>
          </w:p>
        </w:tc>
        <w:tc>
          <w:tcPr>
            <w:tcW w:w="474" w:type="pct"/>
            <w:tcBorders>
              <w:top w:val="nil"/>
              <w:left w:val="nil"/>
              <w:bottom w:val="nil"/>
              <w:right w:val="nil"/>
            </w:tcBorders>
            <w:shd w:val="clear" w:color="000000" w:fill="FFFFFF"/>
            <w:noWrap/>
            <w:vAlign w:val="bottom"/>
            <w:hideMark/>
          </w:tcPr>
          <w:p w14:paraId="1F6D9DE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-1,076</w:t>
            </w:r>
          </w:p>
        </w:tc>
        <w:tc>
          <w:tcPr>
            <w:tcW w:w="45" w:type="pct"/>
            <w:tcBorders>
              <w:top w:val="nil"/>
              <w:left w:val="nil"/>
              <w:bottom w:val="nil"/>
              <w:right w:val="nil"/>
            </w:tcBorders>
            <w:shd w:val="clear" w:color="000000" w:fill="FFFFFF"/>
            <w:noWrap/>
            <w:vAlign w:val="bottom"/>
            <w:hideMark/>
          </w:tcPr>
          <w:p w14:paraId="4B4F30CF"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38104E24"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-15,890</w:t>
            </w:r>
          </w:p>
        </w:tc>
      </w:tr>
      <w:tr w:rsidR="004F4318" w14:paraId="2123B69B"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64260709"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100,000 Homes for First Home Buyers</w:t>
            </w:r>
          </w:p>
        </w:tc>
        <w:tc>
          <w:tcPr>
            <w:tcW w:w="474" w:type="pct"/>
            <w:tcBorders>
              <w:top w:val="nil"/>
              <w:left w:val="nil"/>
              <w:bottom w:val="nil"/>
              <w:right w:val="nil"/>
            </w:tcBorders>
            <w:shd w:val="clear" w:color="000000" w:fill="FFFFFF"/>
            <w:noWrap/>
            <w:vAlign w:val="bottom"/>
            <w:hideMark/>
          </w:tcPr>
          <w:p w14:paraId="21E8D45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-57</w:t>
            </w:r>
          </w:p>
        </w:tc>
        <w:tc>
          <w:tcPr>
            <w:tcW w:w="474" w:type="pct"/>
            <w:tcBorders>
              <w:top w:val="nil"/>
              <w:left w:val="nil"/>
              <w:bottom w:val="nil"/>
              <w:right w:val="nil"/>
            </w:tcBorders>
            <w:shd w:val="clear" w:color="000000" w:fill="E6F2FF"/>
            <w:noWrap/>
            <w:vAlign w:val="bottom"/>
            <w:hideMark/>
          </w:tcPr>
          <w:p w14:paraId="7C27C36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-768</w:t>
            </w:r>
          </w:p>
        </w:tc>
        <w:tc>
          <w:tcPr>
            <w:tcW w:w="474" w:type="pct"/>
            <w:tcBorders>
              <w:top w:val="nil"/>
              <w:left w:val="nil"/>
              <w:bottom w:val="nil"/>
              <w:right w:val="nil"/>
            </w:tcBorders>
            <w:shd w:val="clear" w:color="000000" w:fill="FFFFFF"/>
            <w:noWrap/>
            <w:vAlign w:val="bottom"/>
            <w:hideMark/>
          </w:tcPr>
          <w:p w14:paraId="1C81566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-678</w:t>
            </w:r>
          </w:p>
        </w:tc>
        <w:tc>
          <w:tcPr>
            <w:tcW w:w="474" w:type="pct"/>
            <w:tcBorders>
              <w:top w:val="nil"/>
              <w:left w:val="nil"/>
              <w:bottom w:val="nil"/>
              <w:right w:val="nil"/>
            </w:tcBorders>
            <w:shd w:val="clear" w:color="000000" w:fill="FFFFFF"/>
            <w:noWrap/>
            <w:vAlign w:val="bottom"/>
            <w:hideMark/>
          </w:tcPr>
          <w:p w14:paraId="28DBDE8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-670</w:t>
            </w:r>
          </w:p>
        </w:tc>
        <w:tc>
          <w:tcPr>
            <w:tcW w:w="474" w:type="pct"/>
            <w:tcBorders>
              <w:top w:val="nil"/>
              <w:left w:val="nil"/>
              <w:bottom w:val="nil"/>
              <w:right w:val="nil"/>
            </w:tcBorders>
            <w:shd w:val="clear" w:color="000000" w:fill="FFFFFF"/>
            <w:noWrap/>
            <w:vAlign w:val="bottom"/>
            <w:hideMark/>
          </w:tcPr>
          <w:p w14:paraId="15F463E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-318</w:t>
            </w:r>
          </w:p>
        </w:tc>
        <w:tc>
          <w:tcPr>
            <w:tcW w:w="45" w:type="pct"/>
            <w:tcBorders>
              <w:top w:val="nil"/>
              <w:left w:val="nil"/>
              <w:bottom w:val="nil"/>
              <w:right w:val="nil"/>
            </w:tcBorders>
            <w:shd w:val="clear" w:color="000000" w:fill="FFFFFF"/>
            <w:noWrap/>
            <w:vAlign w:val="bottom"/>
            <w:hideMark/>
          </w:tcPr>
          <w:p w14:paraId="5BA8F7EB"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7C3BE742"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-2,491</w:t>
            </w:r>
          </w:p>
        </w:tc>
      </w:tr>
      <w:tr w:rsidR="004F4318" w14:paraId="7AACE51A"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722113E0"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 xml:space="preserve">Indigenous Business Australia </w:t>
            </w:r>
          </w:p>
        </w:tc>
        <w:tc>
          <w:tcPr>
            <w:tcW w:w="474" w:type="pct"/>
            <w:tcBorders>
              <w:top w:val="nil"/>
              <w:left w:val="nil"/>
              <w:bottom w:val="nil"/>
              <w:right w:val="nil"/>
            </w:tcBorders>
            <w:shd w:val="clear" w:color="000000" w:fill="FFFFFF"/>
            <w:noWrap/>
            <w:vAlign w:val="bottom"/>
            <w:hideMark/>
          </w:tcPr>
          <w:p w14:paraId="7A0461B9"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bottom"/>
            <w:hideMark/>
          </w:tcPr>
          <w:p w14:paraId="1525DF09"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68EA143D"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77175C4C"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563CBE47"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 w:type="pct"/>
            <w:tcBorders>
              <w:top w:val="nil"/>
              <w:left w:val="nil"/>
              <w:bottom w:val="nil"/>
              <w:right w:val="nil"/>
            </w:tcBorders>
            <w:shd w:val="clear" w:color="000000" w:fill="FFFFFF"/>
            <w:noWrap/>
            <w:vAlign w:val="bottom"/>
            <w:hideMark/>
          </w:tcPr>
          <w:p w14:paraId="735C8E92"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40D65CA4"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6725D14D"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55DE1B5E" w14:textId="77777777" w:rsidR="004F4318" w:rsidRPr="007B5379" w:rsidRDefault="004F4318" w:rsidP="004F4318">
            <w:pPr>
              <w:spacing w:before="0" w:after="0" w:line="240" w:lineRule="auto"/>
              <w:ind w:firstLineChars="300" w:firstLine="480"/>
              <w:rPr>
                <w:rFonts w:ascii="Arial" w:hAnsi="Arial" w:cs="Arial"/>
                <w:color w:val="00FFFF"/>
                <w:sz w:val="16"/>
                <w:szCs w:val="16"/>
                <w:highlight w:val="magenta"/>
              </w:rPr>
            </w:pPr>
            <w:r w:rsidRPr="00207DD5">
              <w:rPr>
                <w:rFonts w:ascii="Arial" w:hAnsi="Arial" w:cs="Arial"/>
                <w:sz w:val="16"/>
                <w:szCs w:val="16"/>
              </w:rPr>
              <w:t>home and business loans</w:t>
            </w:r>
          </w:p>
        </w:tc>
        <w:tc>
          <w:tcPr>
            <w:tcW w:w="474" w:type="pct"/>
            <w:tcBorders>
              <w:top w:val="nil"/>
              <w:left w:val="nil"/>
              <w:bottom w:val="nil"/>
              <w:right w:val="nil"/>
            </w:tcBorders>
            <w:shd w:val="clear" w:color="000000" w:fill="FFFFFF"/>
            <w:noWrap/>
            <w:vAlign w:val="bottom"/>
            <w:hideMark/>
          </w:tcPr>
          <w:p w14:paraId="44CCC7F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-219</w:t>
            </w:r>
          </w:p>
        </w:tc>
        <w:tc>
          <w:tcPr>
            <w:tcW w:w="474" w:type="pct"/>
            <w:tcBorders>
              <w:top w:val="nil"/>
              <w:left w:val="nil"/>
              <w:bottom w:val="nil"/>
              <w:right w:val="nil"/>
            </w:tcBorders>
            <w:shd w:val="clear" w:color="000000" w:fill="E6F2FF"/>
            <w:noWrap/>
            <w:vAlign w:val="bottom"/>
            <w:hideMark/>
          </w:tcPr>
          <w:p w14:paraId="7F20B20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-95</w:t>
            </w:r>
          </w:p>
        </w:tc>
        <w:tc>
          <w:tcPr>
            <w:tcW w:w="474" w:type="pct"/>
            <w:tcBorders>
              <w:top w:val="nil"/>
              <w:left w:val="nil"/>
              <w:bottom w:val="nil"/>
              <w:right w:val="nil"/>
            </w:tcBorders>
            <w:shd w:val="clear" w:color="000000" w:fill="FFFFFF"/>
            <w:noWrap/>
            <w:vAlign w:val="bottom"/>
            <w:hideMark/>
          </w:tcPr>
          <w:p w14:paraId="245BED6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-102</w:t>
            </w:r>
          </w:p>
        </w:tc>
        <w:tc>
          <w:tcPr>
            <w:tcW w:w="474" w:type="pct"/>
            <w:tcBorders>
              <w:top w:val="nil"/>
              <w:left w:val="nil"/>
              <w:bottom w:val="nil"/>
              <w:right w:val="nil"/>
            </w:tcBorders>
            <w:shd w:val="clear" w:color="000000" w:fill="FFFFFF"/>
            <w:noWrap/>
            <w:vAlign w:val="bottom"/>
            <w:hideMark/>
          </w:tcPr>
          <w:p w14:paraId="75AF36F2"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-106</w:t>
            </w:r>
          </w:p>
        </w:tc>
        <w:tc>
          <w:tcPr>
            <w:tcW w:w="474" w:type="pct"/>
            <w:tcBorders>
              <w:top w:val="nil"/>
              <w:left w:val="nil"/>
              <w:bottom w:val="nil"/>
              <w:right w:val="nil"/>
            </w:tcBorders>
            <w:shd w:val="clear" w:color="000000" w:fill="FFFFFF"/>
            <w:noWrap/>
            <w:vAlign w:val="bottom"/>
            <w:hideMark/>
          </w:tcPr>
          <w:p w14:paraId="5DDBDA6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-107</w:t>
            </w:r>
          </w:p>
        </w:tc>
        <w:tc>
          <w:tcPr>
            <w:tcW w:w="45" w:type="pct"/>
            <w:tcBorders>
              <w:top w:val="nil"/>
              <w:left w:val="nil"/>
              <w:bottom w:val="nil"/>
              <w:right w:val="nil"/>
            </w:tcBorders>
            <w:shd w:val="clear" w:color="000000" w:fill="FFFFFF"/>
            <w:noWrap/>
            <w:vAlign w:val="bottom"/>
            <w:hideMark/>
          </w:tcPr>
          <w:p w14:paraId="565657E4"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4976A1B1"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-629</w:t>
            </w:r>
          </w:p>
        </w:tc>
      </w:tr>
      <w:tr w:rsidR="004F4318" w14:paraId="3312E608"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30DB542F"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Marinus Link investment</w:t>
            </w:r>
          </w:p>
        </w:tc>
        <w:tc>
          <w:tcPr>
            <w:tcW w:w="474" w:type="pct"/>
            <w:tcBorders>
              <w:top w:val="nil"/>
              <w:left w:val="nil"/>
              <w:bottom w:val="nil"/>
              <w:right w:val="nil"/>
            </w:tcBorders>
            <w:shd w:val="clear" w:color="000000" w:fill="FFFFFF"/>
            <w:noWrap/>
            <w:vAlign w:val="bottom"/>
            <w:hideMark/>
          </w:tcPr>
          <w:p w14:paraId="6939676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-212</w:t>
            </w:r>
          </w:p>
        </w:tc>
        <w:tc>
          <w:tcPr>
            <w:tcW w:w="474" w:type="pct"/>
            <w:tcBorders>
              <w:top w:val="nil"/>
              <w:left w:val="nil"/>
              <w:bottom w:val="nil"/>
              <w:right w:val="nil"/>
            </w:tcBorders>
            <w:shd w:val="clear" w:color="000000" w:fill="E6F2FF"/>
            <w:noWrap/>
            <w:vAlign w:val="bottom"/>
            <w:hideMark/>
          </w:tcPr>
          <w:p w14:paraId="5A412D4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-53</w:t>
            </w:r>
          </w:p>
        </w:tc>
        <w:tc>
          <w:tcPr>
            <w:tcW w:w="474" w:type="pct"/>
            <w:tcBorders>
              <w:top w:val="nil"/>
              <w:left w:val="nil"/>
              <w:bottom w:val="nil"/>
              <w:right w:val="nil"/>
            </w:tcBorders>
            <w:shd w:val="clear" w:color="000000" w:fill="FFFFFF"/>
            <w:noWrap/>
            <w:vAlign w:val="bottom"/>
            <w:hideMark/>
          </w:tcPr>
          <w:p w14:paraId="117268C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w:t>
            </w:r>
          </w:p>
        </w:tc>
        <w:tc>
          <w:tcPr>
            <w:tcW w:w="474" w:type="pct"/>
            <w:tcBorders>
              <w:top w:val="nil"/>
              <w:left w:val="nil"/>
              <w:bottom w:val="nil"/>
              <w:right w:val="nil"/>
            </w:tcBorders>
            <w:shd w:val="clear" w:color="000000" w:fill="FFFFFF"/>
            <w:noWrap/>
            <w:vAlign w:val="bottom"/>
            <w:hideMark/>
          </w:tcPr>
          <w:p w14:paraId="6D2AD41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w:t>
            </w:r>
          </w:p>
        </w:tc>
        <w:tc>
          <w:tcPr>
            <w:tcW w:w="474" w:type="pct"/>
            <w:tcBorders>
              <w:top w:val="nil"/>
              <w:left w:val="nil"/>
              <w:bottom w:val="nil"/>
              <w:right w:val="nil"/>
            </w:tcBorders>
            <w:shd w:val="clear" w:color="000000" w:fill="FFFFFF"/>
            <w:noWrap/>
            <w:vAlign w:val="bottom"/>
            <w:hideMark/>
          </w:tcPr>
          <w:p w14:paraId="1F18485C"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w:t>
            </w:r>
          </w:p>
        </w:tc>
        <w:tc>
          <w:tcPr>
            <w:tcW w:w="45" w:type="pct"/>
            <w:tcBorders>
              <w:top w:val="nil"/>
              <w:left w:val="nil"/>
              <w:bottom w:val="nil"/>
              <w:right w:val="nil"/>
            </w:tcBorders>
            <w:shd w:val="clear" w:color="000000" w:fill="FFFFFF"/>
            <w:noWrap/>
            <w:vAlign w:val="bottom"/>
            <w:hideMark/>
          </w:tcPr>
          <w:p w14:paraId="019CB396"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73A243E0"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-265</w:t>
            </w:r>
          </w:p>
        </w:tc>
      </w:tr>
      <w:tr w:rsidR="004F4318" w14:paraId="2D053FE7"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770F9772"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National Interest Account</w:t>
            </w:r>
          </w:p>
        </w:tc>
        <w:tc>
          <w:tcPr>
            <w:tcW w:w="474" w:type="pct"/>
            <w:tcBorders>
              <w:top w:val="nil"/>
              <w:left w:val="nil"/>
              <w:bottom w:val="nil"/>
              <w:right w:val="nil"/>
            </w:tcBorders>
            <w:shd w:val="clear" w:color="000000" w:fill="FFFFFF"/>
            <w:noWrap/>
            <w:vAlign w:val="bottom"/>
            <w:hideMark/>
          </w:tcPr>
          <w:p w14:paraId="2C31E8C0"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bottom"/>
            <w:hideMark/>
          </w:tcPr>
          <w:p w14:paraId="11BADCCD"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48B57026"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739C4D2D"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4E499C5A"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 w:type="pct"/>
            <w:tcBorders>
              <w:top w:val="nil"/>
              <w:left w:val="nil"/>
              <w:bottom w:val="nil"/>
              <w:right w:val="nil"/>
            </w:tcBorders>
            <w:shd w:val="clear" w:color="000000" w:fill="FFFFFF"/>
            <w:noWrap/>
            <w:vAlign w:val="bottom"/>
            <w:hideMark/>
          </w:tcPr>
          <w:p w14:paraId="78FFFCD6"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0F939D46"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15A26891"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3D71409C" w14:textId="77777777" w:rsidR="004F4318" w:rsidRPr="007B5379" w:rsidRDefault="004F4318" w:rsidP="004F4318">
            <w:pPr>
              <w:spacing w:before="0" w:after="0" w:line="240" w:lineRule="auto"/>
              <w:ind w:firstLineChars="300" w:firstLine="480"/>
              <w:rPr>
                <w:rFonts w:ascii="Arial" w:hAnsi="Arial" w:cs="Arial"/>
                <w:color w:val="00FFFF"/>
                <w:sz w:val="16"/>
                <w:szCs w:val="16"/>
                <w:highlight w:val="magenta"/>
              </w:rPr>
            </w:pPr>
            <w:r w:rsidRPr="00207DD5">
              <w:rPr>
                <w:rFonts w:ascii="Arial" w:hAnsi="Arial" w:cs="Arial"/>
                <w:sz w:val="16"/>
                <w:szCs w:val="16"/>
              </w:rPr>
              <w:t xml:space="preserve">loans and investments </w:t>
            </w:r>
          </w:p>
        </w:tc>
        <w:tc>
          <w:tcPr>
            <w:tcW w:w="474" w:type="pct"/>
            <w:tcBorders>
              <w:top w:val="nil"/>
              <w:left w:val="nil"/>
              <w:bottom w:val="nil"/>
              <w:right w:val="nil"/>
            </w:tcBorders>
            <w:shd w:val="clear" w:color="000000" w:fill="FFFFFF"/>
            <w:noWrap/>
            <w:vAlign w:val="bottom"/>
            <w:hideMark/>
          </w:tcPr>
          <w:p w14:paraId="3CC8634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-696</w:t>
            </w:r>
          </w:p>
        </w:tc>
        <w:tc>
          <w:tcPr>
            <w:tcW w:w="474" w:type="pct"/>
            <w:tcBorders>
              <w:top w:val="nil"/>
              <w:left w:val="nil"/>
              <w:bottom w:val="nil"/>
              <w:right w:val="nil"/>
            </w:tcBorders>
            <w:shd w:val="clear" w:color="000000" w:fill="E6F2FF"/>
            <w:noWrap/>
            <w:vAlign w:val="bottom"/>
            <w:hideMark/>
          </w:tcPr>
          <w:p w14:paraId="6E95AD5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-906</w:t>
            </w:r>
          </w:p>
        </w:tc>
        <w:tc>
          <w:tcPr>
            <w:tcW w:w="474" w:type="pct"/>
            <w:tcBorders>
              <w:top w:val="nil"/>
              <w:left w:val="nil"/>
              <w:bottom w:val="nil"/>
              <w:right w:val="nil"/>
            </w:tcBorders>
            <w:shd w:val="clear" w:color="000000" w:fill="FFFFFF"/>
            <w:noWrap/>
            <w:vAlign w:val="bottom"/>
            <w:hideMark/>
          </w:tcPr>
          <w:p w14:paraId="7F283A9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-624</w:t>
            </w:r>
          </w:p>
        </w:tc>
        <w:tc>
          <w:tcPr>
            <w:tcW w:w="474" w:type="pct"/>
            <w:tcBorders>
              <w:top w:val="nil"/>
              <w:left w:val="nil"/>
              <w:bottom w:val="nil"/>
              <w:right w:val="nil"/>
            </w:tcBorders>
            <w:shd w:val="clear" w:color="000000" w:fill="FFFFFF"/>
            <w:noWrap/>
            <w:vAlign w:val="bottom"/>
            <w:hideMark/>
          </w:tcPr>
          <w:p w14:paraId="455DD96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5</w:t>
            </w:r>
          </w:p>
        </w:tc>
        <w:tc>
          <w:tcPr>
            <w:tcW w:w="474" w:type="pct"/>
            <w:tcBorders>
              <w:top w:val="nil"/>
              <w:left w:val="nil"/>
              <w:bottom w:val="nil"/>
              <w:right w:val="nil"/>
            </w:tcBorders>
            <w:shd w:val="clear" w:color="000000" w:fill="FFFFFF"/>
            <w:noWrap/>
            <w:vAlign w:val="bottom"/>
            <w:hideMark/>
          </w:tcPr>
          <w:p w14:paraId="3C691C3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143</w:t>
            </w:r>
          </w:p>
        </w:tc>
        <w:tc>
          <w:tcPr>
            <w:tcW w:w="45" w:type="pct"/>
            <w:tcBorders>
              <w:top w:val="nil"/>
              <w:left w:val="nil"/>
              <w:bottom w:val="nil"/>
              <w:right w:val="nil"/>
            </w:tcBorders>
            <w:shd w:val="clear" w:color="000000" w:fill="FFFFFF"/>
            <w:noWrap/>
            <w:vAlign w:val="bottom"/>
            <w:hideMark/>
          </w:tcPr>
          <w:p w14:paraId="276BD90C"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6F72793F"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-2,079</w:t>
            </w:r>
          </w:p>
        </w:tc>
      </w:tr>
      <w:tr w:rsidR="004F4318" w14:paraId="60EC418A"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12922DC3"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 xml:space="preserve">COVID-19 Support for </w:t>
            </w:r>
          </w:p>
        </w:tc>
        <w:tc>
          <w:tcPr>
            <w:tcW w:w="474" w:type="pct"/>
            <w:tcBorders>
              <w:top w:val="nil"/>
              <w:left w:val="nil"/>
              <w:bottom w:val="nil"/>
              <w:right w:val="nil"/>
            </w:tcBorders>
            <w:shd w:val="clear" w:color="000000" w:fill="FFFFFF"/>
            <w:noWrap/>
            <w:vAlign w:val="bottom"/>
            <w:hideMark/>
          </w:tcPr>
          <w:p w14:paraId="0CF25654"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bottom"/>
            <w:hideMark/>
          </w:tcPr>
          <w:p w14:paraId="47E688BE"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7218ABA6"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377DFC36"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774175A9"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 w:type="pct"/>
            <w:tcBorders>
              <w:top w:val="nil"/>
              <w:left w:val="nil"/>
              <w:bottom w:val="nil"/>
              <w:right w:val="nil"/>
            </w:tcBorders>
            <w:shd w:val="clear" w:color="000000" w:fill="FFFFFF"/>
            <w:noWrap/>
            <w:vAlign w:val="bottom"/>
            <w:hideMark/>
          </w:tcPr>
          <w:p w14:paraId="254BD0A1"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688F6A41"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72DF0EEF"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629B239F" w14:textId="77777777" w:rsidR="004F4318" w:rsidRPr="007B5379" w:rsidRDefault="004F4318" w:rsidP="004F4318">
            <w:pPr>
              <w:spacing w:before="0" w:after="0" w:line="240" w:lineRule="auto"/>
              <w:ind w:firstLineChars="300" w:firstLine="480"/>
              <w:rPr>
                <w:rFonts w:ascii="Arial" w:hAnsi="Arial" w:cs="Arial"/>
                <w:color w:val="00FFFF"/>
                <w:sz w:val="16"/>
                <w:szCs w:val="16"/>
                <w:highlight w:val="magenta"/>
              </w:rPr>
            </w:pPr>
            <w:r w:rsidRPr="00207DD5">
              <w:rPr>
                <w:rFonts w:ascii="Arial" w:hAnsi="Arial" w:cs="Arial"/>
                <w:sz w:val="16"/>
                <w:szCs w:val="16"/>
              </w:rPr>
              <w:t xml:space="preserve">Indonesia — loan </w:t>
            </w:r>
          </w:p>
        </w:tc>
        <w:tc>
          <w:tcPr>
            <w:tcW w:w="474" w:type="pct"/>
            <w:tcBorders>
              <w:top w:val="nil"/>
              <w:left w:val="nil"/>
              <w:bottom w:val="nil"/>
              <w:right w:val="nil"/>
            </w:tcBorders>
            <w:shd w:val="clear" w:color="000000" w:fill="FFFFFF"/>
            <w:noWrap/>
            <w:vAlign w:val="bottom"/>
            <w:hideMark/>
          </w:tcPr>
          <w:p w14:paraId="74B2787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100</w:t>
            </w:r>
          </w:p>
        </w:tc>
        <w:tc>
          <w:tcPr>
            <w:tcW w:w="474" w:type="pct"/>
            <w:tcBorders>
              <w:top w:val="nil"/>
              <w:left w:val="nil"/>
              <w:bottom w:val="nil"/>
              <w:right w:val="nil"/>
            </w:tcBorders>
            <w:shd w:val="clear" w:color="000000" w:fill="E6F2FF"/>
            <w:noWrap/>
            <w:vAlign w:val="bottom"/>
            <w:hideMark/>
          </w:tcPr>
          <w:p w14:paraId="7DC3F75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100</w:t>
            </w:r>
          </w:p>
        </w:tc>
        <w:tc>
          <w:tcPr>
            <w:tcW w:w="474" w:type="pct"/>
            <w:tcBorders>
              <w:top w:val="nil"/>
              <w:left w:val="nil"/>
              <w:bottom w:val="nil"/>
              <w:right w:val="nil"/>
            </w:tcBorders>
            <w:shd w:val="clear" w:color="000000" w:fill="FFFFFF"/>
            <w:noWrap/>
            <w:vAlign w:val="bottom"/>
            <w:hideMark/>
          </w:tcPr>
          <w:p w14:paraId="61F4D8E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100</w:t>
            </w:r>
          </w:p>
        </w:tc>
        <w:tc>
          <w:tcPr>
            <w:tcW w:w="474" w:type="pct"/>
            <w:tcBorders>
              <w:top w:val="nil"/>
              <w:left w:val="nil"/>
              <w:bottom w:val="nil"/>
              <w:right w:val="nil"/>
            </w:tcBorders>
            <w:shd w:val="clear" w:color="000000" w:fill="FFFFFF"/>
            <w:noWrap/>
            <w:vAlign w:val="bottom"/>
            <w:hideMark/>
          </w:tcPr>
          <w:p w14:paraId="0931684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100</w:t>
            </w:r>
          </w:p>
        </w:tc>
        <w:tc>
          <w:tcPr>
            <w:tcW w:w="474" w:type="pct"/>
            <w:tcBorders>
              <w:top w:val="nil"/>
              <w:left w:val="nil"/>
              <w:bottom w:val="nil"/>
              <w:right w:val="nil"/>
            </w:tcBorders>
            <w:shd w:val="clear" w:color="000000" w:fill="FFFFFF"/>
            <w:noWrap/>
            <w:vAlign w:val="bottom"/>
            <w:hideMark/>
          </w:tcPr>
          <w:p w14:paraId="477AA0F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100</w:t>
            </w:r>
          </w:p>
        </w:tc>
        <w:tc>
          <w:tcPr>
            <w:tcW w:w="45" w:type="pct"/>
            <w:tcBorders>
              <w:top w:val="nil"/>
              <w:left w:val="nil"/>
              <w:bottom w:val="nil"/>
              <w:right w:val="nil"/>
            </w:tcBorders>
            <w:shd w:val="clear" w:color="000000" w:fill="FFFFFF"/>
            <w:noWrap/>
            <w:vAlign w:val="bottom"/>
            <w:hideMark/>
          </w:tcPr>
          <w:p w14:paraId="467E2BE0"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71660BC9"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500</w:t>
            </w:r>
          </w:p>
        </w:tc>
      </w:tr>
      <w:tr w:rsidR="004F4318" w14:paraId="328F5067"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724CDCD5"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 xml:space="preserve">Financial Assistance to </w:t>
            </w:r>
          </w:p>
        </w:tc>
        <w:tc>
          <w:tcPr>
            <w:tcW w:w="474" w:type="pct"/>
            <w:tcBorders>
              <w:top w:val="nil"/>
              <w:left w:val="nil"/>
              <w:bottom w:val="nil"/>
              <w:right w:val="nil"/>
            </w:tcBorders>
            <w:shd w:val="clear" w:color="000000" w:fill="FFFFFF"/>
            <w:noWrap/>
            <w:vAlign w:val="bottom"/>
            <w:hideMark/>
          </w:tcPr>
          <w:p w14:paraId="09C0DAE2"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bottom"/>
            <w:hideMark/>
          </w:tcPr>
          <w:p w14:paraId="4699BB2F"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12AEE4ED"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5A910C52"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099296C9"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 w:type="pct"/>
            <w:tcBorders>
              <w:top w:val="nil"/>
              <w:left w:val="nil"/>
              <w:bottom w:val="nil"/>
              <w:right w:val="nil"/>
            </w:tcBorders>
            <w:shd w:val="clear" w:color="000000" w:fill="FFFFFF"/>
            <w:noWrap/>
            <w:vAlign w:val="bottom"/>
            <w:hideMark/>
          </w:tcPr>
          <w:p w14:paraId="57AF4D33"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7B316F7F"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6E5BBE6A"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3F0C3D3C" w14:textId="77777777" w:rsidR="004F4318" w:rsidRPr="007B5379" w:rsidRDefault="004F4318" w:rsidP="004F4318">
            <w:pPr>
              <w:spacing w:before="0" w:after="0" w:line="240" w:lineRule="auto"/>
              <w:ind w:firstLineChars="300" w:firstLine="480"/>
              <w:rPr>
                <w:rFonts w:ascii="Arial" w:hAnsi="Arial" w:cs="Arial"/>
                <w:color w:val="00FFFF"/>
                <w:sz w:val="16"/>
                <w:szCs w:val="16"/>
                <w:highlight w:val="magenta"/>
              </w:rPr>
            </w:pPr>
            <w:r w:rsidRPr="00207DD5">
              <w:rPr>
                <w:rFonts w:ascii="Arial" w:hAnsi="Arial" w:cs="Arial"/>
                <w:sz w:val="16"/>
                <w:szCs w:val="16"/>
              </w:rPr>
              <w:t>Papua New Guinea — loan</w:t>
            </w:r>
          </w:p>
        </w:tc>
        <w:tc>
          <w:tcPr>
            <w:tcW w:w="474" w:type="pct"/>
            <w:tcBorders>
              <w:top w:val="nil"/>
              <w:left w:val="nil"/>
              <w:bottom w:val="nil"/>
              <w:right w:val="nil"/>
            </w:tcBorders>
            <w:shd w:val="clear" w:color="000000" w:fill="FFFFFF"/>
            <w:noWrap/>
            <w:vAlign w:val="bottom"/>
            <w:hideMark/>
          </w:tcPr>
          <w:p w14:paraId="5395FB0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169</w:t>
            </w:r>
          </w:p>
        </w:tc>
        <w:tc>
          <w:tcPr>
            <w:tcW w:w="474" w:type="pct"/>
            <w:tcBorders>
              <w:top w:val="nil"/>
              <w:left w:val="nil"/>
              <w:bottom w:val="nil"/>
              <w:right w:val="nil"/>
            </w:tcBorders>
            <w:shd w:val="clear" w:color="000000" w:fill="E6F2FF"/>
            <w:noWrap/>
            <w:vAlign w:val="bottom"/>
            <w:hideMark/>
          </w:tcPr>
          <w:p w14:paraId="3BCBA89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169</w:t>
            </w:r>
          </w:p>
        </w:tc>
        <w:tc>
          <w:tcPr>
            <w:tcW w:w="474" w:type="pct"/>
            <w:tcBorders>
              <w:top w:val="nil"/>
              <w:left w:val="nil"/>
              <w:bottom w:val="nil"/>
              <w:right w:val="nil"/>
            </w:tcBorders>
            <w:shd w:val="clear" w:color="000000" w:fill="FFFFFF"/>
            <w:noWrap/>
            <w:vAlign w:val="bottom"/>
            <w:hideMark/>
          </w:tcPr>
          <w:p w14:paraId="0F0F5E0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169</w:t>
            </w:r>
          </w:p>
        </w:tc>
        <w:tc>
          <w:tcPr>
            <w:tcW w:w="474" w:type="pct"/>
            <w:tcBorders>
              <w:top w:val="nil"/>
              <w:left w:val="nil"/>
              <w:bottom w:val="nil"/>
              <w:right w:val="nil"/>
            </w:tcBorders>
            <w:shd w:val="clear" w:color="000000" w:fill="FFFFFF"/>
            <w:noWrap/>
            <w:vAlign w:val="bottom"/>
            <w:hideMark/>
          </w:tcPr>
          <w:p w14:paraId="5B98179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169</w:t>
            </w:r>
          </w:p>
        </w:tc>
        <w:tc>
          <w:tcPr>
            <w:tcW w:w="474" w:type="pct"/>
            <w:tcBorders>
              <w:top w:val="nil"/>
              <w:left w:val="nil"/>
              <w:bottom w:val="nil"/>
              <w:right w:val="nil"/>
            </w:tcBorders>
            <w:shd w:val="clear" w:color="000000" w:fill="FFFFFF"/>
            <w:noWrap/>
            <w:vAlign w:val="bottom"/>
            <w:hideMark/>
          </w:tcPr>
          <w:p w14:paraId="74CD501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169</w:t>
            </w:r>
          </w:p>
        </w:tc>
        <w:tc>
          <w:tcPr>
            <w:tcW w:w="45" w:type="pct"/>
            <w:tcBorders>
              <w:top w:val="nil"/>
              <w:left w:val="nil"/>
              <w:bottom w:val="nil"/>
              <w:right w:val="nil"/>
            </w:tcBorders>
            <w:shd w:val="clear" w:color="000000" w:fill="FFFFFF"/>
            <w:noWrap/>
            <w:vAlign w:val="bottom"/>
            <w:hideMark/>
          </w:tcPr>
          <w:p w14:paraId="0386A5EE"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5F983CA7"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846</w:t>
            </w:r>
          </w:p>
        </w:tc>
      </w:tr>
      <w:tr w:rsidR="004F4318" w14:paraId="08492A12"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50A4C9FD"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Rex Airlines</w:t>
            </w:r>
          </w:p>
        </w:tc>
        <w:tc>
          <w:tcPr>
            <w:tcW w:w="474" w:type="pct"/>
            <w:tcBorders>
              <w:top w:val="nil"/>
              <w:left w:val="nil"/>
              <w:bottom w:val="nil"/>
              <w:right w:val="nil"/>
            </w:tcBorders>
            <w:shd w:val="clear" w:color="000000" w:fill="FFFFFF"/>
            <w:noWrap/>
            <w:vAlign w:val="bottom"/>
            <w:hideMark/>
          </w:tcPr>
          <w:p w14:paraId="5CE5D4E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-65</w:t>
            </w:r>
          </w:p>
        </w:tc>
        <w:tc>
          <w:tcPr>
            <w:tcW w:w="474" w:type="pct"/>
            <w:tcBorders>
              <w:top w:val="nil"/>
              <w:left w:val="nil"/>
              <w:bottom w:val="nil"/>
              <w:right w:val="nil"/>
            </w:tcBorders>
            <w:shd w:val="clear" w:color="000000" w:fill="E6F2FF"/>
            <w:noWrap/>
            <w:vAlign w:val="bottom"/>
            <w:hideMark/>
          </w:tcPr>
          <w:p w14:paraId="7824EA7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-30</w:t>
            </w:r>
          </w:p>
        </w:tc>
        <w:tc>
          <w:tcPr>
            <w:tcW w:w="474" w:type="pct"/>
            <w:tcBorders>
              <w:top w:val="nil"/>
              <w:left w:val="nil"/>
              <w:bottom w:val="nil"/>
              <w:right w:val="nil"/>
            </w:tcBorders>
            <w:shd w:val="clear" w:color="000000" w:fill="FFFFFF"/>
            <w:noWrap/>
            <w:vAlign w:val="bottom"/>
            <w:hideMark/>
          </w:tcPr>
          <w:p w14:paraId="3B43EDE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4</w:t>
            </w:r>
          </w:p>
        </w:tc>
        <w:tc>
          <w:tcPr>
            <w:tcW w:w="474" w:type="pct"/>
            <w:tcBorders>
              <w:top w:val="nil"/>
              <w:left w:val="nil"/>
              <w:bottom w:val="nil"/>
              <w:right w:val="nil"/>
            </w:tcBorders>
            <w:shd w:val="clear" w:color="000000" w:fill="FFFFFF"/>
            <w:noWrap/>
            <w:vAlign w:val="bottom"/>
            <w:hideMark/>
          </w:tcPr>
          <w:p w14:paraId="380AE84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9</w:t>
            </w:r>
          </w:p>
        </w:tc>
        <w:tc>
          <w:tcPr>
            <w:tcW w:w="474" w:type="pct"/>
            <w:tcBorders>
              <w:top w:val="nil"/>
              <w:left w:val="nil"/>
              <w:bottom w:val="nil"/>
              <w:right w:val="nil"/>
            </w:tcBorders>
            <w:shd w:val="clear" w:color="000000" w:fill="FFFFFF"/>
            <w:noWrap/>
            <w:vAlign w:val="bottom"/>
            <w:hideMark/>
          </w:tcPr>
          <w:p w14:paraId="157D9D1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w:t>
            </w:r>
          </w:p>
        </w:tc>
        <w:tc>
          <w:tcPr>
            <w:tcW w:w="45" w:type="pct"/>
            <w:tcBorders>
              <w:top w:val="nil"/>
              <w:left w:val="nil"/>
              <w:bottom w:val="nil"/>
              <w:right w:val="nil"/>
            </w:tcBorders>
            <w:shd w:val="clear" w:color="000000" w:fill="FFFFFF"/>
            <w:noWrap/>
            <w:vAlign w:val="bottom"/>
            <w:hideMark/>
          </w:tcPr>
          <w:p w14:paraId="0F008F7E"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238D8C39"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-72</w:t>
            </w:r>
          </w:p>
        </w:tc>
      </w:tr>
      <w:tr w:rsidR="004F4318" w14:paraId="08BB1A92"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79DFB353" w14:textId="77777777" w:rsidR="004F4318" w:rsidRPr="007B5379" w:rsidRDefault="004F4318" w:rsidP="004F4318">
            <w:pPr>
              <w:spacing w:before="0" w:after="0" w:line="240" w:lineRule="auto"/>
              <w:ind w:firstLineChars="200" w:firstLine="320"/>
              <w:rPr>
                <w:rFonts w:ascii="Arial" w:hAnsi="Arial" w:cs="Arial"/>
                <w:color w:val="00FFFF"/>
                <w:sz w:val="16"/>
                <w:szCs w:val="16"/>
                <w:highlight w:val="magenta"/>
              </w:rPr>
            </w:pPr>
            <w:r w:rsidRPr="00207DD5">
              <w:rPr>
                <w:rFonts w:ascii="Arial" w:hAnsi="Arial" w:cs="Arial"/>
                <w:sz w:val="16"/>
                <w:szCs w:val="16"/>
              </w:rPr>
              <w:t>Net other(b)</w:t>
            </w:r>
          </w:p>
        </w:tc>
        <w:tc>
          <w:tcPr>
            <w:tcW w:w="474" w:type="pct"/>
            <w:tcBorders>
              <w:top w:val="nil"/>
              <w:left w:val="nil"/>
              <w:bottom w:val="nil"/>
              <w:right w:val="nil"/>
            </w:tcBorders>
            <w:shd w:val="clear" w:color="000000" w:fill="FFFFFF"/>
            <w:noWrap/>
            <w:vAlign w:val="bottom"/>
            <w:hideMark/>
          </w:tcPr>
          <w:p w14:paraId="15EF7F9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-3,678</w:t>
            </w:r>
          </w:p>
        </w:tc>
        <w:tc>
          <w:tcPr>
            <w:tcW w:w="474" w:type="pct"/>
            <w:tcBorders>
              <w:top w:val="nil"/>
              <w:left w:val="nil"/>
              <w:bottom w:val="nil"/>
              <w:right w:val="nil"/>
            </w:tcBorders>
            <w:shd w:val="clear" w:color="000000" w:fill="E6F2FF"/>
            <w:noWrap/>
            <w:vAlign w:val="bottom"/>
            <w:hideMark/>
          </w:tcPr>
          <w:p w14:paraId="1FFEE19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-6,972</w:t>
            </w:r>
          </w:p>
        </w:tc>
        <w:tc>
          <w:tcPr>
            <w:tcW w:w="474" w:type="pct"/>
            <w:tcBorders>
              <w:top w:val="nil"/>
              <w:left w:val="nil"/>
              <w:bottom w:val="nil"/>
              <w:right w:val="nil"/>
            </w:tcBorders>
            <w:shd w:val="clear" w:color="000000" w:fill="FFFFFF"/>
            <w:noWrap/>
            <w:vAlign w:val="bottom"/>
            <w:hideMark/>
          </w:tcPr>
          <w:p w14:paraId="1020D22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-4,597</w:t>
            </w:r>
          </w:p>
        </w:tc>
        <w:tc>
          <w:tcPr>
            <w:tcW w:w="474" w:type="pct"/>
            <w:tcBorders>
              <w:top w:val="nil"/>
              <w:left w:val="nil"/>
              <w:bottom w:val="nil"/>
              <w:right w:val="nil"/>
            </w:tcBorders>
            <w:shd w:val="clear" w:color="000000" w:fill="FFFFFF"/>
            <w:noWrap/>
            <w:vAlign w:val="bottom"/>
            <w:hideMark/>
          </w:tcPr>
          <w:p w14:paraId="562B8892"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-2,955</w:t>
            </w:r>
          </w:p>
        </w:tc>
        <w:tc>
          <w:tcPr>
            <w:tcW w:w="474" w:type="pct"/>
            <w:tcBorders>
              <w:top w:val="nil"/>
              <w:left w:val="nil"/>
              <w:bottom w:val="nil"/>
              <w:right w:val="nil"/>
            </w:tcBorders>
            <w:shd w:val="clear" w:color="000000" w:fill="FFFFFF"/>
            <w:noWrap/>
            <w:vAlign w:val="bottom"/>
            <w:hideMark/>
          </w:tcPr>
          <w:p w14:paraId="5F2337C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-2,537</w:t>
            </w:r>
          </w:p>
        </w:tc>
        <w:tc>
          <w:tcPr>
            <w:tcW w:w="45" w:type="pct"/>
            <w:tcBorders>
              <w:top w:val="nil"/>
              <w:left w:val="nil"/>
              <w:bottom w:val="nil"/>
              <w:right w:val="nil"/>
            </w:tcBorders>
            <w:shd w:val="clear" w:color="000000" w:fill="FFFFFF"/>
            <w:noWrap/>
            <w:vAlign w:val="bottom"/>
            <w:hideMark/>
          </w:tcPr>
          <w:p w14:paraId="651FDF54"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12C77408"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-20,739</w:t>
            </w:r>
          </w:p>
        </w:tc>
      </w:tr>
      <w:tr w:rsidR="004F4318" w14:paraId="4EC71D38"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0CF70758"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xml:space="preserve">Total net cash flows from </w:t>
            </w:r>
          </w:p>
        </w:tc>
        <w:tc>
          <w:tcPr>
            <w:tcW w:w="474" w:type="pct"/>
            <w:tcBorders>
              <w:top w:val="nil"/>
              <w:left w:val="nil"/>
              <w:bottom w:val="nil"/>
              <w:right w:val="nil"/>
            </w:tcBorders>
            <w:shd w:val="clear" w:color="000000" w:fill="FFFFFF"/>
            <w:noWrap/>
            <w:vAlign w:val="bottom"/>
            <w:hideMark/>
          </w:tcPr>
          <w:p w14:paraId="7BE16633"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bottom"/>
            <w:hideMark/>
          </w:tcPr>
          <w:p w14:paraId="111AAB51"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472AEE69"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5508FD85"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54F2CD2D"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 w:type="pct"/>
            <w:tcBorders>
              <w:top w:val="nil"/>
              <w:left w:val="nil"/>
              <w:bottom w:val="nil"/>
              <w:right w:val="nil"/>
            </w:tcBorders>
            <w:shd w:val="clear" w:color="000000" w:fill="FFFFFF"/>
            <w:noWrap/>
            <w:vAlign w:val="bottom"/>
            <w:hideMark/>
          </w:tcPr>
          <w:p w14:paraId="01B62CD7"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44E2E063"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0724E94C"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47B8C35C" w14:textId="77777777" w:rsidR="004F4318" w:rsidRPr="007B5379" w:rsidRDefault="004F4318" w:rsidP="004F4318">
            <w:pPr>
              <w:spacing w:before="0" w:after="0" w:line="240" w:lineRule="auto"/>
              <w:ind w:firstLineChars="100" w:firstLine="161"/>
              <w:rPr>
                <w:rFonts w:ascii="Arial" w:hAnsi="Arial" w:cs="Arial"/>
                <w:b/>
                <w:color w:val="00FFFF"/>
                <w:sz w:val="16"/>
                <w:szCs w:val="16"/>
                <w:highlight w:val="magenta"/>
              </w:rPr>
            </w:pPr>
            <w:r w:rsidRPr="00207DD5">
              <w:rPr>
                <w:rFonts w:ascii="Arial" w:hAnsi="Arial" w:cs="Arial"/>
                <w:b/>
                <w:sz w:val="16"/>
                <w:szCs w:val="16"/>
              </w:rPr>
              <w:t xml:space="preserve">investments in financial </w:t>
            </w:r>
          </w:p>
        </w:tc>
        <w:tc>
          <w:tcPr>
            <w:tcW w:w="474" w:type="pct"/>
            <w:tcBorders>
              <w:top w:val="nil"/>
              <w:left w:val="nil"/>
              <w:bottom w:val="nil"/>
              <w:right w:val="nil"/>
            </w:tcBorders>
            <w:shd w:val="clear" w:color="000000" w:fill="FFFFFF"/>
            <w:noWrap/>
            <w:vAlign w:val="bottom"/>
            <w:hideMark/>
          </w:tcPr>
          <w:p w14:paraId="162B8E58"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bottom"/>
            <w:hideMark/>
          </w:tcPr>
          <w:p w14:paraId="20008B5B"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4FEEDD2D"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19A7ED41"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5A458B49"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 w:type="pct"/>
            <w:tcBorders>
              <w:top w:val="nil"/>
              <w:left w:val="nil"/>
              <w:bottom w:val="nil"/>
              <w:right w:val="nil"/>
            </w:tcBorders>
            <w:shd w:val="clear" w:color="000000" w:fill="FFFFFF"/>
            <w:noWrap/>
            <w:vAlign w:val="bottom"/>
            <w:hideMark/>
          </w:tcPr>
          <w:p w14:paraId="38FD63F5"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6BF0922E"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252B0548"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2E16C261" w14:textId="77777777" w:rsidR="004F4318" w:rsidRPr="007B5379" w:rsidRDefault="004F4318" w:rsidP="004F4318">
            <w:pPr>
              <w:spacing w:before="0" w:after="0" w:line="240" w:lineRule="auto"/>
              <w:ind w:firstLineChars="100" w:firstLine="161"/>
              <w:rPr>
                <w:rFonts w:ascii="Arial" w:hAnsi="Arial" w:cs="Arial"/>
                <w:b/>
                <w:color w:val="00FFFF"/>
                <w:sz w:val="16"/>
                <w:szCs w:val="16"/>
                <w:highlight w:val="magenta"/>
              </w:rPr>
            </w:pPr>
            <w:r w:rsidRPr="00207DD5">
              <w:rPr>
                <w:rFonts w:ascii="Arial" w:hAnsi="Arial" w:cs="Arial"/>
                <w:b/>
                <w:sz w:val="16"/>
                <w:szCs w:val="16"/>
              </w:rPr>
              <w:t>assets for policy purposes</w:t>
            </w:r>
          </w:p>
        </w:tc>
        <w:tc>
          <w:tcPr>
            <w:tcW w:w="474" w:type="pct"/>
            <w:tcBorders>
              <w:top w:val="nil"/>
              <w:left w:val="nil"/>
              <w:bottom w:val="single" w:sz="4" w:space="0" w:color="293F5B"/>
              <w:right w:val="nil"/>
            </w:tcBorders>
            <w:shd w:val="clear" w:color="000000" w:fill="FFFFFF"/>
            <w:noWrap/>
            <w:vAlign w:val="bottom"/>
            <w:hideMark/>
          </w:tcPr>
          <w:p w14:paraId="3A2BDECD"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-19,629</w:t>
            </w:r>
          </w:p>
        </w:tc>
        <w:tc>
          <w:tcPr>
            <w:tcW w:w="474" w:type="pct"/>
            <w:tcBorders>
              <w:top w:val="nil"/>
              <w:left w:val="nil"/>
              <w:bottom w:val="nil"/>
              <w:right w:val="nil"/>
            </w:tcBorders>
            <w:shd w:val="clear" w:color="000000" w:fill="E6F2FF"/>
            <w:noWrap/>
            <w:vAlign w:val="bottom"/>
            <w:hideMark/>
          </w:tcPr>
          <w:p w14:paraId="400F36F7"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-32,544</w:t>
            </w:r>
          </w:p>
        </w:tc>
        <w:tc>
          <w:tcPr>
            <w:tcW w:w="474" w:type="pct"/>
            <w:tcBorders>
              <w:top w:val="nil"/>
              <w:left w:val="nil"/>
              <w:bottom w:val="nil"/>
              <w:right w:val="nil"/>
            </w:tcBorders>
            <w:shd w:val="clear" w:color="000000" w:fill="FFFFFF"/>
            <w:noWrap/>
            <w:vAlign w:val="bottom"/>
            <w:hideMark/>
          </w:tcPr>
          <w:p w14:paraId="22BC6910"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-23,334</w:t>
            </w:r>
          </w:p>
        </w:tc>
        <w:tc>
          <w:tcPr>
            <w:tcW w:w="474" w:type="pct"/>
            <w:tcBorders>
              <w:top w:val="nil"/>
              <w:left w:val="nil"/>
              <w:bottom w:val="nil"/>
              <w:right w:val="nil"/>
            </w:tcBorders>
            <w:shd w:val="clear" w:color="000000" w:fill="FFFFFF"/>
            <w:noWrap/>
            <w:vAlign w:val="bottom"/>
            <w:hideMark/>
          </w:tcPr>
          <w:p w14:paraId="311761A8"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-22,785</w:t>
            </w:r>
          </w:p>
        </w:tc>
        <w:tc>
          <w:tcPr>
            <w:tcW w:w="474" w:type="pct"/>
            <w:tcBorders>
              <w:top w:val="nil"/>
              <w:left w:val="nil"/>
              <w:bottom w:val="nil"/>
              <w:right w:val="nil"/>
            </w:tcBorders>
            <w:shd w:val="clear" w:color="000000" w:fill="FFFFFF"/>
            <w:noWrap/>
            <w:vAlign w:val="bottom"/>
            <w:hideMark/>
          </w:tcPr>
          <w:p w14:paraId="690A3183"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-15,704</w:t>
            </w:r>
          </w:p>
        </w:tc>
        <w:tc>
          <w:tcPr>
            <w:tcW w:w="45" w:type="pct"/>
            <w:tcBorders>
              <w:top w:val="nil"/>
              <w:left w:val="nil"/>
              <w:bottom w:val="nil"/>
              <w:right w:val="nil"/>
            </w:tcBorders>
            <w:shd w:val="clear" w:color="000000" w:fill="FFFFFF"/>
            <w:noWrap/>
            <w:vAlign w:val="bottom"/>
            <w:hideMark/>
          </w:tcPr>
          <w:p w14:paraId="471A535E"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57FD22C0" w14:textId="77777777" w:rsidR="004F4318" w:rsidRPr="00207DD5" w:rsidRDefault="004F4318" w:rsidP="004F4318">
            <w:pPr>
              <w:spacing w:before="0" w:after="0" w:line="240" w:lineRule="auto"/>
              <w:jc w:val="right"/>
              <w:rPr>
                <w:rFonts w:ascii="Arial" w:hAnsi="Arial" w:cs="Arial"/>
                <w:b/>
                <w:sz w:val="16"/>
                <w:szCs w:val="16"/>
              </w:rPr>
            </w:pPr>
            <w:r w:rsidRPr="00207DD5">
              <w:rPr>
                <w:rFonts w:ascii="Arial" w:hAnsi="Arial" w:cs="Arial"/>
                <w:b/>
                <w:sz w:val="16"/>
                <w:szCs w:val="16"/>
              </w:rPr>
              <w:t>-113,997</w:t>
            </w:r>
          </w:p>
        </w:tc>
      </w:tr>
      <w:tr w:rsidR="004F4318" w14:paraId="3A5A85EE" w14:textId="77777777" w:rsidTr="00E91697">
        <w:trPr>
          <w:trHeight w:hRule="exact" w:val="60"/>
        </w:trPr>
        <w:tc>
          <w:tcPr>
            <w:tcW w:w="2104" w:type="pct"/>
            <w:tcBorders>
              <w:top w:val="nil"/>
              <w:left w:val="nil"/>
              <w:bottom w:val="nil"/>
              <w:right w:val="nil"/>
            </w:tcBorders>
            <w:shd w:val="clear" w:color="000000" w:fill="FFFFFF"/>
            <w:noWrap/>
            <w:vAlign w:val="bottom"/>
            <w:hideMark/>
          </w:tcPr>
          <w:p w14:paraId="7E765359" w14:textId="77777777" w:rsidR="004F4318" w:rsidRPr="007B5379" w:rsidRDefault="004F4318" w:rsidP="004F4318">
            <w:pPr>
              <w:spacing w:before="0" w:after="0" w:line="240" w:lineRule="auto"/>
              <w:ind w:firstLineChars="100" w:firstLine="161"/>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nil"/>
              <w:left w:val="nil"/>
              <w:bottom w:val="nil"/>
              <w:right w:val="nil"/>
            </w:tcBorders>
            <w:shd w:val="clear" w:color="000000" w:fill="FFFFFF"/>
            <w:noWrap/>
            <w:vAlign w:val="bottom"/>
            <w:hideMark/>
          </w:tcPr>
          <w:p w14:paraId="1C688661"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single" w:sz="4" w:space="0" w:color="293F5B"/>
              <w:left w:val="nil"/>
              <w:bottom w:val="nil"/>
              <w:right w:val="nil"/>
            </w:tcBorders>
            <w:shd w:val="clear" w:color="000000" w:fill="E6F2FF"/>
            <w:noWrap/>
            <w:vAlign w:val="bottom"/>
            <w:hideMark/>
          </w:tcPr>
          <w:p w14:paraId="70F7F341"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single" w:sz="4" w:space="0" w:color="293F5B"/>
              <w:left w:val="nil"/>
              <w:bottom w:val="nil"/>
              <w:right w:val="nil"/>
            </w:tcBorders>
            <w:shd w:val="clear" w:color="000000" w:fill="FFFFFF"/>
            <w:noWrap/>
            <w:vAlign w:val="bottom"/>
            <w:hideMark/>
          </w:tcPr>
          <w:p w14:paraId="733BF168"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single" w:sz="4" w:space="0" w:color="293F5B"/>
              <w:left w:val="nil"/>
              <w:bottom w:val="nil"/>
              <w:right w:val="nil"/>
            </w:tcBorders>
            <w:shd w:val="clear" w:color="000000" w:fill="FFFFFF"/>
            <w:noWrap/>
            <w:vAlign w:val="bottom"/>
            <w:hideMark/>
          </w:tcPr>
          <w:p w14:paraId="5DA91917"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74" w:type="pct"/>
            <w:tcBorders>
              <w:top w:val="single" w:sz="4" w:space="0" w:color="293F5B"/>
              <w:left w:val="nil"/>
              <w:bottom w:val="nil"/>
              <w:right w:val="nil"/>
            </w:tcBorders>
            <w:shd w:val="clear" w:color="000000" w:fill="FFFFFF"/>
            <w:noWrap/>
            <w:vAlign w:val="bottom"/>
            <w:hideMark/>
          </w:tcPr>
          <w:p w14:paraId="3B34805E"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5" w:type="pct"/>
            <w:tcBorders>
              <w:top w:val="nil"/>
              <w:left w:val="nil"/>
              <w:bottom w:val="nil"/>
              <w:right w:val="nil"/>
            </w:tcBorders>
            <w:shd w:val="clear" w:color="000000" w:fill="FFFFFF"/>
            <w:noWrap/>
            <w:vAlign w:val="bottom"/>
            <w:hideMark/>
          </w:tcPr>
          <w:p w14:paraId="682D5709"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single" w:sz="4" w:space="0" w:color="293F5B"/>
              <w:left w:val="nil"/>
              <w:bottom w:val="nil"/>
              <w:right w:val="nil"/>
            </w:tcBorders>
            <w:shd w:val="clear" w:color="000000" w:fill="FFFFFF"/>
            <w:noWrap/>
            <w:vAlign w:val="bottom"/>
            <w:hideMark/>
          </w:tcPr>
          <w:p w14:paraId="2E70D9A6" w14:textId="77777777" w:rsidR="004F4318" w:rsidRPr="00207DD5" w:rsidRDefault="004F4318" w:rsidP="004F4318">
            <w:pPr>
              <w:spacing w:before="0" w:after="0" w:line="240" w:lineRule="auto"/>
              <w:rPr>
                <w:rFonts w:ascii="Arial" w:hAnsi="Arial" w:cs="Arial"/>
                <w:b/>
                <w:sz w:val="16"/>
                <w:szCs w:val="16"/>
              </w:rPr>
            </w:pPr>
            <w:r w:rsidRPr="00207DD5">
              <w:rPr>
                <w:rFonts w:ascii="Arial" w:hAnsi="Arial" w:cs="Arial"/>
                <w:b/>
                <w:sz w:val="16"/>
                <w:szCs w:val="16"/>
              </w:rPr>
              <w:t> </w:t>
            </w:r>
          </w:p>
        </w:tc>
      </w:tr>
      <w:tr w:rsidR="004F4318" w14:paraId="795C4377" w14:textId="77777777" w:rsidTr="00E91697">
        <w:trPr>
          <w:trHeight w:hRule="exact" w:val="225"/>
        </w:trPr>
        <w:tc>
          <w:tcPr>
            <w:tcW w:w="2104" w:type="pct"/>
            <w:tcBorders>
              <w:top w:val="nil"/>
              <w:left w:val="nil"/>
              <w:bottom w:val="nil"/>
              <w:right w:val="nil"/>
            </w:tcBorders>
            <w:shd w:val="clear" w:color="000000" w:fill="FFFFFF"/>
            <w:noWrap/>
            <w:vAlign w:val="bottom"/>
            <w:hideMark/>
          </w:tcPr>
          <w:p w14:paraId="3DD0C005"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2026-27 Budget headline</w:t>
            </w:r>
          </w:p>
        </w:tc>
        <w:tc>
          <w:tcPr>
            <w:tcW w:w="474" w:type="pct"/>
            <w:tcBorders>
              <w:top w:val="nil"/>
              <w:left w:val="nil"/>
              <w:bottom w:val="nil"/>
              <w:right w:val="nil"/>
            </w:tcBorders>
            <w:shd w:val="clear" w:color="000000" w:fill="FFFFFF"/>
            <w:noWrap/>
            <w:vAlign w:val="bottom"/>
            <w:hideMark/>
          </w:tcPr>
          <w:p w14:paraId="0C636160"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E6F2FF"/>
            <w:noWrap/>
            <w:vAlign w:val="bottom"/>
            <w:hideMark/>
          </w:tcPr>
          <w:p w14:paraId="5B9B6662"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73B3948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4B5580C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4" w:type="pct"/>
            <w:tcBorders>
              <w:top w:val="nil"/>
              <w:left w:val="nil"/>
              <w:bottom w:val="nil"/>
              <w:right w:val="nil"/>
            </w:tcBorders>
            <w:shd w:val="clear" w:color="000000" w:fill="FFFFFF"/>
            <w:noWrap/>
            <w:vAlign w:val="bottom"/>
            <w:hideMark/>
          </w:tcPr>
          <w:p w14:paraId="2A39BFF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 w:type="pct"/>
            <w:tcBorders>
              <w:top w:val="nil"/>
              <w:left w:val="nil"/>
              <w:bottom w:val="nil"/>
              <w:right w:val="nil"/>
            </w:tcBorders>
            <w:shd w:val="clear" w:color="000000" w:fill="FFFFFF"/>
            <w:noWrap/>
            <w:vAlign w:val="bottom"/>
            <w:hideMark/>
          </w:tcPr>
          <w:p w14:paraId="048520C6"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nil"/>
              <w:right w:val="nil"/>
            </w:tcBorders>
            <w:shd w:val="clear" w:color="000000" w:fill="FFFFFF"/>
            <w:noWrap/>
            <w:vAlign w:val="bottom"/>
            <w:hideMark/>
          </w:tcPr>
          <w:p w14:paraId="02470375"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7692EA37" w14:textId="77777777" w:rsidTr="00E91697">
        <w:trPr>
          <w:trHeight w:hRule="exact" w:val="225"/>
        </w:trPr>
        <w:tc>
          <w:tcPr>
            <w:tcW w:w="2104" w:type="pct"/>
            <w:tcBorders>
              <w:top w:val="nil"/>
              <w:left w:val="nil"/>
              <w:bottom w:val="single" w:sz="4" w:space="0" w:color="293F5B"/>
              <w:right w:val="nil"/>
            </w:tcBorders>
            <w:shd w:val="clear" w:color="000000" w:fill="FFFFFF"/>
            <w:noWrap/>
            <w:vAlign w:val="bottom"/>
            <w:hideMark/>
          </w:tcPr>
          <w:p w14:paraId="639533A0" w14:textId="77777777" w:rsidR="004F4318" w:rsidRPr="007B5379" w:rsidRDefault="004F4318" w:rsidP="004F4318">
            <w:pPr>
              <w:spacing w:before="0" w:after="0" w:line="240" w:lineRule="auto"/>
              <w:ind w:firstLineChars="100" w:firstLine="161"/>
              <w:rPr>
                <w:rFonts w:ascii="Arial" w:hAnsi="Arial" w:cs="Arial"/>
                <w:b/>
                <w:color w:val="00FFFF"/>
                <w:sz w:val="16"/>
                <w:szCs w:val="16"/>
                <w:highlight w:val="magenta"/>
              </w:rPr>
            </w:pPr>
            <w:r w:rsidRPr="00207DD5">
              <w:rPr>
                <w:rFonts w:ascii="Arial" w:hAnsi="Arial" w:cs="Arial"/>
                <w:b/>
                <w:sz w:val="16"/>
                <w:szCs w:val="16"/>
              </w:rPr>
              <w:t>cash balance</w:t>
            </w:r>
          </w:p>
        </w:tc>
        <w:tc>
          <w:tcPr>
            <w:tcW w:w="474" w:type="pct"/>
            <w:tcBorders>
              <w:top w:val="nil"/>
              <w:left w:val="nil"/>
              <w:bottom w:val="single" w:sz="4" w:space="0" w:color="293F5B"/>
              <w:right w:val="nil"/>
            </w:tcBorders>
            <w:shd w:val="clear" w:color="000000" w:fill="FFFFFF"/>
            <w:noWrap/>
            <w:vAlign w:val="bottom"/>
            <w:hideMark/>
          </w:tcPr>
          <w:p w14:paraId="6DEA7A95"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-47,913</w:t>
            </w:r>
          </w:p>
        </w:tc>
        <w:tc>
          <w:tcPr>
            <w:tcW w:w="474" w:type="pct"/>
            <w:tcBorders>
              <w:top w:val="nil"/>
              <w:left w:val="nil"/>
              <w:bottom w:val="single" w:sz="4" w:space="0" w:color="293F5B"/>
              <w:right w:val="nil"/>
            </w:tcBorders>
            <w:shd w:val="clear" w:color="000000" w:fill="E6F2FF"/>
            <w:noWrap/>
            <w:vAlign w:val="bottom"/>
            <w:hideMark/>
          </w:tcPr>
          <w:p w14:paraId="576D90D3"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-64,086</w:t>
            </w:r>
          </w:p>
        </w:tc>
        <w:tc>
          <w:tcPr>
            <w:tcW w:w="474" w:type="pct"/>
            <w:tcBorders>
              <w:top w:val="nil"/>
              <w:left w:val="nil"/>
              <w:bottom w:val="single" w:sz="4" w:space="0" w:color="293F5B"/>
              <w:right w:val="nil"/>
            </w:tcBorders>
            <w:shd w:val="clear" w:color="000000" w:fill="FFFFFF"/>
            <w:noWrap/>
            <w:vAlign w:val="bottom"/>
            <w:hideMark/>
          </w:tcPr>
          <w:p w14:paraId="2159E1AB"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-54,333</w:t>
            </w:r>
          </w:p>
        </w:tc>
        <w:tc>
          <w:tcPr>
            <w:tcW w:w="474" w:type="pct"/>
            <w:tcBorders>
              <w:top w:val="nil"/>
              <w:left w:val="nil"/>
              <w:bottom w:val="single" w:sz="4" w:space="0" w:color="293F5B"/>
              <w:right w:val="nil"/>
            </w:tcBorders>
            <w:shd w:val="clear" w:color="000000" w:fill="FFFFFF"/>
            <w:noWrap/>
            <w:vAlign w:val="bottom"/>
            <w:hideMark/>
          </w:tcPr>
          <w:p w14:paraId="10332FFF"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-57,230</w:t>
            </w:r>
          </w:p>
        </w:tc>
        <w:tc>
          <w:tcPr>
            <w:tcW w:w="474" w:type="pct"/>
            <w:tcBorders>
              <w:top w:val="nil"/>
              <w:left w:val="nil"/>
              <w:bottom w:val="single" w:sz="4" w:space="0" w:color="293F5B"/>
              <w:right w:val="nil"/>
            </w:tcBorders>
            <w:shd w:val="clear" w:color="000000" w:fill="FFFFFF"/>
            <w:noWrap/>
            <w:vAlign w:val="bottom"/>
            <w:hideMark/>
          </w:tcPr>
          <w:p w14:paraId="16C4F912"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-40,963</w:t>
            </w:r>
          </w:p>
        </w:tc>
        <w:tc>
          <w:tcPr>
            <w:tcW w:w="45" w:type="pct"/>
            <w:tcBorders>
              <w:top w:val="nil"/>
              <w:left w:val="nil"/>
              <w:bottom w:val="single" w:sz="4" w:space="0" w:color="293F5B"/>
              <w:right w:val="nil"/>
            </w:tcBorders>
            <w:shd w:val="clear" w:color="000000" w:fill="FFFFFF"/>
            <w:noWrap/>
            <w:vAlign w:val="bottom"/>
            <w:hideMark/>
          </w:tcPr>
          <w:p w14:paraId="1D93DA31"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82" w:type="pct"/>
            <w:tcBorders>
              <w:top w:val="nil"/>
              <w:left w:val="nil"/>
              <w:bottom w:val="single" w:sz="4" w:space="0" w:color="293F5B"/>
              <w:right w:val="nil"/>
            </w:tcBorders>
            <w:shd w:val="clear" w:color="000000" w:fill="FFFFFF"/>
            <w:noWrap/>
            <w:vAlign w:val="bottom"/>
            <w:hideMark/>
          </w:tcPr>
          <w:p w14:paraId="4C265B8C" w14:textId="77777777" w:rsidR="004F4318" w:rsidRPr="00207DD5" w:rsidRDefault="004F4318" w:rsidP="004F4318">
            <w:pPr>
              <w:spacing w:before="0" w:after="0" w:line="240" w:lineRule="auto"/>
              <w:jc w:val="right"/>
              <w:rPr>
                <w:rFonts w:ascii="Arial" w:hAnsi="Arial" w:cs="Arial"/>
                <w:b/>
                <w:sz w:val="16"/>
                <w:szCs w:val="16"/>
              </w:rPr>
            </w:pPr>
            <w:r w:rsidRPr="00207DD5">
              <w:rPr>
                <w:rFonts w:ascii="Arial" w:hAnsi="Arial" w:cs="Arial"/>
                <w:b/>
                <w:sz w:val="16"/>
                <w:szCs w:val="16"/>
              </w:rPr>
              <w:t>-264,526</w:t>
            </w:r>
          </w:p>
        </w:tc>
      </w:tr>
    </w:tbl>
    <w:p w14:paraId="6D38C52E" w14:textId="4ACABC2C" w:rsidR="00293BC1" w:rsidRPr="00D61BB0" w:rsidRDefault="00293BC1" w:rsidP="00D61BB0">
      <w:pPr>
        <w:pStyle w:val="ChartandTableFootnoteAlpha"/>
        <w:numPr>
          <w:ilvl w:val="0"/>
          <w:numId w:val="32"/>
        </w:numPr>
        <w:rPr>
          <w:color w:val="auto"/>
        </w:rPr>
      </w:pPr>
      <w:r w:rsidRPr="00D61BB0">
        <w:rPr>
          <w:color w:val="auto"/>
        </w:rPr>
        <w:t>A positive number denotes a cash inflow; a negative number denotes a cash outflow.</w:t>
      </w:r>
    </w:p>
    <w:p w14:paraId="35F15B77" w14:textId="1E368F27" w:rsidR="00293BC1" w:rsidRPr="00293BC1" w:rsidRDefault="00293BC1" w:rsidP="00D61BB0">
      <w:pPr>
        <w:pStyle w:val="ChartandTableFootnoteAlpha"/>
        <w:numPr>
          <w:ilvl w:val="0"/>
          <w:numId w:val="32"/>
        </w:numPr>
      </w:pPr>
      <w:r w:rsidRPr="00D61BB0">
        <w:rPr>
          <w:color w:val="auto"/>
        </w:rPr>
        <w:t>‘Net other’ includes amounts that cannot be itemised, including commercial</w:t>
      </w:r>
      <w:r w:rsidRPr="00D61BB0">
        <w:rPr>
          <w:color w:val="auto"/>
        </w:rPr>
        <w:noBreakHyphen/>
        <w:t>in</w:t>
      </w:r>
      <w:r w:rsidRPr="00D61BB0">
        <w:rPr>
          <w:color w:val="auto"/>
        </w:rPr>
        <w:noBreakHyphen/>
        <w:t xml:space="preserve">confidence transactions and decisions taken but not yet announced. </w:t>
      </w:r>
    </w:p>
    <w:p w14:paraId="074EB17C" w14:textId="77777777" w:rsidR="00293BC1" w:rsidRPr="00293BC1" w:rsidRDefault="00293BC1" w:rsidP="001E7968">
      <w:pPr>
        <w:pStyle w:val="TableLine"/>
      </w:pPr>
    </w:p>
    <w:p w14:paraId="19DA86C7" w14:textId="05335AFF" w:rsidR="0015371C" w:rsidRPr="00207DD5" w:rsidRDefault="0015371C" w:rsidP="0015371C">
      <w:pPr>
        <w:pStyle w:val="Heading3"/>
      </w:pPr>
      <w:bookmarkStart w:id="79" w:name="_Toc117356559"/>
      <w:bookmarkStart w:id="80" w:name="_Toc193537054"/>
      <w:bookmarkStart w:id="81" w:name="_Toc227842122"/>
      <w:bookmarkStart w:id="82" w:name="_Toc229240491"/>
      <w:bookmarkStart w:id="83" w:name="_Toc117356563"/>
      <w:r w:rsidRPr="00207DD5">
        <w:lastRenderedPageBreak/>
        <w:t>Medium</w:t>
      </w:r>
      <w:r w:rsidRPr="00207DD5">
        <w:noBreakHyphen/>
        <w:t>term projections</w:t>
      </w:r>
      <w:bookmarkEnd w:id="79"/>
      <w:bookmarkEnd w:id="80"/>
      <w:bookmarkEnd w:id="81"/>
      <w:bookmarkEnd w:id="82"/>
    </w:p>
    <w:p w14:paraId="31557874" w14:textId="70C43DE8" w:rsidR="00DA5FA5" w:rsidRPr="00207DD5" w:rsidRDefault="00DA5FA5" w:rsidP="00DA5FA5">
      <w:r w:rsidRPr="00207DD5">
        <w:t>The underlying cash balance is expected to return to balance in 203</w:t>
      </w:r>
      <w:r w:rsidR="00BE4B17" w:rsidRPr="00207DD5">
        <w:t>4</w:t>
      </w:r>
      <w:r w:rsidRPr="00207DD5">
        <w:t>–3</w:t>
      </w:r>
      <w:r w:rsidR="00BE4B17" w:rsidRPr="00207DD5">
        <w:t>5</w:t>
      </w:r>
      <w:r w:rsidRPr="00207DD5">
        <w:t xml:space="preserve"> (Chart 3.</w:t>
      </w:r>
      <w:r w:rsidR="000D2145" w:rsidRPr="00207DD5">
        <w:t>4</w:t>
      </w:r>
      <w:r w:rsidRPr="00207DD5">
        <w:t>)</w:t>
      </w:r>
      <w:r w:rsidR="00430E2F" w:rsidRPr="00207DD5">
        <w:t xml:space="preserve"> and then </w:t>
      </w:r>
      <w:r w:rsidR="00792837" w:rsidRPr="00207DD5">
        <w:t xml:space="preserve">improve to </w:t>
      </w:r>
      <w:r w:rsidR="00AB27D3" w:rsidRPr="00207DD5">
        <w:t xml:space="preserve">a </w:t>
      </w:r>
      <w:r w:rsidR="00792837" w:rsidRPr="00207DD5">
        <w:t xml:space="preserve">surplus </w:t>
      </w:r>
      <w:r w:rsidR="0016165E" w:rsidRPr="00207DD5">
        <w:t>of 0.</w:t>
      </w:r>
      <w:r w:rsidR="009B7D46" w:rsidRPr="00207DD5">
        <w:t>4</w:t>
      </w:r>
      <w:r w:rsidR="009F0B52" w:rsidRPr="00207DD5">
        <w:t> </w:t>
      </w:r>
      <w:r w:rsidR="009B7D46" w:rsidRPr="00207DD5">
        <w:t>per</w:t>
      </w:r>
      <w:r w:rsidR="009F0B52" w:rsidRPr="00207DD5">
        <w:t> </w:t>
      </w:r>
      <w:r w:rsidR="009B7D46" w:rsidRPr="00207DD5">
        <w:t xml:space="preserve">cent </w:t>
      </w:r>
      <w:r w:rsidR="00967F96" w:rsidRPr="00207DD5">
        <w:t xml:space="preserve">of GDP in 2035–36 and </w:t>
      </w:r>
      <w:r w:rsidR="0016165E" w:rsidRPr="00207DD5">
        <w:t>0.8</w:t>
      </w:r>
      <w:r w:rsidR="009F0B52" w:rsidRPr="00207DD5">
        <w:t> </w:t>
      </w:r>
      <w:r w:rsidR="0016165E" w:rsidRPr="00207DD5">
        <w:t>per</w:t>
      </w:r>
      <w:r w:rsidR="009F0B52" w:rsidRPr="00207DD5">
        <w:t> </w:t>
      </w:r>
      <w:r w:rsidR="0016165E" w:rsidRPr="00207DD5">
        <w:t>cent of GDP in 2036–</w:t>
      </w:r>
      <w:r w:rsidR="00222540" w:rsidRPr="00207DD5">
        <w:rPr>
          <w:w w:val="1"/>
        </w:rPr>
        <w:t> </w:t>
      </w:r>
      <w:r w:rsidR="0016165E" w:rsidRPr="00207DD5">
        <w:t>37</w:t>
      </w:r>
      <w:r w:rsidRPr="00207DD5">
        <w:t>. The change in the underlying cash balance over the medium</w:t>
      </w:r>
      <w:r w:rsidR="005056BE" w:rsidRPr="00207DD5">
        <w:t xml:space="preserve"> </w:t>
      </w:r>
      <w:r w:rsidRPr="00207DD5">
        <w:t xml:space="preserve">term since MYEFO primarily reflects </w:t>
      </w:r>
      <w:r w:rsidR="00C2581D" w:rsidRPr="00207DD5">
        <w:t>s</w:t>
      </w:r>
      <w:r w:rsidR="001F6780" w:rsidRPr="00207DD5">
        <w:t>tructural savings</w:t>
      </w:r>
      <w:r w:rsidR="00117EB6" w:rsidRPr="00207DD5">
        <w:t>,</w:t>
      </w:r>
      <w:r w:rsidR="001F6780" w:rsidRPr="00207DD5">
        <w:t xml:space="preserve"> such </w:t>
      </w:r>
      <w:r w:rsidR="00D6481B" w:rsidRPr="00207DD5">
        <w:t xml:space="preserve">as </w:t>
      </w:r>
      <w:r w:rsidR="001F6780" w:rsidRPr="00207DD5">
        <w:t>the NDIS reforms</w:t>
      </w:r>
      <w:r w:rsidRPr="00207DD5">
        <w:t>.</w:t>
      </w:r>
    </w:p>
    <w:p w14:paraId="7E2B8F95" w14:textId="1C9B07B7" w:rsidR="007530D5" w:rsidRPr="00207DD5" w:rsidRDefault="007530D5" w:rsidP="007530D5">
      <w:pPr>
        <w:pStyle w:val="ChartMainHeading"/>
      </w:pPr>
      <w:r w:rsidRPr="00207DD5">
        <w:t>Chart 3.4: Underlying cash balance</w:t>
      </w:r>
    </w:p>
    <w:p w14:paraId="68303D10" w14:textId="77777777" w:rsidR="007530D5" w:rsidRPr="00207DD5" w:rsidRDefault="007530D5" w:rsidP="007530D5">
      <w:pPr>
        <w:pStyle w:val="ChartGraphic"/>
      </w:pPr>
      <w:r w:rsidRPr="00207DD5">
        <w:rPr>
          <w:noProof/>
        </w:rPr>
        <w:drawing>
          <wp:inline distT="0" distB="0" distL="0" distR="0" wp14:anchorId="26286456" wp14:editId="00EF7761">
            <wp:extent cx="4627102" cy="2520000"/>
            <wp:effectExtent l="0" t="0" r="0" b="0"/>
            <wp:docPr id="407748055" name="Graphic 1" descr="This line chart compares projections of the underlying cash balance at the 2026-27 Budget, the 2025-26 MYEFO and the 2022 PEFO. In the 2026-27 Budget, the underlying cash balance is estimated to be a deficit of 1.0 per cent as a share of GDP in 2025-26, improving to a deficit of 0.7 per cent of GDP by 2029-30, and improving to a surplus of 0.8 per cent of GDP by 2036-37. At the 2025-26 MYEFO, the underlying cash balance was expected to be a deficit of 1.3 per cent as a share of GDP in 2025-26, improve to a deficit of 1.1 per cent of GDP by 2028-29, and improve to a deficit of 0.1 per cent of GDP by 2035-36. At the 2022 PEFO, the underlying cash balance was expected to be a deficit of 1.6 per cent as a share of GDP in 2025-26, improve to a deficit of 1.4 per cent of GDP by 2028-29, and improve to a deficit of 0.7 per cent of GDP by 20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48055" name="Graphic 1" descr="This line chart compares projections of the underlying cash balance at the 2026-27 Budget, the 2025-26 MYEFO and the 2022 PEFO. In the 2026-27 Budget, the underlying cash balance is estimated to be a deficit of 1.0 per cent as a share of GDP in 2025-26, improving to a deficit of 0.7 per cent of GDP by 2029-30, and improving to a surplus of 0.8 per cent of GDP by 2036-37. At the 2025-26 MYEFO, the underlying cash balance was expected to be a deficit of 1.3 per cent as a share of GDP in 2025-26, improve to a deficit of 1.1 per cent of GDP by 2028-29, and improve to a deficit of 0.1 per cent of GDP by 2035-36. At the 2022 PEFO, the underlying cash balance was expected to be a deficit of 1.6 per cent as a share of GDP in 2025-26, improve to a deficit of 1.4 per cent of GDP by 2028-29, and improve to a deficit of 0.7 per cent of GDP by 2032-33."/>
                    <pic:cNvPicPr/>
                  </pic:nvPicPr>
                  <pic:blipFill>
                    <a:blip r:embed="rId25">
                      <a:extLst>
                        <a:ext uri="{96DAC541-7B7A-43D3-8B79-37D633B846F1}">
                          <asvg:svgBlip xmlns:asvg="http://schemas.microsoft.com/office/drawing/2016/SVG/main" r:embed="rId26"/>
                        </a:ext>
                      </a:extLst>
                    </a:blip>
                    <a:stretch>
                      <a:fillRect/>
                    </a:stretch>
                  </pic:blipFill>
                  <pic:spPr>
                    <a:xfrm>
                      <a:off x="0" y="0"/>
                      <a:ext cx="4627102" cy="2520000"/>
                    </a:xfrm>
                    <a:prstGeom prst="rect">
                      <a:avLst/>
                    </a:prstGeom>
                  </pic:spPr>
                </pic:pic>
              </a:graphicData>
            </a:graphic>
          </wp:inline>
        </w:drawing>
      </w:r>
    </w:p>
    <w:p w14:paraId="1DA38B6C" w14:textId="53C45D0C" w:rsidR="007530D5" w:rsidRPr="00207DD5" w:rsidRDefault="007530D5" w:rsidP="00605CBC">
      <w:pPr>
        <w:pStyle w:val="ChartandTableFootnote"/>
        <w:tabs>
          <w:tab w:val="right" w:pos="7710"/>
        </w:tabs>
        <w:rPr>
          <w:color w:val="auto"/>
        </w:rPr>
      </w:pPr>
      <w:r w:rsidRPr="00207DD5">
        <w:rPr>
          <w:color w:val="auto"/>
        </w:rPr>
        <w:t>Source:</w:t>
      </w:r>
      <w:r w:rsidRPr="00207DD5">
        <w:rPr>
          <w:color w:val="auto"/>
        </w:rPr>
        <w:tab/>
        <w:t>Treasury.</w:t>
      </w:r>
    </w:p>
    <w:p w14:paraId="67600B55" w14:textId="77777777" w:rsidR="00A12A0D" w:rsidRPr="00207DD5" w:rsidRDefault="00A12A0D" w:rsidP="00A12A0D">
      <w:pPr>
        <w:pStyle w:val="ChartLine"/>
      </w:pPr>
    </w:p>
    <w:p w14:paraId="36FAC60B" w14:textId="32230995" w:rsidR="00DA5FA5" w:rsidRPr="00207DD5" w:rsidRDefault="00DA5FA5" w:rsidP="00DA5FA5">
      <w:r w:rsidRPr="00207DD5">
        <w:t>Gross debt as a</w:t>
      </w:r>
      <w:r w:rsidR="009F0B52" w:rsidRPr="00207DD5">
        <w:t> </w:t>
      </w:r>
      <w:r w:rsidRPr="00207DD5">
        <w:t>per</w:t>
      </w:r>
      <w:r w:rsidR="009F0B52" w:rsidRPr="00207DD5">
        <w:t> </w:t>
      </w:r>
      <w:r w:rsidRPr="00207DD5">
        <w:t>cent of GDP is expected to peak in 202</w:t>
      </w:r>
      <w:r w:rsidR="00850041" w:rsidRPr="00207DD5">
        <w:t>8</w:t>
      </w:r>
      <w:r w:rsidRPr="00207DD5">
        <w:t>–</w:t>
      </w:r>
      <w:r w:rsidR="00850041" w:rsidRPr="00207DD5">
        <w:t>29</w:t>
      </w:r>
      <w:r w:rsidRPr="00207DD5">
        <w:t xml:space="preserve"> and then decline every year thereafter</w:t>
      </w:r>
      <w:r w:rsidR="009E4262" w:rsidRPr="00207DD5">
        <w:t xml:space="preserve"> (Chart 3.</w:t>
      </w:r>
      <w:r w:rsidR="008B279C" w:rsidRPr="00207DD5">
        <w:t>9)</w:t>
      </w:r>
      <w:r w:rsidRPr="00207DD5">
        <w:t xml:space="preserve">. By 30 June 2037, gross debt is expected to be </w:t>
      </w:r>
      <w:r w:rsidR="00401A7A" w:rsidRPr="00207DD5">
        <w:t>2</w:t>
      </w:r>
      <w:r w:rsidR="00AC482E" w:rsidRPr="00207DD5">
        <w:t>7</w:t>
      </w:r>
      <w:r w:rsidR="00401A7A" w:rsidRPr="00207DD5">
        <w:t>.</w:t>
      </w:r>
      <w:r w:rsidR="00AC482E" w:rsidRPr="00207DD5">
        <w:t>2</w:t>
      </w:r>
      <w:r w:rsidR="009F0B52" w:rsidRPr="00207DD5">
        <w:t> </w:t>
      </w:r>
      <w:r w:rsidRPr="00207DD5">
        <w:t>per</w:t>
      </w:r>
      <w:r w:rsidR="009F0B52" w:rsidRPr="00207DD5">
        <w:t> </w:t>
      </w:r>
      <w:r w:rsidRPr="00207DD5">
        <w:t xml:space="preserve">cent of GDP. Compared to </w:t>
      </w:r>
      <w:r w:rsidR="00F9492B" w:rsidRPr="00207DD5">
        <w:t>at</w:t>
      </w:r>
      <w:r w:rsidRPr="00207DD5">
        <w:t xml:space="preserve"> </w:t>
      </w:r>
      <w:r w:rsidR="003055A2" w:rsidRPr="00207DD5">
        <w:t>MYEFO</w:t>
      </w:r>
      <w:r w:rsidRPr="00207DD5">
        <w:t xml:space="preserve">, gross debt is lower every year of the </w:t>
      </w:r>
      <w:r w:rsidR="00AA79EC" w:rsidRPr="00207DD5">
        <w:t>forward estimates and medium</w:t>
      </w:r>
      <w:r w:rsidR="000246C3" w:rsidRPr="00207DD5">
        <w:t xml:space="preserve"> </w:t>
      </w:r>
      <w:r w:rsidR="00AA79EC" w:rsidRPr="00207DD5">
        <w:t>term</w:t>
      </w:r>
      <w:r w:rsidRPr="00207DD5">
        <w:t>.</w:t>
      </w:r>
      <w:r w:rsidRPr="00207DD5" w:rsidDel="003D1DEF">
        <w:t xml:space="preserve"> </w:t>
      </w:r>
    </w:p>
    <w:p w14:paraId="4F27C19C" w14:textId="2C94E75A" w:rsidR="00CC39DD" w:rsidRDefault="0015371C" w:rsidP="00837B2B">
      <w:r w:rsidRPr="00207DD5">
        <w:t xml:space="preserve">Total receipts as a share of GDP are expected to increase from </w:t>
      </w:r>
      <w:r w:rsidR="00B92F1F" w:rsidRPr="00207DD5">
        <w:t>25.5</w:t>
      </w:r>
      <w:r w:rsidR="009F0B52" w:rsidRPr="00207DD5">
        <w:t> </w:t>
      </w:r>
      <w:r w:rsidRPr="00207DD5">
        <w:t>per</w:t>
      </w:r>
      <w:r w:rsidR="009F0B52" w:rsidRPr="00207DD5">
        <w:t> </w:t>
      </w:r>
      <w:r w:rsidRPr="00207DD5">
        <w:t>cent of GDP in 20</w:t>
      </w:r>
      <w:r w:rsidR="00B92F1F" w:rsidRPr="00207DD5">
        <w:t>29</w:t>
      </w:r>
      <w:r w:rsidRPr="00207DD5">
        <w:t>–</w:t>
      </w:r>
      <w:r w:rsidR="001D036C" w:rsidRPr="00207DD5">
        <w:rPr>
          <w:w w:val="1"/>
        </w:rPr>
        <w:t> </w:t>
      </w:r>
      <w:r w:rsidR="00B92F1F" w:rsidRPr="00207DD5">
        <w:t>30</w:t>
      </w:r>
      <w:r w:rsidRPr="00207DD5">
        <w:t xml:space="preserve"> to </w:t>
      </w:r>
      <w:r w:rsidR="00B66279" w:rsidRPr="00207DD5">
        <w:t>2</w:t>
      </w:r>
      <w:r w:rsidR="008022B6" w:rsidRPr="00207DD5">
        <w:t>7.0</w:t>
      </w:r>
      <w:r w:rsidR="009F0B52" w:rsidRPr="00207DD5">
        <w:t> </w:t>
      </w:r>
      <w:r w:rsidRPr="00207DD5">
        <w:t>per</w:t>
      </w:r>
      <w:r w:rsidR="009F0B52" w:rsidRPr="00207DD5">
        <w:t> </w:t>
      </w:r>
      <w:r w:rsidRPr="00207DD5">
        <w:t xml:space="preserve">cent of GDP in </w:t>
      </w:r>
      <w:r w:rsidR="00DA5FA5" w:rsidRPr="00207DD5">
        <w:t>2036–37</w:t>
      </w:r>
      <w:r w:rsidRPr="00207DD5">
        <w:t>.</w:t>
      </w:r>
      <w:r w:rsidRPr="00576DC7">
        <w:t xml:space="preserve"> </w:t>
      </w:r>
      <w:r w:rsidR="00C94756" w:rsidRPr="00207DD5">
        <w:t xml:space="preserve">Total receipts </w:t>
      </w:r>
      <w:r w:rsidR="001B06F1" w:rsidRPr="00207DD5">
        <w:t>reflect</w:t>
      </w:r>
      <w:r w:rsidR="00261C20" w:rsidRPr="00207DD5">
        <w:t xml:space="preserve"> </w:t>
      </w:r>
      <w:r w:rsidR="00147694" w:rsidRPr="00207DD5">
        <w:t>a</w:t>
      </w:r>
      <w:r w:rsidR="00512F16" w:rsidRPr="00207DD5">
        <w:t>n</w:t>
      </w:r>
      <w:r w:rsidR="00147694" w:rsidRPr="00207DD5">
        <w:t xml:space="preserve"> assumption </w:t>
      </w:r>
      <w:r w:rsidR="00A92F61" w:rsidRPr="00207DD5">
        <w:t>of no policy change with regards</w:t>
      </w:r>
      <w:r w:rsidR="004E0A7C" w:rsidRPr="00207DD5">
        <w:t xml:space="preserve"> to the personal income tax brackets </w:t>
      </w:r>
      <w:r w:rsidR="00A10B7B" w:rsidRPr="00207DD5">
        <w:t xml:space="preserve">until the end of the medium </w:t>
      </w:r>
      <w:r w:rsidR="00EA0871" w:rsidRPr="00207DD5">
        <w:t>term</w:t>
      </w:r>
      <w:r w:rsidR="00502B4D" w:rsidRPr="00207DD5">
        <w:t xml:space="preserve">. </w:t>
      </w:r>
      <w:r w:rsidR="00491F2A" w:rsidRPr="00207DD5">
        <w:t xml:space="preserve">This </w:t>
      </w:r>
      <w:r w:rsidR="00CE6392" w:rsidRPr="00207DD5">
        <w:t>modelling approach</w:t>
      </w:r>
      <w:r w:rsidR="00491F2A" w:rsidRPr="00207DD5">
        <w:t xml:space="preserve"> </w:t>
      </w:r>
      <w:r w:rsidR="00502B4D" w:rsidRPr="00207DD5">
        <w:t>results in</w:t>
      </w:r>
      <w:r w:rsidR="00057D32" w:rsidRPr="00207DD5">
        <w:t xml:space="preserve"> a</w:t>
      </w:r>
      <w:r w:rsidR="00D70AA1" w:rsidRPr="00207DD5">
        <w:t xml:space="preserve"> projected</w:t>
      </w:r>
      <w:r w:rsidR="00057D32" w:rsidRPr="00207DD5">
        <w:t xml:space="preserve"> increase</w:t>
      </w:r>
      <w:r w:rsidR="00502B4D" w:rsidRPr="00207DD5">
        <w:t xml:space="preserve"> in</w:t>
      </w:r>
      <w:r w:rsidR="003D1FC0" w:rsidRPr="00207DD5">
        <w:t xml:space="preserve"> the ratio of tax</w:t>
      </w:r>
      <w:r w:rsidR="009F0B52" w:rsidRPr="00207DD5">
        <w:noBreakHyphen/>
      </w:r>
      <w:r w:rsidR="003D1FC0" w:rsidRPr="00207DD5">
        <w:t>to</w:t>
      </w:r>
      <w:r w:rsidR="009F0B52" w:rsidRPr="00207DD5">
        <w:noBreakHyphen/>
      </w:r>
      <w:r w:rsidR="003D1FC0" w:rsidRPr="00207DD5">
        <w:t xml:space="preserve">GDP </w:t>
      </w:r>
      <w:r w:rsidR="00D444F8" w:rsidRPr="00207DD5">
        <w:t>over</w:t>
      </w:r>
      <w:r w:rsidR="00057D32" w:rsidRPr="00207DD5">
        <w:t xml:space="preserve"> </w:t>
      </w:r>
      <w:r w:rsidR="00D444F8" w:rsidRPr="00207DD5">
        <w:t>time</w:t>
      </w:r>
      <w:r w:rsidR="00CA4D85" w:rsidRPr="00207DD5">
        <w:t xml:space="preserve">. However, </w:t>
      </w:r>
      <w:r w:rsidR="00037851" w:rsidRPr="00207DD5">
        <w:t>in practice,</w:t>
      </w:r>
      <w:r w:rsidR="00491F2A" w:rsidRPr="00207DD5">
        <w:t xml:space="preserve"> governments periodically </w:t>
      </w:r>
      <w:r w:rsidR="00172537" w:rsidRPr="00207DD5">
        <w:t>make policy decision</w:t>
      </w:r>
      <w:r w:rsidR="00D444F8" w:rsidRPr="00207DD5">
        <w:t>s</w:t>
      </w:r>
      <w:r w:rsidR="00172537" w:rsidRPr="00207DD5">
        <w:t xml:space="preserve"> to re</w:t>
      </w:r>
      <w:r w:rsidR="00D444F8" w:rsidRPr="00207DD5">
        <w:t xml:space="preserve">duce taxation rates to </w:t>
      </w:r>
      <w:r w:rsidR="00491F2A" w:rsidRPr="00207DD5">
        <w:t xml:space="preserve">return </w:t>
      </w:r>
      <w:r w:rsidR="00D444F8" w:rsidRPr="00207DD5">
        <w:t xml:space="preserve">this </w:t>
      </w:r>
      <w:r w:rsidR="00491F2A" w:rsidRPr="00207DD5">
        <w:t>bracket creep</w:t>
      </w:r>
      <w:r w:rsidR="000B417D" w:rsidRPr="00207DD5">
        <w:t>.</w:t>
      </w:r>
      <w:r w:rsidR="004E0A7C">
        <w:t xml:space="preserve"> </w:t>
      </w:r>
      <w:r w:rsidR="00491F2A" w:rsidRPr="00207DD5">
        <w:t xml:space="preserve">For example, this Government’s next round of tax cuts for every Australian taxpayer will take effect from 1 July 2026. </w:t>
      </w:r>
    </w:p>
    <w:p w14:paraId="19EC9161" w14:textId="37E463E2" w:rsidR="0015371C" w:rsidRPr="00207DD5" w:rsidRDefault="0015371C" w:rsidP="00837B2B">
      <w:r w:rsidRPr="00207DD5">
        <w:t xml:space="preserve">Total payments as a share of GDP are expected to </w:t>
      </w:r>
      <w:r w:rsidR="00325E65" w:rsidRPr="00207DD5">
        <w:t xml:space="preserve">remain broadly stable </w:t>
      </w:r>
      <w:r w:rsidR="004B601D" w:rsidRPr="00207DD5">
        <w:t>at around 26.6</w:t>
      </w:r>
      <w:r w:rsidR="009F0B52" w:rsidRPr="00207DD5">
        <w:t> </w:t>
      </w:r>
      <w:r w:rsidRPr="00207DD5">
        <w:t>per</w:t>
      </w:r>
      <w:r w:rsidR="009F0B52" w:rsidRPr="00207DD5">
        <w:t> </w:t>
      </w:r>
      <w:r w:rsidRPr="00207DD5">
        <w:t xml:space="preserve">cent </w:t>
      </w:r>
      <w:r w:rsidR="00685C3C" w:rsidRPr="00207DD5">
        <w:t>from 203</w:t>
      </w:r>
      <w:r w:rsidR="00D92029" w:rsidRPr="00207DD5">
        <w:t>0</w:t>
      </w:r>
      <w:r w:rsidR="00685C3C" w:rsidRPr="00207DD5">
        <w:t>–</w:t>
      </w:r>
      <w:r w:rsidR="00D92029" w:rsidRPr="00207DD5">
        <w:t>31</w:t>
      </w:r>
      <w:r w:rsidRPr="00207DD5">
        <w:t xml:space="preserve"> to </w:t>
      </w:r>
      <w:r w:rsidR="00D92029" w:rsidRPr="00207DD5">
        <w:t>2034–35</w:t>
      </w:r>
      <w:r w:rsidR="002F606E" w:rsidRPr="00207DD5">
        <w:t xml:space="preserve">, before </w:t>
      </w:r>
      <w:r w:rsidR="00D92029" w:rsidRPr="00207DD5">
        <w:t xml:space="preserve">falling </w:t>
      </w:r>
      <w:r w:rsidRPr="00207DD5">
        <w:t xml:space="preserve">to </w:t>
      </w:r>
      <w:r w:rsidR="002F606E" w:rsidRPr="00207DD5">
        <w:t>26.2</w:t>
      </w:r>
      <w:r w:rsidR="009F0B52" w:rsidRPr="00207DD5">
        <w:t> </w:t>
      </w:r>
      <w:r w:rsidRPr="00207DD5">
        <w:t>per</w:t>
      </w:r>
      <w:r w:rsidR="009F0B52" w:rsidRPr="00207DD5">
        <w:t> </w:t>
      </w:r>
      <w:r w:rsidRPr="00207DD5">
        <w:t xml:space="preserve">cent </w:t>
      </w:r>
      <w:r w:rsidR="00827387" w:rsidRPr="00207DD5">
        <w:t>by</w:t>
      </w:r>
      <w:r w:rsidRPr="00207DD5">
        <w:t xml:space="preserve"> </w:t>
      </w:r>
      <w:r w:rsidR="00DA5FA5" w:rsidRPr="00207DD5">
        <w:t>2036–37</w:t>
      </w:r>
      <w:r w:rsidRPr="00207DD5">
        <w:t xml:space="preserve"> (Chart</w:t>
      </w:r>
      <w:r w:rsidR="00DA5FA5" w:rsidRPr="00207DD5">
        <w:t xml:space="preserve"> </w:t>
      </w:r>
      <w:r w:rsidRPr="00207DD5">
        <w:t>3.</w:t>
      </w:r>
      <w:r w:rsidR="00BE3AF3" w:rsidRPr="00207DD5">
        <w:t>5</w:t>
      </w:r>
      <w:r w:rsidR="00DA5FA5" w:rsidRPr="00207DD5">
        <w:t>).</w:t>
      </w:r>
    </w:p>
    <w:p w14:paraId="65F0A7E2" w14:textId="63E8A208" w:rsidR="002C53E1" w:rsidRPr="00207DD5" w:rsidRDefault="0015371C" w:rsidP="004F4631">
      <w:pPr>
        <w:pStyle w:val="ChartMainHeading"/>
      </w:pPr>
      <w:bookmarkStart w:id="84" w:name="_Hlk134115082"/>
      <w:r w:rsidRPr="00207DD5">
        <w:lastRenderedPageBreak/>
        <w:t>Chart 3.</w:t>
      </w:r>
      <w:r w:rsidR="00BE3AF3" w:rsidRPr="00207DD5">
        <w:t>5</w:t>
      </w:r>
      <w:r w:rsidRPr="00207DD5">
        <w:t>: Payments and receipts</w:t>
      </w:r>
    </w:p>
    <w:p w14:paraId="07FAAFAD" w14:textId="21630971" w:rsidR="0015371C" w:rsidRPr="00207DD5" w:rsidRDefault="00DB5682" w:rsidP="0015371C">
      <w:pPr>
        <w:pStyle w:val="ChartGraphic"/>
      </w:pPr>
      <w:r w:rsidRPr="00207DD5">
        <w:rPr>
          <w:noProof/>
        </w:rPr>
        <w:drawing>
          <wp:inline distT="0" distB="0" distL="0" distR="0" wp14:anchorId="1AC8FEFF" wp14:editId="706A486E">
            <wp:extent cx="4686300" cy="2524125"/>
            <wp:effectExtent l="0" t="0" r="0" b="0"/>
            <wp:docPr id="992623108" name="Graphic 1" descr="This line chart shows projections for total payments and total receipts as a share of GDP. Historically receipts and payments have typically varied between 22 and 26 per cent of GDP, with spikes in payments-to-GDP and falls in receipts-to-GDP following economic downturns. Total payments are projected to remain elevated above historic levels in the projection period - moving from 26.6 per cent of GDP in 2025-26 to 26.2 per cent of GDP in 2036-37. Total receipts are projected to increase from 25.6 per cent of GDP in 2025-26 to 27.0 per cent of GDP in 20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23108" name="Graphic 1" descr="This line chart shows projections for total payments and total receipts as a share of GDP. Historically receipts and payments have typically varied between 22 and 26 per cent of GDP, with spikes in payments-to-GDP and falls in receipts-to-GDP following economic downturns. Total payments are projected to remain elevated above historic levels in the projection period - moving from 26.6 per cent of GDP in 2025-26 to 26.2 per cent of GDP in 2036-37. Total receipts are projected to increase from 25.6 per cent of GDP in 2025-26 to 27.0 per cent of GDP in 2036-37."/>
                    <pic:cNvPicPr/>
                  </pic:nvPicPr>
                  <pic:blipFill>
                    <a:blip r:embed="rId27">
                      <a:extLst>
                        <a:ext uri="{96DAC541-7B7A-43D3-8B79-37D633B846F1}">
                          <asvg:svgBlip xmlns:asvg="http://schemas.microsoft.com/office/drawing/2016/SVG/main" r:embed="rId28"/>
                        </a:ext>
                      </a:extLst>
                    </a:blip>
                    <a:stretch>
                      <a:fillRect/>
                    </a:stretch>
                  </pic:blipFill>
                  <pic:spPr>
                    <a:xfrm>
                      <a:off x="0" y="0"/>
                      <a:ext cx="4686300" cy="2524125"/>
                    </a:xfrm>
                    <a:prstGeom prst="rect">
                      <a:avLst/>
                    </a:prstGeom>
                  </pic:spPr>
                </pic:pic>
              </a:graphicData>
            </a:graphic>
          </wp:inline>
        </w:drawing>
      </w:r>
    </w:p>
    <w:p w14:paraId="3732381F" w14:textId="647BA758" w:rsidR="0015371C" w:rsidRPr="00207DD5" w:rsidRDefault="0015371C" w:rsidP="0015371C">
      <w:pPr>
        <w:pStyle w:val="ChartandTableFootnote"/>
        <w:rPr>
          <w:color w:val="auto"/>
        </w:rPr>
      </w:pPr>
      <w:r w:rsidRPr="00207DD5">
        <w:rPr>
          <w:color w:val="auto"/>
        </w:rPr>
        <w:t xml:space="preserve">Source: </w:t>
      </w:r>
      <w:r w:rsidRPr="00207DD5">
        <w:rPr>
          <w:color w:val="auto"/>
        </w:rPr>
        <w:tab/>
        <w:t>Treasury.</w:t>
      </w:r>
    </w:p>
    <w:p w14:paraId="1C9FC08D" w14:textId="77777777" w:rsidR="0015371C" w:rsidRPr="00207DD5" w:rsidRDefault="0015371C" w:rsidP="0015371C">
      <w:pPr>
        <w:pStyle w:val="ChartLine"/>
      </w:pPr>
    </w:p>
    <w:p w14:paraId="02FD2A4E" w14:textId="73FD5D2E" w:rsidR="00C317DF" w:rsidRPr="00207DD5" w:rsidRDefault="00C317DF" w:rsidP="001D24C0">
      <w:pPr>
        <w:pStyle w:val="SingleParagraph"/>
      </w:pPr>
    </w:p>
    <w:p w14:paraId="26BE2133" w14:textId="0095BFB4" w:rsidR="0015371C" w:rsidRPr="00207DD5" w:rsidRDefault="0015371C" w:rsidP="0015371C">
      <w:pPr>
        <w:pStyle w:val="Heading4"/>
      </w:pPr>
      <w:r w:rsidRPr="00207DD5">
        <w:t>Changes in the medium</w:t>
      </w:r>
      <w:r w:rsidR="0042368C">
        <w:t>-</w:t>
      </w:r>
      <w:r w:rsidRPr="00207DD5">
        <w:t>term outlook since MYEFO</w:t>
      </w:r>
    </w:p>
    <w:p w14:paraId="670C7213" w14:textId="78FC759D" w:rsidR="0015371C" w:rsidRPr="00207DD5" w:rsidRDefault="0015371C" w:rsidP="0015371C">
      <w:pPr>
        <w:pStyle w:val="Heading5"/>
      </w:pPr>
      <w:r w:rsidRPr="00207DD5">
        <w:t>Receipts over the medium term</w:t>
      </w:r>
    </w:p>
    <w:p w14:paraId="638126DB" w14:textId="359CC0DF" w:rsidR="0015371C" w:rsidRPr="00207DD5" w:rsidRDefault="0015371C" w:rsidP="0015371C">
      <w:r w:rsidRPr="00207DD5">
        <w:t xml:space="preserve">Receipts as a share of GDP are </w:t>
      </w:r>
      <w:r w:rsidR="00231691" w:rsidRPr="00207DD5">
        <w:t>higher</w:t>
      </w:r>
      <w:r w:rsidRPr="00207DD5">
        <w:t xml:space="preserve"> since MYEFO, including </w:t>
      </w:r>
      <w:r w:rsidR="008114E0" w:rsidRPr="00207DD5">
        <w:t>0</w:t>
      </w:r>
      <w:r w:rsidR="00231691" w:rsidRPr="00207DD5">
        <w:t>.</w:t>
      </w:r>
      <w:r w:rsidR="00D36579" w:rsidRPr="00207DD5">
        <w:t>2</w:t>
      </w:r>
      <w:r w:rsidR="00E41B1B" w:rsidRPr="00207DD5">
        <w:t> </w:t>
      </w:r>
      <w:r w:rsidRPr="00207DD5">
        <w:t>percentage</w:t>
      </w:r>
      <w:r w:rsidR="00E41B1B" w:rsidRPr="00207DD5">
        <w:t> </w:t>
      </w:r>
      <w:r w:rsidRPr="00207DD5">
        <w:t xml:space="preserve">points </w:t>
      </w:r>
      <w:r w:rsidR="00231691" w:rsidRPr="00207DD5">
        <w:t>higher</w:t>
      </w:r>
      <w:r w:rsidRPr="00207DD5">
        <w:t xml:space="preserve"> in </w:t>
      </w:r>
      <w:r w:rsidR="00231691" w:rsidRPr="00207DD5">
        <w:t>2035–36</w:t>
      </w:r>
      <w:r w:rsidRPr="00207DD5">
        <w:t xml:space="preserve"> (Chart</w:t>
      </w:r>
      <w:r w:rsidR="00231691" w:rsidRPr="00207DD5">
        <w:t xml:space="preserve"> </w:t>
      </w:r>
      <w:r w:rsidRPr="00207DD5">
        <w:t>3.</w:t>
      </w:r>
      <w:r w:rsidR="00640EE9" w:rsidRPr="00207DD5">
        <w:t>6</w:t>
      </w:r>
      <w:r w:rsidR="00231691" w:rsidRPr="00207DD5">
        <w:t>).</w:t>
      </w:r>
    </w:p>
    <w:tbl>
      <w:tblPr>
        <w:tblW w:w="5000" w:type="pct"/>
        <w:tblLayout w:type="fixed"/>
        <w:tblLook w:val="0620" w:firstRow="1" w:lastRow="0" w:firstColumn="0" w:lastColumn="0" w:noHBand="1" w:noVBand="1"/>
      </w:tblPr>
      <w:tblGrid>
        <w:gridCol w:w="3855"/>
        <w:gridCol w:w="3855"/>
      </w:tblGrid>
      <w:tr w:rsidR="004457D2" w:rsidRPr="00D43C89" w14:paraId="422F973F" w14:textId="77777777" w:rsidTr="00E91697">
        <w:trPr>
          <w:cantSplit/>
        </w:trPr>
        <w:tc>
          <w:tcPr>
            <w:tcW w:w="3855" w:type="dxa"/>
          </w:tcPr>
          <w:p w14:paraId="7584D8F0" w14:textId="59A00E4A" w:rsidR="004457D2" w:rsidRPr="007B5379" w:rsidRDefault="002B2099" w:rsidP="003341EF">
            <w:pPr>
              <w:pStyle w:val="ChartMainHeading"/>
              <w:rPr>
                <w:highlight w:val="cyan"/>
              </w:rPr>
            </w:pPr>
            <w:r w:rsidRPr="00207DD5">
              <w:t>Chart 3.</w:t>
            </w:r>
            <w:r w:rsidR="00640EE9" w:rsidRPr="00207DD5">
              <w:t>6</w:t>
            </w:r>
            <w:r w:rsidRPr="00207DD5">
              <w:t>: Total receipts</w:t>
            </w:r>
          </w:p>
        </w:tc>
        <w:tc>
          <w:tcPr>
            <w:tcW w:w="3855" w:type="dxa"/>
          </w:tcPr>
          <w:p w14:paraId="04837517" w14:textId="6C512092" w:rsidR="004457D2" w:rsidRPr="00207DD5" w:rsidRDefault="002B2099" w:rsidP="003341EF">
            <w:pPr>
              <w:pStyle w:val="ChartMainHeading"/>
            </w:pPr>
            <w:r w:rsidRPr="00207DD5">
              <w:t>Chart 3.</w:t>
            </w:r>
            <w:r w:rsidR="00640EE9" w:rsidRPr="00207DD5">
              <w:t>7</w:t>
            </w:r>
            <w:r w:rsidRPr="00207DD5">
              <w:t>: Total payments</w:t>
            </w:r>
          </w:p>
        </w:tc>
      </w:tr>
      <w:tr w:rsidR="004457D2" w:rsidRPr="00D43C89" w14:paraId="41D442EB" w14:textId="77777777" w:rsidTr="00E91697">
        <w:trPr>
          <w:cantSplit/>
          <w:trHeight w:val="3839"/>
        </w:trPr>
        <w:tc>
          <w:tcPr>
            <w:tcW w:w="3855" w:type="dxa"/>
          </w:tcPr>
          <w:p w14:paraId="2FCC38D8" w14:textId="644ACFDB" w:rsidR="004457D2" w:rsidRPr="007B5379" w:rsidRDefault="00AC66C2" w:rsidP="000A1CD0">
            <w:pPr>
              <w:pStyle w:val="ChartGraphic"/>
              <w:rPr>
                <w:highlight w:val="cyan"/>
              </w:rPr>
            </w:pPr>
            <w:r w:rsidRPr="00207DD5">
              <w:rPr>
                <w:noProof/>
              </w:rPr>
              <w:drawing>
                <wp:inline distT="0" distB="0" distL="0" distR="0" wp14:anchorId="2514F34E" wp14:editId="039086BB">
                  <wp:extent cx="2305050" cy="2305050"/>
                  <wp:effectExtent l="0" t="0" r="0" b="0"/>
                  <wp:docPr id="766759099" name="Graphic 1" descr="This line chart shows total receipts and tax receipts as a share of GDP at the 2026-27 Budget and the 2025-26 MYEFO. Total receipts as a share of GDP are expected to be 25.6 per cent of GDP in 2025–26 and 25.5 per cent of GDP in 2029–30. During this period, tax receipts are expected to reach 23.6 per cent of GDP. Total receipts are projected to increase to 26.8 per cent of GDP in 2035-36, compared to 26.6 per cent of GDP at the 2025-26 MYEFO. Tax receipts are projected to increase to 25.0 per cent of GDP in 2035-36, compared to 24.7 per cent of GDP at the 2025-26 MYE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59099" name="Graphic 1" descr="This line chart shows total receipts and tax receipts as a share of GDP at the 2026-27 Budget and the 2025-26 MYEFO. Total receipts as a share of GDP are expected to be 25.6 per cent of GDP in 2025–26 and 25.5 per cent of GDP in 2029–30. During this period, tax receipts are expected to reach 23.6 per cent of GDP. Total receipts are projected to increase to 26.8 per cent of GDP in 2035-36, compared to 26.6 per cent of GDP at the 2025-26 MYEFO. Tax receipts are projected to increase to 25.0 per cent of GDP in 2035-36, compared to 24.7 per cent of GDP at the 2025-26 MYEFO."/>
                          <pic:cNvPicPr/>
                        </pic:nvPicPr>
                        <pic:blipFill>
                          <a:blip r:embed="rId29">
                            <a:extLst>
                              <a:ext uri="{96DAC541-7B7A-43D3-8B79-37D633B846F1}">
                                <asvg:svgBlip xmlns:asvg="http://schemas.microsoft.com/office/drawing/2016/SVG/main" r:embed="rId30"/>
                              </a:ext>
                            </a:extLst>
                          </a:blip>
                          <a:stretch>
                            <a:fillRect/>
                          </a:stretch>
                        </pic:blipFill>
                        <pic:spPr>
                          <a:xfrm>
                            <a:off x="0" y="0"/>
                            <a:ext cx="2305050" cy="2305050"/>
                          </a:xfrm>
                          <a:prstGeom prst="rect">
                            <a:avLst/>
                          </a:prstGeom>
                        </pic:spPr>
                      </pic:pic>
                    </a:graphicData>
                  </a:graphic>
                </wp:inline>
              </w:drawing>
            </w:r>
          </w:p>
        </w:tc>
        <w:tc>
          <w:tcPr>
            <w:tcW w:w="3855" w:type="dxa"/>
          </w:tcPr>
          <w:p w14:paraId="48AD77A8" w14:textId="62606392" w:rsidR="004457D2" w:rsidRPr="00207DD5" w:rsidRDefault="007A4969" w:rsidP="000A1CD0">
            <w:pPr>
              <w:pStyle w:val="ChartGraphic"/>
            </w:pPr>
            <w:r w:rsidRPr="00207DD5">
              <w:rPr>
                <w:noProof/>
              </w:rPr>
              <w:drawing>
                <wp:inline distT="0" distB="0" distL="0" distR="0" wp14:anchorId="26D8C25D" wp14:editId="33B07CE6">
                  <wp:extent cx="2310765" cy="2301240"/>
                  <wp:effectExtent l="0" t="0" r="0" b="3810"/>
                  <wp:docPr id="554703882" name="Graphic 1" descr="This line chart shows total payments as a share of GDP at the 2026-27 Budget and the 2025-26 MYEFO. Total payments as share of GDP are expected to increase from 26.6 per cent of GDP in 2025-26 to 26.8 per cent of GDP in 2027-28. Payments then gradually decrease to 26.2 per cent of GDP at the end of the medium term. Compared to the 2025-26 MYEFO, payments as a share of GDP are projected to be lower over the medium 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03882" name="Graphic 1" descr="This line chart shows total payments as a share of GDP at the 2026-27 Budget and the 2025-26 MYEFO. Total payments as share of GDP are expected to increase from 26.6 per cent of GDP in 2025-26 to 26.8 per cent of GDP in 2027-28. Payments then gradually decrease to 26.2 per cent of GDP at the end of the medium term. Compared to the 2025-26 MYEFO, payments as a share of GDP are projected to be lower over the medium term."/>
                          <pic:cNvPicPr/>
                        </pic:nvPicPr>
                        <pic:blipFill>
                          <a:blip r:embed="rId31">
                            <a:extLst>
                              <a:ext uri="{96DAC541-7B7A-43D3-8B79-37D633B846F1}">
                                <asvg:svgBlip xmlns:asvg="http://schemas.microsoft.com/office/drawing/2016/SVG/main" r:embed="rId32"/>
                              </a:ext>
                            </a:extLst>
                          </a:blip>
                          <a:stretch>
                            <a:fillRect/>
                          </a:stretch>
                        </pic:blipFill>
                        <pic:spPr>
                          <a:xfrm>
                            <a:off x="0" y="0"/>
                            <a:ext cx="2310765" cy="2301240"/>
                          </a:xfrm>
                          <a:prstGeom prst="rect">
                            <a:avLst/>
                          </a:prstGeom>
                        </pic:spPr>
                      </pic:pic>
                    </a:graphicData>
                  </a:graphic>
                </wp:inline>
              </w:drawing>
            </w:r>
          </w:p>
        </w:tc>
      </w:tr>
      <w:tr w:rsidR="002B2099" w:rsidRPr="00D43C89" w14:paraId="5D2E4B50" w14:textId="77777777" w:rsidTr="00E91697">
        <w:trPr>
          <w:cantSplit/>
          <w:trHeight w:val="227"/>
        </w:trPr>
        <w:tc>
          <w:tcPr>
            <w:tcW w:w="3855" w:type="dxa"/>
          </w:tcPr>
          <w:p w14:paraId="2392BA86" w14:textId="101C204A" w:rsidR="002B2099" w:rsidRPr="007B5379" w:rsidRDefault="002B2099" w:rsidP="002B2099">
            <w:pPr>
              <w:pStyle w:val="ChartandTableFootnote"/>
              <w:rPr>
                <w:color w:val="auto"/>
                <w:highlight w:val="cyan"/>
              </w:rPr>
            </w:pPr>
            <w:r w:rsidRPr="00207DD5">
              <w:rPr>
                <w:color w:val="auto"/>
              </w:rPr>
              <w:t xml:space="preserve">Source: </w:t>
            </w:r>
            <w:r w:rsidRPr="00207DD5">
              <w:rPr>
                <w:color w:val="auto"/>
              </w:rPr>
              <w:tab/>
              <w:t>Treasury.</w:t>
            </w:r>
          </w:p>
        </w:tc>
        <w:tc>
          <w:tcPr>
            <w:tcW w:w="3855" w:type="dxa"/>
          </w:tcPr>
          <w:p w14:paraId="4F0A676B" w14:textId="20B2B2C5" w:rsidR="002B2099" w:rsidRPr="00207DD5" w:rsidRDefault="002B2099" w:rsidP="002B2099">
            <w:pPr>
              <w:pStyle w:val="ChartandTableFootnote"/>
              <w:rPr>
                <w:color w:val="auto"/>
              </w:rPr>
            </w:pPr>
            <w:r w:rsidRPr="00207DD5">
              <w:rPr>
                <w:color w:val="auto"/>
              </w:rPr>
              <w:t xml:space="preserve">Source: </w:t>
            </w:r>
            <w:r w:rsidRPr="00207DD5">
              <w:rPr>
                <w:color w:val="auto"/>
              </w:rPr>
              <w:tab/>
              <w:t>Treasury.</w:t>
            </w:r>
          </w:p>
        </w:tc>
      </w:tr>
    </w:tbl>
    <w:p w14:paraId="5A90E468" w14:textId="4BAFA3B9" w:rsidR="0015371C" w:rsidRPr="00207DD5" w:rsidRDefault="0015371C" w:rsidP="0015371C">
      <w:pPr>
        <w:pStyle w:val="ChartLine"/>
      </w:pPr>
    </w:p>
    <w:p w14:paraId="7730B690" w14:textId="7CA925B5" w:rsidR="00293BC1" w:rsidRPr="00207DD5" w:rsidRDefault="00293BC1" w:rsidP="004B7B06">
      <w:pPr>
        <w:pStyle w:val="Heading5"/>
        <w:spacing w:before="240"/>
      </w:pPr>
      <w:r w:rsidRPr="00207DD5">
        <w:lastRenderedPageBreak/>
        <w:t>Payments over the medium term</w:t>
      </w:r>
    </w:p>
    <w:p w14:paraId="12BBB35A" w14:textId="342E2CDD" w:rsidR="00FD5E6A" w:rsidRPr="00207DD5" w:rsidRDefault="00FD5E6A" w:rsidP="00FD5E6A">
      <w:r w:rsidRPr="00207DD5">
        <w:t xml:space="preserve">Payments are expected to be </w:t>
      </w:r>
      <w:r w:rsidR="00D701F3" w:rsidRPr="00207DD5">
        <w:t>0.</w:t>
      </w:r>
      <w:r w:rsidR="003F33B2" w:rsidRPr="00207DD5">
        <w:t>4</w:t>
      </w:r>
      <w:r w:rsidRPr="00207DD5">
        <w:t xml:space="preserve"> percentage points of GDP lower than at MYEFO in 2035–36 (Chart 3.</w:t>
      </w:r>
      <w:r w:rsidR="00640EE9" w:rsidRPr="00207DD5">
        <w:t>7</w:t>
      </w:r>
      <w:r w:rsidRPr="00207DD5">
        <w:t>). Nominal GDP is expected to be lower than was projected at MYEFO</w:t>
      </w:r>
      <w:r w:rsidR="00D701F3" w:rsidRPr="00207DD5">
        <w:t xml:space="preserve"> in the medium</w:t>
      </w:r>
      <w:r w:rsidR="00190035" w:rsidRPr="00207DD5">
        <w:t xml:space="preserve"> </w:t>
      </w:r>
      <w:r w:rsidR="00D701F3" w:rsidRPr="00207DD5">
        <w:t>term</w:t>
      </w:r>
      <w:r w:rsidRPr="00207DD5">
        <w:t xml:space="preserve">, </w:t>
      </w:r>
      <w:r w:rsidR="002953BE" w:rsidRPr="00207DD5">
        <w:t>putting upwards pressure on</w:t>
      </w:r>
      <w:r w:rsidRPr="00207DD5">
        <w:t xml:space="preserve"> payments relative to the size of the economy. </w:t>
      </w:r>
    </w:p>
    <w:p w14:paraId="6E7341A1" w14:textId="16B85011" w:rsidR="00293BC1" w:rsidRPr="00207DD5" w:rsidRDefault="00293BC1" w:rsidP="00293BC1">
      <w:r w:rsidRPr="00207DD5">
        <w:t>The fastest growing major payments over the medium</w:t>
      </w:r>
      <w:r w:rsidR="00FD5E6A" w:rsidRPr="00207DD5">
        <w:t xml:space="preserve"> </w:t>
      </w:r>
      <w:r w:rsidRPr="00207DD5">
        <w:t xml:space="preserve">term are </w:t>
      </w:r>
      <w:r w:rsidR="00570B54" w:rsidRPr="00207DD5">
        <w:t>public debt interest</w:t>
      </w:r>
      <w:r w:rsidRPr="00207DD5">
        <w:t xml:space="preserve">, hospitals payments, </w:t>
      </w:r>
      <w:r w:rsidR="00696D66" w:rsidRPr="00207DD5">
        <w:t>defence,</w:t>
      </w:r>
      <w:r w:rsidRPr="00207DD5">
        <w:t xml:space="preserve"> </w:t>
      </w:r>
      <w:r w:rsidR="000A17AF" w:rsidRPr="00207DD5">
        <w:t>C</w:t>
      </w:r>
      <w:r w:rsidR="00696D66" w:rsidRPr="00207DD5">
        <w:t xml:space="preserve">hild </w:t>
      </w:r>
      <w:r w:rsidR="000A17AF" w:rsidRPr="00207DD5">
        <w:t>C</w:t>
      </w:r>
      <w:r w:rsidR="00696D66" w:rsidRPr="00207DD5">
        <w:t xml:space="preserve">are </w:t>
      </w:r>
      <w:r w:rsidR="00420DC4" w:rsidRPr="00207DD5">
        <w:t>S</w:t>
      </w:r>
      <w:r w:rsidR="00696D66" w:rsidRPr="00207DD5">
        <w:t>ubsidy</w:t>
      </w:r>
      <w:r w:rsidR="00602F06" w:rsidRPr="00207DD5">
        <w:t xml:space="preserve">, </w:t>
      </w:r>
      <w:r w:rsidR="00F13992" w:rsidRPr="00207DD5">
        <w:t>a</w:t>
      </w:r>
      <w:r w:rsidR="00FD5E6A" w:rsidRPr="00207DD5">
        <w:t>ged</w:t>
      </w:r>
      <w:r w:rsidRPr="00207DD5">
        <w:t xml:space="preserve"> </w:t>
      </w:r>
      <w:r w:rsidR="00F13992" w:rsidRPr="00207DD5">
        <w:t>c</w:t>
      </w:r>
      <w:r w:rsidRPr="00207DD5">
        <w:t xml:space="preserve">are </w:t>
      </w:r>
      <w:r w:rsidR="00602F06" w:rsidRPr="00207DD5">
        <w:t xml:space="preserve">and </w:t>
      </w:r>
      <w:r w:rsidRPr="00207DD5">
        <w:t>medical benefits payments (Chart 3.</w:t>
      </w:r>
      <w:r w:rsidR="00640EE9" w:rsidRPr="00207DD5">
        <w:t>8</w:t>
      </w:r>
      <w:r w:rsidRPr="00207DD5">
        <w:t>).</w:t>
      </w:r>
    </w:p>
    <w:p w14:paraId="56A9A8A2" w14:textId="14FBDAFE" w:rsidR="00293BC1" w:rsidRPr="00207DD5" w:rsidRDefault="00293BC1" w:rsidP="00293BC1">
      <w:r w:rsidRPr="00207DD5">
        <w:t>Growth in some major payments over the Budget projection period (</w:t>
      </w:r>
      <w:r w:rsidR="00DB3175" w:rsidRPr="00207DD5">
        <w:t>2026–27</w:t>
      </w:r>
      <w:r w:rsidRPr="00207DD5">
        <w:t xml:space="preserve"> to </w:t>
      </w:r>
      <w:r w:rsidR="00DB3175" w:rsidRPr="00207DD5">
        <w:t>2036–37</w:t>
      </w:r>
      <w:r w:rsidRPr="00207DD5">
        <w:t xml:space="preserve">) has changed compared to </w:t>
      </w:r>
      <w:r w:rsidR="00F05BEC" w:rsidRPr="00207DD5">
        <w:t xml:space="preserve">at </w:t>
      </w:r>
      <w:r w:rsidRPr="00207DD5">
        <w:t>MYEFO (</w:t>
      </w:r>
      <w:r w:rsidR="00DB3175" w:rsidRPr="00207DD5">
        <w:t>2025–26</w:t>
      </w:r>
      <w:r w:rsidRPr="00207DD5">
        <w:t xml:space="preserve"> to 20</w:t>
      </w:r>
      <w:r w:rsidR="00F47C66" w:rsidRPr="00207DD5">
        <w:t>35</w:t>
      </w:r>
      <w:r w:rsidR="00506F3B" w:rsidRPr="00207DD5">
        <w:t>–</w:t>
      </w:r>
      <w:r w:rsidR="00F47C66" w:rsidRPr="00207DD5">
        <w:t>36</w:t>
      </w:r>
      <w:r w:rsidRPr="00207DD5">
        <w:t xml:space="preserve">). </w:t>
      </w:r>
    </w:p>
    <w:p w14:paraId="4AD8DE64" w14:textId="7340D13A" w:rsidR="00AC5004" w:rsidRPr="00207DD5" w:rsidDel="003070FF" w:rsidRDefault="00DD574F" w:rsidP="00AC5004">
      <w:pPr>
        <w:pStyle w:val="Bullet"/>
        <w:ind w:left="283" w:hanging="283"/>
      </w:pPr>
      <w:r w:rsidRPr="00207DD5">
        <w:t xml:space="preserve">Australian Government </w:t>
      </w:r>
      <w:r w:rsidR="00AC5004" w:rsidRPr="00207DD5">
        <w:t xml:space="preserve">NDIS </w:t>
      </w:r>
      <w:r w:rsidRPr="00207DD5">
        <w:t>participant costs are</w:t>
      </w:r>
      <w:r w:rsidR="00AC5004" w:rsidRPr="00207DD5">
        <w:t xml:space="preserve"> projected to grow at an average of 3.</w:t>
      </w:r>
      <w:r w:rsidR="003C2A0C" w:rsidRPr="00207DD5">
        <w:t>6</w:t>
      </w:r>
      <w:r w:rsidR="009F0B52" w:rsidRPr="00207DD5">
        <w:t> </w:t>
      </w:r>
      <w:r w:rsidR="00AC5004" w:rsidRPr="00207DD5">
        <w:t>per</w:t>
      </w:r>
      <w:r w:rsidR="009F0B52" w:rsidRPr="00207DD5">
        <w:t> </w:t>
      </w:r>
      <w:r w:rsidR="00AC5004" w:rsidRPr="00207DD5">
        <w:t>cent over the projection period, compared to 7.6</w:t>
      </w:r>
      <w:r w:rsidR="009F0B52" w:rsidRPr="00207DD5">
        <w:t> </w:t>
      </w:r>
      <w:r w:rsidR="00AC5004" w:rsidRPr="00207DD5">
        <w:t>per</w:t>
      </w:r>
      <w:r w:rsidR="009F0B52" w:rsidRPr="00207DD5">
        <w:t> </w:t>
      </w:r>
      <w:r w:rsidR="00AC5004" w:rsidRPr="00207DD5">
        <w:t>cent at MYEFO. This reflects a</w:t>
      </w:r>
      <w:r w:rsidR="00371E05" w:rsidRPr="00207DD5">
        <w:t xml:space="preserve"> slower</w:t>
      </w:r>
      <w:r w:rsidR="00AC5004" w:rsidRPr="00207DD5">
        <w:t xml:space="preserve"> rate of growth over the forward estimates as </w:t>
      </w:r>
      <w:r w:rsidR="0037284D" w:rsidRPr="00207DD5">
        <w:t xml:space="preserve">the Government returns the </w:t>
      </w:r>
      <w:r w:rsidR="00AC5004" w:rsidRPr="00207DD5">
        <w:t xml:space="preserve">scheme </w:t>
      </w:r>
      <w:r w:rsidR="0037284D" w:rsidRPr="00207DD5">
        <w:t>to its original intent,</w:t>
      </w:r>
      <w:r w:rsidR="00AC5004" w:rsidRPr="00207DD5">
        <w:t xml:space="preserve"> before </w:t>
      </w:r>
      <w:r w:rsidR="0037284D" w:rsidRPr="00207DD5">
        <w:t>it</w:t>
      </w:r>
      <w:r w:rsidR="00AC5004" w:rsidRPr="00207DD5">
        <w:t xml:space="preserve"> returns to growth of 5</w:t>
      </w:r>
      <w:r w:rsidR="009F0B52" w:rsidRPr="00207DD5">
        <w:t> </w:t>
      </w:r>
      <w:r w:rsidR="00AC5004" w:rsidRPr="00207DD5">
        <w:t>per</w:t>
      </w:r>
      <w:r w:rsidR="009F0B52" w:rsidRPr="00207DD5">
        <w:t> </w:t>
      </w:r>
      <w:r w:rsidR="00AC5004" w:rsidRPr="00207DD5">
        <w:t xml:space="preserve">cent over the remainder of the medium term – around nominal GDP and </w:t>
      </w:r>
      <w:proofErr w:type="gramStart"/>
      <w:r w:rsidR="00AC5004" w:rsidRPr="00207DD5">
        <w:t>similar to</w:t>
      </w:r>
      <w:proofErr w:type="gramEnd"/>
      <w:r w:rsidR="00AC5004" w:rsidRPr="00207DD5">
        <w:t xml:space="preserve"> aged care, </w:t>
      </w:r>
      <w:r w:rsidR="00316492" w:rsidRPr="00207DD5">
        <w:t>the M</w:t>
      </w:r>
      <w:r w:rsidR="00AC5004" w:rsidRPr="00207DD5">
        <w:t>edica</w:t>
      </w:r>
      <w:r w:rsidR="00A30608" w:rsidRPr="00207DD5">
        <w:t>re</w:t>
      </w:r>
      <w:r w:rsidR="00AC5004" w:rsidRPr="00207DD5">
        <w:t xml:space="preserve"> </w:t>
      </w:r>
      <w:r w:rsidR="00316492" w:rsidRPr="00207DD5">
        <w:t>B</w:t>
      </w:r>
      <w:r w:rsidR="00AC5004" w:rsidRPr="00207DD5">
        <w:t xml:space="preserve">enefits </w:t>
      </w:r>
      <w:r w:rsidR="000C2AAC" w:rsidRPr="00207DD5">
        <w:t>Schedule</w:t>
      </w:r>
      <w:r w:rsidR="00AC5004" w:rsidRPr="00207DD5">
        <w:t xml:space="preserve"> and the </w:t>
      </w:r>
      <w:r w:rsidR="00316492" w:rsidRPr="00207DD5">
        <w:t>C</w:t>
      </w:r>
      <w:r w:rsidR="00AC5004" w:rsidRPr="00207DD5">
        <w:t xml:space="preserve">hild </w:t>
      </w:r>
      <w:r w:rsidR="00316492" w:rsidRPr="00207DD5">
        <w:t>C</w:t>
      </w:r>
      <w:r w:rsidR="00AC5004" w:rsidRPr="00207DD5">
        <w:t xml:space="preserve">are </w:t>
      </w:r>
      <w:r w:rsidR="00316492" w:rsidRPr="00207DD5">
        <w:t>S</w:t>
      </w:r>
      <w:r w:rsidR="00AC5004" w:rsidRPr="00207DD5">
        <w:t>ubsidy.</w:t>
      </w:r>
    </w:p>
    <w:p w14:paraId="6216F40A" w14:textId="698B1EDB" w:rsidR="00293BC1" w:rsidRPr="00744D6F" w:rsidRDefault="00570B54" w:rsidP="0015371C">
      <w:pPr>
        <w:pStyle w:val="Bullet"/>
      </w:pPr>
      <w:r w:rsidRPr="00207DD5">
        <w:t>Public debt interest</w:t>
      </w:r>
      <w:r w:rsidR="00293BC1" w:rsidRPr="00207DD5">
        <w:t xml:space="preserve"> growth is expected to average </w:t>
      </w:r>
      <w:r w:rsidR="006340DD" w:rsidRPr="00207DD5">
        <w:t>8.8</w:t>
      </w:r>
      <w:r w:rsidR="009F0B52" w:rsidRPr="00207DD5">
        <w:t> </w:t>
      </w:r>
      <w:r w:rsidR="00293BC1" w:rsidRPr="00207DD5">
        <w:t>per</w:t>
      </w:r>
      <w:r w:rsidR="009F0B52" w:rsidRPr="00207DD5">
        <w:t> </w:t>
      </w:r>
      <w:r w:rsidR="00293BC1" w:rsidRPr="00207DD5">
        <w:t xml:space="preserve">cent over the projection period compared to </w:t>
      </w:r>
      <w:r w:rsidR="002D422E" w:rsidRPr="00207DD5">
        <w:t>10.7</w:t>
      </w:r>
      <w:r w:rsidR="009F0B52" w:rsidRPr="00207DD5">
        <w:t> </w:t>
      </w:r>
      <w:r w:rsidR="00293BC1" w:rsidRPr="00207DD5">
        <w:t>per</w:t>
      </w:r>
      <w:r w:rsidR="009F0B52" w:rsidRPr="00207DD5">
        <w:t> </w:t>
      </w:r>
      <w:r w:rsidR="00293BC1" w:rsidRPr="00207DD5">
        <w:t xml:space="preserve">cent at MYEFO. </w:t>
      </w:r>
      <w:r w:rsidR="00C86161" w:rsidRPr="00207DD5">
        <w:t xml:space="preserve">Lower average growth reflects </w:t>
      </w:r>
      <w:r w:rsidR="00A00610" w:rsidRPr="00207DD5">
        <w:t>a lower financing task over the projection period and follows</w:t>
      </w:r>
      <w:r w:rsidR="00C86161" w:rsidRPr="00207DD5">
        <w:t xml:space="preserve"> strong growth </w:t>
      </w:r>
      <w:r w:rsidR="00C5097B" w:rsidRPr="00207DD5">
        <w:t xml:space="preserve">between 2025–26 and </w:t>
      </w:r>
      <w:r w:rsidR="00C86161" w:rsidRPr="00207DD5">
        <w:t>2026</w:t>
      </w:r>
      <w:r w:rsidR="009F0B52" w:rsidRPr="00207DD5">
        <w:rPr>
          <w:rFonts w:ascii="Times New Roman" w:hAnsi="Times New Roman"/>
        </w:rPr>
        <w:t>‍</w:t>
      </w:r>
      <w:r w:rsidR="00506F3B" w:rsidRPr="00207DD5">
        <w:t>–</w:t>
      </w:r>
      <w:r w:rsidR="009F0B52" w:rsidRPr="00207DD5">
        <w:rPr>
          <w:rFonts w:ascii="Times New Roman" w:hAnsi="Times New Roman"/>
        </w:rPr>
        <w:t>‍</w:t>
      </w:r>
      <w:r w:rsidR="00C86161" w:rsidRPr="00207DD5">
        <w:t>27</w:t>
      </w:r>
      <w:r w:rsidR="00CD10BE" w:rsidRPr="00207DD5">
        <w:t xml:space="preserve">. This is partially </w:t>
      </w:r>
      <w:r w:rsidR="00E04D42" w:rsidRPr="00207DD5">
        <w:t xml:space="preserve">offset </w:t>
      </w:r>
      <w:r w:rsidR="00CD10BE" w:rsidRPr="00207DD5">
        <w:t>by</w:t>
      </w:r>
      <w:r w:rsidR="00E04D42" w:rsidRPr="00207DD5">
        <w:t xml:space="preserve"> the impact of higher yields.</w:t>
      </w:r>
    </w:p>
    <w:p w14:paraId="04BBD06D" w14:textId="6F557FC9" w:rsidR="00E20692" w:rsidRPr="00207DD5" w:rsidRDefault="00293BC1" w:rsidP="009412CC">
      <w:pPr>
        <w:pStyle w:val="Bullet"/>
      </w:pPr>
      <w:r w:rsidRPr="00207DD5">
        <w:t xml:space="preserve">Commonwealth funded hospital payments growth is expected to average </w:t>
      </w:r>
      <w:r w:rsidR="00C741CE" w:rsidRPr="00207DD5">
        <w:t>7.</w:t>
      </w:r>
      <w:r w:rsidR="00800454" w:rsidRPr="00207DD5">
        <w:t>3</w:t>
      </w:r>
      <w:r w:rsidR="009F0B52" w:rsidRPr="00207DD5">
        <w:t> </w:t>
      </w:r>
      <w:r w:rsidRPr="00207DD5">
        <w:t>per</w:t>
      </w:r>
      <w:r w:rsidR="009F0B52" w:rsidRPr="00207DD5">
        <w:t> </w:t>
      </w:r>
      <w:r w:rsidRPr="00207DD5">
        <w:t xml:space="preserve">cent over the projection period compared to </w:t>
      </w:r>
      <w:r w:rsidR="00C741CE" w:rsidRPr="00207DD5">
        <w:t>5.9</w:t>
      </w:r>
      <w:r w:rsidR="009F0B52" w:rsidRPr="00207DD5">
        <w:t> </w:t>
      </w:r>
      <w:r w:rsidRPr="00207DD5">
        <w:t>per</w:t>
      </w:r>
      <w:r w:rsidR="009F0B52" w:rsidRPr="00207DD5">
        <w:t> </w:t>
      </w:r>
      <w:r w:rsidRPr="00207DD5">
        <w:t xml:space="preserve">cent at MYEFO. </w:t>
      </w:r>
      <w:r w:rsidR="00FD5E6A" w:rsidRPr="00207DD5">
        <w:t xml:space="preserve">This </w:t>
      </w:r>
      <w:r w:rsidR="00177217" w:rsidRPr="00207DD5">
        <w:t xml:space="preserve">largely </w:t>
      </w:r>
      <w:r w:rsidR="00FD5E6A" w:rsidRPr="00207DD5">
        <w:t xml:space="preserve">reflects </w:t>
      </w:r>
      <w:r w:rsidR="00177217" w:rsidRPr="00207DD5">
        <w:t xml:space="preserve">the increased </w:t>
      </w:r>
      <w:r w:rsidR="00250E33" w:rsidRPr="00207DD5">
        <w:t xml:space="preserve">base funding and </w:t>
      </w:r>
      <w:r w:rsidR="00177217" w:rsidRPr="00207DD5">
        <w:t>growth cap</w:t>
      </w:r>
      <w:r w:rsidR="00250E33" w:rsidRPr="00207DD5">
        <w:t>s</w:t>
      </w:r>
      <w:r w:rsidR="00177217" w:rsidRPr="00207DD5">
        <w:t xml:space="preserve"> agreed in the </w:t>
      </w:r>
      <w:r w:rsidR="00177217" w:rsidRPr="00207DD5">
        <w:rPr>
          <w:i/>
        </w:rPr>
        <w:t>National Health Reform Agreement 2026</w:t>
      </w:r>
      <w:r w:rsidR="008B4600" w:rsidRPr="00207DD5">
        <w:rPr>
          <w:i/>
        </w:rPr>
        <w:t>–</w:t>
      </w:r>
      <w:r w:rsidR="00246F6A" w:rsidRPr="00207DD5">
        <w:rPr>
          <w:i/>
        </w:rPr>
        <w:t>20</w:t>
      </w:r>
      <w:r w:rsidR="00177217" w:rsidRPr="00207DD5">
        <w:rPr>
          <w:i/>
        </w:rPr>
        <w:t>31 Addendum</w:t>
      </w:r>
      <w:r w:rsidR="00FD5E6A" w:rsidRPr="00207DD5">
        <w:rPr>
          <w:i/>
        </w:rPr>
        <w:t>.</w:t>
      </w:r>
    </w:p>
    <w:p w14:paraId="0AE52728" w14:textId="4ED04978" w:rsidR="009C622E" w:rsidRPr="00207DD5" w:rsidRDefault="00E20692" w:rsidP="009412CC">
      <w:pPr>
        <w:pStyle w:val="Bullet"/>
      </w:pPr>
      <w:r w:rsidRPr="00207DD5">
        <w:t>Defence</w:t>
      </w:r>
      <w:r w:rsidR="001E1D19" w:rsidRPr="00207DD5">
        <w:t xml:space="preserve"> payments growth is expected to average </w:t>
      </w:r>
      <w:r w:rsidR="008B2414" w:rsidRPr="00207DD5">
        <w:t>6.4</w:t>
      </w:r>
      <w:r w:rsidR="009F0B52" w:rsidRPr="00207DD5">
        <w:t> </w:t>
      </w:r>
      <w:r w:rsidR="001E1D19" w:rsidRPr="00207DD5">
        <w:t>per</w:t>
      </w:r>
      <w:r w:rsidR="009F0B52" w:rsidRPr="00207DD5">
        <w:t> </w:t>
      </w:r>
      <w:r w:rsidR="001E1D19" w:rsidRPr="00207DD5">
        <w:t xml:space="preserve">cent over the </w:t>
      </w:r>
      <w:r w:rsidR="008E2EC0" w:rsidRPr="00207DD5">
        <w:t xml:space="preserve">projection period compared to </w:t>
      </w:r>
      <w:r w:rsidR="00C57F9C" w:rsidRPr="00207DD5">
        <w:t>5.9</w:t>
      </w:r>
      <w:r w:rsidR="009F0B52" w:rsidRPr="00207DD5">
        <w:t> </w:t>
      </w:r>
      <w:r w:rsidR="00C57F9C" w:rsidRPr="00207DD5">
        <w:t>per</w:t>
      </w:r>
      <w:r w:rsidR="009F0B52" w:rsidRPr="00207DD5">
        <w:t> </w:t>
      </w:r>
      <w:r w:rsidR="00C57F9C" w:rsidRPr="00207DD5">
        <w:t xml:space="preserve">cent </w:t>
      </w:r>
      <w:r w:rsidR="00FB2C55" w:rsidRPr="00207DD5">
        <w:t>at MYEF</w:t>
      </w:r>
      <w:r w:rsidR="001359CC" w:rsidRPr="00207DD5">
        <w:t>O</w:t>
      </w:r>
      <w:r w:rsidR="00806A74" w:rsidRPr="00207DD5">
        <w:t xml:space="preserve">, </w:t>
      </w:r>
      <w:r w:rsidR="00FB770F" w:rsidRPr="00207DD5">
        <w:t xml:space="preserve">reflecting </w:t>
      </w:r>
      <w:r w:rsidR="00806A74" w:rsidRPr="00207DD5">
        <w:t>the funding from the National Defence Strategy.</w:t>
      </w:r>
    </w:p>
    <w:p w14:paraId="259D1D9E" w14:textId="74184CF5" w:rsidR="009412CC" w:rsidRPr="00207DD5" w:rsidRDefault="006969B6" w:rsidP="009412CC">
      <w:pPr>
        <w:pStyle w:val="Bullet"/>
      </w:pPr>
      <w:r w:rsidRPr="00207DD5">
        <w:t xml:space="preserve">Child </w:t>
      </w:r>
      <w:r w:rsidR="00D0130F" w:rsidRPr="00207DD5">
        <w:t>C</w:t>
      </w:r>
      <w:r w:rsidRPr="00207DD5">
        <w:t xml:space="preserve">are </w:t>
      </w:r>
      <w:r w:rsidR="00D0130F" w:rsidRPr="00207DD5">
        <w:t>S</w:t>
      </w:r>
      <w:r w:rsidR="005A6403" w:rsidRPr="00207DD5">
        <w:t>ubsidy</w:t>
      </w:r>
      <w:r w:rsidR="00B92AF1" w:rsidRPr="00207DD5">
        <w:t xml:space="preserve"> payments growth is expected to average </w:t>
      </w:r>
      <w:r w:rsidR="00D3701E" w:rsidRPr="00207DD5">
        <w:t>5.4</w:t>
      </w:r>
      <w:r w:rsidR="009F0B52" w:rsidRPr="00207DD5">
        <w:t> </w:t>
      </w:r>
      <w:r w:rsidR="00B92AF1" w:rsidRPr="00207DD5">
        <w:t>per</w:t>
      </w:r>
      <w:r w:rsidR="009F0B52" w:rsidRPr="00207DD5">
        <w:t> </w:t>
      </w:r>
      <w:r w:rsidR="00B92AF1" w:rsidRPr="00207DD5">
        <w:t xml:space="preserve">cent over the projection period compared to </w:t>
      </w:r>
      <w:r w:rsidR="004226DF" w:rsidRPr="00207DD5">
        <w:t>5.7</w:t>
      </w:r>
      <w:r w:rsidR="009F0B52" w:rsidRPr="00207DD5">
        <w:t> </w:t>
      </w:r>
      <w:r w:rsidR="00B92AF1" w:rsidRPr="00207DD5">
        <w:t>per</w:t>
      </w:r>
      <w:r w:rsidR="009F0B52" w:rsidRPr="00207DD5">
        <w:t> </w:t>
      </w:r>
      <w:r w:rsidR="00B92AF1" w:rsidRPr="00207DD5">
        <w:t>cent a</w:t>
      </w:r>
      <w:r w:rsidR="004226DF" w:rsidRPr="00207DD5">
        <w:t>t</w:t>
      </w:r>
      <w:r w:rsidR="00B92AF1" w:rsidRPr="00207DD5">
        <w:t xml:space="preserve"> MYEFO. </w:t>
      </w:r>
      <w:r w:rsidR="001041CD" w:rsidRPr="00207DD5">
        <w:t>Lower average growth reflects slower growth in usage toward the end of the projection period</w:t>
      </w:r>
      <w:r w:rsidR="00FA06E4" w:rsidRPr="00207DD5">
        <w:t xml:space="preserve"> </w:t>
      </w:r>
      <w:r w:rsidR="00F47B98" w:rsidRPr="00207DD5">
        <w:t>and follows</w:t>
      </w:r>
      <w:r w:rsidR="003C076B" w:rsidRPr="00207DD5">
        <w:t xml:space="preserve"> strong growth </w:t>
      </w:r>
      <w:r w:rsidR="0064739D" w:rsidRPr="00207DD5">
        <w:t>between 2025–26 and</w:t>
      </w:r>
      <w:r w:rsidR="003C076B" w:rsidRPr="00207DD5">
        <w:t xml:space="preserve"> 202</w:t>
      </w:r>
      <w:r w:rsidR="00C86161" w:rsidRPr="00207DD5">
        <w:t>6</w:t>
      </w:r>
      <w:r w:rsidR="00506F3B" w:rsidRPr="00207DD5">
        <w:t>–</w:t>
      </w:r>
      <w:r w:rsidR="003C076B" w:rsidRPr="00207DD5">
        <w:t>2</w:t>
      </w:r>
      <w:r w:rsidR="00C86161" w:rsidRPr="00207DD5">
        <w:t>7</w:t>
      </w:r>
      <w:r w:rsidR="001041CD" w:rsidRPr="00207DD5">
        <w:t>.</w:t>
      </w:r>
    </w:p>
    <w:p w14:paraId="17860527" w14:textId="27AF23A1" w:rsidR="00FD5E6A" w:rsidRPr="00207DD5" w:rsidRDefault="00FD5E6A" w:rsidP="00187F05">
      <w:pPr>
        <w:pStyle w:val="Bullet"/>
      </w:pPr>
      <w:r w:rsidRPr="00207DD5">
        <w:t>Aged</w:t>
      </w:r>
      <w:r w:rsidR="00293BC1" w:rsidRPr="00207DD5">
        <w:t xml:space="preserve"> </w:t>
      </w:r>
      <w:r w:rsidR="00F13992" w:rsidRPr="00207DD5">
        <w:t>c</w:t>
      </w:r>
      <w:r w:rsidR="00293BC1" w:rsidRPr="00207DD5">
        <w:t xml:space="preserve">are payments growth is expected to average </w:t>
      </w:r>
      <w:r w:rsidR="00C741CE" w:rsidRPr="00207DD5">
        <w:t>5.</w:t>
      </w:r>
      <w:r w:rsidR="00CD7D5D" w:rsidRPr="00207DD5">
        <w:t>4</w:t>
      </w:r>
      <w:r w:rsidR="009F0B52" w:rsidRPr="00207DD5">
        <w:t> </w:t>
      </w:r>
      <w:r w:rsidR="00293BC1" w:rsidRPr="00207DD5">
        <w:t>per</w:t>
      </w:r>
      <w:r w:rsidR="009F0B52" w:rsidRPr="00207DD5">
        <w:t> </w:t>
      </w:r>
      <w:r w:rsidR="00293BC1" w:rsidRPr="00207DD5">
        <w:t xml:space="preserve">cent over the projection period compared to </w:t>
      </w:r>
      <w:r w:rsidR="001435EA" w:rsidRPr="00207DD5">
        <w:t>4</w:t>
      </w:r>
      <w:r w:rsidRPr="00207DD5">
        <w:t>.</w:t>
      </w:r>
      <w:r w:rsidR="001435EA" w:rsidRPr="00207DD5">
        <w:t>9</w:t>
      </w:r>
      <w:r w:rsidR="009F0B52" w:rsidRPr="00207DD5">
        <w:t> </w:t>
      </w:r>
      <w:r w:rsidR="00293BC1" w:rsidRPr="00207DD5">
        <w:t>per</w:t>
      </w:r>
      <w:r w:rsidR="009F0B52" w:rsidRPr="00207DD5">
        <w:t> </w:t>
      </w:r>
      <w:r w:rsidR="00293BC1" w:rsidRPr="00207DD5">
        <w:t>cent at MYEFO</w:t>
      </w:r>
      <w:r w:rsidR="00B430EF" w:rsidRPr="00207DD5">
        <w:t>. This</w:t>
      </w:r>
      <w:r w:rsidR="00293BC1" w:rsidRPr="00207DD5">
        <w:t xml:space="preserve"> </w:t>
      </w:r>
      <w:r w:rsidR="00ED38ED" w:rsidRPr="00207DD5">
        <w:t xml:space="preserve">reflects additional funding to incentivise the construction of </w:t>
      </w:r>
      <w:r w:rsidR="00F13992" w:rsidRPr="00207DD5">
        <w:t xml:space="preserve">residential aged care </w:t>
      </w:r>
      <w:r w:rsidR="001B2A18" w:rsidRPr="00207DD5">
        <w:t>beds</w:t>
      </w:r>
      <w:r w:rsidR="00ED38ED" w:rsidRPr="00207DD5">
        <w:t xml:space="preserve"> and </w:t>
      </w:r>
      <w:r w:rsidR="00997596" w:rsidRPr="00207DD5">
        <w:t xml:space="preserve">to </w:t>
      </w:r>
      <w:r w:rsidR="00ED38ED" w:rsidRPr="00207DD5">
        <w:t>make Support a</w:t>
      </w:r>
      <w:r w:rsidR="00146BC0" w:rsidRPr="00207DD5">
        <w:t>t</w:t>
      </w:r>
      <w:r w:rsidR="00ED38ED" w:rsidRPr="00207DD5">
        <w:t xml:space="preserve"> Home more affordable</w:t>
      </w:r>
      <w:r w:rsidR="00F22F20" w:rsidRPr="00207DD5">
        <w:t>.</w:t>
      </w:r>
    </w:p>
    <w:bookmarkEnd w:id="84"/>
    <w:p w14:paraId="1E8522B8" w14:textId="77777777" w:rsidR="001516BF" w:rsidRPr="00207DD5" w:rsidRDefault="001516BF">
      <w:pPr>
        <w:spacing w:before="0" w:after="160" w:line="259" w:lineRule="auto"/>
      </w:pPr>
      <w:r w:rsidRPr="00207DD5">
        <w:br w:type="page"/>
      </w:r>
    </w:p>
    <w:p w14:paraId="44A8ABAB" w14:textId="59367831" w:rsidR="00316CC9" w:rsidRPr="00207DD5" w:rsidRDefault="00316CC9" w:rsidP="00316CC9">
      <w:pPr>
        <w:pStyle w:val="Bullet"/>
        <w:ind w:left="283" w:hanging="283"/>
      </w:pPr>
      <w:r w:rsidRPr="00207DD5">
        <w:lastRenderedPageBreak/>
        <w:t>Medical benefits payments growth is expected to average 5.1</w:t>
      </w:r>
      <w:r w:rsidR="009F0B52" w:rsidRPr="00207DD5">
        <w:t> </w:t>
      </w:r>
      <w:r w:rsidRPr="00207DD5">
        <w:t>per</w:t>
      </w:r>
      <w:r w:rsidR="009F0B52" w:rsidRPr="00207DD5">
        <w:t> </w:t>
      </w:r>
      <w:r w:rsidRPr="00207DD5">
        <w:t>cent over the projection period compared to 5.8</w:t>
      </w:r>
      <w:r w:rsidR="009F0B52" w:rsidRPr="00207DD5">
        <w:t> </w:t>
      </w:r>
      <w:r w:rsidRPr="00207DD5">
        <w:t>per</w:t>
      </w:r>
      <w:r w:rsidR="009F0B52" w:rsidRPr="00207DD5">
        <w:t> </w:t>
      </w:r>
      <w:r w:rsidRPr="00207DD5">
        <w:t>cent at MYEFO. This reflects rebalanced interactions between the National Health Reform Agreement and the Medicare Benefits Schedule (MBS), as agreed under the latest NHRA Addendum, in addition to enhanced compliance and fraud prevention in the MBS.</w:t>
      </w:r>
    </w:p>
    <w:p w14:paraId="184545B6" w14:textId="7F4ABF35" w:rsidR="00996FCB" w:rsidRPr="00207DD5" w:rsidRDefault="00293BC1" w:rsidP="00A9251F">
      <w:pPr>
        <w:pStyle w:val="ChartMainHeading"/>
      </w:pPr>
      <w:r w:rsidRPr="00207DD5">
        <w:t>Chart 3.</w:t>
      </w:r>
      <w:r w:rsidR="00640EE9" w:rsidRPr="00207DD5">
        <w:t>8</w:t>
      </w:r>
      <w:r w:rsidRPr="00207DD5">
        <w:t>: Average annual growth in major payments over the medium term</w:t>
      </w:r>
      <w:r w:rsidR="00B43D52" w:rsidRPr="00207DD5">
        <w:t xml:space="preserve"> </w:t>
      </w:r>
      <w:r w:rsidR="000313E8" w:rsidRPr="00207DD5">
        <w:t xml:space="preserve"> </w:t>
      </w:r>
    </w:p>
    <w:p w14:paraId="50619B04" w14:textId="397F6EC2" w:rsidR="00EC5F2C" w:rsidRPr="00207DD5" w:rsidRDefault="00A9251F" w:rsidP="0015371C">
      <w:pPr>
        <w:pStyle w:val="ChartGraphic"/>
      </w:pPr>
      <w:r w:rsidRPr="00207DD5">
        <w:rPr>
          <w:noProof/>
        </w:rPr>
        <w:drawing>
          <wp:inline distT="0" distB="0" distL="0" distR="0" wp14:anchorId="68BA842C" wp14:editId="6A5B8142">
            <wp:extent cx="4592109" cy="2824474"/>
            <wp:effectExtent l="0" t="0" r="2540" b="0"/>
            <wp:docPr id="543729524" name="Graphic 1" descr="The chart shows the growth of the fastest growing major payment categories over the projections period (2026–27 to 2036–37) compared to the 2025-26 MYEFO. Growth rates are calculated as compound annual growth. Public Debt Interest (PDI) is the fastest growing payment at 8.8% compared to 10.7% at the 2025-26 MYEFO. Hospitals is the second fastest growing payment at 7.3% compared to 5.9% at the 2025-26 MYEFO. Defence is the third fastest growing payment at 6.4%, compared to 5.9% at the 2025-26 MYEFO. Child Care Subsidy is projected to grow at 5.4%, compared to 5.7% at the 2025-26 MYEFO. Aged Care is projected to grow at 5.4%, compared to 4.9% at the 2025-26 MYEFO. Medical Benefits is projected to grow at 5.1%, compared to 5.8% at the 2025-26 MYEFO. The National Disability Insurance Scheme (NDIS) (medium term only) is projected to grow at 5.1%, compared to 7.5% at the 2025-26 MYEFO and the National Disability Insurance Scheme is projected to grow at 3.6%, compared to 7.6% at the 2025-26 MYE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29524" name="Graphic 1" descr="The chart shows the growth of the fastest growing major payment categories over the projections period (2026–27 to 2036–37) compared to the 2025-26 MYEFO. Growth rates are calculated as compound annual growth. Public Debt Interest (PDI) is the fastest growing payment at 8.8% compared to 10.7% at the 2025-26 MYEFO. Hospitals is the second fastest growing payment at 7.3% compared to 5.9% at the 2025-26 MYEFO. Defence is the third fastest growing payment at 6.4%, compared to 5.9% at the 2025-26 MYEFO. Child Care Subsidy is projected to grow at 5.4%, compared to 5.7% at the 2025-26 MYEFO. Aged Care is projected to grow at 5.4%, compared to 4.9% at the 2025-26 MYEFO. Medical Benefits is projected to grow at 5.1%, compared to 5.8% at the 2025-26 MYEFO. The National Disability Insurance Scheme (NDIS) (medium term only) is projected to grow at 5.1%, compared to 7.5% at the 2025-26 MYEFO and the National Disability Insurance Scheme is projected to grow at 3.6%, compared to 7.6% at the 2025-26 MYEFO."/>
                    <pic:cNvPicPr/>
                  </pic:nvPicPr>
                  <pic:blipFill>
                    <a:blip r:embed="rId33">
                      <a:extLst>
                        <a:ext uri="{96DAC541-7B7A-43D3-8B79-37D633B846F1}">
                          <asvg:svgBlip xmlns:asvg="http://schemas.microsoft.com/office/drawing/2016/SVG/main" r:embed="rId34"/>
                        </a:ext>
                      </a:extLst>
                    </a:blip>
                    <a:stretch>
                      <a:fillRect/>
                    </a:stretch>
                  </pic:blipFill>
                  <pic:spPr>
                    <a:xfrm>
                      <a:off x="0" y="0"/>
                      <a:ext cx="4592109" cy="2824474"/>
                    </a:xfrm>
                    <a:prstGeom prst="rect">
                      <a:avLst/>
                    </a:prstGeom>
                  </pic:spPr>
                </pic:pic>
              </a:graphicData>
            </a:graphic>
          </wp:inline>
        </w:drawing>
      </w:r>
    </w:p>
    <w:p w14:paraId="1C80F8F2" w14:textId="56F8507A" w:rsidR="00293BC1" w:rsidRPr="00207DD5" w:rsidRDefault="00293BC1" w:rsidP="0015371C">
      <w:pPr>
        <w:pStyle w:val="ChartandTableFootnote"/>
        <w:rPr>
          <w:color w:val="auto"/>
        </w:rPr>
      </w:pPr>
      <w:r w:rsidRPr="00207DD5">
        <w:rPr>
          <w:color w:val="auto"/>
        </w:rPr>
        <w:t xml:space="preserve">Note: </w:t>
      </w:r>
      <w:r w:rsidRPr="00207DD5">
        <w:rPr>
          <w:color w:val="auto"/>
        </w:rPr>
        <w:tab/>
        <w:t>Shows major payments that are growing faster than nominal GDP over the projection period</w:t>
      </w:r>
      <w:r w:rsidR="00D335C1" w:rsidRPr="00207DD5">
        <w:rPr>
          <w:color w:val="auto"/>
        </w:rPr>
        <w:t xml:space="preserve">, and </w:t>
      </w:r>
      <w:r w:rsidR="009E456F" w:rsidRPr="00207DD5">
        <w:rPr>
          <w:color w:val="auto"/>
        </w:rPr>
        <w:t xml:space="preserve">the </w:t>
      </w:r>
      <w:r w:rsidR="00D335C1" w:rsidRPr="00207DD5">
        <w:rPr>
          <w:color w:val="auto"/>
        </w:rPr>
        <w:t>NDIS for comparison</w:t>
      </w:r>
      <w:r w:rsidR="00210ACB" w:rsidRPr="00207DD5">
        <w:rPr>
          <w:color w:val="auto"/>
        </w:rPr>
        <w:t>.</w:t>
      </w:r>
      <w:r w:rsidRPr="00207DD5">
        <w:rPr>
          <w:color w:val="auto"/>
        </w:rPr>
        <w:t xml:space="preserve"> </w:t>
      </w:r>
      <w:r w:rsidR="00570B54" w:rsidRPr="00207DD5">
        <w:rPr>
          <w:color w:val="auto"/>
        </w:rPr>
        <w:t>PDI</w:t>
      </w:r>
      <w:r w:rsidRPr="00207DD5">
        <w:rPr>
          <w:color w:val="auto"/>
        </w:rPr>
        <w:t xml:space="preserve"> refers to interest payments on </w:t>
      </w:r>
      <w:r w:rsidR="00650744" w:rsidRPr="00207DD5">
        <w:rPr>
          <w:color w:val="auto"/>
        </w:rPr>
        <w:t>AGS</w:t>
      </w:r>
      <w:r w:rsidRPr="00207DD5">
        <w:rPr>
          <w:color w:val="auto"/>
        </w:rPr>
        <w:t>. NDIS refers to the Australian</w:t>
      </w:r>
      <w:r w:rsidR="00210ACB" w:rsidRPr="00207DD5">
        <w:rPr>
          <w:color w:val="auto"/>
        </w:rPr>
        <w:t xml:space="preserve"> </w:t>
      </w:r>
      <w:r w:rsidRPr="00207DD5">
        <w:rPr>
          <w:color w:val="auto"/>
        </w:rPr>
        <w:t xml:space="preserve">Government’s contribution to payments for NDIS participant supports. Growth rate for MYEFO is from </w:t>
      </w:r>
      <w:r w:rsidR="00DB3175" w:rsidRPr="00207DD5">
        <w:rPr>
          <w:color w:val="auto"/>
        </w:rPr>
        <w:t>2025–26</w:t>
      </w:r>
      <w:r w:rsidRPr="00207DD5">
        <w:rPr>
          <w:color w:val="auto"/>
        </w:rPr>
        <w:t xml:space="preserve"> to 203</w:t>
      </w:r>
      <w:r w:rsidR="00B9384D" w:rsidRPr="00207DD5">
        <w:rPr>
          <w:color w:val="auto"/>
        </w:rPr>
        <w:t>5</w:t>
      </w:r>
      <w:r w:rsidRPr="00207DD5">
        <w:rPr>
          <w:color w:val="auto"/>
        </w:rPr>
        <w:t>–3</w:t>
      </w:r>
      <w:r w:rsidR="00B9384D" w:rsidRPr="00207DD5">
        <w:rPr>
          <w:color w:val="auto"/>
        </w:rPr>
        <w:t>6</w:t>
      </w:r>
      <w:r w:rsidRPr="00207DD5">
        <w:rPr>
          <w:color w:val="auto"/>
        </w:rPr>
        <w:t xml:space="preserve">. Growth rate for the </w:t>
      </w:r>
      <w:r w:rsidR="00DB3175" w:rsidRPr="00207DD5">
        <w:rPr>
          <w:color w:val="auto"/>
        </w:rPr>
        <w:t>2026–</w:t>
      </w:r>
      <w:r w:rsidR="00166A5D" w:rsidRPr="00207DD5">
        <w:rPr>
          <w:color w:val="auto"/>
          <w:w w:val="1"/>
        </w:rPr>
        <w:t> </w:t>
      </w:r>
      <w:r w:rsidR="00DB3175" w:rsidRPr="00207DD5">
        <w:rPr>
          <w:color w:val="auto"/>
        </w:rPr>
        <w:t>27</w:t>
      </w:r>
      <w:r w:rsidR="00E70F67" w:rsidRPr="00207DD5">
        <w:rPr>
          <w:color w:val="auto"/>
        </w:rPr>
        <w:t> </w:t>
      </w:r>
      <w:r w:rsidRPr="00207DD5">
        <w:rPr>
          <w:color w:val="auto"/>
        </w:rPr>
        <w:t xml:space="preserve">Budget is from </w:t>
      </w:r>
      <w:r w:rsidR="00DB3175" w:rsidRPr="00207DD5">
        <w:rPr>
          <w:color w:val="auto"/>
        </w:rPr>
        <w:t>2026–27</w:t>
      </w:r>
      <w:r w:rsidRPr="00207DD5">
        <w:rPr>
          <w:color w:val="auto"/>
        </w:rPr>
        <w:t xml:space="preserve"> to </w:t>
      </w:r>
      <w:r w:rsidR="00DB3175" w:rsidRPr="00207DD5">
        <w:rPr>
          <w:color w:val="auto"/>
        </w:rPr>
        <w:t>2036–37</w:t>
      </w:r>
      <w:r w:rsidRPr="00207DD5">
        <w:rPr>
          <w:color w:val="auto"/>
        </w:rPr>
        <w:t>.</w:t>
      </w:r>
      <w:r w:rsidR="00BA4A13" w:rsidRPr="00207DD5">
        <w:rPr>
          <w:color w:val="auto"/>
        </w:rPr>
        <w:t xml:space="preserve"> </w:t>
      </w:r>
      <w:r w:rsidR="00BD61D9" w:rsidRPr="00207DD5">
        <w:rPr>
          <w:color w:val="auto"/>
        </w:rPr>
        <w:t xml:space="preserve">Growth rate for NDIS </w:t>
      </w:r>
      <w:r w:rsidR="007E7EB0" w:rsidRPr="00207DD5">
        <w:rPr>
          <w:color w:val="auto"/>
        </w:rPr>
        <w:t>m</w:t>
      </w:r>
      <w:r w:rsidR="00BD61D9" w:rsidRPr="00207DD5">
        <w:rPr>
          <w:color w:val="auto"/>
        </w:rPr>
        <w:t xml:space="preserve">edium </w:t>
      </w:r>
      <w:r w:rsidR="007E7EB0" w:rsidRPr="00207DD5">
        <w:rPr>
          <w:color w:val="auto"/>
        </w:rPr>
        <w:t>t</w:t>
      </w:r>
      <w:r w:rsidR="00BD61D9" w:rsidRPr="00207DD5">
        <w:rPr>
          <w:color w:val="auto"/>
        </w:rPr>
        <w:t xml:space="preserve">erm </w:t>
      </w:r>
      <w:r w:rsidR="007E7EB0" w:rsidRPr="00207DD5">
        <w:rPr>
          <w:color w:val="auto"/>
        </w:rPr>
        <w:t>o</w:t>
      </w:r>
      <w:r w:rsidR="00BD61D9" w:rsidRPr="00207DD5">
        <w:rPr>
          <w:color w:val="auto"/>
        </w:rPr>
        <w:t xml:space="preserve">nly is </w:t>
      </w:r>
      <w:r w:rsidR="00B41837" w:rsidRPr="00207DD5">
        <w:rPr>
          <w:color w:val="auto"/>
        </w:rPr>
        <w:t>from 20</w:t>
      </w:r>
      <w:r w:rsidR="004E40F3" w:rsidRPr="00207DD5">
        <w:rPr>
          <w:color w:val="auto"/>
        </w:rPr>
        <w:t>29</w:t>
      </w:r>
      <w:r w:rsidR="00C03367" w:rsidRPr="00207DD5">
        <w:rPr>
          <w:color w:val="auto"/>
        </w:rPr>
        <w:t>–</w:t>
      </w:r>
      <w:r w:rsidR="00B41837" w:rsidRPr="00207DD5">
        <w:rPr>
          <w:color w:val="auto"/>
        </w:rPr>
        <w:t>3</w:t>
      </w:r>
      <w:r w:rsidR="007E29C3" w:rsidRPr="00207DD5">
        <w:rPr>
          <w:color w:val="auto"/>
        </w:rPr>
        <w:t>0</w:t>
      </w:r>
      <w:r w:rsidR="00B41837" w:rsidRPr="00207DD5">
        <w:rPr>
          <w:color w:val="auto"/>
        </w:rPr>
        <w:t xml:space="preserve"> to 2036</w:t>
      </w:r>
      <w:r w:rsidR="00C03367" w:rsidRPr="00207DD5">
        <w:rPr>
          <w:color w:val="auto"/>
        </w:rPr>
        <w:t>–</w:t>
      </w:r>
      <w:r w:rsidR="00B41837" w:rsidRPr="00207DD5">
        <w:rPr>
          <w:color w:val="auto"/>
        </w:rPr>
        <w:t>37</w:t>
      </w:r>
      <w:r w:rsidR="001910BD" w:rsidRPr="00207DD5">
        <w:rPr>
          <w:color w:val="auto"/>
        </w:rPr>
        <w:t xml:space="preserve"> in Budget and from 202</w:t>
      </w:r>
      <w:r w:rsidR="00C821BF" w:rsidRPr="00207DD5">
        <w:rPr>
          <w:color w:val="auto"/>
        </w:rPr>
        <w:t>8</w:t>
      </w:r>
      <w:r w:rsidR="00BE54CD" w:rsidRPr="00207DD5">
        <w:rPr>
          <w:color w:val="auto"/>
        </w:rPr>
        <w:t>–</w:t>
      </w:r>
      <w:r w:rsidR="00C821BF" w:rsidRPr="00207DD5">
        <w:rPr>
          <w:color w:val="auto"/>
        </w:rPr>
        <w:t>29</w:t>
      </w:r>
      <w:r w:rsidR="001910BD" w:rsidRPr="00207DD5">
        <w:rPr>
          <w:color w:val="auto"/>
        </w:rPr>
        <w:t xml:space="preserve"> to 2035</w:t>
      </w:r>
      <w:r w:rsidR="00C03367" w:rsidRPr="00207DD5">
        <w:rPr>
          <w:color w:val="auto"/>
        </w:rPr>
        <w:t>–</w:t>
      </w:r>
      <w:r w:rsidR="001910BD" w:rsidRPr="00207DD5">
        <w:rPr>
          <w:color w:val="auto"/>
        </w:rPr>
        <w:t>36 in MYEFO</w:t>
      </w:r>
      <w:r w:rsidR="00265539" w:rsidRPr="00207DD5">
        <w:rPr>
          <w:color w:val="auto"/>
        </w:rPr>
        <w:t>.</w:t>
      </w:r>
    </w:p>
    <w:p w14:paraId="1FD71B11" w14:textId="796D40A2" w:rsidR="00DE57F8" w:rsidRPr="00DE57F8" w:rsidRDefault="007D3833" w:rsidP="00DE57F8">
      <w:pPr>
        <w:pStyle w:val="ChartandTableFootnote"/>
      </w:pPr>
      <w:r w:rsidRPr="00207DD5">
        <w:rPr>
          <w:color w:val="auto"/>
        </w:rPr>
        <w:t>Source</w:t>
      </w:r>
      <w:r w:rsidR="00293BC1" w:rsidRPr="00207DD5">
        <w:rPr>
          <w:color w:val="auto"/>
        </w:rPr>
        <w:t xml:space="preserve">: </w:t>
      </w:r>
      <w:r w:rsidR="00293BC1" w:rsidRPr="00207DD5">
        <w:rPr>
          <w:color w:val="auto"/>
        </w:rPr>
        <w:tab/>
      </w:r>
      <w:r w:rsidR="0009362E" w:rsidRPr="00207DD5">
        <w:rPr>
          <w:color w:val="auto"/>
        </w:rPr>
        <w:tab/>
        <w:t>Treasury.</w:t>
      </w:r>
      <w:r w:rsidR="00DE57F8" w:rsidRPr="00207DD5">
        <w:rPr>
          <w:color w:val="auto"/>
        </w:rPr>
        <w:t xml:space="preserve"> </w:t>
      </w:r>
    </w:p>
    <w:p w14:paraId="1ADB0CD8" w14:textId="1A362DD3" w:rsidR="00293BC1" w:rsidRPr="00293BC1" w:rsidRDefault="00293BC1" w:rsidP="00F919A7">
      <w:pPr>
        <w:pStyle w:val="ChartLine"/>
      </w:pPr>
    </w:p>
    <w:p w14:paraId="7072661B" w14:textId="77777777" w:rsidR="007E2312" w:rsidRDefault="007E2312" w:rsidP="00293BC1">
      <w:r>
        <w:br w:type="page"/>
      </w:r>
    </w:p>
    <w:p w14:paraId="47A41A1B" w14:textId="2E43C870" w:rsidR="00B303DE" w:rsidRPr="00207DD5" w:rsidRDefault="00B303DE" w:rsidP="00D968A8">
      <w:pPr>
        <w:pStyle w:val="Heading2"/>
      </w:pPr>
      <w:bookmarkStart w:id="85" w:name="_Toc193537055"/>
      <w:bookmarkStart w:id="86" w:name="_Toc227842123"/>
      <w:bookmarkStart w:id="87" w:name="_Toc229240492"/>
      <w:bookmarkStart w:id="88" w:name="_Toc193537057"/>
      <w:bookmarkEnd w:id="83"/>
      <w:r w:rsidRPr="00207DD5">
        <w:lastRenderedPageBreak/>
        <w:t>The Government’s balance sheet</w:t>
      </w:r>
      <w:bookmarkEnd w:id="85"/>
      <w:bookmarkEnd w:id="86"/>
      <w:bookmarkEnd w:id="87"/>
    </w:p>
    <w:p w14:paraId="7D8A5BC4" w14:textId="53F59043" w:rsidR="00B303DE" w:rsidRPr="00207DD5" w:rsidRDefault="00B303DE" w:rsidP="00B303DE">
      <w:r w:rsidRPr="00207DD5">
        <w:t>The balance sheet measures the value of the Government’s assets and liabilities. Changes in the balance sheet reflect movements in the underlying cash balance, additional balance sheet commitments, and market valuation effects, including from changes in yields.</w:t>
      </w:r>
    </w:p>
    <w:p w14:paraId="3FEF65DD" w14:textId="7C669143" w:rsidR="00B303DE" w:rsidRPr="00207DD5" w:rsidRDefault="00B303DE" w:rsidP="00B303DE">
      <w:r w:rsidRPr="00207DD5">
        <w:t>Different balance sheet metrics measure different groupings of assets and liabilities.</w:t>
      </w:r>
    </w:p>
    <w:p w14:paraId="5E23AC45" w14:textId="05DFAA6F" w:rsidR="00B303DE" w:rsidRPr="00207DD5" w:rsidRDefault="00B303DE" w:rsidP="007A190A">
      <w:pPr>
        <w:pStyle w:val="Bullet"/>
      </w:pPr>
      <w:r w:rsidRPr="00207DD5">
        <w:rPr>
          <w:b/>
        </w:rPr>
        <w:t>Gross debt</w:t>
      </w:r>
      <w:r w:rsidRPr="00207DD5">
        <w:t xml:space="preserve"> measures the face value of Australian</w:t>
      </w:r>
      <w:r w:rsidR="007A190A" w:rsidRPr="00207DD5">
        <w:t xml:space="preserve"> </w:t>
      </w:r>
      <w:r w:rsidRPr="00207DD5">
        <w:t>Government Securities on issue. This is the amount that the Government pays back to investors at maturity, independent of fluctuations in market prices.</w:t>
      </w:r>
    </w:p>
    <w:p w14:paraId="1994BCDE" w14:textId="1976AA83" w:rsidR="00B303DE" w:rsidRPr="00207DD5" w:rsidRDefault="00B303DE" w:rsidP="007A190A">
      <w:pPr>
        <w:pStyle w:val="Bullet"/>
      </w:pPr>
      <w:r w:rsidRPr="00207DD5">
        <w:rPr>
          <w:b/>
        </w:rPr>
        <w:t>Net debt</w:t>
      </w:r>
      <w:r w:rsidRPr="00207DD5">
        <w:t xml:space="preserve"> is measured at market value and incorporates specific financial assets and liabilities and provides a broader measure of the financial obligations of the</w:t>
      </w:r>
      <w:r w:rsidR="007A190A" w:rsidRPr="00207DD5">
        <w:t xml:space="preserve"> </w:t>
      </w:r>
      <w:r w:rsidRPr="00207DD5">
        <w:t>Government than gross debt.</w:t>
      </w:r>
    </w:p>
    <w:p w14:paraId="4F5CFE9E" w14:textId="77777777" w:rsidR="007A190A" w:rsidRPr="00207DD5" w:rsidRDefault="007A190A" w:rsidP="007A190A">
      <w:pPr>
        <w:pStyle w:val="Bullet"/>
      </w:pPr>
      <w:r w:rsidRPr="00207DD5">
        <w:rPr>
          <w:b/>
        </w:rPr>
        <w:t>Net financial worth</w:t>
      </w:r>
      <w:r w:rsidRPr="00207DD5">
        <w:t xml:space="preserve"> is the sum of all financial assets less all liabilities. The assets of the Future Fund and the public sector superannuation liability that the Future Fund will finance are included in net financial worth.</w:t>
      </w:r>
    </w:p>
    <w:p w14:paraId="3DA0E2E4" w14:textId="3A5EEC1B" w:rsidR="007A190A" w:rsidRPr="00207DD5" w:rsidRDefault="007A190A" w:rsidP="007A190A">
      <w:pPr>
        <w:pStyle w:val="Bullet"/>
      </w:pPr>
      <w:r w:rsidRPr="00207DD5">
        <w:rPr>
          <w:b/>
        </w:rPr>
        <w:t>Net worth</w:t>
      </w:r>
      <w:r w:rsidRPr="00207DD5">
        <w:t xml:space="preserve"> is the sum of all assets less all liabilities. It includes non</w:t>
      </w:r>
      <w:r w:rsidR="00171851" w:rsidRPr="00207DD5">
        <w:noBreakHyphen/>
      </w:r>
      <w:r w:rsidRPr="00207DD5">
        <w:t>financial assets such as buildings and plant, equipment, and infrastructure.</w:t>
      </w:r>
    </w:p>
    <w:p w14:paraId="1EE09779" w14:textId="602D2975" w:rsidR="00B303DE" w:rsidRPr="00207DD5" w:rsidRDefault="00B303DE" w:rsidP="00B303DE">
      <w:r w:rsidRPr="00207DD5">
        <w:t xml:space="preserve">Further information on definitions is available in </w:t>
      </w:r>
      <w:r w:rsidRPr="00207DD5">
        <w:rPr>
          <w:i/>
        </w:rPr>
        <w:t>Statement</w:t>
      </w:r>
      <w:r w:rsidR="007A190A" w:rsidRPr="00207DD5">
        <w:rPr>
          <w:i/>
        </w:rPr>
        <w:t xml:space="preserve"> </w:t>
      </w:r>
      <w:r w:rsidR="00BB18B6" w:rsidRPr="00207DD5">
        <w:rPr>
          <w:i/>
        </w:rPr>
        <w:t>10</w:t>
      </w:r>
      <w:r w:rsidRPr="00207DD5">
        <w:rPr>
          <w:i/>
        </w:rPr>
        <w:t>: Australian</w:t>
      </w:r>
      <w:r w:rsidR="007A190A" w:rsidRPr="00207DD5">
        <w:rPr>
          <w:i/>
        </w:rPr>
        <w:t xml:space="preserve"> </w:t>
      </w:r>
      <w:r w:rsidRPr="00207DD5">
        <w:rPr>
          <w:i/>
        </w:rPr>
        <w:t>Government Budget Financial Statements</w:t>
      </w:r>
      <w:r w:rsidRPr="00207DD5">
        <w:t>.</w:t>
      </w:r>
      <w:bookmarkStart w:id="89" w:name="_Toc117356564"/>
    </w:p>
    <w:p w14:paraId="31938966" w14:textId="77777777" w:rsidR="009A4BA7" w:rsidRPr="00207DD5" w:rsidRDefault="009A4BA7">
      <w:pPr>
        <w:spacing w:before="0" w:after="160" w:line="259" w:lineRule="auto"/>
        <w:rPr>
          <w:rFonts w:ascii="Arial Bold" w:hAnsi="Arial Bold"/>
          <w:b/>
          <w:sz w:val="22"/>
        </w:rPr>
      </w:pPr>
      <w:bookmarkStart w:id="90" w:name="_Toc193537056"/>
      <w:bookmarkStart w:id="91" w:name="_Toc227842124"/>
      <w:r w:rsidRPr="00207DD5">
        <w:br w:type="page"/>
      </w:r>
    </w:p>
    <w:p w14:paraId="387E2594" w14:textId="7640C7F4" w:rsidR="009A4BA7" w:rsidRDefault="009A4BA7" w:rsidP="009A4BA7">
      <w:pPr>
        <w:pStyle w:val="TableHeading"/>
        <w:rPr>
          <w:rFonts w:asciiTheme="minorHAnsi" w:eastAsiaTheme="minorEastAsia" w:hAnsiTheme="minorHAnsi" w:cstheme="minorBidi"/>
          <w:sz w:val="22"/>
          <w:szCs w:val="22"/>
          <w:lang w:eastAsia="en-US"/>
        </w:rPr>
      </w:pPr>
      <w:r w:rsidRPr="00576DC7">
        <w:lastRenderedPageBreak/>
        <w:t>Table 3.</w:t>
      </w:r>
      <w:r>
        <w:t>6</w:t>
      </w:r>
      <w:r w:rsidRPr="00576DC7">
        <w:t>: Australian Government general government sector balance sheet aggregates</w:t>
      </w:r>
      <w:r w:rsidRPr="00576DC7">
        <w:rPr>
          <w:vertAlign w:val="superscript"/>
        </w:rPr>
        <w:t>(a)</w:t>
      </w:r>
    </w:p>
    <w:tbl>
      <w:tblPr>
        <w:tblW w:w="5000" w:type="pct"/>
        <w:tblCellMar>
          <w:left w:w="0" w:type="dxa"/>
          <w:right w:w="28" w:type="dxa"/>
        </w:tblCellMar>
        <w:tblLook w:val="0620" w:firstRow="1" w:lastRow="0" w:firstColumn="0" w:lastColumn="0" w:noHBand="1" w:noVBand="1"/>
      </w:tblPr>
      <w:tblGrid>
        <w:gridCol w:w="2597"/>
        <w:gridCol w:w="843"/>
        <w:gridCol w:w="116"/>
        <w:gridCol w:w="831"/>
        <w:gridCol w:w="831"/>
        <w:gridCol w:w="831"/>
        <w:gridCol w:w="831"/>
        <w:gridCol w:w="830"/>
      </w:tblGrid>
      <w:tr w:rsidR="009A4BA7" w14:paraId="35AF7B7B" w14:textId="77777777" w:rsidTr="00E91697">
        <w:trPr>
          <w:trHeight w:hRule="exact" w:val="225"/>
        </w:trPr>
        <w:tc>
          <w:tcPr>
            <w:tcW w:w="1684" w:type="pct"/>
            <w:tcBorders>
              <w:top w:val="single" w:sz="4" w:space="0" w:color="293F5B"/>
              <w:left w:val="nil"/>
              <w:bottom w:val="nil"/>
              <w:right w:val="nil"/>
            </w:tcBorders>
            <w:shd w:val="clear" w:color="000000" w:fill="FFFFFF"/>
            <w:noWrap/>
            <w:vAlign w:val="center"/>
            <w:hideMark/>
          </w:tcPr>
          <w:p w14:paraId="5A74759B" w14:textId="77777777" w:rsidR="009A4BA7" w:rsidRDefault="009A4BA7">
            <w:pPr>
              <w:spacing w:before="0" w:after="0" w:line="240" w:lineRule="auto"/>
              <w:rPr>
                <w:rFonts w:ascii="Arial" w:hAnsi="Arial" w:cs="Arial"/>
                <w:sz w:val="16"/>
                <w:szCs w:val="16"/>
              </w:rPr>
            </w:pPr>
            <w:r>
              <w:rPr>
                <w:rFonts w:ascii="Arial" w:hAnsi="Arial" w:cs="Arial"/>
                <w:sz w:val="16"/>
                <w:szCs w:val="16"/>
              </w:rPr>
              <w:t> </w:t>
            </w:r>
          </w:p>
        </w:tc>
        <w:tc>
          <w:tcPr>
            <w:tcW w:w="547" w:type="pct"/>
            <w:tcBorders>
              <w:top w:val="single" w:sz="4" w:space="0" w:color="293F5B"/>
              <w:left w:val="nil"/>
              <w:bottom w:val="single" w:sz="4" w:space="0" w:color="293F5B"/>
              <w:right w:val="nil"/>
            </w:tcBorders>
            <w:shd w:val="clear" w:color="000000" w:fill="FFFFFF"/>
            <w:noWrap/>
            <w:vAlign w:val="center"/>
            <w:hideMark/>
          </w:tcPr>
          <w:p w14:paraId="40D0A927" w14:textId="77777777" w:rsidR="009A4BA7" w:rsidRDefault="009A4BA7">
            <w:pPr>
              <w:spacing w:before="0" w:after="0" w:line="240" w:lineRule="auto"/>
              <w:jc w:val="center"/>
              <w:rPr>
                <w:rFonts w:ascii="Arial" w:hAnsi="Arial" w:cs="Arial"/>
                <w:sz w:val="16"/>
                <w:szCs w:val="16"/>
              </w:rPr>
            </w:pPr>
            <w:r>
              <w:rPr>
                <w:rFonts w:ascii="Arial" w:hAnsi="Arial" w:cs="Arial"/>
                <w:sz w:val="16"/>
                <w:szCs w:val="16"/>
              </w:rPr>
              <w:t>Actual</w:t>
            </w:r>
          </w:p>
        </w:tc>
        <w:tc>
          <w:tcPr>
            <w:tcW w:w="75" w:type="pct"/>
            <w:tcBorders>
              <w:top w:val="single" w:sz="4" w:space="0" w:color="293F5B"/>
              <w:left w:val="nil"/>
              <w:bottom w:val="nil"/>
              <w:right w:val="nil"/>
            </w:tcBorders>
            <w:shd w:val="clear" w:color="000000" w:fill="FFFFFF"/>
            <w:noWrap/>
            <w:vAlign w:val="center"/>
            <w:hideMark/>
          </w:tcPr>
          <w:p w14:paraId="1FF621F3" w14:textId="77777777" w:rsidR="009A4BA7" w:rsidRDefault="009A4BA7">
            <w:pPr>
              <w:spacing w:before="0" w:after="0" w:line="240" w:lineRule="auto"/>
              <w:rPr>
                <w:rFonts w:ascii="Arial" w:hAnsi="Arial" w:cs="Arial"/>
                <w:sz w:val="16"/>
                <w:szCs w:val="16"/>
              </w:rPr>
            </w:pPr>
            <w:r>
              <w:rPr>
                <w:rFonts w:ascii="Arial" w:hAnsi="Arial" w:cs="Arial"/>
                <w:sz w:val="16"/>
                <w:szCs w:val="16"/>
              </w:rPr>
              <w:t> </w:t>
            </w:r>
          </w:p>
        </w:tc>
        <w:tc>
          <w:tcPr>
            <w:tcW w:w="2695" w:type="pct"/>
            <w:gridSpan w:val="5"/>
            <w:tcBorders>
              <w:top w:val="single" w:sz="4" w:space="0" w:color="293F5B"/>
              <w:left w:val="nil"/>
              <w:bottom w:val="single" w:sz="4" w:space="0" w:color="293F5B"/>
              <w:right w:val="nil"/>
            </w:tcBorders>
            <w:shd w:val="clear" w:color="000000" w:fill="FFFFFF"/>
            <w:noWrap/>
            <w:vAlign w:val="center"/>
            <w:hideMark/>
          </w:tcPr>
          <w:p w14:paraId="40812684" w14:textId="77777777" w:rsidR="009A4BA7" w:rsidRDefault="009A4BA7">
            <w:pPr>
              <w:spacing w:before="0" w:after="0" w:line="240" w:lineRule="auto"/>
              <w:jc w:val="center"/>
              <w:rPr>
                <w:rFonts w:ascii="Arial" w:hAnsi="Arial" w:cs="Arial"/>
                <w:sz w:val="16"/>
                <w:szCs w:val="16"/>
              </w:rPr>
            </w:pPr>
            <w:r>
              <w:rPr>
                <w:rFonts w:ascii="Arial" w:hAnsi="Arial" w:cs="Arial"/>
                <w:sz w:val="16"/>
                <w:szCs w:val="16"/>
              </w:rPr>
              <w:t>Estimates</w:t>
            </w:r>
          </w:p>
        </w:tc>
      </w:tr>
      <w:tr w:rsidR="009A4BA7" w14:paraId="48AAAD5E"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2820FC3F" w14:textId="77777777" w:rsidR="009A4BA7" w:rsidRDefault="009A4BA7">
            <w:pPr>
              <w:spacing w:before="0" w:after="0" w:line="240" w:lineRule="auto"/>
              <w:rPr>
                <w:rFonts w:ascii="Arial" w:hAnsi="Arial" w:cs="Arial"/>
                <w:sz w:val="16"/>
                <w:szCs w:val="16"/>
              </w:rPr>
            </w:pPr>
            <w:r>
              <w:rPr>
                <w:rFonts w:ascii="Arial" w:hAnsi="Arial" w:cs="Arial"/>
                <w:sz w:val="16"/>
                <w:szCs w:val="16"/>
              </w:rPr>
              <w:t> </w:t>
            </w:r>
          </w:p>
        </w:tc>
        <w:tc>
          <w:tcPr>
            <w:tcW w:w="547" w:type="pct"/>
            <w:tcBorders>
              <w:top w:val="single" w:sz="4" w:space="0" w:color="293F5B"/>
              <w:left w:val="nil"/>
              <w:bottom w:val="nil"/>
              <w:right w:val="nil"/>
            </w:tcBorders>
            <w:shd w:val="clear" w:color="000000" w:fill="FFFFFF"/>
            <w:noWrap/>
            <w:vAlign w:val="center"/>
            <w:hideMark/>
          </w:tcPr>
          <w:p w14:paraId="1479B935" w14:textId="77777777" w:rsidR="009A4BA7" w:rsidRDefault="009A4BA7">
            <w:pPr>
              <w:spacing w:before="0" w:after="0" w:line="240" w:lineRule="auto"/>
              <w:jc w:val="right"/>
              <w:rPr>
                <w:rFonts w:ascii="Arial" w:hAnsi="Arial" w:cs="Arial"/>
                <w:color w:val="000000"/>
                <w:sz w:val="16"/>
                <w:szCs w:val="16"/>
              </w:rPr>
            </w:pPr>
            <w:r>
              <w:rPr>
                <w:rFonts w:ascii="Arial" w:hAnsi="Arial" w:cs="Arial"/>
                <w:color w:val="000000"/>
                <w:sz w:val="16"/>
                <w:szCs w:val="16"/>
              </w:rPr>
              <w:t>2024-25</w:t>
            </w:r>
          </w:p>
        </w:tc>
        <w:tc>
          <w:tcPr>
            <w:tcW w:w="75" w:type="pct"/>
            <w:tcBorders>
              <w:top w:val="nil"/>
              <w:left w:val="nil"/>
              <w:bottom w:val="nil"/>
              <w:right w:val="nil"/>
            </w:tcBorders>
            <w:shd w:val="clear" w:color="000000" w:fill="FFFFFF"/>
            <w:noWrap/>
            <w:vAlign w:val="center"/>
            <w:hideMark/>
          </w:tcPr>
          <w:p w14:paraId="1CC2E233" w14:textId="77777777" w:rsidR="009A4BA7" w:rsidRDefault="009A4BA7">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39" w:type="pct"/>
            <w:tcBorders>
              <w:top w:val="single" w:sz="4" w:space="0" w:color="293F5B"/>
              <w:left w:val="nil"/>
              <w:bottom w:val="nil"/>
              <w:right w:val="nil"/>
            </w:tcBorders>
            <w:shd w:val="clear" w:color="000000" w:fill="FFFFFF"/>
            <w:noWrap/>
            <w:vAlign w:val="center"/>
            <w:hideMark/>
          </w:tcPr>
          <w:p w14:paraId="7B6C7DFD" w14:textId="77777777" w:rsidR="009A4BA7" w:rsidRDefault="009A4BA7">
            <w:pPr>
              <w:spacing w:before="0" w:after="0" w:line="240" w:lineRule="auto"/>
              <w:jc w:val="right"/>
              <w:rPr>
                <w:rFonts w:ascii="Arial" w:hAnsi="Arial" w:cs="Arial"/>
                <w:color w:val="000000"/>
                <w:sz w:val="16"/>
                <w:szCs w:val="16"/>
              </w:rPr>
            </w:pPr>
            <w:r>
              <w:rPr>
                <w:rFonts w:ascii="Arial" w:hAnsi="Arial" w:cs="Arial"/>
                <w:color w:val="000000"/>
                <w:sz w:val="16"/>
                <w:szCs w:val="16"/>
              </w:rPr>
              <w:t>2025-26</w:t>
            </w:r>
          </w:p>
        </w:tc>
        <w:tc>
          <w:tcPr>
            <w:tcW w:w="539" w:type="pct"/>
            <w:tcBorders>
              <w:top w:val="single" w:sz="4" w:space="0" w:color="293F5B"/>
              <w:left w:val="nil"/>
              <w:bottom w:val="nil"/>
              <w:right w:val="nil"/>
            </w:tcBorders>
            <w:shd w:val="clear" w:color="000000" w:fill="E6F2FF"/>
            <w:noWrap/>
            <w:vAlign w:val="center"/>
            <w:hideMark/>
          </w:tcPr>
          <w:p w14:paraId="0C2A4D59" w14:textId="77777777" w:rsidR="009A4BA7" w:rsidRDefault="009A4BA7">
            <w:pPr>
              <w:spacing w:before="0" w:after="0" w:line="240" w:lineRule="auto"/>
              <w:jc w:val="right"/>
              <w:rPr>
                <w:rFonts w:ascii="Arial" w:hAnsi="Arial" w:cs="Arial"/>
                <w:color w:val="000000"/>
                <w:sz w:val="16"/>
                <w:szCs w:val="16"/>
              </w:rPr>
            </w:pPr>
            <w:r>
              <w:rPr>
                <w:rFonts w:ascii="Arial" w:hAnsi="Arial" w:cs="Arial"/>
                <w:color w:val="000000"/>
                <w:sz w:val="16"/>
                <w:szCs w:val="16"/>
              </w:rPr>
              <w:t>2026-27</w:t>
            </w:r>
          </w:p>
        </w:tc>
        <w:tc>
          <w:tcPr>
            <w:tcW w:w="539" w:type="pct"/>
            <w:tcBorders>
              <w:top w:val="single" w:sz="4" w:space="0" w:color="293F5B"/>
              <w:left w:val="nil"/>
              <w:bottom w:val="nil"/>
              <w:right w:val="nil"/>
            </w:tcBorders>
            <w:shd w:val="clear" w:color="000000" w:fill="FFFFFF"/>
            <w:noWrap/>
            <w:vAlign w:val="center"/>
            <w:hideMark/>
          </w:tcPr>
          <w:p w14:paraId="4DE5FB50" w14:textId="77777777" w:rsidR="009A4BA7" w:rsidRDefault="009A4BA7">
            <w:pPr>
              <w:spacing w:before="0" w:after="0" w:line="240" w:lineRule="auto"/>
              <w:jc w:val="right"/>
              <w:rPr>
                <w:rFonts w:ascii="Arial" w:hAnsi="Arial" w:cs="Arial"/>
                <w:color w:val="000000"/>
                <w:sz w:val="16"/>
                <w:szCs w:val="16"/>
              </w:rPr>
            </w:pPr>
            <w:r>
              <w:rPr>
                <w:rFonts w:ascii="Arial" w:hAnsi="Arial" w:cs="Arial"/>
                <w:color w:val="000000"/>
                <w:sz w:val="16"/>
                <w:szCs w:val="16"/>
              </w:rPr>
              <w:t>2027-28</w:t>
            </w:r>
          </w:p>
        </w:tc>
        <w:tc>
          <w:tcPr>
            <w:tcW w:w="539" w:type="pct"/>
            <w:tcBorders>
              <w:top w:val="single" w:sz="4" w:space="0" w:color="293F5B"/>
              <w:left w:val="nil"/>
              <w:bottom w:val="nil"/>
              <w:right w:val="nil"/>
            </w:tcBorders>
            <w:shd w:val="clear" w:color="000000" w:fill="FFFFFF"/>
            <w:noWrap/>
            <w:vAlign w:val="center"/>
            <w:hideMark/>
          </w:tcPr>
          <w:p w14:paraId="0AE71DCF" w14:textId="77777777" w:rsidR="009A4BA7" w:rsidRDefault="009A4BA7">
            <w:pPr>
              <w:spacing w:before="0" w:after="0" w:line="240" w:lineRule="auto"/>
              <w:jc w:val="right"/>
              <w:rPr>
                <w:rFonts w:ascii="Arial" w:hAnsi="Arial" w:cs="Arial"/>
                <w:color w:val="000000"/>
                <w:sz w:val="16"/>
                <w:szCs w:val="16"/>
              </w:rPr>
            </w:pPr>
            <w:r>
              <w:rPr>
                <w:rFonts w:ascii="Arial" w:hAnsi="Arial" w:cs="Arial"/>
                <w:color w:val="000000"/>
                <w:sz w:val="16"/>
                <w:szCs w:val="16"/>
              </w:rPr>
              <w:t>2028-29</w:t>
            </w:r>
          </w:p>
        </w:tc>
        <w:tc>
          <w:tcPr>
            <w:tcW w:w="539" w:type="pct"/>
            <w:tcBorders>
              <w:top w:val="single" w:sz="4" w:space="0" w:color="293F5B"/>
              <w:left w:val="nil"/>
              <w:bottom w:val="nil"/>
              <w:right w:val="nil"/>
            </w:tcBorders>
            <w:shd w:val="clear" w:color="000000" w:fill="FFFFFF"/>
            <w:noWrap/>
            <w:vAlign w:val="center"/>
            <w:hideMark/>
          </w:tcPr>
          <w:p w14:paraId="5F6F3755" w14:textId="77777777" w:rsidR="009A4BA7" w:rsidRDefault="009A4BA7">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9A4BA7" w14:paraId="27F2C73A"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56C9C1CB" w14:textId="77777777" w:rsidR="009A4BA7" w:rsidRDefault="009A4BA7">
            <w:pPr>
              <w:spacing w:before="0" w:after="0" w:line="240" w:lineRule="auto"/>
              <w:rPr>
                <w:rFonts w:ascii="Arial" w:hAnsi="Arial" w:cs="Arial"/>
                <w:sz w:val="16"/>
                <w:szCs w:val="16"/>
              </w:rPr>
            </w:pPr>
            <w:r>
              <w:rPr>
                <w:rFonts w:ascii="Arial" w:hAnsi="Arial" w:cs="Arial"/>
                <w:sz w:val="16"/>
                <w:szCs w:val="16"/>
              </w:rPr>
              <w:t> </w:t>
            </w:r>
          </w:p>
        </w:tc>
        <w:tc>
          <w:tcPr>
            <w:tcW w:w="547" w:type="pct"/>
            <w:tcBorders>
              <w:top w:val="nil"/>
              <w:left w:val="nil"/>
              <w:bottom w:val="single" w:sz="4" w:space="0" w:color="293F5B"/>
              <w:right w:val="nil"/>
            </w:tcBorders>
            <w:shd w:val="clear" w:color="000000" w:fill="FFFFFF"/>
            <w:noWrap/>
            <w:vAlign w:val="center"/>
            <w:hideMark/>
          </w:tcPr>
          <w:p w14:paraId="151C7000"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$b</w:t>
            </w:r>
          </w:p>
        </w:tc>
        <w:tc>
          <w:tcPr>
            <w:tcW w:w="75" w:type="pct"/>
            <w:tcBorders>
              <w:top w:val="nil"/>
              <w:left w:val="nil"/>
              <w:bottom w:val="nil"/>
              <w:right w:val="nil"/>
            </w:tcBorders>
            <w:shd w:val="clear" w:color="000000" w:fill="FFFFFF"/>
            <w:noWrap/>
            <w:vAlign w:val="center"/>
            <w:hideMark/>
          </w:tcPr>
          <w:p w14:paraId="7F016F03"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single" w:sz="4" w:space="0" w:color="293F5B"/>
              <w:right w:val="nil"/>
            </w:tcBorders>
            <w:shd w:val="clear" w:color="000000" w:fill="FFFFFF"/>
            <w:noWrap/>
            <w:vAlign w:val="center"/>
            <w:hideMark/>
          </w:tcPr>
          <w:p w14:paraId="750CBD13"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$b</w:t>
            </w:r>
          </w:p>
        </w:tc>
        <w:tc>
          <w:tcPr>
            <w:tcW w:w="539" w:type="pct"/>
            <w:tcBorders>
              <w:top w:val="nil"/>
              <w:left w:val="nil"/>
              <w:bottom w:val="single" w:sz="4" w:space="0" w:color="293F5B"/>
              <w:right w:val="nil"/>
            </w:tcBorders>
            <w:shd w:val="clear" w:color="000000" w:fill="E6F2FF"/>
            <w:noWrap/>
            <w:vAlign w:val="center"/>
            <w:hideMark/>
          </w:tcPr>
          <w:p w14:paraId="04BE6CD4"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$b</w:t>
            </w:r>
          </w:p>
        </w:tc>
        <w:tc>
          <w:tcPr>
            <w:tcW w:w="539" w:type="pct"/>
            <w:tcBorders>
              <w:top w:val="nil"/>
              <w:left w:val="nil"/>
              <w:bottom w:val="single" w:sz="4" w:space="0" w:color="293F5B"/>
              <w:right w:val="nil"/>
            </w:tcBorders>
            <w:shd w:val="clear" w:color="000000" w:fill="FFFFFF"/>
            <w:noWrap/>
            <w:vAlign w:val="center"/>
            <w:hideMark/>
          </w:tcPr>
          <w:p w14:paraId="1861BC49"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$b</w:t>
            </w:r>
          </w:p>
        </w:tc>
        <w:tc>
          <w:tcPr>
            <w:tcW w:w="539" w:type="pct"/>
            <w:tcBorders>
              <w:top w:val="nil"/>
              <w:left w:val="nil"/>
              <w:bottom w:val="single" w:sz="4" w:space="0" w:color="293F5B"/>
              <w:right w:val="nil"/>
            </w:tcBorders>
            <w:shd w:val="clear" w:color="000000" w:fill="FFFFFF"/>
            <w:noWrap/>
            <w:vAlign w:val="center"/>
            <w:hideMark/>
          </w:tcPr>
          <w:p w14:paraId="788109FE"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$b</w:t>
            </w:r>
          </w:p>
        </w:tc>
        <w:tc>
          <w:tcPr>
            <w:tcW w:w="539" w:type="pct"/>
            <w:tcBorders>
              <w:top w:val="nil"/>
              <w:left w:val="nil"/>
              <w:bottom w:val="single" w:sz="4" w:space="0" w:color="293F5B"/>
              <w:right w:val="nil"/>
            </w:tcBorders>
            <w:shd w:val="clear" w:color="000000" w:fill="FFFFFF"/>
            <w:noWrap/>
            <w:vAlign w:val="center"/>
            <w:hideMark/>
          </w:tcPr>
          <w:p w14:paraId="09694E70"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$b</w:t>
            </w:r>
          </w:p>
        </w:tc>
      </w:tr>
      <w:tr w:rsidR="009A4BA7" w14:paraId="6A6B45C5"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27D1B9D0" w14:textId="77777777" w:rsidR="009A4BA7" w:rsidRDefault="009A4BA7">
            <w:pPr>
              <w:spacing w:before="0" w:after="0" w:line="240" w:lineRule="auto"/>
              <w:rPr>
                <w:rFonts w:ascii="Arial" w:hAnsi="Arial" w:cs="Arial"/>
                <w:b/>
                <w:bCs/>
                <w:sz w:val="16"/>
                <w:szCs w:val="16"/>
              </w:rPr>
            </w:pPr>
            <w:r>
              <w:rPr>
                <w:rFonts w:ascii="Arial" w:hAnsi="Arial" w:cs="Arial"/>
                <w:b/>
                <w:bCs/>
                <w:sz w:val="16"/>
                <w:szCs w:val="16"/>
              </w:rPr>
              <w:t>Financial assets</w:t>
            </w:r>
          </w:p>
        </w:tc>
        <w:tc>
          <w:tcPr>
            <w:tcW w:w="547" w:type="pct"/>
            <w:tcBorders>
              <w:top w:val="single" w:sz="4" w:space="0" w:color="293F5B"/>
              <w:left w:val="nil"/>
              <w:bottom w:val="nil"/>
              <w:right w:val="nil"/>
            </w:tcBorders>
            <w:shd w:val="clear" w:color="000000" w:fill="FFFFFF"/>
            <w:noWrap/>
            <w:vAlign w:val="center"/>
            <w:hideMark/>
          </w:tcPr>
          <w:p w14:paraId="33D22DD1"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665.4</w:t>
            </w:r>
          </w:p>
        </w:tc>
        <w:tc>
          <w:tcPr>
            <w:tcW w:w="75" w:type="pct"/>
            <w:tcBorders>
              <w:top w:val="nil"/>
              <w:left w:val="nil"/>
              <w:bottom w:val="nil"/>
              <w:right w:val="nil"/>
            </w:tcBorders>
            <w:shd w:val="clear" w:color="000000" w:fill="FFFFFF"/>
            <w:noWrap/>
            <w:vAlign w:val="center"/>
            <w:hideMark/>
          </w:tcPr>
          <w:p w14:paraId="213468D2"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single" w:sz="4" w:space="0" w:color="293F5B"/>
              <w:left w:val="nil"/>
              <w:bottom w:val="nil"/>
              <w:right w:val="nil"/>
            </w:tcBorders>
            <w:shd w:val="clear" w:color="000000" w:fill="FFFFFF"/>
            <w:noWrap/>
            <w:vAlign w:val="center"/>
            <w:hideMark/>
          </w:tcPr>
          <w:p w14:paraId="72A5F51C"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690.3</w:t>
            </w:r>
          </w:p>
        </w:tc>
        <w:tc>
          <w:tcPr>
            <w:tcW w:w="539" w:type="pct"/>
            <w:tcBorders>
              <w:top w:val="single" w:sz="4" w:space="0" w:color="293F5B"/>
              <w:left w:val="nil"/>
              <w:bottom w:val="nil"/>
              <w:right w:val="nil"/>
            </w:tcBorders>
            <w:shd w:val="clear" w:color="000000" w:fill="E6F2FF"/>
            <w:noWrap/>
            <w:vAlign w:val="center"/>
            <w:hideMark/>
          </w:tcPr>
          <w:p w14:paraId="63B9358C"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731.8</w:t>
            </w:r>
          </w:p>
        </w:tc>
        <w:tc>
          <w:tcPr>
            <w:tcW w:w="539" w:type="pct"/>
            <w:tcBorders>
              <w:top w:val="single" w:sz="4" w:space="0" w:color="293F5B"/>
              <w:left w:val="nil"/>
              <w:bottom w:val="nil"/>
              <w:right w:val="nil"/>
            </w:tcBorders>
            <w:shd w:val="clear" w:color="000000" w:fill="FFFFFF"/>
            <w:noWrap/>
            <w:vAlign w:val="center"/>
            <w:hideMark/>
          </w:tcPr>
          <w:p w14:paraId="534817CC"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776.0</w:t>
            </w:r>
          </w:p>
        </w:tc>
        <w:tc>
          <w:tcPr>
            <w:tcW w:w="539" w:type="pct"/>
            <w:tcBorders>
              <w:top w:val="single" w:sz="4" w:space="0" w:color="293F5B"/>
              <w:left w:val="nil"/>
              <w:bottom w:val="nil"/>
              <w:right w:val="nil"/>
            </w:tcBorders>
            <w:shd w:val="clear" w:color="000000" w:fill="FFFFFF"/>
            <w:noWrap/>
            <w:vAlign w:val="center"/>
            <w:hideMark/>
          </w:tcPr>
          <w:p w14:paraId="0FC5C215"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821.8</w:t>
            </w:r>
          </w:p>
        </w:tc>
        <w:tc>
          <w:tcPr>
            <w:tcW w:w="539" w:type="pct"/>
            <w:tcBorders>
              <w:top w:val="single" w:sz="4" w:space="0" w:color="293F5B"/>
              <w:left w:val="nil"/>
              <w:bottom w:val="nil"/>
              <w:right w:val="nil"/>
            </w:tcBorders>
            <w:shd w:val="clear" w:color="000000" w:fill="FFFFFF"/>
            <w:noWrap/>
            <w:vAlign w:val="center"/>
            <w:hideMark/>
          </w:tcPr>
          <w:p w14:paraId="30B3525B"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863.9</w:t>
            </w:r>
          </w:p>
        </w:tc>
      </w:tr>
      <w:tr w:rsidR="009A4BA7" w14:paraId="2E8C0026"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3060992B" w14:textId="77777777" w:rsidR="009A4BA7" w:rsidRDefault="009A4BA7">
            <w:pPr>
              <w:spacing w:before="0" w:after="0" w:line="240" w:lineRule="auto"/>
              <w:rPr>
                <w:rFonts w:ascii="Arial" w:hAnsi="Arial" w:cs="Arial"/>
                <w:sz w:val="16"/>
                <w:szCs w:val="16"/>
              </w:rPr>
            </w:pPr>
            <w:r>
              <w:rPr>
                <w:rFonts w:ascii="Arial" w:hAnsi="Arial" w:cs="Arial"/>
                <w:sz w:val="16"/>
                <w:szCs w:val="16"/>
              </w:rPr>
              <w:t>Per cent of GDP</w:t>
            </w:r>
          </w:p>
        </w:tc>
        <w:tc>
          <w:tcPr>
            <w:tcW w:w="547" w:type="pct"/>
            <w:tcBorders>
              <w:top w:val="nil"/>
              <w:left w:val="nil"/>
              <w:bottom w:val="nil"/>
              <w:right w:val="nil"/>
            </w:tcBorders>
            <w:shd w:val="clear" w:color="000000" w:fill="FFFFFF"/>
            <w:noWrap/>
            <w:vAlign w:val="center"/>
            <w:hideMark/>
          </w:tcPr>
          <w:p w14:paraId="04E0D11B"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24.0</w:t>
            </w:r>
          </w:p>
        </w:tc>
        <w:tc>
          <w:tcPr>
            <w:tcW w:w="75" w:type="pct"/>
            <w:tcBorders>
              <w:top w:val="nil"/>
              <w:left w:val="nil"/>
              <w:bottom w:val="nil"/>
              <w:right w:val="nil"/>
            </w:tcBorders>
            <w:shd w:val="clear" w:color="000000" w:fill="FFFFFF"/>
            <w:noWrap/>
            <w:vAlign w:val="center"/>
            <w:hideMark/>
          </w:tcPr>
          <w:p w14:paraId="3FC29B0D"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nil"/>
              <w:right w:val="nil"/>
            </w:tcBorders>
            <w:shd w:val="clear" w:color="000000" w:fill="FFFFFF"/>
            <w:noWrap/>
            <w:vAlign w:val="center"/>
            <w:hideMark/>
          </w:tcPr>
          <w:p w14:paraId="27C31BF0"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23.3</w:t>
            </w:r>
          </w:p>
        </w:tc>
        <w:tc>
          <w:tcPr>
            <w:tcW w:w="539" w:type="pct"/>
            <w:tcBorders>
              <w:top w:val="nil"/>
              <w:left w:val="nil"/>
              <w:bottom w:val="nil"/>
              <w:right w:val="nil"/>
            </w:tcBorders>
            <w:shd w:val="clear" w:color="000000" w:fill="E6F2FF"/>
            <w:noWrap/>
            <w:vAlign w:val="center"/>
            <w:hideMark/>
          </w:tcPr>
          <w:p w14:paraId="03139457"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23.6</w:t>
            </w:r>
          </w:p>
        </w:tc>
        <w:tc>
          <w:tcPr>
            <w:tcW w:w="539" w:type="pct"/>
            <w:tcBorders>
              <w:top w:val="nil"/>
              <w:left w:val="nil"/>
              <w:bottom w:val="nil"/>
              <w:right w:val="nil"/>
            </w:tcBorders>
            <w:shd w:val="clear" w:color="000000" w:fill="FFFFFF"/>
            <w:noWrap/>
            <w:vAlign w:val="center"/>
            <w:hideMark/>
          </w:tcPr>
          <w:p w14:paraId="212E9264"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24.4</w:t>
            </w:r>
          </w:p>
        </w:tc>
        <w:tc>
          <w:tcPr>
            <w:tcW w:w="539" w:type="pct"/>
            <w:tcBorders>
              <w:top w:val="nil"/>
              <w:left w:val="nil"/>
              <w:bottom w:val="nil"/>
              <w:right w:val="nil"/>
            </w:tcBorders>
            <w:shd w:val="clear" w:color="000000" w:fill="FFFFFF"/>
            <w:noWrap/>
            <w:vAlign w:val="center"/>
            <w:hideMark/>
          </w:tcPr>
          <w:p w14:paraId="12B2D66F"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24.6</w:t>
            </w:r>
          </w:p>
        </w:tc>
        <w:tc>
          <w:tcPr>
            <w:tcW w:w="539" w:type="pct"/>
            <w:tcBorders>
              <w:top w:val="nil"/>
              <w:left w:val="nil"/>
              <w:bottom w:val="nil"/>
              <w:right w:val="nil"/>
            </w:tcBorders>
            <w:shd w:val="clear" w:color="000000" w:fill="FFFFFF"/>
            <w:noWrap/>
            <w:vAlign w:val="center"/>
            <w:hideMark/>
          </w:tcPr>
          <w:p w14:paraId="71D90B1B"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24.6</w:t>
            </w:r>
          </w:p>
        </w:tc>
      </w:tr>
      <w:tr w:rsidR="009A4BA7" w14:paraId="56A857AC" w14:textId="77777777" w:rsidTr="00E91697">
        <w:trPr>
          <w:trHeight w:hRule="exact" w:val="60"/>
        </w:trPr>
        <w:tc>
          <w:tcPr>
            <w:tcW w:w="1684" w:type="pct"/>
            <w:tcBorders>
              <w:top w:val="nil"/>
              <w:left w:val="nil"/>
              <w:bottom w:val="nil"/>
              <w:right w:val="nil"/>
            </w:tcBorders>
            <w:shd w:val="clear" w:color="000000" w:fill="FFFFFF"/>
            <w:noWrap/>
            <w:vAlign w:val="center"/>
            <w:hideMark/>
          </w:tcPr>
          <w:p w14:paraId="4BEE76AA" w14:textId="77777777" w:rsidR="009A4BA7" w:rsidRDefault="009A4BA7">
            <w:pPr>
              <w:spacing w:before="0" w:after="0" w:line="240" w:lineRule="auto"/>
              <w:rPr>
                <w:rFonts w:ascii="Arial" w:hAnsi="Arial" w:cs="Arial"/>
                <w:b/>
                <w:bCs/>
                <w:sz w:val="16"/>
                <w:szCs w:val="16"/>
              </w:rPr>
            </w:pPr>
            <w:r>
              <w:rPr>
                <w:rFonts w:ascii="Arial" w:hAnsi="Arial" w:cs="Arial"/>
                <w:b/>
                <w:bCs/>
                <w:sz w:val="16"/>
                <w:szCs w:val="16"/>
              </w:rPr>
              <w:t> </w:t>
            </w:r>
          </w:p>
        </w:tc>
        <w:tc>
          <w:tcPr>
            <w:tcW w:w="547" w:type="pct"/>
            <w:tcBorders>
              <w:top w:val="nil"/>
              <w:left w:val="nil"/>
              <w:bottom w:val="nil"/>
              <w:right w:val="nil"/>
            </w:tcBorders>
            <w:shd w:val="clear" w:color="000000" w:fill="FFFFFF"/>
            <w:noWrap/>
            <w:vAlign w:val="center"/>
            <w:hideMark/>
          </w:tcPr>
          <w:p w14:paraId="164B2ED4"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75" w:type="pct"/>
            <w:tcBorders>
              <w:top w:val="nil"/>
              <w:left w:val="nil"/>
              <w:bottom w:val="nil"/>
              <w:right w:val="nil"/>
            </w:tcBorders>
            <w:shd w:val="clear" w:color="000000" w:fill="FFFFFF"/>
            <w:noWrap/>
            <w:vAlign w:val="center"/>
            <w:hideMark/>
          </w:tcPr>
          <w:p w14:paraId="5D50310A"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6876250C"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E6F2FF"/>
            <w:noWrap/>
            <w:vAlign w:val="center"/>
            <w:hideMark/>
          </w:tcPr>
          <w:p w14:paraId="17782417"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nil"/>
              <w:right w:val="nil"/>
            </w:tcBorders>
            <w:shd w:val="clear" w:color="000000" w:fill="FFFFFF"/>
            <w:noWrap/>
            <w:vAlign w:val="center"/>
            <w:hideMark/>
          </w:tcPr>
          <w:p w14:paraId="770D3AF4"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519B901C"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57F46A8C"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r>
      <w:tr w:rsidR="009A4BA7" w14:paraId="274B972B"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13384105" w14:textId="77777777" w:rsidR="009A4BA7" w:rsidRDefault="009A4BA7">
            <w:pPr>
              <w:spacing w:before="0" w:after="0" w:line="240" w:lineRule="auto"/>
              <w:rPr>
                <w:rFonts w:ascii="Arial" w:hAnsi="Arial" w:cs="Arial"/>
                <w:b/>
                <w:bCs/>
                <w:sz w:val="16"/>
                <w:szCs w:val="16"/>
              </w:rPr>
            </w:pPr>
            <w:r>
              <w:rPr>
                <w:rFonts w:ascii="Arial" w:hAnsi="Arial" w:cs="Arial"/>
                <w:b/>
                <w:bCs/>
                <w:sz w:val="16"/>
                <w:szCs w:val="16"/>
              </w:rPr>
              <w:t>Non-financial assets</w:t>
            </w:r>
          </w:p>
        </w:tc>
        <w:tc>
          <w:tcPr>
            <w:tcW w:w="547" w:type="pct"/>
            <w:tcBorders>
              <w:top w:val="nil"/>
              <w:left w:val="nil"/>
              <w:bottom w:val="nil"/>
              <w:right w:val="nil"/>
            </w:tcBorders>
            <w:shd w:val="clear" w:color="000000" w:fill="FFFFFF"/>
            <w:noWrap/>
            <w:vAlign w:val="center"/>
            <w:hideMark/>
          </w:tcPr>
          <w:p w14:paraId="702326FE"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227.4</w:t>
            </w:r>
          </w:p>
        </w:tc>
        <w:tc>
          <w:tcPr>
            <w:tcW w:w="75" w:type="pct"/>
            <w:tcBorders>
              <w:top w:val="nil"/>
              <w:left w:val="nil"/>
              <w:bottom w:val="nil"/>
              <w:right w:val="nil"/>
            </w:tcBorders>
            <w:shd w:val="clear" w:color="000000" w:fill="FFFFFF"/>
            <w:noWrap/>
            <w:vAlign w:val="center"/>
            <w:hideMark/>
          </w:tcPr>
          <w:p w14:paraId="0F9BD7BC"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nil"/>
              <w:right w:val="nil"/>
            </w:tcBorders>
            <w:shd w:val="clear" w:color="000000" w:fill="FFFFFF"/>
            <w:noWrap/>
            <w:vAlign w:val="center"/>
            <w:hideMark/>
          </w:tcPr>
          <w:p w14:paraId="68B00BB4"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237.6</w:t>
            </w:r>
          </w:p>
        </w:tc>
        <w:tc>
          <w:tcPr>
            <w:tcW w:w="539" w:type="pct"/>
            <w:tcBorders>
              <w:top w:val="nil"/>
              <w:left w:val="nil"/>
              <w:bottom w:val="nil"/>
              <w:right w:val="nil"/>
            </w:tcBorders>
            <w:shd w:val="clear" w:color="000000" w:fill="E6F2FF"/>
            <w:noWrap/>
            <w:vAlign w:val="center"/>
            <w:hideMark/>
          </w:tcPr>
          <w:p w14:paraId="44BDF260"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248.7</w:t>
            </w:r>
          </w:p>
        </w:tc>
        <w:tc>
          <w:tcPr>
            <w:tcW w:w="539" w:type="pct"/>
            <w:tcBorders>
              <w:top w:val="nil"/>
              <w:left w:val="nil"/>
              <w:bottom w:val="nil"/>
              <w:right w:val="nil"/>
            </w:tcBorders>
            <w:shd w:val="clear" w:color="000000" w:fill="FFFFFF"/>
            <w:noWrap/>
            <w:vAlign w:val="center"/>
            <w:hideMark/>
          </w:tcPr>
          <w:p w14:paraId="46081BA0"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259.9</w:t>
            </w:r>
          </w:p>
        </w:tc>
        <w:tc>
          <w:tcPr>
            <w:tcW w:w="539" w:type="pct"/>
            <w:tcBorders>
              <w:top w:val="nil"/>
              <w:left w:val="nil"/>
              <w:bottom w:val="nil"/>
              <w:right w:val="nil"/>
            </w:tcBorders>
            <w:shd w:val="clear" w:color="000000" w:fill="FFFFFF"/>
            <w:noWrap/>
            <w:vAlign w:val="center"/>
            <w:hideMark/>
          </w:tcPr>
          <w:p w14:paraId="40189F4B"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269.0</w:t>
            </w:r>
          </w:p>
        </w:tc>
        <w:tc>
          <w:tcPr>
            <w:tcW w:w="539" w:type="pct"/>
            <w:tcBorders>
              <w:top w:val="nil"/>
              <w:left w:val="nil"/>
              <w:bottom w:val="nil"/>
              <w:right w:val="nil"/>
            </w:tcBorders>
            <w:shd w:val="clear" w:color="000000" w:fill="FFFFFF"/>
            <w:noWrap/>
            <w:vAlign w:val="center"/>
            <w:hideMark/>
          </w:tcPr>
          <w:p w14:paraId="0BA3D5BE"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279.8</w:t>
            </w:r>
          </w:p>
        </w:tc>
      </w:tr>
      <w:tr w:rsidR="009A4BA7" w14:paraId="004B5574"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19F3087E" w14:textId="77777777" w:rsidR="009A4BA7" w:rsidRDefault="009A4BA7">
            <w:pPr>
              <w:spacing w:before="0" w:after="0" w:line="240" w:lineRule="auto"/>
              <w:rPr>
                <w:rFonts w:ascii="Arial" w:hAnsi="Arial" w:cs="Arial"/>
                <w:sz w:val="16"/>
                <w:szCs w:val="16"/>
              </w:rPr>
            </w:pPr>
            <w:r>
              <w:rPr>
                <w:rFonts w:ascii="Arial" w:hAnsi="Arial" w:cs="Arial"/>
                <w:sz w:val="16"/>
                <w:szCs w:val="16"/>
              </w:rPr>
              <w:t>Per cent of GDP</w:t>
            </w:r>
          </w:p>
        </w:tc>
        <w:tc>
          <w:tcPr>
            <w:tcW w:w="547" w:type="pct"/>
            <w:tcBorders>
              <w:top w:val="nil"/>
              <w:left w:val="nil"/>
              <w:bottom w:val="nil"/>
              <w:right w:val="nil"/>
            </w:tcBorders>
            <w:shd w:val="clear" w:color="000000" w:fill="FFFFFF"/>
            <w:noWrap/>
            <w:vAlign w:val="center"/>
            <w:hideMark/>
          </w:tcPr>
          <w:p w14:paraId="1B998246"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8.2</w:t>
            </w:r>
          </w:p>
        </w:tc>
        <w:tc>
          <w:tcPr>
            <w:tcW w:w="75" w:type="pct"/>
            <w:tcBorders>
              <w:top w:val="nil"/>
              <w:left w:val="nil"/>
              <w:bottom w:val="nil"/>
              <w:right w:val="nil"/>
            </w:tcBorders>
            <w:shd w:val="clear" w:color="000000" w:fill="FFFFFF"/>
            <w:noWrap/>
            <w:vAlign w:val="center"/>
            <w:hideMark/>
          </w:tcPr>
          <w:p w14:paraId="6B276941"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nil"/>
              <w:right w:val="nil"/>
            </w:tcBorders>
            <w:shd w:val="clear" w:color="000000" w:fill="FFFFFF"/>
            <w:noWrap/>
            <w:vAlign w:val="center"/>
            <w:hideMark/>
          </w:tcPr>
          <w:p w14:paraId="61FDDACC"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8.0</w:t>
            </w:r>
          </w:p>
        </w:tc>
        <w:tc>
          <w:tcPr>
            <w:tcW w:w="539" w:type="pct"/>
            <w:tcBorders>
              <w:top w:val="nil"/>
              <w:left w:val="nil"/>
              <w:bottom w:val="nil"/>
              <w:right w:val="nil"/>
            </w:tcBorders>
            <w:shd w:val="clear" w:color="000000" w:fill="E6F2FF"/>
            <w:noWrap/>
            <w:vAlign w:val="center"/>
            <w:hideMark/>
          </w:tcPr>
          <w:p w14:paraId="62BFAB6F"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8.0</w:t>
            </w:r>
          </w:p>
        </w:tc>
        <w:tc>
          <w:tcPr>
            <w:tcW w:w="539" w:type="pct"/>
            <w:tcBorders>
              <w:top w:val="nil"/>
              <w:left w:val="nil"/>
              <w:bottom w:val="nil"/>
              <w:right w:val="nil"/>
            </w:tcBorders>
            <w:shd w:val="clear" w:color="000000" w:fill="FFFFFF"/>
            <w:noWrap/>
            <w:vAlign w:val="center"/>
            <w:hideMark/>
          </w:tcPr>
          <w:p w14:paraId="6E20ADAB"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8.2</w:t>
            </w:r>
          </w:p>
        </w:tc>
        <w:tc>
          <w:tcPr>
            <w:tcW w:w="539" w:type="pct"/>
            <w:tcBorders>
              <w:top w:val="nil"/>
              <w:left w:val="nil"/>
              <w:bottom w:val="nil"/>
              <w:right w:val="nil"/>
            </w:tcBorders>
            <w:shd w:val="clear" w:color="000000" w:fill="FFFFFF"/>
            <w:noWrap/>
            <w:vAlign w:val="center"/>
            <w:hideMark/>
          </w:tcPr>
          <w:p w14:paraId="76B36BFC"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8.1</w:t>
            </w:r>
          </w:p>
        </w:tc>
        <w:tc>
          <w:tcPr>
            <w:tcW w:w="539" w:type="pct"/>
            <w:tcBorders>
              <w:top w:val="nil"/>
              <w:left w:val="nil"/>
              <w:bottom w:val="nil"/>
              <w:right w:val="nil"/>
            </w:tcBorders>
            <w:shd w:val="clear" w:color="000000" w:fill="FFFFFF"/>
            <w:noWrap/>
            <w:vAlign w:val="center"/>
            <w:hideMark/>
          </w:tcPr>
          <w:p w14:paraId="5C428DEB"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8.0</w:t>
            </w:r>
          </w:p>
        </w:tc>
      </w:tr>
      <w:tr w:rsidR="009A4BA7" w14:paraId="381D8E03" w14:textId="77777777" w:rsidTr="00E91697">
        <w:trPr>
          <w:trHeight w:hRule="exact" w:val="60"/>
        </w:trPr>
        <w:tc>
          <w:tcPr>
            <w:tcW w:w="1684" w:type="pct"/>
            <w:tcBorders>
              <w:top w:val="nil"/>
              <w:left w:val="nil"/>
              <w:bottom w:val="nil"/>
              <w:right w:val="nil"/>
            </w:tcBorders>
            <w:shd w:val="clear" w:color="000000" w:fill="FFFFFF"/>
            <w:noWrap/>
            <w:vAlign w:val="center"/>
            <w:hideMark/>
          </w:tcPr>
          <w:p w14:paraId="6519F7E3" w14:textId="77777777" w:rsidR="009A4BA7" w:rsidRDefault="009A4BA7">
            <w:pPr>
              <w:spacing w:before="0" w:after="0" w:line="240" w:lineRule="auto"/>
              <w:rPr>
                <w:rFonts w:ascii="Arial" w:hAnsi="Arial" w:cs="Arial"/>
                <w:sz w:val="16"/>
                <w:szCs w:val="16"/>
              </w:rPr>
            </w:pPr>
            <w:r>
              <w:rPr>
                <w:rFonts w:ascii="Arial" w:hAnsi="Arial" w:cs="Arial"/>
                <w:sz w:val="16"/>
                <w:szCs w:val="16"/>
              </w:rPr>
              <w:t> </w:t>
            </w:r>
          </w:p>
        </w:tc>
        <w:tc>
          <w:tcPr>
            <w:tcW w:w="547" w:type="pct"/>
            <w:tcBorders>
              <w:top w:val="nil"/>
              <w:left w:val="nil"/>
              <w:bottom w:val="nil"/>
              <w:right w:val="nil"/>
            </w:tcBorders>
            <w:shd w:val="clear" w:color="000000" w:fill="FFFFFF"/>
            <w:noWrap/>
            <w:vAlign w:val="center"/>
            <w:hideMark/>
          </w:tcPr>
          <w:p w14:paraId="3047BAE0"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75" w:type="pct"/>
            <w:tcBorders>
              <w:top w:val="nil"/>
              <w:left w:val="nil"/>
              <w:bottom w:val="nil"/>
              <w:right w:val="nil"/>
            </w:tcBorders>
            <w:shd w:val="clear" w:color="000000" w:fill="FFFFFF"/>
            <w:noWrap/>
            <w:vAlign w:val="center"/>
            <w:hideMark/>
          </w:tcPr>
          <w:p w14:paraId="4AD8EB75"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nil"/>
              <w:right w:val="nil"/>
            </w:tcBorders>
            <w:shd w:val="clear" w:color="000000" w:fill="FFFFFF"/>
            <w:noWrap/>
            <w:vAlign w:val="center"/>
            <w:hideMark/>
          </w:tcPr>
          <w:p w14:paraId="7ECDB74D"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nil"/>
              <w:right w:val="nil"/>
            </w:tcBorders>
            <w:shd w:val="clear" w:color="000000" w:fill="E6F2FF"/>
            <w:noWrap/>
            <w:vAlign w:val="center"/>
            <w:hideMark/>
          </w:tcPr>
          <w:p w14:paraId="34FDEFF9"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nil"/>
              <w:right w:val="nil"/>
            </w:tcBorders>
            <w:shd w:val="clear" w:color="000000" w:fill="FFFFFF"/>
            <w:noWrap/>
            <w:vAlign w:val="center"/>
            <w:hideMark/>
          </w:tcPr>
          <w:p w14:paraId="0CEBE59F"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nil"/>
              <w:right w:val="nil"/>
            </w:tcBorders>
            <w:shd w:val="clear" w:color="000000" w:fill="FFFFFF"/>
            <w:noWrap/>
            <w:vAlign w:val="center"/>
            <w:hideMark/>
          </w:tcPr>
          <w:p w14:paraId="50D4C726"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nil"/>
              <w:right w:val="nil"/>
            </w:tcBorders>
            <w:shd w:val="clear" w:color="000000" w:fill="FFFFFF"/>
            <w:noWrap/>
            <w:vAlign w:val="center"/>
            <w:hideMark/>
          </w:tcPr>
          <w:p w14:paraId="0DE8D419"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r>
      <w:tr w:rsidR="009A4BA7" w14:paraId="4508214E"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60DDD524" w14:textId="77777777" w:rsidR="009A4BA7" w:rsidRDefault="009A4BA7">
            <w:pPr>
              <w:spacing w:before="0" w:after="0" w:line="240" w:lineRule="auto"/>
              <w:rPr>
                <w:rFonts w:ascii="Arial" w:hAnsi="Arial" w:cs="Arial"/>
                <w:b/>
                <w:bCs/>
                <w:sz w:val="16"/>
                <w:szCs w:val="16"/>
              </w:rPr>
            </w:pPr>
            <w:r>
              <w:rPr>
                <w:rFonts w:ascii="Arial" w:hAnsi="Arial" w:cs="Arial"/>
                <w:b/>
                <w:bCs/>
                <w:sz w:val="16"/>
                <w:szCs w:val="16"/>
              </w:rPr>
              <w:t>Total assets</w:t>
            </w:r>
          </w:p>
        </w:tc>
        <w:tc>
          <w:tcPr>
            <w:tcW w:w="547" w:type="pct"/>
            <w:tcBorders>
              <w:top w:val="nil"/>
              <w:left w:val="nil"/>
              <w:bottom w:val="nil"/>
              <w:right w:val="nil"/>
            </w:tcBorders>
            <w:shd w:val="clear" w:color="000000" w:fill="FFFFFF"/>
            <w:noWrap/>
            <w:vAlign w:val="center"/>
            <w:hideMark/>
          </w:tcPr>
          <w:p w14:paraId="3946ADEE"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892.8</w:t>
            </w:r>
          </w:p>
        </w:tc>
        <w:tc>
          <w:tcPr>
            <w:tcW w:w="75" w:type="pct"/>
            <w:tcBorders>
              <w:top w:val="nil"/>
              <w:left w:val="nil"/>
              <w:bottom w:val="nil"/>
              <w:right w:val="nil"/>
            </w:tcBorders>
            <w:shd w:val="clear" w:color="000000" w:fill="FFFFFF"/>
            <w:noWrap/>
            <w:vAlign w:val="center"/>
            <w:hideMark/>
          </w:tcPr>
          <w:p w14:paraId="678B53DB"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671CF4F0"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927.9</w:t>
            </w:r>
          </w:p>
        </w:tc>
        <w:tc>
          <w:tcPr>
            <w:tcW w:w="539" w:type="pct"/>
            <w:tcBorders>
              <w:top w:val="nil"/>
              <w:left w:val="nil"/>
              <w:bottom w:val="nil"/>
              <w:right w:val="nil"/>
            </w:tcBorders>
            <w:shd w:val="clear" w:color="000000" w:fill="E6F2FF"/>
            <w:noWrap/>
            <w:vAlign w:val="center"/>
            <w:hideMark/>
          </w:tcPr>
          <w:p w14:paraId="5CED891B"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980.5</w:t>
            </w:r>
          </w:p>
        </w:tc>
        <w:tc>
          <w:tcPr>
            <w:tcW w:w="539" w:type="pct"/>
            <w:tcBorders>
              <w:top w:val="nil"/>
              <w:left w:val="nil"/>
              <w:bottom w:val="nil"/>
              <w:right w:val="nil"/>
            </w:tcBorders>
            <w:shd w:val="clear" w:color="000000" w:fill="FFFFFF"/>
            <w:noWrap/>
            <w:vAlign w:val="center"/>
            <w:hideMark/>
          </w:tcPr>
          <w:p w14:paraId="1FB1BC8F"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1,035.9</w:t>
            </w:r>
          </w:p>
        </w:tc>
        <w:tc>
          <w:tcPr>
            <w:tcW w:w="539" w:type="pct"/>
            <w:tcBorders>
              <w:top w:val="nil"/>
              <w:left w:val="nil"/>
              <w:bottom w:val="nil"/>
              <w:right w:val="nil"/>
            </w:tcBorders>
            <w:shd w:val="clear" w:color="000000" w:fill="FFFFFF"/>
            <w:noWrap/>
            <w:vAlign w:val="center"/>
            <w:hideMark/>
          </w:tcPr>
          <w:p w14:paraId="009B7512"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1,090.8</w:t>
            </w:r>
          </w:p>
        </w:tc>
        <w:tc>
          <w:tcPr>
            <w:tcW w:w="539" w:type="pct"/>
            <w:tcBorders>
              <w:top w:val="nil"/>
              <w:left w:val="nil"/>
              <w:bottom w:val="nil"/>
              <w:right w:val="nil"/>
            </w:tcBorders>
            <w:shd w:val="clear" w:color="000000" w:fill="FFFFFF"/>
            <w:noWrap/>
            <w:vAlign w:val="center"/>
            <w:hideMark/>
          </w:tcPr>
          <w:p w14:paraId="66E6F314"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1,143.8</w:t>
            </w:r>
          </w:p>
        </w:tc>
      </w:tr>
      <w:tr w:rsidR="009A4BA7" w14:paraId="7BD12888"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63F286E0" w14:textId="77777777" w:rsidR="009A4BA7" w:rsidRDefault="009A4BA7">
            <w:pPr>
              <w:spacing w:before="0" w:after="0" w:line="240" w:lineRule="auto"/>
              <w:rPr>
                <w:rFonts w:ascii="Arial" w:hAnsi="Arial" w:cs="Arial"/>
                <w:sz w:val="16"/>
                <w:szCs w:val="16"/>
              </w:rPr>
            </w:pPr>
            <w:r>
              <w:rPr>
                <w:rFonts w:ascii="Arial" w:hAnsi="Arial" w:cs="Arial"/>
                <w:sz w:val="16"/>
                <w:szCs w:val="16"/>
              </w:rPr>
              <w:t>Per cent of GDP</w:t>
            </w:r>
          </w:p>
        </w:tc>
        <w:tc>
          <w:tcPr>
            <w:tcW w:w="547" w:type="pct"/>
            <w:tcBorders>
              <w:top w:val="nil"/>
              <w:left w:val="nil"/>
              <w:bottom w:val="nil"/>
              <w:right w:val="nil"/>
            </w:tcBorders>
            <w:shd w:val="clear" w:color="000000" w:fill="FFFFFF"/>
            <w:noWrap/>
            <w:vAlign w:val="center"/>
            <w:hideMark/>
          </w:tcPr>
          <w:p w14:paraId="6A2D1B89"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32.1</w:t>
            </w:r>
          </w:p>
        </w:tc>
        <w:tc>
          <w:tcPr>
            <w:tcW w:w="75" w:type="pct"/>
            <w:tcBorders>
              <w:top w:val="nil"/>
              <w:left w:val="nil"/>
              <w:bottom w:val="nil"/>
              <w:right w:val="nil"/>
            </w:tcBorders>
            <w:shd w:val="clear" w:color="000000" w:fill="FFFFFF"/>
            <w:noWrap/>
            <w:vAlign w:val="center"/>
            <w:hideMark/>
          </w:tcPr>
          <w:p w14:paraId="5F8640A4"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nil"/>
              <w:right w:val="nil"/>
            </w:tcBorders>
            <w:shd w:val="clear" w:color="000000" w:fill="FFFFFF"/>
            <w:noWrap/>
            <w:vAlign w:val="center"/>
            <w:hideMark/>
          </w:tcPr>
          <w:p w14:paraId="3C6AC6AB"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31.3</w:t>
            </w:r>
          </w:p>
        </w:tc>
        <w:tc>
          <w:tcPr>
            <w:tcW w:w="539" w:type="pct"/>
            <w:tcBorders>
              <w:top w:val="nil"/>
              <w:left w:val="nil"/>
              <w:bottom w:val="nil"/>
              <w:right w:val="nil"/>
            </w:tcBorders>
            <w:shd w:val="clear" w:color="000000" w:fill="E6F2FF"/>
            <w:noWrap/>
            <w:vAlign w:val="center"/>
            <w:hideMark/>
          </w:tcPr>
          <w:p w14:paraId="675467F5"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31.7</w:t>
            </w:r>
          </w:p>
        </w:tc>
        <w:tc>
          <w:tcPr>
            <w:tcW w:w="539" w:type="pct"/>
            <w:tcBorders>
              <w:top w:val="nil"/>
              <w:left w:val="nil"/>
              <w:bottom w:val="nil"/>
              <w:right w:val="nil"/>
            </w:tcBorders>
            <w:shd w:val="clear" w:color="000000" w:fill="FFFFFF"/>
            <w:noWrap/>
            <w:vAlign w:val="center"/>
            <w:hideMark/>
          </w:tcPr>
          <w:p w14:paraId="2C251A0A"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32.5</w:t>
            </w:r>
          </w:p>
        </w:tc>
        <w:tc>
          <w:tcPr>
            <w:tcW w:w="539" w:type="pct"/>
            <w:tcBorders>
              <w:top w:val="nil"/>
              <w:left w:val="nil"/>
              <w:bottom w:val="nil"/>
              <w:right w:val="nil"/>
            </w:tcBorders>
            <w:shd w:val="clear" w:color="000000" w:fill="FFFFFF"/>
            <w:noWrap/>
            <w:vAlign w:val="center"/>
            <w:hideMark/>
          </w:tcPr>
          <w:p w14:paraId="2664CB06"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32.7</w:t>
            </w:r>
          </w:p>
        </w:tc>
        <w:tc>
          <w:tcPr>
            <w:tcW w:w="539" w:type="pct"/>
            <w:tcBorders>
              <w:top w:val="nil"/>
              <w:left w:val="nil"/>
              <w:bottom w:val="nil"/>
              <w:right w:val="nil"/>
            </w:tcBorders>
            <w:shd w:val="clear" w:color="000000" w:fill="FFFFFF"/>
            <w:noWrap/>
            <w:vAlign w:val="center"/>
            <w:hideMark/>
          </w:tcPr>
          <w:p w14:paraId="03CD7369"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32.6</w:t>
            </w:r>
          </w:p>
        </w:tc>
      </w:tr>
      <w:tr w:rsidR="009A4BA7" w14:paraId="41C7E28B" w14:textId="77777777" w:rsidTr="00E91697">
        <w:trPr>
          <w:trHeight w:hRule="exact" w:val="60"/>
        </w:trPr>
        <w:tc>
          <w:tcPr>
            <w:tcW w:w="1684" w:type="pct"/>
            <w:tcBorders>
              <w:top w:val="nil"/>
              <w:left w:val="nil"/>
              <w:bottom w:val="nil"/>
              <w:right w:val="nil"/>
            </w:tcBorders>
            <w:shd w:val="clear" w:color="000000" w:fill="FFFFFF"/>
            <w:noWrap/>
            <w:vAlign w:val="center"/>
            <w:hideMark/>
          </w:tcPr>
          <w:p w14:paraId="220CDBC0" w14:textId="77777777" w:rsidR="009A4BA7" w:rsidRDefault="009A4BA7">
            <w:pPr>
              <w:spacing w:before="0" w:after="0" w:line="240" w:lineRule="auto"/>
              <w:rPr>
                <w:rFonts w:ascii="Arial" w:hAnsi="Arial" w:cs="Arial"/>
                <w:b/>
                <w:bCs/>
                <w:sz w:val="16"/>
                <w:szCs w:val="16"/>
              </w:rPr>
            </w:pPr>
            <w:r>
              <w:rPr>
                <w:rFonts w:ascii="Arial" w:hAnsi="Arial" w:cs="Arial"/>
                <w:b/>
                <w:bCs/>
                <w:sz w:val="16"/>
                <w:szCs w:val="16"/>
              </w:rPr>
              <w:t> </w:t>
            </w:r>
          </w:p>
        </w:tc>
        <w:tc>
          <w:tcPr>
            <w:tcW w:w="547" w:type="pct"/>
            <w:tcBorders>
              <w:top w:val="nil"/>
              <w:left w:val="nil"/>
              <w:bottom w:val="nil"/>
              <w:right w:val="nil"/>
            </w:tcBorders>
            <w:shd w:val="clear" w:color="000000" w:fill="FFFFFF"/>
            <w:noWrap/>
            <w:vAlign w:val="center"/>
            <w:hideMark/>
          </w:tcPr>
          <w:p w14:paraId="62570F6B"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75" w:type="pct"/>
            <w:tcBorders>
              <w:top w:val="nil"/>
              <w:left w:val="nil"/>
              <w:bottom w:val="nil"/>
              <w:right w:val="nil"/>
            </w:tcBorders>
            <w:shd w:val="clear" w:color="000000" w:fill="FFFFFF"/>
            <w:noWrap/>
            <w:vAlign w:val="center"/>
            <w:hideMark/>
          </w:tcPr>
          <w:p w14:paraId="40F75E54"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6CEA89EA"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E6F2FF"/>
            <w:noWrap/>
            <w:vAlign w:val="center"/>
            <w:hideMark/>
          </w:tcPr>
          <w:p w14:paraId="7CB9C832"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7E421F78"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49BE41CB"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22EEE4AF"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r>
      <w:tr w:rsidR="009A4BA7" w14:paraId="7E633866"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2C4AC796" w14:textId="77777777" w:rsidR="009A4BA7" w:rsidRDefault="009A4BA7">
            <w:pPr>
              <w:spacing w:before="0" w:after="0" w:line="240" w:lineRule="auto"/>
              <w:rPr>
                <w:rFonts w:ascii="Arial" w:hAnsi="Arial" w:cs="Arial"/>
                <w:b/>
                <w:bCs/>
                <w:sz w:val="16"/>
                <w:szCs w:val="16"/>
              </w:rPr>
            </w:pPr>
            <w:r>
              <w:rPr>
                <w:rFonts w:ascii="Arial" w:hAnsi="Arial" w:cs="Arial"/>
                <w:b/>
                <w:bCs/>
                <w:sz w:val="16"/>
                <w:szCs w:val="16"/>
              </w:rPr>
              <w:t>Total liabilities</w:t>
            </w:r>
          </w:p>
        </w:tc>
        <w:tc>
          <w:tcPr>
            <w:tcW w:w="547" w:type="pct"/>
            <w:tcBorders>
              <w:top w:val="nil"/>
              <w:left w:val="nil"/>
              <w:bottom w:val="nil"/>
              <w:right w:val="nil"/>
            </w:tcBorders>
            <w:shd w:val="clear" w:color="000000" w:fill="FFFFFF"/>
            <w:noWrap/>
            <w:vAlign w:val="center"/>
            <w:hideMark/>
          </w:tcPr>
          <w:p w14:paraId="4BD79E35"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1,507.4</w:t>
            </w:r>
          </w:p>
        </w:tc>
        <w:tc>
          <w:tcPr>
            <w:tcW w:w="75" w:type="pct"/>
            <w:tcBorders>
              <w:top w:val="nil"/>
              <w:left w:val="nil"/>
              <w:bottom w:val="nil"/>
              <w:right w:val="nil"/>
            </w:tcBorders>
            <w:shd w:val="clear" w:color="000000" w:fill="FFFFFF"/>
            <w:noWrap/>
            <w:vAlign w:val="center"/>
            <w:hideMark/>
          </w:tcPr>
          <w:p w14:paraId="29DD337E"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260D3341"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1,542.8</w:t>
            </w:r>
          </w:p>
        </w:tc>
        <w:tc>
          <w:tcPr>
            <w:tcW w:w="539" w:type="pct"/>
            <w:tcBorders>
              <w:top w:val="nil"/>
              <w:left w:val="nil"/>
              <w:bottom w:val="nil"/>
              <w:right w:val="nil"/>
            </w:tcBorders>
            <w:shd w:val="clear" w:color="000000" w:fill="E6F2FF"/>
            <w:noWrap/>
            <w:vAlign w:val="center"/>
            <w:hideMark/>
          </w:tcPr>
          <w:p w14:paraId="63740D38"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1,627.4</w:t>
            </w:r>
          </w:p>
        </w:tc>
        <w:tc>
          <w:tcPr>
            <w:tcW w:w="539" w:type="pct"/>
            <w:tcBorders>
              <w:top w:val="nil"/>
              <w:left w:val="nil"/>
              <w:bottom w:val="nil"/>
              <w:right w:val="nil"/>
            </w:tcBorders>
            <w:shd w:val="clear" w:color="000000" w:fill="FFFFFF"/>
            <w:noWrap/>
            <w:vAlign w:val="center"/>
            <w:hideMark/>
          </w:tcPr>
          <w:p w14:paraId="762BF78E"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1,722.3</w:t>
            </w:r>
          </w:p>
        </w:tc>
        <w:tc>
          <w:tcPr>
            <w:tcW w:w="539" w:type="pct"/>
            <w:tcBorders>
              <w:top w:val="nil"/>
              <w:left w:val="nil"/>
              <w:bottom w:val="nil"/>
              <w:right w:val="nil"/>
            </w:tcBorders>
            <w:shd w:val="clear" w:color="000000" w:fill="FFFFFF"/>
            <w:noWrap/>
            <w:vAlign w:val="center"/>
            <w:hideMark/>
          </w:tcPr>
          <w:p w14:paraId="0FC4F71A"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1,821.5</w:t>
            </w:r>
          </w:p>
        </w:tc>
        <w:tc>
          <w:tcPr>
            <w:tcW w:w="539" w:type="pct"/>
            <w:tcBorders>
              <w:top w:val="nil"/>
              <w:left w:val="nil"/>
              <w:bottom w:val="nil"/>
              <w:right w:val="nil"/>
            </w:tcBorders>
            <w:shd w:val="clear" w:color="000000" w:fill="FFFFFF"/>
            <w:noWrap/>
            <w:vAlign w:val="center"/>
            <w:hideMark/>
          </w:tcPr>
          <w:p w14:paraId="1248654F"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1,905.9</w:t>
            </w:r>
          </w:p>
        </w:tc>
      </w:tr>
      <w:tr w:rsidR="009A4BA7" w14:paraId="4BF85ABE"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3F77A3CE" w14:textId="77777777" w:rsidR="009A4BA7" w:rsidRDefault="009A4BA7">
            <w:pPr>
              <w:spacing w:before="0" w:after="0" w:line="240" w:lineRule="auto"/>
              <w:rPr>
                <w:rFonts w:ascii="Arial" w:hAnsi="Arial" w:cs="Arial"/>
                <w:sz w:val="16"/>
                <w:szCs w:val="16"/>
              </w:rPr>
            </w:pPr>
            <w:r>
              <w:rPr>
                <w:rFonts w:ascii="Arial" w:hAnsi="Arial" w:cs="Arial"/>
                <w:sz w:val="16"/>
                <w:szCs w:val="16"/>
              </w:rPr>
              <w:t>Per cent of GDP</w:t>
            </w:r>
          </w:p>
        </w:tc>
        <w:tc>
          <w:tcPr>
            <w:tcW w:w="547" w:type="pct"/>
            <w:tcBorders>
              <w:top w:val="nil"/>
              <w:left w:val="nil"/>
              <w:bottom w:val="nil"/>
              <w:right w:val="nil"/>
            </w:tcBorders>
            <w:shd w:val="clear" w:color="000000" w:fill="FFFFFF"/>
            <w:noWrap/>
            <w:vAlign w:val="center"/>
            <w:hideMark/>
          </w:tcPr>
          <w:p w14:paraId="6BD3EE53"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54.3</w:t>
            </w:r>
          </w:p>
        </w:tc>
        <w:tc>
          <w:tcPr>
            <w:tcW w:w="75" w:type="pct"/>
            <w:tcBorders>
              <w:top w:val="nil"/>
              <w:left w:val="nil"/>
              <w:bottom w:val="nil"/>
              <w:right w:val="nil"/>
            </w:tcBorders>
            <w:shd w:val="clear" w:color="000000" w:fill="FFFFFF"/>
            <w:noWrap/>
            <w:vAlign w:val="center"/>
            <w:hideMark/>
          </w:tcPr>
          <w:p w14:paraId="3C6AD3D9"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nil"/>
              <w:right w:val="nil"/>
            </w:tcBorders>
            <w:shd w:val="clear" w:color="000000" w:fill="FFFFFF"/>
            <w:noWrap/>
            <w:vAlign w:val="center"/>
            <w:hideMark/>
          </w:tcPr>
          <w:p w14:paraId="694E02AC"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52.0</w:t>
            </w:r>
          </w:p>
        </w:tc>
        <w:tc>
          <w:tcPr>
            <w:tcW w:w="539" w:type="pct"/>
            <w:tcBorders>
              <w:top w:val="nil"/>
              <w:left w:val="nil"/>
              <w:bottom w:val="nil"/>
              <w:right w:val="nil"/>
            </w:tcBorders>
            <w:shd w:val="clear" w:color="000000" w:fill="E6F2FF"/>
            <w:noWrap/>
            <w:vAlign w:val="center"/>
            <w:hideMark/>
          </w:tcPr>
          <w:p w14:paraId="70C96E54"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52.6</w:t>
            </w:r>
          </w:p>
        </w:tc>
        <w:tc>
          <w:tcPr>
            <w:tcW w:w="539" w:type="pct"/>
            <w:tcBorders>
              <w:top w:val="nil"/>
              <w:left w:val="nil"/>
              <w:bottom w:val="nil"/>
              <w:right w:val="nil"/>
            </w:tcBorders>
            <w:shd w:val="clear" w:color="000000" w:fill="FFFFFF"/>
            <w:noWrap/>
            <w:vAlign w:val="center"/>
            <w:hideMark/>
          </w:tcPr>
          <w:p w14:paraId="7A9A714A"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54.1</w:t>
            </w:r>
          </w:p>
        </w:tc>
        <w:tc>
          <w:tcPr>
            <w:tcW w:w="539" w:type="pct"/>
            <w:tcBorders>
              <w:top w:val="nil"/>
              <w:left w:val="nil"/>
              <w:bottom w:val="nil"/>
              <w:right w:val="nil"/>
            </w:tcBorders>
            <w:shd w:val="clear" w:color="000000" w:fill="FFFFFF"/>
            <w:noWrap/>
            <w:vAlign w:val="center"/>
            <w:hideMark/>
          </w:tcPr>
          <w:p w14:paraId="11F92FED"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54.6</w:t>
            </w:r>
          </w:p>
        </w:tc>
        <w:tc>
          <w:tcPr>
            <w:tcW w:w="539" w:type="pct"/>
            <w:tcBorders>
              <w:top w:val="nil"/>
              <w:left w:val="nil"/>
              <w:bottom w:val="nil"/>
              <w:right w:val="nil"/>
            </w:tcBorders>
            <w:shd w:val="clear" w:color="000000" w:fill="FFFFFF"/>
            <w:noWrap/>
            <w:vAlign w:val="center"/>
            <w:hideMark/>
          </w:tcPr>
          <w:p w14:paraId="1FB05D4F"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54.4</w:t>
            </w:r>
          </w:p>
        </w:tc>
      </w:tr>
      <w:tr w:rsidR="009A4BA7" w14:paraId="572B3589" w14:textId="77777777" w:rsidTr="00E91697">
        <w:trPr>
          <w:trHeight w:hRule="exact" w:val="60"/>
        </w:trPr>
        <w:tc>
          <w:tcPr>
            <w:tcW w:w="1684" w:type="pct"/>
            <w:tcBorders>
              <w:top w:val="nil"/>
              <w:left w:val="nil"/>
              <w:bottom w:val="nil"/>
              <w:right w:val="nil"/>
            </w:tcBorders>
            <w:shd w:val="clear" w:color="000000" w:fill="FFFFFF"/>
            <w:noWrap/>
            <w:vAlign w:val="center"/>
            <w:hideMark/>
          </w:tcPr>
          <w:p w14:paraId="11BE09F6" w14:textId="77777777" w:rsidR="009A4BA7" w:rsidRDefault="009A4BA7">
            <w:pPr>
              <w:spacing w:before="0" w:after="0" w:line="240" w:lineRule="auto"/>
              <w:rPr>
                <w:rFonts w:ascii="Arial" w:hAnsi="Arial" w:cs="Arial"/>
                <w:b/>
                <w:bCs/>
                <w:sz w:val="16"/>
                <w:szCs w:val="16"/>
              </w:rPr>
            </w:pPr>
            <w:r>
              <w:rPr>
                <w:rFonts w:ascii="Arial" w:hAnsi="Arial" w:cs="Arial"/>
                <w:b/>
                <w:bCs/>
                <w:sz w:val="16"/>
                <w:szCs w:val="16"/>
              </w:rPr>
              <w:t> </w:t>
            </w:r>
          </w:p>
        </w:tc>
        <w:tc>
          <w:tcPr>
            <w:tcW w:w="547" w:type="pct"/>
            <w:tcBorders>
              <w:top w:val="nil"/>
              <w:left w:val="nil"/>
              <w:bottom w:val="nil"/>
              <w:right w:val="nil"/>
            </w:tcBorders>
            <w:shd w:val="clear" w:color="000000" w:fill="FFFFFF"/>
            <w:noWrap/>
            <w:vAlign w:val="center"/>
            <w:hideMark/>
          </w:tcPr>
          <w:p w14:paraId="4290DB2A"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75" w:type="pct"/>
            <w:tcBorders>
              <w:top w:val="nil"/>
              <w:left w:val="nil"/>
              <w:bottom w:val="nil"/>
              <w:right w:val="nil"/>
            </w:tcBorders>
            <w:shd w:val="clear" w:color="000000" w:fill="FFFFFF"/>
            <w:noWrap/>
            <w:vAlign w:val="center"/>
            <w:hideMark/>
          </w:tcPr>
          <w:p w14:paraId="4A34A7F5"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611C49B4"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E6F2FF"/>
            <w:noWrap/>
            <w:vAlign w:val="center"/>
            <w:hideMark/>
          </w:tcPr>
          <w:p w14:paraId="15446738"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7C38873D"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1FA91C55"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35B0B562"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r>
      <w:tr w:rsidR="009A4BA7" w14:paraId="0E86CD16"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2FB1A6CE" w14:textId="77777777" w:rsidR="009A4BA7" w:rsidRDefault="009A4BA7">
            <w:pPr>
              <w:spacing w:before="0" w:after="0" w:line="240" w:lineRule="auto"/>
              <w:rPr>
                <w:rFonts w:ascii="Arial" w:hAnsi="Arial" w:cs="Arial"/>
                <w:b/>
                <w:bCs/>
                <w:sz w:val="16"/>
                <w:szCs w:val="16"/>
              </w:rPr>
            </w:pPr>
            <w:r>
              <w:rPr>
                <w:rFonts w:ascii="Arial" w:hAnsi="Arial" w:cs="Arial"/>
                <w:b/>
                <w:bCs/>
                <w:sz w:val="16"/>
                <w:szCs w:val="16"/>
              </w:rPr>
              <w:t>Net worth</w:t>
            </w:r>
          </w:p>
        </w:tc>
        <w:tc>
          <w:tcPr>
            <w:tcW w:w="547" w:type="pct"/>
            <w:tcBorders>
              <w:top w:val="nil"/>
              <w:left w:val="nil"/>
              <w:bottom w:val="nil"/>
              <w:right w:val="nil"/>
            </w:tcBorders>
            <w:shd w:val="clear" w:color="000000" w:fill="FFFFFF"/>
            <w:noWrap/>
            <w:vAlign w:val="center"/>
            <w:hideMark/>
          </w:tcPr>
          <w:p w14:paraId="4D59051A"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-614.5</w:t>
            </w:r>
          </w:p>
        </w:tc>
        <w:tc>
          <w:tcPr>
            <w:tcW w:w="75" w:type="pct"/>
            <w:tcBorders>
              <w:top w:val="nil"/>
              <w:left w:val="nil"/>
              <w:bottom w:val="nil"/>
              <w:right w:val="nil"/>
            </w:tcBorders>
            <w:shd w:val="clear" w:color="000000" w:fill="FFFFFF"/>
            <w:noWrap/>
            <w:vAlign w:val="center"/>
            <w:hideMark/>
          </w:tcPr>
          <w:p w14:paraId="6B258F3C"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1AF4D401"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-614.9</w:t>
            </w:r>
          </w:p>
        </w:tc>
        <w:tc>
          <w:tcPr>
            <w:tcW w:w="539" w:type="pct"/>
            <w:tcBorders>
              <w:top w:val="nil"/>
              <w:left w:val="nil"/>
              <w:bottom w:val="nil"/>
              <w:right w:val="nil"/>
            </w:tcBorders>
            <w:shd w:val="clear" w:color="000000" w:fill="E6F2FF"/>
            <w:noWrap/>
            <w:vAlign w:val="center"/>
            <w:hideMark/>
          </w:tcPr>
          <w:p w14:paraId="3D75F0B9"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-646.9</w:t>
            </w:r>
          </w:p>
        </w:tc>
        <w:tc>
          <w:tcPr>
            <w:tcW w:w="539" w:type="pct"/>
            <w:tcBorders>
              <w:top w:val="nil"/>
              <w:left w:val="nil"/>
              <w:bottom w:val="nil"/>
              <w:right w:val="nil"/>
            </w:tcBorders>
            <w:shd w:val="clear" w:color="000000" w:fill="FFFFFF"/>
            <w:noWrap/>
            <w:vAlign w:val="center"/>
            <w:hideMark/>
          </w:tcPr>
          <w:p w14:paraId="70A0B22F"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-686.4</w:t>
            </w:r>
          </w:p>
        </w:tc>
        <w:tc>
          <w:tcPr>
            <w:tcW w:w="539" w:type="pct"/>
            <w:tcBorders>
              <w:top w:val="nil"/>
              <w:left w:val="nil"/>
              <w:bottom w:val="nil"/>
              <w:right w:val="nil"/>
            </w:tcBorders>
            <w:shd w:val="clear" w:color="000000" w:fill="FFFFFF"/>
            <w:noWrap/>
            <w:vAlign w:val="center"/>
            <w:hideMark/>
          </w:tcPr>
          <w:p w14:paraId="5FE0B221"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-730.7</w:t>
            </w:r>
          </w:p>
        </w:tc>
        <w:tc>
          <w:tcPr>
            <w:tcW w:w="539" w:type="pct"/>
            <w:tcBorders>
              <w:top w:val="nil"/>
              <w:left w:val="nil"/>
              <w:bottom w:val="nil"/>
              <w:right w:val="nil"/>
            </w:tcBorders>
            <w:shd w:val="clear" w:color="000000" w:fill="FFFFFF"/>
            <w:noWrap/>
            <w:vAlign w:val="center"/>
            <w:hideMark/>
          </w:tcPr>
          <w:p w14:paraId="4A1E7BF9"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-762.1</w:t>
            </w:r>
          </w:p>
        </w:tc>
      </w:tr>
      <w:tr w:rsidR="009A4BA7" w14:paraId="4098AD7F"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64767F5C" w14:textId="77777777" w:rsidR="009A4BA7" w:rsidRDefault="009A4BA7">
            <w:pPr>
              <w:spacing w:before="0" w:after="0" w:line="240" w:lineRule="auto"/>
              <w:rPr>
                <w:rFonts w:ascii="Arial" w:hAnsi="Arial" w:cs="Arial"/>
                <w:sz w:val="16"/>
                <w:szCs w:val="16"/>
              </w:rPr>
            </w:pPr>
            <w:r>
              <w:rPr>
                <w:rFonts w:ascii="Arial" w:hAnsi="Arial" w:cs="Arial"/>
                <w:sz w:val="16"/>
                <w:szCs w:val="16"/>
              </w:rPr>
              <w:t>Per cent of GDP</w:t>
            </w:r>
          </w:p>
        </w:tc>
        <w:tc>
          <w:tcPr>
            <w:tcW w:w="547" w:type="pct"/>
            <w:tcBorders>
              <w:top w:val="nil"/>
              <w:left w:val="nil"/>
              <w:bottom w:val="nil"/>
              <w:right w:val="nil"/>
            </w:tcBorders>
            <w:shd w:val="clear" w:color="000000" w:fill="FFFFFF"/>
            <w:noWrap/>
            <w:vAlign w:val="center"/>
            <w:hideMark/>
          </w:tcPr>
          <w:p w14:paraId="3100D95E"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-22.1</w:t>
            </w:r>
          </w:p>
        </w:tc>
        <w:tc>
          <w:tcPr>
            <w:tcW w:w="75" w:type="pct"/>
            <w:tcBorders>
              <w:top w:val="nil"/>
              <w:left w:val="nil"/>
              <w:bottom w:val="nil"/>
              <w:right w:val="nil"/>
            </w:tcBorders>
            <w:shd w:val="clear" w:color="000000" w:fill="FFFFFF"/>
            <w:noWrap/>
            <w:vAlign w:val="center"/>
            <w:hideMark/>
          </w:tcPr>
          <w:p w14:paraId="089FC90A"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nil"/>
              <w:right w:val="nil"/>
            </w:tcBorders>
            <w:shd w:val="clear" w:color="000000" w:fill="FFFFFF"/>
            <w:noWrap/>
            <w:vAlign w:val="center"/>
            <w:hideMark/>
          </w:tcPr>
          <w:p w14:paraId="74F02898"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-20.7</w:t>
            </w:r>
          </w:p>
        </w:tc>
        <w:tc>
          <w:tcPr>
            <w:tcW w:w="539" w:type="pct"/>
            <w:tcBorders>
              <w:top w:val="nil"/>
              <w:left w:val="nil"/>
              <w:bottom w:val="nil"/>
              <w:right w:val="nil"/>
            </w:tcBorders>
            <w:shd w:val="clear" w:color="000000" w:fill="E6F2FF"/>
            <w:noWrap/>
            <w:vAlign w:val="center"/>
            <w:hideMark/>
          </w:tcPr>
          <w:p w14:paraId="3C52569D"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-20.9</w:t>
            </w:r>
          </w:p>
        </w:tc>
        <w:tc>
          <w:tcPr>
            <w:tcW w:w="539" w:type="pct"/>
            <w:tcBorders>
              <w:top w:val="nil"/>
              <w:left w:val="nil"/>
              <w:bottom w:val="nil"/>
              <w:right w:val="nil"/>
            </w:tcBorders>
            <w:shd w:val="clear" w:color="000000" w:fill="FFFFFF"/>
            <w:noWrap/>
            <w:vAlign w:val="center"/>
            <w:hideMark/>
          </w:tcPr>
          <w:p w14:paraId="3DD1A791"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-21.6</w:t>
            </w:r>
          </w:p>
        </w:tc>
        <w:tc>
          <w:tcPr>
            <w:tcW w:w="539" w:type="pct"/>
            <w:tcBorders>
              <w:top w:val="nil"/>
              <w:left w:val="nil"/>
              <w:bottom w:val="nil"/>
              <w:right w:val="nil"/>
            </w:tcBorders>
            <w:shd w:val="clear" w:color="000000" w:fill="FFFFFF"/>
            <w:noWrap/>
            <w:vAlign w:val="center"/>
            <w:hideMark/>
          </w:tcPr>
          <w:p w14:paraId="2F163A0C"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-21.9</w:t>
            </w:r>
          </w:p>
        </w:tc>
        <w:tc>
          <w:tcPr>
            <w:tcW w:w="539" w:type="pct"/>
            <w:tcBorders>
              <w:top w:val="nil"/>
              <w:left w:val="nil"/>
              <w:bottom w:val="nil"/>
              <w:right w:val="nil"/>
            </w:tcBorders>
            <w:shd w:val="clear" w:color="000000" w:fill="FFFFFF"/>
            <w:noWrap/>
            <w:vAlign w:val="center"/>
            <w:hideMark/>
          </w:tcPr>
          <w:p w14:paraId="02BDA612"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-21.7</w:t>
            </w:r>
          </w:p>
        </w:tc>
      </w:tr>
      <w:tr w:rsidR="009A4BA7" w14:paraId="5AD67CA9" w14:textId="77777777" w:rsidTr="00E91697">
        <w:trPr>
          <w:trHeight w:hRule="exact" w:val="60"/>
        </w:trPr>
        <w:tc>
          <w:tcPr>
            <w:tcW w:w="1684" w:type="pct"/>
            <w:tcBorders>
              <w:top w:val="nil"/>
              <w:left w:val="nil"/>
              <w:bottom w:val="nil"/>
              <w:right w:val="nil"/>
            </w:tcBorders>
            <w:shd w:val="clear" w:color="000000" w:fill="FFFFFF"/>
            <w:noWrap/>
            <w:vAlign w:val="center"/>
            <w:hideMark/>
          </w:tcPr>
          <w:p w14:paraId="3C44BA61" w14:textId="77777777" w:rsidR="009A4BA7" w:rsidRDefault="009A4BA7">
            <w:pPr>
              <w:spacing w:before="0" w:after="0" w:line="240" w:lineRule="auto"/>
              <w:rPr>
                <w:rFonts w:ascii="Arial" w:hAnsi="Arial" w:cs="Arial"/>
                <w:b/>
                <w:bCs/>
                <w:sz w:val="16"/>
                <w:szCs w:val="16"/>
              </w:rPr>
            </w:pPr>
            <w:r>
              <w:rPr>
                <w:rFonts w:ascii="Arial" w:hAnsi="Arial" w:cs="Arial"/>
                <w:b/>
                <w:bCs/>
                <w:sz w:val="16"/>
                <w:szCs w:val="16"/>
              </w:rPr>
              <w:t> </w:t>
            </w:r>
          </w:p>
        </w:tc>
        <w:tc>
          <w:tcPr>
            <w:tcW w:w="547" w:type="pct"/>
            <w:tcBorders>
              <w:top w:val="nil"/>
              <w:left w:val="nil"/>
              <w:bottom w:val="nil"/>
              <w:right w:val="nil"/>
            </w:tcBorders>
            <w:shd w:val="clear" w:color="000000" w:fill="FFFFFF"/>
            <w:noWrap/>
            <w:vAlign w:val="center"/>
            <w:hideMark/>
          </w:tcPr>
          <w:p w14:paraId="33AEF288"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75" w:type="pct"/>
            <w:tcBorders>
              <w:top w:val="nil"/>
              <w:left w:val="nil"/>
              <w:bottom w:val="nil"/>
              <w:right w:val="nil"/>
            </w:tcBorders>
            <w:shd w:val="clear" w:color="000000" w:fill="FFFFFF"/>
            <w:noWrap/>
            <w:vAlign w:val="center"/>
            <w:hideMark/>
          </w:tcPr>
          <w:p w14:paraId="599B1655"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2DB4AD4C"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E6F2FF"/>
            <w:noWrap/>
            <w:vAlign w:val="center"/>
            <w:hideMark/>
          </w:tcPr>
          <w:p w14:paraId="0768FE1A"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61E8D57A"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3C52A5B4"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49ABB1F2"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r>
      <w:tr w:rsidR="009A4BA7" w14:paraId="7274D268"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717940E0" w14:textId="77777777" w:rsidR="009A4BA7" w:rsidRDefault="009A4BA7">
            <w:pPr>
              <w:spacing w:before="0" w:after="0" w:line="240" w:lineRule="auto"/>
              <w:rPr>
                <w:rFonts w:ascii="Arial" w:hAnsi="Arial" w:cs="Arial"/>
                <w:b/>
                <w:bCs/>
                <w:sz w:val="16"/>
                <w:szCs w:val="16"/>
              </w:rPr>
            </w:pPr>
            <w:r>
              <w:rPr>
                <w:rFonts w:ascii="Arial" w:hAnsi="Arial" w:cs="Arial"/>
                <w:b/>
                <w:bCs/>
                <w:sz w:val="16"/>
                <w:szCs w:val="16"/>
              </w:rPr>
              <w:t xml:space="preserve">Net financial worth(b) </w:t>
            </w:r>
          </w:p>
        </w:tc>
        <w:tc>
          <w:tcPr>
            <w:tcW w:w="547" w:type="pct"/>
            <w:tcBorders>
              <w:top w:val="nil"/>
              <w:left w:val="nil"/>
              <w:bottom w:val="nil"/>
              <w:right w:val="nil"/>
            </w:tcBorders>
            <w:shd w:val="clear" w:color="000000" w:fill="FFFFFF"/>
            <w:noWrap/>
            <w:vAlign w:val="center"/>
            <w:hideMark/>
          </w:tcPr>
          <w:p w14:paraId="53BAB747"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-841.9</w:t>
            </w:r>
          </w:p>
        </w:tc>
        <w:tc>
          <w:tcPr>
            <w:tcW w:w="75" w:type="pct"/>
            <w:tcBorders>
              <w:top w:val="nil"/>
              <w:left w:val="nil"/>
              <w:bottom w:val="nil"/>
              <w:right w:val="nil"/>
            </w:tcBorders>
            <w:shd w:val="clear" w:color="000000" w:fill="FFFFFF"/>
            <w:noWrap/>
            <w:vAlign w:val="center"/>
            <w:hideMark/>
          </w:tcPr>
          <w:p w14:paraId="3D15F9D5"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0F1E2E75"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-852.5</w:t>
            </w:r>
          </w:p>
        </w:tc>
        <w:tc>
          <w:tcPr>
            <w:tcW w:w="539" w:type="pct"/>
            <w:tcBorders>
              <w:top w:val="nil"/>
              <w:left w:val="nil"/>
              <w:bottom w:val="nil"/>
              <w:right w:val="nil"/>
            </w:tcBorders>
            <w:shd w:val="clear" w:color="000000" w:fill="E6F2FF"/>
            <w:noWrap/>
            <w:vAlign w:val="center"/>
            <w:hideMark/>
          </w:tcPr>
          <w:p w14:paraId="13E8FC53"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-895.6</w:t>
            </w:r>
          </w:p>
        </w:tc>
        <w:tc>
          <w:tcPr>
            <w:tcW w:w="539" w:type="pct"/>
            <w:tcBorders>
              <w:top w:val="nil"/>
              <w:left w:val="nil"/>
              <w:bottom w:val="nil"/>
              <w:right w:val="nil"/>
            </w:tcBorders>
            <w:shd w:val="clear" w:color="000000" w:fill="FFFFFF"/>
            <w:noWrap/>
            <w:vAlign w:val="center"/>
            <w:hideMark/>
          </w:tcPr>
          <w:p w14:paraId="6C24AA02"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-946.3</w:t>
            </w:r>
          </w:p>
        </w:tc>
        <w:tc>
          <w:tcPr>
            <w:tcW w:w="539" w:type="pct"/>
            <w:tcBorders>
              <w:top w:val="nil"/>
              <w:left w:val="nil"/>
              <w:bottom w:val="nil"/>
              <w:right w:val="nil"/>
            </w:tcBorders>
            <w:shd w:val="clear" w:color="000000" w:fill="FFFFFF"/>
            <w:noWrap/>
            <w:vAlign w:val="center"/>
            <w:hideMark/>
          </w:tcPr>
          <w:p w14:paraId="559AEEDC"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-999.7</w:t>
            </w:r>
          </w:p>
        </w:tc>
        <w:tc>
          <w:tcPr>
            <w:tcW w:w="539" w:type="pct"/>
            <w:tcBorders>
              <w:top w:val="nil"/>
              <w:left w:val="nil"/>
              <w:bottom w:val="nil"/>
              <w:right w:val="nil"/>
            </w:tcBorders>
            <w:shd w:val="clear" w:color="000000" w:fill="FFFFFF"/>
            <w:noWrap/>
            <w:vAlign w:val="center"/>
            <w:hideMark/>
          </w:tcPr>
          <w:p w14:paraId="33CA498F"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-1,041.9</w:t>
            </w:r>
          </w:p>
        </w:tc>
      </w:tr>
      <w:tr w:rsidR="009A4BA7" w14:paraId="1560D7E4"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06B8C95C" w14:textId="77777777" w:rsidR="009A4BA7" w:rsidRDefault="009A4BA7">
            <w:pPr>
              <w:spacing w:before="0" w:after="0" w:line="240" w:lineRule="auto"/>
              <w:rPr>
                <w:rFonts w:ascii="Arial" w:hAnsi="Arial" w:cs="Arial"/>
                <w:sz w:val="16"/>
                <w:szCs w:val="16"/>
              </w:rPr>
            </w:pPr>
            <w:r>
              <w:rPr>
                <w:rFonts w:ascii="Arial" w:hAnsi="Arial" w:cs="Arial"/>
                <w:sz w:val="16"/>
                <w:szCs w:val="16"/>
              </w:rPr>
              <w:t>Per cent of GDP</w:t>
            </w:r>
          </w:p>
        </w:tc>
        <w:tc>
          <w:tcPr>
            <w:tcW w:w="547" w:type="pct"/>
            <w:tcBorders>
              <w:top w:val="nil"/>
              <w:left w:val="nil"/>
              <w:bottom w:val="nil"/>
              <w:right w:val="nil"/>
            </w:tcBorders>
            <w:shd w:val="clear" w:color="000000" w:fill="FFFFFF"/>
            <w:noWrap/>
            <w:vAlign w:val="center"/>
            <w:hideMark/>
          </w:tcPr>
          <w:p w14:paraId="7A117F59"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-30.3</w:t>
            </w:r>
          </w:p>
        </w:tc>
        <w:tc>
          <w:tcPr>
            <w:tcW w:w="75" w:type="pct"/>
            <w:tcBorders>
              <w:top w:val="nil"/>
              <w:left w:val="nil"/>
              <w:bottom w:val="nil"/>
              <w:right w:val="nil"/>
            </w:tcBorders>
            <w:shd w:val="clear" w:color="000000" w:fill="FFFFFF"/>
            <w:noWrap/>
            <w:vAlign w:val="center"/>
            <w:hideMark/>
          </w:tcPr>
          <w:p w14:paraId="0C4F6AA1"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nil"/>
              <w:right w:val="nil"/>
            </w:tcBorders>
            <w:shd w:val="clear" w:color="000000" w:fill="FFFFFF"/>
            <w:noWrap/>
            <w:vAlign w:val="center"/>
            <w:hideMark/>
          </w:tcPr>
          <w:p w14:paraId="5DBA482D"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-28.8</w:t>
            </w:r>
          </w:p>
        </w:tc>
        <w:tc>
          <w:tcPr>
            <w:tcW w:w="539" w:type="pct"/>
            <w:tcBorders>
              <w:top w:val="nil"/>
              <w:left w:val="nil"/>
              <w:bottom w:val="nil"/>
              <w:right w:val="nil"/>
            </w:tcBorders>
            <w:shd w:val="clear" w:color="000000" w:fill="E6F2FF"/>
            <w:noWrap/>
            <w:vAlign w:val="center"/>
            <w:hideMark/>
          </w:tcPr>
          <w:p w14:paraId="4E6FCE33"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-28.9</w:t>
            </w:r>
          </w:p>
        </w:tc>
        <w:tc>
          <w:tcPr>
            <w:tcW w:w="539" w:type="pct"/>
            <w:tcBorders>
              <w:top w:val="nil"/>
              <w:left w:val="nil"/>
              <w:bottom w:val="nil"/>
              <w:right w:val="nil"/>
            </w:tcBorders>
            <w:shd w:val="clear" w:color="000000" w:fill="FFFFFF"/>
            <w:noWrap/>
            <w:vAlign w:val="center"/>
            <w:hideMark/>
          </w:tcPr>
          <w:p w14:paraId="32464AED"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-29.7</w:t>
            </w:r>
          </w:p>
        </w:tc>
        <w:tc>
          <w:tcPr>
            <w:tcW w:w="539" w:type="pct"/>
            <w:tcBorders>
              <w:top w:val="nil"/>
              <w:left w:val="nil"/>
              <w:bottom w:val="nil"/>
              <w:right w:val="nil"/>
            </w:tcBorders>
            <w:shd w:val="clear" w:color="000000" w:fill="FFFFFF"/>
            <w:noWrap/>
            <w:vAlign w:val="center"/>
            <w:hideMark/>
          </w:tcPr>
          <w:p w14:paraId="4DB53C1D"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-30.0</w:t>
            </w:r>
          </w:p>
        </w:tc>
        <w:tc>
          <w:tcPr>
            <w:tcW w:w="539" w:type="pct"/>
            <w:tcBorders>
              <w:top w:val="nil"/>
              <w:left w:val="nil"/>
              <w:bottom w:val="nil"/>
              <w:right w:val="nil"/>
            </w:tcBorders>
            <w:shd w:val="clear" w:color="000000" w:fill="FFFFFF"/>
            <w:noWrap/>
            <w:vAlign w:val="center"/>
            <w:hideMark/>
          </w:tcPr>
          <w:p w14:paraId="3CD01275"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-29.7</w:t>
            </w:r>
          </w:p>
        </w:tc>
      </w:tr>
      <w:tr w:rsidR="009A4BA7" w14:paraId="72753E0F" w14:textId="77777777" w:rsidTr="00E91697">
        <w:trPr>
          <w:trHeight w:hRule="exact" w:val="60"/>
        </w:trPr>
        <w:tc>
          <w:tcPr>
            <w:tcW w:w="1684" w:type="pct"/>
            <w:tcBorders>
              <w:top w:val="nil"/>
              <w:left w:val="nil"/>
              <w:bottom w:val="nil"/>
              <w:right w:val="nil"/>
            </w:tcBorders>
            <w:shd w:val="clear" w:color="000000" w:fill="FFFFFF"/>
            <w:noWrap/>
            <w:vAlign w:val="center"/>
            <w:hideMark/>
          </w:tcPr>
          <w:p w14:paraId="3F4700F2" w14:textId="77777777" w:rsidR="009A4BA7" w:rsidRDefault="009A4BA7">
            <w:pPr>
              <w:spacing w:before="0" w:after="0" w:line="240" w:lineRule="auto"/>
              <w:rPr>
                <w:rFonts w:ascii="Arial" w:hAnsi="Arial" w:cs="Arial"/>
                <w:b/>
                <w:bCs/>
                <w:sz w:val="16"/>
                <w:szCs w:val="16"/>
              </w:rPr>
            </w:pPr>
            <w:r>
              <w:rPr>
                <w:rFonts w:ascii="Arial" w:hAnsi="Arial" w:cs="Arial"/>
                <w:b/>
                <w:bCs/>
                <w:sz w:val="16"/>
                <w:szCs w:val="16"/>
              </w:rPr>
              <w:t> </w:t>
            </w:r>
          </w:p>
        </w:tc>
        <w:tc>
          <w:tcPr>
            <w:tcW w:w="547" w:type="pct"/>
            <w:tcBorders>
              <w:top w:val="nil"/>
              <w:left w:val="nil"/>
              <w:bottom w:val="nil"/>
              <w:right w:val="nil"/>
            </w:tcBorders>
            <w:shd w:val="clear" w:color="000000" w:fill="FFFFFF"/>
            <w:noWrap/>
            <w:vAlign w:val="center"/>
            <w:hideMark/>
          </w:tcPr>
          <w:p w14:paraId="21FC29D2"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75" w:type="pct"/>
            <w:tcBorders>
              <w:top w:val="nil"/>
              <w:left w:val="nil"/>
              <w:bottom w:val="nil"/>
              <w:right w:val="nil"/>
            </w:tcBorders>
            <w:shd w:val="clear" w:color="000000" w:fill="FFFFFF"/>
            <w:noWrap/>
            <w:vAlign w:val="center"/>
            <w:hideMark/>
          </w:tcPr>
          <w:p w14:paraId="61DD11F6"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7906FECD"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E6F2FF"/>
            <w:noWrap/>
            <w:vAlign w:val="center"/>
            <w:hideMark/>
          </w:tcPr>
          <w:p w14:paraId="1C6A0904"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2AE8B2C0"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3C1E307D"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6D3702D9"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r>
      <w:tr w:rsidR="009A4BA7" w14:paraId="43D4F44D"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16DAAFC6" w14:textId="77777777" w:rsidR="009A4BA7" w:rsidRDefault="009A4BA7">
            <w:pPr>
              <w:spacing w:before="0" w:after="0" w:line="240" w:lineRule="auto"/>
              <w:rPr>
                <w:rFonts w:ascii="Arial" w:hAnsi="Arial" w:cs="Arial"/>
                <w:b/>
                <w:bCs/>
                <w:sz w:val="16"/>
                <w:szCs w:val="16"/>
              </w:rPr>
            </w:pPr>
            <w:r>
              <w:rPr>
                <w:rFonts w:ascii="Arial" w:hAnsi="Arial" w:cs="Arial"/>
                <w:b/>
                <w:bCs/>
                <w:sz w:val="16"/>
                <w:szCs w:val="16"/>
              </w:rPr>
              <w:t>Gross debt(c)</w:t>
            </w:r>
          </w:p>
        </w:tc>
        <w:tc>
          <w:tcPr>
            <w:tcW w:w="547" w:type="pct"/>
            <w:tcBorders>
              <w:top w:val="nil"/>
              <w:left w:val="nil"/>
              <w:bottom w:val="nil"/>
              <w:right w:val="nil"/>
            </w:tcBorders>
            <w:shd w:val="clear" w:color="000000" w:fill="FFFFFF"/>
            <w:noWrap/>
            <w:vAlign w:val="center"/>
            <w:hideMark/>
          </w:tcPr>
          <w:p w14:paraId="5E960F2D"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928.6</w:t>
            </w:r>
          </w:p>
        </w:tc>
        <w:tc>
          <w:tcPr>
            <w:tcW w:w="75" w:type="pct"/>
            <w:tcBorders>
              <w:top w:val="nil"/>
              <w:left w:val="nil"/>
              <w:bottom w:val="nil"/>
              <w:right w:val="nil"/>
            </w:tcBorders>
            <w:shd w:val="clear" w:color="000000" w:fill="FFFFFF"/>
            <w:noWrap/>
            <w:vAlign w:val="center"/>
            <w:hideMark/>
          </w:tcPr>
          <w:p w14:paraId="3DD11FCB"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1ABD7E8C"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982.0</w:t>
            </w:r>
          </w:p>
        </w:tc>
        <w:tc>
          <w:tcPr>
            <w:tcW w:w="539" w:type="pct"/>
            <w:tcBorders>
              <w:top w:val="nil"/>
              <w:left w:val="nil"/>
              <w:bottom w:val="nil"/>
              <w:right w:val="nil"/>
            </w:tcBorders>
            <w:shd w:val="clear" w:color="000000" w:fill="E6F2FF"/>
            <w:noWrap/>
            <w:vAlign w:val="bottom"/>
            <w:hideMark/>
          </w:tcPr>
          <w:p w14:paraId="72AC857E" w14:textId="77777777" w:rsidR="009A4BA7" w:rsidRDefault="009A4BA7">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1,051.0</w:t>
            </w:r>
          </w:p>
        </w:tc>
        <w:tc>
          <w:tcPr>
            <w:tcW w:w="539" w:type="pct"/>
            <w:tcBorders>
              <w:top w:val="nil"/>
              <w:left w:val="nil"/>
              <w:bottom w:val="nil"/>
              <w:right w:val="nil"/>
            </w:tcBorders>
            <w:shd w:val="clear" w:color="000000" w:fill="FFFFFF"/>
            <w:noWrap/>
            <w:vAlign w:val="center"/>
            <w:hideMark/>
          </w:tcPr>
          <w:p w14:paraId="5F8A1B4C"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1,120.0</w:t>
            </w:r>
          </w:p>
        </w:tc>
        <w:tc>
          <w:tcPr>
            <w:tcW w:w="539" w:type="pct"/>
            <w:tcBorders>
              <w:top w:val="nil"/>
              <w:left w:val="nil"/>
              <w:bottom w:val="nil"/>
              <w:right w:val="nil"/>
            </w:tcBorders>
            <w:shd w:val="clear" w:color="000000" w:fill="FFFFFF"/>
            <w:noWrap/>
            <w:vAlign w:val="center"/>
            <w:hideMark/>
          </w:tcPr>
          <w:p w14:paraId="50461B6F"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1,193.0</w:t>
            </w:r>
          </w:p>
        </w:tc>
        <w:tc>
          <w:tcPr>
            <w:tcW w:w="539" w:type="pct"/>
            <w:tcBorders>
              <w:top w:val="nil"/>
              <w:left w:val="nil"/>
              <w:bottom w:val="nil"/>
              <w:right w:val="nil"/>
            </w:tcBorders>
            <w:shd w:val="clear" w:color="000000" w:fill="FFFFFF"/>
            <w:noWrap/>
            <w:vAlign w:val="center"/>
            <w:hideMark/>
          </w:tcPr>
          <w:p w14:paraId="2C974F96"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1,249.0</w:t>
            </w:r>
          </w:p>
        </w:tc>
      </w:tr>
      <w:tr w:rsidR="009A4BA7" w14:paraId="72CF807F"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5BACFA66" w14:textId="77777777" w:rsidR="009A4BA7" w:rsidRDefault="009A4BA7">
            <w:pPr>
              <w:spacing w:before="0" w:after="0" w:line="240" w:lineRule="auto"/>
              <w:rPr>
                <w:rFonts w:ascii="Arial" w:hAnsi="Arial" w:cs="Arial"/>
                <w:sz w:val="16"/>
                <w:szCs w:val="16"/>
              </w:rPr>
            </w:pPr>
            <w:r>
              <w:rPr>
                <w:rFonts w:ascii="Arial" w:hAnsi="Arial" w:cs="Arial"/>
                <w:sz w:val="16"/>
                <w:szCs w:val="16"/>
              </w:rPr>
              <w:t>Per cent of GDP</w:t>
            </w:r>
          </w:p>
        </w:tc>
        <w:tc>
          <w:tcPr>
            <w:tcW w:w="547" w:type="pct"/>
            <w:tcBorders>
              <w:top w:val="nil"/>
              <w:left w:val="nil"/>
              <w:bottom w:val="nil"/>
              <w:right w:val="nil"/>
            </w:tcBorders>
            <w:shd w:val="clear" w:color="000000" w:fill="FFFFFF"/>
            <w:noWrap/>
            <w:vAlign w:val="center"/>
            <w:hideMark/>
          </w:tcPr>
          <w:p w14:paraId="160EFF63"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33.4</w:t>
            </w:r>
          </w:p>
        </w:tc>
        <w:tc>
          <w:tcPr>
            <w:tcW w:w="75" w:type="pct"/>
            <w:tcBorders>
              <w:top w:val="nil"/>
              <w:left w:val="nil"/>
              <w:bottom w:val="nil"/>
              <w:right w:val="nil"/>
            </w:tcBorders>
            <w:shd w:val="clear" w:color="000000" w:fill="FFFFFF"/>
            <w:noWrap/>
            <w:vAlign w:val="center"/>
            <w:hideMark/>
          </w:tcPr>
          <w:p w14:paraId="586834C2"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nil"/>
              <w:right w:val="nil"/>
            </w:tcBorders>
            <w:shd w:val="clear" w:color="000000" w:fill="FFFFFF"/>
            <w:noWrap/>
            <w:vAlign w:val="center"/>
            <w:hideMark/>
          </w:tcPr>
          <w:p w14:paraId="30BCCE5E"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33.1</w:t>
            </w:r>
          </w:p>
        </w:tc>
        <w:tc>
          <w:tcPr>
            <w:tcW w:w="539" w:type="pct"/>
            <w:tcBorders>
              <w:top w:val="nil"/>
              <w:left w:val="nil"/>
              <w:bottom w:val="nil"/>
              <w:right w:val="nil"/>
            </w:tcBorders>
            <w:shd w:val="clear" w:color="000000" w:fill="E6F2FF"/>
            <w:noWrap/>
            <w:vAlign w:val="center"/>
            <w:hideMark/>
          </w:tcPr>
          <w:p w14:paraId="5645C876"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34.0</w:t>
            </w:r>
          </w:p>
        </w:tc>
        <w:tc>
          <w:tcPr>
            <w:tcW w:w="539" w:type="pct"/>
            <w:tcBorders>
              <w:top w:val="nil"/>
              <w:left w:val="nil"/>
              <w:bottom w:val="nil"/>
              <w:right w:val="nil"/>
            </w:tcBorders>
            <w:shd w:val="clear" w:color="000000" w:fill="FFFFFF"/>
            <w:noWrap/>
            <w:vAlign w:val="center"/>
            <w:hideMark/>
          </w:tcPr>
          <w:p w14:paraId="4E282850"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35.2</w:t>
            </w:r>
          </w:p>
        </w:tc>
        <w:tc>
          <w:tcPr>
            <w:tcW w:w="539" w:type="pct"/>
            <w:tcBorders>
              <w:top w:val="nil"/>
              <w:left w:val="nil"/>
              <w:bottom w:val="nil"/>
              <w:right w:val="nil"/>
            </w:tcBorders>
            <w:shd w:val="clear" w:color="000000" w:fill="FFFFFF"/>
            <w:noWrap/>
            <w:vAlign w:val="center"/>
            <w:hideMark/>
          </w:tcPr>
          <w:p w14:paraId="759F6FE8"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35.8</w:t>
            </w:r>
          </w:p>
        </w:tc>
        <w:tc>
          <w:tcPr>
            <w:tcW w:w="539" w:type="pct"/>
            <w:tcBorders>
              <w:top w:val="nil"/>
              <w:left w:val="nil"/>
              <w:bottom w:val="nil"/>
              <w:right w:val="nil"/>
            </w:tcBorders>
            <w:shd w:val="clear" w:color="000000" w:fill="FFFFFF"/>
            <w:noWrap/>
            <w:vAlign w:val="center"/>
            <w:hideMark/>
          </w:tcPr>
          <w:p w14:paraId="0095183D"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35.6</w:t>
            </w:r>
          </w:p>
        </w:tc>
      </w:tr>
      <w:tr w:rsidR="009A4BA7" w14:paraId="76465747" w14:textId="77777777" w:rsidTr="00E91697">
        <w:trPr>
          <w:trHeight w:hRule="exact" w:val="60"/>
        </w:trPr>
        <w:tc>
          <w:tcPr>
            <w:tcW w:w="1684" w:type="pct"/>
            <w:tcBorders>
              <w:top w:val="nil"/>
              <w:left w:val="nil"/>
              <w:bottom w:val="nil"/>
              <w:right w:val="nil"/>
            </w:tcBorders>
            <w:shd w:val="clear" w:color="000000" w:fill="FFFFFF"/>
            <w:noWrap/>
            <w:vAlign w:val="center"/>
            <w:hideMark/>
          </w:tcPr>
          <w:p w14:paraId="1D818C04" w14:textId="77777777" w:rsidR="009A4BA7" w:rsidRDefault="009A4BA7">
            <w:pPr>
              <w:spacing w:before="0" w:after="0" w:line="240" w:lineRule="auto"/>
              <w:rPr>
                <w:rFonts w:ascii="Arial" w:hAnsi="Arial" w:cs="Arial"/>
                <w:b/>
                <w:bCs/>
                <w:sz w:val="16"/>
                <w:szCs w:val="16"/>
              </w:rPr>
            </w:pPr>
            <w:r>
              <w:rPr>
                <w:rFonts w:ascii="Arial" w:hAnsi="Arial" w:cs="Arial"/>
                <w:b/>
                <w:bCs/>
                <w:sz w:val="16"/>
                <w:szCs w:val="16"/>
              </w:rPr>
              <w:t> </w:t>
            </w:r>
          </w:p>
        </w:tc>
        <w:tc>
          <w:tcPr>
            <w:tcW w:w="547" w:type="pct"/>
            <w:tcBorders>
              <w:top w:val="nil"/>
              <w:left w:val="nil"/>
              <w:bottom w:val="nil"/>
              <w:right w:val="nil"/>
            </w:tcBorders>
            <w:shd w:val="clear" w:color="000000" w:fill="FFFFFF"/>
            <w:noWrap/>
            <w:vAlign w:val="center"/>
            <w:hideMark/>
          </w:tcPr>
          <w:p w14:paraId="0DE5287C"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75" w:type="pct"/>
            <w:tcBorders>
              <w:top w:val="nil"/>
              <w:left w:val="nil"/>
              <w:bottom w:val="nil"/>
              <w:right w:val="nil"/>
            </w:tcBorders>
            <w:shd w:val="clear" w:color="000000" w:fill="FFFFFF"/>
            <w:noWrap/>
            <w:vAlign w:val="center"/>
            <w:hideMark/>
          </w:tcPr>
          <w:p w14:paraId="2B4EC4E9"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07E4EA67"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E6F2FF"/>
            <w:noWrap/>
            <w:vAlign w:val="center"/>
            <w:hideMark/>
          </w:tcPr>
          <w:p w14:paraId="74011707"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68DD6EC9"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11F00FFB"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41A1C66F"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r>
      <w:tr w:rsidR="009A4BA7" w14:paraId="109EECF9"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038F3F86" w14:textId="77777777" w:rsidR="009A4BA7" w:rsidRDefault="009A4BA7">
            <w:pPr>
              <w:spacing w:before="0" w:after="0" w:line="240" w:lineRule="auto"/>
              <w:rPr>
                <w:rFonts w:ascii="Arial" w:hAnsi="Arial" w:cs="Arial"/>
                <w:b/>
                <w:bCs/>
                <w:sz w:val="16"/>
                <w:szCs w:val="16"/>
              </w:rPr>
            </w:pPr>
            <w:r>
              <w:rPr>
                <w:rFonts w:ascii="Arial" w:hAnsi="Arial" w:cs="Arial"/>
                <w:b/>
                <w:bCs/>
                <w:sz w:val="16"/>
                <w:szCs w:val="16"/>
              </w:rPr>
              <w:t>Net debt(d)</w:t>
            </w:r>
          </w:p>
        </w:tc>
        <w:tc>
          <w:tcPr>
            <w:tcW w:w="547" w:type="pct"/>
            <w:tcBorders>
              <w:top w:val="nil"/>
              <w:left w:val="nil"/>
              <w:bottom w:val="nil"/>
              <w:right w:val="nil"/>
            </w:tcBorders>
            <w:shd w:val="clear" w:color="000000" w:fill="FFFFFF"/>
            <w:noWrap/>
            <w:vAlign w:val="center"/>
            <w:hideMark/>
          </w:tcPr>
          <w:p w14:paraId="2984AD8E"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532.3</w:t>
            </w:r>
          </w:p>
        </w:tc>
        <w:tc>
          <w:tcPr>
            <w:tcW w:w="75" w:type="pct"/>
            <w:tcBorders>
              <w:top w:val="nil"/>
              <w:left w:val="nil"/>
              <w:bottom w:val="nil"/>
              <w:right w:val="nil"/>
            </w:tcBorders>
            <w:shd w:val="clear" w:color="000000" w:fill="FFFFFF"/>
            <w:noWrap/>
            <w:vAlign w:val="center"/>
            <w:hideMark/>
          </w:tcPr>
          <w:p w14:paraId="6202EB10"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2500B3C9"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556.0</w:t>
            </w:r>
          </w:p>
        </w:tc>
        <w:tc>
          <w:tcPr>
            <w:tcW w:w="539" w:type="pct"/>
            <w:tcBorders>
              <w:top w:val="nil"/>
              <w:left w:val="nil"/>
              <w:bottom w:val="nil"/>
              <w:right w:val="nil"/>
            </w:tcBorders>
            <w:shd w:val="clear" w:color="000000" w:fill="E6F2FF"/>
            <w:noWrap/>
            <w:vAlign w:val="center"/>
            <w:hideMark/>
          </w:tcPr>
          <w:p w14:paraId="26FDD9DF"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616.6</w:t>
            </w:r>
          </w:p>
        </w:tc>
        <w:tc>
          <w:tcPr>
            <w:tcW w:w="539" w:type="pct"/>
            <w:tcBorders>
              <w:top w:val="nil"/>
              <w:left w:val="nil"/>
              <w:bottom w:val="nil"/>
              <w:right w:val="nil"/>
            </w:tcBorders>
            <w:shd w:val="clear" w:color="000000" w:fill="FFFFFF"/>
            <w:noWrap/>
            <w:vAlign w:val="center"/>
            <w:hideMark/>
          </w:tcPr>
          <w:p w14:paraId="739C0E29"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668.8</w:t>
            </w:r>
          </w:p>
        </w:tc>
        <w:tc>
          <w:tcPr>
            <w:tcW w:w="539" w:type="pct"/>
            <w:tcBorders>
              <w:top w:val="nil"/>
              <w:left w:val="nil"/>
              <w:bottom w:val="nil"/>
              <w:right w:val="nil"/>
            </w:tcBorders>
            <w:shd w:val="clear" w:color="000000" w:fill="FFFFFF"/>
            <w:noWrap/>
            <w:vAlign w:val="center"/>
            <w:hideMark/>
          </w:tcPr>
          <w:p w14:paraId="44D8260B"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725.5</w:t>
            </w:r>
          </w:p>
        </w:tc>
        <w:tc>
          <w:tcPr>
            <w:tcW w:w="539" w:type="pct"/>
            <w:tcBorders>
              <w:top w:val="nil"/>
              <w:left w:val="nil"/>
              <w:bottom w:val="nil"/>
              <w:right w:val="nil"/>
            </w:tcBorders>
            <w:shd w:val="clear" w:color="000000" w:fill="FFFFFF"/>
            <w:noWrap/>
            <w:vAlign w:val="center"/>
            <w:hideMark/>
          </w:tcPr>
          <w:p w14:paraId="3338443F"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767.8</w:t>
            </w:r>
          </w:p>
        </w:tc>
      </w:tr>
      <w:tr w:rsidR="009A4BA7" w14:paraId="7542878F"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3BF5B5E5" w14:textId="77777777" w:rsidR="009A4BA7" w:rsidRDefault="009A4BA7">
            <w:pPr>
              <w:spacing w:before="0" w:after="0" w:line="240" w:lineRule="auto"/>
              <w:rPr>
                <w:rFonts w:ascii="Arial" w:hAnsi="Arial" w:cs="Arial"/>
                <w:sz w:val="16"/>
                <w:szCs w:val="16"/>
              </w:rPr>
            </w:pPr>
            <w:r>
              <w:rPr>
                <w:rFonts w:ascii="Arial" w:hAnsi="Arial" w:cs="Arial"/>
                <w:sz w:val="16"/>
                <w:szCs w:val="16"/>
              </w:rPr>
              <w:t>Per cent of GDP</w:t>
            </w:r>
          </w:p>
        </w:tc>
        <w:tc>
          <w:tcPr>
            <w:tcW w:w="547" w:type="pct"/>
            <w:tcBorders>
              <w:top w:val="nil"/>
              <w:left w:val="nil"/>
              <w:bottom w:val="nil"/>
              <w:right w:val="nil"/>
            </w:tcBorders>
            <w:shd w:val="clear" w:color="000000" w:fill="FFFFFF"/>
            <w:noWrap/>
            <w:vAlign w:val="center"/>
            <w:hideMark/>
          </w:tcPr>
          <w:p w14:paraId="5C4FD6D3"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19.2</w:t>
            </w:r>
          </w:p>
        </w:tc>
        <w:tc>
          <w:tcPr>
            <w:tcW w:w="75" w:type="pct"/>
            <w:tcBorders>
              <w:top w:val="nil"/>
              <w:left w:val="nil"/>
              <w:bottom w:val="nil"/>
              <w:right w:val="nil"/>
            </w:tcBorders>
            <w:shd w:val="clear" w:color="000000" w:fill="FFFFFF"/>
            <w:noWrap/>
            <w:vAlign w:val="center"/>
            <w:hideMark/>
          </w:tcPr>
          <w:p w14:paraId="7DF1452D"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nil"/>
              <w:right w:val="nil"/>
            </w:tcBorders>
            <w:shd w:val="clear" w:color="000000" w:fill="FFFFFF"/>
            <w:noWrap/>
            <w:vAlign w:val="center"/>
            <w:hideMark/>
          </w:tcPr>
          <w:p w14:paraId="2BF7B819"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18.8</w:t>
            </w:r>
          </w:p>
        </w:tc>
        <w:tc>
          <w:tcPr>
            <w:tcW w:w="539" w:type="pct"/>
            <w:tcBorders>
              <w:top w:val="nil"/>
              <w:left w:val="nil"/>
              <w:bottom w:val="nil"/>
              <w:right w:val="nil"/>
            </w:tcBorders>
            <w:shd w:val="clear" w:color="000000" w:fill="E6F2FF"/>
            <w:noWrap/>
            <w:vAlign w:val="center"/>
            <w:hideMark/>
          </w:tcPr>
          <w:p w14:paraId="595E6E86"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19.9</w:t>
            </w:r>
          </w:p>
        </w:tc>
        <w:tc>
          <w:tcPr>
            <w:tcW w:w="539" w:type="pct"/>
            <w:tcBorders>
              <w:top w:val="nil"/>
              <w:left w:val="nil"/>
              <w:bottom w:val="nil"/>
              <w:right w:val="nil"/>
            </w:tcBorders>
            <w:shd w:val="clear" w:color="000000" w:fill="FFFFFF"/>
            <w:noWrap/>
            <w:vAlign w:val="center"/>
            <w:hideMark/>
          </w:tcPr>
          <w:p w14:paraId="16C2E38C"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21.0</w:t>
            </w:r>
          </w:p>
        </w:tc>
        <w:tc>
          <w:tcPr>
            <w:tcW w:w="539" w:type="pct"/>
            <w:tcBorders>
              <w:top w:val="nil"/>
              <w:left w:val="nil"/>
              <w:bottom w:val="nil"/>
              <w:right w:val="nil"/>
            </w:tcBorders>
            <w:shd w:val="clear" w:color="000000" w:fill="FFFFFF"/>
            <w:noWrap/>
            <w:vAlign w:val="center"/>
            <w:hideMark/>
          </w:tcPr>
          <w:p w14:paraId="4DA035AB"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21.8</w:t>
            </w:r>
          </w:p>
        </w:tc>
        <w:tc>
          <w:tcPr>
            <w:tcW w:w="539" w:type="pct"/>
            <w:tcBorders>
              <w:top w:val="nil"/>
              <w:left w:val="nil"/>
              <w:bottom w:val="nil"/>
              <w:right w:val="nil"/>
            </w:tcBorders>
            <w:shd w:val="clear" w:color="000000" w:fill="FFFFFF"/>
            <w:noWrap/>
            <w:vAlign w:val="center"/>
            <w:hideMark/>
          </w:tcPr>
          <w:p w14:paraId="1637C9B9"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21.9</w:t>
            </w:r>
          </w:p>
        </w:tc>
      </w:tr>
      <w:tr w:rsidR="009A4BA7" w14:paraId="141439C1" w14:textId="77777777" w:rsidTr="00E91697">
        <w:trPr>
          <w:trHeight w:hRule="exact" w:val="60"/>
        </w:trPr>
        <w:tc>
          <w:tcPr>
            <w:tcW w:w="1684" w:type="pct"/>
            <w:tcBorders>
              <w:top w:val="nil"/>
              <w:left w:val="nil"/>
              <w:bottom w:val="nil"/>
              <w:right w:val="nil"/>
            </w:tcBorders>
            <w:shd w:val="clear" w:color="000000" w:fill="FFFFFF"/>
            <w:noWrap/>
            <w:vAlign w:val="center"/>
            <w:hideMark/>
          </w:tcPr>
          <w:p w14:paraId="1457727C" w14:textId="77777777" w:rsidR="009A4BA7" w:rsidRDefault="009A4BA7">
            <w:pPr>
              <w:spacing w:before="0" w:after="0" w:line="240" w:lineRule="auto"/>
              <w:rPr>
                <w:rFonts w:ascii="Arial" w:hAnsi="Arial" w:cs="Arial"/>
                <w:color w:val="0000FF"/>
                <w:sz w:val="16"/>
                <w:szCs w:val="16"/>
              </w:rPr>
            </w:pPr>
            <w:r>
              <w:rPr>
                <w:rFonts w:ascii="Arial" w:hAnsi="Arial" w:cs="Arial"/>
                <w:color w:val="0000FF"/>
                <w:sz w:val="16"/>
                <w:szCs w:val="16"/>
              </w:rPr>
              <w:t> </w:t>
            </w:r>
          </w:p>
        </w:tc>
        <w:tc>
          <w:tcPr>
            <w:tcW w:w="547" w:type="pct"/>
            <w:tcBorders>
              <w:top w:val="nil"/>
              <w:left w:val="nil"/>
              <w:bottom w:val="nil"/>
              <w:right w:val="nil"/>
            </w:tcBorders>
            <w:shd w:val="clear" w:color="000000" w:fill="FFFFFF"/>
            <w:noWrap/>
            <w:vAlign w:val="center"/>
            <w:hideMark/>
          </w:tcPr>
          <w:p w14:paraId="79CFCA7F" w14:textId="77777777" w:rsidR="009A4BA7" w:rsidRDefault="009A4BA7">
            <w:pPr>
              <w:spacing w:before="0" w:after="0" w:line="240" w:lineRule="auto"/>
              <w:jc w:val="right"/>
              <w:rPr>
                <w:rFonts w:ascii="Arial" w:hAnsi="Arial" w:cs="Arial"/>
                <w:color w:val="0000FF"/>
                <w:sz w:val="16"/>
                <w:szCs w:val="16"/>
              </w:rPr>
            </w:pPr>
            <w:r>
              <w:rPr>
                <w:rFonts w:ascii="Arial" w:hAnsi="Arial" w:cs="Arial"/>
                <w:color w:val="0000FF"/>
                <w:sz w:val="16"/>
                <w:szCs w:val="16"/>
              </w:rPr>
              <w:t> </w:t>
            </w:r>
          </w:p>
        </w:tc>
        <w:tc>
          <w:tcPr>
            <w:tcW w:w="75" w:type="pct"/>
            <w:tcBorders>
              <w:top w:val="nil"/>
              <w:left w:val="nil"/>
              <w:bottom w:val="nil"/>
              <w:right w:val="nil"/>
            </w:tcBorders>
            <w:shd w:val="clear" w:color="000000" w:fill="FFFFFF"/>
            <w:noWrap/>
            <w:vAlign w:val="center"/>
            <w:hideMark/>
          </w:tcPr>
          <w:p w14:paraId="339866F8" w14:textId="77777777" w:rsidR="009A4BA7" w:rsidRDefault="009A4BA7">
            <w:pPr>
              <w:spacing w:before="0" w:after="0" w:line="240" w:lineRule="auto"/>
              <w:jc w:val="right"/>
              <w:rPr>
                <w:rFonts w:ascii="Arial" w:hAnsi="Arial" w:cs="Arial"/>
                <w:color w:val="0000FF"/>
                <w:sz w:val="16"/>
                <w:szCs w:val="16"/>
              </w:rPr>
            </w:pPr>
            <w:r>
              <w:rPr>
                <w:rFonts w:ascii="Arial" w:hAnsi="Arial" w:cs="Arial"/>
                <w:color w:val="0000FF"/>
                <w:sz w:val="16"/>
                <w:szCs w:val="16"/>
              </w:rPr>
              <w:t> </w:t>
            </w:r>
          </w:p>
        </w:tc>
        <w:tc>
          <w:tcPr>
            <w:tcW w:w="539" w:type="pct"/>
            <w:tcBorders>
              <w:top w:val="nil"/>
              <w:left w:val="nil"/>
              <w:bottom w:val="nil"/>
              <w:right w:val="nil"/>
            </w:tcBorders>
            <w:shd w:val="clear" w:color="000000" w:fill="FFFFFF"/>
            <w:noWrap/>
            <w:vAlign w:val="center"/>
            <w:hideMark/>
          </w:tcPr>
          <w:p w14:paraId="78B3033E" w14:textId="77777777" w:rsidR="009A4BA7" w:rsidRDefault="009A4BA7">
            <w:pPr>
              <w:spacing w:before="0" w:after="0" w:line="240" w:lineRule="auto"/>
              <w:jc w:val="right"/>
              <w:rPr>
                <w:rFonts w:ascii="Arial" w:hAnsi="Arial" w:cs="Arial"/>
                <w:color w:val="0000FF"/>
                <w:sz w:val="16"/>
                <w:szCs w:val="16"/>
              </w:rPr>
            </w:pPr>
            <w:r>
              <w:rPr>
                <w:rFonts w:ascii="Arial" w:hAnsi="Arial" w:cs="Arial"/>
                <w:color w:val="0000FF"/>
                <w:sz w:val="16"/>
                <w:szCs w:val="16"/>
              </w:rPr>
              <w:t> </w:t>
            </w:r>
          </w:p>
        </w:tc>
        <w:tc>
          <w:tcPr>
            <w:tcW w:w="539" w:type="pct"/>
            <w:tcBorders>
              <w:top w:val="nil"/>
              <w:left w:val="nil"/>
              <w:bottom w:val="nil"/>
              <w:right w:val="nil"/>
            </w:tcBorders>
            <w:shd w:val="clear" w:color="000000" w:fill="E6F2FF"/>
            <w:noWrap/>
            <w:vAlign w:val="center"/>
            <w:hideMark/>
          </w:tcPr>
          <w:p w14:paraId="069068D9" w14:textId="77777777" w:rsidR="009A4BA7" w:rsidRDefault="009A4BA7">
            <w:pPr>
              <w:spacing w:before="0" w:after="0" w:line="240" w:lineRule="auto"/>
              <w:jc w:val="right"/>
              <w:rPr>
                <w:rFonts w:ascii="Arial" w:hAnsi="Arial" w:cs="Arial"/>
                <w:color w:val="0000FF"/>
                <w:sz w:val="16"/>
                <w:szCs w:val="16"/>
              </w:rPr>
            </w:pPr>
            <w:r>
              <w:rPr>
                <w:rFonts w:ascii="Arial" w:hAnsi="Arial" w:cs="Arial"/>
                <w:color w:val="0000FF"/>
                <w:sz w:val="16"/>
                <w:szCs w:val="16"/>
              </w:rPr>
              <w:t> </w:t>
            </w:r>
          </w:p>
        </w:tc>
        <w:tc>
          <w:tcPr>
            <w:tcW w:w="539" w:type="pct"/>
            <w:tcBorders>
              <w:top w:val="nil"/>
              <w:left w:val="nil"/>
              <w:bottom w:val="nil"/>
              <w:right w:val="nil"/>
            </w:tcBorders>
            <w:shd w:val="clear" w:color="000000" w:fill="FFFFFF"/>
            <w:noWrap/>
            <w:vAlign w:val="center"/>
            <w:hideMark/>
          </w:tcPr>
          <w:p w14:paraId="6D13021B" w14:textId="77777777" w:rsidR="009A4BA7" w:rsidRDefault="009A4BA7">
            <w:pPr>
              <w:spacing w:before="0" w:after="0" w:line="240" w:lineRule="auto"/>
              <w:jc w:val="right"/>
              <w:rPr>
                <w:rFonts w:ascii="Arial" w:hAnsi="Arial" w:cs="Arial"/>
                <w:color w:val="0000FF"/>
                <w:sz w:val="16"/>
                <w:szCs w:val="16"/>
              </w:rPr>
            </w:pPr>
            <w:r>
              <w:rPr>
                <w:rFonts w:ascii="Arial" w:hAnsi="Arial" w:cs="Arial"/>
                <w:color w:val="0000FF"/>
                <w:sz w:val="16"/>
                <w:szCs w:val="16"/>
              </w:rPr>
              <w:t> </w:t>
            </w:r>
          </w:p>
        </w:tc>
        <w:tc>
          <w:tcPr>
            <w:tcW w:w="539" w:type="pct"/>
            <w:tcBorders>
              <w:top w:val="nil"/>
              <w:left w:val="nil"/>
              <w:bottom w:val="nil"/>
              <w:right w:val="nil"/>
            </w:tcBorders>
            <w:shd w:val="clear" w:color="000000" w:fill="FFFFFF"/>
            <w:noWrap/>
            <w:vAlign w:val="center"/>
            <w:hideMark/>
          </w:tcPr>
          <w:p w14:paraId="0D44A545" w14:textId="77777777" w:rsidR="009A4BA7" w:rsidRDefault="009A4BA7">
            <w:pPr>
              <w:spacing w:before="0" w:after="0" w:line="240" w:lineRule="auto"/>
              <w:jc w:val="right"/>
              <w:rPr>
                <w:rFonts w:ascii="Arial" w:hAnsi="Arial" w:cs="Arial"/>
                <w:color w:val="0000FF"/>
                <w:sz w:val="16"/>
                <w:szCs w:val="16"/>
              </w:rPr>
            </w:pPr>
            <w:r>
              <w:rPr>
                <w:rFonts w:ascii="Arial" w:hAnsi="Arial" w:cs="Arial"/>
                <w:color w:val="0000FF"/>
                <w:sz w:val="16"/>
                <w:szCs w:val="16"/>
              </w:rPr>
              <w:t> </w:t>
            </w:r>
          </w:p>
        </w:tc>
        <w:tc>
          <w:tcPr>
            <w:tcW w:w="539" w:type="pct"/>
            <w:tcBorders>
              <w:top w:val="nil"/>
              <w:left w:val="nil"/>
              <w:bottom w:val="nil"/>
              <w:right w:val="nil"/>
            </w:tcBorders>
            <w:shd w:val="clear" w:color="000000" w:fill="FFFFFF"/>
            <w:noWrap/>
            <w:vAlign w:val="center"/>
            <w:hideMark/>
          </w:tcPr>
          <w:p w14:paraId="1D850B6E" w14:textId="77777777" w:rsidR="009A4BA7" w:rsidRDefault="009A4BA7">
            <w:pPr>
              <w:spacing w:before="0" w:after="0" w:line="240" w:lineRule="auto"/>
              <w:jc w:val="right"/>
              <w:rPr>
                <w:rFonts w:ascii="Arial" w:hAnsi="Arial" w:cs="Arial"/>
                <w:color w:val="0000FF"/>
                <w:sz w:val="16"/>
                <w:szCs w:val="16"/>
              </w:rPr>
            </w:pPr>
            <w:r>
              <w:rPr>
                <w:rFonts w:ascii="Arial" w:hAnsi="Arial" w:cs="Arial"/>
                <w:color w:val="0000FF"/>
                <w:sz w:val="16"/>
                <w:szCs w:val="16"/>
              </w:rPr>
              <w:t> </w:t>
            </w:r>
          </w:p>
        </w:tc>
      </w:tr>
      <w:tr w:rsidR="009A4BA7" w14:paraId="4ACFAB2B"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66F85CD4" w14:textId="77777777" w:rsidR="009A4BA7" w:rsidRDefault="009A4BA7">
            <w:pPr>
              <w:spacing w:before="0" w:after="0" w:line="240" w:lineRule="auto"/>
              <w:rPr>
                <w:rFonts w:ascii="Arial" w:hAnsi="Arial" w:cs="Arial"/>
                <w:b/>
                <w:bCs/>
                <w:sz w:val="16"/>
                <w:szCs w:val="16"/>
              </w:rPr>
            </w:pPr>
            <w:r>
              <w:rPr>
                <w:rFonts w:ascii="Arial" w:hAnsi="Arial" w:cs="Arial"/>
                <w:b/>
                <w:bCs/>
                <w:sz w:val="16"/>
                <w:szCs w:val="16"/>
              </w:rPr>
              <w:t>Total interest payments</w:t>
            </w:r>
          </w:p>
        </w:tc>
        <w:tc>
          <w:tcPr>
            <w:tcW w:w="547" w:type="pct"/>
            <w:tcBorders>
              <w:top w:val="nil"/>
              <w:left w:val="nil"/>
              <w:bottom w:val="nil"/>
              <w:right w:val="nil"/>
            </w:tcBorders>
            <w:shd w:val="clear" w:color="000000" w:fill="FFFFFF"/>
            <w:noWrap/>
            <w:vAlign w:val="center"/>
            <w:hideMark/>
          </w:tcPr>
          <w:p w14:paraId="610E284D"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24.3</w:t>
            </w:r>
          </w:p>
        </w:tc>
        <w:tc>
          <w:tcPr>
            <w:tcW w:w="75" w:type="pct"/>
            <w:tcBorders>
              <w:top w:val="nil"/>
              <w:left w:val="nil"/>
              <w:bottom w:val="nil"/>
              <w:right w:val="nil"/>
            </w:tcBorders>
            <w:shd w:val="clear" w:color="000000" w:fill="FFFFFF"/>
            <w:noWrap/>
            <w:vAlign w:val="center"/>
            <w:hideMark/>
          </w:tcPr>
          <w:p w14:paraId="772CF267"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125C50DB"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27.1</w:t>
            </w:r>
          </w:p>
        </w:tc>
        <w:tc>
          <w:tcPr>
            <w:tcW w:w="539" w:type="pct"/>
            <w:tcBorders>
              <w:top w:val="nil"/>
              <w:left w:val="nil"/>
              <w:bottom w:val="nil"/>
              <w:right w:val="nil"/>
            </w:tcBorders>
            <w:shd w:val="clear" w:color="000000" w:fill="E6F2FF"/>
            <w:noWrap/>
            <w:vAlign w:val="center"/>
            <w:hideMark/>
          </w:tcPr>
          <w:p w14:paraId="7A96A9B6"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29.6</w:t>
            </w:r>
          </w:p>
        </w:tc>
        <w:tc>
          <w:tcPr>
            <w:tcW w:w="539" w:type="pct"/>
            <w:tcBorders>
              <w:top w:val="nil"/>
              <w:left w:val="nil"/>
              <w:bottom w:val="nil"/>
              <w:right w:val="nil"/>
            </w:tcBorders>
            <w:shd w:val="clear" w:color="000000" w:fill="FFFFFF"/>
            <w:noWrap/>
            <w:vAlign w:val="center"/>
            <w:hideMark/>
          </w:tcPr>
          <w:p w14:paraId="00F9A840"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36.4</w:t>
            </w:r>
          </w:p>
        </w:tc>
        <w:tc>
          <w:tcPr>
            <w:tcW w:w="539" w:type="pct"/>
            <w:tcBorders>
              <w:top w:val="nil"/>
              <w:left w:val="nil"/>
              <w:bottom w:val="nil"/>
              <w:right w:val="nil"/>
            </w:tcBorders>
            <w:shd w:val="clear" w:color="000000" w:fill="FFFFFF"/>
            <w:noWrap/>
            <w:vAlign w:val="center"/>
            <w:hideMark/>
          </w:tcPr>
          <w:p w14:paraId="04B85FEB"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38.0</w:t>
            </w:r>
          </w:p>
        </w:tc>
        <w:tc>
          <w:tcPr>
            <w:tcW w:w="539" w:type="pct"/>
            <w:tcBorders>
              <w:top w:val="nil"/>
              <w:left w:val="nil"/>
              <w:bottom w:val="nil"/>
              <w:right w:val="nil"/>
            </w:tcBorders>
            <w:shd w:val="clear" w:color="000000" w:fill="FFFFFF"/>
            <w:noWrap/>
            <w:vAlign w:val="center"/>
            <w:hideMark/>
          </w:tcPr>
          <w:p w14:paraId="3044647C"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42.3</w:t>
            </w:r>
          </w:p>
        </w:tc>
      </w:tr>
      <w:tr w:rsidR="009A4BA7" w14:paraId="05193DA1"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1BE65B11" w14:textId="77777777" w:rsidR="009A4BA7" w:rsidRDefault="009A4BA7">
            <w:pPr>
              <w:spacing w:before="0" w:after="0" w:line="240" w:lineRule="auto"/>
              <w:rPr>
                <w:rFonts w:ascii="Arial" w:hAnsi="Arial" w:cs="Arial"/>
                <w:sz w:val="16"/>
                <w:szCs w:val="16"/>
              </w:rPr>
            </w:pPr>
            <w:r>
              <w:rPr>
                <w:rFonts w:ascii="Arial" w:hAnsi="Arial" w:cs="Arial"/>
                <w:sz w:val="16"/>
                <w:szCs w:val="16"/>
              </w:rPr>
              <w:t>Per cent of GDP</w:t>
            </w:r>
          </w:p>
        </w:tc>
        <w:tc>
          <w:tcPr>
            <w:tcW w:w="547" w:type="pct"/>
            <w:tcBorders>
              <w:top w:val="nil"/>
              <w:left w:val="nil"/>
              <w:bottom w:val="nil"/>
              <w:right w:val="nil"/>
            </w:tcBorders>
            <w:shd w:val="clear" w:color="000000" w:fill="FFFFFF"/>
            <w:noWrap/>
            <w:vAlign w:val="center"/>
            <w:hideMark/>
          </w:tcPr>
          <w:p w14:paraId="6F404D13"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0.9</w:t>
            </w:r>
          </w:p>
        </w:tc>
        <w:tc>
          <w:tcPr>
            <w:tcW w:w="75" w:type="pct"/>
            <w:tcBorders>
              <w:top w:val="nil"/>
              <w:left w:val="nil"/>
              <w:bottom w:val="nil"/>
              <w:right w:val="nil"/>
            </w:tcBorders>
            <w:shd w:val="clear" w:color="000000" w:fill="FFFFFF"/>
            <w:noWrap/>
            <w:vAlign w:val="center"/>
            <w:hideMark/>
          </w:tcPr>
          <w:p w14:paraId="10D9D10F"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nil"/>
              <w:right w:val="nil"/>
            </w:tcBorders>
            <w:shd w:val="clear" w:color="000000" w:fill="FFFFFF"/>
            <w:noWrap/>
            <w:vAlign w:val="center"/>
            <w:hideMark/>
          </w:tcPr>
          <w:p w14:paraId="0F35E95F"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0.9</w:t>
            </w:r>
          </w:p>
        </w:tc>
        <w:tc>
          <w:tcPr>
            <w:tcW w:w="539" w:type="pct"/>
            <w:tcBorders>
              <w:top w:val="nil"/>
              <w:left w:val="nil"/>
              <w:bottom w:val="nil"/>
              <w:right w:val="nil"/>
            </w:tcBorders>
            <w:shd w:val="clear" w:color="000000" w:fill="E6F2FF"/>
            <w:noWrap/>
            <w:vAlign w:val="center"/>
            <w:hideMark/>
          </w:tcPr>
          <w:p w14:paraId="2246887A"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1.0</w:t>
            </w:r>
          </w:p>
        </w:tc>
        <w:tc>
          <w:tcPr>
            <w:tcW w:w="539" w:type="pct"/>
            <w:tcBorders>
              <w:top w:val="nil"/>
              <w:left w:val="nil"/>
              <w:bottom w:val="nil"/>
              <w:right w:val="nil"/>
            </w:tcBorders>
            <w:shd w:val="clear" w:color="000000" w:fill="FFFFFF"/>
            <w:noWrap/>
            <w:vAlign w:val="center"/>
            <w:hideMark/>
          </w:tcPr>
          <w:p w14:paraId="06EE752F"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1.1</w:t>
            </w:r>
          </w:p>
        </w:tc>
        <w:tc>
          <w:tcPr>
            <w:tcW w:w="539" w:type="pct"/>
            <w:tcBorders>
              <w:top w:val="nil"/>
              <w:left w:val="nil"/>
              <w:bottom w:val="nil"/>
              <w:right w:val="nil"/>
            </w:tcBorders>
            <w:shd w:val="clear" w:color="000000" w:fill="FFFFFF"/>
            <w:noWrap/>
            <w:vAlign w:val="center"/>
            <w:hideMark/>
          </w:tcPr>
          <w:p w14:paraId="05123CC8"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1.1</w:t>
            </w:r>
          </w:p>
        </w:tc>
        <w:tc>
          <w:tcPr>
            <w:tcW w:w="539" w:type="pct"/>
            <w:tcBorders>
              <w:top w:val="nil"/>
              <w:left w:val="nil"/>
              <w:bottom w:val="nil"/>
              <w:right w:val="nil"/>
            </w:tcBorders>
            <w:shd w:val="clear" w:color="000000" w:fill="FFFFFF"/>
            <w:noWrap/>
            <w:vAlign w:val="center"/>
            <w:hideMark/>
          </w:tcPr>
          <w:p w14:paraId="27B27AAE"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1.2</w:t>
            </w:r>
          </w:p>
        </w:tc>
      </w:tr>
      <w:tr w:rsidR="009A4BA7" w14:paraId="63E0A8FD" w14:textId="77777777" w:rsidTr="00E91697">
        <w:trPr>
          <w:trHeight w:hRule="exact" w:val="60"/>
        </w:trPr>
        <w:tc>
          <w:tcPr>
            <w:tcW w:w="1684" w:type="pct"/>
            <w:tcBorders>
              <w:top w:val="nil"/>
              <w:left w:val="nil"/>
              <w:bottom w:val="nil"/>
              <w:right w:val="nil"/>
            </w:tcBorders>
            <w:shd w:val="clear" w:color="000000" w:fill="FFFFFF"/>
            <w:noWrap/>
            <w:vAlign w:val="center"/>
            <w:hideMark/>
          </w:tcPr>
          <w:p w14:paraId="345E09DA" w14:textId="77777777" w:rsidR="009A4BA7" w:rsidRDefault="009A4BA7">
            <w:pPr>
              <w:spacing w:before="0" w:after="0" w:line="240" w:lineRule="auto"/>
              <w:rPr>
                <w:rFonts w:ascii="Arial" w:hAnsi="Arial" w:cs="Arial"/>
                <w:color w:val="0000FF"/>
                <w:sz w:val="16"/>
                <w:szCs w:val="16"/>
              </w:rPr>
            </w:pPr>
            <w:r>
              <w:rPr>
                <w:rFonts w:ascii="Arial" w:hAnsi="Arial" w:cs="Arial"/>
                <w:color w:val="0000FF"/>
                <w:sz w:val="16"/>
                <w:szCs w:val="16"/>
              </w:rPr>
              <w:t> </w:t>
            </w:r>
          </w:p>
        </w:tc>
        <w:tc>
          <w:tcPr>
            <w:tcW w:w="547" w:type="pct"/>
            <w:tcBorders>
              <w:top w:val="nil"/>
              <w:left w:val="nil"/>
              <w:bottom w:val="nil"/>
              <w:right w:val="nil"/>
            </w:tcBorders>
            <w:shd w:val="clear" w:color="000000" w:fill="FFFFFF"/>
            <w:noWrap/>
            <w:vAlign w:val="center"/>
            <w:hideMark/>
          </w:tcPr>
          <w:p w14:paraId="16ACCB29" w14:textId="77777777" w:rsidR="009A4BA7" w:rsidRDefault="009A4BA7">
            <w:pPr>
              <w:spacing w:before="0" w:after="0" w:line="240" w:lineRule="auto"/>
              <w:jc w:val="right"/>
              <w:rPr>
                <w:rFonts w:ascii="Arial" w:hAnsi="Arial" w:cs="Arial"/>
                <w:color w:val="0000FF"/>
                <w:sz w:val="16"/>
                <w:szCs w:val="16"/>
              </w:rPr>
            </w:pPr>
            <w:r>
              <w:rPr>
                <w:rFonts w:ascii="Arial" w:hAnsi="Arial" w:cs="Arial"/>
                <w:color w:val="0000FF"/>
                <w:sz w:val="16"/>
                <w:szCs w:val="16"/>
              </w:rPr>
              <w:t> </w:t>
            </w:r>
          </w:p>
        </w:tc>
        <w:tc>
          <w:tcPr>
            <w:tcW w:w="75" w:type="pct"/>
            <w:tcBorders>
              <w:top w:val="nil"/>
              <w:left w:val="nil"/>
              <w:bottom w:val="nil"/>
              <w:right w:val="nil"/>
            </w:tcBorders>
            <w:shd w:val="clear" w:color="000000" w:fill="FFFFFF"/>
            <w:noWrap/>
            <w:vAlign w:val="center"/>
            <w:hideMark/>
          </w:tcPr>
          <w:p w14:paraId="7DFAAAFF" w14:textId="77777777" w:rsidR="009A4BA7" w:rsidRDefault="009A4BA7">
            <w:pPr>
              <w:spacing w:before="0" w:after="0" w:line="240" w:lineRule="auto"/>
              <w:jc w:val="right"/>
              <w:rPr>
                <w:rFonts w:ascii="Arial" w:hAnsi="Arial" w:cs="Arial"/>
                <w:color w:val="0000FF"/>
                <w:sz w:val="16"/>
                <w:szCs w:val="16"/>
              </w:rPr>
            </w:pPr>
            <w:r>
              <w:rPr>
                <w:rFonts w:ascii="Arial" w:hAnsi="Arial" w:cs="Arial"/>
                <w:color w:val="0000FF"/>
                <w:sz w:val="16"/>
                <w:szCs w:val="16"/>
              </w:rPr>
              <w:t> </w:t>
            </w:r>
          </w:p>
        </w:tc>
        <w:tc>
          <w:tcPr>
            <w:tcW w:w="539" w:type="pct"/>
            <w:tcBorders>
              <w:top w:val="nil"/>
              <w:left w:val="nil"/>
              <w:bottom w:val="nil"/>
              <w:right w:val="nil"/>
            </w:tcBorders>
            <w:shd w:val="clear" w:color="000000" w:fill="FFFFFF"/>
            <w:noWrap/>
            <w:vAlign w:val="center"/>
            <w:hideMark/>
          </w:tcPr>
          <w:p w14:paraId="147F074E" w14:textId="77777777" w:rsidR="009A4BA7" w:rsidRDefault="009A4BA7">
            <w:pPr>
              <w:spacing w:before="0" w:after="0" w:line="240" w:lineRule="auto"/>
              <w:jc w:val="right"/>
              <w:rPr>
                <w:rFonts w:ascii="Arial" w:hAnsi="Arial" w:cs="Arial"/>
                <w:color w:val="0000FF"/>
                <w:sz w:val="16"/>
                <w:szCs w:val="16"/>
              </w:rPr>
            </w:pPr>
            <w:r>
              <w:rPr>
                <w:rFonts w:ascii="Arial" w:hAnsi="Arial" w:cs="Arial"/>
                <w:color w:val="0000FF"/>
                <w:sz w:val="16"/>
                <w:szCs w:val="16"/>
              </w:rPr>
              <w:t> </w:t>
            </w:r>
          </w:p>
        </w:tc>
        <w:tc>
          <w:tcPr>
            <w:tcW w:w="539" w:type="pct"/>
            <w:tcBorders>
              <w:top w:val="nil"/>
              <w:left w:val="nil"/>
              <w:bottom w:val="nil"/>
              <w:right w:val="nil"/>
            </w:tcBorders>
            <w:shd w:val="clear" w:color="000000" w:fill="E6F2FF"/>
            <w:noWrap/>
            <w:vAlign w:val="center"/>
            <w:hideMark/>
          </w:tcPr>
          <w:p w14:paraId="6847E8D1" w14:textId="77777777" w:rsidR="009A4BA7" w:rsidRDefault="009A4BA7">
            <w:pPr>
              <w:spacing w:before="0" w:after="0" w:line="240" w:lineRule="auto"/>
              <w:jc w:val="right"/>
              <w:rPr>
                <w:rFonts w:ascii="Arial" w:hAnsi="Arial" w:cs="Arial"/>
                <w:color w:val="0000FF"/>
                <w:sz w:val="16"/>
                <w:szCs w:val="16"/>
              </w:rPr>
            </w:pPr>
            <w:r>
              <w:rPr>
                <w:rFonts w:ascii="Arial" w:hAnsi="Arial" w:cs="Arial"/>
                <w:color w:val="0000FF"/>
                <w:sz w:val="16"/>
                <w:szCs w:val="16"/>
              </w:rPr>
              <w:t> </w:t>
            </w:r>
          </w:p>
        </w:tc>
        <w:tc>
          <w:tcPr>
            <w:tcW w:w="539" w:type="pct"/>
            <w:tcBorders>
              <w:top w:val="nil"/>
              <w:left w:val="nil"/>
              <w:bottom w:val="nil"/>
              <w:right w:val="nil"/>
            </w:tcBorders>
            <w:shd w:val="clear" w:color="000000" w:fill="FFFFFF"/>
            <w:noWrap/>
            <w:vAlign w:val="center"/>
            <w:hideMark/>
          </w:tcPr>
          <w:p w14:paraId="29BB7D95" w14:textId="77777777" w:rsidR="009A4BA7" w:rsidRDefault="009A4BA7">
            <w:pPr>
              <w:spacing w:before="0" w:after="0" w:line="240" w:lineRule="auto"/>
              <w:jc w:val="right"/>
              <w:rPr>
                <w:rFonts w:ascii="Arial" w:hAnsi="Arial" w:cs="Arial"/>
                <w:color w:val="0000FF"/>
                <w:sz w:val="16"/>
                <w:szCs w:val="16"/>
              </w:rPr>
            </w:pPr>
            <w:r>
              <w:rPr>
                <w:rFonts w:ascii="Arial" w:hAnsi="Arial" w:cs="Arial"/>
                <w:color w:val="0000FF"/>
                <w:sz w:val="16"/>
                <w:szCs w:val="16"/>
              </w:rPr>
              <w:t> </w:t>
            </w:r>
          </w:p>
        </w:tc>
        <w:tc>
          <w:tcPr>
            <w:tcW w:w="539" w:type="pct"/>
            <w:tcBorders>
              <w:top w:val="nil"/>
              <w:left w:val="nil"/>
              <w:bottom w:val="nil"/>
              <w:right w:val="nil"/>
            </w:tcBorders>
            <w:shd w:val="clear" w:color="000000" w:fill="FFFFFF"/>
            <w:noWrap/>
            <w:vAlign w:val="center"/>
            <w:hideMark/>
          </w:tcPr>
          <w:p w14:paraId="18CD86F0" w14:textId="77777777" w:rsidR="009A4BA7" w:rsidRDefault="009A4BA7">
            <w:pPr>
              <w:spacing w:before="0" w:after="0" w:line="240" w:lineRule="auto"/>
              <w:jc w:val="right"/>
              <w:rPr>
                <w:rFonts w:ascii="Arial" w:hAnsi="Arial" w:cs="Arial"/>
                <w:color w:val="0000FF"/>
                <w:sz w:val="16"/>
                <w:szCs w:val="16"/>
              </w:rPr>
            </w:pPr>
            <w:r>
              <w:rPr>
                <w:rFonts w:ascii="Arial" w:hAnsi="Arial" w:cs="Arial"/>
                <w:color w:val="0000FF"/>
                <w:sz w:val="16"/>
                <w:szCs w:val="16"/>
              </w:rPr>
              <w:t> </w:t>
            </w:r>
          </w:p>
        </w:tc>
        <w:tc>
          <w:tcPr>
            <w:tcW w:w="539" w:type="pct"/>
            <w:tcBorders>
              <w:top w:val="nil"/>
              <w:left w:val="nil"/>
              <w:bottom w:val="nil"/>
              <w:right w:val="nil"/>
            </w:tcBorders>
            <w:shd w:val="clear" w:color="000000" w:fill="FFFFFF"/>
            <w:noWrap/>
            <w:vAlign w:val="center"/>
            <w:hideMark/>
          </w:tcPr>
          <w:p w14:paraId="1FBE5572" w14:textId="77777777" w:rsidR="009A4BA7" w:rsidRDefault="009A4BA7">
            <w:pPr>
              <w:spacing w:before="0" w:after="0" w:line="240" w:lineRule="auto"/>
              <w:jc w:val="right"/>
              <w:rPr>
                <w:rFonts w:ascii="Arial" w:hAnsi="Arial" w:cs="Arial"/>
                <w:color w:val="0000FF"/>
                <w:sz w:val="16"/>
                <w:szCs w:val="16"/>
              </w:rPr>
            </w:pPr>
            <w:r>
              <w:rPr>
                <w:rFonts w:ascii="Arial" w:hAnsi="Arial" w:cs="Arial"/>
                <w:color w:val="0000FF"/>
                <w:sz w:val="16"/>
                <w:szCs w:val="16"/>
              </w:rPr>
              <w:t> </w:t>
            </w:r>
          </w:p>
        </w:tc>
      </w:tr>
      <w:tr w:rsidR="009A4BA7" w14:paraId="252F134D" w14:textId="77777777" w:rsidTr="00E91697">
        <w:trPr>
          <w:trHeight w:hRule="exact" w:val="225"/>
        </w:trPr>
        <w:tc>
          <w:tcPr>
            <w:tcW w:w="1684" w:type="pct"/>
            <w:tcBorders>
              <w:top w:val="nil"/>
              <w:left w:val="nil"/>
              <w:bottom w:val="nil"/>
              <w:right w:val="nil"/>
            </w:tcBorders>
            <w:shd w:val="clear" w:color="000000" w:fill="FFFFFF"/>
            <w:noWrap/>
            <w:vAlign w:val="center"/>
            <w:hideMark/>
          </w:tcPr>
          <w:p w14:paraId="3CBFE30D" w14:textId="77777777" w:rsidR="009A4BA7" w:rsidRDefault="009A4BA7">
            <w:pPr>
              <w:spacing w:before="0" w:after="0" w:line="240" w:lineRule="auto"/>
              <w:rPr>
                <w:rFonts w:ascii="Arial" w:hAnsi="Arial" w:cs="Arial"/>
                <w:b/>
                <w:bCs/>
                <w:sz w:val="16"/>
                <w:szCs w:val="16"/>
              </w:rPr>
            </w:pPr>
            <w:r>
              <w:rPr>
                <w:rFonts w:ascii="Arial" w:hAnsi="Arial" w:cs="Arial"/>
                <w:b/>
                <w:bCs/>
                <w:sz w:val="16"/>
                <w:szCs w:val="16"/>
              </w:rPr>
              <w:t>Net interest payments</w:t>
            </w:r>
            <w:r w:rsidRPr="00D87146">
              <w:rPr>
                <w:rFonts w:ascii="Arial" w:hAnsi="Arial" w:cs="Arial"/>
                <w:b/>
                <w:bCs/>
                <w:sz w:val="16"/>
                <w:szCs w:val="16"/>
              </w:rPr>
              <w:t>(e)</w:t>
            </w:r>
          </w:p>
        </w:tc>
        <w:tc>
          <w:tcPr>
            <w:tcW w:w="547" w:type="pct"/>
            <w:tcBorders>
              <w:top w:val="nil"/>
              <w:left w:val="nil"/>
              <w:bottom w:val="nil"/>
              <w:right w:val="nil"/>
            </w:tcBorders>
            <w:shd w:val="clear" w:color="000000" w:fill="FFFFFF"/>
            <w:noWrap/>
            <w:vAlign w:val="center"/>
            <w:hideMark/>
          </w:tcPr>
          <w:p w14:paraId="28764E34"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13.7</w:t>
            </w:r>
          </w:p>
        </w:tc>
        <w:tc>
          <w:tcPr>
            <w:tcW w:w="75" w:type="pct"/>
            <w:tcBorders>
              <w:top w:val="nil"/>
              <w:left w:val="nil"/>
              <w:bottom w:val="nil"/>
              <w:right w:val="nil"/>
            </w:tcBorders>
            <w:shd w:val="clear" w:color="000000" w:fill="FFFFFF"/>
            <w:noWrap/>
            <w:vAlign w:val="center"/>
            <w:hideMark/>
          </w:tcPr>
          <w:p w14:paraId="5DA2EA9E"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 </w:t>
            </w:r>
          </w:p>
        </w:tc>
        <w:tc>
          <w:tcPr>
            <w:tcW w:w="539" w:type="pct"/>
            <w:tcBorders>
              <w:top w:val="nil"/>
              <w:left w:val="nil"/>
              <w:bottom w:val="nil"/>
              <w:right w:val="nil"/>
            </w:tcBorders>
            <w:shd w:val="clear" w:color="000000" w:fill="FFFFFF"/>
            <w:noWrap/>
            <w:vAlign w:val="center"/>
            <w:hideMark/>
          </w:tcPr>
          <w:p w14:paraId="4E0FA569"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17.7</w:t>
            </w:r>
          </w:p>
        </w:tc>
        <w:tc>
          <w:tcPr>
            <w:tcW w:w="539" w:type="pct"/>
            <w:tcBorders>
              <w:top w:val="nil"/>
              <w:left w:val="nil"/>
              <w:bottom w:val="nil"/>
              <w:right w:val="nil"/>
            </w:tcBorders>
            <w:shd w:val="clear" w:color="000000" w:fill="E6F2FF"/>
            <w:noWrap/>
            <w:vAlign w:val="center"/>
            <w:hideMark/>
          </w:tcPr>
          <w:p w14:paraId="49498A35"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19.9</w:t>
            </w:r>
          </w:p>
        </w:tc>
        <w:tc>
          <w:tcPr>
            <w:tcW w:w="539" w:type="pct"/>
            <w:tcBorders>
              <w:top w:val="nil"/>
              <w:left w:val="nil"/>
              <w:bottom w:val="nil"/>
              <w:right w:val="nil"/>
            </w:tcBorders>
            <w:shd w:val="clear" w:color="000000" w:fill="FFFFFF"/>
            <w:noWrap/>
            <w:vAlign w:val="center"/>
            <w:hideMark/>
          </w:tcPr>
          <w:p w14:paraId="2547DDA9"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26.7</w:t>
            </w:r>
          </w:p>
        </w:tc>
        <w:tc>
          <w:tcPr>
            <w:tcW w:w="539" w:type="pct"/>
            <w:tcBorders>
              <w:top w:val="nil"/>
              <w:left w:val="nil"/>
              <w:bottom w:val="nil"/>
              <w:right w:val="nil"/>
            </w:tcBorders>
            <w:shd w:val="clear" w:color="000000" w:fill="FFFFFF"/>
            <w:noWrap/>
            <w:vAlign w:val="center"/>
            <w:hideMark/>
          </w:tcPr>
          <w:p w14:paraId="510F5E08"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28.0</w:t>
            </w:r>
          </w:p>
        </w:tc>
        <w:tc>
          <w:tcPr>
            <w:tcW w:w="539" w:type="pct"/>
            <w:tcBorders>
              <w:top w:val="nil"/>
              <w:left w:val="nil"/>
              <w:bottom w:val="nil"/>
              <w:right w:val="nil"/>
            </w:tcBorders>
            <w:shd w:val="clear" w:color="000000" w:fill="FFFFFF"/>
            <w:noWrap/>
            <w:vAlign w:val="center"/>
            <w:hideMark/>
          </w:tcPr>
          <w:p w14:paraId="5597373D" w14:textId="77777777" w:rsidR="009A4BA7" w:rsidRDefault="009A4BA7">
            <w:pPr>
              <w:spacing w:before="0" w:after="0" w:line="240" w:lineRule="auto"/>
              <w:jc w:val="right"/>
              <w:rPr>
                <w:rFonts w:ascii="Arial" w:hAnsi="Arial" w:cs="Arial"/>
                <w:b/>
                <w:bCs/>
                <w:sz w:val="16"/>
                <w:szCs w:val="16"/>
              </w:rPr>
            </w:pPr>
            <w:r>
              <w:rPr>
                <w:rFonts w:ascii="Arial" w:hAnsi="Arial" w:cs="Arial"/>
                <w:b/>
                <w:bCs/>
                <w:sz w:val="16"/>
                <w:szCs w:val="16"/>
              </w:rPr>
              <w:t>31.7</w:t>
            </w:r>
          </w:p>
        </w:tc>
      </w:tr>
      <w:tr w:rsidR="009A4BA7" w14:paraId="4BC772CB" w14:textId="77777777" w:rsidTr="00E91697">
        <w:trPr>
          <w:trHeight w:hRule="exact" w:val="225"/>
        </w:trPr>
        <w:tc>
          <w:tcPr>
            <w:tcW w:w="1684" w:type="pct"/>
            <w:tcBorders>
              <w:top w:val="nil"/>
              <w:left w:val="nil"/>
              <w:bottom w:val="single" w:sz="4" w:space="0" w:color="293F5B"/>
              <w:right w:val="nil"/>
            </w:tcBorders>
            <w:shd w:val="clear" w:color="000000" w:fill="FFFFFF"/>
            <w:noWrap/>
            <w:vAlign w:val="center"/>
            <w:hideMark/>
          </w:tcPr>
          <w:p w14:paraId="1A043948" w14:textId="77777777" w:rsidR="009A4BA7" w:rsidRDefault="009A4BA7">
            <w:pPr>
              <w:spacing w:before="0" w:after="0" w:line="240" w:lineRule="auto"/>
              <w:rPr>
                <w:rFonts w:ascii="Arial" w:hAnsi="Arial" w:cs="Arial"/>
                <w:sz w:val="16"/>
                <w:szCs w:val="16"/>
              </w:rPr>
            </w:pPr>
            <w:r>
              <w:rPr>
                <w:rFonts w:ascii="Arial" w:hAnsi="Arial" w:cs="Arial"/>
                <w:sz w:val="16"/>
                <w:szCs w:val="16"/>
              </w:rPr>
              <w:t>Per cent of GDP</w:t>
            </w:r>
          </w:p>
        </w:tc>
        <w:tc>
          <w:tcPr>
            <w:tcW w:w="547" w:type="pct"/>
            <w:tcBorders>
              <w:top w:val="nil"/>
              <w:left w:val="nil"/>
              <w:bottom w:val="single" w:sz="4" w:space="0" w:color="293F5B"/>
              <w:right w:val="nil"/>
            </w:tcBorders>
            <w:shd w:val="clear" w:color="000000" w:fill="FFFFFF"/>
            <w:noWrap/>
            <w:vAlign w:val="center"/>
            <w:hideMark/>
          </w:tcPr>
          <w:p w14:paraId="2F163D7F"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0.5</w:t>
            </w:r>
          </w:p>
        </w:tc>
        <w:tc>
          <w:tcPr>
            <w:tcW w:w="75" w:type="pct"/>
            <w:tcBorders>
              <w:top w:val="nil"/>
              <w:left w:val="nil"/>
              <w:bottom w:val="single" w:sz="4" w:space="0" w:color="293F5B"/>
              <w:right w:val="nil"/>
            </w:tcBorders>
            <w:shd w:val="clear" w:color="000000" w:fill="FFFFFF"/>
            <w:noWrap/>
            <w:vAlign w:val="center"/>
            <w:hideMark/>
          </w:tcPr>
          <w:p w14:paraId="03420FC6"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 </w:t>
            </w:r>
          </w:p>
        </w:tc>
        <w:tc>
          <w:tcPr>
            <w:tcW w:w="539" w:type="pct"/>
            <w:tcBorders>
              <w:top w:val="nil"/>
              <w:left w:val="nil"/>
              <w:bottom w:val="single" w:sz="4" w:space="0" w:color="293F5B"/>
              <w:right w:val="nil"/>
            </w:tcBorders>
            <w:shd w:val="clear" w:color="000000" w:fill="FFFFFF"/>
            <w:noWrap/>
            <w:vAlign w:val="center"/>
            <w:hideMark/>
          </w:tcPr>
          <w:p w14:paraId="1863E238"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0.6</w:t>
            </w:r>
          </w:p>
        </w:tc>
        <w:tc>
          <w:tcPr>
            <w:tcW w:w="539" w:type="pct"/>
            <w:tcBorders>
              <w:top w:val="nil"/>
              <w:left w:val="nil"/>
              <w:bottom w:val="single" w:sz="4" w:space="0" w:color="293F5B"/>
              <w:right w:val="nil"/>
            </w:tcBorders>
            <w:shd w:val="clear" w:color="000000" w:fill="E6F2FF"/>
            <w:noWrap/>
            <w:vAlign w:val="center"/>
            <w:hideMark/>
          </w:tcPr>
          <w:p w14:paraId="4AEA362B"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0.6</w:t>
            </w:r>
          </w:p>
        </w:tc>
        <w:tc>
          <w:tcPr>
            <w:tcW w:w="539" w:type="pct"/>
            <w:tcBorders>
              <w:top w:val="nil"/>
              <w:left w:val="nil"/>
              <w:bottom w:val="single" w:sz="4" w:space="0" w:color="293F5B"/>
              <w:right w:val="nil"/>
            </w:tcBorders>
            <w:shd w:val="clear" w:color="000000" w:fill="FFFFFF"/>
            <w:noWrap/>
            <w:vAlign w:val="center"/>
            <w:hideMark/>
          </w:tcPr>
          <w:p w14:paraId="162CE677"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0.8</w:t>
            </w:r>
          </w:p>
        </w:tc>
        <w:tc>
          <w:tcPr>
            <w:tcW w:w="539" w:type="pct"/>
            <w:tcBorders>
              <w:top w:val="nil"/>
              <w:left w:val="nil"/>
              <w:bottom w:val="single" w:sz="4" w:space="0" w:color="293F5B"/>
              <w:right w:val="nil"/>
            </w:tcBorders>
            <w:shd w:val="clear" w:color="000000" w:fill="FFFFFF"/>
            <w:noWrap/>
            <w:vAlign w:val="center"/>
            <w:hideMark/>
          </w:tcPr>
          <w:p w14:paraId="53922AB6"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0.8</w:t>
            </w:r>
          </w:p>
        </w:tc>
        <w:tc>
          <w:tcPr>
            <w:tcW w:w="539" w:type="pct"/>
            <w:tcBorders>
              <w:top w:val="nil"/>
              <w:left w:val="nil"/>
              <w:bottom w:val="single" w:sz="4" w:space="0" w:color="293F5B"/>
              <w:right w:val="nil"/>
            </w:tcBorders>
            <w:shd w:val="clear" w:color="000000" w:fill="FFFFFF"/>
            <w:noWrap/>
            <w:vAlign w:val="center"/>
            <w:hideMark/>
          </w:tcPr>
          <w:p w14:paraId="297D6CE6" w14:textId="77777777" w:rsidR="009A4BA7" w:rsidRDefault="009A4BA7">
            <w:pPr>
              <w:spacing w:before="0" w:after="0" w:line="240" w:lineRule="auto"/>
              <w:jc w:val="right"/>
              <w:rPr>
                <w:rFonts w:ascii="Arial" w:hAnsi="Arial" w:cs="Arial"/>
                <w:sz w:val="16"/>
                <w:szCs w:val="16"/>
              </w:rPr>
            </w:pPr>
            <w:r>
              <w:rPr>
                <w:rFonts w:ascii="Arial" w:hAnsi="Arial" w:cs="Arial"/>
                <w:sz w:val="16"/>
                <w:szCs w:val="16"/>
              </w:rPr>
              <w:t>0.9</w:t>
            </w:r>
          </w:p>
        </w:tc>
      </w:tr>
    </w:tbl>
    <w:p w14:paraId="3D8BBB46" w14:textId="77777777" w:rsidR="009A4BA7" w:rsidRPr="00CF5BBF" w:rsidRDefault="009A4BA7" w:rsidP="009A4BA7">
      <w:pPr>
        <w:pStyle w:val="ChartandTableFootnoteAlpha"/>
        <w:numPr>
          <w:ilvl w:val="0"/>
          <w:numId w:val="26"/>
        </w:numPr>
        <w:rPr>
          <w:rFonts w:cs="Arial"/>
        </w:rPr>
      </w:pPr>
      <w:r w:rsidRPr="00576DC7">
        <w:rPr>
          <w:color w:val="auto"/>
        </w:rPr>
        <w:t>Assets, liabilities, net worth, net financial worth, gross debt and net debt are as at the end of each financial year.</w:t>
      </w:r>
    </w:p>
    <w:p w14:paraId="349C4AFD" w14:textId="77777777" w:rsidR="009A4BA7" w:rsidRPr="00185942" w:rsidRDefault="009A4BA7" w:rsidP="009A4BA7">
      <w:pPr>
        <w:pStyle w:val="ChartandTableFootnoteAlpha"/>
        <w:numPr>
          <w:ilvl w:val="0"/>
          <w:numId w:val="19"/>
        </w:numPr>
      </w:pPr>
      <w:r w:rsidRPr="00576DC7">
        <w:rPr>
          <w:color w:val="auto"/>
        </w:rPr>
        <w:t>Net financial worth equals total financial assets minus total liabilities.</w:t>
      </w:r>
    </w:p>
    <w:p w14:paraId="6AF5AE97" w14:textId="77777777" w:rsidR="009A4BA7" w:rsidRPr="00712254" w:rsidRDefault="009A4BA7" w:rsidP="009A4BA7">
      <w:pPr>
        <w:pStyle w:val="ChartandTableFootnoteAlpha"/>
        <w:numPr>
          <w:ilvl w:val="0"/>
          <w:numId w:val="19"/>
        </w:numPr>
        <w:rPr>
          <w:color w:val="auto"/>
        </w:rPr>
      </w:pPr>
      <w:r w:rsidRPr="00576DC7">
        <w:rPr>
          <w:color w:val="auto"/>
        </w:rPr>
        <w:t>Gross debt measures the face value of AGS on issue.</w:t>
      </w:r>
    </w:p>
    <w:p w14:paraId="6E37B929" w14:textId="6C0D9160" w:rsidR="009A4BA7" w:rsidRPr="00712254" w:rsidRDefault="009A4BA7" w:rsidP="009A4BA7">
      <w:pPr>
        <w:pStyle w:val="ChartandTableFootnoteAlpha"/>
        <w:numPr>
          <w:ilvl w:val="0"/>
          <w:numId w:val="19"/>
        </w:numPr>
        <w:rPr>
          <w:color w:val="auto"/>
        </w:rPr>
      </w:pPr>
      <w:r w:rsidRPr="00576DC7">
        <w:rPr>
          <w:color w:val="auto"/>
        </w:rPr>
        <w:t>Net debt is the sum of interest</w:t>
      </w:r>
      <w:r>
        <w:rPr>
          <w:color w:val="auto"/>
        </w:rPr>
        <w:noBreakHyphen/>
      </w:r>
      <w:r w:rsidRPr="00576DC7">
        <w:rPr>
          <w:color w:val="auto"/>
        </w:rPr>
        <w:t>bearing liabilities (which includes AGS on issue measured at market value) less the sum of selected financial assets (cash and deposits, advances paid and investments, loans and placements).</w:t>
      </w:r>
    </w:p>
    <w:p w14:paraId="6AC73FB8" w14:textId="77777777" w:rsidR="009A4BA7" w:rsidRPr="00712254" w:rsidRDefault="009A4BA7" w:rsidP="009A4BA7">
      <w:pPr>
        <w:pStyle w:val="ChartandTableFootnoteAlpha"/>
        <w:numPr>
          <w:ilvl w:val="0"/>
          <w:numId w:val="19"/>
        </w:numPr>
        <w:rPr>
          <w:rFonts w:eastAsiaTheme="minorEastAsia"/>
          <w:color w:val="auto"/>
          <w:lang w:eastAsia="en-US"/>
        </w:rPr>
      </w:pPr>
      <w:r w:rsidRPr="00576DC7">
        <w:rPr>
          <w:rFonts w:eastAsiaTheme="minorEastAsia"/>
          <w:color w:val="auto"/>
          <w:lang w:eastAsia="en-US"/>
        </w:rPr>
        <w:t>Net interest payments are equal to the difference between interest payments and interest receipts.</w:t>
      </w:r>
    </w:p>
    <w:p w14:paraId="78E47059" w14:textId="77777777" w:rsidR="009A4BA7" w:rsidRPr="00712254" w:rsidRDefault="009A4BA7" w:rsidP="009A4BA7">
      <w:pPr>
        <w:pStyle w:val="TableLine"/>
      </w:pPr>
    </w:p>
    <w:p w14:paraId="2E05352E" w14:textId="3D2EE3A3" w:rsidR="009A4BA7" w:rsidRDefault="009A4BA7" w:rsidP="009A4BA7">
      <w:pPr>
        <w:rPr>
          <w:rFonts w:ascii="Arial Bold" w:hAnsi="Arial Bold"/>
          <w:b/>
          <w:sz w:val="22"/>
        </w:rPr>
      </w:pPr>
      <w:r w:rsidRPr="00712254">
        <w:br w:type="page"/>
      </w:r>
    </w:p>
    <w:p w14:paraId="291FC185" w14:textId="050D9CB0" w:rsidR="00B303DE" w:rsidRPr="00207DD5" w:rsidRDefault="00B303DE" w:rsidP="00B303DE">
      <w:pPr>
        <w:pStyle w:val="Heading3"/>
      </w:pPr>
      <w:bookmarkStart w:id="92" w:name="_Toc229240493"/>
      <w:r w:rsidRPr="00207DD5">
        <w:lastRenderedPageBreak/>
        <w:t>Gross debt estimates and projections</w:t>
      </w:r>
      <w:bookmarkEnd w:id="89"/>
      <w:bookmarkEnd w:id="90"/>
      <w:bookmarkEnd w:id="91"/>
      <w:bookmarkEnd w:id="92"/>
    </w:p>
    <w:p w14:paraId="3C680C81" w14:textId="044FD0E5" w:rsidR="00CD34BF" w:rsidRPr="00576DC7" w:rsidRDefault="00B303DE" w:rsidP="00B303DE">
      <w:r w:rsidRPr="00207DD5">
        <w:t xml:space="preserve">Gross debt is </w:t>
      </w:r>
      <w:r w:rsidR="00CB6870" w:rsidRPr="00207DD5">
        <w:t xml:space="preserve">now expected to </w:t>
      </w:r>
      <w:r w:rsidR="00CD34BF" w:rsidRPr="00207DD5">
        <w:t xml:space="preserve">peak </w:t>
      </w:r>
      <w:r w:rsidR="00B37D83" w:rsidRPr="00207DD5">
        <w:t xml:space="preserve">at </w:t>
      </w:r>
      <w:r w:rsidR="004B7DE6" w:rsidRPr="00207DD5">
        <w:t>35.</w:t>
      </w:r>
      <w:r w:rsidR="00BA635C" w:rsidRPr="00207DD5">
        <w:t>8</w:t>
      </w:r>
      <w:r w:rsidR="009F0B52" w:rsidRPr="00207DD5">
        <w:t> </w:t>
      </w:r>
      <w:r w:rsidR="00621612" w:rsidRPr="00207DD5">
        <w:t>per</w:t>
      </w:r>
      <w:r w:rsidR="009F0B52" w:rsidRPr="00207DD5">
        <w:t> </w:t>
      </w:r>
      <w:r w:rsidR="00621612" w:rsidRPr="00207DD5">
        <w:t>cent of GDP</w:t>
      </w:r>
      <w:r w:rsidR="005B15AC" w:rsidRPr="00207DD5">
        <w:t xml:space="preserve"> </w:t>
      </w:r>
      <w:r w:rsidR="00CD34BF" w:rsidRPr="00207DD5">
        <w:t xml:space="preserve">in </w:t>
      </w:r>
      <w:r w:rsidR="007D69E6" w:rsidRPr="00207DD5">
        <w:t>202</w:t>
      </w:r>
      <w:r w:rsidR="004B7DE6" w:rsidRPr="00207DD5">
        <w:t>8</w:t>
      </w:r>
      <w:r w:rsidR="007D69E6" w:rsidRPr="00207DD5">
        <w:t>–</w:t>
      </w:r>
      <w:r w:rsidR="004B7DE6" w:rsidRPr="00207DD5">
        <w:t>29</w:t>
      </w:r>
      <w:r w:rsidR="007D69E6" w:rsidRPr="00207DD5">
        <w:t xml:space="preserve">, </w:t>
      </w:r>
      <w:r w:rsidR="000C4E9B" w:rsidRPr="00207DD5">
        <w:t>two</w:t>
      </w:r>
      <w:r w:rsidR="00CB6870" w:rsidRPr="00207DD5">
        <w:t xml:space="preserve"> years earlier</w:t>
      </w:r>
      <w:r w:rsidR="005B15AC" w:rsidRPr="00207DD5">
        <w:t xml:space="preserve"> and </w:t>
      </w:r>
      <w:r w:rsidR="004753CA" w:rsidRPr="00207DD5">
        <w:t>1.</w:t>
      </w:r>
      <w:r w:rsidR="00BA635C" w:rsidRPr="00207DD5">
        <w:t>2</w:t>
      </w:r>
      <w:r w:rsidR="009F0B52" w:rsidRPr="00207DD5">
        <w:t> </w:t>
      </w:r>
      <w:r w:rsidR="005B15AC" w:rsidRPr="00207DD5">
        <w:t>percentage points</w:t>
      </w:r>
      <w:r w:rsidR="00CB6870" w:rsidRPr="00207DD5">
        <w:t xml:space="preserve"> </w:t>
      </w:r>
      <w:r w:rsidR="00716928" w:rsidRPr="00207DD5">
        <w:t>lower</w:t>
      </w:r>
      <w:r w:rsidR="00CB6870" w:rsidRPr="00207DD5">
        <w:t xml:space="preserve"> than projected</w:t>
      </w:r>
      <w:r w:rsidR="00B37D83" w:rsidRPr="00207DD5">
        <w:t xml:space="preserve"> </w:t>
      </w:r>
      <w:r w:rsidR="004E6E07" w:rsidRPr="00207DD5">
        <w:t xml:space="preserve">at </w:t>
      </w:r>
      <w:r w:rsidR="00B37D83" w:rsidRPr="00207DD5">
        <w:t>MYEFO</w:t>
      </w:r>
      <w:r w:rsidR="00165326" w:rsidRPr="00207DD5">
        <w:t xml:space="preserve"> (Table 3.6)</w:t>
      </w:r>
      <w:r w:rsidR="00DF783B" w:rsidRPr="00207DD5">
        <w:t>.</w:t>
      </w:r>
      <w:r w:rsidR="008317B6" w:rsidRPr="00207DD5">
        <w:t xml:space="preserve"> By 30 June 2037, gross debt is expected to be </w:t>
      </w:r>
      <w:r w:rsidR="00F67357" w:rsidRPr="00207DD5">
        <w:t>27.2</w:t>
      </w:r>
      <w:r w:rsidR="009F0B52" w:rsidRPr="00207DD5">
        <w:t> </w:t>
      </w:r>
      <w:r w:rsidR="008317B6" w:rsidRPr="00207DD5">
        <w:t>per</w:t>
      </w:r>
      <w:r w:rsidR="009F0B52" w:rsidRPr="00207DD5">
        <w:t> </w:t>
      </w:r>
      <w:r w:rsidR="008317B6" w:rsidRPr="00207DD5">
        <w:t>cent of GDP</w:t>
      </w:r>
      <w:r w:rsidR="00A02674" w:rsidRPr="00207DD5">
        <w:t xml:space="preserve"> (Chart </w:t>
      </w:r>
      <w:r w:rsidR="00187162" w:rsidRPr="00207DD5">
        <w:t>3.</w:t>
      </w:r>
      <w:r w:rsidR="003D4295" w:rsidRPr="00207DD5">
        <w:t>9</w:t>
      </w:r>
      <w:r w:rsidR="00623FAB" w:rsidRPr="00207DD5">
        <w:t>)</w:t>
      </w:r>
      <w:r w:rsidR="008317B6" w:rsidRPr="00207DD5">
        <w:t>.</w:t>
      </w:r>
      <w:r w:rsidR="002B5C3D" w:rsidRPr="00207DD5">
        <w:t xml:space="preserve"> </w:t>
      </w:r>
    </w:p>
    <w:p w14:paraId="6E1D59DD" w14:textId="70CC8BAF" w:rsidR="00E34ED2" w:rsidRPr="00207DD5" w:rsidRDefault="00E34ED2" w:rsidP="00E34ED2">
      <w:r w:rsidRPr="00207DD5">
        <w:t xml:space="preserve">At 30 June 2027, </w:t>
      </w:r>
      <w:r w:rsidR="00FC199A" w:rsidRPr="00207DD5">
        <w:t>g</w:t>
      </w:r>
      <w:r w:rsidRPr="00207DD5">
        <w:t>ross debt is expected to be $</w:t>
      </w:r>
      <w:r w:rsidR="00FA54BF" w:rsidRPr="00207DD5">
        <w:t>1,051</w:t>
      </w:r>
      <w:r w:rsidRPr="00207DD5">
        <w:t xml:space="preserve"> billion (</w:t>
      </w:r>
      <w:r w:rsidR="00406E51" w:rsidRPr="00207DD5">
        <w:t>3</w:t>
      </w:r>
      <w:r w:rsidR="00020DF1" w:rsidRPr="00207DD5">
        <w:t>4.0</w:t>
      </w:r>
      <w:r w:rsidR="009F0B52" w:rsidRPr="00207DD5">
        <w:t> </w:t>
      </w:r>
      <w:r w:rsidRPr="00207DD5">
        <w:t>per</w:t>
      </w:r>
      <w:r w:rsidR="009F0B52" w:rsidRPr="00207DD5">
        <w:t> </w:t>
      </w:r>
      <w:r w:rsidRPr="00207DD5">
        <w:t>cent of GDP), $</w:t>
      </w:r>
      <w:r w:rsidR="00E11064" w:rsidRPr="00207DD5">
        <w:t>18</w:t>
      </w:r>
      <w:r w:rsidR="004A09A8" w:rsidRPr="00207DD5">
        <w:t>.0</w:t>
      </w:r>
      <w:r w:rsidR="00D56C83" w:rsidRPr="00207DD5">
        <w:t> </w:t>
      </w:r>
      <w:r w:rsidRPr="00207DD5">
        <w:t>billion (</w:t>
      </w:r>
      <w:r w:rsidR="00020DF1" w:rsidRPr="00207DD5">
        <w:t>1.4</w:t>
      </w:r>
      <w:r w:rsidR="009F0B52" w:rsidRPr="00207DD5">
        <w:t> </w:t>
      </w:r>
      <w:r w:rsidRPr="00207DD5">
        <w:t>percentage points of GDP) lower than estimated at MYEFO.</w:t>
      </w:r>
    </w:p>
    <w:p w14:paraId="345CC7C7" w14:textId="34846876" w:rsidR="00CB2E63" w:rsidRPr="00207DD5" w:rsidRDefault="00B303DE" w:rsidP="00B303DE">
      <w:r w:rsidRPr="00207DD5">
        <w:t xml:space="preserve">By the end of the forward estimates, gross debt is lower than </w:t>
      </w:r>
      <w:r w:rsidR="00E05051" w:rsidRPr="00207DD5">
        <w:t xml:space="preserve">at </w:t>
      </w:r>
      <w:r w:rsidRPr="00207DD5">
        <w:t>MYEFO in</w:t>
      </w:r>
      <w:r w:rsidR="006F1369" w:rsidRPr="00207DD5">
        <w:t xml:space="preserve"> both</w:t>
      </w:r>
      <w:r w:rsidRPr="00207DD5">
        <w:t xml:space="preserve"> nominal terms</w:t>
      </w:r>
      <w:r w:rsidR="006F1369" w:rsidRPr="00207DD5">
        <w:t xml:space="preserve"> and as a percent</w:t>
      </w:r>
      <w:r w:rsidR="001F0A91" w:rsidRPr="00207DD5">
        <w:t>age</w:t>
      </w:r>
      <w:r w:rsidR="006F1369" w:rsidRPr="00207DD5">
        <w:t xml:space="preserve"> of GDP</w:t>
      </w:r>
      <w:r w:rsidRPr="00207DD5">
        <w:t xml:space="preserve">, driven by </w:t>
      </w:r>
      <w:r w:rsidR="00552C0B" w:rsidRPr="00207DD5">
        <w:t>the improved budget position</w:t>
      </w:r>
      <w:r w:rsidR="00DF1218" w:rsidRPr="00207DD5">
        <w:t xml:space="preserve"> </w:t>
      </w:r>
      <w:r w:rsidR="00E8281A" w:rsidRPr="00207DD5">
        <w:t xml:space="preserve">and </w:t>
      </w:r>
      <w:r w:rsidR="00E13272" w:rsidRPr="00207DD5">
        <w:t>lower</w:t>
      </w:r>
      <w:r w:rsidR="00421C50" w:rsidRPr="00207DD5">
        <w:t xml:space="preserve"> </w:t>
      </w:r>
      <w:r w:rsidR="00940D5A" w:rsidRPr="00207DD5">
        <w:t>end</w:t>
      </w:r>
      <w:r w:rsidR="00B61083" w:rsidRPr="00207DD5">
        <w:noBreakHyphen/>
      </w:r>
      <w:r w:rsidR="00940D5A" w:rsidRPr="00207DD5">
        <w:t>of</w:t>
      </w:r>
      <w:r w:rsidR="00B61083" w:rsidRPr="00207DD5">
        <w:noBreakHyphen/>
      </w:r>
      <w:r w:rsidR="00940D5A" w:rsidRPr="00207DD5">
        <w:t xml:space="preserve">year cash </w:t>
      </w:r>
      <w:r w:rsidR="00B61083" w:rsidRPr="00207DD5">
        <w:t>holdings</w:t>
      </w:r>
      <w:r w:rsidR="00DD039B" w:rsidRPr="00207DD5">
        <w:t xml:space="preserve"> </w:t>
      </w:r>
      <w:r w:rsidR="00405B01" w:rsidRPr="00207DD5">
        <w:t xml:space="preserve">by the </w:t>
      </w:r>
      <w:r w:rsidR="00B61083" w:rsidRPr="00207DD5">
        <w:t>AOFM</w:t>
      </w:r>
      <w:r w:rsidR="00611249" w:rsidRPr="00207DD5">
        <w:t>,</w:t>
      </w:r>
      <w:r w:rsidR="001D4D1D" w:rsidRPr="00207DD5">
        <w:t xml:space="preserve"> partially offset</w:t>
      </w:r>
      <w:r w:rsidR="00940D5A" w:rsidRPr="00207DD5">
        <w:t xml:space="preserve"> </w:t>
      </w:r>
      <w:r w:rsidR="00395185" w:rsidRPr="00207DD5">
        <w:t xml:space="preserve">by the </w:t>
      </w:r>
      <w:r w:rsidR="001D4D1D" w:rsidRPr="00207DD5">
        <w:t>impact of higher yields</w:t>
      </w:r>
      <w:r w:rsidR="00B61083" w:rsidRPr="00207DD5">
        <w:t>.</w:t>
      </w:r>
    </w:p>
    <w:p w14:paraId="641CFDA5" w14:textId="338E2FCD" w:rsidR="007517FE" w:rsidRPr="00207DD5" w:rsidRDefault="007517FE" w:rsidP="007517FE">
      <w:pPr>
        <w:pStyle w:val="ChartMainHeading"/>
      </w:pPr>
      <w:r w:rsidRPr="00207DD5">
        <w:t>Chart 3.</w:t>
      </w:r>
      <w:r w:rsidR="00BB7CCE" w:rsidRPr="00207DD5">
        <w:t>9</w:t>
      </w:r>
      <w:r w:rsidRPr="00207DD5">
        <w:t>: Gross debt</w:t>
      </w:r>
    </w:p>
    <w:p w14:paraId="473B86E5" w14:textId="6600B261" w:rsidR="007517FE" w:rsidRPr="00207DD5" w:rsidRDefault="00EB6ADA" w:rsidP="007517FE">
      <w:pPr>
        <w:pStyle w:val="ChartGraphic"/>
      </w:pPr>
      <w:r w:rsidRPr="00207DD5">
        <w:rPr>
          <w:noProof/>
        </w:rPr>
        <w:drawing>
          <wp:inline distT="0" distB="0" distL="0" distR="0" wp14:anchorId="43C824FB" wp14:editId="3562E49B">
            <wp:extent cx="4677227" cy="2520000"/>
            <wp:effectExtent l="0" t="0" r="0" b="0"/>
            <wp:docPr id="20982300" name="Graphic 2" descr="This line chart compares projections of gross debt as a share of GDP at the 2026-27 Budget, the 2025-26 MYEFO and the 2022 PEFO. In the 2026-27 Budget, gross debt is expected to be 33.1 per cent of GDP in 2025-26 before peaking at 35.8 per cent of GDP in 2028-29 and falling to 27.2 per cent of GDP by the end of the medium term. At the 2025-26 MYEFO, gross debt was expected to peak at 37.0 per cent of GDP in 2030-31 and decrease to 33.0 per cent by 2035-36. At the 2022 PEFO, gross debt was expected to peak at 44.9 per cent of GDP in 2024-25 and decrease to 40.3 per cent by 2032-33. Gross debt as a share of GDP is projected to be lower than at the 2025-26 MYEFO and 2022 PEFO across the forward estimates and the medium ter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300" name="Graphic 2" descr="This line chart compares projections of gross debt as a share of GDP at the 2026-27 Budget, the 2025-26 MYEFO and the 2022 PEFO. In the 2026-27 Budget, gross debt is expected to be 33.1 per cent of GDP in 2025-26 before peaking at 35.8 per cent of GDP in 2028-29 and falling to 27.2 per cent of GDP by the end of the medium term. At the 2025-26 MYEFO, gross debt was expected to peak at 37.0 per cent of GDP in 2030-31 and decrease to 33.0 per cent by 2035-36. At the 2022 PEFO, gross debt was expected to peak at 44.9 per cent of GDP in 2024-25 and decrease to 40.3 per cent by 2032-33. Gross debt as a share of GDP is projected to be lower than at the 2025-26 MYEFO and 2022 PEFO across the forward estimates and the medium term. "/>
                    <pic:cNvPicPr/>
                  </pic:nvPicPr>
                  <pic:blipFill>
                    <a:blip r:embed="rId35">
                      <a:extLst>
                        <a:ext uri="{96DAC541-7B7A-43D3-8B79-37D633B846F1}">
                          <asvg:svgBlip xmlns:asvg="http://schemas.microsoft.com/office/drawing/2016/SVG/main" r:embed="rId36"/>
                        </a:ext>
                      </a:extLst>
                    </a:blip>
                    <a:stretch>
                      <a:fillRect/>
                    </a:stretch>
                  </pic:blipFill>
                  <pic:spPr>
                    <a:xfrm>
                      <a:off x="0" y="0"/>
                      <a:ext cx="4677227" cy="2520000"/>
                    </a:xfrm>
                    <a:prstGeom prst="rect">
                      <a:avLst/>
                    </a:prstGeom>
                  </pic:spPr>
                </pic:pic>
              </a:graphicData>
            </a:graphic>
          </wp:inline>
        </w:drawing>
      </w:r>
    </w:p>
    <w:p w14:paraId="51B2E4DE" w14:textId="19D0F571" w:rsidR="007517FE" w:rsidRPr="00207DD5" w:rsidRDefault="007517FE" w:rsidP="006A4E6B">
      <w:pPr>
        <w:pStyle w:val="ChartandTableFootnote"/>
        <w:tabs>
          <w:tab w:val="right" w:pos="7710"/>
        </w:tabs>
        <w:rPr>
          <w:color w:val="auto"/>
        </w:rPr>
      </w:pPr>
      <w:r w:rsidRPr="00207DD5">
        <w:rPr>
          <w:color w:val="auto"/>
        </w:rPr>
        <w:t>Source:</w:t>
      </w:r>
      <w:r w:rsidRPr="00207DD5">
        <w:rPr>
          <w:color w:val="auto"/>
        </w:rPr>
        <w:tab/>
        <w:t>Treasury.</w:t>
      </w:r>
    </w:p>
    <w:p w14:paraId="2E141750" w14:textId="77777777" w:rsidR="006A4E6B" w:rsidRPr="00207DD5" w:rsidRDefault="006A4E6B" w:rsidP="006A4E6B">
      <w:pPr>
        <w:pStyle w:val="ChartLine"/>
      </w:pPr>
    </w:p>
    <w:p w14:paraId="25CF2CB1" w14:textId="77777777" w:rsidR="0088487E" w:rsidRPr="00207DD5" w:rsidRDefault="0088487E" w:rsidP="0086297D">
      <w:pPr>
        <w:pStyle w:val="SingleParagraph"/>
      </w:pPr>
    </w:p>
    <w:p w14:paraId="67B8768D" w14:textId="654A28A6" w:rsidR="00D87146" w:rsidRPr="00576DC7" w:rsidRDefault="002D1446" w:rsidP="00E46471">
      <w:pPr>
        <w:pStyle w:val="Heading4"/>
        <w:rPr>
          <w:b w:val="0"/>
        </w:rPr>
      </w:pPr>
      <w:r w:rsidRPr="00207DD5">
        <w:rPr>
          <w:rStyle w:val="Heading4Char"/>
        </w:rPr>
        <w:t>Interest payments</w:t>
      </w:r>
    </w:p>
    <w:p w14:paraId="307C2FAD" w14:textId="5C4B3C0B" w:rsidR="002A76CD" w:rsidRPr="00207DD5" w:rsidRDefault="00777853" w:rsidP="00085C60">
      <w:r w:rsidRPr="00207DD5">
        <w:t xml:space="preserve">Interest payments </w:t>
      </w:r>
      <w:r w:rsidR="008E2537" w:rsidRPr="00207DD5">
        <w:t xml:space="preserve">over the forward estimates </w:t>
      </w:r>
      <w:r w:rsidRPr="00207DD5">
        <w:t>have decreased</w:t>
      </w:r>
      <w:r w:rsidR="00A679C2" w:rsidRPr="00207DD5">
        <w:t xml:space="preserve"> slightly</w:t>
      </w:r>
      <w:r w:rsidRPr="00207DD5">
        <w:t xml:space="preserve"> </w:t>
      </w:r>
      <w:r w:rsidR="00D616DB" w:rsidRPr="00207DD5">
        <w:t>in nominal terms</w:t>
      </w:r>
      <w:r w:rsidRPr="00207DD5">
        <w:t xml:space="preserve"> since MYEFO, </w:t>
      </w:r>
      <w:r w:rsidR="00FC0CEA" w:rsidRPr="00207DD5">
        <w:t xml:space="preserve">largely </w:t>
      </w:r>
      <w:r w:rsidRPr="00207DD5">
        <w:t xml:space="preserve">driven by </w:t>
      </w:r>
      <w:r w:rsidR="003B77F9" w:rsidRPr="00207DD5">
        <w:t xml:space="preserve">a reduction in interest payments </w:t>
      </w:r>
      <w:r w:rsidR="00DB6FB7" w:rsidRPr="00207DD5">
        <w:t xml:space="preserve">on </w:t>
      </w:r>
      <w:r w:rsidR="00C403E9" w:rsidRPr="00207DD5">
        <w:t>Australian Government Securities</w:t>
      </w:r>
      <w:r w:rsidRPr="00207DD5">
        <w:t>.</w:t>
      </w:r>
      <w:bookmarkStart w:id="93" w:name="_Toc193537060"/>
      <w:bookmarkStart w:id="94" w:name="_Toc117356571"/>
      <w:bookmarkEnd w:id="88"/>
    </w:p>
    <w:p w14:paraId="6218DA7B" w14:textId="18683E1F" w:rsidR="00E17971" w:rsidRPr="00207DD5" w:rsidRDefault="00E17971" w:rsidP="00E17971">
      <w:r w:rsidRPr="00207DD5">
        <w:t xml:space="preserve">Total interest payments are estimated to be </w:t>
      </w:r>
      <w:r w:rsidR="00186BF6" w:rsidRPr="00207DD5">
        <w:t>1.</w:t>
      </w:r>
      <w:r w:rsidR="002C4972" w:rsidRPr="00207DD5">
        <w:t>0</w:t>
      </w:r>
      <w:r w:rsidR="009F0B52" w:rsidRPr="00207DD5">
        <w:t> </w:t>
      </w:r>
      <w:r w:rsidRPr="00207DD5">
        <w:t>per</w:t>
      </w:r>
      <w:r w:rsidR="009F0B52" w:rsidRPr="00207DD5">
        <w:t> </w:t>
      </w:r>
      <w:r w:rsidRPr="00207DD5">
        <w:t xml:space="preserve">cent of GDP in 2026–27, </w:t>
      </w:r>
      <w:r w:rsidR="002C4972" w:rsidRPr="00207DD5">
        <w:t>unchanged from</w:t>
      </w:r>
      <w:r w:rsidRPr="00207DD5">
        <w:t xml:space="preserve"> MYEFO.</w:t>
      </w:r>
      <w:r>
        <w:t xml:space="preserve"> </w:t>
      </w:r>
      <w:r w:rsidRPr="00207DD5">
        <w:t xml:space="preserve">Interest payments are estimated to peak at </w:t>
      </w:r>
      <w:r w:rsidR="00DB006E" w:rsidRPr="00207DD5">
        <w:t>1.</w:t>
      </w:r>
      <w:r w:rsidR="00A937D0" w:rsidRPr="00207DD5">
        <w:t>6</w:t>
      </w:r>
      <w:r w:rsidR="009F0B52" w:rsidRPr="00207DD5">
        <w:t> </w:t>
      </w:r>
      <w:r w:rsidRPr="00207DD5">
        <w:t>per</w:t>
      </w:r>
      <w:r w:rsidR="009F0B52" w:rsidRPr="00207DD5">
        <w:t> </w:t>
      </w:r>
      <w:r w:rsidRPr="00207DD5">
        <w:t>cent of GDP in 2032–</w:t>
      </w:r>
      <w:r w:rsidR="00C43B83" w:rsidRPr="00207DD5">
        <w:t>33</w:t>
      </w:r>
      <w:r w:rsidRPr="00207DD5">
        <w:t xml:space="preserve">. </w:t>
      </w:r>
      <w:r w:rsidR="006466F6" w:rsidRPr="00207DD5">
        <w:t>Interest</w:t>
      </w:r>
      <w:r w:rsidRPr="00207DD5">
        <w:t xml:space="preserve"> payments </w:t>
      </w:r>
      <w:r w:rsidR="00934AB0" w:rsidRPr="00207DD5">
        <w:t>in</w:t>
      </w:r>
      <w:r w:rsidR="00904879" w:rsidRPr="00207DD5">
        <w:t xml:space="preserve"> 2035–36 </w:t>
      </w:r>
      <w:r w:rsidRPr="00207DD5">
        <w:t xml:space="preserve">are </w:t>
      </w:r>
      <w:r w:rsidR="00975E04" w:rsidRPr="00207DD5">
        <w:t>1.5</w:t>
      </w:r>
      <w:r w:rsidR="009F0B52" w:rsidRPr="00207DD5">
        <w:t> </w:t>
      </w:r>
      <w:r w:rsidR="00975E04" w:rsidRPr="00207DD5">
        <w:t>per</w:t>
      </w:r>
      <w:r w:rsidR="009F0B52" w:rsidRPr="00207DD5">
        <w:t> </w:t>
      </w:r>
      <w:r w:rsidR="00975E04" w:rsidRPr="00207DD5">
        <w:t xml:space="preserve">cent of GDP, </w:t>
      </w:r>
      <w:r w:rsidR="006466F6" w:rsidRPr="00207DD5">
        <w:t>unchanged</w:t>
      </w:r>
      <w:r w:rsidR="00904879" w:rsidRPr="00207DD5">
        <w:t xml:space="preserve"> </w:t>
      </w:r>
      <w:r w:rsidR="00975E04" w:rsidRPr="00207DD5">
        <w:t>from MYEFO</w:t>
      </w:r>
      <w:r w:rsidR="00904879" w:rsidRPr="00207DD5">
        <w:t>.</w:t>
      </w:r>
    </w:p>
    <w:p w14:paraId="66F2BC6C" w14:textId="52D4C3E5" w:rsidR="00777853" w:rsidRPr="00207DD5" w:rsidRDefault="00777853" w:rsidP="00777853">
      <w:r w:rsidRPr="00207DD5">
        <w:t>Over the forward estimates, bond yields are assumed to remain fixed at a recent average of daily spot rates at the time of the budget update</w:t>
      </w:r>
      <w:r w:rsidR="00072BD2" w:rsidRPr="00207DD5">
        <w:t>.</w:t>
      </w:r>
      <w:r w:rsidR="002D7D48">
        <w:t xml:space="preserve"> </w:t>
      </w:r>
      <w:r w:rsidRPr="00207DD5">
        <w:t xml:space="preserve">Since MYEFO, the assumed weighted average cost of borrowing for issuance of Treasury Bonds in the forward estimates has increased from </w:t>
      </w:r>
      <w:r w:rsidR="00306B6A" w:rsidRPr="00207DD5">
        <w:t>4.4</w:t>
      </w:r>
      <w:r w:rsidRPr="00207DD5">
        <w:t xml:space="preserve"> to </w:t>
      </w:r>
      <w:r w:rsidR="003C3862" w:rsidRPr="00207DD5">
        <w:t>4.8</w:t>
      </w:r>
      <w:r w:rsidR="009F0B52" w:rsidRPr="00207DD5">
        <w:t> </w:t>
      </w:r>
      <w:r w:rsidRPr="00207DD5">
        <w:t>per</w:t>
      </w:r>
      <w:r w:rsidR="009F0B52" w:rsidRPr="00207DD5">
        <w:t> </w:t>
      </w:r>
      <w:r w:rsidRPr="00207DD5">
        <w:t xml:space="preserve">cent, reflecting </w:t>
      </w:r>
      <w:r w:rsidR="00210236" w:rsidRPr="00207DD5">
        <w:t xml:space="preserve">shifts in market expectations and broader </w:t>
      </w:r>
      <w:r w:rsidR="00210236" w:rsidRPr="00207DD5">
        <w:lastRenderedPageBreak/>
        <w:t xml:space="preserve">economic uncertainty, compounded by the </w:t>
      </w:r>
      <w:r w:rsidR="000215F6" w:rsidRPr="00207DD5">
        <w:t xml:space="preserve">impacts of the </w:t>
      </w:r>
      <w:r w:rsidR="00210236" w:rsidRPr="00207DD5">
        <w:t>conflict</w:t>
      </w:r>
      <w:r w:rsidR="00CB399F" w:rsidRPr="00207DD5">
        <w:t xml:space="preserve"> in the </w:t>
      </w:r>
      <w:r w:rsidR="00210236" w:rsidRPr="00207DD5">
        <w:t>Middle East</w:t>
      </w:r>
      <w:r w:rsidRPr="00207DD5">
        <w:t xml:space="preserve"> (Box</w:t>
      </w:r>
      <w:r w:rsidR="004C4132" w:rsidRPr="00207DD5">
        <w:t> </w:t>
      </w:r>
      <w:r w:rsidRPr="00207DD5">
        <w:t>3.</w:t>
      </w:r>
      <w:r w:rsidR="00965FA9" w:rsidRPr="00207DD5">
        <w:t>4</w:t>
      </w:r>
      <w:r w:rsidRPr="00207DD5">
        <w:t>).</w:t>
      </w:r>
    </w:p>
    <w:p w14:paraId="5D22D8F1" w14:textId="2C1E13B6" w:rsidR="002D1446" w:rsidRDefault="002D1446" w:rsidP="002D1446">
      <w:r w:rsidRPr="00207DD5">
        <w:rPr>
          <w:i/>
        </w:rPr>
        <w:t>Statement</w:t>
      </w:r>
      <w:r w:rsidR="00777853" w:rsidRPr="00207DD5">
        <w:rPr>
          <w:i/>
        </w:rPr>
        <w:t xml:space="preserve"> 7</w:t>
      </w:r>
      <w:r w:rsidRPr="00207DD5">
        <w:rPr>
          <w:i/>
        </w:rPr>
        <w:t>: Debt Statement</w:t>
      </w:r>
      <w:r w:rsidRPr="00207DD5">
        <w:t xml:space="preserve"> contains further information on yield assumptions and interest payments.</w:t>
      </w:r>
      <w:r w:rsidRPr="00002169">
        <w:t xml:space="preserve"> </w:t>
      </w:r>
      <w:r w:rsidRPr="00207DD5">
        <w:rPr>
          <w:i/>
        </w:rPr>
        <w:t>Statement</w:t>
      </w:r>
      <w:r w:rsidR="00777853" w:rsidRPr="00207DD5">
        <w:rPr>
          <w:i/>
        </w:rPr>
        <w:t xml:space="preserve"> 8</w:t>
      </w:r>
      <w:r w:rsidRPr="00207DD5">
        <w:rPr>
          <w:i/>
        </w:rPr>
        <w:t>: Forecasting Performance and Sensitivity Analysis</w:t>
      </w:r>
      <w:r w:rsidRPr="00207DD5">
        <w:t xml:space="preserve"> contains information on the impact on the underlying cash balance and gross debt if the future trajectory for yields is higher or lower than assumed. </w:t>
      </w:r>
    </w:p>
    <w:tbl>
      <w:tblPr>
        <w:tblW w:w="5000" w:type="pct"/>
        <w:shd w:val="clear" w:color="auto" w:fill="E6F2FF"/>
        <w:tblLayout w:type="fixed"/>
        <w:tblCellMar>
          <w:top w:w="284" w:type="dxa"/>
          <w:left w:w="284" w:type="dxa"/>
          <w:bottom w:w="284" w:type="dxa"/>
          <w:right w:w="284" w:type="dxa"/>
        </w:tblCellMar>
        <w:tblLook w:val="0620" w:firstRow="1" w:lastRow="0" w:firstColumn="0" w:lastColumn="0" w:noHBand="1" w:noVBand="1"/>
      </w:tblPr>
      <w:tblGrid>
        <w:gridCol w:w="7710"/>
      </w:tblGrid>
      <w:tr w:rsidR="008E4AD9" w:rsidRPr="007B7BDD" w14:paraId="6EC76E2B" w14:textId="77777777" w:rsidTr="00E91697">
        <w:trPr>
          <w:cantSplit/>
        </w:trPr>
        <w:tc>
          <w:tcPr>
            <w:tcW w:w="5000" w:type="pct"/>
            <w:shd w:val="clear" w:color="auto" w:fill="E6F2FF"/>
          </w:tcPr>
          <w:p w14:paraId="24F0D068" w14:textId="689F85CF" w:rsidR="008E4AD9" w:rsidRPr="00207DD5" w:rsidRDefault="008E4AD9" w:rsidP="00FC3F3F">
            <w:pPr>
              <w:pStyle w:val="BoxHeading"/>
            </w:pPr>
            <w:r w:rsidRPr="00207DD5">
              <w:t>Box 3.</w:t>
            </w:r>
            <w:r w:rsidR="00965FA9" w:rsidRPr="00207DD5">
              <w:t>4</w:t>
            </w:r>
            <w:r w:rsidRPr="00207DD5">
              <w:t xml:space="preserve">: </w:t>
            </w:r>
            <w:r w:rsidR="003E2620" w:rsidRPr="00207DD5">
              <w:t>Impact of higher interest rates on the budget</w:t>
            </w:r>
          </w:p>
          <w:p w14:paraId="2A54BC11" w14:textId="2EFE002C" w:rsidR="00DC6594" w:rsidRPr="00207DD5" w:rsidRDefault="00D21061" w:rsidP="00DC6594">
            <w:pPr>
              <w:pStyle w:val="BoxText"/>
            </w:pPr>
            <w:r w:rsidRPr="00207DD5">
              <w:t xml:space="preserve">Yields have a significant impact on the </w:t>
            </w:r>
            <w:r w:rsidR="00172F41" w:rsidRPr="00207DD5">
              <w:t>budget</w:t>
            </w:r>
            <w:r w:rsidR="00CD1572" w:rsidRPr="00207DD5">
              <w:t xml:space="preserve">, </w:t>
            </w:r>
            <w:r w:rsidRPr="00207DD5">
              <w:t>primarily through changes in projected interest paid on Australian Government Securities. There are additional impacts, such as interest earnings on term deposits held at the Reserve Bank of Australia and interest earnings from the Future Fund and other Australian Government Investment Funds.</w:t>
            </w:r>
          </w:p>
          <w:p w14:paraId="51FBF834" w14:textId="411BF555" w:rsidR="004F4D32" w:rsidRPr="00207DD5" w:rsidRDefault="009A6B3E" w:rsidP="007B18F2">
            <w:pPr>
              <w:pStyle w:val="BoxText"/>
            </w:pPr>
            <w:r w:rsidRPr="00207DD5">
              <w:t>Due to the increase in yields since</w:t>
            </w:r>
            <w:r w:rsidR="004F4D32" w:rsidRPr="00207DD5">
              <w:t xml:space="preserve"> MYEFO,</w:t>
            </w:r>
            <w:r w:rsidR="001112A6" w:rsidRPr="00207DD5">
              <w:t xml:space="preserve"> </w:t>
            </w:r>
            <w:r w:rsidR="004F4D32" w:rsidRPr="00207DD5">
              <w:t xml:space="preserve">the assumed </w:t>
            </w:r>
            <w:r w:rsidRPr="00207DD5">
              <w:t xml:space="preserve">weighted average costs of borrowing </w:t>
            </w:r>
            <w:r w:rsidR="00454732" w:rsidRPr="00207DD5">
              <w:t>have</w:t>
            </w:r>
            <w:r w:rsidRPr="00207DD5">
              <w:t xml:space="preserve"> increased to </w:t>
            </w:r>
            <w:r w:rsidR="001E7263" w:rsidRPr="00207DD5">
              <w:t>4.8</w:t>
            </w:r>
            <w:r w:rsidR="009F0B52" w:rsidRPr="00207DD5">
              <w:t> </w:t>
            </w:r>
            <w:r w:rsidR="00EB3806" w:rsidRPr="00207DD5">
              <w:t>per</w:t>
            </w:r>
            <w:r w:rsidR="009F0B52" w:rsidRPr="00207DD5">
              <w:t> </w:t>
            </w:r>
            <w:r w:rsidR="00EB3806" w:rsidRPr="00207DD5">
              <w:t>cent</w:t>
            </w:r>
            <w:r w:rsidR="004F4D32" w:rsidRPr="00207DD5">
              <w:t xml:space="preserve"> over the forward estimates, compared with </w:t>
            </w:r>
            <w:r w:rsidRPr="00207DD5">
              <w:t>4.4</w:t>
            </w:r>
            <w:r w:rsidR="009F0B52" w:rsidRPr="00207DD5">
              <w:t> </w:t>
            </w:r>
            <w:r w:rsidR="004F4D32" w:rsidRPr="00207DD5">
              <w:t>per</w:t>
            </w:r>
            <w:r w:rsidR="009F0B52" w:rsidRPr="00207DD5">
              <w:t> </w:t>
            </w:r>
            <w:r w:rsidR="004F4D32" w:rsidRPr="00207DD5">
              <w:t>cent at MYEFO.</w:t>
            </w:r>
            <w:r w:rsidR="001112A6" w:rsidRPr="00207DD5">
              <w:t xml:space="preserve"> </w:t>
            </w:r>
            <w:r w:rsidRPr="00207DD5">
              <w:t xml:space="preserve">Weighted average costs of borrowing are also higher over the medium term. </w:t>
            </w:r>
            <w:r w:rsidR="0033144C" w:rsidRPr="00207DD5">
              <w:t xml:space="preserve">If yields </w:t>
            </w:r>
            <w:r w:rsidR="00396957" w:rsidRPr="00207DD5">
              <w:t>had remained</w:t>
            </w:r>
            <w:r w:rsidR="00D04786" w:rsidRPr="00207DD5">
              <w:t xml:space="preserve"> </w:t>
            </w:r>
            <w:r w:rsidR="004F4D32" w:rsidRPr="00207DD5">
              <w:t xml:space="preserve">at the same level </w:t>
            </w:r>
            <w:r w:rsidR="00D04786" w:rsidRPr="00207DD5">
              <w:t xml:space="preserve">as </w:t>
            </w:r>
            <w:r w:rsidR="004F4D32" w:rsidRPr="00207DD5">
              <w:t>at</w:t>
            </w:r>
            <w:r w:rsidR="0033144C" w:rsidRPr="00207DD5">
              <w:t xml:space="preserve"> the 2025</w:t>
            </w:r>
            <w:r w:rsidR="00851F3E" w:rsidRPr="00207DD5">
              <w:t>–</w:t>
            </w:r>
            <w:r w:rsidR="0033144C" w:rsidRPr="00207DD5">
              <w:t>26 MYEFO, the underlying cash balance would be improved by 0.1 percentage points of GDP in 2036</w:t>
            </w:r>
            <w:r w:rsidR="00F95D3A" w:rsidRPr="00207DD5">
              <w:t>–</w:t>
            </w:r>
            <w:r w:rsidR="0033144C" w:rsidRPr="00207DD5">
              <w:t>37 and gross debt would be 0.9 percentage points of GDP lower at 30 June 2037 (Charts 3.</w:t>
            </w:r>
            <w:r w:rsidR="00244A1B" w:rsidRPr="00207DD5">
              <w:t>10</w:t>
            </w:r>
            <w:r w:rsidR="0033144C" w:rsidRPr="00207DD5">
              <w:t xml:space="preserve"> and 3.</w:t>
            </w:r>
            <w:r w:rsidR="00244A1B" w:rsidRPr="00207DD5">
              <w:t>11</w:t>
            </w:r>
            <w:r w:rsidR="0033144C" w:rsidRPr="00207DD5">
              <w:t>).</w:t>
            </w:r>
          </w:p>
          <w:tbl>
            <w:tblPr>
              <w:tblW w:w="7198" w:type="dxa"/>
              <w:tblLook w:val="0620" w:firstRow="1" w:lastRow="0" w:firstColumn="0" w:lastColumn="0" w:noHBand="1" w:noVBand="1"/>
            </w:tblPr>
            <w:tblGrid>
              <w:gridCol w:w="3598"/>
              <w:gridCol w:w="3600"/>
            </w:tblGrid>
            <w:tr w:rsidR="004F4D32" w14:paraId="7A0E4D93" w14:textId="77777777" w:rsidTr="00E91697">
              <w:trPr>
                <w:cantSplit/>
              </w:trPr>
              <w:tc>
                <w:tcPr>
                  <w:tcW w:w="2499" w:type="pct"/>
                </w:tcPr>
                <w:p w14:paraId="7E573B6F" w14:textId="7717A6D5" w:rsidR="004F4D32" w:rsidRPr="00CC440D" w:rsidRDefault="004F4D32" w:rsidP="00FC3F3F">
                  <w:pPr>
                    <w:pStyle w:val="ChartMainHeading"/>
                    <w:rPr>
                      <w:highlight w:val="cyan"/>
                    </w:rPr>
                  </w:pPr>
                  <w:r w:rsidRPr="00207DD5">
                    <w:t>Chart 3.</w:t>
                  </w:r>
                  <w:r w:rsidR="00244A1B" w:rsidRPr="00207DD5">
                    <w:t>10</w:t>
                  </w:r>
                  <w:r w:rsidRPr="00207DD5">
                    <w:t xml:space="preserve">: </w:t>
                  </w:r>
                  <w:r w:rsidR="003B2231" w:rsidRPr="00207DD5">
                    <w:t>Underlying cash balance</w:t>
                  </w:r>
                  <w:r w:rsidRPr="00207DD5">
                    <w:t xml:space="preserve"> </w:t>
                  </w:r>
                </w:p>
              </w:tc>
              <w:tc>
                <w:tcPr>
                  <w:tcW w:w="2501" w:type="pct"/>
                </w:tcPr>
                <w:p w14:paraId="739018A4" w14:textId="616824D3" w:rsidR="004F4D32" w:rsidRPr="00207DD5" w:rsidRDefault="004F4D32" w:rsidP="00FC3F3F">
                  <w:pPr>
                    <w:pStyle w:val="ChartMainHeading"/>
                  </w:pPr>
                  <w:r w:rsidRPr="00207DD5">
                    <w:t>Chart 3.</w:t>
                  </w:r>
                  <w:r w:rsidR="00244A1B" w:rsidRPr="00207DD5">
                    <w:t>11</w:t>
                  </w:r>
                  <w:r w:rsidRPr="00207DD5">
                    <w:t xml:space="preserve">: Gross debt </w:t>
                  </w:r>
                </w:p>
              </w:tc>
            </w:tr>
            <w:tr w:rsidR="004F4D32" w14:paraId="76F1C522" w14:textId="77777777" w:rsidTr="00E91697">
              <w:trPr>
                <w:cantSplit/>
              </w:trPr>
              <w:tc>
                <w:tcPr>
                  <w:tcW w:w="2499" w:type="pct"/>
                </w:tcPr>
                <w:p w14:paraId="11C3064D" w14:textId="4D4FB353" w:rsidR="004F4D32" w:rsidRPr="00CC440D" w:rsidRDefault="00CF50D2" w:rsidP="004F4D32">
                  <w:pPr>
                    <w:pStyle w:val="ChartGraphic"/>
                    <w:jc w:val="both"/>
                    <w:rPr>
                      <w:highlight w:val="cyan"/>
                    </w:rPr>
                  </w:pPr>
                  <w:r w:rsidRPr="00207DD5">
                    <w:rPr>
                      <w:noProof/>
                    </w:rPr>
                    <w:drawing>
                      <wp:inline distT="0" distB="0" distL="0" distR="0" wp14:anchorId="75A3FAF3" wp14:editId="602075FB">
                        <wp:extent cx="2162175" cy="2305050"/>
                        <wp:effectExtent l="0" t="0" r="9525" b="0"/>
                        <wp:docPr id="1950477356" name="Graphic 1" descr="The chart compares underlying cash balance as a share of GDP from 2025-26 to 2036-37 under the baseline and previous yield assumptions. Under the baseline, the underlying cash balance as a share of GDP increases to 0.8 per cent in 2036-37. Under the previous yield assumption it peaks increases to 1.0 per cent of GDP in 20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77356" name="Graphic 1" descr="The chart compares underlying cash balance as a share of GDP from 2025-26 to 2036-37 under the baseline and previous yield assumptions. Under the baseline, the underlying cash balance as a share of GDP increases to 0.8 per cent in 2036-37. Under the previous yield assumption it peaks increases to 1.0 per cent of GDP in 2036-37."/>
                                <pic:cNvPicPr/>
                              </pic:nvPicPr>
                              <pic:blipFill>
                                <a:blip r:embed="rId37">
                                  <a:extLst>
                                    <a:ext uri="{96DAC541-7B7A-43D3-8B79-37D633B846F1}">
                                      <asvg:svgBlip xmlns:asvg="http://schemas.microsoft.com/office/drawing/2016/SVG/main" r:embed="rId38"/>
                                    </a:ext>
                                  </a:extLst>
                                </a:blip>
                                <a:stretch>
                                  <a:fillRect/>
                                </a:stretch>
                              </pic:blipFill>
                              <pic:spPr>
                                <a:xfrm>
                                  <a:off x="0" y="0"/>
                                  <a:ext cx="2162175" cy="2305050"/>
                                </a:xfrm>
                                <a:prstGeom prst="rect">
                                  <a:avLst/>
                                </a:prstGeom>
                              </pic:spPr>
                            </pic:pic>
                          </a:graphicData>
                        </a:graphic>
                      </wp:inline>
                    </w:drawing>
                  </w:r>
                </w:p>
              </w:tc>
              <w:tc>
                <w:tcPr>
                  <w:tcW w:w="2501" w:type="pct"/>
                </w:tcPr>
                <w:p w14:paraId="01D5823B" w14:textId="16F03964" w:rsidR="004F4D32" w:rsidRPr="00207DD5" w:rsidRDefault="003229CD" w:rsidP="004F4D32">
                  <w:pPr>
                    <w:pStyle w:val="ChartGraphic"/>
                    <w:jc w:val="right"/>
                  </w:pPr>
                  <w:r w:rsidRPr="00207DD5">
                    <w:rPr>
                      <w:noProof/>
                    </w:rPr>
                    <w:drawing>
                      <wp:inline distT="0" distB="0" distL="0" distR="0" wp14:anchorId="4B76097B" wp14:editId="65D18020">
                        <wp:extent cx="2152650" cy="2266950"/>
                        <wp:effectExtent l="0" t="0" r="0" b="0"/>
                        <wp:docPr id="305608508" name="Graphic 1" descr="The chart compares gross debt as a share of GDP from 2025-26 to 2036-37 under the baseline and previous yield assumptions. Under the baseline, gross debt-to-GDP peaks at 35.8 per cent in 2028-29, and falls to 27.2 per cent in 2036-37. Under the previous yield assumption it peaks at 35.4 in 2028-29 and falls to 26.3 per cent in 20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08508" name="Graphic 1" descr="The chart compares gross debt as a share of GDP from 2025-26 to 2036-37 under the baseline and previous yield assumptions. Under the baseline, gross debt-to-GDP peaks at 35.8 per cent in 2028-29, and falls to 27.2 per cent in 2036-37. Under the previous yield assumption it peaks at 35.4 in 2028-29 and falls to 26.3 per cent in 2036-37."/>
                                <pic:cNvPicPr/>
                              </pic:nvPicPr>
                              <pic:blipFill>
                                <a:blip r:embed="rId39">
                                  <a:extLst>
                                    <a:ext uri="{96DAC541-7B7A-43D3-8B79-37D633B846F1}">
                                      <asvg:svgBlip xmlns:asvg="http://schemas.microsoft.com/office/drawing/2016/SVG/main" r:embed="rId40"/>
                                    </a:ext>
                                  </a:extLst>
                                </a:blip>
                                <a:stretch>
                                  <a:fillRect/>
                                </a:stretch>
                              </pic:blipFill>
                              <pic:spPr>
                                <a:xfrm>
                                  <a:off x="0" y="0"/>
                                  <a:ext cx="2152650" cy="2266950"/>
                                </a:xfrm>
                                <a:prstGeom prst="rect">
                                  <a:avLst/>
                                </a:prstGeom>
                              </pic:spPr>
                            </pic:pic>
                          </a:graphicData>
                        </a:graphic>
                      </wp:inline>
                    </w:drawing>
                  </w:r>
                </w:p>
              </w:tc>
            </w:tr>
            <w:tr w:rsidR="004F4D32" w:rsidRPr="00145BEE" w14:paraId="501E850E" w14:textId="77777777" w:rsidTr="00E91697">
              <w:trPr>
                <w:cantSplit/>
              </w:trPr>
              <w:tc>
                <w:tcPr>
                  <w:tcW w:w="2499" w:type="pct"/>
                </w:tcPr>
                <w:p w14:paraId="34248FEF" w14:textId="00A1891E" w:rsidR="004F4D32" w:rsidRPr="007B5379" w:rsidRDefault="004F4D32" w:rsidP="00FC3F3F">
                  <w:pPr>
                    <w:pStyle w:val="ChartandTableFootnote"/>
                    <w:rPr>
                      <w:color w:val="auto"/>
                      <w:highlight w:val="cyan"/>
                    </w:rPr>
                  </w:pPr>
                  <w:r w:rsidRPr="00207DD5">
                    <w:rPr>
                      <w:color w:val="auto"/>
                    </w:rPr>
                    <w:t xml:space="preserve">Source: </w:t>
                  </w:r>
                  <w:r w:rsidR="0086297D" w:rsidRPr="00207DD5">
                    <w:rPr>
                      <w:color w:val="auto"/>
                    </w:rPr>
                    <w:tab/>
                  </w:r>
                  <w:r w:rsidRPr="00207DD5">
                    <w:rPr>
                      <w:color w:val="auto"/>
                    </w:rPr>
                    <w:t>Treasury.</w:t>
                  </w:r>
                </w:p>
              </w:tc>
              <w:tc>
                <w:tcPr>
                  <w:tcW w:w="2501" w:type="pct"/>
                </w:tcPr>
                <w:p w14:paraId="79B2817D" w14:textId="01DCFCC0" w:rsidR="004F4D32" w:rsidRPr="00207DD5" w:rsidRDefault="004F4D32" w:rsidP="00FC3F3F">
                  <w:pPr>
                    <w:pStyle w:val="ChartandTableFootnote"/>
                    <w:rPr>
                      <w:color w:val="auto"/>
                    </w:rPr>
                  </w:pPr>
                  <w:r w:rsidRPr="00207DD5">
                    <w:rPr>
                      <w:color w:val="auto"/>
                    </w:rPr>
                    <w:t xml:space="preserve">Source: </w:t>
                  </w:r>
                  <w:r w:rsidR="0086297D" w:rsidRPr="00207DD5">
                    <w:rPr>
                      <w:color w:val="auto"/>
                    </w:rPr>
                    <w:tab/>
                  </w:r>
                  <w:r w:rsidRPr="00207DD5">
                    <w:rPr>
                      <w:color w:val="auto"/>
                    </w:rPr>
                    <w:t xml:space="preserve">Australian Office of Financial Management, Treasury. </w:t>
                  </w:r>
                </w:p>
              </w:tc>
            </w:tr>
          </w:tbl>
          <w:p w14:paraId="21986780" w14:textId="2EF65446" w:rsidR="008E4AD9" w:rsidRPr="00207DD5" w:rsidRDefault="008E4AD9">
            <w:pPr>
              <w:pStyle w:val="BoxText"/>
              <w:spacing w:before="0" w:after="0"/>
            </w:pPr>
          </w:p>
        </w:tc>
      </w:tr>
    </w:tbl>
    <w:p w14:paraId="6E9FEF07" w14:textId="75EF74C6" w:rsidR="008E4AD9" w:rsidRPr="00207DD5" w:rsidRDefault="008E4AD9" w:rsidP="002D1446"/>
    <w:p w14:paraId="1CE97097" w14:textId="26CCAC90" w:rsidR="002D1446" w:rsidRPr="00207DD5" w:rsidRDefault="002D1446" w:rsidP="002D1446">
      <w:pPr>
        <w:pStyle w:val="Heading3"/>
      </w:pPr>
      <w:bookmarkStart w:id="95" w:name="_Toc117356565"/>
      <w:bookmarkStart w:id="96" w:name="_Toc193537058"/>
      <w:bookmarkStart w:id="97" w:name="_Toc227842126"/>
      <w:bookmarkStart w:id="98" w:name="_Toc229240494"/>
      <w:r w:rsidRPr="00207DD5">
        <w:lastRenderedPageBreak/>
        <w:t>Net debt estimates and projections</w:t>
      </w:r>
      <w:bookmarkEnd w:id="95"/>
      <w:bookmarkEnd w:id="96"/>
      <w:bookmarkEnd w:id="97"/>
      <w:bookmarkEnd w:id="98"/>
    </w:p>
    <w:p w14:paraId="42911EEE" w14:textId="35B0739C" w:rsidR="002D1446" w:rsidRPr="00207DD5" w:rsidRDefault="002D1446" w:rsidP="002D1446">
      <w:r w:rsidRPr="00207DD5">
        <w:t xml:space="preserve">Net debt is estimated to be </w:t>
      </w:r>
      <w:r w:rsidR="005975F0" w:rsidRPr="00207DD5">
        <w:t>19.9</w:t>
      </w:r>
      <w:r w:rsidR="009F0B52" w:rsidRPr="00207DD5">
        <w:t> </w:t>
      </w:r>
      <w:r w:rsidRPr="00207DD5">
        <w:t>per</w:t>
      </w:r>
      <w:r w:rsidR="009F0B52" w:rsidRPr="00207DD5">
        <w:t> </w:t>
      </w:r>
      <w:r w:rsidRPr="00207DD5">
        <w:t>cent of GDP ($</w:t>
      </w:r>
      <w:r w:rsidR="006B7813" w:rsidRPr="00207DD5">
        <w:t>616.6</w:t>
      </w:r>
      <w:r w:rsidR="00BC4F96" w:rsidRPr="00207DD5">
        <w:t xml:space="preserve"> </w:t>
      </w:r>
      <w:r w:rsidRPr="00207DD5">
        <w:t>billion) at 30</w:t>
      </w:r>
      <w:r w:rsidR="00BC4F96" w:rsidRPr="00207DD5">
        <w:t xml:space="preserve"> </w:t>
      </w:r>
      <w:r w:rsidRPr="00207DD5">
        <w:t>June</w:t>
      </w:r>
      <w:r w:rsidR="00BC4F96" w:rsidRPr="00207DD5">
        <w:t xml:space="preserve"> </w:t>
      </w:r>
      <w:r w:rsidRPr="00207DD5">
        <w:t>202</w:t>
      </w:r>
      <w:r w:rsidR="00EE68B2" w:rsidRPr="00207DD5">
        <w:t>7</w:t>
      </w:r>
      <w:r w:rsidRPr="00207DD5">
        <w:t xml:space="preserve"> (Table</w:t>
      </w:r>
      <w:r w:rsidR="00BC4F96" w:rsidRPr="00207DD5">
        <w:t xml:space="preserve"> </w:t>
      </w:r>
      <w:r w:rsidRPr="00207DD5">
        <w:t>3.</w:t>
      </w:r>
      <w:r w:rsidR="005275B5" w:rsidRPr="00207DD5">
        <w:t>6</w:t>
      </w:r>
      <w:r w:rsidRPr="00207DD5">
        <w:t>)</w:t>
      </w:r>
      <w:r w:rsidR="002C75FB" w:rsidRPr="00207DD5">
        <w:t>,</w:t>
      </w:r>
      <w:r w:rsidRPr="00207DD5">
        <w:t xml:space="preserve"> </w:t>
      </w:r>
      <w:r w:rsidR="006B7813" w:rsidRPr="00207DD5">
        <w:t>1.5</w:t>
      </w:r>
      <w:r w:rsidR="009F0B52" w:rsidRPr="00207DD5">
        <w:t> </w:t>
      </w:r>
      <w:r w:rsidRPr="00207DD5">
        <w:t>percentage points</w:t>
      </w:r>
      <w:r w:rsidRPr="00207DD5" w:rsidDel="00740745">
        <w:t xml:space="preserve"> </w:t>
      </w:r>
      <w:r w:rsidRPr="00207DD5">
        <w:t xml:space="preserve">lower than estimated at MYEFO. Net debt relative to GDP is expected to be </w:t>
      </w:r>
      <w:r w:rsidR="00EE68B2" w:rsidRPr="00207DD5">
        <w:t>lower</w:t>
      </w:r>
      <w:r w:rsidRPr="00207DD5">
        <w:t xml:space="preserve"> in </w:t>
      </w:r>
      <w:r w:rsidR="00741CFE" w:rsidRPr="00207DD5">
        <w:t>all years of</w:t>
      </w:r>
      <w:r w:rsidRPr="00207DD5">
        <w:t xml:space="preserve"> the forward estimates compared to </w:t>
      </w:r>
      <w:r w:rsidR="001971C7" w:rsidRPr="00207DD5">
        <w:t xml:space="preserve">at </w:t>
      </w:r>
      <w:r w:rsidRPr="00207DD5">
        <w:t xml:space="preserve">MYEFO, </w:t>
      </w:r>
      <w:r w:rsidR="00F3477D" w:rsidRPr="00207DD5">
        <w:t xml:space="preserve">largely </w:t>
      </w:r>
      <w:r w:rsidRPr="00207DD5">
        <w:t xml:space="preserve">reflecting </w:t>
      </w:r>
      <w:r w:rsidR="00850444" w:rsidRPr="00207DD5">
        <w:t xml:space="preserve">a lower market value of </w:t>
      </w:r>
      <w:r w:rsidR="00BB4C0A" w:rsidRPr="00207DD5">
        <w:t>Australian Government Securities</w:t>
      </w:r>
      <w:r w:rsidR="00850444" w:rsidRPr="00207DD5">
        <w:t xml:space="preserve"> on issue</w:t>
      </w:r>
      <w:r w:rsidR="00D243B2" w:rsidRPr="00207DD5">
        <w:t xml:space="preserve"> </w:t>
      </w:r>
      <w:r w:rsidR="00557306" w:rsidRPr="00207DD5">
        <w:t xml:space="preserve">due </w:t>
      </w:r>
      <w:r w:rsidR="004E23FC" w:rsidRPr="00207DD5">
        <w:t xml:space="preserve">to </w:t>
      </w:r>
      <w:r w:rsidR="009C1E83" w:rsidRPr="00207DD5">
        <w:t>both</w:t>
      </w:r>
      <w:r w:rsidR="00557306" w:rsidRPr="00207DD5">
        <w:t xml:space="preserve"> </w:t>
      </w:r>
      <w:r w:rsidR="007F5A88" w:rsidRPr="00207DD5">
        <w:t>lower issuance</w:t>
      </w:r>
      <w:r w:rsidR="00D243B2" w:rsidRPr="00207DD5">
        <w:t xml:space="preserve"> and </w:t>
      </w:r>
      <w:r w:rsidR="00557306" w:rsidRPr="00207DD5">
        <w:t>higher yields</w:t>
      </w:r>
      <w:r w:rsidRPr="00207DD5">
        <w:t>.</w:t>
      </w:r>
    </w:p>
    <w:p w14:paraId="545C74A4" w14:textId="2DCBC1C6" w:rsidR="002D1446" w:rsidRPr="00207DD5" w:rsidRDefault="002D1446" w:rsidP="002D1446">
      <w:pPr>
        <w:pStyle w:val="ChartMainHeading"/>
      </w:pPr>
      <w:r w:rsidRPr="00207DD5">
        <w:t>Chart 3.</w:t>
      </w:r>
      <w:r w:rsidR="0068524C" w:rsidRPr="00207DD5">
        <w:t>12</w:t>
      </w:r>
      <w:r w:rsidRPr="00207DD5">
        <w:t>: Net debt</w:t>
      </w:r>
    </w:p>
    <w:p w14:paraId="52C4B4CD" w14:textId="34B156BA" w:rsidR="0020299B" w:rsidRPr="00207DD5" w:rsidRDefault="00E213E0" w:rsidP="00083B2F">
      <w:pPr>
        <w:pStyle w:val="ChartGraphic"/>
      </w:pPr>
      <w:r w:rsidRPr="00207DD5">
        <w:rPr>
          <w:noProof/>
        </w:rPr>
        <w:drawing>
          <wp:inline distT="0" distB="0" distL="0" distR="0" wp14:anchorId="21D6461F" wp14:editId="52B2F7B1">
            <wp:extent cx="4676775" cy="2524125"/>
            <wp:effectExtent l="0" t="0" r="0" b="9525"/>
            <wp:docPr id="430348135" name="Graphic 1" descr="This line chart compares projections of net debt as a share of GDP at the 2026-27 Budget and the 2025-26 MYEFO. In the 2026-27 Budget, net debt is projected to increase from 18.8 per cent of GDP in 2025-26 to 21.9 per cent of GDP in 2029-30, before declining to 15.1 per cent of GDP in 2036-37. Compared to the 2025-26 MYEFO, net debt is lower across the estimates and medium 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48135" name="Graphic 1" descr="This line chart compares projections of net debt as a share of GDP at the 2026-27 Budget and the 2025-26 MYEFO. In the 2026-27 Budget, net debt is projected to increase from 18.8 per cent of GDP in 2025-26 to 21.9 per cent of GDP in 2029-30, before declining to 15.1 per cent of GDP in 2036-37. Compared to the 2025-26 MYEFO, net debt is lower across the estimates and medium term."/>
                    <pic:cNvPicPr/>
                  </pic:nvPicPr>
                  <pic:blipFill>
                    <a:blip r:embed="rId41">
                      <a:extLst>
                        <a:ext uri="{96DAC541-7B7A-43D3-8B79-37D633B846F1}">
                          <asvg:svgBlip xmlns:asvg="http://schemas.microsoft.com/office/drawing/2016/SVG/main" r:embed="rId42"/>
                        </a:ext>
                      </a:extLst>
                    </a:blip>
                    <a:stretch>
                      <a:fillRect/>
                    </a:stretch>
                  </pic:blipFill>
                  <pic:spPr>
                    <a:xfrm>
                      <a:off x="0" y="0"/>
                      <a:ext cx="4676775" cy="2524125"/>
                    </a:xfrm>
                    <a:prstGeom prst="rect">
                      <a:avLst/>
                    </a:prstGeom>
                  </pic:spPr>
                </pic:pic>
              </a:graphicData>
            </a:graphic>
          </wp:inline>
        </w:drawing>
      </w:r>
    </w:p>
    <w:p w14:paraId="0F46F13F" w14:textId="6AFE8CBB" w:rsidR="002D1446" w:rsidRPr="00207DD5" w:rsidRDefault="002D1446" w:rsidP="002D1446">
      <w:pPr>
        <w:pStyle w:val="ChartandTableFootnote"/>
        <w:tabs>
          <w:tab w:val="right" w:pos="7710"/>
        </w:tabs>
        <w:rPr>
          <w:color w:val="auto"/>
        </w:rPr>
      </w:pPr>
      <w:r w:rsidRPr="00207DD5">
        <w:rPr>
          <w:color w:val="auto"/>
        </w:rPr>
        <w:t>Source:</w:t>
      </w:r>
      <w:r w:rsidRPr="00207DD5">
        <w:rPr>
          <w:color w:val="auto"/>
        </w:rPr>
        <w:tab/>
        <w:t>Treasury.</w:t>
      </w:r>
    </w:p>
    <w:p w14:paraId="2FA1B329" w14:textId="77777777" w:rsidR="002D1446" w:rsidRPr="00207DD5" w:rsidRDefault="002D1446" w:rsidP="002D1446">
      <w:pPr>
        <w:pStyle w:val="ChartLine"/>
      </w:pPr>
    </w:p>
    <w:p w14:paraId="69630B5A" w14:textId="0E73B3A6" w:rsidR="002D1446" w:rsidRPr="00207DD5" w:rsidRDefault="002D1446" w:rsidP="002D1446">
      <w:r w:rsidRPr="00207DD5">
        <w:t xml:space="preserve">Net debt is </w:t>
      </w:r>
      <w:r w:rsidR="00EE68B2" w:rsidRPr="00207DD5">
        <w:t>lower</w:t>
      </w:r>
      <w:r w:rsidRPr="00207DD5">
        <w:t xml:space="preserve"> than estimated at MYEFO over the </w:t>
      </w:r>
      <w:r w:rsidR="00CA1713" w:rsidRPr="00207DD5">
        <w:t>medium term</w:t>
      </w:r>
      <w:r w:rsidRPr="00207DD5">
        <w:t xml:space="preserve">. Net debt is projected to be </w:t>
      </w:r>
      <w:r w:rsidR="005E1D9C" w:rsidRPr="00207DD5">
        <w:t>15.1</w:t>
      </w:r>
      <w:r w:rsidR="009F0B52" w:rsidRPr="00207DD5">
        <w:t> </w:t>
      </w:r>
      <w:r w:rsidRPr="00207DD5">
        <w:t>per</w:t>
      </w:r>
      <w:r w:rsidR="009F0B52" w:rsidRPr="00207DD5">
        <w:t> </w:t>
      </w:r>
      <w:r w:rsidRPr="00207DD5">
        <w:t>cent of GDP at 30</w:t>
      </w:r>
      <w:r w:rsidR="00406251" w:rsidRPr="00207DD5">
        <w:t xml:space="preserve"> </w:t>
      </w:r>
      <w:r w:rsidRPr="00207DD5">
        <w:t>June</w:t>
      </w:r>
      <w:r w:rsidR="00406251" w:rsidRPr="00207DD5">
        <w:t xml:space="preserve"> </w:t>
      </w:r>
      <w:r w:rsidRPr="00207DD5">
        <w:t>203</w:t>
      </w:r>
      <w:r w:rsidR="004C2491" w:rsidRPr="00207DD5">
        <w:t>7</w:t>
      </w:r>
      <w:r w:rsidRPr="00207DD5">
        <w:t xml:space="preserve"> (Chart</w:t>
      </w:r>
      <w:r w:rsidR="00406251" w:rsidRPr="00207DD5">
        <w:t xml:space="preserve"> </w:t>
      </w:r>
      <w:r w:rsidRPr="00207DD5">
        <w:t>3.</w:t>
      </w:r>
      <w:r w:rsidR="003270F3" w:rsidRPr="00207DD5">
        <w:t>12</w:t>
      </w:r>
      <w:r w:rsidRPr="00207DD5">
        <w:t>).</w:t>
      </w:r>
    </w:p>
    <w:p w14:paraId="17B76546" w14:textId="005CC348" w:rsidR="002D1446" w:rsidRPr="00712254" w:rsidRDefault="002D1446" w:rsidP="002D1446">
      <w:r w:rsidRPr="00207DD5">
        <w:t xml:space="preserve">Further information on gross debt and net debt estimates across the forward estimates period is provided in </w:t>
      </w:r>
      <w:r w:rsidRPr="00207DD5">
        <w:rPr>
          <w:i/>
        </w:rPr>
        <w:t>Statement</w:t>
      </w:r>
      <w:r w:rsidR="00406251" w:rsidRPr="00207DD5">
        <w:rPr>
          <w:i/>
        </w:rPr>
        <w:t xml:space="preserve"> </w:t>
      </w:r>
      <w:r w:rsidR="009835FF" w:rsidRPr="00207DD5">
        <w:rPr>
          <w:i/>
        </w:rPr>
        <w:t>7</w:t>
      </w:r>
      <w:r w:rsidRPr="00207DD5">
        <w:rPr>
          <w:i/>
        </w:rPr>
        <w:t>: Debt Statement</w:t>
      </w:r>
      <w:r w:rsidRPr="00207DD5">
        <w:t xml:space="preserve">. </w:t>
      </w:r>
    </w:p>
    <w:p w14:paraId="71B4DF48" w14:textId="76AE5029" w:rsidR="002D1446" w:rsidRPr="00207DD5" w:rsidRDefault="002D1446" w:rsidP="002D1446">
      <w:pPr>
        <w:pStyle w:val="Heading3"/>
      </w:pPr>
      <w:bookmarkStart w:id="99" w:name="_Toc117356566"/>
      <w:bookmarkStart w:id="100" w:name="_Toc193537059"/>
      <w:bookmarkStart w:id="101" w:name="_Toc227842127"/>
      <w:bookmarkStart w:id="102" w:name="_Toc229240495"/>
      <w:r w:rsidRPr="00207DD5">
        <w:t>Net financial worth and net worth estimates and projections</w:t>
      </w:r>
      <w:bookmarkEnd w:id="99"/>
      <w:bookmarkEnd w:id="100"/>
      <w:bookmarkEnd w:id="101"/>
      <w:bookmarkEnd w:id="102"/>
    </w:p>
    <w:p w14:paraId="7AC283CF" w14:textId="4B37F929" w:rsidR="00F63B5A" w:rsidRPr="00207DD5" w:rsidRDefault="00F63B5A" w:rsidP="00F63B5A">
      <w:pPr>
        <w:rPr>
          <w:lang w:eastAsia="en-US"/>
        </w:rPr>
      </w:pPr>
      <w:r w:rsidRPr="00207DD5">
        <w:rPr>
          <w:lang w:eastAsia="en-US"/>
        </w:rPr>
        <w:t xml:space="preserve">Net financial worth is estimated to be minus </w:t>
      </w:r>
      <w:r w:rsidR="00A52B87" w:rsidRPr="00207DD5">
        <w:rPr>
          <w:lang w:eastAsia="en-US"/>
        </w:rPr>
        <w:t>28.9</w:t>
      </w:r>
      <w:r w:rsidR="009F0B52" w:rsidRPr="00207DD5">
        <w:rPr>
          <w:lang w:eastAsia="en-US"/>
        </w:rPr>
        <w:t> </w:t>
      </w:r>
      <w:r w:rsidRPr="00207DD5">
        <w:rPr>
          <w:lang w:eastAsia="en-US"/>
        </w:rPr>
        <w:t>per</w:t>
      </w:r>
      <w:r w:rsidR="009F0B52" w:rsidRPr="00207DD5">
        <w:rPr>
          <w:lang w:eastAsia="en-US"/>
        </w:rPr>
        <w:t> </w:t>
      </w:r>
      <w:r w:rsidRPr="00207DD5">
        <w:rPr>
          <w:lang w:eastAsia="en-US"/>
        </w:rPr>
        <w:t>cent of GDP (minus $</w:t>
      </w:r>
      <w:r w:rsidR="00A52B87" w:rsidRPr="00207DD5">
        <w:rPr>
          <w:lang w:eastAsia="en-US"/>
        </w:rPr>
        <w:t>89</w:t>
      </w:r>
      <w:r w:rsidR="00335395" w:rsidRPr="00207DD5">
        <w:rPr>
          <w:lang w:eastAsia="en-US"/>
        </w:rPr>
        <w:t>5.6</w:t>
      </w:r>
      <w:r w:rsidRPr="00207DD5">
        <w:rPr>
          <w:lang w:eastAsia="en-US"/>
        </w:rPr>
        <w:t xml:space="preserve"> billion) at 30</w:t>
      </w:r>
      <w:r w:rsidR="00A52B87" w:rsidRPr="00207DD5">
        <w:rPr>
          <w:lang w:eastAsia="en-US"/>
        </w:rPr>
        <w:t> </w:t>
      </w:r>
      <w:r w:rsidRPr="00207DD5">
        <w:rPr>
          <w:lang w:eastAsia="en-US"/>
        </w:rPr>
        <w:t>June 2027 (Table 3.</w:t>
      </w:r>
      <w:r w:rsidR="005275B5" w:rsidRPr="00207DD5">
        <w:rPr>
          <w:lang w:eastAsia="en-US"/>
        </w:rPr>
        <w:t>6</w:t>
      </w:r>
      <w:r w:rsidRPr="00207DD5">
        <w:rPr>
          <w:lang w:eastAsia="en-US"/>
        </w:rPr>
        <w:t xml:space="preserve">), compared with the estimate of minus </w:t>
      </w:r>
      <w:r w:rsidR="000E0AFB" w:rsidRPr="00207DD5">
        <w:rPr>
          <w:lang w:eastAsia="en-US"/>
        </w:rPr>
        <w:t>30.8</w:t>
      </w:r>
      <w:r w:rsidR="009F0B52" w:rsidRPr="00207DD5">
        <w:rPr>
          <w:lang w:eastAsia="en-US"/>
        </w:rPr>
        <w:t> </w:t>
      </w:r>
      <w:r w:rsidRPr="00207DD5">
        <w:rPr>
          <w:lang w:eastAsia="en-US"/>
        </w:rPr>
        <w:t>per</w:t>
      </w:r>
      <w:r w:rsidR="009F0B52" w:rsidRPr="00207DD5">
        <w:rPr>
          <w:lang w:eastAsia="en-US"/>
        </w:rPr>
        <w:t> </w:t>
      </w:r>
      <w:r w:rsidRPr="00207DD5">
        <w:rPr>
          <w:lang w:eastAsia="en-US"/>
        </w:rPr>
        <w:t>cent of GDP (minus</w:t>
      </w:r>
      <w:r w:rsidR="00E44887" w:rsidRPr="00207DD5">
        <w:rPr>
          <w:lang w:eastAsia="en-US"/>
        </w:rPr>
        <w:t> </w:t>
      </w:r>
      <w:r w:rsidRPr="00207DD5">
        <w:rPr>
          <w:lang w:eastAsia="en-US"/>
        </w:rPr>
        <w:t>$</w:t>
      </w:r>
      <w:r w:rsidR="000E0AFB" w:rsidRPr="00207DD5">
        <w:rPr>
          <w:lang w:eastAsia="en-US"/>
        </w:rPr>
        <w:t>930.2</w:t>
      </w:r>
      <w:r w:rsidR="009F0B52" w:rsidRPr="00207DD5">
        <w:rPr>
          <w:lang w:eastAsia="en-US"/>
        </w:rPr>
        <w:t> </w:t>
      </w:r>
      <w:r w:rsidRPr="00207DD5">
        <w:rPr>
          <w:lang w:eastAsia="en-US"/>
        </w:rPr>
        <w:t>billion) at MYEFO.</w:t>
      </w:r>
    </w:p>
    <w:p w14:paraId="2819B9EF" w14:textId="40256C08" w:rsidR="002D1446" w:rsidRPr="00712254" w:rsidRDefault="002D1446" w:rsidP="002D1446">
      <w:r w:rsidRPr="00207DD5">
        <w:t xml:space="preserve">Net financial worth is projected to deteriorate to </w:t>
      </w:r>
      <w:r w:rsidR="00793A23" w:rsidRPr="00207DD5">
        <w:t xml:space="preserve">a </w:t>
      </w:r>
      <w:r w:rsidR="003A3AEC" w:rsidRPr="00207DD5">
        <w:t>low</w:t>
      </w:r>
      <w:r w:rsidR="00793A23" w:rsidRPr="00207DD5">
        <w:t xml:space="preserve"> of</w:t>
      </w:r>
      <w:r w:rsidRPr="00207DD5">
        <w:t xml:space="preserve"> minus </w:t>
      </w:r>
      <w:r w:rsidR="00112501" w:rsidRPr="00207DD5">
        <w:rPr>
          <w:lang w:eastAsia="en-US"/>
        </w:rPr>
        <w:t>30.0</w:t>
      </w:r>
      <w:r w:rsidR="009F0B52" w:rsidRPr="00207DD5">
        <w:rPr>
          <w:lang w:eastAsia="en-US"/>
        </w:rPr>
        <w:t> </w:t>
      </w:r>
      <w:r w:rsidRPr="00207DD5">
        <w:rPr>
          <w:lang w:eastAsia="en-US"/>
        </w:rPr>
        <w:t>per</w:t>
      </w:r>
      <w:r w:rsidR="009F0B52" w:rsidRPr="00207DD5">
        <w:rPr>
          <w:lang w:eastAsia="en-US"/>
        </w:rPr>
        <w:t> </w:t>
      </w:r>
      <w:r w:rsidRPr="00207DD5">
        <w:rPr>
          <w:lang w:eastAsia="en-US"/>
        </w:rPr>
        <w:t>cent</w:t>
      </w:r>
      <w:r w:rsidRPr="00207DD5">
        <w:t xml:space="preserve"> of GDP at 30</w:t>
      </w:r>
      <w:r w:rsidR="0007091B" w:rsidRPr="00207DD5">
        <w:rPr>
          <w:lang w:eastAsia="en-US"/>
        </w:rPr>
        <w:t> </w:t>
      </w:r>
      <w:r w:rsidRPr="00207DD5">
        <w:t>June</w:t>
      </w:r>
      <w:r w:rsidR="009F0B52" w:rsidRPr="00207DD5">
        <w:rPr>
          <w:lang w:eastAsia="en-US"/>
        </w:rPr>
        <w:t> </w:t>
      </w:r>
      <w:r w:rsidRPr="00207DD5">
        <w:rPr>
          <w:lang w:eastAsia="en-US"/>
        </w:rPr>
        <w:t>20</w:t>
      </w:r>
      <w:r w:rsidR="009D6ED0" w:rsidRPr="00207DD5">
        <w:rPr>
          <w:lang w:eastAsia="en-US"/>
        </w:rPr>
        <w:t>29</w:t>
      </w:r>
      <w:r w:rsidRPr="00207DD5">
        <w:t xml:space="preserve"> before improving to minus </w:t>
      </w:r>
      <w:r w:rsidR="00384413" w:rsidRPr="00207DD5">
        <w:t>21.2</w:t>
      </w:r>
      <w:r w:rsidR="009F0B52" w:rsidRPr="00207DD5">
        <w:rPr>
          <w:lang w:eastAsia="en-US"/>
        </w:rPr>
        <w:t> </w:t>
      </w:r>
      <w:r w:rsidRPr="00207DD5">
        <w:rPr>
          <w:lang w:eastAsia="en-US"/>
        </w:rPr>
        <w:t>per</w:t>
      </w:r>
      <w:r w:rsidR="009F0B52" w:rsidRPr="00207DD5">
        <w:rPr>
          <w:lang w:eastAsia="en-US"/>
        </w:rPr>
        <w:t> </w:t>
      </w:r>
      <w:r w:rsidRPr="00207DD5">
        <w:rPr>
          <w:lang w:eastAsia="en-US"/>
        </w:rPr>
        <w:t>cent</w:t>
      </w:r>
      <w:r w:rsidRPr="00207DD5">
        <w:t xml:space="preserve"> of GDP by the end of the medium term (Chart</w:t>
      </w:r>
      <w:r w:rsidR="00F63B5A" w:rsidRPr="00207DD5">
        <w:rPr>
          <w:lang w:eastAsia="en-US"/>
        </w:rPr>
        <w:t xml:space="preserve"> </w:t>
      </w:r>
      <w:r w:rsidRPr="00207DD5">
        <w:t>3.</w:t>
      </w:r>
      <w:r w:rsidR="003732EF" w:rsidRPr="00207DD5">
        <w:rPr>
          <w:lang w:eastAsia="en-US"/>
        </w:rPr>
        <w:t>13</w:t>
      </w:r>
      <w:r w:rsidRPr="00207DD5">
        <w:t>).</w:t>
      </w:r>
      <w:r w:rsidRPr="00207DD5">
        <w:rPr>
          <w:lang w:eastAsia="en-US"/>
        </w:rPr>
        <w:t xml:space="preserve"> </w:t>
      </w:r>
    </w:p>
    <w:p w14:paraId="7DFECDE7" w14:textId="31F0C2FB" w:rsidR="002D1446" w:rsidRPr="00207DD5" w:rsidRDefault="002D1446" w:rsidP="002D1446">
      <w:pPr>
        <w:pStyle w:val="ChartMainHeading"/>
      </w:pPr>
      <w:r w:rsidRPr="00207DD5">
        <w:lastRenderedPageBreak/>
        <w:t>Chart 3.</w:t>
      </w:r>
      <w:r w:rsidR="00866C60" w:rsidRPr="00207DD5">
        <w:t>13</w:t>
      </w:r>
      <w:r w:rsidR="00B12B9B" w:rsidRPr="00207DD5">
        <w:t xml:space="preserve"> </w:t>
      </w:r>
      <w:r w:rsidRPr="00207DD5">
        <w:t>Net financial worth</w:t>
      </w:r>
    </w:p>
    <w:p w14:paraId="340A83E6" w14:textId="69ABC005" w:rsidR="002C4565" w:rsidRPr="00207DD5" w:rsidRDefault="00C572D1" w:rsidP="00083B2F">
      <w:pPr>
        <w:pStyle w:val="ChartGraphic"/>
      </w:pPr>
      <w:r w:rsidRPr="00207DD5">
        <w:rPr>
          <w:noProof/>
        </w:rPr>
        <w:drawing>
          <wp:inline distT="0" distB="0" distL="0" distR="0" wp14:anchorId="03F1CCD0" wp14:editId="7C018351">
            <wp:extent cx="4676775" cy="2524125"/>
            <wp:effectExtent l="0" t="0" r="0" b="9525"/>
            <wp:docPr id="2043083109" name="Graphic 1" descr="This line chart compares projections of net financial worth as a share of GDP at the 2026-27 Budget and the 2025-26 MYEFO. Net financial worth is estimated to be -28.8 per cent of GDP in 2025-26. It is expected to improve throughout the medium term to -21.2 per cent in 2036-37. Net financial worth is improved in the medium term compared to the 2025-26 MYE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83109" name="Graphic 1" descr="This line chart compares projections of net financial worth as a share of GDP at the 2026-27 Budget and the 2025-26 MYEFO. Net financial worth is estimated to be -28.8 per cent of GDP in 2025-26. It is expected to improve throughout the medium term to -21.2 per cent in 2036-37. Net financial worth is improved in the medium term compared to the 2025-26 MYEFO."/>
                    <pic:cNvPicPr/>
                  </pic:nvPicPr>
                  <pic:blipFill>
                    <a:blip r:embed="rId43">
                      <a:extLst>
                        <a:ext uri="{96DAC541-7B7A-43D3-8B79-37D633B846F1}">
                          <asvg:svgBlip xmlns:asvg="http://schemas.microsoft.com/office/drawing/2016/SVG/main" r:embed="rId44"/>
                        </a:ext>
                      </a:extLst>
                    </a:blip>
                    <a:stretch>
                      <a:fillRect/>
                    </a:stretch>
                  </pic:blipFill>
                  <pic:spPr>
                    <a:xfrm>
                      <a:off x="0" y="0"/>
                      <a:ext cx="4676775" cy="2524125"/>
                    </a:xfrm>
                    <a:prstGeom prst="rect">
                      <a:avLst/>
                    </a:prstGeom>
                  </pic:spPr>
                </pic:pic>
              </a:graphicData>
            </a:graphic>
          </wp:inline>
        </w:drawing>
      </w:r>
    </w:p>
    <w:p w14:paraId="08B8A358" w14:textId="0CBA192E" w:rsidR="002D1446" w:rsidRPr="00207DD5" w:rsidRDefault="002D1446" w:rsidP="002D1446">
      <w:pPr>
        <w:pStyle w:val="ChartandTableFootnote"/>
        <w:rPr>
          <w:color w:val="auto"/>
        </w:rPr>
      </w:pPr>
      <w:r w:rsidRPr="00207DD5">
        <w:rPr>
          <w:color w:val="auto"/>
        </w:rPr>
        <w:t xml:space="preserve">Source: </w:t>
      </w:r>
      <w:r w:rsidRPr="00207DD5">
        <w:rPr>
          <w:color w:val="auto"/>
        </w:rPr>
        <w:tab/>
        <w:t>Treasury.</w:t>
      </w:r>
    </w:p>
    <w:p w14:paraId="2E5F09BD" w14:textId="51011789" w:rsidR="002D1446" w:rsidRPr="003131DF" w:rsidRDefault="002D1446" w:rsidP="002D1446">
      <w:pPr>
        <w:pStyle w:val="ChartLine"/>
        <w:rPr>
          <w:color w:val="FF0000"/>
          <w:lang w:eastAsia="en-US"/>
        </w:rPr>
      </w:pPr>
    </w:p>
    <w:p w14:paraId="709B9446" w14:textId="113C4A75" w:rsidR="00A605BB" w:rsidRDefault="00A605BB" w:rsidP="00A605BB">
      <w:r w:rsidRPr="00207DD5">
        <w:t xml:space="preserve">Net worth is estimated to be minus </w:t>
      </w:r>
      <w:r w:rsidR="003B70D4" w:rsidRPr="00207DD5">
        <w:t>20.9</w:t>
      </w:r>
      <w:r w:rsidR="009F0B52" w:rsidRPr="00207DD5">
        <w:t> </w:t>
      </w:r>
      <w:r w:rsidRPr="00207DD5">
        <w:t>per</w:t>
      </w:r>
      <w:r w:rsidR="009F0B52" w:rsidRPr="00207DD5">
        <w:t> </w:t>
      </w:r>
      <w:r w:rsidRPr="00207DD5">
        <w:t>cent of GDP (minus $</w:t>
      </w:r>
      <w:r w:rsidR="003B70D4" w:rsidRPr="00207DD5">
        <w:t>646.9</w:t>
      </w:r>
      <w:r w:rsidR="009F0B52" w:rsidRPr="00207DD5">
        <w:t> </w:t>
      </w:r>
      <w:r w:rsidRPr="00207DD5">
        <w:t>billion) at 30</w:t>
      </w:r>
      <w:r w:rsidR="00AC531C" w:rsidRPr="00207DD5">
        <w:t> </w:t>
      </w:r>
      <w:r w:rsidRPr="00207DD5">
        <w:t>June</w:t>
      </w:r>
      <w:r w:rsidR="00AC531C" w:rsidRPr="00207DD5">
        <w:t> </w:t>
      </w:r>
      <w:r w:rsidRPr="00207DD5">
        <w:t>2027 (Table 3.</w:t>
      </w:r>
      <w:r w:rsidR="005275B5" w:rsidRPr="00207DD5">
        <w:t>6</w:t>
      </w:r>
      <w:r w:rsidRPr="00207DD5">
        <w:t xml:space="preserve">), compared with the estimate of minus </w:t>
      </w:r>
      <w:r w:rsidR="00FB2051" w:rsidRPr="00207DD5">
        <w:t>22.7</w:t>
      </w:r>
      <w:r w:rsidR="009F0B52" w:rsidRPr="00207DD5">
        <w:t> </w:t>
      </w:r>
      <w:r w:rsidRPr="00207DD5">
        <w:t>per</w:t>
      </w:r>
      <w:r w:rsidR="009F0B52" w:rsidRPr="00207DD5">
        <w:t> </w:t>
      </w:r>
      <w:r w:rsidRPr="00207DD5">
        <w:t>cent of GDP (minus</w:t>
      </w:r>
      <w:r w:rsidR="00954E82" w:rsidRPr="00207DD5">
        <w:t> </w:t>
      </w:r>
      <w:r w:rsidRPr="00207DD5">
        <w:t>$</w:t>
      </w:r>
      <w:r w:rsidR="00FB2051" w:rsidRPr="00207DD5">
        <w:t>683.4</w:t>
      </w:r>
      <w:r w:rsidR="00A628EB" w:rsidRPr="00207DD5">
        <w:t> </w:t>
      </w:r>
      <w:r w:rsidRPr="00207DD5">
        <w:t>billion) at MYEFO.</w:t>
      </w:r>
      <w:r w:rsidRPr="00A071CA">
        <w:t xml:space="preserve"> </w:t>
      </w:r>
      <w:r w:rsidRPr="00207DD5">
        <w:t xml:space="preserve">Net worth is projected to deteriorate to </w:t>
      </w:r>
      <w:r w:rsidR="00931C56" w:rsidRPr="00207DD5">
        <w:t xml:space="preserve">a low of </w:t>
      </w:r>
      <w:r w:rsidRPr="00207DD5">
        <w:t>minus</w:t>
      </w:r>
      <w:r w:rsidR="000C5A83" w:rsidRPr="00207DD5">
        <w:t> </w:t>
      </w:r>
      <w:r w:rsidR="00B94DEB" w:rsidRPr="00207DD5">
        <w:t>21.9</w:t>
      </w:r>
      <w:r w:rsidR="006F03BE" w:rsidRPr="00207DD5">
        <w:t> </w:t>
      </w:r>
      <w:r w:rsidRPr="00207DD5">
        <w:t>per</w:t>
      </w:r>
      <w:r w:rsidR="00C60F28" w:rsidRPr="00207DD5">
        <w:t> </w:t>
      </w:r>
      <w:r w:rsidRPr="00207DD5">
        <w:t>cent of GDP at 30</w:t>
      </w:r>
      <w:r w:rsidR="009F0B52" w:rsidRPr="00207DD5">
        <w:t> </w:t>
      </w:r>
      <w:r w:rsidRPr="00207DD5">
        <w:t>June</w:t>
      </w:r>
      <w:r w:rsidR="009F0B52" w:rsidRPr="00207DD5">
        <w:t> </w:t>
      </w:r>
      <w:r w:rsidRPr="00207DD5">
        <w:t>2029 before improving over the medium term.</w:t>
      </w:r>
    </w:p>
    <w:p w14:paraId="5ABE3CC3" w14:textId="7176E6BE" w:rsidR="002D1446" w:rsidRPr="00712254" w:rsidRDefault="002D1446" w:rsidP="002D1446">
      <w:r w:rsidRPr="00207DD5">
        <w:t xml:space="preserve">The improvement in net worth and net financial worth over the forward estimates period relative to MYEFO largely reflects </w:t>
      </w:r>
      <w:r w:rsidR="00D243B2" w:rsidRPr="00207DD5">
        <w:t xml:space="preserve">a lower market value of </w:t>
      </w:r>
      <w:r w:rsidR="00BB4C0A" w:rsidRPr="00207DD5">
        <w:t xml:space="preserve">Australian Government </w:t>
      </w:r>
      <w:r w:rsidR="00126A51" w:rsidRPr="00207DD5">
        <w:t>Securities</w:t>
      </w:r>
      <w:r w:rsidR="00D243B2" w:rsidRPr="00207DD5">
        <w:t xml:space="preserve"> on issue</w:t>
      </w:r>
      <w:r w:rsidR="00B94DEB" w:rsidRPr="00207DD5">
        <w:t xml:space="preserve"> due </w:t>
      </w:r>
      <w:r w:rsidR="0071411E" w:rsidRPr="00207DD5">
        <w:t xml:space="preserve">to both </w:t>
      </w:r>
      <w:r w:rsidR="00B94DEB" w:rsidRPr="00207DD5">
        <w:t>lower issuance</w:t>
      </w:r>
      <w:r w:rsidR="00D243B2" w:rsidRPr="00207DD5">
        <w:t xml:space="preserve"> and</w:t>
      </w:r>
      <w:r w:rsidRPr="00207DD5">
        <w:t xml:space="preserve"> </w:t>
      </w:r>
      <w:r w:rsidR="00B94DEB" w:rsidRPr="00207DD5">
        <w:t>higher yields.</w:t>
      </w:r>
      <w:r w:rsidR="00B13549" w:rsidRPr="00207DD5">
        <w:rPr>
          <w:lang w:eastAsia="en-US"/>
        </w:rPr>
        <w:t xml:space="preserve"> </w:t>
      </w:r>
    </w:p>
    <w:p w14:paraId="4F2DF29C" w14:textId="5E4A81D6" w:rsidR="002D1446" w:rsidRPr="00712254" w:rsidRDefault="002D1446" w:rsidP="002D1446">
      <w:r w:rsidRPr="00207DD5">
        <w:rPr>
          <w:lang w:eastAsia="en-US"/>
        </w:rPr>
        <w:t xml:space="preserve">Net worth and net financial worth as a share of the economy improve over the medium term </w:t>
      </w:r>
      <w:r w:rsidR="00682922" w:rsidRPr="00207DD5">
        <w:rPr>
          <w:lang w:eastAsia="en-US"/>
        </w:rPr>
        <w:t>as debt</w:t>
      </w:r>
      <w:r w:rsidR="009F0B52" w:rsidRPr="00207DD5">
        <w:rPr>
          <w:lang w:eastAsia="en-US"/>
        </w:rPr>
        <w:noBreakHyphen/>
      </w:r>
      <w:r w:rsidR="00AF5B6B" w:rsidRPr="00207DD5">
        <w:rPr>
          <w:lang w:eastAsia="en-US"/>
        </w:rPr>
        <w:t>to</w:t>
      </w:r>
      <w:r w:rsidR="009F0B52" w:rsidRPr="00207DD5">
        <w:rPr>
          <w:lang w:eastAsia="en-US"/>
        </w:rPr>
        <w:noBreakHyphen/>
      </w:r>
      <w:r w:rsidR="00682922" w:rsidRPr="00207DD5">
        <w:rPr>
          <w:lang w:eastAsia="en-US"/>
        </w:rPr>
        <w:t>GDP is reduced.</w:t>
      </w:r>
      <w:r w:rsidRPr="003131DF">
        <w:rPr>
          <w:color w:val="FF0000"/>
        </w:rPr>
        <w:br w:type="page"/>
      </w:r>
    </w:p>
    <w:p w14:paraId="33A48CE7" w14:textId="62471857" w:rsidR="00421AC2" w:rsidRPr="00207DD5" w:rsidRDefault="00421AC2" w:rsidP="00E71C9A">
      <w:pPr>
        <w:pStyle w:val="Heading2"/>
      </w:pPr>
      <w:bookmarkStart w:id="103" w:name="_Toc227842128"/>
      <w:bookmarkStart w:id="104" w:name="_Toc229240496"/>
      <w:bookmarkEnd w:id="93"/>
      <w:bookmarkEnd w:id="94"/>
      <w:r w:rsidRPr="00207DD5">
        <w:lastRenderedPageBreak/>
        <w:t>Appendix A: Other fiscal aggregate</w:t>
      </w:r>
      <w:r w:rsidR="00CD2AF5" w:rsidRPr="00207DD5">
        <w:t>s</w:t>
      </w:r>
      <w:bookmarkEnd w:id="103"/>
      <w:bookmarkEnd w:id="104"/>
    </w:p>
    <w:p w14:paraId="4ABE45F8" w14:textId="77777777" w:rsidR="00421AC2" w:rsidRPr="00207DD5" w:rsidRDefault="00421AC2" w:rsidP="00E71C9A">
      <w:pPr>
        <w:pStyle w:val="Heading3"/>
      </w:pPr>
      <w:bookmarkStart w:id="105" w:name="_Toc117356572"/>
      <w:bookmarkStart w:id="106" w:name="_Toc193537063"/>
      <w:bookmarkStart w:id="107" w:name="_Toc227842129"/>
      <w:bookmarkStart w:id="108" w:name="_Toc229240497"/>
      <w:bookmarkStart w:id="109" w:name="_Hlk193537154"/>
      <w:r w:rsidRPr="00207DD5">
        <w:t>Accrual aggregates</w:t>
      </w:r>
      <w:bookmarkEnd w:id="105"/>
      <w:bookmarkEnd w:id="106"/>
      <w:bookmarkEnd w:id="107"/>
      <w:bookmarkEnd w:id="108"/>
    </w:p>
    <w:bookmarkEnd w:id="109"/>
    <w:p w14:paraId="008F22F3" w14:textId="77777777" w:rsidR="00421AC2" w:rsidRPr="00207DD5" w:rsidRDefault="00421AC2" w:rsidP="00421AC2">
      <w:pPr>
        <w:rPr>
          <w:b/>
        </w:rPr>
      </w:pPr>
      <w:r w:rsidRPr="00207DD5">
        <w:t>Accrual accounting records income and costs at the time they are incurred. Cash accounting records income and costs at the time of the associated actual cash flow. Differences in estimates arise where there is a difference between the timing of an activity and the associated cash flow.</w:t>
      </w:r>
    </w:p>
    <w:p w14:paraId="0E3C6E51" w14:textId="77777777" w:rsidR="00421AC2" w:rsidRPr="00207DD5" w:rsidRDefault="00421AC2" w:rsidP="00421AC2">
      <w:pPr>
        <w:pStyle w:val="Heading3"/>
      </w:pPr>
      <w:bookmarkStart w:id="110" w:name="_Toc193537064"/>
      <w:bookmarkStart w:id="111" w:name="_Toc227842130"/>
      <w:bookmarkStart w:id="112" w:name="_Toc229240498"/>
      <w:r w:rsidRPr="00207DD5">
        <w:t>Net operating balance estimates</w:t>
      </w:r>
      <w:bookmarkEnd w:id="110"/>
      <w:bookmarkEnd w:id="111"/>
      <w:bookmarkEnd w:id="112"/>
    </w:p>
    <w:p w14:paraId="61A82A5C" w14:textId="55075C8F" w:rsidR="007C464A" w:rsidRPr="00207DD5" w:rsidRDefault="007C464A" w:rsidP="007C464A">
      <w:r w:rsidRPr="00207DD5">
        <w:t>The net operating balance is an accrual measure, reflecting revenue minus expenses. It excludes the fiscal impact of the Australian Government’s net new capital expenditure.</w:t>
      </w:r>
    </w:p>
    <w:p w14:paraId="27DBF62F" w14:textId="214524D9" w:rsidR="007C464A" w:rsidRPr="00207DD5" w:rsidRDefault="007C464A" w:rsidP="007C464A">
      <w:pPr>
        <w:rPr>
          <w:b/>
        </w:rPr>
      </w:pPr>
      <w:r w:rsidRPr="00207DD5">
        <w:t>The net operating balance is expected to be a deficit of $</w:t>
      </w:r>
      <w:r w:rsidR="005E4661" w:rsidRPr="00207DD5">
        <w:t>39.0</w:t>
      </w:r>
      <w:r w:rsidR="009F0B52" w:rsidRPr="00207DD5">
        <w:t> </w:t>
      </w:r>
      <w:r w:rsidRPr="00207DD5">
        <w:t>billion (</w:t>
      </w:r>
      <w:r w:rsidR="005E4661" w:rsidRPr="00207DD5">
        <w:t>1.3</w:t>
      </w:r>
      <w:r w:rsidR="009F0B52" w:rsidRPr="00207DD5">
        <w:t> </w:t>
      </w:r>
      <w:r w:rsidRPr="00207DD5">
        <w:t>per</w:t>
      </w:r>
      <w:r w:rsidR="009F0B52" w:rsidRPr="00207DD5">
        <w:t> </w:t>
      </w:r>
      <w:r w:rsidRPr="00207DD5">
        <w:t>cent of GDP) in 2025–26 (Table 3.</w:t>
      </w:r>
      <w:r w:rsidR="00165FFF" w:rsidRPr="00207DD5">
        <w:t>7</w:t>
      </w:r>
      <w:r w:rsidRPr="00207DD5">
        <w:t>). It is expected to be a deficit of $</w:t>
      </w:r>
      <w:r w:rsidR="00BE0539" w:rsidRPr="00207DD5">
        <w:t>17.9</w:t>
      </w:r>
      <w:r w:rsidR="009F0B52" w:rsidRPr="00207DD5">
        <w:t> </w:t>
      </w:r>
      <w:r w:rsidRPr="00207DD5">
        <w:t>billion (</w:t>
      </w:r>
      <w:r w:rsidR="00BE0539" w:rsidRPr="00207DD5">
        <w:t>0.6</w:t>
      </w:r>
      <w:r w:rsidR="009F0B52" w:rsidRPr="00207DD5">
        <w:t> </w:t>
      </w:r>
      <w:r w:rsidRPr="00207DD5">
        <w:t>per</w:t>
      </w:r>
      <w:r w:rsidR="009F0B52" w:rsidRPr="00207DD5">
        <w:t> </w:t>
      </w:r>
      <w:r w:rsidRPr="00207DD5">
        <w:t>cent of GDP) in 2026–27, compared to an expected deficit of $</w:t>
      </w:r>
      <w:r w:rsidR="003B67F5" w:rsidRPr="00207DD5">
        <w:t>25.4</w:t>
      </w:r>
      <w:r w:rsidR="009F0B52" w:rsidRPr="00207DD5">
        <w:t> </w:t>
      </w:r>
      <w:r w:rsidRPr="00207DD5">
        <w:t>billion at MYEFO.</w:t>
      </w:r>
    </w:p>
    <w:p w14:paraId="7D271D01" w14:textId="4F7A74B4" w:rsidR="00421AC2" w:rsidRPr="00207DD5" w:rsidRDefault="00421AC2" w:rsidP="00421AC2">
      <w:pPr>
        <w:pStyle w:val="Heading3"/>
      </w:pPr>
      <w:bookmarkStart w:id="113" w:name="_Toc193537065"/>
      <w:bookmarkStart w:id="114" w:name="_Toc227842131"/>
      <w:bookmarkStart w:id="115" w:name="_Toc229240499"/>
      <w:r w:rsidRPr="00207DD5">
        <w:t>Fiscal balance</w:t>
      </w:r>
      <w:bookmarkEnd w:id="113"/>
      <w:bookmarkEnd w:id="114"/>
      <w:bookmarkEnd w:id="115"/>
    </w:p>
    <w:p w14:paraId="6090A812" w14:textId="464765FD" w:rsidR="00421AC2" w:rsidRPr="00207DD5" w:rsidRDefault="00421AC2" w:rsidP="00421AC2">
      <w:r w:rsidRPr="00207DD5">
        <w:t>The fiscal balance is the accrual equivalent of the underlying cash balance and equals the net operating balance less net new capital investment.</w:t>
      </w:r>
    </w:p>
    <w:p w14:paraId="10C0486D" w14:textId="73B76673" w:rsidR="005E1150" w:rsidRPr="00207DD5" w:rsidRDefault="005E1150" w:rsidP="007C464A">
      <w:r w:rsidRPr="00207DD5">
        <w:t>The fiscal balance is expected to be a deficit of $</w:t>
      </w:r>
      <w:r w:rsidR="000717E6" w:rsidRPr="00207DD5">
        <w:t>50.1</w:t>
      </w:r>
      <w:r w:rsidR="009F0B52" w:rsidRPr="00207DD5">
        <w:t> </w:t>
      </w:r>
      <w:r w:rsidRPr="00207DD5">
        <w:t>billion (</w:t>
      </w:r>
      <w:r w:rsidR="000717E6" w:rsidRPr="00207DD5">
        <w:t>1.7</w:t>
      </w:r>
      <w:r w:rsidR="009F0B52" w:rsidRPr="00207DD5">
        <w:t> </w:t>
      </w:r>
      <w:r w:rsidRPr="00207DD5">
        <w:t>per</w:t>
      </w:r>
      <w:r w:rsidR="009F0B52" w:rsidRPr="00207DD5">
        <w:t> </w:t>
      </w:r>
      <w:r w:rsidRPr="00207DD5">
        <w:t>cent of GDP) in 2025</w:t>
      </w:r>
      <w:r w:rsidR="00AB2BFF" w:rsidRPr="00207DD5">
        <w:rPr>
          <w:lang w:val="en-US"/>
        </w:rPr>
        <w:t>–</w:t>
      </w:r>
      <w:r w:rsidRPr="00207DD5">
        <w:t>26 (Table</w:t>
      </w:r>
      <w:r w:rsidR="009F0B52" w:rsidRPr="00207DD5">
        <w:t> </w:t>
      </w:r>
      <w:r w:rsidRPr="00207DD5">
        <w:t>3.</w:t>
      </w:r>
      <w:r w:rsidR="00462EAD" w:rsidRPr="00207DD5">
        <w:t>7</w:t>
      </w:r>
      <w:r w:rsidRPr="00207DD5">
        <w:t>). It is expected to be a deficit of $</w:t>
      </w:r>
      <w:r w:rsidR="00311A83" w:rsidRPr="00207DD5">
        <w:t>29.9</w:t>
      </w:r>
      <w:r w:rsidR="009F0B52" w:rsidRPr="00207DD5">
        <w:t> </w:t>
      </w:r>
      <w:r w:rsidRPr="00207DD5">
        <w:t>billion (</w:t>
      </w:r>
      <w:r w:rsidR="00311A83" w:rsidRPr="00207DD5">
        <w:t>1.0</w:t>
      </w:r>
      <w:r w:rsidR="009F0B52" w:rsidRPr="00207DD5">
        <w:t> </w:t>
      </w:r>
      <w:r w:rsidRPr="00207DD5">
        <w:t>per</w:t>
      </w:r>
      <w:r w:rsidR="009F0B52" w:rsidRPr="00207DD5">
        <w:t> </w:t>
      </w:r>
      <w:r w:rsidRPr="00207DD5">
        <w:t>cent of GDP) in 2026–27, compared to an expected deficit of $</w:t>
      </w:r>
      <w:r w:rsidR="00670ECF" w:rsidRPr="00207DD5">
        <w:t>35.8</w:t>
      </w:r>
      <w:r w:rsidR="009F0B52" w:rsidRPr="00207DD5">
        <w:t> </w:t>
      </w:r>
      <w:r w:rsidRPr="00207DD5">
        <w:t>billion at MYEFO.</w:t>
      </w:r>
    </w:p>
    <w:p w14:paraId="37BCF587" w14:textId="583E1F64" w:rsidR="00421AC2" w:rsidRPr="00207DD5" w:rsidRDefault="00421AC2" w:rsidP="00421AC2">
      <w:pPr>
        <w:pStyle w:val="TableHeading"/>
        <w:rPr>
          <w:rFonts w:asciiTheme="minorHAnsi" w:eastAsiaTheme="minorEastAsia" w:hAnsiTheme="minorHAnsi" w:cstheme="minorBidi"/>
          <w:sz w:val="22"/>
          <w:szCs w:val="22"/>
          <w:lang w:eastAsia="en-US"/>
        </w:rPr>
      </w:pPr>
      <w:r w:rsidRPr="00207DD5">
        <w:t>Table 3.</w:t>
      </w:r>
      <w:r w:rsidR="00C04225" w:rsidRPr="00207DD5">
        <w:t>7</w:t>
      </w:r>
      <w:r w:rsidRPr="00207DD5">
        <w:t>: Australian Government general government sector accrual aggregates</w:t>
      </w:r>
      <w:bookmarkStart w:id="116" w:name="_1803822488"/>
      <w:bookmarkStart w:id="117" w:name="_1804054150"/>
      <w:bookmarkStart w:id="118" w:name="_1804053290"/>
      <w:bookmarkStart w:id="119" w:name="_1804053825"/>
      <w:bookmarkStart w:id="120" w:name="_1804053574"/>
      <w:bookmarkStart w:id="121" w:name="_1803883752"/>
      <w:bookmarkStart w:id="122" w:name="_1803891224"/>
      <w:bookmarkStart w:id="123" w:name="_1803892335"/>
      <w:bookmarkEnd w:id="116"/>
      <w:bookmarkEnd w:id="117"/>
      <w:bookmarkEnd w:id="118"/>
      <w:bookmarkEnd w:id="119"/>
      <w:bookmarkEnd w:id="120"/>
      <w:bookmarkEnd w:id="121"/>
      <w:bookmarkEnd w:id="122"/>
      <w:bookmarkEnd w:id="123"/>
    </w:p>
    <w:tbl>
      <w:tblPr>
        <w:tblW w:w="5000" w:type="pct"/>
        <w:tblCellMar>
          <w:left w:w="0" w:type="dxa"/>
          <w:right w:w="28" w:type="dxa"/>
        </w:tblCellMar>
        <w:tblLook w:val="0620" w:firstRow="1" w:lastRow="0" w:firstColumn="0" w:lastColumn="0" w:noHBand="1" w:noVBand="1"/>
      </w:tblPr>
      <w:tblGrid>
        <w:gridCol w:w="2452"/>
        <w:gridCol w:w="729"/>
        <w:gridCol w:w="108"/>
        <w:gridCol w:w="717"/>
        <w:gridCol w:w="717"/>
        <w:gridCol w:w="717"/>
        <w:gridCol w:w="717"/>
        <w:gridCol w:w="717"/>
        <w:gridCol w:w="108"/>
        <w:gridCol w:w="728"/>
      </w:tblGrid>
      <w:tr w:rsidR="004F4318" w14:paraId="3C20F635" w14:textId="77777777" w:rsidTr="00F56B58">
        <w:trPr>
          <w:trHeight w:hRule="exact" w:val="225"/>
        </w:trPr>
        <w:tc>
          <w:tcPr>
            <w:tcW w:w="1590" w:type="pct"/>
            <w:tcBorders>
              <w:top w:val="single" w:sz="4" w:space="0" w:color="293F5B"/>
              <w:left w:val="nil"/>
              <w:bottom w:val="nil"/>
              <w:right w:val="nil"/>
            </w:tcBorders>
            <w:shd w:val="clear" w:color="000000" w:fill="FFFFFF"/>
            <w:noWrap/>
            <w:vAlign w:val="center"/>
            <w:hideMark/>
          </w:tcPr>
          <w:p w14:paraId="78886F03"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single" w:sz="4" w:space="0" w:color="293F5B"/>
              <w:left w:val="nil"/>
              <w:bottom w:val="single" w:sz="4" w:space="0" w:color="293F5B"/>
              <w:right w:val="nil"/>
            </w:tcBorders>
            <w:shd w:val="clear" w:color="000000" w:fill="FFFFFF"/>
            <w:noWrap/>
            <w:vAlign w:val="center"/>
            <w:hideMark/>
          </w:tcPr>
          <w:p w14:paraId="2517D115" w14:textId="77777777" w:rsidR="004F4318" w:rsidRPr="007B5379" w:rsidRDefault="004F4318" w:rsidP="004F4318">
            <w:pPr>
              <w:spacing w:before="0" w:after="0" w:line="240" w:lineRule="auto"/>
              <w:jc w:val="center"/>
              <w:rPr>
                <w:rFonts w:ascii="Arial" w:hAnsi="Arial" w:cs="Arial"/>
                <w:color w:val="00FFFF"/>
                <w:sz w:val="16"/>
                <w:szCs w:val="16"/>
                <w:highlight w:val="magenta"/>
              </w:rPr>
            </w:pPr>
            <w:r w:rsidRPr="00207DD5">
              <w:rPr>
                <w:rFonts w:ascii="Arial" w:hAnsi="Arial" w:cs="Arial"/>
                <w:sz w:val="16"/>
                <w:szCs w:val="16"/>
              </w:rPr>
              <w:t>Actual</w:t>
            </w:r>
          </w:p>
        </w:tc>
        <w:tc>
          <w:tcPr>
            <w:tcW w:w="70" w:type="pct"/>
            <w:tcBorders>
              <w:top w:val="single" w:sz="4" w:space="0" w:color="293F5B"/>
              <w:left w:val="nil"/>
              <w:bottom w:val="nil"/>
              <w:right w:val="nil"/>
            </w:tcBorders>
            <w:shd w:val="clear" w:color="000000" w:fill="FFFFFF"/>
            <w:noWrap/>
            <w:vAlign w:val="center"/>
            <w:hideMark/>
          </w:tcPr>
          <w:p w14:paraId="1DBCEA5F" w14:textId="77777777" w:rsidR="004F4318" w:rsidRPr="007B5379" w:rsidRDefault="004F4318" w:rsidP="004F4318">
            <w:pPr>
              <w:spacing w:before="0" w:after="0" w:line="240" w:lineRule="auto"/>
              <w:jc w:val="center"/>
              <w:rPr>
                <w:rFonts w:ascii="Arial" w:hAnsi="Arial" w:cs="Arial"/>
                <w:color w:val="00FFFF"/>
                <w:sz w:val="16"/>
                <w:szCs w:val="16"/>
                <w:highlight w:val="magenta"/>
              </w:rPr>
            </w:pPr>
            <w:r w:rsidRPr="00207DD5">
              <w:rPr>
                <w:rFonts w:ascii="Arial" w:hAnsi="Arial" w:cs="Arial"/>
                <w:sz w:val="16"/>
                <w:szCs w:val="16"/>
              </w:rPr>
              <w:t> </w:t>
            </w:r>
          </w:p>
        </w:tc>
        <w:tc>
          <w:tcPr>
            <w:tcW w:w="2324" w:type="pct"/>
            <w:gridSpan w:val="5"/>
            <w:tcBorders>
              <w:top w:val="single" w:sz="4" w:space="0" w:color="293F5B"/>
              <w:left w:val="nil"/>
              <w:bottom w:val="single" w:sz="4" w:space="0" w:color="293F5B"/>
              <w:right w:val="nil"/>
            </w:tcBorders>
            <w:shd w:val="clear" w:color="000000" w:fill="FFFFFF"/>
            <w:noWrap/>
            <w:vAlign w:val="center"/>
            <w:hideMark/>
          </w:tcPr>
          <w:p w14:paraId="73780CE2" w14:textId="77777777" w:rsidR="004F4318" w:rsidRPr="007B5379" w:rsidRDefault="004F4318" w:rsidP="004F4318">
            <w:pPr>
              <w:spacing w:before="0" w:after="0" w:line="240" w:lineRule="auto"/>
              <w:jc w:val="center"/>
              <w:rPr>
                <w:rFonts w:ascii="Arial" w:hAnsi="Arial" w:cs="Arial"/>
                <w:color w:val="00FFFF"/>
                <w:sz w:val="16"/>
                <w:szCs w:val="16"/>
                <w:highlight w:val="magenta"/>
              </w:rPr>
            </w:pPr>
            <w:r w:rsidRPr="00207DD5">
              <w:rPr>
                <w:rFonts w:ascii="Arial" w:hAnsi="Arial" w:cs="Arial"/>
                <w:sz w:val="16"/>
                <w:szCs w:val="16"/>
              </w:rPr>
              <w:t>Estimates</w:t>
            </w:r>
          </w:p>
        </w:tc>
        <w:tc>
          <w:tcPr>
            <w:tcW w:w="70" w:type="pct"/>
            <w:tcBorders>
              <w:top w:val="single" w:sz="4" w:space="0" w:color="293F5B"/>
              <w:left w:val="nil"/>
              <w:bottom w:val="nil"/>
              <w:right w:val="nil"/>
            </w:tcBorders>
            <w:shd w:val="clear" w:color="000000" w:fill="FFFFFF"/>
            <w:noWrap/>
            <w:vAlign w:val="center"/>
            <w:hideMark/>
          </w:tcPr>
          <w:p w14:paraId="5F933A27"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single" w:sz="4" w:space="0" w:color="293F5B"/>
              <w:left w:val="nil"/>
              <w:bottom w:val="single" w:sz="4" w:space="0" w:color="293F5B"/>
              <w:right w:val="nil"/>
            </w:tcBorders>
            <w:shd w:val="clear" w:color="000000" w:fill="FFFFFF"/>
            <w:noWrap/>
            <w:vAlign w:val="center"/>
            <w:hideMark/>
          </w:tcPr>
          <w:p w14:paraId="2E2AD458"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62B77054" w14:textId="77777777" w:rsidTr="00F56B58">
        <w:trPr>
          <w:trHeight w:hRule="exact" w:val="225"/>
        </w:trPr>
        <w:tc>
          <w:tcPr>
            <w:tcW w:w="1590" w:type="pct"/>
            <w:tcBorders>
              <w:top w:val="nil"/>
              <w:left w:val="nil"/>
              <w:bottom w:val="nil"/>
              <w:right w:val="nil"/>
            </w:tcBorders>
            <w:shd w:val="clear" w:color="000000" w:fill="FFFFFF"/>
            <w:noWrap/>
            <w:vAlign w:val="center"/>
            <w:hideMark/>
          </w:tcPr>
          <w:p w14:paraId="5792189C"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single" w:sz="4" w:space="0" w:color="293F5B"/>
              <w:left w:val="nil"/>
              <w:bottom w:val="nil"/>
              <w:right w:val="nil"/>
            </w:tcBorders>
            <w:shd w:val="clear" w:color="000000" w:fill="FFFFFF"/>
            <w:noWrap/>
            <w:vAlign w:val="center"/>
            <w:hideMark/>
          </w:tcPr>
          <w:p w14:paraId="1AC6EBD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2024-25</w:t>
            </w:r>
          </w:p>
        </w:tc>
        <w:tc>
          <w:tcPr>
            <w:tcW w:w="70" w:type="pct"/>
            <w:tcBorders>
              <w:top w:val="nil"/>
              <w:left w:val="nil"/>
              <w:bottom w:val="nil"/>
              <w:right w:val="nil"/>
            </w:tcBorders>
            <w:shd w:val="clear" w:color="000000" w:fill="FFFFFF"/>
            <w:noWrap/>
            <w:vAlign w:val="center"/>
            <w:hideMark/>
          </w:tcPr>
          <w:p w14:paraId="5C5288C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single" w:sz="4" w:space="0" w:color="293F5B"/>
              <w:left w:val="nil"/>
              <w:bottom w:val="nil"/>
              <w:right w:val="nil"/>
            </w:tcBorders>
            <w:shd w:val="clear" w:color="000000" w:fill="FFFFFF"/>
            <w:noWrap/>
            <w:vAlign w:val="center"/>
            <w:hideMark/>
          </w:tcPr>
          <w:p w14:paraId="6555DC7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2025-26</w:t>
            </w:r>
          </w:p>
        </w:tc>
        <w:tc>
          <w:tcPr>
            <w:tcW w:w="465" w:type="pct"/>
            <w:tcBorders>
              <w:top w:val="single" w:sz="4" w:space="0" w:color="293F5B"/>
              <w:left w:val="nil"/>
              <w:bottom w:val="nil"/>
              <w:right w:val="nil"/>
            </w:tcBorders>
            <w:shd w:val="clear" w:color="000000" w:fill="E6F2FF"/>
            <w:noWrap/>
            <w:vAlign w:val="center"/>
            <w:hideMark/>
          </w:tcPr>
          <w:p w14:paraId="29F76E1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2026-27</w:t>
            </w:r>
          </w:p>
        </w:tc>
        <w:tc>
          <w:tcPr>
            <w:tcW w:w="465" w:type="pct"/>
            <w:tcBorders>
              <w:top w:val="single" w:sz="4" w:space="0" w:color="293F5B"/>
              <w:left w:val="nil"/>
              <w:bottom w:val="nil"/>
              <w:right w:val="nil"/>
            </w:tcBorders>
            <w:shd w:val="clear" w:color="000000" w:fill="FFFFFF"/>
            <w:noWrap/>
            <w:vAlign w:val="center"/>
            <w:hideMark/>
          </w:tcPr>
          <w:p w14:paraId="144820C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2027-28</w:t>
            </w:r>
          </w:p>
        </w:tc>
        <w:tc>
          <w:tcPr>
            <w:tcW w:w="465" w:type="pct"/>
            <w:tcBorders>
              <w:top w:val="single" w:sz="4" w:space="0" w:color="293F5B"/>
              <w:left w:val="nil"/>
              <w:bottom w:val="nil"/>
              <w:right w:val="nil"/>
            </w:tcBorders>
            <w:shd w:val="clear" w:color="000000" w:fill="FFFFFF"/>
            <w:noWrap/>
            <w:vAlign w:val="center"/>
            <w:hideMark/>
          </w:tcPr>
          <w:p w14:paraId="2E1F699C"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2028-29</w:t>
            </w:r>
          </w:p>
        </w:tc>
        <w:tc>
          <w:tcPr>
            <w:tcW w:w="465" w:type="pct"/>
            <w:tcBorders>
              <w:top w:val="single" w:sz="4" w:space="0" w:color="293F5B"/>
              <w:left w:val="nil"/>
              <w:bottom w:val="nil"/>
              <w:right w:val="nil"/>
            </w:tcBorders>
            <w:shd w:val="clear" w:color="000000" w:fill="FFFFFF"/>
            <w:noWrap/>
            <w:vAlign w:val="center"/>
            <w:hideMark/>
          </w:tcPr>
          <w:p w14:paraId="0623594C"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2029-30</w:t>
            </w:r>
          </w:p>
        </w:tc>
        <w:tc>
          <w:tcPr>
            <w:tcW w:w="70" w:type="pct"/>
            <w:tcBorders>
              <w:top w:val="nil"/>
              <w:left w:val="nil"/>
              <w:bottom w:val="nil"/>
              <w:right w:val="nil"/>
            </w:tcBorders>
            <w:shd w:val="clear" w:color="000000" w:fill="FFFFFF"/>
            <w:noWrap/>
            <w:vAlign w:val="center"/>
            <w:hideMark/>
          </w:tcPr>
          <w:p w14:paraId="1525610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single" w:sz="4" w:space="0" w:color="293F5B"/>
              <w:left w:val="nil"/>
              <w:bottom w:val="nil"/>
              <w:right w:val="nil"/>
            </w:tcBorders>
            <w:shd w:val="clear" w:color="000000" w:fill="FFFFFF"/>
            <w:noWrap/>
            <w:vAlign w:val="center"/>
            <w:hideMark/>
          </w:tcPr>
          <w:p w14:paraId="5606ECCE"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Total(a)</w:t>
            </w:r>
          </w:p>
        </w:tc>
      </w:tr>
      <w:tr w:rsidR="004F4318" w14:paraId="750C6B5B" w14:textId="77777777" w:rsidTr="00F56B58">
        <w:trPr>
          <w:trHeight w:hRule="exact" w:val="225"/>
        </w:trPr>
        <w:tc>
          <w:tcPr>
            <w:tcW w:w="1590" w:type="pct"/>
            <w:tcBorders>
              <w:top w:val="nil"/>
              <w:left w:val="nil"/>
              <w:bottom w:val="nil"/>
              <w:right w:val="nil"/>
            </w:tcBorders>
            <w:shd w:val="clear" w:color="000000" w:fill="FFFFFF"/>
            <w:noWrap/>
            <w:vAlign w:val="center"/>
            <w:hideMark/>
          </w:tcPr>
          <w:p w14:paraId="325D2A06"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nil"/>
              <w:left w:val="nil"/>
              <w:bottom w:val="nil"/>
              <w:right w:val="nil"/>
            </w:tcBorders>
            <w:shd w:val="clear" w:color="000000" w:fill="FFFFFF"/>
            <w:noWrap/>
            <w:vAlign w:val="center"/>
            <w:hideMark/>
          </w:tcPr>
          <w:p w14:paraId="3B21E40C"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$b</w:t>
            </w:r>
          </w:p>
        </w:tc>
        <w:tc>
          <w:tcPr>
            <w:tcW w:w="70" w:type="pct"/>
            <w:tcBorders>
              <w:top w:val="nil"/>
              <w:left w:val="nil"/>
              <w:bottom w:val="nil"/>
              <w:right w:val="nil"/>
            </w:tcBorders>
            <w:shd w:val="clear" w:color="000000" w:fill="FFFFFF"/>
            <w:noWrap/>
            <w:vAlign w:val="center"/>
            <w:hideMark/>
          </w:tcPr>
          <w:p w14:paraId="1E367F3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single" w:sz="4" w:space="0" w:color="293F5B"/>
              <w:right w:val="nil"/>
            </w:tcBorders>
            <w:shd w:val="clear" w:color="000000" w:fill="FFFFFF"/>
            <w:noWrap/>
            <w:vAlign w:val="center"/>
            <w:hideMark/>
          </w:tcPr>
          <w:p w14:paraId="2BBB5F8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$b</w:t>
            </w:r>
          </w:p>
        </w:tc>
        <w:tc>
          <w:tcPr>
            <w:tcW w:w="465" w:type="pct"/>
            <w:tcBorders>
              <w:top w:val="nil"/>
              <w:left w:val="nil"/>
              <w:bottom w:val="single" w:sz="4" w:space="0" w:color="293F5B"/>
              <w:right w:val="nil"/>
            </w:tcBorders>
            <w:shd w:val="clear" w:color="000000" w:fill="E6F2FF"/>
            <w:noWrap/>
            <w:vAlign w:val="center"/>
            <w:hideMark/>
          </w:tcPr>
          <w:p w14:paraId="4E4CDC9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$b</w:t>
            </w:r>
          </w:p>
        </w:tc>
        <w:tc>
          <w:tcPr>
            <w:tcW w:w="465" w:type="pct"/>
            <w:tcBorders>
              <w:top w:val="nil"/>
              <w:left w:val="nil"/>
              <w:bottom w:val="single" w:sz="4" w:space="0" w:color="293F5B"/>
              <w:right w:val="nil"/>
            </w:tcBorders>
            <w:shd w:val="clear" w:color="000000" w:fill="FFFFFF"/>
            <w:noWrap/>
            <w:vAlign w:val="center"/>
            <w:hideMark/>
          </w:tcPr>
          <w:p w14:paraId="75B7742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$b</w:t>
            </w:r>
          </w:p>
        </w:tc>
        <w:tc>
          <w:tcPr>
            <w:tcW w:w="465" w:type="pct"/>
            <w:tcBorders>
              <w:top w:val="nil"/>
              <w:left w:val="nil"/>
              <w:bottom w:val="single" w:sz="4" w:space="0" w:color="293F5B"/>
              <w:right w:val="nil"/>
            </w:tcBorders>
            <w:shd w:val="clear" w:color="000000" w:fill="FFFFFF"/>
            <w:noWrap/>
            <w:vAlign w:val="center"/>
            <w:hideMark/>
          </w:tcPr>
          <w:p w14:paraId="19F0F50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$b</w:t>
            </w:r>
          </w:p>
        </w:tc>
        <w:tc>
          <w:tcPr>
            <w:tcW w:w="465" w:type="pct"/>
            <w:tcBorders>
              <w:top w:val="nil"/>
              <w:left w:val="nil"/>
              <w:bottom w:val="single" w:sz="4" w:space="0" w:color="293F5B"/>
              <w:right w:val="nil"/>
            </w:tcBorders>
            <w:shd w:val="clear" w:color="000000" w:fill="FFFFFF"/>
            <w:noWrap/>
            <w:vAlign w:val="center"/>
            <w:hideMark/>
          </w:tcPr>
          <w:p w14:paraId="4BF60D1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$b</w:t>
            </w:r>
          </w:p>
        </w:tc>
        <w:tc>
          <w:tcPr>
            <w:tcW w:w="70" w:type="pct"/>
            <w:tcBorders>
              <w:top w:val="nil"/>
              <w:left w:val="nil"/>
              <w:bottom w:val="nil"/>
              <w:right w:val="nil"/>
            </w:tcBorders>
            <w:shd w:val="clear" w:color="000000" w:fill="FFFFFF"/>
            <w:noWrap/>
            <w:vAlign w:val="center"/>
            <w:hideMark/>
          </w:tcPr>
          <w:p w14:paraId="3961715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nil"/>
              <w:left w:val="nil"/>
              <w:bottom w:val="nil"/>
              <w:right w:val="nil"/>
            </w:tcBorders>
            <w:shd w:val="clear" w:color="000000" w:fill="FFFFFF"/>
            <w:noWrap/>
            <w:vAlign w:val="center"/>
            <w:hideMark/>
          </w:tcPr>
          <w:p w14:paraId="6A450637"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$b</w:t>
            </w:r>
          </w:p>
        </w:tc>
      </w:tr>
      <w:tr w:rsidR="004F4318" w14:paraId="1D794AB6" w14:textId="77777777" w:rsidTr="00F56B58">
        <w:trPr>
          <w:trHeight w:hRule="exact" w:val="60"/>
        </w:trPr>
        <w:tc>
          <w:tcPr>
            <w:tcW w:w="1590" w:type="pct"/>
            <w:tcBorders>
              <w:top w:val="nil"/>
              <w:left w:val="nil"/>
              <w:bottom w:val="nil"/>
              <w:right w:val="nil"/>
            </w:tcBorders>
            <w:shd w:val="clear" w:color="000000" w:fill="FFFFFF"/>
            <w:noWrap/>
            <w:vAlign w:val="center"/>
            <w:hideMark/>
          </w:tcPr>
          <w:p w14:paraId="787F7A2A"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single" w:sz="4" w:space="0" w:color="293F5B"/>
              <w:left w:val="nil"/>
              <w:bottom w:val="nil"/>
              <w:right w:val="nil"/>
            </w:tcBorders>
            <w:shd w:val="clear" w:color="000000" w:fill="FFFFFF"/>
            <w:noWrap/>
            <w:vAlign w:val="center"/>
            <w:hideMark/>
          </w:tcPr>
          <w:p w14:paraId="4D7EA40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0E687E3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59BF92C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E6F2FF"/>
            <w:noWrap/>
            <w:vAlign w:val="center"/>
            <w:hideMark/>
          </w:tcPr>
          <w:p w14:paraId="256E7AA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1A63AEB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7D323A6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0AF6994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3162B3A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single" w:sz="4" w:space="0" w:color="293F5B"/>
              <w:left w:val="nil"/>
              <w:bottom w:val="nil"/>
              <w:right w:val="nil"/>
            </w:tcBorders>
            <w:shd w:val="clear" w:color="000000" w:fill="FFFFFF"/>
            <w:noWrap/>
            <w:vAlign w:val="center"/>
            <w:hideMark/>
          </w:tcPr>
          <w:p w14:paraId="3291C682"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049ABED0" w14:textId="77777777" w:rsidTr="00F56B58">
        <w:trPr>
          <w:trHeight w:hRule="exact" w:val="225"/>
        </w:trPr>
        <w:tc>
          <w:tcPr>
            <w:tcW w:w="1590" w:type="pct"/>
            <w:tcBorders>
              <w:top w:val="nil"/>
              <w:left w:val="nil"/>
              <w:bottom w:val="nil"/>
              <w:right w:val="nil"/>
            </w:tcBorders>
            <w:shd w:val="clear" w:color="000000" w:fill="FFFFFF"/>
            <w:noWrap/>
            <w:vAlign w:val="center"/>
            <w:hideMark/>
          </w:tcPr>
          <w:p w14:paraId="5133E7A8"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Revenue</w:t>
            </w:r>
          </w:p>
        </w:tc>
        <w:tc>
          <w:tcPr>
            <w:tcW w:w="473" w:type="pct"/>
            <w:tcBorders>
              <w:top w:val="nil"/>
              <w:left w:val="nil"/>
              <w:bottom w:val="nil"/>
              <w:right w:val="nil"/>
            </w:tcBorders>
            <w:shd w:val="clear" w:color="000000" w:fill="FFFFFF"/>
            <w:noWrap/>
            <w:vAlign w:val="center"/>
            <w:hideMark/>
          </w:tcPr>
          <w:p w14:paraId="4F4AF312"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733.0</w:t>
            </w:r>
          </w:p>
        </w:tc>
        <w:tc>
          <w:tcPr>
            <w:tcW w:w="70" w:type="pct"/>
            <w:tcBorders>
              <w:top w:val="nil"/>
              <w:left w:val="nil"/>
              <w:bottom w:val="nil"/>
              <w:right w:val="nil"/>
            </w:tcBorders>
            <w:shd w:val="clear" w:color="000000" w:fill="FFFFFF"/>
            <w:noWrap/>
            <w:vAlign w:val="center"/>
            <w:hideMark/>
          </w:tcPr>
          <w:p w14:paraId="095BC79E"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65" w:type="pct"/>
            <w:tcBorders>
              <w:top w:val="nil"/>
              <w:left w:val="nil"/>
              <w:bottom w:val="nil"/>
              <w:right w:val="nil"/>
            </w:tcBorders>
            <w:shd w:val="clear" w:color="000000" w:fill="FFFFFF"/>
            <w:noWrap/>
            <w:vAlign w:val="center"/>
            <w:hideMark/>
          </w:tcPr>
          <w:p w14:paraId="2105B637"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773.1</w:t>
            </w:r>
          </w:p>
        </w:tc>
        <w:tc>
          <w:tcPr>
            <w:tcW w:w="465" w:type="pct"/>
            <w:tcBorders>
              <w:top w:val="nil"/>
              <w:left w:val="nil"/>
              <w:bottom w:val="nil"/>
              <w:right w:val="nil"/>
            </w:tcBorders>
            <w:shd w:val="clear" w:color="000000" w:fill="E6F2FF"/>
            <w:noWrap/>
            <w:vAlign w:val="center"/>
            <w:hideMark/>
          </w:tcPr>
          <w:p w14:paraId="732C3032"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815.3</w:t>
            </w:r>
          </w:p>
        </w:tc>
        <w:tc>
          <w:tcPr>
            <w:tcW w:w="465" w:type="pct"/>
            <w:tcBorders>
              <w:top w:val="nil"/>
              <w:left w:val="nil"/>
              <w:bottom w:val="nil"/>
              <w:right w:val="nil"/>
            </w:tcBorders>
            <w:shd w:val="clear" w:color="000000" w:fill="FFFFFF"/>
            <w:noWrap/>
            <w:vAlign w:val="center"/>
            <w:hideMark/>
          </w:tcPr>
          <w:p w14:paraId="0141F4AA"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836.3</w:t>
            </w:r>
          </w:p>
        </w:tc>
        <w:tc>
          <w:tcPr>
            <w:tcW w:w="465" w:type="pct"/>
            <w:tcBorders>
              <w:top w:val="nil"/>
              <w:left w:val="nil"/>
              <w:bottom w:val="nil"/>
              <w:right w:val="nil"/>
            </w:tcBorders>
            <w:shd w:val="clear" w:color="000000" w:fill="FFFFFF"/>
            <w:noWrap/>
            <w:vAlign w:val="center"/>
            <w:hideMark/>
          </w:tcPr>
          <w:p w14:paraId="5A53D308"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863.5</w:t>
            </w:r>
          </w:p>
        </w:tc>
        <w:tc>
          <w:tcPr>
            <w:tcW w:w="465" w:type="pct"/>
            <w:tcBorders>
              <w:top w:val="nil"/>
              <w:left w:val="nil"/>
              <w:bottom w:val="nil"/>
              <w:right w:val="nil"/>
            </w:tcBorders>
            <w:shd w:val="clear" w:color="000000" w:fill="FFFFFF"/>
            <w:noWrap/>
            <w:vAlign w:val="center"/>
            <w:hideMark/>
          </w:tcPr>
          <w:p w14:paraId="5CD3B95D"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910.1</w:t>
            </w:r>
          </w:p>
        </w:tc>
        <w:tc>
          <w:tcPr>
            <w:tcW w:w="70" w:type="pct"/>
            <w:tcBorders>
              <w:top w:val="nil"/>
              <w:left w:val="nil"/>
              <w:bottom w:val="nil"/>
              <w:right w:val="nil"/>
            </w:tcBorders>
            <w:shd w:val="clear" w:color="000000" w:fill="FFFFFF"/>
            <w:noWrap/>
            <w:vAlign w:val="center"/>
            <w:hideMark/>
          </w:tcPr>
          <w:p w14:paraId="417B19D3"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3" w:type="pct"/>
            <w:tcBorders>
              <w:top w:val="nil"/>
              <w:left w:val="nil"/>
              <w:bottom w:val="nil"/>
              <w:right w:val="nil"/>
            </w:tcBorders>
            <w:shd w:val="clear" w:color="000000" w:fill="FFFFFF"/>
            <w:noWrap/>
            <w:vAlign w:val="center"/>
            <w:hideMark/>
          </w:tcPr>
          <w:p w14:paraId="2A9A82DA" w14:textId="77777777" w:rsidR="004F4318" w:rsidRPr="00207DD5" w:rsidRDefault="004F4318" w:rsidP="004F4318">
            <w:pPr>
              <w:spacing w:before="0" w:after="0" w:line="240" w:lineRule="auto"/>
              <w:jc w:val="right"/>
              <w:rPr>
                <w:rFonts w:ascii="Arial" w:hAnsi="Arial" w:cs="Arial"/>
                <w:b/>
                <w:sz w:val="16"/>
                <w:szCs w:val="16"/>
              </w:rPr>
            </w:pPr>
            <w:r w:rsidRPr="00207DD5">
              <w:rPr>
                <w:rFonts w:ascii="Arial" w:hAnsi="Arial" w:cs="Arial"/>
                <w:b/>
                <w:sz w:val="16"/>
                <w:szCs w:val="16"/>
              </w:rPr>
              <w:t>4,198.3</w:t>
            </w:r>
          </w:p>
        </w:tc>
      </w:tr>
      <w:tr w:rsidR="004F4318" w14:paraId="4DBED6B3" w14:textId="77777777" w:rsidTr="00F56B58">
        <w:trPr>
          <w:trHeight w:hRule="exact" w:val="225"/>
        </w:trPr>
        <w:tc>
          <w:tcPr>
            <w:tcW w:w="1590" w:type="pct"/>
            <w:tcBorders>
              <w:top w:val="nil"/>
              <w:left w:val="nil"/>
              <w:bottom w:val="nil"/>
              <w:right w:val="nil"/>
            </w:tcBorders>
            <w:shd w:val="clear" w:color="000000" w:fill="FFFFFF"/>
            <w:noWrap/>
            <w:vAlign w:val="center"/>
            <w:hideMark/>
          </w:tcPr>
          <w:p w14:paraId="3F96EE54"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Per cent of GDP</w:t>
            </w:r>
          </w:p>
        </w:tc>
        <w:tc>
          <w:tcPr>
            <w:tcW w:w="473" w:type="pct"/>
            <w:tcBorders>
              <w:top w:val="nil"/>
              <w:left w:val="nil"/>
              <w:bottom w:val="nil"/>
              <w:right w:val="nil"/>
            </w:tcBorders>
            <w:shd w:val="clear" w:color="000000" w:fill="FFFFFF"/>
            <w:noWrap/>
            <w:vAlign w:val="center"/>
            <w:hideMark/>
          </w:tcPr>
          <w:p w14:paraId="1C41F24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26.4</w:t>
            </w:r>
          </w:p>
        </w:tc>
        <w:tc>
          <w:tcPr>
            <w:tcW w:w="70" w:type="pct"/>
            <w:tcBorders>
              <w:top w:val="nil"/>
              <w:left w:val="nil"/>
              <w:bottom w:val="nil"/>
              <w:right w:val="nil"/>
            </w:tcBorders>
            <w:shd w:val="clear" w:color="000000" w:fill="FFFFFF"/>
            <w:noWrap/>
            <w:vAlign w:val="center"/>
            <w:hideMark/>
          </w:tcPr>
          <w:p w14:paraId="28F80E2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4F445DF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26.1</w:t>
            </w:r>
          </w:p>
        </w:tc>
        <w:tc>
          <w:tcPr>
            <w:tcW w:w="465" w:type="pct"/>
            <w:tcBorders>
              <w:top w:val="nil"/>
              <w:left w:val="nil"/>
              <w:bottom w:val="nil"/>
              <w:right w:val="nil"/>
            </w:tcBorders>
            <w:shd w:val="clear" w:color="000000" w:fill="E6F2FF"/>
            <w:noWrap/>
            <w:vAlign w:val="center"/>
            <w:hideMark/>
          </w:tcPr>
          <w:p w14:paraId="0CD4A39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26.3</w:t>
            </w:r>
          </w:p>
        </w:tc>
        <w:tc>
          <w:tcPr>
            <w:tcW w:w="465" w:type="pct"/>
            <w:tcBorders>
              <w:top w:val="nil"/>
              <w:left w:val="nil"/>
              <w:bottom w:val="nil"/>
              <w:right w:val="nil"/>
            </w:tcBorders>
            <w:shd w:val="clear" w:color="000000" w:fill="FFFFFF"/>
            <w:noWrap/>
            <w:vAlign w:val="center"/>
            <w:hideMark/>
          </w:tcPr>
          <w:p w14:paraId="5495BFA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26.3</w:t>
            </w:r>
          </w:p>
        </w:tc>
        <w:tc>
          <w:tcPr>
            <w:tcW w:w="465" w:type="pct"/>
            <w:tcBorders>
              <w:top w:val="nil"/>
              <w:left w:val="nil"/>
              <w:bottom w:val="nil"/>
              <w:right w:val="nil"/>
            </w:tcBorders>
            <w:shd w:val="clear" w:color="000000" w:fill="FFFFFF"/>
            <w:noWrap/>
            <w:vAlign w:val="center"/>
            <w:hideMark/>
          </w:tcPr>
          <w:p w14:paraId="0FE6996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25.9</w:t>
            </w:r>
          </w:p>
        </w:tc>
        <w:tc>
          <w:tcPr>
            <w:tcW w:w="465" w:type="pct"/>
            <w:tcBorders>
              <w:top w:val="nil"/>
              <w:left w:val="nil"/>
              <w:bottom w:val="nil"/>
              <w:right w:val="nil"/>
            </w:tcBorders>
            <w:shd w:val="clear" w:color="000000" w:fill="FFFFFF"/>
            <w:noWrap/>
            <w:vAlign w:val="center"/>
            <w:hideMark/>
          </w:tcPr>
          <w:p w14:paraId="1C96CFB2"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26.0</w:t>
            </w:r>
          </w:p>
        </w:tc>
        <w:tc>
          <w:tcPr>
            <w:tcW w:w="70" w:type="pct"/>
            <w:tcBorders>
              <w:top w:val="nil"/>
              <w:left w:val="nil"/>
              <w:bottom w:val="nil"/>
              <w:right w:val="nil"/>
            </w:tcBorders>
            <w:shd w:val="clear" w:color="000000" w:fill="FFFFFF"/>
            <w:noWrap/>
            <w:vAlign w:val="center"/>
            <w:hideMark/>
          </w:tcPr>
          <w:p w14:paraId="60AA8EA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nil"/>
              <w:left w:val="nil"/>
              <w:bottom w:val="nil"/>
              <w:right w:val="nil"/>
            </w:tcBorders>
            <w:shd w:val="clear" w:color="000000" w:fill="FFFFFF"/>
            <w:noWrap/>
            <w:vAlign w:val="center"/>
            <w:hideMark/>
          </w:tcPr>
          <w:p w14:paraId="0A2F2583"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1387F4CB" w14:textId="77777777" w:rsidTr="00F56B58">
        <w:trPr>
          <w:trHeight w:hRule="exact" w:val="60"/>
        </w:trPr>
        <w:tc>
          <w:tcPr>
            <w:tcW w:w="1590" w:type="pct"/>
            <w:tcBorders>
              <w:top w:val="nil"/>
              <w:left w:val="nil"/>
              <w:bottom w:val="nil"/>
              <w:right w:val="nil"/>
            </w:tcBorders>
            <w:shd w:val="clear" w:color="000000" w:fill="FFFFFF"/>
            <w:noWrap/>
            <w:vAlign w:val="center"/>
            <w:hideMark/>
          </w:tcPr>
          <w:p w14:paraId="2D3F6F24"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nil"/>
              <w:left w:val="nil"/>
              <w:bottom w:val="nil"/>
              <w:right w:val="nil"/>
            </w:tcBorders>
            <w:shd w:val="clear" w:color="000000" w:fill="FFFFFF"/>
            <w:noWrap/>
            <w:vAlign w:val="center"/>
            <w:hideMark/>
          </w:tcPr>
          <w:p w14:paraId="759770F2"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4DD4EEF2"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7CDF9DA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E6F2FF"/>
            <w:noWrap/>
            <w:vAlign w:val="center"/>
            <w:hideMark/>
          </w:tcPr>
          <w:p w14:paraId="29AF93B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4FC2A62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796C00D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3F6A76C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725A9AC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nil"/>
              <w:left w:val="nil"/>
              <w:bottom w:val="nil"/>
              <w:right w:val="nil"/>
            </w:tcBorders>
            <w:shd w:val="clear" w:color="000000" w:fill="FFFFFF"/>
            <w:noWrap/>
            <w:vAlign w:val="center"/>
            <w:hideMark/>
          </w:tcPr>
          <w:p w14:paraId="18F1E918"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0BB0E1FE" w14:textId="77777777" w:rsidTr="00F56B58">
        <w:trPr>
          <w:trHeight w:hRule="exact" w:val="225"/>
        </w:trPr>
        <w:tc>
          <w:tcPr>
            <w:tcW w:w="1590" w:type="pct"/>
            <w:tcBorders>
              <w:top w:val="nil"/>
              <w:left w:val="nil"/>
              <w:bottom w:val="nil"/>
              <w:right w:val="nil"/>
            </w:tcBorders>
            <w:shd w:val="clear" w:color="000000" w:fill="FFFFFF"/>
            <w:noWrap/>
            <w:vAlign w:val="center"/>
            <w:hideMark/>
          </w:tcPr>
          <w:p w14:paraId="61C6D6A0"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Expenses</w:t>
            </w:r>
          </w:p>
        </w:tc>
        <w:tc>
          <w:tcPr>
            <w:tcW w:w="473" w:type="pct"/>
            <w:tcBorders>
              <w:top w:val="nil"/>
              <w:left w:val="nil"/>
              <w:bottom w:val="nil"/>
              <w:right w:val="nil"/>
            </w:tcBorders>
            <w:shd w:val="clear" w:color="000000" w:fill="FFFFFF"/>
            <w:noWrap/>
            <w:vAlign w:val="center"/>
            <w:hideMark/>
          </w:tcPr>
          <w:p w14:paraId="2424B1E3"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770.1</w:t>
            </w:r>
          </w:p>
        </w:tc>
        <w:tc>
          <w:tcPr>
            <w:tcW w:w="70" w:type="pct"/>
            <w:tcBorders>
              <w:top w:val="nil"/>
              <w:left w:val="nil"/>
              <w:bottom w:val="nil"/>
              <w:right w:val="nil"/>
            </w:tcBorders>
            <w:shd w:val="clear" w:color="000000" w:fill="FFFFFF"/>
            <w:noWrap/>
            <w:vAlign w:val="center"/>
            <w:hideMark/>
          </w:tcPr>
          <w:p w14:paraId="2EC90B50"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65" w:type="pct"/>
            <w:tcBorders>
              <w:top w:val="nil"/>
              <w:left w:val="nil"/>
              <w:bottom w:val="nil"/>
              <w:right w:val="nil"/>
            </w:tcBorders>
            <w:shd w:val="clear" w:color="000000" w:fill="FFFFFF"/>
            <w:noWrap/>
            <w:vAlign w:val="center"/>
            <w:hideMark/>
          </w:tcPr>
          <w:p w14:paraId="71C3B83A"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812.1</w:t>
            </w:r>
          </w:p>
        </w:tc>
        <w:tc>
          <w:tcPr>
            <w:tcW w:w="465" w:type="pct"/>
            <w:tcBorders>
              <w:top w:val="nil"/>
              <w:left w:val="nil"/>
              <w:bottom w:val="nil"/>
              <w:right w:val="nil"/>
            </w:tcBorders>
            <w:shd w:val="clear" w:color="000000" w:fill="E6F2FF"/>
            <w:noWrap/>
            <w:vAlign w:val="center"/>
            <w:hideMark/>
          </w:tcPr>
          <w:p w14:paraId="7C7F83CD"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833.3</w:t>
            </w:r>
          </w:p>
        </w:tc>
        <w:tc>
          <w:tcPr>
            <w:tcW w:w="465" w:type="pct"/>
            <w:tcBorders>
              <w:top w:val="nil"/>
              <w:left w:val="nil"/>
              <w:bottom w:val="nil"/>
              <w:right w:val="nil"/>
            </w:tcBorders>
            <w:shd w:val="clear" w:color="000000" w:fill="FFFFFF"/>
            <w:noWrap/>
            <w:vAlign w:val="center"/>
            <w:hideMark/>
          </w:tcPr>
          <w:p w14:paraId="42F03DB1"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863.7</w:t>
            </w:r>
          </w:p>
        </w:tc>
        <w:tc>
          <w:tcPr>
            <w:tcW w:w="465" w:type="pct"/>
            <w:tcBorders>
              <w:top w:val="nil"/>
              <w:left w:val="nil"/>
              <w:bottom w:val="nil"/>
              <w:right w:val="nil"/>
            </w:tcBorders>
            <w:shd w:val="clear" w:color="000000" w:fill="FFFFFF"/>
            <w:noWrap/>
            <w:vAlign w:val="center"/>
            <w:hideMark/>
          </w:tcPr>
          <w:p w14:paraId="157B90A3"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896.1</w:t>
            </w:r>
          </w:p>
        </w:tc>
        <w:tc>
          <w:tcPr>
            <w:tcW w:w="465" w:type="pct"/>
            <w:tcBorders>
              <w:top w:val="nil"/>
              <w:left w:val="nil"/>
              <w:bottom w:val="nil"/>
              <w:right w:val="nil"/>
            </w:tcBorders>
            <w:shd w:val="clear" w:color="000000" w:fill="FFFFFF"/>
            <w:noWrap/>
            <w:vAlign w:val="center"/>
            <w:hideMark/>
          </w:tcPr>
          <w:p w14:paraId="40686ED1"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933.7</w:t>
            </w:r>
          </w:p>
        </w:tc>
        <w:tc>
          <w:tcPr>
            <w:tcW w:w="70" w:type="pct"/>
            <w:tcBorders>
              <w:top w:val="nil"/>
              <w:left w:val="nil"/>
              <w:bottom w:val="nil"/>
              <w:right w:val="nil"/>
            </w:tcBorders>
            <w:shd w:val="clear" w:color="000000" w:fill="FFFFFF"/>
            <w:noWrap/>
            <w:vAlign w:val="center"/>
            <w:hideMark/>
          </w:tcPr>
          <w:p w14:paraId="01702B36"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3" w:type="pct"/>
            <w:tcBorders>
              <w:top w:val="nil"/>
              <w:left w:val="nil"/>
              <w:bottom w:val="nil"/>
              <w:right w:val="nil"/>
            </w:tcBorders>
            <w:shd w:val="clear" w:color="000000" w:fill="FFFFFF"/>
            <w:noWrap/>
            <w:vAlign w:val="center"/>
            <w:hideMark/>
          </w:tcPr>
          <w:p w14:paraId="47365D94" w14:textId="77777777" w:rsidR="004F4318" w:rsidRPr="00207DD5" w:rsidRDefault="004F4318" w:rsidP="004F4318">
            <w:pPr>
              <w:spacing w:before="0" w:after="0" w:line="240" w:lineRule="auto"/>
              <w:jc w:val="right"/>
              <w:rPr>
                <w:rFonts w:ascii="Arial" w:hAnsi="Arial" w:cs="Arial"/>
                <w:b/>
                <w:sz w:val="16"/>
                <w:szCs w:val="16"/>
              </w:rPr>
            </w:pPr>
            <w:r w:rsidRPr="00207DD5">
              <w:rPr>
                <w:rFonts w:ascii="Arial" w:hAnsi="Arial" w:cs="Arial"/>
                <w:b/>
                <w:sz w:val="16"/>
                <w:szCs w:val="16"/>
              </w:rPr>
              <w:t>4,338.8</w:t>
            </w:r>
          </w:p>
        </w:tc>
      </w:tr>
      <w:tr w:rsidR="004F4318" w14:paraId="26BCAE4D" w14:textId="77777777" w:rsidTr="00F56B58">
        <w:trPr>
          <w:trHeight w:hRule="exact" w:val="225"/>
        </w:trPr>
        <w:tc>
          <w:tcPr>
            <w:tcW w:w="1590" w:type="pct"/>
            <w:tcBorders>
              <w:top w:val="nil"/>
              <w:left w:val="nil"/>
              <w:bottom w:val="nil"/>
              <w:right w:val="nil"/>
            </w:tcBorders>
            <w:shd w:val="clear" w:color="000000" w:fill="FFFFFF"/>
            <w:noWrap/>
            <w:vAlign w:val="center"/>
            <w:hideMark/>
          </w:tcPr>
          <w:p w14:paraId="1BDA8972"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Per cent of GDP</w:t>
            </w:r>
          </w:p>
        </w:tc>
        <w:tc>
          <w:tcPr>
            <w:tcW w:w="473" w:type="pct"/>
            <w:tcBorders>
              <w:top w:val="nil"/>
              <w:left w:val="nil"/>
              <w:bottom w:val="nil"/>
              <w:right w:val="nil"/>
            </w:tcBorders>
            <w:shd w:val="clear" w:color="000000" w:fill="FFFFFF"/>
            <w:noWrap/>
            <w:vAlign w:val="center"/>
            <w:hideMark/>
          </w:tcPr>
          <w:p w14:paraId="29D7886C"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27.7</w:t>
            </w:r>
          </w:p>
        </w:tc>
        <w:tc>
          <w:tcPr>
            <w:tcW w:w="70" w:type="pct"/>
            <w:tcBorders>
              <w:top w:val="nil"/>
              <w:left w:val="nil"/>
              <w:bottom w:val="nil"/>
              <w:right w:val="nil"/>
            </w:tcBorders>
            <w:shd w:val="clear" w:color="000000" w:fill="FFFFFF"/>
            <w:noWrap/>
            <w:vAlign w:val="center"/>
            <w:hideMark/>
          </w:tcPr>
          <w:p w14:paraId="4C995EF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32DC16D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27.4</w:t>
            </w:r>
          </w:p>
        </w:tc>
        <w:tc>
          <w:tcPr>
            <w:tcW w:w="465" w:type="pct"/>
            <w:tcBorders>
              <w:top w:val="nil"/>
              <w:left w:val="nil"/>
              <w:bottom w:val="nil"/>
              <w:right w:val="nil"/>
            </w:tcBorders>
            <w:shd w:val="clear" w:color="000000" w:fill="E6F2FF"/>
            <w:noWrap/>
            <w:vAlign w:val="center"/>
            <w:hideMark/>
          </w:tcPr>
          <w:p w14:paraId="4066424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26.9</w:t>
            </w:r>
          </w:p>
        </w:tc>
        <w:tc>
          <w:tcPr>
            <w:tcW w:w="465" w:type="pct"/>
            <w:tcBorders>
              <w:top w:val="nil"/>
              <w:left w:val="nil"/>
              <w:bottom w:val="nil"/>
              <w:right w:val="nil"/>
            </w:tcBorders>
            <w:shd w:val="clear" w:color="000000" w:fill="FFFFFF"/>
            <w:noWrap/>
            <w:vAlign w:val="center"/>
            <w:hideMark/>
          </w:tcPr>
          <w:p w14:paraId="2E0877E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27.1</w:t>
            </w:r>
          </w:p>
        </w:tc>
        <w:tc>
          <w:tcPr>
            <w:tcW w:w="465" w:type="pct"/>
            <w:tcBorders>
              <w:top w:val="nil"/>
              <w:left w:val="nil"/>
              <w:bottom w:val="nil"/>
              <w:right w:val="nil"/>
            </w:tcBorders>
            <w:shd w:val="clear" w:color="000000" w:fill="FFFFFF"/>
            <w:noWrap/>
            <w:vAlign w:val="center"/>
            <w:hideMark/>
          </w:tcPr>
          <w:p w14:paraId="15ECACE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26.9</w:t>
            </w:r>
          </w:p>
        </w:tc>
        <w:tc>
          <w:tcPr>
            <w:tcW w:w="465" w:type="pct"/>
            <w:tcBorders>
              <w:top w:val="nil"/>
              <w:left w:val="nil"/>
              <w:bottom w:val="nil"/>
              <w:right w:val="nil"/>
            </w:tcBorders>
            <w:shd w:val="clear" w:color="000000" w:fill="FFFFFF"/>
            <w:noWrap/>
            <w:vAlign w:val="center"/>
            <w:hideMark/>
          </w:tcPr>
          <w:p w14:paraId="33B2583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26.6</w:t>
            </w:r>
          </w:p>
        </w:tc>
        <w:tc>
          <w:tcPr>
            <w:tcW w:w="70" w:type="pct"/>
            <w:tcBorders>
              <w:top w:val="nil"/>
              <w:left w:val="nil"/>
              <w:bottom w:val="nil"/>
              <w:right w:val="nil"/>
            </w:tcBorders>
            <w:shd w:val="clear" w:color="000000" w:fill="FFFFFF"/>
            <w:noWrap/>
            <w:vAlign w:val="center"/>
            <w:hideMark/>
          </w:tcPr>
          <w:p w14:paraId="5BEFDDB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nil"/>
              <w:left w:val="nil"/>
              <w:bottom w:val="nil"/>
              <w:right w:val="nil"/>
            </w:tcBorders>
            <w:shd w:val="clear" w:color="000000" w:fill="FFFFFF"/>
            <w:noWrap/>
            <w:vAlign w:val="center"/>
            <w:hideMark/>
          </w:tcPr>
          <w:p w14:paraId="1C19D993"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4CE2900D" w14:textId="77777777" w:rsidTr="00F56B58">
        <w:trPr>
          <w:trHeight w:hRule="exact" w:val="60"/>
        </w:trPr>
        <w:tc>
          <w:tcPr>
            <w:tcW w:w="1590" w:type="pct"/>
            <w:tcBorders>
              <w:top w:val="nil"/>
              <w:left w:val="nil"/>
              <w:bottom w:val="nil"/>
              <w:right w:val="nil"/>
            </w:tcBorders>
            <w:shd w:val="clear" w:color="000000" w:fill="FFFFFF"/>
            <w:noWrap/>
            <w:vAlign w:val="center"/>
            <w:hideMark/>
          </w:tcPr>
          <w:p w14:paraId="2F7787E8"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nil"/>
              <w:left w:val="nil"/>
              <w:bottom w:val="nil"/>
              <w:right w:val="nil"/>
            </w:tcBorders>
            <w:shd w:val="clear" w:color="000000" w:fill="FFFFFF"/>
            <w:noWrap/>
            <w:vAlign w:val="center"/>
            <w:hideMark/>
          </w:tcPr>
          <w:p w14:paraId="17A5912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45BE055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25DEDC3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E6F2FF"/>
            <w:noWrap/>
            <w:vAlign w:val="center"/>
            <w:hideMark/>
          </w:tcPr>
          <w:p w14:paraId="71B2805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67F1A3E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3C2AA8B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4B976AB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0AE5E07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nil"/>
              <w:left w:val="nil"/>
              <w:bottom w:val="nil"/>
              <w:right w:val="nil"/>
            </w:tcBorders>
            <w:shd w:val="clear" w:color="000000" w:fill="FFFFFF"/>
            <w:noWrap/>
            <w:vAlign w:val="center"/>
            <w:hideMark/>
          </w:tcPr>
          <w:p w14:paraId="2FE059D2"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64918866" w14:textId="77777777" w:rsidTr="00F56B58">
        <w:trPr>
          <w:trHeight w:hRule="exact" w:val="225"/>
        </w:trPr>
        <w:tc>
          <w:tcPr>
            <w:tcW w:w="1590" w:type="pct"/>
            <w:tcBorders>
              <w:top w:val="nil"/>
              <w:left w:val="nil"/>
              <w:bottom w:val="nil"/>
              <w:right w:val="nil"/>
            </w:tcBorders>
            <w:shd w:val="clear" w:color="000000" w:fill="FFFFFF"/>
            <w:noWrap/>
            <w:vAlign w:val="center"/>
            <w:hideMark/>
          </w:tcPr>
          <w:p w14:paraId="2ABD167E"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Net operating balance</w:t>
            </w:r>
          </w:p>
        </w:tc>
        <w:tc>
          <w:tcPr>
            <w:tcW w:w="473" w:type="pct"/>
            <w:tcBorders>
              <w:top w:val="nil"/>
              <w:left w:val="nil"/>
              <w:bottom w:val="nil"/>
              <w:right w:val="nil"/>
            </w:tcBorders>
            <w:shd w:val="clear" w:color="000000" w:fill="FFFFFF"/>
            <w:noWrap/>
            <w:vAlign w:val="center"/>
            <w:hideMark/>
          </w:tcPr>
          <w:p w14:paraId="3314BC76"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-37.1</w:t>
            </w:r>
          </w:p>
        </w:tc>
        <w:tc>
          <w:tcPr>
            <w:tcW w:w="70" w:type="pct"/>
            <w:tcBorders>
              <w:top w:val="nil"/>
              <w:left w:val="nil"/>
              <w:bottom w:val="nil"/>
              <w:right w:val="nil"/>
            </w:tcBorders>
            <w:shd w:val="clear" w:color="000000" w:fill="FFFFFF"/>
            <w:noWrap/>
            <w:vAlign w:val="center"/>
            <w:hideMark/>
          </w:tcPr>
          <w:p w14:paraId="3D8EC8CB"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65" w:type="pct"/>
            <w:tcBorders>
              <w:top w:val="nil"/>
              <w:left w:val="nil"/>
              <w:bottom w:val="nil"/>
              <w:right w:val="nil"/>
            </w:tcBorders>
            <w:shd w:val="clear" w:color="000000" w:fill="FFFFFF"/>
            <w:noWrap/>
            <w:vAlign w:val="center"/>
            <w:hideMark/>
          </w:tcPr>
          <w:p w14:paraId="29B9E9FE"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-39.0</w:t>
            </w:r>
          </w:p>
        </w:tc>
        <w:tc>
          <w:tcPr>
            <w:tcW w:w="465" w:type="pct"/>
            <w:tcBorders>
              <w:top w:val="nil"/>
              <w:left w:val="nil"/>
              <w:bottom w:val="nil"/>
              <w:right w:val="nil"/>
            </w:tcBorders>
            <w:shd w:val="clear" w:color="000000" w:fill="E6F2FF"/>
            <w:noWrap/>
            <w:vAlign w:val="center"/>
            <w:hideMark/>
          </w:tcPr>
          <w:p w14:paraId="5C526B5F"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-17.9</w:t>
            </w:r>
          </w:p>
        </w:tc>
        <w:tc>
          <w:tcPr>
            <w:tcW w:w="465" w:type="pct"/>
            <w:tcBorders>
              <w:top w:val="nil"/>
              <w:left w:val="nil"/>
              <w:bottom w:val="nil"/>
              <w:right w:val="nil"/>
            </w:tcBorders>
            <w:shd w:val="clear" w:color="000000" w:fill="FFFFFF"/>
            <w:noWrap/>
            <w:vAlign w:val="center"/>
            <w:hideMark/>
          </w:tcPr>
          <w:p w14:paraId="60EDFAE5"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-27.4</w:t>
            </w:r>
          </w:p>
        </w:tc>
        <w:tc>
          <w:tcPr>
            <w:tcW w:w="465" w:type="pct"/>
            <w:tcBorders>
              <w:top w:val="nil"/>
              <w:left w:val="nil"/>
              <w:bottom w:val="nil"/>
              <w:right w:val="nil"/>
            </w:tcBorders>
            <w:shd w:val="clear" w:color="000000" w:fill="FFFFFF"/>
            <w:noWrap/>
            <w:vAlign w:val="center"/>
            <w:hideMark/>
          </w:tcPr>
          <w:p w14:paraId="24BF05CD"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-32.6</w:t>
            </w:r>
          </w:p>
        </w:tc>
        <w:tc>
          <w:tcPr>
            <w:tcW w:w="465" w:type="pct"/>
            <w:tcBorders>
              <w:top w:val="nil"/>
              <w:left w:val="nil"/>
              <w:bottom w:val="nil"/>
              <w:right w:val="nil"/>
            </w:tcBorders>
            <w:shd w:val="clear" w:color="000000" w:fill="FFFFFF"/>
            <w:noWrap/>
            <w:vAlign w:val="center"/>
            <w:hideMark/>
          </w:tcPr>
          <w:p w14:paraId="4F4E3E72"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-23.6</w:t>
            </w:r>
          </w:p>
        </w:tc>
        <w:tc>
          <w:tcPr>
            <w:tcW w:w="70" w:type="pct"/>
            <w:tcBorders>
              <w:top w:val="nil"/>
              <w:left w:val="nil"/>
              <w:bottom w:val="nil"/>
              <w:right w:val="nil"/>
            </w:tcBorders>
            <w:shd w:val="clear" w:color="000000" w:fill="FFFFFF"/>
            <w:noWrap/>
            <w:vAlign w:val="center"/>
            <w:hideMark/>
          </w:tcPr>
          <w:p w14:paraId="07BE855E"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3" w:type="pct"/>
            <w:tcBorders>
              <w:top w:val="nil"/>
              <w:left w:val="nil"/>
              <w:bottom w:val="nil"/>
              <w:right w:val="nil"/>
            </w:tcBorders>
            <w:shd w:val="clear" w:color="000000" w:fill="FFFFFF"/>
            <w:noWrap/>
            <w:vAlign w:val="center"/>
            <w:hideMark/>
          </w:tcPr>
          <w:p w14:paraId="330F147B" w14:textId="77777777" w:rsidR="004F4318" w:rsidRPr="00207DD5" w:rsidRDefault="004F4318" w:rsidP="004F4318">
            <w:pPr>
              <w:spacing w:before="0" w:after="0" w:line="240" w:lineRule="auto"/>
              <w:jc w:val="right"/>
              <w:rPr>
                <w:rFonts w:ascii="Arial" w:hAnsi="Arial" w:cs="Arial"/>
                <w:b/>
                <w:sz w:val="16"/>
                <w:szCs w:val="16"/>
              </w:rPr>
            </w:pPr>
            <w:r w:rsidRPr="00207DD5">
              <w:rPr>
                <w:rFonts w:ascii="Arial" w:hAnsi="Arial" w:cs="Arial"/>
                <w:b/>
                <w:sz w:val="16"/>
                <w:szCs w:val="16"/>
              </w:rPr>
              <w:t>-140.5</w:t>
            </w:r>
          </w:p>
        </w:tc>
      </w:tr>
      <w:tr w:rsidR="004F4318" w14:paraId="62BB7C44" w14:textId="77777777" w:rsidTr="00F56B58">
        <w:trPr>
          <w:trHeight w:hRule="exact" w:val="225"/>
        </w:trPr>
        <w:tc>
          <w:tcPr>
            <w:tcW w:w="1590" w:type="pct"/>
            <w:tcBorders>
              <w:top w:val="nil"/>
              <w:left w:val="nil"/>
              <w:bottom w:val="nil"/>
              <w:right w:val="nil"/>
            </w:tcBorders>
            <w:shd w:val="clear" w:color="000000" w:fill="FFFFFF"/>
            <w:noWrap/>
            <w:vAlign w:val="center"/>
            <w:hideMark/>
          </w:tcPr>
          <w:p w14:paraId="3E2AA977"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Per cent of GDP</w:t>
            </w:r>
          </w:p>
        </w:tc>
        <w:tc>
          <w:tcPr>
            <w:tcW w:w="473" w:type="pct"/>
            <w:tcBorders>
              <w:top w:val="nil"/>
              <w:left w:val="nil"/>
              <w:bottom w:val="nil"/>
              <w:right w:val="nil"/>
            </w:tcBorders>
            <w:shd w:val="clear" w:color="000000" w:fill="FFFFFF"/>
            <w:noWrap/>
            <w:vAlign w:val="center"/>
            <w:hideMark/>
          </w:tcPr>
          <w:p w14:paraId="05B4101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-1.3</w:t>
            </w:r>
          </w:p>
        </w:tc>
        <w:tc>
          <w:tcPr>
            <w:tcW w:w="70" w:type="pct"/>
            <w:tcBorders>
              <w:top w:val="nil"/>
              <w:left w:val="nil"/>
              <w:bottom w:val="nil"/>
              <w:right w:val="nil"/>
            </w:tcBorders>
            <w:shd w:val="clear" w:color="000000" w:fill="FFFFFF"/>
            <w:noWrap/>
            <w:vAlign w:val="center"/>
            <w:hideMark/>
          </w:tcPr>
          <w:p w14:paraId="67DA6F1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41E3ACC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-1.3</w:t>
            </w:r>
          </w:p>
        </w:tc>
        <w:tc>
          <w:tcPr>
            <w:tcW w:w="465" w:type="pct"/>
            <w:tcBorders>
              <w:top w:val="nil"/>
              <w:left w:val="nil"/>
              <w:bottom w:val="nil"/>
              <w:right w:val="nil"/>
            </w:tcBorders>
            <w:shd w:val="clear" w:color="000000" w:fill="E6F2FF"/>
            <w:noWrap/>
            <w:vAlign w:val="center"/>
            <w:hideMark/>
          </w:tcPr>
          <w:p w14:paraId="5669153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-0.6</w:t>
            </w:r>
          </w:p>
        </w:tc>
        <w:tc>
          <w:tcPr>
            <w:tcW w:w="465" w:type="pct"/>
            <w:tcBorders>
              <w:top w:val="nil"/>
              <w:left w:val="nil"/>
              <w:bottom w:val="nil"/>
              <w:right w:val="nil"/>
            </w:tcBorders>
            <w:shd w:val="clear" w:color="000000" w:fill="FFFFFF"/>
            <w:noWrap/>
            <w:vAlign w:val="center"/>
            <w:hideMark/>
          </w:tcPr>
          <w:p w14:paraId="185F58D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-0.9</w:t>
            </w:r>
          </w:p>
        </w:tc>
        <w:tc>
          <w:tcPr>
            <w:tcW w:w="465" w:type="pct"/>
            <w:tcBorders>
              <w:top w:val="nil"/>
              <w:left w:val="nil"/>
              <w:bottom w:val="nil"/>
              <w:right w:val="nil"/>
            </w:tcBorders>
            <w:shd w:val="clear" w:color="000000" w:fill="FFFFFF"/>
            <w:noWrap/>
            <w:vAlign w:val="center"/>
            <w:hideMark/>
          </w:tcPr>
          <w:p w14:paraId="1CDFE7A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w:t>
            </w:r>
          </w:p>
        </w:tc>
        <w:tc>
          <w:tcPr>
            <w:tcW w:w="465" w:type="pct"/>
            <w:tcBorders>
              <w:top w:val="nil"/>
              <w:left w:val="nil"/>
              <w:bottom w:val="nil"/>
              <w:right w:val="nil"/>
            </w:tcBorders>
            <w:shd w:val="clear" w:color="000000" w:fill="FFFFFF"/>
            <w:noWrap/>
            <w:vAlign w:val="center"/>
            <w:hideMark/>
          </w:tcPr>
          <w:p w14:paraId="54C5D5D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-0.7</w:t>
            </w:r>
          </w:p>
        </w:tc>
        <w:tc>
          <w:tcPr>
            <w:tcW w:w="70" w:type="pct"/>
            <w:tcBorders>
              <w:top w:val="nil"/>
              <w:left w:val="nil"/>
              <w:bottom w:val="nil"/>
              <w:right w:val="nil"/>
            </w:tcBorders>
            <w:shd w:val="clear" w:color="000000" w:fill="FFFFFF"/>
            <w:noWrap/>
            <w:vAlign w:val="center"/>
            <w:hideMark/>
          </w:tcPr>
          <w:p w14:paraId="44A893F5"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3" w:type="pct"/>
            <w:tcBorders>
              <w:top w:val="nil"/>
              <w:left w:val="nil"/>
              <w:bottom w:val="nil"/>
              <w:right w:val="nil"/>
            </w:tcBorders>
            <w:shd w:val="clear" w:color="000000" w:fill="FFFFFF"/>
            <w:noWrap/>
            <w:vAlign w:val="center"/>
            <w:hideMark/>
          </w:tcPr>
          <w:p w14:paraId="12410076" w14:textId="77777777" w:rsidR="004F4318" w:rsidRPr="00207DD5" w:rsidRDefault="004F4318" w:rsidP="004F4318">
            <w:pPr>
              <w:spacing w:before="0" w:after="0" w:line="240" w:lineRule="auto"/>
              <w:jc w:val="right"/>
              <w:rPr>
                <w:rFonts w:ascii="Arial" w:hAnsi="Arial" w:cs="Arial"/>
                <w:b/>
                <w:sz w:val="16"/>
                <w:szCs w:val="16"/>
              </w:rPr>
            </w:pPr>
            <w:r w:rsidRPr="00207DD5">
              <w:rPr>
                <w:rFonts w:ascii="Arial" w:hAnsi="Arial" w:cs="Arial"/>
                <w:b/>
                <w:sz w:val="16"/>
                <w:szCs w:val="16"/>
              </w:rPr>
              <w:t> </w:t>
            </w:r>
          </w:p>
        </w:tc>
      </w:tr>
      <w:tr w:rsidR="004F4318" w14:paraId="4E8B24FE" w14:textId="77777777" w:rsidTr="00F56B58">
        <w:trPr>
          <w:trHeight w:hRule="exact" w:val="60"/>
        </w:trPr>
        <w:tc>
          <w:tcPr>
            <w:tcW w:w="1590" w:type="pct"/>
            <w:tcBorders>
              <w:top w:val="nil"/>
              <w:left w:val="nil"/>
              <w:bottom w:val="nil"/>
              <w:right w:val="nil"/>
            </w:tcBorders>
            <w:shd w:val="clear" w:color="000000" w:fill="FFFFFF"/>
            <w:noWrap/>
            <w:vAlign w:val="center"/>
            <w:hideMark/>
          </w:tcPr>
          <w:p w14:paraId="4D9B2EE5"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nil"/>
              <w:left w:val="nil"/>
              <w:bottom w:val="nil"/>
              <w:right w:val="nil"/>
            </w:tcBorders>
            <w:shd w:val="clear" w:color="000000" w:fill="FFFFFF"/>
            <w:noWrap/>
            <w:vAlign w:val="center"/>
            <w:hideMark/>
          </w:tcPr>
          <w:p w14:paraId="5562DA23"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70" w:type="pct"/>
            <w:tcBorders>
              <w:top w:val="nil"/>
              <w:left w:val="nil"/>
              <w:bottom w:val="nil"/>
              <w:right w:val="nil"/>
            </w:tcBorders>
            <w:shd w:val="clear" w:color="000000" w:fill="FFFFFF"/>
            <w:noWrap/>
            <w:vAlign w:val="center"/>
            <w:hideMark/>
          </w:tcPr>
          <w:p w14:paraId="4C574D7A"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65" w:type="pct"/>
            <w:tcBorders>
              <w:top w:val="nil"/>
              <w:left w:val="nil"/>
              <w:bottom w:val="nil"/>
              <w:right w:val="nil"/>
            </w:tcBorders>
            <w:shd w:val="clear" w:color="000000" w:fill="FFFFFF"/>
            <w:noWrap/>
            <w:vAlign w:val="center"/>
            <w:hideMark/>
          </w:tcPr>
          <w:p w14:paraId="4C441637"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65" w:type="pct"/>
            <w:tcBorders>
              <w:top w:val="nil"/>
              <w:left w:val="nil"/>
              <w:bottom w:val="nil"/>
              <w:right w:val="nil"/>
            </w:tcBorders>
            <w:shd w:val="clear" w:color="000000" w:fill="E6F2FF"/>
            <w:noWrap/>
            <w:vAlign w:val="center"/>
            <w:hideMark/>
          </w:tcPr>
          <w:p w14:paraId="6B150E19"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65" w:type="pct"/>
            <w:tcBorders>
              <w:top w:val="nil"/>
              <w:left w:val="nil"/>
              <w:bottom w:val="nil"/>
              <w:right w:val="nil"/>
            </w:tcBorders>
            <w:shd w:val="clear" w:color="000000" w:fill="FFFFFF"/>
            <w:noWrap/>
            <w:vAlign w:val="center"/>
            <w:hideMark/>
          </w:tcPr>
          <w:p w14:paraId="21CAD849"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65" w:type="pct"/>
            <w:tcBorders>
              <w:top w:val="nil"/>
              <w:left w:val="nil"/>
              <w:bottom w:val="nil"/>
              <w:right w:val="nil"/>
            </w:tcBorders>
            <w:shd w:val="clear" w:color="000000" w:fill="FFFFFF"/>
            <w:noWrap/>
            <w:vAlign w:val="center"/>
            <w:hideMark/>
          </w:tcPr>
          <w:p w14:paraId="7DD81E17"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65" w:type="pct"/>
            <w:tcBorders>
              <w:top w:val="nil"/>
              <w:left w:val="nil"/>
              <w:bottom w:val="nil"/>
              <w:right w:val="nil"/>
            </w:tcBorders>
            <w:shd w:val="clear" w:color="000000" w:fill="FFFFFF"/>
            <w:noWrap/>
            <w:vAlign w:val="center"/>
            <w:hideMark/>
          </w:tcPr>
          <w:p w14:paraId="670753AF"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70" w:type="pct"/>
            <w:tcBorders>
              <w:top w:val="nil"/>
              <w:left w:val="nil"/>
              <w:bottom w:val="nil"/>
              <w:right w:val="nil"/>
            </w:tcBorders>
            <w:shd w:val="clear" w:color="000000" w:fill="FFFFFF"/>
            <w:noWrap/>
            <w:vAlign w:val="center"/>
            <w:hideMark/>
          </w:tcPr>
          <w:p w14:paraId="1F22602E"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3" w:type="pct"/>
            <w:tcBorders>
              <w:top w:val="nil"/>
              <w:left w:val="nil"/>
              <w:bottom w:val="nil"/>
              <w:right w:val="nil"/>
            </w:tcBorders>
            <w:shd w:val="clear" w:color="000000" w:fill="FFFFFF"/>
            <w:noWrap/>
            <w:vAlign w:val="center"/>
            <w:hideMark/>
          </w:tcPr>
          <w:p w14:paraId="04D08501" w14:textId="77777777" w:rsidR="004F4318" w:rsidRPr="00207DD5" w:rsidRDefault="004F4318" w:rsidP="004F4318">
            <w:pPr>
              <w:spacing w:before="0" w:after="0" w:line="240" w:lineRule="auto"/>
              <w:jc w:val="right"/>
              <w:rPr>
                <w:rFonts w:ascii="Arial" w:hAnsi="Arial" w:cs="Arial"/>
                <w:b/>
                <w:sz w:val="16"/>
                <w:szCs w:val="16"/>
              </w:rPr>
            </w:pPr>
            <w:r w:rsidRPr="00207DD5">
              <w:rPr>
                <w:rFonts w:ascii="Arial" w:hAnsi="Arial" w:cs="Arial"/>
                <w:b/>
                <w:sz w:val="16"/>
                <w:szCs w:val="16"/>
              </w:rPr>
              <w:t> </w:t>
            </w:r>
          </w:p>
        </w:tc>
      </w:tr>
      <w:tr w:rsidR="004F4318" w14:paraId="2175530A" w14:textId="77777777" w:rsidTr="00F56B58">
        <w:trPr>
          <w:trHeight w:hRule="exact" w:val="225"/>
        </w:trPr>
        <w:tc>
          <w:tcPr>
            <w:tcW w:w="1590" w:type="pct"/>
            <w:tcBorders>
              <w:top w:val="nil"/>
              <w:left w:val="nil"/>
              <w:bottom w:val="nil"/>
              <w:right w:val="nil"/>
            </w:tcBorders>
            <w:shd w:val="clear" w:color="000000" w:fill="FFFFFF"/>
            <w:noWrap/>
            <w:vAlign w:val="center"/>
            <w:hideMark/>
          </w:tcPr>
          <w:p w14:paraId="4B1715DD"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Net capital investment</w:t>
            </w:r>
          </w:p>
        </w:tc>
        <w:tc>
          <w:tcPr>
            <w:tcW w:w="473" w:type="pct"/>
            <w:tcBorders>
              <w:top w:val="nil"/>
              <w:left w:val="nil"/>
              <w:bottom w:val="nil"/>
              <w:right w:val="nil"/>
            </w:tcBorders>
            <w:shd w:val="clear" w:color="000000" w:fill="FFFFFF"/>
            <w:noWrap/>
            <w:vAlign w:val="center"/>
            <w:hideMark/>
          </w:tcPr>
          <w:p w14:paraId="4FAEA736"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7.7</w:t>
            </w:r>
          </w:p>
        </w:tc>
        <w:tc>
          <w:tcPr>
            <w:tcW w:w="70" w:type="pct"/>
            <w:tcBorders>
              <w:top w:val="nil"/>
              <w:left w:val="nil"/>
              <w:bottom w:val="nil"/>
              <w:right w:val="nil"/>
            </w:tcBorders>
            <w:shd w:val="clear" w:color="000000" w:fill="FFFFFF"/>
            <w:noWrap/>
            <w:vAlign w:val="center"/>
            <w:hideMark/>
          </w:tcPr>
          <w:p w14:paraId="7A5199FB"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65" w:type="pct"/>
            <w:tcBorders>
              <w:top w:val="nil"/>
              <w:left w:val="nil"/>
              <w:bottom w:val="nil"/>
              <w:right w:val="nil"/>
            </w:tcBorders>
            <w:shd w:val="clear" w:color="000000" w:fill="FFFFFF"/>
            <w:noWrap/>
            <w:vAlign w:val="center"/>
            <w:hideMark/>
          </w:tcPr>
          <w:p w14:paraId="278D2A72"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11.2</w:t>
            </w:r>
          </w:p>
        </w:tc>
        <w:tc>
          <w:tcPr>
            <w:tcW w:w="465" w:type="pct"/>
            <w:tcBorders>
              <w:top w:val="nil"/>
              <w:left w:val="nil"/>
              <w:bottom w:val="nil"/>
              <w:right w:val="nil"/>
            </w:tcBorders>
            <w:shd w:val="clear" w:color="000000" w:fill="E6F2FF"/>
            <w:noWrap/>
            <w:vAlign w:val="center"/>
            <w:hideMark/>
          </w:tcPr>
          <w:p w14:paraId="6DA21F6B"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12.0</w:t>
            </w:r>
          </w:p>
        </w:tc>
        <w:tc>
          <w:tcPr>
            <w:tcW w:w="465" w:type="pct"/>
            <w:tcBorders>
              <w:top w:val="nil"/>
              <w:left w:val="nil"/>
              <w:bottom w:val="nil"/>
              <w:right w:val="nil"/>
            </w:tcBorders>
            <w:shd w:val="clear" w:color="000000" w:fill="FFFFFF"/>
            <w:noWrap/>
            <w:vAlign w:val="center"/>
            <w:hideMark/>
          </w:tcPr>
          <w:p w14:paraId="7F9C3B10"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10.2</w:t>
            </w:r>
          </w:p>
        </w:tc>
        <w:tc>
          <w:tcPr>
            <w:tcW w:w="465" w:type="pct"/>
            <w:tcBorders>
              <w:top w:val="nil"/>
              <w:left w:val="nil"/>
              <w:bottom w:val="nil"/>
              <w:right w:val="nil"/>
            </w:tcBorders>
            <w:shd w:val="clear" w:color="000000" w:fill="FFFFFF"/>
            <w:noWrap/>
            <w:vAlign w:val="center"/>
            <w:hideMark/>
          </w:tcPr>
          <w:p w14:paraId="2792C3EF"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10.2</w:t>
            </w:r>
          </w:p>
        </w:tc>
        <w:tc>
          <w:tcPr>
            <w:tcW w:w="465" w:type="pct"/>
            <w:tcBorders>
              <w:top w:val="nil"/>
              <w:left w:val="nil"/>
              <w:bottom w:val="nil"/>
              <w:right w:val="nil"/>
            </w:tcBorders>
            <w:shd w:val="clear" w:color="000000" w:fill="FFFFFF"/>
            <w:noWrap/>
            <w:vAlign w:val="center"/>
            <w:hideMark/>
          </w:tcPr>
          <w:p w14:paraId="447369B0"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9.3</w:t>
            </w:r>
          </w:p>
        </w:tc>
        <w:tc>
          <w:tcPr>
            <w:tcW w:w="70" w:type="pct"/>
            <w:tcBorders>
              <w:top w:val="nil"/>
              <w:left w:val="nil"/>
              <w:bottom w:val="nil"/>
              <w:right w:val="nil"/>
            </w:tcBorders>
            <w:shd w:val="clear" w:color="000000" w:fill="FFFFFF"/>
            <w:noWrap/>
            <w:vAlign w:val="center"/>
            <w:hideMark/>
          </w:tcPr>
          <w:p w14:paraId="1AAA51D1"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3" w:type="pct"/>
            <w:tcBorders>
              <w:top w:val="nil"/>
              <w:left w:val="nil"/>
              <w:bottom w:val="nil"/>
              <w:right w:val="nil"/>
            </w:tcBorders>
            <w:shd w:val="clear" w:color="000000" w:fill="FFFFFF"/>
            <w:noWrap/>
            <w:vAlign w:val="center"/>
            <w:hideMark/>
          </w:tcPr>
          <w:p w14:paraId="13118057" w14:textId="77777777" w:rsidR="004F4318" w:rsidRPr="00207DD5" w:rsidRDefault="004F4318" w:rsidP="004F4318">
            <w:pPr>
              <w:spacing w:before="0" w:after="0" w:line="240" w:lineRule="auto"/>
              <w:jc w:val="right"/>
              <w:rPr>
                <w:rFonts w:ascii="Arial" w:hAnsi="Arial" w:cs="Arial"/>
                <w:b/>
                <w:sz w:val="16"/>
                <w:szCs w:val="16"/>
              </w:rPr>
            </w:pPr>
            <w:r w:rsidRPr="00207DD5">
              <w:rPr>
                <w:rFonts w:ascii="Arial" w:hAnsi="Arial" w:cs="Arial"/>
                <w:b/>
                <w:sz w:val="16"/>
                <w:szCs w:val="16"/>
              </w:rPr>
              <w:t>52.9</w:t>
            </w:r>
          </w:p>
        </w:tc>
      </w:tr>
      <w:tr w:rsidR="004F4318" w14:paraId="55553858" w14:textId="77777777" w:rsidTr="00F56B58">
        <w:trPr>
          <w:trHeight w:hRule="exact" w:val="225"/>
        </w:trPr>
        <w:tc>
          <w:tcPr>
            <w:tcW w:w="1590" w:type="pct"/>
            <w:tcBorders>
              <w:top w:val="nil"/>
              <w:left w:val="nil"/>
              <w:bottom w:val="nil"/>
              <w:right w:val="nil"/>
            </w:tcBorders>
            <w:shd w:val="clear" w:color="000000" w:fill="FFFFFF"/>
            <w:noWrap/>
            <w:vAlign w:val="center"/>
            <w:hideMark/>
          </w:tcPr>
          <w:p w14:paraId="2CFF5A69"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Per cent of GDP</w:t>
            </w:r>
          </w:p>
        </w:tc>
        <w:tc>
          <w:tcPr>
            <w:tcW w:w="473" w:type="pct"/>
            <w:tcBorders>
              <w:top w:val="nil"/>
              <w:left w:val="nil"/>
              <w:bottom w:val="nil"/>
              <w:right w:val="nil"/>
            </w:tcBorders>
            <w:shd w:val="clear" w:color="000000" w:fill="FFFFFF"/>
            <w:noWrap/>
            <w:vAlign w:val="center"/>
            <w:hideMark/>
          </w:tcPr>
          <w:p w14:paraId="5B3C355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0.3</w:t>
            </w:r>
          </w:p>
        </w:tc>
        <w:tc>
          <w:tcPr>
            <w:tcW w:w="70" w:type="pct"/>
            <w:tcBorders>
              <w:top w:val="nil"/>
              <w:left w:val="nil"/>
              <w:bottom w:val="nil"/>
              <w:right w:val="nil"/>
            </w:tcBorders>
            <w:shd w:val="clear" w:color="000000" w:fill="FFFFFF"/>
            <w:noWrap/>
            <w:vAlign w:val="center"/>
            <w:hideMark/>
          </w:tcPr>
          <w:p w14:paraId="2FD6A06C"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57D51EF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0.4</w:t>
            </w:r>
          </w:p>
        </w:tc>
        <w:tc>
          <w:tcPr>
            <w:tcW w:w="465" w:type="pct"/>
            <w:tcBorders>
              <w:top w:val="nil"/>
              <w:left w:val="nil"/>
              <w:bottom w:val="nil"/>
              <w:right w:val="nil"/>
            </w:tcBorders>
            <w:shd w:val="clear" w:color="000000" w:fill="E6F2FF"/>
            <w:noWrap/>
            <w:vAlign w:val="center"/>
            <w:hideMark/>
          </w:tcPr>
          <w:p w14:paraId="2611810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0.4</w:t>
            </w:r>
          </w:p>
        </w:tc>
        <w:tc>
          <w:tcPr>
            <w:tcW w:w="465" w:type="pct"/>
            <w:tcBorders>
              <w:top w:val="nil"/>
              <w:left w:val="nil"/>
              <w:bottom w:val="nil"/>
              <w:right w:val="nil"/>
            </w:tcBorders>
            <w:shd w:val="clear" w:color="000000" w:fill="FFFFFF"/>
            <w:noWrap/>
            <w:vAlign w:val="center"/>
            <w:hideMark/>
          </w:tcPr>
          <w:p w14:paraId="088FFC8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0.3</w:t>
            </w:r>
          </w:p>
        </w:tc>
        <w:tc>
          <w:tcPr>
            <w:tcW w:w="465" w:type="pct"/>
            <w:tcBorders>
              <w:top w:val="nil"/>
              <w:left w:val="nil"/>
              <w:bottom w:val="nil"/>
              <w:right w:val="nil"/>
            </w:tcBorders>
            <w:shd w:val="clear" w:color="000000" w:fill="FFFFFF"/>
            <w:noWrap/>
            <w:vAlign w:val="center"/>
            <w:hideMark/>
          </w:tcPr>
          <w:p w14:paraId="16D8959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0.3</w:t>
            </w:r>
          </w:p>
        </w:tc>
        <w:tc>
          <w:tcPr>
            <w:tcW w:w="465" w:type="pct"/>
            <w:tcBorders>
              <w:top w:val="nil"/>
              <w:left w:val="nil"/>
              <w:bottom w:val="nil"/>
              <w:right w:val="nil"/>
            </w:tcBorders>
            <w:shd w:val="clear" w:color="000000" w:fill="FFFFFF"/>
            <w:noWrap/>
            <w:vAlign w:val="center"/>
            <w:hideMark/>
          </w:tcPr>
          <w:p w14:paraId="0DEFE96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0.3</w:t>
            </w:r>
          </w:p>
        </w:tc>
        <w:tc>
          <w:tcPr>
            <w:tcW w:w="70" w:type="pct"/>
            <w:tcBorders>
              <w:top w:val="nil"/>
              <w:left w:val="nil"/>
              <w:bottom w:val="nil"/>
              <w:right w:val="nil"/>
            </w:tcBorders>
            <w:shd w:val="clear" w:color="000000" w:fill="FFFFFF"/>
            <w:noWrap/>
            <w:vAlign w:val="center"/>
            <w:hideMark/>
          </w:tcPr>
          <w:p w14:paraId="47D9A73A"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3" w:type="pct"/>
            <w:tcBorders>
              <w:top w:val="nil"/>
              <w:left w:val="nil"/>
              <w:bottom w:val="nil"/>
              <w:right w:val="nil"/>
            </w:tcBorders>
            <w:shd w:val="clear" w:color="000000" w:fill="FFFFFF"/>
            <w:noWrap/>
            <w:vAlign w:val="center"/>
            <w:hideMark/>
          </w:tcPr>
          <w:p w14:paraId="03F12641" w14:textId="77777777" w:rsidR="004F4318" w:rsidRPr="00207DD5" w:rsidRDefault="004F4318" w:rsidP="004F4318">
            <w:pPr>
              <w:spacing w:before="0" w:after="0" w:line="240" w:lineRule="auto"/>
              <w:jc w:val="right"/>
              <w:rPr>
                <w:rFonts w:ascii="Arial" w:hAnsi="Arial" w:cs="Arial"/>
                <w:b/>
                <w:sz w:val="16"/>
                <w:szCs w:val="16"/>
              </w:rPr>
            </w:pPr>
            <w:r w:rsidRPr="00207DD5">
              <w:rPr>
                <w:rFonts w:ascii="Arial" w:hAnsi="Arial" w:cs="Arial"/>
                <w:b/>
                <w:sz w:val="16"/>
                <w:szCs w:val="16"/>
              </w:rPr>
              <w:t> </w:t>
            </w:r>
          </w:p>
        </w:tc>
      </w:tr>
      <w:tr w:rsidR="004F4318" w14:paraId="24E98A04" w14:textId="77777777" w:rsidTr="00F56B58">
        <w:trPr>
          <w:trHeight w:hRule="exact" w:val="60"/>
        </w:trPr>
        <w:tc>
          <w:tcPr>
            <w:tcW w:w="1590" w:type="pct"/>
            <w:tcBorders>
              <w:top w:val="nil"/>
              <w:left w:val="nil"/>
              <w:bottom w:val="nil"/>
              <w:right w:val="nil"/>
            </w:tcBorders>
            <w:shd w:val="clear" w:color="000000" w:fill="FFFFFF"/>
            <w:noWrap/>
            <w:vAlign w:val="center"/>
            <w:hideMark/>
          </w:tcPr>
          <w:p w14:paraId="415F72AB"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nil"/>
              <w:left w:val="nil"/>
              <w:bottom w:val="nil"/>
              <w:right w:val="nil"/>
            </w:tcBorders>
            <w:shd w:val="clear" w:color="000000" w:fill="FFFFFF"/>
            <w:noWrap/>
            <w:vAlign w:val="center"/>
            <w:hideMark/>
          </w:tcPr>
          <w:p w14:paraId="05BED6C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05423CC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59235A4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E6F2FF"/>
            <w:noWrap/>
            <w:vAlign w:val="center"/>
            <w:hideMark/>
          </w:tcPr>
          <w:p w14:paraId="3C4ABBB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1A10539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7F63A83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nil"/>
              <w:right w:val="nil"/>
            </w:tcBorders>
            <w:shd w:val="clear" w:color="000000" w:fill="FFFFFF"/>
            <w:noWrap/>
            <w:vAlign w:val="center"/>
            <w:hideMark/>
          </w:tcPr>
          <w:p w14:paraId="2D39101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14:paraId="012AE83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nil"/>
              <w:left w:val="nil"/>
              <w:bottom w:val="nil"/>
              <w:right w:val="nil"/>
            </w:tcBorders>
            <w:shd w:val="clear" w:color="000000" w:fill="FFFFFF"/>
            <w:noWrap/>
            <w:vAlign w:val="center"/>
            <w:hideMark/>
          </w:tcPr>
          <w:p w14:paraId="661A9596"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1143A526" w14:textId="77777777" w:rsidTr="00F56B58">
        <w:trPr>
          <w:trHeight w:hRule="exact" w:val="225"/>
        </w:trPr>
        <w:tc>
          <w:tcPr>
            <w:tcW w:w="1590" w:type="pct"/>
            <w:tcBorders>
              <w:top w:val="nil"/>
              <w:left w:val="nil"/>
              <w:bottom w:val="nil"/>
              <w:right w:val="nil"/>
            </w:tcBorders>
            <w:shd w:val="clear" w:color="000000" w:fill="FFFFFF"/>
            <w:noWrap/>
            <w:vAlign w:val="center"/>
            <w:hideMark/>
          </w:tcPr>
          <w:p w14:paraId="2E607752"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Fiscal balance</w:t>
            </w:r>
          </w:p>
        </w:tc>
        <w:tc>
          <w:tcPr>
            <w:tcW w:w="473" w:type="pct"/>
            <w:tcBorders>
              <w:top w:val="nil"/>
              <w:left w:val="nil"/>
              <w:bottom w:val="nil"/>
              <w:right w:val="nil"/>
            </w:tcBorders>
            <w:shd w:val="clear" w:color="000000" w:fill="FFFFFF"/>
            <w:noWrap/>
            <w:vAlign w:val="center"/>
            <w:hideMark/>
          </w:tcPr>
          <w:p w14:paraId="45CE63A6"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-44.8</w:t>
            </w:r>
          </w:p>
        </w:tc>
        <w:tc>
          <w:tcPr>
            <w:tcW w:w="70" w:type="pct"/>
            <w:tcBorders>
              <w:top w:val="nil"/>
              <w:left w:val="nil"/>
              <w:bottom w:val="nil"/>
              <w:right w:val="nil"/>
            </w:tcBorders>
            <w:shd w:val="clear" w:color="000000" w:fill="FFFFFF"/>
            <w:noWrap/>
            <w:vAlign w:val="center"/>
            <w:hideMark/>
          </w:tcPr>
          <w:p w14:paraId="19D1AF7F"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65" w:type="pct"/>
            <w:tcBorders>
              <w:top w:val="nil"/>
              <w:left w:val="nil"/>
              <w:bottom w:val="nil"/>
              <w:right w:val="nil"/>
            </w:tcBorders>
            <w:shd w:val="clear" w:color="000000" w:fill="FFFFFF"/>
            <w:noWrap/>
            <w:vAlign w:val="center"/>
            <w:hideMark/>
          </w:tcPr>
          <w:p w14:paraId="1C466CF6"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-50.1</w:t>
            </w:r>
          </w:p>
        </w:tc>
        <w:tc>
          <w:tcPr>
            <w:tcW w:w="465" w:type="pct"/>
            <w:tcBorders>
              <w:top w:val="nil"/>
              <w:left w:val="nil"/>
              <w:bottom w:val="nil"/>
              <w:right w:val="nil"/>
            </w:tcBorders>
            <w:shd w:val="clear" w:color="000000" w:fill="E6F2FF"/>
            <w:noWrap/>
            <w:vAlign w:val="center"/>
            <w:hideMark/>
          </w:tcPr>
          <w:p w14:paraId="54CEDA54"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-29.9</w:t>
            </w:r>
          </w:p>
        </w:tc>
        <w:tc>
          <w:tcPr>
            <w:tcW w:w="465" w:type="pct"/>
            <w:tcBorders>
              <w:top w:val="nil"/>
              <w:left w:val="nil"/>
              <w:bottom w:val="nil"/>
              <w:right w:val="nil"/>
            </w:tcBorders>
            <w:shd w:val="clear" w:color="000000" w:fill="FFFFFF"/>
            <w:noWrap/>
            <w:vAlign w:val="center"/>
            <w:hideMark/>
          </w:tcPr>
          <w:p w14:paraId="1E9AB4DD"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-37.6</w:t>
            </w:r>
          </w:p>
        </w:tc>
        <w:tc>
          <w:tcPr>
            <w:tcW w:w="465" w:type="pct"/>
            <w:tcBorders>
              <w:top w:val="nil"/>
              <w:left w:val="nil"/>
              <w:bottom w:val="nil"/>
              <w:right w:val="nil"/>
            </w:tcBorders>
            <w:shd w:val="clear" w:color="000000" w:fill="FFFFFF"/>
            <w:noWrap/>
            <w:vAlign w:val="center"/>
            <w:hideMark/>
          </w:tcPr>
          <w:p w14:paraId="30194ECA"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-42.8</w:t>
            </w:r>
          </w:p>
        </w:tc>
        <w:tc>
          <w:tcPr>
            <w:tcW w:w="465" w:type="pct"/>
            <w:tcBorders>
              <w:top w:val="nil"/>
              <w:left w:val="nil"/>
              <w:bottom w:val="nil"/>
              <w:right w:val="nil"/>
            </w:tcBorders>
            <w:shd w:val="clear" w:color="000000" w:fill="FFFFFF"/>
            <w:noWrap/>
            <w:vAlign w:val="center"/>
            <w:hideMark/>
          </w:tcPr>
          <w:p w14:paraId="55F06051"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-32.9</w:t>
            </w:r>
          </w:p>
        </w:tc>
        <w:tc>
          <w:tcPr>
            <w:tcW w:w="70" w:type="pct"/>
            <w:tcBorders>
              <w:top w:val="nil"/>
              <w:left w:val="nil"/>
              <w:bottom w:val="nil"/>
              <w:right w:val="nil"/>
            </w:tcBorders>
            <w:shd w:val="clear" w:color="000000" w:fill="FFFFFF"/>
            <w:noWrap/>
            <w:vAlign w:val="center"/>
            <w:hideMark/>
          </w:tcPr>
          <w:p w14:paraId="01ABE177"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473" w:type="pct"/>
            <w:tcBorders>
              <w:top w:val="nil"/>
              <w:left w:val="nil"/>
              <w:bottom w:val="nil"/>
              <w:right w:val="nil"/>
            </w:tcBorders>
            <w:shd w:val="clear" w:color="000000" w:fill="FFFFFF"/>
            <w:noWrap/>
            <w:vAlign w:val="center"/>
            <w:hideMark/>
          </w:tcPr>
          <w:p w14:paraId="39F54422" w14:textId="77777777" w:rsidR="004F4318" w:rsidRPr="00207DD5" w:rsidRDefault="004F4318" w:rsidP="004F4318">
            <w:pPr>
              <w:spacing w:before="0" w:after="0" w:line="240" w:lineRule="auto"/>
              <w:jc w:val="right"/>
              <w:rPr>
                <w:rFonts w:ascii="Arial" w:hAnsi="Arial" w:cs="Arial"/>
                <w:b/>
                <w:sz w:val="16"/>
                <w:szCs w:val="16"/>
              </w:rPr>
            </w:pPr>
            <w:r w:rsidRPr="00207DD5">
              <w:rPr>
                <w:rFonts w:ascii="Arial" w:hAnsi="Arial" w:cs="Arial"/>
                <w:b/>
                <w:sz w:val="16"/>
                <w:szCs w:val="16"/>
              </w:rPr>
              <w:t>-193.3</w:t>
            </w:r>
          </w:p>
        </w:tc>
      </w:tr>
      <w:tr w:rsidR="004F4318" w14:paraId="44DC4461" w14:textId="77777777" w:rsidTr="00F56B58">
        <w:trPr>
          <w:trHeight w:hRule="exact" w:val="225"/>
        </w:trPr>
        <w:tc>
          <w:tcPr>
            <w:tcW w:w="1590" w:type="pct"/>
            <w:tcBorders>
              <w:top w:val="nil"/>
              <w:left w:val="nil"/>
              <w:bottom w:val="single" w:sz="4" w:space="0" w:color="293F5B"/>
              <w:right w:val="nil"/>
            </w:tcBorders>
            <w:shd w:val="clear" w:color="000000" w:fill="FFFFFF"/>
            <w:noWrap/>
            <w:vAlign w:val="center"/>
            <w:hideMark/>
          </w:tcPr>
          <w:p w14:paraId="6B235049"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Per cent of GDP</w:t>
            </w:r>
          </w:p>
        </w:tc>
        <w:tc>
          <w:tcPr>
            <w:tcW w:w="473" w:type="pct"/>
            <w:tcBorders>
              <w:top w:val="nil"/>
              <w:left w:val="nil"/>
              <w:bottom w:val="single" w:sz="4" w:space="0" w:color="293F5B"/>
              <w:right w:val="nil"/>
            </w:tcBorders>
            <w:shd w:val="clear" w:color="000000" w:fill="FFFFFF"/>
            <w:noWrap/>
            <w:vAlign w:val="center"/>
            <w:hideMark/>
          </w:tcPr>
          <w:p w14:paraId="44CBE42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-1.6</w:t>
            </w:r>
          </w:p>
        </w:tc>
        <w:tc>
          <w:tcPr>
            <w:tcW w:w="70" w:type="pct"/>
            <w:tcBorders>
              <w:top w:val="nil"/>
              <w:left w:val="nil"/>
              <w:bottom w:val="single" w:sz="4" w:space="0" w:color="293F5B"/>
              <w:right w:val="nil"/>
            </w:tcBorders>
            <w:shd w:val="clear" w:color="000000" w:fill="FFFFFF"/>
            <w:noWrap/>
            <w:vAlign w:val="center"/>
            <w:hideMark/>
          </w:tcPr>
          <w:p w14:paraId="5CFD5C4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65" w:type="pct"/>
            <w:tcBorders>
              <w:top w:val="nil"/>
              <w:left w:val="nil"/>
              <w:bottom w:val="single" w:sz="4" w:space="0" w:color="293F5B"/>
              <w:right w:val="nil"/>
            </w:tcBorders>
            <w:shd w:val="clear" w:color="000000" w:fill="FFFFFF"/>
            <w:noWrap/>
            <w:vAlign w:val="center"/>
            <w:hideMark/>
          </w:tcPr>
          <w:p w14:paraId="7ECADA8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-1.7</w:t>
            </w:r>
          </w:p>
        </w:tc>
        <w:tc>
          <w:tcPr>
            <w:tcW w:w="465" w:type="pct"/>
            <w:tcBorders>
              <w:top w:val="nil"/>
              <w:left w:val="nil"/>
              <w:bottom w:val="single" w:sz="4" w:space="0" w:color="293F5B"/>
              <w:right w:val="nil"/>
            </w:tcBorders>
            <w:shd w:val="clear" w:color="000000" w:fill="E6F2FF"/>
            <w:noWrap/>
            <w:vAlign w:val="center"/>
            <w:hideMark/>
          </w:tcPr>
          <w:p w14:paraId="472E3DB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w:t>
            </w:r>
          </w:p>
        </w:tc>
        <w:tc>
          <w:tcPr>
            <w:tcW w:w="465" w:type="pct"/>
            <w:tcBorders>
              <w:top w:val="nil"/>
              <w:left w:val="nil"/>
              <w:bottom w:val="single" w:sz="4" w:space="0" w:color="293F5B"/>
              <w:right w:val="nil"/>
            </w:tcBorders>
            <w:shd w:val="clear" w:color="000000" w:fill="FFFFFF"/>
            <w:noWrap/>
            <w:vAlign w:val="center"/>
            <w:hideMark/>
          </w:tcPr>
          <w:p w14:paraId="54036DA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-1.2</w:t>
            </w:r>
          </w:p>
        </w:tc>
        <w:tc>
          <w:tcPr>
            <w:tcW w:w="465" w:type="pct"/>
            <w:tcBorders>
              <w:top w:val="nil"/>
              <w:left w:val="nil"/>
              <w:bottom w:val="single" w:sz="4" w:space="0" w:color="293F5B"/>
              <w:right w:val="nil"/>
            </w:tcBorders>
            <w:shd w:val="clear" w:color="000000" w:fill="FFFFFF"/>
            <w:noWrap/>
            <w:vAlign w:val="center"/>
            <w:hideMark/>
          </w:tcPr>
          <w:p w14:paraId="2291778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-1.3</w:t>
            </w:r>
          </w:p>
        </w:tc>
        <w:tc>
          <w:tcPr>
            <w:tcW w:w="465" w:type="pct"/>
            <w:tcBorders>
              <w:top w:val="nil"/>
              <w:left w:val="nil"/>
              <w:bottom w:val="single" w:sz="4" w:space="0" w:color="293F5B"/>
              <w:right w:val="nil"/>
            </w:tcBorders>
            <w:shd w:val="clear" w:color="000000" w:fill="FFFFFF"/>
            <w:noWrap/>
            <w:vAlign w:val="center"/>
            <w:hideMark/>
          </w:tcPr>
          <w:p w14:paraId="41A35F2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-0.9</w:t>
            </w:r>
          </w:p>
        </w:tc>
        <w:tc>
          <w:tcPr>
            <w:tcW w:w="70" w:type="pct"/>
            <w:tcBorders>
              <w:top w:val="nil"/>
              <w:left w:val="nil"/>
              <w:bottom w:val="single" w:sz="4" w:space="0" w:color="293F5B"/>
              <w:right w:val="nil"/>
            </w:tcBorders>
            <w:shd w:val="clear" w:color="000000" w:fill="FFFFFF"/>
            <w:noWrap/>
            <w:vAlign w:val="center"/>
            <w:hideMark/>
          </w:tcPr>
          <w:p w14:paraId="3386C86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73" w:type="pct"/>
            <w:tcBorders>
              <w:top w:val="nil"/>
              <w:left w:val="nil"/>
              <w:bottom w:val="single" w:sz="4" w:space="0" w:color="293F5B"/>
              <w:right w:val="nil"/>
            </w:tcBorders>
            <w:shd w:val="clear" w:color="000000" w:fill="FFFFFF"/>
            <w:noWrap/>
            <w:vAlign w:val="center"/>
            <w:hideMark/>
          </w:tcPr>
          <w:p w14:paraId="54C28103"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bl>
    <w:p w14:paraId="4099667E" w14:textId="444BC546" w:rsidR="00421AC2" w:rsidRPr="00207DD5" w:rsidRDefault="00421AC2" w:rsidP="00421AC2">
      <w:pPr>
        <w:pStyle w:val="ChartandTableFootnoteAlpha"/>
        <w:numPr>
          <w:ilvl w:val="0"/>
          <w:numId w:val="27"/>
        </w:numPr>
        <w:rPr>
          <w:color w:val="auto"/>
        </w:rPr>
      </w:pPr>
      <w:r w:rsidRPr="00207DD5">
        <w:rPr>
          <w:color w:val="auto"/>
        </w:rPr>
        <w:t xml:space="preserve">Total is equal to the sum of amounts from </w:t>
      </w:r>
      <w:r w:rsidR="00DB3175" w:rsidRPr="00207DD5">
        <w:rPr>
          <w:color w:val="auto"/>
        </w:rPr>
        <w:t>2025–26</w:t>
      </w:r>
      <w:r w:rsidRPr="00207DD5">
        <w:rPr>
          <w:color w:val="auto"/>
        </w:rPr>
        <w:t xml:space="preserve"> to </w:t>
      </w:r>
      <w:r w:rsidR="009B4D6B" w:rsidRPr="00207DD5">
        <w:rPr>
          <w:color w:val="auto"/>
        </w:rPr>
        <w:t>2029–30</w:t>
      </w:r>
      <w:r w:rsidRPr="00207DD5">
        <w:rPr>
          <w:color w:val="auto"/>
        </w:rPr>
        <w:t>.</w:t>
      </w:r>
    </w:p>
    <w:p w14:paraId="57FDCFE8" w14:textId="77777777" w:rsidR="00421AC2" w:rsidRPr="00207DD5" w:rsidRDefault="00421AC2" w:rsidP="00421AC2">
      <w:pPr>
        <w:pStyle w:val="TableLine"/>
      </w:pPr>
    </w:p>
    <w:p w14:paraId="3F1DD2D8" w14:textId="2C5F82E6" w:rsidR="00421AC2" w:rsidRDefault="00421AC2" w:rsidP="00421AC2">
      <w:r>
        <w:br w:type="page"/>
      </w:r>
    </w:p>
    <w:p w14:paraId="201234DD" w14:textId="15DBCD4B" w:rsidR="00BC2CB6" w:rsidRPr="00207DD5" w:rsidRDefault="00BC2CB6" w:rsidP="00BC2CB6">
      <w:bookmarkStart w:id="124" w:name="_Toc193537066"/>
      <w:r w:rsidRPr="00207DD5">
        <w:lastRenderedPageBreak/>
        <w:t>Table</w:t>
      </w:r>
      <w:r w:rsidR="009F0B52" w:rsidRPr="00207DD5">
        <w:t> </w:t>
      </w:r>
      <w:r w:rsidRPr="00207DD5">
        <w:t>3.</w:t>
      </w:r>
      <w:r w:rsidR="00462EAD" w:rsidRPr="00207DD5">
        <w:t>8</w:t>
      </w:r>
      <w:r w:rsidRPr="00207DD5">
        <w:t xml:space="preserve"> provides a reconciliation of fiscal balance estimates, including the impact of policy decisions and parameter and other variations on revenue and expenses since MYEFO. </w:t>
      </w:r>
    </w:p>
    <w:p w14:paraId="7582C5DE" w14:textId="11341379" w:rsidR="00BC2CB6" w:rsidRPr="00207DD5" w:rsidRDefault="00BC2CB6" w:rsidP="00BC2CB6">
      <w:pPr>
        <w:pStyle w:val="TableHeading"/>
        <w:rPr>
          <w:rFonts w:asciiTheme="minorHAnsi" w:eastAsiaTheme="minorHAnsi" w:hAnsiTheme="minorHAnsi" w:cstheme="minorBidi"/>
          <w:sz w:val="22"/>
          <w:szCs w:val="22"/>
          <w:lang w:eastAsia="en-US"/>
        </w:rPr>
      </w:pPr>
      <w:r w:rsidRPr="00207DD5">
        <w:t>Table 3.</w:t>
      </w:r>
      <w:r w:rsidR="00C04225" w:rsidRPr="00207DD5">
        <w:t>8</w:t>
      </w:r>
      <w:r w:rsidRPr="00207DD5">
        <w:t>: Reconciliation of general government sector fiscal balance estimates</w:t>
      </w:r>
      <w:bookmarkStart w:id="125" w:name="_1803793682"/>
      <w:bookmarkStart w:id="126" w:name="_1803803613"/>
      <w:bookmarkStart w:id="127" w:name="_1803823280"/>
      <w:bookmarkStart w:id="128" w:name="_1804089226"/>
      <w:bookmarkStart w:id="129" w:name="_1804087534"/>
      <w:bookmarkStart w:id="130" w:name="_1804087019"/>
      <w:bookmarkStart w:id="131" w:name="_1804054204"/>
      <w:bookmarkStart w:id="132" w:name="_1804053334"/>
      <w:bookmarkStart w:id="133" w:name="_1804053865"/>
      <w:bookmarkStart w:id="134" w:name="_1804053612"/>
      <w:bookmarkStart w:id="135" w:name="_1803880117"/>
      <w:bookmarkStart w:id="136" w:name="_1803883755"/>
      <w:bookmarkStart w:id="137" w:name="_1803828835"/>
      <w:bookmarkStart w:id="138" w:name="_1803827573"/>
      <w:bookmarkStart w:id="139" w:name="_1803891225"/>
      <w:bookmarkStart w:id="140" w:name="_1803892346"/>
      <w:bookmarkStart w:id="141" w:name="_1804086915"/>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tbl>
      <w:tblPr>
        <w:tblW w:w="5000" w:type="pct"/>
        <w:tblCellMar>
          <w:left w:w="0" w:type="dxa"/>
          <w:right w:w="28" w:type="dxa"/>
        </w:tblCellMar>
        <w:tblLook w:val="0620" w:firstRow="1" w:lastRow="0" w:firstColumn="0" w:lastColumn="0" w:noHBand="1" w:noVBand="1"/>
      </w:tblPr>
      <w:tblGrid>
        <w:gridCol w:w="3346"/>
        <w:gridCol w:w="686"/>
        <w:gridCol w:w="684"/>
        <w:gridCol w:w="684"/>
        <w:gridCol w:w="684"/>
        <w:gridCol w:w="687"/>
        <w:gridCol w:w="78"/>
        <w:gridCol w:w="861"/>
      </w:tblGrid>
      <w:tr w:rsidR="004F4318" w14:paraId="0C80D97F" w14:textId="77777777" w:rsidTr="00F56B58">
        <w:trPr>
          <w:trHeight w:hRule="exact" w:val="225"/>
        </w:trPr>
        <w:tc>
          <w:tcPr>
            <w:tcW w:w="2086" w:type="pct"/>
            <w:tcBorders>
              <w:top w:val="single" w:sz="4" w:space="0" w:color="293F5B"/>
              <w:left w:val="nil"/>
              <w:bottom w:val="nil"/>
              <w:right w:val="nil"/>
            </w:tcBorders>
            <w:shd w:val="clear" w:color="000000" w:fill="FFFFFF"/>
            <w:noWrap/>
            <w:vAlign w:val="center"/>
            <w:hideMark/>
          </w:tcPr>
          <w:p w14:paraId="628E34D8"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2282" w:type="pct"/>
            <w:gridSpan w:val="5"/>
            <w:tcBorders>
              <w:top w:val="single" w:sz="4" w:space="0" w:color="293F5B"/>
              <w:left w:val="nil"/>
              <w:bottom w:val="single" w:sz="4" w:space="0" w:color="293F5B"/>
              <w:right w:val="nil"/>
            </w:tcBorders>
            <w:shd w:val="clear" w:color="000000" w:fill="FFFFFF"/>
            <w:noWrap/>
            <w:vAlign w:val="center"/>
            <w:hideMark/>
          </w:tcPr>
          <w:p w14:paraId="048E2B39" w14:textId="77777777" w:rsidR="004F4318" w:rsidRPr="007B5379" w:rsidRDefault="004F4318" w:rsidP="004F4318">
            <w:pPr>
              <w:spacing w:before="0" w:after="0" w:line="240" w:lineRule="auto"/>
              <w:jc w:val="center"/>
              <w:rPr>
                <w:rFonts w:ascii="Arial" w:hAnsi="Arial" w:cs="Arial"/>
                <w:color w:val="00FFFF"/>
                <w:sz w:val="16"/>
                <w:szCs w:val="16"/>
                <w:highlight w:val="magenta"/>
              </w:rPr>
            </w:pPr>
            <w:r w:rsidRPr="00207DD5">
              <w:rPr>
                <w:rFonts w:ascii="Arial" w:hAnsi="Arial" w:cs="Arial"/>
                <w:sz w:val="16"/>
                <w:szCs w:val="16"/>
              </w:rPr>
              <w:t>Estimates</w:t>
            </w:r>
          </w:p>
        </w:tc>
        <w:tc>
          <w:tcPr>
            <w:tcW w:w="62" w:type="pct"/>
            <w:tcBorders>
              <w:top w:val="single" w:sz="4" w:space="0" w:color="293F5B"/>
              <w:left w:val="nil"/>
              <w:bottom w:val="nil"/>
              <w:right w:val="nil"/>
            </w:tcBorders>
            <w:shd w:val="clear" w:color="000000" w:fill="FFFFFF"/>
            <w:noWrap/>
            <w:vAlign w:val="center"/>
            <w:hideMark/>
          </w:tcPr>
          <w:p w14:paraId="5D1CDAA2"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single" w:sz="4" w:space="0" w:color="293F5B"/>
              <w:left w:val="nil"/>
              <w:bottom w:val="single" w:sz="4" w:space="0" w:color="293F5B"/>
              <w:right w:val="nil"/>
            </w:tcBorders>
            <w:shd w:val="clear" w:color="000000" w:fill="FFFFFF"/>
            <w:noWrap/>
            <w:vAlign w:val="center"/>
            <w:hideMark/>
          </w:tcPr>
          <w:p w14:paraId="36FC6A25" w14:textId="77777777" w:rsidR="004F4318" w:rsidRPr="00207DD5" w:rsidRDefault="004F4318" w:rsidP="004F4318">
            <w:pPr>
              <w:spacing w:before="0" w:after="0" w:line="240" w:lineRule="auto"/>
              <w:rPr>
                <w:rFonts w:ascii="Arial" w:hAnsi="Arial" w:cs="Arial"/>
                <w:sz w:val="16"/>
                <w:szCs w:val="16"/>
              </w:rPr>
            </w:pPr>
            <w:r w:rsidRPr="00207DD5">
              <w:rPr>
                <w:rFonts w:ascii="Arial" w:hAnsi="Arial" w:cs="Arial"/>
                <w:sz w:val="16"/>
                <w:szCs w:val="16"/>
              </w:rPr>
              <w:t> </w:t>
            </w:r>
          </w:p>
        </w:tc>
      </w:tr>
      <w:tr w:rsidR="004F4318" w14:paraId="011FE2BB" w14:textId="77777777" w:rsidTr="00F56B58">
        <w:trPr>
          <w:trHeight w:hRule="exact" w:val="225"/>
        </w:trPr>
        <w:tc>
          <w:tcPr>
            <w:tcW w:w="2086" w:type="pct"/>
            <w:tcBorders>
              <w:top w:val="nil"/>
              <w:left w:val="nil"/>
              <w:bottom w:val="nil"/>
              <w:right w:val="nil"/>
            </w:tcBorders>
            <w:shd w:val="clear" w:color="000000" w:fill="FFFFFF"/>
            <w:noWrap/>
            <w:vAlign w:val="bottom"/>
            <w:hideMark/>
          </w:tcPr>
          <w:p w14:paraId="46249EA0"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7" w:type="pct"/>
            <w:tcBorders>
              <w:top w:val="single" w:sz="4" w:space="0" w:color="293F5B"/>
              <w:left w:val="nil"/>
              <w:bottom w:val="nil"/>
              <w:right w:val="nil"/>
            </w:tcBorders>
            <w:shd w:val="clear" w:color="000000" w:fill="FFFFFF"/>
            <w:noWrap/>
            <w:vAlign w:val="center"/>
            <w:hideMark/>
          </w:tcPr>
          <w:p w14:paraId="05E6308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2025-26</w:t>
            </w:r>
          </w:p>
        </w:tc>
        <w:tc>
          <w:tcPr>
            <w:tcW w:w="456" w:type="pct"/>
            <w:tcBorders>
              <w:top w:val="single" w:sz="4" w:space="0" w:color="293F5B"/>
              <w:left w:val="nil"/>
              <w:bottom w:val="nil"/>
              <w:right w:val="nil"/>
            </w:tcBorders>
            <w:shd w:val="clear" w:color="000000" w:fill="E6F2FF"/>
            <w:noWrap/>
            <w:vAlign w:val="center"/>
            <w:hideMark/>
          </w:tcPr>
          <w:p w14:paraId="6AE05AB2"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2026-27</w:t>
            </w:r>
          </w:p>
        </w:tc>
        <w:tc>
          <w:tcPr>
            <w:tcW w:w="456" w:type="pct"/>
            <w:tcBorders>
              <w:top w:val="single" w:sz="4" w:space="0" w:color="293F5B"/>
              <w:left w:val="nil"/>
              <w:bottom w:val="nil"/>
              <w:right w:val="nil"/>
            </w:tcBorders>
            <w:shd w:val="clear" w:color="000000" w:fill="FFFFFF"/>
            <w:noWrap/>
            <w:vAlign w:val="center"/>
            <w:hideMark/>
          </w:tcPr>
          <w:p w14:paraId="3C044C9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2027-28</w:t>
            </w:r>
          </w:p>
        </w:tc>
        <w:tc>
          <w:tcPr>
            <w:tcW w:w="456" w:type="pct"/>
            <w:tcBorders>
              <w:top w:val="single" w:sz="4" w:space="0" w:color="293F5B"/>
              <w:left w:val="nil"/>
              <w:bottom w:val="nil"/>
              <w:right w:val="nil"/>
            </w:tcBorders>
            <w:shd w:val="clear" w:color="000000" w:fill="FFFFFF"/>
            <w:noWrap/>
            <w:vAlign w:val="center"/>
            <w:hideMark/>
          </w:tcPr>
          <w:p w14:paraId="0BFADBF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2028-29</w:t>
            </w:r>
          </w:p>
        </w:tc>
        <w:tc>
          <w:tcPr>
            <w:tcW w:w="456" w:type="pct"/>
            <w:tcBorders>
              <w:top w:val="single" w:sz="4" w:space="0" w:color="293F5B"/>
              <w:left w:val="nil"/>
              <w:bottom w:val="nil"/>
              <w:right w:val="nil"/>
            </w:tcBorders>
            <w:shd w:val="clear" w:color="000000" w:fill="FFFFFF"/>
            <w:noWrap/>
            <w:vAlign w:val="center"/>
            <w:hideMark/>
          </w:tcPr>
          <w:p w14:paraId="31D4E1B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2029-30</w:t>
            </w:r>
          </w:p>
        </w:tc>
        <w:tc>
          <w:tcPr>
            <w:tcW w:w="62" w:type="pct"/>
            <w:tcBorders>
              <w:top w:val="nil"/>
              <w:left w:val="nil"/>
              <w:bottom w:val="nil"/>
              <w:right w:val="nil"/>
            </w:tcBorders>
            <w:shd w:val="clear" w:color="000000" w:fill="FFFFFF"/>
            <w:noWrap/>
            <w:vAlign w:val="center"/>
            <w:hideMark/>
          </w:tcPr>
          <w:p w14:paraId="4EE47E5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single" w:sz="4" w:space="0" w:color="293F5B"/>
              <w:left w:val="nil"/>
              <w:bottom w:val="nil"/>
              <w:right w:val="nil"/>
            </w:tcBorders>
            <w:shd w:val="clear" w:color="000000" w:fill="FFFFFF"/>
            <w:noWrap/>
            <w:vAlign w:val="center"/>
            <w:hideMark/>
          </w:tcPr>
          <w:p w14:paraId="2ED01E1C"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Total</w:t>
            </w:r>
          </w:p>
        </w:tc>
      </w:tr>
      <w:tr w:rsidR="004F4318" w14:paraId="420A2ECA"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3F49C925"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7" w:type="pct"/>
            <w:tcBorders>
              <w:top w:val="nil"/>
              <w:left w:val="nil"/>
              <w:bottom w:val="single" w:sz="4" w:space="0" w:color="293F5B"/>
              <w:right w:val="nil"/>
            </w:tcBorders>
            <w:shd w:val="clear" w:color="000000" w:fill="FFFFFF"/>
            <w:noWrap/>
            <w:vAlign w:val="center"/>
            <w:hideMark/>
          </w:tcPr>
          <w:p w14:paraId="0CB6668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56" w:type="pct"/>
            <w:tcBorders>
              <w:top w:val="nil"/>
              <w:left w:val="nil"/>
              <w:bottom w:val="single" w:sz="4" w:space="0" w:color="293F5B"/>
              <w:right w:val="nil"/>
            </w:tcBorders>
            <w:shd w:val="clear" w:color="000000" w:fill="E6F2FF"/>
            <w:noWrap/>
            <w:vAlign w:val="center"/>
            <w:hideMark/>
          </w:tcPr>
          <w:p w14:paraId="4C886FC2"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56" w:type="pct"/>
            <w:tcBorders>
              <w:top w:val="nil"/>
              <w:left w:val="nil"/>
              <w:bottom w:val="single" w:sz="4" w:space="0" w:color="293F5B"/>
              <w:right w:val="nil"/>
            </w:tcBorders>
            <w:shd w:val="clear" w:color="000000" w:fill="FFFFFF"/>
            <w:noWrap/>
            <w:vAlign w:val="center"/>
            <w:hideMark/>
          </w:tcPr>
          <w:p w14:paraId="2934451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56" w:type="pct"/>
            <w:tcBorders>
              <w:top w:val="nil"/>
              <w:left w:val="nil"/>
              <w:bottom w:val="single" w:sz="4" w:space="0" w:color="293F5B"/>
              <w:right w:val="nil"/>
            </w:tcBorders>
            <w:shd w:val="clear" w:color="000000" w:fill="FFFFFF"/>
            <w:noWrap/>
            <w:vAlign w:val="center"/>
            <w:hideMark/>
          </w:tcPr>
          <w:p w14:paraId="554B2E2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456" w:type="pct"/>
            <w:tcBorders>
              <w:top w:val="nil"/>
              <w:left w:val="nil"/>
              <w:bottom w:val="single" w:sz="4" w:space="0" w:color="293F5B"/>
              <w:right w:val="nil"/>
            </w:tcBorders>
            <w:shd w:val="clear" w:color="000000" w:fill="FFFFFF"/>
            <w:noWrap/>
            <w:vAlign w:val="center"/>
            <w:hideMark/>
          </w:tcPr>
          <w:p w14:paraId="4035EA0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$m</w:t>
            </w:r>
          </w:p>
        </w:tc>
        <w:tc>
          <w:tcPr>
            <w:tcW w:w="62" w:type="pct"/>
            <w:tcBorders>
              <w:top w:val="nil"/>
              <w:left w:val="nil"/>
              <w:bottom w:val="nil"/>
              <w:right w:val="nil"/>
            </w:tcBorders>
            <w:shd w:val="clear" w:color="000000" w:fill="FFFFFF"/>
            <w:noWrap/>
            <w:vAlign w:val="center"/>
            <w:hideMark/>
          </w:tcPr>
          <w:p w14:paraId="6F60DFC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single" w:sz="4" w:space="0" w:color="293F5B"/>
              <w:right w:val="nil"/>
            </w:tcBorders>
            <w:shd w:val="clear" w:color="000000" w:fill="FFFFFF"/>
            <w:noWrap/>
            <w:vAlign w:val="center"/>
            <w:hideMark/>
          </w:tcPr>
          <w:p w14:paraId="72765E3D"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$m</w:t>
            </w:r>
          </w:p>
        </w:tc>
      </w:tr>
      <w:tr w:rsidR="004F4318" w14:paraId="36F6012F"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1BB1D320"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2025 PEFO fiscal balance</w:t>
            </w:r>
          </w:p>
        </w:tc>
        <w:tc>
          <w:tcPr>
            <w:tcW w:w="457" w:type="pct"/>
            <w:tcBorders>
              <w:top w:val="nil"/>
              <w:left w:val="nil"/>
              <w:bottom w:val="nil"/>
              <w:right w:val="nil"/>
            </w:tcBorders>
            <w:shd w:val="clear" w:color="000000" w:fill="FFFFFF"/>
            <w:noWrap/>
            <w:vAlign w:val="center"/>
            <w:hideMark/>
          </w:tcPr>
          <w:p w14:paraId="0FFD4101"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-44,221</w:t>
            </w:r>
          </w:p>
        </w:tc>
        <w:tc>
          <w:tcPr>
            <w:tcW w:w="456" w:type="pct"/>
            <w:tcBorders>
              <w:top w:val="nil"/>
              <w:left w:val="nil"/>
              <w:bottom w:val="nil"/>
              <w:right w:val="nil"/>
            </w:tcBorders>
            <w:shd w:val="clear" w:color="000000" w:fill="E6F2FF"/>
            <w:noWrap/>
            <w:vAlign w:val="center"/>
            <w:hideMark/>
          </w:tcPr>
          <w:p w14:paraId="01B376B1"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-32,116</w:t>
            </w:r>
          </w:p>
        </w:tc>
        <w:tc>
          <w:tcPr>
            <w:tcW w:w="456" w:type="pct"/>
            <w:tcBorders>
              <w:top w:val="nil"/>
              <w:left w:val="nil"/>
              <w:bottom w:val="nil"/>
              <w:right w:val="nil"/>
            </w:tcBorders>
            <w:shd w:val="clear" w:color="000000" w:fill="FFFFFF"/>
            <w:noWrap/>
            <w:vAlign w:val="center"/>
            <w:hideMark/>
          </w:tcPr>
          <w:p w14:paraId="5CDD2809"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-39,385</w:t>
            </w:r>
          </w:p>
        </w:tc>
        <w:tc>
          <w:tcPr>
            <w:tcW w:w="456" w:type="pct"/>
            <w:tcBorders>
              <w:top w:val="nil"/>
              <w:left w:val="nil"/>
              <w:bottom w:val="nil"/>
              <w:right w:val="nil"/>
            </w:tcBorders>
            <w:shd w:val="clear" w:color="000000" w:fill="FFFFFF"/>
            <w:noWrap/>
            <w:vAlign w:val="center"/>
            <w:hideMark/>
          </w:tcPr>
          <w:p w14:paraId="2B55C2E8"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-37,261</w:t>
            </w:r>
          </w:p>
        </w:tc>
        <w:tc>
          <w:tcPr>
            <w:tcW w:w="456" w:type="pct"/>
            <w:tcBorders>
              <w:top w:val="nil"/>
              <w:left w:val="nil"/>
              <w:bottom w:val="nil"/>
              <w:right w:val="nil"/>
            </w:tcBorders>
            <w:shd w:val="clear" w:color="000000" w:fill="FFFFFF"/>
            <w:noWrap/>
            <w:vAlign w:val="center"/>
            <w:hideMark/>
          </w:tcPr>
          <w:p w14:paraId="1422FC66"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w:t>
            </w:r>
          </w:p>
        </w:tc>
        <w:tc>
          <w:tcPr>
            <w:tcW w:w="62" w:type="pct"/>
            <w:tcBorders>
              <w:top w:val="nil"/>
              <w:left w:val="nil"/>
              <w:bottom w:val="nil"/>
              <w:right w:val="nil"/>
            </w:tcBorders>
            <w:shd w:val="clear" w:color="000000" w:fill="FFFFFF"/>
            <w:noWrap/>
            <w:vAlign w:val="center"/>
            <w:hideMark/>
          </w:tcPr>
          <w:p w14:paraId="1D399EC9"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571" w:type="pct"/>
            <w:tcBorders>
              <w:top w:val="nil"/>
              <w:left w:val="nil"/>
              <w:bottom w:val="nil"/>
              <w:right w:val="nil"/>
            </w:tcBorders>
            <w:shd w:val="clear" w:color="000000" w:fill="FFFFFF"/>
            <w:vAlign w:val="center"/>
            <w:hideMark/>
          </w:tcPr>
          <w:p w14:paraId="468D54AB" w14:textId="77777777" w:rsidR="004F4318" w:rsidRPr="00207DD5" w:rsidRDefault="004F4318" w:rsidP="004F4318">
            <w:pPr>
              <w:spacing w:before="0" w:after="0" w:line="240" w:lineRule="auto"/>
              <w:jc w:val="right"/>
              <w:rPr>
                <w:rFonts w:ascii="Arial" w:hAnsi="Arial" w:cs="Arial"/>
                <w:b/>
                <w:sz w:val="16"/>
                <w:szCs w:val="16"/>
              </w:rPr>
            </w:pPr>
            <w:r w:rsidRPr="00207DD5">
              <w:rPr>
                <w:rFonts w:ascii="Arial" w:hAnsi="Arial" w:cs="Arial"/>
                <w:b/>
                <w:sz w:val="16"/>
                <w:szCs w:val="16"/>
              </w:rPr>
              <w:t>*</w:t>
            </w:r>
          </w:p>
        </w:tc>
      </w:tr>
      <w:tr w:rsidR="004F4318" w14:paraId="4E446CF9"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1698327B"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Per cent of GDP</w:t>
            </w:r>
          </w:p>
        </w:tc>
        <w:tc>
          <w:tcPr>
            <w:tcW w:w="457" w:type="pct"/>
            <w:tcBorders>
              <w:top w:val="nil"/>
              <w:left w:val="nil"/>
              <w:bottom w:val="nil"/>
              <w:right w:val="nil"/>
            </w:tcBorders>
            <w:shd w:val="clear" w:color="000000" w:fill="FFFFFF"/>
            <w:noWrap/>
            <w:vAlign w:val="center"/>
            <w:hideMark/>
          </w:tcPr>
          <w:p w14:paraId="67D55A52"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-1.5</w:t>
            </w:r>
          </w:p>
        </w:tc>
        <w:tc>
          <w:tcPr>
            <w:tcW w:w="456" w:type="pct"/>
            <w:tcBorders>
              <w:top w:val="nil"/>
              <w:left w:val="nil"/>
              <w:bottom w:val="nil"/>
              <w:right w:val="nil"/>
            </w:tcBorders>
            <w:shd w:val="clear" w:color="000000" w:fill="E6F2FF"/>
            <w:noWrap/>
            <w:vAlign w:val="center"/>
            <w:hideMark/>
          </w:tcPr>
          <w:p w14:paraId="7EF6DA1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-1.1</w:t>
            </w:r>
          </w:p>
        </w:tc>
        <w:tc>
          <w:tcPr>
            <w:tcW w:w="456" w:type="pct"/>
            <w:tcBorders>
              <w:top w:val="nil"/>
              <w:left w:val="nil"/>
              <w:bottom w:val="nil"/>
              <w:right w:val="nil"/>
            </w:tcBorders>
            <w:shd w:val="clear" w:color="000000" w:fill="FFFFFF"/>
            <w:noWrap/>
            <w:vAlign w:val="center"/>
            <w:hideMark/>
          </w:tcPr>
          <w:p w14:paraId="5F1ACB6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-1.3</w:t>
            </w:r>
          </w:p>
        </w:tc>
        <w:tc>
          <w:tcPr>
            <w:tcW w:w="456" w:type="pct"/>
            <w:tcBorders>
              <w:top w:val="nil"/>
              <w:left w:val="nil"/>
              <w:bottom w:val="nil"/>
              <w:right w:val="nil"/>
            </w:tcBorders>
            <w:shd w:val="clear" w:color="000000" w:fill="FFFFFF"/>
            <w:noWrap/>
            <w:vAlign w:val="center"/>
            <w:hideMark/>
          </w:tcPr>
          <w:p w14:paraId="21F9F6E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-1.1</w:t>
            </w:r>
          </w:p>
        </w:tc>
        <w:tc>
          <w:tcPr>
            <w:tcW w:w="456" w:type="pct"/>
            <w:tcBorders>
              <w:top w:val="nil"/>
              <w:left w:val="nil"/>
              <w:bottom w:val="nil"/>
              <w:right w:val="nil"/>
            </w:tcBorders>
            <w:shd w:val="clear" w:color="000000" w:fill="FFFFFF"/>
            <w:noWrap/>
            <w:vAlign w:val="center"/>
            <w:hideMark/>
          </w:tcPr>
          <w:p w14:paraId="0D80BBA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w:t>
            </w:r>
          </w:p>
        </w:tc>
        <w:tc>
          <w:tcPr>
            <w:tcW w:w="62" w:type="pct"/>
            <w:tcBorders>
              <w:top w:val="nil"/>
              <w:left w:val="nil"/>
              <w:bottom w:val="nil"/>
              <w:right w:val="nil"/>
            </w:tcBorders>
            <w:shd w:val="clear" w:color="000000" w:fill="FFFFFF"/>
            <w:noWrap/>
            <w:vAlign w:val="center"/>
            <w:hideMark/>
          </w:tcPr>
          <w:p w14:paraId="1EABCC1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nil"/>
              <w:right w:val="nil"/>
            </w:tcBorders>
            <w:shd w:val="clear" w:color="000000" w:fill="FFFFFF"/>
            <w:noWrap/>
            <w:vAlign w:val="center"/>
            <w:hideMark/>
          </w:tcPr>
          <w:p w14:paraId="3FC045D9"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397FE5B2" w14:textId="77777777" w:rsidTr="00F56B58">
        <w:trPr>
          <w:trHeight w:hRule="exact" w:val="60"/>
        </w:trPr>
        <w:tc>
          <w:tcPr>
            <w:tcW w:w="2086" w:type="pct"/>
            <w:tcBorders>
              <w:top w:val="nil"/>
              <w:left w:val="nil"/>
              <w:bottom w:val="nil"/>
              <w:right w:val="nil"/>
            </w:tcBorders>
            <w:shd w:val="clear" w:color="000000" w:fill="FFFFFF"/>
            <w:noWrap/>
            <w:vAlign w:val="center"/>
            <w:hideMark/>
          </w:tcPr>
          <w:p w14:paraId="32156FD0"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7" w:type="pct"/>
            <w:tcBorders>
              <w:top w:val="nil"/>
              <w:left w:val="nil"/>
              <w:bottom w:val="nil"/>
              <w:right w:val="nil"/>
            </w:tcBorders>
            <w:shd w:val="clear" w:color="000000" w:fill="FFFFFF"/>
            <w:noWrap/>
            <w:vAlign w:val="center"/>
            <w:hideMark/>
          </w:tcPr>
          <w:p w14:paraId="7B6F52D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E6F2FF"/>
            <w:noWrap/>
            <w:vAlign w:val="center"/>
            <w:hideMark/>
          </w:tcPr>
          <w:p w14:paraId="78CA82A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0C0364D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79403EA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30B18A5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62" w:type="pct"/>
            <w:tcBorders>
              <w:top w:val="nil"/>
              <w:left w:val="nil"/>
              <w:bottom w:val="nil"/>
              <w:right w:val="nil"/>
            </w:tcBorders>
            <w:shd w:val="clear" w:color="000000" w:fill="FFFFFF"/>
            <w:noWrap/>
            <w:vAlign w:val="center"/>
            <w:hideMark/>
          </w:tcPr>
          <w:p w14:paraId="2615835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nil"/>
              <w:right w:val="nil"/>
            </w:tcBorders>
            <w:shd w:val="clear" w:color="000000" w:fill="FFFFFF"/>
            <w:noWrap/>
            <w:vAlign w:val="center"/>
            <w:hideMark/>
          </w:tcPr>
          <w:p w14:paraId="225BDED2"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5DF757FE"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7A9BBB79"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xml:space="preserve">Changes from 2025 PEFO to </w:t>
            </w:r>
          </w:p>
        </w:tc>
        <w:tc>
          <w:tcPr>
            <w:tcW w:w="457" w:type="pct"/>
            <w:tcBorders>
              <w:top w:val="nil"/>
              <w:left w:val="nil"/>
              <w:bottom w:val="nil"/>
              <w:right w:val="nil"/>
            </w:tcBorders>
            <w:shd w:val="clear" w:color="000000" w:fill="FFFFFF"/>
            <w:noWrap/>
            <w:vAlign w:val="center"/>
            <w:hideMark/>
          </w:tcPr>
          <w:p w14:paraId="4373FAA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E6F2FF"/>
            <w:noWrap/>
            <w:vAlign w:val="center"/>
            <w:hideMark/>
          </w:tcPr>
          <w:p w14:paraId="5364CA7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5CB713BC"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767D067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356DBDAD"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62" w:type="pct"/>
            <w:tcBorders>
              <w:top w:val="nil"/>
              <w:left w:val="nil"/>
              <w:bottom w:val="nil"/>
              <w:right w:val="nil"/>
            </w:tcBorders>
            <w:shd w:val="clear" w:color="000000" w:fill="FFFFFF"/>
            <w:noWrap/>
            <w:vAlign w:val="center"/>
            <w:hideMark/>
          </w:tcPr>
          <w:p w14:paraId="4E12636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nil"/>
              <w:right w:val="nil"/>
            </w:tcBorders>
            <w:shd w:val="clear" w:color="000000" w:fill="FFFFFF"/>
            <w:noWrap/>
            <w:vAlign w:val="center"/>
            <w:hideMark/>
          </w:tcPr>
          <w:p w14:paraId="327C19D2"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44F7AFE9"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74F788C8" w14:textId="77777777" w:rsidR="004F4318" w:rsidRPr="007B5379" w:rsidRDefault="004F4318" w:rsidP="004F4318">
            <w:pPr>
              <w:spacing w:before="0" w:after="0" w:line="240" w:lineRule="auto"/>
              <w:ind w:firstLineChars="100" w:firstLine="161"/>
              <w:rPr>
                <w:rFonts w:ascii="Arial" w:hAnsi="Arial" w:cs="Arial"/>
                <w:b/>
                <w:color w:val="00FFFF"/>
                <w:sz w:val="16"/>
                <w:szCs w:val="16"/>
                <w:highlight w:val="magenta"/>
              </w:rPr>
            </w:pPr>
            <w:r w:rsidRPr="00207DD5">
              <w:rPr>
                <w:rFonts w:ascii="Arial" w:hAnsi="Arial" w:cs="Arial"/>
                <w:b/>
                <w:sz w:val="16"/>
                <w:szCs w:val="16"/>
              </w:rPr>
              <w:t>2025-26 MYEFO</w:t>
            </w:r>
          </w:p>
        </w:tc>
        <w:tc>
          <w:tcPr>
            <w:tcW w:w="457" w:type="pct"/>
            <w:tcBorders>
              <w:top w:val="nil"/>
              <w:left w:val="nil"/>
              <w:bottom w:val="nil"/>
              <w:right w:val="nil"/>
            </w:tcBorders>
            <w:shd w:val="clear" w:color="000000" w:fill="FFFFFF"/>
            <w:noWrap/>
            <w:vAlign w:val="center"/>
            <w:hideMark/>
          </w:tcPr>
          <w:p w14:paraId="574754D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E6F2FF"/>
            <w:noWrap/>
            <w:vAlign w:val="center"/>
            <w:hideMark/>
          </w:tcPr>
          <w:p w14:paraId="668FBE5C"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3386B6F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5226495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21D89B7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62" w:type="pct"/>
            <w:tcBorders>
              <w:top w:val="nil"/>
              <w:left w:val="nil"/>
              <w:bottom w:val="nil"/>
              <w:right w:val="nil"/>
            </w:tcBorders>
            <w:shd w:val="clear" w:color="000000" w:fill="FFFFFF"/>
            <w:noWrap/>
            <w:vAlign w:val="center"/>
            <w:hideMark/>
          </w:tcPr>
          <w:p w14:paraId="0DD1370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nil"/>
              <w:right w:val="nil"/>
            </w:tcBorders>
            <w:shd w:val="clear" w:color="000000" w:fill="FFFFFF"/>
            <w:noWrap/>
            <w:vAlign w:val="center"/>
            <w:hideMark/>
          </w:tcPr>
          <w:p w14:paraId="2E3867ED"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7309EB61"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6D245C0D"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Effect of policy decisions(a)</w:t>
            </w:r>
          </w:p>
        </w:tc>
        <w:tc>
          <w:tcPr>
            <w:tcW w:w="457" w:type="pct"/>
            <w:tcBorders>
              <w:top w:val="nil"/>
              <w:left w:val="nil"/>
              <w:bottom w:val="nil"/>
              <w:right w:val="nil"/>
            </w:tcBorders>
            <w:shd w:val="clear" w:color="000000" w:fill="FFFFFF"/>
            <w:noWrap/>
            <w:vAlign w:val="center"/>
            <w:hideMark/>
          </w:tcPr>
          <w:p w14:paraId="26EC59D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-2,165</w:t>
            </w:r>
          </w:p>
        </w:tc>
        <w:tc>
          <w:tcPr>
            <w:tcW w:w="456" w:type="pct"/>
            <w:tcBorders>
              <w:top w:val="nil"/>
              <w:left w:val="nil"/>
              <w:bottom w:val="nil"/>
              <w:right w:val="nil"/>
            </w:tcBorders>
            <w:shd w:val="clear" w:color="000000" w:fill="E6F2FF"/>
            <w:noWrap/>
            <w:vAlign w:val="center"/>
            <w:hideMark/>
          </w:tcPr>
          <w:p w14:paraId="543F04A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-2,805</w:t>
            </w:r>
          </w:p>
        </w:tc>
        <w:tc>
          <w:tcPr>
            <w:tcW w:w="456" w:type="pct"/>
            <w:tcBorders>
              <w:top w:val="nil"/>
              <w:left w:val="nil"/>
              <w:bottom w:val="nil"/>
              <w:right w:val="nil"/>
            </w:tcBorders>
            <w:shd w:val="clear" w:color="000000" w:fill="FFFFFF"/>
            <w:noWrap/>
            <w:vAlign w:val="center"/>
            <w:hideMark/>
          </w:tcPr>
          <w:p w14:paraId="10A1CD4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65</w:t>
            </w:r>
          </w:p>
        </w:tc>
        <w:tc>
          <w:tcPr>
            <w:tcW w:w="456" w:type="pct"/>
            <w:tcBorders>
              <w:top w:val="nil"/>
              <w:left w:val="nil"/>
              <w:bottom w:val="nil"/>
              <w:right w:val="nil"/>
            </w:tcBorders>
            <w:shd w:val="clear" w:color="000000" w:fill="FFFFFF"/>
            <w:noWrap/>
            <w:vAlign w:val="center"/>
            <w:hideMark/>
          </w:tcPr>
          <w:p w14:paraId="2A4C5A5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2,681</w:t>
            </w:r>
          </w:p>
        </w:tc>
        <w:tc>
          <w:tcPr>
            <w:tcW w:w="456" w:type="pct"/>
            <w:tcBorders>
              <w:top w:val="nil"/>
              <w:left w:val="nil"/>
              <w:bottom w:val="nil"/>
              <w:right w:val="nil"/>
            </w:tcBorders>
            <w:shd w:val="clear" w:color="000000" w:fill="FFFFFF"/>
            <w:noWrap/>
            <w:vAlign w:val="center"/>
            <w:hideMark/>
          </w:tcPr>
          <w:p w14:paraId="4E32444C"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w:t>
            </w:r>
          </w:p>
        </w:tc>
        <w:tc>
          <w:tcPr>
            <w:tcW w:w="62" w:type="pct"/>
            <w:tcBorders>
              <w:top w:val="nil"/>
              <w:left w:val="nil"/>
              <w:bottom w:val="nil"/>
              <w:right w:val="nil"/>
            </w:tcBorders>
            <w:shd w:val="clear" w:color="000000" w:fill="FFFFFF"/>
            <w:noWrap/>
            <w:vAlign w:val="center"/>
            <w:hideMark/>
          </w:tcPr>
          <w:p w14:paraId="7972F42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nil"/>
              <w:right w:val="nil"/>
            </w:tcBorders>
            <w:shd w:val="clear" w:color="000000" w:fill="FFFFFF"/>
            <w:noWrap/>
            <w:vAlign w:val="center"/>
            <w:hideMark/>
          </w:tcPr>
          <w:p w14:paraId="4A0D15CB"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w:t>
            </w:r>
          </w:p>
        </w:tc>
      </w:tr>
      <w:tr w:rsidR="004F4318" w14:paraId="7D022BA5"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5E97D1E3"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Effect of parameter and other variations</w:t>
            </w:r>
          </w:p>
        </w:tc>
        <w:tc>
          <w:tcPr>
            <w:tcW w:w="457" w:type="pct"/>
            <w:tcBorders>
              <w:top w:val="nil"/>
              <w:left w:val="nil"/>
              <w:bottom w:val="nil"/>
              <w:right w:val="nil"/>
            </w:tcBorders>
            <w:shd w:val="clear" w:color="000000" w:fill="FFFFFF"/>
            <w:noWrap/>
            <w:vAlign w:val="center"/>
            <w:hideMark/>
          </w:tcPr>
          <w:p w14:paraId="015BCFC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-8,426</w:t>
            </w:r>
          </w:p>
        </w:tc>
        <w:tc>
          <w:tcPr>
            <w:tcW w:w="456" w:type="pct"/>
            <w:tcBorders>
              <w:top w:val="nil"/>
              <w:left w:val="nil"/>
              <w:bottom w:val="nil"/>
              <w:right w:val="nil"/>
            </w:tcBorders>
            <w:shd w:val="clear" w:color="000000" w:fill="E6F2FF"/>
            <w:noWrap/>
            <w:vAlign w:val="center"/>
            <w:hideMark/>
          </w:tcPr>
          <w:p w14:paraId="3A3FB94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-871</w:t>
            </w:r>
          </w:p>
        </w:tc>
        <w:tc>
          <w:tcPr>
            <w:tcW w:w="456" w:type="pct"/>
            <w:tcBorders>
              <w:top w:val="nil"/>
              <w:left w:val="nil"/>
              <w:bottom w:val="nil"/>
              <w:right w:val="nil"/>
            </w:tcBorders>
            <w:shd w:val="clear" w:color="000000" w:fill="FFFFFF"/>
            <w:noWrap/>
            <w:vAlign w:val="center"/>
            <w:hideMark/>
          </w:tcPr>
          <w:p w14:paraId="39B2948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-3,893</w:t>
            </w:r>
          </w:p>
        </w:tc>
        <w:tc>
          <w:tcPr>
            <w:tcW w:w="456" w:type="pct"/>
            <w:tcBorders>
              <w:top w:val="nil"/>
              <w:left w:val="nil"/>
              <w:bottom w:val="nil"/>
              <w:right w:val="nil"/>
            </w:tcBorders>
            <w:shd w:val="clear" w:color="000000" w:fill="FFFFFF"/>
            <w:noWrap/>
            <w:vAlign w:val="center"/>
            <w:hideMark/>
          </w:tcPr>
          <w:p w14:paraId="12F9FBC2"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-9,161</w:t>
            </w:r>
          </w:p>
        </w:tc>
        <w:tc>
          <w:tcPr>
            <w:tcW w:w="456" w:type="pct"/>
            <w:tcBorders>
              <w:top w:val="nil"/>
              <w:left w:val="nil"/>
              <w:bottom w:val="nil"/>
              <w:right w:val="nil"/>
            </w:tcBorders>
            <w:shd w:val="clear" w:color="000000" w:fill="FFFFFF"/>
            <w:noWrap/>
            <w:vAlign w:val="center"/>
            <w:hideMark/>
          </w:tcPr>
          <w:p w14:paraId="1B3BF1BC"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w:t>
            </w:r>
          </w:p>
        </w:tc>
        <w:tc>
          <w:tcPr>
            <w:tcW w:w="62" w:type="pct"/>
            <w:tcBorders>
              <w:top w:val="nil"/>
              <w:left w:val="nil"/>
              <w:bottom w:val="nil"/>
              <w:right w:val="nil"/>
            </w:tcBorders>
            <w:shd w:val="clear" w:color="000000" w:fill="FFFFFF"/>
            <w:noWrap/>
            <w:vAlign w:val="center"/>
            <w:hideMark/>
          </w:tcPr>
          <w:p w14:paraId="65B56BD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nil"/>
              <w:right w:val="nil"/>
            </w:tcBorders>
            <w:shd w:val="clear" w:color="000000" w:fill="FFFFFF"/>
            <w:noWrap/>
            <w:vAlign w:val="center"/>
            <w:hideMark/>
          </w:tcPr>
          <w:p w14:paraId="7BF83B26"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w:t>
            </w:r>
          </w:p>
        </w:tc>
      </w:tr>
      <w:tr w:rsidR="004F4318" w14:paraId="5AEBC7E3"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5751491C"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Total variations</w:t>
            </w:r>
          </w:p>
        </w:tc>
        <w:tc>
          <w:tcPr>
            <w:tcW w:w="457" w:type="pct"/>
            <w:tcBorders>
              <w:top w:val="single" w:sz="4" w:space="0" w:color="293F5B"/>
              <w:left w:val="nil"/>
              <w:bottom w:val="single" w:sz="4" w:space="0" w:color="293F5B"/>
              <w:right w:val="nil"/>
            </w:tcBorders>
            <w:shd w:val="clear" w:color="000000" w:fill="FFFFFF"/>
            <w:noWrap/>
            <w:vAlign w:val="center"/>
            <w:hideMark/>
          </w:tcPr>
          <w:p w14:paraId="646E8DDD"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-10,590</w:t>
            </w:r>
          </w:p>
        </w:tc>
        <w:tc>
          <w:tcPr>
            <w:tcW w:w="456" w:type="pct"/>
            <w:tcBorders>
              <w:top w:val="single" w:sz="4" w:space="0" w:color="293F5B"/>
              <w:left w:val="nil"/>
              <w:bottom w:val="single" w:sz="4" w:space="0" w:color="293F5B"/>
              <w:right w:val="nil"/>
            </w:tcBorders>
            <w:shd w:val="clear" w:color="000000" w:fill="E6F2FF"/>
            <w:noWrap/>
            <w:vAlign w:val="center"/>
            <w:hideMark/>
          </w:tcPr>
          <w:p w14:paraId="00453733"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-3,677</w:t>
            </w:r>
          </w:p>
        </w:tc>
        <w:tc>
          <w:tcPr>
            <w:tcW w:w="456" w:type="pct"/>
            <w:tcBorders>
              <w:top w:val="single" w:sz="4" w:space="0" w:color="293F5B"/>
              <w:left w:val="nil"/>
              <w:bottom w:val="single" w:sz="4" w:space="0" w:color="293F5B"/>
              <w:right w:val="nil"/>
            </w:tcBorders>
            <w:shd w:val="clear" w:color="000000" w:fill="FFFFFF"/>
            <w:noWrap/>
            <w:vAlign w:val="center"/>
            <w:hideMark/>
          </w:tcPr>
          <w:p w14:paraId="7A633FD1"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-3,828</w:t>
            </w:r>
          </w:p>
        </w:tc>
        <w:tc>
          <w:tcPr>
            <w:tcW w:w="456" w:type="pct"/>
            <w:tcBorders>
              <w:top w:val="single" w:sz="4" w:space="0" w:color="293F5B"/>
              <w:left w:val="nil"/>
              <w:bottom w:val="single" w:sz="4" w:space="0" w:color="293F5B"/>
              <w:right w:val="nil"/>
            </w:tcBorders>
            <w:shd w:val="clear" w:color="000000" w:fill="FFFFFF"/>
            <w:noWrap/>
            <w:vAlign w:val="center"/>
            <w:hideMark/>
          </w:tcPr>
          <w:p w14:paraId="4C944025"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-6,479</w:t>
            </w:r>
          </w:p>
        </w:tc>
        <w:tc>
          <w:tcPr>
            <w:tcW w:w="456" w:type="pct"/>
            <w:tcBorders>
              <w:top w:val="single" w:sz="4" w:space="0" w:color="293F5B"/>
              <w:left w:val="nil"/>
              <w:bottom w:val="single" w:sz="4" w:space="0" w:color="293F5B"/>
              <w:right w:val="nil"/>
            </w:tcBorders>
            <w:shd w:val="clear" w:color="000000" w:fill="FFFFFF"/>
            <w:noWrap/>
            <w:vAlign w:val="center"/>
            <w:hideMark/>
          </w:tcPr>
          <w:p w14:paraId="6E6DA008"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w:t>
            </w:r>
          </w:p>
        </w:tc>
        <w:tc>
          <w:tcPr>
            <w:tcW w:w="62" w:type="pct"/>
            <w:tcBorders>
              <w:top w:val="nil"/>
              <w:left w:val="nil"/>
              <w:bottom w:val="nil"/>
              <w:right w:val="nil"/>
            </w:tcBorders>
            <w:shd w:val="clear" w:color="000000" w:fill="FFFFFF"/>
            <w:noWrap/>
            <w:vAlign w:val="center"/>
            <w:hideMark/>
          </w:tcPr>
          <w:p w14:paraId="7EA155E1"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571" w:type="pct"/>
            <w:tcBorders>
              <w:top w:val="single" w:sz="4" w:space="0" w:color="293F5B"/>
              <w:left w:val="nil"/>
              <w:bottom w:val="single" w:sz="4" w:space="0" w:color="293F5B"/>
              <w:right w:val="nil"/>
            </w:tcBorders>
            <w:shd w:val="clear" w:color="000000" w:fill="FFFFFF"/>
            <w:noWrap/>
            <w:vAlign w:val="center"/>
            <w:hideMark/>
          </w:tcPr>
          <w:p w14:paraId="0E688610" w14:textId="77777777" w:rsidR="004F4318" w:rsidRPr="00207DD5" w:rsidRDefault="004F4318" w:rsidP="004F4318">
            <w:pPr>
              <w:spacing w:before="0" w:after="0" w:line="240" w:lineRule="auto"/>
              <w:jc w:val="right"/>
              <w:rPr>
                <w:rFonts w:ascii="Arial" w:hAnsi="Arial" w:cs="Arial"/>
                <w:b/>
                <w:sz w:val="16"/>
                <w:szCs w:val="16"/>
              </w:rPr>
            </w:pPr>
            <w:r w:rsidRPr="00207DD5">
              <w:rPr>
                <w:rFonts w:ascii="Arial" w:hAnsi="Arial" w:cs="Arial"/>
                <w:b/>
                <w:sz w:val="16"/>
                <w:szCs w:val="16"/>
              </w:rPr>
              <w:t>*</w:t>
            </w:r>
          </w:p>
        </w:tc>
      </w:tr>
      <w:tr w:rsidR="004F4318" w14:paraId="38BD57C2" w14:textId="77777777" w:rsidTr="00F56B58">
        <w:trPr>
          <w:trHeight w:hRule="exact" w:val="60"/>
        </w:trPr>
        <w:tc>
          <w:tcPr>
            <w:tcW w:w="2086" w:type="pct"/>
            <w:tcBorders>
              <w:top w:val="nil"/>
              <w:left w:val="nil"/>
              <w:bottom w:val="nil"/>
              <w:right w:val="nil"/>
            </w:tcBorders>
            <w:shd w:val="clear" w:color="000000" w:fill="FFFFFF"/>
            <w:noWrap/>
            <w:vAlign w:val="center"/>
            <w:hideMark/>
          </w:tcPr>
          <w:p w14:paraId="22603286"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 </w:t>
            </w:r>
          </w:p>
        </w:tc>
        <w:tc>
          <w:tcPr>
            <w:tcW w:w="457" w:type="pct"/>
            <w:tcBorders>
              <w:top w:val="nil"/>
              <w:left w:val="nil"/>
              <w:bottom w:val="nil"/>
              <w:right w:val="nil"/>
            </w:tcBorders>
            <w:shd w:val="clear" w:color="000000" w:fill="FFFFFF"/>
            <w:noWrap/>
            <w:vAlign w:val="center"/>
            <w:hideMark/>
          </w:tcPr>
          <w:p w14:paraId="5F7EF71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E6F2FF"/>
            <w:noWrap/>
            <w:vAlign w:val="center"/>
            <w:hideMark/>
          </w:tcPr>
          <w:p w14:paraId="24DA71A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6B47831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317BE3C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78DD9FD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62" w:type="pct"/>
            <w:tcBorders>
              <w:top w:val="nil"/>
              <w:left w:val="nil"/>
              <w:bottom w:val="nil"/>
              <w:right w:val="nil"/>
            </w:tcBorders>
            <w:shd w:val="clear" w:color="000000" w:fill="FFFFFF"/>
            <w:noWrap/>
            <w:vAlign w:val="center"/>
            <w:hideMark/>
          </w:tcPr>
          <w:p w14:paraId="694A839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nil"/>
              <w:right w:val="nil"/>
            </w:tcBorders>
            <w:shd w:val="clear" w:color="000000" w:fill="FFFFFF"/>
            <w:noWrap/>
            <w:vAlign w:val="center"/>
            <w:hideMark/>
          </w:tcPr>
          <w:p w14:paraId="6AA78C46"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2B76FDB1"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52DC90C1"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2025-26 MYEFO fiscal balance</w:t>
            </w:r>
          </w:p>
        </w:tc>
        <w:tc>
          <w:tcPr>
            <w:tcW w:w="457" w:type="pct"/>
            <w:tcBorders>
              <w:top w:val="nil"/>
              <w:left w:val="nil"/>
              <w:bottom w:val="nil"/>
              <w:right w:val="nil"/>
            </w:tcBorders>
            <w:shd w:val="clear" w:color="000000" w:fill="FFFFFF"/>
            <w:noWrap/>
            <w:vAlign w:val="center"/>
            <w:hideMark/>
          </w:tcPr>
          <w:p w14:paraId="72AA2FCD"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-54,812</w:t>
            </w:r>
          </w:p>
        </w:tc>
        <w:tc>
          <w:tcPr>
            <w:tcW w:w="456" w:type="pct"/>
            <w:tcBorders>
              <w:top w:val="nil"/>
              <w:left w:val="nil"/>
              <w:bottom w:val="nil"/>
              <w:right w:val="nil"/>
            </w:tcBorders>
            <w:shd w:val="clear" w:color="000000" w:fill="E6F2FF"/>
            <w:noWrap/>
            <w:vAlign w:val="center"/>
            <w:hideMark/>
          </w:tcPr>
          <w:p w14:paraId="05F8B6B3"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-35,792</w:t>
            </w:r>
          </w:p>
        </w:tc>
        <w:tc>
          <w:tcPr>
            <w:tcW w:w="456" w:type="pct"/>
            <w:tcBorders>
              <w:top w:val="nil"/>
              <w:left w:val="nil"/>
              <w:bottom w:val="nil"/>
              <w:right w:val="nil"/>
            </w:tcBorders>
            <w:shd w:val="clear" w:color="000000" w:fill="FFFFFF"/>
            <w:noWrap/>
            <w:vAlign w:val="center"/>
            <w:hideMark/>
          </w:tcPr>
          <w:p w14:paraId="3185A1CF"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-43,213</w:t>
            </w:r>
          </w:p>
        </w:tc>
        <w:tc>
          <w:tcPr>
            <w:tcW w:w="456" w:type="pct"/>
            <w:tcBorders>
              <w:top w:val="nil"/>
              <w:left w:val="nil"/>
              <w:bottom w:val="nil"/>
              <w:right w:val="nil"/>
            </w:tcBorders>
            <w:shd w:val="clear" w:color="000000" w:fill="FFFFFF"/>
            <w:noWrap/>
            <w:vAlign w:val="center"/>
            <w:hideMark/>
          </w:tcPr>
          <w:p w14:paraId="6E9D3F30"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-43,741</w:t>
            </w:r>
          </w:p>
        </w:tc>
        <w:tc>
          <w:tcPr>
            <w:tcW w:w="456" w:type="pct"/>
            <w:tcBorders>
              <w:top w:val="nil"/>
              <w:left w:val="nil"/>
              <w:bottom w:val="nil"/>
              <w:right w:val="nil"/>
            </w:tcBorders>
            <w:shd w:val="clear" w:color="000000" w:fill="FFFFFF"/>
            <w:noWrap/>
            <w:vAlign w:val="center"/>
            <w:hideMark/>
          </w:tcPr>
          <w:p w14:paraId="218E0F19"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w:t>
            </w:r>
          </w:p>
        </w:tc>
        <w:tc>
          <w:tcPr>
            <w:tcW w:w="62" w:type="pct"/>
            <w:tcBorders>
              <w:top w:val="nil"/>
              <w:left w:val="nil"/>
              <w:bottom w:val="nil"/>
              <w:right w:val="nil"/>
            </w:tcBorders>
            <w:shd w:val="clear" w:color="000000" w:fill="FFFFFF"/>
            <w:noWrap/>
            <w:vAlign w:val="center"/>
            <w:hideMark/>
          </w:tcPr>
          <w:p w14:paraId="61E5F2E5"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571" w:type="pct"/>
            <w:tcBorders>
              <w:top w:val="nil"/>
              <w:left w:val="nil"/>
              <w:bottom w:val="nil"/>
              <w:right w:val="nil"/>
            </w:tcBorders>
            <w:shd w:val="clear" w:color="000000" w:fill="FFFFFF"/>
            <w:noWrap/>
            <w:vAlign w:val="center"/>
            <w:hideMark/>
          </w:tcPr>
          <w:p w14:paraId="4DA4199A" w14:textId="77777777" w:rsidR="004F4318" w:rsidRPr="00207DD5" w:rsidRDefault="004F4318" w:rsidP="004F4318">
            <w:pPr>
              <w:spacing w:before="0" w:after="0" w:line="240" w:lineRule="auto"/>
              <w:jc w:val="right"/>
              <w:rPr>
                <w:rFonts w:ascii="Arial" w:hAnsi="Arial" w:cs="Arial"/>
                <w:b/>
                <w:sz w:val="16"/>
                <w:szCs w:val="16"/>
              </w:rPr>
            </w:pPr>
            <w:r w:rsidRPr="00207DD5">
              <w:rPr>
                <w:rFonts w:ascii="Arial" w:hAnsi="Arial" w:cs="Arial"/>
                <w:b/>
                <w:sz w:val="16"/>
                <w:szCs w:val="16"/>
              </w:rPr>
              <w:t>*</w:t>
            </w:r>
          </w:p>
        </w:tc>
      </w:tr>
      <w:tr w:rsidR="004F4318" w14:paraId="797EA783"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0EEF337D"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Per cent of GDP</w:t>
            </w:r>
          </w:p>
        </w:tc>
        <w:tc>
          <w:tcPr>
            <w:tcW w:w="457" w:type="pct"/>
            <w:tcBorders>
              <w:top w:val="nil"/>
              <w:left w:val="nil"/>
              <w:bottom w:val="nil"/>
              <w:right w:val="nil"/>
            </w:tcBorders>
            <w:shd w:val="clear" w:color="000000" w:fill="FFFFFF"/>
            <w:noWrap/>
            <w:vAlign w:val="center"/>
            <w:hideMark/>
          </w:tcPr>
          <w:p w14:paraId="0997012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-1.9</w:t>
            </w:r>
          </w:p>
        </w:tc>
        <w:tc>
          <w:tcPr>
            <w:tcW w:w="456" w:type="pct"/>
            <w:tcBorders>
              <w:top w:val="nil"/>
              <w:left w:val="nil"/>
              <w:bottom w:val="nil"/>
              <w:right w:val="nil"/>
            </w:tcBorders>
            <w:shd w:val="clear" w:color="000000" w:fill="E6F2FF"/>
            <w:noWrap/>
            <w:vAlign w:val="center"/>
            <w:hideMark/>
          </w:tcPr>
          <w:p w14:paraId="011303B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-1.2</w:t>
            </w:r>
          </w:p>
        </w:tc>
        <w:tc>
          <w:tcPr>
            <w:tcW w:w="456" w:type="pct"/>
            <w:tcBorders>
              <w:top w:val="nil"/>
              <w:left w:val="nil"/>
              <w:bottom w:val="nil"/>
              <w:right w:val="nil"/>
            </w:tcBorders>
            <w:shd w:val="clear" w:color="000000" w:fill="FFFFFF"/>
            <w:noWrap/>
            <w:vAlign w:val="center"/>
            <w:hideMark/>
          </w:tcPr>
          <w:p w14:paraId="51833EB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-1.4</w:t>
            </w:r>
          </w:p>
        </w:tc>
        <w:tc>
          <w:tcPr>
            <w:tcW w:w="456" w:type="pct"/>
            <w:tcBorders>
              <w:top w:val="nil"/>
              <w:left w:val="nil"/>
              <w:bottom w:val="nil"/>
              <w:right w:val="nil"/>
            </w:tcBorders>
            <w:shd w:val="clear" w:color="000000" w:fill="FFFFFF"/>
            <w:noWrap/>
            <w:vAlign w:val="center"/>
            <w:hideMark/>
          </w:tcPr>
          <w:p w14:paraId="33095F7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-1.3</w:t>
            </w:r>
          </w:p>
        </w:tc>
        <w:tc>
          <w:tcPr>
            <w:tcW w:w="456" w:type="pct"/>
            <w:tcBorders>
              <w:top w:val="nil"/>
              <w:left w:val="nil"/>
              <w:bottom w:val="nil"/>
              <w:right w:val="nil"/>
            </w:tcBorders>
            <w:shd w:val="clear" w:color="000000" w:fill="FFFFFF"/>
            <w:noWrap/>
            <w:vAlign w:val="center"/>
            <w:hideMark/>
          </w:tcPr>
          <w:p w14:paraId="099F9ED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w:t>
            </w:r>
          </w:p>
        </w:tc>
        <w:tc>
          <w:tcPr>
            <w:tcW w:w="62" w:type="pct"/>
            <w:tcBorders>
              <w:top w:val="nil"/>
              <w:left w:val="nil"/>
              <w:bottom w:val="nil"/>
              <w:right w:val="nil"/>
            </w:tcBorders>
            <w:shd w:val="clear" w:color="000000" w:fill="FFFFFF"/>
            <w:noWrap/>
            <w:vAlign w:val="center"/>
            <w:hideMark/>
          </w:tcPr>
          <w:p w14:paraId="4B9D4C5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nil"/>
              <w:right w:val="nil"/>
            </w:tcBorders>
            <w:shd w:val="clear" w:color="000000" w:fill="FFFFFF"/>
            <w:noWrap/>
            <w:vAlign w:val="center"/>
            <w:hideMark/>
          </w:tcPr>
          <w:p w14:paraId="6C865BDA"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5B9D3366" w14:textId="77777777" w:rsidTr="00F56B58">
        <w:trPr>
          <w:trHeight w:hRule="exact" w:val="60"/>
        </w:trPr>
        <w:tc>
          <w:tcPr>
            <w:tcW w:w="2086" w:type="pct"/>
            <w:tcBorders>
              <w:top w:val="nil"/>
              <w:left w:val="nil"/>
              <w:bottom w:val="nil"/>
              <w:right w:val="nil"/>
            </w:tcBorders>
            <w:shd w:val="clear" w:color="000000" w:fill="FFFFFF"/>
            <w:noWrap/>
            <w:vAlign w:val="center"/>
            <w:hideMark/>
          </w:tcPr>
          <w:p w14:paraId="0AED4D65"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7" w:type="pct"/>
            <w:tcBorders>
              <w:top w:val="nil"/>
              <w:left w:val="nil"/>
              <w:bottom w:val="nil"/>
              <w:right w:val="nil"/>
            </w:tcBorders>
            <w:shd w:val="clear" w:color="000000" w:fill="FFFFFF"/>
            <w:noWrap/>
            <w:vAlign w:val="center"/>
            <w:hideMark/>
          </w:tcPr>
          <w:p w14:paraId="4CBED87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E6F2FF"/>
            <w:noWrap/>
            <w:vAlign w:val="center"/>
            <w:hideMark/>
          </w:tcPr>
          <w:p w14:paraId="5082E64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48C83F1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4528B89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463E0F8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62" w:type="pct"/>
            <w:tcBorders>
              <w:top w:val="nil"/>
              <w:left w:val="nil"/>
              <w:bottom w:val="nil"/>
              <w:right w:val="nil"/>
            </w:tcBorders>
            <w:shd w:val="clear" w:color="000000" w:fill="FFFFFF"/>
            <w:noWrap/>
            <w:vAlign w:val="center"/>
            <w:hideMark/>
          </w:tcPr>
          <w:p w14:paraId="55E7BC3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nil"/>
              <w:right w:val="nil"/>
            </w:tcBorders>
            <w:shd w:val="clear" w:color="000000" w:fill="FFFFFF"/>
            <w:noWrap/>
            <w:vAlign w:val="center"/>
            <w:hideMark/>
          </w:tcPr>
          <w:p w14:paraId="362C4699"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655B49DA"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38C9A566"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Changes from 2025-26 MYEFO</w:t>
            </w:r>
          </w:p>
        </w:tc>
        <w:tc>
          <w:tcPr>
            <w:tcW w:w="457" w:type="pct"/>
            <w:tcBorders>
              <w:top w:val="nil"/>
              <w:left w:val="nil"/>
              <w:bottom w:val="nil"/>
              <w:right w:val="nil"/>
            </w:tcBorders>
            <w:shd w:val="clear" w:color="000000" w:fill="FFFFFF"/>
            <w:noWrap/>
            <w:vAlign w:val="center"/>
            <w:hideMark/>
          </w:tcPr>
          <w:p w14:paraId="2ADB0FA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E6F2FF"/>
            <w:noWrap/>
            <w:vAlign w:val="center"/>
            <w:hideMark/>
          </w:tcPr>
          <w:p w14:paraId="30F3313C"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7CB4A8E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39C0AB8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2F80BBB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62" w:type="pct"/>
            <w:tcBorders>
              <w:top w:val="nil"/>
              <w:left w:val="nil"/>
              <w:bottom w:val="nil"/>
              <w:right w:val="nil"/>
            </w:tcBorders>
            <w:shd w:val="clear" w:color="000000" w:fill="FFFFFF"/>
            <w:noWrap/>
            <w:vAlign w:val="center"/>
            <w:hideMark/>
          </w:tcPr>
          <w:p w14:paraId="78AD863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nil"/>
              <w:right w:val="nil"/>
            </w:tcBorders>
            <w:shd w:val="clear" w:color="000000" w:fill="FFFFFF"/>
            <w:noWrap/>
            <w:vAlign w:val="center"/>
            <w:hideMark/>
          </w:tcPr>
          <w:p w14:paraId="3402AAB2"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19DDC495"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7A2D0C34" w14:textId="77777777" w:rsidR="004F4318" w:rsidRPr="007B5379" w:rsidRDefault="004F4318" w:rsidP="004F4318">
            <w:pPr>
              <w:spacing w:before="0" w:after="0" w:line="240" w:lineRule="auto"/>
              <w:ind w:firstLineChars="100" w:firstLine="161"/>
              <w:rPr>
                <w:rFonts w:ascii="Arial" w:hAnsi="Arial" w:cs="Arial"/>
                <w:b/>
                <w:color w:val="00FFFF"/>
                <w:sz w:val="16"/>
                <w:szCs w:val="16"/>
                <w:highlight w:val="magenta"/>
              </w:rPr>
            </w:pPr>
            <w:r w:rsidRPr="00207DD5">
              <w:rPr>
                <w:rFonts w:ascii="Arial" w:hAnsi="Arial" w:cs="Arial"/>
                <w:b/>
                <w:sz w:val="16"/>
                <w:szCs w:val="16"/>
              </w:rPr>
              <w:t>to 2026-27 Budget</w:t>
            </w:r>
          </w:p>
        </w:tc>
        <w:tc>
          <w:tcPr>
            <w:tcW w:w="457" w:type="pct"/>
            <w:tcBorders>
              <w:top w:val="nil"/>
              <w:left w:val="nil"/>
              <w:bottom w:val="nil"/>
              <w:right w:val="nil"/>
            </w:tcBorders>
            <w:shd w:val="clear" w:color="000000" w:fill="FFFFFF"/>
            <w:noWrap/>
            <w:vAlign w:val="center"/>
            <w:hideMark/>
          </w:tcPr>
          <w:p w14:paraId="2D3A293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E6F2FF"/>
            <w:noWrap/>
            <w:vAlign w:val="center"/>
            <w:hideMark/>
          </w:tcPr>
          <w:p w14:paraId="2B4B11D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79F86B8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4A41EEA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5E6CBFE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62" w:type="pct"/>
            <w:tcBorders>
              <w:top w:val="nil"/>
              <w:left w:val="nil"/>
              <w:bottom w:val="nil"/>
              <w:right w:val="nil"/>
            </w:tcBorders>
            <w:shd w:val="clear" w:color="000000" w:fill="FFFFFF"/>
            <w:noWrap/>
            <w:vAlign w:val="center"/>
            <w:hideMark/>
          </w:tcPr>
          <w:p w14:paraId="0D0ACED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nil"/>
              <w:right w:val="nil"/>
            </w:tcBorders>
            <w:shd w:val="clear" w:color="000000" w:fill="FFFFFF"/>
            <w:noWrap/>
            <w:vAlign w:val="center"/>
            <w:hideMark/>
          </w:tcPr>
          <w:p w14:paraId="72AE0AB5"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2B2D04C2"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6BCB414C"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Effect of policy decisions(a)(b)</w:t>
            </w:r>
          </w:p>
        </w:tc>
        <w:tc>
          <w:tcPr>
            <w:tcW w:w="457" w:type="pct"/>
            <w:tcBorders>
              <w:top w:val="nil"/>
              <w:left w:val="nil"/>
              <w:bottom w:val="nil"/>
              <w:right w:val="nil"/>
            </w:tcBorders>
            <w:shd w:val="clear" w:color="000000" w:fill="FFFFFF"/>
            <w:noWrap/>
            <w:vAlign w:val="center"/>
            <w:hideMark/>
          </w:tcPr>
          <w:p w14:paraId="6F94F12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E6F2FF"/>
            <w:noWrap/>
            <w:vAlign w:val="center"/>
            <w:hideMark/>
          </w:tcPr>
          <w:p w14:paraId="3FF4386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17250CD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036AF8F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39DCDEB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62" w:type="pct"/>
            <w:tcBorders>
              <w:top w:val="nil"/>
              <w:left w:val="nil"/>
              <w:bottom w:val="nil"/>
              <w:right w:val="nil"/>
            </w:tcBorders>
            <w:shd w:val="clear" w:color="000000" w:fill="FFFFFF"/>
            <w:noWrap/>
            <w:vAlign w:val="center"/>
            <w:hideMark/>
          </w:tcPr>
          <w:p w14:paraId="6957D50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nil"/>
              <w:right w:val="nil"/>
            </w:tcBorders>
            <w:shd w:val="clear" w:color="000000" w:fill="FFFFFF"/>
            <w:noWrap/>
            <w:vAlign w:val="center"/>
            <w:hideMark/>
          </w:tcPr>
          <w:p w14:paraId="69959975"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34FA0DD6"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791C457D" w14:textId="77777777" w:rsidR="004F4318" w:rsidRPr="007B5379" w:rsidRDefault="004F4318" w:rsidP="004F4318">
            <w:pPr>
              <w:spacing w:before="0" w:after="0" w:line="240" w:lineRule="auto"/>
              <w:ind w:firstLineChars="100" w:firstLine="160"/>
              <w:rPr>
                <w:rFonts w:ascii="Arial" w:hAnsi="Arial" w:cs="Arial"/>
                <w:i/>
                <w:color w:val="00FFFF"/>
                <w:sz w:val="16"/>
                <w:szCs w:val="16"/>
                <w:highlight w:val="magenta"/>
              </w:rPr>
            </w:pPr>
            <w:r w:rsidRPr="00207DD5">
              <w:rPr>
                <w:rFonts w:ascii="Arial" w:hAnsi="Arial" w:cs="Arial"/>
                <w:i/>
                <w:sz w:val="16"/>
                <w:szCs w:val="16"/>
              </w:rPr>
              <w:t>Revenue</w:t>
            </w:r>
          </w:p>
        </w:tc>
        <w:tc>
          <w:tcPr>
            <w:tcW w:w="457" w:type="pct"/>
            <w:tcBorders>
              <w:top w:val="nil"/>
              <w:left w:val="nil"/>
              <w:bottom w:val="nil"/>
              <w:right w:val="nil"/>
            </w:tcBorders>
            <w:shd w:val="clear" w:color="000000" w:fill="FFFFFF"/>
            <w:noWrap/>
            <w:vAlign w:val="center"/>
            <w:hideMark/>
          </w:tcPr>
          <w:p w14:paraId="4CA2C365"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-3,918</w:t>
            </w:r>
          </w:p>
        </w:tc>
        <w:tc>
          <w:tcPr>
            <w:tcW w:w="456" w:type="pct"/>
            <w:tcBorders>
              <w:top w:val="nil"/>
              <w:left w:val="nil"/>
              <w:bottom w:val="nil"/>
              <w:right w:val="nil"/>
            </w:tcBorders>
            <w:shd w:val="clear" w:color="000000" w:fill="E6F2FF"/>
            <w:noWrap/>
            <w:vAlign w:val="center"/>
            <w:hideMark/>
          </w:tcPr>
          <w:p w14:paraId="1B2EE49E"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2,537</w:t>
            </w:r>
          </w:p>
        </w:tc>
        <w:tc>
          <w:tcPr>
            <w:tcW w:w="456" w:type="pct"/>
            <w:tcBorders>
              <w:top w:val="nil"/>
              <w:left w:val="nil"/>
              <w:bottom w:val="nil"/>
              <w:right w:val="nil"/>
            </w:tcBorders>
            <w:shd w:val="clear" w:color="000000" w:fill="FFFFFF"/>
            <w:noWrap/>
            <w:vAlign w:val="center"/>
            <w:hideMark/>
          </w:tcPr>
          <w:p w14:paraId="71053C97"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692</w:t>
            </w:r>
          </w:p>
        </w:tc>
        <w:tc>
          <w:tcPr>
            <w:tcW w:w="456" w:type="pct"/>
            <w:tcBorders>
              <w:top w:val="nil"/>
              <w:left w:val="nil"/>
              <w:bottom w:val="nil"/>
              <w:right w:val="nil"/>
            </w:tcBorders>
            <w:shd w:val="clear" w:color="000000" w:fill="FFFFFF"/>
            <w:noWrap/>
            <w:vAlign w:val="center"/>
            <w:hideMark/>
          </w:tcPr>
          <w:p w14:paraId="70F259B9"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-589</w:t>
            </w:r>
          </w:p>
        </w:tc>
        <w:tc>
          <w:tcPr>
            <w:tcW w:w="456" w:type="pct"/>
            <w:tcBorders>
              <w:top w:val="nil"/>
              <w:left w:val="nil"/>
              <w:bottom w:val="nil"/>
              <w:right w:val="nil"/>
            </w:tcBorders>
            <w:shd w:val="clear" w:color="000000" w:fill="FFFFFF"/>
            <w:noWrap/>
            <w:vAlign w:val="center"/>
            <w:hideMark/>
          </w:tcPr>
          <w:p w14:paraId="1C690B91"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7,618</w:t>
            </w:r>
          </w:p>
        </w:tc>
        <w:tc>
          <w:tcPr>
            <w:tcW w:w="62" w:type="pct"/>
            <w:tcBorders>
              <w:top w:val="nil"/>
              <w:left w:val="nil"/>
              <w:bottom w:val="nil"/>
              <w:right w:val="nil"/>
            </w:tcBorders>
            <w:shd w:val="clear" w:color="000000" w:fill="FFFFFF"/>
            <w:noWrap/>
            <w:vAlign w:val="center"/>
            <w:hideMark/>
          </w:tcPr>
          <w:p w14:paraId="04ED68CF"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571" w:type="pct"/>
            <w:tcBorders>
              <w:top w:val="nil"/>
              <w:left w:val="nil"/>
              <w:bottom w:val="nil"/>
              <w:right w:val="nil"/>
            </w:tcBorders>
            <w:shd w:val="clear" w:color="000000" w:fill="FFFFFF"/>
            <w:noWrap/>
            <w:vAlign w:val="center"/>
            <w:hideMark/>
          </w:tcPr>
          <w:p w14:paraId="22DA8A58" w14:textId="77777777" w:rsidR="004F4318" w:rsidRPr="00207DD5" w:rsidRDefault="004F4318" w:rsidP="004F4318">
            <w:pPr>
              <w:spacing w:before="0" w:after="0" w:line="240" w:lineRule="auto"/>
              <w:jc w:val="right"/>
              <w:rPr>
                <w:rFonts w:ascii="Arial" w:hAnsi="Arial" w:cs="Arial"/>
                <w:i/>
                <w:sz w:val="16"/>
                <w:szCs w:val="16"/>
              </w:rPr>
            </w:pPr>
            <w:r w:rsidRPr="00207DD5">
              <w:rPr>
                <w:rFonts w:ascii="Arial" w:hAnsi="Arial" w:cs="Arial"/>
                <w:i/>
                <w:sz w:val="16"/>
                <w:szCs w:val="16"/>
              </w:rPr>
              <w:t>6,340</w:t>
            </w:r>
          </w:p>
        </w:tc>
      </w:tr>
      <w:tr w:rsidR="004F4318" w14:paraId="615F32F1"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77F1A999" w14:textId="77777777" w:rsidR="004F4318" w:rsidRPr="007B5379" w:rsidRDefault="004F4318" w:rsidP="004F4318">
            <w:pPr>
              <w:spacing w:before="0" w:after="0" w:line="240" w:lineRule="auto"/>
              <w:ind w:firstLineChars="100" w:firstLine="160"/>
              <w:rPr>
                <w:rFonts w:ascii="Arial" w:hAnsi="Arial" w:cs="Arial"/>
                <w:i/>
                <w:color w:val="00FFFF"/>
                <w:sz w:val="16"/>
                <w:szCs w:val="16"/>
                <w:highlight w:val="magenta"/>
              </w:rPr>
            </w:pPr>
            <w:r w:rsidRPr="00207DD5">
              <w:rPr>
                <w:rFonts w:ascii="Arial" w:hAnsi="Arial" w:cs="Arial"/>
                <w:i/>
                <w:sz w:val="16"/>
                <w:szCs w:val="16"/>
              </w:rPr>
              <w:t xml:space="preserve">Expenses </w:t>
            </w:r>
          </w:p>
        </w:tc>
        <w:tc>
          <w:tcPr>
            <w:tcW w:w="457" w:type="pct"/>
            <w:tcBorders>
              <w:top w:val="nil"/>
              <w:left w:val="nil"/>
              <w:bottom w:val="nil"/>
              <w:right w:val="nil"/>
            </w:tcBorders>
            <w:shd w:val="clear" w:color="000000" w:fill="FFFFFF"/>
            <w:noWrap/>
            <w:vAlign w:val="center"/>
            <w:hideMark/>
          </w:tcPr>
          <w:p w14:paraId="0D045124"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2,278</w:t>
            </w:r>
          </w:p>
        </w:tc>
        <w:tc>
          <w:tcPr>
            <w:tcW w:w="456" w:type="pct"/>
            <w:tcBorders>
              <w:top w:val="nil"/>
              <w:left w:val="nil"/>
              <w:bottom w:val="nil"/>
              <w:right w:val="nil"/>
            </w:tcBorders>
            <w:shd w:val="clear" w:color="000000" w:fill="E6F2FF"/>
            <w:noWrap/>
            <w:vAlign w:val="center"/>
            <w:hideMark/>
          </w:tcPr>
          <w:p w14:paraId="79A97D9C"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6,358</w:t>
            </w:r>
          </w:p>
        </w:tc>
        <w:tc>
          <w:tcPr>
            <w:tcW w:w="456" w:type="pct"/>
            <w:tcBorders>
              <w:top w:val="nil"/>
              <w:left w:val="nil"/>
              <w:bottom w:val="nil"/>
              <w:right w:val="nil"/>
            </w:tcBorders>
            <w:shd w:val="clear" w:color="000000" w:fill="FFFFFF"/>
            <w:noWrap/>
            <w:vAlign w:val="center"/>
            <w:hideMark/>
          </w:tcPr>
          <w:p w14:paraId="7644B7F7"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1,157</w:t>
            </w:r>
          </w:p>
        </w:tc>
        <w:tc>
          <w:tcPr>
            <w:tcW w:w="456" w:type="pct"/>
            <w:tcBorders>
              <w:top w:val="nil"/>
              <w:left w:val="nil"/>
              <w:bottom w:val="nil"/>
              <w:right w:val="nil"/>
            </w:tcBorders>
            <w:shd w:val="clear" w:color="000000" w:fill="FFFFFF"/>
            <w:noWrap/>
            <w:vAlign w:val="center"/>
            <w:hideMark/>
          </w:tcPr>
          <w:p w14:paraId="455266F5"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-4,777</w:t>
            </w:r>
          </w:p>
        </w:tc>
        <w:tc>
          <w:tcPr>
            <w:tcW w:w="456" w:type="pct"/>
            <w:tcBorders>
              <w:top w:val="nil"/>
              <w:left w:val="nil"/>
              <w:bottom w:val="nil"/>
              <w:right w:val="nil"/>
            </w:tcBorders>
            <w:shd w:val="clear" w:color="000000" w:fill="FFFFFF"/>
            <w:noWrap/>
            <w:vAlign w:val="center"/>
            <w:hideMark/>
          </w:tcPr>
          <w:p w14:paraId="054491F6"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-12,169</w:t>
            </w:r>
          </w:p>
        </w:tc>
        <w:tc>
          <w:tcPr>
            <w:tcW w:w="62" w:type="pct"/>
            <w:tcBorders>
              <w:top w:val="nil"/>
              <w:left w:val="nil"/>
              <w:bottom w:val="nil"/>
              <w:right w:val="nil"/>
            </w:tcBorders>
            <w:shd w:val="clear" w:color="000000" w:fill="FFFFFF"/>
            <w:noWrap/>
            <w:vAlign w:val="center"/>
            <w:hideMark/>
          </w:tcPr>
          <w:p w14:paraId="32A02C63"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571" w:type="pct"/>
            <w:tcBorders>
              <w:top w:val="nil"/>
              <w:left w:val="nil"/>
              <w:bottom w:val="nil"/>
              <w:right w:val="nil"/>
            </w:tcBorders>
            <w:shd w:val="clear" w:color="000000" w:fill="FFFFFF"/>
            <w:noWrap/>
            <w:vAlign w:val="center"/>
            <w:hideMark/>
          </w:tcPr>
          <w:p w14:paraId="45D39746" w14:textId="77777777" w:rsidR="004F4318" w:rsidRPr="00207DD5" w:rsidRDefault="004F4318" w:rsidP="004F4318">
            <w:pPr>
              <w:spacing w:before="0" w:after="0" w:line="240" w:lineRule="auto"/>
              <w:jc w:val="right"/>
              <w:rPr>
                <w:rFonts w:ascii="Arial" w:hAnsi="Arial" w:cs="Arial"/>
                <w:i/>
                <w:sz w:val="16"/>
                <w:szCs w:val="16"/>
              </w:rPr>
            </w:pPr>
            <w:r w:rsidRPr="00207DD5">
              <w:rPr>
                <w:rFonts w:ascii="Arial" w:hAnsi="Arial" w:cs="Arial"/>
                <w:i/>
                <w:sz w:val="16"/>
                <w:szCs w:val="16"/>
              </w:rPr>
              <w:t>-7,153</w:t>
            </w:r>
          </w:p>
        </w:tc>
      </w:tr>
      <w:tr w:rsidR="004F4318" w14:paraId="3BE6E884"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1C323194" w14:textId="77777777" w:rsidR="004F4318" w:rsidRPr="007B5379" w:rsidRDefault="004F4318" w:rsidP="004F4318">
            <w:pPr>
              <w:spacing w:before="0" w:after="0" w:line="240" w:lineRule="auto"/>
              <w:ind w:firstLineChars="100" w:firstLine="160"/>
              <w:rPr>
                <w:rFonts w:ascii="Arial" w:hAnsi="Arial" w:cs="Arial"/>
                <w:i/>
                <w:color w:val="00FFFF"/>
                <w:sz w:val="16"/>
                <w:szCs w:val="16"/>
                <w:highlight w:val="magenta"/>
              </w:rPr>
            </w:pPr>
            <w:r w:rsidRPr="00207DD5">
              <w:rPr>
                <w:rFonts w:ascii="Arial" w:hAnsi="Arial" w:cs="Arial"/>
                <w:i/>
                <w:sz w:val="16"/>
                <w:szCs w:val="16"/>
              </w:rPr>
              <w:t>Net capital investment</w:t>
            </w:r>
          </w:p>
        </w:tc>
        <w:tc>
          <w:tcPr>
            <w:tcW w:w="457" w:type="pct"/>
            <w:tcBorders>
              <w:top w:val="nil"/>
              <w:left w:val="nil"/>
              <w:bottom w:val="nil"/>
              <w:right w:val="nil"/>
            </w:tcBorders>
            <w:shd w:val="clear" w:color="000000" w:fill="FFFFFF"/>
            <w:noWrap/>
            <w:vAlign w:val="center"/>
            <w:hideMark/>
          </w:tcPr>
          <w:p w14:paraId="4CA4AF11"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3</w:t>
            </w:r>
          </w:p>
        </w:tc>
        <w:tc>
          <w:tcPr>
            <w:tcW w:w="456" w:type="pct"/>
            <w:tcBorders>
              <w:top w:val="nil"/>
              <w:left w:val="nil"/>
              <w:bottom w:val="nil"/>
              <w:right w:val="nil"/>
            </w:tcBorders>
            <w:shd w:val="clear" w:color="000000" w:fill="E6F2FF"/>
            <w:noWrap/>
            <w:vAlign w:val="center"/>
            <w:hideMark/>
          </w:tcPr>
          <w:p w14:paraId="64DCF0C5"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1,667</w:t>
            </w:r>
          </w:p>
        </w:tc>
        <w:tc>
          <w:tcPr>
            <w:tcW w:w="456" w:type="pct"/>
            <w:tcBorders>
              <w:top w:val="nil"/>
              <w:left w:val="nil"/>
              <w:bottom w:val="nil"/>
              <w:right w:val="nil"/>
            </w:tcBorders>
            <w:shd w:val="clear" w:color="000000" w:fill="FFFFFF"/>
            <w:noWrap/>
            <w:vAlign w:val="center"/>
            <w:hideMark/>
          </w:tcPr>
          <w:p w14:paraId="0B0DAE5B"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1,616</w:t>
            </w:r>
          </w:p>
        </w:tc>
        <w:tc>
          <w:tcPr>
            <w:tcW w:w="456" w:type="pct"/>
            <w:tcBorders>
              <w:top w:val="nil"/>
              <w:left w:val="nil"/>
              <w:bottom w:val="nil"/>
              <w:right w:val="nil"/>
            </w:tcBorders>
            <w:shd w:val="clear" w:color="000000" w:fill="FFFFFF"/>
            <w:noWrap/>
            <w:vAlign w:val="center"/>
            <w:hideMark/>
          </w:tcPr>
          <w:p w14:paraId="26E6850B"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-227</w:t>
            </w:r>
          </w:p>
        </w:tc>
        <w:tc>
          <w:tcPr>
            <w:tcW w:w="456" w:type="pct"/>
            <w:tcBorders>
              <w:top w:val="nil"/>
              <w:left w:val="nil"/>
              <w:bottom w:val="nil"/>
              <w:right w:val="nil"/>
            </w:tcBorders>
            <w:shd w:val="clear" w:color="000000" w:fill="FFFFFF"/>
            <w:noWrap/>
            <w:vAlign w:val="center"/>
            <w:hideMark/>
          </w:tcPr>
          <w:p w14:paraId="748AC25F"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244</w:t>
            </w:r>
          </w:p>
        </w:tc>
        <w:tc>
          <w:tcPr>
            <w:tcW w:w="62" w:type="pct"/>
            <w:tcBorders>
              <w:top w:val="nil"/>
              <w:left w:val="nil"/>
              <w:bottom w:val="nil"/>
              <w:right w:val="nil"/>
            </w:tcBorders>
            <w:shd w:val="clear" w:color="000000" w:fill="FFFFFF"/>
            <w:noWrap/>
            <w:vAlign w:val="center"/>
            <w:hideMark/>
          </w:tcPr>
          <w:p w14:paraId="0A4FAC61"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571" w:type="pct"/>
            <w:tcBorders>
              <w:top w:val="nil"/>
              <w:left w:val="nil"/>
              <w:bottom w:val="nil"/>
              <w:right w:val="nil"/>
            </w:tcBorders>
            <w:shd w:val="clear" w:color="000000" w:fill="FFFFFF"/>
            <w:noWrap/>
            <w:vAlign w:val="center"/>
            <w:hideMark/>
          </w:tcPr>
          <w:p w14:paraId="2D94AE13" w14:textId="77777777" w:rsidR="004F4318" w:rsidRPr="00207DD5" w:rsidRDefault="004F4318" w:rsidP="004F4318">
            <w:pPr>
              <w:spacing w:before="0" w:after="0" w:line="240" w:lineRule="auto"/>
              <w:jc w:val="right"/>
              <w:rPr>
                <w:rFonts w:ascii="Arial" w:hAnsi="Arial" w:cs="Arial"/>
                <w:i/>
                <w:sz w:val="16"/>
                <w:szCs w:val="16"/>
              </w:rPr>
            </w:pPr>
            <w:r w:rsidRPr="00207DD5">
              <w:rPr>
                <w:rFonts w:ascii="Arial" w:hAnsi="Arial" w:cs="Arial"/>
                <w:i/>
                <w:sz w:val="16"/>
                <w:szCs w:val="16"/>
              </w:rPr>
              <w:t>3,303</w:t>
            </w:r>
          </w:p>
        </w:tc>
      </w:tr>
      <w:tr w:rsidR="004F4318" w14:paraId="55B237F4" w14:textId="77777777" w:rsidTr="00F56B58">
        <w:trPr>
          <w:trHeight w:hRule="exact" w:val="225"/>
        </w:trPr>
        <w:tc>
          <w:tcPr>
            <w:tcW w:w="2086" w:type="pct"/>
            <w:tcBorders>
              <w:top w:val="nil"/>
              <w:left w:val="nil"/>
              <w:bottom w:val="nil"/>
              <w:right w:val="nil"/>
            </w:tcBorders>
            <w:shd w:val="clear" w:color="000000" w:fill="FFFFFF"/>
            <w:noWrap/>
            <w:vAlign w:val="bottom"/>
            <w:hideMark/>
          </w:tcPr>
          <w:p w14:paraId="2472F316"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Total policy decisions impact on fiscal balance</w:t>
            </w:r>
          </w:p>
        </w:tc>
        <w:tc>
          <w:tcPr>
            <w:tcW w:w="457" w:type="pct"/>
            <w:tcBorders>
              <w:top w:val="single" w:sz="4" w:space="0" w:color="293F5B"/>
              <w:left w:val="nil"/>
              <w:bottom w:val="single" w:sz="4" w:space="0" w:color="293F5B"/>
              <w:right w:val="nil"/>
            </w:tcBorders>
            <w:shd w:val="clear" w:color="000000" w:fill="FFFFFF"/>
            <w:vAlign w:val="center"/>
            <w:hideMark/>
          </w:tcPr>
          <w:p w14:paraId="68E4526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-6,199</w:t>
            </w:r>
          </w:p>
        </w:tc>
        <w:tc>
          <w:tcPr>
            <w:tcW w:w="456" w:type="pct"/>
            <w:tcBorders>
              <w:top w:val="single" w:sz="4" w:space="0" w:color="293F5B"/>
              <w:left w:val="nil"/>
              <w:bottom w:val="single" w:sz="4" w:space="0" w:color="293F5B"/>
              <w:right w:val="nil"/>
            </w:tcBorders>
            <w:shd w:val="clear" w:color="000000" w:fill="E6F2FF"/>
            <w:vAlign w:val="center"/>
            <w:hideMark/>
          </w:tcPr>
          <w:p w14:paraId="1A3946B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-5,488</w:t>
            </w:r>
          </w:p>
        </w:tc>
        <w:tc>
          <w:tcPr>
            <w:tcW w:w="456" w:type="pct"/>
            <w:tcBorders>
              <w:top w:val="single" w:sz="4" w:space="0" w:color="293F5B"/>
              <w:left w:val="nil"/>
              <w:bottom w:val="single" w:sz="4" w:space="0" w:color="293F5B"/>
              <w:right w:val="nil"/>
            </w:tcBorders>
            <w:shd w:val="clear" w:color="000000" w:fill="FFFFFF"/>
            <w:vAlign w:val="center"/>
            <w:hideMark/>
          </w:tcPr>
          <w:p w14:paraId="225A3DB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-2,081</w:t>
            </w:r>
          </w:p>
        </w:tc>
        <w:tc>
          <w:tcPr>
            <w:tcW w:w="456" w:type="pct"/>
            <w:tcBorders>
              <w:top w:val="single" w:sz="4" w:space="0" w:color="293F5B"/>
              <w:left w:val="nil"/>
              <w:bottom w:val="single" w:sz="4" w:space="0" w:color="293F5B"/>
              <w:right w:val="nil"/>
            </w:tcBorders>
            <w:shd w:val="clear" w:color="000000" w:fill="FFFFFF"/>
            <w:vAlign w:val="center"/>
            <w:hideMark/>
          </w:tcPr>
          <w:p w14:paraId="7AFE2C2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4,415</w:t>
            </w:r>
          </w:p>
        </w:tc>
        <w:tc>
          <w:tcPr>
            <w:tcW w:w="456" w:type="pct"/>
            <w:tcBorders>
              <w:top w:val="single" w:sz="4" w:space="0" w:color="293F5B"/>
              <w:left w:val="nil"/>
              <w:bottom w:val="single" w:sz="4" w:space="0" w:color="293F5B"/>
              <w:right w:val="nil"/>
            </w:tcBorders>
            <w:shd w:val="clear" w:color="000000" w:fill="FFFFFF"/>
            <w:vAlign w:val="center"/>
            <w:hideMark/>
          </w:tcPr>
          <w:p w14:paraId="03F1E25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19,543</w:t>
            </w:r>
          </w:p>
        </w:tc>
        <w:tc>
          <w:tcPr>
            <w:tcW w:w="62" w:type="pct"/>
            <w:tcBorders>
              <w:top w:val="nil"/>
              <w:left w:val="nil"/>
              <w:bottom w:val="nil"/>
              <w:right w:val="nil"/>
            </w:tcBorders>
            <w:shd w:val="clear" w:color="000000" w:fill="FFFFFF"/>
            <w:vAlign w:val="center"/>
            <w:hideMark/>
          </w:tcPr>
          <w:p w14:paraId="7184E05F"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single" w:sz="4" w:space="0" w:color="293F5B"/>
              <w:left w:val="nil"/>
              <w:bottom w:val="single" w:sz="4" w:space="0" w:color="293F5B"/>
              <w:right w:val="nil"/>
            </w:tcBorders>
            <w:shd w:val="clear" w:color="000000" w:fill="FFFFFF"/>
            <w:noWrap/>
            <w:vAlign w:val="center"/>
            <w:hideMark/>
          </w:tcPr>
          <w:p w14:paraId="11A08244"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10,190</w:t>
            </w:r>
          </w:p>
        </w:tc>
      </w:tr>
      <w:tr w:rsidR="004F4318" w14:paraId="12206E71" w14:textId="77777777" w:rsidTr="00F56B58">
        <w:trPr>
          <w:trHeight w:hRule="exact" w:val="60"/>
        </w:trPr>
        <w:tc>
          <w:tcPr>
            <w:tcW w:w="2086" w:type="pct"/>
            <w:tcBorders>
              <w:top w:val="nil"/>
              <w:left w:val="nil"/>
              <w:bottom w:val="nil"/>
              <w:right w:val="nil"/>
            </w:tcBorders>
            <w:shd w:val="clear" w:color="000000" w:fill="FFFFFF"/>
            <w:noWrap/>
            <w:vAlign w:val="center"/>
            <w:hideMark/>
          </w:tcPr>
          <w:p w14:paraId="31196FE5"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7" w:type="pct"/>
            <w:tcBorders>
              <w:top w:val="nil"/>
              <w:left w:val="nil"/>
              <w:bottom w:val="nil"/>
              <w:right w:val="nil"/>
            </w:tcBorders>
            <w:shd w:val="clear" w:color="000000" w:fill="FFFFFF"/>
            <w:noWrap/>
            <w:vAlign w:val="center"/>
            <w:hideMark/>
          </w:tcPr>
          <w:p w14:paraId="37E67F6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E6F2FF"/>
            <w:noWrap/>
            <w:vAlign w:val="center"/>
            <w:hideMark/>
          </w:tcPr>
          <w:p w14:paraId="20B18841"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55C4DB3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7C19956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7C858FD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62" w:type="pct"/>
            <w:tcBorders>
              <w:top w:val="nil"/>
              <w:left w:val="nil"/>
              <w:bottom w:val="nil"/>
              <w:right w:val="nil"/>
            </w:tcBorders>
            <w:shd w:val="clear" w:color="000000" w:fill="FFFFFF"/>
            <w:noWrap/>
            <w:vAlign w:val="center"/>
            <w:hideMark/>
          </w:tcPr>
          <w:p w14:paraId="2AED36C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nil"/>
              <w:right w:val="nil"/>
            </w:tcBorders>
            <w:shd w:val="clear" w:color="000000" w:fill="FFFFFF"/>
            <w:noWrap/>
            <w:vAlign w:val="center"/>
            <w:hideMark/>
          </w:tcPr>
          <w:p w14:paraId="695C39C0"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6B0F0088"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0139A9EA"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Effect of parameter and other variations(b)</w:t>
            </w:r>
          </w:p>
        </w:tc>
        <w:tc>
          <w:tcPr>
            <w:tcW w:w="457" w:type="pct"/>
            <w:tcBorders>
              <w:top w:val="nil"/>
              <w:left w:val="nil"/>
              <w:bottom w:val="nil"/>
              <w:right w:val="nil"/>
            </w:tcBorders>
            <w:shd w:val="clear" w:color="000000" w:fill="FFFFFF"/>
            <w:noWrap/>
            <w:vAlign w:val="center"/>
            <w:hideMark/>
          </w:tcPr>
          <w:p w14:paraId="1C3826B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E6F2FF"/>
            <w:noWrap/>
            <w:vAlign w:val="center"/>
            <w:hideMark/>
          </w:tcPr>
          <w:p w14:paraId="3131F082"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63E468C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4C948FA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7A586E8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62" w:type="pct"/>
            <w:tcBorders>
              <w:top w:val="nil"/>
              <w:left w:val="nil"/>
              <w:bottom w:val="nil"/>
              <w:right w:val="nil"/>
            </w:tcBorders>
            <w:shd w:val="clear" w:color="000000" w:fill="FFFFFF"/>
            <w:noWrap/>
            <w:vAlign w:val="center"/>
            <w:hideMark/>
          </w:tcPr>
          <w:p w14:paraId="2D954853"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nil"/>
              <w:right w:val="nil"/>
            </w:tcBorders>
            <w:shd w:val="clear" w:color="000000" w:fill="FFFFFF"/>
            <w:noWrap/>
            <w:vAlign w:val="center"/>
            <w:hideMark/>
          </w:tcPr>
          <w:p w14:paraId="530467CD"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60DB2A82"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3994522D" w14:textId="77777777" w:rsidR="004F4318" w:rsidRPr="007B5379" w:rsidRDefault="004F4318" w:rsidP="004F4318">
            <w:pPr>
              <w:spacing w:before="0" w:after="0" w:line="240" w:lineRule="auto"/>
              <w:ind w:firstLineChars="100" w:firstLine="160"/>
              <w:rPr>
                <w:rFonts w:ascii="Arial" w:hAnsi="Arial" w:cs="Arial"/>
                <w:i/>
                <w:color w:val="00FFFF"/>
                <w:sz w:val="16"/>
                <w:szCs w:val="16"/>
                <w:highlight w:val="magenta"/>
              </w:rPr>
            </w:pPr>
            <w:r w:rsidRPr="00207DD5">
              <w:rPr>
                <w:rFonts w:ascii="Arial" w:hAnsi="Arial" w:cs="Arial"/>
                <w:i/>
                <w:sz w:val="16"/>
                <w:szCs w:val="16"/>
              </w:rPr>
              <w:t>Revenue</w:t>
            </w:r>
          </w:p>
        </w:tc>
        <w:tc>
          <w:tcPr>
            <w:tcW w:w="457" w:type="pct"/>
            <w:tcBorders>
              <w:top w:val="nil"/>
              <w:left w:val="nil"/>
              <w:bottom w:val="nil"/>
              <w:right w:val="nil"/>
            </w:tcBorders>
            <w:shd w:val="clear" w:color="000000" w:fill="FFFFFF"/>
            <w:noWrap/>
            <w:vAlign w:val="center"/>
            <w:hideMark/>
          </w:tcPr>
          <w:p w14:paraId="0A214A10"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11,407</w:t>
            </w:r>
          </w:p>
        </w:tc>
        <w:tc>
          <w:tcPr>
            <w:tcW w:w="456" w:type="pct"/>
            <w:tcBorders>
              <w:top w:val="nil"/>
              <w:left w:val="nil"/>
              <w:bottom w:val="nil"/>
              <w:right w:val="nil"/>
            </w:tcBorders>
            <w:shd w:val="clear" w:color="000000" w:fill="E6F2FF"/>
            <w:noWrap/>
            <w:vAlign w:val="center"/>
            <w:hideMark/>
          </w:tcPr>
          <w:p w14:paraId="3A2306C1"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19,186</w:t>
            </w:r>
          </w:p>
        </w:tc>
        <w:tc>
          <w:tcPr>
            <w:tcW w:w="456" w:type="pct"/>
            <w:tcBorders>
              <w:top w:val="nil"/>
              <w:left w:val="nil"/>
              <w:bottom w:val="nil"/>
              <w:right w:val="nil"/>
            </w:tcBorders>
            <w:shd w:val="clear" w:color="000000" w:fill="FFFFFF"/>
            <w:noWrap/>
            <w:vAlign w:val="center"/>
            <w:hideMark/>
          </w:tcPr>
          <w:p w14:paraId="6CC6E3C4"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14,833</w:t>
            </w:r>
          </w:p>
        </w:tc>
        <w:tc>
          <w:tcPr>
            <w:tcW w:w="456" w:type="pct"/>
            <w:tcBorders>
              <w:top w:val="nil"/>
              <w:left w:val="nil"/>
              <w:bottom w:val="nil"/>
              <w:right w:val="nil"/>
            </w:tcBorders>
            <w:shd w:val="clear" w:color="000000" w:fill="FFFFFF"/>
            <w:noWrap/>
            <w:vAlign w:val="center"/>
            <w:hideMark/>
          </w:tcPr>
          <w:p w14:paraId="251CC540"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-33</w:t>
            </w:r>
          </w:p>
        </w:tc>
        <w:tc>
          <w:tcPr>
            <w:tcW w:w="456" w:type="pct"/>
            <w:tcBorders>
              <w:top w:val="nil"/>
              <w:left w:val="nil"/>
              <w:bottom w:val="nil"/>
              <w:right w:val="nil"/>
            </w:tcBorders>
            <w:shd w:val="clear" w:color="000000" w:fill="FFFFFF"/>
            <w:noWrap/>
            <w:vAlign w:val="center"/>
            <w:hideMark/>
          </w:tcPr>
          <w:p w14:paraId="5BC7E338"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w:t>
            </w:r>
          </w:p>
        </w:tc>
        <w:tc>
          <w:tcPr>
            <w:tcW w:w="62" w:type="pct"/>
            <w:tcBorders>
              <w:top w:val="nil"/>
              <w:left w:val="nil"/>
              <w:bottom w:val="nil"/>
              <w:right w:val="nil"/>
            </w:tcBorders>
            <w:shd w:val="clear" w:color="000000" w:fill="FFFFFF"/>
            <w:noWrap/>
            <w:vAlign w:val="center"/>
            <w:hideMark/>
          </w:tcPr>
          <w:p w14:paraId="1E64B350"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571" w:type="pct"/>
            <w:tcBorders>
              <w:top w:val="nil"/>
              <w:left w:val="nil"/>
              <w:bottom w:val="nil"/>
              <w:right w:val="nil"/>
            </w:tcBorders>
            <w:shd w:val="clear" w:color="000000" w:fill="FFFFFF"/>
            <w:noWrap/>
            <w:vAlign w:val="center"/>
            <w:hideMark/>
          </w:tcPr>
          <w:p w14:paraId="183FC0FB" w14:textId="77777777" w:rsidR="004F4318" w:rsidRPr="00207DD5" w:rsidRDefault="004F4318" w:rsidP="004F4318">
            <w:pPr>
              <w:spacing w:before="0" w:after="0" w:line="240" w:lineRule="auto"/>
              <w:jc w:val="right"/>
              <w:rPr>
                <w:rFonts w:ascii="Arial" w:hAnsi="Arial" w:cs="Arial"/>
                <w:i/>
                <w:sz w:val="16"/>
                <w:szCs w:val="16"/>
              </w:rPr>
            </w:pPr>
            <w:r w:rsidRPr="00207DD5">
              <w:rPr>
                <w:rFonts w:ascii="Arial" w:hAnsi="Arial" w:cs="Arial"/>
                <w:i/>
                <w:sz w:val="16"/>
                <w:szCs w:val="16"/>
              </w:rPr>
              <w:t>*</w:t>
            </w:r>
          </w:p>
        </w:tc>
      </w:tr>
      <w:tr w:rsidR="004F4318" w14:paraId="043A797E"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52FAA873" w14:textId="77777777" w:rsidR="004F4318" w:rsidRPr="007B5379" w:rsidRDefault="004F4318" w:rsidP="004F4318">
            <w:pPr>
              <w:spacing w:before="0" w:after="0" w:line="240" w:lineRule="auto"/>
              <w:ind w:firstLineChars="100" w:firstLine="160"/>
              <w:rPr>
                <w:rFonts w:ascii="Arial" w:hAnsi="Arial" w:cs="Arial"/>
                <w:i/>
                <w:color w:val="00FFFF"/>
                <w:sz w:val="16"/>
                <w:szCs w:val="16"/>
                <w:highlight w:val="magenta"/>
              </w:rPr>
            </w:pPr>
            <w:r w:rsidRPr="00207DD5">
              <w:rPr>
                <w:rFonts w:ascii="Arial" w:hAnsi="Arial" w:cs="Arial"/>
                <w:i/>
                <w:sz w:val="16"/>
                <w:szCs w:val="16"/>
              </w:rPr>
              <w:t xml:space="preserve">Expenses </w:t>
            </w:r>
          </w:p>
        </w:tc>
        <w:tc>
          <w:tcPr>
            <w:tcW w:w="457" w:type="pct"/>
            <w:tcBorders>
              <w:top w:val="nil"/>
              <w:left w:val="nil"/>
              <w:bottom w:val="nil"/>
              <w:right w:val="nil"/>
            </w:tcBorders>
            <w:shd w:val="clear" w:color="000000" w:fill="FFFFFF"/>
            <w:noWrap/>
            <w:vAlign w:val="center"/>
            <w:hideMark/>
          </w:tcPr>
          <w:p w14:paraId="751D1AD7"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553</w:t>
            </w:r>
          </w:p>
        </w:tc>
        <w:tc>
          <w:tcPr>
            <w:tcW w:w="456" w:type="pct"/>
            <w:tcBorders>
              <w:top w:val="nil"/>
              <w:left w:val="nil"/>
              <w:bottom w:val="nil"/>
              <w:right w:val="nil"/>
            </w:tcBorders>
            <w:shd w:val="clear" w:color="000000" w:fill="E6F2FF"/>
            <w:noWrap/>
            <w:vAlign w:val="center"/>
            <w:hideMark/>
          </w:tcPr>
          <w:p w14:paraId="789BACDA"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7,934</w:t>
            </w:r>
          </w:p>
        </w:tc>
        <w:tc>
          <w:tcPr>
            <w:tcW w:w="456" w:type="pct"/>
            <w:tcBorders>
              <w:top w:val="nil"/>
              <w:left w:val="nil"/>
              <w:bottom w:val="nil"/>
              <w:right w:val="nil"/>
            </w:tcBorders>
            <w:shd w:val="clear" w:color="000000" w:fill="FFFFFF"/>
            <w:noWrap/>
            <w:vAlign w:val="center"/>
            <w:hideMark/>
          </w:tcPr>
          <w:p w14:paraId="0743260D"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8,506</w:t>
            </w:r>
          </w:p>
        </w:tc>
        <w:tc>
          <w:tcPr>
            <w:tcW w:w="456" w:type="pct"/>
            <w:tcBorders>
              <w:top w:val="nil"/>
              <w:left w:val="nil"/>
              <w:bottom w:val="nil"/>
              <w:right w:val="nil"/>
            </w:tcBorders>
            <w:shd w:val="clear" w:color="000000" w:fill="FFFFFF"/>
            <w:noWrap/>
            <w:vAlign w:val="center"/>
            <w:hideMark/>
          </w:tcPr>
          <w:p w14:paraId="36178821"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3,391</w:t>
            </w:r>
          </w:p>
        </w:tc>
        <w:tc>
          <w:tcPr>
            <w:tcW w:w="456" w:type="pct"/>
            <w:tcBorders>
              <w:top w:val="nil"/>
              <w:left w:val="nil"/>
              <w:bottom w:val="nil"/>
              <w:right w:val="nil"/>
            </w:tcBorders>
            <w:shd w:val="clear" w:color="000000" w:fill="FFFFFF"/>
            <w:noWrap/>
            <w:vAlign w:val="center"/>
            <w:hideMark/>
          </w:tcPr>
          <w:p w14:paraId="3FCE37CD"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w:t>
            </w:r>
          </w:p>
        </w:tc>
        <w:tc>
          <w:tcPr>
            <w:tcW w:w="62" w:type="pct"/>
            <w:tcBorders>
              <w:top w:val="nil"/>
              <w:left w:val="nil"/>
              <w:bottom w:val="nil"/>
              <w:right w:val="nil"/>
            </w:tcBorders>
            <w:shd w:val="clear" w:color="000000" w:fill="FFFFFF"/>
            <w:noWrap/>
            <w:vAlign w:val="center"/>
            <w:hideMark/>
          </w:tcPr>
          <w:p w14:paraId="653F76D5"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571" w:type="pct"/>
            <w:tcBorders>
              <w:top w:val="nil"/>
              <w:left w:val="nil"/>
              <w:right w:val="nil"/>
            </w:tcBorders>
            <w:shd w:val="clear" w:color="000000" w:fill="FFFFFF"/>
            <w:noWrap/>
            <w:vAlign w:val="center"/>
            <w:hideMark/>
          </w:tcPr>
          <w:p w14:paraId="4EBEAE88" w14:textId="77777777" w:rsidR="004F4318" w:rsidRPr="00207DD5" w:rsidRDefault="004F4318" w:rsidP="004F4318">
            <w:pPr>
              <w:spacing w:before="0" w:after="0" w:line="240" w:lineRule="auto"/>
              <w:jc w:val="right"/>
              <w:rPr>
                <w:rFonts w:ascii="Arial" w:hAnsi="Arial" w:cs="Arial"/>
                <w:i/>
                <w:sz w:val="16"/>
                <w:szCs w:val="16"/>
              </w:rPr>
            </w:pPr>
            <w:r w:rsidRPr="00207DD5">
              <w:rPr>
                <w:rFonts w:ascii="Arial" w:hAnsi="Arial" w:cs="Arial"/>
                <w:i/>
                <w:sz w:val="16"/>
                <w:szCs w:val="16"/>
              </w:rPr>
              <w:t>*</w:t>
            </w:r>
          </w:p>
        </w:tc>
      </w:tr>
      <w:tr w:rsidR="004F4318" w14:paraId="2E51A47A"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52538155" w14:textId="77777777" w:rsidR="004F4318" w:rsidRPr="007B5379" w:rsidRDefault="004F4318" w:rsidP="004F4318">
            <w:pPr>
              <w:spacing w:before="0" w:after="0" w:line="240" w:lineRule="auto"/>
              <w:ind w:firstLineChars="100" w:firstLine="160"/>
              <w:rPr>
                <w:rFonts w:ascii="Arial" w:hAnsi="Arial" w:cs="Arial"/>
                <w:i/>
                <w:color w:val="00FFFF"/>
                <w:sz w:val="16"/>
                <w:szCs w:val="16"/>
                <w:highlight w:val="magenta"/>
              </w:rPr>
            </w:pPr>
            <w:r w:rsidRPr="00207DD5">
              <w:rPr>
                <w:rFonts w:ascii="Arial" w:hAnsi="Arial" w:cs="Arial"/>
                <w:i/>
                <w:sz w:val="16"/>
                <w:szCs w:val="16"/>
              </w:rPr>
              <w:t>Net capital investment</w:t>
            </w:r>
          </w:p>
        </w:tc>
        <w:tc>
          <w:tcPr>
            <w:tcW w:w="457" w:type="pct"/>
            <w:tcBorders>
              <w:top w:val="nil"/>
              <w:left w:val="nil"/>
              <w:bottom w:val="nil"/>
              <w:right w:val="nil"/>
            </w:tcBorders>
            <w:shd w:val="clear" w:color="000000" w:fill="FFFFFF"/>
            <w:noWrap/>
            <w:vAlign w:val="center"/>
            <w:hideMark/>
          </w:tcPr>
          <w:p w14:paraId="68957A4F"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-18</w:t>
            </w:r>
          </w:p>
        </w:tc>
        <w:tc>
          <w:tcPr>
            <w:tcW w:w="456" w:type="pct"/>
            <w:tcBorders>
              <w:top w:val="nil"/>
              <w:left w:val="nil"/>
              <w:bottom w:val="nil"/>
              <w:right w:val="nil"/>
            </w:tcBorders>
            <w:shd w:val="clear" w:color="000000" w:fill="E6F2FF"/>
            <w:noWrap/>
            <w:vAlign w:val="center"/>
            <w:hideMark/>
          </w:tcPr>
          <w:p w14:paraId="49822022"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-108</w:t>
            </w:r>
          </w:p>
        </w:tc>
        <w:tc>
          <w:tcPr>
            <w:tcW w:w="456" w:type="pct"/>
            <w:tcBorders>
              <w:top w:val="nil"/>
              <w:left w:val="nil"/>
              <w:bottom w:val="nil"/>
              <w:right w:val="nil"/>
            </w:tcBorders>
            <w:shd w:val="clear" w:color="000000" w:fill="FFFFFF"/>
            <w:noWrap/>
            <w:vAlign w:val="center"/>
            <w:hideMark/>
          </w:tcPr>
          <w:p w14:paraId="2017A6B9"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-1,414</w:t>
            </w:r>
          </w:p>
        </w:tc>
        <w:tc>
          <w:tcPr>
            <w:tcW w:w="456" w:type="pct"/>
            <w:tcBorders>
              <w:top w:val="nil"/>
              <w:left w:val="nil"/>
              <w:bottom w:val="nil"/>
              <w:right w:val="nil"/>
            </w:tcBorders>
            <w:shd w:val="clear" w:color="000000" w:fill="FFFFFF"/>
            <w:noWrap/>
            <w:vAlign w:val="center"/>
            <w:hideMark/>
          </w:tcPr>
          <w:p w14:paraId="4663D00A"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39</w:t>
            </w:r>
          </w:p>
        </w:tc>
        <w:tc>
          <w:tcPr>
            <w:tcW w:w="456" w:type="pct"/>
            <w:tcBorders>
              <w:top w:val="nil"/>
              <w:left w:val="nil"/>
              <w:bottom w:val="nil"/>
              <w:right w:val="nil"/>
            </w:tcBorders>
            <w:shd w:val="clear" w:color="000000" w:fill="FFFFFF"/>
            <w:noWrap/>
            <w:vAlign w:val="center"/>
            <w:hideMark/>
          </w:tcPr>
          <w:p w14:paraId="7E30D862"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w:t>
            </w:r>
          </w:p>
        </w:tc>
        <w:tc>
          <w:tcPr>
            <w:tcW w:w="62" w:type="pct"/>
            <w:tcBorders>
              <w:top w:val="nil"/>
              <w:left w:val="nil"/>
              <w:bottom w:val="nil"/>
              <w:right w:val="nil"/>
            </w:tcBorders>
            <w:shd w:val="clear" w:color="000000" w:fill="FFFFFF"/>
            <w:noWrap/>
            <w:vAlign w:val="center"/>
            <w:hideMark/>
          </w:tcPr>
          <w:p w14:paraId="32EA361E" w14:textId="77777777" w:rsidR="004F4318" w:rsidRPr="007B5379" w:rsidRDefault="004F4318" w:rsidP="004F4318">
            <w:pPr>
              <w:spacing w:before="0" w:after="0" w:line="240" w:lineRule="auto"/>
              <w:jc w:val="right"/>
              <w:rPr>
                <w:rFonts w:ascii="Arial" w:hAnsi="Arial" w:cs="Arial"/>
                <w:i/>
                <w:color w:val="00FFFF"/>
                <w:sz w:val="16"/>
                <w:szCs w:val="16"/>
                <w:highlight w:val="magenta"/>
              </w:rPr>
            </w:pPr>
            <w:r w:rsidRPr="00207DD5">
              <w:rPr>
                <w:rFonts w:ascii="Arial" w:hAnsi="Arial" w:cs="Arial"/>
                <w:i/>
                <w:sz w:val="16"/>
                <w:szCs w:val="16"/>
              </w:rPr>
              <w:t> </w:t>
            </w:r>
          </w:p>
        </w:tc>
        <w:tc>
          <w:tcPr>
            <w:tcW w:w="571" w:type="pct"/>
            <w:tcBorders>
              <w:top w:val="nil"/>
              <w:left w:val="nil"/>
              <w:bottom w:val="single" w:sz="4" w:space="0" w:color="293F5B"/>
              <w:right w:val="nil"/>
            </w:tcBorders>
            <w:shd w:val="clear" w:color="000000" w:fill="FFFFFF"/>
            <w:noWrap/>
            <w:vAlign w:val="center"/>
            <w:hideMark/>
          </w:tcPr>
          <w:p w14:paraId="5E2AE2F4" w14:textId="77777777" w:rsidR="004F4318" w:rsidRPr="00207DD5" w:rsidRDefault="004F4318" w:rsidP="004F4318">
            <w:pPr>
              <w:spacing w:before="0" w:after="0" w:line="240" w:lineRule="auto"/>
              <w:jc w:val="right"/>
              <w:rPr>
                <w:rFonts w:ascii="Arial" w:hAnsi="Arial" w:cs="Arial"/>
                <w:i/>
                <w:sz w:val="16"/>
                <w:szCs w:val="16"/>
              </w:rPr>
            </w:pPr>
            <w:r w:rsidRPr="00207DD5">
              <w:rPr>
                <w:rFonts w:ascii="Arial" w:hAnsi="Arial" w:cs="Arial"/>
                <w:i/>
                <w:sz w:val="16"/>
                <w:szCs w:val="16"/>
              </w:rPr>
              <w:t>*</w:t>
            </w:r>
          </w:p>
        </w:tc>
      </w:tr>
      <w:tr w:rsidR="004F4318" w14:paraId="72BC1BE2" w14:textId="77777777" w:rsidTr="00F56B58">
        <w:trPr>
          <w:trHeight w:hRule="exact" w:val="225"/>
        </w:trPr>
        <w:tc>
          <w:tcPr>
            <w:tcW w:w="2086" w:type="pct"/>
            <w:tcBorders>
              <w:top w:val="nil"/>
              <w:left w:val="nil"/>
              <w:bottom w:val="nil"/>
              <w:right w:val="nil"/>
            </w:tcBorders>
            <w:shd w:val="clear" w:color="000000" w:fill="FFFFFF"/>
            <w:noWrap/>
            <w:vAlign w:val="bottom"/>
            <w:hideMark/>
          </w:tcPr>
          <w:p w14:paraId="0D1F9D23"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xml:space="preserve">Total parameter and other variations impact on </w:t>
            </w:r>
          </w:p>
        </w:tc>
        <w:tc>
          <w:tcPr>
            <w:tcW w:w="457" w:type="pct"/>
            <w:tcBorders>
              <w:top w:val="single" w:sz="4" w:space="0" w:color="293F5B"/>
              <w:left w:val="nil"/>
              <w:bottom w:val="nil"/>
              <w:right w:val="nil"/>
            </w:tcBorders>
            <w:shd w:val="clear" w:color="000000" w:fill="FFFFFF"/>
            <w:noWrap/>
            <w:vAlign w:val="center"/>
            <w:hideMark/>
          </w:tcPr>
          <w:p w14:paraId="10DBFFC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single" w:sz="4" w:space="0" w:color="293F5B"/>
              <w:left w:val="nil"/>
              <w:bottom w:val="nil"/>
              <w:right w:val="nil"/>
            </w:tcBorders>
            <w:shd w:val="clear" w:color="000000" w:fill="E6F2FF"/>
            <w:noWrap/>
            <w:vAlign w:val="center"/>
            <w:hideMark/>
          </w:tcPr>
          <w:p w14:paraId="62EFB09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single" w:sz="4" w:space="0" w:color="293F5B"/>
              <w:left w:val="nil"/>
              <w:bottom w:val="nil"/>
              <w:right w:val="nil"/>
            </w:tcBorders>
            <w:shd w:val="clear" w:color="000000" w:fill="FFFFFF"/>
            <w:noWrap/>
            <w:vAlign w:val="center"/>
            <w:hideMark/>
          </w:tcPr>
          <w:p w14:paraId="20562EA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single" w:sz="4" w:space="0" w:color="293F5B"/>
              <w:left w:val="nil"/>
              <w:bottom w:val="nil"/>
              <w:right w:val="nil"/>
            </w:tcBorders>
            <w:shd w:val="clear" w:color="000000" w:fill="FFFFFF"/>
            <w:noWrap/>
            <w:vAlign w:val="center"/>
            <w:hideMark/>
          </w:tcPr>
          <w:p w14:paraId="254987E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single" w:sz="4" w:space="0" w:color="293F5B"/>
              <w:left w:val="nil"/>
              <w:bottom w:val="nil"/>
              <w:right w:val="nil"/>
            </w:tcBorders>
            <w:shd w:val="clear" w:color="000000" w:fill="FFFFFF"/>
            <w:noWrap/>
            <w:vAlign w:val="center"/>
            <w:hideMark/>
          </w:tcPr>
          <w:p w14:paraId="10F06A3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62" w:type="pct"/>
            <w:tcBorders>
              <w:top w:val="nil"/>
              <w:left w:val="nil"/>
              <w:bottom w:val="nil"/>
              <w:right w:val="nil"/>
            </w:tcBorders>
            <w:shd w:val="clear" w:color="000000" w:fill="FFFFFF"/>
            <w:noWrap/>
            <w:vAlign w:val="center"/>
            <w:hideMark/>
          </w:tcPr>
          <w:p w14:paraId="72276EA8"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single" w:sz="4" w:space="0" w:color="293F5B"/>
              <w:left w:val="nil"/>
              <w:bottom w:val="nil"/>
              <w:right w:val="nil"/>
            </w:tcBorders>
            <w:shd w:val="clear" w:color="000000" w:fill="FFFFFF"/>
            <w:noWrap/>
            <w:vAlign w:val="center"/>
            <w:hideMark/>
          </w:tcPr>
          <w:p w14:paraId="6DCD2973"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4EA8795E" w14:textId="77777777" w:rsidTr="00F56B58">
        <w:trPr>
          <w:trHeight w:hRule="exact" w:val="222"/>
        </w:trPr>
        <w:tc>
          <w:tcPr>
            <w:tcW w:w="2086" w:type="pct"/>
            <w:tcBorders>
              <w:top w:val="nil"/>
              <w:left w:val="nil"/>
              <w:bottom w:val="nil"/>
              <w:right w:val="nil"/>
            </w:tcBorders>
            <w:shd w:val="clear" w:color="000000" w:fill="FFFFFF"/>
            <w:noWrap/>
            <w:vAlign w:val="bottom"/>
            <w:hideMark/>
          </w:tcPr>
          <w:p w14:paraId="358697BA" w14:textId="77777777" w:rsidR="004F4318" w:rsidRPr="007B5379" w:rsidRDefault="004F4318" w:rsidP="004F4318">
            <w:pPr>
              <w:spacing w:before="0" w:after="0" w:line="240" w:lineRule="auto"/>
              <w:ind w:firstLineChars="100" w:firstLine="160"/>
              <w:rPr>
                <w:rFonts w:ascii="Arial" w:hAnsi="Arial" w:cs="Arial"/>
                <w:color w:val="00FFFF"/>
                <w:sz w:val="16"/>
                <w:szCs w:val="16"/>
                <w:highlight w:val="magenta"/>
              </w:rPr>
            </w:pPr>
            <w:r w:rsidRPr="00207DD5">
              <w:rPr>
                <w:rFonts w:ascii="Arial" w:hAnsi="Arial" w:cs="Arial"/>
                <w:sz w:val="16"/>
                <w:szCs w:val="16"/>
              </w:rPr>
              <w:t>fiscal balance</w:t>
            </w:r>
          </w:p>
        </w:tc>
        <w:tc>
          <w:tcPr>
            <w:tcW w:w="457" w:type="pct"/>
            <w:tcBorders>
              <w:top w:val="nil"/>
              <w:left w:val="nil"/>
              <w:bottom w:val="single" w:sz="4" w:space="0" w:color="293F5B"/>
              <w:right w:val="nil"/>
            </w:tcBorders>
            <w:shd w:val="clear" w:color="000000" w:fill="FFFFFF"/>
            <w:noWrap/>
            <w:vAlign w:val="center"/>
            <w:hideMark/>
          </w:tcPr>
          <w:p w14:paraId="07778055"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10,872</w:t>
            </w:r>
          </w:p>
        </w:tc>
        <w:tc>
          <w:tcPr>
            <w:tcW w:w="456" w:type="pct"/>
            <w:tcBorders>
              <w:top w:val="nil"/>
              <w:left w:val="nil"/>
              <w:bottom w:val="single" w:sz="4" w:space="0" w:color="293F5B"/>
              <w:right w:val="nil"/>
            </w:tcBorders>
            <w:shd w:val="clear" w:color="000000" w:fill="E6F2FF"/>
            <w:noWrap/>
            <w:vAlign w:val="center"/>
            <w:hideMark/>
          </w:tcPr>
          <w:p w14:paraId="0E82F47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11,360</w:t>
            </w:r>
          </w:p>
        </w:tc>
        <w:tc>
          <w:tcPr>
            <w:tcW w:w="456" w:type="pct"/>
            <w:tcBorders>
              <w:top w:val="nil"/>
              <w:left w:val="nil"/>
              <w:bottom w:val="single" w:sz="4" w:space="0" w:color="293F5B"/>
              <w:right w:val="nil"/>
            </w:tcBorders>
            <w:shd w:val="clear" w:color="000000" w:fill="FFFFFF"/>
            <w:noWrap/>
            <w:vAlign w:val="center"/>
            <w:hideMark/>
          </w:tcPr>
          <w:p w14:paraId="50E9BD9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7,741</w:t>
            </w:r>
          </w:p>
        </w:tc>
        <w:tc>
          <w:tcPr>
            <w:tcW w:w="456" w:type="pct"/>
            <w:tcBorders>
              <w:top w:val="nil"/>
              <w:left w:val="nil"/>
              <w:bottom w:val="single" w:sz="4" w:space="0" w:color="293F5B"/>
              <w:right w:val="nil"/>
            </w:tcBorders>
            <w:shd w:val="clear" w:color="000000" w:fill="FFFFFF"/>
            <w:noWrap/>
            <w:vAlign w:val="center"/>
            <w:hideMark/>
          </w:tcPr>
          <w:p w14:paraId="321C3350"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-3,463</w:t>
            </w:r>
          </w:p>
        </w:tc>
        <w:tc>
          <w:tcPr>
            <w:tcW w:w="456" w:type="pct"/>
            <w:tcBorders>
              <w:top w:val="nil"/>
              <w:left w:val="nil"/>
              <w:bottom w:val="single" w:sz="4" w:space="0" w:color="293F5B"/>
              <w:right w:val="nil"/>
            </w:tcBorders>
            <w:shd w:val="clear" w:color="000000" w:fill="FFFFFF"/>
            <w:noWrap/>
            <w:vAlign w:val="center"/>
            <w:hideMark/>
          </w:tcPr>
          <w:p w14:paraId="7EE9408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w:t>
            </w:r>
          </w:p>
        </w:tc>
        <w:tc>
          <w:tcPr>
            <w:tcW w:w="62" w:type="pct"/>
            <w:tcBorders>
              <w:top w:val="nil"/>
              <w:left w:val="nil"/>
              <w:bottom w:val="nil"/>
              <w:right w:val="nil"/>
            </w:tcBorders>
            <w:shd w:val="clear" w:color="000000" w:fill="FFFFFF"/>
            <w:noWrap/>
            <w:vAlign w:val="center"/>
            <w:hideMark/>
          </w:tcPr>
          <w:p w14:paraId="555D6B49"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single" w:sz="4" w:space="0" w:color="293F5B"/>
              <w:right w:val="nil"/>
            </w:tcBorders>
            <w:shd w:val="clear" w:color="000000" w:fill="FFFFFF"/>
            <w:noWrap/>
            <w:vAlign w:val="center"/>
            <w:hideMark/>
          </w:tcPr>
          <w:p w14:paraId="7BE9AD40"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w:t>
            </w:r>
          </w:p>
        </w:tc>
      </w:tr>
      <w:tr w:rsidR="004F4318" w14:paraId="5190C96B" w14:textId="77777777" w:rsidTr="00F56B58">
        <w:trPr>
          <w:trHeight w:hRule="exact" w:val="60"/>
        </w:trPr>
        <w:tc>
          <w:tcPr>
            <w:tcW w:w="2086" w:type="pct"/>
            <w:tcBorders>
              <w:top w:val="nil"/>
              <w:left w:val="nil"/>
              <w:bottom w:val="nil"/>
              <w:right w:val="nil"/>
            </w:tcBorders>
            <w:shd w:val="clear" w:color="000000" w:fill="FFFFFF"/>
            <w:noWrap/>
            <w:vAlign w:val="center"/>
            <w:hideMark/>
          </w:tcPr>
          <w:p w14:paraId="3044F493"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 </w:t>
            </w:r>
          </w:p>
        </w:tc>
        <w:tc>
          <w:tcPr>
            <w:tcW w:w="457" w:type="pct"/>
            <w:tcBorders>
              <w:top w:val="nil"/>
              <w:left w:val="nil"/>
              <w:bottom w:val="nil"/>
              <w:right w:val="nil"/>
            </w:tcBorders>
            <w:shd w:val="clear" w:color="000000" w:fill="FFFFFF"/>
            <w:noWrap/>
            <w:vAlign w:val="center"/>
            <w:hideMark/>
          </w:tcPr>
          <w:p w14:paraId="606774A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E6F2FF"/>
            <w:noWrap/>
            <w:vAlign w:val="center"/>
            <w:hideMark/>
          </w:tcPr>
          <w:p w14:paraId="7BF429C6"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60F386B7"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798408F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456" w:type="pct"/>
            <w:tcBorders>
              <w:top w:val="nil"/>
              <w:left w:val="nil"/>
              <w:bottom w:val="nil"/>
              <w:right w:val="nil"/>
            </w:tcBorders>
            <w:shd w:val="clear" w:color="000000" w:fill="FFFFFF"/>
            <w:noWrap/>
            <w:vAlign w:val="center"/>
            <w:hideMark/>
          </w:tcPr>
          <w:p w14:paraId="595A1BC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62" w:type="pct"/>
            <w:tcBorders>
              <w:top w:val="nil"/>
              <w:left w:val="nil"/>
              <w:bottom w:val="nil"/>
              <w:right w:val="nil"/>
            </w:tcBorders>
            <w:shd w:val="clear" w:color="000000" w:fill="FFFFFF"/>
            <w:noWrap/>
            <w:vAlign w:val="center"/>
            <w:hideMark/>
          </w:tcPr>
          <w:p w14:paraId="70E8153A"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nil"/>
              <w:right w:val="nil"/>
            </w:tcBorders>
            <w:shd w:val="clear" w:color="000000" w:fill="FFFFFF"/>
            <w:noWrap/>
            <w:vAlign w:val="center"/>
            <w:hideMark/>
          </w:tcPr>
          <w:p w14:paraId="128348E9"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r w:rsidR="004F4318" w14:paraId="22CD9EBC" w14:textId="77777777" w:rsidTr="00F56B58">
        <w:trPr>
          <w:trHeight w:hRule="exact" w:val="225"/>
        </w:trPr>
        <w:tc>
          <w:tcPr>
            <w:tcW w:w="2086" w:type="pct"/>
            <w:tcBorders>
              <w:top w:val="nil"/>
              <w:left w:val="nil"/>
              <w:bottom w:val="nil"/>
              <w:right w:val="nil"/>
            </w:tcBorders>
            <w:shd w:val="clear" w:color="000000" w:fill="FFFFFF"/>
            <w:noWrap/>
            <w:vAlign w:val="center"/>
            <w:hideMark/>
          </w:tcPr>
          <w:p w14:paraId="3A8BDF3E" w14:textId="77777777" w:rsidR="004F4318" w:rsidRPr="007B5379" w:rsidRDefault="004F4318" w:rsidP="004F4318">
            <w:pPr>
              <w:spacing w:before="0" w:after="0" w:line="240" w:lineRule="auto"/>
              <w:rPr>
                <w:rFonts w:ascii="Arial" w:hAnsi="Arial" w:cs="Arial"/>
                <w:b/>
                <w:color w:val="00FFFF"/>
                <w:sz w:val="16"/>
                <w:szCs w:val="16"/>
                <w:highlight w:val="magenta"/>
              </w:rPr>
            </w:pPr>
            <w:r w:rsidRPr="00207DD5">
              <w:rPr>
                <w:rFonts w:ascii="Arial" w:hAnsi="Arial" w:cs="Arial"/>
                <w:b/>
                <w:sz w:val="16"/>
                <w:szCs w:val="16"/>
              </w:rPr>
              <w:t>2026-27 Budget fiscal balance</w:t>
            </w:r>
          </w:p>
        </w:tc>
        <w:tc>
          <w:tcPr>
            <w:tcW w:w="457" w:type="pct"/>
            <w:tcBorders>
              <w:top w:val="nil"/>
              <w:left w:val="nil"/>
              <w:bottom w:val="nil"/>
              <w:right w:val="nil"/>
            </w:tcBorders>
            <w:shd w:val="clear" w:color="000000" w:fill="FFFFFF"/>
            <w:noWrap/>
            <w:vAlign w:val="center"/>
            <w:hideMark/>
          </w:tcPr>
          <w:p w14:paraId="23003168"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-50,139</w:t>
            </w:r>
          </w:p>
        </w:tc>
        <w:tc>
          <w:tcPr>
            <w:tcW w:w="456" w:type="pct"/>
            <w:tcBorders>
              <w:top w:val="nil"/>
              <w:left w:val="nil"/>
              <w:bottom w:val="nil"/>
              <w:right w:val="nil"/>
            </w:tcBorders>
            <w:shd w:val="clear" w:color="000000" w:fill="E6F2FF"/>
            <w:noWrap/>
            <w:vAlign w:val="center"/>
            <w:hideMark/>
          </w:tcPr>
          <w:p w14:paraId="59741B20"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-29,920</w:t>
            </w:r>
          </w:p>
        </w:tc>
        <w:tc>
          <w:tcPr>
            <w:tcW w:w="456" w:type="pct"/>
            <w:tcBorders>
              <w:top w:val="nil"/>
              <w:left w:val="nil"/>
              <w:bottom w:val="nil"/>
              <w:right w:val="nil"/>
            </w:tcBorders>
            <w:shd w:val="clear" w:color="000000" w:fill="FFFFFF"/>
            <w:noWrap/>
            <w:vAlign w:val="center"/>
            <w:hideMark/>
          </w:tcPr>
          <w:p w14:paraId="56418B3E"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-37,552</w:t>
            </w:r>
          </w:p>
        </w:tc>
        <w:tc>
          <w:tcPr>
            <w:tcW w:w="456" w:type="pct"/>
            <w:tcBorders>
              <w:top w:val="nil"/>
              <w:left w:val="nil"/>
              <w:bottom w:val="nil"/>
              <w:right w:val="nil"/>
            </w:tcBorders>
            <w:shd w:val="clear" w:color="000000" w:fill="FFFFFF"/>
            <w:noWrap/>
            <w:vAlign w:val="center"/>
            <w:hideMark/>
          </w:tcPr>
          <w:p w14:paraId="2B87A397"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-42,789</w:t>
            </w:r>
          </w:p>
        </w:tc>
        <w:tc>
          <w:tcPr>
            <w:tcW w:w="456" w:type="pct"/>
            <w:tcBorders>
              <w:top w:val="nil"/>
              <w:left w:val="nil"/>
              <w:bottom w:val="nil"/>
              <w:right w:val="nil"/>
            </w:tcBorders>
            <w:shd w:val="clear" w:color="000000" w:fill="FFFFFF"/>
            <w:noWrap/>
            <w:vAlign w:val="center"/>
            <w:hideMark/>
          </w:tcPr>
          <w:p w14:paraId="0D9B9813"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-32,927</w:t>
            </w:r>
          </w:p>
        </w:tc>
        <w:tc>
          <w:tcPr>
            <w:tcW w:w="62" w:type="pct"/>
            <w:tcBorders>
              <w:top w:val="nil"/>
              <w:left w:val="nil"/>
              <w:bottom w:val="nil"/>
              <w:right w:val="nil"/>
            </w:tcBorders>
            <w:shd w:val="clear" w:color="000000" w:fill="FFFFFF"/>
            <w:noWrap/>
            <w:vAlign w:val="center"/>
            <w:hideMark/>
          </w:tcPr>
          <w:p w14:paraId="2525B791" w14:textId="77777777" w:rsidR="004F4318" w:rsidRPr="007B5379" w:rsidRDefault="004F4318" w:rsidP="004F4318">
            <w:pPr>
              <w:spacing w:before="0" w:after="0" w:line="240" w:lineRule="auto"/>
              <w:jc w:val="right"/>
              <w:rPr>
                <w:rFonts w:ascii="Arial" w:hAnsi="Arial" w:cs="Arial"/>
                <w:b/>
                <w:color w:val="00FFFF"/>
                <w:sz w:val="16"/>
                <w:szCs w:val="16"/>
                <w:highlight w:val="magenta"/>
              </w:rPr>
            </w:pPr>
            <w:r w:rsidRPr="00207DD5">
              <w:rPr>
                <w:rFonts w:ascii="Arial" w:hAnsi="Arial" w:cs="Arial"/>
                <w:b/>
                <w:sz w:val="16"/>
                <w:szCs w:val="16"/>
              </w:rPr>
              <w:t> </w:t>
            </w:r>
          </w:p>
        </w:tc>
        <w:tc>
          <w:tcPr>
            <w:tcW w:w="571" w:type="pct"/>
            <w:tcBorders>
              <w:top w:val="nil"/>
              <w:left w:val="nil"/>
              <w:bottom w:val="nil"/>
              <w:right w:val="nil"/>
            </w:tcBorders>
            <w:shd w:val="clear" w:color="000000" w:fill="FFFFFF"/>
            <w:noWrap/>
            <w:vAlign w:val="center"/>
            <w:hideMark/>
          </w:tcPr>
          <w:p w14:paraId="33000507" w14:textId="77777777" w:rsidR="004F4318" w:rsidRPr="00207DD5" w:rsidRDefault="004F4318" w:rsidP="004F4318">
            <w:pPr>
              <w:spacing w:before="0" w:after="0" w:line="240" w:lineRule="auto"/>
              <w:jc w:val="right"/>
              <w:rPr>
                <w:rFonts w:ascii="Arial" w:hAnsi="Arial" w:cs="Arial"/>
                <w:b/>
                <w:sz w:val="16"/>
                <w:szCs w:val="16"/>
              </w:rPr>
            </w:pPr>
            <w:r w:rsidRPr="00207DD5">
              <w:rPr>
                <w:rFonts w:ascii="Arial" w:hAnsi="Arial" w:cs="Arial"/>
                <w:b/>
                <w:sz w:val="16"/>
                <w:szCs w:val="16"/>
              </w:rPr>
              <w:t>-193,328</w:t>
            </w:r>
          </w:p>
        </w:tc>
      </w:tr>
      <w:tr w:rsidR="004F4318" w14:paraId="78AF471D" w14:textId="77777777" w:rsidTr="00F56B58">
        <w:trPr>
          <w:trHeight w:hRule="exact" w:val="225"/>
        </w:trPr>
        <w:tc>
          <w:tcPr>
            <w:tcW w:w="2086" w:type="pct"/>
            <w:tcBorders>
              <w:top w:val="nil"/>
              <w:left w:val="nil"/>
              <w:bottom w:val="single" w:sz="4" w:space="0" w:color="293F5B"/>
              <w:right w:val="nil"/>
            </w:tcBorders>
            <w:shd w:val="clear" w:color="000000" w:fill="FFFFFF"/>
            <w:noWrap/>
            <w:vAlign w:val="center"/>
            <w:hideMark/>
          </w:tcPr>
          <w:p w14:paraId="454F46D2" w14:textId="77777777" w:rsidR="004F4318" w:rsidRPr="007B5379" w:rsidRDefault="004F4318" w:rsidP="004F4318">
            <w:pPr>
              <w:spacing w:before="0" w:after="0" w:line="240" w:lineRule="auto"/>
              <w:rPr>
                <w:rFonts w:ascii="Arial" w:hAnsi="Arial" w:cs="Arial"/>
                <w:color w:val="00FFFF"/>
                <w:sz w:val="16"/>
                <w:szCs w:val="16"/>
                <w:highlight w:val="magenta"/>
              </w:rPr>
            </w:pPr>
            <w:r w:rsidRPr="00207DD5">
              <w:rPr>
                <w:rFonts w:ascii="Arial" w:hAnsi="Arial" w:cs="Arial"/>
                <w:sz w:val="16"/>
                <w:szCs w:val="16"/>
              </w:rPr>
              <w:t>Per cent of GDP</w:t>
            </w:r>
          </w:p>
        </w:tc>
        <w:tc>
          <w:tcPr>
            <w:tcW w:w="457" w:type="pct"/>
            <w:tcBorders>
              <w:top w:val="nil"/>
              <w:left w:val="nil"/>
              <w:bottom w:val="single" w:sz="4" w:space="0" w:color="293F5B"/>
              <w:right w:val="nil"/>
            </w:tcBorders>
            <w:shd w:val="clear" w:color="000000" w:fill="FFFFFF"/>
            <w:noWrap/>
            <w:vAlign w:val="center"/>
            <w:hideMark/>
          </w:tcPr>
          <w:p w14:paraId="0D5CCCCB"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-1.7</w:t>
            </w:r>
          </w:p>
        </w:tc>
        <w:tc>
          <w:tcPr>
            <w:tcW w:w="456" w:type="pct"/>
            <w:tcBorders>
              <w:top w:val="nil"/>
              <w:left w:val="nil"/>
              <w:bottom w:val="single" w:sz="4" w:space="0" w:color="293F5B"/>
              <w:right w:val="nil"/>
            </w:tcBorders>
            <w:shd w:val="clear" w:color="000000" w:fill="E6F2FF"/>
            <w:noWrap/>
            <w:vAlign w:val="center"/>
            <w:hideMark/>
          </w:tcPr>
          <w:p w14:paraId="3C294DCE"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-1.0</w:t>
            </w:r>
          </w:p>
        </w:tc>
        <w:tc>
          <w:tcPr>
            <w:tcW w:w="456" w:type="pct"/>
            <w:tcBorders>
              <w:top w:val="nil"/>
              <w:left w:val="nil"/>
              <w:bottom w:val="single" w:sz="4" w:space="0" w:color="293F5B"/>
              <w:right w:val="nil"/>
            </w:tcBorders>
            <w:shd w:val="clear" w:color="000000" w:fill="FFFFFF"/>
            <w:noWrap/>
            <w:vAlign w:val="center"/>
            <w:hideMark/>
          </w:tcPr>
          <w:p w14:paraId="179AAB4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-1.2</w:t>
            </w:r>
          </w:p>
        </w:tc>
        <w:tc>
          <w:tcPr>
            <w:tcW w:w="456" w:type="pct"/>
            <w:tcBorders>
              <w:top w:val="nil"/>
              <w:left w:val="nil"/>
              <w:bottom w:val="single" w:sz="4" w:space="0" w:color="293F5B"/>
              <w:right w:val="nil"/>
            </w:tcBorders>
            <w:shd w:val="clear" w:color="000000" w:fill="FFFFFF"/>
            <w:noWrap/>
            <w:vAlign w:val="center"/>
            <w:hideMark/>
          </w:tcPr>
          <w:p w14:paraId="23AAB684"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-1.3</w:t>
            </w:r>
          </w:p>
        </w:tc>
        <w:tc>
          <w:tcPr>
            <w:tcW w:w="456" w:type="pct"/>
            <w:tcBorders>
              <w:top w:val="nil"/>
              <w:left w:val="nil"/>
              <w:bottom w:val="single" w:sz="4" w:space="0" w:color="293F5B"/>
              <w:right w:val="nil"/>
            </w:tcBorders>
            <w:shd w:val="clear" w:color="000000" w:fill="FFFFFF"/>
            <w:noWrap/>
            <w:vAlign w:val="center"/>
            <w:hideMark/>
          </w:tcPr>
          <w:p w14:paraId="67289DF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-0.9</w:t>
            </w:r>
          </w:p>
        </w:tc>
        <w:tc>
          <w:tcPr>
            <w:tcW w:w="62" w:type="pct"/>
            <w:tcBorders>
              <w:top w:val="nil"/>
              <w:left w:val="nil"/>
              <w:bottom w:val="single" w:sz="4" w:space="0" w:color="293F5B"/>
              <w:right w:val="nil"/>
            </w:tcBorders>
            <w:shd w:val="clear" w:color="000000" w:fill="FFFFFF"/>
            <w:noWrap/>
            <w:vAlign w:val="center"/>
            <w:hideMark/>
          </w:tcPr>
          <w:p w14:paraId="1C423ABF" w14:textId="77777777" w:rsidR="004F4318" w:rsidRPr="007B5379" w:rsidRDefault="004F4318" w:rsidP="004F4318">
            <w:pPr>
              <w:spacing w:before="0" w:after="0" w:line="240" w:lineRule="auto"/>
              <w:jc w:val="right"/>
              <w:rPr>
                <w:rFonts w:ascii="Arial" w:hAnsi="Arial" w:cs="Arial"/>
                <w:color w:val="00FFFF"/>
                <w:sz w:val="16"/>
                <w:szCs w:val="16"/>
                <w:highlight w:val="magenta"/>
              </w:rPr>
            </w:pPr>
            <w:r w:rsidRPr="00207DD5">
              <w:rPr>
                <w:rFonts w:ascii="Arial" w:hAnsi="Arial" w:cs="Arial"/>
                <w:sz w:val="16"/>
                <w:szCs w:val="16"/>
              </w:rPr>
              <w:t> </w:t>
            </w:r>
          </w:p>
        </w:tc>
        <w:tc>
          <w:tcPr>
            <w:tcW w:w="571" w:type="pct"/>
            <w:tcBorders>
              <w:top w:val="nil"/>
              <w:left w:val="nil"/>
              <w:bottom w:val="single" w:sz="4" w:space="0" w:color="293F5B"/>
              <w:right w:val="nil"/>
            </w:tcBorders>
            <w:shd w:val="clear" w:color="000000" w:fill="FFFFFF"/>
            <w:noWrap/>
            <w:vAlign w:val="center"/>
            <w:hideMark/>
          </w:tcPr>
          <w:p w14:paraId="33D47593" w14:textId="77777777" w:rsidR="004F4318" w:rsidRPr="00207DD5" w:rsidRDefault="004F4318" w:rsidP="004F4318">
            <w:pPr>
              <w:spacing w:before="0" w:after="0" w:line="240" w:lineRule="auto"/>
              <w:jc w:val="right"/>
              <w:rPr>
                <w:rFonts w:ascii="Arial" w:hAnsi="Arial" w:cs="Arial"/>
                <w:sz w:val="16"/>
                <w:szCs w:val="16"/>
              </w:rPr>
            </w:pPr>
            <w:r w:rsidRPr="00207DD5">
              <w:rPr>
                <w:rFonts w:ascii="Arial" w:hAnsi="Arial" w:cs="Arial"/>
                <w:sz w:val="16"/>
                <w:szCs w:val="16"/>
              </w:rPr>
              <w:t> </w:t>
            </w:r>
          </w:p>
        </w:tc>
      </w:tr>
    </w:tbl>
    <w:p w14:paraId="32B1785E" w14:textId="776954AA" w:rsidR="00BC2CB6" w:rsidRPr="00207DD5" w:rsidRDefault="004F4318" w:rsidP="00BC2CB6">
      <w:pPr>
        <w:pStyle w:val="ChartandTableFootnote"/>
        <w:tabs>
          <w:tab w:val="clear" w:pos="709"/>
          <w:tab w:val="left" w:pos="284"/>
        </w:tabs>
        <w:rPr>
          <w:color w:val="auto"/>
        </w:rPr>
      </w:pPr>
      <w:r w:rsidRPr="00207DD5">
        <w:rPr>
          <w:color w:val="auto"/>
        </w:rPr>
        <w:t xml:space="preserve"> </w:t>
      </w:r>
      <w:r w:rsidR="00BC2CB6" w:rsidRPr="00207DD5">
        <w:rPr>
          <w:color w:val="auto"/>
        </w:rPr>
        <w:t>*Data are not available.</w:t>
      </w:r>
    </w:p>
    <w:p w14:paraId="5D636D29" w14:textId="77777777" w:rsidR="00BC2CB6" w:rsidRPr="00207DD5" w:rsidRDefault="00BC2CB6" w:rsidP="00BC2CB6">
      <w:pPr>
        <w:pStyle w:val="ChartandTableFootnoteAlpha"/>
        <w:numPr>
          <w:ilvl w:val="0"/>
          <w:numId w:val="29"/>
        </w:numPr>
        <w:rPr>
          <w:rFonts w:eastAsiaTheme="minorEastAsia"/>
          <w:color w:val="auto"/>
        </w:rPr>
      </w:pPr>
      <w:r w:rsidRPr="00207DD5">
        <w:rPr>
          <w:color w:val="auto"/>
        </w:rPr>
        <w:t>Excludes secondary impacts on public debt interest of policy decisions and offsets from the Contingency Reserve for decisions taken.</w:t>
      </w:r>
    </w:p>
    <w:p w14:paraId="4A5FB4E1" w14:textId="58FA50F9" w:rsidR="00BC2CB6" w:rsidRPr="00207DD5" w:rsidRDefault="00BC2CB6" w:rsidP="00BC2CB6">
      <w:pPr>
        <w:pStyle w:val="ChartandTableFootnoteAlpha"/>
        <w:numPr>
          <w:ilvl w:val="0"/>
          <w:numId w:val="19"/>
        </w:numPr>
        <w:rPr>
          <w:rFonts w:eastAsiaTheme="minorEastAsia"/>
          <w:color w:val="auto"/>
        </w:rPr>
      </w:pPr>
      <w:r w:rsidRPr="00207DD5">
        <w:rPr>
          <w:color w:val="auto"/>
        </w:rPr>
        <w:t>A positive number for revenue improves the fiscal balance, while a positive number for expenses and net capital investment worsens the fiscal balance.</w:t>
      </w:r>
    </w:p>
    <w:p w14:paraId="54AB06A9" w14:textId="77777777" w:rsidR="00BC2CB6" w:rsidRPr="00207DD5" w:rsidRDefault="00BC2CB6" w:rsidP="00BC2CB6">
      <w:pPr>
        <w:pStyle w:val="TableLine"/>
      </w:pPr>
    </w:p>
    <w:p w14:paraId="402B62F4" w14:textId="7C24CAC2" w:rsidR="00BC2CB6" w:rsidRPr="00712254" w:rsidRDefault="00BC2CB6" w:rsidP="00BC2CB6">
      <w:r w:rsidRPr="00712254">
        <w:br w:type="page"/>
      </w:r>
    </w:p>
    <w:p w14:paraId="1495B651" w14:textId="02E73D3C" w:rsidR="00D231C4" w:rsidRPr="00207DD5" w:rsidRDefault="00D231C4" w:rsidP="00D231C4">
      <w:pPr>
        <w:pStyle w:val="Heading3"/>
      </w:pPr>
      <w:bookmarkStart w:id="142" w:name="_Toc227842132"/>
      <w:bookmarkStart w:id="143" w:name="_Toc229240500"/>
      <w:bookmarkStart w:id="144" w:name="_Toc117356574"/>
      <w:bookmarkStart w:id="145" w:name="_Toc193537068"/>
      <w:bookmarkEnd w:id="124"/>
      <w:r w:rsidRPr="00207DD5">
        <w:lastRenderedPageBreak/>
        <w:t>Revenue estimates</w:t>
      </w:r>
      <w:bookmarkEnd w:id="142"/>
      <w:bookmarkEnd w:id="143"/>
    </w:p>
    <w:p w14:paraId="322ABDF8" w14:textId="3CA43738" w:rsidR="00AE4077" w:rsidRPr="00AE4077" w:rsidRDefault="00AE4077" w:rsidP="00BA4F2F">
      <w:pPr>
        <w:rPr>
          <w:b/>
        </w:rPr>
      </w:pPr>
      <w:r w:rsidRPr="00207DD5">
        <w:t>Revenue is the accrual accounting equivalent of cash</w:t>
      </w:r>
      <w:r w:rsidR="00171851" w:rsidRPr="00207DD5">
        <w:noBreakHyphen/>
      </w:r>
      <w:r w:rsidRPr="00207DD5">
        <w:t>based receipts. Changes in revenue are generally driven by the same factors as receipts. Revenue amounts can be higher or lower than the cash equivalents as they include amounts that a taxpayer is liable to pay but has not paid. The differences between the accrual and cash amounts generally reflect timing differences.</w:t>
      </w:r>
      <w:r w:rsidR="00BC16E2" w:rsidRPr="00207DD5">
        <w:t xml:space="preserve"> </w:t>
      </w:r>
    </w:p>
    <w:p w14:paraId="30BADE79" w14:textId="3A6E82FF" w:rsidR="00D231C4" w:rsidRDefault="00D231C4" w:rsidP="00D231C4">
      <w:pPr>
        <w:rPr>
          <w:b/>
        </w:rPr>
      </w:pPr>
      <w:r w:rsidRPr="00207DD5">
        <w:t>Total revenue since MYEFO has been revised up by $</w:t>
      </w:r>
      <w:r w:rsidR="00916F63" w:rsidRPr="00207DD5">
        <w:t>21</w:t>
      </w:r>
      <w:r w:rsidRPr="00207DD5">
        <w:t>.</w:t>
      </w:r>
      <w:r w:rsidR="00916F63" w:rsidRPr="00207DD5">
        <w:t>7</w:t>
      </w:r>
      <w:r w:rsidR="009F0B52" w:rsidRPr="00207DD5">
        <w:t> </w:t>
      </w:r>
      <w:r w:rsidRPr="00207DD5">
        <w:t xml:space="preserve">billion in </w:t>
      </w:r>
      <w:r w:rsidR="00DB3175" w:rsidRPr="00207DD5">
        <w:t>2026–27</w:t>
      </w:r>
      <w:r w:rsidRPr="00207DD5">
        <w:t xml:space="preserve"> and by $</w:t>
      </w:r>
      <w:r w:rsidR="00A83E46" w:rsidRPr="00207DD5">
        <w:t>44</w:t>
      </w:r>
      <w:r w:rsidRPr="00207DD5">
        <w:t>.</w:t>
      </w:r>
      <w:r w:rsidR="00A83E46" w:rsidRPr="00207DD5">
        <w:t>1</w:t>
      </w:r>
      <w:r w:rsidRPr="00207DD5">
        <w:t xml:space="preserve"> billion over </w:t>
      </w:r>
      <w:r w:rsidR="00D91ED9" w:rsidRPr="00207DD5">
        <w:t>the</w:t>
      </w:r>
      <w:r w:rsidRPr="00207DD5">
        <w:t xml:space="preserve"> four years to </w:t>
      </w:r>
      <w:r w:rsidR="00AE4077" w:rsidRPr="00207DD5">
        <w:t>202</w:t>
      </w:r>
      <w:r w:rsidR="000A3786" w:rsidRPr="00207DD5">
        <w:t>8</w:t>
      </w:r>
      <w:r w:rsidR="00AE4077" w:rsidRPr="00207DD5">
        <w:t>–2</w:t>
      </w:r>
      <w:r w:rsidR="000A3786" w:rsidRPr="00207DD5">
        <w:t>9</w:t>
      </w:r>
      <w:r w:rsidRPr="00207DD5">
        <w:t xml:space="preserve">. </w:t>
      </w:r>
    </w:p>
    <w:p w14:paraId="0C2B547A" w14:textId="5C258B8A" w:rsidR="00D231C4" w:rsidRPr="00207DD5" w:rsidRDefault="00D231C4" w:rsidP="00D231C4">
      <w:pPr>
        <w:pStyle w:val="Heading3"/>
      </w:pPr>
      <w:bookmarkStart w:id="146" w:name="_Toc227842133"/>
      <w:bookmarkStart w:id="147" w:name="_Toc229240501"/>
      <w:r w:rsidRPr="00207DD5">
        <w:t>Expense estimates</w:t>
      </w:r>
      <w:bookmarkEnd w:id="146"/>
      <w:bookmarkEnd w:id="147"/>
    </w:p>
    <w:p w14:paraId="01CD5225" w14:textId="4CDC8798" w:rsidR="00F8764A" w:rsidRPr="00207DD5" w:rsidRDefault="00F8764A" w:rsidP="00D231C4">
      <w:r w:rsidRPr="00207DD5">
        <w:t>Expenses are the accrual accounting equivalent of cash</w:t>
      </w:r>
      <w:r w:rsidR="00171851" w:rsidRPr="00207DD5">
        <w:noBreakHyphen/>
      </w:r>
      <w:r w:rsidRPr="00207DD5">
        <w:t>based payments.</w:t>
      </w:r>
      <w:r w:rsidR="00CD3E96" w:rsidRPr="00207DD5">
        <w:t xml:space="preserve"> The differences between the accrual and cash amounts generally reflect where there is a timing difference between the expense accruing and cash payments occurring. Common examples include employee</w:t>
      </w:r>
      <w:r w:rsidR="009F0B52" w:rsidRPr="00207DD5">
        <w:noBreakHyphen/>
      </w:r>
      <w:r w:rsidR="00CD3E96" w:rsidRPr="00207DD5">
        <w:t>related liabilities such as superannuation benefits programs and long service leave, government insurance and guarantee schemes, concessional loans and purchases of non</w:t>
      </w:r>
      <w:r w:rsidR="009F0B52" w:rsidRPr="00207DD5">
        <w:noBreakHyphen/>
      </w:r>
      <w:r w:rsidR="00CD3E96" w:rsidRPr="00207DD5">
        <w:t>financial assets.</w:t>
      </w:r>
    </w:p>
    <w:p w14:paraId="041C0484" w14:textId="539F2A47" w:rsidR="009F0B52" w:rsidRPr="00207DD5" w:rsidRDefault="00D30D8F" w:rsidP="00D231C4">
      <w:r w:rsidRPr="00207DD5">
        <w:t>Since MYEFO, total expenses have been revised up by $</w:t>
      </w:r>
      <w:r w:rsidR="00833F3E" w:rsidRPr="00207DD5">
        <w:t>14</w:t>
      </w:r>
      <w:r w:rsidRPr="00207DD5">
        <w:t>.</w:t>
      </w:r>
      <w:r w:rsidR="007666C1" w:rsidRPr="00207DD5">
        <w:t>3</w:t>
      </w:r>
      <w:r w:rsidR="009F0B52" w:rsidRPr="00207DD5">
        <w:t> </w:t>
      </w:r>
      <w:r w:rsidRPr="00207DD5">
        <w:t>billion in 2026–27 and by $</w:t>
      </w:r>
      <w:r w:rsidR="007666C1" w:rsidRPr="00207DD5">
        <w:t>25</w:t>
      </w:r>
      <w:r w:rsidRPr="00207DD5">
        <w:t>.</w:t>
      </w:r>
      <w:r w:rsidR="007666C1" w:rsidRPr="00207DD5">
        <w:t>4</w:t>
      </w:r>
      <w:r w:rsidR="0047485F" w:rsidRPr="00207DD5">
        <w:t> </w:t>
      </w:r>
      <w:r w:rsidRPr="00207DD5">
        <w:t>billion over the four years from 2025–26 to 2028–29. Movements in expenses over the forward estimates period are broadly consistent with movements in cash payments.</w:t>
      </w:r>
      <w:r w:rsidR="00946DED" w:rsidRPr="00207DD5">
        <w:t xml:space="preserve"> </w:t>
      </w:r>
    </w:p>
    <w:p w14:paraId="068BE08C" w14:textId="3E65A2DB" w:rsidR="00D231C4" w:rsidRDefault="00D231C4" w:rsidP="00D231C4">
      <w:r>
        <w:br w:type="page"/>
      </w:r>
    </w:p>
    <w:p w14:paraId="74B79E6B" w14:textId="2E4F9721" w:rsidR="00C95315" w:rsidRPr="00207DD5" w:rsidRDefault="00C95315" w:rsidP="00BC585F">
      <w:pPr>
        <w:pStyle w:val="Heading3"/>
      </w:pPr>
      <w:bookmarkStart w:id="148" w:name="_Toc227842134"/>
      <w:bookmarkStart w:id="149" w:name="_Toc229240502"/>
      <w:bookmarkEnd w:id="144"/>
      <w:bookmarkEnd w:id="145"/>
      <w:r w:rsidRPr="00207DD5">
        <w:lastRenderedPageBreak/>
        <w:t>Structural budget balance</w:t>
      </w:r>
      <w:bookmarkEnd w:id="148"/>
      <w:bookmarkEnd w:id="149"/>
    </w:p>
    <w:p w14:paraId="434574FE" w14:textId="3B9F8413" w:rsidR="00C95315" w:rsidRPr="00207DD5" w:rsidRDefault="00C95315" w:rsidP="00DB1427">
      <w:pPr>
        <w:spacing w:after="200"/>
      </w:pPr>
      <w:r w:rsidRPr="00207DD5">
        <w:t>The structural budget balance estimate adjusts the underlying cash balance to remove the estimated effects of cyclical factors that have a temporary impact on receipts and payments. These include deviations in commodity prices and economic activity from their long</w:t>
      </w:r>
      <w:r w:rsidR="00171851" w:rsidRPr="00207DD5">
        <w:noBreakHyphen/>
      </w:r>
      <w:r w:rsidRPr="00207DD5">
        <w:t>run levels. The structural budget balance can provide insight into the sustainability of fiscal settings.</w:t>
      </w:r>
    </w:p>
    <w:p w14:paraId="5AA61382" w14:textId="2F26B88B" w:rsidR="00C95315" w:rsidRPr="00207DD5" w:rsidRDefault="00C95315" w:rsidP="00DB1427">
      <w:pPr>
        <w:spacing w:after="200"/>
      </w:pPr>
      <w:r w:rsidRPr="00207DD5">
        <w:t xml:space="preserve">The structural balance is estimated rather than observed, so it is sensitive to the assumptions and parameters that underpin it. Commodity price volatility </w:t>
      </w:r>
      <w:r w:rsidR="004F17D5" w:rsidRPr="00207DD5">
        <w:t xml:space="preserve">stemming from </w:t>
      </w:r>
      <w:r w:rsidR="001C1196" w:rsidRPr="00207DD5">
        <w:t xml:space="preserve">the </w:t>
      </w:r>
      <w:r w:rsidR="004F17D5" w:rsidRPr="00207DD5">
        <w:t>conflict in the Middle East</w:t>
      </w:r>
      <w:r w:rsidRPr="00207DD5">
        <w:t xml:space="preserve"> has increased the uncertainty around the estimate.</w:t>
      </w:r>
    </w:p>
    <w:p w14:paraId="058987B4" w14:textId="15DE4AA6" w:rsidR="00CC615A" w:rsidRDefault="00C43A26" w:rsidP="00DB1427">
      <w:pPr>
        <w:spacing w:after="200"/>
      </w:pPr>
      <w:r w:rsidRPr="00207DD5">
        <w:t xml:space="preserve">The structural budget balance is expected to reach surplus by the end of the medium term. </w:t>
      </w:r>
      <w:r w:rsidR="00CC615A" w:rsidRPr="00207DD5">
        <w:t xml:space="preserve">The structural position remains in deficit </w:t>
      </w:r>
      <w:r w:rsidR="00FB6CDF" w:rsidRPr="00207DD5">
        <w:t>in</w:t>
      </w:r>
      <w:r w:rsidR="00CC615A" w:rsidRPr="00207DD5">
        <w:t xml:space="preserve"> the near term, peaking at 1.6</w:t>
      </w:r>
      <w:r w:rsidR="00132429" w:rsidRPr="00207DD5">
        <w:t> </w:t>
      </w:r>
      <w:r w:rsidR="00CC615A" w:rsidRPr="00207DD5">
        <w:t>per</w:t>
      </w:r>
      <w:r w:rsidR="003C0704" w:rsidRPr="00207DD5">
        <w:t> </w:t>
      </w:r>
      <w:r w:rsidR="00CC615A" w:rsidRPr="00207DD5">
        <w:t>cent of GDP in 2025</w:t>
      </w:r>
      <w:r w:rsidR="00492BF3" w:rsidRPr="00207DD5">
        <w:t>–</w:t>
      </w:r>
      <w:r w:rsidR="00CC615A" w:rsidRPr="00207DD5">
        <w:t xml:space="preserve">26, before improving gradually to reach surplus </w:t>
      </w:r>
      <w:r w:rsidR="00354BFB" w:rsidRPr="00207DD5">
        <w:t>in</w:t>
      </w:r>
      <w:r w:rsidR="00CC615A" w:rsidRPr="00207DD5">
        <w:t xml:space="preserve"> the </w:t>
      </w:r>
      <w:r w:rsidR="00354BFB" w:rsidRPr="00207DD5">
        <w:t>last two</w:t>
      </w:r>
      <w:r w:rsidR="00B749FC" w:rsidRPr="00207DD5">
        <w:t> </w:t>
      </w:r>
      <w:r w:rsidR="00354BFB" w:rsidRPr="00207DD5">
        <w:t>years</w:t>
      </w:r>
      <w:r w:rsidR="00CC615A" w:rsidRPr="00207DD5">
        <w:t xml:space="preserve"> of the projection period</w:t>
      </w:r>
      <w:r w:rsidR="00407FD1" w:rsidRPr="00207DD5">
        <w:t xml:space="preserve"> (Chart </w:t>
      </w:r>
      <w:r w:rsidR="00F465F3" w:rsidRPr="00207DD5">
        <w:t>3.14)</w:t>
      </w:r>
      <w:r w:rsidR="00CC615A" w:rsidRPr="00207DD5">
        <w:t xml:space="preserve">. </w:t>
      </w:r>
    </w:p>
    <w:p w14:paraId="0ABD1032" w14:textId="39AD0D30" w:rsidR="00666282" w:rsidRPr="00666282" w:rsidRDefault="00666282" w:rsidP="00DB1427">
      <w:pPr>
        <w:spacing w:after="200"/>
        <w:rPr>
          <w:b/>
        </w:rPr>
      </w:pPr>
      <w:r w:rsidRPr="00207DD5">
        <w:t>Cyclical factors are estimated to have a positive contribution to the underlying cash balance in 2025–26 and 2026–27, in large part due to elevated commodity prices. This recedes as commodity prices return to their assumed long</w:t>
      </w:r>
      <w:r w:rsidRPr="00207DD5">
        <w:noBreakHyphen/>
        <w:t>run levels.</w:t>
      </w:r>
    </w:p>
    <w:p w14:paraId="41CFB8C4" w14:textId="2DCFFBB5" w:rsidR="00C95315" w:rsidRPr="00207DD5" w:rsidRDefault="00C5335A" w:rsidP="00BC585F">
      <w:pPr>
        <w:pStyle w:val="ChartMainHeading"/>
        <w:rPr>
          <w:rFonts w:eastAsia="Calibri"/>
        </w:rPr>
      </w:pPr>
      <w:r w:rsidRPr="00207DD5">
        <w:t xml:space="preserve">Chart </w:t>
      </w:r>
      <w:r w:rsidR="00C95315" w:rsidRPr="00207DD5">
        <w:t>3.</w:t>
      </w:r>
      <w:r w:rsidR="00942D28" w:rsidRPr="00207DD5">
        <w:t>14</w:t>
      </w:r>
      <w:r w:rsidR="00C95315" w:rsidRPr="00207DD5">
        <w:t>: Structural budget balance</w:t>
      </w:r>
    </w:p>
    <w:p w14:paraId="64FEEFCC" w14:textId="53E3583A" w:rsidR="00E80EC1" w:rsidRPr="00207DD5" w:rsidRDefault="005C5B51" w:rsidP="00115B2D">
      <w:pPr>
        <w:pStyle w:val="ChartGraphic"/>
        <w:rPr>
          <w:rFonts w:eastAsia="Calibri"/>
        </w:rPr>
      </w:pPr>
      <w:r w:rsidRPr="00207DD5">
        <w:rPr>
          <w:noProof/>
        </w:rPr>
        <w:drawing>
          <wp:inline distT="0" distB="0" distL="0" distR="0" wp14:anchorId="20B5C919" wp14:editId="059D9EED">
            <wp:extent cx="4679999" cy="2898947"/>
            <wp:effectExtent l="0" t="0" r="0" b="0"/>
            <wp:docPr id="1371359911" name="Picture 19" descr="This chart shows the structural budget balance, cyclical factors, and temporary fiscal measures as a per cent of GDP. Together, these sum to the underlying cash balance. The structural budget deficit is expected to reach 1.6 per cent of GDP in 2025–26, and average around 1 per cent of GDP over the forward estimates. The structural budget balance gradually improves over the medium term to reach a surplus of 0.8 per cent of GDP in 20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59911" name="Picture 19" descr="This chart shows the structural budget balance, cyclical factors, and temporary fiscal measures as a per cent of GDP. Together, these sum to the underlying cash balance. The structural budget deficit is expected to reach 1.6 per cent of GDP in 2025–26, and average around 1 per cent of GDP over the forward estimates. The structural budget balance gradually improves over the medium term to reach a surplus of 0.8 per cent of GDP in 2036-37."/>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4679999" cy="2898947"/>
                    </a:xfrm>
                    <a:prstGeom prst="rect">
                      <a:avLst/>
                    </a:prstGeom>
                  </pic:spPr>
                </pic:pic>
              </a:graphicData>
            </a:graphic>
          </wp:inline>
        </w:drawing>
      </w:r>
    </w:p>
    <w:p w14:paraId="2A5E7BDE" w14:textId="14DB1B36" w:rsidR="00334971" w:rsidRPr="00207DD5" w:rsidRDefault="00C95315" w:rsidP="002C63C8">
      <w:pPr>
        <w:pStyle w:val="ChartandTableFootnote"/>
        <w:rPr>
          <w:color w:val="auto"/>
        </w:rPr>
      </w:pPr>
      <w:r w:rsidRPr="00207DD5">
        <w:rPr>
          <w:color w:val="auto"/>
        </w:rPr>
        <w:t xml:space="preserve">Note: </w:t>
      </w:r>
      <w:r w:rsidRPr="00207DD5">
        <w:rPr>
          <w:color w:val="auto"/>
        </w:rPr>
        <w:tab/>
        <w:t>The approach separating the budgetary impact of cyclical factors from structural measures follows the methodology detailed in Treasury Working Paper 2013–01. Cyclical factors measure the estimated impact on the underlying cash balance from automatic stabilisers and cyclical movements in asset and commodity prices. Temporary fiscal measures comprise direct economic and health support measures initiated between the onset of the COVID</w:t>
      </w:r>
      <w:r w:rsidR="00171851" w:rsidRPr="00207DD5">
        <w:rPr>
          <w:color w:val="auto"/>
        </w:rPr>
        <w:noBreakHyphen/>
      </w:r>
      <w:r w:rsidRPr="00207DD5">
        <w:rPr>
          <w:color w:val="auto"/>
        </w:rPr>
        <w:t>19 pandemic and the 2022–23</w:t>
      </w:r>
      <w:r w:rsidR="00334971" w:rsidRPr="00207DD5">
        <w:rPr>
          <w:color w:val="auto"/>
        </w:rPr>
        <w:t xml:space="preserve"> </w:t>
      </w:r>
      <w:r w:rsidRPr="00207DD5">
        <w:rPr>
          <w:color w:val="auto"/>
        </w:rPr>
        <w:t>October</w:t>
      </w:r>
      <w:r w:rsidR="00334971" w:rsidRPr="00207DD5">
        <w:rPr>
          <w:color w:val="auto"/>
        </w:rPr>
        <w:t xml:space="preserve"> </w:t>
      </w:r>
      <w:r w:rsidRPr="00207DD5">
        <w:rPr>
          <w:color w:val="auto"/>
        </w:rPr>
        <w:t>Budget. Underspends in these direct economic and health support measures</w:t>
      </w:r>
      <w:r w:rsidRPr="00207DD5" w:rsidDel="00331465">
        <w:rPr>
          <w:color w:val="auto"/>
        </w:rPr>
        <w:t xml:space="preserve"> </w:t>
      </w:r>
      <w:r w:rsidRPr="00207DD5">
        <w:rPr>
          <w:color w:val="auto"/>
        </w:rPr>
        <w:t xml:space="preserve">are not captured in the derivation of the structural budget balance. </w:t>
      </w:r>
    </w:p>
    <w:p w14:paraId="14F3FC1F" w14:textId="51CCB8B5" w:rsidR="006D4B27" w:rsidRPr="00207DD5" w:rsidRDefault="00334971" w:rsidP="002C63C8">
      <w:pPr>
        <w:pStyle w:val="ChartandTableFootnote"/>
        <w:rPr>
          <w:color w:val="auto"/>
        </w:rPr>
      </w:pPr>
      <w:r w:rsidRPr="00207DD5">
        <w:rPr>
          <w:color w:val="auto"/>
        </w:rPr>
        <w:t>Source</w:t>
      </w:r>
      <w:r w:rsidR="00C95315" w:rsidRPr="00207DD5">
        <w:rPr>
          <w:color w:val="auto"/>
        </w:rPr>
        <w:t xml:space="preserve">: </w:t>
      </w:r>
      <w:r w:rsidR="00C95315" w:rsidRPr="00207DD5">
        <w:rPr>
          <w:color w:val="auto"/>
        </w:rPr>
        <w:tab/>
      </w:r>
      <w:r w:rsidRPr="00207DD5">
        <w:rPr>
          <w:color w:val="auto"/>
        </w:rPr>
        <w:t>Treasury</w:t>
      </w:r>
      <w:r w:rsidR="00C95315" w:rsidRPr="00207DD5">
        <w:rPr>
          <w:color w:val="auto"/>
        </w:rPr>
        <w:t xml:space="preserve"> </w:t>
      </w:r>
    </w:p>
    <w:p w14:paraId="043526CD" w14:textId="77777777" w:rsidR="000425EF" w:rsidRDefault="000425EF" w:rsidP="000425EF">
      <w:pPr>
        <w:pStyle w:val="ChartLine"/>
      </w:pPr>
    </w:p>
    <w:p w14:paraId="49A61C73" w14:textId="77777777" w:rsidR="000425EF" w:rsidRDefault="000425EF" w:rsidP="000425EF">
      <w:pPr>
        <w:sectPr w:rsidR="000425EF" w:rsidSect="00F16DEA">
          <w:headerReference w:type="even" r:id="rId47"/>
          <w:headerReference w:type="default" r:id="rId48"/>
          <w:type w:val="oddPage"/>
          <w:pgSz w:w="11906" w:h="16838" w:code="9"/>
          <w:pgMar w:top="2835" w:right="2098" w:bottom="2466" w:left="2098" w:header="1814" w:footer="1814" w:gutter="0"/>
          <w:cols w:space="708"/>
          <w:titlePg/>
          <w:docGrid w:linePitch="360"/>
        </w:sectPr>
      </w:pPr>
    </w:p>
    <w:p w14:paraId="0DE6D582" w14:textId="77777777" w:rsidR="00666282" w:rsidRPr="000E4071" w:rsidRDefault="00666282">
      <w:pPr>
        <w:pStyle w:val="Heading2"/>
      </w:pPr>
      <w:bookmarkStart w:id="150" w:name="_Toc229240503"/>
      <w:r w:rsidRPr="001E6F2A">
        <w:lastRenderedPageBreak/>
        <w:t xml:space="preserve">Appendix B: </w:t>
      </w:r>
      <w:r w:rsidRPr="000E4071">
        <w:t>Fiscal impacts of the net</w:t>
      </w:r>
      <w:r w:rsidRPr="009355BF">
        <w:t> </w:t>
      </w:r>
      <w:r w:rsidRPr="000E4071">
        <w:t>zero</w:t>
      </w:r>
      <w:r w:rsidRPr="009355BF">
        <w:t> </w:t>
      </w:r>
      <w:r w:rsidRPr="000E4071">
        <w:t>transformation</w:t>
      </w:r>
      <w:bookmarkEnd w:id="150"/>
    </w:p>
    <w:p w14:paraId="6B9998EB" w14:textId="77777777" w:rsidR="00666282" w:rsidRPr="009D069B" w:rsidRDefault="00666282">
      <w:pPr>
        <w:rPr>
          <w:rFonts w:eastAsiaTheme="minorHAnsi"/>
        </w:rPr>
      </w:pPr>
      <w:bookmarkStart w:id="151" w:name="_Toc165293260"/>
      <w:bookmarkStart w:id="152" w:name="_Toc166355407"/>
      <w:bookmarkStart w:id="153" w:name="_Toc164773498"/>
      <w:r w:rsidRPr="00576DC7">
        <w:rPr>
          <w:rFonts w:eastAsiaTheme="minorHAnsi"/>
        </w:rPr>
        <w:t>Climate change and global climate action will have profound impacts on the economy</w:t>
      </w:r>
      <w:r>
        <w:rPr>
          <w:rFonts w:eastAsiaTheme="minorHAnsi"/>
        </w:rPr>
        <w:t>. Australia is contributing to international climate action through global cooperation, backed by a domestic energy transition that reduces emissions and bolsters energy resilience. The Net Zero Plan and 2035 Target, which guide Australia’s domestic climate mitigation efforts, were released in September 2025</w:t>
      </w:r>
      <w:r w:rsidRPr="00576DC7">
        <w:rPr>
          <w:rFonts w:eastAsiaTheme="minorHAnsi"/>
        </w:rPr>
        <w:t xml:space="preserve">. </w:t>
      </w:r>
      <w:r>
        <w:rPr>
          <w:rFonts w:eastAsiaTheme="minorHAnsi"/>
        </w:rPr>
        <w:t>T</w:t>
      </w:r>
      <w:r w:rsidRPr="00576DC7">
        <w:rPr>
          <w:rFonts w:eastAsiaTheme="minorHAnsi"/>
        </w:rPr>
        <w:t xml:space="preserve">he </w:t>
      </w:r>
      <w:r>
        <w:rPr>
          <w:rFonts w:eastAsiaTheme="minorHAnsi"/>
        </w:rPr>
        <w:t>transition</w:t>
      </w:r>
      <w:r w:rsidRPr="00576DC7">
        <w:rPr>
          <w:rFonts w:eastAsiaTheme="minorHAnsi"/>
        </w:rPr>
        <w:t xml:space="preserve"> presents new opportunities for Australia</w:t>
      </w:r>
      <w:r>
        <w:rPr>
          <w:rFonts w:eastAsiaTheme="minorHAnsi"/>
        </w:rPr>
        <w:t>’</w:t>
      </w:r>
      <w:r w:rsidRPr="00576DC7">
        <w:rPr>
          <w:rFonts w:eastAsiaTheme="minorHAnsi"/>
        </w:rPr>
        <w:t>s industries, regions and communities</w:t>
      </w:r>
      <w:r>
        <w:rPr>
          <w:rFonts w:eastAsiaTheme="minorHAnsi"/>
        </w:rPr>
        <w:t xml:space="preserve"> and bolsters energy security</w:t>
      </w:r>
      <w:r w:rsidRPr="00576DC7">
        <w:rPr>
          <w:rFonts w:eastAsiaTheme="minorHAnsi"/>
        </w:rPr>
        <w:t xml:space="preserve">. </w:t>
      </w:r>
      <w:r>
        <w:rPr>
          <w:rFonts w:eastAsiaTheme="minorHAnsi"/>
        </w:rPr>
        <w:t>Australia’s clear climate and energy policies, backed by significant public investment, enables the private sector to drive the investment needed to meet</w:t>
      </w:r>
      <w:r w:rsidRPr="00576DC7">
        <w:rPr>
          <w:rFonts w:eastAsiaTheme="minorHAnsi"/>
        </w:rPr>
        <w:t xml:space="preserve"> Australia</w:t>
      </w:r>
      <w:r>
        <w:rPr>
          <w:rFonts w:eastAsiaTheme="minorHAnsi"/>
        </w:rPr>
        <w:t>’</w:t>
      </w:r>
      <w:r w:rsidRPr="00576DC7">
        <w:rPr>
          <w:rFonts w:eastAsiaTheme="minorHAnsi"/>
        </w:rPr>
        <w:t>s emissions reduction commitments</w:t>
      </w:r>
      <w:r>
        <w:rPr>
          <w:rFonts w:eastAsiaTheme="minorHAnsi"/>
        </w:rPr>
        <w:t>, enhance energy resilience,</w:t>
      </w:r>
      <w:r w:rsidRPr="00576DC7">
        <w:rPr>
          <w:rFonts w:eastAsiaTheme="minorHAnsi"/>
        </w:rPr>
        <w:t xml:space="preserve"> and realis</w:t>
      </w:r>
      <w:r>
        <w:rPr>
          <w:rFonts w:eastAsiaTheme="minorHAnsi"/>
        </w:rPr>
        <w:t>e</w:t>
      </w:r>
      <w:r w:rsidRPr="00576DC7">
        <w:rPr>
          <w:rFonts w:eastAsiaTheme="minorHAnsi"/>
        </w:rPr>
        <w:t xml:space="preserve"> the opportunities </w:t>
      </w:r>
      <w:r>
        <w:rPr>
          <w:rFonts w:eastAsiaTheme="minorHAnsi"/>
        </w:rPr>
        <w:t>arising from the</w:t>
      </w:r>
      <w:r w:rsidRPr="00576DC7">
        <w:rPr>
          <w:rFonts w:eastAsiaTheme="minorHAnsi"/>
        </w:rPr>
        <w:t xml:space="preserve"> transition. </w:t>
      </w:r>
    </w:p>
    <w:p w14:paraId="7E8C4E27" w14:textId="77777777" w:rsidR="00666282" w:rsidRPr="00C8308E" w:rsidRDefault="00666282">
      <w:r w:rsidRPr="00576DC7">
        <w:t>The Government is committed to improving the transparency of public money committed to climate action. It recognises the importance of identifying, disclosing, and tracking net zero spending in improving Australia</w:t>
      </w:r>
      <w:r>
        <w:t>’</w:t>
      </w:r>
      <w:r w:rsidRPr="00576DC7">
        <w:t>s response to climate change and aligning with international efforts. Accounting for net zero spending comprehensively is challenging as it cuts across many portfolios, ranging from energy to health. Existing budget systems</w:t>
      </w:r>
      <w:r w:rsidRPr="00576DC7" w:rsidDel="00E97797">
        <w:t xml:space="preserve"> </w:t>
      </w:r>
      <w:r w:rsidRPr="00576DC7">
        <w:t>do not readily facilitate reporting net zero spending on established programs. For this reason, reporting of net zero spending focuses on new</w:t>
      </w:r>
      <w:r w:rsidRPr="00576DC7" w:rsidDel="00A04426">
        <w:t xml:space="preserve"> </w:t>
      </w:r>
      <w:r w:rsidRPr="00576DC7">
        <w:t>measures.</w:t>
      </w:r>
    </w:p>
    <w:p w14:paraId="679F25D4" w14:textId="77777777" w:rsidR="00666282" w:rsidRPr="00576DC7" w:rsidRDefault="00666282">
      <w:pPr>
        <w:pStyle w:val="Heading3"/>
      </w:pPr>
      <w:bookmarkStart w:id="154" w:name="_Toc193537061"/>
      <w:bookmarkStart w:id="155" w:name="_Toc229240504"/>
      <w:r w:rsidRPr="00576DC7">
        <w:t>Australia</w:t>
      </w:r>
      <w:r>
        <w:t>’</w:t>
      </w:r>
      <w:r w:rsidRPr="00576DC7">
        <w:t>s classification approach</w:t>
      </w:r>
      <w:bookmarkEnd w:id="154"/>
      <w:bookmarkEnd w:id="155"/>
      <w:r w:rsidRPr="00576DC7">
        <w:t xml:space="preserve"> </w:t>
      </w:r>
    </w:p>
    <w:p w14:paraId="5F7B1300" w14:textId="77777777" w:rsidR="00666282" w:rsidRPr="00576DC7" w:rsidRDefault="00666282">
      <w:pPr>
        <w:rPr>
          <w:rFonts w:eastAsiaTheme="minorHAnsi"/>
        </w:rPr>
      </w:pPr>
      <w:r w:rsidRPr="00576DC7">
        <w:rPr>
          <w:rFonts w:eastAsiaTheme="minorHAnsi"/>
        </w:rPr>
        <w:t xml:space="preserve">The </w:t>
      </w:r>
      <w:r>
        <w:rPr>
          <w:rFonts w:eastAsiaTheme="minorHAnsi"/>
        </w:rPr>
        <w:t xml:space="preserve">2026‍–‍27 Budget </w:t>
      </w:r>
      <w:r w:rsidRPr="00576DC7">
        <w:rPr>
          <w:rFonts w:eastAsiaTheme="minorHAnsi"/>
        </w:rPr>
        <w:t>continues the practice introduced in the</w:t>
      </w:r>
      <w:r>
        <w:rPr>
          <w:rFonts w:eastAsiaTheme="minorHAnsi"/>
        </w:rPr>
        <w:t xml:space="preserve"> October </w:t>
      </w:r>
      <w:r w:rsidRPr="00576DC7">
        <w:rPr>
          <w:rFonts w:eastAsiaTheme="minorHAnsi"/>
        </w:rPr>
        <w:t>2022</w:t>
      </w:r>
      <w:r>
        <w:rPr>
          <w:rFonts w:eastAsiaTheme="minorHAnsi"/>
        </w:rPr>
        <w:t>‍</w:t>
      </w:r>
      <w:r w:rsidRPr="00576DC7">
        <w:rPr>
          <w:rFonts w:eastAsiaTheme="minorHAnsi"/>
        </w:rPr>
        <w:t>–</w:t>
      </w:r>
      <w:r>
        <w:rPr>
          <w:rFonts w:eastAsiaTheme="minorHAnsi"/>
        </w:rPr>
        <w:t>‍</w:t>
      </w:r>
      <w:r w:rsidRPr="00576DC7">
        <w:rPr>
          <w:rFonts w:eastAsiaTheme="minorHAnsi"/>
        </w:rPr>
        <w:t>23</w:t>
      </w:r>
      <w:r>
        <w:rPr>
          <w:rFonts w:eastAsiaTheme="minorHAnsi"/>
        </w:rPr>
        <w:t> </w:t>
      </w:r>
      <w:r w:rsidRPr="00576DC7">
        <w:rPr>
          <w:rFonts w:eastAsiaTheme="minorHAnsi"/>
        </w:rPr>
        <w:t>Budget of transparently reporting new climate</w:t>
      </w:r>
      <w:r>
        <w:rPr>
          <w:rFonts w:eastAsiaTheme="minorHAnsi"/>
        </w:rPr>
        <w:noBreakHyphen/>
      </w:r>
      <w:r w:rsidRPr="00576DC7">
        <w:rPr>
          <w:rFonts w:eastAsiaTheme="minorHAnsi"/>
        </w:rPr>
        <w:t>related spending. It adopts the five</w:t>
      </w:r>
      <w:r>
        <w:rPr>
          <w:rFonts w:eastAsiaTheme="minorHAnsi"/>
        </w:rPr>
        <w:noBreakHyphen/>
      </w:r>
      <w:r w:rsidRPr="00576DC7">
        <w:rPr>
          <w:rFonts w:eastAsiaTheme="minorHAnsi"/>
        </w:rPr>
        <w:t>part classification outlined in detail in the 2024</w:t>
      </w:r>
      <w:r>
        <w:rPr>
          <w:rFonts w:eastAsiaTheme="minorHAnsi"/>
        </w:rPr>
        <w:t>‍</w:t>
      </w:r>
      <w:r w:rsidRPr="00576DC7">
        <w:rPr>
          <w:rFonts w:eastAsiaTheme="minorHAnsi"/>
        </w:rPr>
        <w:t>–</w:t>
      </w:r>
      <w:r>
        <w:rPr>
          <w:rFonts w:eastAsiaTheme="minorHAnsi"/>
        </w:rPr>
        <w:t>‍</w:t>
      </w:r>
      <w:r w:rsidRPr="00576DC7">
        <w:rPr>
          <w:rFonts w:eastAsiaTheme="minorHAnsi"/>
        </w:rPr>
        <w:t xml:space="preserve">25 Budget: </w:t>
      </w:r>
    </w:p>
    <w:p w14:paraId="0F94D0CD" w14:textId="77777777" w:rsidR="00666282" w:rsidRPr="00576DC7" w:rsidRDefault="00666282">
      <w:pPr>
        <w:pStyle w:val="Bullet"/>
      </w:pPr>
      <w:r>
        <w:t>r</w:t>
      </w:r>
      <w:r w:rsidRPr="00576DC7">
        <w:t>educing emissions in Australia</w:t>
      </w:r>
      <w:r>
        <w:t>’</w:t>
      </w:r>
      <w:r w:rsidRPr="00576DC7">
        <w:t>s energy system and broader economy</w:t>
      </w:r>
    </w:p>
    <w:p w14:paraId="5B1B0E3B" w14:textId="77777777" w:rsidR="00666282" w:rsidRPr="00576DC7" w:rsidRDefault="00666282">
      <w:pPr>
        <w:pStyle w:val="Bullet"/>
      </w:pPr>
      <w:r>
        <w:t>s</w:t>
      </w:r>
      <w:r w:rsidRPr="00576DC7">
        <w:t>trengthening net zero industries and skills</w:t>
      </w:r>
    </w:p>
    <w:p w14:paraId="37FDCB65" w14:textId="77777777" w:rsidR="00666282" w:rsidRPr="00576DC7" w:rsidRDefault="00666282">
      <w:pPr>
        <w:pStyle w:val="Bullet"/>
      </w:pPr>
      <w:r>
        <w:t>a</w:t>
      </w:r>
      <w:r w:rsidRPr="00576DC7">
        <w:t>dapting to climate change and improving climate and disaster resilience</w:t>
      </w:r>
    </w:p>
    <w:p w14:paraId="1E70B2FE" w14:textId="77777777" w:rsidR="00666282" w:rsidRPr="00576DC7" w:rsidRDefault="00666282">
      <w:pPr>
        <w:pStyle w:val="Bullet"/>
      </w:pPr>
      <w:r>
        <w:t>i</w:t>
      </w:r>
      <w:r w:rsidRPr="00576DC7">
        <w:t>nternational climate leadership</w:t>
      </w:r>
    </w:p>
    <w:p w14:paraId="648F70D2" w14:textId="77777777" w:rsidR="00666282" w:rsidRPr="00576DC7" w:rsidRDefault="00666282">
      <w:pPr>
        <w:pStyle w:val="Bullet"/>
      </w:pPr>
      <w:r>
        <w:t>b</w:t>
      </w:r>
      <w:r w:rsidRPr="00576DC7">
        <w:t>uilding Australian Government climate capability</w:t>
      </w:r>
      <w:r>
        <w:t>.</w:t>
      </w:r>
    </w:p>
    <w:p w14:paraId="6DE80B1E" w14:textId="77777777" w:rsidR="00666282" w:rsidRPr="00576DC7" w:rsidRDefault="00666282">
      <w:r w:rsidRPr="00576DC7">
        <w:t>In the 202</w:t>
      </w:r>
      <w:r>
        <w:t>6‍</w:t>
      </w:r>
      <w:r w:rsidRPr="00576DC7">
        <w:t>–</w:t>
      </w:r>
      <w:r>
        <w:t>‍</w:t>
      </w:r>
      <w:r w:rsidRPr="00576DC7">
        <w:t>2</w:t>
      </w:r>
      <w:r>
        <w:t>7</w:t>
      </w:r>
      <w:r w:rsidRPr="00576DC7">
        <w:t xml:space="preserve"> Budget, new measures from</w:t>
      </w:r>
      <w:r>
        <w:t xml:space="preserve"> the</w:t>
      </w:r>
      <w:r w:rsidRPr="00576DC7">
        <w:t xml:space="preserve"> 202</w:t>
      </w:r>
      <w:r>
        <w:t>5‍</w:t>
      </w:r>
      <w:r w:rsidRPr="00576DC7">
        <w:t>–</w:t>
      </w:r>
      <w:r>
        <w:t>‍</w:t>
      </w:r>
      <w:r w:rsidRPr="00576DC7">
        <w:t>2</w:t>
      </w:r>
      <w:r>
        <w:t>6</w:t>
      </w:r>
      <w:r w:rsidRPr="00576DC7">
        <w:t xml:space="preserve"> MYEFO</w:t>
      </w:r>
      <w:r>
        <w:t xml:space="preserve"> </w:t>
      </w:r>
      <w:r w:rsidRPr="00576DC7">
        <w:t>are also reported</w:t>
      </w:r>
      <w:r>
        <w:t xml:space="preserve"> </w:t>
      </w:r>
      <w:r w:rsidRPr="00576DC7">
        <w:t>to provide a comprehensive update on net zero spending since the 202</w:t>
      </w:r>
      <w:r>
        <w:t>5‍</w:t>
      </w:r>
      <w:r w:rsidRPr="00576DC7">
        <w:t>–</w:t>
      </w:r>
      <w:r>
        <w:t>‍</w:t>
      </w:r>
      <w:r w:rsidRPr="00576DC7">
        <w:t>2</w:t>
      </w:r>
      <w:r>
        <w:t>6</w:t>
      </w:r>
      <w:r w:rsidRPr="00576DC7">
        <w:t xml:space="preserve"> Budget. </w:t>
      </w:r>
    </w:p>
    <w:p w14:paraId="79FF6E23" w14:textId="77777777" w:rsidR="00666282" w:rsidRDefault="00666282">
      <w:pPr>
        <w:spacing w:before="120" w:after="120" w:line="240" w:lineRule="auto"/>
      </w:pPr>
      <w:r w:rsidRPr="00576DC7">
        <w:t xml:space="preserve">Where policies contribute to multiple net zero objectives, spending is classified into the most appropriate category based on its primary purpose. Policies that contribute indirectly to net zero objectives are not included in this classification approach. </w:t>
      </w:r>
      <w:r>
        <w:br w:type="page"/>
      </w:r>
    </w:p>
    <w:p w14:paraId="573138D0" w14:textId="77777777" w:rsidR="00666282" w:rsidRDefault="00666282">
      <w:r w:rsidRPr="00576DC7">
        <w:lastRenderedPageBreak/>
        <w:t>This reporting framework maintains alignment with international best practice and recent budgets. It will continue to evolve over time as the Government works with and learns from reporting entities and partners around the world.</w:t>
      </w:r>
      <w:r w:rsidRPr="00C8308E">
        <w:t xml:space="preserve"> </w:t>
      </w:r>
      <w:r w:rsidRPr="00576DC7">
        <w:t>Australian Government green bonds have contributed to financing programs that support climate mitigation, climate adaptation and improved environmental outcomes.</w:t>
      </w:r>
    </w:p>
    <w:p w14:paraId="165D6665" w14:textId="77777777" w:rsidR="00666282" w:rsidRDefault="00666282">
      <w:pPr>
        <w:pStyle w:val="Heading3"/>
      </w:pPr>
      <w:bookmarkStart w:id="156" w:name="_Toc229240505"/>
      <w:r w:rsidRPr="00E4652A">
        <w:rPr>
          <w:rStyle w:val="Heading3Char"/>
        </w:rPr>
        <w:t>The role of electrification and decarbonisation in</w:t>
      </w:r>
      <w:r>
        <w:t xml:space="preserve"> improving resilience</w:t>
      </w:r>
      <w:bookmarkEnd w:id="156"/>
    </w:p>
    <w:p w14:paraId="182DFA93" w14:textId="77777777" w:rsidR="00666282" w:rsidRDefault="00666282">
      <w:pPr>
        <w:spacing w:before="0" w:after="160" w:line="259" w:lineRule="auto"/>
      </w:pPr>
      <w:r w:rsidRPr="00576DC7">
        <w:t xml:space="preserve">The </w:t>
      </w:r>
      <w:r>
        <w:t xml:space="preserve">2026‍–‍27 Budget </w:t>
      </w:r>
      <w:r w:rsidRPr="00576DC7">
        <w:t>leverages established delivery vehicles, such as</w:t>
      </w:r>
      <w:r>
        <w:t xml:space="preserve"> the Capacity Investment Scheme and the Cheaper Home Batteries</w:t>
      </w:r>
      <w:r w:rsidRPr="00576DC7">
        <w:t xml:space="preserve"> program, to </w:t>
      </w:r>
      <w:r>
        <w:t>support the energy transition, especially the expansion of renewable electricity, supported by consumer energy resources</w:t>
      </w:r>
      <w:r w:rsidRPr="00576DC7">
        <w:t xml:space="preserve">. Additional investments in these programs </w:t>
      </w:r>
      <w:r>
        <w:t xml:space="preserve">since the 2025‍–‍26 Budget </w:t>
      </w:r>
      <w:r w:rsidRPr="00576DC7">
        <w:t xml:space="preserve">are </w:t>
      </w:r>
      <w:r>
        <w:t>reported</w:t>
      </w:r>
      <w:r w:rsidRPr="00576DC7">
        <w:t xml:space="preserve"> as new </w:t>
      </w:r>
      <w:r>
        <w:t xml:space="preserve">net zero </w:t>
      </w:r>
      <w:r w:rsidRPr="00576DC7">
        <w:t xml:space="preserve">spending </w:t>
      </w:r>
      <w:r>
        <w:t>in</w:t>
      </w:r>
      <w:r w:rsidRPr="00576DC7">
        <w:t xml:space="preserve"> this Budget</w:t>
      </w:r>
      <w:r>
        <w:t>, including further support for the network infrastructure underpinning the renewables rollout and promoting a low carbon liquid fuels industry in Australia. These will take pressure off more volatile international energy sources while decarbonising Australia’s energy mix</w:t>
      </w:r>
      <w:r w:rsidRPr="00576DC7">
        <w:t xml:space="preserve">. </w:t>
      </w:r>
      <w:r>
        <w:t xml:space="preserve">The Government has also made considerable investments in Australia’s liquid fuel security and energy resilience in response to the energy supply shock resulting from the conflict in the Middle East. </w:t>
      </w:r>
    </w:p>
    <w:tbl>
      <w:tblPr>
        <w:tblW w:w="5000" w:type="pct"/>
        <w:shd w:val="clear" w:color="auto" w:fill="E6F2FF"/>
        <w:tblCellMar>
          <w:top w:w="284" w:type="dxa"/>
          <w:left w:w="284" w:type="dxa"/>
          <w:bottom w:w="284" w:type="dxa"/>
          <w:right w:w="284" w:type="dxa"/>
        </w:tblCellMar>
        <w:tblLook w:val="0620" w:firstRow="1" w:lastRow="0" w:firstColumn="0" w:lastColumn="0" w:noHBand="1" w:noVBand="1"/>
      </w:tblPr>
      <w:tblGrid>
        <w:gridCol w:w="7710"/>
      </w:tblGrid>
      <w:tr w:rsidR="00666282" w14:paraId="6144AEA0" w14:textId="77777777" w:rsidTr="00F56B58">
        <w:trPr>
          <w:cantSplit/>
        </w:trPr>
        <w:tc>
          <w:tcPr>
            <w:tcW w:w="5000" w:type="pct"/>
            <w:shd w:val="clear" w:color="auto" w:fill="E6F2FF"/>
          </w:tcPr>
          <w:p w14:paraId="36F290A0" w14:textId="77777777" w:rsidR="00666282" w:rsidRPr="008140EF" w:rsidRDefault="00666282">
            <w:pPr>
              <w:pStyle w:val="BoxHeading"/>
              <w:rPr>
                <w:b w:val="0"/>
              </w:rPr>
            </w:pPr>
            <w:r w:rsidRPr="008140EF">
              <w:t>Box 3</w:t>
            </w:r>
            <w:r>
              <w:t>.5</w:t>
            </w:r>
            <w:r w:rsidRPr="008140EF">
              <w:t>: Building resilience to future energy shocks</w:t>
            </w:r>
          </w:p>
          <w:p w14:paraId="12A31EF2" w14:textId="77777777" w:rsidR="00666282" w:rsidRPr="008140EF" w:rsidRDefault="00666282">
            <w:pPr>
              <w:pStyle w:val="BoxText"/>
            </w:pPr>
            <w:r w:rsidRPr="008140EF">
              <w:t>Australia’s transition to net zero is improving the resilience of our energy system, while reducing energy supply risks associated with recent conflicts in Ukraine and the Middle East. Australia’s net zero transition and the ongoing rollout of renewable technologies has provided Australians with more alternative energy sources compared to previous energy crises, building economic resilience to energy shocks.</w:t>
            </w:r>
          </w:p>
          <w:p w14:paraId="16E6F512" w14:textId="77777777" w:rsidR="00666282" w:rsidRPr="008140EF" w:rsidRDefault="00666282">
            <w:pPr>
              <w:pStyle w:val="BoxText"/>
            </w:pPr>
            <w:r w:rsidRPr="008140EF">
              <w:t>The Government is</w:t>
            </w:r>
            <w:r>
              <w:t xml:space="preserve"> currently</w:t>
            </w:r>
            <w:r w:rsidRPr="008140EF">
              <w:t xml:space="preserve"> supporting the diversification and modernisation of Australia’s energy system through the Capacity Investment Scheme</w:t>
            </w:r>
            <w:r>
              <w:t>, Rewiring the Nation and the Cheaper Home Batteries policy</w:t>
            </w:r>
            <w:r w:rsidRPr="008140EF">
              <w:t>. Since the last energy shock following Russia’s invasion of Ukraine, low-cost renewables, batteries and hydroelectric power are setting the wholesale market price more often.</w:t>
            </w:r>
            <w:r w:rsidRPr="008140EF" w:rsidDel="003F23DE">
              <w:t xml:space="preserve"> </w:t>
            </w:r>
            <w:r w:rsidRPr="008140EF">
              <w:t>In the June quarter 2022, black coal and gas set the price in the National Electricity Market 44</w:t>
            </w:r>
            <w:r>
              <w:t> </w:t>
            </w:r>
            <w:r w:rsidRPr="008140EF">
              <w:t>per</w:t>
            </w:r>
            <w:r>
              <w:t> </w:t>
            </w:r>
            <w:r w:rsidRPr="008140EF">
              <w:t xml:space="preserve">cent of the time, whereas in the </w:t>
            </w:r>
            <w:r>
              <w:t>March</w:t>
            </w:r>
            <w:r w:rsidRPr="008140EF">
              <w:t xml:space="preserve"> quarter 2026, they set the price 25</w:t>
            </w:r>
            <w:r>
              <w:t> </w:t>
            </w:r>
            <w:r w:rsidRPr="008140EF">
              <w:t>per</w:t>
            </w:r>
            <w:r>
              <w:t> </w:t>
            </w:r>
            <w:r w:rsidRPr="008140EF">
              <w:t xml:space="preserve">cent of the time. </w:t>
            </w:r>
          </w:p>
          <w:p w14:paraId="35546E22" w14:textId="77777777" w:rsidR="00666282" w:rsidRDefault="00666282">
            <w:pPr>
              <w:pStyle w:val="BoxText"/>
            </w:pPr>
            <w:r w:rsidRPr="008140EF">
              <w:t>Households and businesses that have installed rooftop solar, batteries, heat pumps and energy efficient appliances have better insulated themselves from recent energy shocks. ACCC analysis found that Australian households with rooftop solar and a home battery have electricity bills that are on average 40</w:t>
            </w:r>
            <w:r>
              <w:t> </w:t>
            </w:r>
            <w:r w:rsidRPr="008140EF">
              <w:t>per</w:t>
            </w:r>
            <w:r>
              <w:t> </w:t>
            </w:r>
            <w:r w:rsidRPr="008140EF">
              <w:t>cent less than customers whose electricity comes entirely from the grid. Overall, the rollout of renewable generation and storage in Australia’s electricity</w:t>
            </w:r>
            <w:r w:rsidRPr="008140EF" w:rsidDel="00EB0901">
              <w:t xml:space="preserve"> system</w:t>
            </w:r>
            <w:r w:rsidRPr="008140EF">
              <w:t xml:space="preserve"> is reducing volatility in electricity prices, with an 82</w:t>
            </w:r>
            <w:r>
              <w:t> </w:t>
            </w:r>
            <w:r w:rsidRPr="008140EF">
              <w:t>per</w:t>
            </w:r>
            <w:r>
              <w:t> </w:t>
            </w:r>
            <w:r w:rsidRPr="008140EF">
              <w:t>cent year-on-year drop in high-price events in the September quarter</w:t>
            </w:r>
            <w:r w:rsidRPr="008140EF" w:rsidDel="00F947B3">
              <w:t xml:space="preserve"> </w:t>
            </w:r>
            <w:r w:rsidRPr="008140EF">
              <w:t>2025.</w:t>
            </w:r>
          </w:p>
          <w:p w14:paraId="0311E9D8" w14:textId="77777777" w:rsidR="00666282" w:rsidRDefault="00666282">
            <w:pPr>
              <w:pStyle w:val="Box-continuedon"/>
            </w:pPr>
            <w:proofErr w:type="gramStart"/>
            <w:r>
              <w:t>continued on</w:t>
            </w:r>
            <w:proofErr w:type="gramEnd"/>
            <w:r>
              <w:t xml:space="preserve"> next page</w:t>
            </w:r>
          </w:p>
        </w:tc>
      </w:tr>
    </w:tbl>
    <w:p w14:paraId="22EC21F2" w14:textId="77777777" w:rsidR="00666282" w:rsidRDefault="00666282">
      <w:pPr>
        <w:spacing w:before="0" w:after="160" w:line="259" w:lineRule="auto"/>
      </w:pPr>
    </w:p>
    <w:tbl>
      <w:tblPr>
        <w:tblW w:w="5000" w:type="pct"/>
        <w:shd w:val="clear" w:color="auto" w:fill="E6F2FF"/>
        <w:tblCellMar>
          <w:top w:w="284" w:type="dxa"/>
          <w:left w:w="284" w:type="dxa"/>
          <w:bottom w:w="284" w:type="dxa"/>
          <w:right w:w="284" w:type="dxa"/>
        </w:tblCellMar>
        <w:tblLook w:val="0620" w:firstRow="1" w:lastRow="0" w:firstColumn="0" w:lastColumn="0" w:noHBand="1" w:noVBand="1"/>
      </w:tblPr>
      <w:tblGrid>
        <w:gridCol w:w="7710"/>
      </w:tblGrid>
      <w:tr w:rsidR="00666282" w:rsidRPr="008140EF" w14:paraId="78CA7B03" w14:textId="77777777" w:rsidTr="00F56B58">
        <w:trPr>
          <w:cantSplit/>
        </w:trPr>
        <w:tc>
          <w:tcPr>
            <w:tcW w:w="5000" w:type="pct"/>
            <w:shd w:val="clear" w:color="auto" w:fill="E6F2FF"/>
          </w:tcPr>
          <w:p w14:paraId="57DF0805" w14:textId="77777777" w:rsidR="00666282" w:rsidRPr="008140EF" w:rsidRDefault="00666282">
            <w:pPr>
              <w:pStyle w:val="BoxHeading"/>
              <w:rPr>
                <w:b w:val="0"/>
              </w:rPr>
            </w:pPr>
            <w:r w:rsidRPr="008140EF">
              <w:lastRenderedPageBreak/>
              <w:t>Box 3</w:t>
            </w:r>
            <w:r>
              <w:t>.5</w:t>
            </w:r>
            <w:r w:rsidRPr="008140EF">
              <w:t>: Building resilience to future energy shocks</w:t>
            </w:r>
            <w:r>
              <w:t xml:space="preserve"> </w:t>
            </w:r>
            <w:r w:rsidRPr="00B3703C">
              <w:rPr>
                <w:rStyle w:val="BoxHeading-Continued"/>
              </w:rPr>
              <w:t>(continued)</w:t>
            </w:r>
          </w:p>
          <w:p w14:paraId="2243901E" w14:textId="77777777" w:rsidR="00666282" w:rsidRDefault="00666282">
            <w:pPr>
              <w:pStyle w:val="BoxText"/>
            </w:pPr>
            <w:r>
              <w:t xml:space="preserve">A well-functioning energy market is essential for incentivising continued investment in cleaner, cheaper energy. </w:t>
            </w:r>
            <w:r w:rsidRPr="00315FE0">
              <w:t>In November 2024, the Australian Government commissioned an independent review of the NEM wholesale market settings. In December 2025, the Government welcomed the expert panel’s recommended range of reforms, which are focused on strengthening market incentives and preserving competition to support an orderly and efficient transition to renewable energy.</w:t>
            </w:r>
          </w:p>
          <w:p w14:paraId="14FCA2BF" w14:textId="77777777" w:rsidR="00666282" w:rsidRPr="008140EF" w:rsidRDefault="00666282">
            <w:pPr>
              <w:pStyle w:val="BoxText"/>
            </w:pPr>
            <w:r w:rsidRPr="00897763">
              <w:t xml:space="preserve">The Australian Government is working collaboratively with states and territories to </w:t>
            </w:r>
            <w:r>
              <w:t xml:space="preserve">progress the reform directions identified in the NEM Review. A strong majority of the </w:t>
            </w:r>
            <w:r w:rsidRPr="00E92B09">
              <w:t xml:space="preserve">Energy and Climate Change Ministerial Council (ECMC) </w:t>
            </w:r>
            <w:r>
              <w:t xml:space="preserve">have </w:t>
            </w:r>
            <w:r w:rsidRPr="00E92B09">
              <w:t>agreed to develop a legislative package to implement measures recommended by the NEM review panel and continue the preparatory work related to the establishment of the Electricity Services Entry Mechanism (ESEM)</w:t>
            </w:r>
            <w:r w:rsidRPr="00F22A26">
              <w:t xml:space="preserve"> and Market Making Obligation (MMO)</w:t>
            </w:r>
            <w:r w:rsidRPr="00E92B09">
              <w:t>.</w:t>
            </w:r>
          </w:p>
          <w:p w14:paraId="3AFC36AE" w14:textId="77777777" w:rsidR="00666282" w:rsidRPr="008140EF" w:rsidRDefault="00666282">
            <w:pPr>
              <w:pStyle w:val="BoxText"/>
              <w:rPr>
                <w:rFonts w:eastAsiaTheme="minorEastAsia"/>
              </w:rPr>
            </w:pPr>
            <w:r w:rsidRPr="008140EF">
              <w:t xml:space="preserve">The Government is also </w:t>
            </w:r>
            <w:r>
              <w:t>releasing</w:t>
            </w:r>
            <w:r w:rsidRPr="008140EF">
              <w:t xml:space="preserve"> $</w:t>
            </w:r>
            <w:r>
              <w:t>40.0 </w:t>
            </w:r>
            <w:r w:rsidRPr="008140EF">
              <w:t>million of funding to accelerate the rollout of kerbside and fast electric vehicle (EV) charging infrastructure to support a growing electrified transport fleet. Australians are benefitting from an increasing variety of EVs in the Australian market which is helping moderate demand for fuel. As noted in the Electric Car Discount Review, the total lifetime savings of fuel costs were estimated to be around $2.0</w:t>
            </w:r>
            <w:r>
              <w:t> </w:t>
            </w:r>
            <w:r w:rsidRPr="008140EF">
              <w:t xml:space="preserve">billion from EV purchases attributable to the Electric Car Discount in its first </w:t>
            </w:r>
            <w:r>
              <w:t>three</w:t>
            </w:r>
            <w:r w:rsidRPr="008140EF">
              <w:t xml:space="preserve"> years. The Government’s policies are providing the certainty and backing needed for industry, capital markets and households to invest in onshore energy infrastructure necessary to stabilise our electricity grids and build our resilience to future energy shocks.</w:t>
            </w:r>
          </w:p>
        </w:tc>
      </w:tr>
    </w:tbl>
    <w:p w14:paraId="0ADE1F13" w14:textId="77777777" w:rsidR="00666282" w:rsidRDefault="00666282">
      <w:pPr>
        <w:pStyle w:val="SingleParagraph"/>
        <w:rPr>
          <w:rFonts w:eastAsiaTheme="minorEastAsia"/>
        </w:rPr>
      </w:pPr>
    </w:p>
    <w:p w14:paraId="065ACE7C" w14:textId="77777777" w:rsidR="00666282" w:rsidRDefault="00666282">
      <w:pPr>
        <w:spacing w:before="0" w:after="160" w:line="259" w:lineRule="auto"/>
        <w:rPr>
          <w:rFonts w:eastAsiaTheme="minorEastAsia"/>
        </w:rPr>
      </w:pPr>
      <w:r>
        <w:rPr>
          <w:rFonts w:eastAsiaTheme="minorEastAsia"/>
        </w:rPr>
        <w:br w:type="page"/>
      </w:r>
    </w:p>
    <w:p w14:paraId="64B00F76" w14:textId="77777777" w:rsidR="00666282" w:rsidRPr="00A06385" w:rsidRDefault="00666282">
      <w:pPr>
        <w:pStyle w:val="Heading3"/>
      </w:pPr>
      <w:bookmarkStart w:id="157" w:name="_Toc164773501"/>
      <w:bookmarkStart w:id="158" w:name="_Toc192420149"/>
      <w:bookmarkStart w:id="159" w:name="_Toc193537062"/>
      <w:bookmarkStart w:id="160" w:name="_Toc229240506"/>
      <w:bookmarkEnd w:id="151"/>
      <w:bookmarkEnd w:id="152"/>
      <w:bookmarkEnd w:id="153"/>
      <w:r w:rsidRPr="00A06385">
        <w:lastRenderedPageBreak/>
        <w:t>New net zero spending measures</w:t>
      </w:r>
      <w:bookmarkEnd w:id="157"/>
      <w:bookmarkEnd w:id="158"/>
      <w:bookmarkEnd w:id="159"/>
      <w:bookmarkEnd w:id="160"/>
    </w:p>
    <w:p w14:paraId="514E0658" w14:textId="77777777" w:rsidR="00666282" w:rsidRPr="00576DC7" w:rsidRDefault="00666282">
      <w:r w:rsidRPr="003D0D4F">
        <w:t>Table</w:t>
      </w:r>
      <w:r>
        <w:t> </w:t>
      </w:r>
      <w:r w:rsidRPr="003D0D4F">
        <w:t>3.</w:t>
      </w:r>
      <w:r>
        <w:t>9</w:t>
      </w:r>
      <w:r w:rsidRPr="00576DC7">
        <w:t xml:space="preserve"> sets out $</w:t>
      </w:r>
      <w:r w:rsidRPr="00845DEE">
        <w:t>12.</w:t>
      </w:r>
      <w:r>
        <w:t>3 </w:t>
      </w:r>
      <w:r w:rsidRPr="00576DC7">
        <w:t>billion in new net zero spending commitments over the forward estimates period and $</w:t>
      </w:r>
      <w:r w:rsidRPr="00845DEE">
        <w:t>1</w:t>
      </w:r>
      <w:r>
        <w:t>8</w:t>
      </w:r>
      <w:r w:rsidRPr="00845DEE">
        <w:t>.2</w:t>
      </w:r>
      <w:r w:rsidRPr="00576DC7">
        <w:t> billion over the medium term, across</w:t>
      </w:r>
      <w:r>
        <w:t xml:space="preserve"> the</w:t>
      </w:r>
      <w:r w:rsidRPr="00576DC7">
        <w:t xml:space="preserve"> 202</w:t>
      </w:r>
      <w:r>
        <w:t>5‍</w:t>
      </w:r>
      <w:r w:rsidRPr="00576DC7">
        <w:t>–</w:t>
      </w:r>
      <w:r>
        <w:t>‍</w:t>
      </w:r>
      <w:r w:rsidRPr="00576DC7">
        <w:t>2</w:t>
      </w:r>
      <w:r>
        <w:t>6</w:t>
      </w:r>
      <w:r w:rsidRPr="00576DC7">
        <w:t xml:space="preserve"> MYEFO and this Budget. This follows net zero spending commitments of $</w:t>
      </w:r>
      <w:r>
        <w:t>6.9</w:t>
      </w:r>
      <w:r w:rsidRPr="00576DC7">
        <w:t xml:space="preserve"> billion (over the medium term) </w:t>
      </w:r>
      <w:r>
        <w:t xml:space="preserve">reported </w:t>
      </w:r>
      <w:r w:rsidRPr="00576DC7">
        <w:t>in the 202</w:t>
      </w:r>
      <w:r>
        <w:t>5‍</w:t>
      </w:r>
      <w:r w:rsidRPr="00576DC7">
        <w:t>–</w:t>
      </w:r>
      <w:r>
        <w:t>‍</w:t>
      </w:r>
      <w:r w:rsidRPr="00576DC7">
        <w:t>2</w:t>
      </w:r>
      <w:r>
        <w:t>6 </w:t>
      </w:r>
      <w:r w:rsidRPr="00576DC7">
        <w:t xml:space="preserve">Budget, </w:t>
      </w:r>
      <w:r>
        <w:t>$24.3 billion (over the medium term) in the 2024‍</w:t>
      </w:r>
      <w:r w:rsidRPr="00576DC7">
        <w:t>–</w:t>
      </w:r>
      <w:r>
        <w:t xml:space="preserve">‍25 Budget, </w:t>
      </w:r>
      <w:r w:rsidRPr="00576DC7">
        <w:t>climate</w:t>
      </w:r>
      <w:r>
        <w:noBreakHyphen/>
      </w:r>
      <w:r w:rsidRPr="00576DC7">
        <w:t>related spending of $4.6 billion (to 2030) committed in the 2023</w:t>
      </w:r>
      <w:r>
        <w:t>‍</w:t>
      </w:r>
      <w:r w:rsidRPr="00576DC7">
        <w:t>–</w:t>
      </w:r>
      <w:r>
        <w:t>‍</w:t>
      </w:r>
      <w:r w:rsidRPr="00576DC7">
        <w:t>24</w:t>
      </w:r>
      <w:r>
        <w:t> </w:t>
      </w:r>
      <w:r w:rsidRPr="00576DC7">
        <w:t>Budget and $24.9 billion (to 2030) committed in the</w:t>
      </w:r>
      <w:r>
        <w:t xml:space="preserve"> October </w:t>
      </w:r>
      <w:r w:rsidRPr="00576DC7">
        <w:t>2022</w:t>
      </w:r>
      <w:r>
        <w:t>‍</w:t>
      </w:r>
      <w:r w:rsidRPr="00576DC7">
        <w:t>–</w:t>
      </w:r>
      <w:r>
        <w:t>‍</w:t>
      </w:r>
      <w:r w:rsidRPr="00576DC7">
        <w:t>23</w:t>
      </w:r>
      <w:r>
        <w:t> </w:t>
      </w:r>
      <w:r w:rsidRPr="00576DC7">
        <w:t>Budget.</w:t>
      </w:r>
    </w:p>
    <w:p w14:paraId="39564E10" w14:textId="77777777" w:rsidR="00666282" w:rsidRPr="00576DC7" w:rsidRDefault="00666282">
      <w:r w:rsidRPr="00576DC7">
        <w:t xml:space="preserve">Classification of spending is informed by the net zero spending framework. The total commitment includes spending, balance sheet and tax expenditure measures and therefore presents a broader view than the impact on the underlying cash balance. </w:t>
      </w:r>
    </w:p>
    <w:p w14:paraId="3EFD8B76" w14:textId="77777777" w:rsidR="00666282" w:rsidRDefault="00666282">
      <w:r w:rsidRPr="00576DC7">
        <w:t xml:space="preserve">Reporting new net zero spending measures supports transparency around the fiscal impacts of climate change and the net zero transformation. However, it does not provide a complete summary of climate action. Only </w:t>
      </w:r>
      <w:r>
        <w:t>new</w:t>
      </w:r>
      <w:r w:rsidRPr="00576DC7">
        <w:t xml:space="preserve"> measures that entail funding commitments or forgone revenue (such as tax concessions) are captured. </w:t>
      </w:r>
    </w:p>
    <w:p w14:paraId="1FDC0AEE" w14:textId="77777777" w:rsidR="00666282" w:rsidRDefault="00666282">
      <w:r>
        <w:t>There are significant savings reported in this Budget, with resources reprioritised to support priority areas of Government action that includes important measures to support Australia through the net zero transition. Given reporting on net zero measures reflects new spending commitments, it does not account for these savings, which are detailed elsewhere in the Budget.</w:t>
      </w:r>
    </w:p>
    <w:p w14:paraId="579C16DD" w14:textId="77777777" w:rsidR="00666282" w:rsidRPr="00712254" w:rsidRDefault="00666282">
      <w:r w:rsidRPr="00712254">
        <w:br w:type="page"/>
      </w:r>
    </w:p>
    <w:p w14:paraId="1A26044A" w14:textId="77777777" w:rsidR="00666282" w:rsidRPr="00576DC7" w:rsidRDefault="00666282">
      <w:pPr>
        <w:pStyle w:val="TableHeading"/>
      </w:pPr>
      <w:r w:rsidRPr="00576DC7">
        <w:lastRenderedPageBreak/>
        <w:t>Table</w:t>
      </w:r>
      <w:r>
        <w:t> </w:t>
      </w:r>
      <w:r w:rsidRPr="00576DC7">
        <w:t>3</w:t>
      </w:r>
      <w:r>
        <w:t>.9</w:t>
      </w:r>
      <w:r w:rsidRPr="00576DC7">
        <w:t xml:space="preserve">: New </w:t>
      </w:r>
      <w:r w:rsidRPr="00891EB7">
        <w:t>measures</w:t>
      </w:r>
    </w:p>
    <w:tbl>
      <w:tblPr>
        <w:tblW w:w="5000" w:type="pct"/>
        <w:tblInd w:w="-14" w:type="dxa"/>
        <w:tblCellMar>
          <w:top w:w="28" w:type="dxa"/>
          <w:left w:w="0" w:type="dxa"/>
          <w:bottom w:w="28" w:type="dxa"/>
          <w:right w:w="28" w:type="dxa"/>
        </w:tblCellMar>
        <w:tblLook w:val="0620" w:firstRow="1" w:lastRow="0" w:firstColumn="0" w:lastColumn="0" w:noHBand="1" w:noVBand="1"/>
      </w:tblPr>
      <w:tblGrid>
        <w:gridCol w:w="13"/>
        <w:gridCol w:w="4660"/>
        <w:gridCol w:w="1556"/>
        <w:gridCol w:w="1481"/>
      </w:tblGrid>
      <w:tr w:rsidR="00666282" w:rsidRPr="008140EF" w14:paraId="78181F8F" w14:textId="77777777" w:rsidTr="00F56B58">
        <w:trPr>
          <w:gridBefore w:val="1"/>
          <w:wBefore w:w="13" w:type="dxa"/>
          <w:trHeight w:val="645"/>
        </w:trPr>
        <w:tc>
          <w:tcPr>
            <w:tcW w:w="4761" w:type="dxa"/>
            <w:tcBorders>
              <w:top w:val="single" w:sz="4" w:space="0" w:color="293F5B"/>
              <w:left w:val="nil"/>
              <w:bottom w:val="single" w:sz="4" w:space="0" w:color="293F5B"/>
              <w:right w:val="nil"/>
            </w:tcBorders>
            <w:vAlign w:val="center"/>
            <w:hideMark/>
          </w:tcPr>
          <w:p w14:paraId="3F7F42DB" w14:textId="77777777" w:rsidR="00666282" w:rsidRPr="008140EF" w:rsidRDefault="00666282">
            <w:pPr>
              <w:spacing w:before="0" w:after="0" w:line="240" w:lineRule="auto"/>
              <w:rPr>
                <w:rFonts w:asciiTheme="majorHAnsi" w:hAnsiTheme="majorHAnsi" w:cstheme="majorHAnsi"/>
                <w:b/>
                <w:sz w:val="16"/>
                <w:szCs w:val="16"/>
              </w:rPr>
            </w:pPr>
            <w:r w:rsidRPr="008140EF">
              <w:rPr>
                <w:rFonts w:asciiTheme="majorHAnsi" w:hAnsiTheme="majorHAnsi" w:cstheme="majorHAnsi"/>
                <w:b/>
                <w:sz w:val="16"/>
                <w:szCs w:val="16"/>
              </w:rPr>
              <w:t>Total*</w:t>
            </w:r>
          </w:p>
        </w:tc>
        <w:tc>
          <w:tcPr>
            <w:tcW w:w="1579" w:type="dxa"/>
            <w:tcBorders>
              <w:top w:val="single" w:sz="4" w:space="0" w:color="293F5B"/>
              <w:left w:val="nil"/>
              <w:bottom w:val="single" w:sz="4" w:space="0" w:color="293F5B"/>
              <w:right w:val="nil"/>
            </w:tcBorders>
            <w:vAlign w:val="center"/>
            <w:hideMark/>
          </w:tcPr>
          <w:p w14:paraId="10349956" w14:textId="77777777" w:rsidR="00666282" w:rsidRPr="008140EF" w:rsidRDefault="00666282">
            <w:pPr>
              <w:spacing w:before="0" w:after="0" w:line="240" w:lineRule="auto"/>
              <w:jc w:val="right"/>
              <w:rPr>
                <w:rFonts w:asciiTheme="majorHAnsi" w:hAnsiTheme="majorHAnsi" w:cstheme="majorHAnsi"/>
                <w:b/>
                <w:sz w:val="16"/>
                <w:szCs w:val="16"/>
              </w:rPr>
            </w:pPr>
            <w:r w:rsidRPr="008140EF">
              <w:rPr>
                <w:rFonts w:asciiTheme="majorHAnsi" w:hAnsiTheme="majorHAnsi" w:cstheme="majorHAnsi"/>
                <w:b/>
                <w:sz w:val="16"/>
                <w:szCs w:val="16"/>
              </w:rPr>
              <w:t xml:space="preserve">Forward Estimates </w:t>
            </w:r>
            <w:r w:rsidRPr="008140EF">
              <w:rPr>
                <w:rFonts w:asciiTheme="majorHAnsi" w:hAnsiTheme="majorHAnsi" w:cstheme="majorHAnsi"/>
                <w:b/>
                <w:sz w:val="16"/>
                <w:szCs w:val="16"/>
              </w:rPr>
              <w:br/>
              <w:t>($m)</w:t>
            </w:r>
          </w:p>
        </w:tc>
        <w:tc>
          <w:tcPr>
            <w:tcW w:w="1506" w:type="dxa"/>
            <w:tcBorders>
              <w:top w:val="single" w:sz="4" w:space="0" w:color="293F5B"/>
              <w:left w:val="nil"/>
              <w:bottom w:val="single" w:sz="4" w:space="0" w:color="293F5B"/>
              <w:right w:val="nil"/>
            </w:tcBorders>
            <w:vAlign w:val="center"/>
            <w:hideMark/>
          </w:tcPr>
          <w:p w14:paraId="4CEB408C" w14:textId="77777777" w:rsidR="00666282" w:rsidRPr="008140EF" w:rsidRDefault="00666282">
            <w:pPr>
              <w:spacing w:before="0" w:after="0" w:line="240" w:lineRule="auto"/>
              <w:jc w:val="right"/>
              <w:rPr>
                <w:rFonts w:asciiTheme="majorHAnsi" w:hAnsiTheme="majorHAnsi" w:cstheme="majorHAnsi"/>
                <w:b/>
                <w:sz w:val="16"/>
                <w:szCs w:val="16"/>
              </w:rPr>
            </w:pPr>
            <w:r w:rsidRPr="008140EF">
              <w:rPr>
                <w:rFonts w:asciiTheme="majorHAnsi" w:hAnsiTheme="majorHAnsi" w:cstheme="majorHAnsi"/>
                <w:b/>
                <w:sz w:val="16"/>
                <w:szCs w:val="16"/>
              </w:rPr>
              <w:t xml:space="preserve">Medium Term </w:t>
            </w:r>
            <w:r w:rsidRPr="008140EF">
              <w:rPr>
                <w:rFonts w:asciiTheme="majorHAnsi" w:hAnsiTheme="majorHAnsi" w:cstheme="majorHAnsi"/>
                <w:b/>
                <w:sz w:val="16"/>
                <w:szCs w:val="16"/>
              </w:rPr>
              <w:br/>
              <w:t>($m)</w:t>
            </w:r>
          </w:p>
        </w:tc>
      </w:tr>
      <w:tr w:rsidR="00666282" w:rsidRPr="008140EF" w14:paraId="4391A03B" w14:textId="77777777" w:rsidTr="00F56B58">
        <w:trPr>
          <w:gridBefore w:val="1"/>
          <w:wBefore w:w="13" w:type="dxa"/>
          <w:trHeight w:val="350"/>
        </w:trPr>
        <w:tc>
          <w:tcPr>
            <w:tcW w:w="4761" w:type="dxa"/>
            <w:tcBorders>
              <w:top w:val="single" w:sz="4" w:space="0" w:color="293F5B"/>
              <w:left w:val="nil"/>
              <w:bottom w:val="single" w:sz="4" w:space="0" w:color="293F5B"/>
              <w:right w:val="nil"/>
            </w:tcBorders>
            <w:shd w:val="clear" w:color="auto" w:fill="E6F2FF"/>
            <w:vAlign w:val="center"/>
            <w:hideMark/>
          </w:tcPr>
          <w:p w14:paraId="507FB5F2" w14:textId="77777777" w:rsidR="00666282" w:rsidRPr="008140EF" w:rsidRDefault="00666282">
            <w:pPr>
              <w:spacing w:before="0" w:after="0" w:line="240" w:lineRule="auto"/>
              <w:rPr>
                <w:rFonts w:asciiTheme="majorHAnsi" w:hAnsiTheme="majorHAnsi" w:cstheme="majorHAnsi"/>
                <w:b/>
                <w:sz w:val="16"/>
                <w:szCs w:val="16"/>
              </w:rPr>
            </w:pPr>
            <w:r w:rsidRPr="008140EF">
              <w:rPr>
                <w:rFonts w:asciiTheme="majorHAnsi" w:hAnsiTheme="majorHAnsi" w:cstheme="majorHAnsi"/>
                <w:b/>
                <w:sz w:val="16"/>
                <w:szCs w:val="16"/>
              </w:rPr>
              <w:t>Reducing emissions in Australia’s energy system and broader economy</w:t>
            </w:r>
          </w:p>
        </w:tc>
        <w:tc>
          <w:tcPr>
            <w:tcW w:w="1579" w:type="dxa"/>
            <w:tcBorders>
              <w:top w:val="single" w:sz="4" w:space="0" w:color="293F5B"/>
              <w:left w:val="nil"/>
              <w:bottom w:val="single" w:sz="4" w:space="0" w:color="293F5B"/>
              <w:right w:val="nil"/>
            </w:tcBorders>
            <w:shd w:val="clear" w:color="auto" w:fill="E6F2FF"/>
            <w:vAlign w:val="center"/>
            <w:hideMark/>
          </w:tcPr>
          <w:p w14:paraId="4E73EEA3" w14:textId="77777777" w:rsidR="00666282" w:rsidRPr="008140EF" w:rsidRDefault="00666282">
            <w:pPr>
              <w:spacing w:before="0" w:after="0" w:line="240" w:lineRule="auto"/>
              <w:jc w:val="right"/>
              <w:rPr>
                <w:rFonts w:asciiTheme="majorHAnsi" w:hAnsiTheme="majorHAnsi" w:cstheme="majorHAnsi"/>
                <w:b/>
                <w:sz w:val="16"/>
                <w:szCs w:val="16"/>
              </w:rPr>
            </w:pPr>
            <w:r w:rsidRPr="008140EF">
              <w:rPr>
                <w:rFonts w:asciiTheme="majorHAnsi" w:hAnsiTheme="majorHAnsi" w:cstheme="majorHAnsi"/>
                <w:b/>
                <w:sz w:val="16"/>
                <w:szCs w:val="16"/>
              </w:rPr>
              <w:t>8,281.5</w:t>
            </w:r>
          </w:p>
        </w:tc>
        <w:tc>
          <w:tcPr>
            <w:tcW w:w="1506" w:type="dxa"/>
            <w:tcBorders>
              <w:top w:val="single" w:sz="4" w:space="0" w:color="293F5B"/>
              <w:left w:val="nil"/>
              <w:bottom w:val="single" w:sz="4" w:space="0" w:color="293F5B"/>
              <w:right w:val="nil"/>
            </w:tcBorders>
            <w:shd w:val="clear" w:color="auto" w:fill="E6F2FF"/>
            <w:vAlign w:val="center"/>
            <w:hideMark/>
          </w:tcPr>
          <w:p w14:paraId="5096C85E" w14:textId="77777777" w:rsidR="00666282" w:rsidRPr="008140EF" w:rsidRDefault="00666282">
            <w:pPr>
              <w:spacing w:before="0" w:after="0" w:line="240" w:lineRule="auto"/>
              <w:jc w:val="right"/>
              <w:rPr>
                <w:rFonts w:asciiTheme="majorHAnsi" w:hAnsiTheme="majorHAnsi" w:cstheme="majorHAnsi"/>
                <w:b/>
                <w:sz w:val="16"/>
                <w:szCs w:val="16"/>
              </w:rPr>
            </w:pPr>
            <w:r w:rsidRPr="008140EF">
              <w:rPr>
                <w:rFonts w:asciiTheme="majorHAnsi" w:hAnsiTheme="majorHAnsi" w:cstheme="majorHAnsi"/>
                <w:b/>
                <w:sz w:val="16"/>
                <w:szCs w:val="16"/>
              </w:rPr>
              <w:t>10,296.0</w:t>
            </w:r>
          </w:p>
        </w:tc>
      </w:tr>
      <w:tr w:rsidR="00666282" w:rsidRPr="008140EF" w14:paraId="6D94B9D6" w14:textId="77777777" w:rsidTr="00F56B58">
        <w:trPr>
          <w:gridBefore w:val="1"/>
          <w:wBefore w:w="13" w:type="dxa"/>
          <w:trHeight w:val="173"/>
        </w:trPr>
        <w:tc>
          <w:tcPr>
            <w:tcW w:w="4761" w:type="dxa"/>
            <w:tcBorders>
              <w:top w:val="single" w:sz="4" w:space="0" w:color="293F5B"/>
              <w:left w:val="nil"/>
              <w:bottom w:val="single" w:sz="4" w:space="0" w:color="293F5B"/>
              <w:right w:val="nil"/>
            </w:tcBorders>
            <w:vAlign w:val="center"/>
          </w:tcPr>
          <w:p w14:paraId="44BCC85B" w14:textId="77777777" w:rsidR="00666282" w:rsidRPr="008140EF" w:rsidRDefault="00666282">
            <w:pPr>
              <w:spacing w:before="0" w:after="0" w:line="240" w:lineRule="auto"/>
              <w:rPr>
                <w:rFonts w:asciiTheme="majorHAnsi" w:hAnsiTheme="majorHAnsi" w:cstheme="majorHAnsi"/>
                <w:b/>
                <w:sz w:val="16"/>
                <w:szCs w:val="16"/>
                <w:vertAlign w:val="superscript"/>
              </w:rPr>
            </w:pPr>
            <w:r w:rsidRPr="008140EF">
              <w:rPr>
                <w:rFonts w:asciiTheme="majorHAnsi" w:hAnsiTheme="majorHAnsi" w:cstheme="majorHAnsi"/>
                <w:sz w:val="16"/>
                <w:szCs w:val="16"/>
              </w:rPr>
              <w:t>Support for the Net Zero Plan -</w:t>
            </w:r>
            <w:r w:rsidRPr="008140EF">
              <w:t xml:space="preserve"> </w:t>
            </w:r>
            <w:r w:rsidRPr="008140EF">
              <w:rPr>
                <w:rFonts w:asciiTheme="majorHAnsi" w:hAnsiTheme="majorHAnsi" w:cstheme="majorHAnsi"/>
                <w:sz w:val="16"/>
                <w:szCs w:val="16"/>
              </w:rPr>
              <w:t>CEFC, Game On, EV Charging, Mainstreaming Energy Performance and Unlocking Household Retrofits</w:t>
            </w:r>
            <w:r w:rsidRPr="008140EF">
              <w:rPr>
                <w:rFonts w:asciiTheme="majorHAnsi" w:hAnsiTheme="majorHAnsi" w:cstheme="majorHAnsi"/>
                <w:sz w:val="16"/>
                <w:szCs w:val="16"/>
                <w:vertAlign w:val="superscript"/>
              </w:rPr>
              <w:t>(a)(b)</w:t>
            </w:r>
          </w:p>
        </w:tc>
        <w:tc>
          <w:tcPr>
            <w:tcW w:w="1579" w:type="dxa"/>
            <w:tcBorders>
              <w:top w:val="single" w:sz="4" w:space="0" w:color="293F5B"/>
              <w:left w:val="nil"/>
              <w:bottom w:val="single" w:sz="4" w:space="0" w:color="293F5B"/>
              <w:right w:val="nil"/>
            </w:tcBorders>
            <w:vAlign w:val="center"/>
            <w:hideMark/>
          </w:tcPr>
          <w:p w14:paraId="195F2B7E" w14:textId="77777777" w:rsidR="00666282" w:rsidRPr="008140EF" w:rsidRDefault="00666282">
            <w:pPr>
              <w:spacing w:before="0" w:after="0" w:line="240" w:lineRule="auto"/>
              <w:jc w:val="right"/>
              <w:rPr>
                <w:rFonts w:asciiTheme="majorHAnsi" w:hAnsiTheme="majorHAnsi" w:cstheme="majorBidi"/>
                <w:sz w:val="16"/>
                <w:szCs w:val="16"/>
              </w:rPr>
            </w:pPr>
            <w:r w:rsidRPr="008140EF">
              <w:rPr>
                <w:rFonts w:asciiTheme="majorHAnsi" w:hAnsiTheme="majorHAnsi"/>
                <w:sz w:val="16"/>
                <w:szCs w:val="16"/>
              </w:rPr>
              <w:t>174.6</w:t>
            </w:r>
          </w:p>
        </w:tc>
        <w:tc>
          <w:tcPr>
            <w:tcW w:w="1506" w:type="dxa"/>
            <w:tcBorders>
              <w:top w:val="single" w:sz="4" w:space="0" w:color="293F5B"/>
              <w:left w:val="nil"/>
              <w:bottom w:val="single" w:sz="4" w:space="0" w:color="293F5B"/>
              <w:right w:val="nil"/>
            </w:tcBorders>
            <w:vAlign w:val="center"/>
            <w:hideMark/>
          </w:tcPr>
          <w:p w14:paraId="731451D8" w14:textId="77777777" w:rsidR="00666282" w:rsidRPr="008140EF" w:rsidRDefault="00666282">
            <w:pPr>
              <w:spacing w:before="0" w:after="0" w:line="240" w:lineRule="auto"/>
              <w:jc w:val="right"/>
              <w:rPr>
                <w:rFonts w:asciiTheme="majorHAnsi" w:hAnsiTheme="majorHAnsi" w:cstheme="majorBidi"/>
                <w:sz w:val="16"/>
                <w:szCs w:val="16"/>
              </w:rPr>
            </w:pPr>
            <w:r w:rsidRPr="008140EF">
              <w:rPr>
                <w:rFonts w:asciiTheme="majorHAnsi" w:hAnsiTheme="majorHAnsi"/>
                <w:sz w:val="16"/>
                <w:szCs w:val="16"/>
              </w:rPr>
              <w:t>2</w:t>
            </w:r>
            <w:r>
              <w:rPr>
                <w:rFonts w:asciiTheme="majorHAnsi" w:hAnsiTheme="majorHAnsi"/>
                <w:sz w:val="16"/>
                <w:szCs w:val="16"/>
              </w:rPr>
              <w:t>,</w:t>
            </w:r>
            <w:r w:rsidRPr="008140EF">
              <w:rPr>
                <w:rFonts w:asciiTheme="majorHAnsi" w:hAnsiTheme="majorHAnsi"/>
                <w:sz w:val="16"/>
                <w:szCs w:val="16"/>
              </w:rPr>
              <w:t>174.6</w:t>
            </w:r>
          </w:p>
        </w:tc>
      </w:tr>
      <w:tr w:rsidR="00666282" w:rsidRPr="008140EF" w14:paraId="284E2A44" w14:textId="77777777" w:rsidTr="00F56B58">
        <w:trPr>
          <w:gridBefore w:val="1"/>
          <w:wBefore w:w="13" w:type="dxa"/>
          <w:trHeight w:val="104"/>
        </w:trPr>
        <w:tc>
          <w:tcPr>
            <w:tcW w:w="4761" w:type="dxa"/>
            <w:tcBorders>
              <w:top w:val="single" w:sz="4" w:space="0" w:color="293F5B"/>
              <w:left w:val="nil"/>
              <w:bottom w:val="single" w:sz="4" w:space="0" w:color="293F5B"/>
              <w:right w:val="nil"/>
            </w:tcBorders>
            <w:vAlign w:val="center"/>
          </w:tcPr>
          <w:p w14:paraId="7DAA3602" w14:textId="77777777" w:rsidR="00666282" w:rsidRPr="008140EF" w:rsidRDefault="00666282">
            <w:pPr>
              <w:spacing w:before="0" w:after="0" w:line="240" w:lineRule="auto"/>
              <w:rPr>
                <w:rFonts w:asciiTheme="majorHAnsi" w:hAnsiTheme="majorHAnsi" w:cstheme="majorHAnsi"/>
                <w:sz w:val="16"/>
                <w:szCs w:val="16"/>
                <w:vertAlign w:val="superscript"/>
              </w:rPr>
            </w:pPr>
            <w:r w:rsidRPr="008140EF">
              <w:rPr>
                <w:rFonts w:asciiTheme="majorHAnsi" w:hAnsiTheme="majorHAnsi" w:cstheme="majorHAnsi"/>
                <w:sz w:val="16"/>
                <w:szCs w:val="16"/>
              </w:rPr>
              <w:t>Finalising Fixed Delivery Carbon Contract Exit Arrangements</w:t>
            </w:r>
            <w:r w:rsidRPr="008140EF">
              <w:rPr>
                <w:rFonts w:asciiTheme="majorHAnsi" w:hAnsiTheme="majorHAnsi" w:cstheme="majorHAnsi"/>
                <w:sz w:val="16"/>
                <w:szCs w:val="16"/>
                <w:vertAlign w:val="superscript"/>
              </w:rPr>
              <w:t>(a)</w:t>
            </w:r>
            <w:r w:rsidRPr="008140EF" w:rsidDel="00E0535C">
              <w:rPr>
                <w:rFonts w:asciiTheme="majorHAnsi" w:hAnsiTheme="majorHAnsi" w:cstheme="majorHAnsi"/>
                <w:sz w:val="16"/>
                <w:szCs w:val="16"/>
                <w:vertAlign w:val="superscript"/>
              </w:rPr>
              <w:t>(</w:t>
            </w:r>
            <w:r w:rsidRPr="008140EF">
              <w:rPr>
                <w:rFonts w:asciiTheme="majorHAnsi" w:hAnsiTheme="majorHAnsi" w:cstheme="majorHAnsi"/>
                <w:sz w:val="16"/>
                <w:szCs w:val="16"/>
                <w:vertAlign w:val="superscript"/>
              </w:rPr>
              <w:t>c)</w:t>
            </w:r>
          </w:p>
        </w:tc>
        <w:tc>
          <w:tcPr>
            <w:tcW w:w="1579" w:type="dxa"/>
            <w:tcBorders>
              <w:top w:val="single" w:sz="4" w:space="0" w:color="293F5B"/>
              <w:left w:val="nil"/>
              <w:bottom w:val="single" w:sz="4" w:space="0" w:color="293F5B"/>
              <w:right w:val="nil"/>
            </w:tcBorders>
            <w:vAlign w:val="center"/>
            <w:hideMark/>
          </w:tcPr>
          <w:p w14:paraId="05E6E0E4" w14:textId="77777777" w:rsidR="00666282" w:rsidRPr="008140EF" w:rsidRDefault="00666282">
            <w:pPr>
              <w:spacing w:before="0" w:after="0" w:line="240" w:lineRule="auto"/>
              <w:jc w:val="right"/>
              <w:rPr>
                <w:rFonts w:asciiTheme="majorHAnsi" w:hAnsiTheme="majorHAnsi" w:cstheme="majorBidi"/>
                <w:sz w:val="16"/>
                <w:szCs w:val="16"/>
              </w:rPr>
            </w:pPr>
            <w:proofErr w:type="spellStart"/>
            <w:r w:rsidRPr="008140EF">
              <w:rPr>
                <w:rFonts w:asciiTheme="majorHAnsi" w:hAnsiTheme="majorHAnsi"/>
                <w:sz w:val="16"/>
                <w:szCs w:val="16"/>
              </w:rPr>
              <w:t>nfp</w:t>
            </w:r>
            <w:proofErr w:type="spellEnd"/>
          </w:p>
        </w:tc>
        <w:tc>
          <w:tcPr>
            <w:tcW w:w="1506" w:type="dxa"/>
            <w:tcBorders>
              <w:top w:val="single" w:sz="4" w:space="0" w:color="293F5B"/>
              <w:left w:val="nil"/>
              <w:bottom w:val="single" w:sz="4" w:space="0" w:color="293F5B"/>
              <w:right w:val="nil"/>
            </w:tcBorders>
            <w:vAlign w:val="center"/>
            <w:hideMark/>
          </w:tcPr>
          <w:p w14:paraId="054E4F8B" w14:textId="77777777" w:rsidR="00666282" w:rsidRPr="008140EF" w:rsidRDefault="00666282">
            <w:pPr>
              <w:spacing w:before="0" w:after="0" w:line="240" w:lineRule="auto"/>
              <w:jc w:val="right"/>
              <w:rPr>
                <w:rFonts w:asciiTheme="majorHAnsi" w:hAnsiTheme="majorHAnsi" w:cstheme="majorBidi"/>
                <w:sz w:val="16"/>
                <w:szCs w:val="16"/>
              </w:rPr>
            </w:pPr>
            <w:proofErr w:type="spellStart"/>
            <w:r w:rsidRPr="008140EF">
              <w:rPr>
                <w:rFonts w:asciiTheme="majorHAnsi" w:hAnsiTheme="majorHAnsi"/>
                <w:sz w:val="16"/>
                <w:szCs w:val="16"/>
              </w:rPr>
              <w:t>nfp</w:t>
            </w:r>
            <w:proofErr w:type="spellEnd"/>
          </w:p>
        </w:tc>
      </w:tr>
      <w:tr w:rsidR="00666282" w:rsidRPr="008140EF" w14:paraId="6F7107B2" w14:textId="77777777" w:rsidTr="00F56B58">
        <w:trPr>
          <w:gridBefore w:val="1"/>
          <w:wBefore w:w="13" w:type="dxa"/>
          <w:trHeight w:val="193"/>
        </w:trPr>
        <w:tc>
          <w:tcPr>
            <w:tcW w:w="4761" w:type="dxa"/>
            <w:tcBorders>
              <w:top w:val="single" w:sz="4" w:space="0" w:color="293F5B"/>
              <w:left w:val="nil"/>
              <w:bottom w:val="single" w:sz="4" w:space="0" w:color="293F5B"/>
              <w:right w:val="nil"/>
            </w:tcBorders>
            <w:vAlign w:val="center"/>
          </w:tcPr>
          <w:p w14:paraId="59B830F8" w14:textId="77777777" w:rsidR="00666282" w:rsidRPr="008140EF" w:rsidRDefault="00666282">
            <w:pPr>
              <w:spacing w:before="0" w:after="0" w:line="240" w:lineRule="auto"/>
              <w:rPr>
                <w:rFonts w:asciiTheme="majorHAnsi" w:hAnsiTheme="majorHAnsi" w:cstheme="majorHAnsi"/>
                <w:sz w:val="16"/>
                <w:szCs w:val="16"/>
                <w:vertAlign w:val="superscript"/>
              </w:rPr>
            </w:pPr>
            <w:r w:rsidRPr="008140EF">
              <w:rPr>
                <w:rFonts w:asciiTheme="majorHAnsi" w:hAnsiTheme="majorHAnsi" w:cstheme="majorHAnsi"/>
                <w:sz w:val="16"/>
                <w:szCs w:val="16"/>
              </w:rPr>
              <w:t>Boosting Consumer Energy Resources and Delivering Bill Savings</w:t>
            </w:r>
            <w:r w:rsidRPr="008140EF">
              <w:rPr>
                <w:rFonts w:asciiTheme="majorHAnsi" w:hAnsiTheme="majorHAnsi" w:cstheme="majorHAnsi"/>
                <w:sz w:val="16"/>
                <w:szCs w:val="16"/>
                <w:vertAlign w:val="superscript"/>
              </w:rPr>
              <w:t xml:space="preserve">(d) </w:t>
            </w:r>
          </w:p>
        </w:tc>
        <w:tc>
          <w:tcPr>
            <w:tcW w:w="1579" w:type="dxa"/>
            <w:tcBorders>
              <w:top w:val="single" w:sz="4" w:space="0" w:color="293F5B"/>
              <w:left w:val="nil"/>
              <w:bottom w:val="single" w:sz="4" w:space="0" w:color="293F5B"/>
              <w:right w:val="nil"/>
            </w:tcBorders>
            <w:vAlign w:val="center"/>
            <w:hideMark/>
          </w:tcPr>
          <w:p w14:paraId="0A3B71C3" w14:textId="77777777" w:rsidR="00666282" w:rsidRPr="008140EF" w:rsidRDefault="00666282">
            <w:pPr>
              <w:spacing w:before="0" w:after="0" w:line="240" w:lineRule="auto"/>
              <w:jc w:val="right"/>
              <w:rPr>
                <w:rFonts w:asciiTheme="majorHAnsi" w:hAnsiTheme="majorHAnsi" w:cstheme="majorHAnsi"/>
                <w:sz w:val="16"/>
                <w:szCs w:val="16"/>
              </w:rPr>
            </w:pPr>
            <w:r w:rsidRPr="008140EF">
              <w:rPr>
                <w:rFonts w:asciiTheme="majorHAnsi" w:hAnsiTheme="majorHAnsi"/>
                <w:sz w:val="16"/>
                <w:szCs w:val="16"/>
              </w:rPr>
              <w:t>127.8</w:t>
            </w:r>
          </w:p>
        </w:tc>
        <w:tc>
          <w:tcPr>
            <w:tcW w:w="1506" w:type="dxa"/>
            <w:tcBorders>
              <w:top w:val="single" w:sz="4" w:space="0" w:color="293F5B"/>
              <w:left w:val="nil"/>
              <w:bottom w:val="single" w:sz="4" w:space="0" w:color="293F5B"/>
              <w:right w:val="nil"/>
            </w:tcBorders>
            <w:vAlign w:val="center"/>
            <w:hideMark/>
          </w:tcPr>
          <w:p w14:paraId="25880D40" w14:textId="77777777" w:rsidR="00666282" w:rsidRPr="008140EF" w:rsidRDefault="00666282">
            <w:pPr>
              <w:spacing w:before="0" w:after="0" w:line="240" w:lineRule="auto"/>
              <w:jc w:val="right"/>
              <w:rPr>
                <w:rFonts w:asciiTheme="majorHAnsi" w:hAnsiTheme="majorHAnsi" w:cstheme="majorHAnsi"/>
                <w:sz w:val="16"/>
                <w:szCs w:val="16"/>
              </w:rPr>
            </w:pPr>
            <w:r w:rsidRPr="008140EF">
              <w:rPr>
                <w:rFonts w:asciiTheme="majorHAnsi" w:hAnsiTheme="majorHAnsi"/>
                <w:sz w:val="16"/>
                <w:szCs w:val="16"/>
              </w:rPr>
              <w:t>128.5</w:t>
            </w:r>
          </w:p>
        </w:tc>
      </w:tr>
      <w:tr w:rsidR="00666282" w:rsidRPr="008140EF" w14:paraId="25EB3000" w14:textId="77777777" w:rsidTr="00F56B58">
        <w:trPr>
          <w:gridBefore w:val="1"/>
          <w:wBefore w:w="13" w:type="dxa"/>
          <w:trHeight w:val="125"/>
        </w:trPr>
        <w:tc>
          <w:tcPr>
            <w:tcW w:w="4761" w:type="dxa"/>
            <w:tcBorders>
              <w:top w:val="single" w:sz="4" w:space="0" w:color="293F5B"/>
              <w:left w:val="nil"/>
              <w:bottom w:val="single" w:sz="4" w:space="0" w:color="293F5B"/>
              <w:right w:val="nil"/>
            </w:tcBorders>
            <w:vAlign w:val="center"/>
          </w:tcPr>
          <w:p w14:paraId="5E412163" w14:textId="77777777" w:rsidR="00666282" w:rsidRPr="008140EF" w:rsidRDefault="00666282">
            <w:pPr>
              <w:spacing w:before="0" w:after="0" w:line="240" w:lineRule="auto"/>
              <w:rPr>
                <w:rFonts w:asciiTheme="majorHAnsi" w:hAnsiTheme="majorHAnsi" w:cstheme="majorHAnsi"/>
                <w:sz w:val="16"/>
                <w:szCs w:val="16"/>
                <w:vertAlign w:val="superscript"/>
              </w:rPr>
            </w:pPr>
            <w:r w:rsidRPr="008140EF">
              <w:rPr>
                <w:rFonts w:asciiTheme="majorHAnsi" w:hAnsiTheme="majorHAnsi" w:cstheme="majorHAnsi"/>
                <w:sz w:val="16"/>
                <w:szCs w:val="16"/>
              </w:rPr>
              <w:t>A Rapidly Transforming Energy System</w:t>
            </w:r>
            <w:r w:rsidRPr="008140EF">
              <w:rPr>
                <w:rFonts w:asciiTheme="majorHAnsi" w:hAnsiTheme="majorHAnsi" w:cstheme="majorHAnsi"/>
                <w:sz w:val="16"/>
                <w:szCs w:val="16"/>
                <w:vertAlign w:val="superscript"/>
              </w:rPr>
              <w:t xml:space="preserve">(a) </w:t>
            </w:r>
          </w:p>
        </w:tc>
        <w:tc>
          <w:tcPr>
            <w:tcW w:w="1579" w:type="dxa"/>
            <w:tcBorders>
              <w:top w:val="single" w:sz="4" w:space="0" w:color="293F5B"/>
              <w:left w:val="nil"/>
              <w:bottom w:val="single" w:sz="4" w:space="0" w:color="293F5B"/>
              <w:right w:val="nil"/>
            </w:tcBorders>
            <w:vAlign w:val="center"/>
            <w:hideMark/>
          </w:tcPr>
          <w:p w14:paraId="03AAB832" w14:textId="77777777" w:rsidR="00666282" w:rsidRPr="008140EF" w:rsidRDefault="00666282">
            <w:pPr>
              <w:spacing w:before="0" w:after="0" w:line="240" w:lineRule="auto"/>
              <w:jc w:val="right"/>
              <w:rPr>
                <w:rFonts w:asciiTheme="majorHAnsi" w:hAnsiTheme="majorHAnsi" w:cstheme="majorHAnsi"/>
                <w:sz w:val="16"/>
                <w:szCs w:val="16"/>
              </w:rPr>
            </w:pPr>
            <w:r w:rsidRPr="008140EF">
              <w:rPr>
                <w:rFonts w:asciiTheme="majorHAnsi" w:hAnsiTheme="majorHAnsi"/>
                <w:sz w:val="16"/>
                <w:szCs w:val="16"/>
              </w:rPr>
              <w:t>487.5</w:t>
            </w:r>
          </w:p>
        </w:tc>
        <w:tc>
          <w:tcPr>
            <w:tcW w:w="1506" w:type="dxa"/>
            <w:tcBorders>
              <w:top w:val="single" w:sz="4" w:space="0" w:color="293F5B"/>
              <w:left w:val="nil"/>
              <w:bottom w:val="single" w:sz="4" w:space="0" w:color="293F5B"/>
              <w:right w:val="nil"/>
            </w:tcBorders>
            <w:vAlign w:val="center"/>
            <w:hideMark/>
          </w:tcPr>
          <w:p w14:paraId="476918DA" w14:textId="77777777" w:rsidR="00666282" w:rsidRPr="008140EF" w:rsidRDefault="00666282">
            <w:pPr>
              <w:spacing w:before="0" w:after="0" w:line="240" w:lineRule="auto"/>
              <w:jc w:val="right"/>
              <w:rPr>
                <w:rFonts w:asciiTheme="majorHAnsi" w:hAnsiTheme="majorHAnsi" w:cstheme="majorHAnsi"/>
                <w:sz w:val="16"/>
                <w:szCs w:val="16"/>
              </w:rPr>
            </w:pPr>
            <w:r w:rsidRPr="008140EF">
              <w:rPr>
                <w:rFonts w:asciiTheme="majorHAnsi" w:hAnsiTheme="majorHAnsi"/>
                <w:sz w:val="16"/>
                <w:szCs w:val="16"/>
              </w:rPr>
              <w:t>501.3</w:t>
            </w:r>
          </w:p>
        </w:tc>
      </w:tr>
      <w:tr w:rsidR="00666282" w:rsidRPr="008140EF" w14:paraId="373D5FD7" w14:textId="77777777" w:rsidTr="00F56B58">
        <w:trPr>
          <w:trHeight w:val="125"/>
        </w:trPr>
        <w:tc>
          <w:tcPr>
            <w:tcW w:w="4774" w:type="dxa"/>
            <w:gridSpan w:val="2"/>
            <w:tcBorders>
              <w:top w:val="single" w:sz="4" w:space="0" w:color="293F5B"/>
              <w:left w:val="nil"/>
              <w:bottom w:val="single" w:sz="4" w:space="0" w:color="293F5B"/>
              <w:right w:val="nil"/>
            </w:tcBorders>
            <w:vAlign w:val="center"/>
          </w:tcPr>
          <w:p w14:paraId="4A9D2A72" w14:textId="77777777" w:rsidR="00666282" w:rsidRPr="008140EF" w:rsidRDefault="00666282">
            <w:pPr>
              <w:spacing w:before="0" w:after="0" w:line="240" w:lineRule="auto"/>
              <w:rPr>
                <w:rFonts w:asciiTheme="majorHAnsi" w:hAnsiTheme="majorHAnsi" w:cstheme="majorHAnsi"/>
                <w:sz w:val="16"/>
                <w:szCs w:val="16"/>
                <w:vertAlign w:val="superscript"/>
              </w:rPr>
            </w:pPr>
            <w:r w:rsidRPr="008140EF">
              <w:rPr>
                <w:rFonts w:asciiTheme="majorHAnsi" w:hAnsiTheme="majorHAnsi" w:cstheme="majorHAnsi"/>
                <w:sz w:val="16"/>
                <w:szCs w:val="16"/>
              </w:rPr>
              <w:t>Sustaining the Cheaper Home Batteries Program</w:t>
            </w:r>
            <w:r w:rsidRPr="008140EF">
              <w:rPr>
                <w:rFonts w:asciiTheme="majorHAnsi" w:hAnsiTheme="majorHAnsi" w:cstheme="majorHAnsi"/>
                <w:sz w:val="16"/>
                <w:szCs w:val="16"/>
                <w:vertAlign w:val="superscript"/>
              </w:rPr>
              <w:t>(a)(e)</w:t>
            </w:r>
          </w:p>
        </w:tc>
        <w:tc>
          <w:tcPr>
            <w:tcW w:w="1579" w:type="dxa"/>
            <w:tcBorders>
              <w:top w:val="single" w:sz="4" w:space="0" w:color="293F5B"/>
              <w:left w:val="nil"/>
              <w:bottom w:val="single" w:sz="4" w:space="0" w:color="293F5B"/>
              <w:right w:val="nil"/>
            </w:tcBorders>
            <w:vAlign w:val="center"/>
          </w:tcPr>
          <w:p w14:paraId="0A7224F8"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7</w:t>
            </w:r>
            <w:r>
              <w:rPr>
                <w:rFonts w:asciiTheme="majorHAnsi" w:hAnsiTheme="majorHAnsi"/>
                <w:sz w:val="16"/>
                <w:szCs w:val="16"/>
              </w:rPr>
              <w:t>,</w:t>
            </w:r>
            <w:r w:rsidRPr="008140EF">
              <w:rPr>
                <w:rFonts w:asciiTheme="majorHAnsi" w:hAnsiTheme="majorHAnsi"/>
                <w:sz w:val="16"/>
                <w:szCs w:val="16"/>
              </w:rPr>
              <w:t>237.0</w:t>
            </w:r>
          </w:p>
        </w:tc>
        <w:tc>
          <w:tcPr>
            <w:tcW w:w="1506" w:type="dxa"/>
            <w:tcBorders>
              <w:top w:val="single" w:sz="4" w:space="0" w:color="293F5B"/>
              <w:left w:val="nil"/>
              <w:bottom w:val="single" w:sz="4" w:space="0" w:color="293F5B"/>
              <w:right w:val="nil"/>
            </w:tcBorders>
            <w:vAlign w:val="center"/>
          </w:tcPr>
          <w:p w14:paraId="5800F17E"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7</w:t>
            </w:r>
            <w:r>
              <w:rPr>
                <w:rFonts w:asciiTheme="majorHAnsi" w:hAnsiTheme="majorHAnsi"/>
                <w:sz w:val="16"/>
                <w:szCs w:val="16"/>
              </w:rPr>
              <w:t>,</w:t>
            </w:r>
            <w:r w:rsidRPr="008140EF">
              <w:rPr>
                <w:rFonts w:asciiTheme="majorHAnsi" w:hAnsiTheme="majorHAnsi"/>
                <w:sz w:val="16"/>
                <w:szCs w:val="16"/>
              </w:rPr>
              <w:t>237.0</w:t>
            </w:r>
          </w:p>
        </w:tc>
      </w:tr>
      <w:tr w:rsidR="00666282" w:rsidRPr="008140EF" w14:paraId="02788E44" w14:textId="77777777" w:rsidTr="00F56B58">
        <w:trPr>
          <w:trHeight w:val="125"/>
        </w:trPr>
        <w:tc>
          <w:tcPr>
            <w:tcW w:w="4774" w:type="dxa"/>
            <w:gridSpan w:val="2"/>
            <w:tcBorders>
              <w:top w:val="single" w:sz="4" w:space="0" w:color="293F5B"/>
              <w:left w:val="nil"/>
              <w:bottom w:val="single" w:sz="4" w:space="0" w:color="293F5B"/>
              <w:right w:val="nil"/>
            </w:tcBorders>
            <w:vAlign w:val="center"/>
          </w:tcPr>
          <w:p w14:paraId="4892989E" w14:textId="77777777" w:rsidR="00666282" w:rsidRPr="008140EF" w:rsidRDefault="00666282">
            <w:pPr>
              <w:spacing w:before="0" w:after="0" w:line="240" w:lineRule="auto"/>
              <w:rPr>
                <w:rFonts w:asciiTheme="majorHAnsi" w:hAnsiTheme="majorHAnsi" w:cstheme="majorHAnsi"/>
                <w:sz w:val="16"/>
                <w:szCs w:val="16"/>
                <w:vertAlign w:val="superscript"/>
              </w:rPr>
            </w:pPr>
            <w:r w:rsidRPr="008140EF">
              <w:rPr>
                <w:rFonts w:asciiTheme="majorHAnsi" w:hAnsiTheme="majorHAnsi" w:cstheme="majorHAnsi"/>
                <w:sz w:val="16"/>
                <w:szCs w:val="16"/>
              </w:rPr>
              <w:t>Building a Future Made in Australia – Boyer Mill Transition to Renewables</w:t>
            </w:r>
            <w:r w:rsidRPr="008140EF">
              <w:rPr>
                <w:rFonts w:asciiTheme="majorHAnsi" w:hAnsiTheme="majorHAnsi" w:cstheme="majorHAnsi"/>
                <w:sz w:val="16"/>
                <w:szCs w:val="16"/>
                <w:vertAlign w:val="superscript"/>
              </w:rPr>
              <w:t xml:space="preserve">(a) </w:t>
            </w:r>
          </w:p>
        </w:tc>
        <w:tc>
          <w:tcPr>
            <w:tcW w:w="1579" w:type="dxa"/>
            <w:tcBorders>
              <w:top w:val="single" w:sz="4" w:space="0" w:color="293F5B"/>
              <w:left w:val="nil"/>
              <w:bottom w:val="single" w:sz="4" w:space="0" w:color="293F5B"/>
              <w:right w:val="nil"/>
            </w:tcBorders>
            <w:vAlign w:val="center"/>
          </w:tcPr>
          <w:p w14:paraId="3AF5B340"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24.0</w:t>
            </w:r>
          </w:p>
        </w:tc>
        <w:tc>
          <w:tcPr>
            <w:tcW w:w="1506" w:type="dxa"/>
            <w:tcBorders>
              <w:top w:val="single" w:sz="4" w:space="0" w:color="293F5B"/>
              <w:left w:val="nil"/>
              <w:bottom w:val="single" w:sz="4" w:space="0" w:color="293F5B"/>
              <w:right w:val="nil"/>
            </w:tcBorders>
            <w:vAlign w:val="center"/>
          </w:tcPr>
          <w:p w14:paraId="7EEA6D85"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24.0</w:t>
            </w:r>
          </w:p>
        </w:tc>
      </w:tr>
      <w:tr w:rsidR="00666282" w:rsidRPr="008140EF" w14:paraId="29ABF4FE" w14:textId="77777777" w:rsidTr="00F56B58">
        <w:trPr>
          <w:trHeight w:val="125"/>
        </w:trPr>
        <w:tc>
          <w:tcPr>
            <w:tcW w:w="4774" w:type="dxa"/>
            <w:gridSpan w:val="2"/>
            <w:tcBorders>
              <w:top w:val="single" w:sz="4" w:space="0" w:color="293F5B"/>
              <w:left w:val="nil"/>
              <w:bottom w:val="single" w:sz="4" w:space="0" w:color="293F5B"/>
              <w:right w:val="nil"/>
            </w:tcBorders>
            <w:vAlign w:val="center"/>
          </w:tcPr>
          <w:p w14:paraId="65F67F6C" w14:textId="77777777" w:rsidR="00666282" w:rsidRPr="008140EF" w:rsidRDefault="00666282">
            <w:pPr>
              <w:spacing w:before="0" w:after="0" w:line="240" w:lineRule="auto"/>
              <w:rPr>
                <w:rFonts w:asciiTheme="majorHAnsi" w:hAnsiTheme="majorHAnsi" w:cstheme="majorHAnsi"/>
                <w:sz w:val="16"/>
                <w:szCs w:val="16"/>
                <w:vertAlign w:val="superscript"/>
              </w:rPr>
            </w:pPr>
            <w:r w:rsidRPr="008140EF">
              <w:rPr>
                <w:rFonts w:asciiTheme="majorHAnsi" w:hAnsiTheme="majorHAnsi" w:cstheme="majorHAnsi"/>
                <w:sz w:val="16"/>
                <w:szCs w:val="16"/>
              </w:rPr>
              <w:t>Expanding the Capacity Investment Scheme</w:t>
            </w:r>
            <w:r w:rsidRPr="008140EF">
              <w:rPr>
                <w:rFonts w:asciiTheme="majorHAnsi" w:hAnsiTheme="majorHAnsi" w:cstheme="majorHAnsi"/>
                <w:sz w:val="16"/>
                <w:szCs w:val="16"/>
                <w:vertAlign w:val="superscript"/>
              </w:rPr>
              <w:t xml:space="preserve">(a)(c) </w:t>
            </w:r>
          </w:p>
        </w:tc>
        <w:tc>
          <w:tcPr>
            <w:tcW w:w="1579" w:type="dxa"/>
            <w:tcBorders>
              <w:top w:val="single" w:sz="4" w:space="0" w:color="293F5B"/>
              <w:left w:val="nil"/>
              <w:bottom w:val="single" w:sz="4" w:space="0" w:color="293F5B"/>
              <w:right w:val="nil"/>
            </w:tcBorders>
            <w:vAlign w:val="center"/>
          </w:tcPr>
          <w:p w14:paraId="3C833F55" w14:textId="77777777" w:rsidR="00666282" w:rsidRPr="008140EF" w:rsidRDefault="00666282">
            <w:pPr>
              <w:spacing w:before="0" w:after="0" w:line="240" w:lineRule="auto"/>
              <w:jc w:val="right"/>
              <w:rPr>
                <w:rFonts w:asciiTheme="majorHAnsi" w:hAnsiTheme="majorHAnsi"/>
                <w:sz w:val="16"/>
                <w:szCs w:val="16"/>
              </w:rPr>
            </w:pPr>
            <w:proofErr w:type="spellStart"/>
            <w:r w:rsidRPr="008140EF">
              <w:rPr>
                <w:rFonts w:asciiTheme="majorHAnsi" w:hAnsiTheme="majorHAnsi"/>
                <w:sz w:val="16"/>
                <w:szCs w:val="16"/>
              </w:rPr>
              <w:t>nfp</w:t>
            </w:r>
            <w:proofErr w:type="spellEnd"/>
          </w:p>
        </w:tc>
        <w:tc>
          <w:tcPr>
            <w:tcW w:w="1506" w:type="dxa"/>
            <w:tcBorders>
              <w:top w:val="single" w:sz="4" w:space="0" w:color="293F5B"/>
              <w:left w:val="nil"/>
              <w:bottom w:val="single" w:sz="4" w:space="0" w:color="293F5B"/>
              <w:right w:val="nil"/>
            </w:tcBorders>
            <w:vAlign w:val="center"/>
          </w:tcPr>
          <w:p w14:paraId="12217C58" w14:textId="77777777" w:rsidR="00666282" w:rsidRPr="008140EF" w:rsidRDefault="00666282">
            <w:pPr>
              <w:spacing w:before="0" w:after="0" w:line="240" w:lineRule="auto"/>
              <w:jc w:val="right"/>
              <w:rPr>
                <w:rFonts w:asciiTheme="majorHAnsi" w:hAnsiTheme="majorHAnsi"/>
                <w:sz w:val="16"/>
                <w:szCs w:val="16"/>
              </w:rPr>
            </w:pPr>
            <w:proofErr w:type="spellStart"/>
            <w:r w:rsidRPr="008140EF">
              <w:rPr>
                <w:rFonts w:asciiTheme="majorHAnsi" w:hAnsiTheme="majorHAnsi"/>
                <w:sz w:val="16"/>
                <w:szCs w:val="16"/>
              </w:rPr>
              <w:t>nfp</w:t>
            </w:r>
            <w:proofErr w:type="spellEnd"/>
          </w:p>
        </w:tc>
      </w:tr>
      <w:tr w:rsidR="00666282" w:rsidRPr="008140EF" w14:paraId="14C7EA14" w14:textId="77777777" w:rsidTr="00F56B58">
        <w:trPr>
          <w:trHeight w:val="125"/>
        </w:trPr>
        <w:tc>
          <w:tcPr>
            <w:tcW w:w="4774" w:type="dxa"/>
            <w:gridSpan w:val="2"/>
            <w:tcBorders>
              <w:top w:val="single" w:sz="4" w:space="0" w:color="293F5B"/>
              <w:left w:val="nil"/>
              <w:bottom w:val="single" w:sz="4" w:space="0" w:color="293F5B"/>
              <w:right w:val="nil"/>
            </w:tcBorders>
            <w:vAlign w:val="center"/>
          </w:tcPr>
          <w:p w14:paraId="44E27084" w14:textId="77777777" w:rsidR="00666282" w:rsidRPr="008140EF" w:rsidRDefault="00666282">
            <w:pPr>
              <w:spacing w:before="0" w:after="0" w:line="240" w:lineRule="auto"/>
              <w:rPr>
                <w:rFonts w:asciiTheme="majorHAnsi" w:hAnsiTheme="majorHAnsi" w:cstheme="majorHAnsi"/>
                <w:sz w:val="16"/>
                <w:szCs w:val="16"/>
              </w:rPr>
            </w:pPr>
            <w:r w:rsidRPr="008140EF">
              <w:rPr>
                <w:rFonts w:asciiTheme="majorHAnsi" w:hAnsiTheme="majorHAnsi" w:cstheme="majorHAnsi"/>
                <w:sz w:val="16"/>
                <w:szCs w:val="16"/>
              </w:rPr>
              <w:t>Boosting Productivity – Accelerating Approvals</w:t>
            </w:r>
            <w:r w:rsidRPr="008140EF">
              <w:rPr>
                <w:rFonts w:asciiTheme="majorHAnsi" w:hAnsiTheme="majorHAnsi" w:cstheme="majorHAnsi"/>
                <w:sz w:val="16"/>
                <w:szCs w:val="16"/>
                <w:vertAlign w:val="superscript"/>
              </w:rPr>
              <w:t>(f)</w:t>
            </w:r>
          </w:p>
        </w:tc>
        <w:tc>
          <w:tcPr>
            <w:tcW w:w="1579" w:type="dxa"/>
            <w:tcBorders>
              <w:top w:val="single" w:sz="4" w:space="0" w:color="293F5B"/>
              <w:left w:val="nil"/>
              <w:bottom w:val="single" w:sz="4" w:space="0" w:color="293F5B"/>
              <w:right w:val="nil"/>
            </w:tcBorders>
            <w:vAlign w:val="center"/>
          </w:tcPr>
          <w:p w14:paraId="3E03534B"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157.9</w:t>
            </w:r>
          </w:p>
        </w:tc>
        <w:tc>
          <w:tcPr>
            <w:tcW w:w="1506" w:type="dxa"/>
            <w:tcBorders>
              <w:top w:val="single" w:sz="4" w:space="0" w:color="293F5B"/>
              <w:left w:val="nil"/>
              <w:bottom w:val="single" w:sz="4" w:space="0" w:color="293F5B"/>
              <w:right w:val="nil"/>
            </w:tcBorders>
            <w:vAlign w:val="center"/>
          </w:tcPr>
          <w:p w14:paraId="209F27D5"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157.9</w:t>
            </w:r>
          </w:p>
        </w:tc>
      </w:tr>
      <w:tr w:rsidR="00666282" w:rsidRPr="008140EF" w14:paraId="4CB0F829" w14:textId="77777777" w:rsidTr="00F56B58">
        <w:trPr>
          <w:trHeight w:val="125"/>
        </w:trPr>
        <w:tc>
          <w:tcPr>
            <w:tcW w:w="4774" w:type="dxa"/>
            <w:gridSpan w:val="2"/>
            <w:tcBorders>
              <w:top w:val="single" w:sz="4" w:space="0" w:color="293F5B"/>
              <w:left w:val="nil"/>
              <w:bottom w:val="single" w:sz="4" w:space="0" w:color="293F5B"/>
              <w:right w:val="nil"/>
            </w:tcBorders>
            <w:vAlign w:val="center"/>
          </w:tcPr>
          <w:p w14:paraId="546BB09F" w14:textId="77777777" w:rsidR="00666282" w:rsidRPr="008140EF" w:rsidRDefault="00666282">
            <w:pPr>
              <w:spacing w:before="0" w:after="0" w:line="240" w:lineRule="auto"/>
              <w:rPr>
                <w:rFonts w:asciiTheme="majorHAnsi" w:hAnsiTheme="majorHAnsi" w:cstheme="majorHAnsi"/>
                <w:i/>
                <w:iCs/>
                <w:sz w:val="16"/>
                <w:szCs w:val="16"/>
                <w:vertAlign w:val="superscript"/>
              </w:rPr>
            </w:pPr>
            <w:r w:rsidRPr="008140EF">
              <w:rPr>
                <w:rFonts w:asciiTheme="majorHAnsi" w:hAnsiTheme="majorHAnsi" w:cstheme="majorHAnsi"/>
                <w:sz w:val="16"/>
                <w:szCs w:val="16"/>
              </w:rPr>
              <w:t>Energy Sovereignty – Fuel Security and Resilience</w:t>
            </w:r>
            <w:r w:rsidRPr="008140EF">
              <w:rPr>
                <w:rFonts w:asciiTheme="majorHAnsi" w:hAnsiTheme="majorHAnsi" w:cstheme="majorHAnsi"/>
                <w:sz w:val="16"/>
                <w:szCs w:val="16"/>
                <w:vertAlign w:val="superscript"/>
              </w:rPr>
              <w:t>(g)</w:t>
            </w:r>
          </w:p>
        </w:tc>
        <w:tc>
          <w:tcPr>
            <w:tcW w:w="1579" w:type="dxa"/>
            <w:tcBorders>
              <w:top w:val="single" w:sz="4" w:space="0" w:color="293F5B"/>
              <w:left w:val="nil"/>
              <w:bottom w:val="single" w:sz="4" w:space="0" w:color="293F5B"/>
              <w:right w:val="nil"/>
            </w:tcBorders>
            <w:vAlign w:val="center"/>
          </w:tcPr>
          <w:p w14:paraId="426395CF"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44.5</w:t>
            </w:r>
          </w:p>
        </w:tc>
        <w:tc>
          <w:tcPr>
            <w:tcW w:w="1506" w:type="dxa"/>
            <w:tcBorders>
              <w:top w:val="single" w:sz="4" w:space="0" w:color="293F5B"/>
              <w:left w:val="nil"/>
              <w:bottom w:val="single" w:sz="4" w:space="0" w:color="293F5B"/>
              <w:right w:val="nil"/>
            </w:tcBorders>
            <w:vAlign w:val="center"/>
          </w:tcPr>
          <w:p w14:paraId="0176FC12"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44.5</w:t>
            </w:r>
          </w:p>
        </w:tc>
      </w:tr>
      <w:tr w:rsidR="00666282" w:rsidRPr="008140EF" w14:paraId="1843C57F" w14:textId="77777777" w:rsidTr="00F56B58">
        <w:trPr>
          <w:trHeight w:val="125"/>
        </w:trPr>
        <w:tc>
          <w:tcPr>
            <w:tcW w:w="4774" w:type="dxa"/>
            <w:gridSpan w:val="2"/>
            <w:tcBorders>
              <w:top w:val="single" w:sz="4" w:space="0" w:color="293F5B"/>
              <w:left w:val="nil"/>
              <w:bottom w:val="single" w:sz="4" w:space="0" w:color="293F5B"/>
              <w:right w:val="nil"/>
            </w:tcBorders>
            <w:vAlign w:val="center"/>
          </w:tcPr>
          <w:p w14:paraId="3C2D0A86" w14:textId="77777777" w:rsidR="00666282" w:rsidRPr="008140EF" w:rsidRDefault="00666282">
            <w:pPr>
              <w:spacing w:before="0" w:after="0" w:line="240" w:lineRule="auto"/>
              <w:rPr>
                <w:rFonts w:asciiTheme="majorHAnsi" w:hAnsiTheme="majorHAnsi" w:cstheme="majorHAnsi"/>
                <w:sz w:val="16"/>
                <w:szCs w:val="16"/>
                <w:vertAlign w:val="superscript"/>
              </w:rPr>
            </w:pPr>
            <w:r w:rsidRPr="008140EF">
              <w:rPr>
                <w:rFonts w:asciiTheme="majorHAnsi" w:hAnsiTheme="majorHAnsi" w:cstheme="majorHAnsi"/>
                <w:sz w:val="16"/>
                <w:szCs w:val="16"/>
              </w:rPr>
              <w:t>National Solar Panel Recycling Pilot</w:t>
            </w:r>
            <w:r w:rsidRPr="008140EF">
              <w:rPr>
                <w:rFonts w:asciiTheme="majorHAnsi" w:hAnsiTheme="majorHAnsi" w:cstheme="majorHAnsi"/>
                <w:sz w:val="16"/>
                <w:szCs w:val="16"/>
                <w:vertAlign w:val="superscript"/>
              </w:rPr>
              <w:t>(</w:t>
            </w:r>
            <w:r>
              <w:rPr>
                <w:rFonts w:asciiTheme="majorHAnsi" w:hAnsiTheme="majorHAnsi" w:cstheme="majorHAnsi"/>
                <w:sz w:val="16"/>
                <w:szCs w:val="16"/>
                <w:vertAlign w:val="superscript"/>
              </w:rPr>
              <w:t>h</w:t>
            </w:r>
            <w:r w:rsidRPr="008140EF">
              <w:rPr>
                <w:rFonts w:asciiTheme="majorHAnsi" w:hAnsiTheme="majorHAnsi" w:cstheme="majorHAnsi"/>
                <w:sz w:val="16"/>
                <w:szCs w:val="16"/>
                <w:vertAlign w:val="superscript"/>
              </w:rPr>
              <w:t>)</w:t>
            </w:r>
          </w:p>
        </w:tc>
        <w:tc>
          <w:tcPr>
            <w:tcW w:w="1579" w:type="dxa"/>
            <w:tcBorders>
              <w:top w:val="single" w:sz="4" w:space="0" w:color="293F5B"/>
              <w:left w:val="nil"/>
              <w:bottom w:val="single" w:sz="4" w:space="0" w:color="293F5B"/>
              <w:right w:val="nil"/>
            </w:tcBorders>
            <w:vAlign w:val="center"/>
          </w:tcPr>
          <w:p w14:paraId="26F97C84"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24.7</w:t>
            </w:r>
          </w:p>
        </w:tc>
        <w:tc>
          <w:tcPr>
            <w:tcW w:w="1506" w:type="dxa"/>
            <w:tcBorders>
              <w:top w:val="single" w:sz="4" w:space="0" w:color="293F5B"/>
              <w:left w:val="nil"/>
              <w:bottom w:val="single" w:sz="4" w:space="0" w:color="293F5B"/>
              <w:right w:val="nil"/>
            </w:tcBorders>
            <w:vAlign w:val="center"/>
          </w:tcPr>
          <w:p w14:paraId="4C2A9285"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24.7</w:t>
            </w:r>
          </w:p>
        </w:tc>
      </w:tr>
      <w:tr w:rsidR="00666282" w:rsidRPr="008140EF" w14:paraId="7212CBFE" w14:textId="77777777" w:rsidTr="00F56B58">
        <w:trPr>
          <w:trHeight w:val="125"/>
        </w:trPr>
        <w:tc>
          <w:tcPr>
            <w:tcW w:w="4774" w:type="dxa"/>
            <w:gridSpan w:val="2"/>
            <w:tcBorders>
              <w:top w:val="single" w:sz="4" w:space="0" w:color="293F5B"/>
              <w:left w:val="nil"/>
              <w:bottom w:val="single" w:sz="4" w:space="0" w:color="293F5B"/>
              <w:right w:val="nil"/>
            </w:tcBorders>
            <w:vAlign w:val="center"/>
          </w:tcPr>
          <w:p w14:paraId="7AFC500E" w14:textId="77777777" w:rsidR="00666282" w:rsidRPr="008140EF" w:rsidRDefault="00666282">
            <w:pPr>
              <w:spacing w:before="0" w:after="0" w:line="240" w:lineRule="auto"/>
              <w:rPr>
                <w:rFonts w:asciiTheme="majorHAnsi" w:hAnsiTheme="majorHAnsi" w:cstheme="majorHAnsi"/>
                <w:sz w:val="16"/>
                <w:szCs w:val="16"/>
                <w:vertAlign w:val="superscript"/>
              </w:rPr>
            </w:pPr>
            <w:r w:rsidRPr="008140EF">
              <w:rPr>
                <w:rFonts w:asciiTheme="majorHAnsi" w:hAnsiTheme="majorHAnsi" w:cstheme="majorHAnsi"/>
                <w:sz w:val="16"/>
                <w:szCs w:val="16"/>
              </w:rPr>
              <w:t>Supporting Transport Priorities</w:t>
            </w:r>
            <w:r w:rsidRPr="008140EF">
              <w:rPr>
                <w:rFonts w:asciiTheme="majorHAnsi" w:hAnsiTheme="majorHAnsi" w:cstheme="majorHAnsi"/>
                <w:sz w:val="16"/>
                <w:szCs w:val="16"/>
                <w:vertAlign w:val="superscript"/>
              </w:rPr>
              <w:t>(</w:t>
            </w:r>
            <w:r>
              <w:rPr>
                <w:rFonts w:asciiTheme="majorHAnsi" w:hAnsiTheme="majorHAnsi" w:cstheme="majorHAnsi"/>
                <w:sz w:val="16"/>
                <w:szCs w:val="16"/>
                <w:vertAlign w:val="superscript"/>
              </w:rPr>
              <w:t>i</w:t>
            </w:r>
            <w:r w:rsidRPr="008140EF">
              <w:rPr>
                <w:rFonts w:asciiTheme="majorHAnsi" w:hAnsiTheme="majorHAnsi" w:cstheme="majorHAnsi"/>
                <w:sz w:val="16"/>
                <w:szCs w:val="16"/>
                <w:vertAlign w:val="superscript"/>
              </w:rPr>
              <w:t>)</w:t>
            </w:r>
          </w:p>
        </w:tc>
        <w:tc>
          <w:tcPr>
            <w:tcW w:w="1579" w:type="dxa"/>
            <w:tcBorders>
              <w:top w:val="single" w:sz="4" w:space="0" w:color="293F5B"/>
              <w:left w:val="nil"/>
              <w:bottom w:val="single" w:sz="4" w:space="0" w:color="293F5B"/>
              <w:right w:val="nil"/>
            </w:tcBorders>
            <w:vAlign w:val="center"/>
          </w:tcPr>
          <w:p w14:paraId="3C982EC2"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3.6</w:t>
            </w:r>
          </w:p>
        </w:tc>
        <w:tc>
          <w:tcPr>
            <w:tcW w:w="1506" w:type="dxa"/>
            <w:tcBorders>
              <w:top w:val="single" w:sz="4" w:space="0" w:color="293F5B"/>
              <w:left w:val="nil"/>
              <w:bottom w:val="single" w:sz="4" w:space="0" w:color="293F5B"/>
              <w:right w:val="nil"/>
            </w:tcBorders>
            <w:vAlign w:val="center"/>
          </w:tcPr>
          <w:p w14:paraId="3546A41D"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3.6</w:t>
            </w:r>
          </w:p>
        </w:tc>
      </w:tr>
      <w:tr w:rsidR="00666282" w:rsidRPr="008140EF" w14:paraId="2ADE65A4" w14:textId="77777777" w:rsidTr="00F56B58">
        <w:trPr>
          <w:gridBefore w:val="1"/>
          <w:wBefore w:w="13" w:type="dxa"/>
          <w:trHeight w:val="112"/>
        </w:trPr>
        <w:tc>
          <w:tcPr>
            <w:tcW w:w="4761" w:type="dxa"/>
            <w:tcBorders>
              <w:top w:val="single" w:sz="4" w:space="0" w:color="293F5B"/>
              <w:left w:val="nil"/>
              <w:bottom w:val="single" w:sz="4" w:space="0" w:color="293F5B"/>
              <w:right w:val="nil"/>
            </w:tcBorders>
            <w:shd w:val="clear" w:color="auto" w:fill="E6F2FF"/>
            <w:vAlign w:val="center"/>
            <w:hideMark/>
          </w:tcPr>
          <w:p w14:paraId="5628B8D9" w14:textId="77777777" w:rsidR="00666282" w:rsidRPr="008140EF" w:rsidRDefault="00666282">
            <w:pPr>
              <w:spacing w:before="0" w:after="0" w:line="240" w:lineRule="auto"/>
              <w:rPr>
                <w:rFonts w:asciiTheme="majorHAnsi" w:hAnsiTheme="majorHAnsi" w:cstheme="majorHAnsi"/>
                <w:b/>
                <w:sz w:val="16"/>
                <w:szCs w:val="16"/>
              </w:rPr>
            </w:pPr>
            <w:r w:rsidRPr="008140EF">
              <w:rPr>
                <w:rFonts w:asciiTheme="majorHAnsi" w:hAnsiTheme="majorHAnsi" w:cstheme="majorHAnsi"/>
                <w:b/>
                <w:sz w:val="16"/>
                <w:szCs w:val="16"/>
              </w:rPr>
              <w:t>Strengthening net zero industries and skills</w:t>
            </w:r>
          </w:p>
        </w:tc>
        <w:tc>
          <w:tcPr>
            <w:tcW w:w="1579" w:type="dxa"/>
            <w:tcBorders>
              <w:top w:val="single" w:sz="4" w:space="0" w:color="293F5B"/>
              <w:left w:val="nil"/>
              <w:bottom w:val="single" w:sz="4" w:space="0" w:color="293F5B"/>
              <w:right w:val="nil"/>
            </w:tcBorders>
            <w:shd w:val="clear" w:color="auto" w:fill="E6F2FF"/>
            <w:vAlign w:val="center"/>
            <w:hideMark/>
          </w:tcPr>
          <w:p w14:paraId="7348341F" w14:textId="77777777" w:rsidR="00666282" w:rsidRPr="008140EF" w:rsidRDefault="00666282">
            <w:pPr>
              <w:spacing w:before="0" w:after="0" w:line="240" w:lineRule="auto"/>
              <w:jc w:val="right"/>
              <w:rPr>
                <w:rFonts w:asciiTheme="majorHAnsi" w:hAnsiTheme="majorHAnsi" w:cstheme="majorHAnsi"/>
                <w:b/>
                <w:bCs/>
                <w:sz w:val="16"/>
                <w:szCs w:val="16"/>
              </w:rPr>
            </w:pPr>
            <w:r w:rsidRPr="008140EF">
              <w:rPr>
                <w:rFonts w:asciiTheme="majorHAnsi" w:hAnsiTheme="majorHAnsi" w:cstheme="majorHAnsi"/>
                <w:b/>
                <w:sz w:val="16"/>
                <w:szCs w:val="16"/>
              </w:rPr>
              <w:t>3,701.2</w:t>
            </w:r>
          </w:p>
        </w:tc>
        <w:tc>
          <w:tcPr>
            <w:tcW w:w="1506" w:type="dxa"/>
            <w:tcBorders>
              <w:top w:val="single" w:sz="4" w:space="0" w:color="293F5B"/>
              <w:left w:val="nil"/>
              <w:bottom w:val="single" w:sz="4" w:space="0" w:color="293F5B"/>
              <w:right w:val="nil"/>
            </w:tcBorders>
            <w:shd w:val="clear" w:color="auto" w:fill="E6F2FF"/>
            <w:vAlign w:val="center"/>
            <w:hideMark/>
          </w:tcPr>
          <w:p w14:paraId="34047A8E" w14:textId="77777777" w:rsidR="00666282" w:rsidRPr="008140EF" w:rsidRDefault="00666282">
            <w:pPr>
              <w:spacing w:before="0" w:after="0" w:line="240" w:lineRule="auto"/>
              <w:jc w:val="right"/>
              <w:rPr>
                <w:rFonts w:asciiTheme="majorHAnsi" w:hAnsiTheme="majorHAnsi" w:cstheme="majorHAnsi"/>
                <w:b/>
                <w:bCs/>
                <w:sz w:val="16"/>
                <w:szCs w:val="16"/>
              </w:rPr>
            </w:pPr>
            <w:r w:rsidRPr="008140EF">
              <w:rPr>
                <w:rFonts w:asciiTheme="majorHAnsi" w:hAnsiTheme="majorHAnsi"/>
                <w:b/>
                <w:bCs/>
                <w:sz w:val="16"/>
                <w:szCs w:val="16"/>
              </w:rPr>
              <w:t>7,528.0</w:t>
            </w:r>
          </w:p>
        </w:tc>
      </w:tr>
      <w:tr w:rsidR="00666282" w:rsidRPr="008140EF" w14:paraId="38E699CB" w14:textId="77777777" w:rsidTr="00F56B58">
        <w:trPr>
          <w:gridBefore w:val="1"/>
          <w:wBefore w:w="13" w:type="dxa"/>
          <w:trHeight w:val="288"/>
        </w:trPr>
        <w:tc>
          <w:tcPr>
            <w:tcW w:w="4761" w:type="dxa"/>
            <w:tcBorders>
              <w:top w:val="single" w:sz="4" w:space="0" w:color="293F5B"/>
              <w:left w:val="nil"/>
              <w:bottom w:val="single" w:sz="4" w:space="0" w:color="293F5B"/>
              <w:right w:val="nil"/>
            </w:tcBorders>
            <w:vAlign w:val="center"/>
          </w:tcPr>
          <w:p w14:paraId="30EE0611" w14:textId="77777777" w:rsidR="00666282" w:rsidRPr="008140EF" w:rsidRDefault="00666282">
            <w:pPr>
              <w:spacing w:before="0" w:after="0" w:line="240" w:lineRule="auto"/>
              <w:rPr>
                <w:rFonts w:asciiTheme="majorHAnsi" w:hAnsiTheme="majorHAnsi" w:cstheme="majorHAnsi"/>
                <w:sz w:val="16"/>
                <w:szCs w:val="16"/>
                <w:vertAlign w:val="superscript"/>
              </w:rPr>
            </w:pPr>
            <w:r w:rsidRPr="008140EF">
              <w:rPr>
                <w:rFonts w:asciiTheme="majorHAnsi" w:hAnsiTheme="majorHAnsi" w:cstheme="majorHAnsi"/>
                <w:sz w:val="16"/>
                <w:szCs w:val="16"/>
              </w:rPr>
              <w:t>Support for the Net Zero Plan – National Reconstruction Fund and Low Carbon Liquid Fuels</w:t>
            </w:r>
            <w:r w:rsidRPr="008140EF">
              <w:rPr>
                <w:rFonts w:asciiTheme="majorHAnsi" w:hAnsiTheme="majorHAnsi" w:cstheme="majorHAnsi"/>
                <w:sz w:val="16"/>
                <w:szCs w:val="16"/>
                <w:vertAlign w:val="superscript"/>
              </w:rPr>
              <w:t>(a)(</w:t>
            </w:r>
            <w:r>
              <w:rPr>
                <w:rFonts w:asciiTheme="majorHAnsi" w:hAnsiTheme="majorHAnsi" w:cstheme="majorHAnsi"/>
                <w:sz w:val="16"/>
                <w:szCs w:val="16"/>
                <w:vertAlign w:val="superscript"/>
              </w:rPr>
              <w:t>j</w:t>
            </w:r>
            <w:r w:rsidRPr="008140EF">
              <w:rPr>
                <w:rFonts w:asciiTheme="majorHAnsi" w:hAnsiTheme="majorHAnsi" w:cstheme="majorHAnsi"/>
                <w:sz w:val="16"/>
                <w:szCs w:val="16"/>
                <w:vertAlign w:val="superscript"/>
              </w:rPr>
              <w:t>)</w:t>
            </w:r>
          </w:p>
        </w:tc>
        <w:tc>
          <w:tcPr>
            <w:tcW w:w="1579" w:type="dxa"/>
            <w:tcBorders>
              <w:top w:val="single" w:sz="4" w:space="0" w:color="293F5B"/>
              <w:left w:val="nil"/>
              <w:bottom w:val="single" w:sz="4" w:space="0" w:color="293F5B"/>
              <w:right w:val="nil"/>
            </w:tcBorders>
            <w:vAlign w:val="center"/>
          </w:tcPr>
          <w:p w14:paraId="366B8A93" w14:textId="77777777" w:rsidR="00666282" w:rsidRPr="008140EF" w:rsidRDefault="00666282">
            <w:pPr>
              <w:spacing w:before="0" w:after="0" w:line="240" w:lineRule="auto"/>
              <w:jc w:val="right"/>
              <w:rPr>
                <w:rFonts w:asciiTheme="majorHAnsi" w:hAnsiTheme="majorHAnsi" w:cstheme="majorHAnsi"/>
                <w:sz w:val="16"/>
                <w:szCs w:val="16"/>
              </w:rPr>
            </w:pPr>
            <w:r w:rsidRPr="008140EF">
              <w:rPr>
                <w:rFonts w:asciiTheme="majorHAnsi" w:hAnsiTheme="majorHAnsi"/>
                <w:sz w:val="16"/>
                <w:szCs w:val="16"/>
              </w:rPr>
              <w:t>3</w:t>
            </w:r>
            <w:r>
              <w:rPr>
                <w:rFonts w:asciiTheme="majorHAnsi" w:hAnsiTheme="majorHAnsi"/>
                <w:sz w:val="16"/>
                <w:szCs w:val="16"/>
              </w:rPr>
              <w:t>,</w:t>
            </w:r>
            <w:r w:rsidRPr="008140EF">
              <w:rPr>
                <w:rFonts w:asciiTheme="majorHAnsi" w:hAnsiTheme="majorHAnsi"/>
                <w:sz w:val="16"/>
                <w:szCs w:val="16"/>
              </w:rPr>
              <w:t>239.2</w:t>
            </w:r>
          </w:p>
        </w:tc>
        <w:tc>
          <w:tcPr>
            <w:tcW w:w="1506" w:type="dxa"/>
            <w:tcBorders>
              <w:top w:val="single" w:sz="4" w:space="0" w:color="293F5B"/>
              <w:left w:val="nil"/>
              <w:bottom w:val="single" w:sz="4" w:space="0" w:color="293F5B"/>
              <w:right w:val="nil"/>
            </w:tcBorders>
            <w:vAlign w:val="center"/>
            <w:hideMark/>
          </w:tcPr>
          <w:p w14:paraId="56AFFF6B" w14:textId="77777777" w:rsidR="00666282" w:rsidRPr="008140EF" w:rsidRDefault="00666282">
            <w:pPr>
              <w:spacing w:before="0" w:after="0" w:line="240" w:lineRule="auto"/>
              <w:jc w:val="right"/>
              <w:rPr>
                <w:rFonts w:asciiTheme="majorHAnsi" w:hAnsiTheme="majorHAnsi" w:cstheme="majorHAnsi"/>
                <w:sz w:val="16"/>
                <w:szCs w:val="16"/>
              </w:rPr>
            </w:pPr>
            <w:r w:rsidRPr="008140EF">
              <w:rPr>
                <w:rFonts w:asciiTheme="majorHAnsi" w:hAnsiTheme="majorHAnsi"/>
                <w:sz w:val="16"/>
                <w:szCs w:val="16"/>
              </w:rPr>
              <w:t>6</w:t>
            </w:r>
            <w:r>
              <w:rPr>
                <w:rFonts w:asciiTheme="majorHAnsi" w:hAnsiTheme="majorHAnsi"/>
                <w:sz w:val="16"/>
                <w:szCs w:val="16"/>
              </w:rPr>
              <w:t>,</w:t>
            </w:r>
            <w:r w:rsidRPr="008140EF">
              <w:rPr>
                <w:rFonts w:asciiTheme="majorHAnsi" w:hAnsiTheme="majorHAnsi"/>
                <w:sz w:val="16"/>
                <w:szCs w:val="16"/>
              </w:rPr>
              <w:t>116.0</w:t>
            </w:r>
          </w:p>
        </w:tc>
      </w:tr>
      <w:tr w:rsidR="00666282" w:rsidRPr="008140EF" w14:paraId="667534B6" w14:textId="77777777" w:rsidTr="00F56B58">
        <w:trPr>
          <w:gridBefore w:val="1"/>
          <w:wBefore w:w="13" w:type="dxa"/>
          <w:trHeight w:val="180"/>
        </w:trPr>
        <w:tc>
          <w:tcPr>
            <w:tcW w:w="4761" w:type="dxa"/>
            <w:tcBorders>
              <w:top w:val="single" w:sz="4" w:space="0" w:color="293F5B"/>
              <w:left w:val="nil"/>
              <w:bottom w:val="single" w:sz="4" w:space="0" w:color="293F5B"/>
              <w:right w:val="nil"/>
            </w:tcBorders>
            <w:vAlign w:val="center"/>
          </w:tcPr>
          <w:p w14:paraId="01A6C622" w14:textId="77777777" w:rsidR="00666282" w:rsidRPr="008140EF" w:rsidRDefault="00666282">
            <w:pPr>
              <w:spacing w:before="0" w:after="0" w:line="240" w:lineRule="auto"/>
              <w:rPr>
                <w:rFonts w:asciiTheme="majorHAnsi" w:hAnsiTheme="majorHAnsi" w:cstheme="majorHAnsi"/>
                <w:sz w:val="16"/>
                <w:szCs w:val="16"/>
                <w:vertAlign w:val="superscript"/>
              </w:rPr>
            </w:pPr>
            <w:r w:rsidRPr="008140EF">
              <w:rPr>
                <w:rFonts w:asciiTheme="majorHAnsi" w:hAnsiTheme="majorHAnsi" w:cstheme="majorHAnsi"/>
                <w:sz w:val="16"/>
                <w:szCs w:val="16"/>
              </w:rPr>
              <w:t>Supporting Australian Industry</w:t>
            </w:r>
            <w:r>
              <w:rPr>
                <w:rFonts w:asciiTheme="majorHAnsi" w:hAnsiTheme="majorHAnsi" w:cstheme="majorHAnsi"/>
                <w:sz w:val="16"/>
                <w:szCs w:val="16"/>
              </w:rPr>
              <w:t xml:space="preserve"> </w:t>
            </w:r>
            <w:r w:rsidRPr="008140EF">
              <w:rPr>
                <w:rFonts w:asciiTheme="majorHAnsi" w:hAnsiTheme="majorHAnsi" w:cstheme="majorHAnsi"/>
                <w:sz w:val="16"/>
                <w:szCs w:val="16"/>
              </w:rPr>
              <w:t xml:space="preserve">– </w:t>
            </w:r>
            <w:r>
              <w:rPr>
                <w:rFonts w:asciiTheme="majorHAnsi" w:hAnsiTheme="majorHAnsi" w:cstheme="majorHAnsi"/>
                <w:sz w:val="16"/>
                <w:szCs w:val="16"/>
              </w:rPr>
              <w:t>Closing the energy price gap for green aluminium at Boyne Smelter and Whyalla Steelworks Further Funding</w:t>
            </w:r>
            <w:r w:rsidRPr="008140EF">
              <w:rPr>
                <w:rFonts w:asciiTheme="majorHAnsi" w:hAnsiTheme="majorHAnsi" w:cstheme="majorHAnsi"/>
                <w:sz w:val="16"/>
                <w:szCs w:val="16"/>
                <w:vertAlign w:val="superscript"/>
              </w:rPr>
              <w:t>(</w:t>
            </w:r>
            <w:r>
              <w:rPr>
                <w:rFonts w:asciiTheme="majorHAnsi" w:hAnsiTheme="majorHAnsi" w:cstheme="majorHAnsi"/>
                <w:sz w:val="16"/>
                <w:szCs w:val="16"/>
                <w:vertAlign w:val="superscript"/>
              </w:rPr>
              <w:t>k</w:t>
            </w:r>
            <w:r w:rsidRPr="008140EF">
              <w:rPr>
                <w:rFonts w:asciiTheme="majorHAnsi" w:hAnsiTheme="majorHAnsi" w:cstheme="majorHAnsi"/>
                <w:sz w:val="16"/>
                <w:szCs w:val="16"/>
                <w:vertAlign w:val="superscript"/>
              </w:rPr>
              <w:t>)</w:t>
            </w:r>
          </w:p>
        </w:tc>
        <w:tc>
          <w:tcPr>
            <w:tcW w:w="1579" w:type="dxa"/>
            <w:tcBorders>
              <w:top w:val="single" w:sz="4" w:space="0" w:color="293F5B"/>
              <w:left w:val="nil"/>
              <w:bottom w:val="single" w:sz="4" w:space="0" w:color="293F5B"/>
              <w:right w:val="nil"/>
            </w:tcBorders>
            <w:vAlign w:val="center"/>
          </w:tcPr>
          <w:p w14:paraId="760BC178" w14:textId="77777777" w:rsidR="00666282" w:rsidRPr="008140EF" w:rsidRDefault="00666282">
            <w:pPr>
              <w:spacing w:before="0" w:after="0" w:line="240" w:lineRule="auto"/>
              <w:jc w:val="right"/>
              <w:rPr>
                <w:rFonts w:asciiTheme="majorHAnsi" w:hAnsiTheme="majorHAnsi" w:cstheme="majorHAnsi"/>
                <w:sz w:val="16"/>
                <w:szCs w:val="16"/>
              </w:rPr>
            </w:pPr>
            <w:r w:rsidRPr="008140EF">
              <w:rPr>
                <w:rFonts w:asciiTheme="majorHAnsi" w:hAnsiTheme="majorHAnsi" w:cstheme="majorHAnsi"/>
                <w:sz w:val="16"/>
                <w:szCs w:val="16"/>
              </w:rPr>
              <w:t>436.0</w:t>
            </w:r>
          </w:p>
        </w:tc>
        <w:tc>
          <w:tcPr>
            <w:tcW w:w="1506" w:type="dxa"/>
            <w:tcBorders>
              <w:top w:val="single" w:sz="4" w:space="0" w:color="293F5B"/>
              <w:left w:val="nil"/>
              <w:bottom w:val="single" w:sz="4" w:space="0" w:color="293F5B"/>
              <w:right w:val="nil"/>
            </w:tcBorders>
            <w:vAlign w:val="center"/>
            <w:hideMark/>
          </w:tcPr>
          <w:p w14:paraId="3C09FE7F" w14:textId="77777777" w:rsidR="00666282" w:rsidRPr="008140EF" w:rsidRDefault="00666282">
            <w:pPr>
              <w:spacing w:before="0" w:after="0" w:line="240" w:lineRule="auto"/>
              <w:jc w:val="right"/>
              <w:rPr>
                <w:rFonts w:asciiTheme="majorHAnsi" w:hAnsiTheme="majorHAnsi" w:cstheme="majorHAnsi"/>
                <w:sz w:val="16"/>
                <w:szCs w:val="16"/>
              </w:rPr>
            </w:pPr>
            <w:r w:rsidRPr="008140EF">
              <w:rPr>
                <w:rFonts w:asciiTheme="majorHAnsi" w:hAnsiTheme="majorHAnsi"/>
                <w:sz w:val="16"/>
                <w:szCs w:val="16"/>
              </w:rPr>
              <w:t>1</w:t>
            </w:r>
            <w:r>
              <w:rPr>
                <w:rFonts w:asciiTheme="majorHAnsi" w:hAnsiTheme="majorHAnsi"/>
                <w:sz w:val="16"/>
                <w:szCs w:val="16"/>
              </w:rPr>
              <w:t>,</w:t>
            </w:r>
            <w:r w:rsidRPr="008140EF">
              <w:rPr>
                <w:rFonts w:asciiTheme="majorHAnsi" w:hAnsiTheme="majorHAnsi"/>
                <w:sz w:val="16"/>
                <w:szCs w:val="16"/>
              </w:rPr>
              <w:t>386.0</w:t>
            </w:r>
          </w:p>
        </w:tc>
      </w:tr>
      <w:tr w:rsidR="00666282" w:rsidRPr="008140EF" w14:paraId="3C1E8C87" w14:textId="77777777" w:rsidTr="00F56B58">
        <w:trPr>
          <w:gridBefore w:val="1"/>
          <w:wBefore w:w="13" w:type="dxa"/>
          <w:trHeight w:val="180"/>
        </w:trPr>
        <w:tc>
          <w:tcPr>
            <w:tcW w:w="4761" w:type="dxa"/>
            <w:tcBorders>
              <w:top w:val="single" w:sz="4" w:space="0" w:color="293F5B"/>
              <w:left w:val="nil"/>
              <w:bottom w:val="single" w:sz="4" w:space="0" w:color="293F5B"/>
              <w:right w:val="nil"/>
            </w:tcBorders>
            <w:vAlign w:val="center"/>
          </w:tcPr>
          <w:p w14:paraId="39741D82" w14:textId="77777777" w:rsidR="00666282" w:rsidRPr="008140EF" w:rsidRDefault="00666282">
            <w:pPr>
              <w:spacing w:before="0" w:after="0" w:line="240" w:lineRule="auto"/>
              <w:rPr>
                <w:rFonts w:asciiTheme="majorHAnsi" w:hAnsiTheme="majorHAnsi" w:cstheme="majorHAnsi"/>
                <w:sz w:val="16"/>
                <w:szCs w:val="16"/>
                <w:vertAlign w:val="superscript"/>
              </w:rPr>
            </w:pPr>
            <w:r w:rsidRPr="008140EF">
              <w:rPr>
                <w:rFonts w:asciiTheme="majorHAnsi" w:hAnsiTheme="majorHAnsi" w:cstheme="majorHAnsi"/>
                <w:sz w:val="16"/>
                <w:szCs w:val="16"/>
              </w:rPr>
              <w:t>Building Australia's Future - delivering priority housing and energy sector training</w:t>
            </w:r>
            <w:r w:rsidRPr="008140EF">
              <w:rPr>
                <w:rFonts w:asciiTheme="majorHAnsi" w:hAnsiTheme="majorHAnsi" w:cstheme="majorHAnsi"/>
                <w:sz w:val="16"/>
                <w:szCs w:val="16"/>
                <w:vertAlign w:val="superscript"/>
              </w:rPr>
              <w:t>(a)(</w:t>
            </w:r>
            <w:r>
              <w:rPr>
                <w:rFonts w:asciiTheme="majorHAnsi" w:hAnsiTheme="majorHAnsi" w:cstheme="majorHAnsi"/>
                <w:sz w:val="16"/>
                <w:szCs w:val="16"/>
                <w:vertAlign w:val="superscript"/>
              </w:rPr>
              <w:t>l</w:t>
            </w:r>
            <w:r w:rsidRPr="008140EF">
              <w:rPr>
                <w:rFonts w:asciiTheme="majorHAnsi" w:hAnsiTheme="majorHAnsi" w:cstheme="majorHAnsi"/>
                <w:sz w:val="16"/>
                <w:szCs w:val="16"/>
                <w:vertAlign w:val="superscript"/>
              </w:rPr>
              <w:t>)</w:t>
            </w:r>
          </w:p>
        </w:tc>
        <w:tc>
          <w:tcPr>
            <w:tcW w:w="1579" w:type="dxa"/>
            <w:tcBorders>
              <w:top w:val="single" w:sz="4" w:space="0" w:color="293F5B"/>
              <w:left w:val="nil"/>
              <w:bottom w:val="single" w:sz="4" w:space="0" w:color="293F5B"/>
              <w:right w:val="nil"/>
            </w:tcBorders>
            <w:vAlign w:val="center"/>
          </w:tcPr>
          <w:p w14:paraId="369CD394"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20.0</w:t>
            </w:r>
          </w:p>
        </w:tc>
        <w:tc>
          <w:tcPr>
            <w:tcW w:w="1506" w:type="dxa"/>
            <w:tcBorders>
              <w:top w:val="single" w:sz="4" w:space="0" w:color="293F5B"/>
              <w:left w:val="nil"/>
              <w:bottom w:val="single" w:sz="4" w:space="0" w:color="293F5B"/>
              <w:right w:val="nil"/>
            </w:tcBorders>
            <w:vAlign w:val="center"/>
          </w:tcPr>
          <w:p w14:paraId="396D95F4"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20.0</w:t>
            </w:r>
          </w:p>
        </w:tc>
      </w:tr>
      <w:tr w:rsidR="00666282" w:rsidRPr="008140EF" w14:paraId="11115228" w14:textId="77777777" w:rsidTr="00F56B58">
        <w:trPr>
          <w:trHeight w:val="180"/>
        </w:trPr>
        <w:tc>
          <w:tcPr>
            <w:tcW w:w="4774" w:type="dxa"/>
            <w:gridSpan w:val="2"/>
            <w:tcBorders>
              <w:top w:val="single" w:sz="4" w:space="0" w:color="293F5B"/>
              <w:left w:val="nil"/>
              <w:bottom w:val="single" w:sz="4" w:space="0" w:color="293F5B"/>
              <w:right w:val="nil"/>
            </w:tcBorders>
            <w:vAlign w:val="center"/>
          </w:tcPr>
          <w:p w14:paraId="7B01FD8B" w14:textId="77777777" w:rsidR="00666282" w:rsidRPr="008140EF" w:rsidRDefault="00666282">
            <w:pPr>
              <w:spacing w:before="0" w:after="0" w:line="240" w:lineRule="auto"/>
              <w:rPr>
                <w:rFonts w:asciiTheme="majorHAnsi" w:hAnsiTheme="majorHAnsi" w:cstheme="majorHAnsi"/>
                <w:sz w:val="16"/>
                <w:szCs w:val="16"/>
                <w:vertAlign w:val="superscript"/>
              </w:rPr>
            </w:pPr>
            <w:r w:rsidRPr="008140EF">
              <w:rPr>
                <w:rFonts w:asciiTheme="majorHAnsi" w:hAnsiTheme="majorHAnsi" w:cstheme="majorHAnsi"/>
                <w:sz w:val="16"/>
                <w:szCs w:val="16"/>
              </w:rPr>
              <w:t>Building a Future Made in Australia</w:t>
            </w:r>
            <w:r>
              <w:rPr>
                <w:rFonts w:asciiTheme="majorHAnsi" w:hAnsiTheme="majorHAnsi" w:cstheme="majorHAnsi"/>
                <w:sz w:val="16"/>
                <w:szCs w:val="16"/>
              </w:rPr>
              <w:t xml:space="preserve"> </w:t>
            </w:r>
            <w:r w:rsidRPr="008140EF">
              <w:rPr>
                <w:rFonts w:asciiTheme="majorHAnsi" w:hAnsiTheme="majorHAnsi" w:cstheme="majorHAnsi"/>
                <w:sz w:val="16"/>
                <w:szCs w:val="16"/>
              </w:rPr>
              <w:t>–</w:t>
            </w:r>
            <w:r>
              <w:rPr>
                <w:rFonts w:asciiTheme="majorHAnsi" w:hAnsiTheme="majorHAnsi" w:cstheme="majorHAnsi"/>
                <w:sz w:val="16"/>
                <w:szCs w:val="16"/>
              </w:rPr>
              <w:t xml:space="preserve"> Master Plan for Hunter Mines and Locally Made Steel</w:t>
            </w:r>
            <w:r w:rsidRPr="008140EF">
              <w:rPr>
                <w:rFonts w:asciiTheme="majorHAnsi" w:hAnsiTheme="majorHAnsi" w:cstheme="majorHAnsi"/>
                <w:sz w:val="16"/>
                <w:szCs w:val="16"/>
                <w:vertAlign w:val="superscript"/>
              </w:rPr>
              <w:t>(a)(</w:t>
            </w:r>
            <w:r>
              <w:rPr>
                <w:rFonts w:asciiTheme="majorHAnsi" w:hAnsiTheme="majorHAnsi" w:cstheme="majorHAnsi"/>
                <w:sz w:val="16"/>
                <w:szCs w:val="16"/>
                <w:vertAlign w:val="superscript"/>
              </w:rPr>
              <w:t>m</w:t>
            </w:r>
            <w:r w:rsidRPr="008140EF">
              <w:rPr>
                <w:rFonts w:asciiTheme="majorHAnsi" w:hAnsiTheme="majorHAnsi" w:cstheme="majorHAnsi"/>
                <w:sz w:val="16"/>
                <w:szCs w:val="16"/>
                <w:vertAlign w:val="superscript"/>
              </w:rPr>
              <w:t>)</w:t>
            </w:r>
          </w:p>
        </w:tc>
        <w:tc>
          <w:tcPr>
            <w:tcW w:w="1579" w:type="dxa"/>
            <w:tcBorders>
              <w:top w:val="single" w:sz="4" w:space="0" w:color="293F5B"/>
              <w:left w:val="nil"/>
              <w:bottom w:val="single" w:sz="4" w:space="0" w:color="293F5B"/>
              <w:right w:val="nil"/>
            </w:tcBorders>
            <w:vAlign w:val="center"/>
          </w:tcPr>
          <w:p w14:paraId="1668A9EC"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6.0</w:t>
            </w:r>
          </w:p>
        </w:tc>
        <w:tc>
          <w:tcPr>
            <w:tcW w:w="1506" w:type="dxa"/>
            <w:tcBorders>
              <w:top w:val="single" w:sz="4" w:space="0" w:color="293F5B"/>
              <w:left w:val="nil"/>
              <w:bottom w:val="single" w:sz="4" w:space="0" w:color="293F5B"/>
              <w:right w:val="nil"/>
            </w:tcBorders>
            <w:vAlign w:val="center"/>
          </w:tcPr>
          <w:p w14:paraId="484B6FEA"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6.0</w:t>
            </w:r>
          </w:p>
        </w:tc>
      </w:tr>
      <w:tr w:rsidR="00666282" w:rsidRPr="008140EF" w14:paraId="032E18DC" w14:textId="77777777" w:rsidTr="00F56B58">
        <w:trPr>
          <w:trHeight w:val="315"/>
        </w:trPr>
        <w:tc>
          <w:tcPr>
            <w:tcW w:w="4774" w:type="dxa"/>
            <w:gridSpan w:val="2"/>
            <w:tcBorders>
              <w:top w:val="single" w:sz="2" w:space="0" w:color="293F5B"/>
              <w:left w:val="nil"/>
              <w:bottom w:val="single" w:sz="2" w:space="0" w:color="293F5B"/>
            </w:tcBorders>
            <w:shd w:val="clear" w:color="auto" w:fill="E6F2FF"/>
            <w:vAlign w:val="center"/>
            <w:hideMark/>
          </w:tcPr>
          <w:p w14:paraId="60897C74" w14:textId="77777777" w:rsidR="00666282" w:rsidRPr="008140EF" w:rsidRDefault="00666282">
            <w:pPr>
              <w:spacing w:before="0" w:after="0" w:line="240" w:lineRule="auto"/>
              <w:rPr>
                <w:rFonts w:asciiTheme="majorHAnsi" w:hAnsiTheme="majorHAnsi" w:cstheme="majorHAnsi"/>
                <w:b/>
                <w:sz w:val="16"/>
                <w:szCs w:val="16"/>
              </w:rPr>
            </w:pPr>
            <w:r w:rsidRPr="008140EF">
              <w:rPr>
                <w:rFonts w:asciiTheme="majorHAnsi" w:hAnsiTheme="majorHAnsi" w:cstheme="majorHAnsi"/>
                <w:b/>
                <w:sz w:val="16"/>
                <w:szCs w:val="16"/>
              </w:rPr>
              <w:t>Adapting to climate change and improving climate and disaster resilience</w:t>
            </w:r>
          </w:p>
        </w:tc>
        <w:tc>
          <w:tcPr>
            <w:tcW w:w="1579" w:type="dxa"/>
            <w:tcBorders>
              <w:top w:val="single" w:sz="4" w:space="0" w:color="293F5B"/>
              <w:bottom w:val="single" w:sz="4" w:space="0" w:color="293F5B"/>
              <w:right w:val="nil"/>
            </w:tcBorders>
            <w:shd w:val="clear" w:color="auto" w:fill="E6F2FF"/>
            <w:vAlign w:val="center"/>
            <w:hideMark/>
          </w:tcPr>
          <w:p w14:paraId="157869A0" w14:textId="77777777" w:rsidR="00666282" w:rsidRPr="008140EF" w:rsidRDefault="00666282">
            <w:pPr>
              <w:spacing w:before="0" w:after="0" w:line="240" w:lineRule="auto"/>
              <w:jc w:val="right"/>
              <w:rPr>
                <w:rFonts w:asciiTheme="majorHAnsi" w:hAnsiTheme="majorHAnsi" w:cstheme="majorHAnsi"/>
                <w:b/>
                <w:bCs/>
                <w:sz w:val="16"/>
                <w:szCs w:val="16"/>
              </w:rPr>
            </w:pPr>
            <w:r w:rsidRPr="008140EF">
              <w:rPr>
                <w:rFonts w:asciiTheme="majorHAnsi" w:hAnsiTheme="majorHAnsi" w:cstheme="majorHAnsi"/>
                <w:b/>
                <w:sz w:val="16"/>
                <w:szCs w:val="16"/>
              </w:rPr>
              <w:t>117.2</w:t>
            </w:r>
          </w:p>
        </w:tc>
        <w:tc>
          <w:tcPr>
            <w:tcW w:w="1506" w:type="dxa"/>
            <w:tcBorders>
              <w:top w:val="single" w:sz="4" w:space="0" w:color="293F5B"/>
              <w:left w:val="nil"/>
              <w:bottom w:val="single" w:sz="4" w:space="0" w:color="293F5B"/>
              <w:right w:val="nil"/>
            </w:tcBorders>
            <w:shd w:val="clear" w:color="auto" w:fill="E6F2FF"/>
            <w:vAlign w:val="center"/>
            <w:hideMark/>
          </w:tcPr>
          <w:p w14:paraId="4778DFCA" w14:textId="77777777" w:rsidR="00666282" w:rsidRPr="008140EF" w:rsidRDefault="00666282">
            <w:pPr>
              <w:spacing w:before="0" w:after="0" w:line="240" w:lineRule="auto"/>
              <w:jc w:val="right"/>
              <w:rPr>
                <w:rFonts w:asciiTheme="majorHAnsi" w:hAnsiTheme="majorHAnsi" w:cstheme="majorHAnsi"/>
                <w:b/>
                <w:bCs/>
                <w:sz w:val="16"/>
                <w:szCs w:val="16"/>
              </w:rPr>
            </w:pPr>
            <w:r w:rsidRPr="008140EF">
              <w:rPr>
                <w:rFonts w:asciiTheme="majorHAnsi" w:hAnsiTheme="majorHAnsi" w:cstheme="majorHAnsi"/>
                <w:b/>
                <w:bCs/>
                <w:sz w:val="16"/>
                <w:szCs w:val="16"/>
              </w:rPr>
              <w:t>117.2</w:t>
            </w:r>
          </w:p>
        </w:tc>
      </w:tr>
      <w:tr w:rsidR="00666282" w:rsidRPr="008140EF" w14:paraId="4B4C7D68" w14:textId="77777777" w:rsidTr="00F56B58">
        <w:trPr>
          <w:gridBefore w:val="1"/>
          <w:wBefore w:w="13" w:type="dxa"/>
          <w:trHeight w:val="301"/>
        </w:trPr>
        <w:tc>
          <w:tcPr>
            <w:tcW w:w="4761" w:type="dxa"/>
            <w:tcBorders>
              <w:top w:val="single" w:sz="4" w:space="0" w:color="293F5B"/>
              <w:left w:val="nil"/>
              <w:bottom w:val="single" w:sz="4" w:space="0" w:color="293F5B"/>
              <w:right w:val="nil"/>
            </w:tcBorders>
            <w:vAlign w:val="center"/>
          </w:tcPr>
          <w:p w14:paraId="1A7C668C" w14:textId="77777777" w:rsidR="00666282" w:rsidRPr="008140EF" w:rsidRDefault="00666282">
            <w:pPr>
              <w:spacing w:before="0" w:after="0" w:line="240" w:lineRule="auto"/>
              <w:rPr>
                <w:rFonts w:asciiTheme="majorHAnsi" w:hAnsiTheme="majorHAnsi" w:cstheme="majorBidi"/>
                <w:sz w:val="16"/>
                <w:szCs w:val="16"/>
              </w:rPr>
            </w:pPr>
            <w:r w:rsidRPr="008140EF">
              <w:rPr>
                <w:rFonts w:asciiTheme="majorHAnsi" w:hAnsiTheme="majorHAnsi" w:cstheme="majorBidi"/>
                <w:sz w:val="16"/>
                <w:szCs w:val="16"/>
              </w:rPr>
              <w:t>Disaster Support</w:t>
            </w:r>
            <w:r w:rsidRPr="008140EF">
              <w:rPr>
                <w:rFonts w:asciiTheme="majorHAnsi" w:hAnsiTheme="majorHAnsi" w:cstheme="majorBidi"/>
                <w:sz w:val="16"/>
                <w:szCs w:val="16"/>
                <w:vertAlign w:val="superscript"/>
              </w:rPr>
              <w:t>(</w:t>
            </w:r>
            <w:r>
              <w:rPr>
                <w:rFonts w:asciiTheme="majorHAnsi" w:hAnsiTheme="majorHAnsi" w:cstheme="majorBidi"/>
                <w:sz w:val="16"/>
                <w:szCs w:val="16"/>
                <w:vertAlign w:val="superscript"/>
              </w:rPr>
              <w:t>n</w:t>
            </w:r>
            <w:r w:rsidRPr="008140EF">
              <w:rPr>
                <w:rFonts w:asciiTheme="majorHAnsi" w:hAnsiTheme="majorHAnsi" w:cstheme="majorBidi"/>
                <w:sz w:val="16"/>
                <w:szCs w:val="16"/>
                <w:vertAlign w:val="superscript"/>
              </w:rPr>
              <w:t>)</w:t>
            </w:r>
          </w:p>
        </w:tc>
        <w:tc>
          <w:tcPr>
            <w:tcW w:w="1579" w:type="dxa"/>
            <w:tcBorders>
              <w:top w:val="single" w:sz="4" w:space="0" w:color="293F5B"/>
              <w:left w:val="nil"/>
              <w:bottom w:val="single" w:sz="4" w:space="0" w:color="293F5B"/>
              <w:right w:val="nil"/>
            </w:tcBorders>
            <w:vAlign w:val="center"/>
          </w:tcPr>
          <w:p w14:paraId="3176CC4C"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36.6</w:t>
            </w:r>
          </w:p>
        </w:tc>
        <w:tc>
          <w:tcPr>
            <w:tcW w:w="1506" w:type="dxa"/>
            <w:tcBorders>
              <w:top w:val="single" w:sz="4" w:space="0" w:color="293F5B"/>
              <w:left w:val="nil"/>
              <w:bottom w:val="single" w:sz="4" w:space="0" w:color="293F5B"/>
              <w:right w:val="nil"/>
            </w:tcBorders>
            <w:vAlign w:val="center"/>
          </w:tcPr>
          <w:p w14:paraId="35885C5F"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36.6</w:t>
            </w:r>
          </w:p>
        </w:tc>
      </w:tr>
      <w:tr w:rsidR="00666282" w:rsidRPr="008140EF" w14:paraId="150569D3" w14:textId="77777777" w:rsidTr="00F56B58">
        <w:trPr>
          <w:gridBefore w:val="1"/>
          <w:wBefore w:w="13" w:type="dxa"/>
          <w:trHeight w:val="302"/>
        </w:trPr>
        <w:tc>
          <w:tcPr>
            <w:tcW w:w="4761" w:type="dxa"/>
            <w:tcBorders>
              <w:top w:val="single" w:sz="4" w:space="0" w:color="293F5B"/>
              <w:left w:val="nil"/>
              <w:bottom w:val="single" w:sz="4" w:space="0" w:color="293F5B"/>
              <w:right w:val="nil"/>
            </w:tcBorders>
            <w:vAlign w:val="center"/>
          </w:tcPr>
          <w:p w14:paraId="5073D0E7" w14:textId="77777777" w:rsidR="00666282" w:rsidRPr="008140EF" w:rsidRDefault="00666282">
            <w:pPr>
              <w:spacing w:before="0" w:after="0" w:line="240" w:lineRule="auto"/>
              <w:rPr>
                <w:rFonts w:asciiTheme="majorHAnsi" w:hAnsiTheme="majorHAnsi" w:cstheme="majorBidi"/>
                <w:sz w:val="16"/>
                <w:szCs w:val="16"/>
                <w:vertAlign w:val="superscript"/>
              </w:rPr>
            </w:pPr>
            <w:r w:rsidRPr="008140EF">
              <w:rPr>
                <w:rFonts w:asciiTheme="majorHAnsi" w:hAnsiTheme="majorHAnsi" w:cstheme="majorBidi"/>
                <w:sz w:val="16"/>
                <w:szCs w:val="16"/>
              </w:rPr>
              <w:t>South Australian Marine Algal Bloom Response</w:t>
            </w:r>
            <w:r w:rsidRPr="008140EF">
              <w:rPr>
                <w:rFonts w:asciiTheme="majorHAnsi" w:hAnsiTheme="majorHAnsi" w:cstheme="majorHAnsi"/>
                <w:sz w:val="16"/>
                <w:szCs w:val="16"/>
                <w:vertAlign w:val="superscript"/>
              </w:rPr>
              <w:t>(a)</w:t>
            </w:r>
            <w:r w:rsidRPr="008140EF">
              <w:rPr>
                <w:rFonts w:asciiTheme="majorHAnsi" w:hAnsiTheme="majorHAnsi" w:cstheme="majorBidi"/>
                <w:sz w:val="16"/>
                <w:szCs w:val="16"/>
                <w:vertAlign w:val="superscript"/>
              </w:rPr>
              <w:t>(</w:t>
            </w:r>
            <w:r>
              <w:rPr>
                <w:rFonts w:asciiTheme="majorHAnsi" w:hAnsiTheme="majorHAnsi" w:cstheme="majorBidi"/>
                <w:sz w:val="16"/>
                <w:szCs w:val="16"/>
                <w:vertAlign w:val="superscript"/>
              </w:rPr>
              <w:t>o</w:t>
            </w:r>
            <w:r w:rsidRPr="008140EF">
              <w:rPr>
                <w:rFonts w:asciiTheme="majorHAnsi" w:hAnsiTheme="majorHAnsi" w:cstheme="majorBidi"/>
                <w:sz w:val="16"/>
                <w:szCs w:val="16"/>
                <w:vertAlign w:val="superscript"/>
              </w:rPr>
              <w:t>)</w:t>
            </w:r>
          </w:p>
        </w:tc>
        <w:tc>
          <w:tcPr>
            <w:tcW w:w="1579" w:type="dxa"/>
            <w:tcBorders>
              <w:top w:val="single" w:sz="4" w:space="0" w:color="293F5B"/>
              <w:left w:val="nil"/>
              <w:bottom w:val="single" w:sz="4" w:space="0" w:color="293F5B"/>
              <w:right w:val="nil"/>
            </w:tcBorders>
            <w:vAlign w:val="center"/>
          </w:tcPr>
          <w:p w14:paraId="06220AC2"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68.5</w:t>
            </w:r>
          </w:p>
        </w:tc>
        <w:tc>
          <w:tcPr>
            <w:tcW w:w="1506" w:type="dxa"/>
            <w:tcBorders>
              <w:top w:val="single" w:sz="4" w:space="0" w:color="293F5B"/>
              <w:left w:val="nil"/>
              <w:bottom w:val="single" w:sz="4" w:space="0" w:color="293F5B"/>
              <w:right w:val="nil"/>
            </w:tcBorders>
            <w:vAlign w:val="center"/>
          </w:tcPr>
          <w:p w14:paraId="630369F9"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68.5</w:t>
            </w:r>
          </w:p>
        </w:tc>
      </w:tr>
      <w:tr w:rsidR="00666282" w:rsidRPr="008140EF" w14:paraId="467B705E" w14:textId="77777777" w:rsidTr="00F56B58">
        <w:trPr>
          <w:gridBefore w:val="1"/>
          <w:wBefore w:w="13" w:type="dxa"/>
          <w:trHeight w:val="302"/>
        </w:trPr>
        <w:tc>
          <w:tcPr>
            <w:tcW w:w="4761" w:type="dxa"/>
            <w:tcBorders>
              <w:top w:val="single" w:sz="4" w:space="0" w:color="293F5B"/>
              <w:left w:val="nil"/>
              <w:bottom w:val="single" w:sz="4" w:space="0" w:color="293F5B"/>
              <w:right w:val="nil"/>
            </w:tcBorders>
            <w:vAlign w:val="center"/>
          </w:tcPr>
          <w:p w14:paraId="0BB97A81" w14:textId="77777777" w:rsidR="00666282" w:rsidRPr="008140EF" w:rsidRDefault="00666282">
            <w:pPr>
              <w:spacing w:before="0" w:after="0" w:line="240" w:lineRule="auto"/>
              <w:rPr>
                <w:rFonts w:asciiTheme="majorHAnsi" w:hAnsiTheme="majorHAnsi" w:cstheme="majorBidi"/>
                <w:sz w:val="16"/>
                <w:szCs w:val="16"/>
                <w:vertAlign w:val="superscript"/>
              </w:rPr>
            </w:pPr>
            <w:r w:rsidRPr="008140EF">
              <w:rPr>
                <w:rFonts w:asciiTheme="majorHAnsi" w:hAnsiTheme="majorHAnsi" w:cstheme="majorBidi"/>
                <w:sz w:val="16"/>
                <w:szCs w:val="16"/>
              </w:rPr>
              <w:t>Weather Radar for Regional Queensland</w:t>
            </w:r>
            <w:r w:rsidRPr="008140EF">
              <w:rPr>
                <w:rFonts w:asciiTheme="majorHAnsi" w:hAnsiTheme="majorHAnsi" w:cstheme="majorHAnsi"/>
                <w:sz w:val="16"/>
                <w:szCs w:val="16"/>
                <w:vertAlign w:val="superscript"/>
              </w:rPr>
              <w:t>(a)</w:t>
            </w:r>
            <w:r w:rsidRPr="008140EF">
              <w:rPr>
                <w:rFonts w:asciiTheme="majorHAnsi" w:hAnsiTheme="majorHAnsi" w:cstheme="majorBidi"/>
                <w:sz w:val="16"/>
                <w:szCs w:val="16"/>
                <w:vertAlign w:val="superscript"/>
              </w:rPr>
              <w:t>(</w:t>
            </w:r>
            <w:r>
              <w:rPr>
                <w:rFonts w:asciiTheme="majorHAnsi" w:hAnsiTheme="majorHAnsi" w:cstheme="majorBidi"/>
                <w:sz w:val="16"/>
                <w:szCs w:val="16"/>
                <w:vertAlign w:val="superscript"/>
              </w:rPr>
              <w:t>p</w:t>
            </w:r>
            <w:r w:rsidRPr="008140EF">
              <w:rPr>
                <w:rFonts w:asciiTheme="majorHAnsi" w:hAnsiTheme="majorHAnsi" w:cstheme="majorBidi"/>
                <w:sz w:val="16"/>
                <w:szCs w:val="16"/>
                <w:vertAlign w:val="superscript"/>
              </w:rPr>
              <w:t>)</w:t>
            </w:r>
          </w:p>
        </w:tc>
        <w:tc>
          <w:tcPr>
            <w:tcW w:w="1579" w:type="dxa"/>
            <w:tcBorders>
              <w:top w:val="single" w:sz="4" w:space="0" w:color="293F5B"/>
              <w:left w:val="nil"/>
              <w:bottom w:val="single" w:sz="4" w:space="0" w:color="293F5B"/>
              <w:right w:val="nil"/>
            </w:tcBorders>
            <w:vAlign w:val="center"/>
          </w:tcPr>
          <w:p w14:paraId="659D58D7"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12.1</w:t>
            </w:r>
          </w:p>
        </w:tc>
        <w:tc>
          <w:tcPr>
            <w:tcW w:w="1506" w:type="dxa"/>
            <w:tcBorders>
              <w:top w:val="single" w:sz="4" w:space="0" w:color="293F5B"/>
              <w:left w:val="nil"/>
              <w:bottom w:val="single" w:sz="4" w:space="0" w:color="293F5B"/>
              <w:right w:val="nil"/>
            </w:tcBorders>
            <w:vAlign w:val="center"/>
          </w:tcPr>
          <w:p w14:paraId="60660FDD" w14:textId="77777777" w:rsidR="00666282" w:rsidRPr="008140EF" w:rsidRDefault="00666282">
            <w:pPr>
              <w:spacing w:before="0" w:after="0" w:line="240" w:lineRule="auto"/>
              <w:jc w:val="right"/>
              <w:rPr>
                <w:rFonts w:asciiTheme="majorHAnsi" w:hAnsiTheme="majorHAnsi"/>
                <w:sz w:val="16"/>
                <w:szCs w:val="16"/>
              </w:rPr>
            </w:pPr>
            <w:r w:rsidRPr="008140EF">
              <w:rPr>
                <w:rFonts w:asciiTheme="majorHAnsi" w:hAnsiTheme="majorHAnsi"/>
                <w:sz w:val="16"/>
                <w:szCs w:val="16"/>
              </w:rPr>
              <w:t>12.1</w:t>
            </w:r>
          </w:p>
        </w:tc>
      </w:tr>
      <w:tr w:rsidR="00666282" w:rsidRPr="008140EF" w14:paraId="172B87CE" w14:textId="77777777" w:rsidTr="00F56B58">
        <w:trPr>
          <w:gridBefore w:val="1"/>
          <w:wBefore w:w="13" w:type="dxa"/>
          <w:trHeight w:val="120"/>
        </w:trPr>
        <w:tc>
          <w:tcPr>
            <w:tcW w:w="4761" w:type="dxa"/>
            <w:tcBorders>
              <w:top w:val="single" w:sz="4" w:space="0" w:color="293F5B"/>
              <w:left w:val="nil"/>
              <w:bottom w:val="single" w:sz="4" w:space="0" w:color="293F5B"/>
              <w:right w:val="nil"/>
            </w:tcBorders>
            <w:shd w:val="clear" w:color="auto" w:fill="E6F2FF"/>
            <w:vAlign w:val="center"/>
            <w:hideMark/>
          </w:tcPr>
          <w:p w14:paraId="0892B33F" w14:textId="77777777" w:rsidR="00666282" w:rsidRPr="008140EF" w:rsidRDefault="00666282">
            <w:pPr>
              <w:spacing w:before="0" w:after="0" w:line="240" w:lineRule="auto"/>
              <w:rPr>
                <w:rFonts w:asciiTheme="majorHAnsi" w:hAnsiTheme="majorHAnsi" w:cstheme="majorHAnsi"/>
                <w:b/>
                <w:sz w:val="16"/>
                <w:szCs w:val="16"/>
              </w:rPr>
            </w:pPr>
            <w:r w:rsidRPr="008140EF">
              <w:rPr>
                <w:rFonts w:asciiTheme="majorHAnsi" w:hAnsiTheme="majorHAnsi" w:cstheme="majorHAnsi"/>
                <w:b/>
                <w:sz w:val="16"/>
                <w:szCs w:val="16"/>
              </w:rPr>
              <w:t>International climate leadership</w:t>
            </w:r>
          </w:p>
        </w:tc>
        <w:tc>
          <w:tcPr>
            <w:tcW w:w="1579" w:type="dxa"/>
            <w:tcBorders>
              <w:top w:val="single" w:sz="4" w:space="0" w:color="293F5B"/>
              <w:left w:val="nil"/>
              <w:bottom w:val="single" w:sz="4" w:space="0" w:color="293F5B"/>
              <w:right w:val="nil"/>
            </w:tcBorders>
            <w:shd w:val="clear" w:color="auto" w:fill="E6F2FF"/>
            <w:vAlign w:val="center"/>
            <w:hideMark/>
          </w:tcPr>
          <w:p w14:paraId="7EF33D57" w14:textId="77777777" w:rsidR="00666282" w:rsidRPr="008140EF" w:rsidRDefault="00666282">
            <w:pPr>
              <w:spacing w:before="0" w:after="0" w:line="240" w:lineRule="auto"/>
              <w:jc w:val="right"/>
              <w:rPr>
                <w:rFonts w:asciiTheme="majorHAnsi" w:hAnsiTheme="majorHAnsi" w:cstheme="majorHAnsi"/>
                <w:b/>
                <w:bCs/>
                <w:sz w:val="16"/>
                <w:szCs w:val="16"/>
              </w:rPr>
            </w:pPr>
            <w:r w:rsidRPr="008140EF">
              <w:rPr>
                <w:rFonts w:asciiTheme="majorHAnsi" w:hAnsiTheme="majorHAnsi" w:cstheme="majorHAnsi"/>
                <w:b/>
                <w:sz w:val="16"/>
                <w:szCs w:val="16"/>
              </w:rPr>
              <w:t>178.5</w:t>
            </w:r>
          </w:p>
        </w:tc>
        <w:tc>
          <w:tcPr>
            <w:tcW w:w="1506" w:type="dxa"/>
            <w:tcBorders>
              <w:top w:val="single" w:sz="4" w:space="0" w:color="293F5B"/>
              <w:left w:val="nil"/>
              <w:bottom w:val="single" w:sz="4" w:space="0" w:color="293F5B"/>
              <w:right w:val="nil"/>
            </w:tcBorders>
            <w:shd w:val="clear" w:color="auto" w:fill="E6F2FF"/>
            <w:vAlign w:val="center"/>
            <w:hideMark/>
          </w:tcPr>
          <w:p w14:paraId="5485416B" w14:textId="77777777" w:rsidR="00666282" w:rsidRPr="008140EF" w:rsidRDefault="00666282">
            <w:pPr>
              <w:spacing w:before="0" w:after="0" w:line="240" w:lineRule="auto"/>
              <w:jc w:val="right"/>
              <w:rPr>
                <w:rFonts w:asciiTheme="majorHAnsi" w:hAnsiTheme="majorHAnsi" w:cstheme="majorHAnsi"/>
                <w:b/>
                <w:bCs/>
                <w:sz w:val="16"/>
                <w:szCs w:val="16"/>
              </w:rPr>
            </w:pPr>
            <w:r w:rsidRPr="008140EF">
              <w:rPr>
                <w:rFonts w:asciiTheme="majorHAnsi" w:hAnsiTheme="majorHAnsi" w:cstheme="majorHAnsi"/>
                <w:b/>
                <w:bCs/>
                <w:sz w:val="16"/>
                <w:szCs w:val="16"/>
              </w:rPr>
              <w:t>178.5</w:t>
            </w:r>
          </w:p>
        </w:tc>
      </w:tr>
      <w:tr w:rsidR="00666282" w:rsidRPr="008140EF" w14:paraId="38D78802" w14:textId="77777777" w:rsidTr="00F56B58">
        <w:trPr>
          <w:trHeight w:val="120"/>
        </w:trPr>
        <w:tc>
          <w:tcPr>
            <w:tcW w:w="4774" w:type="dxa"/>
            <w:gridSpan w:val="2"/>
            <w:tcBorders>
              <w:top w:val="single" w:sz="4" w:space="0" w:color="293F5B"/>
              <w:left w:val="nil"/>
              <w:bottom w:val="single" w:sz="4" w:space="0" w:color="293F5B"/>
              <w:right w:val="nil"/>
            </w:tcBorders>
            <w:vAlign w:val="center"/>
          </w:tcPr>
          <w:p w14:paraId="7C05ACD2" w14:textId="77777777" w:rsidR="00666282" w:rsidRPr="008140EF" w:rsidRDefault="00666282">
            <w:pPr>
              <w:spacing w:before="0" w:after="0" w:line="240" w:lineRule="auto"/>
              <w:rPr>
                <w:rFonts w:asciiTheme="majorHAnsi" w:hAnsiTheme="majorHAnsi" w:cstheme="majorHAnsi"/>
                <w:bCs/>
                <w:sz w:val="16"/>
                <w:szCs w:val="16"/>
                <w:vertAlign w:val="superscript"/>
              </w:rPr>
            </w:pPr>
            <w:r w:rsidRPr="008140EF">
              <w:rPr>
                <w:rFonts w:asciiTheme="majorHAnsi" w:hAnsiTheme="majorHAnsi" w:cstheme="majorHAnsi"/>
                <w:bCs/>
                <w:sz w:val="16"/>
                <w:szCs w:val="16"/>
              </w:rPr>
              <w:t>Extending Australia’s International Climate Change Engagement (COP31)</w:t>
            </w:r>
            <w:r w:rsidRPr="008140EF">
              <w:rPr>
                <w:rFonts w:asciiTheme="majorHAnsi" w:hAnsiTheme="majorHAnsi" w:cstheme="majorHAnsi"/>
                <w:sz w:val="16"/>
                <w:szCs w:val="16"/>
                <w:vertAlign w:val="superscript"/>
              </w:rPr>
              <w:t>(a)</w:t>
            </w:r>
          </w:p>
        </w:tc>
        <w:tc>
          <w:tcPr>
            <w:tcW w:w="1579" w:type="dxa"/>
            <w:tcBorders>
              <w:top w:val="single" w:sz="4" w:space="0" w:color="293F5B"/>
              <w:left w:val="nil"/>
              <w:bottom w:val="single" w:sz="4" w:space="0" w:color="293F5B"/>
              <w:right w:val="nil"/>
            </w:tcBorders>
            <w:vAlign w:val="center"/>
          </w:tcPr>
          <w:p w14:paraId="00C3DCF8" w14:textId="77777777" w:rsidR="00666282" w:rsidRPr="008140EF" w:rsidRDefault="00666282">
            <w:pPr>
              <w:spacing w:before="0" w:after="0" w:line="240" w:lineRule="auto"/>
              <w:jc w:val="right"/>
              <w:rPr>
                <w:rFonts w:asciiTheme="majorHAnsi" w:hAnsiTheme="majorHAnsi" w:cstheme="majorHAnsi"/>
                <w:bCs/>
                <w:sz w:val="16"/>
                <w:szCs w:val="16"/>
              </w:rPr>
            </w:pPr>
            <w:r w:rsidRPr="008140EF">
              <w:rPr>
                <w:rFonts w:asciiTheme="majorHAnsi" w:hAnsiTheme="majorHAnsi" w:cstheme="majorHAnsi"/>
                <w:bCs/>
                <w:sz w:val="16"/>
                <w:szCs w:val="16"/>
              </w:rPr>
              <w:t>19.9</w:t>
            </w:r>
          </w:p>
        </w:tc>
        <w:tc>
          <w:tcPr>
            <w:tcW w:w="1506" w:type="dxa"/>
            <w:tcBorders>
              <w:top w:val="single" w:sz="4" w:space="0" w:color="293F5B"/>
              <w:left w:val="nil"/>
              <w:bottom w:val="single" w:sz="4" w:space="0" w:color="293F5B"/>
              <w:right w:val="nil"/>
            </w:tcBorders>
            <w:vAlign w:val="center"/>
          </w:tcPr>
          <w:p w14:paraId="7500C020" w14:textId="77777777" w:rsidR="00666282" w:rsidRPr="008140EF" w:rsidRDefault="00666282">
            <w:pPr>
              <w:spacing w:before="0" w:after="0" w:line="240" w:lineRule="auto"/>
              <w:jc w:val="right"/>
              <w:rPr>
                <w:rFonts w:asciiTheme="majorHAnsi" w:hAnsiTheme="majorHAnsi" w:cstheme="majorBidi"/>
                <w:bCs/>
                <w:sz w:val="16"/>
                <w:szCs w:val="16"/>
              </w:rPr>
            </w:pPr>
            <w:r w:rsidRPr="008140EF">
              <w:rPr>
                <w:rFonts w:asciiTheme="majorHAnsi" w:hAnsiTheme="majorHAnsi" w:cstheme="majorBidi"/>
                <w:bCs/>
                <w:sz w:val="16"/>
                <w:szCs w:val="16"/>
              </w:rPr>
              <w:t>19.9</w:t>
            </w:r>
          </w:p>
        </w:tc>
      </w:tr>
      <w:tr w:rsidR="00666282" w:rsidRPr="008140EF" w14:paraId="2FED1A2F" w14:textId="77777777" w:rsidTr="00F56B58">
        <w:trPr>
          <w:gridBefore w:val="1"/>
          <w:wBefore w:w="13" w:type="dxa"/>
          <w:trHeight w:val="283"/>
        </w:trPr>
        <w:tc>
          <w:tcPr>
            <w:tcW w:w="4761" w:type="dxa"/>
            <w:tcBorders>
              <w:top w:val="single" w:sz="4" w:space="0" w:color="293F5B"/>
              <w:left w:val="nil"/>
              <w:bottom w:val="single" w:sz="4" w:space="0" w:color="293F5B"/>
              <w:right w:val="nil"/>
            </w:tcBorders>
            <w:vAlign w:val="center"/>
          </w:tcPr>
          <w:p w14:paraId="3F8987D3" w14:textId="77777777" w:rsidR="00666282" w:rsidRPr="008140EF" w:rsidRDefault="00666282">
            <w:pPr>
              <w:spacing w:before="0" w:after="0" w:line="240" w:lineRule="auto"/>
              <w:rPr>
                <w:rFonts w:asciiTheme="majorHAnsi" w:eastAsiaTheme="minorEastAsia" w:hAnsiTheme="majorHAnsi" w:cstheme="majorBidi"/>
                <w:sz w:val="16"/>
                <w:szCs w:val="16"/>
                <w:vertAlign w:val="superscript"/>
              </w:rPr>
            </w:pPr>
            <w:r w:rsidRPr="008140EF">
              <w:rPr>
                <w:rFonts w:asciiTheme="majorHAnsi" w:hAnsiTheme="majorHAnsi" w:cstheme="majorBidi"/>
                <w:sz w:val="16"/>
                <w:szCs w:val="16"/>
              </w:rPr>
              <w:t>Standing with our partners in the Pacific</w:t>
            </w:r>
            <w:r w:rsidRPr="008140EF">
              <w:rPr>
                <w:rFonts w:asciiTheme="majorHAnsi" w:hAnsiTheme="majorHAnsi" w:cstheme="majorBidi"/>
                <w:sz w:val="16"/>
                <w:szCs w:val="16"/>
                <w:vertAlign w:val="superscript"/>
              </w:rPr>
              <w:t>(</w:t>
            </w:r>
            <w:r>
              <w:rPr>
                <w:rFonts w:asciiTheme="majorHAnsi" w:hAnsiTheme="majorHAnsi" w:cstheme="majorBidi"/>
                <w:sz w:val="16"/>
                <w:szCs w:val="16"/>
                <w:vertAlign w:val="superscript"/>
              </w:rPr>
              <w:t>q</w:t>
            </w:r>
            <w:r w:rsidRPr="008140EF">
              <w:rPr>
                <w:rFonts w:asciiTheme="majorHAnsi" w:hAnsiTheme="majorHAnsi" w:cstheme="majorBidi"/>
                <w:sz w:val="16"/>
                <w:szCs w:val="16"/>
                <w:vertAlign w:val="superscript"/>
              </w:rPr>
              <w:t>)</w:t>
            </w:r>
          </w:p>
        </w:tc>
        <w:tc>
          <w:tcPr>
            <w:tcW w:w="1579" w:type="dxa"/>
            <w:tcBorders>
              <w:top w:val="single" w:sz="4" w:space="0" w:color="293F5B"/>
              <w:left w:val="nil"/>
              <w:bottom w:val="single" w:sz="4" w:space="0" w:color="293F5B"/>
              <w:right w:val="nil"/>
            </w:tcBorders>
            <w:vAlign w:val="center"/>
            <w:hideMark/>
          </w:tcPr>
          <w:p w14:paraId="1A2C6DFD" w14:textId="77777777" w:rsidR="00666282" w:rsidRPr="008140EF" w:rsidRDefault="00666282">
            <w:pPr>
              <w:spacing w:before="0" w:after="0" w:line="240" w:lineRule="auto"/>
              <w:jc w:val="right"/>
              <w:rPr>
                <w:rFonts w:asciiTheme="majorHAnsi" w:hAnsiTheme="majorHAnsi" w:cstheme="majorBidi"/>
                <w:sz w:val="16"/>
                <w:szCs w:val="16"/>
              </w:rPr>
            </w:pPr>
            <w:r w:rsidRPr="008140EF">
              <w:rPr>
                <w:rFonts w:asciiTheme="majorHAnsi" w:hAnsiTheme="majorHAnsi" w:cstheme="majorBidi"/>
                <w:sz w:val="16"/>
                <w:szCs w:val="16"/>
              </w:rPr>
              <w:t>147.8</w:t>
            </w:r>
          </w:p>
        </w:tc>
        <w:tc>
          <w:tcPr>
            <w:tcW w:w="1506" w:type="dxa"/>
            <w:tcBorders>
              <w:top w:val="single" w:sz="4" w:space="0" w:color="293F5B"/>
              <w:left w:val="nil"/>
              <w:bottom w:val="single" w:sz="4" w:space="0" w:color="293F5B"/>
              <w:right w:val="nil"/>
            </w:tcBorders>
            <w:vAlign w:val="center"/>
            <w:hideMark/>
          </w:tcPr>
          <w:p w14:paraId="35844F90" w14:textId="77777777" w:rsidR="00666282" w:rsidRPr="008140EF" w:rsidRDefault="00666282">
            <w:pPr>
              <w:spacing w:before="0" w:after="0" w:line="240" w:lineRule="auto"/>
              <w:jc w:val="right"/>
              <w:rPr>
                <w:rFonts w:asciiTheme="majorHAnsi" w:hAnsiTheme="majorHAnsi" w:cstheme="majorBidi"/>
                <w:sz w:val="16"/>
                <w:szCs w:val="16"/>
              </w:rPr>
            </w:pPr>
            <w:r w:rsidRPr="008140EF">
              <w:rPr>
                <w:rFonts w:asciiTheme="majorHAnsi" w:hAnsiTheme="majorHAnsi" w:cstheme="majorBidi"/>
                <w:sz w:val="16"/>
                <w:szCs w:val="16"/>
              </w:rPr>
              <w:t>147.8</w:t>
            </w:r>
          </w:p>
        </w:tc>
      </w:tr>
      <w:tr w:rsidR="00666282" w:rsidRPr="008140EF" w14:paraId="2134D34C" w14:textId="77777777" w:rsidTr="00F56B58">
        <w:trPr>
          <w:gridBefore w:val="1"/>
          <w:wBefore w:w="13" w:type="dxa"/>
          <w:trHeight w:val="283"/>
        </w:trPr>
        <w:tc>
          <w:tcPr>
            <w:tcW w:w="4761" w:type="dxa"/>
            <w:tcBorders>
              <w:top w:val="single" w:sz="4" w:space="0" w:color="293F5B"/>
              <w:left w:val="nil"/>
              <w:bottom w:val="single" w:sz="4" w:space="0" w:color="293F5B"/>
              <w:right w:val="nil"/>
            </w:tcBorders>
            <w:vAlign w:val="center"/>
          </w:tcPr>
          <w:p w14:paraId="361252DE" w14:textId="77777777" w:rsidR="00666282" w:rsidRPr="008140EF" w:rsidRDefault="00666282">
            <w:pPr>
              <w:spacing w:before="0" w:after="0" w:line="240" w:lineRule="auto"/>
              <w:rPr>
                <w:rFonts w:asciiTheme="majorHAnsi" w:hAnsiTheme="majorHAnsi" w:cstheme="majorBidi"/>
                <w:sz w:val="16"/>
                <w:szCs w:val="16"/>
              </w:rPr>
            </w:pPr>
            <w:r w:rsidRPr="008140EF">
              <w:rPr>
                <w:rFonts w:asciiTheme="majorHAnsi" w:hAnsiTheme="majorHAnsi" w:cstheme="majorBidi"/>
                <w:sz w:val="16"/>
                <w:szCs w:val="16"/>
              </w:rPr>
              <w:t>Supporting Trade and Tourism</w:t>
            </w:r>
            <w:r>
              <w:rPr>
                <w:rFonts w:asciiTheme="majorHAnsi" w:hAnsiTheme="majorHAnsi" w:cstheme="majorHAnsi"/>
                <w:sz w:val="16"/>
                <w:szCs w:val="16"/>
              </w:rPr>
              <w:t xml:space="preserve"> </w:t>
            </w:r>
            <w:r w:rsidRPr="008140EF">
              <w:rPr>
                <w:rFonts w:asciiTheme="majorHAnsi" w:hAnsiTheme="majorHAnsi" w:cstheme="majorHAnsi"/>
                <w:sz w:val="16"/>
                <w:szCs w:val="16"/>
              </w:rPr>
              <w:t xml:space="preserve">– </w:t>
            </w:r>
            <w:r>
              <w:rPr>
                <w:rFonts w:asciiTheme="majorHAnsi" w:hAnsiTheme="majorHAnsi" w:cstheme="majorHAnsi"/>
                <w:sz w:val="16"/>
                <w:szCs w:val="16"/>
              </w:rPr>
              <w:t>Australia-Singapore Green Economy Agreement</w:t>
            </w:r>
            <w:r w:rsidRPr="008140EF">
              <w:rPr>
                <w:rFonts w:asciiTheme="majorHAnsi" w:hAnsiTheme="majorHAnsi" w:cstheme="majorBidi"/>
                <w:sz w:val="16"/>
                <w:szCs w:val="16"/>
                <w:vertAlign w:val="superscript"/>
              </w:rPr>
              <w:t>(</w:t>
            </w:r>
            <w:r>
              <w:rPr>
                <w:rFonts w:asciiTheme="majorHAnsi" w:hAnsiTheme="majorHAnsi" w:cstheme="majorBidi"/>
                <w:sz w:val="16"/>
                <w:szCs w:val="16"/>
                <w:vertAlign w:val="superscript"/>
              </w:rPr>
              <w:t>r</w:t>
            </w:r>
            <w:r w:rsidRPr="008140EF">
              <w:rPr>
                <w:rFonts w:asciiTheme="majorHAnsi" w:hAnsiTheme="majorHAnsi" w:cstheme="majorBidi"/>
                <w:sz w:val="16"/>
                <w:szCs w:val="16"/>
                <w:vertAlign w:val="superscript"/>
              </w:rPr>
              <w:t>)</w:t>
            </w:r>
          </w:p>
        </w:tc>
        <w:tc>
          <w:tcPr>
            <w:tcW w:w="1579" w:type="dxa"/>
            <w:tcBorders>
              <w:top w:val="single" w:sz="4" w:space="0" w:color="293F5B"/>
              <w:left w:val="nil"/>
              <w:bottom w:val="single" w:sz="4" w:space="0" w:color="293F5B"/>
              <w:right w:val="nil"/>
            </w:tcBorders>
            <w:vAlign w:val="center"/>
          </w:tcPr>
          <w:p w14:paraId="7801E7A9" w14:textId="77777777" w:rsidR="00666282" w:rsidRPr="008140EF" w:rsidRDefault="00666282">
            <w:pPr>
              <w:spacing w:before="0" w:after="0" w:line="240" w:lineRule="auto"/>
              <w:jc w:val="right"/>
              <w:rPr>
                <w:rFonts w:asciiTheme="majorHAnsi" w:hAnsiTheme="majorHAnsi" w:cstheme="majorBidi"/>
                <w:sz w:val="16"/>
                <w:szCs w:val="16"/>
              </w:rPr>
            </w:pPr>
            <w:r w:rsidRPr="008140EF">
              <w:rPr>
                <w:rFonts w:asciiTheme="majorHAnsi" w:hAnsiTheme="majorHAnsi" w:cstheme="majorBidi"/>
                <w:sz w:val="16"/>
                <w:szCs w:val="16"/>
              </w:rPr>
              <w:t>10.8</w:t>
            </w:r>
          </w:p>
        </w:tc>
        <w:tc>
          <w:tcPr>
            <w:tcW w:w="1506" w:type="dxa"/>
            <w:tcBorders>
              <w:top w:val="single" w:sz="4" w:space="0" w:color="293F5B"/>
              <w:left w:val="nil"/>
              <w:bottom w:val="single" w:sz="4" w:space="0" w:color="293F5B"/>
              <w:right w:val="nil"/>
            </w:tcBorders>
            <w:vAlign w:val="center"/>
          </w:tcPr>
          <w:p w14:paraId="7C213680" w14:textId="77777777" w:rsidR="00666282" w:rsidRPr="008140EF" w:rsidRDefault="00666282">
            <w:pPr>
              <w:spacing w:before="0" w:after="0" w:line="240" w:lineRule="auto"/>
              <w:jc w:val="right"/>
              <w:rPr>
                <w:rFonts w:asciiTheme="majorHAnsi" w:hAnsiTheme="majorHAnsi" w:cstheme="majorBidi"/>
                <w:sz w:val="16"/>
                <w:szCs w:val="16"/>
              </w:rPr>
            </w:pPr>
            <w:r w:rsidRPr="008140EF">
              <w:rPr>
                <w:rFonts w:asciiTheme="majorHAnsi" w:hAnsiTheme="majorHAnsi" w:cstheme="majorBidi"/>
                <w:sz w:val="16"/>
                <w:szCs w:val="16"/>
              </w:rPr>
              <w:t>10.8</w:t>
            </w:r>
          </w:p>
        </w:tc>
      </w:tr>
      <w:tr w:rsidR="00666282" w:rsidRPr="008140EF" w14:paraId="15E24952" w14:textId="77777777" w:rsidTr="00F56B58">
        <w:trPr>
          <w:trHeight w:val="283"/>
        </w:trPr>
        <w:tc>
          <w:tcPr>
            <w:tcW w:w="4774" w:type="dxa"/>
            <w:gridSpan w:val="2"/>
            <w:tcBorders>
              <w:top w:val="single" w:sz="4" w:space="0" w:color="293F5B"/>
              <w:left w:val="nil"/>
              <w:bottom w:val="single" w:sz="4" w:space="0" w:color="293F5B"/>
              <w:right w:val="nil"/>
            </w:tcBorders>
            <w:shd w:val="clear" w:color="auto" w:fill="E6F2FF"/>
            <w:vAlign w:val="center"/>
          </w:tcPr>
          <w:p w14:paraId="029ADBC3" w14:textId="77777777" w:rsidR="00666282" w:rsidRPr="008140EF" w:rsidRDefault="00666282">
            <w:pPr>
              <w:spacing w:before="0" w:after="0" w:line="240" w:lineRule="auto"/>
              <w:rPr>
                <w:rFonts w:asciiTheme="majorHAnsi" w:hAnsiTheme="majorHAnsi" w:cstheme="majorHAnsi"/>
                <w:b/>
                <w:sz w:val="16"/>
                <w:szCs w:val="16"/>
              </w:rPr>
            </w:pPr>
            <w:r w:rsidRPr="008140EF">
              <w:rPr>
                <w:rFonts w:asciiTheme="majorHAnsi" w:hAnsiTheme="majorHAnsi" w:cstheme="majorHAnsi"/>
                <w:b/>
                <w:sz w:val="16"/>
                <w:szCs w:val="16"/>
              </w:rPr>
              <w:t>Building Australian Government climate capability</w:t>
            </w:r>
          </w:p>
        </w:tc>
        <w:tc>
          <w:tcPr>
            <w:tcW w:w="1579" w:type="dxa"/>
            <w:tcBorders>
              <w:top w:val="single" w:sz="4" w:space="0" w:color="293F5B"/>
              <w:left w:val="nil"/>
              <w:bottom w:val="single" w:sz="4" w:space="0" w:color="293F5B"/>
              <w:right w:val="nil"/>
            </w:tcBorders>
            <w:shd w:val="clear" w:color="auto" w:fill="E6F2FF"/>
            <w:vAlign w:val="center"/>
          </w:tcPr>
          <w:p w14:paraId="09ED7074" w14:textId="77777777" w:rsidR="00666282" w:rsidRPr="008140EF" w:rsidRDefault="00666282">
            <w:pPr>
              <w:spacing w:before="0" w:after="0" w:line="240" w:lineRule="auto"/>
              <w:jc w:val="right"/>
              <w:rPr>
                <w:rFonts w:asciiTheme="majorHAnsi" w:hAnsiTheme="majorHAnsi" w:cstheme="majorHAnsi"/>
                <w:b/>
                <w:sz w:val="16"/>
                <w:szCs w:val="16"/>
              </w:rPr>
            </w:pPr>
            <w:r w:rsidRPr="008140EF">
              <w:rPr>
                <w:rFonts w:asciiTheme="majorHAnsi" w:hAnsiTheme="majorHAnsi" w:cstheme="majorHAnsi"/>
                <w:b/>
                <w:sz w:val="16"/>
                <w:szCs w:val="16"/>
              </w:rPr>
              <w:t>37.7</w:t>
            </w:r>
          </w:p>
        </w:tc>
        <w:tc>
          <w:tcPr>
            <w:tcW w:w="1506" w:type="dxa"/>
            <w:tcBorders>
              <w:top w:val="single" w:sz="4" w:space="0" w:color="293F5B"/>
              <w:left w:val="nil"/>
              <w:bottom w:val="single" w:sz="4" w:space="0" w:color="293F5B"/>
              <w:right w:val="nil"/>
            </w:tcBorders>
            <w:shd w:val="clear" w:color="auto" w:fill="E6F2FF"/>
            <w:vAlign w:val="center"/>
          </w:tcPr>
          <w:p w14:paraId="74FFD6D9" w14:textId="77777777" w:rsidR="00666282" w:rsidRPr="008140EF" w:rsidRDefault="00666282">
            <w:pPr>
              <w:spacing w:before="0" w:after="0" w:line="240" w:lineRule="auto"/>
              <w:jc w:val="right"/>
              <w:rPr>
                <w:rFonts w:asciiTheme="majorHAnsi" w:hAnsiTheme="majorHAnsi" w:cstheme="majorHAnsi"/>
                <w:b/>
                <w:sz w:val="16"/>
                <w:szCs w:val="16"/>
              </w:rPr>
            </w:pPr>
            <w:r w:rsidRPr="008140EF">
              <w:rPr>
                <w:rFonts w:asciiTheme="majorHAnsi" w:hAnsiTheme="majorHAnsi" w:cstheme="majorHAnsi"/>
                <w:b/>
                <w:sz w:val="16"/>
                <w:szCs w:val="16"/>
              </w:rPr>
              <w:t>37.7</w:t>
            </w:r>
          </w:p>
        </w:tc>
      </w:tr>
      <w:tr w:rsidR="00666282" w:rsidRPr="008140EF" w14:paraId="22A7EA40" w14:textId="77777777" w:rsidTr="00F56B58">
        <w:trPr>
          <w:trHeight w:val="283"/>
        </w:trPr>
        <w:tc>
          <w:tcPr>
            <w:tcW w:w="4774" w:type="dxa"/>
            <w:gridSpan w:val="2"/>
            <w:tcBorders>
              <w:top w:val="single" w:sz="4" w:space="0" w:color="293F5B"/>
              <w:left w:val="nil"/>
              <w:bottom w:val="single" w:sz="4" w:space="0" w:color="293F5B"/>
              <w:right w:val="nil"/>
            </w:tcBorders>
            <w:vAlign w:val="center"/>
          </w:tcPr>
          <w:p w14:paraId="25239B25" w14:textId="77777777" w:rsidR="00666282" w:rsidRPr="008140EF" w:rsidRDefault="00666282">
            <w:pPr>
              <w:spacing w:before="0" w:after="0" w:line="240" w:lineRule="auto"/>
              <w:rPr>
                <w:rFonts w:asciiTheme="majorHAnsi" w:hAnsiTheme="majorHAnsi" w:cstheme="majorBidi"/>
                <w:sz w:val="16"/>
                <w:szCs w:val="16"/>
                <w:vertAlign w:val="superscript"/>
              </w:rPr>
            </w:pPr>
            <w:r w:rsidRPr="008140EF">
              <w:rPr>
                <w:rFonts w:asciiTheme="majorHAnsi" w:hAnsiTheme="majorHAnsi" w:cstheme="majorBidi"/>
                <w:sz w:val="16"/>
                <w:szCs w:val="16"/>
              </w:rPr>
              <w:t>Strengthening Australia’s Carbon Crediting and Emissions Reporting</w:t>
            </w:r>
          </w:p>
        </w:tc>
        <w:tc>
          <w:tcPr>
            <w:tcW w:w="1579" w:type="dxa"/>
            <w:tcBorders>
              <w:top w:val="single" w:sz="4" w:space="0" w:color="293F5B"/>
              <w:left w:val="nil"/>
              <w:bottom w:val="single" w:sz="4" w:space="0" w:color="293F5B"/>
              <w:right w:val="nil"/>
            </w:tcBorders>
            <w:vAlign w:val="center"/>
          </w:tcPr>
          <w:p w14:paraId="62039170" w14:textId="77777777" w:rsidR="00666282" w:rsidRPr="008140EF" w:rsidRDefault="00666282">
            <w:pPr>
              <w:spacing w:before="0" w:after="0" w:line="240" w:lineRule="auto"/>
              <w:jc w:val="right"/>
              <w:rPr>
                <w:rFonts w:asciiTheme="majorHAnsi" w:hAnsiTheme="majorHAnsi" w:cstheme="majorBidi"/>
                <w:sz w:val="16"/>
                <w:szCs w:val="16"/>
              </w:rPr>
            </w:pPr>
            <w:r w:rsidRPr="008140EF">
              <w:rPr>
                <w:rFonts w:asciiTheme="majorHAnsi" w:hAnsiTheme="majorHAnsi" w:cstheme="majorBidi"/>
                <w:sz w:val="16"/>
                <w:szCs w:val="16"/>
              </w:rPr>
              <w:t>23.3</w:t>
            </w:r>
          </w:p>
        </w:tc>
        <w:tc>
          <w:tcPr>
            <w:tcW w:w="1506" w:type="dxa"/>
            <w:tcBorders>
              <w:top w:val="single" w:sz="4" w:space="0" w:color="293F5B"/>
              <w:left w:val="nil"/>
              <w:bottom w:val="single" w:sz="4" w:space="0" w:color="293F5B"/>
              <w:right w:val="nil"/>
            </w:tcBorders>
            <w:vAlign w:val="center"/>
          </w:tcPr>
          <w:p w14:paraId="3DEF5BF7" w14:textId="77777777" w:rsidR="00666282" w:rsidRPr="008140EF" w:rsidRDefault="00666282">
            <w:pPr>
              <w:spacing w:before="0" w:after="0" w:line="240" w:lineRule="auto"/>
              <w:jc w:val="right"/>
              <w:rPr>
                <w:rFonts w:asciiTheme="majorHAnsi" w:hAnsiTheme="majorHAnsi" w:cstheme="majorBidi"/>
                <w:sz w:val="16"/>
                <w:szCs w:val="16"/>
              </w:rPr>
            </w:pPr>
            <w:r w:rsidRPr="008140EF">
              <w:rPr>
                <w:rFonts w:asciiTheme="majorHAnsi" w:hAnsiTheme="majorHAnsi" w:cstheme="majorBidi"/>
                <w:sz w:val="16"/>
                <w:szCs w:val="16"/>
              </w:rPr>
              <w:t>23.3</w:t>
            </w:r>
          </w:p>
        </w:tc>
      </w:tr>
      <w:tr w:rsidR="00666282" w:rsidRPr="008140EF" w14:paraId="39611B74" w14:textId="77777777" w:rsidTr="00F56B58">
        <w:trPr>
          <w:trHeight w:val="283"/>
        </w:trPr>
        <w:tc>
          <w:tcPr>
            <w:tcW w:w="4774" w:type="dxa"/>
            <w:gridSpan w:val="2"/>
            <w:tcBorders>
              <w:top w:val="single" w:sz="4" w:space="0" w:color="293F5B"/>
              <w:left w:val="nil"/>
              <w:bottom w:val="single" w:sz="4" w:space="0" w:color="293F5B"/>
              <w:right w:val="nil"/>
            </w:tcBorders>
            <w:vAlign w:val="center"/>
          </w:tcPr>
          <w:p w14:paraId="1ED252B9" w14:textId="77777777" w:rsidR="00666282" w:rsidRPr="008140EF" w:rsidRDefault="00666282">
            <w:pPr>
              <w:spacing w:before="0" w:after="0" w:line="240" w:lineRule="auto"/>
              <w:rPr>
                <w:rFonts w:asciiTheme="majorHAnsi" w:hAnsiTheme="majorHAnsi" w:cstheme="majorBidi"/>
                <w:sz w:val="16"/>
                <w:szCs w:val="16"/>
                <w:vertAlign w:val="superscript"/>
              </w:rPr>
            </w:pPr>
            <w:r w:rsidRPr="008140EF">
              <w:rPr>
                <w:rFonts w:asciiTheme="majorHAnsi" w:hAnsiTheme="majorHAnsi" w:cstheme="majorBidi"/>
                <w:sz w:val="16"/>
                <w:szCs w:val="16"/>
              </w:rPr>
              <w:t xml:space="preserve">Finance </w:t>
            </w:r>
            <w:r>
              <w:rPr>
                <w:rFonts w:asciiTheme="majorHAnsi" w:hAnsiTheme="majorHAnsi" w:cstheme="majorBidi"/>
                <w:sz w:val="16"/>
                <w:szCs w:val="16"/>
              </w:rPr>
              <w:t xml:space="preserve">Portfolio </w:t>
            </w:r>
            <w:r w:rsidRPr="008140EF">
              <w:rPr>
                <w:rFonts w:asciiTheme="majorHAnsi" w:hAnsiTheme="majorHAnsi" w:cstheme="majorBidi"/>
                <w:sz w:val="16"/>
                <w:szCs w:val="16"/>
              </w:rPr>
              <w:t>-</w:t>
            </w:r>
            <w:r w:rsidRPr="008140EF">
              <w:rPr>
                <w:rFonts w:asciiTheme="majorHAnsi" w:hAnsiTheme="majorHAnsi" w:cstheme="majorHAnsi"/>
                <w:sz w:val="16"/>
                <w:szCs w:val="16"/>
              </w:rPr>
              <w:t xml:space="preserve"> </w:t>
            </w:r>
            <w:r w:rsidRPr="008140EF">
              <w:rPr>
                <w:rFonts w:asciiTheme="majorHAnsi" w:hAnsiTheme="majorHAnsi" w:cstheme="majorBidi"/>
                <w:sz w:val="16"/>
                <w:szCs w:val="16"/>
              </w:rPr>
              <w:t>continue supporting entities with acting on climate change in government operations</w:t>
            </w:r>
            <w:r w:rsidRPr="008140EF">
              <w:rPr>
                <w:rFonts w:asciiTheme="majorHAnsi" w:hAnsiTheme="majorHAnsi" w:cstheme="majorHAnsi"/>
                <w:sz w:val="16"/>
                <w:szCs w:val="16"/>
                <w:vertAlign w:val="superscript"/>
              </w:rPr>
              <w:t>(a)</w:t>
            </w:r>
            <w:r>
              <w:rPr>
                <w:rFonts w:asciiTheme="majorHAnsi" w:hAnsiTheme="majorHAnsi" w:cstheme="majorHAnsi"/>
                <w:sz w:val="16"/>
                <w:szCs w:val="16"/>
                <w:vertAlign w:val="superscript"/>
              </w:rPr>
              <w:t xml:space="preserve"> </w:t>
            </w:r>
          </w:p>
        </w:tc>
        <w:tc>
          <w:tcPr>
            <w:tcW w:w="1579" w:type="dxa"/>
            <w:tcBorders>
              <w:top w:val="single" w:sz="4" w:space="0" w:color="293F5B"/>
              <w:left w:val="nil"/>
              <w:bottom w:val="single" w:sz="4" w:space="0" w:color="293F5B"/>
              <w:right w:val="nil"/>
            </w:tcBorders>
            <w:vAlign w:val="center"/>
          </w:tcPr>
          <w:p w14:paraId="05BC42E6" w14:textId="77777777" w:rsidR="00666282" w:rsidRPr="008140EF" w:rsidRDefault="00666282">
            <w:pPr>
              <w:spacing w:before="0" w:after="0" w:line="240" w:lineRule="auto"/>
              <w:jc w:val="right"/>
              <w:rPr>
                <w:rFonts w:asciiTheme="majorHAnsi" w:hAnsiTheme="majorHAnsi" w:cstheme="majorBidi"/>
                <w:sz w:val="16"/>
                <w:szCs w:val="16"/>
              </w:rPr>
            </w:pPr>
            <w:r w:rsidRPr="008140EF">
              <w:rPr>
                <w:rFonts w:asciiTheme="majorHAnsi" w:hAnsiTheme="majorHAnsi" w:cstheme="majorBidi"/>
                <w:sz w:val="16"/>
                <w:szCs w:val="16"/>
              </w:rPr>
              <w:t>5.0</w:t>
            </w:r>
          </w:p>
        </w:tc>
        <w:tc>
          <w:tcPr>
            <w:tcW w:w="1506" w:type="dxa"/>
            <w:tcBorders>
              <w:top w:val="single" w:sz="4" w:space="0" w:color="293F5B"/>
              <w:left w:val="nil"/>
              <w:bottom w:val="single" w:sz="4" w:space="0" w:color="293F5B"/>
              <w:right w:val="nil"/>
            </w:tcBorders>
            <w:vAlign w:val="center"/>
          </w:tcPr>
          <w:p w14:paraId="225F342B" w14:textId="77777777" w:rsidR="00666282" w:rsidRPr="008140EF" w:rsidRDefault="00666282">
            <w:pPr>
              <w:spacing w:before="0" w:after="0" w:line="240" w:lineRule="auto"/>
              <w:jc w:val="right"/>
              <w:rPr>
                <w:rFonts w:asciiTheme="majorHAnsi" w:hAnsiTheme="majorHAnsi" w:cstheme="majorBidi"/>
                <w:sz w:val="16"/>
                <w:szCs w:val="16"/>
              </w:rPr>
            </w:pPr>
            <w:r w:rsidRPr="008140EF">
              <w:rPr>
                <w:rFonts w:asciiTheme="majorHAnsi" w:hAnsiTheme="majorHAnsi" w:cstheme="majorBidi"/>
                <w:sz w:val="16"/>
                <w:szCs w:val="16"/>
              </w:rPr>
              <w:t>5.0</w:t>
            </w:r>
          </w:p>
        </w:tc>
      </w:tr>
    </w:tbl>
    <w:p w14:paraId="5D671611" w14:textId="77777777" w:rsidR="00666282" w:rsidRPr="00576DC7" w:rsidRDefault="00666282">
      <w:pPr>
        <w:pStyle w:val="TableHeadingcontinued"/>
      </w:pPr>
      <w:r w:rsidRPr="00576DC7">
        <w:lastRenderedPageBreak/>
        <w:t>Table</w:t>
      </w:r>
      <w:r>
        <w:t> </w:t>
      </w:r>
      <w:r w:rsidRPr="00576DC7">
        <w:t>3</w:t>
      </w:r>
      <w:r>
        <w:t>.9</w:t>
      </w:r>
      <w:r w:rsidRPr="00576DC7">
        <w:t xml:space="preserve">: New </w:t>
      </w:r>
      <w:r w:rsidRPr="00891EB7">
        <w:t>measures</w:t>
      </w:r>
      <w:r>
        <w:t xml:space="preserve"> (continued)</w:t>
      </w:r>
    </w:p>
    <w:tbl>
      <w:tblPr>
        <w:tblW w:w="5000" w:type="pct"/>
        <w:tblInd w:w="-14" w:type="dxa"/>
        <w:tblCellMar>
          <w:top w:w="28" w:type="dxa"/>
          <w:left w:w="0" w:type="dxa"/>
          <w:bottom w:w="28" w:type="dxa"/>
          <w:right w:w="28" w:type="dxa"/>
        </w:tblCellMar>
        <w:tblLook w:val="0620" w:firstRow="1" w:lastRow="0" w:firstColumn="0" w:lastColumn="0" w:noHBand="1" w:noVBand="1"/>
      </w:tblPr>
      <w:tblGrid>
        <w:gridCol w:w="13"/>
        <w:gridCol w:w="4657"/>
        <w:gridCol w:w="1557"/>
        <w:gridCol w:w="1483"/>
      </w:tblGrid>
      <w:tr w:rsidR="00666282" w:rsidRPr="008140EF" w14:paraId="10BBC53B" w14:textId="77777777" w:rsidTr="00F56B58">
        <w:trPr>
          <w:gridBefore w:val="1"/>
          <w:wBefore w:w="13" w:type="dxa"/>
          <w:trHeight w:val="645"/>
        </w:trPr>
        <w:tc>
          <w:tcPr>
            <w:tcW w:w="4761" w:type="dxa"/>
            <w:tcBorders>
              <w:top w:val="single" w:sz="4" w:space="0" w:color="293F5B"/>
              <w:left w:val="nil"/>
              <w:bottom w:val="single" w:sz="4" w:space="0" w:color="293F5B"/>
              <w:right w:val="nil"/>
            </w:tcBorders>
            <w:vAlign w:val="center"/>
            <w:hideMark/>
          </w:tcPr>
          <w:p w14:paraId="56C67DB7" w14:textId="77777777" w:rsidR="00666282" w:rsidRPr="008140EF" w:rsidRDefault="00666282">
            <w:pPr>
              <w:spacing w:before="0" w:after="0" w:line="240" w:lineRule="auto"/>
              <w:rPr>
                <w:rFonts w:asciiTheme="majorHAnsi" w:hAnsiTheme="majorHAnsi" w:cstheme="majorHAnsi"/>
                <w:b/>
                <w:sz w:val="16"/>
                <w:szCs w:val="16"/>
              </w:rPr>
            </w:pPr>
            <w:r w:rsidRPr="008140EF">
              <w:rPr>
                <w:rFonts w:asciiTheme="majorHAnsi" w:hAnsiTheme="majorHAnsi" w:cstheme="majorHAnsi"/>
                <w:b/>
                <w:sz w:val="16"/>
                <w:szCs w:val="16"/>
              </w:rPr>
              <w:t>Total*</w:t>
            </w:r>
          </w:p>
        </w:tc>
        <w:tc>
          <w:tcPr>
            <w:tcW w:w="1579" w:type="dxa"/>
            <w:tcBorders>
              <w:top w:val="single" w:sz="4" w:space="0" w:color="293F5B"/>
              <w:left w:val="nil"/>
              <w:bottom w:val="single" w:sz="4" w:space="0" w:color="293F5B"/>
              <w:right w:val="nil"/>
            </w:tcBorders>
            <w:vAlign w:val="center"/>
            <w:hideMark/>
          </w:tcPr>
          <w:p w14:paraId="17D1B2C5" w14:textId="77777777" w:rsidR="00666282" w:rsidRPr="008140EF" w:rsidRDefault="00666282">
            <w:pPr>
              <w:spacing w:before="0" w:after="0" w:line="240" w:lineRule="auto"/>
              <w:jc w:val="right"/>
              <w:rPr>
                <w:rFonts w:asciiTheme="majorHAnsi" w:hAnsiTheme="majorHAnsi" w:cstheme="majorHAnsi"/>
                <w:b/>
                <w:sz w:val="16"/>
                <w:szCs w:val="16"/>
              </w:rPr>
            </w:pPr>
            <w:r w:rsidRPr="008140EF">
              <w:rPr>
                <w:rFonts w:asciiTheme="majorHAnsi" w:hAnsiTheme="majorHAnsi" w:cstheme="majorHAnsi"/>
                <w:b/>
                <w:sz w:val="16"/>
                <w:szCs w:val="16"/>
              </w:rPr>
              <w:t xml:space="preserve">Forward Estimates </w:t>
            </w:r>
            <w:r w:rsidRPr="008140EF">
              <w:rPr>
                <w:rFonts w:asciiTheme="majorHAnsi" w:hAnsiTheme="majorHAnsi" w:cstheme="majorHAnsi"/>
                <w:b/>
                <w:sz w:val="16"/>
                <w:szCs w:val="16"/>
              </w:rPr>
              <w:br/>
              <w:t>($m)</w:t>
            </w:r>
          </w:p>
        </w:tc>
        <w:tc>
          <w:tcPr>
            <w:tcW w:w="1506" w:type="dxa"/>
            <w:tcBorders>
              <w:top w:val="single" w:sz="4" w:space="0" w:color="293F5B"/>
              <w:left w:val="nil"/>
              <w:bottom w:val="single" w:sz="4" w:space="0" w:color="293F5B"/>
              <w:right w:val="nil"/>
            </w:tcBorders>
            <w:vAlign w:val="center"/>
            <w:hideMark/>
          </w:tcPr>
          <w:p w14:paraId="62C3E883" w14:textId="77777777" w:rsidR="00666282" w:rsidRPr="008140EF" w:rsidRDefault="00666282">
            <w:pPr>
              <w:spacing w:before="0" w:after="0" w:line="240" w:lineRule="auto"/>
              <w:jc w:val="right"/>
              <w:rPr>
                <w:rFonts w:asciiTheme="majorHAnsi" w:hAnsiTheme="majorHAnsi" w:cstheme="majorHAnsi"/>
                <w:b/>
                <w:sz w:val="16"/>
                <w:szCs w:val="16"/>
              </w:rPr>
            </w:pPr>
            <w:r w:rsidRPr="008140EF">
              <w:rPr>
                <w:rFonts w:asciiTheme="majorHAnsi" w:hAnsiTheme="majorHAnsi" w:cstheme="majorHAnsi"/>
                <w:b/>
                <w:sz w:val="16"/>
                <w:szCs w:val="16"/>
              </w:rPr>
              <w:t xml:space="preserve">Medium Term </w:t>
            </w:r>
            <w:r w:rsidRPr="008140EF">
              <w:rPr>
                <w:rFonts w:asciiTheme="majorHAnsi" w:hAnsiTheme="majorHAnsi" w:cstheme="majorHAnsi"/>
                <w:b/>
                <w:sz w:val="16"/>
                <w:szCs w:val="16"/>
              </w:rPr>
              <w:br/>
              <w:t>($m)</w:t>
            </w:r>
          </w:p>
        </w:tc>
      </w:tr>
      <w:tr w:rsidR="00666282" w:rsidRPr="008140EF" w14:paraId="69144E5B" w14:textId="77777777" w:rsidTr="00F56B58">
        <w:trPr>
          <w:trHeight w:val="283"/>
        </w:trPr>
        <w:tc>
          <w:tcPr>
            <w:tcW w:w="4774" w:type="dxa"/>
            <w:gridSpan w:val="2"/>
            <w:tcBorders>
              <w:top w:val="single" w:sz="4" w:space="0" w:color="293F5B"/>
              <w:left w:val="nil"/>
              <w:bottom w:val="single" w:sz="4" w:space="0" w:color="293F5B"/>
              <w:right w:val="nil"/>
            </w:tcBorders>
            <w:vAlign w:val="center"/>
          </w:tcPr>
          <w:p w14:paraId="0E8A2188" w14:textId="77777777" w:rsidR="00666282" w:rsidRPr="008140EF" w:rsidRDefault="00666282">
            <w:pPr>
              <w:spacing w:before="0" w:after="0" w:line="240" w:lineRule="auto"/>
              <w:rPr>
                <w:rFonts w:asciiTheme="majorHAnsi" w:hAnsiTheme="majorHAnsi" w:cstheme="majorBidi"/>
                <w:sz w:val="16"/>
                <w:szCs w:val="16"/>
                <w:vertAlign w:val="superscript"/>
              </w:rPr>
            </w:pPr>
            <w:r w:rsidRPr="008140EF">
              <w:rPr>
                <w:rFonts w:asciiTheme="majorHAnsi" w:hAnsiTheme="majorHAnsi" w:cstheme="majorBidi"/>
                <w:sz w:val="16"/>
                <w:szCs w:val="16"/>
              </w:rPr>
              <w:t>Finance Portfolio – Additional Resourcing</w:t>
            </w:r>
            <w:r>
              <w:rPr>
                <w:rFonts w:asciiTheme="majorHAnsi" w:hAnsiTheme="majorHAnsi" w:cstheme="majorBidi"/>
                <w:sz w:val="16"/>
                <w:szCs w:val="16"/>
              </w:rPr>
              <w:t xml:space="preserve"> </w:t>
            </w:r>
            <w:r w:rsidRPr="008140EF">
              <w:rPr>
                <w:rFonts w:asciiTheme="majorHAnsi" w:hAnsiTheme="majorHAnsi" w:cstheme="majorHAnsi"/>
                <w:sz w:val="16"/>
                <w:szCs w:val="16"/>
              </w:rPr>
              <w:t xml:space="preserve">– </w:t>
            </w:r>
            <w:r w:rsidRPr="008140EF">
              <w:rPr>
                <w:rFonts w:asciiTheme="majorHAnsi" w:hAnsiTheme="majorHAnsi" w:cstheme="majorBidi"/>
                <w:sz w:val="16"/>
                <w:szCs w:val="16"/>
              </w:rPr>
              <w:t>continue supporting entities with acting on climate change in government operations</w:t>
            </w:r>
            <w:r w:rsidRPr="008140EF">
              <w:rPr>
                <w:rFonts w:asciiTheme="majorHAnsi" w:hAnsiTheme="majorHAnsi" w:cstheme="majorBidi"/>
                <w:sz w:val="16"/>
                <w:szCs w:val="16"/>
                <w:vertAlign w:val="superscript"/>
              </w:rPr>
              <w:t>(</w:t>
            </w:r>
            <w:r>
              <w:rPr>
                <w:rFonts w:asciiTheme="majorHAnsi" w:hAnsiTheme="majorHAnsi" w:cstheme="majorBidi"/>
                <w:sz w:val="16"/>
                <w:szCs w:val="16"/>
                <w:vertAlign w:val="superscript"/>
              </w:rPr>
              <w:t>s</w:t>
            </w:r>
            <w:r w:rsidRPr="008140EF">
              <w:rPr>
                <w:rFonts w:asciiTheme="majorHAnsi" w:hAnsiTheme="majorHAnsi" w:cstheme="majorBidi"/>
                <w:sz w:val="16"/>
                <w:szCs w:val="16"/>
                <w:vertAlign w:val="superscript"/>
              </w:rPr>
              <w:t>)</w:t>
            </w:r>
          </w:p>
        </w:tc>
        <w:tc>
          <w:tcPr>
            <w:tcW w:w="1579" w:type="dxa"/>
            <w:tcBorders>
              <w:top w:val="single" w:sz="4" w:space="0" w:color="293F5B"/>
              <w:left w:val="nil"/>
              <w:bottom w:val="single" w:sz="4" w:space="0" w:color="293F5B"/>
              <w:right w:val="nil"/>
            </w:tcBorders>
            <w:vAlign w:val="center"/>
          </w:tcPr>
          <w:p w14:paraId="6435219D" w14:textId="77777777" w:rsidR="00666282" w:rsidRPr="008140EF" w:rsidRDefault="00666282">
            <w:pPr>
              <w:spacing w:before="0" w:after="0" w:line="240" w:lineRule="auto"/>
              <w:jc w:val="right"/>
              <w:rPr>
                <w:rFonts w:asciiTheme="majorHAnsi" w:hAnsiTheme="majorHAnsi" w:cstheme="majorBidi"/>
                <w:sz w:val="16"/>
                <w:szCs w:val="16"/>
              </w:rPr>
            </w:pPr>
            <w:r w:rsidRPr="008140EF">
              <w:rPr>
                <w:rFonts w:asciiTheme="majorHAnsi" w:hAnsiTheme="majorHAnsi" w:cstheme="majorBidi"/>
                <w:sz w:val="16"/>
                <w:szCs w:val="16"/>
              </w:rPr>
              <w:t>5.0</w:t>
            </w:r>
          </w:p>
        </w:tc>
        <w:tc>
          <w:tcPr>
            <w:tcW w:w="1506" w:type="dxa"/>
            <w:tcBorders>
              <w:top w:val="single" w:sz="4" w:space="0" w:color="293F5B"/>
              <w:left w:val="nil"/>
              <w:bottom w:val="single" w:sz="4" w:space="0" w:color="293F5B"/>
              <w:right w:val="nil"/>
            </w:tcBorders>
            <w:vAlign w:val="center"/>
          </w:tcPr>
          <w:p w14:paraId="6557819D" w14:textId="77777777" w:rsidR="00666282" w:rsidRPr="008140EF" w:rsidRDefault="00666282">
            <w:pPr>
              <w:spacing w:before="0" w:after="0" w:line="240" w:lineRule="auto"/>
              <w:jc w:val="right"/>
              <w:rPr>
                <w:rFonts w:asciiTheme="majorHAnsi" w:hAnsiTheme="majorHAnsi" w:cstheme="majorBidi"/>
                <w:sz w:val="16"/>
                <w:szCs w:val="16"/>
              </w:rPr>
            </w:pPr>
            <w:r w:rsidRPr="008140EF">
              <w:rPr>
                <w:rFonts w:asciiTheme="majorHAnsi" w:hAnsiTheme="majorHAnsi" w:cstheme="majorBidi"/>
                <w:sz w:val="16"/>
                <w:szCs w:val="16"/>
              </w:rPr>
              <w:t>5.0</w:t>
            </w:r>
          </w:p>
        </w:tc>
      </w:tr>
      <w:tr w:rsidR="00666282" w:rsidRPr="008140EF" w14:paraId="6CF907C0" w14:textId="77777777" w:rsidTr="00F56B58">
        <w:trPr>
          <w:trHeight w:val="283"/>
        </w:trPr>
        <w:tc>
          <w:tcPr>
            <w:tcW w:w="4774" w:type="dxa"/>
            <w:gridSpan w:val="2"/>
            <w:tcBorders>
              <w:top w:val="single" w:sz="4" w:space="0" w:color="293F5B"/>
              <w:left w:val="nil"/>
              <w:bottom w:val="single" w:sz="4" w:space="0" w:color="293F5B"/>
              <w:right w:val="nil"/>
            </w:tcBorders>
            <w:vAlign w:val="center"/>
          </w:tcPr>
          <w:p w14:paraId="4B0EEF98" w14:textId="77777777" w:rsidR="00666282" w:rsidRPr="008140EF" w:rsidRDefault="00666282">
            <w:pPr>
              <w:spacing w:before="0" w:after="0" w:line="240" w:lineRule="auto"/>
              <w:rPr>
                <w:rFonts w:asciiTheme="majorHAnsi" w:hAnsiTheme="majorHAnsi" w:cstheme="majorBidi"/>
                <w:sz w:val="16"/>
                <w:szCs w:val="16"/>
                <w:vertAlign w:val="superscript"/>
              </w:rPr>
            </w:pPr>
            <w:r w:rsidRPr="008140EF">
              <w:rPr>
                <w:rFonts w:asciiTheme="majorHAnsi" w:hAnsiTheme="majorHAnsi" w:cstheme="majorBidi"/>
                <w:sz w:val="16"/>
                <w:szCs w:val="16"/>
              </w:rPr>
              <w:t>Productivity – Additional Measures</w:t>
            </w:r>
            <w:r>
              <w:rPr>
                <w:rFonts w:asciiTheme="majorHAnsi" w:hAnsiTheme="majorHAnsi" w:cstheme="majorBidi"/>
                <w:sz w:val="16"/>
                <w:szCs w:val="16"/>
              </w:rPr>
              <w:t xml:space="preserve"> </w:t>
            </w:r>
            <w:r w:rsidRPr="008140EF">
              <w:rPr>
                <w:rFonts w:asciiTheme="majorHAnsi" w:hAnsiTheme="majorHAnsi" w:cstheme="majorHAnsi"/>
                <w:sz w:val="16"/>
                <w:szCs w:val="16"/>
              </w:rPr>
              <w:t xml:space="preserve">– </w:t>
            </w:r>
            <w:r>
              <w:rPr>
                <w:rFonts w:asciiTheme="majorHAnsi" w:hAnsiTheme="majorHAnsi" w:cstheme="majorHAnsi"/>
                <w:sz w:val="16"/>
                <w:szCs w:val="16"/>
              </w:rPr>
              <w:t>climate sustainability reporting</w:t>
            </w:r>
            <w:r w:rsidRPr="008140EF">
              <w:rPr>
                <w:rFonts w:asciiTheme="majorHAnsi" w:hAnsiTheme="majorHAnsi" w:cstheme="majorBidi"/>
                <w:sz w:val="16"/>
                <w:szCs w:val="16"/>
                <w:vertAlign w:val="superscript"/>
              </w:rPr>
              <w:t>(</w:t>
            </w:r>
            <w:r>
              <w:rPr>
                <w:rFonts w:asciiTheme="majorHAnsi" w:hAnsiTheme="majorHAnsi" w:cstheme="majorBidi"/>
                <w:sz w:val="16"/>
                <w:szCs w:val="16"/>
                <w:vertAlign w:val="superscript"/>
              </w:rPr>
              <w:t>t</w:t>
            </w:r>
            <w:r w:rsidRPr="008140EF">
              <w:rPr>
                <w:rFonts w:asciiTheme="majorHAnsi" w:hAnsiTheme="majorHAnsi" w:cstheme="majorBidi"/>
                <w:sz w:val="16"/>
                <w:szCs w:val="16"/>
                <w:vertAlign w:val="superscript"/>
              </w:rPr>
              <w:t>)</w:t>
            </w:r>
          </w:p>
        </w:tc>
        <w:tc>
          <w:tcPr>
            <w:tcW w:w="1579" w:type="dxa"/>
            <w:tcBorders>
              <w:top w:val="single" w:sz="4" w:space="0" w:color="293F5B"/>
              <w:left w:val="nil"/>
              <w:bottom w:val="single" w:sz="4" w:space="0" w:color="293F5B"/>
              <w:right w:val="nil"/>
            </w:tcBorders>
            <w:vAlign w:val="center"/>
          </w:tcPr>
          <w:p w14:paraId="170A81B3" w14:textId="77777777" w:rsidR="00666282" w:rsidRPr="008140EF" w:rsidRDefault="00666282">
            <w:pPr>
              <w:spacing w:before="0" w:after="0" w:line="240" w:lineRule="auto"/>
              <w:jc w:val="right"/>
              <w:rPr>
                <w:rFonts w:asciiTheme="majorHAnsi" w:hAnsiTheme="majorHAnsi" w:cstheme="majorBidi"/>
                <w:sz w:val="16"/>
                <w:szCs w:val="16"/>
              </w:rPr>
            </w:pPr>
            <w:r w:rsidRPr="008140EF">
              <w:rPr>
                <w:rFonts w:asciiTheme="majorHAnsi" w:hAnsiTheme="majorHAnsi" w:cstheme="majorBidi"/>
                <w:sz w:val="16"/>
                <w:szCs w:val="16"/>
              </w:rPr>
              <w:t>4.4</w:t>
            </w:r>
          </w:p>
        </w:tc>
        <w:tc>
          <w:tcPr>
            <w:tcW w:w="1506" w:type="dxa"/>
            <w:tcBorders>
              <w:top w:val="single" w:sz="4" w:space="0" w:color="293F5B"/>
              <w:left w:val="nil"/>
              <w:bottom w:val="single" w:sz="4" w:space="0" w:color="293F5B"/>
              <w:right w:val="nil"/>
            </w:tcBorders>
            <w:vAlign w:val="center"/>
          </w:tcPr>
          <w:p w14:paraId="091E5D96" w14:textId="77777777" w:rsidR="00666282" w:rsidRPr="008140EF" w:rsidRDefault="00666282">
            <w:pPr>
              <w:spacing w:before="0" w:after="0" w:line="240" w:lineRule="auto"/>
              <w:jc w:val="right"/>
              <w:rPr>
                <w:rFonts w:asciiTheme="majorHAnsi" w:hAnsiTheme="majorHAnsi" w:cstheme="majorBidi"/>
                <w:sz w:val="16"/>
                <w:szCs w:val="16"/>
              </w:rPr>
            </w:pPr>
            <w:r w:rsidRPr="008140EF">
              <w:rPr>
                <w:rFonts w:asciiTheme="majorHAnsi" w:hAnsiTheme="majorHAnsi" w:cstheme="majorBidi"/>
                <w:sz w:val="16"/>
                <w:szCs w:val="16"/>
              </w:rPr>
              <w:t>4.4</w:t>
            </w:r>
          </w:p>
        </w:tc>
      </w:tr>
      <w:tr w:rsidR="00666282" w:rsidRPr="008140EF" w14:paraId="073CFD9B" w14:textId="77777777" w:rsidTr="00F56B58">
        <w:trPr>
          <w:trHeight w:val="227"/>
        </w:trPr>
        <w:tc>
          <w:tcPr>
            <w:tcW w:w="4774" w:type="dxa"/>
            <w:gridSpan w:val="2"/>
            <w:tcBorders>
              <w:top w:val="single" w:sz="4" w:space="0" w:color="293F5B"/>
              <w:left w:val="nil"/>
              <w:bottom w:val="single" w:sz="4" w:space="0" w:color="293F5B"/>
              <w:right w:val="nil"/>
            </w:tcBorders>
            <w:shd w:val="clear" w:color="auto" w:fill="E6F2FF"/>
            <w:vAlign w:val="center"/>
            <w:hideMark/>
          </w:tcPr>
          <w:p w14:paraId="28AB3CCC" w14:textId="77777777" w:rsidR="00666282" w:rsidRPr="008140EF" w:rsidRDefault="00666282">
            <w:pPr>
              <w:spacing w:before="0" w:after="0" w:line="240" w:lineRule="auto"/>
              <w:rPr>
                <w:rFonts w:asciiTheme="majorHAnsi" w:hAnsiTheme="majorHAnsi" w:cstheme="majorHAnsi"/>
                <w:b/>
                <w:sz w:val="16"/>
                <w:szCs w:val="16"/>
              </w:rPr>
            </w:pPr>
            <w:r w:rsidRPr="008140EF">
              <w:rPr>
                <w:rFonts w:asciiTheme="majorHAnsi" w:hAnsiTheme="majorHAnsi" w:cstheme="majorHAnsi"/>
                <w:b/>
                <w:sz w:val="16"/>
                <w:szCs w:val="16"/>
              </w:rPr>
              <w:t>Total Net Zero Spending</w:t>
            </w:r>
          </w:p>
        </w:tc>
        <w:tc>
          <w:tcPr>
            <w:tcW w:w="1579" w:type="dxa"/>
            <w:tcBorders>
              <w:top w:val="single" w:sz="4" w:space="0" w:color="293F5B"/>
              <w:left w:val="nil"/>
              <w:bottom w:val="single" w:sz="4" w:space="0" w:color="293F5B"/>
              <w:right w:val="nil"/>
            </w:tcBorders>
            <w:shd w:val="clear" w:color="auto" w:fill="E6F2FF"/>
            <w:vAlign w:val="center"/>
          </w:tcPr>
          <w:p w14:paraId="4C483540" w14:textId="77777777" w:rsidR="00666282" w:rsidRPr="008140EF" w:rsidRDefault="00666282">
            <w:pPr>
              <w:spacing w:before="0" w:after="0" w:line="240" w:lineRule="auto"/>
              <w:jc w:val="right"/>
              <w:rPr>
                <w:rFonts w:asciiTheme="majorHAnsi" w:hAnsiTheme="majorHAnsi" w:cstheme="majorHAnsi"/>
                <w:b/>
                <w:bCs/>
                <w:sz w:val="16"/>
                <w:szCs w:val="16"/>
              </w:rPr>
            </w:pPr>
            <w:r w:rsidRPr="008140EF">
              <w:rPr>
                <w:rFonts w:asciiTheme="majorHAnsi" w:hAnsiTheme="majorHAnsi" w:cstheme="majorHAnsi"/>
                <w:b/>
                <w:sz w:val="16"/>
                <w:szCs w:val="16"/>
              </w:rPr>
              <w:t>12,316.0</w:t>
            </w:r>
          </w:p>
        </w:tc>
        <w:tc>
          <w:tcPr>
            <w:tcW w:w="1506" w:type="dxa"/>
            <w:tcBorders>
              <w:top w:val="single" w:sz="4" w:space="0" w:color="293F5B"/>
              <w:left w:val="nil"/>
              <w:bottom w:val="single" w:sz="4" w:space="0" w:color="293F5B"/>
              <w:right w:val="nil"/>
            </w:tcBorders>
            <w:shd w:val="clear" w:color="auto" w:fill="E6F2FF"/>
            <w:vAlign w:val="center"/>
          </w:tcPr>
          <w:p w14:paraId="092FBB9C" w14:textId="77777777" w:rsidR="00666282" w:rsidRPr="008140EF" w:rsidRDefault="00666282">
            <w:pPr>
              <w:spacing w:before="0" w:after="0" w:line="240" w:lineRule="auto"/>
              <w:jc w:val="right"/>
              <w:rPr>
                <w:rFonts w:asciiTheme="majorHAnsi" w:hAnsiTheme="majorHAnsi" w:cstheme="majorHAnsi"/>
                <w:b/>
                <w:bCs/>
                <w:sz w:val="16"/>
                <w:szCs w:val="16"/>
              </w:rPr>
            </w:pPr>
            <w:r w:rsidRPr="008140EF">
              <w:rPr>
                <w:rFonts w:asciiTheme="majorHAnsi" w:hAnsiTheme="majorHAnsi" w:cstheme="majorHAnsi"/>
                <w:b/>
                <w:bCs/>
                <w:sz w:val="16"/>
                <w:szCs w:val="16"/>
              </w:rPr>
              <w:t>18,157.4</w:t>
            </w:r>
          </w:p>
        </w:tc>
      </w:tr>
    </w:tbl>
    <w:p w14:paraId="470E77CD" w14:textId="77777777" w:rsidR="00666282" w:rsidRPr="00576DC7" w:rsidRDefault="00666282">
      <w:pPr>
        <w:pStyle w:val="ChartandTableFootnote"/>
        <w:tabs>
          <w:tab w:val="clear" w:pos="709"/>
          <w:tab w:val="left" w:pos="284"/>
        </w:tabs>
        <w:ind w:left="284" w:hanging="284"/>
        <w:rPr>
          <w:color w:val="auto"/>
        </w:rPr>
      </w:pPr>
      <w:r w:rsidRPr="00576DC7">
        <w:rPr>
          <w:color w:val="auto"/>
        </w:rPr>
        <w:t>*</w:t>
      </w:r>
      <w:r>
        <w:rPr>
          <w:color w:val="auto"/>
        </w:rPr>
        <w:tab/>
      </w:r>
      <w:r w:rsidRPr="00576DC7">
        <w:rPr>
          <w:color w:val="auto"/>
        </w:rPr>
        <w:t>This table summarises the Government</w:t>
      </w:r>
      <w:r>
        <w:rPr>
          <w:color w:val="auto"/>
        </w:rPr>
        <w:t>’</w:t>
      </w:r>
      <w:r w:rsidRPr="00576DC7">
        <w:rPr>
          <w:color w:val="auto"/>
        </w:rPr>
        <w:t>s key climate</w:t>
      </w:r>
      <w:r>
        <w:rPr>
          <w:color w:val="auto"/>
        </w:rPr>
        <w:noBreakHyphen/>
      </w:r>
      <w:r w:rsidRPr="00576DC7">
        <w:rPr>
          <w:color w:val="auto"/>
        </w:rPr>
        <w:t xml:space="preserve">related spending commitments in the </w:t>
      </w:r>
      <w:r>
        <w:rPr>
          <w:color w:val="auto"/>
        </w:rPr>
        <w:t xml:space="preserve">2025 PEFO, </w:t>
      </w:r>
      <w:r w:rsidRPr="00576DC7">
        <w:rPr>
          <w:color w:val="auto"/>
        </w:rPr>
        <w:t>202</w:t>
      </w:r>
      <w:r>
        <w:rPr>
          <w:color w:val="auto"/>
        </w:rPr>
        <w:t>5‍</w:t>
      </w:r>
      <w:r w:rsidRPr="00576DC7">
        <w:rPr>
          <w:color w:val="auto"/>
        </w:rPr>
        <w:t>–</w:t>
      </w:r>
      <w:r>
        <w:rPr>
          <w:color w:val="auto"/>
        </w:rPr>
        <w:t>‍</w:t>
      </w:r>
      <w:r w:rsidRPr="00576DC7">
        <w:rPr>
          <w:color w:val="auto"/>
        </w:rPr>
        <w:t>2</w:t>
      </w:r>
      <w:r>
        <w:rPr>
          <w:color w:val="auto"/>
        </w:rPr>
        <w:t>6</w:t>
      </w:r>
      <w:r w:rsidRPr="00576DC7">
        <w:rPr>
          <w:color w:val="auto"/>
        </w:rPr>
        <w:t xml:space="preserve"> MYEFO and </w:t>
      </w:r>
      <w:r>
        <w:rPr>
          <w:color w:val="auto"/>
        </w:rPr>
        <w:t xml:space="preserve">2026‍–‍27 Budget </w:t>
      </w:r>
      <w:r w:rsidRPr="00576DC7">
        <w:rPr>
          <w:color w:val="auto"/>
        </w:rPr>
        <w:t>to 30</w:t>
      </w:r>
      <w:r>
        <w:rPr>
          <w:color w:val="auto"/>
        </w:rPr>
        <w:t> </w:t>
      </w:r>
      <w:r w:rsidRPr="00576DC7">
        <w:rPr>
          <w:color w:val="auto"/>
        </w:rPr>
        <w:t>June</w:t>
      </w:r>
      <w:r>
        <w:rPr>
          <w:color w:val="auto"/>
        </w:rPr>
        <w:t> </w:t>
      </w:r>
      <w:r w:rsidRPr="00576DC7">
        <w:rPr>
          <w:color w:val="auto"/>
        </w:rPr>
        <w:t>203</w:t>
      </w:r>
      <w:r>
        <w:rPr>
          <w:color w:val="auto"/>
        </w:rPr>
        <w:t>7</w:t>
      </w:r>
      <w:r w:rsidRPr="00576DC7">
        <w:rPr>
          <w:color w:val="auto"/>
        </w:rPr>
        <w:t xml:space="preserve"> and presents a broader view than the impact on the underlying cash balance. Some measures extend beyond the end of the medium term or include both initial and ongoing funding to the end of the medium term. Figures align with the forward estimates and medium term for the 202</w:t>
      </w:r>
      <w:r>
        <w:rPr>
          <w:color w:val="auto"/>
        </w:rPr>
        <w:t>6‍</w:t>
      </w:r>
      <w:r w:rsidRPr="00576DC7">
        <w:rPr>
          <w:color w:val="auto"/>
        </w:rPr>
        <w:t>–</w:t>
      </w:r>
      <w:r>
        <w:rPr>
          <w:color w:val="auto"/>
        </w:rPr>
        <w:t>‍</w:t>
      </w:r>
      <w:r w:rsidRPr="00576DC7">
        <w:rPr>
          <w:color w:val="auto"/>
        </w:rPr>
        <w:t>2</w:t>
      </w:r>
      <w:r>
        <w:rPr>
          <w:color w:val="auto"/>
        </w:rPr>
        <w:t>7 </w:t>
      </w:r>
      <w:r w:rsidRPr="00576DC7">
        <w:rPr>
          <w:color w:val="auto"/>
        </w:rPr>
        <w:t>Budget</w:t>
      </w:r>
      <w:r>
        <w:rPr>
          <w:color w:val="auto"/>
        </w:rPr>
        <w:t xml:space="preserve"> unless otherwise noted</w:t>
      </w:r>
      <w:r w:rsidRPr="00576DC7">
        <w:rPr>
          <w:color w:val="auto"/>
        </w:rPr>
        <w:t>. Spending outlined in these measures for the purposes of this table may differ in some instances from figures reported in the 202</w:t>
      </w:r>
      <w:r>
        <w:rPr>
          <w:color w:val="auto"/>
        </w:rPr>
        <w:t>5‍</w:t>
      </w:r>
      <w:r w:rsidRPr="00576DC7">
        <w:rPr>
          <w:color w:val="auto"/>
        </w:rPr>
        <w:t>–</w:t>
      </w:r>
      <w:r w:rsidRPr="00576DC7">
        <w:rPr>
          <w:color w:val="auto"/>
          <w:w w:val="1"/>
        </w:rPr>
        <w:t> </w:t>
      </w:r>
      <w:r>
        <w:rPr>
          <w:color w:val="auto"/>
        </w:rPr>
        <w:t>‍</w:t>
      </w:r>
      <w:r w:rsidRPr="00576DC7">
        <w:rPr>
          <w:color w:val="auto"/>
        </w:rPr>
        <w:t>2</w:t>
      </w:r>
      <w:r>
        <w:rPr>
          <w:color w:val="auto"/>
        </w:rPr>
        <w:t>6</w:t>
      </w:r>
      <w:r w:rsidRPr="00576DC7">
        <w:rPr>
          <w:color w:val="auto"/>
        </w:rPr>
        <w:t xml:space="preserve"> MYEFO and </w:t>
      </w:r>
      <w:r>
        <w:rPr>
          <w:color w:val="auto"/>
        </w:rPr>
        <w:t>2026‍–‍27 Budget </w:t>
      </w:r>
      <w:r w:rsidRPr="00576DC7">
        <w:rPr>
          <w:color w:val="auto"/>
        </w:rPr>
        <w:t>Paper</w:t>
      </w:r>
      <w:r>
        <w:rPr>
          <w:color w:val="auto"/>
        </w:rPr>
        <w:t> </w:t>
      </w:r>
      <w:r w:rsidRPr="00576DC7">
        <w:rPr>
          <w:color w:val="auto"/>
        </w:rPr>
        <w:t>No. 2 due to the exclusions described in the footnotes.</w:t>
      </w:r>
    </w:p>
    <w:p w14:paraId="1116CC57" w14:textId="77777777" w:rsidR="00666282" w:rsidRPr="0090507E" w:rsidRDefault="00666282" w:rsidP="0090507E">
      <w:pPr>
        <w:pStyle w:val="ChartandTableFootnoteAlpha"/>
        <w:numPr>
          <w:ilvl w:val="0"/>
          <w:numId w:val="33"/>
        </w:numPr>
        <w:rPr>
          <w:color w:val="auto"/>
        </w:rPr>
      </w:pPr>
      <w:r w:rsidRPr="0090507E">
        <w:rPr>
          <w:color w:val="auto"/>
        </w:rPr>
        <w:t>The spending outlined in this measure was committed at 2025‍–‍26 MYEFO.</w:t>
      </w:r>
    </w:p>
    <w:p w14:paraId="32A9E96B" w14:textId="77777777" w:rsidR="00666282" w:rsidRPr="00F10751" w:rsidRDefault="00666282">
      <w:pPr>
        <w:pStyle w:val="ChartandTableFootnoteAlpha"/>
        <w:numPr>
          <w:ilvl w:val="0"/>
          <w:numId w:val="19"/>
        </w:numPr>
        <w:rPr>
          <w:color w:val="auto"/>
        </w:rPr>
      </w:pPr>
      <w:r w:rsidRPr="009E3011">
        <w:t>The spending outlined in this measure for the purposes of this table includes Clean Energy Finance Corporation Recapitalisation, Accelerating Rollout of E</w:t>
      </w:r>
      <w:r>
        <w:t>lectric Vehicle</w:t>
      </w:r>
      <w:r w:rsidRPr="009E3011">
        <w:t xml:space="preserve"> Charging, Game On: Teaming Up for Climate Action, Mainstreaming Energy Performance</w:t>
      </w:r>
      <w:r>
        <w:t xml:space="preserve"> and</w:t>
      </w:r>
      <w:r w:rsidRPr="009E3011">
        <w:t xml:space="preserve"> Unlocking Household Retrofits with Home Energy Ratings</w:t>
      </w:r>
      <w:r>
        <w:t xml:space="preserve">. </w:t>
      </w:r>
      <w:r w:rsidRPr="00576DC7">
        <w:t>Th</w:t>
      </w:r>
      <w:r>
        <w:t xml:space="preserve">is measure contains $2.0 billion in funding for concessional finance. </w:t>
      </w:r>
      <w:bookmarkStart w:id="161" w:name="_Hlk228536037"/>
    </w:p>
    <w:p w14:paraId="3B6C701C" w14:textId="77777777" w:rsidR="00666282" w:rsidRPr="00D83E99" w:rsidRDefault="00666282">
      <w:pPr>
        <w:pStyle w:val="ChartandTableFootnoteAlpha"/>
        <w:numPr>
          <w:ilvl w:val="0"/>
          <w:numId w:val="19"/>
        </w:numPr>
        <w:rPr>
          <w:color w:val="auto"/>
        </w:rPr>
      </w:pPr>
      <w:r w:rsidRPr="00A5691A">
        <w:rPr>
          <w:color w:val="auto"/>
        </w:rPr>
        <w:t>The funding profile for this measure is not for publication due to commercial sensitivities.</w:t>
      </w:r>
      <w:r>
        <w:rPr>
          <w:color w:val="auto"/>
        </w:rPr>
        <w:t xml:space="preserve"> </w:t>
      </w:r>
    </w:p>
    <w:bookmarkEnd w:id="161"/>
    <w:p w14:paraId="4A15AB87" w14:textId="77777777" w:rsidR="00666282" w:rsidRPr="00B17E97" w:rsidRDefault="00666282">
      <w:pPr>
        <w:pStyle w:val="ChartandTableFootnoteAlpha"/>
        <w:numPr>
          <w:ilvl w:val="0"/>
          <w:numId w:val="19"/>
        </w:numPr>
        <w:rPr>
          <w:color w:val="auto"/>
        </w:rPr>
      </w:pPr>
      <w:r w:rsidRPr="00E0226B">
        <w:rPr>
          <w:color w:val="auto"/>
        </w:rPr>
        <w:t xml:space="preserve">The spending outlined in this measure for the purposes of this table </w:t>
      </w:r>
      <w:r w:rsidRPr="004D313F">
        <w:rPr>
          <w:color w:val="auto"/>
        </w:rPr>
        <w:t xml:space="preserve">excludes funding to support </w:t>
      </w:r>
      <w:r>
        <w:rPr>
          <w:color w:val="auto"/>
        </w:rPr>
        <w:t>reprofiling funding for the</w:t>
      </w:r>
      <w:r w:rsidRPr="004D313F">
        <w:rPr>
          <w:color w:val="auto"/>
        </w:rPr>
        <w:t xml:space="preserve"> Driving the Nation </w:t>
      </w:r>
      <w:r w:rsidRPr="00C361F3">
        <w:rPr>
          <w:color w:val="auto"/>
        </w:rPr>
        <w:t>– Dealership and Repairer Initiative for Vehicle Electrification Nationally Program</w:t>
      </w:r>
      <w:r>
        <w:rPr>
          <w:color w:val="auto"/>
        </w:rPr>
        <w:t>.</w:t>
      </w:r>
    </w:p>
    <w:p w14:paraId="3C622D37" w14:textId="77777777" w:rsidR="00666282" w:rsidRPr="009E4871" w:rsidRDefault="00666282">
      <w:pPr>
        <w:pStyle w:val="ChartandTableFootnoteAlpha"/>
        <w:numPr>
          <w:ilvl w:val="0"/>
          <w:numId w:val="19"/>
        </w:numPr>
        <w:rPr>
          <w:rFonts w:eastAsia="Book Antiqua"/>
          <w:color w:val="auto"/>
        </w:rPr>
      </w:pPr>
      <w:r w:rsidRPr="00576DC7">
        <w:rPr>
          <w:color w:val="auto"/>
        </w:rPr>
        <w:t xml:space="preserve">The </w:t>
      </w:r>
      <w:r>
        <w:rPr>
          <w:color w:val="auto"/>
        </w:rPr>
        <w:t xml:space="preserve">spending </w:t>
      </w:r>
      <w:r w:rsidRPr="00BF542A">
        <w:rPr>
          <w:color w:val="auto"/>
        </w:rPr>
        <w:t>outlined in this measure for the purposes of this table includes funding committed in 2025</w:t>
      </w:r>
      <w:r>
        <w:rPr>
          <w:color w:val="auto"/>
        </w:rPr>
        <w:t>‍–‍</w:t>
      </w:r>
      <w:r w:rsidRPr="00BF542A">
        <w:rPr>
          <w:color w:val="auto"/>
        </w:rPr>
        <w:t>26 PEFO</w:t>
      </w:r>
      <w:r>
        <w:rPr>
          <w:color w:val="auto"/>
        </w:rPr>
        <w:t xml:space="preserve"> and the revised profile as published in the </w:t>
      </w:r>
      <w:r w:rsidRPr="00BF542A">
        <w:rPr>
          <w:color w:val="auto"/>
        </w:rPr>
        <w:t>2025</w:t>
      </w:r>
      <w:r>
        <w:rPr>
          <w:color w:val="auto"/>
        </w:rPr>
        <w:t>‍–‍</w:t>
      </w:r>
      <w:r w:rsidRPr="00BF542A">
        <w:rPr>
          <w:color w:val="auto"/>
        </w:rPr>
        <w:t>26 MYEFO save measure</w:t>
      </w:r>
      <w:r>
        <w:rPr>
          <w:color w:val="auto"/>
        </w:rPr>
        <w:t>.</w:t>
      </w:r>
    </w:p>
    <w:p w14:paraId="1D6D6249" w14:textId="77777777" w:rsidR="00666282" w:rsidRPr="00402AF1" w:rsidRDefault="00666282">
      <w:pPr>
        <w:pStyle w:val="ChartandTableFootnoteAlpha"/>
        <w:numPr>
          <w:ilvl w:val="0"/>
          <w:numId w:val="19"/>
        </w:numPr>
        <w:rPr>
          <w:color w:val="auto"/>
        </w:rPr>
      </w:pPr>
      <w:r w:rsidRPr="00402AF1">
        <w:rPr>
          <w:color w:val="auto"/>
        </w:rPr>
        <w:t>The spending outlined in this measure for the purpose of this table includes funding the Department of Climate Change, Energy, the Environment and Water and the National Environmental Protection Agency to accelerate environmental approvals</w:t>
      </w:r>
      <w:r>
        <w:rPr>
          <w:color w:val="auto"/>
        </w:rPr>
        <w:t>.</w:t>
      </w:r>
    </w:p>
    <w:p w14:paraId="0860530E" w14:textId="77777777" w:rsidR="00666282" w:rsidRPr="00835337" w:rsidRDefault="00666282">
      <w:pPr>
        <w:pStyle w:val="ChartandTableFootnoteAlpha"/>
        <w:numPr>
          <w:ilvl w:val="0"/>
          <w:numId w:val="19"/>
        </w:numPr>
        <w:rPr>
          <w:rFonts w:eastAsia="Book Antiqua"/>
        </w:rPr>
      </w:pPr>
      <w:r>
        <w:rPr>
          <w:rFonts w:eastAsia="Book Antiqua"/>
        </w:rPr>
        <w:t xml:space="preserve">The spending outlined in this measure for the purposes of this table includes only Accelerating Electrification of Australia Post’s Delivery Fleet and Maritime Fuel Resilience and Decarbonisation. The cost of this measure has been </w:t>
      </w:r>
      <w:r w:rsidRPr="00F763EB">
        <w:rPr>
          <w:rFonts w:eastAsia="Book Antiqua"/>
        </w:rPr>
        <w:t>partially met through the existing resources of the Department of Infrastructure, Transport, Regional Development, Communications, Sport and the Arts</w:t>
      </w:r>
      <w:r>
        <w:rPr>
          <w:rFonts w:eastAsia="Book Antiqua"/>
        </w:rPr>
        <w:t>.</w:t>
      </w:r>
    </w:p>
    <w:p w14:paraId="725EECF7" w14:textId="77777777" w:rsidR="00666282" w:rsidRDefault="00666282">
      <w:pPr>
        <w:pStyle w:val="ChartandTableFootnoteAlpha"/>
        <w:numPr>
          <w:ilvl w:val="0"/>
          <w:numId w:val="19"/>
        </w:numPr>
        <w:rPr>
          <w:rFonts w:eastAsia="Book Antiqua"/>
          <w:color w:val="auto"/>
        </w:rPr>
      </w:pPr>
      <w:r w:rsidRPr="00ED2C59">
        <w:rPr>
          <w:rFonts w:eastAsia="Book Antiqua"/>
          <w:color w:val="auto"/>
        </w:rPr>
        <w:t>The cost of this measure has been met from a reprioritisation of funding from the Recycling Modernisation Fund – Plastics Technology stream and from the 2025</w:t>
      </w:r>
      <w:r>
        <w:rPr>
          <w:color w:val="auto"/>
        </w:rPr>
        <w:t>‍</w:t>
      </w:r>
      <w:r w:rsidRPr="00ED2C59">
        <w:rPr>
          <w:rFonts w:eastAsia="Book Antiqua"/>
          <w:color w:val="auto"/>
        </w:rPr>
        <w:t>–</w:t>
      </w:r>
      <w:r>
        <w:rPr>
          <w:color w:val="auto"/>
        </w:rPr>
        <w:t>‍</w:t>
      </w:r>
      <w:r w:rsidRPr="00ED2C59">
        <w:rPr>
          <w:rFonts w:eastAsia="Book Antiqua"/>
          <w:color w:val="auto"/>
        </w:rPr>
        <w:t>26 MYEFO measure titled Climate Change, Energy, the Environment and Water – reprioritisation</w:t>
      </w:r>
      <w:r>
        <w:rPr>
          <w:rFonts w:eastAsia="Book Antiqua"/>
          <w:color w:val="auto"/>
        </w:rPr>
        <w:t>.</w:t>
      </w:r>
    </w:p>
    <w:p w14:paraId="3EB5B85E" w14:textId="77777777" w:rsidR="00666282" w:rsidRPr="007324BD" w:rsidRDefault="00666282">
      <w:pPr>
        <w:pStyle w:val="ChartandTableFootnoteAlpha"/>
        <w:numPr>
          <w:ilvl w:val="0"/>
          <w:numId w:val="19"/>
        </w:numPr>
        <w:rPr>
          <w:rFonts w:eastAsia="Book Antiqua"/>
        </w:rPr>
      </w:pPr>
      <w:r w:rsidRPr="004E3F57">
        <w:rPr>
          <w:rFonts w:eastAsia="Book Antiqua"/>
        </w:rPr>
        <w:t>The spending outlined in this measure for the purposes of this table includes only the Real</w:t>
      </w:r>
      <w:r>
        <w:rPr>
          <w:rFonts w:eastAsia="Book Antiqua"/>
        </w:rPr>
        <w:noBreakHyphen/>
      </w:r>
      <w:r w:rsidRPr="004E3F57">
        <w:rPr>
          <w:rFonts w:eastAsia="Book Antiqua"/>
        </w:rPr>
        <w:t>World Testing program</w:t>
      </w:r>
      <w:r>
        <w:rPr>
          <w:rFonts w:eastAsia="Book Antiqua"/>
        </w:rPr>
        <w:t>.</w:t>
      </w:r>
    </w:p>
    <w:p w14:paraId="5C6EB2B5" w14:textId="77777777" w:rsidR="00666282" w:rsidRPr="00DE4167" w:rsidRDefault="00666282">
      <w:pPr>
        <w:pStyle w:val="ChartandTableFootnoteAlpha"/>
        <w:numPr>
          <w:ilvl w:val="0"/>
          <w:numId w:val="19"/>
        </w:numPr>
        <w:rPr>
          <w:color w:val="auto"/>
        </w:rPr>
      </w:pPr>
      <w:r w:rsidRPr="00DE4167">
        <w:rPr>
          <w:color w:val="auto"/>
        </w:rPr>
        <w:t xml:space="preserve">Spending </w:t>
      </w:r>
      <w:r>
        <w:rPr>
          <w:color w:val="auto"/>
        </w:rPr>
        <w:t xml:space="preserve">for the </w:t>
      </w:r>
      <w:r w:rsidRPr="00DE4167">
        <w:rPr>
          <w:color w:val="auto"/>
        </w:rPr>
        <w:t xml:space="preserve">National Reconstruction Fund Corporation Net Zero Fund </w:t>
      </w:r>
      <w:r>
        <w:rPr>
          <w:color w:val="auto"/>
        </w:rPr>
        <w:t xml:space="preserve">reflects deployment of the Net Zero Fund </w:t>
      </w:r>
      <w:r w:rsidRPr="00DE4167">
        <w:rPr>
          <w:color w:val="auto"/>
        </w:rPr>
        <w:t>not UCB impacts.</w:t>
      </w:r>
      <w:r w:rsidRPr="00DE4167">
        <w:t xml:space="preserve"> </w:t>
      </w:r>
      <w:r w:rsidRPr="00DE4167">
        <w:rPr>
          <w:color w:val="auto"/>
        </w:rPr>
        <w:t>The medium</w:t>
      </w:r>
      <w:r>
        <w:rPr>
          <w:color w:val="auto"/>
        </w:rPr>
        <w:noBreakHyphen/>
      </w:r>
      <w:r w:rsidRPr="00DE4167">
        <w:rPr>
          <w:color w:val="auto"/>
        </w:rPr>
        <w:t>term total for the low carbon liquid fuel measure is to 2039</w:t>
      </w:r>
      <w:r>
        <w:rPr>
          <w:color w:val="auto"/>
        </w:rPr>
        <w:t>‍–‍</w:t>
      </w:r>
      <w:r w:rsidRPr="00DE4167">
        <w:rPr>
          <w:color w:val="auto"/>
        </w:rPr>
        <w:t>40.</w:t>
      </w:r>
    </w:p>
    <w:p w14:paraId="1DCAAB50" w14:textId="77777777" w:rsidR="00666282" w:rsidRDefault="00666282">
      <w:pPr>
        <w:pStyle w:val="ChartandTableFootnoteAlpha"/>
        <w:numPr>
          <w:ilvl w:val="0"/>
          <w:numId w:val="19"/>
        </w:numPr>
        <w:rPr>
          <w:rFonts w:eastAsia="Book Antiqua"/>
          <w:color w:val="auto"/>
        </w:rPr>
      </w:pPr>
      <w:r w:rsidRPr="00F17952">
        <w:rPr>
          <w:rFonts w:eastAsia="Book Antiqua"/>
          <w:color w:val="auto"/>
        </w:rPr>
        <w:t xml:space="preserve">The spending outlined in this measure for the purposes of this table includes Closing the Energy Price Gap for Green Aluminium at Boyne Smelter and Further Funding for the Whyalla Steelworks, which is intended to help transition the steelworks to renewable energy. </w:t>
      </w:r>
      <w:r w:rsidRPr="009D4C07">
        <w:rPr>
          <w:rFonts w:eastAsia="Book Antiqua"/>
          <w:color w:val="auto"/>
        </w:rPr>
        <w:t>The medium</w:t>
      </w:r>
      <w:r>
        <w:rPr>
          <w:rFonts w:eastAsia="Book Antiqua"/>
          <w:color w:val="auto"/>
        </w:rPr>
        <w:noBreakHyphen/>
      </w:r>
      <w:r w:rsidRPr="009D4C07">
        <w:rPr>
          <w:rFonts w:eastAsia="Book Antiqua"/>
          <w:color w:val="auto"/>
        </w:rPr>
        <w:t>term total for this measure is to 2039</w:t>
      </w:r>
      <w:r>
        <w:rPr>
          <w:color w:val="auto"/>
        </w:rPr>
        <w:t>‍</w:t>
      </w:r>
      <w:r>
        <w:rPr>
          <w:rFonts w:eastAsia="Book Antiqua"/>
          <w:color w:val="auto"/>
        </w:rPr>
        <w:t>–</w:t>
      </w:r>
      <w:r>
        <w:rPr>
          <w:color w:val="auto"/>
        </w:rPr>
        <w:t>‍</w:t>
      </w:r>
      <w:r w:rsidRPr="009D4C07">
        <w:rPr>
          <w:rFonts w:eastAsia="Book Antiqua"/>
          <w:color w:val="auto"/>
        </w:rPr>
        <w:t>40.</w:t>
      </w:r>
      <w:r w:rsidRPr="009D4C07" w:rsidDel="009D4C07">
        <w:rPr>
          <w:rFonts w:eastAsia="Book Antiqua"/>
          <w:color w:val="auto"/>
        </w:rPr>
        <w:t xml:space="preserve"> </w:t>
      </w:r>
    </w:p>
    <w:p w14:paraId="031AE293" w14:textId="77777777" w:rsidR="00666282" w:rsidRDefault="00666282">
      <w:pPr>
        <w:pStyle w:val="ChartandTableFootnoteAlpha"/>
        <w:numPr>
          <w:ilvl w:val="0"/>
          <w:numId w:val="19"/>
        </w:numPr>
        <w:rPr>
          <w:rFonts w:eastAsia="Book Antiqua"/>
          <w:color w:val="auto"/>
        </w:rPr>
      </w:pPr>
      <w:r w:rsidRPr="004E6319">
        <w:rPr>
          <w:rFonts w:eastAsia="Book Antiqua"/>
          <w:color w:val="auto"/>
        </w:rPr>
        <w:t>The spending outlined in this measure for the purposes of this table includes establishing a National Training Centre in New Energy Skills</w:t>
      </w:r>
      <w:r>
        <w:rPr>
          <w:rFonts w:eastAsia="Book Antiqua"/>
          <w:color w:val="auto"/>
        </w:rPr>
        <w:t xml:space="preserve"> </w:t>
      </w:r>
      <w:r w:rsidRPr="004E6319">
        <w:rPr>
          <w:rFonts w:eastAsia="Book Antiqua"/>
          <w:color w:val="auto"/>
        </w:rPr>
        <w:t>to train workers for priority new energy occupations.</w:t>
      </w:r>
      <w:r>
        <w:rPr>
          <w:rFonts w:eastAsia="Book Antiqua"/>
          <w:color w:val="auto"/>
        </w:rPr>
        <w:t xml:space="preserve"> The cost of this measure will be partially offset by funding reprioritised from the Clean Energy Capital Investment Fund.</w:t>
      </w:r>
    </w:p>
    <w:p w14:paraId="3972D1F5" w14:textId="77777777" w:rsidR="00666282" w:rsidRDefault="00666282">
      <w:pPr>
        <w:pStyle w:val="ChartandTableFootnoteAlpha"/>
        <w:numPr>
          <w:ilvl w:val="0"/>
          <w:numId w:val="19"/>
        </w:numPr>
        <w:rPr>
          <w:rFonts w:eastAsia="Book Antiqua"/>
          <w:color w:val="auto"/>
        </w:rPr>
      </w:pPr>
      <w:r>
        <w:rPr>
          <w:rFonts w:eastAsia="Book Antiqua"/>
          <w:color w:val="auto"/>
        </w:rPr>
        <w:t>T</w:t>
      </w:r>
      <w:r w:rsidRPr="004A51F5">
        <w:rPr>
          <w:rFonts w:eastAsia="Book Antiqua"/>
          <w:color w:val="auto"/>
        </w:rPr>
        <w:t>he spending outlined in this measure for the purposes of this table</w:t>
      </w:r>
      <w:r>
        <w:rPr>
          <w:rFonts w:eastAsia="Book Antiqua"/>
          <w:color w:val="auto"/>
        </w:rPr>
        <w:t xml:space="preserve"> </w:t>
      </w:r>
      <w:r w:rsidRPr="004A51F5">
        <w:rPr>
          <w:rFonts w:eastAsia="Book Antiqua"/>
          <w:color w:val="auto"/>
        </w:rPr>
        <w:t>includes funding for a master plan for re</w:t>
      </w:r>
      <w:r>
        <w:rPr>
          <w:rFonts w:eastAsia="Book Antiqua"/>
          <w:color w:val="auto"/>
        </w:rPr>
        <w:noBreakHyphen/>
      </w:r>
      <w:r w:rsidRPr="004A51F5">
        <w:rPr>
          <w:rFonts w:eastAsia="Book Antiqua"/>
          <w:color w:val="auto"/>
        </w:rPr>
        <w:t>zoned mine sites in the Hunter region to aid the net zero transition and the development of a roadmap to boost Australian content in renewable energy infrastructure.</w:t>
      </w:r>
    </w:p>
    <w:p w14:paraId="04ED7276" w14:textId="77777777" w:rsidR="00666282" w:rsidRPr="00D47023" w:rsidRDefault="00666282">
      <w:pPr>
        <w:pStyle w:val="ChartandTableFootnoteAlpha"/>
        <w:numPr>
          <w:ilvl w:val="0"/>
          <w:numId w:val="19"/>
        </w:numPr>
        <w:rPr>
          <w:rFonts w:eastAsia="Book Antiqua"/>
          <w:color w:val="auto"/>
        </w:rPr>
      </w:pPr>
      <w:r w:rsidRPr="00410CDA">
        <w:rPr>
          <w:rFonts w:eastAsia="Book Antiqua"/>
          <w:color w:val="auto"/>
        </w:rPr>
        <w:t>Profile reflects total committed funding</w:t>
      </w:r>
      <w:r>
        <w:rPr>
          <w:rFonts w:eastAsia="Book Antiqua"/>
          <w:color w:val="auto"/>
        </w:rPr>
        <w:t xml:space="preserve"> in 2025</w:t>
      </w:r>
      <w:r>
        <w:rPr>
          <w:color w:val="auto"/>
        </w:rPr>
        <w:t>‍</w:t>
      </w:r>
      <w:r>
        <w:rPr>
          <w:rFonts w:eastAsia="Book Antiqua"/>
          <w:color w:val="auto"/>
        </w:rPr>
        <w:t>–</w:t>
      </w:r>
      <w:r>
        <w:rPr>
          <w:color w:val="auto"/>
        </w:rPr>
        <w:t>‍</w:t>
      </w:r>
      <w:r>
        <w:rPr>
          <w:rFonts w:eastAsia="Book Antiqua"/>
          <w:color w:val="auto"/>
        </w:rPr>
        <w:t>26 MYEFO and 2026</w:t>
      </w:r>
      <w:r>
        <w:rPr>
          <w:color w:val="auto"/>
        </w:rPr>
        <w:t>‍</w:t>
      </w:r>
      <w:r>
        <w:rPr>
          <w:rFonts w:eastAsia="Book Antiqua"/>
          <w:color w:val="auto"/>
        </w:rPr>
        <w:t>–</w:t>
      </w:r>
      <w:r>
        <w:rPr>
          <w:color w:val="auto"/>
        </w:rPr>
        <w:t>‍</w:t>
      </w:r>
      <w:r>
        <w:rPr>
          <w:rFonts w:eastAsia="Book Antiqua"/>
          <w:color w:val="auto"/>
        </w:rPr>
        <w:t xml:space="preserve">27 Budget. </w:t>
      </w:r>
      <w:r w:rsidRPr="00097B58">
        <w:rPr>
          <w:rFonts w:eastAsia="Book Antiqua"/>
          <w:color w:val="auto"/>
        </w:rPr>
        <w:t>The cost of this measure will be partially met through existing resources in the National Emergency Management Agency.</w:t>
      </w:r>
    </w:p>
    <w:p w14:paraId="244CC3CE" w14:textId="77777777" w:rsidR="00666282" w:rsidRDefault="00666282">
      <w:pPr>
        <w:pStyle w:val="ChartandTableFootnoteAlpha"/>
        <w:numPr>
          <w:ilvl w:val="0"/>
          <w:numId w:val="19"/>
        </w:numPr>
        <w:rPr>
          <w:rFonts w:eastAsia="Book Antiqua"/>
          <w:color w:val="auto"/>
        </w:rPr>
      </w:pPr>
      <w:r w:rsidRPr="009D37B3">
        <w:rPr>
          <w:rFonts w:eastAsia="Book Antiqua"/>
          <w:color w:val="auto"/>
        </w:rPr>
        <w:lastRenderedPageBreak/>
        <w:t>The cost of this measure will be partially met through existing resources in the Department of Climate Change Energy, the Environment and Water</w:t>
      </w:r>
      <w:r>
        <w:rPr>
          <w:rFonts w:eastAsia="Book Antiqua"/>
          <w:color w:val="auto"/>
        </w:rPr>
        <w:t>.</w:t>
      </w:r>
    </w:p>
    <w:p w14:paraId="30006C63" w14:textId="77777777" w:rsidR="00666282" w:rsidRDefault="00666282">
      <w:pPr>
        <w:pStyle w:val="ChartandTableFootnoteAlpha"/>
        <w:numPr>
          <w:ilvl w:val="0"/>
          <w:numId w:val="19"/>
        </w:numPr>
        <w:rPr>
          <w:rFonts w:eastAsia="Book Antiqua"/>
          <w:color w:val="auto"/>
        </w:rPr>
      </w:pPr>
      <w:r w:rsidRPr="002D5C7C">
        <w:rPr>
          <w:rFonts w:eastAsia="Book Antiqua"/>
          <w:color w:val="auto"/>
        </w:rPr>
        <w:t>The cost of this measure will be partially met through existing resources in</w:t>
      </w:r>
      <w:r>
        <w:rPr>
          <w:rFonts w:eastAsia="Book Antiqua"/>
          <w:color w:val="auto"/>
        </w:rPr>
        <w:t xml:space="preserve"> Bureau of Meteorology.</w:t>
      </w:r>
      <w:r w:rsidRPr="002D5C7C">
        <w:rPr>
          <w:rFonts w:eastAsia="Book Antiqua"/>
          <w:color w:val="auto"/>
        </w:rPr>
        <w:t xml:space="preserve"> </w:t>
      </w:r>
    </w:p>
    <w:p w14:paraId="1B4ACE6F" w14:textId="77777777" w:rsidR="00666282" w:rsidRPr="00081300" w:rsidRDefault="00666282">
      <w:pPr>
        <w:pStyle w:val="ChartandTableFootnoteAlpha"/>
        <w:numPr>
          <w:ilvl w:val="0"/>
          <w:numId w:val="19"/>
        </w:numPr>
        <w:rPr>
          <w:rFonts w:eastAsia="Book Antiqua"/>
        </w:rPr>
      </w:pPr>
      <w:r w:rsidRPr="00CD3B09">
        <w:rPr>
          <w:rFonts w:eastAsia="Book Antiqua"/>
        </w:rPr>
        <w:t xml:space="preserve">The cost of this measure </w:t>
      </w:r>
      <w:r>
        <w:rPr>
          <w:rFonts w:eastAsia="Book Antiqua"/>
        </w:rPr>
        <w:t>will be fully</w:t>
      </w:r>
      <w:r w:rsidRPr="00CD3B09">
        <w:rPr>
          <w:rFonts w:eastAsia="Book Antiqua"/>
        </w:rPr>
        <w:t xml:space="preserve"> met </w:t>
      </w:r>
      <w:r>
        <w:rPr>
          <w:rFonts w:eastAsia="Book Antiqua"/>
        </w:rPr>
        <w:t>from a reprioritisation of funding from the Strategic International Partnerships Investment Stream program and from</w:t>
      </w:r>
      <w:r w:rsidRPr="00CD3B09">
        <w:rPr>
          <w:rFonts w:eastAsia="Book Antiqua"/>
        </w:rPr>
        <w:t xml:space="preserve"> </w:t>
      </w:r>
      <w:r>
        <w:rPr>
          <w:rFonts w:eastAsia="Book Antiqua"/>
        </w:rPr>
        <w:t xml:space="preserve">the </w:t>
      </w:r>
      <w:r w:rsidRPr="00CD3B09">
        <w:rPr>
          <w:rFonts w:eastAsia="Book Antiqua"/>
        </w:rPr>
        <w:t xml:space="preserve">existing resources </w:t>
      </w:r>
      <w:r>
        <w:rPr>
          <w:rFonts w:eastAsia="Book Antiqua"/>
        </w:rPr>
        <w:t xml:space="preserve">of </w:t>
      </w:r>
      <w:r w:rsidRPr="00CD3B09">
        <w:rPr>
          <w:rFonts w:eastAsia="Book Antiqua"/>
        </w:rPr>
        <w:t>the Department of Foreign Affairs and Trade</w:t>
      </w:r>
      <w:r>
        <w:rPr>
          <w:rFonts w:eastAsia="Book Antiqua"/>
        </w:rPr>
        <w:t>. The measure</w:t>
      </w:r>
      <w:r w:rsidRPr="00B43EEE">
        <w:rPr>
          <w:rFonts w:eastAsia="Book Antiqua"/>
        </w:rPr>
        <w:t xml:space="preserve"> includes funding committed in the Portfolio Additional Estimates Statements 2025</w:t>
      </w:r>
      <w:r>
        <w:rPr>
          <w:color w:val="auto"/>
        </w:rPr>
        <w:t>‍</w:t>
      </w:r>
      <w:r>
        <w:rPr>
          <w:rFonts w:eastAsia="Book Antiqua"/>
        </w:rPr>
        <w:t>–</w:t>
      </w:r>
      <w:r>
        <w:rPr>
          <w:color w:val="auto"/>
        </w:rPr>
        <w:t>‍</w:t>
      </w:r>
      <w:r w:rsidRPr="00B43EEE">
        <w:rPr>
          <w:rFonts w:eastAsia="Book Antiqua"/>
        </w:rPr>
        <w:t>26.</w:t>
      </w:r>
    </w:p>
    <w:p w14:paraId="1FDE4235" w14:textId="77777777" w:rsidR="00666282" w:rsidRPr="008E48EE" w:rsidRDefault="00666282">
      <w:pPr>
        <w:pStyle w:val="ChartandTableFootnoteAlpha"/>
        <w:numPr>
          <w:ilvl w:val="0"/>
          <w:numId w:val="19"/>
        </w:numPr>
        <w:rPr>
          <w:rFonts w:eastAsia="Book Antiqua"/>
        </w:rPr>
      </w:pPr>
      <w:r>
        <w:rPr>
          <w:rFonts w:eastAsia="Book Antiqua"/>
          <w:color w:val="auto"/>
        </w:rPr>
        <w:t>T</w:t>
      </w:r>
      <w:r w:rsidRPr="004A51F5">
        <w:rPr>
          <w:rFonts w:eastAsia="Book Antiqua"/>
          <w:color w:val="auto"/>
        </w:rPr>
        <w:t>he spending outlined in this measure for the purposes of this table</w:t>
      </w:r>
      <w:r>
        <w:rPr>
          <w:rFonts w:eastAsia="Book Antiqua"/>
          <w:color w:val="auto"/>
        </w:rPr>
        <w:t xml:space="preserve"> </w:t>
      </w:r>
      <w:r w:rsidRPr="004A51F5">
        <w:rPr>
          <w:rFonts w:eastAsia="Book Antiqua"/>
          <w:color w:val="auto"/>
        </w:rPr>
        <w:t>includes</w:t>
      </w:r>
      <w:r>
        <w:rPr>
          <w:rFonts w:eastAsia="Book Antiqua"/>
          <w:color w:val="auto"/>
        </w:rPr>
        <w:t xml:space="preserve"> </w:t>
      </w:r>
      <w:r>
        <w:rPr>
          <w:rFonts w:eastAsia="Book Antiqua"/>
        </w:rPr>
        <w:t>funding for the implementation of the Australia</w:t>
      </w:r>
      <w:r>
        <w:rPr>
          <w:rFonts w:eastAsia="Book Antiqua"/>
        </w:rPr>
        <w:noBreakHyphen/>
        <w:t xml:space="preserve">Singapore Green Economy Agreement. </w:t>
      </w:r>
      <w:r w:rsidRPr="00D01298">
        <w:rPr>
          <w:rFonts w:eastAsia="Book Antiqua"/>
        </w:rPr>
        <w:t xml:space="preserve">The cost of this measure is partially met from within </w:t>
      </w:r>
      <w:r>
        <w:rPr>
          <w:rFonts w:eastAsia="Book Antiqua"/>
        </w:rPr>
        <w:t xml:space="preserve">the Department of Foreign Affairs and Trade’s </w:t>
      </w:r>
      <w:r w:rsidRPr="00D01298">
        <w:rPr>
          <w:rFonts w:eastAsia="Book Antiqua"/>
        </w:rPr>
        <w:t>existing resources</w:t>
      </w:r>
      <w:r>
        <w:rPr>
          <w:rFonts w:eastAsia="Book Antiqua"/>
        </w:rPr>
        <w:t>.</w:t>
      </w:r>
    </w:p>
    <w:p w14:paraId="2C9EA27A" w14:textId="77777777" w:rsidR="00666282" w:rsidRPr="00580CC9" w:rsidRDefault="00666282">
      <w:pPr>
        <w:pStyle w:val="ChartandTableFootnoteAlpha"/>
        <w:numPr>
          <w:ilvl w:val="0"/>
          <w:numId w:val="19"/>
        </w:numPr>
        <w:rPr>
          <w:rFonts w:eastAsia="Book Antiqua"/>
        </w:rPr>
      </w:pPr>
      <w:r w:rsidRPr="00580CC9">
        <w:rPr>
          <w:rFonts w:eastAsia="Book Antiqua"/>
          <w:color w:val="auto"/>
        </w:rPr>
        <w:t xml:space="preserve">The spending outlined in this measure for the purposes of this table includes </w:t>
      </w:r>
      <w:r>
        <w:rPr>
          <w:rFonts w:eastAsia="Book Antiqua"/>
          <w:color w:val="auto"/>
        </w:rPr>
        <w:t xml:space="preserve">only funding to support entities with acting on climate change in government operations and is further to the funding provided at 2025–26 MYEFO outlined in the table above. </w:t>
      </w:r>
    </w:p>
    <w:p w14:paraId="5CCBF723" w14:textId="77777777" w:rsidR="00666282" w:rsidRDefault="00666282">
      <w:pPr>
        <w:pStyle w:val="ChartandTableFootnoteAlpha"/>
        <w:numPr>
          <w:ilvl w:val="0"/>
          <w:numId w:val="19"/>
        </w:numPr>
        <w:rPr>
          <w:rFonts w:eastAsia="Book Antiqua"/>
          <w:color w:val="auto"/>
        </w:rPr>
      </w:pPr>
      <w:r w:rsidRPr="00580CC9">
        <w:rPr>
          <w:rFonts w:eastAsia="Book Antiqua"/>
          <w:color w:val="auto"/>
        </w:rPr>
        <w:t xml:space="preserve">The spending outlined in this measure for the purposes of this table includes </w:t>
      </w:r>
      <w:r>
        <w:rPr>
          <w:rFonts w:eastAsia="Book Antiqua"/>
          <w:color w:val="auto"/>
        </w:rPr>
        <w:t xml:space="preserve">the component which includes support for climate sustainability reporting. </w:t>
      </w:r>
    </w:p>
    <w:p w14:paraId="17D4EB3C" w14:textId="77777777" w:rsidR="00666282" w:rsidRPr="00134966" w:rsidRDefault="00666282">
      <w:pPr>
        <w:pStyle w:val="TableLine"/>
        <w:rPr>
          <w:rFonts w:eastAsia="Book Antiqua"/>
        </w:rPr>
      </w:pPr>
    </w:p>
    <w:p w14:paraId="3A1D2868" w14:textId="77777777" w:rsidR="000425EF" w:rsidRPr="000425EF" w:rsidRDefault="000425EF" w:rsidP="000425EF"/>
    <w:sectPr w:rsidR="000425EF" w:rsidRPr="000425EF" w:rsidSect="00EA6BD1">
      <w:headerReference w:type="even" r:id="rId49"/>
      <w:headerReference w:type="default" r:id="rId50"/>
      <w:footerReference w:type="even" r:id="rId51"/>
      <w:footerReference w:type="default" r:id="rId52"/>
      <w:footerReference w:type="first" r:id="rId53"/>
      <w:pgSz w:w="11906" w:h="16838" w:code="9"/>
      <w:pgMar w:top="2835" w:right="2098" w:bottom="2466" w:left="2098" w:header="1814" w:footer="18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E2F41" w14:textId="77777777" w:rsidR="004D7995" w:rsidRDefault="004D7995" w:rsidP="00E40261">
      <w:pPr>
        <w:spacing w:after="0" w:line="240" w:lineRule="auto"/>
      </w:pPr>
      <w:r>
        <w:separator/>
      </w:r>
    </w:p>
  </w:endnote>
  <w:endnote w:type="continuationSeparator" w:id="0">
    <w:p w14:paraId="77212380" w14:textId="77777777" w:rsidR="004D7995" w:rsidRDefault="004D7995" w:rsidP="00E40261">
      <w:pPr>
        <w:spacing w:after="0" w:line="240" w:lineRule="auto"/>
      </w:pPr>
      <w:r>
        <w:continuationSeparator/>
      </w:r>
    </w:p>
  </w:endnote>
  <w:endnote w:type="continuationNotice" w:id="1">
    <w:p w14:paraId="5AB00EE4" w14:textId="77777777" w:rsidR="004D7995" w:rsidRDefault="004D799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wiss 721 BT">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FF589" w14:textId="13C429EB" w:rsidR="003C63BD" w:rsidRPr="00A16BD5" w:rsidRDefault="00BC5A8C" w:rsidP="00522D74">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 SUBJECT   \* MERGEFORMAT ">
      <w:r w:rsidR="00122B93">
        <w:t>Statement 3: Fiscal Strategy and Outlook</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F42D2" w14:textId="06CE472E" w:rsidR="003C63BD" w:rsidRDefault="00122B93" w:rsidP="008C1B00">
    <w:pPr>
      <w:pStyle w:val="FooterOdd"/>
    </w:pPr>
    <w:fldSimple w:instr=" SUBJECT   \* MERGEFORMAT ">
      <w:r>
        <w:t>Statement 3: Fiscal Strategy and Outlook</w:t>
      </w:r>
    </w:fldSimple>
    <w:r w:rsidR="003C63BD" w:rsidRPr="00B3705D">
      <w:t xml:space="preserve">  |  </w:t>
    </w:r>
    <w:r w:rsidR="003C63BD" w:rsidRPr="00B3705D">
      <w:rPr>
        <w:b/>
        <w:bCs/>
      </w:rPr>
      <w:t xml:space="preserve">Page </w:t>
    </w:r>
    <w:r w:rsidR="003C63BD" w:rsidRPr="00B3705D">
      <w:rPr>
        <w:b/>
        <w:bCs/>
      </w:rPr>
      <w:fldChar w:fldCharType="begin"/>
    </w:r>
    <w:r w:rsidR="003C63BD" w:rsidRPr="00B3705D">
      <w:rPr>
        <w:b/>
        <w:bCs/>
      </w:rPr>
      <w:instrText xml:space="preserve"> PAGE  \* Arabic  \* MERGEFORMAT </w:instrText>
    </w:r>
    <w:r w:rsidR="003C63BD" w:rsidRPr="00B3705D">
      <w:rPr>
        <w:b/>
        <w:bCs/>
      </w:rPr>
      <w:fldChar w:fldCharType="separate"/>
    </w:r>
    <w:r w:rsidR="003C63BD">
      <w:rPr>
        <w:b/>
        <w:bCs/>
      </w:rPr>
      <w:t>1</w:t>
    </w:r>
    <w:r w:rsidR="003C63BD" w:rsidRPr="00B3705D">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B5D3" w14:textId="7573767C" w:rsidR="003C63BD" w:rsidRDefault="00122B93" w:rsidP="00360947">
    <w:pPr>
      <w:pStyle w:val="FooterOdd"/>
    </w:pPr>
    <w:fldSimple w:instr=" SUBJECT   \* MERGEFORMAT ">
      <w:r>
        <w:t>Statement 3: Fiscal Strategy and Outlook</w:t>
      </w:r>
    </w:fldSimple>
    <w:r w:rsidR="003C63BD" w:rsidRPr="00081542">
      <w:t> | </w:t>
    </w:r>
    <w:r w:rsidR="003C63BD" w:rsidRPr="00B3705D">
      <w:rPr>
        <w:b/>
        <w:bCs/>
      </w:rPr>
      <w:t xml:space="preserve">Page </w:t>
    </w:r>
    <w:r w:rsidR="003C63BD" w:rsidRPr="00B3705D">
      <w:rPr>
        <w:b/>
        <w:bCs/>
      </w:rPr>
      <w:fldChar w:fldCharType="begin"/>
    </w:r>
    <w:r w:rsidR="003C63BD" w:rsidRPr="00B3705D">
      <w:rPr>
        <w:b/>
        <w:bCs/>
      </w:rPr>
      <w:instrText xml:space="preserve"> PAGE  \* Arabic  \* MERGEFORMAT </w:instrText>
    </w:r>
    <w:r w:rsidR="003C63BD" w:rsidRPr="00B3705D">
      <w:rPr>
        <w:b/>
        <w:bCs/>
      </w:rPr>
      <w:fldChar w:fldCharType="separate"/>
    </w:r>
    <w:r w:rsidR="003C63BD">
      <w:rPr>
        <w:b/>
        <w:bCs/>
      </w:rPr>
      <w:t>1</w:t>
    </w:r>
    <w:r w:rsidR="003C63BD" w:rsidRPr="00B3705D">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864D" w14:textId="257CEFF3" w:rsidR="00926148" w:rsidRPr="00522D74" w:rsidRDefault="00926148" w:rsidP="00522D74">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 SUBJECT   \* MERGEFORMAT ">
      <w:r w:rsidR="00122B93">
        <w:t>Statement 3: Fiscal Strategy and Outlook</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ABA3" w14:textId="430ACB96" w:rsidR="00926148" w:rsidRDefault="00122B93" w:rsidP="00360947">
    <w:pPr>
      <w:pStyle w:val="FooterOdd"/>
    </w:pPr>
    <w:fldSimple w:instr=" SUBJECT   \* MERGEFORMAT ">
      <w:r>
        <w:t>Statement 3: Fiscal Strategy and Outlook</w:t>
      </w:r>
    </w:fldSimple>
    <w:r w:rsidR="00926148" w:rsidRPr="00081542">
      <w:t> | </w:t>
    </w:r>
    <w:r w:rsidR="00926148" w:rsidRPr="00B3705D">
      <w:rPr>
        <w:b/>
        <w:bCs/>
      </w:rPr>
      <w:t xml:space="preserve">Page </w:t>
    </w:r>
    <w:r w:rsidR="00926148" w:rsidRPr="00B3705D">
      <w:rPr>
        <w:b/>
        <w:bCs/>
      </w:rPr>
      <w:fldChar w:fldCharType="begin"/>
    </w:r>
    <w:r w:rsidR="00926148" w:rsidRPr="00B3705D">
      <w:rPr>
        <w:b/>
        <w:bCs/>
      </w:rPr>
      <w:instrText xml:space="preserve"> PAGE  \* Arabic  \* MERGEFORMAT </w:instrText>
    </w:r>
    <w:r w:rsidR="00926148" w:rsidRPr="00B3705D">
      <w:rPr>
        <w:b/>
        <w:bCs/>
      </w:rPr>
      <w:fldChar w:fldCharType="separate"/>
    </w:r>
    <w:r w:rsidR="00926148">
      <w:rPr>
        <w:b/>
        <w:bCs/>
      </w:rPr>
      <w:t>1</w:t>
    </w:r>
    <w:r w:rsidR="00926148" w:rsidRPr="00B3705D">
      <w:rPr>
        <w:b/>
        <w:b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DF3DB" w14:textId="46AE0AD1" w:rsidR="00996641" w:rsidRDefault="00122B93" w:rsidP="00360947">
    <w:pPr>
      <w:pStyle w:val="FooterOdd"/>
    </w:pPr>
    <w:fldSimple w:instr=" SUBJECT   \* MERGEFORMAT ">
      <w:r>
        <w:t>Statement 3: Fiscal Strategy and Outlook</w:t>
      </w:r>
    </w:fldSimple>
    <w:r w:rsidR="00996641" w:rsidRPr="00081542">
      <w:t> | </w:t>
    </w:r>
    <w:r w:rsidR="00996641" w:rsidRPr="00B3705D">
      <w:rPr>
        <w:b/>
        <w:bCs/>
      </w:rPr>
      <w:t xml:space="preserve">Page </w:t>
    </w:r>
    <w:r w:rsidR="00996641" w:rsidRPr="00B3705D">
      <w:rPr>
        <w:b/>
        <w:bCs/>
      </w:rPr>
      <w:fldChar w:fldCharType="begin"/>
    </w:r>
    <w:r w:rsidR="00996641" w:rsidRPr="00B3705D">
      <w:rPr>
        <w:b/>
        <w:bCs/>
      </w:rPr>
      <w:instrText xml:space="preserve"> PAGE  \* Arabic  \* MERGEFORMAT </w:instrText>
    </w:r>
    <w:r w:rsidR="00996641" w:rsidRPr="00B3705D">
      <w:rPr>
        <w:b/>
        <w:bCs/>
      </w:rPr>
      <w:fldChar w:fldCharType="separate"/>
    </w:r>
    <w:r w:rsidR="00996641">
      <w:rPr>
        <w:b/>
        <w:bCs/>
      </w:rPr>
      <w:t>1</w:t>
    </w:r>
    <w:r w:rsidR="00996641" w:rsidRPr="00B3705D">
      <w:rPr>
        <w:b/>
        <w:b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F0BD7" w14:textId="4AE91B26" w:rsidR="00666282" w:rsidRPr="00522D74" w:rsidRDefault="00666282" w:rsidP="000C54AB">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SUBJECT   \* MERGEFORMAT">
      <w:r w:rsidR="00122B93">
        <w:t>Statement 3: Fiscal Strategy and Outlook</w:t>
      </w:r>
    </w:fldSimple>
    <w:r>
      <w:rPr>
        <w:noProof/>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3FD3" w14:textId="40DAF937" w:rsidR="00666282" w:rsidRDefault="00122B93" w:rsidP="009F3CAB">
    <w:pPr>
      <w:pStyle w:val="FooterOdd"/>
    </w:pPr>
    <w:fldSimple w:instr="SUBJECT   \* MERGEFORMAT">
      <w:r>
        <w:t>Statement 3: Fiscal Strategy and Outlook</w:t>
      </w:r>
    </w:fldSimple>
    <w:r w:rsidR="00666282" w:rsidRPr="00081542">
      <w:t> | </w:t>
    </w:r>
    <w:r w:rsidR="00666282" w:rsidRPr="00B3705D">
      <w:rPr>
        <w:b/>
        <w:bCs/>
      </w:rPr>
      <w:t xml:space="preserve">Page </w:t>
    </w:r>
    <w:r w:rsidR="00666282" w:rsidRPr="00B3705D">
      <w:rPr>
        <w:b/>
        <w:bCs/>
      </w:rPr>
      <w:fldChar w:fldCharType="begin"/>
    </w:r>
    <w:r w:rsidR="00666282" w:rsidRPr="00B3705D">
      <w:rPr>
        <w:b/>
        <w:bCs/>
      </w:rPr>
      <w:instrText xml:space="preserve"> PAGE  \* Arabic  \* MERGEFORMAT </w:instrText>
    </w:r>
    <w:r w:rsidR="00666282" w:rsidRPr="00B3705D">
      <w:rPr>
        <w:b/>
        <w:bCs/>
      </w:rPr>
      <w:fldChar w:fldCharType="separate"/>
    </w:r>
    <w:r w:rsidR="00666282">
      <w:rPr>
        <w:b/>
        <w:bCs/>
      </w:rPr>
      <w:t>1</w:t>
    </w:r>
    <w:r w:rsidR="00666282" w:rsidRPr="00B3705D">
      <w:rPr>
        <w:b/>
        <w:bCs/>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A1B89" w14:textId="71F08FB7" w:rsidR="00666282" w:rsidRDefault="00122B93" w:rsidP="00360947">
    <w:pPr>
      <w:pStyle w:val="FooterOdd"/>
    </w:pPr>
    <w:fldSimple w:instr="SUBJECT   \* MERGEFORMAT">
      <w:r>
        <w:t>Statement 3: Fiscal Strategy and Outlook</w:t>
      </w:r>
    </w:fldSimple>
    <w:r w:rsidR="00666282" w:rsidRPr="00081542">
      <w:t> | </w:t>
    </w:r>
    <w:r w:rsidR="00666282" w:rsidRPr="00B3705D">
      <w:rPr>
        <w:b/>
        <w:bCs/>
      </w:rPr>
      <w:t xml:space="preserve">Page </w:t>
    </w:r>
    <w:r w:rsidR="00666282" w:rsidRPr="00B3705D">
      <w:rPr>
        <w:b/>
        <w:bCs/>
      </w:rPr>
      <w:fldChar w:fldCharType="begin"/>
    </w:r>
    <w:r w:rsidR="00666282" w:rsidRPr="00B3705D">
      <w:rPr>
        <w:b/>
        <w:bCs/>
      </w:rPr>
      <w:instrText xml:space="preserve"> PAGE  \* Arabic  \* MERGEFORMAT </w:instrText>
    </w:r>
    <w:r w:rsidR="00666282" w:rsidRPr="00B3705D">
      <w:rPr>
        <w:b/>
        <w:bCs/>
      </w:rPr>
      <w:fldChar w:fldCharType="separate"/>
    </w:r>
    <w:r w:rsidR="00666282">
      <w:rPr>
        <w:b/>
        <w:bCs/>
      </w:rPr>
      <w:t>1</w:t>
    </w:r>
    <w:r w:rsidR="00666282"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C8C5D" w14:textId="77777777" w:rsidR="004D7995" w:rsidRPr="003C1CA4" w:rsidRDefault="004D7995"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77F3B044" w14:textId="77777777" w:rsidR="004D7995" w:rsidRDefault="004D7995" w:rsidP="00E40261">
      <w:pPr>
        <w:spacing w:after="0" w:line="240" w:lineRule="auto"/>
      </w:pPr>
      <w:r>
        <w:continuationSeparator/>
      </w:r>
    </w:p>
  </w:footnote>
  <w:footnote w:type="continuationNotice" w:id="1">
    <w:p w14:paraId="4985C719" w14:textId="77777777" w:rsidR="004D7995" w:rsidRDefault="004D799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7BBB0" w14:textId="77777777" w:rsidR="003C63BD" w:rsidRDefault="003C63BD" w:rsidP="008C1B00">
    <w:pPr>
      <w:pStyle w:val="GhostLine"/>
    </w:pPr>
    <w:r>
      <w:rPr>
        <w:noProof/>
      </w:rPr>
      <w:drawing>
        <wp:anchor distT="0" distB="0" distL="114300" distR="114300" simplePos="0" relativeHeight="251658244" behindDoc="1" locked="1" layoutInCell="1" allowOverlap="1" wp14:anchorId="06F80D96" wp14:editId="6ACC394D">
          <wp:simplePos x="0" y="0"/>
          <wp:positionH relativeFrom="page">
            <wp:align>center</wp:align>
          </wp:positionH>
          <wp:positionV relativeFrom="page">
            <wp:align>center</wp:align>
          </wp:positionV>
          <wp:extent cx="7556400" cy="10692000"/>
          <wp:effectExtent l="0" t="0" r="6985" b="0"/>
          <wp:wrapNone/>
          <wp:docPr id="663888261" name="Picture 6638882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88261" name="Picture 66388826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flipH="1">
                    <a:off x="0" y="0"/>
                    <a:ext cx="75564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75347" w14:textId="77777777" w:rsidR="003C63BD" w:rsidRPr="000635BE" w:rsidRDefault="003C63BD"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3C63BD" w14:paraId="162741D9" w14:textId="77777777" w:rsidTr="008C1B00">
      <w:trPr>
        <w:trHeight w:hRule="exact" w:val="340"/>
      </w:trPr>
      <w:tc>
        <w:tcPr>
          <w:tcW w:w="7797" w:type="dxa"/>
          <w:tcMar>
            <w:left w:w="108" w:type="dxa"/>
            <w:right w:w="108" w:type="dxa"/>
          </w:tcMar>
        </w:tcPr>
        <w:p w14:paraId="3A02BD5C" w14:textId="5F510AA0" w:rsidR="003C63BD" w:rsidRPr="00D13BF9" w:rsidRDefault="00122B93" w:rsidP="00D13BF9">
          <w:pPr>
            <w:pStyle w:val="HeaderOdd"/>
          </w:pPr>
          <w:fldSimple w:instr="TITLE   \* MERGEFORMAT">
            <w:r>
              <w:t>Budget Paper No. 1</w:t>
            </w:r>
          </w:fldSimple>
          <w:r w:rsidR="003C63BD" w:rsidRPr="00D13BF9">
            <w:t xml:space="preserve">  |  </w:t>
          </w:r>
          <w:r w:rsidR="003C63BD" w:rsidRPr="00C9389A">
            <w:rPr>
              <w:noProof/>
              <w:position w:val="-8"/>
            </w:rPr>
            <w:drawing>
              <wp:inline distT="0" distB="0" distL="0" distR="0" wp14:anchorId="7EABF69F" wp14:editId="26213590">
                <wp:extent cx="878400" cy="198000"/>
                <wp:effectExtent l="0" t="0" r="0" b="0"/>
                <wp:docPr id="15"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78400" cy="198000"/>
                        </a:xfrm>
                        <a:prstGeom prst="rect">
                          <a:avLst/>
                        </a:prstGeom>
                      </pic:spPr>
                    </pic:pic>
                  </a:graphicData>
                </a:graphic>
              </wp:inline>
            </w:drawing>
          </w:r>
        </w:p>
      </w:tc>
    </w:tr>
  </w:tbl>
  <w:p w14:paraId="7B15E9FC" w14:textId="77777777" w:rsidR="003C63BD" w:rsidRDefault="003C63BD">
    <w:pPr>
      <w:pStyle w:val="Header"/>
    </w:pPr>
    <w:r>
      <w:rPr>
        <w:noProof/>
      </w:rPr>
      <w:drawing>
        <wp:anchor distT="0" distB="0" distL="114300" distR="114300" simplePos="0" relativeHeight="251658241" behindDoc="1" locked="1" layoutInCell="1" allowOverlap="1" wp14:anchorId="63109C45" wp14:editId="0F47DD6F">
          <wp:simplePos x="0" y="0"/>
          <wp:positionH relativeFrom="page">
            <wp:align>center</wp:align>
          </wp:positionH>
          <wp:positionV relativeFrom="page">
            <wp:align>center</wp:align>
          </wp:positionV>
          <wp:extent cx="7560000" cy="10692000"/>
          <wp:effectExtent l="0" t="0" r="3175" b="0"/>
          <wp:wrapNone/>
          <wp:docPr id="107874268" name="Picture 1078742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0E653" w14:textId="69F50CD7" w:rsidR="003C63BD" w:rsidRPr="003A2B54" w:rsidRDefault="003C63BD" w:rsidP="008C1B00">
    <w:pPr>
      <w:pStyle w:val="Header"/>
    </w:pPr>
    <w:r>
      <w:rPr>
        <w:noProof/>
      </w:rPr>
      <w:drawing>
        <wp:anchor distT="0" distB="0" distL="114300" distR="114300" simplePos="0" relativeHeight="251658245" behindDoc="1" locked="1" layoutInCell="1" allowOverlap="1" wp14:anchorId="5177FD8D" wp14:editId="25E93DB1">
          <wp:simplePos x="0" y="0"/>
          <wp:positionH relativeFrom="page">
            <wp:align>center</wp:align>
          </wp:positionH>
          <wp:positionV relativeFrom="page">
            <wp:align>center</wp:align>
          </wp:positionV>
          <wp:extent cx="7560000" cy="10692000"/>
          <wp:effectExtent l="0" t="0" r="3175" b="0"/>
          <wp:wrapNone/>
          <wp:docPr id="611946299" name="Picture 6119462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46299" name="Picture 611946299">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199AC21" wp14:editId="0F6D5BFD">
          <wp:simplePos x="0" y="0"/>
          <wp:positionH relativeFrom="page">
            <wp:posOffset>-1270</wp:posOffset>
          </wp:positionH>
          <wp:positionV relativeFrom="page">
            <wp:align>bottom</wp:align>
          </wp:positionV>
          <wp:extent cx="7559999" cy="10691902"/>
          <wp:effectExtent l="0" t="0" r="3175" b="0"/>
          <wp:wrapNone/>
          <wp:docPr id="1692353307" name="Picture 16923533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59999" cy="10691902"/>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926148" w14:paraId="0675EFA4" w14:textId="77777777">
      <w:trPr>
        <w:trHeight w:hRule="exact" w:val="340"/>
      </w:trPr>
      <w:tc>
        <w:tcPr>
          <w:tcW w:w="7797" w:type="dxa"/>
        </w:tcPr>
        <w:p w14:paraId="080016C3" w14:textId="2556714B" w:rsidR="00926148" w:rsidRPr="008C56E1" w:rsidRDefault="00926148" w:rsidP="00F60EA1">
          <w:pPr>
            <w:pStyle w:val="HeaderEven"/>
          </w:pPr>
          <w:r w:rsidRPr="008C56E1">
            <w:rPr>
              <w:noProof/>
              <w:position w:val="-8"/>
            </w:rPr>
            <w:drawing>
              <wp:inline distT="0" distB="0" distL="0" distR="0" wp14:anchorId="75770DEA" wp14:editId="735DB1B5">
                <wp:extent cx="859038" cy="198000"/>
                <wp:effectExtent l="0" t="0" r="0" b="0"/>
                <wp:docPr id="169311190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901"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r w:rsidRPr="00A607E3">
            <w:t> | </w:t>
          </w:r>
          <w:fldSimple w:instr=" TITLE   \* MERGEFORMAT ">
            <w:r w:rsidR="00122B93">
              <w:t>Budget Paper No. 1</w:t>
            </w:r>
          </w:fldSimple>
        </w:p>
      </w:tc>
    </w:tr>
  </w:tbl>
  <w:p w14:paraId="3E8D1F99" w14:textId="5A9FE5DE" w:rsidR="00996641" w:rsidRPr="00973A95" w:rsidRDefault="00E13828" w:rsidP="00AA2450">
    <w:pPr>
      <w:pStyle w:val="GhostLine"/>
    </w:pPr>
    <w:r>
      <w:rPr>
        <w:noProof/>
      </w:rPr>
      <w:drawing>
        <wp:anchor distT="0" distB="0" distL="114300" distR="114300" simplePos="0" relativeHeight="251658243" behindDoc="1" locked="1" layoutInCell="1" allowOverlap="1" wp14:anchorId="64ADCB86" wp14:editId="319F491E">
          <wp:simplePos x="0" y="0"/>
          <wp:positionH relativeFrom="page">
            <wp:posOffset>0</wp:posOffset>
          </wp:positionH>
          <wp:positionV relativeFrom="page">
            <wp:posOffset>0</wp:posOffset>
          </wp:positionV>
          <wp:extent cx="7557770" cy="10690860"/>
          <wp:effectExtent l="0" t="0" r="5080" b="0"/>
          <wp:wrapNone/>
          <wp:docPr id="903042100" name="Picture 903042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07260" name="Picture 1259107260">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flipH="1">
                    <a:off x="0" y="0"/>
                    <a:ext cx="7557770" cy="10690860"/>
                  </a:xfrm>
                  <a:prstGeom prst="rect">
                    <a:avLst/>
                  </a:prstGeom>
                </pic:spPr>
              </pic:pic>
            </a:graphicData>
          </a:graphic>
          <wp14:sizeRelH relativeFrom="margin">
            <wp14:pctWidth>0</wp14:pctWidth>
          </wp14:sizeRelH>
          <wp14:sizeRelV relativeFrom="margin">
            <wp14:pctHeight>0</wp14:pctHeight>
          </wp14:sizeRelV>
        </wp:anchor>
      </w:drawing>
    </w:r>
  </w:p>
  <w:p w14:paraId="470211B0" w14:textId="77777777" w:rsidR="00996641" w:rsidRPr="00AA2450" w:rsidRDefault="00996641" w:rsidP="00AA2450">
    <w:pPr>
      <w:pStyle w:val="GhostLine"/>
    </w:pPr>
  </w:p>
  <w:p w14:paraId="02F1E4F0" w14:textId="77777777" w:rsidR="00996641" w:rsidRPr="00AA2450" w:rsidRDefault="00996641" w:rsidP="00AA2450">
    <w:pPr>
      <w:pStyle w:val="GhostLi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926148" w14:paraId="6C25D026" w14:textId="77777777" w:rsidTr="001051B9">
      <w:trPr>
        <w:trHeight w:hRule="exact" w:val="340"/>
      </w:trPr>
      <w:tc>
        <w:tcPr>
          <w:tcW w:w="7797" w:type="dxa"/>
          <w:tcMar>
            <w:left w:w="108" w:type="dxa"/>
            <w:right w:w="108" w:type="dxa"/>
          </w:tcMar>
        </w:tcPr>
        <w:p w14:paraId="1A167F7E" w14:textId="732DC3B6" w:rsidR="00926148" w:rsidRPr="00D13BF9" w:rsidRDefault="00122B93" w:rsidP="00D13BF9">
          <w:pPr>
            <w:pStyle w:val="HeaderOdd"/>
          </w:pPr>
          <w:fldSimple w:instr=" TITLE   \* MERGEFORMAT ">
            <w:r>
              <w:t>Budget Paper No. 1</w:t>
            </w:r>
          </w:fldSimple>
          <w:r w:rsidR="00926148" w:rsidRPr="00081542">
            <w:t> | </w:t>
          </w:r>
          <w:r w:rsidR="00926148" w:rsidRPr="009F0B52">
            <w:rPr>
              <w:noProof/>
              <w:position w:val="-8"/>
              <w:vertAlign w:val="subscript"/>
            </w:rPr>
            <w:drawing>
              <wp:inline distT="0" distB="0" distL="0" distR="0" wp14:anchorId="01AF37AC" wp14:editId="3C4F5BF6">
                <wp:extent cx="859038" cy="198000"/>
                <wp:effectExtent l="0" t="0" r="0" b="0"/>
                <wp:docPr id="6721324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3247"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43629711" w14:textId="1EB9D7FE" w:rsidR="00996641" w:rsidRPr="00AA2450" w:rsidRDefault="005333EB" w:rsidP="00AA2450">
    <w:pPr>
      <w:pStyle w:val="GhostLine"/>
    </w:pPr>
    <w:r>
      <w:rPr>
        <w:noProof/>
      </w:rPr>
      <w:drawing>
        <wp:anchor distT="0" distB="0" distL="114300" distR="114300" simplePos="0" relativeHeight="251658242" behindDoc="1" locked="0" layoutInCell="1" allowOverlap="1" wp14:anchorId="2AC32C68" wp14:editId="4F312043">
          <wp:simplePos x="0" y="0"/>
          <wp:positionH relativeFrom="page">
            <wp:align>center</wp:align>
          </wp:positionH>
          <wp:positionV relativeFrom="page">
            <wp:align>center</wp:align>
          </wp:positionV>
          <wp:extent cx="7553677" cy="10684800"/>
          <wp:effectExtent l="0" t="0" r="9525" b="2540"/>
          <wp:wrapNone/>
          <wp:docPr id="644099249" name="Picture 644099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869" name="Picture 10477869">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53677" cy="10684800"/>
                  </a:xfrm>
                  <a:prstGeom prst="rect">
                    <a:avLst/>
                  </a:prstGeom>
                </pic:spPr>
              </pic:pic>
            </a:graphicData>
          </a:graphic>
          <wp14:sizeRelH relativeFrom="margin">
            <wp14:pctWidth>0</wp14:pctWidth>
          </wp14:sizeRelH>
          <wp14:sizeRelV relativeFrom="margin">
            <wp14:pctHeight>0</wp14:pctHeight>
          </wp14:sizeRelV>
        </wp:anchor>
      </w:drawing>
    </w:r>
  </w:p>
  <w:p w14:paraId="14E88B8E" w14:textId="77777777" w:rsidR="00996641" w:rsidRPr="00AA2450" w:rsidRDefault="00996641" w:rsidP="00AA2450">
    <w:pPr>
      <w:pStyle w:val="GhostLi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3E63B" w14:textId="08EC9771" w:rsidR="00996641" w:rsidRPr="008066AF" w:rsidRDefault="00451D72" w:rsidP="00BF3A1E">
    <w:pPr>
      <w:pStyle w:val="GhostLine"/>
    </w:pPr>
    <w:r>
      <w:rPr>
        <w:noProof/>
      </w:rPr>
      <w:drawing>
        <wp:anchor distT="0" distB="0" distL="114300" distR="114300" simplePos="0" relativeHeight="251658250" behindDoc="1" locked="0" layoutInCell="1" allowOverlap="1" wp14:anchorId="777A7BF3" wp14:editId="648F1555">
          <wp:simplePos x="0" y="0"/>
          <wp:positionH relativeFrom="page">
            <wp:align>center</wp:align>
          </wp:positionH>
          <wp:positionV relativeFrom="page">
            <wp:align>center</wp:align>
          </wp:positionV>
          <wp:extent cx="7560000" cy="10692000"/>
          <wp:effectExtent l="0" t="0" r="3175" b="0"/>
          <wp:wrapNone/>
          <wp:docPr id="1199820966" name="Picture 11998209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20966" name="Picture 119982096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996641" w14:paraId="28325127" w14:textId="77777777" w:rsidTr="008C1B00">
      <w:trPr>
        <w:trHeight w:hRule="exact" w:val="340"/>
      </w:trPr>
      <w:tc>
        <w:tcPr>
          <w:tcW w:w="7797" w:type="dxa"/>
        </w:tcPr>
        <w:p w14:paraId="11669A18" w14:textId="7B0A0516" w:rsidR="00996641" w:rsidRPr="008C56E1" w:rsidRDefault="00996641" w:rsidP="00AA2450">
          <w:pPr>
            <w:pStyle w:val="HeaderEven"/>
          </w:pPr>
          <w:r w:rsidRPr="008C56E1">
            <w:rPr>
              <w:noProof/>
              <w:position w:val="-8"/>
            </w:rPr>
            <w:drawing>
              <wp:inline distT="0" distB="0" distL="0" distR="0" wp14:anchorId="6F7404F3" wp14:editId="50EEDC75">
                <wp:extent cx="859038" cy="198000"/>
                <wp:effectExtent l="0" t="0" r="0" b="0"/>
                <wp:docPr id="912420049"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901"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r w:rsidRPr="00A607E3">
            <w:t> | </w:t>
          </w:r>
          <w:fldSimple w:instr=" TITLE   \* MERGEFORMAT ">
            <w:r w:rsidR="00122B93">
              <w:t>Budget Paper No. 1</w:t>
            </w:r>
          </w:fldSimple>
        </w:p>
      </w:tc>
    </w:tr>
  </w:tbl>
  <w:p w14:paraId="2D60151E" w14:textId="52C9622C" w:rsidR="00996641" w:rsidRPr="00973A95" w:rsidRDefault="00FD645F" w:rsidP="00AA2450">
    <w:pPr>
      <w:pStyle w:val="GhostLine"/>
    </w:pPr>
    <w:r>
      <w:rPr>
        <w:noProof/>
        <w:szCs w:val="2"/>
      </w:rPr>
      <w:drawing>
        <wp:anchor distT="0" distB="0" distL="114300" distR="114300" simplePos="0" relativeHeight="251658246" behindDoc="1" locked="0" layoutInCell="1" allowOverlap="1" wp14:anchorId="536E0029" wp14:editId="45BB6D88">
          <wp:simplePos x="0" y="0"/>
          <wp:positionH relativeFrom="page">
            <wp:align>center</wp:align>
          </wp:positionH>
          <wp:positionV relativeFrom="page">
            <wp:align>center</wp:align>
          </wp:positionV>
          <wp:extent cx="7560000" cy="10692000"/>
          <wp:effectExtent l="0" t="0" r="3175" b="0"/>
          <wp:wrapNone/>
          <wp:docPr id="350660888" name="Picture 3506608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60888" name="Picture 350660888">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p w14:paraId="5A16F278" w14:textId="77777777" w:rsidR="00996641" w:rsidRPr="00AA2450" w:rsidRDefault="00996641" w:rsidP="00AA2450">
    <w:pPr>
      <w:pStyle w:val="GhostLine"/>
    </w:pPr>
  </w:p>
  <w:p w14:paraId="7AFB7BA0" w14:textId="77777777" w:rsidR="00996641" w:rsidRPr="00AA2450" w:rsidRDefault="00996641" w:rsidP="00AA2450">
    <w:pPr>
      <w:pStyle w:val="GhostLin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996641" w14:paraId="36BFA235" w14:textId="77777777" w:rsidTr="008C1B00">
      <w:trPr>
        <w:trHeight w:hRule="exact" w:val="340"/>
      </w:trPr>
      <w:tc>
        <w:tcPr>
          <w:tcW w:w="7797" w:type="dxa"/>
          <w:tcMar>
            <w:left w:w="108" w:type="dxa"/>
            <w:right w:w="108" w:type="dxa"/>
          </w:tcMar>
        </w:tcPr>
        <w:p w14:paraId="7E98609F" w14:textId="16EAF815" w:rsidR="00996641" w:rsidRPr="00D13BF9" w:rsidRDefault="00122B93" w:rsidP="00AA2450">
          <w:pPr>
            <w:pStyle w:val="HeaderOdd"/>
          </w:pPr>
          <w:fldSimple w:instr=" TITLE   \* MERGEFORMAT ">
            <w:r>
              <w:t>Budget Paper No. 1</w:t>
            </w:r>
          </w:fldSimple>
          <w:r w:rsidR="00996641" w:rsidRPr="00081542">
            <w:t> | </w:t>
          </w:r>
          <w:r w:rsidR="00996641" w:rsidRPr="009F0B52">
            <w:rPr>
              <w:noProof/>
              <w:position w:val="-8"/>
              <w:vertAlign w:val="subscript"/>
            </w:rPr>
            <w:drawing>
              <wp:inline distT="0" distB="0" distL="0" distR="0" wp14:anchorId="52FC36AD" wp14:editId="5BB1D2CF">
                <wp:extent cx="859038" cy="198000"/>
                <wp:effectExtent l="0" t="0" r="0" b="0"/>
                <wp:docPr id="167559497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7614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70BE9B33" w14:textId="514B5A05" w:rsidR="00996641" w:rsidRPr="00AA2450" w:rsidRDefault="005333EB" w:rsidP="00AA2450">
    <w:pPr>
      <w:pStyle w:val="GhostLine"/>
    </w:pPr>
    <w:r>
      <w:rPr>
        <w:noProof/>
      </w:rPr>
      <w:drawing>
        <wp:anchor distT="0" distB="0" distL="114300" distR="114300" simplePos="0" relativeHeight="251658247" behindDoc="1" locked="0" layoutInCell="1" allowOverlap="1" wp14:anchorId="2AC32C68" wp14:editId="38380FB4">
          <wp:simplePos x="0" y="0"/>
          <wp:positionH relativeFrom="page">
            <wp:align>center</wp:align>
          </wp:positionH>
          <wp:positionV relativeFrom="page">
            <wp:align>center</wp:align>
          </wp:positionV>
          <wp:extent cx="7553677" cy="10684800"/>
          <wp:effectExtent l="0" t="0" r="9525" b="2540"/>
          <wp:wrapNone/>
          <wp:docPr id="915640344" name="Picture 9156403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64254" name="Picture 1722364254">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53677" cy="10684800"/>
                  </a:xfrm>
                  <a:prstGeom prst="rect">
                    <a:avLst/>
                  </a:prstGeom>
                </pic:spPr>
              </pic:pic>
            </a:graphicData>
          </a:graphic>
          <wp14:sizeRelH relativeFrom="margin">
            <wp14:pctWidth>0</wp14:pctWidth>
          </wp14:sizeRelH>
          <wp14:sizeRelV relativeFrom="margin">
            <wp14:pctHeight>0</wp14:pctHeight>
          </wp14:sizeRelV>
        </wp:anchor>
      </w:drawing>
    </w:r>
  </w:p>
  <w:p w14:paraId="742B9E92" w14:textId="77777777" w:rsidR="00996641" w:rsidRPr="00AA2450" w:rsidRDefault="00996641" w:rsidP="00AA2450">
    <w:pPr>
      <w:pStyle w:val="GhostLin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666282" w14:paraId="67FB32D0" w14:textId="77777777">
      <w:trPr>
        <w:trHeight w:hRule="exact" w:val="340"/>
      </w:trPr>
      <w:tc>
        <w:tcPr>
          <w:tcW w:w="7797" w:type="dxa"/>
        </w:tcPr>
        <w:p w14:paraId="5E511764" w14:textId="4D0FE2C7" w:rsidR="00666282" w:rsidRPr="008C56E1" w:rsidRDefault="00666282" w:rsidP="00F60EA1">
          <w:pPr>
            <w:pStyle w:val="HeaderEven"/>
          </w:pPr>
          <w:r w:rsidRPr="008C56E1">
            <w:rPr>
              <w:noProof/>
              <w:position w:val="-8"/>
            </w:rPr>
            <w:drawing>
              <wp:inline distT="0" distB="0" distL="0" distR="0" wp14:anchorId="280D8D93" wp14:editId="2AFCFC7F">
                <wp:extent cx="859038" cy="198000"/>
                <wp:effectExtent l="0" t="0" r="0" b="0"/>
                <wp:docPr id="65660899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901"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r w:rsidRPr="00A607E3">
            <w:t> | </w:t>
          </w:r>
          <w:fldSimple w:instr=" TITLE   \* MERGEFORMAT ">
            <w:r w:rsidR="00122B93">
              <w:t>Budget Paper No. 1</w:t>
            </w:r>
          </w:fldSimple>
        </w:p>
      </w:tc>
    </w:tr>
  </w:tbl>
  <w:p w14:paraId="2AD94D73" w14:textId="77777777" w:rsidR="00666282" w:rsidRPr="00973A95" w:rsidRDefault="00666282" w:rsidP="00AA2450">
    <w:pPr>
      <w:pStyle w:val="GhostLine"/>
    </w:pPr>
    <w:r>
      <w:rPr>
        <w:noProof/>
      </w:rPr>
      <w:drawing>
        <wp:anchor distT="0" distB="0" distL="114300" distR="114300" simplePos="0" relativeHeight="251658248" behindDoc="1" locked="0" layoutInCell="1" allowOverlap="1" wp14:anchorId="466F618A" wp14:editId="1DDBF81B">
          <wp:simplePos x="0" y="0"/>
          <wp:positionH relativeFrom="page">
            <wp:align>center</wp:align>
          </wp:positionH>
          <wp:positionV relativeFrom="page">
            <wp:align>center</wp:align>
          </wp:positionV>
          <wp:extent cx="7560000" cy="10692000"/>
          <wp:effectExtent l="0" t="0" r="3175" b="0"/>
          <wp:wrapNone/>
          <wp:docPr id="1076952553"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52553" name="Picture 6">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flipH="1">
                    <a:off x="0" y="0"/>
                    <a:ext cx="7560000" cy="1069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7D003A" w14:textId="77777777" w:rsidR="00666282" w:rsidRPr="00AA2450" w:rsidRDefault="00666282" w:rsidP="00AA2450">
    <w:pPr>
      <w:pStyle w:val="GhostLine"/>
    </w:pPr>
  </w:p>
  <w:p w14:paraId="6F7EADE6" w14:textId="77777777" w:rsidR="00666282" w:rsidRPr="00AA2450" w:rsidRDefault="00666282" w:rsidP="00AA2450">
    <w:pPr>
      <w:pStyle w:val="GhostLin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666282" w:rsidRPr="008140EF" w14:paraId="7DD7AFD2" w14:textId="77777777">
      <w:trPr>
        <w:trHeight w:hRule="exact" w:val="340"/>
      </w:trPr>
      <w:tc>
        <w:tcPr>
          <w:tcW w:w="7797" w:type="dxa"/>
          <w:tcMar>
            <w:left w:w="108" w:type="dxa"/>
            <w:right w:w="108" w:type="dxa"/>
          </w:tcMar>
        </w:tcPr>
        <w:p w14:paraId="5560CE50" w14:textId="287B3761" w:rsidR="00666282" w:rsidRPr="008140EF" w:rsidRDefault="00122B93" w:rsidP="00AA2450">
          <w:pPr>
            <w:pStyle w:val="HeaderOdd"/>
          </w:pPr>
          <w:fldSimple w:instr="TITLE   \* MERGEFORMAT">
            <w:r>
              <w:t>Budget Paper No. 1</w:t>
            </w:r>
          </w:fldSimple>
          <w:r w:rsidR="00666282" w:rsidRPr="008140EF">
            <w:t> | </w:t>
          </w:r>
          <w:r w:rsidR="00666282" w:rsidRPr="008140EF">
            <w:rPr>
              <w:noProof/>
              <w:position w:val="-8"/>
              <w:vertAlign w:val="subscript"/>
            </w:rPr>
            <w:drawing>
              <wp:inline distT="0" distB="0" distL="0" distR="0" wp14:anchorId="4D20A192" wp14:editId="77E32C69">
                <wp:extent cx="859038" cy="198000"/>
                <wp:effectExtent l="0" t="0" r="0" b="0"/>
                <wp:docPr id="193340197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5308"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5681068C" w14:textId="77777777" w:rsidR="00666282" w:rsidRPr="00AA2450" w:rsidRDefault="00666282" w:rsidP="00AA2450">
    <w:pPr>
      <w:pStyle w:val="GhostLine"/>
    </w:pPr>
    <w:r>
      <w:rPr>
        <w:noProof/>
      </w:rPr>
      <w:drawing>
        <wp:anchor distT="0" distB="0" distL="114300" distR="114300" simplePos="0" relativeHeight="251658249" behindDoc="1" locked="0" layoutInCell="1" allowOverlap="1" wp14:anchorId="612BB832" wp14:editId="7C322F80">
          <wp:simplePos x="0" y="0"/>
          <wp:positionH relativeFrom="page">
            <wp:align>center</wp:align>
          </wp:positionH>
          <wp:positionV relativeFrom="page">
            <wp:align>center</wp:align>
          </wp:positionV>
          <wp:extent cx="7560000" cy="10692000"/>
          <wp:effectExtent l="0" t="0" r="3175" b="0"/>
          <wp:wrapNone/>
          <wp:docPr id="1105883167"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83167" name="Picture 6">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560000" cy="1069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E4FB0F" w14:textId="77777777" w:rsidR="00666282" w:rsidRPr="00AA2450" w:rsidRDefault="00666282" w:rsidP="00AA2450">
    <w:pPr>
      <w:pStyle w:val="GhostLi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A4A8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E4E7D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6BC0E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074B4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F821A4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860DD3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4F2C7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F4A2E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16B0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7C752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3A7C7F"/>
    <w:multiLevelType w:val="hybridMultilevel"/>
    <w:tmpl w:val="BC94EF0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2"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13" w15:restartNumberingAfterBreak="0">
    <w:nsid w:val="1647577F"/>
    <w:multiLevelType w:val="multilevel"/>
    <w:tmpl w:val="794240C4"/>
    <w:lvl w:ilvl="0">
      <w:start w:val="1"/>
      <w:numFmt w:val="lowerLetter"/>
      <w:pStyle w:val="ChartandTableFootnoteAlpha"/>
      <w:lvlText w:val="%1)"/>
      <w:lvlJc w:val="left"/>
      <w:pPr>
        <w:ind w:left="284" w:hanging="284"/>
      </w:pPr>
      <w:rPr>
        <w:rFonts w:hint="default"/>
        <w:b w:val="0"/>
        <w:i w:val="0"/>
        <w:color w:val="000000"/>
        <w:sz w:val="16"/>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4"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15" w15:restartNumberingAfterBreak="0">
    <w:nsid w:val="5FAA4416"/>
    <w:multiLevelType w:val="multilevel"/>
    <w:tmpl w:val="D2300CFC"/>
    <w:lvl w:ilvl="0">
      <w:start w:val="1"/>
      <w:numFmt w:val="decimal"/>
      <w:pStyle w:val="OutlineNumbered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17" w15:restartNumberingAfterBreak="0">
    <w:nsid w:val="74553C6C"/>
    <w:multiLevelType w:val="multilevel"/>
    <w:tmpl w:val="EF5ADE80"/>
    <w:name w:val="StandardNumberedList"/>
    <w:lvl w:ilvl="0">
      <w:start w:val="1"/>
      <w:numFmt w:val="decimal"/>
      <w:lvlText w:val="%1."/>
      <w:lvlJc w:val="left"/>
      <w:pPr>
        <w:tabs>
          <w:tab w:val="num" w:pos="449"/>
        </w:tabs>
        <w:ind w:left="449" w:hanging="449"/>
      </w:pPr>
    </w:lvl>
    <w:lvl w:ilvl="1">
      <w:start w:val="1"/>
      <w:numFmt w:val="decimal"/>
      <w:pStyle w:val="OutlineNumbered2"/>
      <w:lvlText w:val="%1.%2."/>
      <w:lvlJc w:val="left"/>
      <w:pPr>
        <w:tabs>
          <w:tab w:val="num" w:pos="898"/>
        </w:tabs>
        <w:ind w:left="898" w:hanging="449"/>
      </w:pPr>
    </w:lvl>
    <w:lvl w:ilvl="2">
      <w:start w:val="1"/>
      <w:numFmt w:val="decimal"/>
      <w:pStyle w:val="OutlineNumbered3"/>
      <w:lvlText w:val="%1.%2.%3."/>
      <w:lvlJc w:val="left"/>
      <w:pPr>
        <w:tabs>
          <w:tab w:val="num" w:pos="1347"/>
        </w:tabs>
        <w:ind w:left="1347" w:hanging="449"/>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03410866">
    <w:abstractNumId w:val="14"/>
  </w:num>
  <w:num w:numId="2" w16cid:durableId="70975900">
    <w:abstractNumId w:val="12"/>
  </w:num>
  <w:num w:numId="3" w16cid:durableId="1903564601">
    <w:abstractNumId w:val="11"/>
  </w:num>
  <w:num w:numId="4" w16cid:durableId="778522229">
    <w:abstractNumId w:val="13"/>
  </w:num>
  <w:num w:numId="5" w16cid:durableId="308556280">
    <w:abstractNumId w:val="16"/>
  </w:num>
  <w:num w:numId="6" w16cid:durableId="772752326">
    <w:abstractNumId w:val="11"/>
  </w:num>
  <w:num w:numId="7" w16cid:durableId="541596858">
    <w:abstractNumId w:val="11"/>
  </w:num>
  <w:num w:numId="8" w16cid:durableId="322590933">
    <w:abstractNumId w:val="9"/>
  </w:num>
  <w:num w:numId="9" w16cid:durableId="1723669811">
    <w:abstractNumId w:val="7"/>
  </w:num>
  <w:num w:numId="10" w16cid:durableId="235865475">
    <w:abstractNumId w:val="6"/>
  </w:num>
  <w:num w:numId="11" w16cid:durableId="1066297075">
    <w:abstractNumId w:val="5"/>
  </w:num>
  <w:num w:numId="12" w16cid:durableId="10422456">
    <w:abstractNumId w:val="4"/>
  </w:num>
  <w:num w:numId="13" w16cid:durableId="4594083">
    <w:abstractNumId w:val="8"/>
  </w:num>
  <w:num w:numId="14" w16cid:durableId="961616114">
    <w:abstractNumId w:val="3"/>
  </w:num>
  <w:num w:numId="15" w16cid:durableId="760225057">
    <w:abstractNumId w:val="2"/>
  </w:num>
  <w:num w:numId="16" w16cid:durableId="1531915683">
    <w:abstractNumId w:val="1"/>
  </w:num>
  <w:num w:numId="17" w16cid:durableId="288900107">
    <w:abstractNumId w:val="0"/>
  </w:num>
  <w:num w:numId="18" w16cid:durableId="131681990">
    <w:abstractNumId w:val="13"/>
  </w:num>
  <w:num w:numId="19" w16cid:durableId="5211629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844135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57239319">
    <w:abstractNumId w:val="17"/>
  </w:num>
  <w:num w:numId="22" w16cid:durableId="1518692781">
    <w:abstractNumId w:val="15"/>
  </w:num>
  <w:num w:numId="23" w16cid:durableId="1289164570">
    <w:abstractNumId w:val="1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555086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995810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140075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067296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292874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945477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912325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18206261">
    <w:abstractNumId w:val="10"/>
  </w:num>
  <w:num w:numId="32" w16cid:durableId="21020952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758411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5333EB"/>
    <w:rsid w:val="0000005F"/>
    <w:rsid w:val="00000195"/>
    <w:rsid w:val="00000220"/>
    <w:rsid w:val="0000030A"/>
    <w:rsid w:val="000003A3"/>
    <w:rsid w:val="0000047D"/>
    <w:rsid w:val="0000048E"/>
    <w:rsid w:val="000004EA"/>
    <w:rsid w:val="0000052E"/>
    <w:rsid w:val="00000760"/>
    <w:rsid w:val="000008D3"/>
    <w:rsid w:val="00000BB7"/>
    <w:rsid w:val="00000D69"/>
    <w:rsid w:val="00000E40"/>
    <w:rsid w:val="0000103A"/>
    <w:rsid w:val="000010A4"/>
    <w:rsid w:val="000010CB"/>
    <w:rsid w:val="00001354"/>
    <w:rsid w:val="000014AF"/>
    <w:rsid w:val="0000158A"/>
    <w:rsid w:val="000015C8"/>
    <w:rsid w:val="00001708"/>
    <w:rsid w:val="000017CF"/>
    <w:rsid w:val="0000191D"/>
    <w:rsid w:val="00001953"/>
    <w:rsid w:val="00001A17"/>
    <w:rsid w:val="00001B42"/>
    <w:rsid w:val="00001B96"/>
    <w:rsid w:val="00001C3D"/>
    <w:rsid w:val="00001E41"/>
    <w:rsid w:val="0000222A"/>
    <w:rsid w:val="000022FA"/>
    <w:rsid w:val="000023C5"/>
    <w:rsid w:val="00002465"/>
    <w:rsid w:val="000024BC"/>
    <w:rsid w:val="000024E9"/>
    <w:rsid w:val="000024EA"/>
    <w:rsid w:val="00002579"/>
    <w:rsid w:val="000025BE"/>
    <w:rsid w:val="000025F9"/>
    <w:rsid w:val="00002616"/>
    <w:rsid w:val="0000266F"/>
    <w:rsid w:val="000026B5"/>
    <w:rsid w:val="00002945"/>
    <w:rsid w:val="000029F5"/>
    <w:rsid w:val="00002ABA"/>
    <w:rsid w:val="00002B05"/>
    <w:rsid w:val="00002C05"/>
    <w:rsid w:val="00002C6E"/>
    <w:rsid w:val="00002DB1"/>
    <w:rsid w:val="00002E7C"/>
    <w:rsid w:val="00002EA8"/>
    <w:rsid w:val="00002F0E"/>
    <w:rsid w:val="00003053"/>
    <w:rsid w:val="000030FD"/>
    <w:rsid w:val="0000311D"/>
    <w:rsid w:val="00003152"/>
    <w:rsid w:val="0000316C"/>
    <w:rsid w:val="00003196"/>
    <w:rsid w:val="000031A0"/>
    <w:rsid w:val="000032E1"/>
    <w:rsid w:val="00003429"/>
    <w:rsid w:val="00003448"/>
    <w:rsid w:val="0000346D"/>
    <w:rsid w:val="000034E6"/>
    <w:rsid w:val="0000361D"/>
    <w:rsid w:val="000036FA"/>
    <w:rsid w:val="00003712"/>
    <w:rsid w:val="00003724"/>
    <w:rsid w:val="000037FD"/>
    <w:rsid w:val="00003838"/>
    <w:rsid w:val="00003B66"/>
    <w:rsid w:val="00003B78"/>
    <w:rsid w:val="00003C74"/>
    <w:rsid w:val="00003C7F"/>
    <w:rsid w:val="00003CFE"/>
    <w:rsid w:val="00003D3D"/>
    <w:rsid w:val="00003D88"/>
    <w:rsid w:val="00003E5B"/>
    <w:rsid w:val="00003FE4"/>
    <w:rsid w:val="00004051"/>
    <w:rsid w:val="00004077"/>
    <w:rsid w:val="00004350"/>
    <w:rsid w:val="00004391"/>
    <w:rsid w:val="000045A1"/>
    <w:rsid w:val="00004632"/>
    <w:rsid w:val="00004723"/>
    <w:rsid w:val="0000484D"/>
    <w:rsid w:val="00004929"/>
    <w:rsid w:val="00004949"/>
    <w:rsid w:val="00004AAD"/>
    <w:rsid w:val="00004B3F"/>
    <w:rsid w:val="00004BD1"/>
    <w:rsid w:val="00004CFE"/>
    <w:rsid w:val="00004FE2"/>
    <w:rsid w:val="00005067"/>
    <w:rsid w:val="0000516D"/>
    <w:rsid w:val="0000522C"/>
    <w:rsid w:val="000053F5"/>
    <w:rsid w:val="000053F6"/>
    <w:rsid w:val="00005428"/>
    <w:rsid w:val="00005488"/>
    <w:rsid w:val="000054CF"/>
    <w:rsid w:val="00005565"/>
    <w:rsid w:val="00005579"/>
    <w:rsid w:val="0000561B"/>
    <w:rsid w:val="00005709"/>
    <w:rsid w:val="00005747"/>
    <w:rsid w:val="00005780"/>
    <w:rsid w:val="000059CE"/>
    <w:rsid w:val="000059EA"/>
    <w:rsid w:val="000059FB"/>
    <w:rsid w:val="00005A9A"/>
    <w:rsid w:val="00005B13"/>
    <w:rsid w:val="00005B4B"/>
    <w:rsid w:val="00005B8A"/>
    <w:rsid w:val="00005BB1"/>
    <w:rsid w:val="00005C6B"/>
    <w:rsid w:val="00005D0E"/>
    <w:rsid w:val="00005D8F"/>
    <w:rsid w:val="00005DFF"/>
    <w:rsid w:val="00005F64"/>
    <w:rsid w:val="00005F88"/>
    <w:rsid w:val="00005F90"/>
    <w:rsid w:val="0000608F"/>
    <w:rsid w:val="0000631C"/>
    <w:rsid w:val="0000635B"/>
    <w:rsid w:val="0000638A"/>
    <w:rsid w:val="000063C1"/>
    <w:rsid w:val="00006560"/>
    <w:rsid w:val="000065F9"/>
    <w:rsid w:val="00006642"/>
    <w:rsid w:val="000066A8"/>
    <w:rsid w:val="0000691E"/>
    <w:rsid w:val="000069A7"/>
    <w:rsid w:val="00006A15"/>
    <w:rsid w:val="00006A46"/>
    <w:rsid w:val="00006B32"/>
    <w:rsid w:val="00006C43"/>
    <w:rsid w:val="00006E28"/>
    <w:rsid w:val="00006E45"/>
    <w:rsid w:val="0000707C"/>
    <w:rsid w:val="0000709F"/>
    <w:rsid w:val="000070EA"/>
    <w:rsid w:val="0000713D"/>
    <w:rsid w:val="0000725C"/>
    <w:rsid w:val="00007284"/>
    <w:rsid w:val="00007539"/>
    <w:rsid w:val="00007571"/>
    <w:rsid w:val="00007584"/>
    <w:rsid w:val="00007678"/>
    <w:rsid w:val="00007691"/>
    <w:rsid w:val="00007938"/>
    <w:rsid w:val="00007949"/>
    <w:rsid w:val="00007ADA"/>
    <w:rsid w:val="00007BED"/>
    <w:rsid w:val="00007E66"/>
    <w:rsid w:val="00007F71"/>
    <w:rsid w:val="00007FD8"/>
    <w:rsid w:val="0001007A"/>
    <w:rsid w:val="000100A2"/>
    <w:rsid w:val="000104A2"/>
    <w:rsid w:val="000104A6"/>
    <w:rsid w:val="000106C6"/>
    <w:rsid w:val="000107F4"/>
    <w:rsid w:val="0001082B"/>
    <w:rsid w:val="00010885"/>
    <w:rsid w:val="00010A15"/>
    <w:rsid w:val="00010A69"/>
    <w:rsid w:val="00010A81"/>
    <w:rsid w:val="00010B19"/>
    <w:rsid w:val="00010B71"/>
    <w:rsid w:val="00010BBA"/>
    <w:rsid w:val="00010C58"/>
    <w:rsid w:val="00010E01"/>
    <w:rsid w:val="00010EC4"/>
    <w:rsid w:val="00010FD0"/>
    <w:rsid w:val="00010FF6"/>
    <w:rsid w:val="00011027"/>
    <w:rsid w:val="00011105"/>
    <w:rsid w:val="00011116"/>
    <w:rsid w:val="000111EE"/>
    <w:rsid w:val="00011485"/>
    <w:rsid w:val="000117F6"/>
    <w:rsid w:val="00011882"/>
    <w:rsid w:val="00011D53"/>
    <w:rsid w:val="00011DBB"/>
    <w:rsid w:val="00011ECC"/>
    <w:rsid w:val="00011F92"/>
    <w:rsid w:val="000120CA"/>
    <w:rsid w:val="00012147"/>
    <w:rsid w:val="000122AD"/>
    <w:rsid w:val="0001236F"/>
    <w:rsid w:val="00012452"/>
    <w:rsid w:val="000125A6"/>
    <w:rsid w:val="0001276B"/>
    <w:rsid w:val="000127A9"/>
    <w:rsid w:val="000128E8"/>
    <w:rsid w:val="0001294A"/>
    <w:rsid w:val="000129DE"/>
    <w:rsid w:val="000129F0"/>
    <w:rsid w:val="00012A3C"/>
    <w:rsid w:val="00012CC3"/>
    <w:rsid w:val="00012CC4"/>
    <w:rsid w:val="00012D62"/>
    <w:rsid w:val="00012E5E"/>
    <w:rsid w:val="00012E67"/>
    <w:rsid w:val="00013411"/>
    <w:rsid w:val="00013460"/>
    <w:rsid w:val="000134F7"/>
    <w:rsid w:val="00013506"/>
    <w:rsid w:val="000136E4"/>
    <w:rsid w:val="00013742"/>
    <w:rsid w:val="00013872"/>
    <w:rsid w:val="00013969"/>
    <w:rsid w:val="00013A74"/>
    <w:rsid w:val="00013CBE"/>
    <w:rsid w:val="00013D24"/>
    <w:rsid w:val="00013DE2"/>
    <w:rsid w:val="00013E2C"/>
    <w:rsid w:val="00013E7F"/>
    <w:rsid w:val="00013EA8"/>
    <w:rsid w:val="00013F23"/>
    <w:rsid w:val="0001409C"/>
    <w:rsid w:val="000140FD"/>
    <w:rsid w:val="000141FE"/>
    <w:rsid w:val="00014206"/>
    <w:rsid w:val="00014220"/>
    <w:rsid w:val="0001427D"/>
    <w:rsid w:val="00014568"/>
    <w:rsid w:val="0001464D"/>
    <w:rsid w:val="0001468A"/>
    <w:rsid w:val="0001482F"/>
    <w:rsid w:val="00014D43"/>
    <w:rsid w:val="00014E52"/>
    <w:rsid w:val="00014F26"/>
    <w:rsid w:val="00014F63"/>
    <w:rsid w:val="0001507D"/>
    <w:rsid w:val="0001508C"/>
    <w:rsid w:val="00015129"/>
    <w:rsid w:val="000152B0"/>
    <w:rsid w:val="00015388"/>
    <w:rsid w:val="000153C5"/>
    <w:rsid w:val="00015401"/>
    <w:rsid w:val="0001553B"/>
    <w:rsid w:val="00015741"/>
    <w:rsid w:val="000158F8"/>
    <w:rsid w:val="000159A9"/>
    <w:rsid w:val="000159BB"/>
    <w:rsid w:val="00015A8D"/>
    <w:rsid w:val="00015ABA"/>
    <w:rsid w:val="00015BCB"/>
    <w:rsid w:val="00015CF6"/>
    <w:rsid w:val="00015D4E"/>
    <w:rsid w:val="00015E8C"/>
    <w:rsid w:val="000160B8"/>
    <w:rsid w:val="000160DE"/>
    <w:rsid w:val="000161AB"/>
    <w:rsid w:val="000161CC"/>
    <w:rsid w:val="0001627B"/>
    <w:rsid w:val="00016397"/>
    <w:rsid w:val="000163C6"/>
    <w:rsid w:val="00016495"/>
    <w:rsid w:val="000165B8"/>
    <w:rsid w:val="000167F3"/>
    <w:rsid w:val="00016859"/>
    <w:rsid w:val="00016938"/>
    <w:rsid w:val="000169FD"/>
    <w:rsid w:val="00016A26"/>
    <w:rsid w:val="00016A69"/>
    <w:rsid w:val="00016A83"/>
    <w:rsid w:val="00016B66"/>
    <w:rsid w:val="00016B6E"/>
    <w:rsid w:val="00016D32"/>
    <w:rsid w:val="00016E4E"/>
    <w:rsid w:val="00016EE2"/>
    <w:rsid w:val="00016F0A"/>
    <w:rsid w:val="00017074"/>
    <w:rsid w:val="000171DC"/>
    <w:rsid w:val="000171E1"/>
    <w:rsid w:val="00017540"/>
    <w:rsid w:val="00017645"/>
    <w:rsid w:val="000176C2"/>
    <w:rsid w:val="000176EE"/>
    <w:rsid w:val="000177B9"/>
    <w:rsid w:val="000179E2"/>
    <w:rsid w:val="00017AE6"/>
    <w:rsid w:val="00017BCF"/>
    <w:rsid w:val="00017C63"/>
    <w:rsid w:val="00017D51"/>
    <w:rsid w:val="00017F27"/>
    <w:rsid w:val="00017F67"/>
    <w:rsid w:val="000200D2"/>
    <w:rsid w:val="00020156"/>
    <w:rsid w:val="000204B6"/>
    <w:rsid w:val="00020539"/>
    <w:rsid w:val="0002064D"/>
    <w:rsid w:val="000206C7"/>
    <w:rsid w:val="000207D9"/>
    <w:rsid w:val="00020810"/>
    <w:rsid w:val="0002086E"/>
    <w:rsid w:val="000209C3"/>
    <w:rsid w:val="00020AB5"/>
    <w:rsid w:val="00020B98"/>
    <w:rsid w:val="00020CD1"/>
    <w:rsid w:val="00020CE2"/>
    <w:rsid w:val="00020D70"/>
    <w:rsid w:val="00020DF1"/>
    <w:rsid w:val="000210DF"/>
    <w:rsid w:val="000211A3"/>
    <w:rsid w:val="0002126E"/>
    <w:rsid w:val="0002127B"/>
    <w:rsid w:val="000212F4"/>
    <w:rsid w:val="00021386"/>
    <w:rsid w:val="00021391"/>
    <w:rsid w:val="0002142B"/>
    <w:rsid w:val="000214BE"/>
    <w:rsid w:val="00021570"/>
    <w:rsid w:val="000215F1"/>
    <w:rsid w:val="000215F6"/>
    <w:rsid w:val="00021724"/>
    <w:rsid w:val="0002188F"/>
    <w:rsid w:val="00021953"/>
    <w:rsid w:val="00021AC0"/>
    <w:rsid w:val="00021B9A"/>
    <w:rsid w:val="00021C13"/>
    <w:rsid w:val="00021CA3"/>
    <w:rsid w:val="00021D1D"/>
    <w:rsid w:val="00021FB3"/>
    <w:rsid w:val="0002218C"/>
    <w:rsid w:val="000221F5"/>
    <w:rsid w:val="00022262"/>
    <w:rsid w:val="00022293"/>
    <w:rsid w:val="000223C0"/>
    <w:rsid w:val="0002242E"/>
    <w:rsid w:val="000224A5"/>
    <w:rsid w:val="000227A4"/>
    <w:rsid w:val="00022873"/>
    <w:rsid w:val="00022898"/>
    <w:rsid w:val="00022999"/>
    <w:rsid w:val="00022BA7"/>
    <w:rsid w:val="00022BA9"/>
    <w:rsid w:val="00022C8B"/>
    <w:rsid w:val="00022C8F"/>
    <w:rsid w:val="00022E79"/>
    <w:rsid w:val="0002316C"/>
    <w:rsid w:val="00023346"/>
    <w:rsid w:val="0002334C"/>
    <w:rsid w:val="00023440"/>
    <w:rsid w:val="000234A7"/>
    <w:rsid w:val="00023536"/>
    <w:rsid w:val="00023672"/>
    <w:rsid w:val="000236A9"/>
    <w:rsid w:val="00023716"/>
    <w:rsid w:val="000237D6"/>
    <w:rsid w:val="000239BE"/>
    <w:rsid w:val="000239DB"/>
    <w:rsid w:val="000239FB"/>
    <w:rsid w:val="00023A39"/>
    <w:rsid w:val="00023B30"/>
    <w:rsid w:val="00023E41"/>
    <w:rsid w:val="00023EDC"/>
    <w:rsid w:val="00023F03"/>
    <w:rsid w:val="00023F21"/>
    <w:rsid w:val="000240D8"/>
    <w:rsid w:val="0002417E"/>
    <w:rsid w:val="000241A5"/>
    <w:rsid w:val="00024247"/>
    <w:rsid w:val="0002439D"/>
    <w:rsid w:val="00024495"/>
    <w:rsid w:val="000244A9"/>
    <w:rsid w:val="000245BE"/>
    <w:rsid w:val="000246C3"/>
    <w:rsid w:val="00024800"/>
    <w:rsid w:val="000248E7"/>
    <w:rsid w:val="00024915"/>
    <w:rsid w:val="00024972"/>
    <w:rsid w:val="00024A2D"/>
    <w:rsid w:val="00024AD0"/>
    <w:rsid w:val="00024BA4"/>
    <w:rsid w:val="00024E64"/>
    <w:rsid w:val="00024E87"/>
    <w:rsid w:val="00024F27"/>
    <w:rsid w:val="00024F5B"/>
    <w:rsid w:val="00024F94"/>
    <w:rsid w:val="00024F95"/>
    <w:rsid w:val="00024FE9"/>
    <w:rsid w:val="0002518F"/>
    <w:rsid w:val="0002523A"/>
    <w:rsid w:val="0002524B"/>
    <w:rsid w:val="000252D4"/>
    <w:rsid w:val="0002542D"/>
    <w:rsid w:val="000254E1"/>
    <w:rsid w:val="0002556E"/>
    <w:rsid w:val="00025661"/>
    <w:rsid w:val="000257E3"/>
    <w:rsid w:val="00025839"/>
    <w:rsid w:val="00025842"/>
    <w:rsid w:val="00025988"/>
    <w:rsid w:val="00025B5D"/>
    <w:rsid w:val="00025B93"/>
    <w:rsid w:val="00025C51"/>
    <w:rsid w:val="00025D66"/>
    <w:rsid w:val="00025F17"/>
    <w:rsid w:val="00025F18"/>
    <w:rsid w:val="00026132"/>
    <w:rsid w:val="00026142"/>
    <w:rsid w:val="00026180"/>
    <w:rsid w:val="00026225"/>
    <w:rsid w:val="000262CC"/>
    <w:rsid w:val="000264E6"/>
    <w:rsid w:val="00026549"/>
    <w:rsid w:val="000265D8"/>
    <w:rsid w:val="000265DF"/>
    <w:rsid w:val="00026686"/>
    <w:rsid w:val="0002669E"/>
    <w:rsid w:val="00026884"/>
    <w:rsid w:val="0002690D"/>
    <w:rsid w:val="0002693E"/>
    <w:rsid w:val="00026A40"/>
    <w:rsid w:val="00026A81"/>
    <w:rsid w:val="00026C09"/>
    <w:rsid w:val="00026EBA"/>
    <w:rsid w:val="00026EFF"/>
    <w:rsid w:val="00026F8A"/>
    <w:rsid w:val="0002702B"/>
    <w:rsid w:val="0002704C"/>
    <w:rsid w:val="0002711A"/>
    <w:rsid w:val="000271C7"/>
    <w:rsid w:val="000273F7"/>
    <w:rsid w:val="00027408"/>
    <w:rsid w:val="00027412"/>
    <w:rsid w:val="00027452"/>
    <w:rsid w:val="000274CA"/>
    <w:rsid w:val="000275B5"/>
    <w:rsid w:val="000275C9"/>
    <w:rsid w:val="000276A8"/>
    <w:rsid w:val="00027840"/>
    <w:rsid w:val="0002784D"/>
    <w:rsid w:val="00027B81"/>
    <w:rsid w:val="00027C1C"/>
    <w:rsid w:val="00027C66"/>
    <w:rsid w:val="00027D4B"/>
    <w:rsid w:val="00027D9C"/>
    <w:rsid w:val="00027E9E"/>
    <w:rsid w:val="00030127"/>
    <w:rsid w:val="0003021B"/>
    <w:rsid w:val="000302CC"/>
    <w:rsid w:val="000302D1"/>
    <w:rsid w:val="00030367"/>
    <w:rsid w:val="00030662"/>
    <w:rsid w:val="0003066B"/>
    <w:rsid w:val="000306B0"/>
    <w:rsid w:val="000307F5"/>
    <w:rsid w:val="0003081C"/>
    <w:rsid w:val="0003086D"/>
    <w:rsid w:val="0003086F"/>
    <w:rsid w:val="000308D1"/>
    <w:rsid w:val="0003093E"/>
    <w:rsid w:val="00030A03"/>
    <w:rsid w:val="00030B13"/>
    <w:rsid w:val="00030B79"/>
    <w:rsid w:val="00030BA7"/>
    <w:rsid w:val="00030DEC"/>
    <w:rsid w:val="00030DFB"/>
    <w:rsid w:val="00030DFF"/>
    <w:rsid w:val="00031077"/>
    <w:rsid w:val="00031159"/>
    <w:rsid w:val="000311B6"/>
    <w:rsid w:val="000313E8"/>
    <w:rsid w:val="000314AB"/>
    <w:rsid w:val="00031574"/>
    <w:rsid w:val="000315CE"/>
    <w:rsid w:val="00031693"/>
    <w:rsid w:val="000316AD"/>
    <w:rsid w:val="000316E5"/>
    <w:rsid w:val="000318D4"/>
    <w:rsid w:val="00031952"/>
    <w:rsid w:val="00031A73"/>
    <w:rsid w:val="00031C19"/>
    <w:rsid w:val="00031C32"/>
    <w:rsid w:val="00031C60"/>
    <w:rsid w:val="00031DE2"/>
    <w:rsid w:val="00031E88"/>
    <w:rsid w:val="00031EA9"/>
    <w:rsid w:val="00031F07"/>
    <w:rsid w:val="00032065"/>
    <w:rsid w:val="00032296"/>
    <w:rsid w:val="00032355"/>
    <w:rsid w:val="000323F2"/>
    <w:rsid w:val="00032433"/>
    <w:rsid w:val="0003243E"/>
    <w:rsid w:val="000325FF"/>
    <w:rsid w:val="00032B03"/>
    <w:rsid w:val="00032D7C"/>
    <w:rsid w:val="00032DC8"/>
    <w:rsid w:val="00032EFD"/>
    <w:rsid w:val="00033138"/>
    <w:rsid w:val="00033139"/>
    <w:rsid w:val="0003321F"/>
    <w:rsid w:val="00033259"/>
    <w:rsid w:val="00033321"/>
    <w:rsid w:val="00033380"/>
    <w:rsid w:val="0003342A"/>
    <w:rsid w:val="000334D3"/>
    <w:rsid w:val="0003352C"/>
    <w:rsid w:val="0003352D"/>
    <w:rsid w:val="00033546"/>
    <w:rsid w:val="000335C7"/>
    <w:rsid w:val="000335EC"/>
    <w:rsid w:val="00033614"/>
    <w:rsid w:val="0003370E"/>
    <w:rsid w:val="0003372C"/>
    <w:rsid w:val="000337E6"/>
    <w:rsid w:val="00033897"/>
    <w:rsid w:val="0003390B"/>
    <w:rsid w:val="00033B36"/>
    <w:rsid w:val="00033B4B"/>
    <w:rsid w:val="00033C7C"/>
    <w:rsid w:val="00033D68"/>
    <w:rsid w:val="0003402B"/>
    <w:rsid w:val="00034084"/>
    <w:rsid w:val="00034299"/>
    <w:rsid w:val="000344D0"/>
    <w:rsid w:val="0003454F"/>
    <w:rsid w:val="000345B0"/>
    <w:rsid w:val="000346C8"/>
    <w:rsid w:val="0003472D"/>
    <w:rsid w:val="000349A8"/>
    <w:rsid w:val="00034AC8"/>
    <w:rsid w:val="00034ADA"/>
    <w:rsid w:val="00034B1E"/>
    <w:rsid w:val="00034D71"/>
    <w:rsid w:val="00034E6F"/>
    <w:rsid w:val="00034F3F"/>
    <w:rsid w:val="00034FB9"/>
    <w:rsid w:val="0003507D"/>
    <w:rsid w:val="000350B0"/>
    <w:rsid w:val="00035165"/>
    <w:rsid w:val="00035181"/>
    <w:rsid w:val="0003535D"/>
    <w:rsid w:val="000353CB"/>
    <w:rsid w:val="00035554"/>
    <w:rsid w:val="000355B1"/>
    <w:rsid w:val="0003564A"/>
    <w:rsid w:val="000356AF"/>
    <w:rsid w:val="0003576E"/>
    <w:rsid w:val="00035808"/>
    <w:rsid w:val="00035861"/>
    <w:rsid w:val="000358E9"/>
    <w:rsid w:val="00035969"/>
    <w:rsid w:val="00035C69"/>
    <w:rsid w:val="00035C96"/>
    <w:rsid w:val="00035D8D"/>
    <w:rsid w:val="00035E0B"/>
    <w:rsid w:val="00035EDD"/>
    <w:rsid w:val="00035F0A"/>
    <w:rsid w:val="00035F33"/>
    <w:rsid w:val="00036006"/>
    <w:rsid w:val="0003605A"/>
    <w:rsid w:val="000361C5"/>
    <w:rsid w:val="0003624D"/>
    <w:rsid w:val="0003642C"/>
    <w:rsid w:val="00036700"/>
    <w:rsid w:val="00036921"/>
    <w:rsid w:val="00036A62"/>
    <w:rsid w:val="00036A7F"/>
    <w:rsid w:val="00036BCD"/>
    <w:rsid w:val="00036E41"/>
    <w:rsid w:val="00036F3B"/>
    <w:rsid w:val="00036FD9"/>
    <w:rsid w:val="00037000"/>
    <w:rsid w:val="00037016"/>
    <w:rsid w:val="0003702F"/>
    <w:rsid w:val="000370BE"/>
    <w:rsid w:val="000370D0"/>
    <w:rsid w:val="0003716E"/>
    <w:rsid w:val="0003719B"/>
    <w:rsid w:val="000371F0"/>
    <w:rsid w:val="000371FF"/>
    <w:rsid w:val="0003728D"/>
    <w:rsid w:val="000375F5"/>
    <w:rsid w:val="00037756"/>
    <w:rsid w:val="00037851"/>
    <w:rsid w:val="0003795D"/>
    <w:rsid w:val="00037B26"/>
    <w:rsid w:val="00037B68"/>
    <w:rsid w:val="00037B81"/>
    <w:rsid w:val="00037D85"/>
    <w:rsid w:val="00037F2D"/>
    <w:rsid w:val="000400C8"/>
    <w:rsid w:val="00040337"/>
    <w:rsid w:val="0004041E"/>
    <w:rsid w:val="0004042F"/>
    <w:rsid w:val="000404E9"/>
    <w:rsid w:val="00040615"/>
    <w:rsid w:val="000406B0"/>
    <w:rsid w:val="00040719"/>
    <w:rsid w:val="00040786"/>
    <w:rsid w:val="0004081E"/>
    <w:rsid w:val="00040921"/>
    <w:rsid w:val="00040BCF"/>
    <w:rsid w:val="00040C64"/>
    <w:rsid w:val="00040DAD"/>
    <w:rsid w:val="00040DC2"/>
    <w:rsid w:val="00041322"/>
    <w:rsid w:val="00041392"/>
    <w:rsid w:val="000414F4"/>
    <w:rsid w:val="00041596"/>
    <w:rsid w:val="0004199E"/>
    <w:rsid w:val="00041B3F"/>
    <w:rsid w:val="00041B6E"/>
    <w:rsid w:val="00041B94"/>
    <w:rsid w:val="00041C42"/>
    <w:rsid w:val="00042069"/>
    <w:rsid w:val="000420E4"/>
    <w:rsid w:val="000423CA"/>
    <w:rsid w:val="00042405"/>
    <w:rsid w:val="000424BF"/>
    <w:rsid w:val="00042536"/>
    <w:rsid w:val="000425AF"/>
    <w:rsid w:val="000425E6"/>
    <w:rsid w:val="000425EF"/>
    <w:rsid w:val="0004270D"/>
    <w:rsid w:val="00042739"/>
    <w:rsid w:val="00042781"/>
    <w:rsid w:val="00042922"/>
    <w:rsid w:val="000429F8"/>
    <w:rsid w:val="00042A59"/>
    <w:rsid w:val="00042AB0"/>
    <w:rsid w:val="00042BC9"/>
    <w:rsid w:val="00042D02"/>
    <w:rsid w:val="00042D49"/>
    <w:rsid w:val="00043142"/>
    <w:rsid w:val="0004315A"/>
    <w:rsid w:val="00043192"/>
    <w:rsid w:val="000431C2"/>
    <w:rsid w:val="00043259"/>
    <w:rsid w:val="000432B6"/>
    <w:rsid w:val="00043365"/>
    <w:rsid w:val="00043437"/>
    <w:rsid w:val="000434C6"/>
    <w:rsid w:val="000435C6"/>
    <w:rsid w:val="000436FF"/>
    <w:rsid w:val="00043837"/>
    <w:rsid w:val="000438FB"/>
    <w:rsid w:val="000439B9"/>
    <w:rsid w:val="00043C6D"/>
    <w:rsid w:val="00043CDB"/>
    <w:rsid w:val="00043D4F"/>
    <w:rsid w:val="00043D7E"/>
    <w:rsid w:val="00044212"/>
    <w:rsid w:val="00044215"/>
    <w:rsid w:val="00044225"/>
    <w:rsid w:val="000443DC"/>
    <w:rsid w:val="00044467"/>
    <w:rsid w:val="00044580"/>
    <w:rsid w:val="000445B6"/>
    <w:rsid w:val="000446AD"/>
    <w:rsid w:val="00044A0B"/>
    <w:rsid w:val="00044AAF"/>
    <w:rsid w:val="00044B9C"/>
    <w:rsid w:val="00044BCA"/>
    <w:rsid w:val="00044BEA"/>
    <w:rsid w:val="00044C48"/>
    <w:rsid w:val="00044CD9"/>
    <w:rsid w:val="00044CE5"/>
    <w:rsid w:val="00044D25"/>
    <w:rsid w:val="00044DDD"/>
    <w:rsid w:val="00045097"/>
    <w:rsid w:val="00045099"/>
    <w:rsid w:val="0004510C"/>
    <w:rsid w:val="00045152"/>
    <w:rsid w:val="000451DD"/>
    <w:rsid w:val="000451FB"/>
    <w:rsid w:val="0004520C"/>
    <w:rsid w:val="00045266"/>
    <w:rsid w:val="000452AD"/>
    <w:rsid w:val="00045314"/>
    <w:rsid w:val="00045332"/>
    <w:rsid w:val="000454E6"/>
    <w:rsid w:val="0004559C"/>
    <w:rsid w:val="00045650"/>
    <w:rsid w:val="000456A9"/>
    <w:rsid w:val="00045918"/>
    <w:rsid w:val="0004591F"/>
    <w:rsid w:val="00045A55"/>
    <w:rsid w:val="00045A88"/>
    <w:rsid w:val="00045B88"/>
    <w:rsid w:val="00045CF1"/>
    <w:rsid w:val="00045D2E"/>
    <w:rsid w:val="00045DE6"/>
    <w:rsid w:val="000460BF"/>
    <w:rsid w:val="000460FF"/>
    <w:rsid w:val="000462C3"/>
    <w:rsid w:val="00046456"/>
    <w:rsid w:val="0004648C"/>
    <w:rsid w:val="00046727"/>
    <w:rsid w:val="000467C5"/>
    <w:rsid w:val="00046803"/>
    <w:rsid w:val="00046811"/>
    <w:rsid w:val="00046B77"/>
    <w:rsid w:val="00046BAF"/>
    <w:rsid w:val="00046BB2"/>
    <w:rsid w:val="00046C82"/>
    <w:rsid w:val="00046D16"/>
    <w:rsid w:val="00046E23"/>
    <w:rsid w:val="00046F4A"/>
    <w:rsid w:val="00046FB9"/>
    <w:rsid w:val="00046FC7"/>
    <w:rsid w:val="000470B2"/>
    <w:rsid w:val="00047121"/>
    <w:rsid w:val="0004719C"/>
    <w:rsid w:val="000471A5"/>
    <w:rsid w:val="0004735A"/>
    <w:rsid w:val="000474DA"/>
    <w:rsid w:val="0004752D"/>
    <w:rsid w:val="00047571"/>
    <w:rsid w:val="00047608"/>
    <w:rsid w:val="0004767F"/>
    <w:rsid w:val="000478B1"/>
    <w:rsid w:val="00047927"/>
    <w:rsid w:val="00047946"/>
    <w:rsid w:val="000479DA"/>
    <w:rsid w:val="00047BA1"/>
    <w:rsid w:val="00047C8B"/>
    <w:rsid w:val="00047D77"/>
    <w:rsid w:val="00047DDE"/>
    <w:rsid w:val="00047E12"/>
    <w:rsid w:val="00047F4A"/>
    <w:rsid w:val="00050126"/>
    <w:rsid w:val="0005018E"/>
    <w:rsid w:val="000501AF"/>
    <w:rsid w:val="00050435"/>
    <w:rsid w:val="00050540"/>
    <w:rsid w:val="00050578"/>
    <w:rsid w:val="0005068B"/>
    <w:rsid w:val="000506D0"/>
    <w:rsid w:val="00050825"/>
    <w:rsid w:val="000508B4"/>
    <w:rsid w:val="0005097C"/>
    <w:rsid w:val="00050A2D"/>
    <w:rsid w:val="00050A69"/>
    <w:rsid w:val="00050DD0"/>
    <w:rsid w:val="00050E02"/>
    <w:rsid w:val="00050E10"/>
    <w:rsid w:val="00050E2D"/>
    <w:rsid w:val="00050F2F"/>
    <w:rsid w:val="000511C8"/>
    <w:rsid w:val="00051269"/>
    <w:rsid w:val="0005132C"/>
    <w:rsid w:val="00051529"/>
    <w:rsid w:val="0005158E"/>
    <w:rsid w:val="00051607"/>
    <w:rsid w:val="00051662"/>
    <w:rsid w:val="000517FD"/>
    <w:rsid w:val="0005180B"/>
    <w:rsid w:val="00051846"/>
    <w:rsid w:val="000518B8"/>
    <w:rsid w:val="0005199B"/>
    <w:rsid w:val="000519A3"/>
    <w:rsid w:val="00051A7C"/>
    <w:rsid w:val="00051AC7"/>
    <w:rsid w:val="00051BFB"/>
    <w:rsid w:val="00051DAE"/>
    <w:rsid w:val="00051DCF"/>
    <w:rsid w:val="00051F8D"/>
    <w:rsid w:val="0005201D"/>
    <w:rsid w:val="00052156"/>
    <w:rsid w:val="0005227C"/>
    <w:rsid w:val="000522B2"/>
    <w:rsid w:val="0005233A"/>
    <w:rsid w:val="0005249A"/>
    <w:rsid w:val="00052514"/>
    <w:rsid w:val="00052596"/>
    <w:rsid w:val="000527A4"/>
    <w:rsid w:val="000527C7"/>
    <w:rsid w:val="0005281D"/>
    <w:rsid w:val="0005286A"/>
    <w:rsid w:val="00052876"/>
    <w:rsid w:val="00052926"/>
    <w:rsid w:val="0005292D"/>
    <w:rsid w:val="00052A2C"/>
    <w:rsid w:val="00052CC0"/>
    <w:rsid w:val="00052D11"/>
    <w:rsid w:val="00052D8B"/>
    <w:rsid w:val="00052E34"/>
    <w:rsid w:val="00052E62"/>
    <w:rsid w:val="00052EBD"/>
    <w:rsid w:val="00052F7A"/>
    <w:rsid w:val="00052FA0"/>
    <w:rsid w:val="00052FF0"/>
    <w:rsid w:val="000530CA"/>
    <w:rsid w:val="00053131"/>
    <w:rsid w:val="0005316C"/>
    <w:rsid w:val="000531E9"/>
    <w:rsid w:val="00053349"/>
    <w:rsid w:val="000535BC"/>
    <w:rsid w:val="000535E1"/>
    <w:rsid w:val="00053649"/>
    <w:rsid w:val="00053766"/>
    <w:rsid w:val="000539EF"/>
    <w:rsid w:val="00053A37"/>
    <w:rsid w:val="00053B26"/>
    <w:rsid w:val="00053C08"/>
    <w:rsid w:val="00053FFB"/>
    <w:rsid w:val="00054094"/>
    <w:rsid w:val="00054128"/>
    <w:rsid w:val="000542A2"/>
    <w:rsid w:val="00054476"/>
    <w:rsid w:val="0005449A"/>
    <w:rsid w:val="0005450F"/>
    <w:rsid w:val="00054583"/>
    <w:rsid w:val="000545E0"/>
    <w:rsid w:val="00054657"/>
    <w:rsid w:val="000546EB"/>
    <w:rsid w:val="0005474D"/>
    <w:rsid w:val="000547BD"/>
    <w:rsid w:val="000548B9"/>
    <w:rsid w:val="00054BA0"/>
    <w:rsid w:val="00054C48"/>
    <w:rsid w:val="00054D61"/>
    <w:rsid w:val="00054D6B"/>
    <w:rsid w:val="00054D6D"/>
    <w:rsid w:val="00054EF1"/>
    <w:rsid w:val="00054FB0"/>
    <w:rsid w:val="00055016"/>
    <w:rsid w:val="000550A1"/>
    <w:rsid w:val="00055129"/>
    <w:rsid w:val="0005519D"/>
    <w:rsid w:val="00055378"/>
    <w:rsid w:val="000553A9"/>
    <w:rsid w:val="000554AB"/>
    <w:rsid w:val="000554CB"/>
    <w:rsid w:val="000554ED"/>
    <w:rsid w:val="000555BA"/>
    <w:rsid w:val="000555D7"/>
    <w:rsid w:val="000555F3"/>
    <w:rsid w:val="00055600"/>
    <w:rsid w:val="00055629"/>
    <w:rsid w:val="000558D9"/>
    <w:rsid w:val="00055A9D"/>
    <w:rsid w:val="00055AEC"/>
    <w:rsid w:val="00055B64"/>
    <w:rsid w:val="00055D17"/>
    <w:rsid w:val="00055DD4"/>
    <w:rsid w:val="00055E45"/>
    <w:rsid w:val="00055E99"/>
    <w:rsid w:val="00055F95"/>
    <w:rsid w:val="000560A0"/>
    <w:rsid w:val="000560AE"/>
    <w:rsid w:val="00056278"/>
    <w:rsid w:val="00056343"/>
    <w:rsid w:val="0005652F"/>
    <w:rsid w:val="0005661C"/>
    <w:rsid w:val="0005664E"/>
    <w:rsid w:val="00056655"/>
    <w:rsid w:val="00056737"/>
    <w:rsid w:val="000567B7"/>
    <w:rsid w:val="0005683D"/>
    <w:rsid w:val="000568F9"/>
    <w:rsid w:val="000569ED"/>
    <w:rsid w:val="00056AD4"/>
    <w:rsid w:val="00056B71"/>
    <w:rsid w:val="00056C2B"/>
    <w:rsid w:val="00056DA4"/>
    <w:rsid w:val="00056EAB"/>
    <w:rsid w:val="00057251"/>
    <w:rsid w:val="000572A0"/>
    <w:rsid w:val="000573DC"/>
    <w:rsid w:val="00057569"/>
    <w:rsid w:val="000576CA"/>
    <w:rsid w:val="000578ED"/>
    <w:rsid w:val="00057925"/>
    <w:rsid w:val="000579C6"/>
    <w:rsid w:val="00057A3B"/>
    <w:rsid w:val="00057A4D"/>
    <w:rsid w:val="00057B9C"/>
    <w:rsid w:val="00057CDD"/>
    <w:rsid w:val="00057D32"/>
    <w:rsid w:val="00057D5F"/>
    <w:rsid w:val="00057D9F"/>
    <w:rsid w:val="00057E77"/>
    <w:rsid w:val="00057EDB"/>
    <w:rsid w:val="00057EF8"/>
    <w:rsid w:val="00057F23"/>
    <w:rsid w:val="00060053"/>
    <w:rsid w:val="00060205"/>
    <w:rsid w:val="000602CC"/>
    <w:rsid w:val="00060429"/>
    <w:rsid w:val="00060462"/>
    <w:rsid w:val="00060523"/>
    <w:rsid w:val="00060593"/>
    <w:rsid w:val="000606B2"/>
    <w:rsid w:val="000606D3"/>
    <w:rsid w:val="000607BA"/>
    <w:rsid w:val="00060959"/>
    <w:rsid w:val="000609E8"/>
    <w:rsid w:val="000609F8"/>
    <w:rsid w:val="00060AB4"/>
    <w:rsid w:val="00060E96"/>
    <w:rsid w:val="00060ED9"/>
    <w:rsid w:val="00060F91"/>
    <w:rsid w:val="00060FBF"/>
    <w:rsid w:val="00061024"/>
    <w:rsid w:val="0006107E"/>
    <w:rsid w:val="000614B5"/>
    <w:rsid w:val="000614BE"/>
    <w:rsid w:val="00061572"/>
    <w:rsid w:val="0006175D"/>
    <w:rsid w:val="000617F4"/>
    <w:rsid w:val="00061802"/>
    <w:rsid w:val="0006186D"/>
    <w:rsid w:val="000618E7"/>
    <w:rsid w:val="000618F1"/>
    <w:rsid w:val="000619B5"/>
    <w:rsid w:val="000619E1"/>
    <w:rsid w:val="00061AE1"/>
    <w:rsid w:val="00061AF9"/>
    <w:rsid w:val="00061B80"/>
    <w:rsid w:val="00061BF9"/>
    <w:rsid w:val="00061C7C"/>
    <w:rsid w:val="00061E36"/>
    <w:rsid w:val="0006201E"/>
    <w:rsid w:val="0006205E"/>
    <w:rsid w:val="00062060"/>
    <w:rsid w:val="000620D1"/>
    <w:rsid w:val="000622DA"/>
    <w:rsid w:val="000623F7"/>
    <w:rsid w:val="00062535"/>
    <w:rsid w:val="00062541"/>
    <w:rsid w:val="00062553"/>
    <w:rsid w:val="00062602"/>
    <w:rsid w:val="00062608"/>
    <w:rsid w:val="0006265A"/>
    <w:rsid w:val="000626D2"/>
    <w:rsid w:val="00062965"/>
    <w:rsid w:val="00062ADC"/>
    <w:rsid w:val="00062B54"/>
    <w:rsid w:val="00062B6A"/>
    <w:rsid w:val="00062BB3"/>
    <w:rsid w:val="00062BE6"/>
    <w:rsid w:val="00062C94"/>
    <w:rsid w:val="00062CCA"/>
    <w:rsid w:val="00062E29"/>
    <w:rsid w:val="00062E9E"/>
    <w:rsid w:val="00062EDA"/>
    <w:rsid w:val="00062EDF"/>
    <w:rsid w:val="00062FD3"/>
    <w:rsid w:val="00063063"/>
    <w:rsid w:val="0006306E"/>
    <w:rsid w:val="00063113"/>
    <w:rsid w:val="00063167"/>
    <w:rsid w:val="0006317C"/>
    <w:rsid w:val="0006325F"/>
    <w:rsid w:val="00063292"/>
    <w:rsid w:val="000632AC"/>
    <w:rsid w:val="000632BB"/>
    <w:rsid w:val="00063320"/>
    <w:rsid w:val="000633AB"/>
    <w:rsid w:val="0006347D"/>
    <w:rsid w:val="0006357B"/>
    <w:rsid w:val="000635BE"/>
    <w:rsid w:val="000635F4"/>
    <w:rsid w:val="00063698"/>
    <w:rsid w:val="00063706"/>
    <w:rsid w:val="00063742"/>
    <w:rsid w:val="0006376D"/>
    <w:rsid w:val="000637DE"/>
    <w:rsid w:val="0006381C"/>
    <w:rsid w:val="00063AA3"/>
    <w:rsid w:val="00063BA1"/>
    <w:rsid w:val="00063D0B"/>
    <w:rsid w:val="00063DEF"/>
    <w:rsid w:val="00063E14"/>
    <w:rsid w:val="00063F40"/>
    <w:rsid w:val="00063FB8"/>
    <w:rsid w:val="0006411E"/>
    <w:rsid w:val="00064235"/>
    <w:rsid w:val="0006426B"/>
    <w:rsid w:val="00064587"/>
    <w:rsid w:val="000645B2"/>
    <w:rsid w:val="000645B5"/>
    <w:rsid w:val="000645EE"/>
    <w:rsid w:val="00064714"/>
    <w:rsid w:val="00064733"/>
    <w:rsid w:val="00064786"/>
    <w:rsid w:val="000649C1"/>
    <w:rsid w:val="00064AD6"/>
    <w:rsid w:val="00064C47"/>
    <w:rsid w:val="00064EC3"/>
    <w:rsid w:val="00064FA1"/>
    <w:rsid w:val="00064FC8"/>
    <w:rsid w:val="00064FCF"/>
    <w:rsid w:val="0006502B"/>
    <w:rsid w:val="0006512E"/>
    <w:rsid w:val="0006518B"/>
    <w:rsid w:val="000651EB"/>
    <w:rsid w:val="00065215"/>
    <w:rsid w:val="00065265"/>
    <w:rsid w:val="000652AA"/>
    <w:rsid w:val="000652EF"/>
    <w:rsid w:val="000652F5"/>
    <w:rsid w:val="00065691"/>
    <w:rsid w:val="000656DD"/>
    <w:rsid w:val="000657A9"/>
    <w:rsid w:val="000657D0"/>
    <w:rsid w:val="000658D1"/>
    <w:rsid w:val="00065965"/>
    <w:rsid w:val="00065972"/>
    <w:rsid w:val="000659DF"/>
    <w:rsid w:val="000659F1"/>
    <w:rsid w:val="00065A40"/>
    <w:rsid w:val="00065AAB"/>
    <w:rsid w:val="00065AF6"/>
    <w:rsid w:val="00065BF1"/>
    <w:rsid w:val="00065CB0"/>
    <w:rsid w:val="00065CDD"/>
    <w:rsid w:val="00065DE2"/>
    <w:rsid w:val="00066078"/>
    <w:rsid w:val="00066133"/>
    <w:rsid w:val="0006645B"/>
    <w:rsid w:val="00066466"/>
    <w:rsid w:val="00066537"/>
    <w:rsid w:val="00066550"/>
    <w:rsid w:val="00066613"/>
    <w:rsid w:val="0006663E"/>
    <w:rsid w:val="000667F0"/>
    <w:rsid w:val="000667FC"/>
    <w:rsid w:val="00066979"/>
    <w:rsid w:val="00066A51"/>
    <w:rsid w:val="00066AFC"/>
    <w:rsid w:val="00066C94"/>
    <w:rsid w:val="00066CC3"/>
    <w:rsid w:val="00066D1D"/>
    <w:rsid w:val="00066D43"/>
    <w:rsid w:val="00066E5F"/>
    <w:rsid w:val="00066E9D"/>
    <w:rsid w:val="00066FC7"/>
    <w:rsid w:val="00067025"/>
    <w:rsid w:val="00067181"/>
    <w:rsid w:val="000671FE"/>
    <w:rsid w:val="00067281"/>
    <w:rsid w:val="00067453"/>
    <w:rsid w:val="00067577"/>
    <w:rsid w:val="00067669"/>
    <w:rsid w:val="00067707"/>
    <w:rsid w:val="0006778B"/>
    <w:rsid w:val="00067853"/>
    <w:rsid w:val="0006789E"/>
    <w:rsid w:val="000678FA"/>
    <w:rsid w:val="000679B2"/>
    <w:rsid w:val="00067AF3"/>
    <w:rsid w:val="00067CD2"/>
    <w:rsid w:val="00067F31"/>
    <w:rsid w:val="00067F67"/>
    <w:rsid w:val="00067F8E"/>
    <w:rsid w:val="000700DE"/>
    <w:rsid w:val="000701CB"/>
    <w:rsid w:val="00070272"/>
    <w:rsid w:val="000704B5"/>
    <w:rsid w:val="00070505"/>
    <w:rsid w:val="0007070B"/>
    <w:rsid w:val="0007078E"/>
    <w:rsid w:val="0007087A"/>
    <w:rsid w:val="000708AB"/>
    <w:rsid w:val="0007091B"/>
    <w:rsid w:val="000709B3"/>
    <w:rsid w:val="000709B5"/>
    <w:rsid w:val="000709E3"/>
    <w:rsid w:val="00070AF0"/>
    <w:rsid w:val="00070B56"/>
    <w:rsid w:val="00070BAA"/>
    <w:rsid w:val="00070BBA"/>
    <w:rsid w:val="00070C0A"/>
    <w:rsid w:val="00070C48"/>
    <w:rsid w:val="00070D12"/>
    <w:rsid w:val="00070DAC"/>
    <w:rsid w:val="00070DD1"/>
    <w:rsid w:val="00070EB7"/>
    <w:rsid w:val="00070F20"/>
    <w:rsid w:val="00070F31"/>
    <w:rsid w:val="00070FD3"/>
    <w:rsid w:val="000710BA"/>
    <w:rsid w:val="000710E2"/>
    <w:rsid w:val="00071120"/>
    <w:rsid w:val="00071135"/>
    <w:rsid w:val="00071152"/>
    <w:rsid w:val="0007124E"/>
    <w:rsid w:val="00071392"/>
    <w:rsid w:val="000714D3"/>
    <w:rsid w:val="000714F0"/>
    <w:rsid w:val="0007152A"/>
    <w:rsid w:val="000715BC"/>
    <w:rsid w:val="00071739"/>
    <w:rsid w:val="000717E6"/>
    <w:rsid w:val="00071887"/>
    <w:rsid w:val="000718BF"/>
    <w:rsid w:val="000719CD"/>
    <w:rsid w:val="00071A9D"/>
    <w:rsid w:val="00071C45"/>
    <w:rsid w:val="00071CC3"/>
    <w:rsid w:val="00071CED"/>
    <w:rsid w:val="00071D1B"/>
    <w:rsid w:val="00071E92"/>
    <w:rsid w:val="00071EA2"/>
    <w:rsid w:val="00071EBD"/>
    <w:rsid w:val="00072104"/>
    <w:rsid w:val="000722B7"/>
    <w:rsid w:val="0007238E"/>
    <w:rsid w:val="00072413"/>
    <w:rsid w:val="000724BB"/>
    <w:rsid w:val="000725E6"/>
    <w:rsid w:val="00072677"/>
    <w:rsid w:val="00072753"/>
    <w:rsid w:val="0007281D"/>
    <w:rsid w:val="000728DF"/>
    <w:rsid w:val="0007292A"/>
    <w:rsid w:val="00072BD2"/>
    <w:rsid w:val="00072D04"/>
    <w:rsid w:val="00073024"/>
    <w:rsid w:val="0007324D"/>
    <w:rsid w:val="00073269"/>
    <w:rsid w:val="000732A0"/>
    <w:rsid w:val="00073470"/>
    <w:rsid w:val="000734B5"/>
    <w:rsid w:val="0007352A"/>
    <w:rsid w:val="000736A9"/>
    <w:rsid w:val="0007383B"/>
    <w:rsid w:val="000738DB"/>
    <w:rsid w:val="000738F4"/>
    <w:rsid w:val="00073A3F"/>
    <w:rsid w:val="00073A5C"/>
    <w:rsid w:val="00073B0C"/>
    <w:rsid w:val="00073B19"/>
    <w:rsid w:val="00073BB1"/>
    <w:rsid w:val="00073D0F"/>
    <w:rsid w:val="00073E78"/>
    <w:rsid w:val="0007405D"/>
    <w:rsid w:val="000740AF"/>
    <w:rsid w:val="00074283"/>
    <w:rsid w:val="00074352"/>
    <w:rsid w:val="000743F4"/>
    <w:rsid w:val="000745C2"/>
    <w:rsid w:val="00074677"/>
    <w:rsid w:val="000747EA"/>
    <w:rsid w:val="00074911"/>
    <w:rsid w:val="00074AB7"/>
    <w:rsid w:val="00074B14"/>
    <w:rsid w:val="00074DAC"/>
    <w:rsid w:val="00074E5A"/>
    <w:rsid w:val="00074E7F"/>
    <w:rsid w:val="00074F05"/>
    <w:rsid w:val="00074F3D"/>
    <w:rsid w:val="00074F50"/>
    <w:rsid w:val="00075009"/>
    <w:rsid w:val="00075144"/>
    <w:rsid w:val="000752E0"/>
    <w:rsid w:val="00075319"/>
    <w:rsid w:val="0007540D"/>
    <w:rsid w:val="0007556A"/>
    <w:rsid w:val="000756A9"/>
    <w:rsid w:val="0007571E"/>
    <w:rsid w:val="00075737"/>
    <w:rsid w:val="000757E5"/>
    <w:rsid w:val="00075898"/>
    <w:rsid w:val="000758C7"/>
    <w:rsid w:val="00075A2A"/>
    <w:rsid w:val="00075E30"/>
    <w:rsid w:val="00075F0A"/>
    <w:rsid w:val="00076091"/>
    <w:rsid w:val="000760E8"/>
    <w:rsid w:val="000760F0"/>
    <w:rsid w:val="00076138"/>
    <w:rsid w:val="000764D2"/>
    <w:rsid w:val="000765D6"/>
    <w:rsid w:val="00076630"/>
    <w:rsid w:val="0007671E"/>
    <w:rsid w:val="0007674F"/>
    <w:rsid w:val="00076815"/>
    <w:rsid w:val="00076937"/>
    <w:rsid w:val="00076A86"/>
    <w:rsid w:val="00076BF3"/>
    <w:rsid w:val="00076E3F"/>
    <w:rsid w:val="00076EB7"/>
    <w:rsid w:val="00076EC6"/>
    <w:rsid w:val="00077000"/>
    <w:rsid w:val="0007730E"/>
    <w:rsid w:val="00077420"/>
    <w:rsid w:val="000776FC"/>
    <w:rsid w:val="00077742"/>
    <w:rsid w:val="0007781A"/>
    <w:rsid w:val="0007788B"/>
    <w:rsid w:val="0007797A"/>
    <w:rsid w:val="000779C1"/>
    <w:rsid w:val="00077A20"/>
    <w:rsid w:val="00077B2B"/>
    <w:rsid w:val="00077B90"/>
    <w:rsid w:val="00077BB7"/>
    <w:rsid w:val="00077C7F"/>
    <w:rsid w:val="00077CBD"/>
    <w:rsid w:val="00077E49"/>
    <w:rsid w:val="00077FDF"/>
    <w:rsid w:val="000800BC"/>
    <w:rsid w:val="00080136"/>
    <w:rsid w:val="000802A2"/>
    <w:rsid w:val="000802AF"/>
    <w:rsid w:val="000803F9"/>
    <w:rsid w:val="000805E6"/>
    <w:rsid w:val="00080752"/>
    <w:rsid w:val="0008081F"/>
    <w:rsid w:val="00080955"/>
    <w:rsid w:val="0008096B"/>
    <w:rsid w:val="00080A37"/>
    <w:rsid w:val="00080B89"/>
    <w:rsid w:val="00080B8F"/>
    <w:rsid w:val="00080BFD"/>
    <w:rsid w:val="00080C1C"/>
    <w:rsid w:val="00080CBF"/>
    <w:rsid w:val="00080D18"/>
    <w:rsid w:val="00080DEC"/>
    <w:rsid w:val="00080E75"/>
    <w:rsid w:val="00080EB4"/>
    <w:rsid w:val="00081090"/>
    <w:rsid w:val="000810C7"/>
    <w:rsid w:val="000810F6"/>
    <w:rsid w:val="00081182"/>
    <w:rsid w:val="000812D6"/>
    <w:rsid w:val="00081508"/>
    <w:rsid w:val="00081542"/>
    <w:rsid w:val="0008157A"/>
    <w:rsid w:val="0008165E"/>
    <w:rsid w:val="00081664"/>
    <w:rsid w:val="000816F4"/>
    <w:rsid w:val="000816FB"/>
    <w:rsid w:val="00081986"/>
    <w:rsid w:val="000819C6"/>
    <w:rsid w:val="00081B1B"/>
    <w:rsid w:val="00081BBA"/>
    <w:rsid w:val="00081C4E"/>
    <w:rsid w:val="00081D50"/>
    <w:rsid w:val="00081DC7"/>
    <w:rsid w:val="00081E7C"/>
    <w:rsid w:val="00081EB9"/>
    <w:rsid w:val="00081F50"/>
    <w:rsid w:val="00081FB3"/>
    <w:rsid w:val="000821FA"/>
    <w:rsid w:val="000823EF"/>
    <w:rsid w:val="000823FC"/>
    <w:rsid w:val="00082445"/>
    <w:rsid w:val="0008245D"/>
    <w:rsid w:val="000824D6"/>
    <w:rsid w:val="0008262C"/>
    <w:rsid w:val="0008296E"/>
    <w:rsid w:val="0008299C"/>
    <w:rsid w:val="0008299D"/>
    <w:rsid w:val="00082A37"/>
    <w:rsid w:val="00082A62"/>
    <w:rsid w:val="00082A78"/>
    <w:rsid w:val="00082B53"/>
    <w:rsid w:val="00082C62"/>
    <w:rsid w:val="00082D21"/>
    <w:rsid w:val="00082DC9"/>
    <w:rsid w:val="00082E2F"/>
    <w:rsid w:val="00082F31"/>
    <w:rsid w:val="00082FF8"/>
    <w:rsid w:val="0008303C"/>
    <w:rsid w:val="00083095"/>
    <w:rsid w:val="0008312B"/>
    <w:rsid w:val="0008326B"/>
    <w:rsid w:val="0008341D"/>
    <w:rsid w:val="00083459"/>
    <w:rsid w:val="000834D3"/>
    <w:rsid w:val="00083500"/>
    <w:rsid w:val="00083791"/>
    <w:rsid w:val="000837DB"/>
    <w:rsid w:val="00083813"/>
    <w:rsid w:val="0008399A"/>
    <w:rsid w:val="00083AEB"/>
    <w:rsid w:val="00083AF0"/>
    <w:rsid w:val="00083B2F"/>
    <w:rsid w:val="00083CB1"/>
    <w:rsid w:val="00083D12"/>
    <w:rsid w:val="00083D2A"/>
    <w:rsid w:val="00083D2B"/>
    <w:rsid w:val="00083D63"/>
    <w:rsid w:val="00083E37"/>
    <w:rsid w:val="00083EC7"/>
    <w:rsid w:val="00084223"/>
    <w:rsid w:val="0008437D"/>
    <w:rsid w:val="00084438"/>
    <w:rsid w:val="000844DF"/>
    <w:rsid w:val="00084623"/>
    <w:rsid w:val="00084644"/>
    <w:rsid w:val="00084660"/>
    <w:rsid w:val="00084ACE"/>
    <w:rsid w:val="00084B7B"/>
    <w:rsid w:val="00084C45"/>
    <w:rsid w:val="00084C5D"/>
    <w:rsid w:val="00084C63"/>
    <w:rsid w:val="00084C77"/>
    <w:rsid w:val="00084CE2"/>
    <w:rsid w:val="00084D42"/>
    <w:rsid w:val="00084E9B"/>
    <w:rsid w:val="00084EC3"/>
    <w:rsid w:val="00085066"/>
    <w:rsid w:val="000850F7"/>
    <w:rsid w:val="00085480"/>
    <w:rsid w:val="000856CF"/>
    <w:rsid w:val="00085729"/>
    <w:rsid w:val="00085814"/>
    <w:rsid w:val="0008584B"/>
    <w:rsid w:val="000858A1"/>
    <w:rsid w:val="0008597F"/>
    <w:rsid w:val="00085C60"/>
    <w:rsid w:val="00085CBC"/>
    <w:rsid w:val="00085D51"/>
    <w:rsid w:val="00085E21"/>
    <w:rsid w:val="00085F2F"/>
    <w:rsid w:val="00086182"/>
    <w:rsid w:val="000862EA"/>
    <w:rsid w:val="00086370"/>
    <w:rsid w:val="00086451"/>
    <w:rsid w:val="000865E7"/>
    <w:rsid w:val="0008664D"/>
    <w:rsid w:val="00086691"/>
    <w:rsid w:val="00086733"/>
    <w:rsid w:val="0008673B"/>
    <w:rsid w:val="0008685D"/>
    <w:rsid w:val="00086995"/>
    <w:rsid w:val="000869D4"/>
    <w:rsid w:val="00086C64"/>
    <w:rsid w:val="00086D0B"/>
    <w:rsid w:val="00086DC5"/>
    <w:rsid w:val="00086E32"/>
    <w:rsid w:val="00086EB7"/>
    <w:rsid w:val="00087081"/>
    <w:rsid w:val="000870C8"/>
    <w:rsid w:val="000870CD"/>
    <w:rsid w:val="00087160"/>
    <w:rsid w:val="00087290"/>
    <w:rsid w:val="00087326"/>
    <w:rsid w:val="000873C3"/>
    <w:rsid w:val="00087469"/>
    <w:rsid w:val="000874BB"/>
    <w:rsid w:val="000874F3"/>
    <w:rsid w:val="00087706"/>
    <w:rsid w:val="00087711"/>
    <w:rsid w:val="00087748"/>
    <w:rsid w:val="000877B8"/>
    <w:rsid w:val="00087874"/>
    <w:rsid w:val="00087A2A"/>
    <w:rsid w:val="00087A45"/>
    <w:rsid w:val="00087B77"/>
    <w:rsid w:val="00087BB0"/>
    <w:rsid w:val="00087BB9"/>
    <w:rsid w:val="00087C1A"/>
    <w:rsid w:val="00087CAF"/>
    <w:rsid w:val="00087D66"/>
    <w:rsid w:val="00087F9B"/>
    <w:rsid w:val="00090023"/>
    <w:rsid w:val="00090066"/>
    <w:rsid w:val="000900F8"/>
    <w:rsid w:val="00090142"/>
    <w:rsid w:val="000902D1"/>
    <w:rsid w:val="000903E6"/>
    <w:rsid w:val="00090484"/>
    <w:rsid w:val="000904A4"/>
    <w:rsid w:val="0009055F"/>
    <w:rsid w:val="000905D1"/>
    <w:rsid w:val="00090717"/>
    <w:rsid w:val="00090721"/>
    <w:rsid w:val="0009076E"/>
    <w:rsid w:val="0009077D"/>
    <w:rsid w:val="00090804"/>
    <w:rsid w:val="0009099A"/>
    <w:rsid w:val="00090A05"/>
    <w:rsid w:val="00090B2E"/>
    <w:rsid w:val="00090BC5"/>
    <w:rsid w:val="00090E85"/>
    <w:rsid w:val="00090F22"/>
    <w:rsid w:val="00090FCE"/>
    <w:rsid w:val="0009100B"/>
    <w:rsid w:val="00091030"/>
    <w:rsid w:val="000911F2"/>
    <w:rsid w:val="000912B3"/>
    <w:rsid w:val="000912F4"/>
    <w:rsid w:val="000913DB"/>
    <w:rsid w:val="00091509"/>
    <w:rsid w:val="00091659"/>
    <w:rsid w:val="000916E7"/>
    <w:rsid w:val="000917B8"/>
    <w:rsid w:val="000918F9"/>
    <w:rsid w:val="000919CD"/>
    <w:rsid w:val="00091A17"/>
    <w:rsid w:val="00091AE6"/>
    <w:rsid w:val="00091B07"/>
    <w:rsid w:val="00091C7E"/>
    <w:rsid w:val="00091C98"/>
    <w:rsid w:val="00091DEF"/>
    <w:rsid w:val="00091E1F"/>
    <w:rsid w:val="00091EFA"/>
    <w:rsid w:val="00091EFD"/>
    <w:rsid w:val="00091F9C"/>
    <w:rsid w:val="000920C5"/>
    <w:rsid w:val="00092173"/>
    <w:rsid w:val="000923A9"/>
    <w:rsid w:val="0009246C"/>
    <w:rsid w:val="00092668"/>
    <w:rsid w:val="000928B5"/>
    <w:rsid w:val="000928CE"/>
    <w:rsid w:val="000929C2"/>
    <w:rsid w:val="00092A3B"/>
    <w:rsid w:val="00092A3C"/>
    <w:rsid w:val="00092AE2"/>
    <w:rsid w:val="00092B01"/>
    <w:rsid w:val="00092B3E"/>
    <w:rsid w:val="00092B66"/>
    <w:rsid w:val="00092BBB"/>
    <w:rsid w:val="00092BCA"/>
    <w:rsid w:val="00092C00"/>
    <w:rsid w:val="00092CE1"/>
    <w:rsid w:val="00092D02"/>
    <w:rsid w:val="00092D4D"/>
    <w:rsid w:val="00092D88"/>
    <w:rsid w:val="00092E7C"/>
    <w:rsid w:val="00092FFA"/>
    <w:rsid w:val="000932E0"/>
    <w:rsid w:val="000932EC"/>
    <w:rsid w:val="000932F0"/>
    <w:rsid w:val="00093442"/>
    <w:rsid w:val="0009362E"/>
    <w:rsid w:val="000937D8"/>
    <w:rsid w:val="000938A3"/>
    <w:rsid w:val="00093A42"/>
    <w:rsid w:val="00093B1F"/>
    <w:rsid w:val="00093D61"/>
    <w:rsid w:val="00093DBB"/>
    <w:rsid w:val="00093E6B"/>
    <w:rsid w:val="00093F0B"/>
    <w:rsid w:val="00093FD2"/>
    <w:rsid w:val="000940AF"/>
    <w:rsid w:val="0009423C"/>
    <w:rsid w:val="000942F6"/>
    <w:rsid w:val="00094562"/>
    <w:rsid w:val="00094751"/>
    <w:rsid w:val="00094883"/>
    <w:rsid w:val="0009492D"/>
    <w:rsid w:val="00094962"/>
    <w:rsid w:val="00094A25"/>
    <w:rsid w:val="00094D02"/>
    <w:rsid w:val="00094E94"/>
    <w:rsid w:val="00094EC0"/>
    <w:rsid w:val="00094EEA"/>
    <w:rsid w:val="00094F4F"/>
    <w:rsid w:val="00094F59"/>
    <w:rsid w:val="000951AE"/>
    <w:rsid w:val="000951F5"/>
    <w:rsid w:val="000953BD"/>
    <w:rsid w:val="000953BF"/>
    <w:rsid w:val="00095549"/>
    <w:rsid w:val="00095864"/>
    <w:rsid w:val="000958F7"/>
    <w:rsid w:val="000959AF"/>
    <w:rsid w:val="000959D3"/>
    <w:rsid w:val="00095B4F"/>
    <w:rsid w:val="00095C22"/>
    <w:rsid w:val="00095D80"/>
    <w:rsid w:val="00095E4F"/>
    <w:rsid w:val="00095F9F"/>
    <w:rsid w:val="00096043"/>
    <w:rsid w:val="000960C0"/>
    <w:rsid w:val="00096115"/>
    <w:rsid w:val="00096170"/>
    <w:rsid w:val="0009618A"/>
    <w:rsid w:val="00096268"/>
    <w:rsid w:val="000963D9"/>
    <w:rsid w:val="000964E9"/>
    <w:rsid w:val="0009657B"/>
    <w:rsid w:val="000965C8"/>
    <w:rsid w:val="0009668A"/>
    <w:rsid w:val="000969CC"/>
    <w:rsid w:val="00096C25"/>
    <w:rsid w:val="00096D44"/>
    <w:rsid w:val="00096E40"/>
    <w:rsid w:val="0009718D"/>
    <w:rsid w:val="0009731A"/>
    <w:rsid w:val="00097355"/>
    <w:rsid w:val="00097472"/>
    <w:rsid w:val="000974B3"/>
    <w:rsid w:val="00097770"/>
    <w:rsid w:val="000977FF"/>
    <w:rsid w:val="0009793D"/>
    <w:rsid w:val="00097A41"/>
    <w:rsid w:val="00097A7D"/>
    <w:rsid w:val="00097A9D"/>
    <w:rsid w:val="00097AD4"/>
    <w:rsid w:val="00097BAE"/>
    <w:rsid w:val="00097CD6"/>
    <w:rsid w:val="00097D53"/>
    <w:rsid w:val="00097F43"/>
    <w:rsid w:val="00097FB4"/>
    <w:rsid w:val="00097FCE"/>
    <w:rsid w:val="000A00EF"/>
    <w:rsid w:val="000A011D"/>
    <w:rsid w:val="000A0136"/>
    <w:rsid w:val="000A018E"/>
    <w:rsid w:val="000A0228"/>
    <w:rsid w:val="000A072E"/>
    <w:rsid w:val="000A091F"/>
    <w:rsid w:val="000A0934"/>
    <w:rsid w:val="000A09D7"/>
    <w:rsid w:val="000A09FC"/>
    <w:rsid w:val="000A09FF"/>
    <w:rsid w:val="000A0A7C"/>
    <w:rsid w:val="000A0BB6"/>
    <w:rsid w:val="000A0BE1"/>
    <w:rsid w:val="000A0C73"/>
    <w:rsid w:val="000A0E33"/>
    <w:rsid w:val="000A0E97"/>
    <w:rsid w:val="000A0FD4"/>
    <w:rsid w:val="000A0FDE"/>
    <w:rsid w:val="000A0FF1"/>
    <w:rsid w:val="000A1004"/>
    <w:rsid w:val="000A1029"/>
    <w:rsid w:val="000A1116"/>
    <w:rsid w:val="000A11C8"/>
    <w:rsid w:val="000A12BC"/>
    <w:rsid w:val="000A13D3"/>
    <w:rsid w:val="000A142C"/>
    <w:rsid w:val="000A1465"/>
    <w:rsid w:val="000A1466"/>
    <w:rsid w:val="000A14E7"/>
    <w:rsid w:val="000A14F4"/>
    <w:rsid w:val="000A158E"/>
    <w:rsid w:val="000A159B"/>
    <w:rsid w:val="000A15FE"/>
    <w:rsid w:val="000A16BB"/>
    <w:rsid w:val="000A1748"/>
    <w:rsid w:val="000A17AF"/>
    <w:rsid w:val="000A1955"/>
    <w:rsid w:val="000A1A2C"/>
    <w:rsid w:val="000A1A54"/>
    <w:rsid w:val="000A1A74"/>
    <w:rsid w:val="000A1BA1"/>
    <w:rsid w:val="000A1CD0"/>
    <w:rsid w:val="000A1CF4"/>
    <w:rsid w:val="000A1E0D"/>
    <w:rsid w:val="000A1E93"/>
    <w:rsid w:val="000A1FB8"/>
    <w:rsid w:val="000A201F"/>
    <w:rsid w:val="000A2197"/>
    <w:rsid w:val="000A2236"/>
    <w:rsid w:val="000A2275"/>
    <w:rsid w:val="000A2323"/>
    <w:rsid w:val="000A239D"/>
    <w:rsid w:val="000A23AD"/>
    <w:rsid w:val="000A25E0"/>
    <w:rsid w:val="000A25E9"/>
    <w:rsid w:val="000A272B"/>
    <w:rsid w:val="000A27FB"/>
    <w:rsid w:val="000A28CA"/>
    <w:rsid w:val="000A2967"/>
    <w:rsid w:val="000A2999"/>
    <w:rsid w:val="000A2AD2"/>
    <w:rsid w:val="000A2C15"/>
    <w:rsid w:val="000A2CE7"/>
    <w:rsid w:val="000A2D23"/>
    <w:rsid w:val="000A2DC5"/>
    <w:rsid w:val="000A2EEF"/>
    <w:rsid w:val="000A3000"/>
    <w:rsid w:val="000A30EA"/>
    <w:rsid w:val="000A32BD"/>
    <w:rsid w:val="000A33AD"/>
    <w:rsid w:val="000A345F"/>
    <w:rsid w:val="000A34FE"/>
    <w:rsid w:val="000A3529"/>
    <w:rsid w:val="000A3552"/>
    <w:rsid w:val="000A355D"/>
    <w:rsid w:val="000A3594"/>
    <w:rsid w:val="000A35F1"/>
    <w:rsid w:val="000A3603"/>
    <w:rsid w:val="000A3775"/>
    <w:rsid w:val="000A3786"/>
    <w:rsid w:val="000A3947"/>
    <w:rsid w:val="000A39A3"/>
    <w:rsid w:val="000A3A3D"/>
    <w:rsid w:val="000A3AB6"/>
    <w:rsid w:val="000A3B62"/>
    <w:rsid w:val="000A3B74"/>
    <w:rsid w:val="000A3B75"/>
    <w:rsid w:val="000A3C14"/>
    <w:rsid w:val="000A3C68"/>
    <w:rsid w:val="000A3D21"/>
    <w:rsid w:val="000A3DD6"/>
    <w:rsid w:val="000A3F4D"/>
    <w:rsid w:val="000A4092"/>
    <w:rsid w:val="000A40E1"/>
    <w:rsid w:val="000A4188"/>
    <w:rsid w:val="000A41D6"/>
    <w:rsid w:val="000A431B"/>
    <w:rsid w:val="000A444A"/>
    <w:rsid w:val="000A445F"/>
    <w:rsid w:val="000A4491"/>
    <w:rsid w:val="000A45AB"/>
    <w:rsid w:val="000A4670"/>
    <w:rsid w:val="000A4716"/>
    <w:rsid w:val="000A471C"/>
    <w:rsid w:val="000A4760"/>
    <w:rsid w:val="000A4813"/>
    <w:rsid w:val="000A4828"/>
    <w:rsid w:val="000A4944"/>
    <w:rsid w:val="000A49BE"/>
    <w:rsid w:val="000A49E5"/>
    <w:rsid w:val="000A4A7F"/>
    <w:rsid w:val="000A4C04"/>
    <w:rsid w:val="000A4C9D"/>
    <w:rsid w:val="000A4CE0"/>
    <w:rsid w:val="000A4D1D"/>
    <w:rsid w:val="000A4D53"/>
    <w:rsid w:val="000A4E7F"/>
    <w:rsid w:val="000A4E99"/>
    <w:rsid w:val="000A4F6F"/>
    <w:rsid w:val="000A51D1"/>
    <w:rsid w:val="000A5224"/>
    <w:rsid w:val="000A5236"/>
    <w:rsid w:val="000A52E2"/>
    <w:rsid w:val="000A53A2"/>
    <w:rsid w:val="000A542C"/>
    <w:rsid w:val="000A5567"/>
    <w:rsid w:val="000A556C"/>
    <w:rsid w:val="000A55C4"/>
    <w:rsid w:val="000A562B"/>
    <w:rsid w:val="000A5764"/>
    <w:rsid w:val="000A57E4"/>
    <w:rsid w:val="000A59C1"/>
    <w:rsid w:val="000A5A68"/>
    <w:rsid w:val="000A5B67"/>
    <w:rsid w:val="000A5C61"/>
    <w:rsid w:val="000A5C70"/>
    <w:rsid w:val="000A5C84"/>
    <w:rsid w:val="000A5CA2"/>
    <w:rsid w:val="000A5CDB"/>
    <w:rsid w:val="000A5F01"/>
    <w:rsid w:val="000A5F64"/>
    <w:rsid w:val="000A61E7"/>
    <w:rsid w:val="000A6249"/>
    <w:rsid w:val="000A63CB"/>
    <w:rsid w:val="000A6453"/>
    <w:rsid w:val="000A656B"/>
    <w:rsid w:val="000A65CA"/>
    <w:rsid w:val="000A65F0"/>
    <w:rsid w:val="000A65FC"/>
    <w:rsid w:val="000A6621"/>
    <w:rsid w:val="000A67E1"/>
    <w:rsid w:val="000A6905"/>
    <w:rsid w:val="000A6918"/>
    <w:rsid w:val="000A692A"/>
    <w:rsid w:val="000A6938"/>
    <w:rsid w:val="000A6963"/>
    <w:rsid w:val="000A69BC"/>
    <w:rsid w:val="000A69E7"/>
    <w:rsid w:val="000A6A97"/>
    <w:rsid w:val="000A6CA1"/>
    <w:rsid w:val="000A6D13"/>
    <w:rsid w:val="000A6EEA"/>
    <w:rsid w:val="000A6FE9"/>
    <w:rsid w:val="000A70BA"/>
    <w:rsid w:val="000A70C2"/>
    <w:rsid w:val="000A71E4"/>
    <w:rsid w:val="000A74C0"/>
    <w:rsid w:val="000A754A"/>
    <w:rsid w:val="000A759C"/>
    <w:rsid w:val="000A75BF"/>
    <w:rsid w:val="000A75FB"/>
    <w:rsid w:val="000A786F"/>
    <w:rsid w:val="000A794E"/>
    <w:rsid w:val="000A79FA"/>
    <w:rsid w:val="000A7AB0"/>
    <w:rsid w:val="000A7DE8"/>
    <w:rsid w:val="000A7E3B"/>
    <w:rsid w:val="000A7E6F"/>
    <w:rsid w:val="000B0274"/>
    <w:rsid w:val="000B02F7"/>
    <w:rsid w:val="000B054C"/>
    <w:rsid w:val="000B05D6"/>
    <w:rsid w:val="000B0781"/>
    <w:rsid w:val="000B07F3"/>
    <w:rsid w:val="000B089B"/>
    <w:rsid w:val="000B0939"/>
    <w:rsid w:val="000B0A8E"/>
    <w:rsid w:val="000B0AE4"/>
    <w:rsid w:val="000B0AE5"/>
    <w:rsid w:val="000B0BD2"/>
    <w:rsid w:val="000B0C1B"/>
    <w:rsid w:val="000B0C3D"/>
    <w:rsid w:val="000B0C41"/>
    <w:rsid w:val="000B0C8D"/>
    <w:rsid w:val="000B0EA1"/>
    <w:rsid w:val="000B0F05"/>
    <w:rsid w:val="000B1164"/>
    <w:rsid w:val="000B11E6"/>
    <w:rsid w:val="000B12AA"/>
    <w:rsid w:val="000B1421"/>
    <w:rsid w:val="000B1487"/>
    <w:rsid w:val="000B155B"/>
    <w:rsid w:val="000B157A"/>
    <w:rsid w:val="000B15DD"/>
    <w:rsid w:val="000B1602"/>
    <w:rsid w:val="000B17AC"/>
    <w:rsid w:val="000B17FD"/>
    <w:rsid w:val="000B1985"/>
    <w:rsid w:val="000B1B39"/>
    <w:rsid w:val="000B1C00"/>
    <w:rsid w:val="000B1C78"/>
    <w:rsid w:val="000B1C80"/>
    <w:rsid w:val="000B1CE3"/>
    <w:rsid w:val="000B1E46"/>
    <w:rsid w:val="000B1E6A"/>
    <w:rsid w:val="000B1FFE"/>
    <w:rsid w:val="000B208E"/>
    <w:rsid w:val="000B20A6"/>
    <w:rsid w:val="000B20B4"/>
    <w:rsid w:val="000B20BD"/>
    <w:rsid w:val="000B2135"/>
    <w:rsid w:val="000B2169"/>
    <w:rsid w:val="000B219D"/>
    <w:rsid w:val="000B21AE"/>
    <w:rsid w:val="000B2208"/>
    <w:rsid w:val="000B225B"/>
    <w:rsid w:val="000B2301"/>
    <w:rsid w:val="000B2403"/>
    <w:rsid w:val="000B2561"/>
    <w:rsid w:val="000B25EC"/>
    <w:rsid w:val="000B2694"/>
    <w:rsid w:val="000B26F0"/>
    <w:rsid w:val="000B2807"/>
    <w:rsid w:val="000B2872"/>
    <w:rsid w:val="000B29F1"/>
    <w:rsid w:val="000B2A2F"/>
    <w:rsid w:val="000B2A38"/>
    <w:rsid w:val="000B2C24"/>
    <w:rsid w:val="000B2E5F"/>
    <w:rsid w:val="000B2EA8"/>
    <w:rsid w:val="000B2EE6"/>
    <w:rsid w:val="000B2F2C"/>
    <w:rsid w:val="000B2F8A"/>
    <w:rsid w:val="000B3017"/>
    <w:rsid w:val="000B3034"/>
    <w:rsid w:val="000B3053"/>
    <w:rsid w:val="000B33E4"/>
    <w:rsid w:val="000B34A6"/>
    <w:rsid w:val="000B34F4"/>
    <w:rsid w:val="000B38A8"/>
    <w:rsid w:val="000B39F6"/>
    <w:rsid w:val="000B3B13"/>
    <w:rsid w:val="000B3B51"/>
    <w:rsid w:val="000B3B53"/>
    <w:rsid w:val="000B3C9C"/>
    <w:rsid w:val="000B3CAE"/>
    <w:rsid w:val="000B3F03"/>
    <w:rsid w:val="000B3FE4"/>
    <w:rsid w:val="000B408D"/>
    <w:rsid w:val="000B412C"/>
    <w:rsid w:val="000B413D"/>
    <w:rsid w:val="000B417D"/>
    <w:rsid w:val="000B41BC"/>
    <w:rsid w:val="000B4215"/>
    <w:rsid w:val="000B4216"/>
    <w:rsid w:val="000B42D8"/>
    <w:rsid w:val="000B437C"/>
    <w:rsid w:val="000B4397"/>
    <w:rsid w:val="000B46BF"/>
    <w:rsid w:val="000B4756"/>
    <w:rsid w:val="000B479C"/>
    <w:rsid w:val="000B47A2"/>
    <w:rsid w:val="000B47F6"/>
    <w:rsid w:val="000B4801"/>
    <w:rsid w:val="000B4882"/>
    <w:rsid w:val="000B4888"/>
    <w:rsid w:val="000B48E5"/>
    <w:rsid w:val="000B4A3E"/>
    <w:rsid w:val="000B4AB2"/>
    <w:rsid w:val="000B4AD8"/>
    <w:rsid w:val="000B4B31"/>
    <w:rsid w:val="000B4B67"/>
    <w:rsid w:val="000B4BB6"/>
    <w:rsid w:val="000B4DE8"/>
    <w:rsid w:val="000B5115"/>
    <w:rsid w:val="000B5150"/>
    <w:rsid w:val="000B52A7"/>
    <w:rsid w:val="000B5306"/>
    <w:rsid w:val="000B53A7"/>
    <w:rsid w:val="000B543E"/>
    <w:rsid w:val="000B54E9"/>
    <w:rsid w:val="000B54FF"/>
    <w:rsid w:val="000B55AB"/>
    <w:rsid w:val="000B5752"/>
    <w:rsid w:val="000B580B"/>
    <w:rsid w:val="000B5891"/>
    <w:rsid w:val="000B58EA"/>
    <w:rsid w:val="000B595A"/>
    <w:rsid w:val="000B5A99"/>
    <w:rsid w:val="000B5B4B"/>
    <w:rsid w:val="000B5B5D"/>
    <w:rsid w:val="000B5B6F"/>
    <w:rsid w:val="000B5EEA"/>
    <w:rsid w:val="000B5F31"/>
    <w:rsid w:val="000B6002"/>
    <w:rsid w:val="000B60D6"/>
    <w:rsid w:val="000B6111"/>
    <w:rsid w:val="000B613F"/>
    <w:rsid w:val="000B62EE"/>
    <w:rsid w:val="000B6446"/>
    <w:rsid w:val="000B64A2"/>
    <w:rsid w:val="000B6588"/>
    <w:rsid w:val="000B6660"/>
    <w:rsid w:val="000B66A7"/>
    <w:rsid w:val="000B6886"/>
    <w:rsid w:val="000B689D"/>
    <w:rsid w:val="000B6A75"/>
    <w:rsid w:val="000B6A76"/>
    <w:rsid w:val="000B6AB7"/>
    <w:rsid w:val="000B6B52"/>
    <w:rsid w:val="000B6D07"/>
    <w:rsid w:val="000B6E0C"/>
    <w:rsid w:val="000B705B"/>
    <w:rsid w:val="000B719D"/>
    <w:rsid w:val="000B71F8"/>
    <w:rsid w:val="000B7297"/>
    <w:rsid w:val="000B72B4"/>
    <w:rsid w:val="000B72E9"/>
    <w:rsid w:val="000B72F1"/>
    <w:rsid w:val="000B7318"/>
    <w:rsid w:val="000B7378"/>
    <w:rsid w:val="000B744E"/>
    <w:rsid w:val="000B7551"/>
    <w:rsid w:val="000B7730"/>
    <w:rsid w:val="000B7755"/>
    <w:rsid w:val="000B7E1D"/>
    <w:rsid w:val="000B7E2F"/>
    <w:rsid w:val="000B7F20"/>
    <w:rsid w:val="000B7FEA"/>
    <w:rsid w:val="000C0023"/>
    <w:rsid w:val="000C013A"/>
    <w:rsid w:val="000C037C"/>
    <w:rsid w:val="000C03FC"/>
    <w:rsid w:val="000C0506"/>
    <w:rsid w:val="000C0703"/>
    <w:rsid w:val="000C0750"/>
    <w:rsid w:val="000C07A1"/>
    <w:rsid w:val="000C07C8"/>
    <w:rsid w:val="000C082B"/>
    <w:rsid w:val="000C0AF7"/>
    <w:rsid w:val="000C0C45"/>
    <w:rsid w:val="000C0D2E"/>
    <w:rsid w:val="000C0DB5"/>
    <w:rsid w:val="000C0F2E"/>
    <w:rsid w:val="000C1037"/>
    <w:rsid w:val="000C12D3"/>
    <w:rsid w:val="000C12E4"/>
    <w:rsid w:val="000C12FD"/>
    <w:rsid w:val="000C1339"/>
    <w:rsid w:val="000C138D"/>
    <w:rsid w:val="000C14D5"/>
    <w:rsid w:val="000C15B4"/>
    <w:rsid w:val="000C1683"/>
    <w:rsid w:val="000C17BD"/>
    <w:rsid w:val="000C17E5"/>
    <w:rsid w:val="000C18DB"/>
    <w:rsid w:val="000C197E"/>
    <w:rsid w:val="000C19AA"/>
    <w:rsid w:val="000C1A27"/>
    <w:rsid w:val="000C1B5B"/>
    <w:rsid w:val="000C1C29"/>
    <w:rsid w:val="000C1D92"/>
    <w:rsid w:val="000C1F93"/>
    <w:rsid w:val="000C2038"/>
    <w:rsid w:val="000C2049"/>
    <w:rsid w:val="000C205D"/>
    <w:rsid w:val="000C20E5"/>
    <w:rsid w:val="000C23A5"/>
    <w:rsid w:val="000C2414"/>
    <w:rsid w:val="000C24C3"/>
    <w:rsid w:val="000C251D"/>
    <w:rsid w:val="000C2586"/>
    <w:rsid w:val="000C25CF"/>
    <w:rsid w:val="000C2635"/>
    <w:rsid w:val="000C26DB"/>
    <w:rsid w:val="000C26F7"/>
    <w:rsid w:val="000C28BE"/>
    <w:rsid w:val="000C28ED"/>
    <w:rsid w:val="000C2901"/>
    <w:rsid w:val="000C2947"/>
    <w:rsid w:val="000C294D"/>
    <w:rsid w:val="000C29F7"/>
    <w:rsid w:val="000C2AAC"/>
    <w:rsid w:val="000C2C65"/>
    <w:rsid w:val="000C2D0B"/>
    <w:rsid w:val="000C2D13"/>
    <w:rsid w:val="000C2F66"/>
    <w:rsid w:val="000C30F7"/>
    <w:rsid w:val="000C3201"/>
    <w:rsid w:val="000C3277"/>
    <w:rsid w:val="000C34CC"/>
    <w:rsid w:val="000C3543"/>
    <w:rsid w:val="000C3590"/>
    <w:rsid w:val="000C375A"/>
    <w:rsid w:val="000C3870"/>
    <w:rsid w:val="000C398A"/>
    <w:rsid w:val="000C3AC3"/>
    <w:rsid w:val="000C3CFA"/>
    <w:rsid w:val="000C3E18"/>
    <w:rsid w:val="000C3ED0"/>
    <w:rsid w:val="000C4307"/>
    <w:rsid w:val="000C44A4"/>
    <w:rsid w:val="000C4763"/>
    <w:rsid w:val="000C476C"/>
    <w:rsid w:val="000C47B8"/>
    <w:rsid w:val="000C494D"/>
    <w:rsid w:val="000C4952"/>
    <w:rsid w:val="000C499E"/>
    <w:rsid w:val="000C4B33"/>
    <w:rsid w:val="000C4B45"/>
    <w:rsid w:val="000C4CF5"/>
    <w:rsid w:val="000C4D11"/>
    <w:rsid w:val="000C4E9B"/>
    <w:rsid w:val="000C4ECD"/>
    <w:rsid w:val="000C50BE"/>
    <w:rsid w:val="000C5186"/>
    <w:rsid w:val="000C54AB"/>
    <w:rsid w:val="000C54AE"/>
    <w:rsid w:val="000C5557"/>
    <w:rsid w:val="000C58ED"/>
    <w:rsid w:val="000C593D"/>
    <w:rsid w:val="000C5944"/>
    <w:rsid w:val="000C595B"/>
    <w:rsid w:val="000C59F5"/>
    <w:rsid w:val="000C5A83"/>
    <w:rsid w:val="000C5BBC"/>
    <w:rsid w:val="000C5BE8"/>
    <w:rsid w:val="000C5CD1"/>
    <w:rsid w:val="000C5D37"/>
    <w:rsid w:val="000C5DCE"/>
    <w:rsid w:val="000C5F1B"/>
    <w:rsid w:val="000C60C0"/>
    <w:rsid w:val="000C6162"/>
    <w:rsid w:val="000C61A5"/>
    <w:rsid w:val="000C6342"/>
    <w:rsid w:val="000C6428"/>
    <w:rsid w:val="000C65B3"/>
    <w:rsid w:val="000C65E2"/>
    <w:rsid w:val="000C68D1"/>
    <w:rsid w:val="000C68E1"/>
    <w:rsid w:val="000C693E"/>
    <w:rsid w:val="000C6972"/>
    <w:rsid w:val="000C69B6"/>
    <w:rsid w:val="000C6A1C"/>
    <w:rsid w:val="000C6AC0"/>
    <w:rsid w:val="000C6AC2"/>
    <w:rsid w:val="000C6B4C"/>
    <w:rsid w:val="000C6C1C"/>
    <w:rsid w:val="000C6CEB"/>
    <w:rsid w:val="000C6D2A"/>
    <w:rsid w:val="000C6E22"/>
    <w:rsid w:val="000C6EA3"/>
    <w:rsid w:val="000C7037"/>
    <w:rsid w:val="000C70BF"/>
    <w:rsid w:val="000C712B"/>
    <w:rsid w:val="000C7169"/>
    <w:rsid w:val="000C72B0"/>
    <w:rsid w:val="000C72C3"/>
    <w:rsid w:val="000C72C8"/>
    <w:rsid w:val="000C74C3"/>
    <w:rsid w:val="000C7606"/>
    <w:rsid w:val="000C766C"/>
    <w:rsid w:val="000C77E5"/>
    <w:rsid w:val="000C7809"/>
    <w:rsid w:val="000C7825"/>
    <w:rsid w:val="000C792C"/>
    <w:rsid w:val="000C7A57"/>
    <w:rsid w:val="000C7B9F"/>
    <w:rsid w:val="000C7D51"/>
    <w:rsid w:val="000C7ED0"/>
    <w:rsid w:val="000D004F"/>
    <w:rsid w:val="000D010F"/>
    <w:rsid w:val="000D0171"/>
    <w:rsid w:val="000D0288"/>
    <w:rsid w:val="000D02BD"/>
    <w:rsid w:val="000D038B"/>
    <w:rsid w:val="000D039A"/>
    <w:rsid w:val="000D0486"/>
    <w:rsid w:val="000D04BF"/>
    <w:rsid w:val="000D0553"/>
    <w:rsid w:val="000D0584"/>
    <w:rsid w:val="000D0644"/>
    <w:rsid w:val="000D0684"/>
    <w:rsid w:val="000D07A9"/>
    <w:rsid w:val="000D0B64"/>
    <w:rsid w:val="000D0CA3"/>
    <w:rsid w:val="000D0CEE"/>
    <w:rsid w:val="000D0D30"/>
    <w:rsid w:val="000D0D4B"/>
    <w:rsid w:val="000D0E40"/>
    <w:rsid w:val="000D0E57"/>
    <w:rsid w:val="000D0E7E"/>
    <w:rsid w:val="000D0EBD"/>
    <w:rsid w:val="000D0F35"/>
    <w:rsid w:val="000D0FBD"/>
    <w:rsid w:val="000D1019"/>
    <w:rsid w:val="000D106C"/>
    <w:rsid w:val="000D1095"/>
    <w:rsid w:val="000D10C7"/>
    <w:rsid w:val="000D10E9"/>
    <w:rsid w:val="000D115D"/>
    <w:rsid w:val="000D11A1"/>
    <w:rsid w:val="000D122B"/>
    <w:rsid w:val="000D139B"/>
    <w:rsid w:val="000D140D"/>
    <w:rsid w:val="000D1590"/>
    <w:rsid w:val="000D1677"/>
    <w:rsid w:val="000D1720"/>
    <w:rsid w:val="000D173D"/>
    <w:rsid w:val="000D175C"/>
    <w:rsid w:val="000D19AC"/>
    <w:rsid w:val="000D1A14"/>
    <w:rsid w:val="000D1A5D"/>
    <w:rsid w:val="000D1AFB"/>
    <w:rsid w:val="000D1C43"/>
    <w:rsid w:val="000D1CE1"/>
    <w:rsid w:val="000D1DA4"/>
    <w:rsid w:val="000D1EDF"/>
    <w:rsid w:val="000D1F5D"/>
    <w:rsid w:val="000D201C"/>
    <w:rsid w:val="000D2025"/>
    <w:rsid w:val="000D2039"/>
    <w:rsid w:val="000D2059"/>
    <w:rsid w:val="000D20C1"/>
    <w:rsid w:val="000D2120"/>
    <w:rsid w:val="000D2145"/>
    <w:rsid w:val="000D222D"/>
    <w:rsid w:val="000D235F"/>
    <w:rsid w:val="000D245E"/>
    <w:rsid w:val="000D2642"/>
    <w:rsid w:val="000D26F5"/>
    <w:rsid w:val="000D2953"/>
    <w:rsid w:val="000D2A45"/>
    <w:rsid w:val="000D2AF2"/>
    <w:rsid w:val="000D2BAA"/>
    <w:rsid w:val="000D2BD3"/>
    <w:rsid w:val="000D2C35"/>
    <w:rsid w:val="000D2C76"/>
    <w:rsid w:val="000D2DDA"/>
    <w:rsid w:val="000D2E0C"/>
    <w:rsid w:val="000D2F55"/>
    <w:rsid w:val="000D2F8F"/>
    <w:rsid w:val="000D3068"/>
    <w:rsid w:val="000D30B0"/>
    <w:rsid w:val="000D33FC"/>
    <w:rsid w:val="000D342B"/>
    <w:rsid w:val="000D3531"/>
    <w:rsid w:val="000D376F"/>
    <w:rsid w:val="000D38EF"/>
    <w:rsid w:val="000D3911"/>
    <w:rsid w:val="000D3975"/>
    <w:rsid w:val="000D397C"/>
    <w:rsid w:val="000D39E6"/>
    <w:rsid w:val="000D3B03"/>
    <w:rsid w:val="000D3BD1"/>
    <w:rsid w:val="000D3C97"/>
    <w:rsid w:val="000D3CCA"/>
    <w:rsid w:val="000D3CFA"/>
    <w:rsid w:val="000D3EC4"/>
    <w:rsid w:val="000D3FEA"/>
    <w:rsid w:val="000D404E"/>
    <w:rsid w:val="000D4281"/>
    <w:rsid w:val="000D42C0"/>
    <w:rsid w:val="000D434B"/>
    <w:rsid w:val="000D45CA"/>
    <w:rsid w:val="000D4679"/>
    <w:rsid w:val="000D476A"/>
    <w:rsid w:val="000D47BD"/>
    <w:rsid w:val="000D4899"/>
    <w:rsid w:val="000D48A5"/>
    <w:rsid w:val="000D49B6"/>
    <w:rsid w:val="000D4AC9"/>
    <w:rsid w:val="000D4B26"/>
    <w:rsid w:val="000D4BE4"/>
    <w:rsid w:val="000D4BFF"/>
    <w:rsid w:val="000D4C36"/>
    <w:rsid w:val="000D4C64"/>
    <w:rsid w:val="000D4D4C"/>
    <w:rsid w:val="000D4DBD"/>
    <w:rsid w:val="000D4DF7"/>
    <w:rsid w:val="000D4EF6"/>
    <w:rsid w:val="000D5002"/>
    <w:rsid w:val="000D5121"/>
    <w:rsid w:val="000D5222"/>
    <w:rsid w:val="000D52FD"/>
    <w:rsid w:val="000D5492"/>
    <w:rsid w:val="000D5542"/>
    <w:rsid w:val="000D57F5"/>
    <w:rsid w:val="000D59CD"/>
    <w:rsid w:val="000D59E1"/>
    <w:rsid w:val="000D5C99"/>
    <w:rsid w:val="000D5CA6"/>
    <w:rsid w:val="000D5D13"/>
    <w:rsid w:val="000D5D7F"/>
    <w:rsid w:val="000D5E3F"/>
    <w:rsid w:val="000D5EDD"/>
    <w:rsid w:val="000D5FFF"/>
    <w:rsid w:val="000D6026"/>
    <w:rsid w:val="000D60F1"/>
    <w:rsid w:val="000D6123"/>
    <w:rsid w:val="000D623C"/>
    <w:rsid w:val="000D63A0"/>
    <w:rsid w:val="000D64BD"/>
    <w:rsid w:val="000D65E4"/>
    <w:rsid w:val="000D6607"/>
    <w:rsid w:val="000D670E"/>
    <w:rsid w:val="000D6753"/>
    <w:rsid w:val="000D6794"/>
    <w:rsid w:val="000D6C0C"/>
    <w:rsid w:val="000D6CBF"/>
    <w:rsid w:val="000D6CC7"/>
    <w:rsid w:val="000D6CED"/>
    <w:rsid w:val="000D6E68"/>
    <w:rsid w:val="000D6EC2"/>
    <w:rsid w:val="000D6FD3"/>
    <w:rsid w:val="000D70B6"/>
    <w:rsid w:val="000D7176"/>
    <w:rsid w:val="000D7287"/>
    <w:rsid w:val="000D731F"/>
    <w:rsid w:val="000D7388"/>
    <w:rsid w:val="000D73CA"/>
    <w:rsid w:val="000D7463"/>
    <w:rsid w:val="000D74A9"/>
    <w:rsid w:val="000D74E0"/>
    <w:rsid w:val="000D751B"/>
    <w:rsid w:val="000D7606"/>
    <w:rsid w:val="000D780A"/>
    <w:rsid w:val="000D78F4"/>
    <w:rsid w:val="000D7917"/>
    <w:rsid w:val="000D7942"/>
    <w:rsid w:val="000D7A2B"/>
    <w:rsid w:val="000D7AC3"/>
    <w:rsid w:val="000D7C18"/>
    <w:rsid w:val="000D7CED"/>
    <w:rsid w:val="000D7D8E"/>
    <w:rsid w:val="000D7E58"/>
    <w:rsid w:val="000D7E77"/>
    <w:rsid w:val="000D7EC4"/>
    <w:rsid w:val="000D7F01"/>
    <w:rsid w:val="000D7FD5"/>
    <w:rsid w:val="000E01B7"/>
    <w:rsid w:val="000E0228"/>
    <w:rsid w:val="000E02B4"/>
    <w:rsid w:val="000E0375"/>
    <w:rsid w:val="000E0430"/>
    <w:rsid w:val="000E068A"/>
    <w:rsid w:val="000E07AF"/>
    <w:rsid w:val="000E086B"/>
    <w:rsid w:val="000E08DE"/>
    <w:rsid w:val="000E0AFB"/>
    <w:rsid w:val="000E0BB5"/>
    <w:rsid w:val="000E0E40"/>
    <w:rsid w:val="000E0F26"/>
    <w:rsid w:val="000E105A"/>
    <w:rsid w:val="000E105B"/>
    <w:rsid w:val="000E106B"/>
    <w:rsid w:val="000E111D"/>
    <w:rsid w:val="000E12DF"/>
    <w:rsid w:val="000E1312"/>
    <w:rsid w:val="000E149B"/>
    <w:rsid w:val="000E15A0"/>
    <w:rsid w:val="000E15AC"/>
    <w:rsid w:val="000E15B6"/>
    <w:rsid w:val="000E1762"/>
    <w:rsid w:val="000E182E"/>
    <w:rsid w:val="000E1852"/>
    <w:rsid w:val="000E189E"/>
    <w:rsid w:val="000E1B4A"/>
    <w:rsid w:val="000E1BEA"/>
    <w:rsid w:val="000E1C01"/>
    <w:rsid w:val="000E1C7C"/>
    <w:rsid w:val="000E1D37"/>
    <w:rsid w:val="000E1D6D"/>
    <w:rsid w:val="000E1DB9"/>
    <w:rsid w:val="000E1E18"/>
    <w:rsid w:val="000E1FB4"/>
    <w:rsid w:val="000E20A7"/>
    <w:rsid w:val="000E20DB"/>
    <w:rsid w:val="000E21C1"/>
    <w:rsid w:val="000E2244"/>
    <w:rsid w:val="000E23DE"/>
    <w:rsid w:val="000E24AF"/>
    <w:rsid w:val="000E24CC"/>
    <w:rsid w:val="000E251C"/>
    <w:rsid w:val="000E2639"/>
    <w:rsid w:val="000E273E"/>
    <w:rsid w:val="000E276F"/>
    <w:rsid w:val="000E279F"/>
    <w:rsid w:val="000E27B5"/>
    <w:rsid w:val="000E282E"/>
    <w:rsid w:val="000E289C"/>
    <w:rsid w:val="000E2908"/>
    <w:rsid w:val="000E2996"/>
    <w:rsid w:val="000E29D8"/>
    <w:rsid w:val="000E29F7"/>
    <w:rsid w:val="000E2A01"/>
    <w:rsid w:val="000E2A48"/>
    <w:rsid w:val="000E2AEF"/>
    <w:rsid w:val="000E2E11"/>
    <w:rsid w:val="000E30CE"/>
    <w:rsid w:val="000E3604"/>
    <w:rsid w:val="000E3754"/>
    <w:rsid w:val="000E37FD"/>
    <w:rsid w:val="000E38AA"/>
    <w:rsid w:val="000E38F8"/>
    <w:rsid w:val="000E3929"/>
    <w:rsid w:val="000E3997"/>
    <w:rsid w:val="000E39F2"/>
    <w:rsid w:val="000E3AFA"/>
    <w:rsid w:val="000E3B78"/>
    <w:rsid w:val="000E3BA4"/>
    <w:rsid w:val="000E3BEF"/>
    <w:rsid w:val="000E3D12"/>
    <w:rsid w:val="000E3D7E"/>
    <w:rsid w:val="000E3D8D"/>
    <w:rsid w:val="000E3DA5"/>
    <w:rsid w:val="000E3E4E"/>
    <w:rsid w:val="000E3E74"/>
    <w:rsid w:val="000E400D"/>
    <w:rsid w:val="000E414B"/>
    <w:rsid w:val="000E4373"/>
    <w:rsid w:val="000E4389"/>
    <w:rsid w:val="000E43F1"/>
    <w:rsid w:val="000E4408"/>
    <w:rsid w:val="000E4494"/>
    <w:rsid w:val="000E44AC"/>
    <w:rsid w:val="000E46F7"/>
    <w:rsid w:val="000E474A"/>
    <w:rsid w:val="000E4763"/>
    <w:rsid w:val="000E48EB"/>
    <w:rsid w:val="000E495F"/>
    <w:rsid w:val="000E49E5"/>
    <w:rsid w:val="000E4A2F"/>
    <w:rsid w:val="000E4A92"/>
    <w:rsid w:val="000E4D59"/>
    <w:rsid w:val="000E4E52"/>
    <w:rsid w:val="000E52FC"/>
    <w:rsid w:val="000E5387"/>
    <w:rsid w:val="000E5397"/>
    <w:rsid w:val="000E5448"/>
    <w:rsid w:val="000E553F"/>
    <w:rsid w:val="000E55C0"/>
    <w:rsid w:val="000E5604"/>
    <w:rsid w:val="000E5813"/>
    <w:rsid w:val="000E59E1"/>
    <w:rsid w:val="000E5FB1"/>
    <w:rsid w:val="000E6010"/>
    <w:rsid w:val="000E60B3"/>
    <w:rsid w:val="000E61C9"/>
    <w:rsid w:val="000E62E2"/>
    <w:rsid w:val="000E6347"/>
    <w:rsid w:val="000E6795"/>
    <w:rsid w:val="000E684E"/>
    <w:rsid w:val="000E68B1"/>
    <w:rsid w:val="000E68CA"/>
    <w:rsid w:val="000E6905"/>
    <w:rsid w:val="000E69E8"/>
    <w:rsid w:val="000E6A08"/>
    <w:rsid w:val="000E6A16"/>
    <w:rsid w:val="000E6AE2"/>
    <w:rsid w:val="000E6B2A"/>
    <w:rsid w:val="000E6CFB"/>
    <w:rsid w:val="000E70B0"/>
    <w:rsid w:val="000E7181"/>
    <w:rsid w:val="000E7186"/>
    <w:rsid w:val="000E734B"/>
    <w:rsid w:val="000E7358"/>
    <w:rsid w:val="000E744C"/>
    <w:rsid w:val="000E7637"/>
    <w:rsid w:val="000E788B"/>
    <w:rsid w:val="000E78A7"/>
    <w:rsid w:val="000E7902"/>
    <w:rsid w:val="000E7993"/>
    <w:rsid w:val="000E7AC1"/>
    <w:rsid w:val="000E7BF2"/>
    <w:rsid w:val="000E7C13"/>
    <w:rsid w:val="000E7C16"/>
    <w:rsid w:val="000E7CB9"/>
    <w:rsid w:val="000E7CD4"/>
    <w:rsid w:val="000E7EE3"/>
    <w:rsid w:val="000E7EE7"/>
    <w:rsid w:val="000E7EFB"/>
    <w:rsid w:val="000F00C3"/>
    <w:rsid w:val="000F02EF"/>
    <w:rsid w:val="000F0322"/>
    <w:rsid w:val="000F0326"/>
    <w:rsid w:val="000F04C9"/>
    <w:rsid w:val="000F0686"/>
    <w:rsid w:val="000F06D0"/>
    <w:rsid w:val="000F07B3"/>
    <w:rsid w:val="000F07FD"/>
    <w:rsid w:val="000F0804"/>
    <w:rsid w:val="000F0989"/>
    <w:rsid w:val="000F09D9"/>
    <w:rsid w:val="000F0A72"/>
    <w:rsid w:val="000F0AEB"/>
    <w:rsid w:val="000F0B54"/>
    <w:rsid w:val="000F0B85"/>
    <w:rsid w:val="000F0BD6"/>
    <w:rsid w:val="000F0BDE"/>
    <w:rsid w:val="000F0C81"/>
    <w:rsid w:val="000F0F69"/>
    <w:rsid w:val="000F10AA"/>
    <w:rsid w:val="000F126B"/>
    <w:rsid w:val="000F161C"/>
    <w:rsid w:val="000F1803"/>
    <w:rsid w:val="000F190D"/>
    <w:rsid w:val="000F194C"/>
    <w:rsid w:val="000F19B2"/>
    <w:rsid w:val="000F1A13"/>
    <w:rsid w:val="000F1A48"/>
    <w:rsid w:val="000F1A4A"/>
    <w:rsid w:val="000F1B20"/>
    <w:rsid w:val="000F1CB0"/>
    <w:rsid w:val="000F1E53"/>
    <w:rsid w:val="000F1EFD"/>
    <w:rsid w:val="000F2077"/>
    <w:rsid w:val="000F213E"/>
    <w:rsid w:val="000F219D"/>
    <w:rsid w:val="000F21E7"/>
    <w:rsid w:val="000F21FA"/>
    <w:rsid w:val="000F2280"/>
    <w:rsid w:val="000F2525"/>
    <w:rsid w:val="000F26DE"/>
    <w:rsid w:val="000F26E4"/>
    <w:rsid w:val="000F28CE"/>
    <w:rsid w:val="000F29C9"/>
    <w:rsid w:val="000F2A2D"/>
    <w:rsid w:val="000F2A69"/>
    <w:rsid w:val="000F2A7B"/>
    <w:rsid w:val="000F2AE7"/>
    <w:rsid w:val="000F2B6C"/>
    <w:rsid w:val="000F2C10"/>
    <w:rsid w:val="000F2CE8"/>
    <w:rsid w:val="000F2D9C"/>
    <w:rsid w:val="000F2E9E"/>
    <w:rsid w:val="000F2F10"/>
    <w:rsid w:val="000F3013"/>
    <w:rsid w:val="000F3261"/>
    <w:rsid w:val="000F32E7"/>
    <w:rsid w:val="000F3363"/>
    <w:rsid w:val="000F3413"/>
    <w:rsid w:val="000F349E"/>
    <w:rsid w:val="000F3500"/>
    <w:rsid w:val="000F3540"/>
    <w:rsid w:val="000F365A"/>
    <w:rsid w:val="000F379E"/>
    <w:rsid w:val="000F38C7"/>
    <w:rsid w:val="000F3A61"/>
    <w:rsid w:val="000F3A78"/>
    <w:rsid w:val="000F3B92"/>
    <w:rsid w:val="000F3D73"/>
    <w:rsid w:val="000F3E5B"/>
    <w:rsid w:val="000F3E81"/>
    <w:rsid w:val="000F3F2F"/>
    <w:rsid w:val="000F4425"/>
    <w:rsid w:val="000F4460"/>
    <w:rsid w:val="000F4670"/>
    <w:rsid w:val="000F4675"/>
    <w:rsid w:val="000F475D"/>
    <w:rsid w:val="000F47CE"/>
    <w:rsid w:val="000F47DE"/>
    <w:rsid w:val="000F49E6"/>
    <w:rsid w:val="000F4A31"/>
    <w:rsid w:val="000F4A88"/>
    <w:rsid w:val="000F4BCC"/>
    <w:rsid w:val="000F4BD8"/>
    <w:rsid w:val="000F4E32"/>
    <w:rsid w:val="000F4F9B"/>
    <w:rsid w:val="000F4FBB"/>
    <w:rsid w:val="000F4FC0"/>
    <w:rsid w:val="000F5156"/>
    <w:rsid w:val="000F530E"/>
    <w:rsid w:val="000F553C"/>
    <w:rsid w:val="000F560F"/>
    <w:rsid w:val="000F56DE"/>
    <w:rsid w:val="000F56F6"/>
    <w:rsid w:val="000F57C4"/>
    <w:rsid w:val="000F5946"/>
    <w:rsid w:val="000F59AC"/>
    <w:rsid w:val="000F5ABC"/>
    <w:rsid w:val="000F5BFB"/>
    <w:rsid w:val="000F5C81"/>
    <w:rsid w:val="000F5CC9"/>
    <w:rsid w:val="000F5D9A"/>
    <w:rsid w:val="000F5DA5"/>
    <w:rsid w:val="000F5E12"/>
    <w:rsid w:val="000F5EA6"/>
    <w:rsid w:val="000F5F59"/>
    <w:rsid w:val="000F5FBB"/>
    <w:rsid w:val="000F6048"/>
    <w:rsid w:val="000F6075"/>
    <w:rsid w:val="000F631D"/>
    <w:rsid w:val="000F63FB"/>
    <w:rsid w:val="000F64CD"/>
    <w:rsid w:val="000F64DC"/>
    <w:rsid w:val="000F651C"/>
    <w:rsid w:val="000F663C"/>
    <w:rsid w:val="000F6655"/>
    <w:rsid w:val="000F666A"/>
    <w:rsid w:val="000F6684"/>
    <w:rsid w:val="000F672F"/>
    <w:rsid w:val="000F6753"/>
    <w:rsid w:val="000F6B31"/>
    <w:rsid w:val="000F6B3A"/>
    <w:rsid w:val="000F6B61"/>
    <w:rsid w:val="000F6C1E"/>
    <w:rsid w:val="000F6DE3"/>
    <w:rsid w:val="000F6DE6"/>
    <w:rsid w:val="000F6F40"/>
    <w:rsid w:val="000F6F6C"/>
    <w:rsid w:val="000F6F7E"/>
    <w:rsid w:val="000F70F4"/>
    <w:rsid w:val="000F7179"/>
    <w:rsid w:val="000F7244"/>
    <w:rsid w:val="000F725F"/>
    <w:rsid w:val="000F7469"/>
    <w:rsid w:val="000F74AF"/>
    <w:rsid w:val="000F75B5"/>
    <w:rsid w:val="000F7696"/>
    <w:rsid w:val="000F76D3"/>
    <w:rsid w:val="000F7749"/>
    <w:rsid w:val="000F774E"/>
    <w:rsid w:val="000F77AD"/>
    <w:rsid w:val="000F78BD"/>
    <w:rsid w:val="000F7966"/>
    <w:rsid w:val="000F7AA5"/>
    <w:rsid w:val="000F7B54"/>
    <w:rsid w:val="000F7C57"/>
    <w:rsid w:val="000F7C84"/>
    <w:rsid w:val="000F7DC6"/>
    <w:rsid w:val="000F7ECF"/>
    <w:rsid w:val="000F7F2C"/>
    <w:rsid w:val="00100011"/>
    <w:rsid w:val="00100142"/>
    <w:rsid w:val="00100281"/>
    <w:rsid w:val="001002B7"/>
    <w:rsid w:val="00100325"/>
    <w:rsid w:val="0010049A"/>
    <w:rsid w:val="001004A6"/>
    <w:rsid w:val="001004CE"/>
    <w:rsid w:val="00100608"/>
    <w:rsid w:val="0010063D"/>
    <w:rsid w:val="00100760"/>
    <w:rsid w:val="001007B4"/>
    <w:rsid w:val="001009DD"/>
    <w:rsid w:val="001009F6"/>
    <w:rsid w:val="00100AAC"/>
    <w:rsid w:val="00100BA1"/>
    <w:rsid w:val="00100F44"/>
    <w:rsid w:val="00101032"/>
    <w:rsid w:val="0010106C"/>
    <w:rsid w:val="00101270"/>
    <w:rsid w:val="00101285"/>
    <w:rsid w:val="001013D4"/>
    <w:rsid w:val="001013EB"/>
    <w:rsid w:val="0010148B"/>
    <w:rsid w:val="001014E9"/>
    <w:rsid w:val="001015C4"/>
    <w:rsid w:val="001016B0"/>
    <w:rsid w:val="0010176C"/>
    <w:rsid w:val="001017EB"/>
    <w:rsid w:val="0010180A"/>
    <w:rsid w:val="00101853"/>
    <w:rsid w:val="00101899"/>
    <w:rsid w:val="00101A66"/>
    <w:rsid w:val="00101B63"/>
    <w:rsid w:val="00101D65"/>
    <w:rsid w:val="00101DDF"/>
    <w:rsid w:val="00101DE2"/>
    <w:rsid w:val="00101FCD"/>
    <w:rsid w:val="0010205F"/>
    <w:rsid w:val="0010208C"/>
    <w:rsid w:val="0010214D"/>
    <w:rsid w:val="001021A5"/>
    <w:rsid w:val="001022AC"/>
    <w:rsid w:val="001025DE"/>
    <w:rsid w:val="00102722"/>
    <w:rsid w:val="001027C0"/>
    <w:rsid w:val="001027CE"/>
    <w:rsid w:val="001027F8"/>
    <w:rsid w:val="00102876"/>
    <w:rsid w:val="001028B1"/>
    <w:rsid w:val="00102967"/>
    <w:rsid w:val="0010296C"/>
    <w:rsid w:val="00102A6B"/>
    <w:rsid w:val="00102B9F"/>
    <w:rsid w:val="00102BD9"/>
    <w:rsid w:val="00102CA9"/>
    <w:rsid w:val="00102DB3"/>
    <w:rsid w:val="00102DD1"/>
    <w:rsid w:val="00102EA2"/>
    <w:rsid w:val="00102F68"/>
    <w:rsid w:val="00102FAE"/>
    <w:rsid w:val="00103313"/>
    <w:rsid w:val="0010331E"/>
    <w:rsid w:val="00103424"/>
    <w:rsid w:val="001034E5"/>
    <w:rsid w:val="001034F1"/>
    <w:rsid w:val="001037E5"/>
    <w:rsid w:val="001038B8"/>
    <w:rsid w:val="00103A01"/>
    <w:rsid w:val="00103A6C"/>
    <w:rsid w:val="00103AAF"/>
    <w:rsid w:val="00103BB0"/>
    <w:rsid w:val="00103BC0"/>
    <w:rsid w:val="00103CC1"/>
    <w:rsid w:val="00103D36"/>
    <w:rsid w:val="00103F65"/>
    <w:rsid w:val="00103FBD"/>
    <w:rsid w:val="00104067"/>
    <w:rsid w:val="0010408A"/>
    <w:rsid w:val="0010414F"/>
    <w:rsid w:val="00104151"/>
    <w:rsid w:val="001041CD"/>
    <w:rsid w:val="001041E5"/>
    <w:rsid w:val="001041F8"/>
    <w:rsid w:val="00104311"/>
    <w:rsid w:val="00104503"/>
    <w:rsid w:val="001045C3"/>
    <w:rsid w:val="00104710"/>
    <w:rsid w:val="00104E98"/>
    <w:rsid w:val="00104EC4"/>
    <w:rsid w:val="00104ED4"/>
    <w:rsid w:val="00104F78"/>
    <w:rsid w:val="001050A8"/>
    <w:rsid w:val="0010513D"/>
    <w:rsid w:val="00105155"/>
    <w:rsid w:val="001051B9"/>
    <w:rsid w:val="00105503"/>
    <w:rsid w:val="001055B1"/>
    <w:rsid w:val="001055F8"/>
    <w:rsid w:val="001056CD"/>
    <w:rsid w:val="0010571A"/>
    <w:rsid w:val="0010573C"/>
    <w:rsid w:val="00105785"/>
    <w:rsid w:val="00105801"/>
    <w:rsid w:val="001058D0"/>
    <w:rsid w:val="00105943"/>
    <w:rsid w:val="00105974"/>
    <w:rsid w:val="001059E5"/>
    <w:rsid w:val="00105ABE"/>
    <w:rsid w:val="00105AC6"/>
    <w:rsid w:val="00105C68"/>
    <w:rsid w:val="00105C93"/>
    <w:rsid w:val="00105C99"/>
    <w:rsid w:val="00105E63"/>
    <w:rsid w:val="00105F72"/>
    <w:rsid w:val="00105F88"/>
    <w:rsid w:val="00106221"/>
    <w:rsid w:val="001062C9"/>
    <w:rsid w:val="001063AE"/>
    <w:rsid w:val="001064C4"/>
    <w:rsid w:val="00106547"/>
    <w:rsid w:val="001066B4"/>
    <w:rsid w:val="0010678D"/>
    <w:rsid w:val="00106792"/>
    <w:rsid w:val="001067E4"/>
    <w:rsid w:val="0010688C"/>
    <w:rsid w:val="001068E7"/>
    <w:rsid w:val="00106983"/>
    <w:rsid w:val="00106A0A"/>
    <w:rsid w:val="00106AF8"/>
    <w:rsid w:val="00106CC3"/>
    <w:rsid w:val="00106D74"/>
    <w:rsid w:val="00106E01"/>
    <w:rsid w:val="00106E69"/>
    <w:rsid w:val="00106F36"/>
    <w:rsid w:val="00106F70"/>
    <w:rsid w:val="0010702D"/>
    <w:rsid w:val="001071A5"/>
    <w:rsid w:val="0010739C"/>
    <w:rsid w:val="001073EE"/>
    <w:rsid w:val="00107562"/>
    <w:rsid w:val="001076F1"/>
    <w:rsid w:val="00107871"/>
    <w:rsid w:val="00107988"/>
    <w:rsid w:val="00107B19"/>
    <w:rsid w:val="00107C28"/>
    <w:rsid w:val="00107F33"/>
    <w:rsid w:val="00107F62"/>
    <w:rsid w:val="00107F68"/>
    <w:rsid w:val="0011025F"/>
    <w:rsid w:val="00110287"/>
    <w:rsid w:val="001102A4"/>
    <w:rsid w:val="001103AE"/>
    <w:rsid w:val="0011042F"/>
    <w:rsid w:val="001104AC"/>
    <w:rsid w:val="00110553"/>
    <w:rsid w:val="001105D5"/>
    <w:rsid w:val="00110614"/>
    <w:rsid w:val="001106F9"/>
    <w:rsid w:val="00110B53"/>
    <w:rsid w:val="00110C3D"/>
    <w:rsid w:val="00110E56"/>
    <w:rsid w:val="00110E9E"/>
    <w:rsid w:val="00110F28"/>
    <w:rsid w:val="00111177"/>
    <w:rsid w:val="0011119F"/>
    <w:rsid w:val="001112A2"/>
    <w:rsid w:val="001112A6"/>
    <w:rsid w:val="001113FC"/>
    <w:rsid w:val="00111457"/>
    <w:rsid w:val="001115AA"/>
    <w:rsid w:val="001115BD"/>
    <w:rsid w:val="00111715"/>
    <w:rsid w:val="0011175D"/>
    <w:rsid w:val="00111789"/>
    <w:rsid w:val="00111820"/>
    <w:rsid w:val="00111976"/>
    <w:rsid w:val="00111A63"/>
    <w:rsid w:val="00111C50"/>
    <w:rsid w:val="00111D8C"/>
    <w:rsid w:val="00111DE0"/>
    <w:rsid w:val="00111ECF"/>
    <w:rsid w:val="00111F6D"/>
    <w:rsid w:val="00111F7A"/>
    <w:rsid w:val="00111FC7"/>
    <w:rsid w:val="00111FD5"/>
    <w:rsid w:val="0011208C"/>
    <w:rsid w:val="001120ED"/>
    <w:rsid w:val="00112179"/>
    <w:rsid w:val="00112234"/>
    <w:rsid w:val="00112235"/>
    <w:rsid w:val="00112312"/>
    <w:rsid w:val="00112409"/>
    <w:rsid w:val="0011240C"/>
    <w:rsid w:val="00112453"/>
    <w:rsid w:val="00112479"/>
    <w:rsid w:val="00112484"/>
    <w:rsid w:val="001124CA"/>
    <w:rsid w:val="001124D2"/>
    <w:rsid w:val="00112501"/>
    <w:rsid w:val="0011253C"/>
    <w:rsid w:val="00112557"/>
    <w:rsid w:val="00112855"/>
    <w:rsid w:val="0011286B"/>
    <w:rsid w:val="00112893"/>
    <w:rsid w:val="001128E2"/>
    <w:rsid w:val="00112C01"/>
    <w:rsid w:val="00112C4F"/>
    <w:rsid w:val="00112C6D"/>
    <w:rsid w:val="00112CD2"/>
    <w:rsid w:val="00112D38"/>
    <w:rsid w:val="00112F25"/>
    <w:rsid w:val="00112FE5"/>
    <w:rsid w:val="00113032"/>
    <w:rsid w:val="00113064"/>
    <w:rsid w:val="001130CF"/>
    <w:rsid w:val="0011324F"/>
    <w:rsid w:val="00113379"/>
    <w:rsid w:val="0011356B"/>
    <w:rsid w:val="001135DD"/>
    <w:rsid w:val="00113695"/>
    <w:rsid w:val="00113736"/>
    <w:rsid w:val="0011399F"/>
    <w:rsid w:val="00113AEA"/>
    <w:rsid w:val="00113B47"/>
    <w:rsid w:val="00113BCE"/>
    <w:rsid w:val="00113CD7"/>
    <w:rsid w:val="00113CF1"/>
    <w:rsid w:val="00113D30"/>
    <w:rsid w:val="00113E39"/>
    <w:rsid w:val="00113F17"/>
    <w:rsid w:val="00113F91"/>
    <w:rsid w:val="00113FAE"/>
    <w:rsid w:val="0011406E"/>
    <w:rsid w:val="001140CC"/>
    <w:rsid w:val="0011412C"/>
    <w:rsid w:val="0011415B"/>
    <w:rsid w:val="00114181"/>
    <w:rsid w:val="001141EF"/>
    <w:rsid w:val="0011435D"/>
    <w:rsid w:val="001144B3"/>
    <w:rsid w:val="00114547"/>
    <w:rsid w:val="001145E8"/>
    <w:rsid w:val="00114633"/>
    <w:rsid w:val="0011469E"/>
    <w:rsid w:val="00114751"/>
    <w:rsid w:val="00114911"/>
    <w:rsid w:val="0011493C"/>
    <w:rsid w:val="00114ACB"/>
    <w:rsid w:val="00114BAA"/>
    <w:rsid w:val="00114D00"/>
    <w:rsid w:val="00114DA0"/>
    <w:rsid w:val="00114FBC"/>
    <w:rsid w:val="00115043"/>
    <w:rsid w:val="0011508E"/>
    <w:rsid w:val="001152D4"/>
    <w:rsid w:val="001152D9"/>
    <w:rsid w:val="0011542C"/>
    <w:rsid w:val="001155B0"/>
    <w:rsid w:val="0011562C"/>
    <w:rsid w:val="001156FC"/>
    <w:rsid w:val="00115777"/>
    <w:rsid w:val="0011582A"/>
    <w:rsid w:val="00115AC0"/>
    <w:rsid w:val="00115B2D"/>
    <w:rsid w:val="00115B37"/>
    <w:rsid w:val="00115F9F"/>
    <w:rsid w:val="00115FD0"/>
    <w:rsid w:val="001160C1"/>
    <w:rsid w:val="0011617C"/>
    <w:rsid w:val="00116288"/>
    <w:rsid w:val="001162A1"/>
    <w:rsid w:val="00116409"/>
    <w:rsid w:val="00116539"/>
    <w:rsid w:val="00116593"/>
    <w:rsid w:val="0011665F"/>
    <w:rsid w:val="0011670C"/>
    <w:rsid w:val="001167AA"/>
    <w:rsid w:val="001168C6"/>
    <w:rsid w:val="001168D6"/>
    <w:rsid w:val="00116926"/>
    <w:rsid w:val="0011699F"/>
    <w:rsid w:val="001169AD"/>
    <w:rsid w:val="001169B8"/>
    <w:rsid w:val="00116A12"/>
    <w:rsid w:val="00116AB9"/>
    <w:rsid w:val="00116B57"/>
    <w:rsid w:val="00116CF0"/>
    <w:rsid w:val="00116D88"/>
    <w:rsid w:val="00116DDC"/>
    <w:rsid w:val="00116EF1"/>
    <w:rsid w:val="00117130"/>
    <w:rsid w:val="0011716B"/>
    <w:rsid w:val="001172E1"/>
    <w:rsid w:val="00117305"/>
    <w:rsid w:val="00117513"/>
    <w:rsid w:val="00117531"/>
    <w:rsid w:val="0011757D"/>
    <w:rsid w:val="0011759A"/>
    <w:rsid w:val="0011773F"/>
    <w:rsid w:val="0011777D"/>
    <w:rsid w:val="001177D0"/>
    <w:rsid w:val="00117850"/>
    <w:rsid w:val="00117944"/>
    <w:rsid w:val="00117A05"/>
    <w:rsid w:val="00117AFF"/>
    <w:rsid w:val="00117B04"/>
    <w:rsid w:val="00117B5F"/>
    <w:rsid w:val="00117B68"/>
    <w:rsid w:val="00117C9E"/>
    <w:rsid w:val="00117EB6"/>
    <w:rsid w:val="00117ED2"/>
    <w:rsid w:val="00117FA0"/>
    <w:rsid w:val="00117FB0"/>
    <w:rsid w:val="00117FDB"/>
    <w:rsid w:val="0012038E"/>
    <w:rsid w:val="001204D2"/>
    <w:rsid w:val="001204E0"/>
    <w:rsid w:val="00120863"/>
    <w:rsid w:val="00120921"/>
    <w:rsid w:val="00120A34"/>
    <w:rsid w:val="00120B42"/>
    <w:rsid w:val="00120C74"/>
    <w:rsid w:val="00120CC6"/>
    <w:rsid w:val="00120D09"/>
    <w:rsid w:val="00120DB1"/>
    <w:rsid w:val="00120F11"/>
    <w:rsid w:val="00120F54"/>
    <w:rsid w:val="00120F7A"/>
    <w:rsid w:val="00120F88"/>
    <w:rsid w:val="00121166"/>
    <w:rsid w:val="00121536"/>
    <w:rsid w:val="00121564"/>
    <w:rsid w:val="0012158F"/>
    <w:rsid w:val="0012172C"/>
    <w:rsid w:val="00121788"/>
    <w:rsid w:val="00121A63"/>
    <w:rsid w:val="00121B82"/>
    <w:rsid w:val="00121B8B"/>
    <w:rsid w:val="00121C4C"/>
    <w:rsid w:val="00121C6A"/>
    <w:rsid w:val="00121CBC"/>
    <w:rsid w:val="00121CE1"/>
    <w:rsid w:val="00121CFB"/>
    <w:rsid w:val="00121D5E"/>
    <w:rsid w:val="00121D9E"/>
    <w:rsid w:val="00121E14"/>
    <w:rsid w:val="00121E6E"/>
    <w:rsid w:val="00121E9F"/>
    <w:rsid w:val="00121ED4"/>
    <w:rsid w:val="0012208E"/>
    <w:rsid w:val="00122345"/>
    <w:rsid w:val="00122356"/>
    <w:rsid w:val="001223A8"/>
    <w:rsid w:val="001223C3"/>
    <w:rsid w:val="00122543"/>
    <w:rsid w:val="00122587"/>
    <w:rsid w:val="001225F9"/>
    <w:rsid w:val="00122625"/>
    <w:rsid w:val="00122827"/>
    <w:rsid w:val="00122A3E"/>
    <w:rsid w:val="00122B93"/>
    <w:rsid w:val="00122D22"/>
    <w:rsid w:val="00122EDF"/>
    <w:rsid w:val="001231AD"/>
    <w:rsid w:val="001231FE"/>
    <w:rsid w:val="001233A3"/>
    <w:rsid w:val="0012342D"/>
    <w:rsid w:val="001234E2"/>
    <w:rsid w:val="00123511"/>
    <w:rsid w:val="0012355C"/>
    <w:rsid w:val="001235AF"/>
    <w:rsid w:val="00123638"/>
    <w:rsid w:val="00123842"/>
    <w:rsid w:val="00123907"/>
    <w:rsid w:val="0012398F"/>
    <w:rsid w:val="001239D6"/>
    <w:rsid w:val="00123AD0"/>
    <w:rsid w:val="00123DBE"/>
    <w:rsid w:val="00123E92"/>
    <w:rsid w:val="00123F75"/>
    <w:rsid w:val="00123FD4"/>
    <w:rsid w:val="00124264"/>
    <w:rsid w:val="001246BB"/>
    <w:rsid w:val="0012488F"/>
    <w:rsid w:val="0012492C"/>
    <w:rsid w:val="00124947"/>
    <w:rsid w:val="00124A30"/>
    <w:rsid w:val="00124A8C"/>
    <w:rsid w:val="00124A8D"/>
    <w:rsid w:val="00124A9A"/>
    <w:rsid w:val="00124CB5"/>
    <w:rsid w:val="00124E13"/>
    <w:rsid w:val="00124E25"/>
    <w:rsid w:val="00124EAE"/>
    <w:rsid w:val="00124F9B"/>
    <w:rsid w:val="00124FEE"/>
    <w:rsid w:val="00125048"/>
    <w:rsid w:val="00125077"/>
    <w:rsid w:val="0012509E"/>
    <w:rsid w:val="00125122"/>
    <w:rsid w:val="00125290"/>
    <w:rsid w:val="001252E0"/>
    <w:rsid w:val="00125331"/>
    <w:rsid w:val="001253C7"/>
    <w:rsid w:val="001255C5"/>
    <w:rsid w:val="0012587E"/>
    <w:rsid w:val="001259A0"/>
    <w:rsid w:val="001259FE"/>
    <w:rsid w:val="00125A9A"/>
    <w:rsid w:val="00125AB1"/>
    <w:rsid w:val="00125ACB"/>
    <w:rsid w:val="00125B86"/>
    <w:rsid w:val="00125BAD"/>
    <w:rsid w:val="00125BAF"/>
    <w:rsid w:val="00125DC7"/>
    <w:rsid w:val="001260BE"/>
    <w:rsid w:val="00126277"/>
    <w:rsid w:val="00126302"/>
    <w:rsid w:val="00126384"/>
    <w:rsid w:val="00126434"/>
    <w:rsid w:val="00126555"/>
    <w:rsid w:val="001265F9"/>
    <w:rsid w:val="00126679"/>
    <w:rsid w:val="001267F5"/>
    <w:rsid w:val="00126830"/>
    <w:rsid w:val="00126844"/>
    <w:rsid w:val="001268AE"/>
    <w:rsid w:val="001268BD"/>
    <w:rsid w:val="00126960"/>
    <w:rsid w:val="0012699F"/>
    <w:rsid w:val="001269C2"/>
    <w:rsid w:val="001269D6"/>
    <w:rsid w:val="00126A51"/>
    <w:rsid w:val="00126A67"/>
    <w:rsid w:val="00126CD6"/>
    <w:rsid w:val="00126D15"/>
    <w:rsid w:val="001270E7"/>
    <w:rsid w:val="0012717B"/>
    <w:rsid w:val="001271F5"/>
    <w:rsid w:val="00127440"/>
    <w:rsid w:val="0012751C"/>
    <w:rsid w:val="00127818"/>
    <w:rsid w:val="0012794D"/>
    <w:rsid w:val="00127A0A"/>
    <w:rsid w:val="00127B45"/>
    <w:rsid w:val="00127BBD"/>
    <w:rsid w:val="00127CC5"/>
    <w:rsid w:val="00127D7E"/>
    <w:rsid w:val="001300BC"/>
    <w:rsid w:val="001301C2"/>
    <w:rsid w:val="0013027F"/>
    <w:rsid w:val="00130390"/>
    <w:rsid w:val="001303D4"/>
    <w:rsid w:val="00130556"/>
    <w:rsid w:val="0013076F"/>
    <w:rsid w:val="00130826"/>
    <w:rsid w:val="001308F0"/>
    <w:rsid w:val="00130962"/>
    <w:rsid w:val="001309FC"/>
    <w:rsid w:val="00130AA6"/>
    <w:rsid w:val="00130B8F"/>
    <w:rsid w:val="00130BAB"/>
    <w:rsid w:val="00130D82"/>
    <w:rsid w:val="00130E84"/>
    <w:rsid w:val="00130FBC"/>
    <w:rsid w:val="00131058"/>
    <w:rsid w:val="001310DB"/>
    <w:rsid w:val="001310EF"/>
    <w:rsid w:val="0013115D"/>
    <w:rsid w:val="001312B0"/>
    <w:rsid w:val="001313CC"/>
    <w:rsid w:val="0013157F"/>
    <w:rsid w:val="00131643"/>
    <w:rsid w:val="00131663"/>
    <w:rsid w:val="00131684"/>
    <w:rsid w:val="00131896"/>
    <w:rsid w:val="00131A31"/>
    <w:rsid w:val="00131A99"/>
    <w:rsid w:val="00131AE4"/>
    <w:rsid w:val="00131AFB"/>
    <w:rsid w:val="00131E8B"/>
    <w:rsid w:val="00132427"/>
    <w:rsid w:val="00132429"/>
    <w:rsid w:val="001324BD"/>
    <w:rsid w:val="00132528"/>
    <w:rsid w:val="0013265C"/>
    <w:rsid w:val="001327A5"/>
    <w:rsid w:val="001327BD"/>
    <w:rsid w:val="001327D1"/>
    <w:rsid w:val="00132841"/>
    <w:rsid w:val="001328AB"/>
    <w:rsid w:val="00132921"/>
    <w:rsid w:val="0013295D"/>
    <w:rsid w:val="001329E9"/>
    <w:rsid w:val="00132A3C"/>
    <w:rsid w:val="00132A54"/>
    <w:rsid w:val="00132A57"/>
    <w:rsid w:val="00132A8E"/>
    <w:rsid w:val="00132AD3"/>
    <w:rsid w:val="00132C15"/>
    <w:rsid w:val="00132C9D"/>
    <w:rsid w:val="00132D47"/>
    <w:rsid w:val="00132E1A"/>
    <w:rsid w:val="00132E5B"/>
    <w:rsid w:val="00132EB9"/>
    <w:rsid w:val="00133257"/>
    <w:rsid w:val="0013329C"/>
    <w:rsid w:val="00133573"/>
    <w:rsid w:val="0013366D"/>
    <w:rsid w:val="001336B5"/>
    <w:rsid w:val="0013380C"/>
    <w:rsid w:val="0013386B"/>
    <w:rsid w:val="00133A47"/>
    <w:rsid w:val="00133AE3"/>
    <w:rsid w:val="00133B69"/>
    <w:rsid w:val="00133B6D"/>
    <w:rsid w:val="00133B92"/>
    <w:rsid w:val="00133C03"/>
    <w:rsid w:val="00133CB7"/>
    <w:rsid w:val="00133D83"/>
    <w:rsid w:val="00133D93"/>
    <w:rsid w:val="00133DF7"/>
    <w:rsid w:val="00133F33"/>
    <w:rsid w:val="00133F6C"/>
    <w:rsid w:val="0013408A"/>
    <w:rsid w:val="001341DD"/>
    <w:rsid w:val="001342B0"/>
    <w:rsid w:val="00134352"/>
    <w:rsid w:val="00134458"/>
    <w:rsid w:val="001344CA"/>
    <w:rsid w:val="0013473F"/>
    <w:rsid w:val="001347F2"/>
    <w:rsid w:val="00134835"/>
    <w:rsid w:val="0013483D"/>
    <w:rsid w:val="00134879"/>
    <w:rsid w:val="001348D9"/>
    <w:rsid w:val="00134969"/>
    <w:rsid w:val="001349B2"/>
    <w:rsid w:val="00134A86"/>
    <w:rsid w:val="00134AA3"/>
    <w:rsid w:val="00134E18"/>
    <w:rsid w:val="00134EDB"/>
    <w:rsid w:val="00134FCE"/>
    <w:rsid w:val="00135114"/>
    <w:rsid w:val="00135172"/>
    <w:rsid w:val="001351FD"/>
    <w:rsid w:val="001352A7"/>
    <w:rsid w:val="001353D5"/>
    <w:rsid w:val="001354C5"/>
    <w:rsid w:val="00135547"/>
    <w:rsid w:val="00135641"/>
    <w:rsid w:val="0013564A"/>
    <w:rsid w:val="0013576C"/>
    <w:rsid w:val="00135778"/>
    <w:rsid w:val="001357B4"/>
    <w:rsid w:val="001357BC"/>
    <w:rsid w:val="00135813"/>
    <w:rsid w:val="00135842"/>
    <w:rsid w:val="001358F7"/>
    <w:rsid w:val="00135960"/>
    <w:rsid w:val="001359CC"/>
    <w:rsid w:val="001359D1"/>
    <w:rsid w:val="00135A11"/>
    <w:rsid w:val="00135AD6"/>
    <w:rsid w:val="00135C05"/>
    <w:rsid w:val="00135C34"/>
    <w:rsid w:val="00135C61"/>
    <w:rsid w:val="00135D58"/>
    <w:rsid w:val="00135D68"/>
    <w:rsid w:val="00136127"/>
    <w:rsid w:val="0013613C"/>
    <w:rsid w:val="0013615E"/>
    <w:rsid w:val="00136180"/>
    <w:rsid w:val="001361E5"/>
    <w:rsid w:val="001362B4"/>
    <w:rsid w:val="001362D7"/>
    <w:rsid w:val="001363E4"/>
    <w:rsid w:val="001365BC"/>
    <w:rsid w:val="0013666E"/>
    <w:rsid w:val="00136738"/>
    <w:rsid w:val="00136830"/>
    <w:rsid w:val="0013686D"/>
    <w:rsid w:val="001368CF"/>
    <w:rsid w:val="00136B9D"/>
    <w:rsid w:val="00136C8C"/>
    <w:rsid w:val="00136CFF"/>
    <w:rsid w:val="00136EF4"/>
    <w:rsid w:val="00136F12"/>
    <w:rsid w:val="00136F24"/>
    <w:rsid w:val="0013747E"/>
    <w:rsid w:val="00137544"/>
    <w:rsid w:val="00137576"/>
    <w:rsid w:val="0013777F"/>
    <w:rsid w:val="0013796B"/>
    <w:rsid w:val="00137CFF"/>
    <w:rsid w:val="00137DAE"/>
    <w:rsid w:val="00137E69"/>
    <w:rsid w:val="00137EB2"/>
    <w:rsid w:val="00140015"/>
    <w:rsid w:val="001400DC"/>
    <w:rsid w:val="00140134"/>
    <w:rsid w:val="00140297"/>
    <w:rsid w:val="001402AD"/>
    <w:rsid w:val="001402FE"/>
    <w:rsid w:val="00140347"/>
    <w:rsid w:val="00140511"/>
    <w:rsid w:val="00140635"/>
    <w:rsid w:val="00140745"/>
    <w:rsid w:val="001407D9"/>
    <w:rsid w:val="00140864"/>
    <w:rsid w:val="0014091D"/>
    <w:rsid w:val="0014094A"/>
    <w:rsid w:val="00140960"/>
    <w:rsid w:val="00140964"/>
    <w:rsid w:val="00140ADA"/>
    <w:rsid w:val="00140C01"/>
    <w:rsid w:val="00140C7B"/>
    <w:rsid w:val="00140EBC"/>
    <w:rsid w:val="00140F2D"/>
    <w:rsid w:val="00140F53"/>
    <w:rsid w:val="00140F7E"/>
    <w:rsid w:val="00140FFC"/>
    <w:rsid w:val="00141003"/>
    <w:rsid w:val="001410A2"/>
    <w:rsid w:val="001410E2"/>
    <w:rsid w:val="00141122"/>
    <w:rsid w:val="00141136"/>
    <w:rsid w:val="0014126D"/>
    <w:rsid w:val="00141271"/>
    <w:rsid w:val="001412CC"/>
    <w:rsid w:val="00141460"/>
    <w:rsid w:val="00141525"/>
    <w:rsid w:val="001415A7"/>
    <w:rsid w:val="00141611"/>
    <w:rsid w:val="0014171D"/>
    <w:rsid w:val="00141997"/>
    <w:rsid w:val="00141A28"/>
    <w:rsid w:val="00141A6B"/>
    <w:rsid w:val="00141AF7"/>
    <w:rsid w:val="00141B90"/>
    <w:rsid w:val="00141BAD"/>
    <w:rsid w:val="00141C09"/>
    <w:rsid w:val="00141C0F"/>
    <w:rsid w:val="00141C18"/>
    <w:rsid w:val="00141C1E"/>
    <w:rsid w:val="00141CAB"/>
    <w:rsid w:val="00141D4A"/>
    <w:rsid w:val="00141E41"/>
    <w:rsid w:val="00141E8F"/>
    <w:rsid w:val="00141EF4"/>
    <w:rsid w:val="00141F2F"/>
    <w:rsid w:val="00141F5C"/>
    <w:rsid w:val="00142063"/>
    <w:rsid w:val="001420BC"/>
    <w:rsid w:val="001421A3"/>
    <w:rsid w:val="001421C6"/>
    <w:rsid w:val="00142353"/>
    <w:rsid w:val="0014239F"/>
    <w:rsid w:val="001423EA"/>
    <w:rsid w:val="0014243D"/>
    <w:rsid w:val="00142485"/>
    <w:rsid w:val="00142557"/>
    <w:rsid w:val="0014265B"/>
    <w:rsid w:val="0014279C"/>
    <w:rsid w:val="001429F2"/>
    <w:rsid w:val="00142AB2"/>
    <w:rsid w:val="00142C36"/>
    <w:rsid w:val="00142DF8"/>
    <w:rsid w:val="00142E23"/>
    <w:rsid w:val="00142F30"/>
    <w:rsid w:val="001430DA"/>
    <w:rsid w:val="001430E4"/>
    <w:rsid w:val="00143160"/>
    <w:rsid w:val="00143188"/>
    <w:rsid w:val="001431A2"/>
    <w:rsid w:val="00143206"/>
    <w:rsid w:val="001432DB"/>
    <w:rsid w:val="001432FE"/>
    <w:rsid w:val="001433C9"/>
    <w:rsid w:val="001433F0"/>
    <w:rsid w:val="00143439"/>
    <w:rsid w:val="001435EA"/>
    <w:rsid w:val="00143603"/>
    <w:rsid w:val="00143637"/>
    <w:rsid w:val="0014366B"/>
    <w:rsid w:val="00143676"/>
    <w:rsid w:val="00143837"/>
    <w:rsid w:val="00143896"/>
    <w:rsid w:val="001438AA"/>
    <w:rsid w:val="001438F3"/>
    <w:rsid w:val="00143C85"/>
    <w:rsid w:val="00143CE0"/>
    <w:rsid w:val="00143F6C"/>
    <w:rsid w:val="0014401B"/>
    <w:rsid w:val="001440E0"/>
    <w:rsid w:val="00144106"/>
    <w:rsid w:val="00144286"/>
    <w:rsid w:val="00144323"/>
    <w:rsid w:val="001444E3"/>
    <w:rsid w:val="00144607"/>
    <w:rsid w:val="0014477B"/>
    <w:rsid w:val="0014494F"/>
    <w:rsid w:val="00144CAA"/>
    <w:rsid w:val="00144CFF"/>
    <w:rsid w:val="00144D61"/>
    <w:rsid w:val="00144E57"/>
    <w:rsid w:val="00144E6B"/>
    <w:rsid w:val="00144F18"/>
    <w:rsid w:val="0014506D"/>
    <w:rsid w:val="0014527D"/>
    <w:rsid w:val="0014536B"/>
    <w:rsid w:val="001456DA"/>
    <w:rsid w:val="001456E7"/>
    <w:rsid w:val="0014588E"/>
    <w:rsid w:val="001458DF"/>
    <w:rsid w:val="001458F0"/>
    <w:rsid w:val="001459CA"/>
    <w:rsid w:val="00145ACA"/>
    <w:rsid w:val="00145AFA"/>
    <w:rsid w:val="00145BEE"/>
    <w:rsid w:val="00145BF8"/>
    <w:rsid w:val="00145D36"/>
    <w:rsid w:val="00145D5F"/>
    <w:rsid w:val="00145EE1"/>
    <w:rsid w:val="00145EE6"/>
    <w:rsid w:val="00145FC7"/>
    <w:rsid w:val="00146031"/>
    <w:rsid w:val="001461C7"/>
    <w:rsid w:val="00146229"/>
    <w:rsid w:val="00146283"/>
    <w:rsid w:val="0014633D"/>
    <w:rsid w:val="001463F3"/>
    <w:rsid w:val="00146433"/>
    <w:rsid w:val="00146501"/>
    <w:rsid w:val="0014666D"/>
    <w:rsid w:val="0014676E"/>
    <w:rsid w:val="0014683F"/>
    <w:rsid w:val="001468FB"/>
    <w:rsid w:val="00146947"/>
    <w:rsid w:val="001469CB"/>
    <w:rsid w:val="00146B59"/>
    <w:rsid w:val="00146BC0"/>
    <w:rsid w:val="00146C74"/>
    <w:rsid w:val="00146DB4"/>
    <w:rsid w:val="00146DE9"/>
    <w:rsid w:val="00146FAA"/>
    <w:rsid w:val="00146FFE"/>
    <w:rsid w:val="00147113"/>
    <w:rsid w:val="00147217"/>
    <w:rsid w:val="00147219"/>
    <w:rsid w:val="0014721B"/>
    <w:rsid w:val="00147226"/>
    <w:rsid w:val="00147293"/>
    <w:rsid w:val="001472CA"/>
    <w:rsid w:val="00147334"/>
    <w:rsid w:val="00147338"/>
    <w:rsid w:val="00147362"/>
    <w:rsid w:val="001474A8"/>
    <w:rsid w:val="00147694"/>
    <w:rsid w:val="0014786F"/>
    <w:rsid w:val="001479C0"/>
    <w:rsid w:val="001479E7"/>
    <w:rsid w:val="00147BDC"/>
    <w:rsid w:val="00147F50"/>
    <w:rsid w:val="00150044"/>
    <w:rsid w:val="00150172"/>
    <w:rsid w:val="001501E5"/>
    <w:rsid w:val="001502F0"/>
    <w:rsid w:val="001503AB"/>
    <w:rsid w:val="00150415"/>
    <w:rsid w:val="00150562"/>
    <w:rsid w:val="001505E1"/>
    <w:rsid w:val="00150665"/>
    <w:rsid w:val="001506A2"/>
    <w:rsid w:val="001506BA"/>
    <w:rsid w:val="001507F0"/>
    <w:rsid w:val="00150A73"/>
    <w:rsid w:val="00150B83"/>
    <w:rsid w:val="00150C11"/>
    <w:rsid w:val="00150C16"/>
    <w:rsid w:val="00150CB7"/>
    <w:rsid w:val="00150D45"/>
    <w:rsid w:val="00150D69"/>
    <w:rsid w:val="00150E1A"/>
    <w:rsid w:val="00151124"/>
    <w:rsid w:val="001511EE"/>
    <w:rsid w:val="00151211"/>
    <w:rsid w:val="00151214"/>
    <w:rsid w:val="001513CB"/>
    <w:rsid w:val="001514A9"/>
    <w:rsid w:val="00151521"/>
    <w:rsid w:val="0015153D"/>
    <w:rsid w:val="00151547"/>
    <w:rsid w:val="001516BF"/>
    <w:rsid w:val="001517E6"/>
    <w:rsid w:val="001518DB"/>
    <w:rsid w:val="001518EA"/>
    <w:rsid w:val="00151C68"/>
    <w:rsid w:val="00151CD9"/>
    <w:rsid w:val="00151CDB"/>
    <w:rsid w:val="00151CE8"/>
    <w:rsid w:val="0015200F"/>
    <w:rsid w:val="00152077"/>
    <w:rsid w:val="0015207B"/>
    <w:rsid w:val="001520A6"/>
    <w:rsid w:val="00152116"/>
    <w:rsid w:val="00152124"/>
    <w:rsid w:val="00152133"/>
    <w:rsid w:val="001521C9"/>
    <w:rsid w:val="0015221B"/>
    <w:rsid w:val="001522DF"/>
    <w:rsid w:val="00152591"/>
    <w:rsid w:val="001525D5"/>
    <w:rsid w:val="00152625"/>
    <w:rsid w:val="0015263A"/>
    <w:rsid w:val="0015272C"/>
    <w:rsid w:val="00152AFF"/>
    <w:rsid w:val="00152D90"/>
    <w:rsid w:val="00152DF2"/>
    <w:rsid w:val="00152E33"/>
    <w:rsid w:val="00152E47"/>
    <w:rsid w:val="00152FA8"/>
    <w:rsid w:val="00153220"/>
    <w:rsid w:val="001533D3"/>
    <w:rsid w:val="00153411"/>
    <w:rsid w:val="00153490"/>
    <w:rsid w:val="001534BF"/>
    <w:rsid w:val="001534EF"/>
    <w:rsid w:val="0015353C"/>
    <w:rsid w:val="00153612"/>
    <w:rsid w:val="0015362A"/>
    <w:rsid w:val="001536E9"/>
    <w:rsid w:val="0015371C"/>
    <w:rsid w:val="00153793"/>
    <w:rsid w:val="001538F5"/>
    <w:rsid w:val="001539A6"/>
    <w:rsid w:val="00153A1C"/>
    <w:rsid w:val="00153A26"/>
    <w:rsid w:val="00153AD1"/>
    <w:rsid w:val="00153AE4"/>
    <w:rsid w:val="00153C20"/>
    <w:rsid w:val="00153C37"/>
    <w:rsid w:val="00153CE9"/>
    <w:rsid w:val="00153CF6"/>
    <w:rsid w:val="00153D2D"/>
    <w:rsid w:val="00153DB1"/>
    <w:rsid w:val="00153EB8"/>
    <w:rsid w:val="00153F31"/>
    <w:rsid w:val="00154170"/>
    <w:rsid w:val="0015436F"/>
    <w:rsid w:val="00154388"/>
    <w:rsid w:val="001543A1"/>
    <w:rsid w:val="001543C2"/>
    <w:rsid w:val="00154498"/>
    <w:rsid w:val="001544F8"/>
    <w:rsid w:val="00154566"/>
    <w:rsid w:val="001545A8"/>
    <w:rsid w:val="0015476C"/>
    <w:rsid w:val="00154881"/>
    <w:rsid w:val="001548DC"/>
    <w:rsid w:val="00154A8D"/>
    <w:rsid w:val="00154ABF"/>
    <w:rsid w:val="00154B8B"/>
    <w:rsid w:val="00154C83"/>
    <w:rsid w:val="00154CDF"/>
    <w:rsid w:val="00154D37"/>
    <w:rsid w:val="00154E30"/>
    <w:rsid w:val="00154E5E"/>
    <w:rsid w:val="00155164"/>
    <w:rsid w:val="00155193"/>
    <w:rsid w:val="001551E5"/>
    <w:rsid w:val="00155326"/>
    <w:rsid w:val="0015568B"/>
    <w:rsid w:val="0015583C"/>
    <w:rsid w:val="0015590B"/>
    <w:rsid w:val="0015591B"/>
    <w:rsid w:val="00155955"/>
    <w:rsid w:val="00155A5E"/>
    <w:rsid w:val="00155B03"/>
    <w:rsid w:val="00155C5E"/>
    <w:rsid w:val="00155CFE"/>
    <w:rsid w:val="00155D01"/>
    <w:rsid w:val="00155DA5"/>
    <w:rsid w:val="00155E0F"/>
    <w:rsid w:val="00155F5F"/>
    <w:rsid w:val="00155FB3"/>
    <w:rsid w:val="00155FD9"/>
    <w:rsid w:val="001561C9"/>
    <w:rsid w:val="0015624E"/>
    <w:rsid w:val="0015635F"/>
    <w:rsid w:val="00156456"/>
    <w:rsid w:val="001564DD"/>
    <w:rsid w:val="0015651A"/>
    <w:rsid w:val="00156729"/>
    <w:rsid w:val="00156761"/>
    <w:rsid w:val="0015684F"/>
    <w:rsid w:val="00156852"/>
    <w:rsid w:val="00156876"/>
    <w:rsid w:val="00156D03"/>
    <w:rsid w:val="00156D74"/>
    <w:rsid w:val="00156DE3"/>
    <w:rsid w:val="00156E10"/>
    <w:rsid w:val="00156E72"/>
    <w:rsid w:val="00156E9A"/>
    <w:rsid w:val="0015705C"/>
    <w:rsid w:val="00157087"/>
    <w:rsid w:val="0015708C"/>
    <w:rsid w:val="001571F6"/>
    <w:rsid w:val="00157285"/>
    <w:rsid w:val="00157513"/>
    <w:rsid w:val="00157560"/>
    <w:rsid w:val="0015756A"/>
    <w:rsid w:val="00157653"/>
    <w:rsid w:val="00157679"/>
    <w:rsid w:val="00157826"/>
    <w:rsid w:val="00157870"/>
    <w:rsid w:val="001578DF"/>
    <w:rsid w:val="0015793D"/>
    <w:rsid w:val="00157B0B"/>
    <w:rsid w:val="00157C21"/>
    <w:rsid w:val="00157CB4"/>
    <w:rsid w:val="00157D58"/>
    <w:rsid w:val="00157DEC"/>
    <w:rsid w:val="00157E36"/>
    <w:rsid w:val="00157E46"/>
    <w:rsid w:val="00157F25"/>
    <w:rsid w:val="00157FE7"/>
    <w:rsid w:val="001600A0"/>
    <w:rsid w:val="001600EA"/>
    <w:rsid w:val="0016012D"/>
    <w:rsid w:val="001601E5"/>
    <w:rsid w:val="00160227"/>
    <w:rsid w:val="0016044A"/>
    <w:rsid w:val="001605E6"/>
    <w:rsid w:val="0016062A"/>
    <w:rsid w:val="00160698"/>
    <w:rsid w:val="001606BF"/>
    <w:rsid w:val="001606EF"/>
    <w:rsid w:val="00160732"/>
    <w:rsid w:val="00160759"/>
    <w:rsid w:val="001608C7"/>
    <w:rsid w:val="00160928"/>
    <w:rsid w:val="001609CD"/>
    <w:rsid w:val="001609EE"/>
    <w:rsid w:val="00160A82"/>
    <w:rsid w:val="00160ACA"/>
    <w:rsid w:val="00160AFB"/>
    <w:rsid w:val="00160B85"/>
    <w:rsid w:val="00160C41"/>
    <w:rsid w:val="00160C54"/>
    <w:rsid w:val="00160E22"/>
    <w:rsid w:val="00160E5C"/>
    <w:rsid w:val="00160EC1"/>
    <w:rsid w:val="00160FAF"/>
    <w:rsid w:val="00161139"/>
    <w:rsid w:val="00161184"/>
    <w:rsid w:val="0016120B"/>
    <w:rsid w:val="0016128F"/>
    <w:rsid w:val="0016154A"/>
    <w:rsid w:val="001615A9"/>
    <w:rsid w:val="001615FB"/>
    <w:rsid w:val="0016165E"/>
    <w:rsid w:val="00161663"/>
    <w:rsid w:val="001616E2"/>
    <w:rsid w:val="00161729"/>
    <w:rsid w:val="0016176D"/>
    <w:rsid w:val="001617CB"/>
    <w:rsid w:val="00161AC8"/>
    <w:rsid w:val="00161B15"/>
    <w:rsid w:val="00161EFC"/>
    <w:rsid w:val="00161F26"/>
    <w:rsid w:val="00162035"/>
    <w:rsid w:val="0016204F"/>
    <w:rsid w:val="001620A7"/>
    <w:rsid w:val="001622CF"/>
    <w:rsid w:val="001625E3"/>
    <w:rsid w:val="001627F0"/>
    <w:rsid w:val="00162881"/>
    <w:rsid w:val="0016293B"/>
    <w:rsid w:val="00162AB2"/>
    <w:rsid w:val="00162B60"/>
    <w:rsid w:val="00162C90"/>
    <w:rsid w:val="00162CA1"/>
    <w:rsid w:val="00162D23"/>
    <w:rsid w:val="00162E2C"/>
    <w:rsid w:val="00163080"/>
    <w:rsid w:val="001630F4"/>
    <w:rsid w:val="001630F6"/>
    <w:rsid w:val="001631A6"/>
    <w:rsid w:val="0016325D"/>
    <w:rsid w:val="00163264"/>
    <w:rsid w:val="001632ED"/>
    <w:rsid w:val="00163353"/>
    <w:rsid w:val="00163392"/>
    <w:rsid w:val="001633B7"/>
    <w:rsid w:val="001633C1"/>
    <w:rsid w:val="00163409"/>
    <w:rsid w:val="0016348E"/>
    <w:rsid w:val="0016354C"/>
    <w:rsid w:val="0016377F"/>
    <w:rsid w:val="00163787"/>
    <w:rsid w:val="001638F1"/>
    <w:rsid w:val="001639B0"/>
    <w:rsid w:val="00163A7A"/>
    <w:rsid w:val="00163AD0"/>
    <w:rsid w:val="00163C02"/>
    <w:rsid w:val="00163C09"/>
    <w:rsid w:val="00163C3F"/>
    <w:rsid w:val="00163CE1"/>
    <w:rsid w:val="00163E0B"/>
    <w:rsid w:val="00163E5A"/>
    <w:rsid w:val="00163EAA"/>
    <w:rsid w:val="0016408B"/>
    <w:rsid w:val="0016408C"/>
    <w:rsid w:val="0016437C"/>
    <w:rsid w:val="001643AA"/>
    <w:rsid w:val="0016448D"/>
    <w:rsid w:val="001645BD"/>
    <w:rsid w:val="001645D0"/>
    <w:rsid w:val="00164709"/>
    <w:rsid w:val="0016473C"/>
    <w:rsid w:val="0016475C"/>
    <w:rsid w:val="00164804"/>
    <w:rsid w:val="001648F5"/>
    <w:rsid w:val="00164958"/>
    <w:rsid w:val="001649B1"/>
    <w:rsid w:val="001649B2"/>
    <w:rsid w:val="001649F7"/>
    <w:rsid w:val="00164ADC"/>
    <w:rsid w:val="00164B57"/>
    <w:rsid w:val="00164BE0"/>
    <w:rsid w:val="00164D2E"/>
    <w:rsid w:val="001650DF"/>
    <w:rsid w:val="00165169"/>
    <w:rsid w:val="001651F3"/>
    <w:rsid w:val="00165326"/>
    <w:rsid w:val="0016532F"/>
    <w:rsid w:val="00165334"/>
    <w:rsid w:val="001653DB"/>
    <w:rsid w:val="001653F0"/>
    <w:rsid w:val="001654B2"/>
    <w:rsid w:val="0016550B"/>
    <w:rsid w:val="0016550C"/>
    <w:rsid w:val="001656AF"/>
    <w:rsid w:val="0016583C"/>
    <w:rsid w:val="00165891"/>
    <w:rsid w:val="00165A49"/>
    <w:rsid w:val="00165AE3"/>
    <w:rsid w:val="00165C30"/>
    <w:rsid w:val="00165EC5"/>
    <w:rsid w:val="00165FFF"/>
    <w:rsid w:val="00166069"/>
    <w:rsid w:val="001664E8"/>
    <w:rsid w:val="001668DF"/>
    <w:rsid w:val="001669E3"/>
    <w:rsid w:val="00166A5D"/>
    <w:rsid w:val="00166B14"/>
    <w:rsid w:val="00166B6C"/>
    <w:rsid w:val="00166C2B"/>
    <w:rsid w:val="00166EA1"/>
    <w:rsid w:val="00167053"/>
    <w:rsid w:val="00167284"/>
    <w:rsid w:val="00167305"/>
    <w:rsid w:val="00167331"/>
    <w:rsid w:val="00167336"/>
    <w:rsid w:val="00167462"/>
    <w:rsid w:val="0016757C"/>
    <w:rsid w:val="0016761C"/>
    <w:rsid w:val="00167628"/>
    <w:rsid w:val="00167642"/>
    <w:rsid w:val="00167697"/>
    <w:rsid w:val="0016776C"/>
    <w:rsid w:val="001678C6"/>
    <w:rsid w:val="00167931"/>
    <w:rsid w:val="00167B33"/>
    <w:rsid w:val="00167DD0"/>
    <w:rsid w:val="00167E2C"/>
    <w:rsid w:val="00167E55"/>
    <w:rsid w:val="00167E9A"/>
    <w:rsid w:val="0017012D"/>
    <w:rsid w:val="00170311"/>
    <w:rsid w:val="0017031C"/>
    <w:rsid w:val="0017059D"/>
    <w:rsid w:val="001705E3"/>
    <w:rsid w:val="0017064B"/>
    <w:rsid w:val="00170656"/>
    <w:rsid w:val="0017067D"/>
    <w:rsid w:val="001706B4"/>
    <w:rsid w:val="001706C6"/>
    <w:rsid w:val="001708D1"/>
    <w:rsid w:val="00170B25"/>
    <w:rsid w:val="00170B87"/>
    <w:rsid w:val="00170C58"/>
    <w:rsid w:val="00170CC4"/>
    <w:rsid w:val="00170E9F"/>
    <w:rsid w:val="00170EE0"/>
    <w:rsid w:val="00171164"/>
    <w:rsid w:val="00171192"/>
    <w:rsid w:val="001712DE"/>
    <w:rsid w:val="001713B5"/>
    <w:rsid w:val="0017141C"/>
    <w:rsid w:val="00171619"/>
    <w:rsid w:val="00171675"/>
    <w:rsid w:val="001716D9"/>
    <w:rsid w:val="0017173E"/>
    <w:rsid w:val="00171851"/>
    <w:rsid w:val="00171985"/>
    <w:rsid w:val="001719EC"/>
    <w:rsid w:val="00171B84"/>
    <w:rsid w:val="00171B8D"/>
    <w:rsid w:val="00171B9E"/>
    <w:rsid w:val="00171BFA"/>
    <w:rsid w:val="00171C09"/>
    <w:rsid w:val="00171C0A"/>
    <w:rsid w:val="00171ECD"/>
    <w:rsid w:val="00171EF0"/>
    <w:rsid w:val="00171EFD"/>
    <w:rsid w:val="00171FA9"/>
    <w:rsid w:val="001720D6"/>
    <w:rsid w:val="0017221A"/>
    <w:rsid w:val="00172464"/>
    <w:rsid w:val="00172499"/>
    <w:rsid w:val="001724C4"/>
    <w:rsid w:val="00172537"/>
    <w:rsid w:val="00172566"/>
    <w:rsid w:val="0017264F"/>
    <w:rsid w:val="001726EC"/>
    <w:rsid w:val="001727AE"/>
    <w:rsid w:val="001729D5"/>
    <w:rsid w:val="00172A51"/>
    <w:rsid w:val="00172BF4"/>
    <w:rsid w:val="00172C96"/>
    <w:rsid w:val="00172CEF"/>
    <w:rsid w:val="00172CFE"/>
    <w:rsid w:val="00172D77"/>
    <w:rsid w:val="00172F41"/>
    <w:rsid w:val="00172F55"/>
    <w:rsid w:val="00173001"/>
    <w:rsid w:val="00173048"/>
    <w:rsid w:val="00173275"/>
    <w:rsid w:val="001733DB"/>
    <w:rsid w:val="001733F9"/>
    <w:rsid w:val="001735E6"/>
    <w:rsid w:val="0017361D"/>
    <w:rsid w:val="00173632"/>
    <w:rsid w:val="00173648"/>
    <w:rsid w:val="00173679"/>
    <w:rsid w:val="001736D8"/>
    <w:rsid w:val="001736E4"/>
    <w:rsid w:val="001737E9"/>
    <w:rsid w:val="00173832"/>
    <w:rsid w:val="0017389A"/>
    <w:rsid w:val="001738C0"/>
    <w:rsid w:val="00173930"/>
    <w:rsid w:val="001739A6"/>
    <w:rsid w:val="00173A59"/>
    <w:rsid w:val="00173A8E"/>
    <w:rsid w:val="00173A90"/>
    <w:rsid w:val="00173B5D"/>
    <w:rsid w:val="00173BDE"/>
    <w:rsid w:val="00173C5A"/>
    <w:rsid w:val="00173C9F"/>
    <w:rsid w:val="00173CD7"/>
    <w:rsid w:val="00173D33"/>
    <w:rsid w:val="00173D64"/>
    <w:rsid w:val="00173FDC"/>
    <w:rsid w:val="00174128"/>
    <w:rsid w:val="00174175"/>
    <w:rsid w:val="001742AB"/>
    <w:rsid w:val="001742E2"/>
    <w:rsid w:val="00174432"/>
    <w:rsid w:val="0017484D"/>
    <w:rsid w:val="001748F5"/>
    <w:rsid w:val="00174950"/>
    <w:rsid w:val="00174A53"/>
    <w:rsid w:val="00174A94"/>
    <w:rsid w:val="00174B6C"/>
    <w:rsid w:val="00174CCF"/>
    <w:rsid w:val="00174E5E"/>
    <w:rsid w:val="00174E89"/>
    <w:rsid w:val="00175130"/>
    <w:rsid w:val="0017524F"/>
    <w:rsid w:val="00175280"/>
    <w:rsid w:val="001752CE"/>
    <w:rsid w:val="0017532C"/>
    <w:rsid w:val="00175488"/>
    <w:rsid w:val="00175635"/>
    <w:rsid w:val="001758B5"/>
    <w:rsid w:val="00175A07"/>
    <w:rsid w:val="00175A7D"/>
    <w:rsid w:val="00175AC2"/>
    <w:rsid w:val="00175C66"/>
    <w:rsid w:val="00175CC9"/>
    <w:rsid w:val="00175CCF"/>
    <w:rsid w:val="00175CF1"/>
    <w:rsid w:val="00175F21"/>
    <w:rsid w:val="00175FBB"/>
    <w:rsid w:val="00175FFD"/>
    <w:rsid w:val="001760FA"/>
    <w:rsid w:val="0017614B"/>
    <w:rsid w:val="00176155"/>
    <w:rsid w:val="00176440"/>
    <w:rsid w:val="0017646C"/>
    <w:rsid w:val="0017650F"/>
    <w:rsid w:val="00176561"/>
    <w:rsid w:val="00176575"/>
    <w:rsid w:val="00176647"/>
    <w:rsid w:val="0017666C"/>
    <w:rsid w:val="001766C1"/>
    <w:rsid w:val="0017672F"/>
    <w:rsid w:val="001769B7"/>
    <w:rsid w:val="00176BE2"/>
    <w:rsid w:val="00176C14"/>
    <w:rsid w:val="00176C24"/>
    <w:rsid w:val="00176C63"/>
    <w:rsid w:val="00176D2C"/>
    <w:rsid w:val="00176DC0"/>
    <w:rsid w:val="00176FEE"/>
    <w:rsid w:val="00177129"/>
    <w:rsid w:val="00177217"/>
    <w:rsid w:val="0017724B"/>
    <w:rsid w:val="001772EF"/>
    <w:rsid w:val="00177389"/>
    <w:rsid w:val="00177548"/>
    <w:rsid w:val="00177692"/>
    <w:rsid w:val="001776C9"/>
    <w:rsid w:val="0017772A"/>
    <w:rsid w:val="001777C0"/>
    <w:rsid w:val="001777D8"/>
    <w:rsid w:val="001777FB"/>
    <w:rsid w:val="00177827"/>
    <w:rsid w:val="00177878"/>
    <w:rsid w:val="001778E1"/>
    <w:rsid w:val="001779C2"/>
    <w:rsid w:val="00177B76"/>
    <w:rsid w:val="00177B98"/>
    <w:rsid w:val="00177CD5"/>
    <w:rsid w:val="00177D85"/>
    <w:rsid w:val="00177EF1"/>
    <w:rsid w:val="00177F5B"/>
    <w:rsid w:val="00177FA4"/>
    <w:rsid w:val="00180210"/>
    <w:rsid w:val="00180303"/>
    <w:rsid w:val="00180327"/>
    <w:rsid w:val="0018046D"/>
    <w:rsid w:val="0018047F"/>
    <w:rsid w:val="00180489"/>
    <w:rsid w:val="001805D8"/>
    <w:rsid w:val="0018069E"/>
    <w:rsid w:val="00180774"/>
    <w:rsid w:val="0018085A"/>
    <w:rsid w:val="001808C9"/>
    <w:rsid w:val="001808EB"/>
    <w:rsid w:val="001809E4"/>
    <w:rsid w:val="00180A22"/>
    <w:rsid w:val="00180AD9"/>
    <w:rsid w:val="00180BA4"/>
    <w:rsid w:val="00180CFD"/>
    <w:rsid w:val="00180D29"/>
    <w:rsid w:val="00180D38"/>
    <w:rsid w:val="00180D41"/>
    <w:rsid w:val="00180D47"/>
    <w:rsid w:val="00180D72"/>
    <w:rsid w:val="00180EBC"/>
    <w:rsid w:val="00180F8D"/>
    <w:rsid w:val="001810DE"/>
    <w:rsid w:val="00181675"/>
    <w:rsid w:val="001816AE"/>
    <w:rsid w:val="00181888"/>
    <w:rsid w:val="00181A04"/>
    <w:rsid w:val="00181A0C"/>
    <w:rsid w:val="00181AAA"/>
    <w:rsid w:val="00181C88"/>
    <w:rsid w:val="00181DB0"/>
    <w:rsid w:val="00181DBC"/>
    <w:rsid w:val="00181DE9"/>
    <w:rsid w:val="00181E07"/>
    <w:rsid w:val="00181E90"/>
    <w:rsid w:val="0018203C"/>
    <w:rsid w:val="00182041"/>
    <w:rsid w:val="0018214C"/>
    <w:rsid w:val="0018224D"/>
    <w:rsid w:val="0018229A"/>
    <w:rsid w:val="0018231F"/>
    <w:rsid w:val="00182445"/>
    <w:rsid w:val="00182595"/>
    <w:rsid w:val="001826F4"/>
    <w:rsid w:val="00182793"/>
    <w:rsid w:val="00182944"/>
    <w:rsid w:val="00182ACC"/>
    <w:rsid w:val="00182B21"/>
    <w:rsid w:val="00182B40"/>
    <w:rsid w:val="00182C1D"/>
    <w:rsid w:val="00182CBD"/>
    <w:rsid w:val="00182CF9"/>
    <w:rsid w:val="00182D85"/>
    <w:rsid w:val="00182DEC"/>
    <w:rsid w:val="00182E14"/>
    <w:rsid w:val="00182E8D"/>
    <w:rsid w:val="00182F6A"/>
    <w:rsid w:val="00183007"/>
    <w:rsid w:val="0018318A"/>
    <w:rsid w:val="001833DB"/>
    <w:rsid w:val="001833F1"/>
    <w:rsid w:val="00183482"/>
    <w:rsid w:val="001835A4"/>
    <w:rsid w:val="00183864"/>
    <w:rsid w:val="0018398A"/>
    <w:rsid w:val="00183A63"/>
    <w:rsid w:val="00183C1F"/>
    <w:rsid w:val="00183C6D"/>
    <w:rsid w:val="00183CE7"/>
    <w:rsid w:val="00183CF8"/>
    <w:rsid w:val="00183D5F"/>
    <w:rsid w:val="00183DC7"/>
    <w:rsid w:val="00183E6B"/>
    <w:rsid w:val="00183F28"/>
    <w:rsid w:val="00183F52"/>
    <w:rsid w:val="00183FFD"/>
    <w:rsid w:val="0018413E"/>
    <w:rsid w:val="001841DD"/>
    <w:rsid w:val="00184370"/>
    <w:rsid w:val="001843A4"/>
    <w:rsid w:val="001843DE"/>
    <w:rsid w:val="0018444B"/>
    <w:rsid w:val="001844AB"/>
    <w:rsid w:val="0018455B"/>
    <w:rsid w:val="001846F5"/>
    <w:rsid w:val="00184839"/>
    <w:rsid w:val="00184A3A"/>
    <w:rsid w:val="00184A4C"/>
    <w:rsid w:val="00184B19"/>
    <w:rsid w:val="00184BC5"/>
    <w:rsid w:val="00184BEC"/>
    <w:rsid w:val="00184CE9"/>
    <w:rsid w:val="00184D07"/>
    <w:rsid w:val="00184E63"/>
    <w:rsid w:val="00184E64"/>
    <w:rsid w:val="0018503A"/>
    <w:rsid w:val="00185111"/>
    <w:rsid w:val="0018515A"/>
    <w:rsid w:val="00185204"/>
    <w:rsid w:val="00185354"/>
    <w:rsid w:val="00185401"/>
    <w:rsid w:val="00185452"/>
    <w:rsid w:val="00185490"/>
    <w:rsid w:val="001854F9"/>
    <w:rsid w:val="0018563D"/>
    <w:rsid w:val="001857A4"/>
    <w:rsid w:val="00185808"/>
    <w:rsid w:val="00185851"/>
    <w:rsid w:val="0018585C"/>
    <w:rsid w:val="0018588B"/>
    <w:rsid w:val="001858BF"/>
    <w:rsid w:val="001859B4"/>
    <w:rsid w:val="00185A13"/>
    <w:rsid w:val="00185B23"/>
    <w:rsid w:val="00185B5B"/>
    <w:rsid w:val="00185BD9"/>
    <w:rsid w:val="00185BFE"/>
    <w:rsid w:val="00185D93"/>
    <w:rsid w:val="00185E61"/>
    <w:rsid w:val="00185E63"/>
    <w:rsid w:val="00185ECC"/>
    <w:rsid w:val="00185EFD"/>
    <w:rsid w:val="00186056"/>
    <w:rsid w:val="00186245"/>
    <w:rsid w:val="00186248"/>
    <w:rsid w:val="0018654D"/>
    <w:rsid w:val="001866C5"/>
    <w:rsid w:val="001866E8"/>
    <w:rsid w:val="00186723"/>
    <w:rsid w:val="001867DC"/>
    <w:rsid w:val="001868E2"/>
    <w:rsid w:val="0018692A"/>
    <w:rsid w:val="00186939"/>
    <w:rsid w:val="00186BF6"/>
    <w:rsid w:val="00186C43"/>
    <w:rsid w:val="00186CE4"/>
    <w:rsid w:val="00186E1E"/>
    <w:rsid w:val="00186E2B"/>
    <w:rsid w:val="00186E49"/>
    <w:rsid w:val="00186E98"/>
    <w:rsid w:val="00186EEA"/>
    <w:rsid w:val="00186F37"/>
    <w:rsid w:val="0018702B"/>
    <w:rsid w:val="0018709B"/>
    <w:rsid w:val="001870F2"/>
    <w:rsid w:val="00187162"/>
    <w:rsid w:val="00187387"/>
    <w:rsid w:val="00187460"/>
    <w:rsid w:val="0018747E"/>
    <w:rsid w:val="00187548"/>
    <w:rsid w:val="001875AC"/>
    <w:rsid w:val="001875FF"/>
    <w:rsid w:val="00187616"/>
    <w:rsid w:val="00187A16"/>
    <w:rsid w:val="00187A2E"/>
    <w:rsid w:val="00187AE2"/>
    <w:rsid w:val="00187C08"/>
    <w:rsid w:val="00187EAD"/>
    <w:rsid w:val="00187F05"/>
    <w:rsid w:val="00190035"/>
    <w:rsid w:val="00190042"/>
    <w:rsid w:val="00190138"/>
    <w:rsid w:val="00190273"/>
    <w:rsid w:val="00190323"/>
    <w:rsid w:val="0019050A"/>
    <w:rsid w:val="001905DC"/>
    <w:rsid w:val="00190A2E"/>
    <w:rsid w:val="00190CF1"/>
    <w:rsid w:val="00190E15"/>
    <w:rsid w:val="00190E67"/>
    <w:rsid w:val="001910BD"/>
    <w:rsid w:val="0019115B"/>
    <w:rsid w:val="00191306"/>
    <w:rsid w:val="0019132E"/>
    <w:rsid w:val="00191355"/>
    <w:rsid w:val="00191412"/>
    <w:rsid w:val="001914C4"/>
    <w:rsid w:val="001914F2"/>
    <w:rsid w:val="00191643"/>
    <w:rsid w:val="00191773"/>
    <w:rsid w:val="001918CE"/>
    <w:rsid w:val="00191958"/>
    <w:rsid w:val="0019197C"/>
    <w:rsid w:val="00191B2E"/>
    <w:rsid w:val="00191C4F"/>
    <w:rsid w:val="00191C5E"/>
    <w:rsid w:val="00191DC0"/>
    <w:rsid w:val="00191E2F"/>
    <w:rsid w:val="00191EB1"/>
    <w:rsid w:val="0019201E"/>
    <w:rsid w:val="00192084"/>
    <w:rsid w:val="00192194"/>
    <w:rsid w:val="001921D3"/>
    <w:rsid w:val="00192346"/>
    <w:rsid w:val="0019240A"/>
    <w:rsid w:val="0019286D"/>
    <w:rsid w:val="00192973"/>
    <w:rsid w:val="001929B1"/>
    <w:rsid w:val="00192A6B"/>
    <w:rsid w:val="00192B90"/>
    <w:rsid w:val="00192B98"/>
    <w:rsid w:val="00192C88"/>
    <w:rsid w:val="00192D49"/>
    <w:rsid w:val="00192DFD"/>
    <w:rsid w:val="00192E4D"/>
    <w:rsid w:val="00192EBD"/>
    <w:rsid w:val="00192FBE"/>
    <w:rsid w:val="00192FBF"/>
    <w:rsid w:val="00192FC8"/>
    <w:rsid w:val="00193068"/>
    <w:rsid w:val="001930F6"/>
    <w:rsid w:val="00193207"/>
    <w:rsid w:val="001932DC"/>
    <w:rsid w:val="00193345"/>
    <w:rsid w:val="00193451"/>
    <w:rsid w:val="0019350A"/>
    <w:rsid w:val="0019370D"/>
    <w:rsid w:val="00193785"/>
    <w:rsid w:val="0019388B"/>
    <w:rsid w:val="0019397C"/>
    <w:rsid w:val="00193A25"/>
    <w:rsid w:val="00193BCD"/>
    <w:rsid w:val="00193C50"/>
    <w:rsid w:val="00193DBF"/>
    <w:rsid w:val="00193F27"/>
    <w:rsid w:val="00193F5A"/>
    <w:rsid w:val="0019403C"/>
    <w:rsid w:val="0019404E"/>
    <w:rsid w:val="00194191"/>
    <w:rsid w:val="00194280"/>
    <w:rsid w:val="0019438C"/>
    <w:rsid w:val="001943AE"/>
    <w:rsid w:val="001943E7"/>
    <w:rsid w:val="00194552"/>
    <w:rsid w:val="001948C0"/>
    <w:rsid w:val="001948FE"/>
    <w:rsid w:val="00194986"/>
    <w:rsid w:val="00194AFA"/>
    <w:rsid w:val="00194C83"/>
    <w:rsid w:val="00194D65"/>
    <w:rsid w:val="00194E17"/>
    <w:rsid w:val="00194EDF"/>
    <w:rsid w:val="00194EF4"/>
    <w:rsid w:val="00194FD8"/>
    <w:rsid w:val="00194FF8"/>
    <w:rsid w:val="001950AB"/>
    <w:rsid w:val="001951DB"/>
    <w:rsid w:val="00195225"/>
    <w:rsid w:val="001954E9"/>
    <w:rsid w:val="00195532"/>
    <w:rsid w:val="00195656"/>
    <w:rsid w:val="0019570A"/>
    <w:rsid w:val="00195754"/>
    <w:rsid w:val="00195814"/>
    <w:rsid w:val="00195898"/>
    <w:rsid w:val="001958CF"/>
    <w:rsid w:val="00195A50"/>
    <w:rsid w:val="00195BBD"/>
    <w:rsid w:val="00195BCE"/>
    <w:rsid w:val="00195CC1"/>
    <w:rsid w:val="00195D06"/>
    <w:rsid w:val="00195EDC"/>
    <w:rsid w:val="00195F2D"/>
    <w:rsid w:val="00195FEF"/>
    <w:rsid w:val="00196033"/>
    <w:rsid w:val="00196264"/>
    <w:rsid w:val="001962ED"/>
    <w:rsid w:val="00196621"/>
    <w:rsid w:val="00196626"/>
    <w:rsid w:val="001967A4"/>
    <w:rsid w:val="001967E2"/>
    <w:rsid w:val="0019688B"/>
    <w:rsid w:val="001968A5"/>
    <w:rsid w:val="001968DA"/>
    <w:rsid w:val="0019699F"/>
    <w:rsid w:val="00196AC8"/>
    <w:rsid w:val="00196C61"/>
    <w:rsid w:val="00196C62"/>
    <w:rsid w:val="00196C98"/>
    <w:rsid w:val="00196D2E"/>
    <w:rsid w:val="00196D8B"/>
    <w:rsid w:val="00196DAC"/>
    <w:rsid w:val="00196E63"/>
    <w:rsid w:val="00196E90"/>
    <w:rsid w:val="001970C0"/>
    <w:rsid w:val="001970E6"/>
    <w:rsid w:val="00197133"/>
    <w:rsid w:val="00197155"/>
    <w:rsid w:val="0019715A"/>
    <w:rsid w:val="001971BF"/>
    <w:rsid w:val="001971C7"/>
    <w:rsid w:val="0019727E"/>
    <w:rsid w:val="00197283"/>
    <w:rsid w:val="00197325"/>
    <w:rsid w:val="0019734D"/>
    <w:rsid w:val="0019737E"/>
    <w:rsid w:val="00197451"/>
    <w:rsid w:val="001974A3"/>
    <w:rsid w:val="001975B8"/>
    <w:rsid w:val="001975DB"/>
    <w:rsid w:val="001975E8"/>
    <w:rsid w:val="001977A4"/>
    <w:rsid w:val="001977EC"/>
    <w:rsid w:val="00197814"/>
    <w:rsid w:val="0019795A"/>
    <w:rsid w:val="001979B5"/>
    <w:rsid w:val="001979F7"/>
    <w:rsid w:val="00197A13"/>
    <w:rsid w:val="00197BA9"/>
    <w:rsid w:val="00197DA4"/>
    <w:rsid w:val="00197ED2"/>
    <w:rsid w:val="001A0072"/>
    <w:rsid w:val="001A00F5"/>
    <w:rsid w:val="001A029C"/>
    <w:rsid w:val="001A02CD"/>
    <w:rsid w:val="001A02EF"/>
    <w:rsid w:val="001A03F5"/>
    <w:rsid w:val="001A048D"/>
    <w:rsid w:val="001A0621"/>
    <w:rsid w:val="001A0680"/>
    <w:rsid w:val="001A06D3"/>
    <w:rsid w:val="001A070F"/>
    <w:rsid w:val="001A08B2"/>
    <w:rsid w:val="001A08D8"/>
    <w:rsid w:val="001A0A69"/>
    <w:rsid w:val="001A0A71"/>
    <w:rsid w:val="001A0B13"/>
    <w:rsid w:val="001A0DA6"/>
    <w:rsid w:val="001A0EBA"/>
    <w:rsid w:val="001A0F4D"/>
    <w:rsid w:val="001A0F76"/>
    <w:rsid w:val="001A0FC1"/>
    <w:rsid w:val="001A0FD5"/>
    <w:rsid w:val="001A1214"/>
    <w:rsid w:val="001A12F0"/>
    <w:rsid w:val="001A1333"/>
    <w:rsid w:val="001A14C6"/>
    <w:rsid w:val="001A14ED"/>
    <w:rsid w:val="001A14FC"/>
    <w:rsid w:val="001A151E"/>
    <w:rsid w:val="001A1578"/>
    <w:rsid w:val="001A163F"/>
    <w:rsid w:val="001A1855"/>
    <w:rsid w:val="001A185E"/>
    <w:rsid w:val="001A186D"/>
    <w:rsid w:val="001A1A69"/>
    <w:rsid w:val="001A1C8D"/>
    <w:rsid w:val="001A1D10"/>
    <w:rsid w:val="001A1DB0"/>
    <w:rsid w:val="001A1F76"/>
    <w:rsid w:val="001A1F8E"/>
    <w:rsid w:val="001A1FF9"/>
    <w:rsid w:val="001A2059"/>
    <w:rsid w:val="001A207F"/>
    <w:rsid w:val="001A2086"/>
    <w:rsid w:val="001A20F1"/>
    <w:rsid w:val="001A2118"/>
    <w:rsid w:val="001A21CB"/>
    <w:rsid w:val="001A2251"/>
    <w:rsid w:val="001A23D0"/>
    <w:rsid w:val="001A2530"/>
    <w:rsid w:val="001A2584"/>
    <w:rsid w:val="001A265F"/>
    <w:rsid w:val="001A2743"/>
    <w:rsid w:val="001A27B5"/>
    <w:rsid w:val="001A289A"/>
    <w:rsid w:val="001A28A7"/>
    <w:rsid w:val="001A29DD"/>
    <w:rsid w:val="001A2A29"/>
    <w:rsid w:val="001A2AB9"/>
    <w:rsid w:val="001A2B4E"/>
    <w:rsid w:val="001A2B54"/>
    <w:rsid w:val="001A2BBA"/>
    <w:rsid w:val="001A2CDD"/>
    <w:rsid w:val="001A2D23"/>
    <w:rsid w:val="001A2D46"/>
    <w:rsid w:val="001A2DCC"/>
    <w:rsid w:val="001A2DCF"/>
    <w:rsid w:val="001A300F"/>
    <w:rsid w:val="001A3131"/>
    <w:rsid w:val="001A326D"/>
    <w:rsid w:val="001A33DD"/>
    <w:rsid w:val="001A3482"/>
    <w:rsid w:val="001A3498"/>
    <w:rsid w:val="001A3541"/>
    <w:rsid w:val="001A392D"/>
    <w:rsid w:val="001A39B1"/>
    <w:rsid w:val="001A3A91"/>
    <w:rsid w:val="001A3B35"/>
    <w:rsid w:val="001A3BC5"/>
    <w:rsid w:val="001A3BDF"/>
    <w:rsid w:val="001A3D93"/>
    <w:rsid w:val="001A3EB0"/>
    <w:rsid w:val="001A3EC3"/>
    <w:rsid w:val="001A3F08"/>
    <w:rsid w:val="001A40E6"/>
    <w:rsid w:val="001A41C6"/>
    <w:rsid w:val="001A4235"/>
    <w:rsid w:val="001A4385"/>
    <w:rsid w:val="001A4450"/>
    <w:rsid w:val="001A44A1"/>
    <w:rsid w:val="001A458C"/>
    <w:rsid w:val="001A46F3"/>
    <w:rsid w:val="001A4712"/>
    <w:rsid w:val="001A4738"/>
    <w:rsid w:val="001A4771"/>
    <w:rsid w:val="001A483F"/>
    <w:rsid w:val="001A487D"/>
    <w:rsid w:val="001A488E"/>
    <w:rsid w:val="001A4926"/>
    <w:rsid w:val="001A4945"/>
    <w:rsid w:val="001A49AC"/>
    <w:rsid w:val="001A4AE3"/>
    <w:rsid w:val="001A4BC3"/>
    <w:rsid w:val="001A4C21"/>
    <w:rsid w:val="001A4D5C"/>
    <w:rsid w:val="001A4D6A"/>
    <w:rsid w:val="001A5006"/>
    <w:rsid w:val="001A50CF"/>
    <w:rsid w:val="001A5107"/>
    <w:rsid w:val="001A513A"/>
    <w:rsid w:val="001A5208"/>
    <w:rsid w:val="001A5295"/>
    <w:rsid w:val="001A53AB"/>
    <w:rsid w:val="001A57AE"/>
    <w:rsid w:val="001A5857"/>
    <w:rsid w:val="001A58F8"/>
    <w:rsid w:val="001A5978"/>
    <w:rsid w:val="001A5A92"/>
    <w:rsid w:val="001A5A9E"/>
    <w:rsid w:val="001A5C63"/>
    <w:rsid w:val="001A5CA7"/>
    <w:rsid w:val="001A5CFB"/>
    <w:rsid w:val="001A5EF8"/>
    <w:rsid w:val="001A5F37"/>
    <w:rsid w:val="001A6042"/>
    <w:rsid w:val="001A6094"/>
    <w:rsid w:val="001A60D6"/>
    <w:rsid w:val="001A6113"/>
    <w:rsid w:val="001A6125"/>
    <w:rsid w:val="001A6147"/>
    <w:rsid w:val="001A621E"/>
    <w:rsid w:val="001A6227"/>
    <w:rsid w:val="001A6294"/>
    <w:rsid w:val="001A6382"/>
    <w:rsid w:val="001A649E"/>
    <w:rsid w:val="001A64CC"/>
    <w:rsid w:val="001A666F"/>
    <w:rsid w:val="001A68D7"/>
    <w:rsid w:val="001A691F"/>
    <w:rsid w:val="001A695B"/>
    <w:rsid w:val="001A698D"/>
    <w:rsid w:val="001A6A4D"/>
    <w:rsid w:val="001A6A69"/>
    <w:rsid w:val="001A6ABA"/>
    <w:rsid w:val="001A6B87"/>
    <w:rsid w:val="001A6C89"/>
    <w:rsid w:val="001A6D11"/>
    <w:rsid w:val="001A6D4C"/>
    <w:rsid w:val="001A6E62"/>
    <w:rsid w:val="001A6E94"/>
    <w:rsid w:val="001A6ED3"/>
    <w:rsid w:val="001A6FE5"/>
    <w:rsid w:val="001A7204"/>
    <w:rsid w:val="001A7241"/>
    <w:rsid w:val="001A7247"/>
    <w:rsid w:val="001A72BF"/>
    <w:rsid w:val="001A72CB"/>
    <w:rsid w:val="001A730E"/>
    <w:rsid w:val="001A7421"/>
    <w:rsid w:val="001A7694"/>
    <w:rsid w:val="001A7712"/>
    <w:rsid w:val="001A771D"/>
    <w:rsid w:val="001A77BD"/>
    <w:rsid w:val="001A78B6"/>
    <w:rsid w:val="001A78DA"/>
    <w:rsid w:val="001A792B"/>
    <w:rsid w:val="001A7A76"/>
    <w:rsid w:val="001A7B8A"/>
    <w:rsid w:val="001A7C85"/>
    <w:rsid w:val="001A7D12"/>
    <w:rsid w:val="001A7DC0"/>
    <w:rsid w:val="001A7E56"/>
    <w:rsid w:val="001A7EB6"/>
    <w:rsid w:val="001B00CA"/>
    <w:rsid w:val="001B01BF"/>
    <w:rsid w:val="001B0273"/>
    <w:rsid w:val="001B0404"/>
    <w:rsid w:val="001B0592"/>
    <w:rsid w:val="001B05DE"/>
    <w:rsid w:val="001B062A"/>
    <w:rsid w:val="001B068B"/>
    <w:rsid w:val="001B06F1"/>
    <w:rsid w:val="001B0709"/>
    <w:rsid w:val="001B082B"/>
    <w:rsid w:val="001B0904"/>
    <w:rsid w:val="001B0957"/>
    <w:rsid w:val="001B0A14"/>
    <w:rsid w:val="001B0B09"/>
    <w:rsid w:val="001B0C74"/>
    <w:rsid w:val="001B0C92"/>
    <w:rsid w:val="001B0DDE"/>
    <w:rsid w:val="001B0E35"/>
    <w:rsid w:val="001B0F9A"/>
    <w:rsid w:val="001B1030"/>
    <w:rsid w:val="001B12E1"/>
    <w:rsid w:val="001B15AA"/>
    <w:rsid w:val="001B168B"/>
    <w:rsid w:val="001B1717"/>
    <w:rsid w:val="001B175D"/>
    <w:rsid w:val="001B17FE"/>
    <w:rsid w:val="001B182F"/>
    <w:rsid w:val="001B186C"/>
    <w:rsid w:val="001B19A3"/>
    <w:rsid w:val="001B1C90"/>
    <w:rsid w:val="001B1FE0"/>
    <w:rsid w:val="001B1FFD"/>
    <w:rsid w:val="001B211A"/>
    <w:rsid w:val="001B2131"/>
    <w:rsid w:val="001B216C"/>
    <w:rsid w:val="001B2413"/>
    <w:rsid w:val="001B249E"/>
    <w:rsid w:val="001B250B"/>
    <w:rsid w:val="001B25E6"/>
    <w:rsid w:val="001B2803"/>
    <w:rsid w:val="001B28A2"/>
    <w:rsid w:val="001B2A18"/>
    <w:rsid w:val="001B2B91"/>
    <w:rsid w:val="001B2BAE"/>
    <w:rsid w:val="001B2BD1"/>
    <w:rsid w:val="001B2C19"/>
    <w:rsid w:val="001B2E6B"/>
    <w:rsid w:val="001B2E92"/>
    <w:rsid w:val="001B2EA3"/>
    <w:rsid w:val="001B2EA8"/>
    <w:rsid w:val="001B2F9E"/>
    <w:rsid w:val="001B306A"/>
    <w:rsid w:val="001B309B"/>
    <w:rsid w:val="001B30BF"/>
    <w:rsid w:val="001B3175"/>
    <w:rsid w:val="001B3206"/>
    <w:rsid w:val="001B3295"/>
    <w:rsid w:val="001B32C9"/>
    <w:rsid w:val="001B32EF"/>
    <w:rsid w:val="001B339C"/>
    <w:rsid w:val="001B33DE"/>
    <w:rsid w:val="001B34EB"/>
    <w:rsid w:val="001B3535"/>
    <w:rsid w:val="001B3575"/>
    <w:rsid w:val="001B35B3"/>
    <w:rsid w:val="001B35DD"/>
    <w:rsid w:val="001B368A"/>
    <w:rsid w:val="001B3691"/>
    <w:rsid w:val="001B36BF"/>
    <w:rsid w:val="001B36D1"/>
    <w:rsid w:val="001B3722"/>
    <w:rsid w:val="001B3837"/>
    <w:rsid w:val="001B3855"/>
    <w:rsid w:val="001B385A"/>
    <w:rsid w:val="001B38FF"/>
    <w:rsid w:val="001B39F2"/>
    <w:rsid w:val="001B3BAD"/>
    <w:rsid w:val="001B3D64"/>
    <w:rsid w:val="001B3DB7"/>
    <w:rsid w:val="001B3E98"/>
    <w:rsid w:val="001B3FE8"/>
    <w:rsid w:val="001B4000"/>
    <w:rsid w:val="001B4004"/>
    <w:rsid w:val="001B41AA"/>
    <w:rsid w:val="001B426C"/>
    <w:rsid w:val="001B433F"/>
    <w:rsid w:val="001B4347"/>
    <w:rsid w:val="001B434C"/>
    <w:rsid w:val="001B442A"/>
    <w:rsid w:val="001B496F"/>
    <w:rsid w:val="001B499F"/>
    <w:rsid w:val="001B4A24"/>
    <w:rsid w:val="001B4BF8"/>
    <w:rsid w:val="001B4CC6"/>
    <w:rsid w:val="001B4D6D"/>
    <w:rsid w:val="001B4E21"/>
    <w:rsid w:val="001B4E35"/>
    <w:rsid w:val="001B4F5B"/>
    <w:rsid w:val="001B50E0"/>
    <w:rsid w:val="001B51AC"/>
    <w:rsid w:val="001B530D"/>
    <w:rsid w:val="001B537B"/>
    <w:rsid w:val="001B5486"/>
    <w:rsid w:val="001B556A"/>
    <w:rsid w:val="001B5683"/>
    <w:rsid w:val="001B5687"/>
    <w:rsid w:val="001B5742"/>
    <w:rsid w:val="001B589B"/>
    <w:rsid w:val="001B5A0B"/>
    <w:rsid w:val="001B5A10"/>
    <w:rsid w:val="001B5AA4"/>
    <w:rsid w:val="001B5B2F"/>
    <w:rsid w:val="001B5C78"/>
    <w:rsid w:val="001B5D94"/>
    <w:rsid w:val="001B5E13"/>
    <w:rsid w:val="001B5EC0"/>
    <w:rsid w:val="001B5F22"/>
    <w:rsid w:val="001B5F2F"/>
    <w:rsid w:val="001B5F40"/>
    <w:rsid w:val="001B60DA"/>
    <w:rsid w:val="001B6127"/>
    <w:rsid w:val="001B6130"/>
    <w:rsid w:val="001B61E8"/>
    <w:rsid w:val="001B6259"/>
    <w:rsid w:val="001B62AC"/>
    <w:rsid w:val="001B6340"/>
    <w:rsid w:val="001B63C0"/>
    <w:rsid w:val="001B647F"/>
    <w:rsid w:val="001B681F"/>
    <w:rsid w:val="001B683A"/>
    <w:rsid w:val="001B68B1"/>
    <w:rsid w:val="001B68C8"/>
    <w:rsid w:val="001B6900"/>
    <w:rsid w:val="001B69BF"/>
    <w:rsid w:val="001B6A53"/>
    <w:rsid w:val="001B6B89"/>
    <w:rsid w:val="001B6C47"/>
    <w:rsid w:val="001B6E6A"/>
    <w:rsid w:val="001B6EF0"/>
    <w:rsid w:val="001B7018"/>
    <w:rsid w:val="001B710F"/>
    <w:rsid w:val="001B7194"/>
    <w:rsid w:val="001B7232"/>
    <w:rsid w:val="001B724C"/>
    <w:rsid w:val="001B745B"/>
    <w:rsid w:val="001B750B"/>
    <w:rsid w:val="001B752F"/>
    <w:rsid w:val="001B759C"/>
    <w:rsid w:val="001B7776"/>
    <w:rsid w:val="001B793E"/>
    <w:rsid w:val="001B79A4"/>
    <w:rsid w:val="001B7B65"/>
    <w:rsid w:val="001B7BB7"/>
    <w:rsid w:val="001B7C87"/>
    <w:rsid w:val="001B7CE4"/>
    <w:rsid w:val="001B7D52"/>
    <w:rsid w:val="001B7D7E"/>
    <w:rsid w:val="001B7E4E"/>
    <w:rsid w:val="001B7F36"/>
    <w:rsid w:val="001C0023"/>
    <w:rsid w:val="001C0072"/>
    <w:rsid w:val="001C0184"/>
    <w:rsid w:val="001C01A3"/>
    <w:rsid w:val="001C01EC"/>
    <w:rsid w:val="001C0225"/>
    <w:rsid w:val="001C0349"/>
    <w:rsid w:val="001C0465"/>
    <w:rsid w:val="001C0471"/>
    <w:rsid w:val="001C04C1"/>
    <w:rsid w:val="001C0591"/>
    <w:rsid w:val="001C05B9"/>
    <w:rsid w:val="001C0649"/>
    <w:rsid w:val="001C0699"/>
    <w:rsid w:val="001C0702"/>
    <w:rsid w:val="001C0740"/>
    <w:rsid w:val="001C0752"/>
    <w:rsid w:val="001C08AE"/>
    <w:rsid w:val="001C0995"/>
    <w:rsid w:val="001C0A4A"/>
    <w:rsid w:val="001C0AD6"/>
    <w:rsid w:val="001C0AD8"/>
    <w:rsid w:val="001C0BD2"/>
    <w:rsid w:val="001C0D72"/>
    <w:rsid w:val="001C0E94"/>
    <w:rsid w:val="001C0FCE"/>
    <w:rsid w:val="001C10FB"/>
    <w:rsid w:val="001C1196"/>
    <w:rsid w:val="001C1251"/>
    <w:rsid w:val="001C1280"/>
    <w:rsid w:val="001C1399"/>
    <w:rsid w:val="001C13AC"/>
    <w:rsid w:val="001C13C2"/>
    <w:rsid w:val="001C13C5"/>
    <w:rsid w:val="001C15E2"/>
    <w:rsid w:val="001C1805"/>
    <w:rsid w:val="001C194C"/>
    <w:rsid w:val="001C195A"/>
    <w:rsid w:val="001C19D0"/>
    <w:rsid w:val="001C1A45"/>
    <w:rsid w:val="001C1BAD"/>
    <w:rsid w:val="001C1D89"/>
    <w:rsid w:val="001C1E34"/>
    <w:rsid w:val="001C1E98"/>
    <w:rsid w:val="001C1ED7"/>
    <w:rsid w:val="001C1F55"/>
    <w:rsid w:val="001C2178"/>
    <w:rsid w:val="001C2209"/>
    <w:rsid w:val="001C23C3"/>
    <w:rsid w:val="001C23DB"/>
    <w:rsid w:val="001C246E"/>
    <w:rsid w:val="001C268D"/>
    <w:rsid w:val="001C26DB"/>
    <w:rsid w:val="001C2773"/>
    <w:rsid w:val="001C279D"/>
    <w:rsid w:val="001C27A7"/>
    <w:rsid w:val="001C2978"/>
    <w:rsid w:val="001C29BA"/>
    <w:rsid w:val="001C2A33"/>
    <w:rsid w:val="001C2A86"/>
    <w:rsid w:val="001C2AF1"/>
    <w:rsid w:val="001C2D8E"/>
    <w:rsid w:val="001C2DAF"/>
    <w:rsid w:val="001C2E2B"/>
    <w:rsid w:val="001C2E57"/>
    <w:rsid w:val="001C2F34"/>
    <w:rsid w:val="001C2F62"/>
    <w:rsid w:val="001C2F7F"/>
    <w:rsid w:val="001C3429"/>
    <w:rsid w:val="001C346A"/>
    <w:rsid w:val="001C3631"/>
    <w:rsid w:val="001C3641"/>
    <w:rsid w:val="001C36CC"/>
    <w:rsid w:val="001C36FD"/>
    <w:rsid w:val="001C37D7"/>
    <w:rsid w:val="001C37FE"/>
    <w:rsid w:val="001C38F4"/>
    <w:rsid w:val="001C3A4F"/>
    <w:rsid w:val="001C3A56"/>
    <w:rsid w:val="001C3B4C"/>
    <w:rsid w:val="001C3BB7"/>
    <w:rsid w:val="001C3C48"/>
    <w:rsid w:val="001C3DA7"/>
    <w:rsid w:val="001C3ECE"/>
    <w:rsid w:val="001C3F80"/>
    <w:rsid w:val="001C3FA9"/>
    <w:rsid w:val="001C3FF2"/>
    <w:rsid w:val="001C402C"/>
    <w:rsid w:val="001C4085"/>
    <w:rsid w:val="001C40FA"/>
    <w:rsid w:val="001C41FF"/>
    <w:rsid w:val="001C43FA"/>
    <w:rsid w:val="001C4457"/>
    <w:rsid w:val="001C4506"/>
    <w:rsid w:val="001C4522"/>
    <w:rsid w:val="001C4545"/>
    <w:rsid w:val="001C457E"/>
    <w:rsid w:val="001C45FA"/>
    <w:rsid w:val="001C464F"/>
    <w:rsid w:val="001C46C5"/>
    <w:rsid w:val="001C478E"/>
    <w:rsid w:val="001C47A4"/>
    <w:rsid w:val="001C4836"/>
    <w:rsid w:val="001C4865"/>
    <w:rsid w:val="001C4941"/>
    <w:rsid w:val="001C4959"/>
    <w:rsid w:val="001C49D2"/>
    <w:rsid w:val="001C4A3B"/>
    <w:rsid w:val="001C4BA8"/>
    <w:rsid w:val="001C4BBD"/>
    <w:rsid w:val="001C4D24"/>
    <w:rsid w:val="001C4E9B"/>
    <w:rsid w:val="001C4FFD"/>
    <w:rsid w:val="001C5021"/>
    <w:rsid w:val="001C50CD"/>
    <w:rsid w:val="001C51A3"/>
    <w:rsid w:val="001C5214"/>
    <w:rsid w:val="001C52AB"/>
    <w:rsid w:val="001C52DF"/>
    <w:rsid w:val="001C53F8"/>
    <w:rsid w:val="001C5490"/>
    <w:rsid w:val="001C54D3"/>
    <w:rsid w:val="001C55F0"/>
    <w:rsid w:val="001C560F"/>
    <w:rsid w:val="001C5624"/>
    <w:rsid w:val="001C57DB"/>
    <w:rsid w:val="001C5877"/>
    <w:rsid w:val="001C593E"/>
    <w:rsid w:val="001C599F"/>
    <w:rsid w:val="001C5AF7"/>
    <w:rsid w:val="001C5B64"/>
    <w:rsid w:val="001C5C48"/>
    <w:rsid w:val="001C5C6F"/>
    <w:rsid w:val="001C5C90"/>
    <w:rsid w:val="001C5E21"/>
    <w:rsid w:val="001C5EDE"/>
    <w:rsid w:val="001C6086"/>
    <w:rsid w:val="001C6180"/>
    <w:rsid w:val="001C6344"/>
    <w:rsid w:val="001C6390"/>
    <w:rsid w:val="001C642C"/>
    <w:rsid w:val="001C6517"/>
    <w:rsid w:val="001C652D"/>
    <w:rsid w:val="001C65B5"/>
    <w:rsid w:val="001C6744"/>
    <w:rsid w:val="001C67A7"/>
    <w:rsid w:val="001C6819"/>
    <w:rsid w:val="001C68EE"/>
    <w:rsid w:val="001C69D7"/>
    <w:rsid w:val="001C6A8D"/>
    <w:rsid w:val="001C6E5C"/>
    <w:rsid w:val="001C6FB9"/>
    <w:rsid w:val="001C711D"/>
    <w:rsid w:val="001C72BA"/>
    <w:rsid w:val="001C732A"/>
    <w:rsid w:val="001C758C"/>
    <w:rsid w:val="001C7722"/>
    <w:rsid w:val="001C7A5E"/>
    <w:rsid w:val="001C7A90"/>
    <w:rsid w:val="001C7AE2"/>
    <w:rsid w:val="001C7B4B"/>
    <w:rsid w:val="001C7B5C"/>
    <w:rsid w:val="001C7B6F"/>
    <w:rsid w:val="001C7C42"/>
    <w:rsid w:val="001C7EF4"/>
    <w:rsid w:val="001C7F16"/>
    <w:rsid w:val="001D007A"/>
    <w:rsid w:val="001D0278"/>
    <w:rsid w:val="001D02A9"/>
    <w:rsid w:val="001D02D2"/>
    <w:rsid w:val="001D02FD"/>
    <w:rsid w:val="001D036C"/>
    <w:rsid w:val="001D03FC"/>
    <w:rsid w:val="001D04C8"/>
    <w:rsid w:val="001D0523"/>
    <w:rsid w:val="001D06B8"/>
    <w:rsid w:val="001D06F9"/>
    <w:rsid w:val="001D0766"/>
    <w:rsid w:val="001D07FE"/>
    <w:rsid w:val="001D0967"/>
    <w:rsid w:val="001D09BF"/>
    <w:rsid w:val="001D0B91"/>
    <w:rsid w:val="001D0C8E"/>
    <w:rsid w:val="001D0D29"/>
    <w:rsid w:val="001D0E79"/>
    <w:rsid w:val="001D0F02"/>
    <w:rsid w:val="001D0F05"/>
    <w:rsid w:val="001D13CC"/>
    <w:rsid w:val="001D147D"/>
    <w:rsid w:val="001D15FB"/>
    <w:rsid w:val="001D162D"/>
    <w:rsid w:val="001D1694"/>
    <w:rsid w:val="001D1A5C"/>
    <w:rsid w:val="001D1A5D"/>
    <w:rsid w:val="001D1A76"/>
    <w:rsid w:val="001D1B0C"/>
    <w:rsid w:val="001D1BCF"/>
    <w:rsid w:val="001D1C0F"/>
    <w:rsid w:val="001D1C88"/>
    <w:rsid w:val="001D1D58"/>
    <w:rsid w:val="001D1DC1"/>
    <w:rsid w:val="001D1E34"/>
    <w:rsid w:val="001D1EBE"/>
    <w:rsid w:val="001D1F1D"/>
    <w:rsid w:val="001D1F70"/>
    <w:rsid w:val="001D20BE"/>
    <w:rsid w:val="001D2191"/>
    <w:rsid w:val="001D223E"/>
    <w:rsid w:val="001D2281"/>
    <w:rsid w:val="001D2359"/>
    <w:rsid w:val="001D238B"/>
    <w:rsid w:val="001D24C0"/>
    <w:rsid w:val="001D257C"/>
    <w:rsid w:val="001D25C5"/>
    <w:rsid w:val="001D264C"/>
    <w:rsid w:val="001D26EC"/>
    <w:rsid w:val="001D2811"/>
    <w:rsid w:val="001D283E"/>
    <w:rsid w:val="001D2A58"/>
    <w:rsid w:val="001D2A5A"/>
    <w:rsid w:val="001D2C21"/>
    <w:rsid w:val="001D30AD"/>
    <w:rsid w:val="001D3117"/>
    <w:rsid w:val="001D3139"/>
    <w:rsid w:val="001D31B5"/>
    <w:rsid w:val="001D3355"/>
    <w:rsid w:val="001D33D6"/>
    <w:rsid w:val="001D341B"/>
    <w:rsid w:val="001D34FD"/>
    <w:rsid w:val="001D35EA"/>
    <w:rsid w:val="001D37F5"/>
    <w:rsid w:val="001D3951"/>
    <w:rsid w:val="001D395D"/>
    <w:rsid w:val="001D3993"/>
    <w:rsid w:val="001D3AF7"/>
    <w:rsid w:val="001D3B51"/>
    <w:rsid w:val="001D3D9F"/>
    <w:rsid w:val="001D3E94"/>
    <w:rsid w:val="001D3FBE"/>
    <w:rsid w:val="001D40B8"/>
    <w:rsid w:val="001D41ED"/>
    <w:rsid w:val="001D41FF"/>
    <w:rsid w:val="001D427F"/>
    <w:rsid w:val="001D4317"/>
    <w:rsid w:val="001D43AB"/>
    <w:rsid w:val="001D440B"/>
    <w:rsid w:val="001D4497"/>
    <w:rsid w:val="001D4539"/>
    <w:rsid w:val="001D458B"/>
    <w:rsid w:val="001D45B8"/>
    <w:rsid w:val="001D4777"/>
    <w:rsid w:val="001D498A"/>
    <w:rsid w:val="001D49B3"/>
    <w:rsid w:val="001D4A43"/>
    <w:rsid w:val="001D4B8D"/>
    <w:rsid w:val="001D4C11"/>
    <w:rsid w:val="001D4C29"/>
    <w:rsid w:val="001D4C5A"/>
    <w:rsid w:val="001D4D1D"/>
    <w:rsid w:val="001D4D40"/>
    <w:rsid w:val="001D4D4A"/>
    <w:rsid w:val="001D4D72"/>
    <w:rsid w:val="001D4E72"/>
    <w:rsid w:val="001D4F8C"/>
    <w:rsid w:val="001D5006"/>
    <w:rsid w:val="001D5184"/>
    <w:rsid w:val="001D532E"/>
    <w:rsid w:val="001D562C"/>
    <w:rsid w:val="001D564E"/>
    <w:rsid w:val="001D5A37"/>
    <w:rsid w:val="001D5A3A"/>
    <w:rsid w:val="001D5CC8"/>
    <w:rsid w:val="001D5D35"/>
    <w:rsid w:val="001D605D"/>
    <w:rsid w:val="001D60A7"/>
    <w:rsid w:val="001D60D2"/>
    <w:rsid w:val="001D60F6"/>
    <w:rsid w:val="001D61D7"/>
    <w:rsid w:val="001D6713"/>
    <w:rsid w:val="001D67EC"/>
    <w:rsid w:val="001D6CB5"/>
    <w:rsid w:val="001D6CF6"/>
    <w:rsid w:val="001D6D30"/>
    <w:rsid w:val="001D6D88"/>
    <w:rsid w:val="001D6E4D"/>
    <w:rsid w:val="001D6F78"/>
    <w:rsid w:val="001D705D"/>
    <w:rsid w:val="001D7127"/>
    <w:rsid w:val="001D7183"/>
    <w:rsid w:val="001D73FF"/>
    <w:rsid w:val="001D757E"/>
    <w:rsid w:val="001D75EA"/>
    <w:rsid w:val="001D77CE"/>
    <w:rsid w:val="001D78A7"/>
    <w:rsid w:val="001D7961"/>
    <w:rsid w:val="001D798A"/>
    <w:rsid w:val="001D79D7"/>
    <w:rsid w:val="001D7BC6"/>
    <w:rsid w:val="001D7BE3"/>
    <w:rsid w:val="001D7C8C"/>
    <w:rsid w:val="001D7CA5"/>
    <w:rsid w:val="001D7D0F"/>
    <w:rsid w:val="001D7EB3"/>
    <w:rsid w:val="001D7FFB"/>
    <w:rsid w:val="001E00BA"/>
    <w:rsid w:val="001E044D"/>
    <w:rsid w:val="001E051B"/>
    <w:rsid w:val="001E079B"/>
    <w:rsid w:val="001E07BA"/>
    <w:rsid w:val="001E0803"/>
    <w:rsid w:val="001E096F"/>
    <w:rsid w:val="001E0C9C"/>
    <w:rsid w:val="001E0E05"/>
    <w:rsid w:val="001E0E67"/>
    <w:rsid w:val="001E1030"/>
    <w:rsid w:val="001E10FE"/>
    <w:rsid w:val="001E1251"/>
    <w:rsid w:val="001E12F3"/>
    <w:rsid w:val="001E145E"/>
    <w:rsid w:val="001E14C6"/>
    <w:rsid w:val="001E14DA"/>
    <w:rsid w:val="001E1502"/>
    <w:rsid w:val="001E1635"/>
    <w:rsid w:val="001E1655"/>
    <w:rsid w:val="001E180C"/>
    <w:rsid w:val="001E1922"/>
    <w:rsid w:val="001E1AC2"/>
    <w:rsid w:val="001E1BF2"/>
    <w:rsid w:val="001E1C36"/>
    <w:rsid w:val="001E1D19"/>
    <w:rsid w:val="001E1F3F"/>
    <w:rsid w:val="001E1F41"/>
    <w:rsid w:val="001E20E3"/>
    <w:rsid w:val="001E216B"/>
    <w:rsid w:val="001E21C1"/>
    <w:rsid w:val="001E24EB"/>
    <w:rsid w:val="001E2682"/>
    <w:rsid w:val="001E27E7"/>
    <w:rsid w:val="001E2837"/>
    <w:rsid w:val="001E28C0"/>
    <w:rsid w:val="001E28DA"/>
    <w:rsid w:val="001E2990"/>
    <w:rsid w:val="001E2A00"/>
    <w:rsid w:val="001E2AA8"/>
    <w:rsid w:val="001E2C46"/>
    <w:rsid w:val="001E2CB7"/>
    <w:rsid w:val="001E2DCB"/>
    <w:rsid w:val="001E2EA7"/>
    <w:rsid w:val="001E2F43"/>
    <w:rsid w:val="001E3046"/>
    <w:rsid w:val="001E324E"/>
    <w:rsid w:val="001E3284"/>
    <w:rsid w:val="001E3422"/>
    <w:rsid w:val="001E3477"/>
    <w:rsid w:val="001E3591"/>
    <w:rsid w:val="001E3612"/>
    <w:rsid w:val="001E3654"/>
    <w:rsid w:val="001E3748"/>
    <w:rsid w:val="001E38FC"/>
    <w:rsid w:val="001E3A02"/>
    <w:rsid w:val="001E3A6A"/>
    <w:rsid w:val="001E3AB0"/>
    <w:rsid w:val="001E3DD6"/>
    <w:rsid w:val="001E3F10"/>
    <w:rsid w:val="001E4030"/>
    <w:rsid w:val="001E40B9"/>
    <w:rsid w:val="001E4125"/>
    <w:rsid w:val="001E423C"/>
    <w:rsid w:val="001E42F1"/>
    <w:rsid w:val="001E430E"/>
    <w:rsid w:val="001E4353"/>
    <w:rsid w:val="001E43C1"/>
    <w:rsid w:val="001E4408"/>
    <w:rsid w:val="001E448F"/>
    <w:rsid w:val="001E44D5"/>
    <w:rsid w:val="001E459A"/>
    <w:rsid w:val="001E46CE"/>
    <w:rsid w:val="001E4723"/>
    <w:rsid w:val="001E475E"/>
    <w:rsid w:val="001E476F"/>
    <w:rsid w:val="001E4776"/>
    <w:rsid w:val="001E49E7"/>
    <w:rsid w:val="001E4A70"/>
    <w:rsid w:val="001E4ACC"/>
    <w:rsid w:val="001E4BF6"/>
    <w:rsid w:val="001E4C18"/>
    <w:rsid w:val="001E4C8A"/>
    <w:rsid w:val="001E4E07"/>
    <w:rsid w:val="001E4E09"/>
    <w:rsid w:val="001E4E31"/>
    <w:rsid w:val="001E4F41"/>
    <w:rsid w:val="001E5033"/>
    <w:rsid w:val="001E5114"/>
    <w:rsid w:val="001E55FD"/>
    <w:rsid w:val="001E56AF"/>
    <w:rsid w:val="001E56FF"/>
    <w:rsid w:val="001E57B0"/>
    <w:rsid w:val="001E5972"/>
    <w:rsid w:val="001E59E6"/>
    <w:rsid w:val="001E5A24"/>
    <w:rsid w:val="001E5A9D"/>
    <w:rsid w:val="001E5C54"/>
    <w:rsid w:val="001E5C88"/>
    <w:rsid w:val="001E5D47"/>
    <w:rsid w:val="001E5DE0"/>
    <w:rsid w:val="001E5E78"/>
    <w:rsid w:val="001E5E8F"/>
    <w:rsid w:val="001E5FBE"/>
    <w:rsid w:val="001E6151"/>
    <w:rsid w:val="001E6165"/>
    <w:rsid w:val="001E6274"/>
    <w:rsid w:val="001E6302"/>
    <w:rsid w:val="001E6429"/>
    <w:rsid w:val="001E64A5"/>
    <w:rsid w:val="001E6557"/>
    <w:rsid w:val="001E667D"/>
    <w:rsid w:val="001E6830"/>
    <w:rsid w:val="001E68E2"/>
    <w:rsid w:val="001E68E8"/>
    <w:rsid w:val="001E6950"/>
    <w:rsid w:val="001E6A87"/>
    <w:rsid w:val="001E6BA6"/>
    <w:rsid w:val="001E6C31"/>
    <w:rsid w:val="001E6D11"/>
    <w:rsid w:val="001E6D3C"/>
    <w:rsid w:val="001E6F8D"/>
    <w:rsid w:val="001E6FD3"/>
    <w:rsid w:val="001E6FDF"/>
    <w:rsid w:val="001E70C9"/>
    <w:rsid w:val="001E70F1"/>
    <w:rsid w:val="001E720C"/>
    <w:rsid w:val="001E7263"/>
    <w:rsid w:val="001E72B8"/>
    <w:rsid w:val="001E7300"/>
    <w:rsid w:val="001E7322"/>
    <w:rsid w:val="001E7351"/>
    <w:rsid w:val="001E73FA"/>
    <w:rsid w:val="001E741C"/>
    <w:rsid w:val="001E7552"/>
    <w:rsid w:val="001E75CD"/>
    <w:rsid w:val="001E75F9"/>
    <w:rsid w:val="001E7799"/>
    <w:rsid w:val="001E78AD"/>
    <w:rsid w:val="001E7968"/>
    <w:rsid w:val="001E79F0"/>
    <w:rsid w:val="001E7B7C"/>
    <w:rsid w:val="001E7C54"/>
    <w:rsid w:val="001E7CF8"/>
    <w:rsid w:val="001E7D1E"/>
    <w:rsid w:val="001E7D27"/>
    <w:rsid w:val="001E7F23"/>
    <w:rsid w:val="001F005E"/>
    <w:rsid w:val="001F00BB"/>
    <w:rsid w:val="001F00DB"/>
    <w:rsid w:val="001F0165"/>
    <w:rsid w:val="001F02F1"/>
    <w:rsid w:val="001F035B"/>
    <w:rsid w:val="001F045E"/>
    <w:rsid w:val="001F06D4"/>
    <w:rsid w:val="001F06FF"/>
    <w:rsid w:val="001F070D"/>
    <w:rsid w:val="001F073D"/>
    <w:rsid w:val="001F085F"/>
    <w:rsid w:val="001F08C3"/>
    <w:rsid w:val="001F08E1"/>
    <w:rsid w:val="001F091F"/>
    <w:rsid w:val="001F09F9"/>
    <w:rsid w:val="001F0A91"/>
    <w:rsid w:val="001F0B43"/>
    <w:rsid w:val="001F0BA2"/>
    <w:rsid w:val="001F0E75"/>
    <w:rsid w:val="001F0FAD"/>
    <w:rsid w:val="001F114D"/>
    <w:rsid w:val="001F12DA"/>
    <w:rsid w:val="001F12DE"/>
    <w:rsid w:val="001F140B"/>
    <w:rsid w:val="001F1527"/>
    <w:rsid w:val="001F162C"/>
    <w:rsid w:val="001F16C2"/>
    <w:rsid w:val="001F173D"/>
    <w:rsid w:val="001F18D5"/>
    <w:rsid w:val="001F1901"/>
    <w:rsid w:val="001F191C"/>
    <w:rsid w:val="001F1986"/>
    <w:rsid w:val="001F1994"/>
    <w:rsid w:val="001F19A8"/>
    <w:rsid w:val="001F1AF0"/>
    <w:rsid w:val="001F1B7C"/>
    <w:rsid w:val="001F1D75"/>
    <w:rsid w:val="001F1E8B"/>
    <w:rsid w:val="001F2006"/>
    <w:rsid w:val="001F2042"/>
    <w:rsid w:val="001F207D"/>
    <w:rsid w:val="001F213B"/>
    <w:rsid w:val="001F2166"/>
    <w:rsid w:val="001F229F"/>
    <w:rsid w:val="001F22B3"/>
    <w:rsid w:val="001F22F7"/>
    <w:rsid w:val="001F24BB"/>
    <w:rsid w:val="001F252E"/>
    <w:rsid w:val="001F2534"/>
    <w:rsid w:val="001F27CF"/>
    <w:rsid w:val="001F2843"/>
    <w:rsid w:val="001F2912"/>
    <w:rsid w:val="001F296C"/>
    <w:rsid w:val="001F2A48"/>
    <w:rsid w:val="001F2AF3"/>
    <w:rsid w:val="001F2B91"/>
    <w:rsid w:val="001F2D2F"/>
    <w:rsid w:val="001F302C"/>
    <w:rsid w:val="001F3194"/>
    <w:rsid w:val="001F31D3"/>
    <w:rsid w:val="001F320B"/>
    <w:rsid w:val="001F3218"/>
    <w:rsid w:val="001F336E"/>
    <w:rsid w:val="001F3384"/>
    <w:rsid w:val="001F351A"/>
    <w:rsid w:val="001F3532"/>
    <w:rsid w:val="001F3782"/>
    <w:rsid w:val="001F3846"/>
    <w:rsid w:val="001F390C"/>
    <w:rsid w:val="001F3A3E"/>
    <w:rsid w:val="001F3B67"/>
    <w:rsid w:val="001F3BFC"/>
    <w:rsid w:val="001F3C37"/>
    <w:rsid w:val="001F3C89"/>
    <w:rsid w:val="001F3DAE"/>
    <w:rsid w:val="001F3E8D"/>
    <w:rsid w:val="001F3FD0"/>
    <w:rsid w:val="001F40E6"/>
    <w:rsid w:val="001F4163"/>
    <w:rsid w:val="001F4189"/>
    <w:rsid w:val="001F41D0"/>
    <w:rsid w:val="001F41D9"/>
    <w:rsid w:val="001F429E"/>
    <w:rsid w:val="001F43AF"/>
    <w:rsid w:val="001F43DC"/>
    <w:rsid w:val="001F448D"/>
    <w:rsid w:val="001F4501"/>
    <w:rsid w:val="001F45F3"/>
    <w:rsid w:val="001F4614"/>
    <w:rsid w:val="001F473B"/>
    <w:rsid w:val="001F47E7"/>
    <w:rsid w:val="001F48AC"/>
    <w:rsid w:val="001F495A"/>
    <w:rsid w:val="001F49B0"/>
    <w:rsid w:val="001F49C5"/>
    <w:rsid w:val="001F49D9"/>
    <w:rsid w:val="001F4A14"/>
    <w:rsid w:val="001F4A5E"/>
    <w:rsid w:val="001F4B9E"/>
    <w:rsid w:val="001F4CD7"/>
    <w:rsid w:val="001F4D5C"/>
    <w:rsid w:val="001F4F73"/>
    <w:rsid w:val="001F4FA6"/>
    <w:rsid w:val="001F5032"/>
    <w:rsid w:val="001F519B"/>
    <w:rsid w:val="001F51CA"/>
    <w:rsid w:val="001F52E9"/>
    <w:rsid w:val="001F53F9"/>
    <w:rsid w:val="001F566A"/>
    <w:rsid w:val="001F5757"/>
    <w:rsid w:val="001F5902"/>
    <w:rsid w:val="001F5906"/>
    <w:rsid w:val="001F591A"/>
    <w:rsid w:val="001F59C7"/>
    <w:rsid w:val="001F5ADD"/>
    <w:rsid w:val="001F5B6C"/>
    <w:rsid w:val="001F5DCD"/>
    <w:rsid w:val="001F5F43"/>
    <w:rsid w:val="001F5F7C"/>
    <w:rsid w:val="001F605B"/>
    <w:rsid w:val="001F60EB"/>
    <w:rsid w:val="001F614C"/>
    <w:rsid w:val="001F618B"/>
    <w:rsid w:val="001F61A9"/>
    <w:rsid w:val="001F6261"/>
    <w:rsid w:val="001F6276"/>
    <w:rsid w:val="001F63E8"/>
    <w:rsid w:val="001F647B"/>
    <w:rsid w:val="001F6510"/>
    <w:rsid w:val="001F662A"/>
    <w:rsid w:val="001F6684"/>
    <w:rsid w:val="001F6780"/>
    <w:rsid w:val="001F6831"/>
    <w:rsid w:val="001F68E4"/>
    <w:rsid w:val="001F6A93"/>
    <w:rsid w:val="001F6B60"/>
    <w:rsid w:val="001F6D5F"/>
    <w:rsid w:val="001F6D8D"/>
    <w:rsid w:val="001F6DA2"/>
    <w:rsid w:val="001F7024"/>
    <w:rsid w:val="001F70F6"/>
    <w:rsid w:val="001F7129"/>
    <w:rsid w:val="001F7148"/>
    <w:rsid w:val="001F716E"/>
    <w:rsid w:val="001F7182"/>
    <w:rsid w:val="001F71AF"/>
    <w:rsid w:val="001F72E7"/>
    <w:rsid w:val="001F7310"/>
    <w:rsid w:val="001F735D"/>
    <w:rsid w:val="001F74E7"/>
    <w:rsid w:val="001F75DD"/>
    <w:rsid w:val="001F75F1"/>
    <w:rsid w:val="001F778B"/>
    <w:rsid w:val="001F78D2"/>
    <w:rsid w:val="001F7953"/>
    <w:rsid w:val="001F7974"/>
    <w:rsid w:val="001F7B65"/>
    <w:rsid w:val="001F7C68"/>
    <w:rsid w:val="001F7E5D"/>
    <w:rsid w:val="001F7FCF"/>
    <w:rsid w:val="00200058"/>
    <w:rsid w:val="0020006B"/>
    <w:rsid w:val="002000F0"/>
    <w:rsid w:val="002001C2"/>
    <w:rsid w:val="002001C5"/>
    <w:rsid w:val="002002A5"/>
    <w:rsid w:val="002002A7"/>
    <w:rsid w:val="0020032F"/>
    <w:rsid w:val="00200366"/>
    <w:rsid w:val="00200396"/>
    <w:rsid w:val="002003F8"/>
    <w:rsid w:val="00200413"/>
    <w:rsid w:val="002004E2"/>
    <w:rsid w:val="00200570"/>
    <w:rsid w:val="00200586"/>
    <w:rsid w:val="00200596"/>
    <w:rsid w:val="0020070C"/>
    <w:rsid w:val="00200756"/>
    <w:rsid w:val="002008C1"/>
    <w:rsid w:val="00200985"/>
    <w:rsid w:val="00200AA7"/>
    <w:rsid w:val="00200B28"/>
    <w:rsid w:val="00200B5D"/>
    <w:rsid w:val="00200C50"/>
    <w:rsid w:val="00200C60"/>
    <w:rsid w:val="00200D94"/>
    <w:rsid w:val="00200FAD"/>
    <w:rsid w:val="002010C1"/>
    <w:rsid w:val="00201119"/>
    <w:rsid w:val="00201155"/>
    <w:rsid w:val="00201180"/>
    <w:rsid w:val="0020176D"/>
    <w:rsid w:val="00201909"/>
    <w:rsid w:val="0020196E"/>
    <w:rsid w:val="002019CE"/>
    <w:rsid w:val="00201A2A"/>
    <w:rsid w:val="00201A4D"/>
    <w:rsid w:val="00201B3C"/>
    <w:rsid w:val="00201B48"/>
    <w:rsid w:val="00201B50"/>
    <w:rsid w:val="00201BCF"/>
    <w:rsid w:val="00201BE9"/>
    <w:rsid w:val="00201C13"/>
    <w:rsid w:val="00201C92"/>
    <w:rsid w:val="00201CA0"/>
    <w:rsid w:val="00201CE6"/>
    <w:rsid w:val="00201E82"/>
    <w:rsid w:val="00201FFB"/>
    <w:rsid w:val="0020220D"/>
    <w:rsid w:val="0020224D"/>
    <w:rsid w:val="002024CB"/>
    <w:rsid w:val="002024CF"/>
    <w:rsid w:val="0020266B"/>
    <w:rsid w:val="00202764"/>
    <w:rsid w:val="0020299B"/>
    <w:rsid w:val="00202A89"/>
    <w:rsid w:val="00202C07"/>
    <w:rsid w:val="00202CF5"/>
    <w:rsid w:val="00202DD6"/>
    <w:rsid w:val="00202EBC"/>
    <w:rsid w:val="0020310E"/>
    <w:rsid w:val="00203164"/>
    <w:rsid w:val="00203220"/>
    <w:rsid w:val="0020328E"/>
    <w:rsid w:val="002032E7"/>
    <w:rsid w:val="0020339F"/>
    <w:rsid w:val="0020345A"/>
    <w:rsid w:val="00203637"/>
    <w:rsid w:val="00203858"/>
    <w:rsid w:val="00203898"/>
    <w:rsid w:val="00203DD7"/>
    <w:rsid w:val="00204033"/>
    <w:rsid w:val="002040AA"/>
    <w:rsid w:val="002040D3"/>
    <w:rsid w:val="00204179"/>
    <w:rsid w:val="00204192"/>
    <w:rsid w:val="002042F6"/>
    <w:rsid w:val="0020439C"/>
    <w:rsid w:val="00204452"/>
    <w:rsid w:val="00204459"/>
    <w:rsid w:val="002044A6"/>
    <w:rsid w:val="00204547"/>
    <w:rsid w:val="0020464A"/>
    <w:rsid w:val="0020471C"/>
    <w:rsid w:val="00204863"/>
    <w:rsid w:val="002048E5"/>
    <w:rsid w:val="00204BE3"/>
    <w:rsid w:val="00204C06"/>
    <w:rsid w:val="00204C8A"/>
    <w:rsid w:val="00204D18"/>
    <w:rsid w:val="00204DA0"/>
    <w:rsid w:val="00204DED"/>
    <w:rsid w:val="00204F19"/>
    <w:rsid w:val="00204F72"/>
    <w:rsid w:val="002050AF"/>
    <w:rsid w:val="00205269"/>
    <w:rsid w:val="0020532E"/>
    <w:rsid w:val="0020542B"/>
    <w:rsid w:val="002054C7"/>
    <w:rsid w:val="002054DC"/>
    <w:rsid w:val="00205538"/>
    <w:rsid w:val="0020565B"/>
    <w:rsid w:val="002056AC"/>
    <w:rsid w:val="00205778"/>
    <w:rsid w:val="002059D3"/>
    <w:rsid w:val="00205AFF"/>
    <w:rsid w:val="00205B27"/>
    <w:rsid w:val="00205C9B"/>
    <w:rsid w:val="00205DDD"/>
    <w:rsid w:val="00205EAA"/>
    <w:rsid w:val="00205F56"/>
    <w:rsid w:val="00205FCD"/>
    <w:rsid w:val="00205FE9"/>
    <w:rsid w:val="0020605D"/>
    <w:rsid w:val="002060DA"/>
    <w:rsid w:val="00206114"/>
    <w:rsid w:val="0020611A"/>
    <w:rsid w:val="0020612B"/>
    <w:rsid w:val="0020614B"/>
    <w:rsid w:val="00206176"/>
    <w:rsid w:val="002061D9"/>
    <w:rsid w:val="00206233"/>
    <w:rsid w:val="00206504"/>
    <w:rsid w:val="00206552"/>
    <w:rsid w:val="0020681E"/>
    <w:rsid w:val="00206832"/>
    <w:rsid w:val="0020686B"/>
    <w:rsid w:val="002068EC"/>
    <w:rsid w:val="00206963"/>
    <w:rsid w:val="002069A7"/>
    <w:rsid w:val="00206A05"/>
    <w:rsid w:val="00206A51"/>
    <w:rsid w:val="00206B47"/>
    <w:rsid w:val="00206D4E"/>
    <w:rsid w:val="00206D4F"/>
    <w:rsid w:val="00206FA6"/>
    <w:rsid w:val="00207136"/>
    <w:rsid w:val="002071F3"/>
    <w:rsid w:val="0020723D"/>
    <w:rsid w:val="0020736B"/>
    <w:rsid w:val="0020754F"/>
    <w:rsid w:val="002075F1"/>
    <w:rsid w:val="00207664"/>
    <w:rsid w:val="002076B0"/>
    <w:rsid w:val="0020771E"/>
    <w:rsid w:val="00207740"/>
    <w:rsid w:val="00207747"/>
    <w:rsid w:val="0020775C"/>
    <w:rsid w:val="002077F2"/>
    <w:rsid w:val="00207840"/>
    <w:rsid w:val="00207CC3"/>
    <w:rsid w:val="00207D1C"/>
    <w:rsid w:val="00207DD5"/>
    <w:rsid w:val="00207F12"/>
    <w:rsid w:val="00207F40"/>
    <w:rsid w:val="00207F9F"/>
    <w:rsid w:val="00207FC2"/>
    <w:rsid w:val="00210236"/>
    <w:rsid w:val="002102BC"/>
    <w:rsid w:val="00210370"/>
    <w:rsid w:val="002103B2"/>
    <w:rsid w:val="0021049C"/>
    <w:rsid w:val="002105C8"/>
    <w:rsid w:val="002106FB"/>
    <w:rsid w:val="00210818"/>
    <w:rsid w:val="002108B9"/>
    <w:rsid w:val="0021095D"/>
    <w:rsid w:val="00210A70"/>
    <w:rsid w:val="00210AA4"/>
    <w:rsid w:val="00210ACB"/>
    <w:rsid w:val="00210BEB"/>
    <w:rsid w:val="00210C4E"/>
    <w:rsid w:val="00210C5A"/>
    <w:rsid w:val="00210CE1"/>
    <w:rsid w:val="00210D33"/>
    <w:rsid w:val="00210EEC"/>
    <w:rsid w:val="00211032"/>
    <w:rsid w:val="00211085"/>
    <w:rsid w:val="0021110A"/>
    <w:rsid w:val="002111CB"/>
    <w:rsid w:val="002112A5"/>
    <w:rsid w:val="0021131A"/>
    <w:rsid w:val="0021131D"/>
    <w:rsid w:val="0021157D"/>
    <w:rsid w:val="002116B4"/>
    <w:rsid w:val="00211855"/>
    <w:rsid w:val="002118E6"/>
    <w:rsid w:val="002119B3"/>
    <w:rsid w:val="00211A04"/>
    <w:rsid w:val="00211A47"/>
    <w:rsid w:val="00211AC7"/>
    <w:rsid w:val="00211B01"/>
    <w:rsid w:val="00211C8E"/>
    <w:rsid w:val="00211E33"/>
    <w:rsid w:val="002120A8"/>
    <w:rsid w:val="00212214"/>
    <w:rsid w:val="00212321"/>
    <w:rsid w:val="00212366"/>
    <w:rsid w:val="00212533"/>
    <w:rsid w:val="00212586"/>
    <w:rsid w:val="002125B7"/>
    <w:rsid w:val="002129EB"/>
    <w:rsid w:val="00212A5D"/>
    <w:rsid w:val="00212BDE"/>
    <w:rsid w:val="00212D33"/>
    <w:rsid w:val="00212D8D"/>
    <w:rsid w:val="00212DFF"/>
    <w:rsid w:val="00212F4E"/>
    <w:rsid w:val="0021303F"/>
    <w:rsid w:val="0021314D"/>
    <w:rsid w:val="00213230"/>
    <w:rsid w:val="0021325A"/>
    <w:rsid w:val="0021328F"/>
    <w:rsid w:val="00213545"/>
    <w:rsid w:val="002135C7"/>
    <w:rsid w:val="0021368A"/>
    <w:rsid w:val="00213736"/>
    <w:rsid w:val="002138E0"/>
    <w:rsid w:val="00213A0E"/>
    <w:rsid w:val="00213AD5"/>
    <w:rsid w:val="00213B19"/>
    <w:rsid w:val="00213C69"/>
    <w:rsid w:val="00213CC6"/>
    <w:rsid w:val="00213E9D"/>
    <w:rsid w:val="00213F47"/>
    <w:rsid w:val="00213FA2"/>
    <w:rsid w:val="00214006"/>
    <w:rsid w:val="00214181"/>
    <w:rsid w:val="00214242"/>
    <w:rsid w:val="00214292"/>
    <w:rsid w:val="00214338"/>
    <w:rsid w:val="00214525"/>
    <w:rsid w:val="0021454D"/>
    <w:rsid w:val="00214552"/>
    <w:rsid w:val="002145A4"/>
    <w:rsid w:val="002147EE"/>
    <w:rsid w:val="00214960"/>
    <w:rsid w:val="002149B1"/>
    <w:rsid w:val="00214B41"/>
    <w:rsid w:val="00214F04"/>
    <w:rsid w:val="00214F72"/>
    <w:rsid w:val="002152F1"/>
    <w:rsid w:val="002152F3"/>
    <w:rsid w:val="00215332"/>
    <w:rsid w:val="0021541B"/>
    <w:rsid w:val="002155AF"/>
    <w:rsid w:val="0021568E"/>
    <w:rsid w:val="002156E0"/>
    <w:rsid w:val="0021574E"/>
    <w:rsid w:val="00215774"/>
    <w:rsid w:val="002158AE"/>
    <w:rsid w:val="00215924"/>
    <w:rsid w:val="0021594D"/>
    <w:rsid w:val="00215A20"/>
    <w:rsid w:val="00215B24"/>
    <w:rsid w:val="00215B58"/>
    <w:rsid w:val="00215BC1"/>
    <w:rsid w:val="00215CE1"/>
    <w:rsid w:val="00215D07"/>
    <w:rsid w:val="00215D85"/>
    <w:rsid w:val="00215F4A"/>
    <w:rsid w:val="00215FB8"/>
    <w:rsid w:val="00215FCE"/>
    <w:rsid w:val="00216047"/>
    <w:rsid w:val="0021604D"/>
    <w:rsid w:val="0021607B"/>
    <w:rsid w:val="0021608A"/>
    <w:rsid w:val="002160B7"/>
    <w:rsid w:val="00216138"/>
    <w:rsid w:val="00216180"/>
    <w:rsid w:val="002161B8"/>
    <w:rsid w:val="00216230"/>
    <w:rsid w:val="002163F7"/>
    <w:rsid w:val="002164F2"/>
    <w:rsid w:val="002167DC"/>
    <w:rsid w:val="0021696F"/>
    <w:rsid w:val="002169B0"/>
    <w:rsid w:val="00216CA2"/>
    <w:rsid w:val="00216D05"/>
    <w:rsid w:val="00216EC6"/>
    <w:rsid w:val="00216FBA"/>
    <w:rsid w:val="00216FC9"/>
    <w:rsid w:val="00217026"/>
    <w:rsid w:val="002170F6"/>
    <w:rsid w:val="002171C1"/>
    <w:rsid w:val="0021721F"/>
    <w:rsid w:val="00217497"/>
    <w:rsid w:val="002174E1"/>
    <w:rsid w:val="00217691"/>
    <w:rsid w:val="002176E0"/>
    <w:rsid w:val="002176E9"/>
    <w:rsid w:val="00217891"/>
    <w:rsid w:val="002178BD"/>
    <w:rsid w:val="002178CD"/>
    <w:rsid w:val="00217B3D"/>
    <w:rsid w:val="00217D7E"/>
    <w:rsid w:val="00217F94"/>
    <w:rsid w:val="00217FA6"/>
    <w:rsid w:val="00217FE0"/>
    <w:rsid w:val="00217FFE"/>
    <w:rsid w:val="00220011"/>
    <w:rsid w:val="00220153"/>
    <w:rsid w:val="002201BC"/>
    <w:rsid w:val="00220369"/>
    <w:rsid w:val="002203C5"/>
    <w:rsid w:val="002203E2"/>
    <w:rsid w:val="00220590"/>
    <w:rsid w:val="002206CC"/>
    <w:rsid w:val="0022083F"/>
    <w:rsid w:val="00220B23"/>
    <w:rsid w:val="00220B5C"/>
    <w:rsid w:val="00220BAE"/>
    <w:rsid w:val="00220D14"/>
    <w:rsid w:val="00220F0E"/>
    <w:rsid w:val="00220F59"/>
    <w:rsid w:val="00221074"/>
    <w:rsid w:val="00221202"/>
    <w:rsid w:val="00221271"/>
    <w:rsid w:val="0022138D"/>
    <w:rsid w:val="00221685"/>
    <w:rsid w:val="00221696"/>
    <w:rsid w:val="002216BF"/>
    <w:rsid w:val="002217BB"/>
    <w:rsid w:val="0022182C"/>
    <w:rsid w:val="00221872"/>
    <w:rsid w:val="0022198D"/>
    <w:rsid w:val="00221ACF"/>
    <w:rsid w:val="00221B7E"/>
    <w:rsid w:val="00221B82"/>
    <w:rsid w:val="00221CFE"/>
    <w:rsid w:val="00221FBF"/>
    <w:rsid w:val="00221FC0"/>
    <w:rsid w:val="00222011"/>
    <w:rsid w:val="00222026"/>
    <w:rsid w:val="00222050"/>
    <w:rsid w:val="00222099"/>
    <w:rsid w:val="0022217E"/>
    <w:rsid w:val="00222240"/>
    <w:rsid w:val="002222E6"/>
    <w:rsid w:val="002223E3"/>
    <w:rsid w:val="00222540"/>
    <w:rsid w:val="00222784"/>
    <w:rsid w:val="002228F2"/>
    <w:rsid w:val="00222A7D"/>
    <w:rsid w:val="00222C1A"/>
    <w:rsid w:val="00222C5B"/>
    <w:rsid w:val="00222D6A"/>
    <w:rsid w:val="00222EC3"/>
    <w:rsid w:val="00223027"/>
    <w:rsid w:val="00223058"/>
    <w:rsid w:val="002230CE"/>
    <w:rsid w:val="00223586"/>
    <w:rsid w:val="0022361C"/>
    <w:rsid w:val="0022365C"/>
    <w:rsid w:val="00223749"/>
    <w:rsid w:val="002237A6"/>
    <w:rsid w:val="00223834"/>
    <w:rsid w:val="0022385E"/>
    <w:rsid w:val="00223942"/>
    <w:rsid w:val="00223B0D"/>
    <w:rsid w:val="00223D17"/>
    <w:rsid w:val="00223E6E"/>
    <w:rsid w:val="00223EEE"/>
    <w:rsid w:val="00223F75"/>
    <w:rsid w:val="00223FF4"/>
    <w:rsid w:val="0022400A"/>
    <w:rsid w:val="002240A8"/>
    <w:rsid w:val="0022411A"/>
    <w:rsid w:val="0022413C"/>
    <w:rsid w:val="002241E3"/>
    <w:rsid w:val="00224259"/>
    <w:rsid w:val="0022426F"/>
    <w:rsid w:val="00224325"/>
    <w:rsid w:val="002246D9"/>
    <w:rsid w:val="00224792"/>
    <w:rsid w:val="00224819"/>
    <w:rsid w:val="00224872"/>
    <w:rsid w:val="00224A19"/>
    <w:rsid w:val="00224AA7"/>
    <w:rsid w:val="00224B26"/>
    <w:rsid w:val="00224B5B"/>
    <w:rsid w:val="00224B90"/>
    <w:rsid w:val="00224FF5"/>
    <w:rsid w:val="00225007"/>
    <w:rsid w:val="002250AD"/>
    <w:rsid w:val="002250AF"/>
    <w:rsid w:val="002250C0"/>
    <w:rsid w:val="00225180"/>
    <w:rsid w:val="00225192"/>
    <w:rsid w:val="002251D9"/>
    <w:rsid w:val="002253B8"/>
    <w:rsid w:val="0022548A"/>
    <w:rsid w:val="00225541"/>
    <w:rsid w:val="002255DB"/>
    <w:rsid w:val="00225641"/>
    <w:rsid w:val="00225693"/>
    <w:rsid w:val="00225739"/>
    <w:rsid w:val="0022598B"/>
    <w:rsid w:val="002259BD"/>
    <w:rsid w:val="00225C02"/>
    <w:rsid w:val="00225C28"/>
    <w:rsid w:val="00225CA5"/>
    <w:rsid w:val="00225EB3"/>
    <w:rsid w:val="00225FD9"/>
    <w:rsid w:val="0022607E"/>
    <w:rsid w:val="00226114"/>
    <w:rsid w:val="0022614C"/>
    <w:rsid w:val="002261FE"/>
    <w:rsid w:val="0022627E"/>
    <w:rsid w:val="002262DB"/>
    <w:rsid w:val="00226389"/>
    <w:rsid w:val="0022638E"/>
    <w:rsid w:val="002263C9"/>
    <w:rsid w:val="00226599"/>
    <w:rsid w:val="0022672F"/>
    <w:rsid w:val="00226876"/>
    <w:rsid w:val="0022692E"/>
    <w:rsid w:val="00226BAB"/>
    <w:rsid w:val="00226D47"/>
    <w:rsid w:val="00226F29"/>
    <w:rsid w:val="00227086"/>
    <w:rsid w:val="002270AC"/>
    <w:rsid w:val="002271B1"/>
    <w:rsid w:val="00227261"/>
    <w:rsid w:val="0022726E"/>
    <w:rsid w:val="002272F1"/>
    <w:rsid w:val="00227415"/>
    <w:rsid w:val="00227443"/>
    <w:rsid w:val="00227680"/>
    <w:rsid w:val="002279D5"/>
    <w:rsid w:val="00227A3F"/>
    <w:rsid w:val="00227B3F"/>
    <w:rsid w:val="00227B86"/>
    <w:rsid w:val="00227BDD"/>
    <w:rsid w:val="00227C10"/>
    <w:rsid w:val="00227C5A"/>
    <w:rsid w:val="00227C5D"/>
    <w:rsid w:val="00227DC3"/>
    <w:rsid w:val="00227ECB"/>
    <w:rsid w:val="00227F45"/>
    <w:rsid w:val="0023001C"/>
    <w:rsid w:val="00230114"/>
    <w:rsid w:val="00230121"/>
    <w:rsid w:val="002302B1"/>
    <w:rsid w:val="00230387"/>
    <w:rsid w:val="002305A9"/>
    <w:rsid w:val="0023060D"/>
    <w:rsid w:val="00230671"/>
    <w:rsid w:val="00230681"/>
    <w:rsid w:val="0023076B"/>
    <w:rsid w:val="00230791"/>
    <w:rsid w:val="002307B4"/>
    <w:rsid w:val="002307C2"/>
    <w:rsid w:val="0023083F"/>
    <w:rsid w:val="002309A1"/>
    <w:rsid w:val="002309B1"/>
    <w:rsid w:val="00230B44"/>
    <w:rsid w:val="00230B53"/>
    <w:rsid w:val="00230E25"/>
    <w:rsid w:val="00230E41"/>
    <w:rsid w:val="00230F52"/>
    <w:rsid w:val="00231331"/>
    <w:rsid w:val="00231481"/>
    <w:rsid w:val="002315D9"/>
    <w:rsid w:val="002315F2"/>
    <w:rsid w:val="00231691"/>
    <w:rsid w:val="002316EC"/>
    <w:rsid w:val="002317AD"/>
    <w:rsid w:val="002318C5"/>
    <w:rsid w:val="0023199A"/>
    <w:rsid w:val="002319D4"/>
    <w:rsid w:val="00231BEC"/>
    <w:rsid w:val="00231C9E"/>
    <w:rsid w:val="00231CB3"/>
    <w:rsid w:val="00231EB6"/>
    <w:rsid w:val="00231F26"/>
    <w:rsid w:val="00231F5E"/>
    <w:rsid w:val="00232003"/>
    <w:rsid w:val="00232249"/>
    <w:rsid w:val="0023230D"/>
    <w:rsid w:val="00232395"/>
    <w:rsid w:val="0023239D"/>
    <w:rsid w:val="002324F7"/>
    <w:rsid w:val="002328FA"/>
    <w:rsid w:val="0023293B"/>
    <w:rsid w:val="00232A06"/>
    <w:rsid w:val="00232A1E"/>
    <w:rsid w:val="00232B4D"/>
    <w:rsid w:val="00232BEE"/>
    <w:rsid w:val="00232C50"/>
    <w:rsid w:val="00232DAD"/>
    <w:rsid w:val="00232EB9"/>
    <w:rsid w:val="00232ED6"/>
    <w:rsid w:val="00232F50"/>
    <w:rsid w:val="00232FD6"/>
    <w:rsid w:val="0023300B"/>
    <w:rsid w:val="00233119"/>
    <w:rsid w:val="00233152"/>
    <w:rsid w:val="002331F3"/>
    <w:rsid w:val="0023325D"/>
    <w:rsid w:val="0023325E"/>
    <w:rsid w:val="00233387"/>
    <w:rsid w:val="002333A6"/>
    <w:rsid w:val="00233517"/>
    <w:rsid w:val="0023367A"/>
    <w:rsid w:val="00233690"/>
    <w:rsid w:val="00233732"/>
    <w:rsid w:val="002337D0"/>
    <w:rsid w:val="002337E9"/>
    <w:rsid w:val="002338CF"/>
    <w:rsid w:val="0023399A"/>
    <w:rsid w:val="002339F4"/>
    <w:rsid w:val="00233A7C"/>
    <w:rsid w:val="00233AC5"/>
    <w:rsid w:val="00233B6B"/>
    <w:rsid w:val="00233BA0"/>
    <w:rsid w:val="00233BB9"/>
    <w:rsid w:val="00233C16"/>
    <w:rsid w:val="00233CA0"/>
    <w:rsid w:val="00233CD2"/>
    <w:rsid w:val="00233D70"/>
    <w:rsid w:val="00233E59"/>
    <w:rsid w:val="00233F52"/>
    <w:rsid w:val="0023414D"/>
    <w:rsid w:val="002343CE"/>
    <w:rsid w:val="0023446B"/>
    <w:rsid w:val="002345A4"/>
    <w:rsid w:val="00234600"/>
    <w:rsid w:val="00234667"/>
    <w:rsid w:val="00234678"/>
    <w:rsid w:val="002346DB"/>
    <w:rsid w:val="00234745"/>
    <w:rsid w:val="00234767"/>
    <w:rsid w:val="002347BF"/>
    <w:rsid w:val="0023480B"/>
    <w:rsid w:val="002348D3"/>
    <w:rsid w:val="00234A1B"/>
    <w:rsid w:val="00234BA9"/>
    <w:rsid w:val="00234BAF"/>
    <w:rsid w:val="00234BEB"/>
    <w:rsid w:val="00234E60"/>
    <w:rsid w:val="00234EC6"/>
    <w:rsid w:val="00234F69"/>
    <w:rsid w:val="00234FF7"/>
    <w:rsid w:val="00235048"/>
    <w:rsid w:val="002350F8"/>
    <w:rsid w:val="00235294"/>
    <w:rsid w:val="00235431"/>
    <w:rsid w:val="00235531"/>
    <w:rsid w:val="002355AC"/>
    <w:rsid w:val="00235707"/>
    <w:rsid w:val="002357A2"/>
    <w:rsid w:val="0023586C"/>
    <w:rsid w:val="002358ED"/>
    <w:rsid w:val="002358F7"/>
    <w:rsid w:val="00235A44"/>
    <w:rsid w:val="00235BCD"/>
    <w:rsid w:val="00235C40"/>
    <w:rsid w:val="00235C73"/>
    <w:rsid w:val="00235CCD"/>
    <w:rsid w:val="00235DEB"/>
    <w:rsid w:val="00235E20"/>
    <w:rsid w:val="00235E8E"/>
    <w:rsid w:val="00235EAE"/>
    <w:rsid w:val="00235F41"/>
    <w:rsid w:val="00235FC6"/>
    <w:rsid w:val="0023606F"/>
    <w:rsid w:val="002360BE"/>
    <w:rsid w:val="00236100"/>
    <w:rsid w:val="00236173"/>
    <w:rsid w:val="00236380"/>
    <w:rsid w:val="00236412"/>
    <w:rsid w:val="00236445"/>
    <w:rsid w:val="0023645D"/>
    <w:rsid w:val="00236507"/>
    <w:rsid w:val="00236532"/>
    <w:rsid w:val="002365C2"/>
    <w:rsid w:val="00236708"/>
    <w:rsid w:val="0023674F"/>
    <w:rsid w:val="002367D5"/>
    <w:rsid w:val="0023687E"/>
    <w:rsid w:val="002368A2"/>
    <w:rsid w:val="002368BD"/>
    <w:rsid w:val="0023690F"/>
    <w:rsid w:val="00236952"/>
    <w:rsid w:val="00236B2A"/>
    <w:rsid w:val="00236CE1"/>
    <w:rsid w:val="00236DE0"/>
    <w:rsid w:val="00236FE9"/>
    <w:rsid w:val="00237017"/>
    <w:rsid w:val="00237074"/>
    <w:rsid w:val="00237087"/>
    <w:rsid w:val="00237186"/>
    <w:rsid w:val="002372E6"/>
    <w:rsid w:val="002372E7"/>
    <w:rsid w:val="002374EF"/>
    <w:rsid w:val="0023751D"/>
    <w:rsid w:val="002375EF"/>
    <w:rsid w:val="00237743"/>
    <w:rsid w:val="002377B0"/>
    <w:rsid w:val="00237857"/>
    <w:rsid w:val="002378BD"/>
    <w:rsid w:val="00237912"/>
    <w:rsid w:val="00237B04"/>
    <w:rsid w:val="00237B4D"/>
    <w:rsid w:val="00237B8E"/>
    <w:rsid w:val="00237C15"/>
    <w:rsid w:val="00237C4F"/>
    <w:rsid w:val="00237C58"/>
    <w:rsid w:val="00237C73"/>
    <w:rsid w:val="00237CF0"/>
    <w:rsid w:val="00237E45"/>
    <w:rsid w:val="00237E75"/>
    <w:rsid w:val="00237E80"/>
    <w:rsid w:val="00237F04"/>
    <w:rsid w:val="00237F58"/>
    <w:rsid w:val="00240001"/>
    <w:rsid w:val="002400DF"/>
    <w:rsid w:val="0024016D"/>
    <w:rsid w:val="002402D3"/>
    <w:rsid w:val="0024033B"/>
    <w:rsid w:val="0024066B"/>
    <w:rsid w:val="00240832"/>
    <w:rsid w:val="00240A60"/>
    <w:rsid w:val="00240AC2"/>
    <w:rsid w:val="00240B3F"/>
    <w:rsid w:val="00240BDA"/>
    <w:rsid w:val="00240CA1"/>
    <w:rsid w:val="00240D25"/>
    <w:rsid w:val="00240E50"/>
    <w:rsid w:val="0024107B"/>
    <w:rsid w:val="00241173"/>
    <w:rsid w:val="00241228"/>
    <w:rsid w:val="0024132E"/>
    <w:rsid w:val="002414D6"/>
    <w:rsid w:val="002417E4"/>
    <w:rsid w:val="002418F0"/>
    <w:rsid w:val="00241A52"/>
    <w:rsid w:val="00241B5D"/>
    <w:rsid w:val="00241C22"/>
    <w:rsid w:val="00241E45"/>
    <w:rsid w:val="00241E84"/>
    <w:rsid w:val="002420D1"/>
    <w:rsid w:val="00242278"/>
    <w:rsid w:val="00242410"/>
    <w:rsid w:val="00242462"/>
    <w:rsid w:val="00242479"/>
    <w:rsid w:val="00242488"/>
    <w:rsid w:val="0024249B"/>
    <w:rsid w:val="00242509"/>
    <w:rsid w:val="0024255D"/>
    <w:rsid w:val="00242597"/>
    <w:rsid w:val="002425F6"/>
    <w:rsid w:val="0024274E"/>
    <w:rsid w:val="002429E5"/>
    <w:rsid w:val="00242A3C"/>
    <w:rsid w:val="00242A6C"/>
    <w:rsid w:val="00242ABB"/>
    <w:rsid w:val="00242BF1"/>
    <w:rsid w:val="00242CB8"/>
    <w:rsid w:val="00242CF3"/>
    <w:rsid w:val="00242D6C"/>
    <w:rsid w:val="00242E77"/>
    <w:rsid w:val="00242F07"/>
    <w:rsid w:val="00242F84"/>
    <w:rsid w:val="00242FDC"/>
    <w:rsid w:val="00243094"/>
    <w:rsid w:val="0024310F"/>
    <w:rsid w:val="00243117"/>
    <w:rsid w:val="00243183"/>
    <w:rsid w:val="002431F5"/>
    <w:rsid w:val="00243266"/>
    <w:rsid w:val="0024327E"/>
    <w:rsid w:val="0024333F"/>
    <w:rsid w:val="002433F0"/>
    <w:rsid w:val="002433F1"/>
    <w:rsid w:val="00243477"/>
    <w:rsid w:val="0024358C"/>
    <w:rsid w:val="002435B3"/>
    <w:rsid w:val="0024369F"/>
    <w:rsid w:val="002436FE"/>
    <w:rsid w:val="0024370A"/>
    <w:rsid w:val="00243710"/>
    <w:rsid w:val="0024373C"/>
    <w:rsid w:val="00243813"/>
    <w:rsid w:val="002438B6"/>
    <w:rsid w:val="00243989"/>
    <w:rsid w:val="00243A15"/>
    <w:rsid w:val="00243B57"/>
    <w:rsid w:val="00243B86"/>
    <w:rsid w:val="00243C0C"/>
    <w:rsid w:val="00243CCC"/>
    <w:rsid w:val="00243D17"/>
    <w:rsid w:val="00243D84"/>
    <w:rsid w:val="00243D93"/>
    <w:rsid w:val="00243E27"/>
    <w:rsid w:val="00243F35"/>
    <w:rsid w:val="00244029"/>
    <w:rsid w:val="00244263"/>
    <w:rsid w:val="0024432C"/>
    <w:rsid w:val="0024440F"/>
    <w:rsid w:val="00244523"/>
    <w:rsid w:val="002445D6"/>
    <w:rsid w:val="002446A2"/>
    <w:rsid w:val="0024474A"/>
    <w:rsid w:val="00244791"/>
    <w:rsid w:val="002447EC"/>
    <w:rsid w:val="00244993"/>
    <w:rsid w:val="00244A1B"/>
    <w:rsid w:val="00244ACB"/>
    <w:rsid w:val="00244BE3"/>
    <w:rsid w:val="00244BE8"/>
    <w:rsid w:val="00244C48"/>
    <w:rsid w:val="00244CB4"/>
    <w:rsid w:val="00244F32"/>
    <w:rsid w:val="00244F91"/>
    <w:rsid w:val="00244FE9"/>
    <w:rsid w:val="00245021"/>
    <w:rsid w:val="00245056"/>
    <w:rsid w:val="00245188"/>
    <w:rsid w:val="0024519D"/>
    <w:rsid w:val="0024521A"/>
    <w:rsid w:val="0024529F"/>
    <w:rsid w:val="002453F4"/>
    <w:rsid w:val="002454DC"/>
    <w:rsid w:val="0024550D"/>
    <w:rsid w:val="00245673"/>
    <w:rsid w:val="002457B3"/>
    <w:rsid w:val="0024598E"/>
    <w:rsid w:val="002459DF"/>
    <w:rsid w:val="00245A0F"/>
    <w:rsid w:val="00245AA9"/>
    <w:rsid w:val="00245ABB"/>
    <w:rsid w:val="00245AEE"/>
    <w:rsid w:val="00245B87"/>
    <w:rsid w:val="00245C30"/>
    <w:rsid w:val="00245F9E"/>
    <w:rsid w:val="00246208"/>
    <w:rsid w:val="00246316"/>
    <w:rsid w:val="00246336"/>
    <w:rsid w:val="0024645F"/>
    <w:rsid w:val="002464D9"/>
    <w:rsid w:val="0024653D"/>
    <w:rsid w:val="00246565"/>
    <w:rsid w:val="00246588"/>
    <w:rsid w:val="0024668D"/>
    <w:rsid w:val="00246699"/>
    <w:rsid w:val="002466B9"/>
    <w:rsid w:val="00246775"/>
    <w:rsid w:val="00246857"/>
    <w:rsid w:val="002469F1"/>
    <w:rsid w:val="00246AD9"/>
    <w:rsid w:val="00246B7C"/>
    <w:rsid w:val="00246BA8"/>
    <w:rsid w:val="00246C56"/>
    <w:rsid w:val="00246CD6"/>
    <w:rsid w:val="00246CE0"/>
    <w:rsid w:val="00246D2C"/>
    <w:rsid w:val="00246D5B"/>
    <w:rsid w:val="00246ED6"/>
    <w:rsid w:val="00246F6A"/>
    <w:rsid w:val="00246FD1"/>
    <w:rsid w:val="002472C6"/>
    <w:rsid w:val="00247369"/>
    <w:rsid w:val="002473B1"/>
    <w:rsid w:val="0024762B"/>
    <w:rsid w:val="00247944"/>
    <w:rsid w:val="00247B02"/>
    <w:rsid w:val="00247C5B"/>
    <w:rsid w:val="00247C87"/>
    <w:rsid w:val="00247DBD"/>
    <w:rsid w:val="00247E7E"/>
    <w:rsid w:val="00247EEE"/>
    <w:rsid w:val="00247FBA"/>
    <w:rsid w:val="0025004B"/>
    <w:rsid w:val="0025004D"/>
    <w:rsid w:val="002500D4"/>
    <w:rsid w:val="002501BD"/>
    <w:rsid w:val="00250208"/>
    <w:rsid w:val="0025032C"/>
    <w:rsid w:val="0025044F"/>
    <w:rsid w:val="002504B7"/>
    <w:rsid w:val="002504B8"/>
    <w:rsid w:val="0025053C"/>
    <w:rsid w:val="0025061B"/>
    <w:rsid w:val="0025067A"/>
    <w:rsid w:val="00250698"/>
    <w:rsid w:val="002506C1"/>
    <w:rsid w:val="002507E3"/>
    <w:rsid w:val="00250A5E"/>
    <w:rsid w:val="00250BF5"/>
    <w:rsid w:val="00250C87"/>
    <w:rsid w:val="00250CBE"/>
    <w:rsid w:val="00250D85"/>
    <w:rsid w:val="00250DF2"/>
    <w:rsid w:val="00250E33"/>
    <w:rsid w:val="00250E8C"/>
    <w:rsid w:val="00250EC7"/>
    <w:rsid w:val="0025104E"/>
    <w:rsid w:val="0025112C"/>
    <w:rsid w:val="002512FF"/>
    <w:rsid w:val="00251336"/>
    <w:rsid w:val="0025133C"/>
    <w:rsid w:val="002517F8"/>
    <w:rsid w:val="002519AC"/>
    <w:rsid w:val="00251ABC"/>
    <w:rsid w:val="00251CD1"/>
    <w:rsid w:val="00251E2D"/>
    <w:rsid w:val="0025202E"/>
    <w:rsid w:val="002520A1"/>
    <w:rsid w:val="002521C6"/>
    <w:rsid w:val="0025220E"/>
    <w:rsid w:val="002524C8"/>
    <w:rsid w:val="002525C3"/>
    <w:rsid w:val="0025263B"/>
    <w:rsid w:val="00252750"/>
    <w:rsid w:val="00252A3D"/>
    <w:rsid w:val="00252A5C"/>
    <w:rsid w:val="00252AF1"/>
    <w:rsid w:val="00252C69"/>
    <w:rsid w:val="00252C7F"/>
    <w:rsid w:val="00252D20"/>
    <w:rsid w:val="00252E36"/>
    <w:rsid w:val="00252F58"/>
    <w:rsid w:val="0025303D"/>
    <w:rsid w:val="002530DF"/>
    <w:rsid w:val="0025348F"/>
    <w:rsid w:val="002537E3"/>
    <w:rsid w:val="0025397C"/>
    <w:rsid w:val="00253A6C"/>
    <w:rsid w:val="00253B0F"/>
    <w:rsid w:val="00253C39"/>
    <w:rsid w:val="00253E52"/>
    <w:rsid w:val="00253F2D"/>
    <w:rsid w:val="00253F4C"/>
    <w:rsid w:val="00253F79"/>
    <w:rsid w:val="00253FE6"/>
    <w:rsid w:val="0025405A"/>
    <w:rsid w:val="002542D2"/>
    <w:rsid w:val="0025437B"/>
    <w:rsid w:val="00254391"/>
    <w:rsid w:val="002543FE"/>
    <w:rsid w:val="00254442"/>
    <w:rsid w:val="002545AF"/>
    <w:rsid w:val="002546F8"/>
    <w:rsid w:val="0025492B"/>
    <w:rsid w:val="00254961"/>
    <w:rsid w:val="00254A69"/>
    <w:rsid w:val="00254A90"/>
    <w:rsid w:val="00254AB4"/>
    <w:rsid w:val="00254B05"/>
    <w:rsid w:val="00254B92"/>
    <w:rsid w:val="00254BCF"/>
    <w:rsid w:val="00254C5B"/>
    <w:rsid w:val="00254CA3"/>
    <w:rsid w:val="00254CF2"/>
    <w:rsid w:val="00254CF4"/>
    <w:rsid w:val="00254E01"/>
    <w:rsid w:val="00254EF4"/>
    <w:rsid w:val="00255202"/>
    <w:rsid w:val="0025520A"/>
    <w:rsid w:val="0025534B"/>
    <w:rsid w:val="0025534F"/>
    <w:rsid w:val="002553BD"/>
    <w:rsid w:val="0025543F"/>
    <w:rsid w:val="002555CB"/>
    <w:rsid w:val="0025561D"/>
    <w:rsid w:val="00255698"/>
    <w:rsid w:val="002557D3"/>
    <w:rsid w:val="0025590F"/>
    <w:rsid w:val="00255A84"/>
    <w:rsid w:val="00255A8F"/>
    <w:rsid w:val="00255AB4"/>
    <w:rsid w:val="00255C47"/>
    <w:rsid w:val="00255F26"/>
    <w:rsid w:val="00255F2D"/>
    <w:rsid w:val="0025601E"/>
    <w:rsid w:val="002562E5"/>
    <w:rsid w:val="002563A4"/>
    <w:rsid w:val="00256658"/>
    <w:rsid w:val="00256725"/>
    <w:rsid w:val="00256A9F"/>
    <w:rsid w:val="00256B62"/>
    <w:rsid w:val="00256EFA"/>
    <w:rsid w:val="00256FCC"/>
    <w:rsid w:val="002571EE"/>
    <w:rsid w:val="002574FC"/>
    <w:rsid w:val="00257516"/>
    <w:rsid w:val="0025756A"/>
    <w:rsid w:val="00257594"/>
    <w:rsid w:val="002576F9"/>
    <w:rsid w:val="00257979"/>
    <w:rsid w:val="002579EB"/>
    <w:rsid w:val="00257B86"/>
    <w:rsid w:val="00257BB3"/>
    <w:rsid w:val="00257D45"/>
    <w:rsid w:val="00257E0A"/>
    <w:rsid w:val="00257E47"/>
    <w:rsid w:val="00257F37"/>
    <w:rsid w:val="00257FEB"/>
    <w:rsid w:val="0026007E"/>
    <w:rsid w:val="00260181"/>
    <w:rsid w:val="00260291"/>
    <w:rsid w:val="002603E6"/>
    <w:rsid w:val="00260835"/>
    <w:rsid w:val="002609EF"/>
    <w:rsid w:val="00260B72"/>
    <w:rsid w:val="00260C4E"/>
    <w:rsid w:val="00260CAA"/>
    <w:rsid w:val="00260CE1"/>
    <w:rsid w:val="00260D69"/>
    <w:rsid w:val="00260E05"/>
    <w:rsid w:val="002610F3"/>
    <w:rsid w:val="00261128"/>
    <w:rsid w:val="0026113A"/>
    <w:rsid w:val="00261351"/>
    <w:rsid w:val="00261480"/>
    <w:rsid w:val="002616A6"/>
    <w:rsid w:val="002616B4"/>
    <w:rsid w:val="0026177E"/>
    <w:rsid w:val="0026185C"/>
    <w:rsid w:val="002618BA"/>
    <w:rsid w:val="00261AFE"/>
    <w:rsid w:val="00261B4B"/>
    <w:rsid w:val="00261BCD"/>
    <w:rsid w:val="00261C20"/>
    <w:rsid w:val="00261C9B"/>
    <w:rsid w:val="00261DFB"/>
    <w:rsid w:val="0026201A"/>
    <w:rsid w:val="00262177"/>
    <w:rsid w:val="002622B1"/>
    <w:rsid w:val="002622B7"/>
    <w:rsid w:val="002622EE"/>
    <w:rsid w:val="0026242B"/>
    <w:rsid w:val="0026244C"/>
    <w:rsid w:val="00262560"/>
    <w:rsid w:val="00262603"/>
    <w:rsid w:val="00262813"/>
    <w:rsid w:val="0026284E"/>
    <w:rsid w:val="002628BF"/>
    <w:rsid w:val="002628DA"/>
    <w:rsid w:val="002628EF"/>
    <w:rsid w:val="00262965"/>
    <w:rsid w:val="002629F9"/>
    <w:rsid w:val="00262A33"/>
    <w:rsid w:val="00262AA9"/>
    <w:rsid w:val="00262AB7"/>
    <w:rsid w:val="00262B87"/>
    <w:rsid w:val="00262DE7"/>
    <w:rsid w:val="00262E3C"/>
    <w:rsid w:val="00262F2A"/>
    <w:rsid w:val="00262FA7"/>
    <w:rsid w:val="00262FE3"/>
    <w:rsid w:val="00263002"/>
    <w:rsid w:val="002630FB"/>
    <w:rsid w:val="002631A6"/>
    <w:rsid w:val="002632D8"/>
    <w:rsid w:val="002633CB"/>
    <w:rsid w:val="002635D8"/>
    <w:rsid w:val="002635F3"/>
    <w:rsid w:val="00263859"/>
    <w:rsid w:val="002638AB"/>
    <w:rsid w:val="00263957"/>
    <w:rsid w:val="002639E0"/>
    <w:rsid w:val="00263ABD"/>
    <w:rsid w:val="00263AFE"/>
    <w:rsid w:val="00263B53"/>
    <w:rsid w:val="00263BE6"/>
    <w:rsid w:val="0026407F"/>
    <w:rsid w:val="00264338"/>
    <w:rsid w:val="0026449F"/>
    <w:rsid w:val="00264531"/>
    <w:rsid w:val="002645BE"/>
    <w:rsid w:val="00264659"/>
    <w:rsid w:val="00264784"/>
    <w:rsid w:val="00264939"/>
    <w:rsid w:val="00264A3C"/>
    <w:rsid w:val="00264B66"/>
    <w:rsid w:val="00264DFE"/>
    <w:rsid w:val="00264E09"/>
    <w:rsid w:val="00264F07"/>
    <w:rsid w:val="00264F95"/>
    <w:rsid w:val="00264FFC"/>
    <w:rsid w:val="00265014"/>
    <w:rsid w:val="0026501B"/>
    <w:rsid w:val="0026504A"/>
    <w:rsid w:val="00265179"/>
    <w:rsid w:val="0026519B"/>
    <w:rsid w:val="00265406"/>
    <w:rsid w:val="002654F3"/>
    <w:rsid w:val="00265539"/>
    <w:rsid w:val="002655F1"/>
    <w:rsid w:val="002656C9"/>
    <w:rsid w:val="0026585E"/>
    <w:rsid w:val="00265869"/>
    <w:rsid w:val="00265873"/>
    <w:rsid w:val="00265A4E"/>
    <w:rsid w:val="00265A8E"/>
    <w:rsid w:val="00265AD1"/>
    <w:rsid w:val="00265B75"/>
    <w:rsid w:val="00265BCF"/>
    <w:rsid w:val="00265C66"/>
    <w:rsid w:val="00265EE0"/>
    <w:rsid w:val="00265F90"/>
    <w:rsid w:val="00266084"/>
    <w:rsid w:val="0026611A"/>
    <w:rsid w:val="002661BF"/>
    <w:rsid w:val="002662B7"/>
    <w:rsid w:val="0026632B"/>
    <w:rsid w:val="0026634A"/>
    <w:rsid w:val="0026644D"/>
    <w:rsid w:val="002664B1"/>
    <w:rsid w:val="0026660C"/>
    <w:rsid w:val="002666D5"/>
    <w:rsid w:val="0026695A"/>
    <w:rsid w:val="00266970"/>
    <w:rsid w:val="002669B6"/>
    <w:rsid w:val="002669D7"/>
    <w:rsid w:val="00266A04"/>
    <w:rsid w:val="00266A40"/>
    <w:rsid w:val="00266B39"/>
    <w:rsid w:val="00266B79"/>
    <w:rsid w:val="00266B97"/>
    <w:rsid w:val="00266C01"/>
    <w:rsid w:val="00266CA2"/>
    <w:rsid w:val="00266D66"/>
    <w:rsid w:val="00266E30"/>
    <w:rsid w:val="0026709D"/>
    <w:rsid w:val="00267200"/>
    <w:rsid w:val="00267292"/>
    <w:rsid w:val="002673C2"/>
    <w:rsid w:val="00267478"/>
    <w:rsid w:val="00267660"/>
    <w:rsid w:val="002676D4"/>
    <w:rsid w:val="00267705"/>
    <w:rsid w:val="002677A8"/>
    <w:rsid w:val="002677FE"/>
    <w:rsid w:val="00267926"/>
    <w:rsid w:val="00267951"/>
    <w:rsid w:val="00267C71"/>
    <w:rsid w:val="00267DBA"/>
    <w:rsid w:val="00267E99"/>
    <w:rsid w:val="00267ECC"/>
    <w:rsid w:val="00267F88"/>
    <w:rsid w:val="00267F9B"/>
    <w:rsid w:val="0027000A"/>
    <w:rsid w:val="00270049"/>
    <w:rsid w:val="00270149"/>
    <w:rsid w:val="0027014A"/>
    <w:rsid w:val="002702F4"/>
    <w:rsid w:val="00270341"/>
    <w:rsid w:val="00270374"/>
    <w:rsid w:val="00270375"/>
    <w:rsid w:val="002703AA"/>
    <w:rsid w:val="002703F4"/>
    <w:rsid w:val="0027043C"/>
    <w:rsid w:val="00270463"/>
    <w:rsid w:val="0027047E"/>
    <w:rsid w:val="002704B5"/>
    <w:rsid w:val="002704ED"/>
    <w:rsid w:val="002705DA"/>
    <w:rsid w:val="00270609"/>
    <w:rsid w:val="0027064E"/>
    <w:rsid w:val="0027093F"/>
    <w:rsid w:val="002709D2"/>
    <w:rsid w:val="00270A4C"/>
    <w:rsid w:val="00270A53"/>
    <w:rsid w:val="00270AF7"/>
    <w:rsid w:val="00270BCF"/>
    <w:rsid w:val="00270BE5"/>
    <w:rsid w:val="00270C1E"/>
    <w:rsid w:val="00270E93"/>
    <w:rsid w:val="00270FA9"/>
    <w:rsid w:val="0027110A"/>
    <w:rsid w:val="002711B1"/>
    <w:rsid w:val="00271365"/>
    <w:rsid w:val="00271391"/>
    <w:rsid w:val="002714B0"/>
    <w:rsid w:val="002714E7"/>
    <w:rsid w:val="00271505"/>
    <w:rsid w:val="002715B9"/>
    <w:rsid w:val="0027167B"/>
    <w:rsid w:val="0027168A"/>
    <w:rsid w:val="002716B4"/>
    <w:rsid w:val="0027171F"/>
    <w:rsid w:val="002717E5"/>
    <w:rsid w:val="0027188C"/>
    <w:rsid w:val="002718EB"/>
    <w:rsid w:val="002719E5"/>
    <w:rsid w:val="00271A3E"/>
    <w:rsid w:val="00271AAB"/>
    <w:rsid w:val="00271AE2"/>
    <w:rsid w:val="00271B3A"/>
    <w:rsid w:val="00271B5A"/>
    <w:rsid w:val="00271CA3"/>
    <w:rsid w:val="0027204D"/>
    <w:rsid w:val="0027208D"/>
    <w:rsid w:val="00272096"/>
    <w:rsid w:val="0027214B"/>
    <w:rsid w:val="002722E3"/>
    <w:rsid w:val="00272623"/>
    <w:rsid w:val="00272663"/>
    <w:rsid w:val="002726AF"/>
    <w:rsid w:val="002727D9"/>
    <w:rsid w:val="002727F6"/>
    <w:rsid w:val="0027292D"/>
    <w:rsid w:val="0027298E"/>
    <w:rsid w:val="002729E9"/>
    <w:rsid w:val="00272A35"/>
    <w:rsid w:val="00272A90"/>
    <w:rsid w:val="00272AB1"/>
    <w:rsid w:val="00272B3B"/>
    <w:rsid w:val="00272B6D"/>
    <w:rsid w:val="00272C67"/>
    <w:rsid w:val="00272D3A"/>
    <w:rsid w:val="00272DD0"/>
    <w:rsid w:val="00272FFE"/>
    <w:rsid w:val="00273075"/>
    <w:rsid w:val="0027309C"/>
    <w:rsid w:val="00273169"/>
    <w:rsid w:val="002732F4"/>
    <w:rsid w:val="00273462"/>
    <w:rsid w:val="00273546"/>
    <w:rsid w:val="002735C3"/>
    <w:rsid w:val="002736C7"/>
    <w:rsid w:val="002736C8"/>
    <w:rsid w:val="002736E9"/>
    <w:rsid w:val="00273A85"/>
    <w:rsid w:val="00273AEA"/>
    <w:rsid w:val="00273B8A"/>
    <w:rsid w:val="00273C5B"/>
    <w:rsid w:val="00273D72"/>
    <w:rsid w:val="00273D98"/>
    <w:rsid w:val="00273DB2"/>
    <w:rsid w:val="00273DB8"/>
    <w:rsid w:val="00273EF2"/>
    <w:rsid w:val="00274251"/>
    <w:rsid w:val="0027429B"/>
    <w:rsid w:val="0027431D"/>
    <w:rsid w:val="00274437"/>
    <w:rsid w:val="00274578"/>
    <w:rsid w:val="00274729"/>
    <w:rsid w:val="0027479E"/>
    <w:rsid w:val="00274852"/>
    <w:rsid w:val="00274884"/>
    <w:rsid w:val="002748F7"/>
    <w:rsid w:val="00274986"/>
    <w:rsid w:val="002749E6"/>
    <w:rsid w:val="00274A4C"/>
    <w:rsid w:val="00274A84"/>
    <w:rsid w:val="00274B2A"/>
    <w:rsid w:val="00274B59"/>
    <w:rsid w:val="00274C8B"/>
    <w:rsid w:val="00274CFD"/>
    <w:rsid w:val="00274D32"/>
    <w:rsid w:val="00274D53"/>
    <w:rsid w:val="00274F36"/>
    <w:rsid w:val="00274FB2"/>
    <w:rsid w:val="00274FCC"/>
    <w:rsid w:val="00275111"/>
    <w:rsid w:val="00275193"/>
    <w:rsid w:val="0027520A"/>
    <w:rsid w:val="002752E7"/>
    <w:rsid w:val="002754AB"/>
    <w:rsid w:val="0027563B"/>
    <w:rsid w:val="00275717"/>
    <w:rsid w:val="0027578C"/>
    <w:rsid w:val="00275967"/>
    <w:rsid w:val="00275A24"/>
    <w:rsid w:val="00275A2A"/>
    <w:rsid w:val="00275AC2"/>
    <w:rsid w:val="00275B2E"/>
    <w:rsid w:val="00275BC1"/>
    <w:rsid w:val="00275BFA"/>
    <w:rsid w:val="00275C8D"/>
    <w:rsid w:val="00275DAF"/>
    <w:rsid w:val="00275DD0"/>
    <w:rsid w:val="00275E66"/>
    <w:rsid w:val="00276020"/>
    <w:rsid w:val="002760C2"/>
    <w:rsid w:val="0027618C"/>
    <w:rsid w:val="002762C8"/>
    <w:rsid w:val="002762DE"/>
    <w:rsid w:val="00276310"/>
    <w:rsid w:val="0027632B"/>
    <w:rsid w:val="0027632D"/>
    <w:rsid w:val="00276450"/>
    <w:rsid w:val="00276567"/>
    <w:rsid w:val="002765A0"/>
    <w:rsid w:val="002766EA"/>
    <w:rsid w:val="002767EB"/>
    <w:rsid w:val="00276882"/>
    <w:rsid w:val="002768C9"/>
    <w:rsid w:val="00276B83"/>
    <w:rsid w:val="00276BD6"/>
    <w:rsid w:val="00276CAB"/>
    <w:rsid w:val="00276D03"/>
    <w:rsid w:val="00276D62"/>
    <w:rsid w:val="00276DFC"/>
    <w:rsid w:val="00276E1B"/>
    <w:rsid w:val="00276E3F"/>
    <w:rsid w:val="00276E7D"/>
    <w:rsid w:val="00276F0F"/>
    <w:rsid w:val="00276F58"/>
    <w:rsid w:val="00276F86"/>
    <w:rsid w:val="00276FA8"/>
    <w:rsid w:val="00277132"/>
    <w:rsid w:val="002771C3"/>
    <w:rsid w:val="002771E2"/>
    <w:rsid w:val="002772A9"/>
    <w:rsid w:val="002772ED"/>
    <w:rsid w:val="00277359"/>
    <w:rsid w:val="00277368"/>
    <w:rsid w:val="002773DA"/>
    <w:rsid w:val="0027745D"/>
    <w:rsid w:val="0027748D"/>
    <w:rsid w:val="002775E6"/>
    <w:rsid w:val="0027762B"/>
    <w:rsid w:val="00277671"/>
    <w:rsid w:val="002776B8"/>
    <w:rsid w:val="002776BC"/>
    <w:rsid w:val="00277737"/>
    <w:rsid w:val="002777B8"/>
    <w:rsid w:val="002778D8"/>
    <w:rsid w:val="0027793B"/>
    <w:rsid w:val="00277A01"/>
    <w:rsid w:val="00277A77"/>
    <w:rsid w:val="00277C5C"/>
    <w:rsid w:val="00277D3E"/>
    <w:rsid w:val="00277DA4"/>
    <w:rsid w:val="00277DF2"/>
    <w:rsid w:val="00277E61"/>
    <w:rsid w:val="00277F4C"/>
    <w:rsid w:val="00277F57"/>
    <w:rsid w:val="00277FE8"/>
    <w:rsid w:val="0028005E"/>
    <w:rsid w:val="002800DA"/>
    <w:rsid w:val="002801F4"/>
    <w:rsid w:val="002803D2"/>
    <w:rsid w:val="002804C2"/>
    <w:rsid w:val="0028052C"/>
    <w:rsid w:val="002805EB"/>
    <w:rsid w:val="00280689"/>
    <w:rsid w:val="002807F7"/>
    <w:rsid w:val="002808A1"/>
    <w:rsid w:val="0028095A"/>
    <w:rsid w:val="00280A74"/>
    <w:rsid w:val="00280BB9"/>
    <w:rsid w:val="00280C0C"/>
    <w:rsid w:val="00280C73"/>
    <w:rsid w:val="00280C8F"/>
    <w:rsid w:val="00280CFB"/>
    <w:rsid w:val="00280EF4"/>
    <w:rsid w:val="00280EF7"/>
    <w:rsid w:val="00280FD6"/>
    <w:rsid w:val="00281011"/>
    <w:rsid w:val="0028103B"/>
    <w:rsid w:val="0028104A"/>
    <w:rsid w:val="00281221"/>
    <w:rsid w:val="00281421"/>
    <w:rsid w:val="0028147D"/>
    <w:rsid w:val="00281581"/>
    <w:rsid w:val="002815F4"/>
    <w:rsid w:val="002816D1"/>
    <w:rsid w:val="00281716"/>
    <w:rsid w:val="00281812"/>
    <w:rsid w:val="0028189F"/>
    <w:rsid w:val="00281912"/>
    <w:rsid w:val="00281AB9"/>
    <w:rsid w:val="00281B4D"/>
    <w:rsid w:val="00281BF7"/>
    <w:rsid w:val="00281C1E"/>
    <w:rsid w:val="00281E17"/>
    <w:rsid w:val="00281FAE"/>
    <w:rsid w:val="00281FDA"/>
    <w:rsid w:val="00282131"/>
    <w:rsid w:val="00282286"/>
    <w:rsid w:val="002823AD"/>
    <w:rsid w:val="002823FB"/>
    <w:rsid w:val="002824C2"/>
    <w:rsid w:val="0028261D"/>
    <w:rsid w:val="0028263E"/>
    <w:rsid w:val="0028270D"/>
    <w:rsid w:val="00282893"/>
    <w:rsid w:val="00282959"/>
    <w:rsid w:val="00282AC5"/>
    <w:rsid w:val="00282C4F"/>
    <w:rsid w:val="00282C72"/>
    <w:rsid w:val="00282CB2"/>
    <w:rsid w:val="00282D29"/>
    <w:rsid w:val="00282D40"/>
    <w:rsid w:val="00282D43"/>
    <w:rsid w:val="00282DB0"/>
    <w:rsid w:val="00283015"/>
    <w:rsid w:val="00283063"/>
    <w:rsid w:val="002833BD"/>
    <w:rsid w:val="00283702"/>
    <w:rsid w:val="00283792"/>
    <w:rsid w:val="0028380F"/>
    <w:rsid w:val="00283988"/>
    <w:rsid w:val="00283B5A"/>
    <w:rsid w:val="00283CA5"/>
    <w:rsid w:val="00283E0F"/>
    <w:rsid w:val="00283E61"/>
    <w:rsid w:val="00283E88"/>
    <w:rsid w:val="00283F06"/>
    <w:rsid w:val="00284182"/>
    <w:rsid w:val="002841C3"/>
    <w:rsid w:val="00284227"/>
    <w:rsid w:val="00284266"/>
    <w:rsid w:val="002842CD"/>
    <w:rsid w:val="002843B1"/>
    <w:rsid w:val="00284467"/>
    <w:rsid w:val="002844D9"/>
    <w:rsid w:val="002845D8"/>
    <w:rsid w:val="002846CA"/>
    <w:rsid w:val="00284716"/>
    <w:rsid w:val="002847F1"/>
    <w:rsid w:val="002849CC"/>
    <w:rsid w:val="00284AC3"/>
    <w:rsid w:val="00284BCA"/>
    <w:rsid w:val="00284DDB"/>
    <w:rsid w:val="00284F2D"/>
    <w:rsid w:val="00284FD8"/>
    <w:rsid w:val="00284FEB"/>
    <w:rsid w:val="0028538C"/>
    <w:rsid w:val="00285461"/>
    <w:rsid w:val="0028548C"/>
    <w:rsid w:val="002854B9"/>
    <w:rsid w:val="00285597"/>
    <w:rsid w:val="00285693"/>
    <w:rsid w:val="002856F4"/>
    <w:rsid w:val="00285886"/>
    <w:rsid w:val="002858D2"/>
    <w:rsid w:val="00285A56"/>
    <w:rsid w:val="00285AA9"/>
    <w:rsid w:val="00285AE6"/>
    <w:rsid w:val="00285BFB"/>
    <w:rsid w:val="00285CD2"/>
    <w:rsid w:val="00285F4F"/>
    <w:rsid w:val="00285FE8"/>
    <w:rsid w:val="0028630C"/>
    <w:rsid w:val="002863D2"/>
    <w:rsid w:val="00286499"/>
    <w:rsid w:val="002865C8"/>
    <w:rsid w:val="002865FE"/>
    <w:rsid w:val="00286623"/>
    <w:rsid w:val="00286736"/>
    <w:rsid w:val="002867F3"/>
    <w:rsid w:val="00286808"/>
    <w:rsid w:val="002869AB"/>
    <w:rsid w:val="00286A22"/>
    <w:rsid w:val="00286BB0"/>
    <w:rsid w:val="00286C02"/>
    <w:rsid w:val="00286C32"/>
    <w:rsid w:val="00286C58"/>
    <w:rsid w:val="00286D0E"/>
    <w:rsid w:val="00286DEF"/>
    <w:rsid w:val="00286E4A"/>
    <w:rsid w:val="00286EC2"/>
    <w:rsid w:val="00286EDA"/>
    <w:rsid w:val="00286FAF"/>
    <w:rsid w:val="002870D0"/>
    <w:rsid w:val="00287138"/>
    <w:rsid w:val="0028714D"/>
    <w:rsid w:val="00287159"/>
    <w:rsid w:val="0028724B"/>
    <w:rsid w:val="002872EE"/>
    <w:rsid w:val="00287594"/>
    <w:rsid w:val="002875F8"/>
    <w:rsid w:val="00287660"/>
    <w:rsid w:val="00287875"/>
    <w:rsid w:val="002878BC"/>
    <w:rsid w:val="002879B3"/>
    <w:rsid w:val="00287AAB"/>
    <w:rsid w:val="00287ADC"/>
    <w:rsid w:val="00287C3D"/>
    <w:rsid w:val="00287DC4"/>
    <w:rsid w:val="00287E5E"/>
    <w:rsid w:val="00287FD9"/>
    <w:rsid w:val="0029001C"/>
    <w:rsid w:val="00290079"/>
    <w:rsid w:val="00290145"/>
    <w:rsid w:val="00290248"/>
    <w:rsid w:val="00290274"/>
    <w:rsid w:val="00290371"/>
    <w:rsid w:val="0029037C"/>
    <w:rsid w:val="002903B0"/>
    <w:rsid w:val="002903D7"/>
    <w:rsid w:val="00290413"/>
    <w:rsid w:val="00290496"/>
    <w:rsid w:val="00290558"/>
    <w:rsid w:val="00290659"/>
    <w:rsid w:val="002906E7"/>
    <w:rsid w:val="002906EE"/>
    <w:rsid w:val="002907EA"/>
    <w:rsid w:val="002908A1"/>
    <w:rsid w:val="00290A04"/>
    <w:rsid w:val="00290A5F"/>
    <w:rsid w:val="00290B0C"/>
    <w:rsid w:val="00290B0E"/>
    <w:rsid w:val="00290BF9"/>
    <w:rsid w:val="00290CDA"/>
    <w:rsid w:val="00290D73"/>
    <w:rsid w:val="00290F0E"/>
    <w:rsid w:val="00290F18"/>
    <w:rsid w:val="00291018"/>
    <w:rsid w:val="0029145B"/>
    <w:rsid w:val="002914D3"/>
    <w:rsid w:val="0029157B"/>
    <w:rsid w:val="002915A2"/>
    <w:rsid w:val="002915AF"/>
    <w:rsid w:val="002916C6"/>
    <w:rsid w:val="00291A7D"/>
    <w:rsid w:val="00291A98"/>
    <w:rsid w:val="00291BBB"/>
    <w:rsid w:val="00291CE9"/>
    <w:rsid w:val="00291E9F"/>
    <w:rsid w:val="00291EB1"/>
    <w:rsid w:val="0029203C"/>
    <w:rsid w:val="002920AF"/>
    <w:rsid w:val="002920F5"/>
    <w:rsid w:val="00292224"/>
    <w:rsid w:val="0029227F"/>
    <w:rsid w:val="002922F6"/>
    <w:rsid w:val="00292345"/>
    <w:rsid w:val="00292360"/>
    <w:rsid w:val="00292398"/>
    <w:rsid w:val="002923C3"/>
    <w:rsid w:val="00292412"/>
    <w:rsid w:val="00292419"/>
    <w:rsid w:val="0029245E"/>
    <w:rsid w:val="0029247B"/>
    <w:rsid w:val="0029260C"/>
    <w:rsid w:val="00292628"/>
    <w:rsid w:val="00292642"/>
    <w:rsid w:val="002927FE"/>
    <w:rsid w:val="00292808"/>
    <w:rsid w:val="0029281D"/>
    <w:rsid w:val="002929A9"/>
    <w:rsid w:val="002929E1"/>
    <w:rsid w:val="00292A42"/>
    <w:rsid w:val="00292E83"/>
    <w:rsid w:val="0029300B"/>
    <w:rsid w:val="002932F9"/>
    <w:rsid w:val="00293419"/>
    <w:rsid w:val="00293458"/>
    <w:rsid w:val="0029348E"/>
    <w:rsid w:val="00293531"/>
    <w:rsid w:val="00293667"/>
    <w:rsid w:val="00293683"/>
    <w:rsid w:val="0029369F"/>
    <w:rsid w:val="0029390F"/>
    <w:rsid w:val="002939D8"/>
    <w:rsid w:val="00293A28"/>
    <w:rsid w:val="00293AEE"/>
    <w:rsid w:val="00293B6E"/>
    <w:rsid w:val="00293BC1"/>
    <w:rsid w:val="00293BCF"/>
    <w:rsid w:val="00293C42"/>
    <w:rsid w:val="00293DB6"/>
    <w:rsid w:val="00293E70"/>
    <w:rsid w:val="00294034"/>
    <w:rsid w:val="00294053"/>
    <w:rsid w:val="002940D0"/>
    <w:rsid w:val="002941ED"/>
    <w:rsid w:val="00294261"/>
    <w:rsid w:val="0029442A"/>
    <w:rsid w:val="0029444F"/>
    <w:rsid w:val="00294484"/>
    <w:rsid w:val="002945A7"/>
    <w:rsid w:val="002946AE"/>
    <w:rsid w:val="00294779"/>
    <w:rsid w:val="0029477B"/>
    <w:rsid w:val="0029477E"/>
    <w:rsid w:val="0029480E"/>
    <w:rsid w:val="00294813"/>
    <w:rsid w:val="0029493C"/>
    <w:rsid w:val="00294A02"/>
    <w:rsid w:val="00294AC4"/>
    <w:rsid w:val="00294B75"/>
    <w:rsid w:val="00294CB5"/>
    <w:rsid w:val="00294CD7"/>
    <w:rsid w:val="00294D23"/>
    <w:rsid w:val="00294D8B"/>
    <w:rsid w:val="00294DA6"/>
    <w:rsid w:val="00294DBC"/>
    <w:rsid w:val="00294E30"/>
    <w:rsid w:val="00294E78"/>
    <w:rsid w:val="00294E98"/>
    <w:rsid w:val="00295019"/>
    <w:rsid w:val="00295147"/>
    <w:rsid w:val="002953BE"/>
    <w:rsid w:val="0029571C"/>
    <w:rsid w:val="00295756"/>
    <w:rsid w:val="0029577B"/>
    <w:rsid w:val="00295813"/>
    <w:rsid w:val="0029587D"/>
    <w:rsid w:val="00295B95"/>
    <w:rsid w:val="00295C84"/>
    <w:rsid w:val="00295CF0"/>
    <w:rsid w:val="00295E04"/>
    <w:rsid w:val="00295E6C"/>
    <w:rsid w:val="00295F02"/>
    <w:rsid w:val="00295F3C"/>
    <w:rsid w:val="00295FA3"/>
    <w:rsid w:val="0029601C"/>
    <w:rsid w:val="00296040"/>
    <w:rsid w:val="00296139"/>
    <w:rsid w:val="00296270"/>
    <w:rsid w:val="00296383"/>
    <w:rsid w:val="00296483"/>
    <w:rsid w:val="00296571"/>
    <w:rsid w:val="00296572"/>
    <w:rsid w:val="00296712"/>
    <w:rsid w:val="00296988"/>
    <w:rsid w:val="00296A4E"/>
    <w:rsid w:val="00296A57"/>
    <w:rsid w:val="00296CAD"/>
    <w:rsid w:val="00296CD4"/>
    <w:rsid w:val="00296E21"/>
    <w:rsid w:val="00296F02"/>
    <w:rsid w:val="0029702B"/>
    <w:rsid w:val="0029710C"/>
    <w:rsid w:val="0029722E"/>
    <w:rsid w:val="00297251"/>
    <w:rsid w:val="002972CC"/>
    <w:rsid w:val="002973C1"/>
    <w:rsid w:val="00297408"/>
    <w:rsid w:val="00297567"/>
    <w:rsid w:val="002975ED"/>
    <w:rsid w:val="0029761E"/>
    <w:rsid w:val="00297687"/>
    <w:rsid w:val="002976D6"/>
    <w:rsid w:val="00297715"/>
    <w:rsid w:val="0029792C"/>
    <w:rsid w:val="00297D72"/>
    <w:rsid w:val="00297F6A"/>
    <w:rsid w:val="002A01D7"/>
    <w:rsid w:val="002A01E6"/>
    <w:rsid w:val="002A036C"/>
    <w:rsid w:val="002A0539"/>
    <w:rsid w:val="002A05E8"/>
    <w:rsid w:val="002A07BB"/>
    <w:rsid w:val="002A0802"/>
    <w:rsid w:val="002A0874"/>
    <w:rsid w:val="002A0998"/>
    <w:rsid w:val="002A0B27"/>
    <w:rsid w:val="002A0BA4"/>
    <w:rsid w:val="002A0D0B"/>
    <w:rsid w:val="002A0D0C"/>
    <w:rsid w:val="002A0E16"/>
    <w:rsid w:val="002A0EE0"/>
    <w:rsid w:val="002A0FE5"/>
    <w:rsid w:val="002A1060"/>
    <w:rsid w:val="002A109E"/>
    <w:rsid w:val="002A115A"/>
    <w:rsid w:val="002A1366"/>
    <w:rsid w:val="002A13BE"/>
    <w:rsid w:val="002A15A0"/>
    <w:rsid w:val="002A16B9"/>
    <w:rsid w:val="002A1782"/>
    <w:rsid w:val="002A18DC"/>
    <w:rsid w:val="002A1907"/>
    <w:rsid w:val="002A1916"/>
    <w:rsid w:val="002A1AB6"/>
    <w:rsid w:val="002A1D46"/>
    <w:rsid w:val="002A1D5C"/>
    <w:rsid w:val="002A1D68"/>
    <w:rsid w:val="002A1F14"/>
    <w:rsid w:val="002A1F9D"/>
    <w:rsid w:val="002A1FE5"/>
    <w:rsid w:val="002A204D"/>
    <w:rsid w:val="002A2112"/>
    <w:rsid w:val="002A21BE"/>
    <w:rsid w:val="002A222F"/>
    <w:rsid w:val="002A253E"/>
    <w:rsid w:val="002A2630"/>
    <w:rsid w:val="002A2739"/>
    <w:rsid w:val="002A2933"/>
    <w:rsid w:val="002A2B5C"/>
    <w:rsid w:val="002A2D24"/>
    <w:rsid w:val="002A2D8D"/>
    <w:rsid w:val="002A2EB0"/>
    <w:rsid w:val="002A30AF"/>
    <w:rsid w:val="002A33BC"/>
    <w:rsid w:val="002A33F1"/>
    <w:rsid w:val="002A3704"/>
    <w:rsid w:val="002A372F"/>
    <w:rsid w:val="002A3855"/>
    <w:rsid w:val="002A386A"/>
    <w:rsid w:val="002A38FC"/>
    <w:rsid w:val="002A3B89"/>
    <w:rsid w:val="002A3D10"/>
    <w:rsid w:val="002A3D32"/>
    <w:rsid w:val="002A3D7E"/>
    <w:rsid w:val="002A3D86"/>
    <w:rsid w:val="002A3E6C"/>
    <w:rsid w:val="002A415F"/>
    <w:rsid w:val="002A4199"/>
    <w:rsid w:val="002A437F"/>
    <w:rsid w:val="002A444A"/>
    <w:rsid w:val="002A45EE"/>
    <w:rsid w:val="002A4603"/>
    <w:rsid w:val="002A47C0"/>
    <w:rsid w:val="002A481B"/>
    <w:rsid w:val="002A4942"/>
    <w:rsid w:val="002A4B96"/>
    <w:rsid w:val="002A4C2A"/>
    <w:rsid w:val="002A4CAD"/>
    <w:rsid w:val="002A4CE1"/>
    <w:rsid w:val="002A4D41"/>
    <w:rsid w:val="002A4D98"/>
    <w:rsid w:val="002A4E82"/>
    <w:rsid w:val="002A4EFC"/>
    <w:rsid w:val="002A5033"/>
    <w:rsid w:val="002A5053"/>
    <w:rsid w:val="002A50AD"/>
    <w:rsid w:val="002A50F2"/>
    <w:rsid w:val="002A51C0"/>
    <w:rsid w:val="002A51D3"/>
    <w:rsid w:val="002A51EC"/>
    <w:rsid w:val="002A51F5"/>
    <w:rsid w:val="002A52B0"/>
    <w:rsid w:val="002A52B1"/>
    <w:rsid w:val="002A52FD"/>
    <w:rsid w:val="002A5349"/>
    <w:rsid w:val="002A536A"/>
    <w:rsid w:val="002A53D6"/>
    <w:rsid w:val="002A5420"/>
    <w:rsid w:val="002A54C7"/>
    <w:rsid w:val="002A552C"/>
    <w:rsid w:val="002A55ED"/>
    <w:rsid w:val="002A5823"/>
    <w:rsid w:val="002A5830"/>
    <w:rsid w:val="002A5987"/>
    <w:rsid w:val="002A5AC1"/>
    <w:rsid w:val="002A5B08"/>
    <w:rsid w:val="002A5B63"/>
    <w:rsid w:val="002A5BBE"/>
    <w:rsid w:val="002A5CEE"/>
    <w:rsid w:val="002A5D9F"/>
    <w:rsid w:val="002A5F76"/>
    <w:rsid w:val="002A5FA5"/>
    <w:rsid w:val="002A5FEF"/>
    <w:rsid w:val="002A6136"/>
    <w:rsid w:val="002A61D0"/>
    <w:rsid w:val="002A63B9"/>
    <w:rsid w:val="002A68FE"/>
    <w:rsid w:val="002A6939"/>
    <w:rsid w:val="002A6952"/>
    <w:rsid w:val="002A6A16"/>
    <w:rsid w:val="002A6A83"/>
    <w:rsid w:val="002A6AEA"/>
    <w:rsid w:val="002A6C45"/>
    <w:rsid w:val="002A6C75"/>
    <w:rsid w:val="002A6CC9"/>
    <w:rsid w:val="002A6DEB"/>
    <w:rsid w:val="002A6E0E"/>
    <w:rsid w:val="002A6E1B"/>
    <w:rsid w:val="002A6E3D"/>
    <w:rsid w:val="002A6ED0"/>
    <w:rsid w:val="002A6F3F"/>
    <w:rsid w:val="002A6F5C"/>
    <w:rsid w:val="002A7058"/>
    <w:rsid w:val="002A7061"/>
    <w:rsid w:val="002A70D1"/>
    <w:rsid w:val="002A711C"/>
    <w:rsid w:val="002A7224"/>
    <w:rsid w:val="002A72EC"/>
    <w:rsid w:val="002A7365"/>
    <w:rsid w:val="002A73EE"/>
    <w:rsid w:val="002A7511"/>
    <w:rsid w:val="002A76C9"/>
    <w:rsid w:val="002A76CD"/>
    <w:rsid w:val="002A77C9"/>
    <w:rsid w:val="002A7825"/>
    <w:rsid w:val="002A7912"/>
    <w:rsid w:val="002A7949"/>
    <w:rsid w:val="002A7C36"/>
    <w:rsid w:val="002A7CF3"/>
    <w:rsid w:val="002A7D3B"/>
    <w:rsid w:val="002A7EAE"/>
    <w:rsid w:val="002A7EFC"/>
    <w:rsid w:val="002A7F20"/>
    <w:rsid w:val="002B0146"/>
    <w:rsid w:val="002B03E5"/>
    <w:rsid w:val="002B04CE"/>
    <w:rsid w:val="002B052B"/>
    <w:rsid w:val="002B063C"/>
    <w:rsid w:val="002B06C3"/>
    <w:rsid w:val="002B06E1"/>
    <w:rsid w:val="002B06E6"/>
    <w:rsid w:val="002B0968"/>
    <w:rsid w:val="002B0A2E"/>
    <w:rsid w:val="002B0A55"/>
    <w:rsid w:val="002B0AC7"/>
    <w:rsid w:val="002B0B2B"/>
    <w:rsid w:val="002B0B71"/>
    <w:rsid w:val="002B0BE0"/>
    <w:rsid w:val="002B0E43"/>
    <w:rsid w:val="002B0F62"/>
    <w:rsid w:val="002B101B"/>
    <w:rsid w:val="002B10DB"/>
    <w:rsid w:val="002B11A4"/>
    <w:rsid w:val="002B1263"/>
    <w:rsid w:val="002B14ED"/>
    <w:rsid w:val="002B1623"/>
    <w:rsid w:val="002B16A8"/>
    <w:rsid w:val="002B1700"/>
    <w:rsid w:val="002B1AD4"/>
    <w:rsid w:val="002B1B77"/>
    <w:rsid w:val="002B1BC5"/>
    <w:rsid w:val="002B1C1A"/>
    <w:rsid w:val="002B1D20"/>
    <w:rsid w:val="002B1DF8"/>
    <w:rsid w:val="002B1F90"/>
    <w:rsid w:val="002B2099"/>
    <w:rsid w:val="002B215A"/>
    <w:rsid w:val="002B2433"/>
    <w:rsid w:val="002B2444"/>
    <w:rsid w:val="002B2451"/>
    <w:rsid w:val="002B26CB"/>
    <w:rsid w:val="002B2753"/>
    <w:rsid w:val="002B28AF"/>
    <w:rsid w:val="002B2945"/>
    <w:rsid w:val="002B29CC"/>
    <w:rsid w:val="002B2AB5"/>
    <w:rsid w:val="002B2B17"/>
    <w:rsid w:val="002B2BB2"/>
    <w:rsid w:val="002B2BF0"/>
    <w:rsid w:val="002B2C1D"/>
    <w:rsid w:val="002B2E80"/>
    <w:rsid w:val="002B2F16"/>
    <w:rsid w:val="002B2F1C"/>
    <w:rsid w:val="002B3112"/>
    <w:rsid w:val="002B312A"/>
    <w:rsid w:val="002B3158"/>
    <w:rsid w:val="002B31A6"/>
    <w:rsid w:val="002B329B"/>
    <w:rsid w:val="002B3365"/>
    <w:rsid w:val="002B336E"/>
    <w:rsid w:val="002B366C"/>
    <w:rsid w:val="002B3708"/>
    <w:rsid w:val="002B371E"/>
    <w:rsid w:val="002B3737"/>
    <w:rsid w:val="002B3756"/>
    <w:rsid w:val="002B3798"/>
    <w:rsid w:val="002B3799"/>
    <w:rsid w:val="002B3AF0"/>
    <w:rsid w:val="002B3B87"/>
    <w:rsid w:val="002B3B8E"/>
    <w:rsid w:val="002B3CA0"/>
    <w:rsid w:val="002B3CE5"/>
    <w:rsid w:val="002B3DE2"/>
    <w:rsid w:val="002B3E02"/>
    <w:rsid w:val="002B3E1D"/>
    <w:rsid w:val="002B3EF6"/>
    <w:rsid w:val="002B4094"/>
    <w:rsid w:val="002B409E"/>
    <w:rsid w:val="002B417E"/>
    <w:rsid w:val="002B4339"/>
    <w:rsid w:val="002B43CB"/>
    <w:rsid w:val="002B45F6"/>
    <w:rsid w:val="002B461A"/>
    <w:rsid w:val="002B46C9"/>
    <w:rsid w:val="002B4712"/>
    <w:rsid w:val="002B4716"/>
    <w:rsid w:val="002B4751"/>
    <w:rsid w:val="002B4984"/>
    <w:rsid w:val="002B4A10"/>
    <w:rsid w:val="002B4A53"/>
    <w:rsid w:val="002B4FCB"/>
    <w:rsid w:val="002B4FFE"/>
    <w:rsid w:val="002B50AB"/>
    <w:rsid w:val="002B514E"/>
    <w:rsid w:val="002B5203"/>
    <w:rsid w:val="002B52B8"/>
    <w:rsid w:val="002B5340"/>
    <w:rsid w:val="002B5354"/>
    <w:rsid w:val="002B54CD"/>
    <w:rsid w:val="002B5532"/>
    <w:rsid w:val="002B555B"/>
    <w:rsid w:val="002B5565"/>
    <w:rsid w:val="002B570B"/>
    <w:rsid w:val="002B57B1"/>
    <w:rsid w:val="002B5895"/>
    <w:rsid w:val="002B5C3D"/>
    <w:rsid w:val="002B5C70"/>
    <w:rsid w:val="002B60D4"/>
    <w:rsid w:val="002B6106"/>
    <w:rsid w:val="002B6291"/>
    <w:rsid w:val="002B6307"/>
    <w:rsid w:val="002B6469"/>
    <w:rsid w:val="002B64BC"/>
    <w:rsid w:val="002B64E1"/>
    <w:rsid w:val="002B6514"/>
    <w:rsid w:val="002B6571"/>
    <w:rsid w:val="002B6576"/>
    <w:rsid w:val="002B662C"/>
    <w:rsid w:val="002B6637"/>
    <w:rsid w:val="002B669A"/>
    <w:rsid w:val="002B689C"/>
    <w:rsid w:val="002B6941"/>
    <w:rsid w:val="002B6989"/>
    <w:rsid w:val="002B698C"/>
    <w:rsid w:val="002B69EB"/>
    <w:rsid w:val="002B6A3B"/>
    <w:rsid w:val="002B6B30"/>
    <w:rsid w:val="002B6BBE"/>
    <w:rsid w:val="002B6CF8"/>
    <w:rsid w:val="002B6DCD"/>
    <w:rsid w:val="002B6EA9"/>
    <w:rsid w:val="002B6F05"/>
    <w:rsid w:val="002B7064"/>
    <w:rsid w:val="002B7075"/>
    <w:rsid w:val="002B70FD"/>
    <w:rsid w:val="002B7147"/>
    <w:rsid w:val="002B71EF"/>
    <w:rsid w:val="002B72F1"/>
    <w:rsid w:val="002B7753"/>
    <w:rsid w:val="002B7989"/>
    <w:rsid w:val="002B79BF"/>
    <w:rsid w:val="002B7B23"/>
    <w:rsid w:val="002B7BF8"/>
    <w:rsid w:val="002B7CF6"/>
    <w:rsid w:val="002B7D04"/>
    <w:rsid w:val="002B7D7C"/>
    <w:rsid w:val="002B7EA2"/>
    <w:rsid w:val="002B7EAB"/>
    <w:rsid w:val="002B7EC8"/>
    <w:rsid w:val="002C01AD"/>
    <w:rsid w:val="002C029E"/>
    <w:rsid w:val="002C0423"/>
    <w:rsid w:val="002C0516"/>
    <w:rsid w:val="002C0617"/>
    <w:rsid w:val="002C0A3F"/>
    <w:rsid w:val="002C0A94"/>
    <w:rsid w:val="002C0DB4"/>
    <w:rsid w:val="002C0E88"/>
    <w:rsid w:val="002C0F9F"/>
    <w:rsid w:val="002C100C"/>
    <w:rsid w:val="002C1365"/>
    <w:rsid w:val="002C1382"/>
    <w:rsid w:val="002C13A2"/>
    <w:rsid w:val="002C14D1"/>
    <w:rsid w:val="002C1660"/>
    <w:rsid w:val="002C1810"/>
    <w:rsid w:val="002C187F"/>
    <w:rsid w:val="002C18C0"/>
    <w:rsid w:val="002C18DC"/>
    <w:rsid w:val="002C190D"/>
    <w:rsid w:val="002C1954"/>
    <w:rsid w:val="002C19B2"/>
    <w:rsid w:val="002C1A77"/>
    <w:rsid w:val="002C1ACE"/>
    <w:rsid w:val="002C1CD1"/>
    <w:rsid w:val="002C1D63"/>
    <w:rsid w:val="002C1E19"/>
    <w:rsid w:val="002C1EDE"/>
    <w:rsid w:val="002C2077"/>
    <w:rsid w:val="002C2097"/>
    <w:rsid w:val="002C2122"/>
    <w:rsid w:val="002C21CC"/>
    <w:rsid w:val="002C228A"/>
    <w:rsid w:val="002C22AA"/>
    <w:rsid w:val="002C22C1"/>
    <w:rsid w:val="002C2573"/>
    <w:rsid w:val="002C257B"/>
    <w:rsid w:val="002C25EA"/>
    <w:rsid w:val="002C25EE"/>
    <w:rsid w:val="002C264C"/>
    <w:rsid w:val="002C2736"/>
    <w:rsid w:val="002C2756"/>
    <w:rsid w:val="002C2A6A"/>
    <w:rsid w:val="002C2C0B"/>
    <w:rsid w:val="002C2C11"/>
    <w:rsid w:val="002C2C94"/>
    <w:rsid w:val="002C320A"/>
    <w:rsid w:val="002C321E"/>
    <w:rsid w:val="002C3286"/>
    <w:rsid w:val="002C32DF"/>
    <w:rsid w:val="002C3335"/>
    <w:rsid w:val="002C34CF"/>
    <w:rsid w:val="002C3645"/>
    <w:rsid w:val="002C36B4"/>
    <w:rsid w:val="002C386A"/>
    <w:rsid w:val="002C3885"/>
    <w:rsid w:val="002C38D8"/>
    <w:rsid w:val="002C38F1"/>
    <w:rsid w:val="002C3992"/>
    <w:rsid w:val="002C39B2"/>
    <w:rsid w:val="002C3A89"/>
    <w:rsid w:val="002C3C8E"/>
    <w:rsid w:val="002C3D22"/>
    <w:rsid w:val="002C3D77"/>
    <w:rsid w:val="002C3DEB"/>
    <w:rsid w:val="002C3EBB"/>
    <w:rsid w:val="002C413F"/>
    <w:rsid w:val="002C4249"/>
    <w:rsid w:val="002C426A"/>
    <w:rsid w:val="002C4282"/>
    <w:rsid w:val="002C42D5"/>
    <w:rsid w:val="002C433B"/>
    <w:rsid w:val="002C4359"/>
    <w:rsid w:val="002C438A"/>
    <w:rsid w:val="002C43AC"/>
    <w:rsid w:val="002C44CE"/>
    <w:rsid w:val="002C44F2"/>
    <w:rsid w:val="002C4565"/>
    <w:rsid w:val="002C456D"/>
    <w:rsid w:val="002C45FA"/>
    <w:rsid w:val="002C4632"/>
    <w:rsid w:val="002C466F"/>
    <w:rsid w:val="002C4972"/>
    <w:rsid w:val="002C49D7"/>
    <w:rsid w:val="002C4A49"/>
    <w:rsid w:val="002C4B29"/>
    <w:rsid w:val="002C4C18"/>
    <w:rsid w:val="002C4C47"/>
    <w:rsid w:val="002C4C5B"/>
    <w:rsid w:val="002C4CFE"/>
    <w:rsid w:val="002C4D1A"/>
    <w:rsid w:val="002C4EFF"/>
    <w:rsid w:val="002C4FE6"/>
    <w:rsid w:val="002C50B5"/>
    <w:rsid w:val="002C5114"/>
    <w:rsid w:val="002C515F"/>
    <w:rsid w:val="002C5217"/>
    <w:rsid w:val="002C5349"/>
    <w:rsid w:val="002C53D3"/>
    <w:rsid w:val="002C53E1"/>
    <w:rsid w:val="002C5489"/>
    <w:rsid w:val="002C57F0"/>
    <w:rsid w:val="002C596C"/>
    <w:rsid w:val="002C5A10"/>
    <w:rsid w:val="002C5D36"/>
    <w:rsid w:val="002C5D8C"/>
    <w:rsid w:val="002C5ECC"/>
    <w:rsid w:val="002C618C"/>
    <w:rsid w:val="002C61A9"/>
    <w:rsid w:val="002C621E"/>
    <w:rsid w:val="002C62CB"/>
    <w:rsid w:val="002C63C8"/>
    <w:rsid w:val="002C66AD"/>
    <w:rsid w:val="002C66FF"/>
    <w:rsid w:val="002C675D"/>
    <w:rsid w:val="002C678B"/>
    <w:rsid w:val="002C67E9"/>
    <w:rsid w:val="002C6B75"/>
    <w:rsid w:val="002C6BE4"/>
    <w:rsid w:val="002C6C41"/>
    <w:rsid w:val="002C6E02"/>
    <w:rsid w:val="002C6E8D"/>
    <w:rsid w:val="002C6F3F"/>
    <w:rsid w:val="002C6FF4"/>
    <w:rsid w:val="002C70D9"/>
    <w:rsid w:val="002C7169"/>
    <w:rsid w:val="002C72BE"/>
    <w:rsid w:val="002C7313"/>
    <w:rsid w:val="002C7394"/>
    <w:rsid w:val="002C73D4"/>
    <w:rsid w:val="002C7492"/>
    <w:rsid w:val="002C75BF"/>
    <w:rsid w:val="002C75FB"/>
    <w:rsid w:val="002C761E"/>
    <w:rsid w:val="002C7783"/>
    <w:rsid w:val="002C77C1"/>
    <w:rsid w:val="002C781A"/>
    <w:rsid w:val="002C7874"/>
    <w:rsid w:val="002C78E8"/>
    <w:rsid w:val="002C79CD"/>
    <w:rsid w:val="002C7A2A"/>
    <w:rsid w:val="002C7D35"/>
    <w:rsid w:val="002C7D65"/>
    <w:rsid w:val="002C7D9F"/>
    <w:rsid w:val="002C7E09"/>
    <w:rsid w:val="002C7E42"/>
    <w:rsid w:val="002C7E53"/>
    <w:rsid w:val="002C7F10"/>
    <w:rsid w:val="002C7FDA"/>
    <w:rsid w:val="002D001A"/>
    <w:rsid w:val="002D00D4"/>
    <w:rsid w:val="002D0185"/>
    <w:rsid w:val="002D01A3"/>
    <w:rsid w:val="002D023C"/>
    <w:rsid w:val="002D0390"/>
    <w:rsid w:val="002D0501"/>
    <w:rsid w:val="002D0711"/>
    <w:rsid w:val="002D07C9"/>
    <w:rsid w:val="002D07EE"/>
    <w:rsid w:val="002D08F0"/>
    <w:rsid w:val="002D0981"/>
    <w:rsid w:val="002D0A40"/>
    <w:rsid w:val="002D0AC1"/>
    <w:rsid w:val="002D0AF3"/>
    <w:rsid w:val="002D0BF6"/>
    <w:rsid w:val="002D0CA0"/>
    <w:rsid w:val="002D0D40"/>
    <w:rsid w:val="002D0DB4"/>
    <w:rsid w:val="002D0DFF"/>
    <w:rsid w:val="002D0E85"/>
    <w:rsid w:val="002D0EB5"/>
    <w:rsid w:val="002D0F16"/>
    <w:rsid w:val="002D0F2A"/>
    <w:rsid w:val="002D0F68"/>
    <w:rsid w:val="002D10BC"/>
    <w:rsid w:val="002D1143"/>
    <w:rsid w:val="002D11C1"/>
    <w:rsid w:val="002D1305"/>
    <w:rsid w:val="002D1446"/>
    <w:rsid w:val="002D14CF"/>
    <w:rsid w:val="002D1549"/>
    <w:rsid w:val="002D154D"/>
    <w:rsid w:val="002D163F"/>
    <w:rsid w:val="002D1802"/>
    <w:rsid w:val="002D199E"/>
    <w:rsid w:val="002D1A1B"/>
    <w:rsid w:val="002D1AA5"/>
    <w:rsid w:val="002D1C29"/>
    <w:rsid w:val="002D1EB3"/>
    <w:rsid w:val="002D1FD0"/>
    <w:rsid w:val="002D1FEB"/>
    <w:rsid w:val="002D216E"/>
    <w:rsid w:val="002D2211"/>
    <w:rsid w:val="002D2294"/>
    <w:rsid w:val="002D23A0"/>
    <w:rsid w:val="002D243E"/>
    <w:rsid w:val="002D250F"/>
    <w:rsid w:val="002D291E"/>
    <w:rsid w:val="002D2AD2"/>
    <w:rsid w:val="002D2BDB"/>
    <w:rsid w:val="002D2C76"/>
    <w:rsid w:val="002D2D2A"/>
    <w:rsid w:val="002D2DE2"/>
    <w:rsid w:val="002D2E64"/>
    <w:rsid w:val="002D2EA6"/>
    <w:rsid w:val="002D2FA1"/>
    <w:rsid w:val="002D2FC4"/>
    <w:rsid w:val="002D30E2"/>
    <w:rsid w:val="002D30EE"/>
    <w:rsid w:val="002D315F"/>
    <w:rsid w:val="002D325F"/>
    <w:rsid w:val="002D3327"/>
    <w:rsid w:val="002D3468"/>
    <w:rsid w:val="002D3532"/>
    <w:rsid w:val="002D3569"/>
    <w:rsid w:val="002D36C5"/>
    <w:rsid w:val="002D3735"/>
    <w:rsid w:val="002D379E"/>
    <w:rsid w:val="002D3A86"/>
    <w:rsid w:val="002D3AE3"/>
    <w:rsid w:val="002D3CCB"/>
    <w:rsid w:val="002D3D8C"/>
    <w:rsid w:val="002D3E99"/>
    <w:rsid w:val="002D3EB0"/>
    <w:rsid w:val="002D404C"/>
    <w:rsid w:val="002D4062"/>
    <w:rsid w:val="002D4203"/>
    <w:rsid w:val="002D422E"/>
    <w:rsid w:val="002D44A2"/>
    <w:rsid w:val="002D4570"/>
    <w:rsid w:val="002D4590"/>
    <w:rsid w:val="002D45C9"/>
    <w:rsid w:val="002D470E"/>
    <w:rsid w:val="002D4AD1"/>
    <w:rsid w:val="002D4C70"/>
    <w:rsid w:val="002D4CF0"/>
    <w:rsid w:val="002D4EC2"/>
    <w:rsid w:val="002D4F03"/>
    <w:rsid w:val="002D4F8B"/>
    <w:rsid w:val="002D50EF"/>
    <w:rsid w:val="002D5166"/>
    <w:rsid w:val="002D5288"/>
    <w:rsid w:val="002D52EE"/>
    <w:rsid w:val="002D5383"/>
    <w:rsid w:val="002D54F1"/>
    <w:rsid w:val="002D5607"/>
    <w:rsid w:val="002D57B1"/>
    <w:rsid w:val="002D5819"/>
    <w:rsid w:val="002D5919"/>
    <w:rsid w:val="002D595B"/>
    <w:rsid w:val="002D5A47"/>
    <w:rsid w:val="002D5ADD"/>
    <w:rsid w:val="002D5B3C"/>
    <w:rsid w:val="002D5B53"/>
    <w:rsid w:val="002D5E4D"/>
    <w:rsid w:val="002D5EFD"/>
    <w:rsid w:val="002D609F"/>
    <w:rsid w:val="002D6133"/>
    <w:rsid w:val="002D6136"/>
    <w:rsid w:val="002D6395"/>
    <w:rsid w:val="002D63D7"/>
    <w:rsid w:val="002D63F2"/>
    <w:rsid w:val="002D643A"/>
    <w:rsid w:val="002D66FB"/>
    <w:rsid w:val="002D6876"/>
    <w:rsid w:val="002D6882"/>
    <w:rsid w:val="002D68BC"/>
    <w:rsid w:val="002D68F9"/>
    <w:rsid w:val="002D6951"/>
    <w:rsid w:val="002D6A06"/>
    <w:rsid w:val="002D6CF0"/>
    <w:rsid w:val="002D6F16"/>
    <w:rsid w:val="002D6F36"/>
    <w:rsid w:val="002D72F9"/>
    <w:rsid w:val="002D737B"/>
    <w:rsid w:val="002D7540"/>
    <w:rsid w:val="002D757B"/>
    <w:rsid w:val="002D75E5"/>
    <w:rsid w:val="002D75FE"/>
    <w:rsid w:val="002D771B"/>
    <w:rsid w:val="002D7851"/>
    <w:rsid w:val="002D789E"/>
    <w:rsid w:val="002D78D0"/>
    <w:rsid w:val="002D78ED"/>
    <w:rsid w:val="002D7921"/>
    <w:rsid w:val="002D793B"/>
    <w:rsid w:val="002D7A92"/>
    <w:rsid w:val="002D7B30"/>
    <w:rsid w:val="002D7D48"/>
    <w:rsid w:val="002D7DAE"/>
    <w:rsid w:val="002D7E0E"/>
    <w:rsid w:val="002D7E51"/>
    <w:rsid w:val="002D7F7B"/>
    <w:rsid w:val="002E0092"/>
    <w:rsid w:val="002E00B7"/>
    <w:rsid w:val="002E01FB"/>
    <w:rsid w:val="002E0243"/>
    <w:rsid w:val="002E029B"/>
    <w:rsid w:val="002E03D3"/>
    <w:rsid w:val="002E04FE"/>
    <w:rsid w:val="002E0519"/>
    <w:rsid w:val="002E072E"/>
    <w:rsid w:val="002E07D8"/>
    <w:rsid w:val="002E09FE"/>
    <w:rsid w:val="002E0B10"/>
    <w:rsid w:val="002E0B8C"/>
    <w:rsid w:val="002E0CFD"/>
    <w:rsid w:val="002E0D38"/>
    <w:rsid w:val="002E0D83"/>
    <w:rsid w:val="002E0DA5"/>
    <w:rsid w:val="002E0F00"/>
    <w:rsid w:val="002E100F"/>
    <w:rsid w:val="002E10D6"/>
    <w:rsid w:val="002E110A"/>
    <w:rsid w:val="002E122B"/>
    <w:rsid w:val="002E12E0"/>
    <w:rsid w:val="002E131A"/>
    <w:rsid w:val="002E13D8"/>
    <w:rsid w:val="002E143D"/>
    <w:rsid w:val="002E14FC"/>
    <w:rsid w:val="002E1569"/>
    <w:rsid w:val="002E1726"/>
    <w:rsid w:val="002E1769"/>
    <w:rsid w:val="002E1907"/>
    <w:rsid w:val="002E1AF0"/>
    <w:rsid w:val="002E1AF8"/>
    <w:rsid w:val="002E1BDF"/>
    <w:rsid w:val="002E1C19"/>
    <w:rsid w:val="002E1D7B"/>
    <w:rsid w:val="002E1E8F"/>
    <w:rsid w:val="002E208F"/>
    <w:rsid w:val="002E20C0"/>
    <w:rsid w:val="002E2203"/>
    <w:rsid w:val="002E23A9"/>
    <w:rsid w:val="002E241C"/>
    <w:rsid w:val="002E24D7"/>
    <w:rsid w:val="002E2561"/>
    <w:rsid w:val="002E25B2"/>
    <w:rsid w:val="002E25EC"/>
    <w:rsid w:val="002E2608"/>
    <w:rsid w:val="002E2611"/>
    <w:rsid w:val="002E2730"/>
    <w:rsid w:val="002E2843"/>
    <w:rsid w:val="002E2B7F"/>
    <w:rsid w:val="002E2CD2"/>
    <w:rsid w:val="002E2D6E"/>
    <w:rsid w:val="002E2EA0"/>
    <w:rsid w:val="002E2F54"/>
    <w:rsid w:val="002E3118"/>
    <w:rsid w:val="002E318E"/>
    <w:rsid w:val="002E3304"/>
    <w:rsid w:val="002E349D"/>
    <w:rsid w:val="002E3561"/>
    <w:rsid w:val="002E37DF"/>
    <w:rsid w:val="002E395E"/>
    <w:rsid w:val="002E3ABD"/>
    <w:rsid w:val="002E3ABE"/>
    <w:rsid w:val="002E3AFB"/>
    <w:rsid w:val="002E3D3D"/>
    <w:rsid w:val="002E3D73"/>
    <w:rsid w:val="002E3E48"/>
    <w:rsid w:val="002E3E84"/>
    <w:rsid w:val="002E3ECC"/>
    <w:rsid w:val="002E3EE8"/>
    <w:rsid w:val="002E410E"/>
    <w:rsid w:val="002E4202"/>
    <w:rsid w:val="002E42CA"/>
    <w:rsid w:val="002E43EE"/>
    <w:rsid w:val="002E448C"/>
    <w:rsid w:val="002E449C"/>
    <w:rsid w:val="002E45E4"/>
    <w:rsid w:val="002E46F5"/>
    <w:rsid w:val="002E47AC"/>
    <w:rsid w:val="002E47B8"/>
    <w:rsid w:val="002E483A"/>
    <w:rsid w:val="002E49D4"/>
    <w:rsid w:val="002E4A53"/>
    <w:rsid w:val="002E4A98"/>
    <w:rsid w:val="002E4AEB"/>
    <w:rsid w:val="002E4C8B"/>
    <w:rsid w:val="002E4CF4"/>
    <w:rsid w:val="002E4D45"/>
    <w:rsid w:val="002E4ED8"/>
    <w:rsid w:val="002E4F12"/>
    <w:rsid w:val="002E50E7"/>
    <w:rsid w:val="002E50F1"/>
    <w:rsid w:val="002E5166"/>
    <w:rsid w:val="002E51FD"/>
    <w:rsid w:val="002E538D"/>
    <w:rsid w:val="002E545F"/>
    <w:rsid w:val="002E5475"/>
    <w:rsid w:val="002E5558"/>
    <w:rsid w:val="002E5584"/>
    <w:rsid w:val="002E5591"/>
    <w:rsid w:val="002E55F3"/>
    <w:rsid w:val="002E5695"/>
    <w:rsid w:val="002E581E"/>
    <w:rsid w:val="002E582A"/>
    <w:rsid w:val="002E5903"/>
    <w:rsid w:val="002E5C64"/>
    <w:rsid w:val="002E5DDC"/>
    <w:rsid w:val="002E5E1B"/>
    <w:rsid w:val="002E5FE6"/>
    <w:rsid w:val="002E6055"/>
    <w:rsid w:val="002E60DF"/>
    <w:rsid w:val="002E615E"/>
    <w:rsid w:val="002E638A"/>
    <w:rsid w:val="002E6675"/>
    <w:rsid w:val="002E6694"/>
    <w:rsid w:val="002E672D"/>
    <w:rsid w:val="002E684D"/>
    <w:rsid w:val="002E6978"/>
    <w:rsid w:val="002E6A68"/>
    <w:rsid w:val="002E6B04"/>
    <w:rsid w:val="002E6CFA"/>
    <w:rsid w:val="002E6D58"/>
    <w:rsid w:val="002E6D6B"/>
    <w:rsid w:val="002E6F27"/>
    <w:rsid w:val="002E7000"/>
    <w:rsid w:val="002E7285"/>
    <w:rsid w:val="002E7352"/>
    <w:rsid w:val="002E7489"/>
    <w:rsid w:val="002E76AB"/>
    <w:rsid w:val="002E791E"/>
    <w:rsid w:val="002E7983"/>
    <w:rsid w:val="002E7B71"/>
    <w:rsid w:val="002E7C5D"/>
    <w:rsid w:val="002E7C73"/>
    <w:rsid w:val="002E7D09"/>
    <w:rsid w:val="002E7D2C"/>
    <w:rsid w:val="002F0024"/>
    <w:rsid w:val="002F002B"/>
    <w:rsid w:val="002F0096"/>
    <w:rsid w:val="002F00A7"/>
    <w:rsid w:val="002F00B5"/>
    <w:rsid w:val="002F01CE"/>
    <w:rsid w:val="002F037A"/>
    <w:rsid w:val="002F0466"/>
    <w:rsid w:val="002F04DA"/>
    <w:rsid w:val="002F06A7"/>
    <w:rsid w:val="002F06F6"/>
    <w:rsid w:val="002F0799"/>
    <w:rsid w:val="002F0837"/>
    <w:rsid w:val="002F0896"/>
    <w:rsid w:val="002F08A1"/>
    <w:rsid w:val="002F096F"/>
    <w:rsid w:val="002F09D7"/>
    <w:rsid w:val="002F0A33"/>
    <w:rsid w:val="002F0B72"/>
    <w:rsid w:val="002F0BD4"/>
    <w:rsid w:val="002F0C75"/>
    <w:rsid w:val="002F0E8F"/>
    <w:rsid w:val="002F0EBE"/>
    <w:rsid w:val="002F0EF6"/>
    <w:rsid w:val="002F0F39"/>
    <w:rsid w:val="002F0F94"/>
    <w:rsid w:val="002F1099"/>
    <w:rsid w:val="002F117D"/>
    <w:rsid w:val="002F1241"/>
    <w:rsid w:val="002F13E7"/>
    <w:rsid w:val="002F13F5"/>
    <w:rsid w:val="002F1411"/>
    <w:rsid w:val="002F142A"/>
    <w:rsid w:val="002F14D9"/>
    <w:rsid w:val="002F14F6"/>
    <w:rsid w:val="002F1539"/>
    <w:rsid w:val="002F1995"/>
    <w:rsid w:val="002F199E"/>
    <w:rsid w:val="002F1AD0"/>
    <w:rsid w:val="002F1B24"/>
    <w:rsid w:val="002F1C87"/>
    <w:rsid w:val="002F1CE9"/>
    <w:rsid w:val="002F1CF4"/>
    <w:rsid w:val="002F1E8B"/>
    <w:rsid w:val="002F1FBD"/>
    <w:rsid w:val="002F2037"/>
    <w:rsid w:val="002F207C"/>
    <w:rsid w:val="002F2123"/>
    <w:rsid w:val="002F2289"/>
    <w:rsid w:val="002F22E2"/>
    <w:rsid w:val="002F2302"/>
    <w:rsid w:val="002F2321"/>
    <w:rsid w:val="002F233D"/>
    <w:rsid w:val="002F23AD"/>
    <w:rsid w:val="002F2445"/>
    <w:rsid w:val="002F24CF"/>
    <w:rsid w:val="002F2547"/>
    <w:rsid w:val="002F26DF"/>
    <w:rsid w:val="002F275D"/>
    <w:rsid w:val="002F286C"/>
    <w:rsid w:val="002F28D3"/>
    <w:rsid w:val="002F2989"/>
    <w:rsid w:val="002F2A15"/>
    <w:rsid w:val="002F2A29"/>
    <w:rsid w:val="002F2AE3"/>
    <w:rsid w:val="002F2BC9"/>
    <w:rsid w:val="002F2DA3"/>
    <w:rsid w:val="002F2ED6"/>
    <w:rsid w:val="002F3143"/>
    <w:rsid w:val="002F31ED"/>
    <w:rsid w:val="002F320C"/>
    <w:rsid w:val="002F33DC"/>
    <w:rsid w:val="002F340F"/>
    <w:rsid w:val="002F35E3"/>
    <w:rsid w:val="002F36D1"/>
    <w:rsid w:val="002F3715"/>
    <w:rsid w:val="002F39D9"/>
    <w:rsid w:val="002F3A5E"/>
    <w:rsid w:val="002F3BF6"/>
    <w:rsid w:val="002F3C56"/>
    <w:rsid w:val="002F3C75"/>
    <w:rsid w:val="002F3CAE"/>
    <w:rsid w:val="002F3D71"/>
    <w:rsid w:val="002F3DE9"/>
    <w:rsid w:val="002F3E2E"/>
    <w:rsid w:val="002F3E61"/>
    <w:rsid w:val="002F3EE7"/>
    <w:rsid w:val="002F40F3"/>
    <w:rsid w:val="002F41D4"/>
    <w:rsid w:val="002F4207"/>
    <w:rsid w:val="002F4265"/>
    <w:rsid w:val="002F42AB"/>
    <w:rsid w:val="002F44ED"/>
    <w:rsid w:val="002F454D"/>
    <w:rsid w:val="002F4570"/>
    <w:rsid w:val="002F4619"/>
    <w:rsid w:val="002F462C"/>
    <w:rsid w:val="002F4746"/>
    <w:rsid w:val="002F47B9"/>
    <w:rsid w:val="002F489F"/>
    <w:rsid w:val="002F48F2"/>
    <w:rsid w:val="002F490E"/>
    <w:rsid w:val="002F49D6"/>
    <w:rsid w:val="002F4A3C"/>
    <w:rsid w:val="002F4BCA"/>
    <w:rsid w:val="002F4CC7"/>
    <w:rsid w:val="002F4D8D"/>
    <w:rsid w:val="002F4DAA"/>
    <w:rsid w:val="002F4E75"/>
    <w:rsid w:val="002F4F4E"/>
    <w:rsid w:val="002F500C"/>
    <w:rsid w:val="002F51F0"/>
    <w:rsid w:val="002F52CA"/>
    <w:rsid w:val="002F53AE"/>
    <w:rsid w:val="002F53C8"/>
    <w:rsid w:val="002F543A"/>
    <w:rsid w:val="002F548E"/>
    <w:rsid w:val="002F54B9"/>
    <w:rsid w:val="002F561D"/>
    <w:rsid w:val="002F5648"/>
    <w:rsid w:val="002F574D"/>
    <w:rsid w:val="002F5772"/>
    <w:rsid w:val="002F57A5"/>
    <w:rsid w:val="002F580A"/>
    <w:rsid w:val="002F581C"/>
    <w:rsid w:val="002F584D"/>
    <w:rsid w:val="002F586B"/>
    <w:rsid w:val="002F58C7"/>
    <w:rsid w:val="002F5AF1"/>
    <w:rsid w:val="002F5BF2"/>
    <w:rsid w:val="002F5DC0"/>
    <w:rsid w:val="002F5E62"/>
    <w:rsid w:val="002F6048"/>
    <w:rsid w:val="002F6057"/>
    <w:rsid w:val="002F606E"/>
    <w:rsid w:val="002F61F6"/>
    <w:rsid w:val="002F621E"/>
    <w:rsid w:val="002F6294"/>
    <w:rsid w:val="002F631A"/>
    <w:rsid w:val="002F63C2"/>
    <w:rsid w:val="002F6503"/>
    <w:rsid w:val="002F6546"/>
    <w:rsid w:val="002F6670"/>
    <w:rsid w:val="002F6774"/>
    <w:rsid w:val="002F681B"/>
    <w:rsid w:val="002F69DF"/>
    <w:rsid w:val="002F69F7"/>
    <w:rsid w:val="002F6A77"/>
    <w:rsid w:val="002F6AB6"/>
    <w:rsid w:val="002F6F3C"/>
    <w:rsid w:val="002F6FBE"/>
    <w:rsid w:val="002F7112"/>
    <w:rsid w:val="002F715A"/>
    <w:rsid w:val="002F71F9"/>
    <w:rsid w:val="002F72B9"/>
    <w:rsid w:val="002F72D6"/>
    <w:rsid w:val="002F73DE"/>
    <w:rsid w:val="002F75E8"/>
    <w:rsid w:val="002F7676"/>
    <w:rsid w:val="002F77E4"/>
    <w:rsid w:val="002F7A11"/>
    <w:rsid w:val="002F7CAB"/>
    <w:rsid w:val="002F7D02"/>
    <w:rsid w:val="002F7D90"/>
    <w:rsid w:val="002F7F0A"/>
    <w:rsid w:val="002F7F38"/>
    <w:rsid w:val="002F7F74"/>
    <w:rsid w:val="003000BF"/>
    <w:rsid w:val="003003EF"/>
    <w:rsid w:val="00300443"/>
    <w:rsid w:val="00300480"/>
    <w:rsid w:val="00300681"/>
    <w:rsid w:val="00300739"/>
    <w:rsid w:val="0030081A"/>
    <w:rsid w:val="00300873"/>
    <w:rsid w:val="003009AF"/>
    <w:rsid w:val="00300A64"/>
    <w:rsid w:val="00300BBD"/>
    <w:rsid w:val="00300BC3"/>
    <w:rsid w:val="00300C6B"/>
    <w:rsid w:val="00300DA1"/>
    <w:rsid w:val="00300DDB"/>
    <w:rsid w:val="00300E32"/>
    <w:rsid w:val="00300F52"/>
    <w:rsid w:val="00301068"/>
    <w:rsid w:val="00301221"/>
    <w:rsid w:val="0030122C"/>
    <w:rsid w:val="003013AB"/>
    <w:rsid w:val="0030141C"/>
    <w:rsid w:val="003016E4"/>
    <w:rsid w:val="003017A2"/>
    <w:rsid w:val="00301B7E"/>
    <w:rsid w:val="00301CAE"/>
    <w:rsid w:val="00301D93"/>
    <w:rsid w:val="00301DE1"/>
    <w:rsid w:val="00301E1F"/>
    <w:rsid w:val="00301E6A"/>
    <w:rsid w:val="00301EB5"/>
    <w:rsid w:val="00301FEF"/>
    <w:rsid w:val="003020E9"/>
    <w:rsid w:val="00302214"/>
    <w:rsid w:val="00302262"/>
    <w:rsid w:val="00302290"/>
    <w:rsid w:val="0030243A"/>
    <w:rsid w:val="003026AC"/>
    <w:rsid w:val="003026B8"/>
    <w:rsid w:val="00302759"/>
    <w:rsid w:val="0030279C"/>
    <w:rsid w:val="00302A2E"/>
    <w:rsid w:val="00302D8F"/>
    <w:rsid w:val="00302D9A"/>
    <w:rsid w:val="00302EB7"/>
    <w:rsid w:val="00302EF5"/>
    <w:rsid w:val="00302FD7"/>
    <w:rsid w:val="0030314F"/>
    <w:rsid w:val="0030316D"/>
    <w:rsid w:val="0030319D"/>
    <w:rsid w:val="003032E4"/>
    <w:rsid w:val="00303565"/>
    <w:rsid w:val="0030366B"/>
    <w:rsid w:val="003036CF"/>
    <w:rsid w:val="003037A8"/>
    <w:rsid w:val="003037AF"/>
    <w:rsid w:val="00303ABE"/>
    <w:rsid w:val="00303B3A"/>
    <w:rsid w:val="00303B4B"/>
    <w:rsid w:val="0030403A"/>
    <w:rsid w:val="003040FE"/>
    <w:rsid w:val="003041FC"/>
    <w:rsid w:val="00304272"/>
    <w:rsid w:val="0030446E"/>
    <w:rsid w:val="003044CA"/>
    <w:rsid w:val="0030454B"/>
    <w:rsid w:val="00304565"/>
    <w:rsid w:val="00304620"/>
    <w:rsid w:val="003046D6"/>
    <w:rsid w:val="00304711"/>
    <w:rsid w:val="003047D0"/>
    <w:rsid w:val="00304835"/>
    <w:rsid w:val="00304855"/>
    <w:rsid w:val="003049A2"/>
    <w:rsid w:val="003049C8"/>
    <w:rsid w:val="00304ADC"/>
    <w:rsid w:val="00304B63"/>
    <w:rsid w:val="00304C63"/>
    <w:rsid w:val="00304D1B"/>
    <w:rsid w:val="00304D3B"/>
    <w:rsid w:val="00304D84"/>
    <w:rsid w:val="00304EE1"/>
    <w:rsid w:val="00304F0A"/>
    <w:rsid w:val="00304F0D"/>
    <w:rsid w:val="00304F12"/>
    <w:rsid w:val="00305008"/>
    <w:rsid w:val="0030505B"/>
    <w:rsid w:val="00305105"/>
    <w:rsid w:val="0030515C"/>
    <w:rsid w:val="0030541F"/>
    <w:rsid w:val="00305492"/>
    <w:rsid w:val="003055A2"/>
    <w:rsid w:val="00305665"/>
    <w:rsid w:val="00305714"/>
    <w:rsid w:val="0030575E"/>
    <w:rsid w:val="003057F6"/>
    <w:rsid w:val="003058C9"/>
    <w:rsid w:val="00305922"/>
    <w:rsid w:val="00305A88"/>
    <w:rsid w:val="00305ACD"/>
    <w:rsid w:val="00305B48"/>
    <w:rsid w:val="00305CAB"/>
    <w:rsid w:val="00305D8C"/>
    <w:rsid w:val="00305EF9"/>
    <w:rsid w:val="00305F84"/>
    <w:rsid w:val="00306257"/>
    <w:rsid w:val="00306268"/>
    <w:rsid w:val="003063A9"/>
    <w:rsid w:val="003064E9"/>
    <w:rsid w:val="00306540"/>
    <w:rsid w:val="00306559"/>
    <w:rsid w:val="003065CD"/>
    <w:rsid w:val="00306631"/>
    <w:rsid w:val="003066F9"/>
    <w:rsid w:val="00306718"/>
    <w:rsid w:val="003069AB"/>
    <w:rsid w:val="00306A1B"/>
    <w:rsid w:val="00306AF2"/>
    <w:rsid w:val="00306B01"/>
    <w:rsid w:val="00306B6A"/>
    <w:rsid w:val="00306C7D"/>
    <w:rsid w:val="00306CF0"/>
    <w:rsid w:val="00306D58"/>
    <w:rsid w:val="00306DBF"/>
    <w:rsid w:val="00306DCA"/>
    <w:rsid w:val="00306E49"/>
    <w:rsid w:val="00306EFE"/>
    <w:rsid w:val="00306F66"/>
    <w:rsid w:val="00306F9E"/>
    <w:rsid w:val="003070D3"/>
    <w:rsid w:val="003070F1"/>
    <w:rsid w:val="003070FF"/>
    <w:rsid w:val="003071EC"/>
    <w:rsid w:val="0030720C"/>
    <w:rsid w:val="00307290"/>
    <w:rsid w:val="0030733C"/>
    <w:rsid w:val="00307382"/>
    <w:rsid w:val="0030747E"/>
    <w:rsid w:val="00307560"/>
    <w:rsid w:val="00307596"/>
    <w:rsid w:val="00307607"/>
    <w:rsid w:val="00307817"/>
    <w:rsid w:val="003079DA"/>
    <w:rsid w:val="00307A9D"/>
    <w:rsid w:val="00307CE3"/>
    <w:rsid w:val="00307D35"/>
    <w:rsid w:val="00307DCB"/>
    <w:rsid w:val="00307E06"/>
    <w:rsid w:val="00307E0F"/>
    <w:rsid w:val="00307E74"/>
    <w:rsid w:val="00307E86"/>
    <w:rsid w:val="00307F4A"/>
    <w:rsid w:val="0031000B"/>
    <w:rsid w:val="00310057"/>
    <w:rsid w:val="003100C7"/>
    <w:rsid w:val="00310124"/>
    <w:rsid w:val="00310172"/>
    <w:rsid w:val="00310197"/>
    <w:rsid w:val="00310201"/>
    <w:rsid w:val="0031021C"/>
    <w:rsid w:val="003102E8"/>
    <w:rsid w:val="00310339"/>
    <w:rsid w:val="003106CB"/>
    <w:rsid w:val="0031073C"/>
    <w:rsid w:val="003108B0"/>
    <w:rsid w:val="00310AB9"/>
    <w:rsid w:val="00310AFB"/>
    <w:rsid w:val="00310B30"/>
    <w:rsid w:val="00310D23"/>
    <w:rsid w:val="00310EC4"/>
    <w:rsid w:val="00310FDE"/>
    <w:rsid w:val="00311026"/>
    <w:rsid w:val="0031111D"/>
    <w:rsid w:val="00311162"/>
    <w:rsid w:val="00311238"/>
    <w:rsid w:val="0031142F"/>
    <w:rsid w:val="003115DC"/>
    <w:rsid w:val="003116A3"/>
    <w:rsid w:val="00311711"/>
    <w:rsid w:val="00311752"/>
    <w:rsid w:val="003117CB"/>
    <w:rsid w:val="00311967"/>
    <w:rsid w:val="00311A1C"/>
    <w:rsid w:val="00311A83"/>
    <w:rsid w:val="00311A8B"/>
    <w:rsid w:val="00311C3C"/>
    <w:rsid w:val="00311C3E"/>
    <w:rsid w:val="00311CEB"/>
    <w:rsid w:val="00311D1A"/>
    <w:rsid w:val="00311DBA"/>
    <w:rsid w:val="00311F15"/>
    <w:rsid w:val="0031214E"/>
    <w:rsid w:val="00312254"/>
    <w:rsid w:val="00312297"/>
    <w:rsid w:val="003123D1"/>
    <w:rsid w:val="00312400"/>
    <w:rsid w:val="00312428"/>
    <w:rsid w:val="0031245C"/>
    <w:rsid w:val="0031252C"/>
    <w:rsid w:val="0031268D"/>
    <w:rsid w:val="00312741"/>
    <w:rsid w:val="003127B8"/>
    <w:rsid w:val="003127F0"/>
    <w:rsid w:val="00312878"/>
    <w:rsid w:val="0031292B"/>
    <w:rsid w:val="00312C9B"/>
    <w:rsid w:val="00312D3E"/>
    <w:rsid w:val="00312DA9"/>
    <w:rsid w:val="00312FB6"/>
    <w:rsid w:val="00312FBE"/>
    <w:rsid w:val="00313102"/>
    <w:rsid w:val="003131DF"/>
    <w:rsid w:val="00313365"/>
    <w:rsid w:val="003133FE"/>
    <w:rsid w:val="00313414"/>
    <w:rsid w:val="00313436"/>
    <w:rsid w:val="0031343C"/>
    <w:rsid w:val="00313445"/>
    <w:rsid w:val="00313536"/>
    <w:rsid w:val="003135C4"/>
    <w:rsid w:val="003136A8"/>
    <w:rsid w:val="00313803"/>
    <w:rsid w:val="00313AA1"/>
    <w:rsid w:val="00313B1E"/>
    <w:rsid w:val="00313CC2"/>
    <w:rsid w:val="00313D40"/>
    <w:rsid w:val="0031408B"/>
    <w:rsid w:val="0031412B"/>
    <w:rsid w:val="0031418C"/>
    <w:rsid w:val="00314193"/>
    <w:rsid w:val="00314194"/>
    <w:rsid w:val="0031422B"/>
    <w:rsid w:val="003143DE"/>
    <w:rsid w:val="00314505"/>
    <w:rsid w:val="0031456B"/>
    <w:rsid w:val="00314595"/>
    <w:rsid w:val="003145CE"/>
    <w:rsid w:val="003145F5"/>
    <w:rsid w:val="003147B3"/>
    <w:rsid w:val="00314813"/>
    <w:rsid w:val="0031487E"/>
    <w:rsid w:val="00314882"/>
    <w:rsid w:val="00314891"/>
    <w:rsid w:val="00314A0B"/>
    <w:rsid w:val="00314A3D"/>
    <w:rsid w:val="00314AEE"/>
    <w:rsid w:val="00314B30"/>
    <w:rsid w:val="00314B68"/>
    <w:rsid w:val="00314BD4"/>
    <w:rsid w:val="00314C6D"/>
    <w:rsid w:val="00314CFB"/>
    <w:rsid w:val="00315149"/>
    <w:rsid w:val="003151B3"/>
    <w:rsid w:val="0031521E"/>
    <w:rsid w:val="00315263"/>
    <w:rsid w:val="0031538C"/>
    <w:rsid w:val="00315577"/>
    <w:rsid w:val="003157DE"/>
    <w:rsid w:val="0031580E"/>
    <w:rsid w:val="0031588A"/>
    <w:rsid w:val="0031598E"/>
    <w:rsid w:val="003159BE"/>
    <w:rsid w:val="00315C91"/>
    <w:rsid w:val="00315D17"/>
    <w:rsid w:val="00315D87"/>
    <w:rsid w:val="00315E3B"/>
    <w:rsid w:val="00315FDC"/>
    <w:rsid w:val="00315FFE"/>
    <w:rsid w:val="00316053"/>
    <w:rsid w:val="00316301"/>
    <w:rsid w:val="0031630C"/>
    <w:rsid w:val="00316420"/>
    <w:rsid w:val="00316439"/>
    <w:rsid w:val="00316492"/>
    <w:rsid w:val="003164CE"/>
    <w:rsid w:val="00316545"/>
    <w:rsid w:val="003165A8"/>
    <w:rsid w:val="003166B0"/>
    <w:rsid w:val="00316A31"/>
    <w:rsid w:val="00316A6A"/>
    <w:rsid w:val="00316B5E"/>
    <w:rsid w:val="00316B78"/>
    <w:rsid w:val="00316CC9"/>
    <w:rsid w:val="00316DA4"/>
    <w:rsid w:val="00316E22"/>
    <w:rsid w:val="00316E3C"/>
    <w:rsid w:val="00316E6F"/>
    <w:rsid w:val="00316EDF"/>
    <w:rsid w:val="003171EF"/>
    <w:rsid w:val="00317249"/>
    <w:rsid w:val="00317314"/>
    <w:rsid w:val="0031733C"/>
    <w:rsid w:val="00317388"/>
    <w:rsid w:val="003173EE"/>
    <w:rsid w:val="00317409"/>
    <w:rsid w:val="003174EE"/>
    <w:rsid w:val="003175C9"/>
    <w:rsid w:val="0031761F"/>
    <w:rsid w:val="00317734"/>
    <w:rsid w:val="00317771"/>
    <w:rsid w:val="00317795"/>
    <w:rsid w:val="00317937"/>
    <w:rsid w:val="003179C7"/>
    <w:rsid w:val="00317AB4"/>
    <w:rsid w:val="00317B00"/>
    <w:rsid w:val="00317BB6"/>
    <w:rsid w:val="00317C7F"/>
    <w:rsid w:val="00317D48"/>
    <w:rsid w:val="00317EA5"/>
    <w:rsid w:val="00317EB9"/>
    <w:rsid w:val="00317F44"/>
    <w:rsid w:val="00317F99"/>
    <w:rsid w:val="00317FBC"/>
    <w:rsid w:val="003201AC"/>
    <w:rsid w:val="003201C5"/>
    <w:rsid w:val="003202C2"/>
    <w:rsid w:val="003202F3"/>
    <w:rsid w:val="00320585"/>
    <w:rsid w:val="003205D7"/>
    <w:rsid w:val="003207B2"/>
    <w:rsid w:val="0032082E"/>
    <w:rsid w:val="003208D1"/>
    <w:rsid w:val="0032094F"/>
    <w:rsid w:val="00320974"/>
    <w:rsid w:val="00320989"/>
    <w:rsid w:val="00320A3F"/>
    <w:rsid w:val="00320B5D"/>
    <w:rsid w:val="00320C2D"/>
    <w:rsid w:val="00320E5D"/>
    <w:rsid w:val="00320EB8"/>
    <w:rsid w:val="00321116"/>
    <w:rsid w:val="00321120"/>
    <w:rsid w:val="00321130"/>
    <w:rsid w:val="00321206"/>
    <w:rsid w:val="003212FD"/>
    <w:rsid w:val="00321366"/>
    <w:rsid w:val="00321526"/>
    <w:rsid w:val="00321540"/>
    <w:rsid w:val="00321596"/>
    <w:rsid w:val="0032159E"/>
    <w:rsid w:val="0032161C"/>
    <w:rsid w:val="00321637"/>
    <w:rsid w:val="00321655"/>
    <w:rsid w:val="0032197C"/>
    <w:rsid w:val="00321AA0"/>
    <w:rsid w:val="00321AC7"/>
    <w:rsid w:val="00321C0C"/>
    <w:rsid w:val="00321D09"/>
    <w:rsid w:val="00321E89"/>
    <w:rsid w:val="00321F9B"/>
    <w:rsid w:val="00321FE9"/>
    <w:rsid w:val="0032203E"/>
    <w:rsid w:val="003220FA"/>
    <w:rsid w:val="00322156"/>
    <w:rsid w:val="00322354"/>
    <w:rsid w:val="003224FF"/>
    <w:rsid w:val="00322508"/>
    <w:rsid w:val="00322519"/>
    <w:rsid w:val="0032254A"/>
    <w:rsid w:val="0032259B"/>
    <w:rsid w:val="0032262C"/>
    <w:rsid w:val="003227C0"/>
    <w:rsid w:val="0032285C"/>
    <w:rsid w:val="003229B5"/>
    <w:rsid w:val="003229CD"/>
    <w:rsid w:val="00322A44"/>
    <w:rsid w:val="00322A77"/>
    <w:rsid w:val="00322BCD"/>
    <w:rsid w:val="00322BE1"/>
    <w:rsid w:val="00322BF8"/>
    <w:rsid w:val="00322C43"/>
    <w:rsid w:val="00322D60"/>
    <w:rsid w:val="00322DCB"/>
    <w:rsid w:val="00322E0D"/>
    <w:rsid w:val="00322F70"/>
    <w:rsid w:val="00323303"/>
    <w:rsid w:val="00323350"/>
    <w:rsid w:val="00323362"/>
    <w:rsid w:val="003233F4"/>
    <w:rsid w:val="00323455"/>
    <w:rsid w:val="0032345E"/>
    <w:rsid w:val="00323525"/>
    <w:rsid w:val="003236F9"/>
    <w:rsid w:val="00323745"/>
    <w:rsid w:val="00323780"/>
    <w:rsid w:val="00323864"/>
    <w:rsid w:val="0032386A"/>
    <w:rsid w:val="003238D0"/>
    <w:rsid w:val="00323902"/>
    <w:rsid w:val="00323AE2"/>
    <w:rsid w:val="00323B8C"/>
    <w:rsid w:val="00323D4F"/>
    <w:rsid w:val="00323F1F"/>
    <w:rsid w:val="00324013"/>
    <w:rsid w:val="003240C2"/>
    <w:rsid w:val="00324157"/>
    <w:rsid w:val="0032424D"/>
    <w:rsid w:val="00324271"/>
    <w:rsid w:val="0032443D"/>
    <w:rsid w:val="00324461"/>
    <w:rsid w:val="003245AA"/>
    <w:rsid w:val="003245B6"/>
    <w:rsid w:val="003245EC"/>
    <w:rsid w:val="003248A6"/>
    <w:rsid w:val="003249AB"/>
    <w:rsid w:val="00324A12"/>
    <w:rsid w:val="00324AF7"/>
    <w:rsid w:val="00324B8A"/>
    <w:rsid w:val="00324BBC"/>
    <w:rsid w:val="00324BFB"/>
    <w:rsid w:val="00324C07"/>
    <w:rsid w:val="00324C56"/>
    <w:rsid w:val="00324C7C"/>
    <w:rsid w:val="00324C89"/>
    <w:rsid w:val="00324E70"/>
    <w:rsid w:val="00325046"/>
    <w:rsid w:val="0032505A"/>
    <w:rsid w:val="00325154"/>
    <w:rsid w:val="003252EE"/>
    <w:rsid w:val="003252FB"/>
    <w:rsid w:val="00325348"/>
    <w:rsid w:val="00325392"/>
    <w:rsid w:val="00325419"/>
    <w:rsid w:val="0032551E"/>
    <w:rsid w:val="0032565C"/>
    <w:rsid w:val="003257CE"/>
    <w:rsid w:val="00325968"/>
    <w:rsid w:val="0032598E"/>
    <w:rsid w:val="00325B47"/>
    <w:rsid w:val="00325C34"/>
    <w:rsid w:val="00325C38"/>
    <w:rsid w:val="00325C43"/>
    <w:rsid w:val="00325C47"/>
    <w:rsid w:val="00325C91"/>
    <w:rsid w:val="00325CC7"/>
    <w:rsid w:val="00325E09"/>
    <w:rsid w:val="00325E65"/>
    <w:rsid w:val="00326044"/>
    <w:rsid w:val="003261E5"/>
    <w:rsid w:val="003262F6"/>
    <w:rsid w:val="00326588"/>
    <w:rsid w:val="003265BD"/>
    <w:rsid w:val="0032668B"/>
    <w:rsid w:val="003266E8"/>
    <w:rsid w:val="00326751"/>
    <w:rsid w:val="0032677A"/>
    <w:rsid w:val="0032681C"/>
    <w:rsid w:val="003269FF"/>
    <w:rsid w:val="00326A22"/>
    <w:rsid w:val="00326B0E"/>
    <w:rsid w:val="00326B58"/>
    <w:rsid w:val="00326D43"/>
    <w:rsid w:val="00326D4F"/>
    <w:rsid w:val="00326E39"/>
    <w:rsid w:val="00326EF7"/>
    <w:rsid w:val="00326EFF"/>
    <w:rsid w:val="00326F46"/>
    <w:rsid w:val="00326FD0"/>
    <w:rsid w:val="00327042"/>
    <w:rsid w:val="0032707D"/>
    <w:rsid w:val="00327098"/>
    <w:rsid w:val="003270F3"/>
    <w:rsid w:val="00327155"/>
    <w:rsid w:val="00327191"/>
    <w:rsid w:val="00327309"/>
    <w:rsid w:val="00327391"/>
    <w:rsid w:val="00327495"/>
    <w:rsid w:val="003274E2"/>
    <w:rsid w:val="00327574"/>
    <w:rsid w:val="00327596"/>
    <w:rsid w:val="0032761E"/>
    <w:rsid w:val="00327788"/>
    <w:rsid w:val="00327837"/>
    <w:rsid w:val="0032790F"/>
    <w:rsid w:val="00327917"/>
    <w:rsid w:val="00327AAC"/>
    <w:rsid w:val="00327B0C"/>
    <w:rsid w:val="00327B75"/>
    <w:rsid w:val="00327C57"/>
    <w:rsid w:val="00327CD9"/>
    <w:rsid w:val="00327D00"/>
    <w:rsid w:val="00327E69"/>
    <w:rsid w:val="00327EBB"/>
    <w:rsid w:val="00327F60"/>
    <w:rsid w:val="00327FD3"/>
    <w:rsid w:val="00330064"/>
    <w:rsid w:val="00330112"/>
    <w:rsid w:val="003301B5"/>
    <w:rsid w:val="003301C8"/>
    <w:rsid w:val="0033032B"/>
    <w:rsid w:val="0033035E"/>
    <w:rsid w:val="003303B0"/>
    <w:rsid w:val="0033053B"/>
    <w:rsid w:val="003305CD"/>
    <w:rsid w:val="00330698"/>
    <w:rsid w:val="00330752"/>
    <w:rsid w:val="003307C0"/>
    <w:rsid w:val="0033084B"/>
    <w:rsid w:val="00330927"/>
    <w:rsid w:val="003309D9"/>
    <w:rsid w:val="00330ADC"/>
    <w:rsid w:val="00330CD4"/>
    <w:rsid w:val="00330D33"/>
    <w:rsid w:val="00330DA3"/>
    <w:rsid w:val="00330E02"/>
    <w:rsid w:val="00330E7B"/>
    <w:rsid w:val="00330EDF"/>
    <w:rsid w:val="0033101E"/>
    <w:rsid w:val="00331020"/>
    <w:rsid w:val="003311A4"/>
    <w:rsid w:val="003312A4"/>
    <w:rsid w:val="003312D7"/>
    <w:rsid w:val="00331405"/>
    <w:rsid w:val="0033144B"/>
    <w:rsid w:val="0033144C"/>
    <w:rsid w:val="0033156D"/>
    <w:rsid w:val="0033169F"/>
    <w:rsid w:val="0033195C"/>
    <w:rsid w:val="00331983"/>
    <w:rsid w:val="00331A34"/>
    <w:rsid w:val="00331AB8"/>
    <w:rsid w:val="00331C29"/>
    <w:rsid w:val="00331CED"/>
    <w:rsid w:val="00331D89"/>
    <w:rsid w:val="00331DC2"/>
    <w:rsid w:val="00331DF8"/>
    <w:rsid w:val="00331E91"/>
    <w:rsid w:val="00331F74"/>
    <w:rsid w:val="00332084"/>
    <w:rsid w:val="0033212D"/>
    <w:rsid w:val="00332163"/>
    <w:rsid w:val="0033242D"/>
    <w:rsid w:val="00332556"/>
    <w:rsid w:val="00332578"/>
    <w:rsid w:val="003325FB"/>
    <w:rsid w:val="003326B5"/>
    <w:rsid w:val="00332770"/>
    <w:rsid w:val="003327B8"/>
    <w:rsid w:val="003327C7"/>
    <w:rsid w:val="003328E9"/>
    <w:rsid w:val="00332A58"/>
    <w:rsid w:val="00332AEA"/>
    <w:rsid w:val="00332D09"/>
    <w:rsid w:val="00332D74"/>
    <w:rsid w:val="00332DA6"/>
    <w:rsid w:val="00332F5E"/>
    <w:rsid w:val="00332FFB"/>
    <w:rsid w:val="00333055"/>
    <w:rsid w:val="003330F9"/>
    <w:rsid w:val="00333171"/>
    <w:rsid w:val="00333290"/>
    <w:rsid w:val="00333307"/>
    <w:rsid w:val="00333339"/>
    <w:rsid w:val="003334F8"/>
    <w:rsid w:val="00333603"/>
    <w:rsid w:val="003338EA"/>
    <w:rsid w:val="003338F6"/>
    <w:rsid w:val="003339AD"/>
    <w:rsid w:val="00333A72"/>
    <w:rsid w:val="00333A95"/>
    <w:rsid w:val="00333D94"/>
    <w:rsid w:val="00333E45"/>
    <w:rsid w:val="00333E4B"/>
    <w:rsid w:val="00333F0B"/>
    <w:rsid w:val="003340A1"/>
    <w:rsid w:val="003340D8"/>
    <w:rsid w:val="00334120"/>
    <w:rsid w:val="00334132"/>
    <w:rsid w:val="00334172"/>
    <w:rsid w:val="003341EF"/>
    <w:rsid w:val="003342E7"/>
    <w:rsid w:val="003343C1"/>
    <w:rsid w:val="003345BC"/>
    <w:rsid w:val="003345F4"/>
    <w:rsid w:val="00334719"/>
    <w:rsid w:val="00334910"/>
    <w:rsid w:val="00334971"/>
    <w:rsid w:val="003349B0"/>
    <w:rsid w:val="00334AA5"/>
    <w:rsid w:val="00334B34"/>
    <w:rsid w:val="00334B62"/>
    <w:rsid w:val="00334BD4"/>
    <w:rsid w:val="00334BF2"/>
    <w:rsid w:val="00334BF6"/>
    <w:rsid w:val="00334C10"/>
    <w:rsid w:val="00334C7C"/>
    <w:rsid w:val="00334D63"/>
    <w:rsid w:val="00334F63"/>
    <w:rsid w:val="00335395"/>
    <w:rsid w:val="00335398"/>
    <w:rsid w:val="003353DC"/>
    <w:rsid w:val="003353DD"/>
    <w:rsid w:val="00335479"/>
    <w:rsid w:val="0033548F"/>
    <w:rsid w:val="003354D5"/>
    <w:rsid w:val="00335518"/>
    <w:rsid w:val="0033551C"/>
    <w:rsid w:val="0033573E"/>
    <w:rsid w:val="00335901"/>
    <w:rsid w:val="00335ACD"/>
    <w:rsid w:val="00335C66"/>
    <w:rsid w:val="00335E4D"/>
    <w:rsid w:val="00335E8F"/>
    <w:rsid w:val="00335F19"/>
    <w:rsid w:val="00335F53"/>
    <w:rsid w:val="0033603A"/>
    <w:rsid w:val="0033621F"/>
    <w:rsid w:val="00336255"/>
    <w:rsid w:val="003362D3"/>
    <w:rsid w:val="003362D6"/>
    <w:rsid w:val="0033639F"/>
    <w:rsid w:val="003364B9"/>
    <w:rsid w:val="003364CF"/>
    <w:rsid w:val="00336646"/>
    <w:rsid w:val="00336768"/>
    <w:rsid w:val="003367EF"/>
    <w:rsid w:val="003368CE"/>
    <w:rsid w:val="0033695C"/>
    <w:rsid w:val="00336B48"/>
    <w:rsid w:val="00336BF1"/>
    <w:rsid w:val="00336D10"/>
    <w:rsid w:val="00336D65"/>
    <w:rsid w:val="00336F3D"/>
    <w:rsid w:val="00336FF9"/>
    <w:rsid w:val="0033707D"/>
    <w:rsid w:val="003370D7"/>
    <w:rsid w:val="00337233"/>
    <w:rsid w:val="0033731C"/>
    <w:rsid w:val="0033741F"/>
    <w:rsid w:val="00337446"/>
    <w:rsid w:val="003374C0"/>
    <w:rsid w:val="00337557"/>
    <w:rsid w:val="0033762A"/>
    <w:rsid w:val="0033766E"/>
    <w:rsid w:val="00337692"/>
    <w:rsid w:val="00337750"/>
    <w:rsid w:val="003377AB"/>
    <w:rsid w:val="0033783C"/>
    <w:rsid w:val="00337862"/>
    <w:rsid w:val="0033794C"/>
    <w:rsid w:val="003379A1"/>
    <w:rsid w:val="003379C9"/>
    <w:rsid w:val="00337AE1"/>
    <w:rsid w:val="00337C64"/>
    <w:rsid w:val="00337D1F"/>
    <w:rsid w:val="00337E83"/>
    <w:rsid w:val="00337ED5"/>
    <w:rsid w:val="003400D6"/>
    <w:rsid w:val="0034019F"/>
    <w:rsid w:val="00340237"/>
    <w:rsid w:val="00340285"/>
    <w:rsid w:val="00340397"/>
    <w:rsid w:val="00340490"/>
    <w:rsid w:val="003407B9"/>
    <w:rsid w:val="003408D5"/>
    <w:rsid w:val="00340A1D"/>
    <w:rsid w:val="00340A2B"/>
    <w:rsid w:val="00340ABC"/>
    <w:rsid w:val="00340AD4"/>
    <w:rsid w:val="00340BBF"/>
    <w:rsid w:val="00340BCF"/>
    <w:rsid w:val="00340BF7"/>
    <w:rsid w:val="00340C1B"/>
    <w:rsid w:val="00340DB4"/>
    <w:rsid w:val="00340E6A"/>
    <w:rsid w:val="00340EA1"/>
    <w:rsid w:val="003410DC"/>
    <w:rsid w:val="00341141"/>
    <w:rsid w:val="003413E8"/>
    <w:rsid w:val="00341455"/>
    <w:rsid w:val="00341628"/>
    <w:rsid w:val="003417BF"/>
    <w:rsid w:val="0034184C"/>
    <w:rsid w:val="00341A8E"/>
    <w:rsid w:val="00341CD7"/>
    <w:rsid w:val="00341F8A"/>
    <w:rsid w:val="00341F9C"/>
    <w:rsid w:val="0034210A"/>
    <w:rsid w:val="0034213B"/>
    <w:rsid w:val="003421CD"/>
    <w:rsid w:val="003421E2"/>
    <w:rsid w:val="003421F9"/>
    <w:rsid w:val="0034244D"/>
    <w:rsid w:val="003424AF"/>
    <w:rsid w:val="003424E8"/>
    <w:rsid w:val="003424F0"/>
    <w:rsid w:val="00342588"/>
    <w:rsid w:val="00342664"/>
    <w:rsid w:val="003426E4"/>
    <w:rsid w:val="0034288A"/>
    <w:rsid w:val="00342956"/>
    <w:rsid w:val="00342A32"/>
    <w:rsid w:val="00342B24"/>
    <w:rsid w:val="00342C3E"/>
    <w:rsid w:val="00342CA8"/>
    <w:rsid w:val="00342E40"/>
    <w:rsid w:val="00342E5F"/>
    <w:rsid w:val="00342EF2"/>
    <w:rsid w:val="00343137"/>
    <w:rsid w:val="0034325B"/>
    <w:rsid w:val="00343270"/>
    <w:rsid w:val="003432DD"/>
    <w:rsid w:val="0034333E"/>
    <w:rsid w:val="00343400"/>
    <w:rsid w:val="00343401"/>
    <w:rsid w:val="0034350E"/>
    <w:rsid w:val="003435CF"/>
    <w:rsid w:val="00343622"/>
    <w:rsid w:val="00343683"/>
    <w:rsid w:val="003436BD"/>
    <w:rsid w:val="003437A4"/>
    <w:rsid w:val="003437AB"/>
    <w:rsid w:val="00343971"/>
    <w:rsid w:val="0034399B"/>
    <w:rsid w:val="00343A23"/>
    <w:rsid w:val="00343AB3"/>
    <w:rsid w:val="00343B7A"/>
    <w:rsid w:val="00343CC9"/>
    <w:rsid w:val="00343CCD"/>
    <w:rsid w:val="00343EB5"/>
    <w:rsid w:val="00343F1A"/>
    <w:rsid w:val="00343F2C"/>
    <w:rsid w:val="00343F7A"/>
    <w:rsid w:val="00343F9D"/>
    <w:rsid w:val="0034407A"/>
    <w:rsid w:val="00344279"/>
    <w:rsid w:val="00344331"/>
    <w:rsid w:val="00344430"/>
    <w:rsid w:val="003444E0"/>
    <w:rsid w:val="0034455D"/>
    <w:rsid w:val="0034476F"/>
    <w:rsid w:val="003447F9"/>
    <w:rsid w:val="003448DF"/>
    <w:rsid w:val="00344951"/>
    <w:rsid w:val="00344D53"/>
    <w:rsid w:val="00344DBD"/>
    <w:rsid w:val="003450B4"/>
    <w:rsid w:val="003451F5"/>
    <w:rsid w:val="00345236"/>
    <w:rsid w:val="003452AF"/>
    <w:rsid w:val="00345398"/>
    <w:rsid w:val="00345404"/>
    <w:rsid w:val="003454C4"/>
    <w:rsid w:val="0034551B"/>
    <w:rsid w:val="003456EB"/>
    <w:rsid w:val="00345724"/>
    <w:rsid w:val="0034574E"/>
    <w:rsid w:val="003457BA"/>
    <w:rsid w:val="0034580B"/>
    <w:rsid w:val="00345C8C"/>
    <w:rsid w:val="00345E3B"/>
    <w:rsid w:val="00345F99"/>
    <w:rsid w:val="0034606C"/>
    <w:rsid w:val="00346105"/>
    <w:rsid w:val="0034625A"/>
    <w:rsid w:val="00346538"/>
    <w:rsid w:val="0034657E"/>
    <w:rsid w:val="003465CE"/>
    <w:rsid w:val="0034666C"/>
    <w:rsid w:val="003467BA"/>
    <w:rsid w:val="00346831"/>
    <w:rsid w:val="00346846"/>
    <w:rsid w:val="0034687E"/>
    <w:rsid w:val="00346888"/>
    <w:rsid w:val="003468D0"/>
    <w:rsid w:val="003469AA"/>
    <w:rsid w:val="00346B23"/>
    <w:rsid w:val="00346BD2"/>
    <w:rsid w:val="00346D9E"/>
    <w:rsid w:val="00346E99"/>
    <w:rsid w:val="00346EA6"/>
    <w:rsid w:val="00346EC1"/>
    <w:rsid w:val="00347067"/>
    <w:rsid w:val="00347103"/>
    <w:rsid w:val="00347394"/>
    <w:rsid w:val="00347480"/>
    <w:rsid w:val="00347592"/>
    <w:rsid w:val="003475C8"/>
    <w:rsid w:val="0034761E"/>
    <w:rsid w:val="00347676"/>
    <w:rsid w:val="003478A8"/>
    <w:rsid w:val="003478C4"/>
    <w:rsid w:val="003478ED"/>
    <w:rsid w:val="00347967"/>
    <w:rsid w:val="003479A0"/>
    <w:rsid w:val="003479FB"/>
    <w:rsid w:val="00347AE8"/>
    <w:rsid w:val="00347BEB"/>
    <w:rsid w:val="00347BF8"/>
    <w:rsid w:val="00347C71"/>
    <w:rsid w:val="00347CAE"/>
    <w:rsid w:val="00347DC3"/>
    <w:rsid w:val="00347DCB"/>
    <w:rsid w:val="00347DCD"/>
    <w:rsid w:val="00347E4C"/>
    <w:rsid w:val="00347EFC"/>
    <w:rsid w:val="00350020"/>
    <w:rsid w:val="00350369"/>
    <w:rsid w:val="003503DF"/>
    <w:rsid w:val="0035043A"/>
    <w:rsid w:val="003504B4"/>
    <w:rsid w:val="003506C0"/>
    <w:rsid w:val="003506FA"/>
    <w:rsid w:val="003506FD"/>
    <w:rsid w:val="00350714"/>
    <w:rsid w:val="00350725"/>
    <w:rsid w:val="00350760"/>
    <w:rsid w:val="0035079A"/>
    <w:rsid w:val="00350902"/>
    <w:rsid w:val="00350986"/>
    <w:rsid w:val="00350A07"/>
    <w:rsid w:val="00350A24"/>
    <w:rsid w:val="00350A3F"/>
    <w:rsid w:val="00350A6B"/>
    <w:rsid w:val="00350B03"/>
    <w:rsid w:val="00350CE6"/>
    <w:rsid w:val="00350EC0"/>
    <w:rsid w:val="00350FF6"/>
    <w:rsid w:val="00351055"/>
    <w:rsid w:val="00351108"/>
    <w:rsid w:val="003512BB"/>
    <w:rsid w:val="00351392"/>
    <w:rsid w:val="00351592"/>
    <w:rsid w:val="003516BD"/>
    <w:rsid w:val="003517F6"/>
    <w:rsid w:val="00351938"/>
    <w:rsid w:val="00351AB8"/>
    <w:rsid w:val="00351B42"/>
    <w:rsid w:val="00351BE9"/>
    <w:rsid w:val="00351C90"/>
    <w:rsid w:val="00351D4E"/>
    <w:rsid w:val="00351EF8"/>
    <w:rsid w:val="00352071"/>
    <w:rsid w:val="003522A9"/>
    <w:rsid w:val="0035258F"/>
    <w:rsid w:val="003525CB"/>
    <w:rsid w:val="0035265A"/>
    <w:rsid w:val="00352670"/>
    <w:rsid w:val="00352674"/>
    <w:rsid w:val="0035271E"/>
    <w:rsid w:val="0035274C"/>
    <w:rsid w:val="003527E0"/>
    <w:rsid w:val="003527FC"/>
    <w:rsid w:val="00352848"/>
    <w:rsid w:val="00352913"/>
    <w:rsid w:val="00352953"/>
    <w:rsid w:val="00352954"/>
    <w:rsid w:val="003529C1"/>
    <w:rsid w:val="00352BBF"/>
    <w:rsid w:val="00352CF0"/>
    <w:rsid w:val="00352ED0"/>
    <w:rsid w:val="00353021"/>
    <w:rsid w:val="00353028"/>
    <w:rsid w:val="003531CF"/>
    <w:rsid w:val="0035330C"/>
    <w:rsid w:val="00353392"/>
    <w:rsid w:val="003534E8"/>
    <w:rsid w:val="00353510"/>
    <w:rsid w:val="003535B2"/>
    <w:rsid w:val="00353600"/>
    <w:rsid w:val="003537B8"/>
    <w:rsid w:val="003537D0"/>
    <w:rsid w:val="003538ED"/>
    <w:rsid w:val="003539B0"/>
    <w:rsid w:val="00353A8E"/>
    <w:rsid w:val="00353B23"/>
    <w:rsid w:val="00353CD1"/>
    <w:rsid w:val="00353D74"/>
    <w:rsid w:val="00353D88"/>
    <w:rsid w:val="00353E8B"/>
    <w:rsid w:val="00353FD2"/>
    <w:rsid w:val="0035408A"/>
    <w:rsid w:val="003540F4"/>
    <w:rsid w:val="0035412E"/>
    <w:rsid w:val="0035414C"/>
    <w:rsid w:val="00354302"/>
    <w:rsid w:val="00354376"/>
    <w:rsid w:val="00354441"/>
    <w:rsid w:val="003544F7"/>
    <w:rsid w:val="0035464B"/>
    <w:rsid w:val="00354651"/>
    <w:rsid w:val="0035467C"/>
    <w:rsid w:val="003547F2"/>
    <w:rsid w:val="003548C7"/>
    <w:rsid w:val="003549C6"/>
    <w:rsid w:val="00354A26"/>
    <w:rsid w:val="00354A7C"/>
    <w:rsid w:val="00354BFB"/>
    <w:rsid w:val="00354C05"/>
    <w:rsid w:val="00354C13"/>
    <w:rsid w:val="00354C31"/>
    <w:rsid w:val="00354C7F"/>
    <w:rsid w:val="00354CD9"/>
    <w:rsid w:val="00354DAF"/>
    <w:rsid w:val="0035517C"/>
    <w:rsid w:val="003552BC"/>
    <w:rsid w:val="003552EE"/>
    <w:rsid w:val="003554B0"/>
    <w:rsid w:val="003554BD"/>
    <w:rsid w:val="00355625"/>
    <w:rsid w:val="0035579C"/>
    <w:rsid w:val="003557A0"/>
    <w:rsid w:val="003558EB"/>
    <w:rsid w:val="00355913"/>
    <w:rsid w:val="00355AEF"/>
    <w:rsid w:val="00355B79"/>
    <w:rsid w:val="00355D85"/>
    <w:rsid w:val="00355D87"/>
    <w:rsid w:val="00355E31"/>
    <w:rsid w:val="00355EA2"/>
    <w:rsid w:val="00355EFF"/>
    <w:rsid w:val="00355F27"/>
    <w:rsid w:val="00356005"/>
    <w:rsid w:val="00356011"/>
    <w:rsid w:val="00356082"/>
    <w:rsid w:val="0035608B"/>
    <w:rsid w:val="003561E5"/>
    <w:rsid w:val="00356216"/>
    <w:rsid w:val="00356245"/>
    <w:rsid w:val="0035637D"/>
    <w:rsid w:val="003565CA"/>
    <w:rsid w:val="0035670F"/>
    <w:rsid w:val="00356723"/>
    <w:rsid w:val="003567F2"/>
    <w:rsid w:val="0035684E"/>
    <w:rsid w:val="0035688B"/>
    <w:rsid w:val="00356A8F"/>
    <w:rsid w:val="00356B1A"/>
    <w:rsid w:val="00356D69"/>
    <w:rsid w:val="00356DB6"/>
    <w:rsid w:val="00356DF9"/>
    <w:rsid w:val="00356E61"/>
    <w:rsid w:val="00356EFA"/>
    <w:rsid w:val="00356F24"/>
    <w:rsid w:val="00357031"/>
    <w:rsid w:val="00357032"/>
    <w:rsid w:val="003570FB"/>
    <w:rsid w:val="0035725B"/>
    <w:rsid w:val="003573A2"/>
    <w:rsid w:val="003573E6"/>
    <w:rsid w:val="00357404"/>
    <w:rsid w:val="003574B1"/>
    <w:rsid w:val="00357529"/>
    <w:rsid w:val="00357550"/>
    <w:rsid w:val="003575D0"/>
    <w:rsid w:val="003575E5"/>
    <w:rsid w:val="0035774D"/>
    <w:rsid w:val="0035786F"/>
    <w:rsid w:val="003578BA"/>
    <w:rsid w:val="00357917"/>
    <w:rsid w:val="0035794F"/>
    <w:rsid w:val="00357980"/>
    <w:rsid w:val="003579B1"/>
    <w:rsid w:val="00357A12"/>
    <w:rsid w:val="00357A5E"/>
    <w:rsid w:val="00357AC4"/>
    <w:rsid w:val="00357AC8"/>
    <w:rsid w:val="00357E34"/>
    <w:rsid w:val="00357F2C"/>
    <w:rsid w:val="00357F98"/>
    <w:rsid w:val="0036003F"/>
    <w:rsid w:val="003600B2"/>
    <w:rsid w:val="0036012C"/>
    <w:rsid w:val="003601E8"/>
    <w:rsid w:val="003601FF"/>
    <w:rsid w:val="00360333"/>
    <w:rsid w:val="003603F8"/>
    <w:rsid w:val="00360461"/>
    <w:rsid w:val="0036047B"/>
    <w:rsid w:val="00360498"/>
    <w:rsid w:val="00360558"/>
    <w:rsid w:val="003605A5"/>
    <w:rsid w:val="0036072A"/>
    <w:rsid w:val="00360793"/>
    <w:rsid w:val="003607DC"/>
    <w:rsid w:val="00360854"/>
    <w:rsid w:val="00360884"/>
    <w:rsid w:val="00360947"/>
    <w:rsid w:val="00360996"/>
    <w:rsid w:val="003609B3"/>
    <w:rsid w:val="00360AA2"/>
    <w:rsid w:val="00360AE4"/>
    <w:rsid w:val="00360B7E"/>
    <w:rsid w:val="00360E39"/>
    <w:rsid w:val="00360EAA"/>
    <w:rsid w:val="00360ED8"/>
    <w:rsid w:val="0036108D"/>
    <w:rsid w:val="003610A0"/>
    <w:rsid w:val="003610BC"/>
    <w:rsid w:val="003610C7"/>
    <w:rsid w:val="00361315"/>
    <w:rsid w:val="00361343"/>
    <w:rsid w:val="0036138E"/>
    <w:rsid w:val="003615CF"/>
    <w:rsid w:val="00361706"/>
    <w:rsid w:val="003619A1"/>
    <w:rsid w:val="00361AC1"/>
    <w:rsid w:val="00361B07"/>
    <w:rsid w:val="00361C2D"/>
    <w:rsid w:val="00361FBF"/>
    <w:rsid w:val="00362052"/>
    <w:rsid w:val="003621AB"/>
    <w:rsid w:val="0036234C"/>
    <w:rsid w:val="00362388"/>
    <w:rsid w:val="003623BA"/>
    <w:rsid w:val="003623FC"/>
    <w:rsid w:val="003624A2"/>
    <w:rsid w:val="0036256B"/>
    <w:rsid w:val="0036260C"/>
    <w:rsid w:val="00362771"/>
    <w:rsid w:val="00362796"/>
    <w:rsid w:val="003627C1"/>
    <w:rsid w:val="0036283F"/>
    <w:rsid w:val="0036293F"/>
    <w:rsid w:val="003629B7"/>
    <w:rsid w:val="00362A37"/>
    <w:rsid w:val="00362BBC"/>
    <w:rsid w:val="00362C86"/>
    <w:rsid w:val="00362CFE"/>
    <w:rsid w:val="00362D4B"/>
    <w:rsid w:val="00362DEA"/>
    <w:rsid w:val="00362EC1"/>
    <w:rsid w:val="00362F11"/>
    <w:rsid w:val="00362F2B"/>
    <w:rsid w:val="00362F98"/>
    <w:rsid w:val="00363104"/>
    <w:rsid w:val="00363110"/>
    <w:rsid w:val="00363253"/>
    <w:rsid w:val="003632E7"/>
    <w:rsid w:val="00363371"/>
    <w:rsid w:val="00363382"/>
    <w:rsid w:val="00363424"/>
    <w:rsid w:val="00363445"/>
    <w:rsid w:val="0036372B"/>
    <w:rsid w:val="00363846"/>
    <w:rsid w:val="003638FC"/>
    <w:rsid w:val="00363920"/>
    <w:rsid w:val="00363B37"/>
    <w:rsid w:val="00363B3C"/>
    <w:rsid w:val="00363C2F"/>
    <w:rsid w:val="00363CFA"/>
    <w:rsid w:val="00363D74"/>
    <w:rsid w:val="00363DD5"/>
    <w:rsid w:val="00363E0A"/>
    <w:rsid w:val="00363E41"/>
    <w:rsid w:val="00363FA5"/>
    <w:rsid w:val="00364012"/>
    <w:rsid w:val="003641E8"/>
    <w:rsid w:val="00364271"/>
    <w:rsid w:val="0036446B"/>
    <w:rsid w:val="003644EC"/>
    <w:rsid w:val="003644EF"/>
    <w:rsid w:val="00364728"/>
    <w:rsid w:val="00364769"/>
    <w:rsid w:val="003647D5"/>
    <w:rsid w:val="00364909"/>
    <w:rsid w:val="00364994"/>
    <w:rsid w:val="00364D71"/>
    <w:rsid w:val="00364E33"/>
    <w:rsid w:val="00364EF8"/>
    <w:rsid w:val="00365064"/>
    <w:rsid w:val="003650AA"/>
    <w:rsid w:val="0036518C"/>
    <w:rsid w:val="0036526D"/>
    <w:rsid w:val="003652FD"/>
    <w:rsid w:val="0036532D"/>
    <w:rsid w:val="00365440"/>
    <w:rsid w:val="003654D7"/>
    <w:rsid w:val="003656A1"/>
    <w:rsid w:val="00365867"/>
    <w:rsid w:val="00365938"/>
    <w:rsid w:val="003659C7"/>
    <w:rsid w:val="00365D55"/>
    <w:rsid w:val="00365D8D"/>
    <w:rsid w:val="00365D91"/>
    <w:rsid w:val="00365E6D"/>
    <w:rsid w:val="00365F05"/>
    <w:rsid w:val="00365FAA"/>
    <w:rsid w:val="00366011"/>
    <w:rsid w:val="0036607F"/>
    <w:rsid w:val="003660B7"/>
    <w:rsid w:val="00366159"/>
    <w:rsid w:val="003661AC"/>
    <w:rsid w:val="0036627F"/>
    <w:rsid w:val="00366358"/>
    <w:rsid w:val="00366428"/>
    <w:rsid w:val="0036643F"/>
    <w:rsid w:val="00366460"/>
    <w:rsid w:val="003664B4"/>
    <w:rsid w:val="0036652C"/>
    <w:rsid w:val="0036656A"/>
    <w:rsid w:val="0036657D"/>
    <w:rsid w:val="00366699"/>
    <w:rsid w:val="0036685C"/>
    <w:rsid w:val="00366B4A"/>
    <w:rsid w:val="00366F9D"/>
    <w:rsid w:val="0036705B"/>
    <w:rsid w:val="003670C5"/>
    <w:rsid w:val="00367364"/>
    <w:rsid w:val="00367464"/>
    <w:rsid w:val="0036752B"/>
    <w:rsid w:val="00367576"/>
    <w:rsid w:val="003675C2"/>
    <w:rsid w:val="00367698"/>
    <w:rsid w:val="0036778F"/>
    <w:rsid w:val="003678D5"/>
    <w:rsid w:val="00367B45"/>
    <w:rsid w:val="00367C4F"/>
    <w:rsid w:val="00367EA2"/>
    <w:rsid w:val="00367ED4"/>
    <w:rsid w:val="003701EF"/>
    <w:rsid w:val="00370231"/>
    <w:rsid w:val="003702A5"/>
    <w:rsid w:val="003703B5"/>
    <w:rsid w:val="003703CA"/>
    <w:rsid w:val="00370582"/>
    <w:rsid w:val="003705DD"/>
    <w:rsid w:val="00370674"/>
    <w:rsid w:val="0037080F"/>
    <w:rsid w:val="00370854"/>
    <w:rsid w:val="0037086B"/>
    <w:rsid w:val="003708B1"/>
    <w:rsid w:val="00370950"/>
    <w:rsid w:val="003709E0"/>
    <w:rsid w:val="00370AA6"/>
    <w:rsid w:val="00370CBE"/>
    <w:rsid w:val="00370E07"/>
    <w:rsid w:val="00370F13"/>
    <w:rsid w:val="00370F75"/>
    <w:rsid w:val="00370FD3"/>
    <w:rsid w:val="003710AF"/>
    <w:rsid w:val="003710E3"/>
    <w:rsid w:val="003713B7"/>
    <w:rsid w:val="003713F0"/>
    <w:rsid w:val="003713F6"/>
    <w:rsid w:val="003715D3"/>
    <w:rsid w:val="00371644"/>
    <w:rsid w:val="00371656"/>
    <w:rsid w:val="00371700"/>
    <w:rsid w:val="003717BA"/>
    <w:rsid w:val="00371814"/>
    <w:rsid w:val="003718A5"/>
    <w:rsid w:val="003718E4"/>
    <w:rsid w:val="0037199A"/>
    <w:rsid w:val="00371B5F"/>
    <w:rsid w:val="00371BD4"/>
    <w:rsid w:val="00371C65"/>
    <w:rsid w:val="00371DCA"/>
    <w:rsid w:val="00371E05"/>
    <w:rsid w:val="00371E91"/>
    <w:rsid w:val="0037205E"/>
    <w:rsid w:val="0037220D"/>
    <w:rsid w:val="00372223"/>
    <w:rsid w:val="00372455"/>
    <w:rsid w:val="003724AD"/>
    <w:rsid w:val="003724EB"/>
    <w:rsid w:val="00372562"/>
    <w:rsid w:val="003727A7"/>
    <w:rsid w:val="0037284D"/>
    <w:rsid w:val="00372884"/>
    <w:rsid w:val="00372976"/>
    <w:rsid w:val="003729BC"/>
    <w:rsid w:val="003729BE"/>
    <w:rsid w:val="00372AF8"/>
    <w:rsid w:val="00372C46"/>
    <w:rsid w:val="00372D21"/>
    <w:rsid w:val="00372D4B"/>
    <w:rsid w:val="00372E0C"/>
    <w:rsid w:val="00372EBC"/>
    <w:rsid w:val="00372F23"/>
    <w:rsid w:val="00372F26"/>
    <w:rsid w:val="003732AE"/>
    <w:rsid w:val="003732EF"/>
    <w:rsid w:val="0037373A"/>
    <w:rsid w:val="0037389F"/>
    <w:rsid w:val="0037390F"/>
    <w:rsid w:val="003739EC"/>
    <w:rsid w:val="00373A41"/>
    <w:rsid w:val="00373A48"/>
    <w:rsid w:val="00373AE9"/>
    <w:rsid w:val="00373B42"/>
    <w:rsid w:val="00373B51"/>
    <w:rsid w:val="00373BD9"/>
    <w:rsid w:val="00373C9D"/>
    <w:rsid w:val="00373CDE"/>
    <w:rsid w:val="00373D32"/>
    <w:rsid w:val="00373D94"/>
    <w:rsid w:val="00373FF4"/>
    <w:rsid w:val="003741A4"/>
    <w:rsid w:val="00374203"/>
    <w:rsid w:val="00374330"/>
    <w:rsid w:val="00374365"/>
    <w:rsid w:val="00374450"/>
    <w:rsid w:val="0037446E"/>
    <w:rsid w:val="0037458A"/>
    <w:rsid w:val="0037459F"/>
    <w:rsid w:val="003745CF"/>
    <w:rsid w:val="00374739"/>
    <w:rsid w:val="00374777"/>
    <w:rsid w:val="0037478E"/>
    <w:rsid w:val="003748E6"/>
    <w:rsid w:val="00374974"/>
    <w:rsid w:val="00374AC9"/>
    <w:rsid w:val="00374BBB"/>
    <w:rsid w:val="00374C22"/>
    <w:rsid w:val="00374C7E"/>
    <w:rsid w:val="00374D51"/>
    <w:rsid w:val="00374DDF"/>
    <w:rsid w:val="00374E11"/>
    <w:rsid w:val="00374E7C"/>
    <w:rsid w:val="00374FC2"/>
    <w:rsid w:val="0037503D"/>
    <w:rsid w:val="0037526F"/>
    <w:rsid w:val="003752D4"/>
    <w:rsid w:val="0037541D"/>
    <w:rsid w:val="00375661"/>
    <w:rsid w:val="0037575E"/>
    <w:rsid w:val="003757D4"/>
    <w:rsid w:val="00375894"/>
    <w:rsid w:val="0037593F"/>
    <w:rsid w:val="003759BE"/>
    <w:rsid w:val="003759E3"/>
    <w:rsid w:val="00375A88"/>
    <w:rsid w:val="00375AEC"/>
    <w:rsid w:val="00375B98"/>
    <w:rsid w:val="00375DB7"/>
    <w:rsid w:val="00375E5E"/>
    <w:rsid w:val="00375ECC"/>
    <w:rsid w:val="00375ED8"/>
    <w:rsid w:val="00375EEF"/>
    <w:rsid w:val="00375FC6"/>
    <w:rsid w:val="00376015"/>
    <w:rsid w:val="0037610B"/>
    <w:rsid w:val="003761A2"/>
    <w:rsid w:val="00376234"/>
    <w:rsid w:val="00376248"/>
    <w:rsid w:val="00376330"/>
    <w:rsid w:val="0037636F"/>
    <w:rsid w:val="003764B5"/>
    <w:rsid w:val="003766A0"/>
    <w:rsid w:val="003766BF"/>
    <w:rsid w:val="003766D1"/>
    <w:rsid w:val="003766DB"/>
    <w:rsid w:val="0037694B"/>
    <w:rsid w:val="00376977"/>
    <w:rsid w:val="00376ACC"/>
    <w:rsid w:val="00376AE1"/>
    <w:rsid w:val="00376C2A"/>
    <w:rsid w:val="00377080"/>
    <w:rsid w:val="003771EB"/>
    <w:rsid w:val="00377210"/>
    <w:rsid w:val="00377237"/>
    <w:rsid w:val="00377267"/>
    <w:rsid w:val="003772CE"/>
    <w:rsid w:val="0037755B"/>
    <w:rsid w:val="003777E0"/>
    <w:rsid w:val="0037788F"/>
    <w:rsid w:val="003778E5"/>
    <w:rsid w:val="00377927"/>
    <w:rsid w:val="00377BAD"/>
    <w:rsid w:val="00377C7F"/>
    <w:rsid w:val="00377CA2"/>
    <w:rsid w:val="00377CB0"/>
    <w:rsid w:val="00377EEF"/>
    <w:rsid w:val="00377F84"/>
    <w:rsid w:val="00377FD0"/>
    <w:rsid w:val="00380014"/>
    <w:rsid w:val="0038034E"/>
    <w:rsid w:val="003804EF"/>
    <w:rsid w:val="0038053C"/>
    <w:rsid w:val="00380545"/>
    <w:rsid w:val="003806F0"/>
    <w:rsid w:val="00380829"/>
    <w:rsid w:val="003809FE"/>
    <w:rsid w:val="00380B49"/>
    <w:rsid w:val="00380B82"/>
    <w:rsid w:val="00380D16"/>
    <w:rsid w:val="00380D95"/>
    <w:rsid w:val="00380DCC"/>
    <w:rsid w:val="00380E62"/>
    <w:rsid w:val="00380E7A"/>
    <w:rsid w:val="00380EA0"/>
    <w:rsid w:val="00380EC4"/>
    <w:rsid w:val="00380F92"/>
    <w:rsid w:val="00380FDD"/>
    <w:rsid w:val="00381050"/>
    <w:rsid w:val="0038109E"/>
    <w:rsid w:val="003810DB"/>
    <w:rsid w:val="003811A2"/>
    <w:rsid w:val="003811C3"/>
    <w:rsid w:val="0038132F"/>
    <w:rsid w:val="003813B4"/>
    <w:rsid w:val="0038140D"/>
    <w:rsid w:val="0038155C"/>
    <w:rsid w:val="003816A6"/>
    <w:rsid w:val="003816CC"/>
    <w:rsid w:val="00381754"/>
    <w:rsid w:val="003817E1"/>
    <w:rsid w:val="00381856"/>
    <w:rsid w:val="0038189A"/>
    <w:rsid w:val="003819DA"/>
    <w:rsid w:val="00381ABC"/>
    <w:rsid w:val="00381BFF"/>
    <w:rsid w:val="00381D29"/>
    <w:rsid w:val="00381D34"/>
    <w:rsid w:val="00381E7C"/>
    <w:rsid w:val="00381F9A"/>
    <w:rsid w:val="00382059"/>
    <w:rsid w:val="00382122"/>
    <w:rsid w:val="0038220F"/>
    <w:rsid w:val="0038226F"/>
    <w:rsid w:val="003822D1"/>
    <w:rsid w:val="00382302"/>
    <w:rsid w:val="00382307"/>
    <w:rsid w:val="0038253B"/>
    <w:rsid w:val="0038255C"/>
    <w:rsid w:val="003827AC"/>
    <w:rsid w:val="00382808"/>
    <w:rsid w:val="00382973"/>
    <w:rsid w:val="00382994"/>
    <w:rsid w:val="00382A4C"/>
    <w:rsid w:val="00382C1F"/>
    <w:rsid w:val="00382CBB"/>
    <w:rsid w:val="00382DA9"/>
    <w:rsid w:val="00382E3D"/>
    <w:rsid w:val="00382E6B"/>
    <w:rsid w:val="00382F58"/>
    <w:rsid w:val="0038319F"/>
    <w:rsid w:val="00383284"/>
    <w:rsid w:val="0038340E"/>
    <w:rsid w:val="00383462"/>
    <w:rsid w:val="0038357A"/>
    <w:rsid w:val="0038358D"/>
    <w:rsid w:val="0038397D"/>
    <w:rsid w:val="00383A4B"/>
    <w:rsid w:val="00383AE6"/>
    <w:rsid w:val="00383D0C"/>
    <w:rsid w:val="00383D1D"/>
    <w:rsid w:val="00383D26"/>
    <w:rsid w:val="00383EB4"/>
    <w:rsid w:val="00383FC2"/>
    <w:rsid w:val="00384087"/>
    <w:rsid w:val="003840CE"/>
    <w:rsid w:val="003842EC"/>
    <w:rsid w:val="00384307"/>
    <w:rsid w:val="00384355"/>
    <w:rsid w:val="0038437E"/>
    <w:rsid w:val="00384413"/>
    <w:rsid w:val="003844AB"/>
    <w:rsid w:val="00384546"/>
    <w:rsid w:val="00384A6B"/>
    <w:rsid w:val="00384AC4"/>
    <w:rsid w:val="00384BEF"/>
    <w:rsid w:val="00384C0C"/>
    <w:rsid w:val="00384C47"/>
    <w:rsid w:val="00384CA0"/>
    <w:rsid w:val="00384D1F"/>
    <w:rsid w:val="00384D67"/>
    <w:rsid w:val="00384E44"/>
    <w:rsid w:val="00384FB7"/>
    <w:rsid w:val="00385060"/>
    <w:rsid w:val="003851F8"/>
    <w:rsid w:val="00385210"/>
    <w:rsid w:val="0038539A"/>
    <w:rsid w:val="00385437"/>
    <w:rsid w:val="0038558D"/>
    <w:rsid w:val="003856B3"/>
    <w:rsid w:val="00385953"/>
    <w:rsid w:val="00385A82"/>
    <w:rsid w:val="00385C69"/>
    <w:rsid w:val="00385CC3"/>
    <w:rsid w:val="00385D0F"/>
    <w:rsid w:val="00385EDB"/>
    <w:rsid w:val="00385EFD"/>
    <w:rsid w:val="0038600B"/>
    <w:rsid w:val="00386524"/>
    <w:rsid w:val="003866B7"/>
    <w:rsid w:val="003866DB"/>
    <w:rsid w:val="0038680D"/>
    <w:rsid w:val="0038684C"/>
    <w:rsid w:val="00386B89"/>
    <w:rsid w:val="00386B9C"/>
    <w:rsid w:val="00386C11"/>
    <w:rsid w:val="00386C60"/>
    <w:rsid w:val="00386FC4"/>
    <w:rsid w:val="00386FFC"/>
    <w:rsid w:val="00387081"/>
    <w:rsid w:val="003871F3"/>
    <w:rsid w:val="003873B8"/>
    <w:rsid w:val="003874F9"/>
    <w:rsid w:val="00387588"/>
    <w:rsid w:val="003875A2"/>
    <w:rsid w:val="003876A6"/>
    <w:rsid w:val="003876F7"/>
    <w:rsid w:val="00387792"/>
    <w:rsid w:val="0038790A"/>
    <w:rsid w:val="0038798C"/>
    <w:rsid w:val="00387A65"/>
    <w:rsid w:val="00387C57"/>
    <w:rsid w:val="00387CDB"/>
    <w:rsid w:val="00387D41"/>
    <w:rsid w:val="00387D6D"/>
    <w:rsid w:val="00387DAB"/>
    <w:rsid w:val="00387FC6"/>
    <w:rsid w:val="00390066"/>
    <w:rsid w:val="0039007F"/>
    <w:rsid w:val="003900CF"/>
    <w:rsid w:val="003901E3"/>
    <w:rsid w:val="00390238"/>
    <w:rsid w:val="00390248"/>
    <w:rsid w:val="00390249"/>
    <w:rsid w:val="0039028A"/>
    <w:rsid w:val="0039038B"/>
    <w:rsid w:val="003903A8"/>
    <w:rsid w:val="003905DB"/>
    <w:rsid w:val="003906B7"/>
    <w:rsid w:val="0039078C"/>
    <w:rsid w:val="0039080C"/>
    <w:rsid w:val="003908FB"/>
    <w:rsid w:val="00390959"/>
    <w:rsid w:val="003909FC"/>
    <w:rsid w:val="00390AC8"/>
    <w:rsid w:val="00390AE8"/>
    <w:rsid w:val="00390B3C"/>
    <w:rsid w:val="00390B9B"/>
    <w:rsid w:val="00391048"/>
    <w:rsid w:val="00391067"/>
    <w:rsid w:val="00391219"/>
    <w:rsid w:val="00391289"/>
    <w:rsid w:val="0039144E"/>
    <w:rsid w:val="003914CE"/>
    <w:rsid w:val="0039159B"/>
    <w:rsid w:val="003916BC"/>
    <w:rsid w:val="00391870"/>
    <w:rsid w:val="0039191F"/>
    <w:rsid w:val="00391A6B"/>
    <w:rsid w:val="00391AE7"/>
    <w:rsid w:val="00391B96"/>
    <w:rsid w:val="00391CDA"/>
    <w:rsid w:val="00391D81"/>
    <w:rsid w:val="00391DF9"/>
    <w:rsid w:val="00391F15"/>
    <w:rsid w:val="00391F86"/>
    <w:rsid w:val="00392121"/>
    <w:rsid w:val="003921F6"/>
    <w:rsid w:val="0039220A"/>
    <w:rsid w:val="003922EE"/>
    <w:rsid w:val="0039230C"/>
    <w:rsid w:val="0039239D"/>
    <w:rsid w:val="0039240A"/>
    <w:rsid w:val="00392413"/>
    <w:rsid w:val="003924B2"/>
    <w:rsid w:val="00392525"/>
    <w:rsid w:val="003925AF"/>
    <w:rsid w:val="00392668"/>
    <w:rsid w:val="0039271C"/>
    <w:rsid w:val="00392730"/>
    <w:rsid w:val="0039287B"/>
    <w:rsid w:val="0039296A"/>
    <w:rsid w:val="00392A6E"/>
    <w:rsid w:val="00392A9F"/>
    <w:rsid w:val="00392AC7"/>
    <w:rsid w:val="0039307E"/>
    <w:rsid w:val="0039337B"/>
    <w:rsid w:val="003933DB"/>
    <w:rsid w:val="00393450"/>
    <w:rsid w:val="00393669"/>
    <w:rsid w:val="0039366C"/>
    <w:rsid w:val="00393B3F"/>
    <w:rsid w:val="00393BBE"/>
    <w:rsid w:val="00393C47"/>
    <w:rsid w:val="00393C99"/>
    <w:rsid w:val="00393E3F"/>
    <w:rsid w:val="00393E40"/>
    <w:rsid w:val="00393E96"/>
    <w:rsid w:val="003941DA"/>
    <w:rsid w:val="0039438F"/>
    <w:rsid w:val="00394412"/>
    <w:rsid w:val="0039446D"/>
    <w:rsid w:val="00394470"/>
    <w:rsid w:val="00394526"/>
    <w:rsid w:val="0039456A"/>
    <w:rsid w:val="003946FC"/>
    <w:rsid w:val="00394791"/>
    <w:rsid w:val="0039486C"/>
    <w:rsid w:val="00394927"/>
    <w:rsid w:val="00394D1A"/>
    <w:rsid w:val="00394E0D"/>
    <w:rsid w:val="00394E38"/>
    <w:rsid w:val="00394F16"/>
    <w:rsid w:val="00394F7C"/>
    <w:rsid w:val="0039503E"/>
    <w:rsid w:val="003950A4"/>
    <w:rsid w:val="003950E4"/>
    <w:rsid w:val="003950E9"/>
    <w:rsid w:val="00395185"/>
    <w:rsid w:val="00395196"/>
    <w:rsid w:val="00395334"/>
    <w:rsid w:val="00395345"/>
    <w:rsid w:val="00395352"/>
    <w:rsid w:val="0039545F"/>
    <w:rsid w:val="00395549"/>
    <w:rsid w:val="00395674"/>
    <w:rsid w:val="0039578A"/>
    <w:rsid w:val="0039588A"/>
    <w:rsid w:val="003958B2"/>
    <w:rsid w:val="003959CF"/>
    <w:rsid w:val="00395B37"/>
    <w:rsid w:val="00395BB2"/>
    <w:rsid w:val="00395C67"/>
    <w:rsid w:val="00395D25"/>
    <w:rsid w:val="00395F0A"/>
    <w:rsid w:val="00395F14"/>
    <w:rsid w:val="00395F36"/>
    <w:rsid w:val="00395FA3"/>
    <w:rsid w:val="00396034"/>
    <w:rsid w:val="003961A6"/>
    <w:rsid w:val="003961C7"/>
    <w:rsid w:val="003961DA"/>
    <w:rsid w:val="0039622D"/>
    <w:rsid w:val="003962EC"/>
    <w:rsid w:val="0039635D"/>
    <w:rsid w:val="0039643A"/>
    <w:rsid w:val="003966CC"/>
    <w:rsid w:val="00396811"/>
    <w:rsid w:val="003968A9"/>
    <w:rsid w:val="003968CE"/>
    <w:rsid w:val="00396919"/>
    <w:rsid w:val="00396957"/>
    <w:rsid w:val="00396A1C"/>
    <w:rsid w:val="00396A41"/>
    <w:rsid w:val="00396ABF"/>
    <w:rsid w:val="00396BB4"/>
    <w:rsid w:val="00396BE8"/>
    <w:rsid w:val="00396C1F"/>
    <w:rsid w:val="00396C87"/>
    <w:rsid w:val="00396CDD"/>
    <w:rsid w:val="00396D17"/>
    <w:rsid w:val="00396D78"/>
    <w:rsid w:val="00396D9A"/>
    <w:rsid w:val="00396DBC"/>
    <w:rsid w:val="00396EC8"/>
    <w:rsid w:val="00397023"/>
    <w:rsid w:val="003971D2"/>
    <w:rsid w:val="00397254"/>
    <w:rsid w:val="0039729E"/>
    <w:rsid w:val="0039730D"/>
    <w:rsid w:val="003973B6"/>
    <w:rsid w:val="003974B0"/>
    <w:rsid w:val="003974E5"/>
    <w:rsid w:val="00397525"/>
    <w:rsid w:val="00397565"/>
    <w:rsid w:val="00397566"/>
    <w:rsid w:val="0039758B"/>
    <w:rsid w:val="0039764A"/>
    <w:rsid w:val="003976D4"/>
    <w:rsid w:val="003976D9"/>
    <w:rsid w:val="003976E2"/>
    <w:rsid w:val="0039770B"/>
    <w:rsid w:val="003977BE"/>
    <w:rsid w:val="003978BE"/>
    <w:rsid w:val="00397934"/>
    <w:rsid w:val="0039796D"/>
    <w:rsid w:val="003979D3"/>
    <w:rsid w:val="00397AFE"/>
    <w:rsid w:val="00397B21"/>
    <w:rsid w:val="00397BF0"/>
    <w:rsid w:val="00397C27"/>
    <w:rsid w:val="00397CAD"/>
    <w:rsid w:val="00397CB9"/>
    <w:rsid w:val="00397CEB"/>
    <w:rsid w:val="00397E20"/>
    <w:rsid w:val="00397ECB"/>
    <w:rsid w:val="00397FE0"/>
    <w:rsid w:val="003A003B"/>
    <w:rsid w:val="003A0183"/>
    <w:rsid w:val="003A0189"/>
    <w:rsid w:val="003A01D2"/>
    <w:rsid w:val="003A0262"/>
    <w:rsid w:val="003A034D"/>
    <w:rsid w:val="003A0500"/>
    <w:rsid w:val="003A050E"/>
    <w:rsid w:val="003A052E"/>
    <w:rsid w:val="003A05A5"/>
    <w:rsid w:val="003A061A"/>
    <w:rsid w:val="003A06F4"/>
    <w:rsid w:val="003A0721"/>
    <w:rsid w:val="003A0779"/>
    <w:rsid w:val="003A0794"/>
    <w:rsid w:val="003A0892"/>
    <w:rsid w:val="003A08AC"/>
    <w:rsid w:val="003A08C3"/>
    <w:rsid w:val="003A09BA"/>
    <w:rsid w:val="003A0AD5"/>
    <w:rsid w:val="003A0C37"/>
    <w:rsid w:val="003A0D5B"/>
    <w:rsid w:val="003A0E7A"/>
    <w:rsid w:val="003A0EAE"/>
    <w:rsid w:val="003A0F2D"/>
    <w:rsid w:val="003A0F45"/>
    <w:rsid w:val="003A0F50"/>
    <w:rsid w:val="003A0F76"/>
    <w:rsid w:val="003A110B"/>
    <w:rsid w:val="003A1270"/>
    <w:rsid w:val="003A1308"/>
    <w:rsid w:val="003A13F0"/>
    <w:rsid w:val="003A1591"/>
    <w:rsid w:val="003A15A5"/>
    <w:rsid w:val="003A1618"/>
    <w:rsid w:val="003A16A7"/>
    <w:rsid w:val="003A175F"/>
    <w:rsid w:val="003A17DC"/>
    <w:rsid w:val="003A1801"/>
    <w:rsid w:val="003A1815"/>
    <w:rsid w:val="003A1E5D"/>
    <w:rsid w:val="003A1E70"/>
    <w:rsid w:val="003A2021"/>
    <w:rsid w:val="003A205C"/>
    <w:rsid w:val="003A2353"/>
    <w:rsid w:val="003A2397"/>
    <w:rsid w:val="003A23E1"/>
    <w:rsid w:val="003A242F"/>
    <w:rsid w:val="003A2624"/>
    <w:rsid w:val="003A2687"/>
    <w:rsid w:val="003A2797"/>
    <w:rsid w:val="003A281F"/>
    <w:rsid w:val="003A2A48"/>
    <w:rsid w:val="003A2A99"/>
    <w:rsid w:val="003A2B18"/>
    <w:rsid w:val="003A2C3E"/>
    <w:rsid w:val="003A2CD5"/>
    <w:rsid w:val="003A2D81"/>
    <w:rsid w:val="003A2E22"/>
    <w:rsid w:val="003A2FAD"/>
    <w:rsid w:val="003A305C"/>
    <w:rsid w:val="003A30D4"/>
    <w:rsid w:val="003A30EE"/>
    <w:rsid w:val="003A30F8"/>
    <w:rsid w:val="003A314C"/>
    <w:rsid w:val="003A31ED"/>
    <w:rsid w:val="003A31F7"/>
    <w:rsid w:val="003A3205"/>
    <w:rsid w:val="003A339F"/>
    <w:rsid w:val="003A33C3"/>
    <w:rsid w:val="003A341E"/>
    <w:rsid w:val="003A35FE"/>
    <w:rsid w:val="003A3661"/>
    <w:rsid w:val="003A37E9"/>
    <w:rsid w:val="003A3873"/>
    <w:rsid w:val="003A38B0"/>
    <w:rsid w:val="003A3A11"/>
    <w:rsid w:val="003A3AC2"/>
    <w:rsid w:val="003A3AD2"/>
    <w:rsid w:val="003A3AEC"/>
    <w:rsid w:val="003A3B29"/>
    <w:rsid w:val="003A3BAE"/>
    <w:rsid w:val="003A3BD9"/>
    <w:rsid w:val="003A3C0D"/>
    <w:rsid w:val="003A3D5D"/>
    <w:rsid w:val="003A3E13"/>
    <w:rsid w:val="003A3F90"/>
    <w:rsid w:val="003A3FD9"/>
    <w:rsid w:val="003A4020"/>
    <w:rsid w:val="003A4165"/>
    <w:rsid w:val="003A41C8"/>
    <w:rsid w:val="003A41CA"/>
    <w:rsid w:val="003A4229"/>
    <w:rsid w:val="003A4264"/>
    <w:rsid w:val="003A429F"/>
    <w:rsid w:val="003A4395"/>
    <w:rsid w:val="003A448F"/>
    <w:rsid w:val="003A4492"/>
    <w:rsid w:val="003A454E"/>
    <w:rsid w:val="003A46E8"/>
    <w:rsid w:val="003A46EA"/>
    <w:rsid w:val="003A46F3"/>
    <w:rsid w:val="003A473E"/>
    <w:rsid w:val="003A47FE"/>
    <w:rsid w:val="003A484B"/>
    <w:rsid w:val="003A498A"/>
    <w:rsid w:val="003A49B4"/>
    <w:rsid w:val="003A49E9"/>
    <w:rsid w:val="003A4C79"/>
    <w:rsid w:val="003A4CCD"/>
    <w:rsid w:val="003A4D80"/>
    <w:rsid w:val="003A4D8C"/>
    <w:rsid w:val="003A4E5D"/>
    <w:rsid w:val="003A4ECB"/>
    <w:rsid w:val="003A4F3C"/>
    <w:rsid w:val="003A5090"/>
    <w:rsid w:val="003A50C6"/>
    <w:rsid w:val="003A5172"/>
    <w:rsid w:val="003A51A7"/>
    <w:rsid w:val="003A5405"/>
    <w:rsid w:val="003A547C"/>
    <w:rsid w:val="003A550F"/>
    <w:rsid w:val="003A57BA"/>
    <w:rsid w:val="003A57C9"/>
    <w:rsid w:val="003A58E9"/>
    <w:rsid w:val="003A5933"/>
    <w:rsid w:val="003A5A23"/>
    <w:rsid w:val="003A5B77"/>
    <w:rsid w:val="003A5C37"/>
    <w:rsid w:val="003A5F48"/>
    <w:rsid w:val="003A5F61"/>
    <w:rsid w:val="003A6008"/>
    <w:rsid w:val="003A62AB"/>
    <w:rsid w:val="003A63A8"/>
    <w:rsid w:val="003A6532"/>
    <w:rsid w:val="003A6568"/>
    <w:rsid w:val="003A65C1"/>
    <w:rsid w:val="003A684C"/>
    <w:rsid w:val="003A68BE"/>
    <w:rsid w:val="003A68C1"/>
    <w:rsid w:val="003A6968"/>
    <w:rsid w:val="003A6D18"/>
    <w:rsid w:val="003A6DA9"/>
    <w:rsid w:val="003A6DCB"/>
    <w:rsid w:val="003A6E07"/>
    <w:rsid w:val="003A6F09"/>
    <w:rsid w:val="003A700E"/>
    <w:rsid w:val="003A712B"/>
    <w:rsid w:val="003A74CE"/>
    <w:rsid w:val="003A74FF"/>
    <w:rsid w:val="003A75ED"/>
    <w:rsid w:val="003A7910"/>
    <w:rsid w:val="003A7963"/>
    <w:rsid w:val="003A7A00"/>
    <w:rsid w:val="003A7A85"/>
    <w:rsid w:val="003A7AC8"/>
    <w:rsid w:val="003A7BCE"/>
    <w:rsid w:val="003A7D23"/>
    <w:rsid w:val="003A7D26"/>
    <w:rsid w:val="003A7DD6"/>
    <w:rsid w:val="003A7E09"/>
    <w:rsid w:val="003B0094"/>
    <w:rsid w:val="003B0136"/>
    <w:rsid w:val="003B02F0"/>
    <w:rsid w:val="003B030D"/>
    <w:rsid w:val="003B078A"/>
    <w:rsid w:val="003B0883"/>
    <w:rsid w:val="003B08A4"/>
    <w:rsid w:val="003B091D"/>
    <w:rsid w:val="003B0A2D"/>
    <w:rsid w:val="003B0CC2"/>
    <w:rsid w:val="003B0D75"/>
    <w:rsid w:val="003B0E10"/>
    <w:rsid w:val="003B0E8F"/>
    <w:rsid w:val="003B0EB3"/>
    <w:rsid w:val="003B0FD2"/>
    <w:rsid w:val="003B1064"/>
    <w:rsid w:val="003B106F"/>
    <w:rsid w:val="003B110A"/>
    <w:rsid w:val="003B113A"/>
    <w:rsid w:val="003B11A4"/>
    <w:rsid w:val="003B11B9"/>
    <w:rsid w:val="003B133E"/>
    <w:rsid w:val="003B1349"/>
    <w:rsid w:val="003B1391"/>
    <w:rsid w:val="003B1511"/>
    <w:rsid w:val="003B1643"/>
    <w:rsid w:val="003B1876"/>
    <w:rsid w:val="003B190A"/>
    <w:rsid w:val="003B1954"/>
    <w:rsid w:val="003B1976"/>
    <w:rsid w:val="003B1A5D"/>
    <w:rsid w:val="003B1B9D"/>
    <w:rsid w:val="003B1BC4"/>
    <w:rsid w:val="003B1C41"/>
    <w:rsid w:val="003B1CF1"/>
    <w:rsid w:val="003B1EB2"/>
    <w:rsid w:val="003B1ECD"/>
    <w:rsid w:val="003B1EFF"/>
    <w:rsid w:val="003B1F4C"/>
    <w:rsid w:val="003B2055"/>
    <w:rsid w:val="003B2098"/>
    <w:rsid w:val="003B20A1"/>
    <w:rsid w:val="003B21B5"/>
    <w:rsid w:val="003B2231"/>
    <w:rsid w:val="003B235E"/>
    <w:rsid w:val="003B2458"/>
    <w:rsid w:val="003B2468"/>
    <w:rsid w:val="003B262B"/>
    <w:rsid w:val="003B2708"/>
    <w:rsid w:val="003B278E"/>
    <w:rsid w:val="003B279E"/>
    <w:rsid w:val="003B2A46"/>
    <w:rsid w:val="003B2BA7"/>
    <w:rsid w:val="003B2BFC"/>
    <w:rsid w:val="003B2C0D"/>
    <w:rsid w:val="003B2C20"/>
    <w:rsid w:val="003B2C3C"/>
    <w:rsid w:val="003B2C69"/>
    <w:rsid w:val="003B2C6B"/>
    <w:rsid w:val="003B2D6C"/>
    <w:rsid w:val="003B2E0A"/>
    <w:rsid w:val="003B2ECD"/>
    <w:rsid w:val="003B2EF8"/>
    <w:rsid w:val="003B326C"/>
    <w:rsid w:val="003B360C"/>
    <w:rsid w:val="003B3670"/>
    <w:rsid w:val="003B3783"/>
    <w:rsid w:val="003B385F"/>
    <w:rsid w:val="003B394C"/>
    <w:rsid w:val="003B3B49"/>
    <w:rsid w:val="003B3C98"/>
    <w:rsid w:val="003B3CB3"/>
    <w:rsid w:val="003B3E1A"/>
    <w:rsid w:val="003B3EDB"/>
    <w:rsid w:val="003B3EFD"/>
    <w:rsid w:val="003B4006"/>
    <w:rsid w:val="003B40FA"/>
    <w:rsid w:val="003B41C7"/>
    <w:rsid w:val="003B42FD"/>
    <w:rsid w:val="003B43A5"/>
    <w:rsid w:val="003B44B3"/>
    <w:rsid w:val="003B44D9"/>
    <w:rsid w:val="003B483E"/>
    <w:rsid w:val="003B489F"/>
    <w:rsid w:val="003B490B"/>
    <w:rsid w:val="003B49EC"/>
    <w:rsid w:val="003B4C27"/>
    <w:rsid w:val="003B4CDF"/>
    <w:rsid w:val="003B4CE6"/>
    <w:rsid w:val="003B4E66"/>
    <w:rsid w:val="003B4E92"/>
    <w:rsid w:val="003B4F0E"/>
    <w:rsid w:val="003B4F3D"/>
    <w:rsid w:val="003B5008"/>
    <w:rsid w:val="003B5013"/>
    <w:rsid w:val="003B50F5"/>
    <w:rsid w:val="003B5123"/>
    <w:rsid w:val="003B51EE"/>
    <w:rsid w:val="003B51FC"/>
    <w:rsid w:val="003B520C"/>
    <w:rsid w:val="003B527D"/>
    <w:rsid w:val="003B5299"/>
    <w:rsid w:val="003B5346"/>
    <w:rsid w:val="003B5419"/>
    <w:rsid w:val="003B54BE"/>
    <w:rsid w:val="003B554F"/>
    <w:rsid w:val="003B5862"/>
    <w:rsid w:val="003B58D2"/>
    <w:rsid w:val="003B5A8B"/>
    <w:rsid w:val="003B5AFA"/>
    <w:rsid w:val="003B5B1B"/>
    <w:rsid w:val="003B5BDA"/>
    <w:rsid w:val="003B5BE3"/>
    <w:rsid w:val="003B5C47"/>
    <w:rsid w:val="003B5CBC"/>
    <w:rsid w:val="003B5D62"/>
    <w:rsid w:val="003B5DBF"/>
    <w:rsid w:val="003B5E9B"/>
    <w:rsid w:val="003B5F4A"/>
    <w:rsid w:val="003B5FBA"/>
    <w:rsid w:val="003B608D"/>
    <w:rsid w:val="003B6092"/>
    <w:rsid w:val="003B60F8"/>
    <w:rsid w:val="003B60F9"/>
    <w:rsid w:val="003B618C"/>
    <w:rsid w:val="003B6352"/>
    <w:rsid w:val="003B6362"/>
    <w:rsid w:val="003B6540"/>
    <w:rsid w:val="003B6576"/>
    <w:rsid w:val="003B6650"/>
    <w:rsid w:val="003B66D6"/>
    <w:rsid w:val="003B6755"/>
    <w:rsid w:val="003B676C"/>
    <w:rsid w:val="003B67F5"/>
    <w:rsid w:val="003B67FA"/>
    <w:rsid w:val="003B68C3"/>
    <w:rsid w:val="003B6A63"/>
    <w:rsid w:val="003B6AE3"/>
    <w:rsid w:val="003B6B5D"/>
    <w:rsid w:val="003B6D6C"/>
    <w:rsid w:val="003B70D4"/>
    <w:rsid w:val="003B72DB"/>
    <w:rsid w:val="003B73AF"/>
    <w:rsid w:val="003B745C"/>
    <w:rsid w:val="003B759C"/>
    <w:rsid w:val="003B764E"/>
    <w:rsid w:val="003B76CE"/>
    <w:rsid w:val="003B77E2"/>
    <w:rsid w:val="003B77F9"/>
    <w:rsid w:val="003B788C"/>
    <w:rsid w:val="003B78A0"/>
    <w:rsid w:val="003B78EA"/>
    <w:rsid w:val="003B7B62"/>
    <w:rsid w:val="003B7BE5"/>
    <w:rsid w:val="003B7ED5"/>
    <w:rsid w:val="003C0087"/>
    <w:rsid w:val="003C00FE"/>
    <w:rsid w:val="003C0176"/>
    <w:rsid w:val="003C01BF"/>
    <w:rsid w:val="003C01CA"/>
    <w:rsid w:val="003C0229"/>
    <w:rsid w:val="003C029E"/>
    <w:rsid w:val="003C02A7"/>
    <w:rsid w:val="003C02DB"/>
    <w:rsid w:val="003C04D2"/>
    <w:rsid w:val="003C0581"/>
    <w:rsid w:val="003C06E7"/>
    <w:rsid w:val="003C06F4"/>
    <w:rsid w:val="003C0704"/>
    <w:rsid w:val="003C076B"/>
    <w:rsid w:val="003C0839"/>
    <w:rsid w:val="003C0884"/>
    <w:rsid w:val="003C08F8"/>
    <w:rsid w:val="003C092D"/>
    <w:rsid w:val="003C0A27"/>
    <w:rsid w:val="003C0A4C"/>
    <w:rsid w:val="003C0CE4"/>
    <w:rsid w:val="003C0D4B"/>
    <w:rsid w:val="003C0E77"/>
    <w:rsid w:val="003C0EBF"/>
    <w:rsid w:val="003C0FA7"/>
    <w:rsid w:val="003C1047"/>
    <w:rsid w:val="003C1054"/>
    <w:rsid w:val="003C10CD"/>
    <w:rsid w:val="003C11C3"/>
    <w:rsid w:val="003C1267"/>
    <w:rsid w:val="003C133B"/>
    <w:rsid w:val="003C135E"/>
    <w:rsid w:val="003C13AB"/>
    <w:rsid w:val="003C1489"/>
    <w:rsid w:val="003C1580"/>
    <w:rsid w:val="003C1582"/>
    <w:rsid w:val="003C15C3"/>
    <w:rsid w:val="003C1603"/>
    <w:rsid w:val="003C1678"/>
    <w:rsid w:val="003C1689"/>
    <w:rsid w:val="003C1828"/>
    <w:rsid w:val="003C184D"/>
    <w:rsid w:val="003C18D4"/>
    <w:rsid w:val="003C1B2D"/>
    <w:rsid w:val="003C1C6C"/>
    <w:rsid w:val="003C1CA4"/>
    <w:rsid w:val="003C1E72"/>
    <w:rsid w:val="003C1EB8"/>
    <w:rsid w:val="003C1FAD"/>
    <w:rsid w:val="003C1FB9"/>
    <w:rsid w:val="003C2035"/>
    <w:rsid w:val="003C21E5"/>
    <w:rsid w:val="003C2235"/>
    <w:rsid w:val="003C22D3"/>
    <w:rsid w:val="003C2317"/>
    <w:rsid w:val="003C2334"/>
    <w:rsid w:val="003C23AF"/>
    <w:rsid w:val="003C246B"/>
    <w:rsid w:val="003C2546"/>
    <w:rsid w:val="003C2550"/>
    <w:rsid w:val="003C2672"/>
    <w:rsid w:val="003C2706"/>
    <w:rsid w:val="003C2831"/>
    <w:rsid w:val="003C28B3"/>
    <w:rsid w:val="003C2918"/>
    <w:rsid w:val="003C2A0C"/>
    <w:rsid w:val="003C2A53"/>
    <w:rsid w:val="003C2BA8"/>
    <w:rsid w:val="003C2CFE"/>
    <w:rsid w:val="003C2D20"/>
    <w:rsid w:val="003C2D27"/>
    <w:rsid w:val="003C2F49"/>
    <w:rsid w:val="003C2FA2"/>
    <w:rsid w:val="003C304A"/>
    <w:rsid w:val="003C310B"/>
    <w:rsid w:val="003C31F8"/>
    <w:rsid w:val="003C3284"/>
    <w:rsid w:val="003C33A9"/>
    <w:rsid w:val="003C3492"/>
    <w:rsid w:val="003C3525"/>
    <w:rsid w:val="003C3623"/>
    <w:rsid w:val="003C371E"/>
    <w:rsid w:val="003C37D0"/>
    <w:rsid w:val="003C380D"/>
    <w:rsid w:val="003C3862"/>
    <w:rsid w:val="003C3872"/>
    <w:rsid w:val="003C3D1F"/>
    <w:rsid w:val="003C3E16"/>
    <w:rsid w:val="003C3E5B"/>
    <w:rsid w:val="003C3E88"/>
    <w:rsid w:val="003C3E8F"/>
    <w:rsid w:val="003C3F4D"/>
    <w:rsid w:val="003C3FCA"/>
    <w:rsid w:val="003C400C"/>
    <w:rsid w:val="003C40BF"/>
    <w:rsid w:val="003C4141"/>
    <w:rsid w:val="003C4175"/>
    <w:rsid w:val="003C41C0"/>
    <w:rsid w:val="003C428A"/>
    <w:rsid w:val="003C42FC"/>
    <w:rsid w:val="003C4357"/>
    <w:rsid w:val="003C43A1"/>
    <w:rsid w:val="003C44F1"/>
    <w:rsid w:val="003C4766"/>
    <w:rsid w:val="003C47A2"/>
    <w:rsid w:val="003C4884"/>
    <w:rsid w:val="003C499A"/>
    <w:rsid w:val="003C4A02"/>
    <w:rsid w:val="003C4BD0"/>
    <w:rsid w:val="003C4C62"/>
    <w:rsid w:val="003C4C6B"/>
    <w:rsid w:val="003C4CAA"/>
    <w:rsid w:val="003C4D1F"/>
    <w:rsid w:val="003C4EB0"/>
    <w:rsid w:val="003C4F92"/>
    <w:rsid w:val="003C4F9C"/>
    <w:rsid w:val="003C52F6"/>
    <w:rsid w:val="003C5315"/>
    <w:rsid w:val="003C538B"/>
    <w:rsid w:val="003C546E"/>
    <w:rsid w:val="003C54F5"/>
    <w:rsid w:val="003C554B"/>
    <w:rsid w:val="003C5575"/>
    <w:rsid w:val="003C5658"/>
    <w:rsid w:val="003C598C"/>
    <w:rsid w:val="003C5A40"/>
    <w:rsid w:val="003C5B49"/>
    <w:rsid w:val="003C5E64"/>
    <w:rsid w:val="003C5F1B"/>
    <w:rsid w:val="003C6086"/>
    <w:rsid w:val="003C63BD"/>
    <w:rsid w:val="003C65D9"/>
    <w:rsid w:val="003C6681"/>
    <w:rsid w:val="003C66D1"/>
    <w:rsid w:val="003C684F"/>
    <w:rsid w:val="003C68DD"/>
    <w:rsid w:val="003C68F4"/>
    <w:rsid w:val="003C68F7"/>
    <w:rsid w:val="003C6991"/>
    <w:rsid w:val="003C69A3"/>
    <w:rsid w:val="003C6B2D"/>
    <w:rsid w:val="003C6CD4"/>
    <w:rsid w:val="003C6D59"/>
    <w:rsid w:val="003C6DD6"/>
    <w:rsid w:val="003C6DF3"/>
    <w:rsid w:val="003C6E3E"/>
    <w:rsid w:val="003C6E77"/>
    <w:rsid w:val="003C6F29"/>
    <w:rsid w:val="003C7137"/>
    <w:rsid w:val="003C71CF"/>
    <w:rsid w:val="003C7441"/>
    <w:rsid w:val="003C7644"/>
    <w:rsid w:val="003C7682"/>
    <w:rsid w:val="003C77E0"/>
    <w:rsid w:val="003C7953"/>
    <w:rsid w:val="003C7AE3"/>
    <w:rsid w:val="003C7B9B"/>
    <w:rsid w:val="003C7CB8"/>
    <w:rsid w:val="003C7D97"/>
    <w:rsid w:val="003C7FD0"/>
    <w:rsid w:val="003D0009"/>
    <w:rsid w:val="003D0169"/>
    <w:rsid w:val="003D01D6"/>
    <w:rsid w:val="003D02C1"/>
    <w:rsid w:val="003D0311"/>
    <w:rsid w:val="003D032F"/>
    <w:rsid w:val="003D04E9"/>
    <w:rsid w:val="003D0607"/>
    <w:rsid w:val="003D0755"/>
    <w:rsid w:val="003D0877"/>
    <w:rsid w:val="003D08B0"/>
    <w:rsid w:val="003D09F5"/>
    <w:rsid w:val="003D0C76"/>
    <w:rsid w:val="003D0D70"/>
    <w:rsid w:val="003D0E8A"/>
    <w:rsid w:val="003D1078"/>
    <w:rsid w:val="003D10B2"/>
    <w:rsid w:val="003D10EE"/>
    <w:rsid w:val="003D116C"/>
    <w:rsid w:val="003D1333"/>
    <w:rsid w:val="003D1371"/>
    <w:rsid w:val="003D1379"/>
    <w:rsid w:val="003D13DE"/>
    <w:rsid w:val="003D1566"/>
    <w:rsid w:val="003D176F"/>
    <w:rsid w:val="003D17C5"/>
    <w:rsid w:val="003D18C3"/>
    <w:rsid w:val="003D1A48"/>
    <w:rsid w:val="003D1AC3"/>
    <w:rsid w:val="003D1AF1"/>
    <w:rsid w:val="003D1C29"/>
    <w:rsid w:val="003D1C8B"/>
    <w:rsid w:val="003D1DEF"/>
    <w:rsid w:val="003D1E1D"/>
    <w:rsid w:val="003D1FC0"/>
    <w:rsid w:val="003D2213"/>
    <w:rsid w:val="003D2333"/>
    <w:rsid w:val="003D2357"/>
    <w:rsid w:val="003D237A"/>
    <w:rsid w:val="003D2423"/>
    <w:rsid w:val="003D244A"/>
    <w:rsid w:val="003D2540"/>
    <w:rsid w:val="003D27F7"/>
    <w:rsid w:val="003D28A5"/>
    <w:rsid w:val="003D297E"/>
    <w:rsid w:val="003D2998"/>
    <w:rsid w:val="003D2A62"/>
    <w:rsid w:val="003D2C37"/>
    <w:rsid w:val="003D2E1D"/>
    <w:rsid w:val="003D2EB0"/>
    <w:rsid w:val="003D2F43"/>
    <w:rsid w:val="003D2FA1"/>
    <w:rsid w:val="003D302B"/>
    <w:rsid w:val="003D318E"/>
    <w:rsid w:val="003D327C"/>
    <w:rsid w:val="003D327E"/>
    <w:rsid w:val="003D3728"/>
    <w:rsid w:val="003D372C"/>
    <w:rsid w:val="003D374D"/>
    <w:rsid w:val="003D3759"/>
    <w:rsid w:val="003D37BE"/>
    <w:rsid w:val="003D37FA"/>
    <w:rsid w:val="003D380B"/>
    <w:rsid w:val="003D382C"/>
    <w:rsid w:val="003D38E7"/>
    <w:rsid w:val="003D39B6"/>
    <w:rsid w:val="003D3A18"/>
    <w:rsid w:val="003D3B6A"/>
    <w:rsid w:val="003D3C4B"/>
    <w:rsid w:val="003D3C4E"/>
    <w:rsid w:val="003D3C8A"/>
    <w:rsid w:val="003D3C93"/>
    <w:rsid w:val="003D3FEE"/>
    <w:rsid w:val="003D4011"/>
    <w:rsid w:val="003D407A"/>
    <w:rsid w:val="003D41C3"/>
    <w:rsid w:val="003D4295"/>
    <w:rsid w:val="003D42A2"/>
    <w:rsid w:val="003D42E7"/>
    <w:rsid w:val="003D4330"/>
    <w:rsid w:val="003D4455"/>
    <w:rsid w:val="003D45E4"/>
    <w:rsid w:val="003D4657"/>
    <w:rsid w:val="003D46B9"/>
    <w:rsid w:val="003D4D52"/>
    <w:rsid w:val="003D4DEC"/>
    <w:rsid w:val="003D4DFE"/>
    <w:rsid w:val="003D4E15"/>
    <w:rsid w:val="003D4E5D"/>
    <w:rsid w:val="003D4E74"/>
    <w:rsid w:val="003D50E9"/>
    <w:rsid w:val="003D522E"/>
    <w:rsid w:val="003D5282"/>
    <w:rsid w:val="003D52C4"/>
    <w:rsid w:val="003D52CC"/>
    <w:rsid w:val="003D536B"/>
    <w:rsid w:val="003D5488"/>
    <w:rsid w:val="003D5492"/>
    <w:rsid w:val="003D5752"/>
    <w:rsid w:val="003D58EF"/>
    <w:rsid w:val="003D5983"/>
    <w:rsid w:val="003D599E"/>
    <w:rsid w:val="003D5AA1"/>
    <w:rsid w:val="003D5B7A"/>
    <w:rsid w:val="003D5D4C"/>
    <w:rsid w:val="003D5D8C"/>
    <w:rsid w:val="003D5DC5"/>
    <w:rsid w:val="003D5E6D"/>
    <w:rsid w:val="003D5E9A"/>
    <w:rsid w:val="003D5EA0"/>
    <w:rsid w:val="003D6004"/>
    <w:rsid w:val="003D6097"/>
    <w:rsid w:val="003D60B2"/>
    <w:rsid w:val="003D6166"/>
    <w:rsid w:val="003D620F"/>
    <w:rsid w:val="003D6421"/>
    <w:rsid w:val="003D64BE"/>
    <w:rsid w:val="003D68FF"/>
    <w:rsid w:val="003D6912"/>
    <w:rsid w:val="003D6943"/>
    <w:rsid w:val="003D6A50"/>
    <w:rsid w:val="003D6AC2"/>
    <w:rsid w:val="003D6D3C"/>
    <w:rsid w:val="003D6D6F"/>
    <w:rsid w:val="003D6E4D"/>
    <w:rsid w:val="003D6E65"/>
    <w:rsid w:val="003D6FDC"/>
    <w:rsid w:val="003D6FEC"/>
    <w:rsid w:val="003D7080"/>
    <w:rsid w:val="003D7099"/>
    <w:rsid w:val="003D70F3"/>
    <w:rsid w:val="003D7128"/>
    <w:rsid w:val="003D7156"/>
    <w:rsid w:val="003D7157"/>
    <w:rsid w:val="003D7174"/>
    <w:rsid w:val="003D71DC"/>
    <w:rsid w:val="003D71F0"/>
    <w:rsid w:val="003D72EA"/>
    <w:rsid w:val="003D7321"/>
    <w:rsid w:val="003D741D"/>
    <w:rsid w:val="003D74BA"/>
    <w:rsid w:val="003D75E2"/>
    <w:rsid w:val="003D7732"/>
    <w:rsid w:val="003D78C3"/>
    <w:rsid w:val="003D78F7"/>
    <w:rsid w:val="003D797D"/>
    <w:rsid w:val="003D79CC"/>
    <w:rsid w:val="003D7B9A"/>
    <w:rsid w:val="003D7CD6"/>
    <w:rsid w:val="003D7D8C"/>
    <w:rsid w:val="003D7DC4"/>
    <w:rsid w:val="003D7E6F"/>
    <w:rsid w:val="003D7EEE"/>
    <w:rsid w:val="003D7F1F"/>
    <w:rsid w:val="003E0037"/>
    <w:rsid w:val="003E005E"/>
    <w:rsid w:val="003E0110"/>
    <w:rsid w:val="003E0118"/>
    <w:rsid w:val="003E02EF"/>
    <w:rsid w:val="003E051B"/>
    <w:rsid w:val="003E0680"/>
    <w:rsid w:val="003E08D9"/>
    <w:rsid w:val="003E0B6B"/>
    <w:rsid w:val="003E0C03"/>
    <w:rsid w:val="003E0E6D"/>
    <w:rsid w:val="003E0F56"/>
    <w:rsid w:val="003E0FFC"/>
    <w:rsid w:val="003E13AC"/>
    <w:rsid w:val="003E1440"/>
    <w:rsid w:val="003E15C0"/>
    <w:rsid w:val="003E1614"/>
    <w:rsid w:val="003E161F"/>
    <w:rsid w:val="003E164D"/>
    <w:rsid w:val="003E1707"/>
    <w:rsid w:val="003E176C"/>
    <w:rsid w:val="003E17A4"/>
    <w:rsid w:val="003E1832"/>
    <w:rsid w:val="003E19FC"/>
    <w:rsid w:val="003E1A68"/>
    <w:rsid w:val="003E1BE0"/>
    <w:rsid w:val="003E1CD0"/>
    <w:rsid w:val="003E1D3A"/>
    <w:rsid w:val="003E1D77"/>
    <w:rsid w:val="003E1E16"/>
    <w:rsid w:val="003E1F38"/>
    <w:rsid w:val="003E1F4E"/>
    <w:rsid w:val="003E1F5A"/>
    <w:rsid w:val="003E2114"/>
    <w:rsid w:val="003E21EA"/>
    <w:rsid w:val="003E22FA"/>
    <w:rsid w:val="003E252D"/>
    <w:rsid w:val="003E25A2"/>
    <w:rsid w:val="003E2620"/>
    <w:rsid w:val="003E2674"/>
    <w:rsid w:val="003E26B6"/>
    <w:rsid w:val="003E27DF"/>
    <w:rsid w:val="003E28A4"/>
    <w:rsid w:val="003E2B10"/>
    <w:rsid w:val="003E2B2A"/>
    <w:rsid w:val="003E2BF6"/>
    <w:rsid w:val="003E2DB9"/>
    <w:rsid w:val="003E2DC4"/>
    <w:rsid w:val="003E2DD4"/>
    <w:rsid w:val="003E2E73"/>
    <w:rsid w:val="003E2F23"/>
    <w:rsid w:val="003E2FC9"/>
    <w:rsid w:val="003E30BA"/>
    <w:rsid w:val="003E30F0"/>
    <w:rsid w:val="003E310C"/>
    <w:rsid w:val="003E311E"/>
    <w:rsid w:val="003E3242"/>
    <w:rsid w:val="003E3529"/>
    <w:rsid w:val="003E3559"/>
    <w:rsid w:val="003E370B"/>
    <w:rsid w:val="003E3789"/>
    <w:rsid w:val="003E386D"/>
    <w:rsid w:val="003E388A"/>
    <w:rsid w:val="003E3B45"/>
    <w:rsid w:val="003E3C37"/>
    <w:rsid w:val="003E3C43"/>
    <w:rsid w:val="003E3C5E"/>
    <w:rsid w:val="003E3CDC"/>
    <w:rsid w:val="003E3D43"/>
    <w:rsid w:val="003E409B"/>
    <w:rsid w:val="003E4126"/>
    <w:rsid w:val="003E45D8"/>
    <w:rsid w:val="003E482F"/>
    <w:rsid w:val="003E48D6"/>
    <w:rsid w:val="003E48F0"/>
    <w:rsid w:val="003E4A82"/>
    <w:rsid w:val="003E4A94"/>
    <w:rsid w:val="003E4BD7"/>
    <w:rsid w:val="003E4BF8"/>
    <w:rsid w:val="003E4CC2"/>
    <w:rsid w:val="003E4CD2"/>
    <w:rsid w:val="003E4D05"/>
    <w:rsid w:val="003E4D37"/>
    <w:rsid w:val="003E4D3D"/>
    <w:rsid w:val="003E4D4C"/>
    <w:rsid w:val="003E4D54"/>
    <w:rsid w:val="003E4D55"/>
    <w:rsid w:val="003E4EC4"/>
    <w:rsid w:val="003E4F49"/>
    <w:rsid w:val="003E5025"/>
    <w:rsid w:val="003E525C"/>
    <w:rsid w:val="003E5533"/>
    <w:rsid w:val="003E559A"/>
    <w:rsid w:val="003E5719"/>
    <w:rsid w:val="003E57AD"/>
    <w:rsid w:val="003E57E3"/>
    <w:rsid w:val="003E584F"/>
    <w:rsid w:val="003E5857"/>
    <w:rsid w:val="003E58D2"/>
    <w:rsid w:val="003E5955"/>
    <w:rsid w:val="003E5BE0"/>
    <w:rsid w:val="003E5C27"/>
    <w:rsid w:val="003E5D86"/>
    <w:rsid w:val="003E5DC5"/>
    <w:rsid w:val="003E606A"/>
    <w:rsid w:val="003E607B"/>
    <w:rsid w:val="003E61D4"/>
    <w:rsid w:val="003E61DB"/>
    <w:rsid w:val="003E6283"/>
    <w:rsid w:val="003E632B"/>
    <w:rsid w:val="003E6332"/>
    <w:rsid w:val="003E6387"/>
    <w:rsid w:val="003E6571"/>
    <w:rsid w:val="003E65F5"/>
    <w:rsid w:val="003E66FA"/>
    <w:rsid w:val="003E6791"/>
    <w:rsid w:val="003E6876"/>
    <w:rsid w:val="003E692C"/>
    <w:rsid w:val="003E69BB"/>
    <w:rsid w:val="003E6B84"/>
    <w:rsid w:val="003E6B8C"/>
    <w:rsid w:val="003E6CF9"/>
    <w:rsid w:val="003E6E7D"/>
    <w:rsid w:val="003E6EF3"/>
    <w:rsid w:val="003E6EFE"/>
    <w:rsid w:val="003E703D"/>
    <w:rsid w:val="003E7180"/>
    <w:rsid w:val="003E7296"/>
    <w:rsid w:val="003E72E2"/>
    <w:rsid w:val="003E75BE"/>
    <w:rsid w:val="003E7626"/>
    <w:rsid w:val="003E7A0C"/>
    <w:rsid w:val="003E7A7B"/>
    <w:rsid w:val="003E7DB7"/>
    <w:rsid w:val="003E7E0A"/>
    <w:rsid w:val="003F0100"/>
    <w:rsid w:val="003F0253"/>
    <w:rsid w:val="003F02E0"/>
    <w:rsid w:val="003F04B0"/>
    <w:rsid w:val="003F04CA"/>
    <w:rsid w:val="003F0627"/>
    <w:rsid w:val="003F07A8"/>
    <w:rsid w:val="003F08B5"/>
    <w:rsid w:val="003F08BC"/>
    <w:rsid w:val="003F0CCB"/>
    <w:rsid w:val="003F0D11"/>
    <w:rsid w:val="003F0EF8"/>
    <w:rsid w:val="003F0F38"/>
    <w:rsid w:val="003F0F95"/>
    <w:rsid w:val="003F11CE"/>
    <w:rsid w:val="003F14D3"/>
    <w:rsid w:val="003F1509"/>
    <w:rsid w:val="003F156D"/>
    <w:rsid w:val="003F168E"/>
    <w:rsid w:val="003F16D0"/>
    <w:rsid w:val="003F16F7"/>
    <w:rsid w:val="003F1730"/>
    <w:rsid w:val="003F17CB"/>
    <w:rsid w:val="003F18FF"/>
    <w:rsid w:val="003F1982"/>
    <w:rsid w:val="003F199E"/>
    <w:rsid w:val="003F1ED2"/>
    <w:rsid w:val="003F20B3"/>
    <w:rsid w:val="003F2236"/>
    <w:rsid w:val="003F2268"/>
    <w:rsid w:val="003F22DF"/>
    <w:rsid w:val="003F2357"/>
    <w:rsid w:val="003F2374"/>
    <w:rsid w:val="003F2455"/>
    <w:rsid w:val="003F24E4"/>
    <w:rsid w:val="003F268D"/>
    <w:rsid w:val="003F26A7"/>
    <w:rsid w:val="003F27A0"/>
    <w:rsid w:val="003F2970"/>
    <w:rsid w:val="003F29F1"/>
    <w:rsid w:val="003F2A2D"/>
    <w:rsid w:val="003F2AD7"/>
    <w:rsid w:val="003F2B67"/>
    <w:rsid w:val="003F2BB7"/>
    <w:rsid w:val="003F2E08"/>
    <w:rsid w:val="003F2E6F"/>
    <w:rsid w:val="003F2F01"/>
    <w:rsid w:val="003F2F1B"/>
    <w:rsid w:val="003F2F27"/>
    <w:rsid w:val="003F2FBF"/>
    <w:rsid w:val="003F2FE1"/>
    <w:rsid w:val="003F302B"/>
    <w:rsid w:val="003F3096"/>
    <w:rsid w:val="003F33B2"/>
    <w:rsid w:val="003F33D8"/>
    <w:rsid w:val="003F33DA"/>
    <w:rsid w:val="003F3521"/>
    <w:rsid w:val="003F35BC"/>
    <w:rsid w:val="003F3636"/>
    <w:rsid w:val="003F36AA"/>
    <w:rsid w:val="003F36B7"/>
    <w:rsid w:val="003F3A0D"/>
    <w:rsid w:val="003F3C49"/>
    <w:rsid w:val="003F3C60"/>
    <w:rsid w:val="003F3C9D"/>
    <w:rsid w:val="003F3CB0"/>
    <w:rsid w:val="003F3CF0"/>
    <w:rsid w:val="003F3CF8"/>
    <w:rsid w:val="003F3DA3"/>
    <w:rsid w:val="003F3DC0"/>
    <w:rsid w:val="003F3DCB"/>
    <w:rsid w:val="003F4287"/>
    <w:rsid w:val="003F42DE"/>
    <w:rsid w:val="003F42F4"/>
    <w:rsid w:val="003F43AF"/>
    <w:rsid w:val="003F43C8"/>
    <w:rsid w:val="003F43E3"/>
    <w:rsid w:val="003F43E9"/>
    <w:rsid w:val="003F44DA"/>
    <w:rsid w:val="003F461C"/>
    <w:rsid w:val="003F47E1"/>
    <w:rsid w:val="003F4858"/>
    <w:rsid w:val="003F4894"/>
    <w:rsid w:val="003F491F"/>
    <w:rsid w:val="003F49F8"/>
    <w:rsid w:val="003F4B16"/>
    <w:rsid w:val="003F4B4D"/>
    <w:rsid w:val="003F4CB1"/>
    <w:rsid w:val="003F4D9B"/>
    <w:rsid w:val="003F4E44"/>
    <w:rsid w:val="003F4EB1"/>
    <w:rsid w:val="003F5047"/>
    <w:rsid w:val="003F50D4"/>
    <w:rsid w:val="003F50ED"/>
    <w:rsid w:val="003F5163"/>
    <w:rsid w:val="003F5172"/>
    <w:rsid w:val="003F52F5"/>
    <w:rsid w:val="003F5390"/>
    <w:rsid w:val="003F541E"/>
    <w:rsid w:val="003F54D1"/>
    <w:rsid w:val="003F5711"/>
    <w:rsid w:val="003F59BC"/>
    <w:rsid w:val="003F5C08"/>
    <w:rsid w:val="003F5C14"/>
    <w:rsid w:val="003F611F"/>
    <w:rsid w:val="003F6204"/>
    <w:rsid w:val="003F62CE"/>
    <w:rsid w:val="003F6581"/>
    <w:rsid w:val="003F65C2"/>
    <w:rsid w:val="003F68E2"/>
    <w:rsid w:val="003F6BE2"/>
    <w:rsid w:val="003F6C3E"/>
    <w:rsid w:val="003F6C46"/>
    <w:rsid w:val="003F6CBC"/>
    <w:rsid w:val="003F6CFF"/>
    <w:rsid w:val="003F6D3F"/>
    <w:rsid w:val="003F6D98"/>
    <w:rsid w:val="003F6F73"/>
    <w:rsid w:val="003F6FD1"/>
    <w:rsid w:val="003F7051"/>
    <w:rsid w:val="003F70D9"/>
    <w:rsid w:val="003F70DA"/>
    <w:rsid w:val="003F7213"/>
    <w:rsid w:val="003F72C4"/>
    <w:rsid w:val="003F73E4"/>
    <w:rsid w:val="003F73FF"/>
    <w:rsid w:val="003F7427"/>
    <w:rsid w:val="003F7458"/>
    <w:rsid w:val="003F759F"/>
    <w:rsid w:val="003F7605"/>
    <w:rsid w:val="003F786C"/>
    <w:rsid w:val="003F78A6"/>
    <w:rsid w:val="003F799C"/>
    <w:rsid w:val="003F7A59"/>
    <w:rsid w:val="003F7ACE"/>
    <w:rsid w:val="003F7BD7"/>
    <w:rsid w:val="003F7CAF"/>
    <w:rsid w:val="003F7D96"/>
    <w:rsid w:val="003F7D9C"/>
    <w:rsid w:val="003F7E42"/>
    <w:rsid w:val="003F7F64"/>
    <w:rsid w:val="00400061"/>
    <w:rsid w:val="0040022A"/>
    <w:rsid w:val="0040025E"/>
    <w:rsid w:val="00400467"/>
    <w:rsid w:val="004005C9"/>
    <w:rsid w:val="004005F6"/>
    <w:rsid w:val="00400659"/>
    <w:rsid w:val="00400736"/>
    <w:rsid w:val="004007DA"/>
    <w:rsid w:val="0040091F"/>
    <w:rsid w:val="00400963"/>
    <w:rsid w:val="00400A69"/>
    <w:rsid w:val="00400A90"/>
    <w:rsid w:val="00400EB6"/>
    <w:rsid w:val="00400F25"/>
    <w:rsid w:val="00400FAA"/>
    <w:rsid w:val="004011A3"/>
    <w:rsid w:val="0040128C"/>
    <w:rsid w:val="004014F5"/>
    <w:rsid w:val="00401568"/>
    <w:rsid w:val="00401582"/>
    <w:rsid w:val="0040158C"/>
    <w:rsid w:val="0040168E"/>
    <w:rsid w:val="0040172B"/>
    <w:rsid w:val="00401742"/>
    <w:rsid w:val="0040174B"/>
    <w:rsid w:val="004017BB"/>
    <w:rsid w:val="00401827"/>
    <w:rsid w:val="00401916"/>
    <w:rsid w:val="00401964"/>
    <w:rsid w:val="004019F5"/>
    <w:rsid w:val="00401A54"/>
    <w:rsid w:val="00401A7A"/>
    <w:rsid w:val="00401A86"/>
    <w:rsid w:val="00401C34"/>
    <w:rsid w:val="00401C53"/>
    <w:rsid w:val="00401CB2"/>
    <w:rsid w:val="00401CC3"/>
    <w:rsid w:val="00401CF8"/>
    <w:rsid w:val="00401D03"/>
    <w:rsid w:val="00401DB4"/>
    <w:rsid w:val="00401DD3"/>
    <w:rsid w:val="00401EAD"/>
    <w:rsid w:val="00401F5D"/>
    <w:rsid w:val="00401FD4"/>
    <w:rsid w:val="004021A0"/>
    <w:rsid w:val="00402224"/>
    <w:rsid w:val="0040232A"/>
    <w:rsid w:val="00402395"/>
    <w:rsid w:val="004023F6"/>
    <w:rsid w:val="0040249B"/>
    <w:rsid w:val="0040269D"/>
    <w:rsid w:val="00402720"/>
    <w:rsid w:val="004027C8"/>
    <w:rsid w:val="004027EE"/>
    <w:rsid w:val="00402928"/>
    <w:rsid w:val="00402933"/>
    <w:rsid w:val="0040296C"/>
    <w:rsid w:val="00402B36"/>
    <w:rsid w:val="00402BAA"/>
    <w:rsid w:val="00402BB6"/>
    <w:rsid w:val="00402CBB"/>
    <w:rsid w:val="00402D79"/>
    <w:rsid w:val="00402D97"/>
    <w:rsid w:val="00402F30"/>
    <w:rsid w:val="00402F37"/>
    <w:rsid w:val="0040305A"/>
    <w:rsid w:val="004030C1"/>
    <w:rsid w:val="00403232"/>
    <w:rsid w:val="00403474"/>
    <w:rsid w:val="00403511"/>
    <w:rsid w:val="00403547"/>
    <w:rsid w:val="00403770"/>
    <w:rsid w:val="00403896"/>
    <w:rsid w:val="0040396D"/>
    <w:rsid w:val="0040399C"/>
    <w:rsid w:val="00403A44"/>
    <w:rsid w:val="00403A6C"/>
    <w:rsid w:val="00403C23"/>
    <w:rsid w:val="00403C82"/>
    <w:rsid w:val="00403D2B"/>
    <w:rsid w:val="00403D4C"/>
    <w:rsid w:val="00403D82"/>
    <w:rsid w:val="00403DD6"/>
    <w:rsid w:val="00403E6B"/>
    <w:rsid w:val="00403EC7"/>
    <w:rsid w:val="00404010"/>
    <w:rsid w:val="004040D5"/>
    <w:rsid w:val="00404175"/>
    <w:rsid w:val="004041F9"/>
    <w:rsid w:val="00404257"/>
    <w:rsid w:val="004042E0"/>
    <w:rsid w:val="004042E9"/>
    <w:rsid w:val="00404452"/>
    <w:rsid w:val="00404619"/>
    <w:rsid w:val="0040476D"/>
    <w:rsid w:val="004047D7"/>
    <w:rsid w:val="00404904"/>
    <w:rsid w:val="00404A7F"/>
    <w:rsid w:val="00404C16"/>
    <w:rsid w:val="00404CB0"/>
    <w:rsid w:val="00404DF0"/>
    <w:rsid w:val="00404EB2"/>
    <w:rsid w:val="004050AE"/>
    <w:rsid w:val="004050D8"/>
    <w:rsid w:val="0040544A"/>
    <w:rsid w:val="00405467"/>
    <w:rsid w:val="0040563D"/>
    <w:rsid w:val="00405661"/>
    <w:rsid w:val="004057A4"/>
    <w:rsid w:val="004057D4"/>
    <w:rsid w:val="00405989"/>
    <w:rsid w:val="004059B3"/>
    <w:rsid w:val="00405A9A"/>
    <w:rsid w:val="00405B01"/>
    <w:rsid w:val="00405B7D"/>
    <w:rsid w:val="00405BEB"/>
    <w:rsid w:val="00405CB2"/>
    <w:rsid w:val="00405E30"/>
    <w:rsid w:val="00405F7C"/>
    <w:rsid w:val="00405FE1"/>
    <w:rsid w:val="00406109"/>
    <w:rsid w:val="0040612A"/>
    <w:rsid w:val="00406185"/>
    <w:rsid w:val="00406251"/>
    <w:rsid w:val="0040632E"/>
    <w:rsid w:val="00406347"/>
    <w:rsid w:val="0040656B"/>
    <w:rsid w:val="00406607"/>
    <w:rsid w:val="00406823"/>
    <w:rsid w:val="00406851"/>
    <w:rsid w:val="00406862"/>
    <w:rsid w:val="00406913"/>
    <w:rsid w:val="00406A23"/>
    <w:rsid w:val="00406A26"/>
    <w:rsid w:val="00406A2F"/>
    <w:rsid w:val="00406BE6"/>
    <w:rsid w:val="00406D39"/>
    <w:rsid w:val="00406D92"/>
    <w:rsid w:val="00406E35"/>
    <w:rsid w:val="00406E51"/>
    <w:rsid w:val="00406ECE"/>
    <w:rsid w:val="00406ED2"/>
    <w:rsid w:val="004070D7"/>
    <w:rsid w:val="0040711D"/>
    <w:rsid w:val="0040716D"/>
    <w:rsid w:val="0040721C"/>
    <w:rsid w:val="004072AD"/>
    <w:rsid w:val="00407314"/>
    <w:rsid w:val="00407632"/>
    <w:rsid w:val="00407770"/>
    <w:rsid w:val="004077D1"/>
    <w:rsid w:val="00407894"/>
    <w:rsid w:val="00407A37"/>
    <w:rsid w:val="00407A47"/>
    <w:rsid w:val="00407B4B"/>
    <w:rsid w:val="00407B8B"/>
    <w:rsid w:val="00407E0A"/>
    <w:rsid w:val="00407E20"/>
    <w:rsid w:val="00407FC8"/>
    <w:rsid w:val="00407FD1"/>
    <w:rsid w:val="00407FD3"/>
    <w:rsid w:val="00407FEC"/>
    <w:rsid w:val="004101F1"/>
    <w:rsid w:val="00410545"/>
    <w:rsid w:val="004106A3"/>
    <w:rsid w:val="00410792"/>
    <w:rsid w:val="004108E8"/>
    <w:rsid w:val="0041090A"/>
    <w:rsid w:val="00410961"/>
    <w:rsid w:val="00410AC2"/>
    <w:rsid w:val="00410C6C"/>
    <w:rsid w:val="00410E20"/>
    <w:rsid w:val="0041117E"/>
    <w:rsid w:val="0041119F"/>
    <w:rsid w:val="004111DA"/>
    <w:rsid w:val="00411361"/>
    <w:rsid w:val="00411409"/>
    <w:rsid w:val="00411429"/>
    <w:rsid w:val="0041142D"/>
    <w:rsid w:val="0041177C"/>
    <w:rsid w:val="00411956"/>
    <w:rsid w:val="00411970"/>
    <w:rsid w:val="00411B05"/>
    <w:rsid w:val="00411B47"/>
    <w:rsid w:val="00411BE7"/>
    <w:rsid w:val="00411C6F"/>
    <w:rsid w:val="00411C7D"/>
    <w:rsid w:val="00411DD4"/>
    <w:rsid w:val="00411E9F"/>
    <w:rsid w:val="00412000"/>
    <w:rsid w:val="004120B8"/>
    <w:rsid w:val="004121E9"/>
    <w:rsid w:val="004122CE"/>
    <w:rsid w:val="00412332"/>
    <w:rsid w:val="00412356"/>
    <w:rsid w:val="00412427"/>
    <w:rsid w:val="00412511"/>
    <w:rsid w:val="0041257E"/>
    <w:rsid w:val="004126D1"/>
    <w:rsid w:val="0041277B"/>
    <w:rsid w:val="0041281E"/>
    <w:rsid w:val="004128D7"/>
    <w:rsid w:val="0041297D"/>
    <w:rsid w:val="00412A2B"/>
    <w:rsid w:val="00412B5B"/>
    <w:rsid w:val="00412BE4"/>
    <w:rsid w:val="0041309D"/>
    <w:rsid w:val="00413184"/>
    <w:rsid w:val="00413297"/>
    <w:rsid w:val="0041335D"/>
    <w:rsid w:val="004134F4"/>
    <w:rsid w:val="00413515"/>
    <w:rsid w:val="0041368C"/>
    <w:rsid w:val="004137F5"/>
    <w:rsid w:val="00413818"/>
    <w:rsid w:val="004139E5"/>
    <w:rsid w:val="00413B45"/>
    <w:rsid w:val="00413CB4"/>
    <w:rsid w:val="0041418B"/>
    <w:rsid w:val="004142BA"/>
    <w:rsid w:val="00414726"/>
    <w:rsid w:val="004149C8"/>
    <w:rsid w:val="00414ADC"/>
    <w:rsid w:val="00414B4F"/>
    <w:rsid w:val="00414D61"/>
    <w:rsid w:val="00414DAC"/>
    <w:rsid w:val="00414EB2"/>
    <w:rsid w:val="00414F0B"/>
    <w:rsid w:val="00414F7C"/>
    <w:rsid w:val="00414FBA"/>
    <w:rsid w:val="00414FD2"/>
    <w:rsid w:val="00415023"/>
    <w:rsid w:val="00415041"/>
    <w:rsid w:val="00415062"/>
    <w:rsid w:val="004150D9"/>
    <w:rsid w:val="004150E9"/>
    <w:rsid w:val="00415121"/>
    <w:rsid w:val="00415190"/>
    <w:rsid w:val="0041548C"/>
    <w:rsid w:val="0041553C"/>
    <w:rsid w:val="0041569D"/>
    <w:rsid w:val="004156D6"/>
    <w:rsid w:val="00415742"/>
    <w:rsid w:val="0041589A"/>
    <w:rsid w:val="00415950"/>
    <w:rsid w:val="004159B2"/>
    <w:rsid w:val="00415A15"/>
    <w:rsid w:val="00415A27"/>
    <w:rsid w:val="00415B9F"/>
    <w:rsid w:val="00415C0E"/>
    <w:rsid w:val="00415FA6"/>
    <w:rsid w:val="00415FFC"/>
    <w:rsid w:val="00416117"/>
    <w:rsid w:val="00416135"/>
    <w:rsid w:val="00416290"/>
    <w:rsid w:val="00416295"/>
    <w:rsid w:val="004162D8"/>
    <w:rsid w:val="00416745"/>
    <w:rsid w:val="004168CE"/>
    <w:rsid w:val="00416934"/>
    <w:rsid w:val="00416A1A"/>
    <w:rsid w:val="00416B07"/>
    <w:rsid w:val="00416B79"/>
    <w:rsid w:val="00416BB0"/>
    <w:rsid w:val="00416D49"/>
    <w:rsid w:val="00416EF9"/>
    <w:rsid w:val="00416FAA"/>
    <w:rsid w:val="0041713C"/>
    <w:rsid w:val="004171D2"/>
    <w:rsid w:val="00417597"/>
    <w:rsid w:val="00417704"/>
    <w:rsid w:val="00417749"/>
    <w:rsid w:val="00417756"/>
    <w:rsid w:val="00417792"/>
    <w:rsid w:val="00417B15"/>
    <w:rsid w:val="00417B43"/>
    <w:rsid w:val="00417B98"/>
    <w:rsid w:val="00417BE5"/>
    <w:rsid w:val="00417C05"/>
    <w:rsid w:val="00417D22"/>
    <w:rsid w:val="00417D9C"/>
    <w:rsid w:val="00417E71"/>
    <w:rsid w:val="00417E90"/>
    <w:rsid w:val="00417F2D"/>
    <w:rsid w:val="00417F38"/>
    <w:rsid w:val="00417F64"/>
    <w:rsid w:val="00420126"/>
    <w:rsid w:val="00420180"/>
    <w:rsid w:val="0042021E"/>
    <w:rsid w:val="004202F6"/>
    <w:rsid w:val="0042034C"/>
    <w:rsid w:val="00420537"/>
    <w:rsid w:val="0042054A"/>
    <w:rsid w:val="004208BD"/>
    <w:rsid w:val="004209DE"/>
    <w:rsid w:val="00420A06"/>
    <w:rsid w:val="00420A6D"/>
    <w:rsid w:val="00420ADA"/>
    <w:rsid w:val="00420B34"/>
    <w:rsid w:val="00420B95"/>
    <w:rsid w:val="00420CBC"/>
    <w:rsid w:val="00420D71"/>
    <w:rsid w:val="00420DC4"/>
    <w:rsid w:val="00420E7E"/>
    <w:rsid w:val="00420EAE"/>
    <w:rsid w:val="0042104A"/>
    <w:rsid w:val="0042115D"/>
    <w:rsid w:val="00421222"/>
    <w:rsid w:val="004212CB"/>
    <w:rsid w:val="004213F7"/>
    <w:rsid w:val="004213F9"/>
    <w:rsid w:val="00421440"/>
    <w:rsid w:val="0042156C"/>
    <w:rsid w:val="00421611"/>
    <w:rsid w:val="00421647"/>
    <w:rsid w:val="00421673"/>
    <w:rsid w:val="00421748"/>
    <w:rsid w:val="004217AF"/>
    <w:rsid w:val="0042182C"/>
    <w:rsid w:val="00421960"/>
    <w:rsid w:val="004219FB"/>
    <w:rsid w:val="00421A83"/>
    <w:rsid w:val="00421A84"/>
    <w:rsid w:val="00421AC2"/>
    <w:rsid w:val="00421B2A"/>
    <w:rsid w:val="00421B4D"/>
    <w:rsid w:val="00421BAE"/>
    <w:rsid w:val="00421C50"/>
    <w:rsid w:val="00421CC9"/>
    <w:rsid w:val="004220A1"/>
    <w:rsid w:val="004220F8"/>
    <w:rsid w:val="00422307"/>
    <w:rsid w:val="00422427"/>
    <w:rsid w:val="00422507"/>
    <w:rsid w:val="0042252E"/>
    <w:rsid w:val="004226DF"/>
    <w:rsid w:val="0042270E"/>
    <w:rsid w:val="00422881"/>
    <w:rsid w:val="00422926"/>
    <w:rsid w:val="00422A8E"/>
    <w:rsid w:val="00422AD6"/>
    <w:rsid w:val="00422BDB"/>
    <w:rsid w:val="00422E48"/>
    <w:rsid w:val="00422EE4"/>
    <w:rsid w:val="004231B6"/>
    <w:rsid w:val="004233DE"/>
    <w:rsid w:val="004234C7"/>
    <w:rsid w:val="0042368C"/>
    <w:rsid w:val="00423715"/>
    <w:rsid w:val="004237F5"/>
    <w:rsid w:val="00423AD7"/>
    <w:rsid w:val="00423B89"/>
    <w:rsid w:val="00423C4B"/>
    <w:rsid w:val="00423C77"/>
    <w:rsid w:val="00423F49"/>
    <w:rsid w:val="00423F94"/>
    <w:rsid w:val="00423FAA"/>
    <w:rsid w:val="00424255"/>
    <w:rsid w:val="004242B3"/>
    <w:rsid w:val="004243CD"/>
    <w:rsid w:val="0042452F"/>
    <w:rsid w:val="0042458C"/>
    <w:rsid w:val="004246F3"/>
    <w:rsid w:val="004246FD"/>
    <w:rsid w:val="00424966"/>
    <w:rsid w:val="004249B6"/>
    <w:rsid w:val="00424ABE"/>
    <w:rsid w:val="00424C30"/>
    <w:rsid w:val="00424C7A"/>
    <w:rsid w:val="00424E39"/>
    <w:rsid w:val="00424F96"/>
    <w:rsid w:val="00425088"/>
    <w:rsid w:val="004250CE"/>
    <w:rsid w:val="004250F6"/>
    <w:rsid w:val="0042510C"/>
    <w:rsid w:val="0042530E"/>
    <w:rsid w:val="00425506"/>
    <w:rsid w:val="00425518"/>
    <w:rsid w:val="004255C5"/>
    <w:rsid w:val="0042569C"/>
    <w:rsid w:val="004257CB"/>
    <w:rsid w:val="004257D9"/>
    <w:rsid w:val="00425842"/>
    <w:rsid w:val="00425865"/>
    <w:rsid w:val="00425978"/>
    <w:rsid w:val="00425B3D"/>
    <w:rsid w:val="00425C24"/>
    <w:rsid w:val="00425CB8"/>
    <w:rsid w:val="00425DB7"/>
    <w:rsid w:val="00425E5B"/>
    <w:rsid w:val="00425F9E"/>
    <w:rsid w:val="00425FE7"/>
    <w:rsid w:val="004261E6"/>
    <w:rsid w:val="00426284"/>
    <w:rsid w:val="004262A9"/>
    <w:rsid w:val="00426309"/>
    <w:rsid w:val="00426370"/>
    <w:rsid w:val="00426392"/>
    <w:rsid w:val="0042644F"/>
    <w:rsid w:val="004265ED"/>
    <w:rsid w:val="00426987"/>
    <w:rsid w:val="00426995"/>
    <w:rsid w:val="00426B4D"/>
    <w:rsid w:val="00426C18"/>
    <w:rsid w:val="00426C93"/>
    <w:rsid w:val="00426CD6"/>
    <w:rsid w:val="00426D59"/>
    <w:rsid w:val="00426DCB"/>
    <w:rsid w:val="00426F2F"/>
    <w:rsid w:val="00426F84"/>
    <w:rsid w:val="004270F1"/>
    <w:rsid w:val="0042714E"/>
    <w:rsid w:val="0042727D"/>
    <w:rsid w:val="0042762D"/>
    <w:rsid w:val="004276D1"/>
    <w:rsid w:val="00427712"/>
    <w:rsid w:val="0042774C"/>
    <w:rsid w:val="004277FE"/>
    <w:rsid w:val="0042785C"/>
    <w:rsid w:val="0042787C"/>
    <w:rsid w:val="00427881"/>
    <w:rsid w:val="00427895"/>
    <w:rsid w:val="00427A07"/>
    <w:rsid w:val="00427B13"/>
    <w:rsid w:val="00427BF8"/>
    <w:rsid w:val="00427C11"/>
    <w:rsid w:val="00427C52"/>
    <w:rsid w:val="00427C83"/>
    <w:rsid w:val="00427FED"/>
    <w:rsid w:val="00430009"/>
    <w:rsid w:val="00430046"/>
    <w:rsid w:val="00430079"/>
    <w:rsid w:val="00430080"/>
    <w:rsid w:val="004300B8"/>
    <w:rsid w:val="004300CD"/>
    <w:rsid w:val="004300FA"/>
    <w:rsid w:val="00430137"/>
    <w:rsid w:val="00430156"/>
    <w:rsid w:val="00430216"/>
    <w:rsid w:val="0043028D"/>
    <w:rsid w:val="0043049D"/>
    <w:rsid w:val="004304EA"/>
    <w:rsid w:val="00430541"/>
    <w:rsid w:val="0043056E"/>
    <w:rsid w:val="0043059B"/>
    <w:rsid w:val="004305A2"/>
    <w:rsid w:val="004305A5"/>
    <w:rsid w:val="00430706"/>
    <w:rsid w:val="00430708"/>
    <w:rsid w:val="004307A8"/>
    <w:rsid w:val="004307CF"/>
    <w:rsid w:val="0043089A"/>
    <w:rsid w:val="004308E8"/>
    <w:rsid w:val="004309CE"/>
    <w:rsid w:val="00430A6E"/>
    <w:rsid w:val="00430AF3"/>
    <w:rsid w:val="00430B18"/>
    <w:rsid w:val="00430B6C"/>
    <w:rsid w:val="00430C04"/>
    <w:rsid w:val="00430C45"/>
    <w:rsid w:val="00430D04"/>
    <w:rsid w:val="00430D22"/>
    <w:rsid w:val="00430D76"/>
    <w:rsid w:val="00430DD5"/>
    <w:rsid w:val="00430E2F"/>
    <w:rsid w:val="00430E52"/>
    <w:rsid w:val="00430EFD"/>
    <w:rsid w:val="00430F43"/>
    <w:rsid w:val="00430FE2"/>
    <w:rsid w:val="0043104F"/>
    <w:rsid w:val="00431121"/>
    <w:rsid w:val="0043114D"/>
    <w:rsid w:val="004311CC"/>
    <w:rsid w:val="004311D8"/>
    <w:rsid w:val="00431278"/>
    <w:rsid w:val="00431308"/>
    <w:rsid w:val="004314CB"/>
    <w:rsid w:val="00431572"/>
    <w:rsid w:val="004316CC"/>
    <w:rsid w:val="0043170F"/>
    <w:rsid w:val="00431745"/>
    <w:rsid w:val="00431752"/>
    <w:rsid w:val="00431905"/>
    <w:rsid w:val="0043193E"/>
    <w:rsid w:val="00431946"/>
    <w:rsid w:val="00431983"/>
    <w:rsid w:val="00431B5F"/>
    <w:rsid w:val="00431CCF"/>
    <w:rsid w:val="00431D95"/>
    <w:rsid w:val="00431DAE"/>
    <w:rsid w:val="00431E26"/>
    <w:rsid w:val="00431E51"/>
    <w:rsid w:val="00431ECA"/>
    <w:rsid w:val="00431EED"/>
    <w:rsid w:val="00432016"/>
    <w:rsid w:val="00432167"/>
    <w:rsid w:val="00432464"/>
    <w:rsid w:val="004324A0"/>
    <w:rsid w:val="00432512"/>
    <w:rsid w:val="004326A2"/>
    <w:rsid w:val="0043272B"/>
    <w:rsid w:val="00432801"/>
    <w:rsid w:val="0043286A"/>
    <w:rsid w:val="0043297C"/>
    <w:rsid w:val="00432991"/>
    <w:rsid w:val="00432B3E"/>
    <w:rsid w:val="00432B69"/>
    <w:rsid w:val="00432C01"/>
    <w:rsid w:val="00432C42"/>
    <w:rsid w:val="00432C7D"/>
    <w:rsid w:val="00432CF8"/>
    <w:rsid w:val="00432D79"/>
    <w:rsid w:val="00432DE5"/>
    <w:rsid w:val="00432F4C"/>
    <w:rsid w:val="00433029"/>
    <w:rsid w:val="004331C7"/>
    <w:rsid w:val="0043320F"/>
    <w:rsid w:val="004332B5"/>
    <w:rsid w:val="0043336B"/>
    <w:rsid w:val="004333AD"/>
    <w:rsid w:val="004333AE"/>
    <w:rsid w:val="004333C4"/>
    <w:rsid w:val="00433455"/>
    <w:rsid w:val="0043346D"/>
    <w:rsid w:val="00433741"/>
    <w:rsid w:val="00433878"/>
    <w:rsid w:val="0043396F"/>
    <w:rsid w:val="00433A3E"/>
    <w:rsid w:val="00433A9C"/>
    <w:rsid w:val="00433AF3"/>
    <w:rsid w:val="00433B4D"/>
    <w:rsid w:val="00433EC7"/>
    <w:rsid w:val="00433F15"/>
    <w:rsid w:val="00433F61"/>
    <w:rsid w:val="00433FA9"/>
    <w:rsid w:val="00433FEB"/>
    <w:rsid w:val="00434143"/>
    <w:rsid w:val="004341BF"/>
    <w:rsid w:val="00434298"/>
    <w:rsid w:val="004342E5"/>
    <w:rsid w:val="004342F2"/>
    <w:rsid w:val="00434302"/>
    <w:rsid w:val="004344DF"/>
    <w:rsid w:val="004345C8"/>
    <w:rsid w:val="004345F3"/>
    <w:rsid w:val="00434699"/>
    <w:rsid w:val="00434735"/>
    <w:rsid w:val="004349B0"/>
    <w:rsid w:val="00434A57"/>
    <w:rsid w:val="00434A5F"/>
    <w:rsid w:val="00434A62"/>
    <w:rsid w:val="00434B27"/>
    <w:rsid w:val="00434B47"/>
    <w:rsid w:val="00434B4B"/>
    <w:rsid w:val="00434CCB"/>
    <w:rsid w:val="00434DA7"/>
    <w:rsid w:val="00434DB3"/>
    <w:rsid w:val="00434FFD"/>
    <w:rsid w:val="00435095"/>
    <w:rsid w:val="004350FA"/>
    <w:rsid w:val="00435186"/>
    <w:rsid w:val="004352DA"/>
    <w:rsid w:val="00435313"/>
    <w:rsid w:val="00435430"/>
    <w:rsid w:val="00435498"/>
    <w:rsid w:val="00435507"/>
    <w:rsid w:val="00435532"/>
    <w:rsid w:val="0043566B"/>
    <w:rsid w:val="004356BB"/>
    <w:rsid w:val="004357BF"/>
    <w:rsid w:val="004358D2"/>
    <w:rsid w:val="00435A41"/>
    <w:rsid w:val="00435AD4"/>
    <w:rsid w:val="00435C97"/>
    <w:rsid w:val="00435CEA"/>
    <w:rsid w:val="00435CF0"/>
    <w:rsid w:val="00435CF6"/>
    <w:rsid w:val="00435DA2"/>
    <w:rsid w:val="00435DA8"/>
    <w:rsid w:val="00435FC7"/>
    <w:rsid w:val="0043615D"/>
    <w:rsid w:val="004361A1"/>
    <w:rsid w:val="00436305"/>
    <w:rsid w:val="00436340"/>
    <w:rsid w:val="00436439"/>
    <w:rsid w:val="004364F4"/>
    <w:rsid w:val="00436565"/>
    <w:rsid w:val="004367AA"/>
    <w:rsid w:val="00436847"/>
    <w:rsid w:val="004369C2"/>
    <w:rsid w:val="00436A3F"/>
    <w:rsid w:val="00436A4A"/>
    <w:rsid w:val="00436B78"/>
    <w:rsid w:val="00436BC9"/>
    <w:rsid w:val="00436BE2"/>
    <w:rsid w:val="00436C3A"/>
    <w:rsid w:val="00436C55"/>
    <w:rsid w:val="00436C97"/>
    <w:rsid w:val="00436CC6"/>
    <w:rsid w:val="00436E6F"/>
    <w:rsid w:val="00436EC9"/>
    <w:rsid w:val="00436F86"/>
    <w:rsid w:val="00436FD7"/>
    <w:rsid w:val="0043711E"/>
    <w:rsid w:val="00437133"/>
    <w:rsid w:val="00437343"/>
    <w:rsid w:val="00437577"/>
    <w:rsid w:val="004375DE"/>
    <w:rsid w:val="0043761C"/>
    <w:rsid w:val="00437624"/>
    <w:rsid w:val="004376C1"/>
    <w:rsid w:val="004376EB"/>
    <w:rsid w:val="00437816"/>
    <w:rsid w:val="004378A5"/>
    <w:rsid w:val="004378D6"/>
    <w:rsid w:val="00437A0E"/>
    <w:rsid w:val="00437AB2"/>
    <w:rsid w:val="00437BA6"/>
    <w:rsid w:val="00437C47"/>
    <w:rsid w:val="00437C82"/>
    <w:rsid w:val="00437DE9"/>
    <w:rsid w:val="0044000A"/>
    <w:rsid w:val="004400F9"/>
    <w:rsid w:val="0044046A"/>
    <w:rsid w:val="00440718"/>
    <w:rsid w:val="004407F1"/>
    <w:rsid w:val="004408F3"/>
    <w:rsid w:val="00440965"/>
    <w:rsid w:val="004409AA"/>
    <w:rsid w:val="00440B4D"/>
    <w:rsid w:val="00440B82"/>
    <w:rsid w:val="00440D85"/>
    <w:rsid w:val="00440EBF"/>
    <w:rsid w:val="00441025"/>
    <w:rsid w:val="004410D9"/>
    <w:rsid w:val="00441102"/>
    <w:rsid w:val="004411C4"/>
    <w:rsid w:val="004412A3"/>
    <w:rsid w:val="004412E6"/>
    <w:rsid w:val="0044131A"/>
    <w:rsid w:val="004413B2"/>
    <w:rsid w:val="0044140E"/>
    <w:rsid w:val="004415A6"/>
    <w:rsid w:val="004416A3"/>
    <w:rsid w:val="004416E9"/>
    <w:rsid w:val="004417D7"/>
    <w:rsid w:val="00441834"/>
    <w:rsid w:val="00441836"/>
    <w:rsid w:val="00441845"/>
    <w:rsid w:val="004418D8"/>
    <w:rsid w:val="0044193C"/>
    <w:rsid w:val="00441944"/>
    <w:rsid w:val="004419C7"/>
    <w:rsid w:val="00441BFA"/>
    <w:rsid w:val="00441C7B"/>
    <w:rsid w:val="00441D5E"/>
    <w:rsid w:val="00441E41"/>
    <w:rsid w:val="00441F66"/>
    <w:rsid w:val="00441F69"/>
    <w:rsid w:val="00442042"/>
    <w:rsid w:val="00442113"/>
    <w:rsid w:val="00442181"/>
    <w:rsid w:val="004421E6"/>
    <w:rsid w:val="004423D7"/>
    <w:rsid w:val="004424CA"/>
    <w:rsid w:val="00442578"/>
    <w:rsid w:val="004425EA"/>
    <w:rsid w:val="004429EA"/>
    <w:rsid w:val="00442A6E"/>
    <w:rsid w:val="00442ACC"/>
    <w:rsid w:val="00442B96"/>
    <w:rsid w:val="00442C2A"/>
    <w:rsid w:val="00442CFE"/>
    <w:rsid w:val="00442F2A"/>
    <w:rsid w:val="00442F4B"/>
    <w:rsid w:val="00442F56"/>
    <w:rsid w:val="00442FB8"/>
    <w:rsid w:val="004430B6"/>
    <w:rsid w:val="0044324A"/>
    <w:rsid w:val="0044324C"/>
    <w:rsid w:val="00443322"/>
    <w:rsid w:val="0044334C"/>
    <w:rsid w:val="00443368"/>
    <w:rsid w:val="0044338E"/>
    <w:rsid w:val="004433CE"/>
    <w:rsid w:val="004436F5"/>
    <w:rsid w:val="004437DF"/>
    <w:rsid w:val="004438C9"/>
    <w:rsid w:val="00443D05"/>
    <w:rsid w:val="00443D06"/>
    <w:rsid w:val="00443D1A"/>
    <w:rsid w:val="00443D60"/>
    <w:rsid w:val="00443EEE"/>
    <w:rsid w:val="00444012"/>
    <w:rsid w:val="00444045"/>
    <w:rsid w:val="0044405B"/>
    <w:rsid w:val="004440EA"/>
    <w:rsid w:val="00444127"/>
    <w:rsid w:val="0044425A"/>
    <w:rsid w:val="0044436E"/>
    <w:rsid w:val="004444F5"/>
    <w:rsid w:val="004445FA"/>
    <w:rsid w:val="00444600"/>
    <w:rsid w:val="0044463B"/>
    <w:rsid w:val="00444671"/>
    <w:rsid w:val="004446E5"/>
    <w:rsid w:val="004448DB"/>
    <w:rsid w:val="004448E3"/>
    <w:rsid w:val="00444B27"/>
    <w:rsid w:val="00444BE2"/>
    <w:rsid w:val="00444D2B"/>
    <w:rsid w:val="00444D8D"/>
    <w:rsid w:val="00444D95"/>
    <w:rsid w:val="00444E1A"/>
    <w:rsid w:val="00444E23"/>
    <w:rsid w:val="00444EE8"/>
    <w:rsid w:val="00444F76"/>
    <w:rsid w:val="00444F95"/>
    <w:rsid w:val="0044500D"/>
    <w:rsid w:val="00445027"/>
    <w:rsid w:val="00445034"/>
    <w:rsid w:val="0044509F"/>
    <w:rsid w:val="004453AD"/>
    <w:rsid w:val="004453FD"/>
    <w:rsid w:val="0044554B"/>
    <w:rsid w:val="0044557C"/>
    <w:rsid w:val="004455AC"/>
    <w:rsid w:val="004456B6"/>
    <w:rsid w:val="004457D2"/>
    <w:rsid w:val="004457F4"/>
    <w:rsid w:val="0044580A"/>
    <w:rsid w:val="0044580B"/>
    <w:rsid w:val="004459A4"/>
    <w:rsid w:val="004459D1"/>
    <w:rsid w:val="00445ABD"/>
    <w:rsid w:val="00445B66"/>
    <w:rsid w:val="00445B87"/>
    <w:rsid w:val="00445C81"/>
    <w:rsid w:val="00445F33"/>
    <w:rsid w:val="00445FFE"/>
    <w:rsid w:val="00446008"/>
    <w:rsid w:val="0044611B"/>
    <w:rsid w:val="00446239"/>
    <w:rsid w:val="004463E4"/>
    <w:rsid w:val="004463FB"/>
    <w:rsid w:val="0044642E"/>
    <w:rsid w:val="00446440"/>
    <w:rsid w:val="00446613"/>
    <w:rsid w:val="00446717"/>
    <w:rsid w:val="004467C4"/>
    <w:rsid w:val="0044690B"/>
    <w:rsid w:val="00446923"/>
    <w:rsid w:val="004469B7"/>
    <w:rsid w:val="00446AC2"/>
    <w:rsid w:val="00446CD1"/>
    <w:rsid w:val="00446D82"/>
    <w:rsid w:val="00446F1B"/>
    <w:rsid w:val="00446F34"/>
    <w:rsid w:val="004470A0"/>
    <w:rsid w:val="0044714E"/>
    <w:rsid w:val="0044718C"/>
    <w:rsid w:val="004475C2"/>
    <w:rsid w:val="00447750"/>
    <w:rsid w:val="0044775B"/>
    <w:rsid w:val="00447792"/>
    <w:rsid w:val="00447980"/>
    <w:rsid w:val="004479B6"/>
    <w:rsid w:val="004479BE"/>
    <w:rsid w:val="00447A33"/>
    <w:rsid w:val="00447BBA"/>
    <w:rsid w:val="00447C7D"/>
    <w:rsid w:val="00447CBD"/>
    <w:rsid w:val="00447E2C"/>
    <w:rsid w:val="00447F88"/>
    <w:rsid w:val="004500CF"/>
    <w:rsid w:val="00450124"/>
    <w:rsid w:val="00450215"/>
    <w:rsid w:val="0045025D"/>
    <w:rsid w:val="00450328"/>
    <w:rsid w:val="00450505"/>
    <w:rsid w:val="0045055A"/>
    <w:rsid w:val="00450653"/>
    <w:rsid w:val="0045084C"/>
    <w:rsid w:val="00450884"/>
    <w:rsid w:val="00450AD4"/>
    <w:rsid w:val="00450B2B"/>
    <w:rsid w:val="00450B71"/>
    <w:rsid w:val="00450BE4"/>
    <w:rsid w:val="00450CB1"/>
    <w:rsid w:val="00450CE6"/>
    <w:rsid w:val="00450DF0"/>
    <w:rsid w:val="00450DF8"/>
    <w:rsid w:val="00451006"/>
    <w:rsid w:val="0045105E"/>
    <w:rsid w:val="00451080"/>
    <w:rsid w:val="0045115E"/>
    <w:rsid w:val="004511C5"/>
    <w:rsid w:val="00451246"/>
    <w:rsid w:val="00451293"/>
    <w:rsid w:val="00451532"/>
    <w:rsid w:val="00451632"/>
    <w:rsid w:val="004516E8"/>
    <w:rsid w:val="004516FC"/>
    <w:rsid w:val="00451706"/>
    <w:rsid w:val="0045171D"/>
    <w:rsid w:val="004517B6"/>
    <w:rsid w:val="0045192B"/>
    <w:rsid w:val="00451AAD"/>
    <w:rsid w:val="00451C97"/>
    <w:rsid w:val="00451D72"/>
    <w:rsid w:val="00451E3C"/>
    <w:rsid w:val="00451EC9"/>
    <w:rsid w:val="00452371"/>
    <w:rsid w:val="004523CA"/>
    <w:rsid w:val="004524A3"/>
    <w:rsid w:val="004524BE"/>
    <w:rsid w:val="004524CE"/>
    <w:rsid w:val="004525A1"/>
    <w:rsid w:val="00452659"/>
    <w:rsid w:val="00452660"/>
    <w:rsid w:val="00452734"/>
    <w:rsid w:val="004527E6"/>
    <w:rsid w:val="004528AB"/>
    <w:rsid w:val="004528E2"/>
    <w:rsid w:val="00452A99"/>
    <w:rsid w:val="00452C21"/>
    <w:rsid w:val="00452C29"/>
    <w:rsid w:val="00452C3F"/>
    <w:rsid w:val="00452C77"/>
    <w:rsid w:val="00452CA3"/>
    <w:rsid w:val="00452E42"/>
    <w:rsid w:val="00452EC2"/>
    <w:rsid w:val="00452F28"/>
    <w:rsid w:val="00452F51"/>
    <w:rsid w:val="00452F71"/>
    <w:rsid w:val="00452F8B"/>
    <w:rsid w:val="004530F9"/>
    <w:rsid w:val="004531FA"/>
    <w:rsid w:val="00453242"/>
    <w:rsid w:val="004533D9"/>
    <w:rsid w:val="00453429"/>
    <w:rsid w:val="004534B6"/>
    <w:rsid w:val="004534F7"/>
    <w:rsid w:val="0045361E"/>
    <w:rsid w:val="00453655"/>
    <w:rsid w:val="0045389E"/>
    <w:rsid w:val="00453AFA"/>
    <w:rsid w:val="00453B20"/>
    <w:rsid w:val="00453C28"/>
    <w:rsid w:val="00453C91"/>
    <w:rsid w:val="00454018"/>
    <w:rsid w:val="00454032"/>
    <w:rsid w:val="00454237"/>
    <w:rsid w:val="00454398"/>
    <w:rsid w:val="004543A5"/>
    <w:rsid w:val="004544A9"/>
    <w:rsid w:val="00454507"/>
    <w:rsid w:val="00454514"/>
    <w:rsid w:val="00454572"/>
    <w:rsid w:val="004545C5"/>
    <w:rsid w:val="0045468D"/>
    <w:rsid w:val="004546ED"/>
    <w:rsid w:val="004546FF"/>
    <w:rsid w:val="00454732"/>
    <w:rsid w:val="00454757"/>
    <w:rsid w:val="0045489A"/>
    <w:rsid w:val="004548DA"/>
    <w:rsid w:val="00454CA5"/>
    <w:rsid w:val="00454D6E"/>
    <w:rsid w:val="00454DE8"/>
    <w:rsid w:val="0045515E"/>
    <w:rsid w:val="004551CA"/>
    <w:rsid w:val="00455227"/>
    <w:rsid w:val="0045527C"/>
    <w:rsid w:val="004552CB"/>
    <w:rsid w:val="004552DA"/>
    <w:rsid w:val="004553E6"/>
    <w:rsid w:val="0045544B"/>
    <w:rsid w:val="00455524"/>
    <w:rsid w:val="0045555F"/>
    <w:rsid w:val="004555D5"/>
    <w:rsid w:val="004556D3"/>
    <w:rsid w:val="004556FA"/>
    <w:rsid w:val="0045570F"/>
    <w:rsid w:val="00455736"/>
    <w:rsid w:val="004557DC"/>
    <w:rsid w:val="00455838"/>
    <w:rsid w:val="004558BD"/>
    <w:rsid w:val="00455ACE"/>
    <w:rsid w:val="00455CF2"/>
    <w:rsid w:val="00455CF7"/>
    <w:rsid w:val="00455E5F"/>
    <w:rsid w:val="00456209"/>
    <w:rsid w:val="00456341"/>
    <w:rsid w:val="0045638D"/>
    <w:rsid w:val="004563FF"/>
    <w:rsid w:val="0045640E"/>
    <w:rsid w:val="00456643"/>
    <w:rsid w:val="004568BD"/>
    <w:rsid w:val="00456988"/>
    <w:rsid w:val="004569EB"/>
    <w:rsid w:val="00456BF0"/>
    <w:rsid w:val="00456C20"/>
    <w:rsid w:val="00456C5C"/>
    <w:rsid w:val="00456CB4"/>
    <w:rsid w:val="00456CB5"/>
    <w:rsid w:val="00456CFB"/>
    <w:rsid w:val="00456D52"/>
    <w:rsid w:val="00456EB1"/>
    <w:rsid w:val="00456EF1"/>
    <w:rsid w:val="00456F03"/>
    <w:rsid w:val="0045705D"/>
    <w:rsid w:val="00457117"/>
    <w:rsid w:val="00457125"/>
    <w:rsid w:val="0045736F"/>
    <w:rsid w:val="004574CD"/>
    <w:rsid w:val="004574ED"/>
    <w:rsid w:val="0045758B"/>
    <w:rsid w:val="00457604"/>
    <w:rsid w:val="004578A7"/>
    <w:rsid w:val="00457900"/>
    <w:rsid w:val="00457A62"/>
    <w:rsid w:val="00457AA1"/>
    <w:rsid w:val="00457B36"/>
    <w:rsid w:val="00457CE7"/>
    <w:rsid w:val="00457D5D"/>
    <w:rsid w:val="00457DF6"/>
    <w:rsid w:val="00457E91"/>
    <w:rsid w:val="0046002E"/>
    <w:rsid w:val="004600CC"/>
    <w:rsid w:val="004600DA"/>
    <w:rsid w:val="00460138"/>
    <w:rsid w:val="004601A2"/>
    <w:rsid w:val="0046024C"/>
    <w:rsid w:val="004603BD"/>
    <w:rsid w:val="004603E4"/>
    <w:rsid w:val="0046043A"/>
    <w:rsid w:val="004604B6"/>
    <w:rsid w:val="004609F1"/>
    <w:rsid w:val="00460B67"/>
    <w:rsid w:val="00460BA7"/>
    <w:rsid w:val="00460C1B"/>
    <w:rsid w:val="00460D34"/>
    <w:rsid w:val="00460D44"/>
    <w:rsid w:val="00460DE7"/>
    <w:rsid w:val="00460E50"/>
    <w:rsid w:val="00460EB0"/>
    <w:rsid w:val="00460F6B"/>
    <w:rsid w:val="00460FF4"/>
    <w:rsid w:val="0046105F"/>
    <w:rsid w:val="00461161"/>
    <w:rsid w:val="0046119F"/>
    <w:rsid w:val="004611F2"/>
    <w:rsid w:val="004612EB"/>
    <w:rsid w:val="004612F8"/>
    <w:rsid w:val="004612FE"/>
    <w:rsid w:val="00461482"/>
    <w:rsid w:val="00461503"/>
    <w:rsid w:val="00461592"/>
    <w:rsid w:val="004615C5"/>
    <w:rsid w:val="004615CF"/>
    <w:rsid w:val="004615D9"/>
    <w:rsid w:val="004619C2"/>
    <w:rsid w:val="004619D0"/>
    <w:rsid w:val="00461CD4"/>
    <w:rsid w:val="00461EE4"/>
    <w:rsid w:val="00461F02"/>
    <w:rsid w:val="004620E7"/>
    <w:rsid w:val="0046225F"/>
    <w:rsid w:val="00462410"/>
    <w:rsid w:val="00462462"/>
    <w:rsid w:val="00462475"/>
    <w:rsid w:val="004624F6"/>
    <w:rsid w:val="00462523"/>
    <w:rsid w:val="00462690"/>
    <w:rsid w:val="00462709"/>
    <w:rsid w:val="00462781"/>
    <w:rsid w:val="004627E2"/>
    <w:rsid w:val="0046283D"/>
    <w:rsid w:val="00462870"/>
    <w:rsid w:val="00462891"/>
    <w:rsid w:val="004628E1"/>
    <w:rsid w:val="00462A62"/>
    <w:rsid w:val="00462AB0"/>
    <w:rsid w:val="00462B19"/>
    <w:rsid w:val="00462B31"/>
    <w:rsid w:val="00462C37"/>
    <w:rsid w:val="00462D74"/>
    <w:rsid w:val="00462DCC"/>
    <w:rsid w:val="00462EAD"/>
    <w:rsid w:val="004630C2"/>
    <w:rsid w:val="00463117"/>
    <w:rsid w:val="0046311A"/>
    <w:rsid w:val="004631AC"/>
    <w:rsid w:val="0046334A"/>
    <w:rsid w:val="004633B4"/>
    <w:rsid w:val="00463526"/>
    <w:rsid w:val="0046352A"/>
    <w:rsid w:val="0046355C"/>
    <w:rsid w:val="004635C2"/>
    <w:rsid w:val="0046361B"/>
    <w:rsid w:val="00463654"/>
    <w:rsid w:val="004636C5"/>
    <w:rsid w:val="0046376B"/>
    <w:rsid w:val="0046385D"/>
    <w:rsid w:val="00463894"/>
    <w:rsid w:val="004638FC"/>
    <w:rsid w:val="0046391C"/>
    <w:rsid w:val="0046392E"/>
    <w:rsid w:val="00463930"/>
    <w:rsid w:val="00463976"/>
    <w:rsid w:val="00463B34"/>
    <w:rsid w:val="00463BA1"/>
    <w:rsid w:val="00463C23"/>
    <w:rsid w:val="00463C94"/>
    <w:rsid w:val="00463CCE"/>
    <w:rsid w:val="00463D78"/>
    <w:rsid w:val="00463DD0"/>
    <w:rsid w:val="00463FD1"/>
    <w:rsid w:val="00464032"/>
    <w:rsid w:val="004640A6"/>
    <w:rsid w:val="004640F0"/>
    <w:rsid w:val="004641C0"/>
    <w:rsid w:val="00464286"/>
    <w:rsid w:val="0046428A"/>
    <w:rsid w:val="0046431A"/>
    <w:rsid w:val="00464418"/>
    <w:rsid w:val="00464483"/>
    <w:rsid w:val="004644FF"/>
    <w:rsid w:val="00464544"/>
    <w:rsid w:val="00464604"/>
    <w:rsid w:val="00464646"/>
    <w:rsid w:val="0046469F"/>
    <w:rsid w:val="004647EA"/>
    <w:rsid w:val="0046484F"/>
    <w:rsid w:val="0046491C"/>
    <w:rsid w:val="00464939"/>
    <w:rsid w:val="004649BB"/>
    <w:rsid w:val="00464B6A"/>
    <w:rsid w:val="00464CC5"/>
    <w:rsid w:val="00464DF9"/>
    <w:rsid w:val="00465014"/>
    <w:rsid w:val="00465125"/>
    <w:rsid w:val="0046517C"/>
    <w:rsid w:val="0046523B"/>
    <w:rsid w:val="0046524E"/>
    <w:rsid w:val="004652EB"/>
    <w:rsid w:val="00465327"/>
    <w:rsid w:val="00465515"/>
    <w:rsid w:val="0046551F"/>
    <w:rsid w:val="00465545"/>
    <w:rsid w:val="0046561C"/>
    <w:rsid w:val="004657BB"/>
    <w:rsid w:val="004657D4"/>
    <w:rsid w:val="00465946"/>
    <w:rsid w:val="00465A0D"/>
    <w:rsid w:val="00465A10"/>
    <w:rsid w:val="00465B4D"/>
    <w:rsid w:val="00465F9B"/>
    <w:rsid w:val="004660BF"/>
    <w:rsid w:val="004661B8"/>
    <w:rsid w:val="0046624C"/>
    <w:rsid w:val="00466264"/>
    <w:rsid w:val="0046629C"/>
    <w:rsid w:val="004662D8"/>
    <w:rsid w:val="00466571"/>
    <w:rsid w:val="00466591"/>
    <w:rsid w:val="004665AC"/>
    <w:rsid w:val="00466611"/>
    <w:rsid w:val="00466741"/>
    <w:rsid w:val="00466786"/>
    <w:rsid w:val="004667BC"/>
    <w:rsid w:val="0046697D"/>
    <w:rsid w:val="004669F5"/>
    <w:rsid w:val="00466AD6"/>
    <w:rsid w:val="00466BFC"/>
    <w:rsid w:val="00466D05"/>
    <w:rsid w:val="00466D5F"/>
    <w:rsid w:val="00466E50"/>
    <w:rsid w:val="00466E9F"/>
    <w:rsid w:val="00466EB2"/>
    <w:rsid w:val="00466F54"/>
    <w:rsid w:val="00466F61"/>
    <w:rsid w:val="00466F7E"/>
    <w:rsid w:val="00466FF2"/>
    <w:rsid w:val="0046712F"/>
    <w:rsid w:val="00467897"/>
    <w:rsid w:val="00467971"/>
    <w:rsid w:val="00467A3F"/>
    <w:rsid w:val="00467A87"/>
    <w:rsid w:val="00467A8C"/>
    <w:rsid w:val="00467D57"/>
    <w:rsid w:val="00467DD7"/>
    <w:rsid w:val="00467E73"/>
    <w:rsid w:val="00467FC9"/>
    <w:rsid w:val="00467FE9"/>
    <w:rsid w:val="00470061"/>
    <w:rsid w:val="00470350"/>
    <w:rsid w:val="0047039A"/>
    <w:rsid w:val="00470447"/>
    <w:rsid w:val="00470481"/>
    <w:rsid w:val="0047069E"/>
    <w:rsid w:val="0047077B"/>
    <w:rsid w:val="00470CDE"/>
    <w:rsid w:val="00470EC3"/>
    <w:rsid w:val="00470F5A"/>
    <w:rsid w:val="00471039"/>
    <w:rsid w:val="00471075"/>
    <w:rsid w:val="004711C5"/>
    <w:rsid w:val="00471205"/>
    <w:rsid w:val="00471282"/>
    <w:rsid w:val="004712CE"/>
    <w:rsid w:val="00471300"/>
    <w:rsid w:val="00471396"/>
    <w:rsid w:val="004713AF"/>
    <w:rsid w:val="0047159B"/>
    <w:rsid w:val="00471600"/>
    <w:rsid w:val="004716AE"/>
    <w:rsid w:val="004719B9"/>
    <w:rsid w:val="004719DE"/>
    <w:rsid w:val="00471A6D"/>
    <w:rsid w:val="00471B49"/>
    <w:rsid w:val="00471B6F"/>
    <w:rsid w:val="00471C32"/>
    <w:rsid w:val="00471D3C"/>
    <w:rsid w:val="00471DD5"/>
    <w:rsid w:val="00471DDD"/>
    <w:rsid w:val="00471F16"/>
    <w:rsid w:val="00471F3E"/>
    <w:rsid w:val="00472043"/>
    <w:rsid w:val="0047206E"/>
    <w:rsid w:val="004720B5"/>
    <w:rsid w:val="004720F4"/>
    <w:rsid w:val="004721E9"/>
    <w:rsid w:val="004722B2"/>
    <w:rsid w:val="004724CF"/>
    <w:rsid w:val="004724EE"/>
    <w:rsid w:val="004724FA"/>
    <w:rsid w:val="004725E1"/>
    <w:rsid w:val="00472621"/>
    <w:rsid w:val="00472715"/>
    <w:rsid w:val="0047273D"/>
    <w:rsid w:val="00472784"/>
    <w:rsid w:val="004727E3"/>
    <w:rsid w:val="00472C38"/>
    <w:rsid w:val="00472C83"/>
    <w:rsid w:val="00472D47"/>
    <w:rsid w:val="00472D4E"/>
    <w:rsid w:val="00472F62"/>
    <w:rsid w:val="004730F2"/>
    <w:rsid w:val="004731AE"/>
    <w:rsid w:val="0047329B"/>
    <w:rsid w:val="004733DB"/>
    <w:rsid w:val="004734A6"/>
    <w:rsid w:val="00473548"/>
    <w:rsid w:val="0047363B"/>
    <w:rsid w:val="004736E9"/>
    <w:rsid w:val="004736FE"/>
    <w:rsid w:val="0047370C"/>
    <w:rsid w:val="004738BC"/>
    <w:rsid w:val="00473977"/>
    <w:rsid w:val="004739FD"/>
    <w:rsid w:val="00473C1A"/>
    <w:rsid w:val="00473E4E"/>
    <w:rsid w:val="00473E98"/>
    <w:rsid w:val="00473F40"/>
    <w:rsid w:val="00474068"/>
    <w:rsid w:val="00474291"/>
    <w:rsid w:val="004742C0"/>
    <w:rsid w:val="004745C6"/>
    <w:rsid w:val="0047469B"/>
    <w:rsid w:val="0047473C"/>
    <w:rsid w:val="004747DB"/>
    <w:rsid w:val="004747F9"/>
    <w:rsid w:val="0047485F"/>
    <w:rsid w:val="0047488C"/>
    <w:rsid w:val="00474893"/>
    <w:rsid w:val="00474992"/>
    <w:rsid w:val="00474ACD"/>
    <w:rsid w:val="00474C47"/>
    <w:rsid w:val="00474C80"/>
    <w:rsid w:val="00474CDC"/>
    <w:rsid w:val="00474D69"/>
    <w:rsid w:val="00474E37"/>
    <w:rsid w:val="00474E59"/>
    <w:rsid w:val="00474F99"/>
    <w:rsid w:val="0047500A"/>
    <w:rsid w:val="00475050"/>
    <w:rsid w:val="004752F1"/>
    <w:rsid w:val="004753CA"/>
    <w:rsid w:val="00475604"/>
    <w:rsid w:val="00475643"/>
    <w:rsid w:val="0047565F"/>
    <w:rsid w:val="00475718"/>
    <w:rsid w:val="0047574D"/>
    <w:rsid w:val="004757CC"/>
    <w:rsid w:val="004757F1"/>
    <w:rsid w:val="0047582F"/>
    <w:rsid w:val="0047586A"/>
    <w:rsid w:val="004758EA"/>
    <w:rsid w:val="00475990"/>
    <w:rsid w:val="00475A4A"/>
    <w:rsid w:val="00475EFA"/>
    <w:rsid w:val="00475F6C"/>
    <w:rsid w:val="0047607C"/>
    <w:rsid w:val="004760C8"/>
    <w:rsid w:val="00476288"/>
    <w:rsid w:val="0047634C"/>
    <w:rsid w:val="0047634F"/>
    <w:rsid w:val="0047640D"/>
    <w:rsid w:val="00476449"/>
    <w:rsid w:val="00476590"/>
    <w:rsid w:val="00476701"/>
    <w:rsid w:val="00476791"/>
    <w:rsid w:val="0047696A"/>
    <w:rsid w:val="00476A73"/>
    <w:rsid w:val="00476C67"/>
    <w:rsid w:val="00476C88"/>
    <w:rsid w:val="00476D2E"/>
    <w:rsid w:val="00476D45"/>
    <w:rsid w:val="00476DFD"/>
    <w:rsid w:val="00476E03"/>
    <w:rsid w:val="00476E46"/>
    <w:rsid w:val="00476EFB"/>
    <w:rsid w:val="0047700C"/>
    <w:rsid w:val="00477023"/>
    <w:rsid w:val="00477099"/>
    <w:rsid w:val="004771A0"/>
    <w:rsid w:val="0047722B"/>
    <w:rsid w:val="004773F1"/>
    <w:rsid w:val="004773FD"/>
    <w:rsid w:val="00477469"/>
    <w:rsid w:val="0047749A"/>
    <w:rsid w:val="004775E7"/>
    <w:rsid w:val="004777CA"/>
    <w:rsid w:val="0047788B"/>
    <w:rsid w:val="004779F5"/>
    <w:rsid w:val="00477AD8"/>
    <w:rsid w:val="00477E79"/>
    <w:rsid w:val="00477EA4"/>
    <w:rsid w:val="00477EBC"/>
    <w:rsid w:val="00477FAE"/>
    <w:rsid w:val="0048003A"/>
    <w:rsid w:val="00480276"/>
    <w:rsid w:val="004802B4"/>
    <w:rsid w:val="004802D7"/>
    <w:rsid w:val="004802F8"/>
    <w:rsid w:val="0048051D"/>
    <w:rsid w:val="004805CE"/>
    <w:rsid w:val="004806E0"/>
    <w:rsid w:val="004807A1"/>
    <w:rsid w:val="004809BB"/>
    <w:rsid w:val="00480AC5"/>
    <w:rsid w:val="00480D03"/>
    <w:rsid w:val="00480D65"/>
    <w:rsid w:val="00480D7E"/>
    <w:rsid w:val="00480E2F"/>
    <w:rsid w:val="004810E8"/>
    <w:rsid w:val="0048116E"/>
    <w:rsid w:val="0048125A"/>
    <w:rsid w:val="0048128D"/>
    <w:rsid w:val="00481295"/>
    <w:rsid w:val="004812FB"/>
    <w:rsid w:val="00481459"/>
    <w:rsid w:val="0048148A"/>
    <w:rsid w:val="00481533"/>
    <w:rsid w:val="0048161B"/>
    <w:rsid w:val="004817F3"/>
    <w:rsid w:val="00481A9A"/>
    <w:rsid w:val="00481B3B"/>
    <w:rsid w:val="00481B66"/>
    <w:rsid w:val="00481D91"/>
    <w:rsid w:val="00481E55"/>
    <w:rsid w:val="00481F81"/>
    <w:rsid w:val="00481F84"/>
    <w:rsid w:val="0048200F"/>
    <w:rsid w:val="004820E1"/>
    <w:rsid w:val="004821CE"/>
    <w:rsid w:val="004821D7"/>
    <w:rsid w:val="004823D5"/>
    <w:rsid w:val="004824E1"/>
    <w:rsid w:val="00482584"/>
    <w:rsid w:val="00482695"/>
    <w:rsid w:val="0048271E"/>
    <w:rsid w:val="00482780"/>
    <w:rsid w:val="0048278D"/>
    <w:rsid w:val="0048279B"/>
    <w:rsid w:val="0048293C"/>
    <w:rsid w:val="00482985"/>
    <w:rsid w:val="00482A99"/>
    <w:rsid w:val="00482C02"/>
    <w:rsid w:val="00482C83"/>
    <w:rsid w:val="00482D80"/>
    <w:rsid w:val="00482F09"/>
    <w:rsid w:val="00482FF5"/>
    <w:rsid w:val="004831D0"/>
    <w:rsid w:val="00483238"/>
    <w:rsid w:val="00483295"/>
    <w:rsid w:val="00483324"/>
    <w:rsid w:val="00483381"/>
    <w:rsid w:val="00483399"/>
    <w:rsid w:val="00483522"/>
    <w:rsid w:val="004835A2"/>
    <w:rsid w:val="00483764"/>
    <w:rsid w:val="00483777"/>
    <w:rsid w:val="00483820"/>
    <w:rsid w:val="00483A20"/>
    <w:rsid w:val="00483B40"/>
    <w:rsid w:val="00483F1D"/>
    <w:rsid w:val="00484040"/>
    <w:rsid w:val="00484364"/>
    <w:rsid w:val="00484367"/>
    <w:rsid w:val="004843E0"/>
    <w:rsid w:val="004844D9"/>
    <w:rsid w:val="0048459C"/>
    <w:rsid w:val="004845CA"/>
    <w:rsid w:val="004845F8"/>
    <w:rsid w:val="00484642"/>
    <w:rsid w:val="00484705"/>
    <w:rsid w:val="00484914"/>
    <w:rsid w:val="00484969"/>
    <w:rsid w:val="00484AA4"/>
    <w:rsid w:val="00484B7F"/>
    <w:rsid w:val="00484BC5"/>
    <w:rsid w:val="00484BEE"/>
    <w:rsid w:val="00484D5E"/>
    <w:rsid w:val="00484E9B"/>
    <w:rsid w:val="00484F04"/>
    <w:rsid w:val="00484F60"/>
    <w:rsid w:val="00484F74"/>
    <w:rsid w:val="00484FBD"/>
    <w:rsid w:val="00485051"/>
    <w:rsid w:val="00485069"/>
    <w:rsid w:val="00485083"/>
    <w:rsid w:val="00485113"/>
    <w:rsid w:val="0048525D"/>
    <w:rsid w:val="004852D7"/>
    <w:rsid w:val="00485310"/>
    <w:rsid w:val="00485327"/>
    <w:rsid w:val="00485343"/>
    <w:rsid w:val="004854B4"/>
    <w:rsid w:val="004854BC"/>
    <w:rsid w:val="004855DB"/>
    <w:rsid w:val="00485617"/>
    <w:rsid w:val="0048563A"/>
    <w:rsid w:val="004856B0"/>
    <w:rsid w:val="004856F1"/>
    <w:rsid w:val="00485721"/>
    <w:rsid w:val="004857BF"/>
    <w:rsid w:val="00485940"/>
    <w:rsid w:val="004859E9"/>
    <w:rsid w:val="00485A15"/>
    <w:rsid w:val="00485B0D"/>
    <w:rsid w:val="00485CCA"/>
    <w:rsid w:val="00485E31"/>
    <w:rsid w:val="00485E4E"/>
    <w:rsid w:val="00485F0D"/>
    <w:rsid w:val="00485F0E"/>
    <w:rsid w:val="00485F1D"/>
    <w:rsid w:val="00485F33"/>
    <w:rsid w:val="00486024"/>
    <w:rsid w:val="004860B3"/>
    <w:rsid w:val="0048626D"/>
    <w:rsid w:val="004862C0"/>
    <w:rsid w:val="0048630D"/>
    <w:rsid w:val="00486418"/>
    <w:rsid w:val="00486497"/>
    <w:rsid w:val="004864C5"/>
    <w:rsid w:val="00486611"/>
    <w:rsid w:val="004866A0"/>
    <w:rsid w:val="0048670A"/>
    <w:rsid w:val="0048680D"/>
    <w:rsid w:val="0048685D"/>
    <w:rsid w:val="004868E0"/>
    <w:rsid w:val="004869DB"/>
    <w:rsid w:val="00486BCD"/>
    <w:rsid w:val="00486C07"/>
    <w:rsid w:val="00486C53"/>
    <w:rsid w:val="00486CD0"/>
    <w:rsid w:val="00486D96"/>
    <w:rsid w:val="00486E11"/>
    <w:rsid w:val="00486FF3"/>
    <w:rsid w:val="00486FFC"/>
    <w:rsid w:val="0048700F"/>
    <w:rsid w:val="0048709A"/>
    <w:rsid w:val="00487317"/>
    <w:rsid w:val="004873A3"/>
    <w:rsid w:val="00487460"/>
    <w:rsid w:val="004874AB"/>
    <w:rsid w:val="004875ED"/>
    <w:rsid w:val="004875FE"/>
    <w:rsid w:val="0048772D"/>
    <w:rsid w:val="004878FF"/>
    <w:rsid w:val="0048790C"/>
    <w:rsid w:val="004879A1"/>
    <w:rsid w:val="00487A3B"/>
    <w:rsid w:val="00487B3F"/>
    <w:rsid w:val="00487DB0"/>
    <w:rsid w:val="00487EF7"/>
    <w:rsid w:val="00487F3A"/>
    <w:rsid w:val="0049012E"/>
    <w:rsid w:val="004901AF"/>
    <w:rsid w:val="004902AF"/>
    <w:rsid w:val="00490460"/>
    <w:rsid w:val="0049047B"/>
    <w:rsid w:val="004905AB"/>
    <w:rsid w:val="004907F8"/>
    <w:rsid w:val="0049085E"/>
    <w:rsid w:val="00490925"/>
    <w:rsid w:val="004909A2"/>
    <w:rsid w:val="00490B05"/>
    <w:rsid w:val="00490C20"/>
    <w:rsid w:val="00490D6F"/>
    <w:rsid w:val="00490E29"/>
    <w:rsid w:val="00490E34"/>
    <w:rsid w:val="00490EA6"/>
    <w:rsid w:val="00490F0C"/>
    <w:rsid w:val="00491044"/>
    <w:rsid w:val="004910C7"/>
    <w:rsid w:val="004911D1"/>
    <w:rsid w:val="0049127C"/>
    <w:rsid w:val="004912A6"/>
    <w:rsid w:val="004912BE"/>
    <w:rsid w:val="004912D2"/>
    <w:rsid w:val="004913A7"/>
    <w:rsid w:val="004913AC"/>
    <w:rsid w:val="0049175C"/>
    <w:rsid w:val="004918A0"/>
    <w:rsid w:val="004918E3"/>
    <w:rsid w:val="00491994"/>
    <w:rsid w:val="004919A1"/>
    <w:rsid w:val="00491A14"/>
    <w:rsid w:val="00491A17"/>
    <w:rsid w:val="00491D2E"/>
    <w:rsid w:val="00491E93"/>
    <w:rsid w:val="00491EA7"/>
    <w:rsid w:val="00491F2A"/>
    <w:rsid w:val="00491FA6"/>
    <w:rsid w:val="00492068"/>
    <w:rsid w:val="004920AC"/>
    <w:rsid w:val="004920E7"/>
    <w:rsid w:val="00492176"/>
    <w:rsid w:val="004922F4"/>
    <w:rsid w:val="004923FD"/>
    <w:rsid w:val="004924C8"/>
    <w:rsid w:val="0049253C"/>
    <w:rsid w:val="00492610"/>
    <w:rsid w:val="0049277E"/>
    <w:rsid w:val="00492976"/>
    <w:rsid w:val="00492B56"/>
    <w:rsid w:val="00492BF3"/>
    <w:rsid w:val="00492C6D"/>
    <w:rsid w:val="00492CD7"/>
    <w:rsid w:val="00492DEA"/>
    <w:rsid w:val="00492EF7"/>
    <w:rsid w:val="00492FD4"/>
    <w:rsid w:val="00493030"/>
    <w:rsid w:val="00493110"/>
    <w:rsid w:val="004931E2"/>
    <w:rsid w:val="00493332"/>
    <w:rsid w:val="004933A5"/>
    <w:rsid w:val="0049348D"/>
    <w:rsid w:val="004934BB"/>
    <w:rsid w:val="004935B1"/>
    <w:rsid w:val="004935C1"/>
    <w:rsid w:val="004935C5"/>
    <w:rsid w:val="0049381C"/>
    <w:rsid w:val="0049381E"/>
    <w:rsid w:val="00493849"/>
    <w:rsid w:val="00493B7F"/>
    <w:rsid w:val="00493C7B"/>
    <w:rsid w:val="00493CC3"/>
    <w:rsid w:val="00493D4D"/>
    <w:rsid w:val="00493D50"/>
    <w:rsid w:val="00494044"/>
    <w:rsid w:val="004941E5"/>
    <w:rsid w:val="004942A0"/>
    <w:rsid w:val="00494425"/>
    <w:rsid w:val="0049445E"/>
    <w:rsid w:val="00494470"/>
    <w:rsid w:val="00494569"/>
    <w:rsid w:val="0049466D"/>
    <w:rsid w:val="00494892"/>
    <w:rsid w:val="00494B21"/>
    <w:rsid w:val="00494B56"/>
    <w:rsid w:val="00494CF1"/>
    <w:rsid w:val="00494D83"/>
    <w:rsid w:val="00494EB4"/>
    <w:rsid w:val="00495181"/>
    <w:rsid w:val="004951C0"/>
    <w:rsid w:val="00495214"/>
    <w:rsid w:val="0049521D"/>
    <w:rsid w:val="00495266"/>
    <w:rsid w:val="0049541C"/>
    <w:rsid w:val="004954B6"/>
    <w:rsid w:val="004954E9"/>
    <w:rsid w:val="004954F2"/>
    <w:rsid w:val="0049556B"/>
    <w:rsid w:val="00495615"/>
    <w:rsid w:val="00495719"/>
    <w:rsid w:val="004957E0"/>
    <w:rsid w:val="0049588A"/>
    <w:rsid w:val="00495AE7"/>
    <w:rsid w:val="00495B35"/>
    <w:rsid w:val="00495B7A"/>
    <w:rsid w:val="00495B9B"/>
    <w:rsid w:val="00495BBC"/>
    <w:rsid w:val="00495BD7"/>
    <w:rsid w:val="00495BFE"/>
    <w:rsid w:val="00495CA5"/>
    <w:rsid w:val="00495CF8"/>
    <w:rsid w:val="00495DB5"/>
    <w:rsid w:val="00495DF2"/>
    <w:rsid w:val="00495F8F"/>
    <w:rsid w:val="00495F9C"/>
    <w:rsid w:val="00495FB3"/>
    <w:rsid w:val="00496036"/>
    <w:rsid w:val="00496119"/>
    <w:rsid w:val="004961A3"/>
    <w:rsid w:val="0049624B"/>
    <w:rsid w:val="0049630F"/>
    <w:rsid w:val="004963EF"/>
    <w:rsid w:val="004964BA"/>
    <w:rsid w:val="00496540"/>
    <w:rsid w:val="0049663C"/>
    <w:rsid w:val="0049669D"/>
    <w:rsid w:val="00496837"/>
    <w:rsid w:val="00496850"/>
    <w:rsid w:val="004968A2"/>
    <w:rsid w:val="0049692B"/>
    <w:rsid w:val="00496945"/>
    <w:rsid w:val="00496A58"/>
    <w:rsid w:val="00496AB1"/>
    <w:rsid w:val="00496B04"/>
    <w:rsid w:val="00496B06"/>
    <w:rsid w:val="00496BED"/>
    <w:rsid w:val="00496C87"/>
    <w:rsid w:val="00496CCF"/>
    <w:rsid w:val="00496E4C"/>
    <w:rsid w:val="00497043"/>
    <w:rsid w:val="004970DA"/>
    <w:rsid w:val="0049716A"/>
    <w:rsid w:val="0049718F"/>
    <w:rsid w:val="0049719A"/>
    <w:rsid w:val="004971A3"/>
    <w:rsid w:val="00497347"/>
    <w:rsid w:val="004973C4"/>
    <w:rsid w:val="00497498"/>
    <w:rsid w:val="0049751B"/>
    <w:rsid w:val="004975E3"/>
    <w:rsid w:val="0049773D"/>
    <w:rsid w:val="00497740"/>
    <w:rsid w:val="004977D1"/>
    <w:rsid w:val="00497859"/>
    <w:rsid w:val="0049798A"/>
    <w:rsid w:val="00497A77"/>
    <w:rsid w:val="00497ACE"/>
    <w:rsid w:val="00497C73"/>
    <w:rsid w:val="00497DD6"/>
    <w:rsid w:val="00497F62"/>
    <w:rsid w:val="004A0151"/>
    <w:rsid w:val="004A017A"/>
    <w:rsid w:val="004A01B9"/>
    <w:rsid w:val="004A028A"/>
    <w:rsid w:val="004A029E"/>
    <w:rsid w:val="004A0457"/>
    <w:rsid w:val="004A04DD"/>
    <w:rsid w:val="004A0507"/>
    <w:rsid w:val="004A0637"/>
    <w:rsid w:val="004A0651"/>
    <w:rsid w:val="004A0715"/>
    <w:rsid w:val="004A072B"/>
    <w:rsid w:val="004A07AE"/>
    <w:rsid w:val="004A07EE"/>
    <w:rsid w:val="004A07F7"/>
    <w:rsid w:val="004A09A8"/>
    <w:rsid w:val="004A0C6B"/>
    <w:rsid w:val="004A0D72"/>
    <w:rsid w:val="004A0DCD"/>
    <w:rsid w:val="004A0E16"/>
    <w:rsid w:val="004A0E19"/>
    <w:rsid w:val="004A0E2F"/>
    <w:rsid w:val="004A0EF5"/>
    <w:rsid w:val="004A104C"/>
    <w:rsid w:val="004A138E"/>
    <w:rsid w:val="004A13A1"/>
    <w:rsid w:val="004A1418"/>
    <w:rsid w:val="004A1444"/>
    <w:rsid w:val="004A1489"/>
    <w:rsid w:val="004A1675"/>
    <w:rsid w:val="004A16AC"/>
    <w:rsid w:val="004A1A38"/>
    <w:rsid w:val="004A1A3D"/>
    <w:rsid w:val="004A1BDC"/>
    <w:rsid w:val="004A1CFD"/>
    <w:rsid w:val="004A1DA6"/>
    <w:rsid w:val="004A1DE4"/>
    <w:rsid w:val="004A1F22"/>
    <w:rsid w:val="004A1FE8"/>
    <w:rsid w:val="004A202C"/>
    <w:rsid w:val="004A21BB"/>
    <w:rsid w:val="004A236D"/>
    <w:rsid w:val="004A23B8"/>
    <w:rsid w:val="004A2430"/>
    <w:rsid w:val="004A2455"/>
    <w:rsid w:val="004A2466"/>
    <w:rsid w:val="004A2499"/>
    <w:rsid w:val="004A25A5"/>
    <w:rsid w:val="004A2971"/>
    <w:rsid w:val="004A29DB"/>
    <w:rsid w:val="004A2B10"/>
    <w:rsid w:val="004A2B30"/>
    <w:rsid w:val="004A2C57"/>
    <w:rsid w:val="004A2FC6"/>
    <w:rsid w:val="004A301B"/>
    <w:rsid w:val="004A303A"/>
    <w:rsid w:val="004A30D4"/>
    <w:rsid w:val="004A332B"/>
    <w:rsid w:val="004A3413"/>
    <w:rsid w:val="004A35BD"/>
    <w:rsid w:val="004A35CA"/>
    <w:rsid w:val="004A36ED"/>
    <w:rsid w:val="004A3709"/>
    <w:rsid w:val="004A38F7"/>
    <w:rsid w:val="004A393E"/>
    <w:rsid w:val="004A3AD5"/>
    <w:rsid w:val="004A3B35"/>
    <w:rsid w:val="004A3FF5"/>
    <w:rsid w:val="004A40CB"/>
    <w:rsid w:val="004A417B"/>
    <w:rsid w:val="004A41B8"/>
    <w:rsid w:val="004A4255"/>
    <w:rsid w:val="004A44B5"/>
    <w:rsid w:val="004A454E"/>
    <w:rsid w:val="004A457E"/>
    <w:rsid w:val="004A4652"/>
    <w:rsid w:val="004A4757"/>
    <w:rsid w:val="004A47AC"/>
    <w:rsid w:val="004A489A"/>
    <w:rsid w:val="004A49F7"/>
    <w:rsid w:val="004A4A73"/>
    <w:rsid w:val="004A4B58"/>
    <w:rsid w:val="004A4BC5"/>
    <w:rsid w:val="004A4C05"/>
    <w:rsid w:val="004A4C94"/>
    <w:rsid w:val="004A4DB6"/>
    <w:rsid w:val="004A4DFB"/>
    <w:rsid w:val="004A4E0D"/>
    <w:rsid w:val="004A4FD5"/>
    <w:rsid w:val="004A50A8"/>
    <w:rsid w:val="004A50C3"/>
    <w:rsid w:val="004A50DF"/>
    <w:rsid w:val="004A514F"/>
    <w:rsid w:val="004A528F"/>
    <w:rsid w:val="004A54D3"/>
    <w:rsid w:val="004A5517"/>
    <w:rsid w:val="004A56C3"/>
    <w:rsid w:val="004A572C"/>
    <w:rsid w:val="004A572E"/>
    <w:rsid w:val="004A575C"/>
    <w:rsid w:val="004A579E"/>
    <w:rsid w:val="004A5837"/>
    <w:rsid w:val="004A5AF9"/>
    <w:rsid w:val="004A5C2A"/>
    <w:rsid w:val="004A5C93"/>
    <w:rsid w:val="004A5CCF"/>
    <w:rsid w:val="004A5EF6"/>
    <w:rsid w:val="004A5FDD"/>
    <w:rsid w:val="004A61A6"/>
    <w:rsid w:val="004A61E9"/>
    <w:rsid w:val="004A6289"/>
    <w:rsid w:val="004A632E"/>
    <w:rsid w:val="004A6365"/>
    <w:rsid w:val="004A639D"/>
    <w:rsid w:val="004A6444"/>
    <w:rsid w:val="004A64B9"/>
    <w:rsid w:val="004A6517"/>
    <w:rsid w:val="004A66BD"/>
    <w:rsid w:val="004A6788"/>
    <w:rsid w:val="004A6899"/>
    <w:rsid w:val="004A6983"/>
    <w:rsid w:val="004A69BB"/>
    <w:rsid w:val="004A6A6B"/>
    <w:rsid w:val="004A6A73"/>
    <w:rsid w:val="004A6AA9"/>
    <w:rsid w:val="004A6AF2"/>
    <w:rsid w:val="004A6C04"/>
    <w:rsid w:val="004A6E28"/>
    <w:rsid w:val="004A6E31"/>
    <w:rsid w:val="004A6E34"/>
    <w:rsid w:val="004A7028"/>
    <w:rsid w:val="004A70B0"/>
    <w:rsid w:val="004A70ED"/>
    <w:rsid w:val="004A73BB"/>
    <w:rsid w:val="004A7460"/>
    <w:rsid w:val="004A7889"/>
    <w:rsid w:val="004A78C0"/>
    <w:rsid w:val="004A7966"/>
    <w:rsid w:val="004A79AB"/>
    <w:rsid w:val="004A7A9A"/>
    <w:rsid w:val="004A7CCF"/>
    <w:rsid w:val="004A7CE1"/>
    <w:rsid w:val="004A7D3A"/>
    <w:rsid w:val="004A7DB6"/>
    <w:rsid w:val="004A7E3E"/>
    <w:rsid w:val="004A7E9C"/>
    <w:rsid w:val="004A7F25"/>
    <w:rsid w:val="004A7FE2"/>
    <w:rsid w:val="004B0092"/>
    <w:rsid w:val="004B0103"/>
    <w:rsid w:val="004B0117"/>
    <w:rsid w:val="004B021F"/>
    <w:rsid w:val="004B0269"/>
    <w:rsid w:val="004B02E0"/>
    <w:rsid w:val="004B03F8"/>
    <w:rsid w:val="004B058E"/>
    <w:rsid w:val="004B061F"/>
    <w:rsid w:val="004B08AD"/>
    <w:rsid w:val="004B090E"/>
    <w:rsid w:val="004B092C"/>
    <w:rsid w:val="004B0972"/>
    <w:rsid w:val="004B0984"/>
    <w:rsid w:val="004B0AB8"/>
    <w:rsid w:val="004B0B24"/>
    <w:rsid w:val="004B0B5B"/>
    <w:rsid w:val="004B0B8F"/>
    <w:rsid w:val="004B0DA3"/>
    <w:rsid w:val="004B0DAA"/>
    <w:rsid w:val="004B0E90"/>
    <w:rsid w:val="004B107B"/>
    <w:rsid w:val="004B1296"/>
    <w:rsid w:val="004B12C6"/>
    <w:rsid w:val="004B134A"/>
    <w:rsid w:val="004B140E"/>
    <w:rsid w:val="004B1414"/>
    <w:rsid w:val="004B14D1"/>
    <w:rsid w:val="004B153E"/>
    <w:rsid w:val="004B1560"/>
    <w:rsid w:val="004B15A8"/>
    <w:rsid w:val="004B168D"/>
    <w:rsid w:val="004B1804"/>
    <w:rsid w:val="004B18C7"/>
    <w:rsid w:val="004B1AEE"/>
    <w:rsid w:val="004B1B11"/>
    <w:rsid w:val="004B1CE5"/>
    <w:rsid w:val="004B1DC6"/>
    <w:rsid w:val="004B1E64"/>
    <w:rsid w:val="004B1F5E"/>
    <w:rsid w:val="004B2059"/>
    <w:rsid w:val="004B2063"/>
    <w:rsid w:val="004B222E"/>
    <w:rsid w:val="004B22BE"/>
    <w:rsid w:val="004B233E"/>
    <w:rsid w:val="004B23B2"/>
    <w:rsid w:val="004B23EB"/>
    <w:rsid w:val="004B2439"/>
    <w:rsid w:val="004B2510"/>
    <w:rsid w:val="004B2542"/>
    <w:rsid w:val="004B2565"/>
    <w:rsid w:val="004B26EA"/>
    <w:rsid w:val="004B277A"/>
    <w:rsid w:val="004B277E"/>
    <w:rsid w:val="004B27CD"/>
    <w:rsid w:val="004B2820"/>
    <w:rsid w:val="004B29BD"/>
    <w:rsid w:val="004B2B11"/>
    <w:rsid w:val="004B2B9D"/>
    <w:rsid w:val="004B2BF0"/>
    <w:rsid w:val="004B2C56"/>
    <w:rsid w:val="004B2D53"/>
    <w:rsid w:val="004B2F03"/>
    <w:rsid w:val="004B2F5C"/>
    <w:rsid w:val="004B2F75"/>
    <w:rsid w:val="004B2FCE"/>
    <w:rsid w:val="004B2FD7"/>
    <w:rsid w:val="004B3001"/>
    <w:rsid w:val="004B344B"/>
    <w:rsid w:val="004B37BA"/>
    <w:rsid w:val="004B3876"/>
    <w:rsid w:val="004B3934"/>
    <w:rsid w:val="004B3A12"/>
    <w:rsid w:val="004B3A7F"/>
    <w:rsid w:val="004B3A87"/>
    <w:rsid w:val="004B3B06"/>
    <w:rsid w:val="004B3B75"/>
    <w:rsid w:val="004B3C7D"/>
    <w:rsid w:val="004B3EE3"/>
    <w:rsid w:val="004B4095"/>
    <w:rsid w:val="004B40E8"/>
    <w:rsid w:val="004B41D1"/>
    <w:rsid w:val="004B429B"/>
    <w:rsid w:val="004B42E6"/>
    <w:rsid w:val="004B4461"/>
    <w:rsid w:val="004B44AD"/>
    <w:rsid w:val="004B44EB"/>
    <w:rsid w:val="004B4524"/>
    <w:rsid w:val="004B4533"/>
    <w:rsid w:val="004B4616"/>
    <w:rsid w:val="004B46E1"/>
    <w:rsid w:val="004B46F6"/>
    <w:rsid w:val="004B4982"/>
    <w:rsid w:val="004B4A21"/>
    <w:rsid w:val="004B4A33"/>
    <w:rsid w:val="004B4AE8"/>
    <w:rsid w:val="004B4B04"/>
    <w:rsid w:val="004B4BE9"/>
    <w:rsid w:val="004B4C21"/>
    <w:rsid w:val="004B4C47"/>
    <w:rsid w:val="004B4CB8"/>
    <w:rsid w:val="004B4D4A"/>
    <w:rsid w:val="004B4E40"/>
    <w:rsid w:val="004B4EC3"/>
    <w:rsid w:val="004B4FB2"/>
    <w:rsid w:val="004B4FDE"/>
    <w:rsid w:val="004B500F"/>
    <w:rsid w:val="004B5020"/>
    <w:rsid w:val="004B50A7"/>
    <w:rsid w:val="004B5133"/>
    <w:rsid w:val="004B51B0"/>
    <w:rsid w:val="004B520A"/>
    <w:rsid w:val="004B539F"/>
    <w:rsid w:val="004B53C4"/>
    <w:rsid w:val="004B5402"/>
    <w:rsid w:val="004B54B8"/>
    <w:rsid w:val="004B550E"/>
    <w:rsid w:val="004B5614"/>
    <w:rsid w:val="004B570E"/>
    <w:rsid w:val="004B5765"/>
    <w:rsid w:val="004B5789"/>
    <w:rsid w:val="004B5AE5"/>
    <w:rsid w:val="004B5B2E"/>
    <w:rsid w:val="004B5BFF"/>
    <w:rsid w:val="004B5E96"/>
    <w:rsid w:val="004B5F29"/>
    <w:rsid w:val="004B5FC7"/>
    <w:rsid w:val="004B5FF9"/>
    <w:rsid w:val="004B601D"/>
    <w:rsid w:val="004B60DD"/>
    <w:rsid w:val="004B61CE"/>
    <w:rsid w:val="004B62AC"/>
    <w:rsid w:val="004B62B5"/>
    <w:rsid w:val="004B64D7"/>
    <w:rsid w:val="004B6528"/>
    <w:rsid w:val="004B6565"/>
    <w:rsid w:val="004B6782"/>
    <w:rsid w:val="004B68AE"/>
    <w:rsid w:val="004B6912"/>
    <w:rsid w:val="004B6972"/>
    <w:rsid w:val="004B69F9"/>
    <w:rsid w:val="004B6BC4"/>
    <w:rsid w:val="004B6CBC"/>
    <w:rsid w:val="004B6E79"/>
    <w:rsid w:val="004B6E7B"/>
    <w:rsid w:val="004B7114"/>
    <w:rsid w:val="004B71F3"/>
    <w:rsid w:val="004B7240"/>
    <w:rsid w:val="004B7619"/>
    <w:rsid w:val="004B7629"/>
    <w:rsid w:val="004B766D"/>
    <w:rsid w:val="004B780E"/>
    <w:rsid w:val="004B799C"/>
    <w:rsid w:val="004B7A68"/>
    <w:rsid w:val="004B7B06"/>
    <w:rsid w:val="004B7BB1"/>
    <w:rsid w:val="004B7D81"/>
    <w:rsid w:val="004B7DE6"/>
    <w:rsid w:val="004B7EC0"/>
    <w:rsid w:val="004B7F7D"/>
    <w:rsid w:val="004C01C8"/>
    <w:rsid w:val="004C02F2"/>
    <w:rsid w:val="004C036A"/>
    <w:rsid w:val="004C03D8"/>
    <w:rsid w:val="004C0548"/>
    <w:rsid w:val="004C0591"/>
    <w:rsid w:val="004C08C8"/>
    <w:rsid w:val="004C098B"/>
    <w:rsid w:val="004C09C7"/>
    <w:rsid w:val="004C09CC"/>
    <w:rsid w:val="004C0A4D"/>
    <w:rsid w:val="004C0B08"/>
    <w:rsid w:val="004C0D79"/>
    <w:rsid w:val="004C0DD2"/>
    <w:rsid w:val="004C0DD8"/>
    <w:rsid w:val="004C10E7"/>
    <w:rsid w:val="004C113C"/>
    <w:rsid w:val="004C1168"/>
    <w:rsid w:val="004C1284"/>
    <w:rsid w:val="004C1463"/>
    <w:rsid w:val="004C1465"/>
    <w:rsid w:val="004C14BF"/>
    <w:rsid w:val="004C1511"/>
    <w:rsid w:val="004C15D1"/>
    <w:rsid w:val="004C1652"/>
    <w:rsid w:val="004C18E9"/>
    <w:rsid w:val="004C1913"/>
    <w:rsid w:val="004C1A3E"/>
    <w:rsid w:val="004C1A72"/>
    <w:rsid w:val="004C1ADC"/>
    <w:rsid w:val="004C1B0E"/>
    <w:rsid w:val="004C1BCA"/>
    <w:rsid w:val="004C1C44"/>
    <w:rsid w:val="004C1D0F"/>
    <w:rsid w:val="004C1D19"/>
    <w:rsid w:val="004C1D65"/>
    <w:rsid w:val="004C1FBD"/>
    <w:rsid w:val="004C1FFD"/>
    <w:rsid w:val="004C20B3"/>
    <w:rsid w:val="004C20DF"/>
    <w:rsid w:val="004C20F3"/>
    <w:rsid w:val="004C21FB"/>
    <w:rsid w:val="004C225A"/>
    <w:rsid w:val="004C22D9"/>
    <w:rsid w:val="004C230F"/>
    <w:rsid w:val="004C2362"/>
    <w:rsid w:val="004C23AF"/>
    <w:rsid w:val="004C23DF"/>
    <w:rsid w:val="004C23F1"/>
    <w:rsid w:val="004C2491"/>
    <w:rsid w:val="004C24DA"/>
    <w:rsid w:val="004C24DF"/>
    <w:rsid w:val="004C24FC"/>
    <w:rsid w:val="004C256B"/>
    <w:rsid w:val="004C2678"/>
    <w:rsid w:val="004C26D0"/>
    <w:rsid w:val="004C299F"/>
    <w:rsid w:val="004C2CBB"/>
    <w:rsid w:val="004C2D13"/>
    <w:rsid w:val="004C2DF6"/>
    <w:rsid w:val="004C2E95"/>
    <w:rsid w:val="004C2FBC"/>
    <w:rsid w:val="004C301B"/>
    <w:rsid w:val="004C30B3"/>
    <w:rsid w:val="004C3190"/>
    <w:rsid w:val="004C3269"/>
    <w:rsid w:val="004C3513"/>
    <w:rsid w:val="004C35B5"/>
    <w:rsid w:val="004C3717"/>
    <w:rsid w:val="004C375E"/>
    <w:rsid w:val="004C3AB1"/>
    <w:rsid w:val="004C3CCF"/>
    <w:rsid w:val="004C3CDC"/>
    <w:rsid w:val="004C3CF5"/>
    <w:rsid w:val="004C3D42"/>
    <w:rsid w:val="004C3D87"/>
    <w:rsid w:val="004C3F00"/>
    <w:rsid w:val="004C3F27"/>
    <w:rsid w:val="004C3FED"/>
    <w:rsid w:val="004C40C8"/>
    <w:rsid w:val="004C4132"/>
    <w:rsid w:val="004C4197"/>
    <w:rsid w:val="004C441E"/>
    <w:rsid w:val="004C4435"/>
    <w:rsid w:val="004C4483"/>
    <w:rsid w:val="004C4587"/>
    <w:rsid w:val="004C463D"/>
    <w:rsid w:val="004C485A"/>
    <w:rsid w:val="004C490B"/>
    <w:rsid w:val="004C4B4F"/>
    <w:rsid w:val="004C4D0B"/>
    <w:rsid w:val="004C4D18"/>
    <w:rsid w:val="004C4D56"/>
    <w:rsid w:val="004C4D8F"/>
    <w:rsid w:val="004C4DE5"/>
    <w:rsid w:val="004C4E29"/>
    <w:rsid w:val="004C4E96"/>
    <w:rsid w:val="004C4EAD"/>
    <w:rsid w:val="004C4EE1"/>
    <w:rsid w:val="004C4F4A"/>
    <w:rsid w:val="004C4F5B"/>
    <w:rsid w:val="004C4FD8"/>
    <w:rsid w:val="004C5153"/>
    <w:rsid w:val="004C51DC"/>
    <w:rsid w:val="004C539F"/>
    <w:rsid w:val="004C53C5"/>
    <w:rsid w:val="004C553F"/>
    <w:rsid w:val="004C56AF"/>
    <w:rsid w:val="004C56C7"/>
    <w:rsid w:val="004C5708"/>
    <w:rsid w:val="004C5913"/>
    <w:rsid w:val="004C5967"/>
    <w:rsid w:val="004C5AAA"/>
    <w:rsid w:val="004C5B11"/>
    <w:rsid w:val="004C5B46"/>
    <w:rsid w:val="004C5BA5"/>
    <w:rsid w:val="004C5BB5"/>
    <w:rsid w:val="004C5C11"/>
    <w:rsid w:val="004C5E64"/>
    <w:rsid w:val="004C5EB4"/>
    <w:rsid w:val="004C5F24"/>
    <w:rsid w:val="004C6022"/>
    <w:rsid w:val="004C6048"/>
    <w:rsid w:val="004C6062"/>
    <w:rsid w:val="004C60CD"/>
    <w:rsid w:val="004C63F1"/>
    <w:rsid w:val="004C6427"/>
    <w:rsid w:val="004C6452"/>
    <w:rsid w:val="004C645B"/>
    <w:rsid w:val="004C6653"/>
    <w:rsid w:val="004C6790"/>
    <w:rsid w:val="004C6805"/>
    <w:rsid w:val="004C6A06"/>
    <w:rsid w:val="004C6A39"/>
    <w:rsid w:val="004C6A84"/>
    <w:rsid w:val="004C6B0B"/>
    <w:rsid w:val="004C6C4C"/>
    <w:rsid w:val="004C6CA5"/>
    <w:rsid w:val="004C6D10"/>
    <w:rsid w:val="004C6DA7"/>
    <w:rsid w:val="004C7185"/>
    <w:rsid w:val="004C71A1"/>
    <w:rsid w:val="004C722D"/>
    <w:rsid w:val="004C725D"/>
    <w:rsid w:val="004C72BE"/>
    <w:rsid w:val="004C770A"/>
    <w:rsid w:val="004C7962"/>
    <w:rsid w:val="004C796E"/>
    <w:rsid w:val="004C79D9"/>
    <w:rsid w:val="004C7DA7"/>
    <w:rsid w:val="004C7DFC"/>
    <w:rsid w:val="004C7FB4"/>
    <w:rsid w:val="004D00D8"/>
    <w:rsid w:val="004D02DF"/>
    <w:rsid w:val="004D0371"/>
    <w:rsid w:val="004D03DF"/>
    <w:rsid w:val="004D0429"/>
    <w:rsid w:val="004D0458"/>
    <w:rsid w:val="004D04D7"/>
    <w:rsid w:val="004D051D"/>
    <w:rsid w:val="004D05B1"/>
    <w:rsid w:val="004D073B"/>
    <w:rsid w:val="004D0878"/>
    <w:rsid w:val="004D08B6"/>
    <w:rsid w:val="004D0933"/>
    <w:rsid w:val="004D0A51"/>
    <w:rsid w:val="004D0AB0"/>
    <w:rsid w:val="004D0ADE"/>
    <w:rsid w:val="004D0AF6"/>
    <w:rsid w:val="004D0B17"/>
    <w:rsid w:val="004D0BB9"/>
    <w:rsid w:val="004D0CAE"/>
    <w:rsid w:val="004D0D5A"/>
    <w:rsid w:val="004D0D68"/>
    <w:rsid w:val="004D0EDD"/>
    <w:rsid w:val="004D1049"/>
    <w:rsid w:val="004D104F"/>
    <w:rsid w:val="004D10EB"/>
    <w:rsid w:val="004D1216"/>
    <w:rsid w:val="004D1376"/>
    <w:rsid w:val="004D13E6"/>
    <w:rsid w:val="004D14ED"/>
    <w:rsid w:val="004D14F8"/>
    <w:rsid w:val="004D15AE"/>
    <w:rsid w:val="004D15FB"/>
    <w:rsid w:val="004D163E"/>
    <w:rsid w:val="004D1698"/>
    <w:rsid w:val="004D1737"/>
    <w:rsid w:val="004D17F9"/>
    <w:rsid w:val="004D1892"/>
    <w:rsid w:val="004D1899"/>
    <w:rsid w:val="004D1970"/>
    <w:rsid w:val="004D197C"/>
    <w:rsid w:val="004D1A02"/>
    <w:rsid w:val="004D1C79"/>
    <w:rsid w:val="004D1D00"/>
    <w:rsid w:val="004D1D42"/>
    <w:rsid w:val="004D1DA9"/>
    <w:rsid w:val="004D1DD2"/>
    <w:rsid w:val="004D1E1B"/>
    <w:rsid w:val="004D1E71"/>
    <w:rsid w:val="004D1EBA"/>
    <w:rsid w:val="004D1EC9"/>
    <w:rsid w:val="004D1FDA"/>
    <w:rsid w:val="004D20A2"/>
    <w:rsid w:val="004D20B8"/>
    <w:rsid w:val="004D2188"/>
    <w:rsid w:val="004D2287"/>
    <w:rsid w:val="004D2435"/>
    <w:rsid w:val="004D244B"/>
    <w:rsid w:val="004D244F"/>
    <w:rsid w:val="004D24FD"/>
    <w:rsid w:val="004D2774"/>
    <w:rsid w:val="004D27D2"/>
    <w:rsid w:val="004D2823"/>
    <w:rsid w:val="004D28EB"/>
    <w:rsid w:val="004D292C"/>
    <w:rsid w:val="004D2C4B"/>
    <w:rsid w:val="004D2C78"/>
    <w:rsid w:val="004D2D18"/>
    <w:rsid w:val="004D2D33"/>
    <w:rsid w:val="004D2DE8"/>
    <w:rsid w:val="004D2EDB"/>
    <w:rsid w:val="004D2F67"/>
    <w:rsid w:val="004D316C"/>
    <w:rsid w:val="004D3175"/>
    <w:rsid w:val="004D32C7"/>
    <w:rsid w:val="004D3476"/>
    <w:rsid w:val="004D34B7"/>
    <w:rsid w:val="004D3752"/>
    <w:rsid w:val="004D379A"/>
    <w:rsid w:val="004D3872"/>
    <w:rsid w:val="004D38D3"/>
    <w:rsid w:val="004D3938"/>
    <w:rsid w:val="004D3C90"/>
    <w:rsid w:val="004D3E52"/>
    <w:rsid w:val="004D3FB4"/>
    <w:rsid w:val="004D4064"/>
    <w:rsid w:val="004D40B2"/>
    <w:rsid w:val="004D40B5"/>
    <w:rsid w:val="004D41D4"/>
    <w:rsid w:val="004D433B"/>
    <w:rsid w:val="004D4459"/>
    <w:rsid w:val="004D4592"/>
    <w:rsid w:val="004D47BE"/>
    <w:rsid w:val="004D48F6"/>
    <w:rsid w:val="004D4980"/>
    <w:rsid w:val="004D4AE9"/>
    <w:rsid w:val="004D4B31"/>
    <w:rsid w:val="004D4B3A"/>
    <w:rsid w:val="004D4B9B"/>
    <w:rsid w:val="004D4CA0"/>
    <w:rsid w:val="004D4CB3"/>
    <w:rsid w:val="004D4D3A"/>
    <w:rsid w:val="004D4D44"/>
    <w:rsid w:val="004D4D82"/>
    <w:rsid w:val="004D4EAA"/>
    <w:rsid w:val="004D4F07"/>
    <w:rsid w:val="004D4FBE"/>
    <w:rsid w:val="004D510D"/>
    <w:rsid w:val="004D516F"/>
    <w:rsid w:val="004D51C6"/>
    <w:rsid w:val="004D531B"/>
    <w:rsid w:val="004D53E6"/>
    <w:rsid w:val="004D5575"/>
    <w:rsid w:val="004D5649"/>
    <w:rsid w:val="004D5659"/>
    <w:rsid w:val="004D5703"/>
    <w:rsid w:val="004D5BDF"/>
    <w:rsid w:val="004D5D00"/>
    <w:rsid w:val="004D5DCC"/>
    <w:rsid w:val="004D6241"/>
    <w:rsid w:val="004D62BA"/>
    <w:rsid w:val="004D63B9"/>
    <w:rsid w:val="004D6485"/>
    <w:rsid w:val="004D64CE"/>
    <w:rsid w:val="004D652B"/>
    <w:rsid w:val="004D6649"/>
    <w:rsid w:val="004D66B4"/>
    <w:rsid w:val="004D672E"/>
    <w:rsid w:val="004D6926"/>
    <w:rsid w:val="004D6A96"/>
    <w:rsid w:val="004D6B5C"/>
    <w:rsid w:val="004D6BAF"/>
    <w:rsid w:val="004D6CA7"/>
    <w:rsid w:val="004D6E10"/>
    <w:rsid w:val="004D6F24"/>
    <w:rsid w:val="004D6F34"/>
    <w:rsid w:val="004D6FCE"/>
    <w:rsid w:val="004D7084"/>
    <w:rsid w:val="004D711D"/>
    <w:rsid w:val="004D720E"/>
    <w:rsid w:val="004D72A2"/>
    <w:rsid w:val="004D72F6"/>
    <w:rsid w:val="004D7406"/>
    <w:rsid w:val="004D747C"/>
    <w:rsid w:val="004D7581"/>
    <w:rsid w:val="004D7636"/>
    <w:rsid w:val="004D76C9"/>
    <w:rsid w:val="004D78BC"/>
    <w:rsid w:val="004D78C2"/>
    <w:rsid w:val="004D7995"/>
    <w:rsid w:val="004D7B16"/>
    <w:rsid w:val="004D7C27"/>
    <w:rsid w:val="004D7CFC"/>
    <w:rsid w:val="004E0065"/>
    <w:rsid w:val="004E00D6"/>
    <w:rsid w:val="004E015B"/>
    <w:rsid w:val="004E028D"/>
    <w:rsid w:val="004E02BB"/>
    <w:rsid w:val="004E0427"/>
    <w:rsid w:val="004E04C3"/>
    <w:rsid w:val="004E04E0"/>
    <w:rsid w:val="004E04FE"/>
    <w:rsid w:val="004E05BC"/>
    <w:rsid w:val="004E06DB"/>
    <w:rsid w:val="004E06F2"/>
    <w:rsid w:val="004E06F5"/>
    <w:rsid w:val="004E07A9"/>
    <w:rsid w:val="004E09E2"/>
    <w:rsid w:val="004E09E7"/>
    <w:rsid w:val="004E0A1C"/>
    <w:rsid w:val="004E0A7C"/>
    <w:rsid w:val="004E0B2A"/>
    <w:rsid w:val="004E0C11"/>
    <w:rsid w:val="004E0CBE"/>
    <w:rsid w:val="004E0E3C"/>
    <w:rsid w:val="004E0EA5"/>
    <w:rsid w:val="004E0F01"/>
    <w:rsid w:val="004E113A"/>
    <w:rsid w:val="004E11CD"/>
    <w:rsid w:val="004E1411"/>
    <w:rsid w:val="004E148D"/>
    <w:rsid w:val="004E158E"/>
    <w:rsid w:val="004E16DB"/>
    <w:rsid w:val="004E1890"/>
    <w:rsid w:val="004E1A12"/>
    <w:rsid w:val="004E1C55"/>
    <w:rsid w:val="004E1D34"/>
    <w:rsid w:val="004E1DD8"/>
    <w:rsid w:val="004E1E98"/>
    <w:rsid w:val="004E1EEE"/>
    <w:rsid w:val="004E1FAE"/>
    <w:rsid w:val="004E2135"/>
    <w:rsid w:val="004E2155"/>
    <w:rsid w:val="004E218E"/>
    <w:rsid w:val="004E222D"/>
    <w:rsid w:val="004E22FF"/>
    <w:rsid w:val="004E23FC"/>
    <w:rsid w:val="004E24BF"/>
    <w:rsid w:val="004E24D6"/>
    <w:rsid w:val="004E255B"/>
    <w:rsid w:val="004E2563"/>
    <w:rsid w:val="004E25B5"/>
    <w:rsid w:val="004E2697"/>
    <w:rsid w:val="004E271D"/>
    <w:rsid w:val="004E2780"/>
    <w:rsid w:val="004E2911"/>
    <w:rsid w:val="004E2957"/>
    <w:rsid w:val="004E29FF"/>
    <w:rsid w:val="004E2B79"/>
    <w:rsid w:val="004E2C10"/>
    <w:rsid w:val="004E2CA4"/>
    <w:rsid w:val="004E2EA9"/>
    <w:rsid w:val="004E2F51"/>
    <w:rsid w:val="004E2F8B"/>
    <w:rsid w:val="004E306E"/>
    <w:rsid w:val="004E30E4"/>
    <w:rsid w:val="004E3162"/>
    <w:rsid w:val="004E338A"/>
    <w:rsid w:val="004E3453"/>
    <w:rsid w:val="004E3575"/>
    <w:rsid w:val="004E358C"/>
    <w:rsid w:val="004E362D"/>
    <w:rsid w:val="004E3706"/>
    <w:rsid w:val="004E3745"/>
    <w:rsid w:val="004E3802"/>
    <w:rsid w:val="004E3A42"/>
    <w:rsid w:val="004E3A4B"/>
    <w:rsid w:val="004E3ACD"/>
    <w:rsid w:val="004E3B7A"/>
    <w:rsid w:val="004E3C57"/>
    <w:rsid w:val="004E3D80"/>
    <w:rsid w:val="004E3DB4"/>
    <w:rsid w:val="004E3E56"/>
    <w:rsid w:val="004E3FB6"/>
    <w:rsid w:val="004E4091"/>
    <w:rsid w:val="004E40F3"/>
    <w:rsid w:val="004E4123"/>
    <w:rsid w:val="004E4256"/>
    <w:rsid w:val="004E4324"/>
    <w:rsid w:val="004E43AA"/>
    <w:rsid w:val="004E4414"/>
    <w:rsid w:val="004E4428"/>
    <w:rsid w:val="004E44DF"/>
    <w:rsid w:val="004E467E"/>
    <w:rsid w:val="004E496D"/>
    <w:rsid w:val="004E4996"/>
    <w:rsid w:val="004E4A2A"/>
    <w:rsid w:val="004E4C30"/>
    <w:rsid w:val="004E4C76"/>
    <w:rsid w:val="004E4CA8"/>
    <w:rsid w:val="004E4D27"/>
    <w:rsid w:val="004E4DD8"/>
    <w:rsid w:val="004E4E41"/>
    <w:rsid w:val="004E508A"/>
    <w:rsid w:val="004E5208"/>
    <w:rsid w:val="004E5293"/>
    <w:rsid w:val="004E57A5"/>
    <w:rsid w:val="004E57E1"/>
    <w:rsid w:val="004E57E7"/>
    <w:rsid w:val="004E582D"/>
    <w:rsid w:val="004E58F0"/>
    <w:rsid w:val="004E598D"/>
    <w:rsid w:val="004E5A06"/>
    <w:rsid w:val="004E5A14"/>
    <w:rsid w:val="004E5A65"/>
    <w:rsid w:val="004E5AD1"/>
    <w:rsid w:val="004E5AD5"/>
    <w:rsid w:val="004E5B2E"/>
    <w:rsid w:val="004E5B62"/>
    <w:rsid w:val="004E5BFA"/>
    <w:rsid w:val="004E5C44"/>
    <w:rsid w:val="004E5C4A"/>
    <w:rsid w:val="004E5C9E"/>
    <w:rsid w:val="004E5CE8"/>
    <w:rsid w:val="004E5CEB"/>
    <w:rsid w:val="004E5DB2"/>
    <w:rsid w:val="004E5DC2"/>
    <w:rsid w:val="004E5DE4"/>
    <w:rsid w:val="004E5E10"/>
    <w:rsid w:val="004E603B"/>
    <w:rsid w:val="004E6043"/>
    <w:rsid w:val="004E61B2"/>
    <w:rsid w:val="004E624A"/>
    <w:rsid w:val="004E6360"/>
    <w:rsid w:val="004E64E3"/>
    <w:rsid w:val="004E6556"/>
    <w:rsid w:val="004E6586"/>
    <w:rsid w:val="004E66A9"/>
    <w:rsid w:val="004E671D"/>
    <w:rsid w:val="004E6782"/>
    <w:rsid w:val="004E683E"/>
    <w:rsid w:val="004E684A"/>
    <w:rsid w:val="004E69DA"/>
    <w:rsid w:val="004E6AF5"/>
    <w:rsid w:val="004E6B3C"/>
    <w:rsid w:val="004E6B6B"/>
    <w:rsid w:val="004E6D8F"/>
    <w:rsid w:val="004E6E07"/>
    <w:rsid w:val="004E6FA9"/>
    <w:rsid w:val="004E70BF"/>
    <w:rsid w:val="004E7144"/>
    <w:rsid w:val="004E72AB"/>
    <w:rsid w:val="004E736C"/>
    <w:rsid w:val="004E73DE"/>
    <w:rsid w:val="004E74DC"/>
    <w:rsid w:val="004E7504"/>
    <w:rsid w:val="004E75EE"/>
    <w:rsid w:val="004E767D"/>
    <w:rsid w:val="004E77C7"/>
    <w:rsid w:val="004E77DB"/>
    <w:rsid w:val="004E7815"/>
    <w:rsid w:val="004E788A"/>
    <w:rsid w:val="004E78BD"/>
    <w:rsid w:val="004E7960"/>
    <w:rsid w:val="004E796C"/>
    <w:rsid w:val="004E7982"/>
    <w:rsid w:val="004E7A17"/>
    <w:rsid w:val="004E7AEA"/>
    <w:rsid w:val="004E7B54"/>
    <w:rsid w:val="004E7BA9"/>
    <w:rsid w:val="004E7BE9"/>
    <w:rsid w:val="004E7DEA"/>
    <w:rsid w:val="004E7F4E"/>
    <w:rsid w:val="004F008E"/>
    <w:rsid w:val="004F017E"/>
    <w:rsid w:val="004F01E4"/>
    <w:rsid w:val="004F030E"/>
    <w:rsid w:val="004F03BB"/>
    <w:rsid w:val="004F04CB"/>
    <w:rsid w:val="004F04E9"/>
    <w:rsid w:val="004F0510"/>
    <w:rsid w:val="004F0861"/>
    <w:rsid w:val="004F0ADC"/>
    <w:rsid w:val="004F0B2B"/>
    <w:rsid w:val="004F0C51"/>
    <w:rsid w:val="004F0D7F"/>
    <w:rsid w:val="004F0E45"/>
    <w:rsid w:val="004F0F2F"/>
    <w:rsid w:val="004F1076"/>
    <w:rsid w:val="004F110D"/>
    <w:rsid w:val="004F1191"/>
    <w:rsid w:val="004F11CA"/>
    <w:rsid w:val="004F1279"/>
    <w:rsid w:val="004F12B6"/>
    <w:rsid w:val="004F13F8"/>
    <w:rsid w:val="004F156C"/>
    <w:rsid w:val="004F163F"/>
    <w:rsid w:val="004F16F5"/>
    <w:rsid w:val="004F17B2"/>
    <w:rsid w:val="004F17D5"/>
    <w:rsid w:val="004F18A3"/>
    <w:rsid w:val="004F18C8"/>
    <w:rsid w:val="004F1942"/>
    <w:rsid w:val="004F1998"/>
    <w:rsid w:val="004F19DF"/>
    <w:rsid w:val="004F1A60"/>
    <w:rsid w:val="004F1A69"/>
    <w:rsid w:val="004F1A86"/>
    <w:rsid w:val="004F1B0F"/>
    <w:rsid w:val="004F1C7C"/>
    <w:rsid w:val="004F1D92"/>
    <w:rsid w:val="004F201B"/>
    <w:rsid w:val="004F22D6"/>
    <w:rsid w:val="004F23C9"/>
    <w:rsid w:val="004F2436"/>
    <w:rsid w:val="004F250C"/>
    <w:rsid w:val="004F284C"/>
    <w:rsid w:val="004F290A"/>
    <w:rsid w:val="004F2B69"/>
    <w:rsid w:val="004F2BBD"/>
    <w:rsid w:val="004F2BC9"/>
    <w:rsid w:val="004F2C09"/>
    <w:rsid w:val="004F308D"/>
    <w:rsid w:val="004F3159"/>
    <w:rsid w:val="004F315E"/>
    <w:rsid w:val="004F3183"/>
    <w:rsid w:val="004F31E6"/>
    <w:rsid w:val="004F3255"/>
    <w:rsid w:val="004F3545"/>
    <w:rsid w:val="004F35CE"/>
    <w:rsid w:val="004F360F"/>
    <w:rsid w:val="004F36D0"/>
    <w:rsid w:val="004F3816"/>
    <w:rsid w:val="004F3893"/>
    <w:rsid w:val="004F38E1"/>
    <w:rsid w:val="004F39C7"/>
    <w:rsid w:val="004F3AE0"/>
    <w:rsid w:val="004F3F68"/>
    <w:rsid w:val="004F3FD9"/>
    <w:rsid w:val="004F3FE9"/>
    <w:rsid w:val="004F4059"/>
    <w:rsid w:val="004F419A"/>
    <w:rsid w:val="004F41CE"/>
    <w:rsid w:val="004F42E2"/>
    <w:rsid w:val="004F42FD"/>
    <w:rsid w:val="004F4318"/>
    <w:rsid w:val="004F4397"/>
    <w:rsid w:val="004F4398"/>
    <w:rsid w:val="004F43CD"/>
    <w:rsid w:val="004F4431"/>
    <w:rsid w:val="004F447F"/>
    <w:rsid w:val="004F45D3"/>
    <w:rsid w:val="004F4631"/>
    <w:rsid w:val="004F479B"/>
    <w:rsid w:val="004F4978"/>
    <w:rsid w:val="004F4A03"/>
    <w:rsid w:val="004F4AC5"/>
    <w:rsid w:val="004F4AFE"/>
    <w:rsid w:val="004F4C43"/>
    <w:rsid w:val="004F4D32"/>
    <w:rsid w:val="004F4DAA"/>
    <w:rsid w:val="004F4FEF"/>
    <w:rsid w:val="004F4FF2"/>
    <w:rsid w:val="004F5054"/>
    <w:rsid w:val="004F507E"/>
    <w:rsid w:val="004F512A"/>
    <w:rsid w:val="004F5192"/>
    <w:rsid w:val="004F5277"/>
    <w:rsid w:val="004F5356"/>
    <w:rsid w:val="004F53F8"/>
    <w:rsid w:val="004F53FA"/>
    <w:rsid w:val="004F54FB"/>
    <w:rsid w:val="004F55A5"/>
    <w:rsid w:val="004F561C"/>
    <w:rsid w:val="004F5660"/>
    <w:rsid w:val="004F5754"/>
    <w:rsid w:val="004F577B"/>
    <w:rsid w:val="004F5920"/>
    <w:rsid w:val="004F5930"/>
    <w:rsid w:val="004F598F"/>
    <w:rsid w:val="004F599D"/>
    <w:rsid w:val="004F5CA3"/>
    <w:rsid w:val="004F5CE1"/>
    <w:rsid w:val="004F5CF4"/>
    <w:rsid w:val="004F5D33"/>
    <w:rsid w:val="004F5D65"/>
    <w:rsid w:val="004F5E3F"/>
    <w:rsid w:val="004F60D3"/>
    <w:rsid w:val="004F60DD"/>
    <w:rsid w:val="004F62A6"/>
    <w:rsid w:val="004F6367"/>
    <w:rsid w:val="004F640F"/>
    <w:rsid w:val="004F6438"/>
    <w:rsid w:val="004F646E"/>
    <w:rsid w:val="004F6550"/>
    <w:rsid w:val="004F65BA"/>
    <w:rsid w:val="004F66D8"/>
    <w:rsid w:val="004F66D9"/>
    <w:rsid w:val="004F68AF"/>
    <w:rsid w:val="004F6953"/>
    <w:rsid w:val="004F69F2"/>
    <w:rsid w:val="004F69F8"/>
    <w:rsid w:val="004F6A16"/>
    <w:rsid w:val="004F6B71"/>
    <w:rsid w:val="004F6BED"/>
    <w:rsid w:val="004F6D25"/>
    <w:rsid w:val="004F6D5A"/>
    <w:rsid w:val="004F6DBF"/>
    <w:rsid w:val="004F6E17"/>
    <w:rsid w:val="004F6ED8"/>
    <w:rsid w:val="004F71F5"/>
    <w:rsid w:val="004F71F8"/>
    <w:rsid w:val="004F72BE"/>
    <w:rsid w:val="004F749E"/>
    <w:rsid w:val="004F7554"/>
    <w:rsid w:val="004F756D"/>
    <w:rsid w:val="004F7693"/>
    <w:rsid w:val="004F7725"/>
    <w:rsid w:val="004F7789"/>
    <w:rsid w:val="004F77DE"/>
    <w:rsid w:val="004F7994"/>
    <w:rsid w:val="004F79BF"/>
    <w:rsid w:val="004F7A22"/>
    <w:rsid w:val="004F7AE2"/>
    <w:rsid w:val="004F7B4C"/>
    <w:rsid w:val="004F7B4E"/>
    <w:rsid w:val="004F7C1F"/>
    <w:rsid w:val="004F7C2E"/>
    <w:rsid w:val="004F7D33"/>
    <w:rsid w:val="004F7E12"/>
    <w:rsid w:val="004F7E58"/>
    <w:rsid w:val="004F7FC2"/>
    <w:rsid w:val="00500133"/>
    <w:rsid w:val="005001F9"/>
    <w:rsid w:val="00500320"/>
    <w:rsid w:val="00500419"/>
    <w:rsid w:val="005004EE"/>
    <w:rsid w:val="00500587"/>
    <w:rsid w:val="00500636"/>
    <w:rsid w:val="005006BA"/>
    <w:rsid w:val="00500BCC"/>
    <w:rsid w:val="00500C6F"/>
    <w:rsid w:val="00500E32"/>
    <w:rsid w:val="0050106B"/>
    <w:rsid w:val="00501092"/>
    <w:rsid w:val="005010CE"/>
    <w:rsid w:val="005011E6"/>
    <w:rsid w:val="005011E8"/>
    <w:rsid w:val="0050148D"/>
    <w:rsid w:val="00501545"/>
    <w:rsid w:val="00501552"/>
    <w:rsid w:val="00501658"/>
    <w:rsid w:val="0050170C"/>
    <w:rsid w:val="0050177D"/>
    <w:rsid w:val="005019E4"/>
    <w:rsid w:val="005019FD"/>
    <w:rsid w:val="00501ACB"/>
    <w:rsid w:val="00501B1D"/>
    <w:rsid w:val="00501BEE"/>
    <w:rsid w:val="00501C2A"/>
    <w:rsid w:val="00501DF2"/>
    <w:rsid w:val="00501F36"/>
    <w:rsid w:val="0050209B"/>
    <w:rsid w:val="005020A3"/>
    <w:rsid w:val="00502109"/>
    <w:rsid w:val="005021A1"/>
    <w:rsid w:val="0050228B"/>
    <w:rsid w:val="00502298"/>
    <w:rsid w:val="00502448"/>
    <w:rsid w:val="00502477"/>
    <w:rsid w:val="005024CF"/>
    <w:rsid w:val="005026BA"/>
    <w:rsid w:val="0050275F"/>
    <w:rsid w:val="00502786"/>
    <w:rsid w:val="005027CE"/>
    <w:rsid w:val="005028A9"/>
    <w:rsid w:val="00502ABB"/>
    <w:rsid w:val="00502B4D"/>
    <w:rsid w:val="00502B9E"/>
    <w:rsid w:val="00502ED3"/>
    <w:rsid w:val="00502FAB"/>
    <w:rsid w:val="00503022"/>
    <w:rsid w:val="00503084"/>
    <w:rsid w:val="00503112"/>
    <w:rsid w:val="00503115"/>
    <w:rsid w:val="0050311E"/>
    <w:rsid w:val="005031F4"/>
    <w:rsid w:val="005032C6"/>
    <w:rsid w:val="0050347B"/>
    <w:rsid w:val="005035CE"/>
    <w:rsid w:val="005037F3"/>
    <w:rsid w:val="005038F5"/>
    <w:rsid w:val="0050399A"/>
    <w:rsid w:val="00503AD2"/>
    <w:rsid w:val="00503B65"/>
    <w:rsid w:val="00503BA4"/>
    <w:rsid w:val="00503C5A"/>
    <w:rsid w:val="00503D2D"/>
    <w:rsid w:val="00503E3B"/>
    <w:rsid w:val="00503F36"/>
    <w:rsid w:val="00504047"/>
    <w:rsid w:val="00504116"/>
    <w:rsid w:val="0050427A"/>
    <w:rsid w:val="00504531"/>
    <w:rsid w:val="005045A9"/>
    <w:rsid w:val="005046DE"/>
    <w:rsid w:val="005047B4"/>
    <w:rsid w:val="005047B5"/>
    <w:rsid w:val="0050487A"/>
    <w:rsid w:val="005048FF"/>
    <w:rsid w:val="00504AEA"/>
    <w:rsid w:val="00504AFA"/>
    <w:rsid w:val="00504BAA"/>
    <w:rsid w:val="00504CB1"/>
    <w:rsid w:val="00504D50"/>
    <w:rsid w:val="00504DD7"/>
    <w:rsid w:val="00504EBD"/>
    <w:rsid w:val="00504F2C"/>
    <w:rsid w:val="00504F90"/>
    <w:rsid w:val="0050501C"/>
    <w:rsid w:val="0050501D"/>
    <w:rsid w:val="00505142"/>
    <w:rsid w:val="0050518F"/>
    <w:rsid w:val="005051B7"/>
    <w:rsid w:val="0050532C"/>
    <w:rsid w:val="00505506"/>
    <w:rsid w:val="0050553A"/>
    <w:rsid w:val="00505568"/>
    <w:rsid w:val="00505635"/>
    <w:rsid w:val="0050568A"/>
    <w:rsid w:val="005056BE"/>
    <w:rsid w:val="00505797"/>
    <w:rsid w:val="005057D5"/>
    <w:rsid w:val="00505881"/>
    <w:rsid w:val="005058C1"/>
    <w:rsid w:val="005058FF"/>
    <w:rsid w:val="00505922"/>
    <w:rsid w:val="00505986"/>
    <w:rsid w:val="00505D65"/>
    <w:rsid w:val="00505D75"/>
    <w:rsid w:val="00505E7F"/>
    <w:rsid w:val="00505EDA"/>
    <w:rsid w:val="00505F2A"/>
    <w:rsid w:val="00505F90"/>
    <w:rsid w:val="00506222"/>
    <w:rsid w:val="005062BF"/>
    <w:rsid w:val="005063AD"/>
    <w:rsid w:val="005063C8"/>
    <w:rsid w:val="005063F8"/>
    <w:rsid w:val="0050692D"/>
    <w:rsid w:val="00506954"/>
    <w:rsid w:val="00506B20"/>
    <w:rsid w:val="00506B5D"/>
    <w:rsid w:val="00506C72"/>
    <w:rsid w:val="00506D49"/>
    <w:rsid w:val="00506D5D"/>
    <w:rsid w:val="00506E45"/>
    <w:rsid w:val="00506F3B"/>
    <w:rsid w:val="00507080"/>
    <w:rsid w:val="005070DF"/>
    <w:rsid w:val="00507100"/>
    <w:rsid w:val="00507196"/>
    <w:rsid w:val="0050737F"/>
    <w:rsid w:val="00507426"/>
    <w:rsid w:val="005074E9"/>
    <w:rsid w:val="005075B2"/>
    <w:rsid w:val="005075D0"/>
    <w:rsid w:val="005076B4"/>
    <w:rsid w:val="00507A15"/>
    <w:rsid w:val="00507A63"/>
    <w:rsid w:val="00507C34"/>
    <w:rsid w:val="00507D7C"/>
    <w:rsid w:val="00507E9A"/>
    <w:rsid w:val="0051001D"/>
    <w:rsid w:val="005101C6"/>
    <w:rsid w:val="005102E0"/>
    <w:rsid w:val="0051035C"/>
    <w:rsid w:val="005103A4"/>
    <w:rsid w:val="005103EE"/>
    <w:rsid w:val="00510416"/>
    <w:rsid w:val="00510440"/>
    <w:rsid w:val="00510703"/>
    <w:rsid w:val="00510A03"/>
    <w:rsid w:val="00510A9D"/>
    <w:rsid w:val="00510BB7"/>
    <w:rsid w:val="00510C33"/>
    <w:rsid w:val="00510D2C"/>
    <w:rsid w:val="00510DC0"/>
    <w:rsid w:val="00510EBD"/>
    <w:rsid w:val="00510F11"/>
    <w:rsid w:val="00510F9B"/>
    <w:rsid w:val="0051104B"/>
    <w:rsid w:val="0051127D"/>
    <w:rsid w:val="005112C8"/>
    <w:rsid w:val="00511383"/>
    <w:rsid w:val="0051139E"/>
    <w:rsid w:val="005113CA"/>
    <w:rsid w:val="0051151B"/>
    <w:rsid w:val="00511864"/>
    <w:rsid w:val="005118A1"/>
    <w:rsid w:val="0051190A"/>
    <w:rsid w:val="00511B92"/>
    <w:rsid w:val="00511BB1"/>
    <w:rsid w:val="00511BEB"/>
    <w:rsid w:val="00511BF7"/>
    <w:rsid w:val="00511C71"/>
    <w:rsid w:val="00511D35"/>
    <w:rsid w:val="00511EDA"/>
    <w:rsid w:val="00511F32"/>
    <w:rsid w:val="00511FB9"/>
    <w:rsid w:val="00512078"/>
    <w:rsid w:val="005120D4"/>
    <w:rsid w:val="00512164"/>
    <w:rsid w:val="00512192"/>
    <w:rsid w:val="005122FB"/>
    <w:rsid w:val="005125F8"/>
    <w:rsid w:val="00512621"/>
    <w:rsid w:val="005127E7"/>
    <w:rsid w:val="005129EB"/>
    <w:rsid w:val="00512A61"/>
    <w:rsid w:val="00512ADD"/>
    <w:rsid w:val="00512B5C"/>
    <w:rsid w:val="00512B5D"/>
    <w:rsid w:val="00512B70"/>
    <w:rsid w:val="00512BBE"/>
    <w:rsid w:val="00512C03"/>
    <w:rsid w:val="00512D55"/>
    <w:rsid w:val="00512D78"/>
    <w:rsid w:val="00512E94"/>
    <w:rsid w:val="00512F16"/>
    <w:rsid w:val="00512F3E"/>
    <w:rsid w:val="00512F5D"/>
    <w:rsid w:val="0051308F"/>
    <w:rsid w:val="005130AF"/>
    <w:rsid w:val="00513228"/>
    <w:rsid w:val="005132A0"/>
    <w:rsid w:val="005132F7"/>
    <w:rsid w:val="005133B4"/>
    <w:rsid w:val="00513405"/>
    <w:rsid w:val="005134E0"/>
    <w:rsid w:val="0051376F"/>
    <w:rsid w:val="00513792"/>
    <w:rsid w:val="005137AB"/>
    <w:rsid w:val="00513920"/>
    <w:rsid w:val="00513A1B"/>
    <w:rsid w:val="00513AD1"/>
    <w:rsid w:val="00513B3D"/>
    <w:rsid w:val="00513B66"/>
    <w:rsid w:val="00513BEF"/>
    <w:rsid w:val="00513CCC"/>
    <w:rsid w:val="00513D58"/>
    <w:rsid w:val="00513DF3"/>
    <w:rsid w:val="00513E90"/>
    <w:rsid w:val="00513FCE"/>
    <w:rsid w:val="005140DA"/>
    <w:rsid w:val="0051415B"/>
    <w:rsid w:val="0051416D"/>
    <w:rsid w:val="00514262"/>
    <w:rsid w:val="00514336"/>
    <w:rsid w:val="005143F0"/>
    <w:rsid w:val="00514456"/>
    <w:rsid w:val="005145DE"/>
    <w:rsid w:val="00514763"/>
    <w:rsid w:val="00514841"/>
    <w:rsid w:val="00514850"/>
    <w:rsid w:val="005148FD"/>
    <w:rsid w:val="00514A1D"/>
    <w:rsid w:val="00514B36"/>
    <w:rsid w:val="00514C45"/>
    <w:rsid w:val="00514D0B"/>
    <w:rsid w:val="00514DB2"/>
    <w:rsid w:val="00514E12"/>
    <w:rsid w:val="00514EC6"/>
    <w:rsid w:val="00515078"/>
    <w:rsid w:val="005151BF"/>
    <w:rsid w:val="005151D9"/>
    <w:rsid w:val="005151E1"/>
    <w:rsid w:val="005152C5"/>
    <w:rsid w:val="0051538C"/>
    <w:rsid w:val="00515395"/>
    <w:rsid w:val="005154F4"/>
    <w:rsid w:val="0051551F"/>
    <w:rsid w:val="00515743"/>
    <w:rsid w:val="0051587C"/>
    <w:rsid w:val="00515897"/>
    <w:rsid w:val="005158F9"/>
    <w:rsid w:val="005158FA"/>
    <w:rsid w:val="00515954"/>
    <w:rsid w:val="00515963"/>
    <w:rsid w:val="00515979"/>
    <w:rsid w:val="005159F3"/>
    <w:rsid w:val="00515A9D"/>
    <w:rsid w:val="00515AC7"/>
    <w:rsid w:val="00515B2E"/>
    <w:rsid w:val="00515D4A"/>
    <w:rsid w:val="00515E00"/>
    <w:rsid w:val="00515E82"/>
    <w:rsid w:val="00515EC0"/>
    <w:rsid w:val="00515F87"/>
    <w:rsid w:val="0051615E"/>
    <w:rsid w:val="0051617A"/>
    <w:rsid w:val="0051619D"/>
    <w:rsid w:val="005161B0"/>
    <w:rsid w:val="00516475"/>
    <w:rsid w:val="005165F0"/>
    <w:rsid w:val="00516606"/>
    <w:rsid w:val="005166C7"/>
    <w:rsid w:val="00516719"/>
    <w:rsid w:val="00516728"/>
    <w:rsid w:val="0051686C"/>
    <w:rsid w:val="005168D9"/>
    <w:rsid w:val="005169E3"/>
    <w:rsid w:val="00516AEB"/>
    <w:rsid w:val="00516B66"/>
    <w:rsid w:val="00516B79"/>
    <w:rsid w:val="00516BAE"/>
    <w:rsid w:val="00516BF0"/>
    <w:rsid w:val="00516C5E"/>
    <w:rsid w:val="00516C84"/>
    <w:rsid w:val="00516E7A"/>
    <w:rsid w:val="00516EFC"/>
    <w:rsid w:val="00516F06"/>
    <w:rsid w:val="00516F2A"/>
    <w:rsid w:val="00516FE7"/>
    <w:rsid w:val="00517002"/>
    <w:rsid w:val="005170D4"/>
    <w:rsid w:val="005171A2"/>
    <w:rsid w:val="005172CE"/>
    <w:rsid w:val="005172DD"/>
    <w:rsid w:val="00517303"/>
    <w:rsid w:val="00517403"/>
    <w:rsid w:val="00517418"/>
    <w:rsid w:val="0051743B"/>
    <w:rsid w:val="005175A3"/>
    <w:rsid w:val="005175CD"/>
    <w:rsid w:val="005175D2"/>
    <w:rsid w:val="005175D5"/>
    <w:rsid w:val="005178C3"/>
    <w:rsid w:val="00517907"/>
    <w:rsid w:val="0051796F"/>
    <w:rsid w:val="005179A4"/>
    <w:rsid w:val="00517A35"/>
    <w:rsid w:val="00517AE0"/>
    <w:rsid w:val="00517C5E"/>
    <w:rsid w:val="00517C72"/>
    <w:rsid w:val="00517CC9"/>
    <w:rsid w:val="00517DBF"/>
    <w:rsid w:val="00517FC0"/>
    <w:rsid w:val="00517FE4"/>
    <w:rsid w:val="00520069"/>
    <w:rsid w:val="00520172"/>
    <w:rsid w:val="00520230"/>
    <w:rsid w:val="00520292"/>
    <w:rsid w:val="00520382"/>
    <w:rsid w:val="00520679"/>
    <w:rsid w:val="0052076D"/>
    <w:rsid w:val="0052089B"/>
    <w:rsid w:val="00520942"/>
    <w:rsid w:val="005209C6"/>
    <w:rsid w:val="00520AAF"/>
    <w:rsid w:val="00520AEB"/>
    <w:rsid w:val="00520BC3"/>
    <w:rsid w:val="00520CD5"/>
    <w:rsid w:val="00520DCE"/>
    <w:rsid w:val="00520E24"/>
    <w:rsid w:val="00520F07"/>
    <w:rsid w:val="00520F35"/>
    <w:rsid w:val="0052105C"/>
    <w:rsid w:val="00521645"/>
    <w:rsid w:val="005216D9"/>
    <w:rsid w:val="0052184D"/>
    <w:rsid w:val="00521A8F"/>
    <w:rsid w:val="00521B7F"/>
    <w:rsid w:val="00521C23"/>
    <w:rsid w:val="00521C30"/>
    <w:rsid w:val="00521CB1"/>
    <w:rsid w:val="00521CC3"/>
    <w:rsid w:val="00521EF4"/>
    <w:rsid w:val="00521F26"/>
    <w:rsid w:val="00521F3B"/>
    <w:rsid w:val="00521F43"/>
    <w:rsid w:val="00522068"/>
    <w:rsid w:val="0052214E"/>
    <w:rsid w:val="005221D5"/>
    <w:rsid w:val="00522290"/>
    <w:rsid w:val="005222F0"/>
    <w:rsid w:val="00522364"/>
    <w:rsid w:val="005223FD"/>
    <w:rsid w:val="0052248D"/>
    <w:rsid w:val="00522496"/>
    <w:rsid w:val="005226FB"/>
    <w:rsid w:val="005227DB"/>
    <w:rsid w:val="00522ABA"/>
    <w:rsid w:val="00522C3F"/>
    <w:rsid w:val="00522C4B"/>
    <w:rsid w:val="00522C4C"/>
    <w:rsid w:val="00522C52"/>
    <w:rsid w:val="00522C9A"/>
    <w:rsid w:val="00522D74"/>
    <w:rsid w:val="00522EA3"/>
    <w:rsid w:val="00523000"/>
    <w:rsid w:val="005231D6"/>
    <w:rsid w:val="005233D0"/>
    <w:rsid w:val="00523492"/>
    <w:rsid w:val="005235EE"/>
    <w:rsid w:val="00523893"/>
    <w:rsid w:val="005238B9"/>
    <w:rsid w:val="005238FE"/>
    <w:rsid w:val="00523925"/>
    <w:rsid w:val="00523A68"/>
    <w:rsid w:val="00523BF2"/>
    <w:rsid w:val="00523C2C"/>
    <w:rsid w:val="00523C3E"/>
    <w:rsid w:val="00523C65"/>
    <w:rsid w:val="00523D21"/>
    <w:rsid w:val="00523E0B"/>
    <w:rsid w:val="00523E9E"/>
    <w:rsid w:val="00523EF2"/>
    <w:rsid w:val="00523F88"/>
    <w:rsid w:val="00523F99"/>
    <w:rsid w:val="00523FC0"/>
    <w:rsid w:val="0052401F"/>
    <w:rsid w:val="00524077"/>
    <w:rsid w:val="00524320"/>
    <w:rsid w:val="0052450F"/>
    <w:rsid w:val="005245BD"/>
    <w:rsid w:val="005246BB"/>
    <w:rsid w:val="005246FE"/>
    <w:rsid w:val="005249EF"/>
    <w:rsid w:val="00524A48"/>
    <w:rsid w:val="00524B53"/>
    <w:rsid w:val="00524C32"/>
    <w:rsid w:val="00524C74"/>
    <w:rsid w:val="00524FFE"/>
    <w:rsid w:val="005250A0"/>
    <w:rsid w:val="005250A2"/>
    <w:rsid w:val="0052510F"/>
    <w:rsid w:val="00525366"/>
    <w:rsid w:val="00525457"/>
    <w:rsid w:val="00525513"/>
    <w:rsid w:val="0052553F"/>
    <w:rsid w:val="00525582"/>
    <w:rsid w:val="005256D3"/>
    <w:rsid w:val="005256DB"/>
    <w:rsid w:val="005259A6"/>
    <w:rsid w:val="005259B5"/>
    <w:rsid w:val="005259EC"/>
    <w:rsid w:val="00525A01"/>
    <w:rsid w:val="00525BB3"/>
    <w:rsid w:val="00525BD6"/>
    <w:rsid w:val="00525C0D"/>
    <w:rsid w:val="00525D53"/>
    <w:rsid w:val="00525E2B"/>
    <w:rsid w:val="00525E74"/>
    <w:rsid w:val="00525E79"/>
    <w:rsid w:val="00525E95"/>
    <w:rsid w:val="00525ED4"/>
    <w:rsid w:val="00525FAE"/>
    <w:rsid w:val="0052601A"/>
    <w:rsid w:val="005261EF"/>
    <w:rsid w:val="0052643A"/>
    <w:rsid w:val="0052652B"/>
    <w:rsid w:val="0052666E"/>
    <w:rsid w:val="005266DB"/>
    <w:rsid w:val="00526700"/>
    <w:rsid w:val="00526732"/>
    <w:rsid w:val="00526938"/>
    <w:rsid w:val="00526A20"/>
    <w:rsid w:val="00526A45"/>
    <w:rsid w:val="00526AA4"/>
    <w:rsid w:val="00526BDD"/>
    <w:rsid w:val="00526D22"/>
    <w:rsid w:val="00526E8A"/>
    <w:rsid w:val="00526F1F"/>
    <w:rsid w:val="00527018"/>
    <w:rsid w:val="005270B3"/>
    <w:rsid w:val="00527141"/>
    <w:rsid w:val="005273CF"/>
    <w:rsid w:val="005273D3"/>
    <w:rsid w:val="00527427"/>
    <w:rsid w:val="005274E1"/>
    <w:rsid w:val="00527518"/>
    <w:rsid w:val="005275B5"/>
    <w:rsid w:val="005275CF"/>
    <w:rsid w:val="005275F1"/>
    <w:rsid w:val="0052761C"/>
    <w:rsid w:val="005279F4"/>
    <w:rsid w:val="00527A7E"/>
    <w:rsid w:val="00527D61"/>
    <w:rsid w:val="00527E41"/>
    <w:rsid w:val="00527F45"/>
    <w:rsid w:val="0053003F"/>
    <w:rsid w:val="005300E4"/>
    <w:rsid w:val="0053015E"/>
    <w:rsid w:val="00530216"/>
    <w:rsid w:val="00530378"/>
    <w:rsid w:val="0053041D"/>
    <w:rsid w:val="005305DC"/>
    <w:rsid w:val="0053078D"/>
    <w:rsid w:val="005307A8"/>
    <w:rsid w:val="00530969"/>
    <w:rsid w:val="00530BCB"/>
    <w:rsid w:val="00530C02"/>
    <w:rsid w:val="00530C92"/>
    <w:rsid w:val="00530CB5"/>
    <w:rsid w:val="00530CD1"/>
    <w:rsid w:val="00530D15"/>
    <w:rsid w:val="00530DA6"/>
    <w:rsid w:val="00530E57"/>
    <w:rsid w:val="00530E8E"/>
    <w:rsid w:val="00530EA6"/>
    <w:rsid w:val="00530EC2"/>
    <w:rsid w:val="00530EC6"/>
    <w:rsid w:val="00530F6C"/>
    <w:rsid w:val="00530F77"/>
    <w:rsid w:val="00530FD1"/>
    <w:rsid w:val="005310C3"/>
    <w:rsid w:val="005310F8"/>
    <w:rsid w:val="00531130"/>
    <w:rsid w:val="005312C2"/>
    <w:rsid w:val="00531362"/>
    <w:rsid w:val="00531374"/>
    <w:rsid w:val="0053145C"/>
    <w:rsid w:val="00531477"/>
    <w:rsid w:val="00531578"/>
    <w:rsid w:val="005317B4"/>
    <w:rsid w:val="005317E1"/>
    <w:rsid w:val="00531828"/>
    <w:rsid w:val="0053194C"/>
    <w:rsid w:val="00531998"/>
    <w:rsid w:val="005319B5"/>
    <w:rsid w:val="00531BF1"/>
    <w:rsid w:val="00531C2F"/>
    <w:rsid w:val="00531CB5"/>
    <w:rsid w:val="00531D45"/>
    <w:rsid w:val="00531D68"/>
    <w:rsid w:val="00531E4A"/>
    <w:rsid w:val="00531EF6"/>
    <w:rsid w:val="00531F1D"/>
    <w:rsid w:val="00531F85"/>
    <w:rsid w:val="00531FE9"/>
    <w:rsid w:val="0053208B"/>
    <w:rsid w:val="005320AC"/>
    <w:rsid w:val="005320F9"/>
    <w:rsid w:val="00532143"/>
    <w:rsid w:val="00532158"/>
    <w:rsid w:val="005321C2"/>
    <w:rsid w:val="00532218"/>
    <w:rsid w:val="00532259"/>
    <w:rsid w:val="0053225B"/>
    <w:rsid w:val="00532269"/>
    <w:rsid w:val="00532469"/>
    <w:rsid w:val="005324A1"/>
    <w:rsid w:val="005324C6"/>
    <w:rsid w:val="005324C9"/>
    <w:rsid w:val="005324CD"/>
    <w:rsid w:val="005324DC"/>
    <w:rsid w:val="00532574"/>
    <w:rsid w:val="00532733"/>
    <w:rsid w:val="00532824"/>
    <w:rsid w:val="00532837"/>
    <w:rsid w:val="00532AAE"/>
    <w:rsid w:val="00532B02"/>
    <w:rsid w:val="00532EE9"/>
    <w:rsid w:val="005330A2"/>
    <w:rsid w:val="00533231"/>
    <w:rsid w:val="005332DC"/>
    <w:rsid w:val="00533329"/>
    <w:rsid w:val="005333EB"/>
    <w:rsid w:val="0053354D"/>
    <w:rsid w:val="005335B6"/>
    <w:rsid w:val="005335E8"/>
    <w:rsid w:val="005339D6"/>
    <w:rsid w:val="00533A40"/>
    <w:rsid w:val="00533AB1"/>
    <w:rsid w:val="00533C4A"/>
    <w:rsid w:val="00533CF6"/>
    <w:rsid w:val="00533DE7"/>
    <w:rsid w:val="00533DF2"/>
    <w:rsid w:val="00533F2B"/>
    <w:rsid w:val="00533F5F"/>
    <w:rsid w:val="00533F96"/>
    <w:rsid w:val="005341F5"/>
    <w:rsid w:val="0053429C"/>
    <w:rsid w:val="005342C6"/>
    <w:rsid w:val="0053451A"/>
    <w:rsid w:val="00534582"/>
    <w:rsid w:val="0053460F"/>
    <w:rsid w:val="005346AC"/>
    <w:rsid w:val="0053474E"/>
    <w:rsid w:val="00534768"/>
    <w:rsid w:val="005347FA"/>
    <w:rsid w:val="00534875"/>
    <w:rsid w:val="005348B5"/>
    <w:rsid w:val="0053497B"/>
    <w:rsid w:val="005349EB"/>
    <w:rsid w:val="005349F3"/>
    <w:rsid w:val="00534B9C"/>
    <w:rsid w:val="00534C0D"/>
    <w:rsid w:val="00534D22"/>
    <w:rsid w:val="00534D27"/>
    <w:rsid w:val="00534E80"/>
    <w:rsid w:val="00534F1F"/>
    <w:rsid w:val="00534FCD"/>
    <w:rsid w:val="005350FF"/>
    <w:rsid w:val="005351BC"/>
    <w:rsid w:val="00535205"/>
    <w:rsid w:val="00535209"/>
    <w:rsid w:val="00535219"/>
    <w:rsid w:val="005352CC"/>
    <w:rsid w:val="00535439"/>
    <w:rsid w:val="005356CA"/>
    <w:rsid w:val="0053577A"/>
    <w:rsid w:val="00535798"/>
    <w:rsid w:val="005357F1"/>
    <w:rsid w:val="0053584F"/>
    <w:rsid w:val="005358C4"/>
    <w:rsid w:val="005359CB"/>
    <w:rsid w:val="00535A8E"/>
    <w:rsid w:val="00535B3A"/>
    <w:rsid w:val="00535C88"/>
    <w:rsid w:val="00535D07"/>
    <w:rsid w:val="00535D52"/>
    <w:rsid w:val="00535D6F"/>
    <w:rsid w:val="00535E2A"/>
    <w:rsid w:val="00535E80"/>
    <w:rsid w:val="00535F69"/>
    <w:rsid w:val="00535F77"/>
    <w:rsid w:val="00535F81"/>
    <w:rsid w:val="00535F9B"/>
    <w:rsid w:val="005360C5"/>
    <w:rsid w:val="0053619F"/>
    <w:rsid w:val="005361AD"/>
    <w:rsid w:val="0053624C"/>
    <w:rsid w:val="0053629D"/>
    <w:rsid w:val="005362E2"/>
    <w:rsid w:val="00536444"/>
    <w:rsid w:val="00536465"/>
    <w:rsid w:val="005364B2"/>
    <w:rsid w:val="00536516"/>
    <w:rsid w:val="00536535"/>
    <w:rsid w:val="00536704"/>
    <w:rsid w:val="00536727"/>
    <w:rsid w:val="005367B7"/>
    <w:rsid w:val="0053690D"/>
    <w:rsid w:val="00536A15"/>
    <w:rsid w:val="00536A99"/>
    <w:rsid w:val="00536AA2"/>
    <w:rsid w:val="00536B07"/>
    <w:rsid w:val="00536C8F"/>
    <w:rsid w:val="00536CF1"/>
    <w:rsid w:val="00536CFE"/>
    <w:rsid w:val="00536D0D"/>
    <w:rsid w:val="00536D46"/>
    <w:rsid w:val="00536DFD"/>
    <w:rsid w:val="00536ED9"/>
    <w:rsid w:val="00536F2F"/>
    <w:rsid w:val="005370F6"/>
    <w:rsid w:val="005372DA"/>
    <w:rsid w:val="00537321"/>
    <w:rsid w:val="00537448"/>
    <w:rsid w:val="005374F4"/>
    <w:rsid w:val="00537581"/>
    <w:rsid w:val="0053776E"/>
    <w:rsid w:val="0053781E"/>
    <w:rsid w:val="005378A1"/>
    <w:rsid w:val="00537933"/>
    <w:rsid w:val="005379A6"/>
    <w:rsid w:val="005379D2"/>
    <w:rsid w:val="005379E9"/>
    <w:rsid w:val="00537A01"/>
    <w:rsid w:val="00537BD9"/>
    <w:rsid w:val="00537E3C"/>
    <w:rsid w:val="00537E76"/>
    <w:rsid w:val="00537EE5"/>
    <w:rsid w:val="00537F4B"/>
    <w:rsid w:val="00540226"/>
    <w:rsid w:val="005402AD"/>
    <w:rsid w:val="005402EB"/>
    <w:rsid w:val="00540303"/>
    <w:rsid w:val="005403A7"/>
    <w:rsid w:val="005403C0"/>
    <w:rsid w:val="0054040F"/>
    <w:rsid w:val="00540469"/>
    <w:rsid w:val="0054049A"/>
    <w:rsid w:val="005406F3"/>
    <w:rsid w:val="0054071F"/>
    <w:rsid w:val="00540737"/>
    <w:rsid w:val="00540741"/>
    <w:rsid w:val="005407E9"/>
    <w:rsid w:val="00540826"/>
    <w:rsid w:val="00540AA1"/>
    <w:rsid w:val="00540AEF"/>
    <w:rsid w:val="00540C67"/>
    <w:rsid w:val="00540DEB"/>
    <w:rsid w:val="00540E20"/>
    <w:rsid w:val="00540E49"/>
    <w:rsid w:val="00540F49"/>
    <w:rsid w:val="00540F98"/>
    <w:rsid w:val="00541068"/>
    <w:rsid w:val="0054118A"/>
    <w:rsid w:val="00541236"/>
    <w:rsid w:val="00541284"/>
    <w:rsid w:val="00541324"/>
    <w:rsid w:val="00541526"/>
    <w:rsid w:val="005415B6"/>
    <w:rsid w:val="005415D5"/>
    <w:rsid w:val="00541722"/>
    <w:rsid w:val="005417A9"/>
    <w:rsid w:val="005418DD"/>
    <w:rsid w:val="005418EF"/>
    <w:rsid w:val="005419DF"/>
    <w:rsid w:val="00541AAB"/>
    <w:rsid w:val="00541AB8"/>
    <w:rsid w:val="00541BB4"/>
    <w:rsid w:val="00541BC0"/>
    <w:rsid w:val="00541C14"/>
    <w:rsid w:val="00541E86"/>
    <w:rsid w:val="00541EAC"/>
    <w:rsid w:val="00541F2D"/>
    <w:rsid w:val="00541FD9"/>
    <w:rsid w:val="00541FDF"/>
    <w:rsid w:val="0054207D"/>
    <w:rsid w:val="0054224C"/>
    <w:rsid w:val="00542266"/>
    <w:rsid w:val="0054258C"/>
    <w:rsid w:val="005426C1"/>
    <w:rsid w:val="0054275C"/>
    <w:rsid w:val="00542830"/>
    <w:rsid w:val="005428C8"/>
    <w:rsid w:val="00542A5A"/>
    <w:rsid w:val="00542A7C"/>
    <w:rsid w:val="00542B74"/>
    <w:rsid w:val="00542B96"/>
    <w:rsid w:val="00542C37"/>
    <w:rsid w:val="00542C4F"/>
    <w:rsid w:val="00542EEE"/>
    <w:rsid w:val="00542EFD"/>
    <w:rsid w:val="00542F9F"/>
    <w:rsid w:val="0054302B"/>
    <w:rsid w:val="00543057"/>
    <w:rsid w:val="00543146"/>
    <w:rsid w:val="00543151"/>
    <w:rsid w:val="005434D2"/>
    <w:rsid w:val="0054354D"/>
    <w:rsid w:val="0054389E"/>
    <w:rsid w:val="00543A75"/>
    <w:rsid w:val="00543B27"/>
    <w:rsid w:val="00543B6B"/>
    <w:rsid w:val="00543BAF"/>
    <w:rsid w:val="00543BC7"/>
    <w:rsid w:val="00543BCF"/>
    <w:rsid w:val="00543D91"/>
    <w:rsid w:val="00543EB0"/>
    <w:rsid w:val="005441DB"/>
    <w:rsid w:val="00544209"/>
    <w:rsid w:val="0054423F"/>
    <w:rsid w:val="00544289"/>
    <w:rsid w:val="005442B6"/>
    <w:rsid w:val="00544333"/>
    <w:rsid w:val="00544496"/>
    <w:rsid w:val="0054462D"/>
    <w:rsid w:val="0054468A"/>
    <w:rsid w:val="00544855"/>
    <w:rsid w:val="00544881"/>
    <w:rsid w:val="005449D2"/>
    <w:rsid w:val="00544A37"/>
    <w:rsid w:val="00544BFE"/>
    <w:rsid w:val="00544C40"/>
    <w:rsid w:val="00544C89"/>
    <w:rsid w:val="00544D2A"/>
    <w:rsid w:val="00544D93"/>
    <w:rsid w:val="00544E4B"/>
    <w:rsid w:val="00544EE9"/>
    <w:rsid w:val="00544EFF"/>
    <w:rsid w:val="00545045"/>
    <w:rsid w:val="0054505E"/>
    <w:rsid w:val="005451A5"/>
    <w:rsid w:val="00545306"/>
    <w:rsid w:val="0054533E"/>
    <w:rsid w:val="005453F2"/>
    <w:rsid w:val="005453FA"/>
    <w:rsid w:val="00545453"/>
    <w:rsid w:val="00545488"/>
    <w:rsid w:val="0054552A"/>
    <w:rsid w:val="0054554C"/>
    <w:rsid w:val="0054555E"/>
    <w:rsid w:val="00545566"/>
    <w:rsid w:val="0054557D"/>
    <w:rsid w:val="005456DD"/>
    <w:rsid w:val="00545724"/>
    <w:rsid w:val="005458A4"/>
    <w:rsid w:val="00545930"/>
    <w:rsid w:val="00545CCF"/>
    <w:rsid w:val="00545E30"/>
    <w:rsid w:val="00545E90"/>
    <w:rsid w:val="0054608E"/>
    <w:rsid w:val="00546115"/>
    <w:rsid w:val="00546165"/>
    <w:rsid w:val="0054627B"/>
    <w:rsid w:val="0054647C"/>
    <w:rsid w:val="00546675"/>
    <w:rsid w:val="005466F5"/>
    <w:rsid w:val="0054680C"/>
    <w:rsid w:val="0054681D"/>
    <w:rsid w:val="0054684C"/>
    <w:rsid w:val="0054685A"/>
    <w:rsid w:val="005469B9"/>
    <w:rsid w:val="00546AD7"/>
    <w:rsid w:val="00546B41"/>
    <w:rsid w:val="00546B49"/>
    <w:rsid w:val="00546C7E"/>
    <w:rsid w:val="00546C7F"/>
    <w:rsid w:val="00546CA0"/>
    <w:rsid w:val="00546E04"/>
    <w:rsid w:val="0054712D"/>
    <w:rsid w:val="0054715F"/>
    <w:rsid w:val="0054716F"/>
    <w:rsid w:val="0054722C"/>
    <w:rsid w:val="005472B6"/>
    <w:rsid w:val="005474A5"/>
    <w:rsid w:val="00547514"/>
    <w:rsid w:val="005476BD"/>
    <w:rsid w:val="00547785"/>
    <w:rsid w:val="005478B0"/>
    <w:rsid w:val="005479FD"/>
    <w:rsid w:val="00547B30"/>
    <w:rsid w:val="00547C13"/>
    <w:rsid w:val="00547C95"/>
    <w:rsid w:val="00547D11"/>
    <w:rsid w:val="00547DF5"/>
    <w:rsid w:val="00547F37"/>
    <w:rsid w:val="00547F3E"/>
    <w:rsid w:val="00547F4E"/>
    <w:rsid w:val="00550026"/>
    <w:rsid w:val="00550181"/>
    <w:rsid w:val="005501B2"/>
    <w:rsid w:val="00550323"/>
    <w:rsid w:val="005504C5"/>
    <w:rsid w:val="0055050D"/>
    <w:rsid w:val="0055052D"/>
    <w:rsid w:val="00550633"/>
    <w:rsid w:val="00550701"/>
    <w:rsid w:val="0055070A"/>
    <w:rsid w:val="0055084B"/>
    <w:rsid w:val="00550A03"/>
    <w:rsid w:val="00550A87"/>
    <w:rsid w:val="00550B59"/>
    <w:rsid w:val="00550C1F"/>
    <w:rsid w:val="00550CC5"/>
    <w:rsid w:val="00550E31"/>
    <w:rsid w:val="00550F60"/>
    <w:rsid w:val="00551016"/>
    <w:rsid w:val="00551103"/>
    <w:rsid w:val="005514BA"/>
    <w:rsid w:val="00551538"/>
    <w:rsid w:val="0055159A"/>
    <w:rsid w:val="005515C5"/>
    <w:rsid w:val="00551607"/>
    <w:rsid w:val="00551636"/>
    <w:rsid w:val="00551657"/>
    <w:rsid w:val="005517DD"/>
    <w:rsid w:val="00551866"/>
    <w:rsid w:val="005518F5"/>
    <w:rsid w:val="0055195A"/>
    <w:rsid w:val="00551A49"/>
    <w:rsid w:val="00551C51"/>
    <w:rsid w:val="00551C95"/>
    <w:rsid w:val="00551CF8"/>
    <w:rsid w:val="00551E48"/>
    <w:rsid w:val="00551E91"/>
    <w:rsid w:val="00551F0A"/>
    <w:rsid w:val="005521E0"/>
    <w:rsid w:val="00552462"/>
    <w:rsid w:val="005524D4"/>
    <w:rsid w:val="00552541"/>
    <w:rsid w:val="00552571"/>
    <w:rsid w:val="00552708"/>
    <w:rsid w:val="005527A4"/>
    <w:rsid w:val="005529F6"/>
    <w:rsid w:val="00552B16"/>
    <w:rsid w:val="00552B85"/>
    <w:rsid w:val="00552C0B"/>
    <w:rsid w:val="00552C3C"/>
    <w:rsid w:val="00552C77"/>
    <w:rsid w:val="00552CFA"/>
    <w:rsid w:val="00552CFF"/>
    <w:rsid w:val="00552D35"/>
    <w:rsid w:val="00552DB2"/>
    <w:rsid w:val="00552DC3"/>
    <w:rsid w:val="00553023"/>
    <w:rsid w:val="005530F0"/>
    <w:rsid w:val="0055327E"/>
    <w:rsid w:val="00553468"/>
    <w:rsid w:val="00553728"/>
    <w:rsid w:val="0055391E"/>
    <w:rsid w:val="0055391F"/>
    <w:rsid w:val="00553A04"/>
    <w:rsid w:val="00553AEE"/>
    <w:rsid w:val="00553CEE"/>
    <w:rsid w:val="00553DA3"/>
    <w:rsid w:val="00553DC0"/>
    <w:rsid w:val="00553EA4"/>
    <w:rsid w:val="00553F37"/>
    <w:rsid w:val="00553F77"/>
    <w:rsid w:val="0055400A"/>
    <w:rsid w:val="00554057"/>
    <w:rsid w:val="005540DD"/>
    <w:rsid w:val="00554164"/>
    <w:rsid w:val="00554279"/>
    <w:rsid w:val="0055427C"/>
    <w:rsid w:val="0055443D"/>
    <w:rsid w:val="005544A1"/>
    <w:rsid w:val="005544F5"/>
    <w:rsid w:val="00554628"/>
    <w:rsid w:val="00554683"/>
    <w:rsid w:val="005546F4"/>
    <w:rsid w:val="005548ED"/>
    <w:rsid w:val="00554913"/>
    <w:rsid w:val="00554949"/>
    <w:rsid w:val="005549BA"/>
    <w:rsid w:val="00554A11"/>
    <w:rsid w:val="00554AB6"/>
    <w:rsid w:val="00554BE7"/>
    <w:rsid w:val="00554CFF"/>
    <w:rsid w:val="00554D8C"/>
    <w:rsid w:val="00554DE6"/>
    <w:rsid w:val="00554EFD"/>
    <w:rsid w:val="00555019"/>
    <w:rsid w:val="00555056"/>
    <w:rsid w:val="005550E9"/>
    <w:rsid w:val="0055518E"/>
    <w:rsid w:val="0055529A"/>
    <w:rsid w:val="005552A2"/>
    <w:rsid w:val="005552E3"/>
    <w:rsid w:val="00555351"/>
    <w:rsid w:val="005554FA"/>
    <w:rsid w:val="00555554"/>
    <w:rsid w:val="005555FB"/>
    <w:rsid w:val="0055568E"/>
    <w:rsid w:val="0055575F"/>
    <w:rsid w:val="005557C6"/>
    <w:rsid w:val="005557ED"/>
    <w:rsid w:val="005558C5"/>
    <w:rsid w:val="0055590C"/>
    <w:rsid w:val="00555914"/>
    <w:rsid w:val="005559F4"/>
    <w:rsid w:val="00555BEC"/>
    <w:rsid w:val="00555C3A"/>
    <w:rsid w:val="00555E0E"/>
    <w:rsid w:val="00555E8B"/>
    <w:rsid w:val="00555F06"/>
    <w:rsid w:val="00555F0C"/>
    <w:rsid w:val="00555F14"/>
    <w:rsid w:val="00556014"/>
    <w:rsid w:val="00556015"/>
    <w:rsid w:val="00556059"/>
    <w:rsid w:val="005560C4"/>
    <w:rsid w:val="0055630C"/>
    <w:rsid w:val="00556326"/>
    <w:rsid w:val="0055632C"/>
    <w:rsid w:val="0055636F"/>
    <w:rsid w:val="00556416"/>
    <w:rsid w:val="00556615"/>
    <w:rsid w:val="0055661B"/>
    <w:rsid w:val="005566B5"/>
    <w:rsid w:val="00556708"/>
    <w:rsid w:val="005568B0"/>
    <w:rsid w:val="005568DA"/>
    <w:rsid w:val="0055690E"/>
    <w:rsid w:val="0055692E"/>
    <w:rsid w:val="005569F1"/>
    <w:rsid w:val="00556A8F"/>
    <w:rsid w:val="00556A9B"/>
    <w:rsid w:val="00556CC9"/>
    <w:rsid w:val="00556F1E"/>
    <w:rsid w:val="00556F3A"/>
    <w:rsid w:val="0055716B"/>
    <w:rsid w:val="00557215"/>
    <w:rsid w:val="00557283"/>
    <w:rsid w:val="00557306"/>
    <w:rsid w:val="00557401"/>
    <w:rsid w:val="0055740D"/>
    <w:rsid w:val="00557539"/>
    <w:rsid w:val="005575B6"/>
    <w:rsid w:val="00557792"/>
    <w:rsid w:val="00557806"/>
    <w:rsid w:val="005578A0"/>
    <w:rsid w:val="00557973"/>
    <w:rsid w:val="005579CF"/>
    <w:rsid w:val="005579F6"/>
    <w:rsid w:val="00557A5A"/>
    <w:rsid w:val="00557BC6"/>
    <w:rsid w:val="00557D34"/>
    <w:rsid w:val="00557DEE"/>
    <w:rsid w:val="00557EC0"/>
    <w:rsid w:val="00557F94"/>
    <w:rsid w:val="0056002D"/>
    <w:rsid w:val="00560072"/>
    <w:rsid w:val="0056024E"/>
    <w:rsid w:val="005603DC"/>
    <w:rsid w:val="00560489"/>
    <w:rsid w:val="00560631"/>
    <w:rsid w:val="0056070F"/>
    <w:rsid w:val="00560873"/>
    <w:rsid w:val="005609C3"/>
    <w:rsid w:val="00560A5B"/>
    <w:rsid w:val="00560B6B"/>
    <w:rsid w:val="00560BE2"/>
    <w:rsid w:val="00560C90"/>
    <w:rsid w:val="00560CCD"/>
    <w:rsid w:val="00560D4B"/>
    <w:rsid w:val="00560E3D"/>
    <w:rsid w:val="00560F32"/>
    <w:rsid w:val="00560F38"/>
    <w:rsid w:val="005611E5"/>
    <w:rsid w:val="00561285"/>
    <w:rsid w:val="00561415"/>
    <w:rsid w:val="0056141E"/>
    <w:rsid w:val="00561450"/>
    <w:rsid w:val="00561502"/>
    <w:rsid w:val="0056184E"/>
    <w:rsid w:val="005618E2"/>
    <w:rsid w:val="00561A5B"/>
    <w:rsid w:val="00561B9C"/>
    <w:rsid w:val="00561D96"/>
    <w:rsid w:val="00561F24"/>
    <w:rsid w:val="00562061"/>
    <w:rsid w:val="005621BE"/>
    <w:rsid w:val="00562202"/>
    <w:rsid w:val="0056221B"/>
    <w:rsid w:val="00562228"/>
    <w:rsid w:val="00562302"/>
    <w:rsid w:val="0056248B"/>
    <w:rsid w:val="005624A7"/>
    <w:rsid w:val="00562500"/>
    <w:rsid w:val="00562518"/>
    <w:rsid w:val="00562547"/>
    <w:rsid w:val="0056255D"/>
    <w:rsid w:val="00562595"/>
    <w:rsid w:val="0056259F"/>
    <w:rsid w:val="005626E6"/>
    <w:rsid w:val="005628A4"/>
    <w:rsid w:val="0056292B"/>
    <w:rsid w:val="00562B09"/>
    <w:rsid w:val="00562BCD"/>
    <w:rsid w:val="00562CCA"/>
    <w:rsid w:val="00562DC1"/>
    <w:rsid w:val="00562E94"/>
    <w:rsid w:val="00562EDC"/>
    <w:rsid w:val="00562F95"/>
    <w:rsid w:val="00562FD4"/>
    <w:rsid w:val="00562FDC"/>
    <w:rsid w:val="00563009"/>
    <w:rsid w:val="00563140"/>
    <w:rsid w:val="0056317B"/>
    <w:rsid w:val="0056342C"/>
    <w:rsid w:val="00563654"/>
    <w:rsid w:val="005636BF"/>
    <w:rsid w:val="005636CB"/>
    <w:rsid w:val="00563712"/>
    <w:rsid w:val="00563799"/>
    <w:rsid w:val="00563857"/>
    <w:rsid w:val="0056386D"/>
    <w:rsid w:val="00563B04"/>
    <w:rsid w:val="00563DD2"/>
    <w:rsid w:val="00563DFD"/>
    <w:rsid w:val="00563E1F"/>
    <w:rsid w:val="00563F5D"/>
    <w:rsid w:val="00563FA0"/>
    <w:rsid w:val="0056413D"/>
    <w:rsid w:val="005642C7"/>
    <w:rsid w:val="00564495"/>
    <w:rsid w:val="005646CD"/>
    <w:rsid w:val="0056483A"/>
    <w:rsid w:val="0056483F"/>
    <w:rsid w:val="00564930"/>
    <w:rsid w:val="005649CF"/>
    <w:rsid w:val="005649D1"/>
    <w:rsid w:val="00564A1D"/>
    <w:rsid w:val="00564A51"/>
    <w:rsid w:val="00564C87"/>
    <w:rsid w:val="00564DEE"/>
    <w:rsid w:val="00564EC5"/>
    <w:rsid w:val="00564EF8"/>
    <w:rsid w:val="00564F7D"/>
    <w:rsid w:val="00564F83"/>
    <w:rsid w:val="00565013"/>
    <w:rsid w:val="005650A4"/>
    <w:rsid w:val="0056518B"/>
    <w:rsid w:val="005651C4"/>
    <w:rsid w:val="005651DB"/>
    <w:rsid w:val="0056525C"/>
    <w:rsid w:val="00565273"/>
    <w:rsid w:val="005652A0"/>
    <w:rsid w:val="005652D1"/>
    <w:rsid w:val="005653A0"/>
    <w:rsid w:val="0056559E"/>
    <w:rsid w:val="005657C1"/>
    <w:rsid w:val="00565925"/>
    <w:rsid w:val="0056595C"/>
    <w:rsid w:val="00565A99"/>
    <w:rsid w:val="00565B1F"/>
    <w:rsid w:val="00565B4A"/>
    <w:rsid w:val="00565C04"/>
    <w:rsid w:val="00565C61"/>
    <w:rsid w:val="00565D25"/>
    <w:rsid w:val="00565D8D"/>
    <w:rsid w:val="00565DAD"/>
    <w:rsid w:val="00565DC4"/>
    <w:rsid w:val="00565DF0"/>
    <w:rsid w:val="00565F25"/>
    <w:rsid w:val="0056612E"/>
    <w:rsid w:val="00566304"/>
    <w:rsid w:val="00566433"/>
    <w:rsid w:val="0056664B"/>
    <w:rsid w:val="00566662"/>
    <w:rsid w:val="00566686"/>
    <w:rsid w:val="00566787"/>
    <w:rsid w:val="005667D6"/>
    <w:rsid w:val="00566A71"/>
    <w:rsid w:val="00566BC2"/>
    <w:rsid w:val="00566BC4"/>
    <w:rsid w:val="00566D02"/>
    <w:rsid w:val="00566D82"/>
    <w:rsid w:val="00566E32"/>
    <w:rsid w:val="00566E34"/>
    <w:rsid w:val="005670C8"/>
    <w:rsid w:val="00567207"/>
    <w:rsid w:val="00567299"/>
    <w:rsid w:val="0056741A"/>
    <w:rsid w:val="00567449"/>
    <w:rsid w:val="005676B6"/>
    <w:rsid w:val="005677CE"/>
    <w:rsid w:val="00567A79"/>
    <w:rsid w:val="00567D5E"/>
    <w:rsid w:val="00567DA4"/>
    <w:rsid w:val="00567DBC"/>
    <w:rsid w:val="00567E04"/>
    <w:rsid w:val="00567E50"/>
    <w:rsid w:val="00567EF3"/>
    <w:rsid w:val="00570013"/>
    <w:rsid w:val="005702E1"/>
    <w:rsid w:val="005702FD"/>
    <w:rsid w:val="005703DC"/>
    <w:rsid w:val="005704A5"/>
    <w:rsid w:val="005705E7"/>
    <w:rsid w:val="00570810"/>
    <w:rsid w:val="0057086C"/>
    <w:rsid w:val="00570A01"/>
    <w:rsid w:val="00570B54"/>
    <w:rsid w:val="00570C05"/>
    <w:rsid w:val="00570CAD"/>
    <w:rsid w:val="00570D7D"/>
    <w:rsid w:val="00570E0A"/>
    <w:rsid w:val="00570EF6"/>
    <w:rsid w:val="00570F24"/>
    <w:rsid w:val="00570F95"/>
    <w:rsid w:val="005710BD"/>
    <w:rsid w:val="005710F0"/>
    <w:rsid w:val="0057115D"/>
    <w:rsid w:val="0057116E"/>
    <w:rsid w:val="005711FA"/>
    <w:rsid w:val="0057136D"/>
    <w:rsid w:val="0057144F"/>
    <w:rsid w:val="005714B6"/>
    <w:rsid w:val="005716C0"/>
    <w:rsid w:val="005718B2"/>
    <w:rsid w:val="005718BA"/>
    <w:rsid w:val="00571A24"/>
    <w:rsid w:val="00571A2E"/>
    <w:rsid w:val="00571AA4"/>
    <w:rsid w:val="00571AF5"/>
    <w:rsid w:val="00571B31"/>
    <w:rsid w:val="00571B62"/>
    <w:rsid w:val="00571BC5"/>
    <w:rsid w:val="00571C25"/>
    <w:rsid w:val="0057223C"/>
    <w:rsid w:val="0057229C"/>
    <w:rsid w:val="005722DC"/>
    <w:rsid w:val="005724EF"/>
    <w:rsid w:val="00572579"/>
    <w:rsid w:val="00572604"/>
    <w:rsid w:val="005726A2"/>
    <w:rsid w:val="005727B6"/>
    <w:rsid w:val="005727B9"/>
    <w:rsid w:val="005728C2"/>
    <w:rsid w:val="005728DC"/>
    <w:rsid w:val="00572946"/>
    <w:rsid w:val="00572E73"/>
    <w:rsid w:val="00572FFF"/>
    <w:rsid w:val="00573055"/>
    <w:rsid w:val="005731FF"/>
    <w:rsid w:val="00573206"/>
    <w:rsid w:val="0057328E"/>
    <w:rsid w:val="005732BF"/>
    <w:rsid w:val="0057331A"/>
    <w:rsid w:val="0057340D"/>
    <w:rsid w:val="0057352B"/>
    <w:rsid w:val="005735BB"/>
    <w:rsid w:val="005735DA"/>
    <w:rsid w:val="005735EF"/>
    <w:rsid w:val="00573606"/>
    <w:rsid w:val="00573629"/>
    <w:rsid w:val="0057370E"/>
    <w:rsid w:val="005738B5"/>
    <w:rsid w:val="005738BB"/>
    <w:rsid w:val="005738E9"/>
    <w:rsid w:val="00573B83"/>
    <w:rsid w:val="00573BAA"/>
    <w:rsid w:val="00573D3F"/>
    <w:rsid w:val="00573DBF"/>
    <w:rsid w:val="00573E2D"/>
    <w:rsid w:val="00573E9E"/>
    <w:rsid w:val="00573F60"/>
    <w:rsid w:val="0057407B"/>
    <w:rsid w:val="005741BA"/>
    <w:rsid w:val="00574361"/>
    <w:rsid w:val="0057447B"/>
    <w:rsid w:val="0057454F"/>
    <w:rsid w:val="00574596"/>
    <w:rsid w:val="00574756"/>
    <w:rsid w:val="0057475D"/>
    <w:rsid w:val="00574964"/>
    <w:rsid w:val="00574B25"/>
    <w:rsid w:val="00574B66"/>
    <w:rsid w:val="00574BFB"/>
    <w:rsid w:val="00574C3D"/>
    <w:rsid w:val="00574C4D"/>
    <w:rsid w:val="00574D79"/>
    <w:rsid w:val="00574E40"/>
    <w:rsid w:val="00574F04"/>
    <w:rsid w:val="00574FB5"/>
    <w:rsid w:val="00575128"/>
    <w:rsid w:val="005751D0"/>
    <w:rsid w:val="00575259"/>
    <w:rsid w:val="00575292"/>
    <w:rsid w:val="00575472"/>
    <w:rsid w:val="00575488"/>
    <w:rsid w:val="005754C7"/>
    <w:rsid w:val="00575516"/>
    <w:rsid w:val="005755B7"/>
    <w:rsid w:val="0057565F"/>
    <w:rsid w:val="0057568D"/>
    <w:rsid w:val="005757A1"/>
    <w:rsid w:val="00575980"/>
    <w:rsid w:val="00575A77"/>
    <w:rsid w:val="00575C06"/>
    <w:rsid w:val="00575D6C"/>
    <w:rsid w:val="00575E17"/>
    <w:rsid w:val="00575EBC"/>
    <w:rsid w:val="00575ED8"/>
    <w:rsid w:val="00575FA0"/>
    <w:rsid w:val="00575FC4"/>
    <w:rsid w:val="00576163"/>
    <w:rsid w:val="00576264"/>
    <w:rsid w:val="0057632A"/>
    <w:rsid w:val="005766AC"/>
    <w:rsid w:val="00576780"/>
    <w:rsid w:val="00576831"/>
    <w:rsid w:val="0057684E"/>
    <w:rsid w:val="005769FB"/>
    <w:rsid w:val="00576AA0"/>
    <w:rsid w:val="00576B5D"/>
    <w:rsid w:val="00576B8C"/>
    <w:rsid w:val="00576DC2"/>
    <w:rsid w:val="00576E09"/>
    <w:rsid w:val="00576E57"/>
    <w:rsid w:val="00576E8F"/>
    <w:rsid w:val="00576F91"/>
    <w:rsid w:val="00577054"/>
    <w:rsid w:val="005770ED"/>
    <w:rsid w:val="005770F2"/>
    <w:rsid w:val="005770FE"/>
    <w:rsid w:val="005771DD"/>
    <w:rsid w:val="00577262"/>
    <w:rsid w:val="005772E3"/>
    <w:rsid w:val="005774DC"/>
    <w:rsid w:val="00577540"/>
    <w:rsid w:val="00577551"/>
    <w:rsid w:val="005776BF"/>
    <w:rsid w:val="005776EC"/>
    <w:rsid w:val="00577763"/>
    <w:rsid w:val="00577798"/>
    <w:rsid w:val="005777B2"/>
    <w:rsid w:val="0057785A"/>
    <w:rsid w:val="00577902"/>
    <w:rsid w:val="00577C32"/>
    <w:rsid w:val="00577CCE"/>
    <w:rsid w:val="00577D02"/>
    <w:rsid w:val="00577DE8"/>
    <w:rsid w:val="00577E3C"/>
    <w:rsid w:val="00577E91"/>
    <w:rsid w:val="00580067"/>
    <w:rsid w:val="00580158"/>
    <w:rsid w:val="00580169"/>
    <w:rsid w:val="00580460"/>
    <w:rsid w:val="0058072A"/>
    <w:rsid w:val="0058073D"/>
    <w:rsid w:val="00580747"/>
    <w:rsid w:val="0058076E"/>
    <w:rsid w:val="005808CA"/>
    <w:rsid w:val="005808F3"/>
    <w:rsid w:val="00580AD8"/>
    <w:rsid w:val="00580B9B"/>
    <w:rsid w:val="00580C5A"/>
    <w:rsid w:val="00580D11"/>
    <w:rsid w:val="00580DA3"/>
    <w:rsid w:val="00580F8C"/>
    <w:rsid w:val="00580FD0"/>
    <w:rsid w:val="00580FFF"/>
    <w:rsid w:val="005810E6"/>
    <w:rsid w:val="00581171"/>
    <w:rsid w:val="005812B8"/>
    <w:rsid w:val="00581331"/>
    <w:rsid w:val="0058155C"/>
    <w:rsid w:val="00581575"/>
    <w:rsid w:val="0058159E"/>
    <w:rsid w:val="00581645"/>
    <w:rsid w:val="005816A5"/>
    <w:rsid w:val="005816E0"/>
    <w:rsid w:val="005817A2"/>
    <w:rsid w:val="005819A0"/>
    <w:rsid w:val="00581AF7"/>
    <w:rsid w:val="00581DB0"/>
    <w:rsid w:val="00581E51"/>
    <w:rsid w:val="00581FCE"/>
    <w:rsid w:val="00582023"/>
    <w:rsid w:val="00582179"/>
    <w:rsid w:val="0058233B"/>
    <w:rsid w:val="00582350"/>
    <w:rsid w:val="00582450"/>
    <w:rsid w:val="005824C9"/>
    <w:rsid w:val="00582616"/>
    <w:rsid w:val="005826E8"/>
    <w:rsid w:val="00582705"/>
    <w:rsid w:val="00582762"/>
    <w:rsid w:val="005829AF"/>
    <w:rsid w:val="005829E5"/>
    <w:rsid w:val="00582C6D"/>
    <w:rsid w:val="00582CB2"/>
    <w:rsid w:val="00582CE6"/>
    <w:rsid w:val="00582DF5"/>
    <w:rsid w:val="00582DF6"/>
    <w:rsid w:val="00582E07"/>
    <w:rsid w:val="00582E10"/>
    <w:rsid w:val="00582E72"/>
    <w:rsid w:val="00582E97"/>
    <w:rsid w:val="00582ECD"/>
    <w:rsid w:val="005830A3"/>
    <w:rsid w:val="00583327"/>
    <w:rsid w:val="00583410"/>
    <w:rsid w:val="00583489"/>
    <w:rsid w:val="005837A6"/>
    <w:rsid w:val="00583859"/>
    <w:rsid w:val="00583B27"/>
    <w:rsid w:val="00583B30"/>
    <w:rsid w:val="00583B45"/>
    <w:rsid w:val="00583B84"/>
    <w:rsid w:val="00583BD3"/>
    <w:rsid w:val="00583BD8"/>
    <w:rsid w:val="00583C26"/>
    <w:rsid w:val="00583C3C"/>
    <w:rsid w:val="00583CC8"/>
    <w:rsid w:val="00583D22"/>
    <w:rsid w:val="00583E9B"/>
    <w:rsid w:val="00583FA9"/>
    <w:rsid w:val="00583FE3"/>
    <w:rsid w:val="005840E2"/>
    <w:rsid w:val="00584246"/>
    <w:rsid w:val="005843E1"/>
    <w:rsid w:val="00584455"/>
    <w:rsid w:val="005844E1"/>
    <w:rsid w:val="005844E8"/>
    <w:rsid w:val="00584534"/>
    <w:rsid w:val="00584814"/>
    <w:rsid w:val="005848F3"/>
    <w:rsid w:val="0058490A"/>
    <w:rsid w:val="00584A57"/>
    <w:rsid w:val="00584BB1"/>
    <w:rsid w:val="00584E25"/>
    <w:rsid w:val="00584E99"/>
    <w:rsid w:val="00584EF5"/>
    <w:rsid w:val="00584F08"/>
    <w:rsid w:val="00584F4A"/>
    <w:rsid w:val="00584F4C"/>
    <w:rsid w:val="00584F85"/>
    <w:rsid w:val="00584FF2"/>
    <w:rsid w:val="005850F2"/>
    <w:rsid w:val="00585146"/>
    <w:rsid w:val="005852C1"/>
    <w:rsid w:val="005853A6"/>
    <w:rsid w:val="005853E1"/>
    <w:rsid w:val="005854B4"/>
    <w:rsid w:val="00585669"/>
    <w:rsid w:val="00585764"/>
    <w:rsid w:val="005857BA"/>
    <w:rsid w:val="0058589E"/>
    <w:rsid w:val="005858A4"/>
    <w:rsid w:val="005858BB"/>
    <w:rsid w:val="00585977"/>
    <w:rsid w:val="00585985"/>
    <w:rsid w:val="00585A15"/>
    <w:rsid w:val="00585B59"/>
    <w:rsid w:val="00585F2D"/>
    <w:rsid w:val="00585FC8"/>
    <w:rsid w:val="00586135"/>
    <w:rsid w:val="0058625A"/>
    <w:rsid w:val="0058627E"/>
    <w:rsid w:val="005862E6"/>
    <w:rsid w:val="005862F9"/>
    <w:rsid w:val="0058630A"/>
    <w:rsid w:val="0058640B"/>
    <w:rsid w:val="005864A9"/>
    <w:rsid w:val="00586540"/>
    <w:rsid w:val="0058664A"/>
    <w:rsid w:val="0058670E"/>
    <w:rsid w:val="00586849"/>
    <w:rsid w:val="00586A14"/>
    <w:rsid w:val="00586B01"/>
    <w:rsid w:val="00586B75"/>
    <w:rsid w:val="00586D0C"/>
    <w:rsid w:val="00586DAA"/>
    <w:rsid w:val="00587037"/>
    <w:rsid w:val="0058708C"/>
    <w:rsid w:val="005871CA"/>
    <w:rsid w:val="0058728F"/>
    <w:rsid w:val="0058735C"/>
    <w:rsid w:val="00587449"/>
    <w:rsid w:val="0058746D"/>
    <w:rsid w:val="00587473"/>
    <w:rsid w:val="0058749A"/>
    <w:rsid w:val="0058765E"/>
    <w:rsid w:val="00587740"/>
    <w:rsid w:val="00587806"/>
    <w:rsid w:val="00587811"/>
    <w:rsid w:val="00587932"/>
    <w:rsid w:val="00587B06"/>
    <w:rsid w:val="00587B59"/>
    <w:rsid w:val="00587C48"/>
    <w:rsid w:val="00587DCE"/>
    <w:rsid w:val="005901FF"/>
    <w:rsid w:val="00590269"/>
    <w:rsid w:val="005902C6"/>
    <w:rsid w:val="00590352"/>
    <w:rsid w:val="005903EC"/>
    <w:rsid w:val="00590434"/>
    <w:rsid w:val="0059060C"/>
    <w:rsid w:val="0059063C"/>
    <w:rsid w:val="005906CF"/>
    <w:rsid w:val="005906F0"/>
    <w:rsid w:val="00590735"/>
    <w:rsid w:val="00590862"/>
    <w:rsid w:val="00590882"/>
    <w:rsid w:val="00590A9F"/>
    <w:rsid w:val="00590AEB"/>
    <w:rsid w:val="00590B05"/>
    <w:rsid w:val="00590B74"/>
    <w:rsid w:val="00590B7C"/>
    <w:rsid w:val="00590CFE"/>
    <w:rsid w:val="00590D3D"/>
    <w:rsid w:val="00590E9D"/>
    <w:rsid w:val="00590F0D"/>
    <w:rsid w:val="005911E8"/>
    <w:rsid w:val="0059135A"/>
    <w:rsid w:val="0059157B"/>
    <w:rsid w:val="005916BA"/>
    <w:rsid w:val="005916D6"/>
    <w:rsid w:val="005917DF"/>
    <w:rsid w:val="0059184A"/>
    <w:rsid w:val="00591A00"/>
    <w:rsid w:val="00591D76"/>
    <w:rsid w:val="00591DC3"/>
    <w:rsid w:val="00591DD6"/>
    <w:rsid w:val="00591EFA"/>
    <w:rsid w:val="005920E3"/>
    <w:rsid w:val="00592176"/>
    <w:rsid w:val="0059220E"/>
    <w:rsid w:val="00592245"/>
    <w:rsid w:val="005922BC"/>
    <w:rsid w:val="0059249F"/>
    <w:rsid w:val="005924BA"/>
    <w:rsid w:val="00592644"/>
    <w:rsid w:val="005926A5"/>
    <w:rsid w:val="005926FD"/>
    <w:rsid w:val="005929A8"/>
    <w:rsid w:val="00592A18"/>
    <w:rsid w:val="00592A84"/>
    <w:rsid w:val="00592AAC"/>
    <w:rsid w:val="00592B23"/>
    <w:rsid w:val="00592BCD"/>
    <w:rsid w:val="00592D5F"/>
    <w:rsid w:val="00592E94"/>
    <w:rsid w:val="00593008"/>
    <w:rsid w:val="00593009"/>
    <w:rsid w:val="0059323B"/>
    <w:rsid w:val="005933EE"/>
    <w:rsid w:val="00593425"/>
    <w:rsid w:val="00593555"/>
    <w:rsid w:val="005935EE"/>
    <w:rsid w:val="00593617"/>
    <w:rsid w:val="00593665"/>
    <w:rsid w:val="00593720"/>
    <w:rsid w:val="0059379C"/>
    <w:rsid w:val="00593807"/>
    <w:rsid w:val="00593860"/>
    <w:rsid w:val="005938D2"/>
    <w:rsid w:val="005938DE"/>
    <w:rsid w:val="0059395B"/>
    <w:rsid w:val="005939E3"/>
    <w:rsid w:val="00593AE7"/>
    <w:rsid w:val="00593B2A"/>
    <w:rsid w:val="00593BB3"/>
    <w:rsid w:val="00593C54"/>
    <w:rsid w:val="00593DB3"/>
    <w:rsid w:val="00593E57"/>
    <w:rsid w:val="00593EAA"/>
    <w:rsid w:val="00594036"/>
    <w:rsid w:val="00594105"/>
    <w:rsid w:val="00594110"/>
    <w:rsid w:val="00594138"/>
    <w:rsid w:val="00594167"/>
    <w:rsid w:val="0059416C"/>
    <w:rsid w:val="0059422C"/>
    <w:rsid w:val="005944A4"/>
    <w:rsid w:val="005944C5"/>
    <w:rsid w:val="00594539"/>
    <w:rsid w:val="00594731"/>
    <w:rsid w:val="005947F3"/>
    <w:rsid w:val="00594839"/>
    <w:rsid w:val="00594853"/>
    <w:rsid w:val="005948D8"/>
    <w:rsid w:val="00594976"/>
    <w:rsid w:val="005949C2"/>
    <w:rsid w:val="00594BD2"/>
    <w:rsid w:val="00594E18"/>
    <w:rsid w:val="00594F57"/>
    <w:rsid w:val="0059513C"/>
    <w:rsid w:val="0059515F"/>
    <w:rsid w:val="00595172"/>
    <w:rsid w:val="0059520F"/>
    <w:rsid w:val="005952AC"/>
    <w:rsid w:val="00595343"/>
    <w:rsid w:val="0059542F"/>
    <w:rsid w:val="005955F8"/>
    <w:rsid w:val="00595AFF"/>
    <w:rsid w:val="00595C88"/>
    <w:rsid w:val="00595E3D"/>
    <w:rsid w:val="00596022"/>
    <w:rsid w:val="0059606A"/>
    <w:rsid w:val="00596085"/>
    <w:rsid w:val="00596156"/>
    <w:rsid w:val="005961CD"/>
    <w:rsid w:val="005962DC"/>
    <w:rsid w:val="0059630C"/>
    <w:rsid w:val="0059631B"/>
    <w:rsid w:val="00596447"/>
    <w:rsid w:val="0059644C"/>
    <w:rsid w:val="005964B3"/>
    <w:rsid w:val="005964EA"/>
    <w:rsid w:val="005965EF"/>
    <w:rsid w:val="00596766"/>
    <w:rsid w:val="005969CB"/>
    <w:rsid w:val="00596AB7"/>
    <w:rsid w:val="00596B5E"/>
    <w:rsid w:val="00596B95"/>
    <w:rsid w:val="00596C3F"/>
    <w:rsid w:val="00596CC2"/>
    <w:rsid w:val="00596F76"/>
    <w:rsid w:val="005970E1"/>
    <w:rsid w:val="00597406"/>
    <w:rsid w:val="00597590"/>
    <w:rsid w:val="005975F0"/>
    <w:rsid w:val="0059769B"/>
    <w:rsid w:val="005978E0"/>
    <w:rsid w:val="00597952"/>
    <w:rsid w:val="00597984"/>
    <w:rsid w:val="005979CA"/>
    <w:rsid w:val="005979E5"/>
    <w:rsid w:val="005979F2"/>
    <w:rsid w:val="005979F6"/>
    <w:rsid w:val="00597A17"/>
    <w:rsid w:val="00597C00"/>
    <w:rsid w:val="00597C8B"/>
    <w:rsid w:val="00597CBB"/>
    <w:rsid w:val="00597CBF"/>
    <w:rsid w:val="00597CF1"/>
    <w:rsid w:val="00597E62"/>
    <w:rsid w:val="00597EF7"/>
    <w:rsid w:val="00597F5D"/>
    <w:rsid w:val="005A0062"/>
    <w:rsid w:val="005A007D"/>
    <w:rsid w:val="005A011E"/>
    <w:rsid w:val="005A01D2"/>
    <w:rsid w:val="005A0265"/>
    <w:rsid w:val="005A029C"/>
    <w:rsid w:val="005A0333"/>
    <w:rsid w:val="005A042D"/>
    <w:rsid w:val="005A0594"/>
    <w:rsid w:val="005A06AE"/>
    <w:rsid w:val="005A088C"/>
    <w:rsid w:val="005A08E8"/>
    <w:rsid w:val="005A08F4"/>
    <w:rsid w:val="005A0A5F"/>
    <w:rsid w:val="005A0B77"/>
    <w:rsid w:val="005A0DEB"/>
    <w:rsid w:val="005A0DF4"/>
    <w:rsid w:val="005A0EA3"/>
    <w:rsid w:val="005A0F52"/>
    <w:rsid w:val="005A1185"/>
    <w:rsid w:val="005A1328"/>
    <w:rsid w:val="005A139D"/>
    <w:rsid w:val="005A148A"/>
    <w:rsid w:val="005A14A2"/>
    <w:rsid w:val="005A14AD"/>
    <w:rsid w:val="005A15A8"/>
    <w:rsid w:val="005A171C"/>
    <w:rsid w:val="005A1748"/>
    <w:rsid w:val="005A17EC"/>
    <w:rsid w:val="005A1873"/>
    <w:rsid w:val="005A189C"/>
    <w:rsid w:val="005A199D"/>
    <w:rsid w:val="005A19B5"/>
    <w:rsid w:val="005A1B2C"/>
    <w:rsid w:val="005A1B39"/>
    <w:rsid w:val="005A1DB0"/>
    <w:rsid w:val="005A1EE4"/>
    <w:rsid w:val="005A2009"/>
    <w:rsid w:val="005A206E"/>
    <w:rsid w:val="005A20FD"/>
    <w:rsid w:val="005A215C"/>
    <w:rsid w:val="005A2242"/>
    <w:rsid w:val="005A2406"/>
    <w:rsid w:val="005A2430"/>
    <w:rsid w:val="005A26CA"/>
    <w:rsid w:val="005A2833"/>
    <w:rsid w:val="005A2843"/>
    <w:rsid w:val="005A2A16"/>
    <w:rsid w:val="005A2B40"/>
    <w:rsid w:val="005A2B44"/>
    <w:rsid w:val="005A2BD0"/>
    <w:rsid w:val="005A2C79"/>
    <w:rsid w:val="005A2C87"/>
    <w:rsid w:val="005A2DA8"/>
    <w:rsid w:val="005A2DFC"/>
    <w:rsid w:val="005A2E20"/>
    <w:rsid w:val="005A2E93"/>
    <w:rsid w:val="005A2FDB"/>
    <w:rsid w:val="005A2FE3"/>
    <w:rsid w:val="005A30B3"/>
    <w:rsid w:val="005A3280"/>
    <w:rsid w:val="005A32F1"/>
    <w:rsid w:val="005A334C"/>
    <w:rsid w:val="005A344A"/>
    <w:rsid w:val="005A348D"/>
    <w:rsid w:val="005A34DD"/>
    <w:rsid w:val="005A372D"/>
    <w:rsid w:val="005A386C"/>
    <w:rsid w:val="005A3A6D"/>
    <w:rsid w:val="005A3AC5"/>
    <w:rsid w:val="005A3B1F"/>
    <w:rsid w:val="005A3C55"/>
    <w:rsid w:val="005A3C69"/>
    <w:rsid w:val="005A3E32"/>
    <w:rsid w:val="005A3F4F"/>
    <w:rsid w:val="005A4056"/>
    <w:rsid w:val="005A4076"/>
    <w:rsid w:val="005A4164"/>
    <w:rsid w:val="005A42B4"/>
    <w:rsid w:val="005A433D"/>
    <w:rsid w:val="005A43A4"/>
    <w:rsid w:val="005A4439"/>
    <w:rsid w:val="005A4468"/>
    <w:rsid w:val="005A4621"/>
    <w:rsid w:val="005A4804"/>
    <w:rsid w:val="005A48AF"/>
    <w:rsid w:val="005A4B68"/>
    <w:rsid w:val="005A4C64"/>
    <w:rsid w:val="005A4F5B"/>
    <w:rsid w:val="005A4FA6"/>
    <w:rsid w:val="005A4FCB"/>
    <w:rsid w:val="005A50A5"/>
    <w:rsid w:val="005A52BE"/>
    <w:rsid w:val="005A53A9"/>
    <w:rsid w:val="005A540C"/>
    <w:rsid w:val="005A547A"/>
    <w:rsid w:val="005A5537"/>
    <w:rsid w:val="005A55B5"/>
    <w:rsid w:val="005A5694"/>
    <w:rsid w:val="005A56F1"/>
    <w:rsid w:val="005A5702"/>
    <w:rsid w:val="005A5836"/>
    <w:rsid w:val="005A58B6"/>
    <w:rsid w:val="005A59E9"/>
    <w:rsid w:val="005A5A18"/>
    <w:rsid w:val="005A5BFC"/>
    <w:rsid w:val="005A5C71"/>
    <w:rsid w:val="005A5E07"/>
    <w:rsid w:val="005A5FEE"/>
    <w:rsid w:val="005A61D5"/>
    <w:rsid w:val="005A61EC"/>
    <w:rsid w:val="005A6403"/>
    <w:rsid w:val="005A6439"/>
    <w:rsid w:val="005A6553"/>
    <w:rsid w:val="005A6595"/>
    <w:rsid w:val="005A6695"/>
    <w:rsid w:val="005A6797"/>
    <w:rsid w:val="005A67E6"/>
    <w:rsid w:val="005A687A"/>
    <w:rsid w:val="005A68F7"/>
    <w:rsid w:val="005A69B2"/>
    <w:rsid w:val="005A6C0A"/>
    <w:rsid w:val="005A6E09"/>
    <w:rsid w:val="005A6F5F"/>
    <w:rsid w:val="005A708E"/>
    <w:rsid w:val="005A70CB"/>
    <w:rsid w:val="005A7270"/>
    <w:rsid w:val="005A738B"/>
    <w:rsid w:val="005A73DC"/>
    <w:rsid w:val="005A75FD"/>
    <w:rsid w:val="005A769E"/>
    <w:rsid w:val="005A7796"/>
    <w:rsid w:val="005A798A"/>
    <w:rsid w:val="005A7AF4"/>
    <w:rsid w:val="005A7B24"/>
    <w:rsid w:val="005A7B8C"/>
    <w:rsid w:val="005A7B94"/>
    <w:rsid w:val="005A7D11"/>
    <w:rsid w:val="005A7D3F"/>
    <w:rsid w:val="005A7D9E"/>
    <w:rsid w:val="005A7DDB"/>
    <w:rsid w:val="005A7F85"/>
    <w:rsid w:val="005B0075"/>
    <w:rsid w:val="005B00F3"/>
    <w:rsid w:val="005B0200"/>
    <w:rsid w:val="005B026E"/>
    <w:rsid w:val="005B02BF"/>
    <w:rsid w:val="005B02D9"/>
    <w:rsid w:val="005B02FF"/>
    <w:rsid w:val="005B0350"/>
    <w:rsid w:val="005B0415"/>
    <w:rsid w:val="005B0706"/>
    <w:rsid w:val="005B0824"/>
    <w:rsid w:val="005B0872"/>
    <w:rsid w:val="005B0874"/>
    <w:rsid w:val="005B08CE"/>
    <w:rsid w:val="005B08D5"/>
    <w:rsid w:val="005B08FC"/>
    <w:rsid w:val="005B0942"/>
    <w:rsid w:val="005B0BF7"/>
    <w:rsid w:val="005B0C6C"/>
    <w:rsid w:val="005B0DCB"/>
    <w:rsid w:val="005B10C1"/>
    <w:rsid w:val="005B1129"/>
    <w:rsid w:val="005B134A"/>
    <w:rsid w:val="005B138F"/>
    <w:rsid w:val="005B15A3"/>
    <w:rsid w:val="005B15AC"/>
    <w:rsid w:val="005B15E4"/>
    <w:rsid w:val="005B16B9"/>
    <w:rsid w:val="005B191C"/>
    <w:rsid w:val="005B1957"/>
    <w:rsid w:val="005B1A8B"/>
    <w:rsid w:val="005B1C54"/>
    <w:rsid w:val="005B1DFB"/>
    <w:rsid w:val="005B1ED3"/>
    <w:rsid w:val="005B1F2B"/>
    <w:rsid w:val="005B1F86"/>
    <w:rsid w:val="005B20CE"/>
    <w:rsid w:val="005B2208"/>
    <w:rsid w:val="005B23C6"/>
    <w:rsid w:val="005B24B5"/>
    <w:rsid w:val="005B2524"/>
    <w:rsid w:val="005B25C6"/>
    <w:rsid w:val="005B2637"/>
    <w:rsid w:val="005B28F8"/>
    <w:rsid w:val="005B2915"/>
    <w:rsid w:val="005B2917"/>
    <w:rsid w:val="005B2919"/>
    <w:rsid w:val="005B2967"/>
    <w:rsid w:val="005B2A6D"/>
    <w:rsid w:val="005B2A8C"/>
    <w:rsid w:val="005B2BB1"/>
    <w:rsid w:val="005B2CD8"/>
    <w:rsid w:val="005B2D1B"/>
    <w:rsid w:val="005B2E01"/>
    <w:rsid w:val="005B2F30"/>
    <w:rsid w:val="005B3010"/>
    <w:rsid w:val="005B3028"/>
    <w:rsid w:val="005B3125"/>
    <w:rsid w:val="005B3172"/>
    <w:rsid w:val="005B32CF"/>
    <w:rsid w:val="005B332C"/>
    <w:rsid w:val="005B336B"/>
    <w:rsid w:val="005B33B0"/>
    <w:rsid w:val="005B3659"/>
    <w:rsid w:val="005B36FE"/>
    <w:rsid w:val="005B37F1"/>
    <w:rsid w:val="005B38A6"/>
    <w:rsid w:val="005B3915"/>
    <w:rsid w:val="005B3AB5"/>
    <w:rsid w:val="005B3C1E"/>
    <w:rsid w:val="005B3CF7"/>
    <w:rsid w:val="005B3EED"/>
    <w:rsid w:val="005B409E"/>
    <w:rsid w:val="005B41B8"/>
    <w:rsid w:val="005B425A"/>
    <w:rsid w:val="005B429B"/>
    <w:rsid w:val="005B42FA"/>
    <w:rsid w:val="005B43E3"/>
    <w:rsid w:val="005B445F"/>
    <w:rsid w:val="005B44DA"/>
    <w:rsid w:val="005B452E"/>
    <w:rsid w:val="005B4581"/>
    <w:rsid w:val="005B46AF"/>
    <w:rsid w:val="005B472E"/>
    <w:rsid w:val="005B4769"/>
    <w:rsid w:val="005B4774"/>
    <w:rsid w:val="005B4833"/>
    <w:rsid w:val="005B4A19"/>
    <w:rsid w:val="005B4B52"/>
    <w:rsid w:val="005B4CA0"/>
    <w:rsid w:val="005B4CCD"/>
    <w:rsid w:val="005B4DD5"/>
    <w:rsid w:val="005B4DF6"/>
    <w:rsid w:val="005B4E5E"/>
    <w:rsid w:val="005B4F4A"/>
    <w:rsid w:val="005B5148"/>
    <w:rsid w:val="005B51D1"/>
    <w:rsid w:val="005B5296"/>
    <w:rsid w:val="005B5499"/>
    <w:rsid w:val="005B54C4"/>
    <w:rsid w:val="005B5595"/>
    <w:rsid w:val="005B5634"/>
    <w:rsid w:val="005B56B4"/>
    <w:rsid w:val="005B56CE"/>
    <w:rsid w:val="005B58F0"/>
    <w:rsid w:val="005B5930"/>
    <w:rsid w:val="005B5A2B"/>
    <w:rsid w:val="005B5AED"/>
    <w:rsid w:val="005B5B32"/>
    <w:rsid w:val="005B5C5C"/>
    <w:rsid w:val="005B5D73"/>
    <w:rsid w:val="005B5D8B"/>
    <w:rsid w:val="005B5D9E"/>
    <w:rsid w:val="005B5E04"/>
    <w:rsid w:val="005B5FFC"/>
    <w:rsid w:val="005B6036"/>
    <w:rsid w:val="005B61FB"/>
    <w:rsid w:val="005B62A1"/>
    <w:rsid w:val="005B630A"/>
    <w:rsid w:val="005B631E"/>
    <w:rsid w:val="005B6353"/>
    <w:rsid w:val="005B6802"/>
    <w:rsid w:val="005B6BC8"/>
    <w:rsid w:val="005B6E35"/>
    <w:rsid w:val="005B6ED7"/>
    <w:rsid w:val="005B6FAA"/>
    <w:rsid w:val="005B70CE"/>
    <w:rsid w:val="005B70CF"/>
    <w:rsid w:val="005B711A"/>
    <w:rsid w:val="005B72CD"/>
    <w:rsid w:val="005B72DC"/>
    <w:rsid w:val="005B7349"/>
    <w:rsid w:val="005B742F"/>
    <w:rsid w:val="005B75D7"/>
    <w:rsid w:val="005B7622"/>
    <w:rsid w:val="005B764B"/>
    <w:rsid w:val="005B765F"/>
    <w:rsid w:val="005B76F1"/>
    <w:rsid w:val="005B78BF"/>
    <w:rsid w:val="005B78F9"/>
    <w:rsid w:val="005B79D3"/>
    <w:rsid w:val="005B7A5D"/>
    <w:rsid w:val="005B7B7A"/>
    <w:rsid w:val="005B7BF5"/>
    <w:rsid w:val="005B7E5E"/>
    <w:rsid w:val="005B7F3E"/>
    <w:rsid w:val="005B7F75"/>
    <w:rsid w:val="005C0133"/>
    <w:rsid w:val="005C01FC"/>
    <w:rsid w:val="005C024F"/>
    <w:rsid w:val="005C02C6"/>
    <w:rsid w:val="005C04A4"/>
    <w:rsid w:val="005C05AF"/>
    <w:rsid w:val="005C08F1"/>
    <w:rsid w:val="005C095E"/>
    <w:rsid w:val="005C0960"/>
    <w:rsid w:val="005C09AD"/>
    <w:rsid w:val="005C09C6"/>
    <w:rsid w:val="005C0A10"/>
    <w:rsid w:val="005C0AA7"/>
    <w:rsid w:val="005C0ABF"/>
    <w:rsid w:val="005C0BC4"/>
    <w:rsid w:val="005C0C24"/>
    <w:rsid w:val="005C0CBA"/>
    <w:rsid w:val="005C0CDF"/>
    <w:rsid w:val="005C0F33"/>
    <w:rsid w:val="005C0F96"/>
    <w:rsid w:val="005C0FB3"/>
    <w:rsid w:val="005C1008"/>
    <w:rsid w:val="005C105A"/>
    <w:rsid w:val="005C10E2"/>
    <w:rsid w:val="005C11B6"/>
    <w:rsid w:val="005C138E"/>
    <w:rsid w:val="005C1535"/>
    <w:rsid w:val="005C1657"/>
    <w:rsid w:val="005C1824"/>
    <w:rsid w:val="005C184E"/>
    <w:rsid w:val="005C1972"/>
    <w:rsid w:val="005C19B7"/>
    <w:rsid w:val="005C1A74"/>
    <w:rsid w:val="005C1BBE"/>
    <w:rsid w:val="005C1D46"/>
    <w:rsid w:val="005C1E2E"/>
    <w:rsid w:val="005C1E69"/>
    <w:rsid w:val="005C1EA4"/>
    <w:rsid w:val="005C2025"/>
    <w:rsid w:val="005C2173"/>
    <w:rsid w:val="005C2180"/>
    <w:rsid w:val="005C24D5"/>
    <w:rsid w:val="005C269F"/>
    <w:rsid w:val="005C2713"/>
    <w:rsid w:val="005C28AC"/>
    <w:rsid w:val="005C291C"/>
    <w:rsid w:val="005C29C8"/>
    <w:rsid w:val="005C2A88"/>
    <w:rsid w:val="005C2B1A"/>
    <w:rsid w:val="005C2DD9"/>
    <w:rsid w:val="005C2DDB"/>
    <w:rsid w:val="005C2E63"/>
    <w:rsid w:val="005C2FFF"/>
    <w:rsid w:val="005C31C6"/>
    <w:rsid w:val="005C32A8"/>
    <w:rsid w:val="005C32E9"/>
    <w:rsid w:val="005C3317"/>
    <w:rsid w:val="005C33FD"/>
    <w:rsid w:val="005C3619"/>
    <w:rsid w:val="005C366C"/>
    <w:rsid w:val="005C36C0"/>
    <w:rsid w:val="005C37CF"/>
    <w:rsid w:val="005C3960"/>
    <w:rsid w:val="005C3A14"/>
    <w:rsid w:val="005C3A39"/>
    <w:rsid w:val="005C3A89"/>
    <w:rsid w:val="005C3E3F"/>
    <w:rsid w:val="005C3FD8"/>
    <w:rsid w:val="005C3FF5"/>
    <w:rsid w:val="005C420B"/>
    <w:rsid w:val="005C4267"/>
    <w:rsid w:val="005C446B"/>
    <w:rsid w:val="005C4525"/>
    <w:rsid w:val="005C4651"/>
    <w:rsid w:val="005C4707"/>
    <w:rsid w:val="005C47FD"/>
    <w:rsid w:val="005C4838"/>
    <w:rsid w:val="005C49B5"/>
    <w:rsid w:val="005C4C55"/>
    <w:rsid w:val="005C4D4E"/>
    <w:rsid w:val="005C4D78"/>
    <w:rsid w:val="005C4DA5"/>
    <w:rsid w:val="005C4EDF"/>
    <w:rsid w:val="005C4F6B"/>
    <w:rsid w:val="005C4FA1"/>
    <w:rsid w:val="005C4FAD"/>
    <w:rsid w:val="005C50A1"/>
    <w:rsid w:val="005C5126"/>
    <w:rsid w:val="005C514F"/>
    <w:rsid w:val="005C51E9"/>
    <w:rsid w:val="005C51FB"/>
    <w:rsid w:val="005C5231"/>
    <w:rsid w:val="005C5234"/>
    <w:rsid w:val="005C5244"/>
    <w:rsid w:val="005C54EC"/>
    <w:rsid w:val="005C551C"/>
    <w:rsid w:val="005C5538"/>
    <w:rsid w:val="005C55B6"/>
    <w:rsid w:val="005C57A3"/>
    <w:rsid w:val="005C57B7"/>
    <w:rsid w:val="005C582D"/>
    <w:rsid w:val="005C58A3"/>
    <w:rsid w:val="005C59AE"/>
    <w:rsid w:val="005C59D7"/>
    <w:rsid w:val="005C5A81"/>
    <w:rsid w:val="005C5B51"/>
    <w:rsid w:val="005C5D07"/>
    <w:rsid w:val="005C5F67"/>
    <w:rsid w:val="005C6054"/>
    <w:rsid w:val="005C605C"/>
    <w:rsid w:val="005C6097"/>
    <w:rsid w:val="005C629A"/>
    <w:rsid w:val="005C62DD"/>
    <w:rsid w:val="005C6476"/>
    <w:rsid w:val="005C64DF"/>
    <w:rsid w:val="005C6545"/>
    <w:rsid w:val="005C6608"/>
    <w:rsid w:val="005C66BD"/>
    <w:rsid w:val="005C66DA"/>
    <w:rsid w:val="005C66F9"/>
    <w:rsid w:val="005C6720"/>
    <w:rsid w:val="005C6844"/>
    <w:rsid w:val="005C686F"/>
    <w:rsid w:val="005C6959"/>
    <w:rsid w:val="005C6999"/>
    <w:rsid w:val="005C699A"/>
    <w:rsid w:val="005C6BF3"/>
    <w:rsid w:val="005C6C59"/>
    <w:rsid w:val="005C6C95"/>
    <w:rsid w:val="005C6CA4"/>
    <w:rsid w:val="005C6D71"/>
    <w:rsid w:val="005C6F55"/>
    <w:rsid w:val="005C6FA8"/>
    <w:rsid w:val="005C6FF4"/>
    <w:rsid w:val="005C7079"/>
    <w:rsid w:val="005C7115"/>
    <w:rsid w:val="005C71AC"/>
    <w:rsid w:val="005C71EF"/>
    <w:rsid w:val="005C7287"/>
    <w:rsid w:val="005C7600"/>
    <w:rsid w:val="005C76F7"/>
    <w:rsid w:val="005C7749"/>
    <w:rsid w:val="005C7886"/>
    <w:rsid w:val="005C79C6"/>
    <w:rsid w:val="005C79E4"/>
    <w:rsid w:val="005C7B57"/>
    <w:rsid w:val="005C7B8B"/>
    <w:rsid w:val="005C7BCE"/>
    <w:rsid w:val="005C7C48"/>
    <w:rsid w:val="005C7CCE"/>
    <w:rsid w:val="005C7D74"/>
    <w:rsid w:val="005C7DA7"/>
    <w:rsid w:val="005C7DF4"/>
    <w:rsid w:val="005C7F04"/>
    <w:rsid w:val="005C7F94"/>
    <w:rsid w:val="005D0017"/>
    <w:rsid w:val="005D0054"/>
    <w:rsid w:val="005D0141"/>
    <w:rsid w:val="005D01C7"/>
    <w:rsid w:val="005D0229"/>
    <w:rsid w:val="005D02FB"/>
    <w:rsid w:val="005D03F8"/>
    <w:rsid w:val="005D0429"/>
    <w:rsid w:val="005D0448"/>
    <w:rsid w:val="005D047A"/>
    <w:rsid w:val="005D0591"/>
    <w:rsid w:val="005D0685"/>
    <w:rsid w:val="005D074F"/>
    <w:rsid w:val="005D07A2"/>
    <w:rsid w:val="005D08BB"/>
    <w:rsid w:val="005D0A0C"/>
    <w:rsid w:val="005D0A2C"/>
    <w:rsid w:val="005D0CBB"/>
    <w:rsid w:val="005D0CC3"/>
    <w:rsid w:val="005D0DA7"/>
    <w:rsid w:val="005D0F47"/>
    <w:rsid w:val="005D10C9"/>
    <w:rsid w:val="005D1140"/>
    <w:rsid w:val="005D142B"/>
    <w:rsid w:val="005D149B"/>
    <w:rsid w:val="005D1536"/>
    <w:rsid w:val="005D15FF"/>
    <w:rsid w:val="005D1642"/>
    <w:rsid w:val="005D1AA4"/>
    <w:rsid w:val="005D1B33"/>
    <w:rsid w:val="005D1BA1"/>
    <w:rsid w:val="005D1BE1"/>
    <w:rsid w:val="005D1C70"/>
    <w:rsid w:val="005D1DE9"/>
    <w:rsid w:val="005D1E1F"/>
    <w:rsid w:val="005D1E70"/>
    <w:rsid w:val="005D1EBB"/>
    <w:rsid w:val="005D1F38"/>
    <w:rsid w:val="005D1F8A"/>
    <w:rsid w:val="005D2080"/>
    <w:rsid w:val="005D2144"/>
    <w:rsid w:val="005D2307"/>
    <w:rsid w:val="005D23CB"/>
    <w:rsid w:val="005D2421"/>
    <w:rsid w:val="005D24F8"/>
    <w:rsid w:val="005D2570"/>
    <w:rsid w:val="005D25B2"/>
    <w:rsid w:val="005D25F3"/>
    <w:rsid w:val="005D265D"/>
    <w:rsid w:val="005D2748"/>
    <w:rsid w:val="005D2831"/>
    <w:rsid w:val="005D2878"/>
    <w:rsid w:val="005D2940"/>
    <w:rsid w:val="005D2959"/>
    <w:rsid w:val="005D2ADB"/>
    <w:rsid w:val="005D2C2F"/>
    <w:rsid w:val="005D2DF5"/>
    <w:rsid w:val="005D2F05"/>
    <w:rsid w:val="005D2F78"/>
    <w:rsid w:val="005D325C"/>
    <w:rsid w:val="005D328D"/>
    <w:rsid w:val="005D329C"/>
    <w:rsid w:val="005D35F5"/>
    <w:rsid w:val="005D36BB"/>
    <w:rsid w:val="005D37FD"/>
    <w:rsid w:val="005D39C1"/>
    <w:rsid w:val="005D3A2D"/>
    <w:rsid w:val="005D3A7A"/>
    <w:rsid w:val="005D3ADE"/>
    <w:rsid w:val="005D3AFF"/>
    <w:rsid w:val="005D3B2F"/>
    <w:rsid w:val="005D3B9F"/>
    <w:rsid w:val="005D3D82"/>
    <w:rsid w:val="005D3DEE"/>
    <w:rsid w:val="005D3E63"/>
    <w:rsid w:val="005D3F8B"/>
    <w:rsid w:val="005D3FAD"/>
    <w:rsid w:val="005D4039"/>
    <w:rsid w:val="005D4082"/>
    <w:rsid w:val="005D40B7"/>
    <w:rsid w:val="005D40D4"/>
    <w:rsid w:val="005D4155"/>
    <w:rsid w:val="005D4212"/>
    <w:rsid w:val="005D42C0"/>
    <w:rsid w:val="005D4596"/>
    <w:rsid w:val="005D45B6"/>
    <w:rsid w:val="005D45D0"/>
    <w:rsid w:val="005D4602"/>
    <w:rsid w:val="005D4615"/>
    <w:rsid w:val="005D472E"/>
    <w:rsid w:val="005D4795"/>
    <w:rsid w:val="005D47D0"/>
    <w:rsid w:val="005D483B"/>
    <w:rsid w:val="005D497F"/>
    <w:rsid w:val="005D4A33"/>
    <w:rsid w:val="005D4B2C"/>
    <w:rsid w:val="005D4B9B"/>
    <w:rsid w:val="005D4BE7"/>
    <w:rsid w:val="005D4CE3"/>
    <w:rsid w:val="005D4D50"/>
    <w:rsid w:val="005D4DCD"/>
    <w:rsid w:val="005D4E26"/>
    <w:rsid w:val="005D4F33"/>
    <w:rsid w:val="005D500D"/>
    <w:rsid w:val="005D5153"/>
    <w:rsid w:val="005D51DA"/>
    <w:rsid w:val="005D5379"/>
    <w:rsid w:val="005D5442"/>
    <w:rsid w:val="005D54DF"/>
    <w:rsid w:val="005D564A"/>
    <w:rsid w:val="005D5688"/>
    <w:rsid w:val="005D586E"/>
    <w:rsid w:val="005D5A5F"/>
    <w:rsid w:val="005D5AC9"/>
    <w:rsid w:val="005D5B10"/>
    <w:rsid w:val="005D5C55"/>
    <w:rsid w:val="005D5CB8"/>
    <w:rsid w:val="005D5D7C"/>
    <w:rsid w:val="005D5E56"/>
    <w:rsid w:val="005D600E"/>
    <w:rsid w:val="005D619F"/>
    <w:rsid w:val="005D61A7"/>
    <w:rsid w:val="005D6283"/>
    <w:rsid w:val="005D635D"/>
    <w:rsid w:val="005D63D3"/>
    <w:rsid w:val="005D642C"/>
    <w:rsid w:val="005D64B0"/>
    <w:rsid w:val="005D6568"/>
    <w:rsid w:val="005D661E"/>
    <w:rsid w:val="005D6861"/>
    <w:rsid w:val="005D6A20"/>
    <w:rsid w:val="005D6ABA"/>
    <w:rsid w:val="005D6AC5"/>
    <w:rsid w:val="005D6ADA"/>
    <w:rsid w:val="005D6B12"/>
    <w:rsid w:val="005D6C64"/>
    <w:rsid w:val="005D6DAF"/>
    <w:rsid w:val="005D6DC6"/>
    <w:rsid w:val="005D6E7E"/>
    <w:rsid w:val="005D7069"/>
    <w:rsid w:val="005D7089"/>
    <w:rsid w:val="005D71F5"/>
    <w:rsid w:val="005D72AD"/>
    <w:rsid w:val="005D73CC"/>
    <w:rsid w:val="005D73DB"/>
    <w:rsid w:val="005D747F"/>
    <w:rsid w:val="005D748C"/>
    <w:rsid w:val="005D7555"/>
    <w:rsid w:val="005D7761"/>
    <w:rsid w:val="005D793A"/>
    <w:rsid w:val="005D7952"/>
    <w:rsid w:val="005D799E"/>
    <w:rsid w:val="005D7B9B"/>
    <w:rsid w:val="005D7CDA"/>
    <w:rsid w:val="005D7F78"/>
    <w:rsid w:val="005E003C"/>
    <w:rsid w:val="005E0153"/>
    <w:rsid w:val="005E016A"/>
    <w:rsid w:val="005E01BC"/>
    <w:rsid w:val="005E01BF"/>
    <w:rsid w:val="005E0200"/>
    <w:rsid w:val="005E0269"/>
    <w:rsid w:val="005E037C"/>
    <w:rsid w:val="005E0393"/>
    <w:rsid w:val="005E05A5"/>
    <w:rsid w:val="005E0624"/>
    <w:rsid w:val="005E0673"/>
    <w:rsid w:val="005E08BE"/>
    <w:rsid w:val="005E09D9"/>
    <w:rsid w:val="005E0ADD"/>
    <w:rsid w:val="005E0AF4"/>
    <w:rsid w:val="005E0C2D"/>
    <w:rsid w:val="005E0C7C"/>
    <w:rsid w:val="005E0D37"/>
    <w:rsid w:val="005E0E86"/>
    <w:rsid w:val="005E0EFD"/>
    <w:rsid w:val="005E105E"/>
    <w:rsid w:val="005E10E9"/>
    <w:rsid w:val="005E1150"/>
    <w:rsid w:val="005E128E"/>
    <w:rsid w:val="005E1497"/>
    <w:rsid w:val="005E14DE"/>
    <w:rsid w:val="005E15D0"/>
    <w:rsid w:val="005E1648"/>
    <w:rsid w:val="005E1657"/>
    <w:rsid w:val="005E169F"/>
    <w:rsid w:val="005E16DD"/>
    <w:rsid w:val="005E172F"/>
    <w:rsid w:val="005E1780"/>
    <w:rsid w:val="005E1792"/>
    <w:rsid w:val="005E17DE"/>
    <w:rsid w:val="005E18B3"/>
    <w:rsid w:val="005E1931"/>
    <w:rsid w:val="005E1987"/>
    <w:rsid w:val="005E19B7"/>
    <w:rsid w:val="005E1C9C"/>
    <w:rsid w:val="005E1CB4"/>
    <w:rsid w:val="005E1D0C"/>
    <w:rsid w:val="005E1D20"/>
    <w:rsid w:val="005E1D84"/>
    <w:rsid w:val="005E1D9C"/>
    <w:rsid w:val="005E1EF8"/>
    <w:rsid w:val="005E1F20"/>
    <w:rsid w:val="005E1F38"/>
    <w:rsid w:val="005E1FE8"/>
    <w:rsid w:val="005E20BE"/>
    <w:rsid w:val="005E2228"/>
    <w:rsid w:val="005E229C"/>
    <w:rsid w:val="005E257C"/>
    <w:rsid w:val="005E282B"/>
    <w:rsid w:val="005E2BE8"/>
    <w:rsid w:val="005E2BFB"/>
    <w:rsid w:val="005E2C27"/>
    <w:rsid w:val="005E2D49"/>
    <w:rsid w:val="005E2D80"/>
    <w:rsid w:val="005E3101"/>
    <w:rsid w:val="005E31F8"/>
    <w:rsid w:val="005E3444"/>
    <w:rsid w:val="005E3469"/>
    <w:rsid w:val="005E34E8"/>
    <w:rsid w:val="005E3526"/>
    <w:rsid w:val="005E3835"/>
    <w:rsid w:val="005E3876"/>
    <w:rsid w:val="005E3B15"/>
    <w:rsid w:val="005E3C16"/>
    <w:rsid w:val="005E3C57"/>
    <w:rsid w:val="005E3C5A"/>
    <w:rsid w:val="005E3C98"/>
    <w:rsid w:val="005E3DDD"/>
    <w:rsid w:val="005E3EA5"/>
    <w:rsid w:val="005E3F5E"/>
    <w:rsid w:val="005E4067"/>
    <w:rsid w:val="005E416C"/>
    <w:rsid w:val="005E4184"/>
    <w:rsid w:val="005E4195"/>
    <w:rsid w:val="005E4244"/>
    <w:rsid w:val="005E434D"/>
    <w:rsid w:val="005E4386"/>
    <w:rsid w:val="005E4486"/>
    <w:rsid w:val="005E44EA"/>
    <w:rsid w:val="005E4545"/>
    <w:rsid w:val="005E4661"/>
    <w:rsid w:val="005E472A"/>
    <w:rsid w:val="005E479C"/>
    <w:rsid w:val="005E47C7"/>
    <w:rsid w:val="005E48D5"/>
    <w:rsid w:val="005E48E7"/>
    <w:rsid w:val="005E49D8"/>
    <w:rsid w:val="005E4ADB"/>
    <w:rsid w:val="005E4AEC"/>
    <w:rsid w:val="005E4B20"/>
    <w:rsid w:val="005E4D78"/>
    <w:rsid w:val="005E4DFD"/>
    <w:rsid w:val="005E4F85"/>
    <w:rsid w:val="005E501C"/>
    <w:rsid w:val="005E5061"/>
    <w:rsid w:val="005E5094"/>
    <w:rsid w:val="005E511B"/>
    <w:rsid w:val="005E5375"/>
    <w:rsid w:val="005E5555"/>
    <w:rsid w:val="005E560B"/>
    <w:rsid w:val="005E59AC"/>
    <w:rsid w:val="005E59EF"/>
    <w:rsid w:val="005E5AB7"/>
    <w:rsid w:val="005E5C38"/>
    <w:rsid w:val="005E5D2C"/>
    <w:rsid w:val="005E5F0D"/>
    <w:rsid w:val="005E5F3E"/>
    <w:rsid w:val="005E606F"/>
    <w:rsid w:val="005E60A1"/>
    <w:rsid w:val="005E60A6"/>
    <w:rsid w:val="005E60F1"/>
    <w:rsid w:val="005E6160"/>
    <w:rsid w:val="005E6439"/>
    <w:rsid w:val="005E65D2"/>
    <w:rsid w:val="005E6721"/>
    <w:rsid w:val="005E677B"/>
    <w:rsid w:val="005E6794"/>
    <w:rsid w:val="005E68A6"/>
    <w:rsid w:val="005E6A73"/>
    <w:rsid w:val="005E6BC4"/>
    <w:rsid w:val="005E6CAB"/>
    <w:rsid w:val="005E6E16"/>
    <w:rsid w:val="005E6F31"/>
    <w:rsid w:val="005E6F56"/>
    <w:rsid w:val="005E6FCA"/>
    <w:rsid w:val="005E702E"/>
    <w:rsid w:val="005E703C"/>
    <w:rsid w:val="005E7154"/>
    <w:rsid w:val="005E7240"/>
    <w:rsid w:val="005E7269"/>
    <w:rsid w:val="005E7288"/>
    <w:rsid w:val="005E733E"/>
    <w:rsid w:val="005E740A"/>
    <w:rsid w:val="005E7454"/>
    <w:rsid w:val="005E74C0"/>
    <w:rsid w:val="005E7613"/>
    <w:rsid w:val="005E7624"/>
    <w:rsid w:val="005E7639"/>
    <w:rsid w:val="005E775A"/>
    <w:rsid w:val="005E785C"/>
    <w:rsid w:val="005E792C"/>
    <w:rsid w:val="005E7B21"/>
    <w:rsid w:val="005E7B39"/>
    <w:rsid w:val="005E7C5B"/>
    <w:rsid w:val="005E7CB3"/>
    <w:rsid w:val="005E7E00"/>
    <w:rsid w:val="005F00CB"/>
    <w:rsid w:val="005F01B1"/>
    <w:rsid w:val="005F0219"/>
    <w:rsid w:val="005F0235"/>
    <w:rsid w:val="005F0248"/>
    <w:rsid w:val="005F0363"/>
    <w:rsid w:val="005F0571"/>
    <w:rsid w:val="005F058E"/>
    <w:rsid w:val="005F069E"/>
    <w:rsid w:val="005F0777"/>
    <w:rsid w:val="005F077D"/>
    <w:rsid w:val="005F0877"/>
    <w:rsid w:val="005F0905"/>
    <w:rsid w:val="005F095D"/>
    <w:rsid w:val="005F0B3E"/>
    <w:rsid w:val="005F0B42"/>
    <w:rsid w:val="005F0B81"/>
    <w:rsid w:val="005F0D5D"/>
    <w:rsid w:val="005F0DD3"/>
    <w:rsid w:val="005F0EE9"/>
    <w:rsid w:val="005F104A"/>
    <w:rsid w:val="005F1070"/>
    <w:rsid w:val="005F118A"/>
    <w:rsid w:val="005F120A"/>
    <w:rsid w:val="005F12A4"/>
    <w:rsid w:val="005F1333"/>
    <w:rsid w:val="005F1346"/>
    <w:rsid w:val="005F142E"/>
    <w:rsid w:val="005F1571"/>
    <w:rsid w:val="005F16DC"/>
    <w:rsid w:val="005F1837"/>
    <w:rsid w:val="005F1930"/>
    <w:rsid w:val="005F1949"/>
    <w:rsid w:val="005F19DF"/>
    <w:rsid w:val="005F1A05"/>
    <w:rsid w:val="005F1A0A"/>
    <w:rsid w:val="005F1A62"/>
    <w:rsid w:val="005F1E9A"/>
    <w:rsid w:val="005F1F70"/>
    <w:rsid w:val="005F235D"/>
    <w:rsid w:val="005F23CD"/>
    <w:rsid w:val="005F2403"/>
    <w:rsid w:val="005F2471"/>
    <w:rsid w:val="005F2509"/>
    <w:rsid w:val="005F25DA"/>
    <w:rsid w:val="005F26AC"/>
    <w:rsid w:val="005F291D"/>
    <w:rsid w:val="005F293B"/>
    <w:rsid w:val="005F297C"/>
    <w:rsid w:val="005F2A45"/>
    <w:rsid w:val="005F2A92"/>
    <w:rsid w:val="005F2BF2"/>
    <w:rsid w:val="005F2BFE"/>
    <w:rsid w:val="005F2C13"/>
    <w:rsid w:val="005F2DA1"/>
    <w:rsid w:val="005F2E44"/>
    <w:rsid w:val="005F2E77"/>
    <w:rsid w:val="005F2F14"/>
    <w:rsid w:val="005F2FC4"/>
    <w:rsid w:val="005F2FC6"/>
    <w:rsid w:val="005F302C"/>
    <w:rsid w:val="005F30DA"/>
    <w:rsid w:val="005F3155"/>
    <w:rsid w:val="005F31EF"/>
    <w:rsid w:val="005F3226"/>
    <w:rsid w:val="005F325C"/>
    <w:rsid w:val="005F32F2"/>
    <w:rsid w:val="005F355F"/>
    <w:rsid w:val="005F35EE"/>
    <w:rsid w:val="005F363F"/>
    <w:rsid w:val="005F36E6"/>
    <w:rsid w:val="005F3745"/>
    <w:rsid w:val="005F38E7"/>
    <w:rsid w:val="005F3960"/>
    <w:rsid w:val="005F3B01"/>
    <w:rsid w:val="005F3F7B"/>
    <w:rsid w:val="005F3FFA"/>
    <w:rsid w:val="005F4112"/>
    <w:rsid w:val="005F4172"/>
    <w:rsid w:val="005F4278"/>
    <w:rsid w:val="005F4297"/>
    <w:rsid w:val="005F42FC"/>
    <w:rsid w:val="005F437E"/>
    <w:rsid w:val="005F4431"/>
    <w:rsid w:val="005F4497"/>
    <w:rsid w:val="005F44B5"/>
    <w:rsid w:val="005F463C"/>
    <w:rsid w:val="005F4689"/>
    <w:rsid w:val="005F46CE"/>
    <w:rsid w:val="005F48DA"/>
    <w:rsid w:val="005F49A7"/>
    <w:rsid w:val="005F4A1A"/>
    <w:rsid w:val="005F4BA0"/>
    <w:rsid w:val="005F4BBD"/>
    <w:rsid w:val="005F4F14"/>
    <w:rsid w:val="005F4FA3"/>
    <w:rsid w:val="005F4FB5"/>
    <w:rsid w:val="005F4FE2"/>
    <w:rsid w:val="005F5121"/>
    <w:rsid w:val="005F5208"/>
    <w:rsid w:val="005F5245"/>
    <w:rsid w:val="005F52C7"/>
    <w:rsid w:val="005F53EB"/>
    <w:rsid w:val="005F54D4"/>
    <w:rsid w:val="005F5508"/>
    <w:rsid w:val="005F5535"/>
    <w:rsid w:val="005F557D"/>
    <w:rsid w:val="005F5588"/>
    <w:rsid w:val="005F55A8"/>
    <w:rsid w:val="005F5649"/>
    <w:rsid w:val="005F5760"/>
    <w:rsid w:val="005F5800"/>
    <w:rsid w:val="005F587E"/>
    <w:rsid w:val="005F5A6F"/>
    <w:rsid w:val="005F5D08"/>
    <w:rsid w:val="005F5E1A"/>
    <w:rsid w:val="005F5F03"/>
    <w:rsid w:val="005F5F8B"/>
    <w:rsid w:val="005F6035"/>
    <w:rsid w:val="005F626A"/>
    <w:rsid w:val="005F62BC"/>
    <w:rsid w:val="005F63D8"/>
    <w:rsid w:val="005F64D6"/>
    <w:rsid w:val="005F64FB"/>
    <w:rsid w:val="005F6512"/>
    <w:rsid w:val="005F6634"/>
    <w:rsid w:val="005F6651"/>
    <w:rsid w:val="005F665A"/>
    <w:rsid w:val="005F66A9"/>
    <w:rsid w:val="005F670F"/>
    <w:rsid w:val="005F673B"/>
    <w:rsid w:val="005F6771"/>
    <w:rsid w:val="005F69CC"/>
    <w:rsid w:val="005F6AB4"/>
    <w:rsid w:val="005F6C7F"/>
    <w:rsid w:val="005F6EA7"/>
    <w:rsid w:val="005F6ED3"/>
    <w:rsid w:val="005F6F1C"/>
    <w:rsid w:val="005F709E"/>
    <w:rsid w:val="005F70B1"/>
    <w:rsid w:val="005F717F"/>
    <w:rsid w:val="005F7290"/>
    <w:rsid w:val="005F734F"/>
    <w:rsid w:val="005F73B4"/>
    <w:rsid w:val="005F7463"/>
    <w:rsid w:val="005F74BC"/>
    <w:rsid w:val="005F7550"/>
    <w:rsid w:val="005F756C"/>
    <w:rsid w:val="005F75D0"/>
    <w:rsid w:val="005F76BD"/>
    <w:rsid w:val="005F76D2"/>
    <w:rsid w:val="005F77B4"/>
    <w:rsid w:val="005F77BC"/>
    <w:rsid w:val="005F7835"/>
    <w:rsid w:val="005F7A7F"/>
    <w:rsid w:val="005F7C4C"/>
    <w:rsid w:val="005F7E78"/>
    <w:rsid w:val="005F7EFC"/>
    <w:rsid w:val="00600001"/>
    <w:rsid w:val="00600283"/>
    <w:rsid w:val="00600373"/>
    <w:rsid w:val="0060045E"/>
    <w:rsid w:val="006004B2"/>
    <w:rsid w:val="006004D0"/>
    <w:rsid w:val="00600524"/>
    <w:rsid w:val="0060058D"/>
    <w:rsid w:val="006005EC"/>
    <w:rsid w:val="00600615"/>
    <w:rsid w:val="00600796"/>
    <w:rsid w:val="00600928"/>
    <w:rsid w:val="00600A98"/>
    <w:rsid w:val="00600AAE"/>
    <w:rsid w:val="00600ACE"/>
    <w:rsid w:val="00600B3F"/>
    <w:rsid w:val="00600CBC"/>
    <w:rsid w:val="00600CF3"/>
    <w:rsid w:val="00600E19"/>
    <w:rsid w:val="00600E44"/>
    <w:rsid w:val="00600EBE"/>
    <w:rsid w:val="0060103A"/>
    <w:rsid w:val="006010FF"/>
    <w:rsid w:val="006011A6"/>
    <w:rsid w:val="00601287"/>
    <w:rsid w:val="0060128C"/>
    <w:rsid w:val="006013CA"/>
    <w:rsid w:val="006013DD"/>
    <w:rsid w:val="0060149D"/>
    <w:rsid w:val="006015B4"/>
    <w:rsid w:val="006015D3"/>
    <w:rsid w:val="00601673"/>
    <w:rsid w:val="006018A7"/>
    <w:rsid w:val="006018E8"/>
    <w:rsid w:val="0060193F"/>
    <w:rsid w:val="006019AD"/>
    <w:rsid w:val="00601AB7"/>
    <w:rsid w:val="0060221E"/>
    <w:rsid w:val="00602432"/>
    <w:rsid w:val="006024AC"/>
    <w:rsid w:val="00602537"/>
    <w:rsid w:val="00602661"/>
    <w:rsid w:val="006026B7"/>
    <w:rsid w:val="006026F1"/>
    <w:rsid w:val="00602823"/>
    <w:rsid w:val="006028A5"/>
    <w:rsid w:val="006028AD"/>
    <w:rsid w:val="00602A24"/>
    <w:rsid w:val="00602AF2"/>
    <w:rsid w:val="00602B17"/>
    <w:rsid w:val="00602B59"/>
    <w:rsid w:val="00602C40"/>
    <w:rsid w:val="00602CD1"/>
    <w:rsid w:val="00602D6E"/>
    <w:rsid w:val="00602DCE"/>
    <w:rsid w:val="00602EFC"/>
    <w:rsid w:val="00602F06"/>
    <w:rsid w:val="00603052"/>
    <w:rsid w:val="0060305C"/>
    <w:rsid w:val="006031B4"/>
    <w:rsid w:val="006031FD"/>
    <w:rsid w:val="006032BD"/>
    <w:rsid w:val="006033BD"/>
    <w:rsid w:val="006034ED"/>
    <w:rsid w:val="00603688"/>
    <w:rsid w:val="0060390B"/>
    <w:rsid w:val="00603935"/>
    <w:rsid w:val="0060398C"/>
    <w:rsid w:val="00603ABB"/>
    <w:rsid w:val="00603B5D"/>
    <w:rsid w:val="00603B6B"/>
    <w:rsid w:val="00603B72"/>
    <w:rsid w:val="00603BF7"/>
    <w:rsid w:val="00603C2E"/>
    <w:rsid w:val="00603E70"/>
    <w:rsid w:val="00603F6F"/>
    <w:rsid w:val="0060408C"/>
    <w:rsid w:val="006041CA"/>
    <w:rsid w:val="006041D8"/>
    <w:rsid w:val="00604262"/>
    <w:rsid w:val="006042A9"/>
    <w:rsid w:val="00604432"/>
    <w:rsid w:val="00604492"/>
    <w:rsid w:val="006045E4"/>
    <w:rsid w:val="0060463C"/>
    <w:rsid w:val="006046D8"/>
    <w:rsid w:val="006049A6"/>
    <w:rsid w:val="00604A45"/>
    <w:rsid w:val="00604CAC"/>
    <w:rsid w:val="00604DC1"/>
    <w:rsid w:val="00604DF6"/>
    <w:rsid w:val="00604E06"/>
    <w:rsid w:val="00604E5D"/>
    <w:rsid w:val="00604E88"/>
    <w:rsid w:val="00604F6A"/>
    <w:rsid w:val="00604FC6"/>
    <w:rsid w:val="00605080"/>
    <w:rsid w:val="006050DF"/>
    <w:rsid w:val="00605128"/>
    <w:rsid w:val="006051A2"/>
    <w:rsid w:val="00605200"/>
    <w:rsid w:val="0060525E"/>
    <w:rsid w:val="0060537F"/>
    <w:rsid w:val="00605391"/>
    <w:rsid w:val="00605493"/>
    <w:rsid w:val="006054FE"/>
    <w:rsid w:val="0060555E"/>
    <w:rsid w:val="0060560D"/>
    <w:rsid w:val="00605639"/>
    <w:rsid w:val="00605681"/>
    <w:rsid w:val="006056AD"/>
    <w:rsid w:val="00605AC6"/>
    <w:rsid w:val="00605AD3"/>
    <w:rsid w:val="00605AD4"/>
    <w:rsid w:val="00605B57"/>
    <w:rsid w:val="00605BD5"/>
    <w:rsid w:val="00605CA8"/>
    <w:rsid w:val="00605CBC"/>
    <w:rsid w:val="00605CE6"/>
    <w:rsid w:val="00605D08"/>
    <w:rsid w:val="00605E3B"/>
    <w:rsid w:val="00605F3D"/>
    <w:rsid w:val="006060A1"/>
    <w:rsid w:val="006061CE"/>
    <w:rsid w:val="00606415"/>
    <w:rsid w:val="006066F4"/>
    <w:rsid w:val="00606805"/>
    <w:rsid w:val="00606823"/>
    <w:rsid w:val="00606869"/>
    <w:rsid w:val="00606937"/>
    <w:rsid w:val="00606A26"/>
    <w:rsid w:val="00606AB5"/>
    <w:rsid w:val="00606B06"/>
    <w:rsid w:val="00606B93"/>
    <w:rsid w:val="00606BAC"/>
    <w:rsid w:val="00606BB1"/>
    <w:rsid w:val="00606D71"/>
    <w:rsid w:val="00606E3D"/>
    <w:rsid w:val="00606E8E"/>
    <w:rsid w:val="00606F36"/>
    <w:rsid w:val="00606F82"/>
    <w:rsid w:val="006070A4"/>
    <w:rsid w:val="00607174"/>
    <w:rsid w:val="0060725E"/>
    <w:rsid w:val="006072F8"/>
    <w:rsid w:val="00607379"/>
    <w:rsid w:val="006073FC"/>
    <w:rsid w:val="00607485"/>
    <w:rsid w:val="006074A3"/>
    <w:rsid w:val="006074E8"/>
    <w:rsid w:val="00607524"/>
    <w:rsid w:val="00607610"/>
    <w:rsid w:val="0060768B"/>
    <w:rsid w:val="00607739"/>
    <w:rsid w:val="0060776B"/>
    <w:rsid w:val="0060777A"/>
    <w:rsid w:val="00607971"/>
    <w:rsid w:val="006079E3"/>
    <w:rsid w:val="00607A87"/>
    <w:rsid w:val="00607BF6"/>
    <w:rsid w:val="00607D8B"/>
    <w:rsid w:val="00607DDC"/>
    <w:rsid w:val="00607FEB"/>
    <w:rsid w:val="00610023"/>
    <w:rsid w:val="0061004C"/>
    <w:rsid w:val="006100A0"/>
    <w:rsid w:val="00610135"/>
    <w:rsid w:val="00610209"/>
    <w:rsid w:val="00610252"/>
    <w:rsid w:val="00610410"/>
    <w:rsid w:val="00610426"/>
    <w:rsid w:val="00610446"/>
    <w:rsid w:val="00610553"/>
    <w:rsid w:val="006105D4"/>
    <w:rsid w:val="006105E8"/>
    <w:rsid w:val="006107BF"/>
    <w:rsid w:val="006108DA"/>
    <w:rsid w:val="0061096B"/>
    <w:rsid w:val="006109B8"/>
    <w:rsid w:val="00610BD4"/>
    <w:rsid w:val="00610DFA"/>
    <w:rsid w:val="00610EEE"/>
    <w:rsid w:val="00610F98"/>
    <w:rsid w:val="00611187"/>
    <w:rsid w:val="0061122D"/>
    <w:rsid w:val="00611249"/>
    <w:rsid w:val="00611252"/>
    <w:rsid w:val="0061125F"/>
    <w:rsid w:val="006113A9"/>
    <w:rsid w:val="00611400"/>
    <w:rsid w:val="00611529"/>
    <w:rsid w:val="006115C9"/>
    <w:rsid w:val="0061198C"/>
    <w:rsid w:val="006119FD"/>
    <w:rsid w:val="00611A53"/>
    <w:rsid w:val="00611B7E"/>
    <w:rsid w:val="00611BA4"/>
    <w:rsid w:val="00611CD5"/>
    <w:rsid w:val="00611CE1"/>
    <w:rsid w:val="00611D3F"/>
    <w:rsid w:val="00611D56"/>
    <w:rsid w:val="00611E31"/>
    <w:rsid w:val="00612100"/>
    <w:rsid w:val="006121D1"/>
    <w:rsid w:val="00612283"/>
    <w:rsid w:val="00612322"/>
    <w:rsid w:val="00612398"/>
    <w:rsid w:val="0061241A"/>
    <w:rsid w:val="00612579"/>
    <w:rsid w:val="006125F6"/>
    <w:rsid w:val="0061270A"/>
    <w:rsid w:val="00612737"/>
    <w:rsid w:val="00612935"/>
    <w:rsid w:val="006129B0"/>
    <w:rsid w:val="00612A21"/>
    <w:rsid w:val="00612B8B"/>
    <w:rsid w:val="00612BDD"/>
    <w:rsid w:val="00612C87"/>
    <w:rsid w:val="00612CC9"/>
    <w:rsid w:val="00612E68"/>
    <w:rsid w:val="00612F2A"/>
    <w:rsid w:val="00612F63"/>
    <w:rsid w:val="00613068"/>
    <w:rsid w:val="00613070"/>
    <w:rsid w:val="006130AB"/>
    <w:rsid w:val="00613285"/>
    <w:rsid w:val="006132CE"/>
    <w:rsid w:val="006133BF"/>
    <w:rsid w:val="006135D9"/>
    <w:rsid w:val="006136E4"/>
    <w:rsid w:val="00613823"/>
    <w:rsid w:val="006138C3"/>
    <w:rsid w:val="00613B5B"/>
    <w:rsid w:val="00613B86"/>
    <w:rsid w:val="00613C1A"/>
    <w:rsid w:val="00613DA3"/>
    <w:rsid w:val="00613E2E"/>
    <w:rsid w:val="00613F2F"/>
    <w:rsid w:val="00613FB5"/>
    <w:rsid w:val="00614043"/>
    <w:rsid w:val="0061410F"/>
    <w:rsid w:val="00614296"/>
    <w:rsid w:val="006142E6"/>
    <w:rsid w:val="00614459"/>
    <w:rsid w:val="00614554"/>
    <w:rsid w:val="00614660"/>
    <w:rsid w:val="006147E1"/>
    <w:rsid w:val="0061488A"/>
    <w:rsid w:val="0061492D"/>
    <w:rsid w:val="006149B6"/>
    <w:rsid w:val="00614AE1"/>
    <w:rsid w:val="00614B1D"/>
    <w:rsid w:val="00614BC4"/>
    <w:rsid w:val="00614CA8"/>
    <w:rsid w:val="00614CD8"/>
    <w:rsid w:val="00614EC9"/>
    <w:rsid w:val="00614F6F"/>
    <w:rsid w:val="00614FC4"/>
    <w:rsid w:val="00614FFF"/>
    <w:rsid w:val="0061500B"/>
    <w:rsid w:val="0061502B"/>
    <w:rsid w:val="00615132"/>
    <w:rsid w:val="00615140"/>
    <w:rsid w:val="0061523F"/>
    <w:rsid w:val="006152F0"/>
    <w:rsid w:val="006154CB"/>
    <w:rsid w:val="006155DE"/>
    <w:rsid w:val="0061568B"/>
    <w:rsid w:val="0061572E"/>
    <w:rsid w:val="00615777"/>
    <w:rsid w:val="006158A9"/>
    <w:rsid w:val="006158E9"/>
    <w:rsid w:val="00615910"/>
    <w:rsid w:val="00615913"/>
    <w:rsid w:val="006159B8"/>
    <w:rsid w:val="006159DB"/>
    <w:rsid w:val="00615AE9"/>
    <w:rsid w:val="00615AF2"/>
    <w:rsid w:val="00615BE4"/>
    <w:rsid w:val="00615D48"/>
    <w:rsid w:val="00615E06"/>
    <w:rsid w:val="00615E16"/>
    <w:rsid w:val="00616031"/>
    <w:rsid w:val="00616268"/>
    <w:rsid w:val="006162AD"/>
    <w:rsid w:val="00616433"/>
    <w:rsid w:val="00616454"/>
    <w:rsid w:val="00616567"/>
    <w:rsid w:val="006166BE"/>
    <w:rsid w:val="006166CC"/>
    <w:rsid w:val="00616877"/>
    <w:rsid w:val="006168E3"/>
    <w:rsid w:val="00616A43"/>
    <w:rsid w:val="00616A98"/>
    <w:rsid w:val="00616C6A"/>
    <w:rsid w:val="00616CDF"/>
    <w:rsid w:val="00616CEB"/>
    <w:rsid w:val="00616D65"/>
    <w:rsid w:val="00616D6E"/>
    <w:rsid w:val="00616D99"/>
    <w:rsid w:val="0061704C"/>
    <w:rsid w:val="00617091"/>
    <w:rsid w:val="0061719B"/>
    <w:rsid w:val="00617516"/>
    <w:rsid w:val="0061774B"/>
    <w:rsid w:val="006177E0"/>
    <w:rsid w:val="0061794A"/>
    <w:rsid w:val="0061799F"/>
    <w:rsid w:val="00617A17"/>
    <w:rsid w:val="00617AD0"/>
    <w:rsid w:val="00617AD1"/>
    <w:rsid w:val="00617BBC"/>
    <w:rsid w:val="00617C7F"/>
    <w:rsid w:val="00617D14"/>
    <w:rsid w:val="00617EA4"/>
    <w:rsid w:val="0062006D"/>
    <w:rsid w:val="00620144"/>
    <w:rsid w:val="00620157"/>
    <w:rsid w:val="006201F9"/>
    <w:rsid w:val="0062024A"/>
    <w:rsid w:val="0062026C"/>
    <w:rsid w:val="006202D3"/>
    <w:rsid w:val="00620340"/>
    <w:rsid w:val="006205A1"/>
    <w:rsid w:val="00620724"/>
    <w:rsid w:val="006207DC"/>
    <w:rsid w:val="006208D0"/>
    <w:rsid w:val="006208E2"/>
    <w:rsid w:val="006208E8"/>
    <w:rsid w:val="00620993"/>
    <w:rsid w:val="00620A5E"/>
    <w:rsid w:val="00620B56"/>
    <w:rsid w:val="00620C2F"/>
    <w:rsid w:val="00620CC0"/>
    <w:rsid w:val="00620CE0"/>
    <w:rsid w:val="00620DDC"/>
    <w:rsid w:val="00620E0F"/>
    <w:rsid w:val="00620F04"/>
    <w:rsid w:val="00620F41"/>
    <w:rsid w:val="00620F8E"/>
    <w:rsid w:val="00620FDB"/>
    <w:rsid w:val="006211F3"/>
    <w:rsid w:val="00621284"/>
    <w:rsid w:val="006212AF"/>
    <w:rsid w:val="00621305"/>
    <w:rsid w:val="00621317"/>
    <w:rsid w:val="006213BC"/>
    <w:rsid w:val="006213E5"/>
    <w:rsid w:val="00621439"/>
    <w:rsid w:val="00621491"/>
    <w:rsid w:val="00621612"/>
    <w:rsid w:val="00621632"/>
    <w:rsid w:val="0062168F"/>
    <w:rsid w:val="006218E6"/>
    <w:rsid w:val="00621C85"/>
    <w:rsid w:val="00621CAF"/>
    <w:rsid w:val="00621D86"/>
    <w:rsid w:val="00621EAE"/>
    <w:rsid w:val="00621ECA"/>
    <w:rsid w:val="00621EF1"/>
    <w:rsid w:val="00621F42"/>
    <w:rsid w:val="00621FA0"/>
    <w:rsid w:val="00621FF2"/>
    <w:rsid w:val="00622040"/>
    <w:rsid w:val="0062208F"/>
    <w:rsid w:val="006221A3"/>
    <w:rsid w:val="006222B1"/>
    <w:rsid w:val="006222C6"/>
    <w:rsid w:val="00622502"/>
    <w:rsid w:val="00622505"/>
    <w:rsid w:val="00622574"/>
    <w:rsid w:val="006225AF"/>
    <w:rsid w:val="006226C4"/>
    <w:rsid w:val="006226D8"/>
    <w:rsid w:val="00622777"/>
    <w:rsid w:val="006227C5"/>
    <w:rsid w:val="00622866"/>
    <w:rsid w:val="0062289A"/>
    <w:rsid w:val="0062289C"/>
    <w:rsid w:val="006228FD"/>
    <w:rsid w:val="00622966"/>
    <w:rsid w:val="00622972"/>
    <w:rsid w:val="00622A2A"/>
    <w:rsid w:val="00622A58"/>
    <w:rsid w:val="00622AEE"/>
    <w:rsid w:val="00622AFE"/>
    <w:rsid w:val="00622B3D"/>
    <w:rsid w:val="00622B7C"/>
    <w:rsid w:val="00622B8A"/>
    <w:rsid w:val="00622BC3"/>
    <w:rsid w:val="00622BC9"/>
    <w:rsid w:val="00622CDB"/>
    <w:rsid w:val="00622D67"/>
    <w:rsid w:val="00622DEE"/>
    <w:rsid w:val="00622EC1"/>
    <w:rsid w:val="00623020"/>
    <w:rsid w:val="0062307C"/>
    <w:rsid w:val="00623179"/>
    <w:rsid w:val="00623186"/>
    <w:rsid w:val="006231C0"/>
    <w:rsid w:val="006231F3"/>
    <w:rsid w:val="00623324"/>
    <w:rsid w:val="006233D4"/>
    <w:rsid w:val="00623586"/>
    <w:rsid w:val="006236BE"/>
    <w:rsid w:val="0062374E"/>
    <w:rsid w:val="00623766"/>
    <w:rsid w:val="00623805"/>
    <w:rsid w:val="006239EC"/>
    <w:rsid w:val="00623B97"/>
    <w:rsid w:val="00623F13"/>
    <w:rsid w:val="00623FAB"/>
    <w:rsid w:val="00624013"/>
    <w:rsid w:val="00624117"/>
    <w:rsid w:val="00624236"/>
    <w:rsid w:val="00624398"/>
    <w:rsid w:val="00624558"/>
    <w:rsid w:val="006246DB"/>
    <w:rsid w:val="006246FA"/>
    <w:rsid w:val="00624737"/>
    <w:rsid w:val="00624925"/>
    <w:rsid w:val="0062494E"/>
    <w:rsid w:val="00624992"/>
    <w:rsid w:val="006249FF"/>
    <w:rsid w:val="00624A2B"/>
    <w:rsid w:val="00624A40"/>
    <w:rsid w:val="00624A9F"/>
    <w:rsid w:val="00624B66"/>
    <w:rsid w:val="00624B9D"/>
    <w:rsid w:val="00624BBA"/>
    <w:rsid w:val="00624CBC"/>
    <w:rsid w:val="00624E11"/>
    <w:rsid w:val="00624E93"/>
    <w:rsid w:val="00624F30"/>
    <w:rsid w:val="00625031"/>
    <w:rsid w:val="006252B0"/>
    <w:rsid w:val="00625352"/>
    <w:rsid w:val="00625403"/>
    <w:rsid w:val="0062548A"/>
    <w:rsid w:val="006254F0"/>
    <w:rsid w:val="0062553E"/>
    <w:rsid w:val="006255B7"/>
    <w:rsid w:val="006255FE"/>
    <w:rsid w:val="006256B6"/>
    <w:rsid w:val="00625A10"/>
    <w:rsid w:val="00626065"/>
    <w:rsid w:val="006261BF"/>
    <w:rsid w:val="0062625D"/>
    <w:rsid w:val="00626285"/>
    <w:rsid w:val="006262A3"/>
    <w:rsid w:val="00626323"/>
    <w:rsid w:val="00626401"/>
    <w:rsid w:val="00626632"/>
    <w:rsid w:val="00626641"/>
    <w:rsid w:val="00626788"/>
    <w:rsid w:val="0062681F"/>
    <w:rsid w:val="00626A5F"/>
    <w:rsid w:val="00626BAD"/>
    <w:rsid w:val="00626C59"/>
    <w:rsid w:val="00626D76"/>
    <w:rsid w:val="00626D9D"/>
    <w:rsid w:val="00626EF4"/>
    <w:rsid w:val="00627036"/>
    <w:rsid w:val="00627106"/>
    <w:rsid w:val="0062715B"/>
    <w:rsid w:val="00627196"/>
    <w:rsid w:val="006271B6"/>
    <w:rsid w:val="0062726F"/>
    <w:rsid w:val="006273CE"/>
    <w:rsid w:val="00627456"/>
    <w:rsid w:val="006274DE"/>
    <w:rsid w:val="006275EB"/>
    <w:rsid w:val="006276B8"/>
    <w:rsid w:val="00627952"/>
    <w:rsid w:val="00627A92"/>
    <w:rsid w:val="00627C08"/>
    <w:rsid w:val="00627CEE"/>
    <w:rsid w:val="00627D0B"/>
    <w:rsid w:val="00627D52"/>
    <w:rsid w:val="00627DDB"/>
    <w:rsid w:val="00627F23"/>
    <w:rsid w:val="00627F3C"/>
    <w:rsid w:val="00630129"/>
    <w:rsid w:val="0063027C"/>
    <w:rsid w:val="0063035B"/>
    <w:rsid w:val="00630365"/>
    <w:rsid w:val="0063060F"/>
    <w:rsid w:val="006306A3"/>
    <w:rsid w:val="006307F6"/>
    <w:rsid w:val="0063082A"/>
    <w:rsid w:val="00630844"/>
    <w:rsid w:val="00630885"/>
    <w:rsid w:val="00630907"/>
    <w:rsid w:val="00630956"/>
    <w:rsid w:val="00630A14"/>
    <w:rsid w:val="00630A8A"/>
    <w:rsid w:val="00630AB0"/>
    <w:rsid w:val="00630B48"/>
    <w:rsid w:val="00630B9F"/>
    <w:rsid w:val="00630D16"/>
    <w:rsid w:val="00630DCA"/>
    <w:rsid w:val="00630EDC"/>
    <w:rsid w:val="00630EE5"/>
    <w:rsid w:val="00630FB7"/>
    <w:rsid w:val="00631083"/>
    <w:rsid w:val="0063121D"/>
    <w:rsid w:val="00631417"/>
    <w:rsid w:val="00631560"/>
    <w:rsid w:val="00631578"/>
    <w:rsid w:val="00631579"/>
    <w:rsid w:val="00631619"/>
    <w:rsid w:val="0063180D"/>
    <w:rsid w:val="006318C4"/>
    <w:rsid w:val="006319D9"/>
    <w:rsid w:val="00631A14"/>
    <w:rsid w:val="00631A36"/>
    <w:rsid w:val="00631AB8"/>
    <w:rsid w:val="00631B07"/>
    <w:rsid w:val="00631BBF"/>
    <w:rsid w:val="00631C37"/>
    <w:rsid w:val="00631C5C"/>
    <w:rsid w:val="00631C8A"/>
    <w:rsid w:val="00631CAB"/>
    <w:rsid w:val="00631D03"/>
    <w:rsid w:val="00631D2C"/>
    <w:rsid w:val="00631D67"/>
    <w:rsid w:val="00631D77"/>
    <w:rsid w:val="00631DA1"/>
    <w:rsid w:val="00631DB9"/>
    <w:rsid w:val="00631E5D"/>
    <w:rsid w:val="0063231C"/>
    <w:rsid w:val="00632559"/>
    <w:rsid w:val="006326AD"/>
    <w:rsid w:val="00632736"/>
    <w:rsid w:val="006327E4"/>
    <w:rsid w:val="00632809"/>
    <w:rsid w:val="00632823"/>
    <w:rsid w:val="0063285F"/>
    <w:rsid w:val="00632C26"/>
    <w:rsid w:val="00632C36"/>
    <w:rsid w:val="00632C73"/>
    <w:rsid w:val="00632DEF"/>
    <w:rsid w:val="00632E5A"/>
    <w:rsid w:val="00632F7D"/>
    <w:rsid w:val="00632FDE"/>
    <w:rsid w:val="006330EC"/>
    <w:rsid w:val="00633207"/>
    <w:rsid w:val="0063333F"/>
    <w:rsid w:val="00633357"/>
    <w:rsid w:val="006333D6"/>
    <w:rsid w:val="0063360C"/>
    <w:rsid w:val="00633749"/>
    <w:rsid w:val="00633958"/>
    <w:rsid w:val="00633A3F"/>
    <w:rsid w:val="00633D1A"/>
    <w:rsid w:val="00633E76"/>
    <w:rsid w:val="00633EE9"/>
    <w:rsid w:val="006340DD"/>
    <w:rsid w:val="00634188"/>
    <w:rsid w:val="006341C4"/>
    <w:rsid w:val="0063420D"/>
    <w:rsid w:val="006342B5"/>
    <w:rsid w:val="00634425"/>
    <w:rsid w:val="006347F0"/>
    <w:rsid w:val="00634842"/>
    <w:rsid w:val="006348B2"/>
    <w:rsid w:val="006348EE"/>
    <w:rsid w:val="006349A8"/>
    <w:rsid w:val="00634B7A"/>
    <w:rsid w:val="00634CF2"/>
    <w:rsid w:val="00634CF7"/>
    <w:rsid w:val="00634D8B"/>
    <w:rsid w:val="00634DD0"/>
    <w:rsid w:val="00634FA1"/>
    <w:rsid w:val="00634FAD"/>
    <w:rsid w:val="00635072"/>
    <w:rsid w:val="0063512C"/>
    <w:rsid w:val="006351C3"/>
    <w:rsid w:val="0063520C"/>
    <w:rsid w:val="0063521B"/>
    <w:rsid w:val="006352D1"/>
    <w:rsid w:val="00635378"/>
    <w:rsid w:val="006353AC"/>
    <w:rsid w:val="006353AF"/>
    <w:rsid w:val="006354FD"/>
    <w:rsid w:val="0063554B"/>
    <w:rsid w:val="0063568C"/>
    <w:rsid w:val="006358CA"/>
    <w:rsid w:val="0063591D"/>
    <w:rsid w:val="006359FA"/>
    <w:rsid w:val="00635A25"/>
    <w:rsid w:val="00635A4F"/>
    <w:rsid w:val="00635A81"/>
    <w:rsid w:val="00635B70"/>
    <w:rsid w:val="00635C36"/>
    <w:rsid w:val="00635CF4"/>
    <w:rsid w:val="00635D4E"/>
    <w:rsid w:val="00635DD9"/>
    <w:rsid w:val="00635E3E"/>
    <w:rsid w:val="00635E96"/>
    <w:rsid w:val="00636077"/>
    <w:rsid w:val="0063607F"/>
    <w:rsid w:val="00636181"/>
    <w:rsid w:val="006361D6"/>
    <w:rsid w:val="006362FB"/>
    <w:rsid w:val="006363D7"/>
    <w:rsid w:val="006363DE"/>
    <w:rsid w:val="006365BB"/>
    <w:rsid w:val="00636604"/>
    <w:rsid w:val="00636876"/>
    <w:rsid w:val="006369D3"/>
    <w:rsid w:val="00636A04"/>
    <w:rsid w:val="00636A35"/>
    <w:rsid w:val="00636AFF"/>
    <w:rsid w:val="00636BA2"/>
    <w:rsid w:val="00636C2D"/>
    <w:rsid w:val="00636CCD"/>
    <w:rsid w:val="00636D05"/>
    <w:rsid w:val="00636D3A"/>
    <w:rsid w:val="00636E23"/>
    <w:rsid w:val="00636F7D"/>
    <w:rsid w:val="006370AA"/>
    <w:rsid w:val="00637322"/>
    <w:rsid w:val="006373F6"/>
    <w:rsid w:val="00637477"/>
    <w:rsid w:val="006374A3"/>
    <w:rsid w:val="00637567"/>
    <w:rsid w:val="006376B1"/>
    <w:rsid w:val="0063789C"/>
    <w:rsid w:val="00637C78"/>
    <w:rsid w:val="00637C7B"/>
    <w:rsid w:val="00637CB3"/>
    <w:rsid w:val="00637D50"/>
    <w:rsid w:val="00637DE6"/>
    <w:rsid w:val="00637E06"/>
    <w:rsid w:val="0064014C"/>
    <w:rsid w:val="006401B3"/>
    <w:rsid w:val="006402F7"/>
    <w:rsid w:val="0064041B"/>
    <w:rsid w:val="0064051B"/>
    <w:rsid w:val="00640531"/>
    <w:rsid w:val="0064056D"/>
    <w:rsid w:val="00640665"/>
    <w:rsid w:val="0064070F"/>
    <w:rsid w:val="0064076F"/>
    <w:rsid w:val="006408AF"/>
    <w:rsid w:val="006408D3"/>
    <w:rsid w:val="00640A21"/>
    <w:rsid w:val="00640D4B"/>
    <w:rsid w:val="00640E2E"/>
    <w:rsid w:val="00640E46"/>
    <w:rsid w:val="00640EE9"/>
    <w:rsid w:val="00640FD3"/>
    <w:rsid w:val="00641021"/>
    <w:rsid w:val="0064127F"/>
    <w:rsid w:val="00641384"/>
    <w:rsid w:val="006415CF"/>
    <w:rsid w:val="0064162C"/>
    <w:rsid w:val="00641643"/>
    <w:rsid w:val="006418B1"/>
    <w:rsid w:val="0064193E"/>
    <w:rsid w:val="00641EB2"/>
    <w:rsid w:val="00641FFA"/>
    <w:rsid w:val="006420D0"/>
    <w:rsid w:val="00642110"/>
    <w:rsid w:val="0064215C"/>
    <w:rsid w:val="006421B6"/>
    <w:rsid w:val="00642245"/>
    <w:rsid w:val="006422A6"/>
    <w:rsid w:val="006422F6"/>
    <w:rsid w:val="0064259A"/>
    <w:rsid w:val="00642741"/>
    <w:rsid w:val="006427AC"/>
    <w:rsid w:val="0064290F"/>
    <w:rsid w:val="006429D7"/>
    <w:rsid w:val="00642B05"/>
    <w:rsid w:val="00642B75"/>
    <w:rsid w:val="00642BB4"/>
    <w:rsid w:val="00642BE4"/>
    <w:rsid w:val="00642DE1"/>
    <w:rsid w:val="00642E7E"/>
    <w:rsid w:val="00642E8C"/>
    <w:rsid w:val="00642F3E"/>
    <w:rsid w:val="00643013"/>
    <w:rsid w:val="00643317"/>
    <w:rsid w:val="0064332F"/>
    <w:rsid w:val="0064352B"/>
    <w:rsid w:val="006435A3"/>
    <w:rsid w:val="00643607"/>
    <w:rsid w:val="006437AF"/>
    <w:rsid w:val="006437C0"/>
    <w:rsid w:val="00643802"/>
    <w:rsid w:val="006438B1"/>
    <w:rsid w:val="00643A64"/>
    <w:rsid w:val="00643A79"/>
    <w:rsid w:val="00643B5E"/>
    <w:rsid w:val="00643C4F"/>
    <w:rsid w:val="00643CAC"/>
    <w:rsid w:val="00643CB5"/>
    <w:rsid w:val="00643E33"/>
    <w:rsid w:val="00643F64"/>
    <w:rsid w:val="006440AE"/>
    <w:rsid w:val="006440BB"/>
    <w:rsid w:val="00644174"/>
    <w:rsid w:val="0064418C"/>
    <w:rsid w:val="006443F9"/>
    <w:rsid w:val="0064447F"/>
    <w:rsid w:val="00644589"/>
    <w:rsid w:val="00644667"/>
    <w:rsid w:val="0064468A"/>
    <w:rsid w:val="00644728"/>
    <w:rsid w:val="006447F2"/>
    <w:rsid w:val="00644876"/>
    <w:rsid w:val="00644BD6"/>
    <w:rsid w:val="00644C38"/>
    <w:rsid w:val="00644D52"/>
    <w:rsid w:val="00644E68"/>
    <w:rsid w:val="00644E70"/>
    <w:rsid w:val="00644E73"/>
    <w:rsid w:val="00644EC3"/>
    <w:rsid w:val="00644EED"/>
    <w:rsid w:val="00644F35"/>
    <w:rsid w:val="006450C2"/>
    <w:rsid w:val="00645134"/>
    <w:rsid w:val="00645268"/>
    <w:rsid w:val="0064526C"/>
    <w:rsid w:val="00645646"/>
    <w:rsid w:val="00645653"/>
    <w:rsid w:val="006456B0"/>
    <w:rsid w:val="00645875"/>
    <w:rsid w:val="00645886"/>
    <w:rsid w:val="00645A0A"/>
    <w:rsid w:val="00645AAE"/>
    <w:rsid w:val="00645AD6"/>
    <w:rsid w:val="00645B22"/>
    <w:rsid w:val="00645C79"/>
    <w:rsid w:val="00645DD5"/>
    <w:rsid w:val="00646053"/>
    <w:rsid w:val="0064612E"/>
    <w:rsid w:val="0064618E"/>
    <w:rsid w:val="006464E3"/>
    <w:rsid w:val="006466B2"/>
    <w:rsid w:val="006466F6"/>
    <w:rsid w:val="0064675F"/>
    <w:rsid w:val="006469B0"/>
    <w:rsid w:val="00646A27"/>
    <w:rsid w:val="00646AEB"/>
    <w:rsid w:val="00646CCB"/>
    <w:rsid w:val="00646D64"/>
    <w:rsid w:val="00646F31"/>
    <w:rsid w:val="006472AF"/>
    <w:rsid w:val="006472BD"/>
    <w:rsid w:val="0064734F"/>
    <w:rsid w:val="0064739D"/>
    <w:rsid w:val="006473A9"/>
    <w:rsid w:val="00647466"/>
    <w:rsid w:val="00647545"/>
    <w:rsid w:val="0064761F"/>
    <w:rsid w:val="00647637"/>
    <w:rsid w:val="0064767B"/>
    <w:rsid w:val="006477C0"/>
    <w:rsid w:val="0064791F"/>
    <w:rsid w:val="0064792B"/>
    <w:rsid w:val="0064794E"/>
    <w:rsid w:val="00647AE5"/>
    <w:rsid w:val="00647B38"/>
    <w:rsid w:val="00647CDF"/>
    <w:rsid w:val="00647D2A"/>
    <w:rsid w:val="00647E43"/>
    <w:rsid w:val="00647EB0"/>
    <w:rsid w:val="00647EC6"/>
    <w:rsid w:val="00647FD0"/>
    <w:rsid w:val="0065030B"/>
    <w:rsid w:val="0065030E"/>
    <w:rsid w:val="0065039F"/>
    <w:rsid w:val="006503F7"/>
    <w:rsid w:val="00650529"/>
    <w:rsid w:val="006505EE"/>
    <w:rsid w:val="0065068A"/>
    <w:rsid w:val="006506E9"/>
    <w:rsid w:val="00650744"/>
    <w:rsid w:val="006508C1"/>
    <w:rsid w:val="00650928"/>
    <w:rsid w:val="00650A57"/>
    <w:rsid w:val="00650AB6"/>
    <w:rsid w:val="00650B3D"/>
    <w:rsid w:val="00650CCD"/>
    <w:rsid w:val="00650D4B"/>
    <w:rsid w:val="00650DBA"/>
    <w:rsid w:val="00650E62"/>
    <w:rsid w:val="00650E7A"/>
    <w:rsid w:val="00651011"/>
    <w:rsid w:val="00651215"/>
    <w:rsid w:val="006512BC"/>
    <w:rsid w:val="00651378"/>
    <w:rsid w:val="00651434"/>
    <w:rsid w:val="00651473"/>
    <w:rsid w:val="006514D3"/>
    <w:rsid w:val="0065150D"/>
    <w:rsid w:val="006515C4"/>
    <w:rsid w:val="00651679"/>
    <w:rsid w:val="006516CD"/>
    <w:rsid w:val="00651729"/>
    <w:rsid w:val="006517B4"/>
    <w:rsid w:val="006518E1"/>
    <w:rsid w:val="006518E5"/>
    <w:rsid w:val="006519FC"/>
    <w:rsid w:val="00651C7C"/>
    <w:rsid w:val="00651CA5"/>
    <w:rsid w:val="00651EE7"/>
    <w:rsid w:val="00651F8B"/>
    <w:rsid w:val="00651FCC"/>
    <w:rsid w:val="006521B6"/>
    <w:rsid w:val="0065224B"/>
    <w:rsid w:val="00652294"/>
    <w:rsid w:val="006522D2"/>
    <w:rsid w:val="0065230F"/>
    <w:rsid w:val="0065252A"/>
    <w:rsid w:val="006525CB"/>
    <w:rsid w:val="00652809"/>
    <w:rsid w:val="00652851"/>
    <w:rsid w:val="00652A63"/>
    <w:rsid w:val="00652AC1"/>
    <w:rsid w:val="00652B73"/>
    <w:rsid w:val="00652B84"/>
    <w:rsid w:val="00652C24"/>
    <w:rsid w:val="00652C26"/>
    <w:rsid w:val="00652D29"/>
    <w:rsid w:val="00652E98"/>
    <w:rsid w:val="00652F9C"/>
    <w:rsid w:val="0065308D"/>
    <w:rsid w:val="0065314F"/>
    <w:rsid w:val="0065323B"/>
    <w:rsid w:val="00653245"/>
    <w:rsid w:val="00653555"/>
    <w:rsid w:val="006535AB"/>
    <w:rsid w:val="00653641"/>
    <w:rsid w:val="00653650"/>
    <w:rsid w:val="0065366C"/>
    <w:rsid w:val="0065369C"/>
    <w:rsid w:val="0065370B"/>
    <w:rsid w:val="0065375D"/>
    <w:rsid w:val="0065377F"/>
    <w:rsid w:val="00653788"/>
    <w:rsid w:val="006537D3"/>
    <w:rsid w:val="006537EA"/>
    <w:rsid w:val="006537F8"/>
    <w:rsid w:val="006538E0"/>
    <w:rsid w:val="0065397F"/>
    <w:rsid w:val="006539D1"/>
    <w:rsid w:val="006539D9"/>
    <w:rsid w:val="00653B96"/>
    <w:rsid w:val="00653BC5"/>
    <w:rsid w:val="00653C33"/>
    <w:rsid w:val="00653D2B"/>
    <w:rsid w:val="00653D48"/>
    <w:rsid w:val="00653D90"/>
    <w:rsid w:val="00653F12"/>
    <w:rsid w:val="00653FBE"/>
    <w:rsid w:val="00653FCE"/>
    <w:rsid w:val="00654017"/>
    <w:rsid w:val="00654048"/>
    <w:rsid w:val="006540B9"/>
    <w:rsid w:val="006541A9"/>
    <w:rsid w:val="006541E9"/>
    <w:rsid w:val="0065426D"/>
    <w:rsid w:val="00654392"/>
    <w:rsid w:val="0065452E"/>
    <w:rsid w:val="00654533"/>
    <w:rsid w:val="006545BF"/>
    <w:rsid w:val="006545C9"/>
    <w:rsid w:val="006546B2"/>
    <w:rsid w:val="006546D5"/>
    <w:rsid w:val="00654764"/>
    <w:rsid w:val="006548F6"/>
    <w:rsid w:val="00654948"/>
    <w:rsid w:val="00654A6A"/>
    <w:rsid w:val="00654AFD"/>
    <w:rsid w:val="00654B16"/>
    <w:rsid w:val="00654B74"/>
    <w:rsid w:val="00654CA6"/>
    <w:rsid w:val="00654E30"/>
    <w:rsid w:val="00654F3E"/>
    <w:rsid w:val="00654FDB"/>
    <w:rsid w:val="00655010"/>
    <w:rsid w:val="006550C4"/>
    <w:rsid w:val="0065513D"/>
    <w:rsid w:val="00655415"/>
    <w:rsid w:val="00655496"/>
    <w:rsid w:val="006556ED"/>
    <w:rsid w:val="0065571F"/>
    <w:rsid w:val="006558FE"/>
    <w:rsid w:val="00655946"/>
    <w:rsid w:val="00655A6B"/>
    <w:rsid w:val="00655AB0"/>
    <w:rsid w:val="00655BD8"/>
    <w:rsid w:val="00655CCE"/>
    <w:rsid w:val="00655D66"/>
    <w:rsid w:val="00655ED0"/>
    <w:rsid w:val="00655F3F"/>
    <w:rsid w:val="00655F7D"/>
    <w:rsid w:val="00656039"/>
    <w:rsid w:val="00656153"/>
    <w:rsid w:val="0065620C"/>
    <w:rsid w:val="00656375"/>
    <w:rsid w:val="006565D0"/>
    <w:rsid w:val="00656737"/>
    <w:rsid w:val="006567BB"/>
    <w:rsid w:val="006567C4"/>
    <w:rsid w:val="006568AA"/>
    <w:rsid w:val="006568AC"/>
    <w:rsid w:val="006568AD"/>
    <w:rsid w:val="00656A32"/>
    <w:rsid w:val="00656B2E"/>
    <w:rsid w:val="00656B56"/>
    <w:rsid w:val="00656BC2"/>
    <w:rsid w:val="00656BC8"/>
    <w:rsid w:val="00656D73"/>
    <w:rsid w:val="00656F49"/>
    <w:rsid w:val="0065702A"/>
    <w:rsid w:val="0065702E"/>
    <w:rsid w:val="00657113"/>
    <w:rsid w:val="0065722F"/>
    <w:rsid w:val="00657241"/>
    <w:rsid w:val="00657298"/>
    <w:rsid w:val="0065730C"/>
    <w:rsid w:val="006574A6"/>
    <w:rsid w:val="0065750B"/>
    <w:rsid w:val="006576FD"/>
    <w:rsid w:val="00657742"/>
    <w:rsid w:val="00657754"/>
    <w:rsid w:val="006577E8"/>
    <w:rsid w:val="006578CF"/>
    <w:rsid w:val="00657926"/>
    <w:rsid w:val="00657ABC"/>
    <w:rsid w:val="00657AC6"/>
    <w:rsid w:val="00657EBA"/>
    <w:rsid w:val="00657F5B"/>
    <w:rsid w:val="00657F89"/>
    <w:rsid w:val="00660020"/>
    <w:rsid w:val="00660183"/>
    <w:rsid w:val="006601B4"/>
    <w:rsid w:val="006601D9"/>
    <w:rsid w:val="0066034F"/>
    <w:rsid w:val="0066041C"/>
    <w:rsid w:val="006604F3"/>
    <w:rsid w:val="006604FF"/>
    <w:rsid w:val="00660592"/>
    <w:rsid w:val="006605B2"/>
    <w:rsid w:val="006605C0"/>
    <w:rsid w:val="006605EB"/>
    <w:rsid w:val="006605F1"/>
    <w:rsid w:val="006608C9"/>
    <w:rsid w:val="00660963"/>
    <w:rsid w:val="00660A6F"/>
    <w:rsid w:val="00660AEA"/>
    <w:rsid w:val="00660B4A"/>
    <w:rsid w:val="00660B65"/>
    <w:rsid w:val="00660B9F"/>
    <w:rsid w:val="00660C71"/>
    <w:rsid w:val="00660D9A"/>
    <w:rsid w:val="00660DFA"/>
    <w:rsid w:val="00660E65"/>
    <w:rsid w:val="006612F4"/>
    <w:rsid w:val="0066137F"/>
    <w:rsid w:val="006613F2"/>
    <w:rsid w:val="006614BC"/>
    <w:rsid w:val="0066152A"/>
    <w:rsid w:val="00661659"/>
    <w:rsid w:val="006616C9"/>
    <w:rsid w:val="006617CE"/>
    <w:rsid w:val="0066189C"/>
    <w:rsid w:val="0066196E"/>
    <w:rsid w:val="006619DA"/>
    <w:rsid w:val="006619FB"/>
    <w:rsid w:val="00661A01"/>
    <w:rsid w:val="00661A1A"/>
    <w:rsid w:val="00661A32"/>
    <w:rsid w:val="00661B1B"/>
    <w:rsid w:val="00661C55"/>
    <w:rsid w:val="00661E2B"/>
    <w:rsid w:val="00661E8F"/>
    <w:rsid w:val="00661F2F"/>
    <w:rsid w:val="00662082"/>
    <w:rsid w:val="006620F1"/>
    <w:rsid w:val="006621BA"/>
    <w:rsid w:val="0066231E"/>
    <w:rsid w:val="0066233F"/>
    <w:rsid w:val="006623C2"/>
    <w:rsid w:val="006624A2"/>
    <w:rsid w:val="006624BE"/>
    <w:rsid w:val="00662652"/>
    <w:rsid w:val="00662673"/>
    <w:rsid w:val="00662778"/>
    <w:rsid w:val="00662862"/>
    <w:rsid w:val="0066295A"/>
    <w:rsid w:val="00662B72"/>
    <w:rsid w:val="00662C14"/>
    <w:rsid w:val="00662C4A"/>
    <w:rsid w:val="00662DC3"/>
    <w:rsid w:val="00662DCD"/>
    <w:rsid w:val="00662F97"/>
    <w:rsid w:val="00663008"/>
    <w:rsid w:val="00663126"/>
    <w:rsid w:val="0066326B"/>
    <w:rsid w:val="0066334A"/>
    <w:rsid w:val="0066336D"/>
    <w:rsid w:val="00663486"/>
    <w:rsid w:val="0066350A"/>
    <w:rsid w:val="00663514"/>
    <w:rsid w:val="00663641"/>
    <w:rsid w:val="0066386C"/>
    <w:rsid w:val="0066390E"/>
    <w:rsid w:val="006639D7"/>
    <w:rsid w:val="00663A48"/>
    <w:rsid w:val="00663B27"/>
    <w:rsid w:val="00663B30"/>
    <w:rsid w:val="00663C9F"/>
    <w:rsid w:val="00663CCC"/>
    <w:rsid w:val="00663DAD"/>
    <w:rsid w:val="00663E60"/>
    <w:rsid w:val="00664175"/>
    <w:rsid w:val="00664330"/>
    <w:rsid w:val="0066443E"/>
    <w:rsid w:val="006644B3"/>
    <w:rsid w:val="00664503"/>
    <w:rsid w:val="006645CA"/>
    <w:rsid w:val="00664609"/>
    <w:rsid w:val="00664687"/>
    <w:rsid w:val="006647E2"/>
    <w:rsid w:val="0066480C"/>
    <w:rsid w:val="0066481B"/>
    <w:rsid w:val="0066481C"/>
    <w:rsid w:val="0066482C"/>
    <w:rsid w:val="0066494E"/>
    <w:rsid w:val="00664960"/>
    <w:rsid w:val="00664978"/>
    <w:rsid w:val="006649D9"/>
    <w:rsid w:val="00664B14"/>
    <w:rsid w:val="00664B2C"/>
    <w:rsid w:val="00664C34"/>
    <w:rsid w:val="00664DAD"/>
    <w:rsid w:val="00664E2A"/>
    <w:rsid w:val="00664E76"/>
    <w:rsid w:val="00664F1B"/>
    <w:rsid w:val="00665054"/>
    <w:rsid w:val="00665081"/>
    <w:rsid w:val="0066508B"/>
    <w:rsid w:val="006651CD"/>
    <w:rsid w:val="00665219"/>
    <w:rsid w:val="0066528D"/>
    <w:rsid w:val="00665304"/>
    <w:rsid w:val="0066530E"/>
    <w:rsid w:val="00665358"/>
    <w:rsid w:val="00665364"/>
    <w:rsid w:val="00665373"/>
    <w:rsid w:val="00665456"/>
    <w:rsid w:val="00665789"/>
    <w:rsid w:val="0066584B"/>
    <w:rsid w:val="006658CF"/>
    <w:rsid w:val="00665A43"/>
    <w:rsid w:val="00665B53"/>
    <w:rsid w:val="00665BEE"/>
    <w:rsid w:val="00665C63"/>
    <w:rsid w:val="00665C90"/>
    <w:rsid w:val="00665CF4"/>
    <w:rsid w:val="00665D99"/>
    <w:rsid w:val="00665E4E"/>
    <w:rsid w:val="00665F2B"/>
    <w:rsid w:val="00665FB2"/>
    <w:rsid w:val="00665FDA"/>
    <w:rsid w:val="006660A8"/>
    <w:rsid w:val="00666175"/>
    <w:rsid w:val="006661CD"/>
    <w:rsid w:val="00666282"/>
    <w:rsid w:val="00666289"/>
    <w:rsid w:val="006662E5"/>
    <w:rsid w:val="00666524"/>
    <w:rsid w:val="00666641"/>
    <w:rsid w:val="00666658"/>
    <w:rsid w:val="0066670A"/>
    <w:rsid w:val="00666769"/>
    <w:rsid w:val="00666A85"/>
    <w:rsid w:val="00666BA0"/>
    <w:rsid w:val="00666C1C"/>
    <w:rsid w:val="00666D0F"/>
    <w:rsid w:val="00666EAF"/>
    <w:rsid w:val="00666F7E"/>
    <w:rsid w:val="00667167"/>
    <w:rsid w:val="00667347"/>
    <w:rsid w:val="0066740F"/>
    <w:rsid w:val="006674A0"/>
    <w:rsid w:val="0066760D"/>
    <w:rsid w:val="00667656"/>
    <w:rsid w:val="0066776D"/>
    <w:rsid w:val="0066778F"/>
    <w:rsid w:val="00667A72"/>
    <w:rsid w:val="00667BA4"/>
    <w:rsid w:val="00667BD0"/>
    <w:rsid w:val="00667D1D"/>
    <w:rsid w:val="00667F49"/>
    <w:rsid w:val="00670133"/>
    <w:rsid w:val="00670245"/>
    <w:rsid w:val="006702A7"/>
    <w:rsid w:val="00670329"/>
    <w:rsid w:val="006703D9"/>
    <w:rsid w:val="00670410"/>
    <w:rsid w:val="0067043F"/>
    <w:rsid w:val="0067045D"/>
    <w:rsid w:val="00670489"/>
    <w:rsid w:val="0067061A"/>
    <w:rsid w:val="00670758"/>
    <w:rsid w:val="00670766"/>
    <w:rsid w:val="00670865"/>
    <w:rsid w:val="006708B3"/>
    <w:rsid w:val="006709E7"/>
    <w:rsid w:val="00670A16"/>
    <w:rsid w:val="00670A96"/>
    <w:rsid w:val="00670B60"/>
    <w:rsid w:val="00670BCA"/>
    <w:rsid w:val="00670BD8"/>
    <w:rsid w:val="00670C2A"/>
    <w:rsid w:val="00670DE5"/>
    <w:rsid w:val="00670E1D"/>
    <w:rsid w:val="00670ECA"/>
    <w:rsid w:val="00670ECF"/>
    <w:rsid w:val="00671008"/>
    <w:rsid w:val="0067105A"/>
    <w:rsid w:val="00671092"/>
    <w:rsid w:val="00671374"/>
    <w:rsid w:val="00671424"/>
    <w:rsid w:val="00671436"/>
    <w:rsid w:val="0067150B"/>
    <w:rsid w:val="00671516"/>
    <w:rsid w:val="006715BB"/>
    <w:rsid w:val="00671653"/>
    <w:rsid w:val="00671697"/>
    <w:rsid w:val="006717E7"/>
    <w:rsid w:val="006718E0"/>
    <w:rsid w:val="00671A32"/>
    <w:rsid w:val="00671A4E"/>
    <w:rsid w:val="00671B11"/>
    <w:rsid w:val="00671D0D"/>
    <w:rsid w:val="00671D48"/>
    <w:rsid w:val="00671DBF"/>
    <w:rsid w:val="00671EA6"/>
    <w:rsid w:val="00671EE9"/>
    <w:rsid w:val="00672070"/>
    <w:rsid w:val="00672264"/>
    <w:rsid w:val="006723B8"/>
    <w:rsid w:val="00672470"/>
    <w:rsid w:val="006726D4"/>
    <w:rsid w:val="006726F3"/>
    <w:rsid w:val="006727CE"/>
    <w:rsid w:val="006727FE"/>
    <w:rsid w:val="0067286D"/>
    <w:rsid w:val="00672A9B"/>
    <w:rsid w:val="00672B04"/>
    <w:rsid w:val="00672B1D"/>
    <w:rsid w:val="00672B48"/>
    <w:rsid w:val="00672CF1"/>
    <w:rsid w:val="00672D76"/>
    <w:rsid w:val="00672DB9"/>
    <w:rsid w:val="006730DD"/>
    <w:rsid w:val="00673175"/>
    <w:rsid w:val="006732E5"/>
    <w:rsid w:val="0067331A"/>
    <w:rsid w:val="0067333E"/>
    <w:rsid w:val="00673710"/>
    <w:rsid w:val="00673775"/>
    <w:rsid w:val="0067390D"/>
    <w:rsid w:val="00673954"/>
    <w:rsid w:val="006739CA"/>
    <w:rsid w:val="00673C94"/>
    <w:rsid w:val="00673D10"/>
    <w:rsid w:val="00674042"/>
    <w:rsid w:val="006740C7"/>
    <w:rsid w:val="006742AF"/>
    <w:rsid w:val="00674360"/>
    <w:rsid w:val="00674376"/>
    <w:rsid w:val="006743B0"/>
    <w:rsid w:val="00674437"/>
    <w:rsid w:val="006744EB"/>
    <w:rsid w:val="0067465E"/>
    <w:rsid w:val="006748AF"/>
    <w:rsid w:val="006748F3"/>
    <w:rsid w:val="0067494E"/>
    <w:rsid w:val="00674A2C"/>
    <w:rsid w:val="00674A3B"/>
    <w:rsid w:val="00674E2C"/>
    <w:rsid w:val="00675095"/>
    <w:rsid w:val="006750BE"/>
    <w:rsid w:val="006751A5"/>
    <w:rsid w:val="006751F6"/>
    <w:rsid w:val="006755E8"/>
    <w:rsid w:val="00675684"/>
    <w:rsid w:val="00675785"/>
    <w:rsid w:val="00675812"/>
    <w:rsid w:val="0067586F"/>
    <w:rsid w:val="00675886"/>
    <w:rsid w:val="00675A66"/>
    <w:rsid w:val="00675A9D"/>
    <w:rsid w:val="00675BDA"/>
    <w:rsid w:val="00675BFA"/>
    <w:rsid w:val="00675C76"/>
    <w:rsid w:val="00675D27"/>
    <w:rsid w:val="00675DFF"/>
    <w:rsid w:val="00675EE0"/>
    <w:rsid w:val="00675FC7"/>
    <w:rsid w:val="006760F2"/>
    <w:rsid w:val="006761A6"/>
    <w:rsid w:val="006762EC"/>
    <w:rsid w:val="00676693"/>
    <w:rsid w:val="00676747"/>
    <w:rsid w:val="00676913"/>
    <w:rsid w:val="0067697C"/>
    <w:rsid w:val="00676A2B"/>
    <w:rsid w:val="00676AE2"/>
    <w:rsid w:val="00676AF4"/>
    <w:rsid w:val="00676BBC"/>
    <w:rsid w:val="00676BE2"/>
    <w:rsid w:val="00676CDF"/>
    <w:rsid w:val="00676EE2"/>
    <w:rsid w:val="00676F4D"/>
    <w:rsid w:val="00677017"/>
    <w:rsid w:val="0067740A"/>
    <w:rsid w:val="006775B9"/>
    <w:rsid w:val="0067760E"/>
    <w:rsid w:val="0067765E"/>
    <w:rsid w:val="0067769E"/>
    <w:rsid w:val="00677706"/>
    <w:rsid w:val="0067783A"/>
    <w:rsid w:val="006778B9"/>
    <w:rsid w:val="0067793F"/>
    <w:rsid w:val="006779D2"/>
    <w:rsid w:val="00677A6F"/>
    <w:rsid w:val="00677B44"/>
    <w:rsid w:val="00677C30"/>
    <w:rsid w:val="00677EBB"/>
    <w:rsid w:val="00677FAF"/>
    <w:rsid w:val="00680085"/>
    <w:rsid w:val="006800E7"/>
    <w:rsid w:val="00680284"/>
    <w:rsid w:val="0068033B"/>
    <w:rsid w:val="00680369"/>
    <w:rsid w:val="00680523"/>
    <w:rsid w:val="006806AA"/>
    <w:rsid w:val="006806C0"/>
    <w:rsid w:val="00680768"/>
    <w:rsid w:val="00680851"/>
    <w:rsid w:val="006808B8"/>
    <w:rsid w:val="006808EC"/>
    <w:rsid w:val="0068094A"/>
    <w:rsid w:val="006809AE"/>
    <w:rsid w:val="006809C6"/>
    <w:rsid w:val="006809C9"/>
    <w:rsid w:val="006809CE"/>
    <w:rsid w:val="00680B2F"/>
    <w:rsid w:val="00680BFF"/>
    <w:rsid w:val="00680CBE"/>
    <w:rsid w:val="00680CE7"/>
    <w:rsid w:val="00680D68"/>
    <w:rsid w:val="00680D9F"/>
    <w:rsid w:val="00680DE2"/>
    <w:rsid w:val="00680EB4"/>
    <w:rsid w:val="00680EBF"/>
    <w:rsid w:val="00680F0A"/>
    <w:rsid w:val="006810A5"/>
    <w:rsid w:val="006810B7"/>
    <w:rsid w:val="006811B9"/>
    <w:rsid w:val="006812CA"/>
    <w:rsid w:val="006812EB"/>
    <w:rsid w:val="006813D0"/>
    <w:rsid w:val="00681582"/>
    <w:rsid w:val="0068164B"/>
    <w:rsid w:val="00681679"/>
    <w:rsid w:val="00681690"/>
    <w:rsid w:val="006816B6"/>
    <w:rsid w:val="00681974"/>
    <w:rsid w:val="00681A2E"/>
    <w:rsid w:val="00681A5C"/>
    <w:rsid w:val="00681A74"/>
    <w:rsid w:val="00681B61"/>
    <w:rsid w:val="00681BAD"/>
    <w:rsid w:val="00681CF7"/>
    <w:rsid w:val="00682084"/>
    <w:rsid w:val="006821CC"/>
    <w:rsid w:val="00682411"/>
    <w:rsid w:val="00682544"/>
    <w:rsid w:val="00682676"/>
    <w:rsid w:val="006826B7"/>
    <w:rsid w:val="00682704"/>
    <w:rsid w:val="00682732"/>
    <w:rsid w:val="00682816"/>
    <w:rsid w:val="006828FE"/>
    <w:rsid w:val="00682922"/>
    <w:rsid w:val="00682A28"/>
    <w:rsid w:val="00682A58"/>
    <w:rsid w:val="00682A6A"/>
    <w:rsid w:val="00682BF2"/>
    <w:rsid w:val="00682D05"/>
    <w:rsid w:val="00682D1B"/>
    <w:rsid w:val="00682EE1"/>
    <w:rsid w:val="00683134"/>
    <w:rsid w:val="0068332D"/>
    <w:rsid w:val="0068336E"/>
    <w:rsid w:val="00683381"/>
    <w:rsid w:val="00683407"/>
    <w:rsid w:val="00683435"/>
    <w:rsid w:val="006834FD"/>
    <w:rsid w:val="00683523"/>
    <w:rsid w:val="006835B0"/>
    <w:rsid w:val="00683764"/>
    <w:rsid w:val="00683834"/>
    <w:rsid w:val="0068389C"/>
    <w:rsid w:val="006839BC"/>
    <w:rsid w:val="00683ACB"/>
    <w:rsid w:val="00683B4F"/>
    <w:rsid w:val="00683BB2"/>
    <w:rsid w:val="00683C12"/>
    <w:rsid w:val="00683D0F"/>
    <w:rsid w:val="00683D29"/>
    <w:rsid w:val="00683E35"/>
    <w:rsid w:val="00683E51"/>
    <w:rsid w:val="00683EBA"/>
    <w:rsid w:val="00683EC7"/>
    <w:rsid w:val="00683F0C"/>
    <w:rsid w:val="00683F8A"/>
    <w:rsid w:val="0068410C"/>
    <w:rsid w:val="00684121"/>
    <w:rsid w:val="00684164"/>
    <w:rsid w:val="00684224"/>
    <w:rsid w:val="00684353"/>
    <w:rsid w:val="006844A4"/>
    <w:rsid w:val="00684556"/>
    <w:rsid w:val="006845F1"/>
    <w:rsid w:val="006846EE"/>
    <w:rsid w:val="006848B7"/>
    <w:rsid w:val="006848E4"/>
    <w:rsid w:val="00684946"/>
    <w:rsid w:val="00684A40"/>
    <w:rsid w:val="00684ADC"/>
    <w:rsid w:val="00684BF9"/>
    <w:rsid w:val="00684C0C"/>
    <w:rsid w:val="00684C9F"/>
    <w:rsid w:val="00684CAA"/>
    <w:rsid w:val="00684E64"/>
    <w:rsid w:val="00684E74"/>
    <w:rsid w:val="00684E81"/>
    <w:rsid w:val="00684F89"/>
    <w:rsid w:val="00685096"/>
    <w:rsid w:val="0068521D"/>
    <w:rsid w:val="00685225"/>
    <w:rsid w:val="0068524C"/>
    <w:rsid w:val="0068526A"/>
    <w:rsid w:val="006852AA"/>
    <w:rsid w:val="006853B4"/>
    <w:rsid w:val="0068544A"/>
    <w:rsid w:val="0068558A"/>
    <w:rsid w:val="006855A8"/>
    <w:rsid w:val="00685626"/>
    <w:rsid w:val="006856D6"/>
    <w:rsid w:val="00685750"/>
    <w:rsid w:val="006857C9"/>
    <w:rsid w:val="0068580A"/>
    <w:rsid w:val="006858F7"/>
    <w:rsid w:val="00685947"/>
    <w:rsid w:val="00685992"/>
    <w:rsid w:val="00685AB2"/>
    <w:rsid w:val="00685B13"/>
    <w:rsid w:val="00685C3C"/>
    <w:rsid w:val="00685C7E"/>
    <w:rsid w:val="00685CB8"/>
    <w:rsid w:val="00685ECA"/>
    <w:rsid w:val="00685F0C"/>
    <w:rsid w:val="00685F3B"/>
    <w:rsid w:val="00685F3D"/>
    <w:rsid w:val="00685F83"/>
    <w:rsid w:val="00686093"/>
    <w:rsid w:val="006860C8"/>
    <w:rsid w:val="00686133"/>
    <w:rsid w:val="006863B5"/>
    <w:rsid w:val="00686406"/>
    <w:rsid w:val="0068649D"/>
    <w:rsid w:val="00686578"/>
    <w:rsid w:val="0068658E"/>
    <w:rsid w:val="0068661F"/>
    <w:rsid w:val="006866C6"/>
    <w:rsid w:val="0068673D"/>
    <w:rsid w:val="006867C2"/>
    <w:rsid w:val="006868BA"/>
    <w:rsid w:val="006868DE"/>
    <w:rsid w:val="006869FB"/>
    <w:rsid w:val="00686A59"/>
    <w:rsid w:val="00686C45"/>
    <w:rsid w:val="00686D40"/>
    <w:rsid w:val="00686D43"/>
    <w:rsid w:val="00686D64"/>
    <w:rsid w:val="00686DCE"/>
    <w:rsid w:val="0068719E"/>
    <w:rsid w:val="0068722C"/>
    <w:rsid w:val="006872A5"/>
    <w:rsid w:val="006872D3"/>
    <w:rsid w:val="00687415"/>
    <w:rsid w:val="00687592"/>
    <w:rsid w:val="006875F7"/>
    <w:rsid w:val="0068769A"/>
    <w:rsid w:val="00687769"/>
    <w:rsid w:val="00687913"/>
    <w:rsid w:val="00687944"/>
    <w:rsid w:val="0068795B"/>
    <w:rsid w:val="00687A05"/>
    <w:rsid w:val="00687AE1"/>
    <w:rsid w:val="00687C1A"/>
    <w:rsid w:val="00687CC9"/>
    <w:rsid w:val="00687CDB"/>
    <w:rsid w:val="00687F57"/>
    <w:rsid w:val="00687F84"/>
    <w:rsid w:val="00690025"/>
    <w:rsid w:val="006900CC"/>
    <w:rsid w:val="00690107"/>
    <w:rsid w:val="006901B0"/>
    <w:rsid w:val="006901C0"/>
    <w:rsid w:val="0069030D"/>
    <w:rsid w:val="00690341"/>
    <w:rsid w:val="0069035D"/>
    <w:rsid w:val="006904A9"/>
    <w:rsid w:val="00690646"/>
    <w:rsid w:val="0069072C"/>
    <w:rsid w:val="00690804"/>
    <w:rsid w:val="006908B3"/>
    <w:rsid w:val="006908EF"/>
    <w:rsid w:val="00690A24"/>
    <w:rsid w:val="00690AF5"/>
    <w:rsid w:val="00690B6A"/>
    <w:rsid w:val="00690C67"/>
    <w:rsid w:val="00690CA0"/>
    <w:rsid w:val="00690D0E"/>
    <w:rsid w:val="00690E20"/>
    <w:rsid w:val="00690FFE"/>
    <w:rsid w:val="006910CB"/>
    <w:rsid w:val="006910CD"/>
    <w:rsid w:val="00691341"/>
    <w:rsid w:val="0069138A"/>
    <w:rsid w:val="00691396"/>
    <w:rsid w:val="006915D4"/>
    <w:rsid w:val="0069163C"/>
    <w:rsid w:val="0069184E"/>
    <w:rsid w:val="00691AF0"/>
    <w:rsid w:val="00691B98"/>
    <w:rsid w:val="00691C2B"/>
    <w:rsid w:val="00691C8B"/>
    <w:rsid w:val="00691CBA"/>
    <w:rsid w:val="00691CD7"/>
    <w:rsid w:val="00691D26"/>
    <w:rsid w:val="00691EC3"/>
    <w:rsid w:val="00692105"/>
    <w:rsid w:val="00692141"/>
    <w:rsid w:val="0069224C"/>
    <w:rsid w:val="006922BF"/>
    <w:rsid w:val="00692344"/>
    <w:rsid w:val="006923BF"/>
    <w:rsid w:val="006924F0"/>
    <w:rsid w:val="00692536"/>
    <w:rsid w:val="006925CB"/>
    <w:rsid w:val="0069275D"/>
    <w:rsid w:val="006927E3"/>
    <w:rsid w:val="006927E6"/>
    <w:rsid w:val="006927E7"/>
    <w:rsid w:val="006927FB"/>
    <w:rsid w:val="00692816"/>
    <w:rsid w:val="006928C1"/>
    <w:rsid w:val="006929C9"/>
    <w:rsid w:val="00692AEE"/>
    <w:rsid w:val="00692B96"/>
    <w:rsid w:val="00692BED"/>
    <w:rsid w:val="00692DE0"/>
    <w:rsid w:val="00692E7E"/>
    <w:rsid w:val="00692EDF"/>
    <w:rsid w:val="00692FBA"/>
    <w:rsid w:val="0069308A"/>
    <w:rsid w:val="00693161"/>
    <w:rsid w:val="006931AF"/>
    <w:rsid w:val="00693316"/>
    <w:rsid w:val="0069348F"/>
    <w:rsid w:val="00693527"/>
    <w:rsid w:val="00693528"/>
    <w:rsid w:val="006935DD"/>
    <w:rsid w:val="00693686"/>
    <w:rsid w:val="006937FE"/>
    <w:rsid w:val="0069386A"/>
    <w:rsid w:val="0069387B"/>
    <w:rsid w:val="00693CF7"/>
    <w:rsid w:val="00693DDF"/>
    <w:rsid w:val="00693F5E"/>
    <w:rsid w:val="00693FFE"/>
    <w:rsid w:val="00694017"/>
    <w:rsid w:val="00694051"/>
    <w:rsid w:val="00694099"/>
    <w:rsid w:val="0069419F"/>
    <w:rsid w:val="00694209"/>
    <w:rsid w:val="0069423C"/>
    <w:rsid w:val="006942B5"/>
    <w:rsid w:val="006944D9"/>
    <w:rsid w:val="006946DB"/>
    <w:rsid w:val="00694737"/>
    <w:rsid w:val="006947DC"/>
    <w:rsid w:val="006947FA"/>
    <w:rsid w:val="006948C9"/>
    <w:rsid w:val="0069493E"/>
    <w:rsid w:val="0069495C"/>
    <w:rsid w:val="006949C0"/>
    <w:rsid w:val="00694C10"/>
    <w:rsid w:val="00694C3B"/>
    <w:rsid w:val="00694EE7"/>
    <w:rsid w:val="00694F78"/>
    <w:rsid w:val="00694F85"/>
    <w:rsid w:val="00695070"/>
    <w:rsid w:val="0069509B"/>
    <w:rsid w:val="006950FE"/>
    <w:rsid w:val="006951EA"/>
    <w:rsid w:val="006953D5"/>
    <w:rsid w:val="0069541D"/>
    <w:rsid w:val="006954E3"/>
    <w:rsid w:val="00695596"/>
    <w:rsid w:val="00695724"/>
    <w:rsid w:val="00695783"/>
    <w:rsid w:val="00695791"/>
    <w:rsid w:val="006957B5"/>
    <w:rsid w:val="006957DC"/>
    <w:rsid w:val="0069591F"/>
    <w:rsid w:val="006959EC"/>
    <w:rsid w:val="00695C73"/>
    <w:rsid w:val="00695E18"/>
    <w:rsid w:val="00695EC0"/>
    <w:rsid w:val="00696287"/>
    <w:rsid w:val="006963D2"/>
    <w:rsid w:val="0069640E"/>
    <w:rsid w:val="00696447"/>
    <w:rsid w:val="0069649F"/>
    <w:rsid w:val="006965D2"/>
    <w:rsid w:val="006967FD"/>
    <w:rsid w:val="0069686C"/>
    <w:rsid w:val="006969B6"/>
    <w:rsid w:val="00696AEC"/>
    <w:rsid w:val="00696C18"/>
    <w:rsid w:val="00696C5A"/>
    <w:rsid w:val="00696D66"/>
    <w:rsid w:val="00696E7B"/>
    <w:rsid w:val="0069721A"/>
    <w:rsid w:val="006972DF"/>
    <w:rsid w:val="0069734B"/>
    <w:rsid w:val="00697354"/>
    <w:rsid w:val="006973A5"/>
    <w:rsid w:val="0069742D"/>
    <w:rsid w:val="00697442"/>
    <w:rsid w:val="00697553"/>
    <w:rsid w:val="006976D5"/>
    <w:rsid w:val="0069787D"/>
    <w:rsid w:val="006978EF"/>
    <w:rsid w:val="00697A8D"/>
    <w:rsid w:val="00697AC3"/>
    <w:rsid w:val="00697AFD"/>
    <w:rsid w:val="00697B26"/>
    <w:rsid w:val="00697B63"/>
    <w:rsid w:val="00697DA7"/>
    <w:rsid w:val="00697E6E"/>
    <w:rsid w:val="006A0036"/>
    <w:rsid w:val="006A0078"/>
    <w:rsid w:val="006A00DB"/>
    <w:rsid w:val="006A00F8"/>
    <w:rsid w:val="006A01C8"/>
    <w:rsid w:val="006A01EF"/>
    <w:rsid w:val="006A0391"/>
    <w:rsid w:val="006A0488"/>
    <w:rsid w:val="006A0505"/>
    <w:rsid w:val="006A0557"/>
    <w:rsid w:val="006A0694"/>
    <w:rsid w:val="006A081F"/>
    <w:rsid w:val="006A0878"/>
    <w:rsid w:val="006A088E"/>
    <w:rsid w:val="006A09C2"/>
    <w:rsid w:val="006A0C40"/>
    <w:rsid w:val="006A0D40"/>
    <w:rsid w:val="006A0F69"/>
    <w:rsid w:val="006A0F97"/>
    <w:rsid w:val="006A10C8"/>
    <w:rsid w:val="006A1146"/>
    <w:rsid w:val="006A12F0"/>
    <w:rsid w:val="006A13D8"/>
    <w:rsid w:val="006A1429"/>
    <w:rsid w:val="006A148D"/>
    <w:rsid w:val="006A159A"/>
    <w:rsid w:val="006A1708"/>
    <w:rsid w:val="006A1747"/>
    <w:rsid w:val="006A17A3"/>
    <w:rsid w:val="006A184A"/>
    <w:rsid w:val="006A187A"/>
    <w:rsid w:val="006A18B8"/>
    <w:rsid w:val="006A18D1"/>
    <w:rsid w:val="006A19FD"/>
    <w:rsid w:val="006A1A32"/>
    <w:rsid w:val="006A1A49"/>
    <w:rsid w:val="006A1D1B"/>
    <w:rsid w:val="006A1FE3"/>
    <w:rsid w:val="006A21FE"/>
    <w:rsid w:val="006A2229"/>
    <w:rsid w:val="006A2252"/>
    <w:rsid w:val="006A2274"/>
    <w:rsid w:val="006A237F"/>
    <w:rsid w:val="006A2462"/>
    <w:rsid w:val="006A253C"/>
    <w:rsid w:val="006A26B5"/>
    <w:rsid w:val="006A270E"/>
    <w:rsid w:val="006A2850"/>
    <w:rsid w:val="006A295F"/>
    <w:rsid w:val="006A2973"/>
    <w:rsid w:val="006A2A5C"/>
    <w:rsid w:val="006A2A5D"/>
    <w:rsid w:val="006A2B10"/>
    <w:rsid w:val="006A2DD7"/>
    <w:rsid w:val="006A2F31"/>
    <w:rsid w:val="006A2F4A"/>
    <w:rsid w:val="006A30A6"/>
    <w:rsid w:val="006A32C4"/>
    <w:rsid w:val="006A3382"/>
    <w:rsid w:val="006A3447"/>
    <w:rsid w:val="006A3589"/>
    <w:rsid w:val="006A3619"/>
    <w:rsid w:val="006A364E"/>
    <w:rsid w:val="006A37E6"/>
    <w:rsid w:val="006A381E"/>
    <w:rsid w:val="006A3920"/>
    <w:rsid w:val="006A3BE1"/>
    <w:rsid w:val="006A3C2A"/>
    <w:rsid w:val="006A3D56"/>
    <w:rsid w:val="006A3D8D"/>
    <w:rsid w:val="006A3F00"/>
    <w:rsid w:val="006A3F61"/>
    <w:rsid w:val="006A3F8A"/>
    <w:rsid w:val="006A3FED"/>
    <w:rsid w:val="006A4050"/>
    <w:rsid w:val="006A4196"/>
    <w:rsid w:val="006A42C5"/>
    <w:rsid w:val="006A43F2"/>
    <w:rsid w:val="006A4542"/>
    <w:rsid w:val="006A4619"/>
    <w:rsid w:val="006A48AE"/>
    <w:rsid w:val="006A49A2"/>
    <w:rsid w:val="006A4AAF"/>
    <w:rsid w:val="006A4B09"/>
    <w:rsid w:val="006A4E6B"/>
    <w:rsid w:val="006A4EE1"/>
    <w:rsid w:val="006A5077"/>
    <w:rsid w:val="006A510C"/>
    <w:rsid w:val="006A510E"/>
    <w:rsid w:val="006A511E"/>
    <w:rsid w:val="006A5123"/>
    <w:rsid w:val="006A51F0"/>
    <w:rsid w:val="006A522E"/>
    <w:rsid w:val="006A5266"/>
    <w:rsid w:val="006A5296"/>
    <w:rsid w:val="006A5438"/>
    <w:rsid w:val="006A5493"/>
    <w:rsid w:val="006A555F"/>
    <w:rsid w:val="006A564B"/>
    <w:rsid w:val="006A56C2"/>
    <w:rsid w:val="006A57B2"/>
    <w:rsid w:val="006A5B24"/>
    <w:rsid w:val="006A5BDE"/>
    <w:rsid w:val="006A5C2C"/>
    <w:rsid w:val="006A5D31"/>
    <w:rsid w:val="006A5EC7"/>
    <w:rsid w:val="006A5FD1"/>
    <w:rsid w:val="006A6159"/>
    <w:rsid w:val="006A6264"/>
    <w:rsid w:val="006A62B2"/>
    <w:rsid w:val="006A62E1"/>
    <w:rsid w:val="006A6324"/>
    <w:rsid w:val="006A63A1"/>
    <w:rsid w:val="006A63B0"/>
    <w:rsid w:val="006A6404"/>
    <w:rsid w:val="006A64B3"/>
    <w:rsid w:val="006A67D8"/>
    <w:rsid w:val="006A6927"/>
    <w:rsid w:val="006A69A6"/>
    <w:rsid w:val="006A6B23"/>
    <w:rsid w:val="006A6B35"/>
    <w:rsid w:val="006A6BA1"/>
    <w:rsid w:val="006A6BE5"/>
    <w:rsid w:val="006A6BFD"/>
    <w:rsid w:val="006A6D67"/>
    <w:rsid w:val="006A6DCF"/>
    <w:rsid w:val="006A6E72"/>
    <w:rsid w:val="006A6FF4"/>
    <w:rsid w:val="006A700E"/>
    <w:rsid w:val="006A702E"/>
    <w:rsid w:val="006A7090"/>
    <w:rsid w:val="006A70C4"/>
    <w:rsid w:val="006A712D"/>
    <w:rsid w:val="006A71BF"/>
    <w:rsid w:val="006A71DC"/>
    <w:rsid w:val="006A7386"/>
    <w:rsid w:val="006A73A9"/>
    <w:rsid w:val="006A73AE"/>
    <w:rsid w:val="006A7594"/>
    <w:rsid w:val="006A75FD"/>
    <w:rsid w:val="006A7726"/>
    <w:rsid w:val="006A78F5"/>
    <w:rsid w:val="006A791D"/>
    <w:rsid w:val="006A7A7A"/>
    <w:rsid w:val="006A7BD2"/>
    <w:rsid w:val="006A7C2D"/>
    <w:rsid w:val="006A7CAE"/>
    <w:rsid w:val="006A7CC6"/>
    <w:rsid w:val="006A7F18"/>
    <w:rsid w:val="006A7F73"/>
    <w:rsid w:val="006B0025"/>
    <w:rsid w:val="006B009D"/>
    <w:rsid w:val="006B00CB"/>
    <w:rsid w:val="006B00D9"/>
    <w:rsid w:val="006B0123"/>
    <w:rsid w:val="006B043C"/>
    <w:rsid w:val="006B0461"/>
    <w:rsid w:val="006B0474"/>
    <w:rsid w:val="006B0516"/>
    <w:rsid w:val="006B062A"/>
    <w:rsid w:val="006B086B"/>
    <w:rsid w:val="006B087D"/>
    <w:rsid w:val="006B0991"/>
    <w:rsid w:val="006B09E1"/>
    <w:rsid w:val="006B0A02"/>
    <w:rsid w:val="006B0A26"/>
    <w:rsid w:val="006B0A8F"/>
    <w:rsid w:val="006B0AE1"/>
    <w:rsid w:val="006B0B33"/>
    <w:rsid w:val="006B0BF1"/>
    <w:rsid w:val="006B0C1F"/>
    <w:rsid w:val="006B0D6F"/>
    <w:rsid w:val="006B0E28"/>
    <w:rsid w:val="006B0F1C"/>
    <w:rsid w:val="006B0F8D"/>
    <w:rsid w:val="006B104C"/>
    <w:rsid w:val="006B12CC"/>
    <w:rsid w:val="006B1376"/>
    <w:rsid w:val="006B141B"/>
    <w:rsid w:val="006B146C"/>
    <w:rsid w:val="006B15A6"/>
    <w:rsid w:val="006B1648"/>
    <w:rsid w:val="006B17DF"/>
    <w:rsid w:val="006B1801"/>
    <w:rsid w:val="006B186A"/>
    <w:rsid w:val="006B189B"/>
    <w:rsid w:val="006B18C5"/>
    <w:rsid w:val="006B1A21"/>
    <w:rsid w:val="006B1B6F"/>
    <w:rsid w:val="006B1B8D"/>
    <w:rsid w:val="006B1BFB"/>
    <w:rsid w:val="006B1C81"/>
    <w:rsid w:val="006B1CDC"/>
    <w:rsid w:val="006B1CDE"/>
    <w:rsid w:val="006B1D01"/>
    <w:rsid w:val="006B1D6E"/>
    <w:rsid w:val="006B1DF2"/>
    <w:rsid w:val="006B1E72"/>
    <w:rsid w:val="006B2043"/>
    <w:rsid w:val="006B219B"/>
    <w:rsid w:val="006B2350"/>
    <w:rsid w:val="006B23E6"/>
    <w:rsid w:val="006B246A"/>
    <w:rsid w:val="006B2474"/>
    <w:rsid w:val="006B25C8"/>
    <w:rsid w:val="006B25E7"/>
    <w:rsid w:val="006B2698"/>
    <w:rsid w:val="006B27F2"/>
    <w:rsid w:val="006B2947"/>
    <w:rsid w:val="006B2990"/>
    <w:rsid w:val="006B2A52"/>
    <w:rsid w:val="006B2A78"/>
    <w:rsid w:val="006B2B65"/>
    <w:rsid w:val="006B2DA8"/>
    <w:rsid w:val="006B2DAB"/>
    <w:rsid w:val="006B2E67"/>
    <w:rsid w:val="006B3152"/>
    <w:rsid w:val="006B32CD"/>
    <w:rsid w:val="006B3352"/>
    <w:rsid w:val="006B3381"/>
    <w:rsid w:val="006B349A"/>
    <w:rsid w:val="006B34A2"/>
    <w:rsid w:val="006B3568"/>
    <w:rsid w:val="006B36B1"/>
    <w:rsid w:val="006B3773"/>
    <w:rsid w:val="006B382F"/>
    <w:rsid w:val="006B390C"/>
    <w:rsid w:val="006B3A79"/>
    <w:rsid w:val="006B3B8F"/>
    <w:rsid w:val="006B3C60"/>
    <w:rsid w:val="006B3C84"/>
    <w:rsid w:val="006B3D51"/>
    <w:rsid w:val="006B3E87"/>
    <w:rsid w:val="006B3E9A"/>
    <w:rsid w:val="006B4011"/>
    <w:rsid w:val="006B40FA"/>
    <w:rsid w:val="006B41C3"/>
    <w:rsid w:val="006B4221"/>
    <w:rsid w:val="006B427F"/>
    <w:rsid w:val="006B4350"/>
    <w:rsid w:val="006B43A3"/>
    <w:rsid w:val="006B43DB"/>
    <w:rsid w:val="006B4445"/>
    <w:rsid w:val="006B44BA"/>
    <w:rsid w:val="006B4523"/>
    <w:rsid w:val="006B4550"/>
    <w:rsid w:val="006B45C4"/>
    <w:rsid w:val="006B469C"/>
    <w:rsid w:val="006B4707"/>
    <w:rsid w:val="006B4737"/>
    <w:rsid w:val="006B47F9"/>
    <w:rsid w:val="006B4810"/>
    <w:rsid w:val="006B48B3"/>
    <w:rsid w:val="006B48C7"/>
    <w:rsid w:val="006B4925"/>
    <w:rsid w:val="006B49C2"/>
    <w:rsid w:val="006B4A34"/>
    <w:rsid w:val="006B4A3E"/>
    <w:rsid w:val="006B4A87"/>
    <w:rsid w:val="006B4B3F"/>
    <w:rsid w:val="006B4BE9"/>
    <w:rsid w:val="006B4C3D"/>
    <w:rsid w:val="006B4C95"/>
    <w:rsid w:val="006B4CC5"/>
    <w:rsid w:val="006B4CF7"/>
    <w:rsid w:val="006B4D1A"/>
    <w:rsid w:val="006B4ECF"/>
    <w:rsid w:val="006B4F21"/>
    <w:rsid w:val="006B5042"/>
    <w:rsid w:val="006B5197"/>
    <w:rsid w:val="006B51A5"/>
    <w:rsid w:val="006B51E9"/>
    <w:rsid w:val="006B525E"/>
    <w:rsid w:val="006B53D3"/>
    <w:rsid w:val="006B5443"/>
    <w:rsid w:val="006B54DA"/>
    <w:rsid w:val="006B55BF"/>
    <w:rsid w:val="006B5652"/>
    <w:rsid w:val="006B5831"/>
    <w:rsid w:val="006B589E"/>
    <w:rsid w:val="006B5969"/>
    <w:rsid w:val="006B5B11"/>
    <w:rsid w:val="006B5B13"/>
    <w:rsid w:val="006B5D17"/>
    <w:rsid w:val="006B5F6E"/>
    <w:rsid w:val="006B5F81"/>
    <w:rsid w:val="006B5F9D"/>
    <w:rsid w:val="006B602C"/>
    <w:rsid w:val="006B60C6"/>
    <w:rsid w:val="006B61EE"/>
    <w:rsid w:val="006B6214"/>
    <w:rsid w:val="006B637D"/>
    <w:rsid w:val="006B638F"/>
    <w:rsid w:val="006B641A"/>
    <w:rsid w:val="006B67F5"/>
    <w:rsid w:val="006B6834"/>
    <w:rsid w:val="006B68E5"/>
    <w:rsid w:val="006B6A72"/>
    <w:rsid w:val="006B6ADF"/>
    <w:rsid w:val="006B6D1A"/>
    <w:rsid w:val="006B6D1E"/>
    <w:rsid w:val="006B6DC3"/>
    <w:rsid w:val="006B6E47"/>
    <w:rsid w:val="006B6F5E"/>
    <w:rsid w:val="006B6F6A"/>
    <w:rsid w:val="006B6F8B"/>
    <w:rsid w:val="006B70F4"/>
    <w:rsid w:val="006B71D0"/>
    <w:rsid w:val="006B71DC"/>
    <w:rsid w:val="006B7222"/>
    <w:rsid w:val="006B7387"/>
    <w:rsid w:val="006B73F4"/>
    <w:rsid w:val="006B7403"/>
    <w:rsid w:val="006B74DA"/>
    <w:rsid w:val="006B7606"/>
    <w:rsid w:val="006B773E"/>
    <w:rsid w:val="006B7813"/>
    <w:rsid w:val="006B78D0"/>
    <w:rsid w:val="006B7920"/>
    <w:rsid w:val="006B79B6"/>
    <w:rsid w:val="006B7B32"/>
    <w:rsid w:val="006B7B4B"/>
    <w:rsid w:val="006B7B8D"/>
    <w:rsid w:val="006B7D19"/>
    <w:rsid w:val="006B7DA6"/>
    <w:rsid w:val="006B7EE3"/>
    <w:rsid w:val="006B7F0E"/>
    <w:rsid w:val="006C01D6"/>
    <w:rsid w:val="006C0262"/>
    <w:rsid w:val="006C02B0"/>
    <w:rsid w:val="006C02C2"/>
    <w:rsid w:val="006C02C5"/>
    <w:rsid w:val="006C0419"/>
    <w:rsid w:val="006C0566"/>
    <w:rsid w:val="006C056E"/>
    <w:rsid w:val="006C05D7"/>
    <w:rsid w:val="006C06F0"/>
    <w:rsid w:val="006C0712"/>
    <w:rsid w:val="006C0721"/>
    <w:rsid w:val="006C0724"/>
    <w:rsid w:val="006C0755"/>
    <w:rsid w:val="006C07CE"/>
    <w:rsid w:val="006C0818"/>
    <w:rsid w:val="006C085A"/>
    <w:rsid w:val="006C08ED"/>
    <w:rsid w:val="006C0924"/>
    <w:rsid w:val="006C0B0F"/>
    <w:rsid w:val="006C0EC6"/>
    <w:rsid w:val="006C0F50"/>
    <w:rsid w:val="006C106A"/>
    <w:rsid w:val="006C11BF"/>
    <w:rsid w:val="006C11E5"/>
    <w:rsid w:val="006C11E6"/>
    <w:rsid w:val="006C13CB"/>
    <w:rsid w:val="006C13E4"/>
    <w:rsid w:val="006C1434"/>
    <w:rsid w:val="006C1494"/>
    <w:rsid w:val="006C1756"/>
    <w:rsid w:val="006C1845"/>
    <w:rsid w:val="006C1892"/>
    <w:rsid w:val="006C1908"/>
    <w:rsid w:val="006C1A58"/>
    <w:rsid w:val="006C1A60"/>
    <w:rsid w:val="006C1AF3"/>
    <w:rsid w:val="006C1CF9"/>
    <w:rsid w:val="006C1D7A"/>
    <w:rsid w:val="006C1DF5"/>
    <w:rsid w:val="006C2042"/>
    <w:rsid w:val="006C205F"/>
    <w:rsid w:val="006C2199"/>
    <w:rsid w:val="006C2240"/>
    <w:rsid w:val="006C22AE"/>
    <w:rsid w:val="006C2372"/>
    <w:rsid w:val="006C2422"/>
    <w:rsid w:val="006C2543"/>
    <w:rsid w:val="006C2589"/>
    <w:rsid w:val="006C26A4"/>
    <w:rsid w:val="006C2801"/>
    <w:rsid w:val="006C2806"/>
    <w:rsid w:val="006C2807"/>
    <w:rsid w:val="006C28F5"/>
    <w:rsid w:val="006C2943"/>
    <w:rsid w:val="006C29AA"/>
    <w:rsid w:val="006C29E7"/>
    <w:rsid w:val="006C2AF1"/>
    <w:rsid w:val="006C2B54"/>
    <w:rsid w:val="006C2BED"/>
    <w:rsid w:val="006C2C83"/>
    <w:rsid w:val="006C2D0D"/>
    <w:rsid w:val="006C2E01"/>
    <w:rsid w:val="006C2FA7"/>
    <w:rsid w:val="006C2FEF"/>
    <w:rsid w:val="006C300B"/>
    <w:rsid w:val="006C30D8"/>
    <w:rsid w:val="006C30E4"/>
    <w:rsid w:val="006C3230"/>
    <w:rsid w:val="006C332B"/>
    <w:rsid w:val="006C333A"/>
    <w:rsid w:val="006C3403"/>
    <w:rsid w:val="006C3447"/>
    <w:rsid w:val="006C3553"/>
    <w:rsid w:val="006C370E"/>
    <w:rsid w:val="006C38B7"/>
    <w:rsid w:val="006C3914"/>
    <w:rsid w:val="006C399F"/>
    <w:rsid w:val="006C3A0B"/>
    <w:rsid w:val="006C3B92"/>
    <w:rsid w:val="006C3E1F"/>
    <w:rsid w:val="006C3E4A"/>
    <w:rsid w:val="006C3E6A"/>
    <w:rsid w:val="006C3F57"/>
    <w:rsid w:val="006C4067"/>
    <w:rsid w:val="006C4432"/>
    <w:rsid w:val="006C4594"/>
    <w:rsid w:val="006C45FD"/>
    <w:rsid w:val="006C4637"/>
    <w:rsid w:val="006C46E6"/>
    <w:rsid w:val="006C4720"/>
    <w:rsid w:val="006C4809"/>
    <w:rsid w:val="006C4A90"/>
    <w:rsid w:val="006C4AA7"/>
    <w:rsid w:val="006C4B7F"/>
    <w:rsid w:val="006C4B9B"/>
    <w:rsid w:val="006C4D10"/>
    <w:rsid w:val="006C4D4C"/>
    <w:rsid w:val="006C4E71"/>
    <w:rsid w:val="006C4FE9"/>
    <w:rsid w:val="006C5081"/>
    <w:rsid w:val="006C50BA"/>
    <w:rsid w:val="006C50C6"/>
    <w:rsid w:val="006C518F"/>
    <w:rsid w:val="006C51F9"/>
    <w:rsid w:val="006C5249"/>
    <w:rsid w:val="006C52EF"/>
    <w:rsid w:val="006C537B"/>
    <w:rsid w:val="006C53F6"/>
    <w:rsid w:val="006C5485"/>
    <w:rsid w:val="006C562F"/>
    <w:rsid w:val="006C5675"/>
    <w:rsid w:val="006C5692"/>
    <w:rsid w:val="006C56D2"/>
    <w:rsid w:val="006C574C"/>
    <w:rsid w:val="006C57BC"/>
    <w:rsid w:val="006C5853"/>
    <w:rsid w:val="006C59AE"/>
    <w:rsid w:val="006C5D0E"/>
    <w:rsid w:val="006C5D6D"/>
    <w:rsid w:val="006C5D87"/>
    <w:rsid w:val="006C5E2F"/>
    <w:rsid w:val="006C5E8A"/>
    <w:rsid w:val="006C6065"/>
    <w:rsid w:val="006C60C0"/>
    <w:rsid w:val="006C6197"/>
    <w:rsid w:val="006C626B"/>
    <w:rsid w:val="006C62DB"/>
    <w:rsid w:val="006C62EB"/>
    <w:rsid w:val="006C6367"/>
    <w:rsid w:val="006C63A2"/>
    <w:rsid w:val="006C6463"/>
    <w:rsid w:val="006C6603"/>
    <w:rsid w:val="006C668D"/>
    <w:rsid w:val="006C66A3"/>
    <w:rsid w:val="006C66B3"/>
    <w:rsid w:val="006C66ED"/>
    <w:rsid w:val="006C6752"/>
    <w:rsid w:val="006C6845"/>
    <w:rsid w:val="006C686C"/>
    <w:rsid w:val="006C687D"/>
    <w:rsid w:val="006C690F"/>
    <w:rsid w:val="006C699E"/>
    <w:rsid w:val="006C6ADA"/>
    <w:rsid w:val="006C6B84"/>
    <w:rsid w:val="006C6B91"/>
    <w:rsid w:val="006C6CF1"/>
    <w:rsid w:val="006C6ECF"/>
    <w:rsid w:val="006C7078"/>
    <w:rsid w:val="006C70A4"/>
    <w:rsid w:val="006C7149"/>
    <w:rsid w:val="006C7205"/>
    <w:rsid w:val="006C7409"/>
    <w:rsid w:val="006C7650"/>
    <w:rsid w:val="006C769E"/>
    <w:rsid w:val="006C7885"/>
    <w:rsid w:val="006C78C5"/>
    <w:rsid w:val="006C79CB"/>
    <w:rsid w:val="006C7B43"/>
    <w:rsid w:val="006C7B67"/>
    <w:rsid w:val="006C7D61"/>
    <w:rsid w:val="006C7EA7"/>
    <w:rsid w:val="006C7EE5"/>
    <w:rsid w:val="006C7F5B"/>
    <w:rsid w:val="006D0059"/>
    <w:rsid w:val="006D03D7"/>
    <w:rsid w:val="006D04A3"/>
    <w:rsid w:val="006D0739"/>
    <w:rsid w:val="006D074C"/>
    <w:rsid w:val="006D0757"/>
    <w:rsid w:val="006D07D7"/>
    <w:rsid w:val="006D07E4"/>
    <w:rsid w:val="006D0918"/>
    <w:rsid w:val="006D09B8"/>
    <w:rsid w:val="006D09C8"/>
    <w:rsid w:val="006D0A2C"/>
    <w:rsid w:val="006D0B52"/>
    <w:rsid w:val="006D0BD5"/>
    <w:rsid w:val="006D0D68"/>
    <w:rsid w:val="006D0E70"/>
    <w:rsid w:val="006D0E82"/>
    <w:rsid w:val="006D0FA2"/>
    <w:rsid w:val="006D1131"/>
    <w:rsid w:val="006D118E"/>
    <w:rsid w:val="006D133D"/>
    <w:rsid w:val="006D1489"/>
    <w:rsid w:val="006D1491"/>
    <w:rsid w:val="006D176D"/>
    <w:rsid w:val="006D17E7"/>
    <w:rsid w:val="006D17E8"/>
    <w:rsid w:val="006D181B"/>
    <w:rsid w:val="006D18E4"/>
    <w:rsid w:val="006D1916"/>
    <w:rsid w:val="006D19C4"/>
    <w:rsid w:val="006D1B11"/>
    <w:rsid w:val="006D1B76"/>
    <w:rsid w:val="006D1BE0"/>
    <w:rsid w:val="006D1C4B"/>
    <w:rsid w:val="006D1D32"/>
    <w:rsid w:val="006D1D37"/>
    <w:rsid w:val="006D1DF7"/>
    <w:rsid w:val="006D1E96"/>
    <w:rsid w:val="006D1FEB"/>
    <w:rsid w:val="006D2131"/>
    <w:rsid w:val="006D21A6"/>
    <w:rsid w:val="006D23F5"/>
    <w:rsid w:val="006D2428"/>
    <w:rsid w:val="006D2541"/>
    <w:rsid w:val="006D2686"/>
    <w:rsid w:val="006D276D"/>
    <w:rsid w:val="006D2797"/>
    <w:rsid w:val="006D2BA5"/>
    <w:rsid w:val="006D2BB7"/>
    <w:rsid w:val="006D2BC1"/>
    <w:rsid w:val="006D2C71"/>
    <w:rsid w:val="006D2D11"/>
    <w:rsid w:val="006D2D14"/>
    <w:rsid w:val="006D2D86"/>
    <w:rsid w:val="006D2E59"/>
    <w:rsid w:val="006D2EF9"/>
    <w:rsid w:val="006D2F32"/>
    <w:rsid w:val="006D2F5C"/>
    <w:rsid w:val="006D3002"/>
    <w:rsid w:val="006D3052"/>
    <w:rsid w:val="006D308A"/>
    <w:rsid w:val="006D32BE"/>
    <w:rsid w:val="006D32C5"/>
    <w:rsid w:val="006D33CB"/>
    <w:rsid w:val="006D34A3"/>
    <w:rsid w:val="006D34E1"/>
    <w:rsid w:val="006D34E2"/>
    <w:rsid w:val="006D34EF"/>
    <w:rsid w:val="006D3514"/>
    <w:rsid w:val="006D3555"/>
    <w:rsid w:val="006D36A6"/>
    <w:rsid w:val="006D3742"/>
    <w:rsid w:val="006D3768"/>
    <w:rsid w:val="006D37B1"/>
    <w:rsid w:val="006D3A08"/>
    <w:rsid w:val="006D3BAE"/>
    <w:rsid w:val="006D3C45"/>
    <w:rsid w:val="006D3CAB"/>
    <w:rsid w:val="006D3F1B"/>
    <w:rsid w:val="006D40FB"/>
    <w:rsid w:val="006D410E"/>
    <w:rsid w:val="006D4351"/>
    <w:rsid w:val="006D43AA"/>
    <w:rsid w:val="006D4436"/>
    <w:rsid w:val="006D44AA"/>
    <w:rsid w:val="006D45A8"/>
    <w:rsid w:val="006D4868"/>
    <w:rsid w:val="006D48E1"/>
    <w:rsid w:val="006D49F8"/>
    <w:rsid w:val="006D4A3B"/>
    <w:rsid w:val="006D4A4D"/>
    <w:rsid w:val="006D4A98"/>
    <w:rsid w:val="006D4AF0"/>
    <w:rsid w:val="006D4B27"/>
    <w:rsid w:val="006D4D3F"/>
    <w:rsid w:val="006D4D83"/>
    <w:rsid w:val="006D4F29"/>
    <w:rsid w:val="006D4FD6"/>
    <w:rsid w:val="006D4FE2"/>
    <w:rsid w:val="006D50EF"/>
    <w:rsid w:val="006D5200"/>
    <w:rsid w:val="006D52B1"/>
    <w:rsid w:val="006D5332"/>
    <w:rsid w:val="006D537F"/>
    <w:rsid w:val="006D5414"/>
    <w:rsid w:val="006D5562"/>
    <w:rsid w:val="006D5584"/>
    <w:rsid w:val="006D5588"/>
    <w:rsid w:val="006D55B3"/>
    <w:rsid w:val="006D562A"/>
    <w:rsid w:val="006D56B4"/>
    <w:rsid w:val="006D57A0"/>
    <w:rsid w:val="006D57C1"/>
    <w:rsid w:val="006D5824"/>
    <w:rsid w:val="006D586F"/>
    <w:rsid w:val="006D594D"/>
    <w:rsid w:val="006D59B1"/>
    <w:rsid w:val="006D5A20"/>
    <w:rsid w:val="006D5B22"/>
    <w:rsid w:val="006D5B2A"/>
    <w:rsid w:val="006D5C21"/>
    <w:rsid w:val="006D5DAA"/>
    <w:rsid w:val="006D5FC4"/>
    <w:rsid w:val="006D6017"/>
    <w:rsid w:val="006D608D"/>
    <w:rsid w:val="006D61AD"/>
    <w:rsid w:val="006D61D6"/>
    <w:rsid w:val="006D647B"/>
    <w:rsid w:val="006D6513"/>
    <w:rsid w:val="006D6520"/>
    <w:rsid w:val="006D65C9"/>
    <w:rsid w:val="006D669E"/>
    <w:rsid w:val="006D671E"/>
    <w:rsid w:val="006D67C8"/>
    <w:rsid w:val="006D68BC"/>
    <w:rsid w:val="006D68C0"/>
    <w:rsid w:val="006D6ADD"/>
    <w:rsid w:val="006D6D0B"/>
    <w:rsid w:val="006D6D17"/>
    <w:rsid w:val="006D6D1F"/>
    <w:rsid w:val="006D6D8C"/>
    <w:rsid w:val="006D6DBC"/>
    <w:rsid w:val="006D6E8C"/>
    <w:rsid w:val="006D6F02"/>
    <w:rsid w:val="006D6F13"/>
    <w:rsid w:val="006D70CD"/>
    <w:rsid w:val="006D7166"/>
    <w:rsid w:val="006D7271"/>
    <w:rsid w:val="006D7347"/>
    <w:rsid w:val="006D7628"/>
    <w:rsid w:val="006D768E"/>
    <w:rsid w:val="006D7A1E"/>
    <w:rsid w:val="006D7AE4"/>
    <w:rsid w:val="006D7B0A"/>
    <w:rsid w:val="006D7B60"/>
    <w:rsid w:val="006D7BB3"/>
    <w:rsid w:val="006D7BB5"/>
    <w:rsid w:val="006D7C33"/>
    <w:rsid w:val="006D7C92"/>
    <w:rsid w:val="006D7D4C"/>
    <w:rsid w:val="006D7D55"/>
    <w:rsid w:val="006D7DF7"/>
    <w:rsid w:val="006D7E57"/>
    <w:rsid w:val="006D7E8F"/>
    <w:rsid w:val="006D7F00"/>
    <w:rsid w:val="006D7F93"/>
    <w:rsid w:val="006D7FD3"/>
    <w:rsid w:val="006E04D6"/>
    <w:rsid w:val="006E0513"/>
    <w:rsid w:val="006E064A"/>
    <w:rsid w:val="006E06C6"/>
    <w:rsid w:val="006E06E3"/>
    <w:rsid w:val="006E07A5"/>
    <w:rsid w:val="006E0867"/>
    <w:rsid w:val="006E08A7"/>
    <w:rsid w:val="006E0A08"/>
    <w:rsid w:val="006E0AAF"/>
    <w:rsid w:val="006E0B23"/>
    <w:rsid w:val="006E0B7D"/>
    <w:rsid w:val="006E0D3F"/>
    <w:rsid w:val="006E0D9B"/>
    <w:rsid w:val="006E0E28"/>
    <w:rsid w:val="006E0EC5"/>
    <w:rsid w:val="006E0FEF"/>
    <w:rsid w:val="006E1022"/>
    <w:rsid w:val="006E1061"/>
    <w:rsid w:val="006E10C9"/>
    <w:rsid w:val="006E119A"/>
    <w:rsid w:val="006E11B2"/>
    <w:rsid w:val="006E12FC"/>
    <w:rsid w:val="006E137F"/>
    <w:rsid w:val="006E1558"/>
    <w:rsid w:val="006E15CB"/>
    <w:rsid w:val="006E1679"/>
    <w:rsid w:val="006E168D"/>
    <w:rsid w:val="006E184E"/>
    <w:rsid w:val="006E1895"/>
    <w:rsid w:val="006E1D92"/>
    <w:rsid w:val="006E1FDC"/>
    <w:rsid w:val="006E2004"/>
    <w:rsid w:val="006E2049"/>
    <w:rsid w:val="006E2104"/>
    <w:rsid w:val="006E215F"/>
    <w:rsid w:val="006E21D0"/>
    <w:rsid w:val="006E21FC"/>
    <w:rsid w:val="006E2278"/>
    <w:rsid w:val="006E23F4"/>
    <w:rsid w:val="006E2518"/>
    <w:rsid w:val="006E260A"/>
    <w:rsid w:val="006E2867"/>
    <w:rsid w:val="006E29BC"/>
    <w:rsid w:val="006E2AC6"/>
    <w:rsid w:val="006E2B60"/>
    <w:rsid w:val="006E2BAE"/>
    <w:rsid w:val="006E2D11"/>
    <w:rsid w:val="006E2D60"/>
    <w:rsid w:val="006E2EE0"/>
    <w:rsid w:val="006E2FBD"/>
    <w:rsid w:val="006E2FC7"/>
    <w:rsid w:val="006E3077"/>
    <w:rsid w:val="006E3098"/>
    <w:rsid w:val="006E331C"/>
    <w:rsid w:val="006E35E8"/>
    <w:rsid w:val="006E3720"/>
    <w:rsid w:val="006E389F"/>
    <w:rsid w:val="006E3942"/>
    <w:rsid w:val="006E3AA5"/>
    <w:rsid w:val="006E3B22"/>
    <w:rsid w:val="006E3BDE"/>
    <w:rsid w:val="006E3C8A"/>
    <w:rsid w:val="006E3DEE"/>
    <w:rsid w:val="006E3F4D"/>
    <w:rsid w:val="006E4012"/>
    <w:rsid w:val="006E406B"/>
    <w:rsid w:val="006E40FB"/>
    <w:rsid w:val="006E424A"/>
    <w:rsid w:val="006E435E"/>
    <w:rsid w:val="006E44CB"/>
    <w:rsid w:val="006E44D5"/>
    <w:rsid w:val="006E45C6"/>
    <w:rsid w:val="006E4967"/>
    <w:rsid w:val="006E4987"/>
    <w:rsid w:val="006E4A0A"/>
    <w:rsid w:val="006E4A0D"/>
    <w:rsid w:val="006E4BB0"/>
    <w:rsid w:val="006E4DCF"/>
    <w:rsid w:val="006E4E6E"/>
    <w:rsid w:val="006E4EC4"/>
    <w:rsid w:val="006E4FB1"/>
    <w:rsid w:val="006E5115"/>
    <w:rsid w:val="006E5159"/>
    <w:rsid w:val="006E5306"/>
    <w:rsid w:val="006E536B"/>
    <w:rsid w:val="006E53E0"/>
    <w:rsid w:val="006E5410"/>
    <w:rsid w:val="006E5481"/>
    <w:rsid w:val="006E5488"/>
    <w:rsid w:val="006E554B"/>
    <w:rsid w:val="006E561C"/>
    <w:rsid w:val="006E577A"/>
    <w:rsid w:val="006E57CF"/>
    <w:rsid w:val="006E5803"/>
    <w:rsid w:val="006E5873"/>
    <w:rsid w:val="006E5A40"/>
    <w:rsid w:val="006E5A4F"/>
    <w:rsid w:val="006E5A6C"/>
    <w:rsid w:val="006E5B41"/>
    <w:rsid w:val="006E5E2D"/>
    <w:rsid w:val="006E5EC0"/>
    <w:rsid w:val="006E5F18"/>
    <w:rsid w:val="006E606B"/>
    <w:rsid w:val="006E60D6"/>
    <w:rsid w:val="006E6402"/>
    <w:rsid w:val="006E6408"/>
    <w:rsid w:val="006E65EC"/>
    <w:rsid w:val="006E66E5"/>
    <w:rsid w:val="006E6793"/>
    <w:rsid w:val="006E686C"/>
    <w:rsid w:val="006E68AA"/>
    <w:rsid w:val="006E68BE"/>
    <w:rsid w:val="006E6991"/>
    <w:rsid w:val="006E69F4"/>
    <w:rsid w:val="006E6A68"/>
    <w:rsid w:val="006E6AC7"/>
    <w:rsid w:val="006E6BCD"/>
    <w:rsid w:val="006E6BEB"/>
    <w:rsid w:val="006E6D7E"/>
    <w:rsid w:val="006E6E40"/>
    <w:rsid w:val="006E6E61"/>
    <w:rsid w:val="006E6FC6"/>
    <w:rsid w:val="006E7099"/>
    <w:rsid w:val="006E70AF"/>
    <w:rsid w:val="006E70B2"/>
    <w:rsid w:val="006E7169"/>
    <w:rsid w:val="006E722B"/>
    <w:rsid w:val="006E7289"/>
    <w:rsid w:val="006E7301"/>
    <w:rsid w:val="006E730D"/>
    <w:rsid w:val="006E738E"/>
    <w:rsid w:val="006E786B"/>
    <w:rsid w:val="006E796F"/>
    <w:rsid w:val="006E7B72"/>
    <w:rsid w:val="006E7BE5"/>
    <w:rsid w:val="006E7E29"/>
    <w:rsid w:val="006E7ED4"/>
    <w:rsid w:val="006E7EE7"/>
    <w:rsid w:val="006E7F46"/>
    <w:rsid w:val="006E7FAA"/>
    <w:rsid w:val="006E7FC6"/>
    <w:rsid w:val="006F00C8"/>
    <w:rsid w:val="006F019E"/>
    <w:rsid w:val="006F02A4"/>
    <w:rsid w:val="006F02E5"/>
    <w:rsid w:val="006F0331"/>
    <w:rsid w:val="006F034F"/>
    <w:rsid w:val="006F03BE"/>
    <w:rsid w:val="006F04B5"/>
    <w:rsid w:val="006F0539"/>
    <w:rsid w:val="006F057E"/>
    <w:rsid w:val="006F06BD"/>
    <w:rsid w:val="006F0798"/>
    <w:rsid w:val="006F08F2"/>
    <w:rsid w:val="006F09DD"/>
    <w:rsid w:val="006F0A84"/>
    <w:rsid w:val="006F0AC5"/>
    <w:rsid w:val="006F0AF6"/>
    <w:rsid w:val="006F0EE5"/>
    <w:rsid w:val="006F0F2C"/>
    <w:rsid w:val="006F1209"/>
    <w:rsid w:val="006F1369"/>
    <w:rsid w:val="006F141D"/>
    <w:rsid w:val="006F1541"/>
    <w:rsid w:val="006F15B2"/>
    <w:rsid w:val="006F15D2"/>
    <w:rsid w:val="006F1640"/>
    <w:rsid w:val="006F1964"/>
    <w:rsid w:val="006F19C1"/>
    <w:rsid w:val="006F19D0"/>
    <w:rsid w:val="006F1A59"/>
    <w:rsid w:val="006F1C2B"/>
    <w:rsid w:val="006F1CC0"/>
    <w:rsid w:val="006F1D51"/>
    <w:rsid w:val="006F1D6F"/>
    <w:rsid w:val="006F1D78"/>
    <w:rsid w:val="006F1DC6"/>
    <w:rsid w:val="006F1DE8"/>
    <w:rsid w:val="006F1F04"/>
    <w:rsid w:val="006F1F6C"/>
    <w:rsid w:val="006F20B2"/>
    <w:rsid w:val="006F223E"/>
    <w:rsid w:val="006F2617"/>
    <w:rsid w:val="006F2676"/>
    <w:rsid w:val="006F2710"/>
    <w:rsid w:val="006F297A"/>
    <w:rsid w:val="006F2A68"/>
    <w:rsid w:val="006F2A88"/>
    <w:rsid w:val="006F2AA4"/>
    <w:rsid w:val="006F2AFB"/>
    <w:rsid w:val="006F2C93"/>
    <w:rsid w:val="006F2FCD"/>
    <w:rsid w:val="006F2FE3"/>
    <w:rsid w:val="006F3247"/>
    <w:rsid w:val="006F32B0"/>
    <w:rsid w:val="006F3388"/>
    <w:rsid w:val="006F33A8"/>
    <w:rsid w:val="006F33CB"/>
    <w:rsid w:val="006F3563"/>
    <w:rsid w:val="006F36E8"/>
    <w:rsid w:val="006F38C5"/>
    <w:rsid w:val="006F38C8"/>
    <w:rsid w:val="006F3A29"/>
    <w:rsid w:val="006F3A31"/>
    <w:rsid w:val="006F3B08"/>
    <w:rsid w:val="006F3B74"/>
    <w:rsid w:val="006F3BFD"/>
    <w:rsid w:val="006F3C9F"/>
    <w:rsid w:val="006F3E26"/>
    <w:rsid w:val="006F404B"/>
    <w:rsid w:val="006F41F6"/>
    <w:rsid w:val="006F4218"/>
    <w:rsid w:val="006F4393"/>
    <w:rsid w:val="006F440A"/>
    <w:rsid w:val="006F443D"/>
    <w:rsid w:val="006F445D"/>
    <w:rsid w:val="006F4466"/>
    <w:rsid w:val="006F4573"/>
    <w:rsid w:val="006F46B6"/>
    <w:rsid w:val="006F478B"/>
    <w:rsid w:val="006F4A29"/>
    <w:rsid w:val="006F4A99"/>
    <w:rsid w:val="006F4A9F"/>
    <w:rsid w:val="006F4B62"/>
    <w:rsid w:val="006F4BD5"/>
    <w:rsid w:val="006F4C1C"/>
    <w:rsid w:val="006F4C71"/>
    <w:rsid w:val="006F4D12"/>
    <w:rsid w:val="006F4E1A"/>
    <w:rsid w:val="006F4E4C"/>
    <w:rsid w:val="006F4F53"/>
    <w:rsid w:val="006F509D"/>
    <w:rsid w:val="006F5197"/>
    <w:rsid w:val="006F51D0"/>
    <w:rsid w:val="006F52AD"/>
    <w:rsid w:val="006F533A"/>
    <w:rsid w:val="006F53F7"/>
    <w:rsid w:val="006F545C"/>
    <w:rsid w:val="006F555E"/>
    <w:rsid w:val="006F56E1"/>
    <w:rsid w:val="006F56F9"/>
    <w:rsid w:val="006F5881"/>
    <w:rsid w:val="006F5980"/>
    <w:rsid w:val="006F5B33"/>
    <w:rsid w:val="006F5B8A"/>
    <w:rsid w:val="006F5BD1"/>
    <w:rsid w:val="006F5FEC"/>
    <w:rsid w:val="006F6004"/>
    <w:rsid w:val="006F624A"/>
    <w:rsid w:val="006F627F"/>
    <w:rsid w:val="006F629C"/>
    <w:rsid w:val="006F629D"/>
    <w:rsid w:val="006F631C"/>
    <w:rsid w:val="006F64EE"/>
    <w:rsid w:val="006F655A"/>
    <w:rsid w:val="006F68A2"/>
    <w:rsid w:val="006F6A74"/>
    <w:rsid w:val="006F6BC3"/>
    <w:rsid w:val="006F6C99"/>
    <w:rsid w:val="006F6D0D"/>
    <w:rsid w:val="006F6F63"/>
    <w:rsid w:val="006F7001"/>
    <w:rsid w:val="006F7142"/>
    <w:rsid w:val="006F725C"/>
    <w:rsid w:val="006F750C"/>
    <w:rsid w:val="006F7540"/>
    <w:rsid w:val="006F7561"/>
    <w:rsid w:val="006F774E"/>
    <w:rsid w:val="006F783C"/>
    <w:rsid w:val="006F7855"/>
    <w:rsid w:val="006F79B2"/>
    <w:rsid w:val="006F7A2C"/>
    <w:rsid w:val="006F7A37"/>
    <w:rsid w:val="006F7ADD"/>
    <w:rsid w:val="006F7B51"/>
    <w:rsid w:val="006F7C82"/>
    <w:rsid w:val="006F7DFD"/>
    <w:rsid w:val="006F7E53"/>
    <w:rsid w:val="006F7ECC"/>
    <w:rsid w:val="006F7F0A"/>
    <w:rsid w:val="0070003A"/>
    <w:rsid w:val="00700066"/>
    <w:rsid w:val="007000A4"/>
    <w:rsid w:val="00700127"/>
    <w:rsid w:val="007001ED"/>
    <w:rsid w:val="007002C6"/>
    <w:rsid w:val="007004CE"/>
    <w:rsid w:val="007004D7"/>
    <w:rsid w:val="00700592"/>
    <w:rsid w:val="007005AD"/>
    <w:rsid w:val="0070060B"/>
    <w:rsid w:val="007006E7"/>
    <w:rsid w:val="007009CD"/>
    <w:rsid w:val="00700A1A"/>
    <w:rsid w:val="00700A27"/>
    <w:rsid w:val="00700AB6"/>
    <w:rsid w:val="00700B15"/>
    <w:rsid w:val="00700C0B"/>
    <w:rsid w:val="00700C37"/>
    <w:rsid w:val="00700C91"/>
    <w:rsid w:val="00700CAA"/>
    <w:rsid w:val="00700DA0"/>
    <w:rsid w:val="00700E0C"/>
    <w:rsid w:val="00700FBC"/>
    <w:rsid w:val="00701064"/>
    <w:rsid w:val="00701514"/>
    <w:rsid w:val="00701625"/>
    <w:rsid w:val="00701674"/>
    <w:rsid w:val="007018FE"/>
    <w:rsid w:val="007019E7"/>
    <w:rsid w:val="00701A44"/>
    <w:rsid w:val="00701A4C"/>
    <w:rsid w:val="00701A4D"/>
    <w:rsid w:val="00701B5E"/>
    <w:rsid w:val="00701BA9"/>
    <w:rsid w:val="00701D3A"/>
    <w:rsid w:val="00701DB9"/>
    <w:rsid w:val="00701E7F"/>
    <w:rsid w:val="00701FB5"/>
    <w:rsid w:val="007020F7"/>
    <w:rsid w:val="00702164"/>
    <w:rsid w:val="00702304"/>
    <w:rsid w:val="00702366"/>
    <w:rsid w:val="007023E2"/>
    <w:rsid w:val="007023FD"/>
    <w:rsid w:val="00702424"/>
    <w:rsid w:val="007024BE"/>
    <w:rsid w:val="00702919"/>
    <w:rsid w:val="007029CF"/>
    <w:rsid w:val="00702AF0"/>
    <w:rsid w:val="00702B48"/>
    <w:rsid w:val="00702FC5"/>
    <w:rsid w:val="00703095"/>
    <w:rsid w:val="007030A5"/>
    <w:rsid w:val="0070310F"/>
    <w:rsid w:val="00703295"/>
    <w:rsid w:val="0070337D"/>
    <w:rsid w:val="007033A8"/>
    <w:rsid w:val="007033BD"/>
    <w:rsid w:val="00703648"/>
    <w:rsid w:val="0070366C"/>
    <w:rsid w:val="0070386A"/>
    <w:rsid w:val="007038BC"/>
    <w:rsid w:val="007038C6"/>
    <w:rsid w:val="007038CC"/>
    <w:rsid w:val="007038CD"/>
    <w:rsid w:val="007038D6"/>
    <w:rsid w:val="00703A1C"/>
    <w:rsid w:val="00703AC6"/>
    <w:rsid w:val="00703BBB"/>
    <w:rsid w:val="00703D02"/>
    <w:rsid w:val="00703DAC"/>
    <w:rsid w:val="00703DB2"/>
    <w:rsid w:val="00703E15"/>
    <w:rsid w:val="00703E27"/>
    <w:rsid w:val="00703E6C"/>
    <w:rsid w:val="00703E98"/>
    <w:rsid w:val="00703F55"/>
    <w:rsid w:val="0070400F"/>
    <w:rsid w:val="00704076"/>
    <w:rsid w:val="007040C7"/>
    <w:rsid w:val="00704253"/>
    <w:rsid w:val="0070444E"/>
    <w:rsid w:val="007045CF"/>
    <w:rsid w:val="007045FC"/>
    <w:rsid w:val="0070462B"/>
    <w:rsid w:val="00704684"/>
    <w:rsid w:val="00704715"/>
    <w:rsid w:val="007047C9"/>
    <w:rsid w:val="00704831"/>
    <w:rsid w:val="007049B7"/>
    <w:rsid w:val="007049EC"/>
    <w:rsid w:val="00704AA4"/>
    <w:rsid w:val="00704ACA"/>
    <w:rsid w:val="00704C7F"/>
    <w:rsid w:val="00704C98"/>
    <w:rsid w:val="00704D19"/>
    <w:rsid w:val="00704F64"/>
    <w:rsid w:val="00705089"/>
    <w:rsid w:val="00705179"/>
    <w:rsid w:val="00705691"/>
    <w:rsid w:val="00705728"/>
    <w:rsid w:val="0070589D"/>
    <w:rsid w:val="00705B5D"/>
    <w:rsid w:val="00705BED"/>
    <w:rsid w:val="00705C97"/>
    <w:rsid w:val="00705CA0"/>
    <w:rsid w:val="00705F01"/>
    <w:rsid w:val="00705F17"/>
    <w:rsid w:val="00706066"/>
    <w:rsid w:val="0070611C"/>
    <w:rsid w:val="007061E0"/>
    <w:rsid w:val="00706306"/>
    <w:rsid w:val="00706370"/>
    <w:rsid w:val="0070655A"/>
    <w:rsid w:val="00706576"/>
    <w:rsid w:val="00706583"/>
    <w:rsid w:val="007065B9"/>
    <w:rsid w:val="00706692"/>
    <w:rsid w:val="0070696C"/>
    <w:rsid w:val="007069BA"/>
    <w:rsid w:val="00706AD9"/>
    <w:rsid w:val="00706AEA"/>
    <w:rsid w:val="00706BDF"/>
    <w:rsid w:val="00706D0C"/>
    <w:rsid w:val="00706D6C"/>
    <w:rsid w:val="00706D7C"/>
    <w:rsid w:val="00706EDE"/>
    <w:rsid w:val="00706F1D"/>
    <w:rsid w:val="00706F30"/>
    <w:rsid w:val="00706F4F"/>
    <w:rsid w:val="00706F77"/>
    <w:rsid w:val="00706FF9"/>
    <w:rsid w:val="00707032"/>
    <w:rsid w:val="00707159"/>
    <w:rsid w:val="00707229"/>
    <w:rsid w:val="00707441"/>
    <w:rsid w:val="00707921"/>
    <w:rsid w:val="00707D87"/>
    <w:rsid w:val="00707E91"/>
    <w:rsid w:val="0071018A"/>
    <w:rsid w:val="00710328"/>
    <w:rsid w:val="00710354"/>
    <w:rsid w:val="007104B9"/>
    <w:rsid w:val="007105E1"/>
    <w:rsid w:val="00710651"/>
    <w:rsid w:val="007107DB"/>
    <w:rsid w:val="007108D4"/>
    <w:rsid w:val="00710930"/>
    <w:rsid w:val="00710949"/>
    <w:rsid w:val="00710B68"/>
    <w:rsid w:val="00710BC8"/>
    <w:rsid w:val="00710D1B"/>
    <w:rsid w:val="00710E39"/>
    <w:rsid w:val="00710E47"/>
    <w:rsid w:val="00710E6B"/>
    <w:rsid w:val="00710F30"/>
    <w:rsid w:val="007110CC"/>
    <w:rsid w:val="00711123"/>
    <w:rsid w:val="007116A8"/>
    <w:rsid w:val="007116E7"/>
    <w:rsid w:val="00711773"/>
    <w:rsid w:val="0071195A"/>
    <w:rsid w:val="00711ADD"/>
    <w:rsid w:val="00711B64"/>
    <w:rsid w:val="00711B98"/>
    <w:rsid w:val="00711C1C"/>
    <w:rsid w:val="00711ED8"/>
    <w:rsid w:val="00711F34"/>
    <w:rsid w:val="0071208D"/>
    <w:rsid w:val="007121F1"/>
    <w:rsid w:val="0071270C"/>
    <w:rsid w:val="00712806"/>
    <w:rsid w:val="007128D6"/>
    <w:rsid w:val="007129EE"/>
    <w:rsid w:val="00712A0D"/>
    <w:rsid w:val="00712CE0"/>
    <w:rsid w:val="00712D40"/>
    <w:rsid w:val="00712DD3"/>
    <w:rsid w:val="00712E72"/>
    <w:rsid w:val="00712EA8"/>
    <w:rsid w:val="00713061"/>
    <w:rsid w:val="007130C1"/>
    <w:rsid w:val="00713191"/>
    <w:rsid w:val="007131D2"/>
    <w:rsid w:val="00713362"/>
    <w:rsid w:val="0071336E"/>
    <w:rsid w:val="0071345B"/>
    <w:rsid w:val="007134ED"/>
    <w:rsid w:val="007134FC"/>
    <w:rsid w:val="0071354B"/>
    <w:rsid w:val="0071355A"/>
    <w:rsid w:val="00713596"/>
    <w:rsid w:val="007135DA"/>
    <w:rsid w:val="007138E3"/>
    <w:rsid w:val="007139F5"/>
    <w:rsid w:val="00713B54"/>
    <w:rsid w:val="00713B9B"/>
    <w:rsid w:val="00713BAB"/>
    <w:rsid w:val="00713DA3"/>
    <w:rsid w:val="00713ECD"/>
    <w:rsid w:val="00714052"/>
    <w:rsid w:val="0071408B"/>
    <w:rsid w:val="0071411E"/>
    <w:rsid w:val="0071422A"/>
    <w:rsid w:val="0071423C"/>
    <w:rsid w:val="00714540"/>
    <w:rsid w:val="0071473D"/>
    <w:rsid w:val="007147A2"/>
    <w:rsid w:val="00714838"/>
    <w:rsid w:val="007148A4"/>
    <w:rsid w:val="007149E4"/>
    <w:rsid w:val="007149F8"/>
    <w:rsid w:val="00714BB5"/>
    <w:rsid w:val="00714BC9"/>
    <w:rsid w:val="00714C0A"/>
    <w:rsid w:val="00714F01"/>
    <w:rsid w:val="00714F44"/>
    <w:rsid w:val="00715105"/>
    <w:rsid w:val="0071518A"/>
    <w:rsid w:val="007151E0"/>
    <w:rsid w:val="00715223"/>
    <w:rsid w:val="00715272"/>
    <w:rsid w:val="007152B9"/>
    <w:rsid w:val="00715307"/>
    <w:rsid w:val="007153EC"/>
    <w:rsid w:val="0071551F"/>
    <w:rsid w:val="0071555C"/>
    <w:rsid w:val="00715568"/>
    <w:rsid w:val="007155C8"/>
    <w:rsid w:val="0071562E"/>
    <w:rsid w:val="007156C7"/>
    <w:rsid w:val="007158D9"/>
    <w:rsid w:val="0071592C"/>
    <w:rsid w:val="007159D5"/>
    <w:rsid w:val="00715B9A"/>
    <w:rsid w:val="00715C3A"/>
    <w:rsid w:val="00715C82"/>
    <w:rsid w:val="00715F1F"/>
    <w:rsid w:val="00715F5E"/>
    <w:rsid w:val="00715FF9"/>
    <w:rsid w:val="00716005"/>
    <w:rsid w:val="00716338"/>
    <w:rsid w:val="00716349"/>
    <w:rsid w:val="00716517"/>
    <w:rsid w:val="007165E1"/>
    <w:rsid w:val="0071661F"/>
    <w:rsid w:val="00716647"/>
    <w:rsid w:val="00716735"/>
    <w:rsid w:val="00716928"/>
    <w:rsid w:val="00716A0C"/>
    <w:rsid w:val="00716ADA"/>
    <w:rsid w:val="00716B77"/>
    <w:rsid w:val="00716D00"/>
    <w:rsid w:val="00716DBA"/>
    <w:rsid w:val="00716DD4"/>
    <w:rsid w:val="00716E03"/>
    <w:rsid w:val="00716E93"/>
    <w:rsid w:val="00716EBD"/>
    <w:rsid w:val="00716F4D"/>
    <w:rsid w:val="0071710A"/>
    <w:rsid w:val="00717123"/>
    <w:rsid w:val="0071729F"/>
    <w:rsid w:val="00717521"/>
    <w:rsid w:val="00717589"/>
    <w:rsid w:val="00717591"/>
    <w:rsid w:val="007176EE"/>
    <w:rsid w:val="0071776C"/>
    <w:rsid w:val="00717793"/>
    <w:rsid w:val="00717875"/>
    <w:rsid w:val="0071790D"/>
    <w:rsid w:val="00717A98"/>
    <w:rsid w:val="00717C62"/>
    <w:rsid w:val="00717F24"/>
    <w:rsid w:val="00717F26"/>
    <w:rsid w:val="00720004"/>
    <w:rsid w:val="007200A8"/>
    <w:rsid w:val="007201AC"/>
    <w:rsid w:val="007202DF"/>
    <w:rsid w:val="007202EE"/>
    <w:rsid w:val="00720391"/>
    <w:rsid w:val="007203E6"/>
    <w:rsid w:val="007204B1"/>
    <w:rsid w:val="00720552"/>
    <w:rsid w:val="007205CE"/>
    <w:rsid w:val="00720616"/>
    <w:rsid w:val="00720674"/>
    <w:rsid w:val="007206A5"/>
    <w:rsid w:val="007208CE"/>
    <w:rsid w:val="0072098F"/>
    <w:rsid w:val="00720B0C"/>
    <w:rsid w:val="00720B53"/>
    <w:rsid w:val="00720BA7"/>
    <w:rsid w:val="00720BB5"/>
    <w:rsid w:val="00720C51"/>
    <w:rsid w:val="00720CED"/>
    <w:rsid w:val="00720D19"/>
    <w:rsid w:val="00720E5E"/>
    <w:rsid w:val="00720EBA"/>
    <w:rsid w:val="00720ECD"/>
    <w:rsid w:val="00720EF8"/>
    <w:rsid w:val="0072101F"/>
    <w:rsid w:val="0072103E"/>
    <w:rsid w:val="007211A9"/>
    <w:rsid w:val="00721227"/>
    <w:rsid w:val="0072123D"/>
    <w:rsid w:val="0072136A"/>
    <w:rsid w:val="007214BD"/>
    <w:rsid w:val="007214D6"/>
    <w:rsid w:val="007218EB"/>
    <w:rsid w:val="00721921"/>
    <w:rsid w:val="00721A48"/>
    <w:rsid w:val="00721A60"/>
    <w:rsid w:val="00721AD1"/>
    <w:rsid w:val="00721C59"/>
    <w:rsid w:val="00721D4C"/>
    <w:rsid w:val="00721D70"/>
    <w:rsid w:val="00721DEF"/>
    <w:rsid w:val="00721E31"/>
    <w:rsid w:val="00722069"/>
    <w:rsid w:val="00722087"/>
    <w:rsid w:val="007220B2"/>
    <w:rsid w:val="007220C4"/>
    <w:rsid w:val="0072212E"/>
    <w:rsid w:val="007221B0"/>
    <w:rsid w:val="0072235C"/>
    <w:rsid w:val="00722367"/>
    <w:rsid w:val="007223F7"/>
    <w:rsid w:val="00722542"/>
    <w:rsid w:val="007225C7"/>
    <w:rsid w:val="007226EC"/>
    <w:rsid w:val="007227AA"/>
    <w:rsid w:val="007227B7"/>
    <w:rsid w:val="00722877"/>
    <w:rsid w:val="007228D2"/>
    <w:rsid w:val="00722B21"/>
    <w:rsid w:val="00722B9B"/>
    <w:rsid w:val="00722BC3"/>
    <w:rsid w:val="00722BD3"/>
    <w:rsid w:val="00722EAC"/>
    <w:rsid w:val="00722F85"/>
    <w:rsid w:val="007231D2"/>
    <w:rsid w:val="00723272"/>
    <w:rsid w:val="00723402"/>
    <w:rsid w:val="007235C4"/>
    <w:rsid w:val="007235F2"/>
    <w:rsid w:val="00723629"/>
    <w:rsid w:val="007237DE"/>
    <w:rsid w:val="00723815"/>
    <w:rsid w:val="00723A84"/>
    <w:rsid w:val="00723AF5"/>
    <w:rsid w:val="00723B9E"/>
    <w:rsid w:val="00723CBF"/>
    <w:rsid w:val="00723CDF"/>
    <w:rsid w:val="00723DCD"/>
    <w:rsid w:val="00723E5F"/>
    <w:rsid w:val="00723F16"/>
    <w:rsid w:val="0072412A"/>
    <w:rsid w:val="00724139"/>
    <w:rsid w:val="00724178"/>
    <w:rsid w:val="00724214"/>
    <w:rsid w:val="0072422B"/>
    <w:rsid w:val="00724244"/>
    <w:rsid w:val="00724451"/>
    <w:rsid w:val="0072449F"/>
    <w:rsid w:val="00724588"/>
    <w:rsid w:val="00724602"/>
    <w:rsid w:val="00724693"/>
    <w:rsid w:val="00724796"/>
    <w:rsid w:val="0072487F"/>
    <w:rsid w:val="00724964"/>
    <w:rsid w:val="007249B7"/>
    <w:rsid w:val="00724A19"/>
    <w:rsid w:val="00724A80"/>
    <w:rsid w:val="00724ADB"/>
    <w:rsid w:val="00724B97"/>
    <w:rsid w:val="00724B9E"/>
    <w:rsid w:val="00724C06"/>
    <w:rsid w:val="00724CB9"/>
    <w:rsid w:val="00724D05"/>
    <w:rsid w:val="00724D59"/>
    <w:rsid w:val="00724E1E"/>
    <w:rsid w:val="00724F15"/>
    <w:rsid w:val="00724F46"/>
    <w:rsid w:val="00725141"/>
    <w:rsid w:val="00725205"/>
    <w:rsid w:val="00725216"/>
    <w:rsid w:val="00725378"/>
    <w:rsid w:val="00725399"/>
    <w:rsid w:val="007253AA"/>
    <w:rsid w:val="007254D8"/>
    <w:rsid w:val="007255AD"/>
    <w:rsid w:val="0072561C"/>
    <w:rsid w:val="007256E9"/>
    <w:rsid w:val="00725709"/>
    <w:rsid w:val="0072575F"/>
    <w:rsid w:val="00725782"/>
    <w:rsid w:val="00725843"/>
    <w:rsid w:val="0072589F"/>
    <w:rsid w:val="007258B1"/>
    <w:rsid w:val="007258BF"/>
    <w:rsid w:val="007258FB"/>
    <w:rsid w:val="00725C28"/>
    <w:rsid w:val="00725D35"/>
    <w:rsid w:val="00725DE7"/>
    <w:rsid w:val="00725E2D"/>
    <w:rsid w:val="00725E4F"/>
    <w:rsid w:val="00725EDF"/>
    <w:rsid w:val="00725F11"/>
    <w:rsid w:val="00725FEA"/>
    <w:rsid w:val="00726027"/>
    <w:rsid w:val="007260DD"/>
    <w:rsid w:val="007261E2"/>
    <w:rsid w:val="0072624B"/>
    <w:rsid w:val="00726265"/>
    <w:rsid w:val="007262AA"/>
    <w:rsid w:val="007262FE"/>
    <w:rsid w:val="00726477"/>
    <w:rsid w:val="007264BB"/>
    <w:rsid w:val="0072661C"/>
    <w:rsid w:val="007266D6"/>
    <w:rsid w:val="00726751"/>
    <w:rsid w:val="007267B8"/>
    <w:rsid w:val="00726A7D"/>
    <w:rsid w:val="00726AD6"/>
    <w:rsid w:val="00726B58"/>
    <w:rsid w:val="00726C29"/>
    <w:rsid w:val="0072715B"/>
    <w:rsid w:val="00727293"/>
    <w:rsid w:val="0072732B"/>
    <w:rsid w:val="007273D4"/>
    <w:rsid w:val="0072744D"/>
    <w:rsid w:val="007274C5"/>
    <w:rsid w:val="00727571"/>
    <w:rsid w:val="0072758B"/>
    <w:rsid w:val="0072761C"/>
    <w:rsid w:val="00727657"/>
    <w:rsid w:val="007276BF"/>
    <w:rsid w:val="007278C8"/>
    <w:rsid w:val="0072795C"/>
    <w:rsid w:val="00727986"/>
    <w:rsid w:val="00727AF1"/>
    <w:rsid w:val="00727E05"/>
    <w:rsid w:val="00727E21"/>
    <w:rsid w:val="00727E55"/>
    <w:rsid w:val="00727FA2"/>
    <w:rsid w:val="00727FDB"/>
    <w:rsid w:val="00730049"/>
    <w:rsid w:val="00730081"/>
    <w:rsid w:val="007300AB"/>
    <w:rsid w:val="007304B3"/>
    <w:rsid w:val="007304F9"/>
    <w:rsid w:val="00730503"/>
    <w:rsid w:val="007305F2"/>
    <w:rsid w:val="007307CD"/>
    <w:rsid w:val="0073085D"/>
    <w:rsid w:val="00730894"/>
    <w:rsid w:val="00730B81"/>
    <w:rsid w:val="00730BE4"/>
    <w:rsid w:val="00730C3E"/>
    <w:rsid w:val="00730C56"/>
    <w:rsid w:val="00730D3C"/>
    <w:rsid w:val="00730D4B"/>
    <w:rsid w:val="00730D91"/>
    <w:rsid w:val="00730D9F"/>
    <w:rsid w:val="00730E12"/>
    <w:rsid w:val="00730E3A"/>
    <w:rsid w:val="00730F5C"/>
    <w:rsid w:val="00730FFF"/>
    <w:rsid w:val="0073116A"/>
    <w:rsid w:val="00731256"/>
    <w:rsid w:val="00731341"/>
    <w:rsid w:val="007313CF"/>
    <w:rsid w:val="007313E2"/>
    <w:rsid w:val="0073140B"/>
    <w:rsid w:val="00731433"/>
    <w:rsid w:val="0073150E"/>
    <w:rsid w:val="00731515"/>
    <w:rsid w:val="00731748"/>
    <w:rsid w:val="00731764"/>
    <w:rsid w:val="0073178F"/>
    <w:rsid w:val="00731847"/>
    <w:rsid w:val="00731885"/>
    <w:rsid w:val="0073191F"/>
    <w:rsid w:val="007319C8"/>
    <w:rsid w:val="00731A9B"/>
    <w:rsid w:val="00731AD1"/>
    <w:rsid w:val="00731C4C"/>
    <w:rsid w:val="00731DDE"/>
    <w:rsid w:val="00731ED3"/>
    <w:rsid w:val="00731F91"/>
    <w:rsid w:val="0073205C"/>
    <w:rsid w:val="007322DA"/>
    <w:rsid w:val="0073238C"/>
    <w:rsid w:val="00732411"/>
    <w:rsid w:val="00732434"/>
    <w:rsid w:val="00732491"/>
    <w:rsid w:val="00732535"/>
    <w:rsid w:val="007325E3"/>
    <w:rsid w:val="00732725"/>
    <w:rsid w:val="00732800"/>
    <w:rsid w:val="0073289C"/>
    <w:rsid w:val="00732A13"/>
    <w:rsid w:val="00732A35"/>
    <w:rsid w:val="00732F02"/>
    <w:rsid w:val="00732F62"/>
    <w:rsid w:val="00732FE8"/>
    <w:rsid w:val="007330DF"/>
    <w:rsid w:val="0073312B"/>
    <w:rsid w:val="007331A1"/>
    <w:rsid w:val="00733247"/>
    <w:rsid w:val="0073326C"/>
    <w:rsid w:val="007332A6"/>
    <w:rsid w:val="007335DF"/>
    <w:rsid w:val="00733622"/>
    <w:rsid w:val="007336BB"/>
    <w:rsid w:val="00733804"/>
    <w:rsid w:val="0073386C"/>
    <w:rsid w:val="00733896"/>
    <w:rsid w:val="00733931"/>
    <w:rsid w:val="007339E1"/>
    <w:rsid w:val="00733AE1"/>
    <w:rsid w:val="00733CCB"/>
    <w:rsid w:val="00733D22"/>
    <w:rsid w:val="00733F29"/>
    <w:rsid w:val="00733F47"/>
    <w:rsid w:val="0073405A"/>
    <w:rsid w:val="00734087"/>
    <w:rsid w:val="00734097"/>
    <w:rsid w:val="007341D5"/>
    <w:rsid w:val="00734253"/>
    <w:rsid w:val="00734278"/>
    <w:rsid w:val="007344AE"/>
    <w:rsid w:val="00734640"/>
    <w:rsid w:val="0073464B"/>
    <w:rsid w:val="007346A8"/>
    <w:rsid w:val="00734951"/>
    <w:rsid w:val="00734984"/>
    <w:rsid w:val="00734A2F"/>
    <w:rsid w:val="00734ABF"/>
    <w:rsid w:val="00734B2F"/>
    <w:rsid w:val="00734CB0"/>
    <w:rsid w:val="00734DAB"/>
    <w:rsid w:val="00734E94"/>
    <w:rsid w:val="0073501B"/>
    <w:rsid w:val="007350AC"/>
    <w:rsid w:val="00735256"/>
    <w:rsid w:val="007352BB"/>
    <w:rsid w:val="00735387"/>
    <w:rsid w:val="0073558B"/>
    <w:rsid w:val="0073564F"/>
    <w:rsid w:val="007356BB"/>
    <w:rsid w:val="0073574E"/>
    <w:rsid w:val="00735843"/>
    <w:rsid w:val="00735848"/>
    <w:rsid w:val="00735852"/>
    <w:rsid w:val="00735922"/>
    <w:rsid w:val="0073594D"/>
    <w:rsid w:val="00735ADB"/>
    <w:rsid w:val="00735D24"/>
    <w:rsid w:val="00735E4D"/>
    <w:rsid w:val="00735E68"/>
    <w:rsid w:val="00735E8D"/>
    <w:rsid w:val="00735F95"/>
    <w:rsid w:val="0073603B"/>
    <w:rsid w:val="00736104"/>
    <w:rsid w:val="00736214"/>
    <w:rsid w:val="0073624C"/>
    <w:rsid w:val="007362A3"/>
    <w:rsid w:val="007362A5"/>
    <w:rsid w:val="007363F1"/>
    <w:rsid w:val="0073643C"/>
    <w:rsid w:val="0073645E"/>
    <w:rsid w:val="00736469"/>
    <w:rsid w:val="007364F6"/>
    <w:rsid w:val="007366E2"/>
    <w:rsid w:val="0073685D"/>
    <w:rsid w:val="00736945"/>
    <w:rsid w:val="007369FF"/>
    <w:rsid w:val="00736AB9"/>
    <w:rsid w:val="00736AEC"/>
    <w:rsid w:val="00736C2F"/>
    <w:rsid w:val="00736CF9"/>
    <w:rsid w:val="00736FAA"/>
    <w:rsid w:val="007370A7"/>
    <w:rsid w:val="007370FC"/>
    <w:rsid w:val="00737152"/>
    <w:rsid w:val="0073722A"/>
    <w:rsid w:val="0073738B"/>
    <w:rsid w:val="007373A3"/>
    <w:rsid w:val="007373EB"/>
    <w:rsid w:val="00737495"/>
    <w:rsid w:val="007375B3"/>
    <w:rsid w:val="0073762B"/>
    <w:rsid w:val="007376A5"/>
    <w:rsid w:val="0073778E"/>
    <w:rsid w:val="00737798"/>
    <w:rsid w:val="00737808"/>
    <w:rsid w:val="0073786C"/>
    <w:rsid w:val="0073793C"/>
    <w:rsid w:val="00737A65"/>
    <w:rsid w:val="00737A74"/>
    <w:rsid w:val="00737A90"/>
    <w:rsid w:val="00737D9A"/>
    <w:rsid w:val="00737E57"/>
    <w:rsid w:val="00737F8F"/>
    <w:rsid w:val="00737FB3"/>
    <w:rsid w:val="0074019D"/>
    <w:rsid w:val="00740224"/>
    <w:rsid w:val="0074039A"/>
    <w:rsid w:val="007404C6"/>
    <w:rsid w:val="0074055B"/>
    <w:rsid w:val="007406CC"/>
    <w:rsid w:val="0074086E"/>
    <w:rsid w:val="0074088C"/>
    <w:rsid w:val="00740981"/>
    <w:rsid w:val="00740999"/>
    <w:rsid w:val="00740A43"/>
    <w:rsid w:val="00740C7C"/>
    <w:rsid w:val="00740C8B"/>
    <w:rsid w:val="00740DEB"/>
    <w:rsid w:val="00740E50"/>
    <w:rsid w:val="00740EE5"/>
    <w:rsid w:val="00741083"/>
    <w:rsid w:val="0074113F"/>
    <w:rsid w:val="0074124E"/>
    <w:rsid w:val="00741287"/>
    <w:rsid w:val="00741295"/>
    <w:rsid w:val="007412A5"/>
    <w:rsid w:val="007414A3"/>
    <w:rsid w:val="00741584"/>
    <w:rsid w:val="007415DD"/>
    <w:rsid w:val="0074165C"/>
    <w:rsid w:val="00741762"/>
    <w:rsid w:val="0074178F"/>
    <w:rsid w:val="007417C7"/>
    <w:rsid w:val="0074185B"/>
    <w:rsid w:val="007418E9"/>
    <w:rsid w:val="00741A02"/>
    <w:rsid w:val="00741A86"/>
    <w:rsid w:val="00741B60"/>
    <w:rsid w:val="00741B79"/>
    <w:rsid w:val="00741BAC"/>
    <w:rsid w:val="00741CFE"/>
    <w:rsid w:val="00741D80"/>
    <w:rsid w:val="00741E35"/>
    <w:rsid w:val="00742130"/>
    <w:rsid w:val="00742146"/>
    <w:rsid w:val="0074219C"/>
    <w:rsid w:val="0074221C"/>
    <w:rsid w:val="0074232B"/>
    <w:rsid w:val="007423C7"/>
    <w:rsid w:val="007424FC"/>
    <w:rsid w:val="0074253F"/>
    <w:rsid w:val="00742668"/>
    <w:rsid w:val="007426C1"/>
    <w:rsid w:val="00742785"/>
    <w:rsid w:val="0074299D"/>
    <w:rsid w:val="00742A99"/>
    <w:rsid w:val="00742AA2"/>
    <w:rsid w:val="00742B3E"/>
    <w:rsid w:val="00742C9F"/>
    <w:rsid w:val="00742CEB"/>
    <w:rsid w:val="0074312A"/>
    <w:rsid w:val="007431B8"/>
    <w:rsid w:val="00743484"/>
    <w:rsid w:val="0074363F"/>
    <w:rsid w:val="00743732"/>
    <w:rsid w:val="0074377A"/>
    <w:rsid w:val="007437A3"/>
    <w:rsid w:val="00743879"/>
    <w:rsid w:val="007439AE"/>
    <w:rsid w:val="007439E2"/>
    <w:rsid w:val="00743A68"/>
    <w:rsid w:val="00743C16"/>
    <w:rsid w:val="00743CBF"/>
    <w:rsid w:val="00743D67"/>
    <w:rsid w:val="00743ECD"/>
    <w:rsid w:val="00743F40"/>
    <w:rsid w:val="00743FFE"/>
    <w:rsid w:val="007440F9"/>
    <w:rsid w:val="00744215"/>
    <w:rsid w:val="007442FA"/>
    <w:rsid w:val="007443D0"/>
    <w:rsid w:val="00744476"/>
    <w:rsid w:val="0074460E"/>
    <w:rsid w:val="0074467E"/>
    <w:rsid w:val="00744724"/>
    <w:rsid w:val="007447E2"/>
    <w:rsid w:val="007449A2"/>
    <w:rsid w:val="00744B81"/>
    <w:rsid w:val="00744BC1"/>
    <w:rsid w:val="00744D6F"/>
    <w:rsid w:val="00744DAD"/>
    <w:rsid w:val="00744F67"/>
    <w:rsid w:val="0074526D"/>
    <w:rsid w:val="0074527D"/>
    <w:rsid w:val="00745360"/>
    <w:rsid w:val="00745364"/>
    <w:rsid w:val="00745602"/>
    <w:rsid w:val="0074563D"/>
    <w:rsid w:val="007456EE"/>
    <w:rsid w:val="0074598E"/>
    <w:rsid w:val="00745AA5"/>
    <w:rsid w:val="00745B41"/>
    <w:rsid w:val="00745C50"/>
    <w:rsid w:val="00745DF9"/>
    <w:rsid w:val="00745E2F"/>
    <w:rsid w:val="00745ECF"/>
    <w:rsid w:val="00745EFF"/>
    <w:rsid w:val="00745F2D"/>
    <w:rsid w:val="00745F59"/>
    <w:rsid w:val="007460D9"/>
    <w:rsid w:val="007460F2"/>
    <w:rsid w:val="007464A6"/>
    <w:rsid w:val="00746532"/>
    <w:rsid w:val="0074657B"/>
    <w:rsid w:val="00746763"/>
    <w:rsid w:val="0074678D"/>
    <w:rsid w:val="007468C0"/>
    <w:rsid w:val="00746976"/>
    <w:rsid w:val="00746A05"/>
    <w:rsid w:val="00746BA4"/>
    <w:rsid w:val="00746C04"/>
    <w:rsid w:val="00746CAB"/>
    <w:rsid w:val="00746CCB"/>
    <w:rsid w:val="00746D60"/>
    <w:rsid w:val="00746DC2"/>
    <w:rsid w:val="00746EFE"/>
    <w:rsid w:val="00746F20"/>
    <w:rsid w:val="00746F23"/>
    <w:rsid w:val="00746F2E"/>
    <w:rsid w:val="00746F86"/>
    <w:rsid w:val="00747120"/>
    <w:rsid w:val="00747131"/>
    <w:rsid w:val="00747181"/>
    <w:rsid w:val="00747194"/>
    <w:rsid w:val="00747203"/>
    <w:rsid w:val="00747216"/>
    <w:rsid w:val="0074723B"/>
    <w:rsid w:val="007473D7"/>
    <w:rsid w:val="007473E5"/>
    <w:rsid w:val="00747417"/>
    <w:rsid w:val="007474FB"/>
    <w:rsid w:val="0074758B"/>
    <w:rsid w:val="00747670"/>
    <w:rsid w:val="0074786F"/>
    <w:rsid w:val="0074792F"/>
    <w:rsid w:val="007479F1"/>
    <w:rsid w:val="007479FA"/>
    <w:rsid w:val="00747A8D"/>
    <w:rsid w:val="00747B2F"/>
    <w:rsid w:val="00747BF2"/>
    <w:rsid w:val="00747C5B"/>
    <w:rsid w:val="00747DAD"/>
    <w:rsid w:val="00747E1D"/>
    <w:rsid w:val="00747EB5"/>
    <w:rsid w:val="007500C8"/>
    <w:rsid w:val="0075012B"/>
    <w:rsid w:val="0075019A"/>
    <w:rsid w:val="007503B1"/>
    <w:rsid w:val="00750443"/>
    <w:rsid w:val="0075048F"/>
    <w:rsid w:val="0075062F"/>
    <w:rsid w:val="00750860"/>
    <w:rsid w:val="007509EC"/>
    <w:rsid w:val="00750A17"/>
    <w:rsid w:val="00750A53"/>
    <w:rsid w:val="00750A7F"/>
    <w:rsid w:val="00750AC3"/>
    <w:rsid w:val="00750B63"/>
    <w:rsid w:val="00750CF0"/>
    <w:rsid w:val="00750CFB"/>
    <w:rsid w:val="00750E3E"/>
    <w:rsid w:val="00750EE6"/>
    <w:rsid w:val="00750F7A"/>
    <w:rsid w:val="00750FA4"/>
    <w:rsid w:val="007510C5"/>
    <w:rsid w:val="0075121E"/>
    <w:rsid w:val="007512A5"/>
    <w:rsid w:val="007512F8"/>
    <w:rsid w:val="0075151F"/>
    <w:rsid w:val="007516A7"/>
    <w:rsid w:val="007516AA"/>
    <w:rsid w:val="007517C4"/>
    <w:rsid w:val="007517FE"/>
    <w:rsid w:val="00751852"/>
    <w:rsid w:val="00751ABE"/>
    <w:rsid w:val="00751B59"/>
    <w:rsid w:val="00751B7B"/>
    <w:rsid w:val="00751BB4"/>
    <w:rsid w:val="00751BE4"/>
    <w:rsid w:val="00751C05"/>
    <w:rsid w:val="00751C08"/>
    <w:rsid w:val="00751DE4"/>
    <w:rsid w:val="00751FFD"/>
    <w:rsid w:val="00752114"/>
    <w:rsid w:val="0075217F"/>
    <w:rsid w:val="00752449"/>
    <w:rsid w:val="0075254A"/>
    <w:rsid w:val="0075255B"/>
    <w:rsid w:val="007525EA"/>
    <w:rsid w:val="00752700"/>
    <w:rsid w:val="00752798"/>
    <w:rsid w:val="00752A93"/>
    <w:rsid w:val="00752AD1"/>
    <w:rsid w:val="00752B63"/>
    <w:rsid w:val="00752D33"/>
    <w:rsid w:val="00752D5E"/>
    <w:rsid w:val="007530A8"/>
    <w:rsid w:val="007530D5"/>
    <w:rsid w:val="00753101"/>
    <w:rsid w:val="007531BC"/>
    <w:rsid w:val="00753288"/>
    <w:rsid w:val="0075328E"/>
    <w:rsid w:val="0075329C"/>
    <w:rsid w:val="00753354"/>
    <w:rsid w:val="007533D8"/>
    <w:rsid w:val="00753491"/>
    <w:rsid w:val="007534BA"/>
    <w:rsid w:val="00753572"/>
    <w:rsid w:val="007536F4"/>
    <w:rsid w:val="00753705"/>
    <w:rsid w:val="007537A0"/>
    <w:rsid w:val="007539BE"/>
    <w:rsid w:val="00753B49"/>
    <w:rsid w:val="00753D24"/>
    <w:rsid w:val="00753D71"/>
    <w:rsid w:val="00753D91"/>
    <w:rsid w:val="00753F4B"/>
    <w:rsid w:val="00754074"/>
    <w:rsid w:val="007543EC"/>
    <w:rsid w:val="007544BD"/>
    <w:rsid w:val="00754556"/>
    <w:rsid w:val="00754725"/>
    <w:rsid w:val="007547B3"/>
    <w:rsid w:val="007548B7"/>
    <w:rsid w:val="007548C6"/>
    <w:rsid w:val="007549B2"/>
    <w:rsid w:val="007549FB"/>
    <w:rsid w:val="00754A08"/>
    <w:rsid w:val="00754A3F"/>
    <w:rsid w:val="00754C3E"/>
    <w:rsid w:val="00754CF2"/>
    <w:rsid w:val="00754DE6"/>
    <w:rsid w:val="00754F0A"/>
    <w:rsid w:val="00754F63"/>
    <w:rsid w:val="00755064"/>
    <w:rsid w:val="0075515D"/>
    <w:rsid w:val="007551E4"/>
    <w:rsid w:val="0075520F"/>
    <w:rsid w:val="00755216"/>
    <w:rsid w:val="00755311"/>
    <w:rsid w:val="00755337"/>
    <w:rsid w:val="0075533A"/>
    <w:rsid w:val="0075534A"/>
    <w:rsid w:val="007554CC"/>
    <w:rsid w:val="0075554A"/>
    <w:rsid w:val="007556E0"/>
    <w:rsid w:val="00755746"/>
    <w:rsid w:val="0075586D"/>
    <w:rsid w:val="00755970"/>
    <w:rsid w:val="00755ACE"/>
    <w:rsid w:val="00755B38"/>
    <w:rsid w:val="00755BA5"/>
    <w:rsid w:val="00755BE0"/>
    <w:rsid w:val="00755BE3"/>
    <w:rsid w:val="00755E3D"/>
    <w:rsid w:val="00755F34"/>
    <w:rsid w:val="00756100"/>
    <w:rsid w:val="0075610C"/>
    <w:rsid w:val="0075611D"/>
    <w:rsid w:val="0075617E"/>
    <w:rsid w:val="007561E8"/>
    <w:rsid w:val="00756355"/>
    <w:rsid w:val="0075638A"/>
    <w:rsid w:val="00756534"/>
    <w:rsid w:val="007566DB"/>
    <w:rsid w:val="00756797"/>
    <w:rsid w:val="0075699F"/>
    <w:rsid w:val="00756C99"/>
    <w:rsid w:val="00756CBF"/>
    <w:rsid w:val="00756DF5"/>
    <w:rsid w:val="00756E5D"/>
    <w:rsid w:val="00756F6C"/>
    <w:rsid w:val="00757000"/>
    <w:rsid w:val="0075709E"/>
    <w:rsid w:val="007570A0"/>
    <w:rsid w:val="007570D1"/>
    <w:rsid w:val="007570F9"/>
    <w:rsid w:val="00757286"/>
    <w:rsid w:val="007572C1"/>
    <w:rsid w:val="007572C3"/>
    <w:rsid w:val="007572EE"/>
    <w:rsid w:val="00757353"/>
    <w:rsid w:val="0075744B"/>
    <w:rsid w:val="007574A3"/>
    <w:rsid w:val="007574DF"/>
    <w:rsid w:val="00757585"/>
    <w:rsid w:val="007576BE"/>
    <w:rsid w:val="007576E6"/>
    <w:rsid w:val="007577B1"/>
    <w:rsid w:val="00757831"/>
    <w:rsid w:val="0075784B"/>
    <w:rsid w:val="00757909"/>
    <w:rsid w:val="007579C9"/>
    <w:rsid w:val="00757A80"/>
    <w:rsid w:val="00757A86"/>
    <w:rsid w:val="00757AB7"/>
    <w:rsid w:val="00757B87"/>
    <w:rsid w:val="00757B89"/>
    <w:rsid w:val="00757C2D"/>
    <w:rsid w:val="00757CE7"/>
    <w:rsid w:val="00757D67"/>
    <w:rsid w:val="00757E23"/>
    <w:rsid w:val="00757F68"/>
    <w:rsid w:val="0076016B"/>
    <w:rsid w:val="007604DD"/>
    <w:rsid w:val="007607BD"/>
    <w:rsid w:val="007609BE"/>
    <w:rsid w:val="00760C08"/>
    <w:rsid w:val="00760D57"/>
    <w:rsid w:val="00760D71"/>
    <w:rsid w:val="00760DA5"/>
    <w:rsid w:val="00760E7F"/>
    <w:rsid w:val="00760E83"/>
    <w:rsid w:val="00761050"/>
    <w:rsid w:val="007610D9"/>
    <w:rsid w:val="007610EB"/>
    <w:rsid w:val="00761152"/>
    <w:rsid w:val="00761171"/>
    <w:rsid w:val="00761528"/>
    <w:rsid w:val="00761529"/>
    <w:rsid w:val="0076175F"/>
    <w:rsid w:val="00761845"/>
    <w:rsid w:val="0076185E"/>
    <w:rsid w:val="00761873"/>
    <w:rsid w:val="00761961"/>
    <w:rsid w:val="00761A41"/>
    <w:rsid w:val="00761ADE"/>
    <w:rsid w:val="00761B0C"/>
    <w:rsid w:val="00761E32"/>
    <w:rsid w:val="00761F56"/>
    <w:rsid w:val="007620DE"/>
    <w:rsid w:val="00762162"/>
    <w:rsid w:val="0076223F"/>
    <w:rsid w:val="00762250"/>
    <w:rsid w:val="0076230C"/>
    <w:rsid w:val="007623E9"/>
    <w:rsid w:val="007623EA"/>
    <w:rsid w:val="007623F3"/>
    <w:rsid w:val="00762497"/>
    <w:rsid w:val="007624D5"/>
    <w:rsid w:val="00762507"/>
    <w:rsid w:val="0076259D"/>
    <w:rsid w:val="007625D7"/>
    <w:rsid w:val="007626FD"/>
    <w:rsid w:val="0076280A"/>
    <w:rsid w:val="0076280E"/>
    <w:rsid w:val="00762A6A"/>
    <w:rsid w:val="00762BE0"/>
    <w:rsid w:val="00762C5B"/>
    <w:rsid w:val="00762D88"/>
    <w:rsid w:val="00762DE6"/>
    <w:rsid w:val="00762E6E"/>
    <w:rsid w:val="00762FB0"/>
    <w:rsid w:val="00762FCA"/>
    <w:rsid w:val="00762FCE"/>
    <w:rsid w:val="0076319D"/>
    <w:rsid w:val="0076344A"/>
    <w:rsid w:val="007634B5"/>
    <w:rsid w:val="007634DD"/>
    <w:rsid w:val="0076369A"/>
    <w:rsid w:val="00763994"/>
    <w:rsid w:val="007639D6"/>
    <w:rsid w:val="0076404E"/>
    <w:rsid w:val="00764113"/>
    <w:rsid w:val="007642DB"/>
    <w:rsid w:val="007642F8"/>
    <w:rsid w:val="00764843"/>
    <w:rsid w:val="00764A26"/>
    <w:rsid w:val="00764B74"/>
    <w:rsid w:val="00764C3F"/>
    <w:rsid w:val="00764C6E"/>
    <w:rsid w:val="00764CC1"/>
    <w:rsid w:val="007650CE"/>
    <w:rsid w:val="0076514F"/>
    <w:rsid w:val="007651E2"/>
    <w:rsid w:val="00765202"/>
    <w:rsid w:val="0076530D"/>
    <w:rsid w:val="007653BF"/>
    <w:rsid w:val="007653E1"/>
    <w:rsid w:val="007653FD"/>
    <w:rsid w:val="0076552B"/>
    <w:rsid w:val="00765968"/>
    <w:rsid w:val="00765A36"/>
    <w:rsid w:val="00765D2E"/>
    <w:rsid w:val="00765E84"/>
    <w:rsid w:val="00765F12"/>
    <w:rsid w:val="00765FC0"/>
    <w:rsid w:val="0076607D"/>
    <w:rsid w:val="0076623C"/>
    <w:rsid w:val="00766410"/>
    <w:rsid w:val="0076654A"/>
    <w:rsid w:val="00766559"/>
    <w:rsid w:val="0076658D"/>
    <w:rsid w:val="007665A1"/>
    <w:rsid w:val="007665E1"/>
    <w:rsid w:val="0076667C"/>
    <w:rsid w:val="00766682"/>
    <w:rsid w:val="007666C1"/>
    <w:rsid w:val="00766758"/>
    <w:rsid w:val="0076675B"/>
    <w:rsid w:val="007667E0"/>
    <w:rsid w:val="0076689A"/>
    <w:rsid w:val="007668F0"/>
    <w:rsid w:val="0076691D"/>
    <w:rsid w:val="00766962"/>
    <w:rsid w:val="00766B78"/>
    <w:rsid w:val="00766BC1"/>
    <w:rsid w:val="00766D2D"/>
    <w:rsid w:val="00766D79"/>
    <w:rsid w:val="00766DB6"/>
    <w:rsid w:val="00766E37"/>
    <w:rsid w:val="00766E46"/>
    <w:rsid w:val="00766E81"/>
    <w:rsid w:val="00766F1B"/>
    <w:rsid w:val="00766F5B"/>
    <w:rsid w:val="007671BC"/>
    <w:rsid w:val="00767292"/>
    <w:rsid w:val="00767367"/>
    <w:rsid w:val="007673D8"/>
    <w:rsid w:val="0076747C"/>
    <w:rsid w:val="0076747E"/>
    <w:rsid w:val="007675F8"/>
    <w:rsid w:val="00767646"/>
    <w:rsid w:val="0076768E"/>
    <w:rsid w:val="007676CE"/>
    <w:rsid w:val="007677A6"/>
    <w:rsid w:val="0076789A"/>
    <w:rsid w:val="007679FB"/>
    <w:rsid w:val="00767B75"/>
    <w:rsid w:val="00767C76"/>
    <w:rsid w:val="00767DE7"/>
    <w:rsid w:val="00767E5E"/>
    <w:rsid w:val="00767E67"/>
    <w:rsid w:val="00767EB3"/>
    <w:rsid w:val="00767F18"/>
    <w:rsid w:val="00767F5F"/>
    <w:rsid w:val="00767FF1"/>
    <w:rsid w:val="0077002A"/>
    <w:rsid w:val="00770150"/>
    <w:rsid w:val="007701A4"/>
    <w:rsid w:val="007701C3"/>
    <w:rsid w:val="00770366"/>
    <w:rsid w:val="007703C7"/>
    <w:rsid w:val="00770407"/>
    <w:rsid w:val="0077048B"/>
    <w:rsid w:val="00770670"/>
    <w:rsid w:val="007706FA"/>
    <w:rsid w:val="007707E2"/>
    <w:rsid w:val="0077092A"/>
    <w:rsid w:val="00770A43"/>
    <w:rsid w:val="00770A50"/>
    <w:rsid w:val="00770B8C"/>
    <w:rsid w:val="00770BA0"/>
    <w:rsid w:val="00770C12"/>
    <w:rsid w:val="00770C68"/>
    <w:rsid w:val="00770D7D"/>
    <w:rsid w:val="00770EEB"/>
    <w:rsid w:val="00771247"/>
    <w:rsid w:val="007712BE"/>
    <w:rsid w:val="00771374"/>
    <w:rsid w:val="00771379"/>
    <w:rsid w:val="00771783"/>
    <w:rsid w:val="007717CB"/>
    <w:rsid w:val="007718B7"/>
    <w:rsid w:val="00771903"/>
    <w:rsid w:val="0077193A"/>
    <w:rsid w:val="00771CF9"/>
    <w:rsid w:val="00771DA7"/>
    <w:rsid w:val="00771DBA"/>
    <w:rsid w:val="00771E4E"/>
    <w:rsid w:val="00771EFA"/>
    <w:rsid w:val="007721E0"/>
    <w:rsid w:val="00772305"/>
    <w:rsid w:val="007723C2"/>
    <w:rsid w:val="0077270F"/>
    <w:rsid w:val="00772753"/>
    <w:rsid w:val="0077288C"/>
    <w:rsid w:val="0077290A"/>
    <w:rsid w:val="0077291F"/>
    <w:rsid w:val="00772947"/>
    <w:rsid w:val="00772B04"/>
    <w:rsid w:val="00772B6C"/>
    <w:rsid w:val="00772B86"/>
    <w:rsid w:val="00772B9D"/>
    <w:rsid w:val="00772BC1"/>
    <w:rsid w:val="00772CCD"/>
    <w:rsid w:val="00772D91"/>
    <w:rsid w:val="00773102"/>
    <w:rsid w:val="007731B9"/>
    <w:rsid w:val="0077322A"/>
    <w:rsid w:val="0077329A"/>
    <w:rsid w:val="007732CA"/>
    <w:rsid w:val="00773365"/>
    <w:rsid w:val="007734E1"/>
    <w:rsid w:val="007735CB"/>
    <w:rsid w:val="00773665"/>
    <w:rsid w:val="007736F9"/>
    <w:rsid w:val="00773778"/>
    <w:rsid w:val="0077379D"/>
    <w:rsid w:val="007737F5"/>
    <w:rsid w:val="00773825"/>
    <w:rsid w:val="0077398F"/>
    <w:rsid w:val="007739EE"/>
    <w:rsid w:val="00773A15"/>
    <w:rsid w:val="00773A86"/>
    <w:rsid w:val="00773AEA"/>
    <w:rsid w:val="00773B25"/>
    <w:rsid w:val="00773B99"/>
    <w:rsid w:val="00773C35"/>
    <w:rsid w:val="00773D87"/>
    <w:rsid w:val="00773DA5"/>
    <w:rsid w:val="00773EB2"/>
    <w:rsid w:val="00774020"/>
    <w:rsid w:val="0077406B"/>
    <w:rsid w:val="0077411E"/>
    <w:rsid w:val="00774169"/>
    <w:rsid w:val="0077418F"/>
    <w:rsid w:val="00774235"/>
    <w:rsid w:val="007742D4"/>
    <w:rsid w:val="00774336"/>
    <w:rsid w:val="0077447C"/>
    <w:rsid w:val="00774679"/>
    <w:rsid w:val="00774765"/>
    <w:rsid w:val="007747B8"/>
    <w:rsid w:val="00774826"/>
    <w:rsid w:val="00774931"/>
    <w:rsid w:val="00774AE6"/>
    <w:rsid w:val="00774C43"/>
    <w:rsid w:val="00774FD1"/>
    <w:rsid w:val="0077516B"/>
    <w:rsid w:val="0077519E"/>
    <w:rsid w:val="007751C7"/>
    <w:rsid w:val="00775220"/>
    <w:rsid w:val="00775281"/>
    <w:rsid w:val="00775302"/>
    <w:rsid w:val="0077530A"/>
    <w:rsid w:val="00775314"/>
    <w:rsid w:val="007753B8"/>
    <w:rsid w:val="00775587"/>
    <w:rsid w:val="00775588"/>
    <w:rsid w:val="00775598"/>
    <w:rsid w:val="007755B2"/>
    <w:rsid w:val="007755BC"/>
    <w:rsid w:val="007757EE"/>
    <w:rsid w:val="00775892"/>
    <w:rsid w:val="007758D7"/>
    <w:rsid w:val="0077595F"/>
    <w:rsid w:val="0077596F"/>
    <w:rsid w:val="00775A0E"/>
    <w:rsid w:val="00775AAC"/>
    <w:rsid w:val="00775B79"/>
    <w:rsid w:val="00775CB0"/>
    <w:rsid w:val="00775DBE"/>
    <w:rsid w:val="00775DC9"/>
    <w:rsid w:val="00775E0B"/>
    <w:rsid w:val="00775EE0"/>
    <w:rsid w:val="00775F70"/>
    <w:rsid w:val="00776027"/>
    <w:rsid w:val="007761A4"/>
    <w:rsid w:val="007761CB"/>
    <w:rsid w:val="00776365"/>
    <w:rsid w:val="00776575"/>
    <w:rsid w:val="007765EE"/>
    <w:rsid w:val="007766D9"/>
    <w:rsid w:val="00776768"/>
    <w:rsid w:val="0077684A"/>
    <w:rsid w:val="007768AC"/>
    <w:rsid w:val="007768B2"/>
    <w:rsid w:val="007769F7"/>
    <w:rsid w:val="007769FC"/>
    <w:rsid w:val="00776C00"/>
    <w:rsid w:val="00776C94"/>
    <w:rsid w:val="00776ED4"/>
    <w:rsid w:val="0077711B"/>
    <w:rsid w:val="007771F9"/>
    <w:rsid w:val="0077732A"/>
    <w:rsid w:val="0077732B"/>
    <w:rsid w:val="0077735A"/>
    <w:rsid w:val="0077749B"/>
    <w:rsid w:val="00777625"/>
    <w:rsid w:val="007777A9"/>
    <w:rsid w:val="00777853"/>
    <w:rsid w:val="007778DB"/>
    <w:rsid w:val="0077790F"/>
    <w:rsid w:val="00777B0A"/>
    <w:rsid w:val="00777B24"/>
    <w:rsid w:val="00777BB6"/>
    <w:rsid w:val="00777C26"/>
    <w:rsid w:val="00777C57"/>
    <w:rsid w:val="00777D05"/>
    <w:rsid w:val="00777ED5"/>
    <w:rsid w:val="00777F19"/>
    <w:rsid w:val="00777F1A"/>
    <w:rsid w:val="00777F9E"/>
    <w:rsid w:val="00777FA9"/>
    <w:rsid w:val="00780156"/>
    <w:rsid w:val="0078017C"/>
    <w:rsid w:val="007802F5"/>
    <w:rsid w:val="007803AB"/>
    <w:rsid w:val="007804C0"/>
    <w:rsid w:val="00780513"/>
    <w:rsid w:val="007805D6"/>
    <w:rsid w:val="00780610"/>
    <w:rsid w:val="007806C3"/>
    <w:rsid w:val="007806D3"/>
    <w:rsid w:val="0078073E"/>
    <w:rsid w:val="00780798"/>
    <w:rsid w:val="00780875"/>
    <w:rsid w:val="007808C6"/>
    <w:rsid w:val="00780C8F"/>
    <w:rsid w:val="00780D44"/>
    <w:rsid w:val="00780D57"/>
    <w:rsid w:val="00780D9A"/>
    <w:rsid w:val="00780DEC"/>
    <w:rsid w:val="00780E2D"/>
    <w:rsid w:val="00780F29"/>
    <w:rsid w:val="007810AC"/>
    <w:rsid w:val="007810EA"/>
    <w:rsid w:val="00781114"/>
    <w:rsid w:val="007811D3"/>
    <w:rsid w:val="0078127C"/>
    <w:rsid w:val="00781305"/>
    <w:rsid w:val="0078145A"/>
    <w:rsid w:val="00781550"/>
    <w:rsid w:val="007815F0"/>
    <w:rsid w:val="0078169A"/>
    <w:rsid w:val="00781761"/>
    <w:rsid w:val="007817A0"/>
    <w:rsid w:val="0078183A"/>
    <w:rsid w:val="00781876"/>
    <w:rsid w:val="007819F3"/>
    <w:rsid w:val="00781A7E"/>
    <w:rsid w:val="00781B1A"/>
    <w:rsid w:val="00781B57"/>
    <w:rsid w:val="00781B76"/>
    <w:rsid w:val="00781C3D"/>
    <w:rsid w:val="00781C67"/>
    <w:rsid w:val="00781C91"/>
    <w:rsid w:val="00781CEB"/>
    <w:rsid w:val="00781D81"/>
    <w:rsid w:val="00781DA0"/>
    <w:rsid w:val="00781EE6"/>
    <w:rsid w:val="00781EEA"/>
    <w:rsid w:val="00781F8A"/>
    <w:rsid w:val="007823E9"/>
    <w:rsid w:val="00782489"/>
    <w:rsid w:val="007824A4"/>
    <w:rsid w:val="0078255E"/>
    <w:rsid w:val="00782646"/>
    <w:rsid w:val="007827E2"/>
    <w:rsid w:val="00782841"/>
    <w:rsid w:val="007828A7"/>
    <w:rsid w:val="007829BE"/>
    <w:rsid w:val="007829E0"/>
    <w:rsid w:val="00782A99"/>
    <w:rsid w:val="00782D98"/>
    <w:rsid w:val="00782DEB"/>
    <w:rsid w:val="00782EC5"/>
    <w:rsid w:val="00782FE6"/>
    <w:rsid w:val="00783095"/>
    <w:rsid w:val="00783101"/>
    <w:rsid w:val="007831B8"/>
    <w:rsid w:val="00783328"/>
    <w:rsid w:val="007833B3"/>
    <w:rsid w:val="0078346A"/>
    <w:rsid w:val="0078347E"/>
    <w:rsid w:val="007834DA"/>
    <w:rsid w:val="007835EA"/>
    <w:rsid w:val="00783617"/>
    <w:rsid w:val="007836B2"/>
    <w:rsid w:val="00783711"/>
    <w:rsid w:val="007837AC"/>
    <w:rsid w:val="007838E4"/>
    <w:rsid w:val="00783931"/>
    <w:rsid w:val="00783A89"/>
    <w:rsid w:val="00783B41"/>
    <w:rsid w:val="00783C21"/>
    <w:rsid w:val="00783C6B"/>
    <w:rsid w:val="00783D97"/>
    <w:rsid w:val="00783DBA"/>
    <w:rsid w:val="00783EA8"/>
    <w:rsid w:val="00783F26"/>
    <w:rsid w:val="00783F82"/>
    <w:rsid w:val="00783FD9"/>
    <w:rsid w:val="0078404C"/>
    <w:rsid w:val="0078408D"/>
    <w:rsid w:val="007840A4"/>
    <w:rsid w:val="0078410A"/>
    <w:rsid w:val="00784241"/>
    <w:rsid w:val="00784299"/>
    <w:rsid w:val="007842C5"/>
    <w:rsid w:val="0078435F"/>
    <w:rsid w:val="007844F8"/>
    <w:rsid w:val="00784583"/>
    <w:rsid w:val="00784599"/>
    <w:rsid w:val="0078459E"/>
    <w:rsid w:val="007845BC"/>
    <w:rsid w:val="007848FA"/>
    <w:rsid w:val="00784A4C"/>
    <w:rsid w:val="00784DAA"/>
    <w:rsid w:val="00784F1A"/>
    <w:rsid w:val="0078503A"/>
    <w:rsid w:val="007850B2"/>
    <w:rsid w:val="00785209"/>
    <w:rsid w:val="00785229"/>
    <w:rsid w:val="00785337"/>
    <w:rsid w:val="007853B9"/>
    <w:rsid w:val="007854CD"/>
    <w:rsid w:val="0078565D"/>
    <w:rsid w:val="007859D5"/>
    <w:rsid w:val="00785AAE"/>
    <w:rsid w:val="00785AD4"/>
    <w:rsid w:val="00785AD8"/>
    <w:rsid w:val="00785D7A"/>
    <w:rsid w:val="00785DCA"/>
    <w:rsid w:val="00785E18"/>
    <w:rsid w:val="00786057"/>
    <w:rsid w:val="007860D2"/>
    <w:rsid w:val="0078630C"/>
    <w:rsid w:val="007866B5"/>
    <w:rsid w:val="007866CA"/>
    <w:rsid w:val="00786734"/>
    <w:rsid w:val="007868EF"/>
    <w:rsid w:val="0078698E"/>
    <w:rsid w:val="007869B1"/>
    <w:rsid w:val="00786A5A"/>
    <w:rsid w:val="00786AA8"/>
    <w:rsid w:val="00786C45"/>
    <w:rsid w:val="00786DEA"/>
    <w:rsid w:val="007870B0"/>
    <w:rsid w:val="00787246"/>
    <w:rsid w:val="0078738A"/>
    <w:rsid w:val="007873B2"/>
    <w:rsid w:val="0078743D"/>
    <w:rsid w:val="0078771E"/>
    <w:rsid w:val="0078773F"/>
    <w:rsid w:val="007877AD"/>
    <w:rsid w:val="0078790B"/>
    <w:rsid w:val="0078793E"/>
    <w:rsid w:val="00787B4E"/>
    <w:rsid w:val="00787B83"/>
    <w:rsid w:val="00787C10"/>
    <w:rsid w:val="00787CA0"/>
    <w:rsid w:val="00787CFF"/>
    <w:rsid w:val="00787D7D"/>
    <w:rsid w:val="00787DAE"/>
    <w:rsid w:val="00787DEE"/>
    <w:rsid w:val="00787F8F"/>
    <w:rsid w:val="00787FD4"/>
    <w:rsid w:val="00790004"/>
    <w:rsid w:val="007901DC"/>
    <w:rsid w:val="00790266"/>
    <w:rsid w:val="00790368"/>
    <w:rsid w:val="00790425"/>
    <w:rsid w:val="007904E7"/>
    <w:rsid w:val="007904FE"/>
    <w:rsid w:val="00790502"/>
    <w:rsid w:val="007905E0"/>
    <w:rsid w:val="00790690"/>
    <w:rsid w:val="007906CC"/>
    <w:rsid w:val="00790748"/>
    <w:rsid w:val="00790757"/>
    <w:rsid w:val="00790869"/>
    <w:rsid w:val="00790975"/>
    <w:rsid w:val="00790AB2"/>
    <w:rsid w:val="00790B48"/>
    <w:rsid w:val="00790CFE"/>
    <w:rsid w:val="00790E76"/>
    <w:rsid w:val="0079101E"/>
    <w:rsid w:val="00791099"/>
    <w:rsid w:val="0079122A"/>
    <w:rsid w:val="0079126A"/>
    <w:rsid w:val="00791275"/>
    <w:rsid w:val="007913DD"/>
    <w:rsid w:val="00791572"/>
    <w:rsid w:val="007916A4"/>
    <w:rsid w:val="0079175E"/>
    <w:rsid w:val="007918BB"/>
    <w:rsid w:val="007919E6"/>
    <w:rsid w:val="00791D9A"/>
    <w:rsid w:val="00791EBF"/>
    <w:rsid w:val="00791FB4"/>
    <w:rsid w:val="00791FDF"/>
    <w:rsid w:val="00792088"/>
    <w:rsid w:val="007920DA"/>
    <w:rsid w:val="00792275"/>
    <w:rsid w:val="0079232D"/>
    <w:rsid w:val="007924B7"/>
    <w:rsid w:val="007924D4"/>
    <w:rsid w:val="00792509"/>
    <w:rsid w:val="007925BB"/>
    <w:rsid w:val="00792687"/>
    <w:rsid w:val="00792713"/>
    <w:rsid w:val="00792795"/>
    <w:rsid w:val="00792815"/>
    <w:rsid w:val="00792837"/>
    <w:rsid w:val="00792956"/>
    <w:rsid w:val="00792959"/>
    <w:rsid w:val="00792A52"/>
    <w:rsid w:val="00792A83"/>
    <w:rsid w:val="00792AA4"/>
    <w:rsid w:val="00792B95"/>
    <w:rsid w:val="00792C57"/>
    <w:rsid w:val="00792CCD"/>
    <w:rsid w:val="00792D24"/>
    <w:rsid w:val="00792D9E"/>
    <w:rsid w:val="00792DC1"/>
    <w:rsid w:val="00792DCA"/>
    <w:rsid w:val="00792DE9"/>
    <w:rsid w:val="00792EB1"/>
    <w:rsid w:val="00792F0C"/>
    <w:rsid w:val="00792F2B"/>
    <w:rsid w:val="00792F84"/>
    <w:rsid w:val="00793068"/>
    <w:rsid w:val="0079332F"/>
    <w:rsid w:val="007933DF"/>
    <w:rsid w:val="0079343A"/>
    <w:rsid w:val="0079344C"/>
    <w:rsid w:val="007934CA"/>
    <w:rsid w:val="00793569"/>
    <w:rsid w:val="007939DF"/>
    <w:rsid w:val="00793A02"/>
    <w:rsid w:val="00793A23"/>
    <w:rsid w:val="00793AC4"/>
    <w:rsid w:val="00793ACE"/>
    <w:rsid w:val="00793AF4"/>
    <w:rsid w:val="00793B5D"/>
    <w:rsid w:val="00793D24"/>
    <w:rsid w:val="00793DBC"/>
    <w:rsid w:val="00793F5F"/>
    <w:rsid w:val="00793FBE"/>
    <w:rsid w:val="00793FD0"/>
    <w:rsid w:val="0079405D"/>
    <w:rsid w:val="00794077"/>
    <w:rsid w:val="007940B2"/>
    <w:rsid w:val="0079417A"/>
    <w:rsid w:val="007941E1"/>
    <w:rsid w:val="0079425F"/>
    <w:rsid w:val="007942D4"/>
    <w:rsid w:val="00794383"/>
    <w:rsid w:val="00794464"/>
    <w:rsid w:val="0079450E"/>
    <w:rsid w:val="00794517"/>
    <w:rsid w:val="00794529"/>
    <w:rsid w:val="00794545"/>
    <w:rsid w:val="00794547"/>
    <w:rsid w:val="0079454A"/>
    <w:rsid w:val="007946D0"/>
    <w:rsid w:val="00794A11"/>
    <w:rsid w:val="00794A85"/>
    <w:rsid w:val="00794BFD"/>
    <w:rsid w:val="00794D46"/>
    <w:rsid w:val="00794EA3"/>
    <w:rsid w:val="00794EAE"/>
    <w:rsid w:val="00795014"/>
    <w:rsid w:val="007950BB"/>
    <w:rsid w:val="007950FF"/>
    <w:rsid w:val="0079510B"/>
    <w:rsid w:val="00795128"/>
    <w:rsid w:val="007951CF"/>
    <w:rsid w:val="00795293"/>
    <w:rsid w:val="007952CA"/>
    <w:rsid w:val="007952D9"/>
    <w:rsid w:val="007954FE"/>
    <w:rsid w:val="00795509"/>
    <w:rsid w:val="007955A8"/>
    <w:rsid w:val="0079571A"/>
    <w:rsid w:val="007957B8"/>
    <w:rsid w:val="00795CB3"/>
    <w:rsid w:val="00795DD0"/>
    <w:rsid w:val="00795F2F"/>
    <w:rsid w:val="00795F5E"/>
    <w:rsid w:val="00795FFF"/>
    <w:rsid w:val="0079614C"/>
    <w:rsid w:val="007962A0"/>
    <w:rsid w:val="007962B5"/>
    <w:rsid w:val="007963FF"/>
    <w:rsid w:val="00796446"/>
    <w:rsid w:val="0079654F"/>
    <w:rsid w:val="0079657D"/>
    <w:rsid w:val="0079669D"/>
    <w:rsid w:val="007967B9"/>
    <w:rsid w:val="007967CA"/>
    <w:rsid w:val="00796928"/>
    <w:rsid w:val="00796954"/>
    <w:rsid w:val="0079698C"/>
    <w:rsid w:val="00796A80"/>
    <w:rsid w:val="00796B8E"/>
    <w:rsid w:val="00796D43"/>
    <w:rsid w:val="00796DA9"/>
    <w:rsid w:val="00796DDF"/>
    <w:rsid w:val="00796E4E"/>
    <w:rsid w:val="00796FCD"/>
    <w:rsid w:val="007970E6"/>
    <w:rsid w:val="0079716C"/>
    <w:rsid w:val="007973EF"/>
    <w:rsid w:val="0079748D"/>
    <w:rsid w:val="007975E0"/>
    <w:rsid w:val="0079762C"/>
    <w:rsid w:val="007976CD"/>
    <w:rsid w:val="00797887"/>
    <w:rsid w:val="00797901"/>
    <w:rsid w:val="0079792F"/>
    <w:rsid w:val="00797AB3"/>
    <w:rsid w:val="00797B4F"/>
    <w:rsid w:val="00797B87"/>
    <w:rsid w:val="00797BAA"/>
    <w:rsid w:val="00797BC5"/>
    <w:rsid w:val="00797D14"/>
    <w:rsid w:val="00797E32"/>
    <w:rsid w:val="00797EE1"/>
    <w:rsid w:val="007A00AF"/>
    <w:rsid w:val="007A0169"/>
    <w:rsid w:val="007A01C8"/>
    <w:rsid w:val="007A0361"/>
    <w:rsid w:val="007A04DE"/>
    <w:rsid w:val="007A05A9"/>
    <w:rsid w:val="007A05FA"/>
    <w:rsid w:val="007A06AE"/>
    <w:rsid w:val="007A07BB"/>
    <w:rsid w:val="007A07D2"/>
    <w:rsid w:val="007A07ED"/>
    <w:rsid w:val="007A08DC"/>
    <w:rsid w:val="007A0AB6"/>
    <w:rsid w:val="007A0B61"/>
    <w:rsid w:val="007A0B99"/>
    <w:rsid w:val="007A0C1B"/>
    <w:rsid w:val="007A0CA8"/>
    <w:rsid w:val="007A0CFC"/>
    <w:rsid w:val="007A0D46"/>
    <w:rsid w:val="007A0DED"/>
    <w:rsid w:val="007A0EA9"/>
    <w:rsid w:val="007A0F04"/>
    <w:rsid w:val="007A0FD5"/>
    <w:rsid w:val="007A106A"/>
    <w:rsid w:val="007A10E3"/>
    <w:rsid w:val="007A1159"/>
    <w:rsid w:val="007A11E7"/>
    <w:rsid w:val="007A140A"/>
    <w:rsid w:val="007A14DF"/>
    <w:rsid w:val="007A14F0"/>
    <w:rsid w:val="007A1562"/>
    <w:rsid w:val="007A16F0"/>
    <w:rsid w:val="007A1718"/>
    <w:rsid w:val="007A17D8"/>
    <w:rsid w:val="007A190A"/>
    <w:rsid w:val="007A1977"/>
    <w:rsid w:val="007A1A76"/>
    <w:rsid w:val="007A1A7A"/>
    <w:rsid w:val="007A1ADF"/>
    <w:rsid w:val="007A1B31"/>
    <w:rsid w:val="007A1BDE"/>
    <w:rsid w:val="007A1CFD"/>
    <w:rsid w:val="007A1F0D"/>
    <w:rsid w:val="007A1F95"/>
    <w:rsid w:val="007A1FB0"/>
    <w:rsid w:val="007A202B"/>
    <w:rsid w:val="007A20C2"/>
    <w:rsid w:val="007A2106"/>
    <w:rsid w:val="007A219C"/>
    <w:rsid w:val="007A2206"/>
    <w:rsid w:val="007A2400"/>
    <w:rsid w:val="007A24FB"/>
    <w:rsid w:val="007A25FD"/>
    <w:rsid w:val="007A2656"/>
    <w:rsid w:val="007A26DC"/>
    <w:rsid w:val="007A277B"/>
    <w:rsid w:val="007A2865"/>
    <w:rsid w:val="007A2C43"/>
    <w:rsid w:val="007A2C98"/>
    <w:rsid w:val="007A2CFF"/>
    <w:rsid w:val="007A2D1D"/>
    <w:rsid w:val="007A2D55"/>
    <w:rsid w:val="007A2E7B"/>
    <w:rsid w:val="007A2F2B"/>
    <w:rsid w:val="007A2FD0"/>
    <w:rsid w:val="007A2FFB"/>
    <w:rsid w:val="007A30DF"/>
    <w:rsid w:val="007A3106"/>
    <w:rsid w:val="007A314A"/>
    <w:rsid w:val="007A31A3"/>
    <w:rsid w:val="007A31DB"/>
    <w:rsid w:val="007A3220"/>
    <w:rsid w:val="007A3295"/>
    <w:rsid w:val="007A32E4"/>
    <w:rsid w:val="007A3348"/>
    <w:rsid w:val="007A3386"/>
    <w:rsid w:val="007A340B"/>
    <w:rsid w:val="007A3539"/>
    <w:rsid w:val="007A3589"/>
    <w:rsid w:val="007A3780"/>
    <w:rsid w:val="007A3865"/>
    <w:rsid w:val="007A38CF"/>
    <w:rsid w:val="007A3977"/>
    <w:rsid w:val="007A3A32"/>
    <w:rsid w:val="007A3BB9"/>
    <w:rsid w:val="007A3C7F"/>
    <w:rsid w:val="007A3C98"/>
    <w:rsid w:val="007A3DAB"/>
    <w:rsid w:val="007A3E08"/>
    <w:rsid w:val="007A3E2C"/>
    <w:rsid w:val="007A3FAF"/>
    <w:rsid w:val="007A3FE4"/>
    <w:rsid w:val="007A4078"/>
    <w:rsid w:val="007A40A3"/>
    <w:rsid w:val="007A425D"/>
    <w:rsid w:val="007A4459"/>
    <w:rsid w:val="007A4465"/>
    <w:rsid w:val="007A4468"/>
    <w:rsid w:val="007A45E9"/>
    <w:rsid w:val="007A4741"/>
    <w:rsid w:val="007A483F"/>
    <w:rsid w:val="007A48C0"/>
    <w:rsid w:val="007A4916"/>
    <w:rsid w:val="007A4969"/>
    <w:rsid w:val="007A4B5E"/>
    <w:rsid w:val="007A4B66"/>
    <w:rsid w:val="007A5056"/>
    <w:rsid w:val="007A523E"/>
    <w:rsid w:val="007A525E"/>
    <w:rsid w:val="007A5274"/>
    <w:rsid w:val="007A5279"/>
    <w:rsid w:val="007A52DF"/>
    <w:rsid w:val="007A53C6"/>
    <w:rsid w:val="007A5528"/>
    <w:rsid w:val="007A558F"/>
    <w:rsid w:val="007A55E1"/>
    <w:rsid w:val="007A5689"/>
    <w:rsid w:val="007A5735"/>
    <w:rsid w:val="007A5A22"/>
    <w:rsid w:val="007A5ABD"/>
    <w:rsid w:val="007A5AED"/>
    <w:rsid w:val="007A5BF2"/>
    <w:rsid w:val="007A5D69"/>
    <w:rsid w:val="007A5F5D"/>
    <w:rsid w:val="007A5F68"/>
    <w:rsid w:val="007A602D"/>
    <w:rsid w:val="007A6111"/>
    <w:rsid w:val="007A61F4"/>
    <w:rsid w:val="007A62BF"/>
    <w:rsid w:val="007A6355"/>
    <w:rsid w:val="007A6433"/>
    <w:rsid w:val="007A64C7"/>
    <w:rsid w:val="007A6515"/>
    <w:rsid w:val="007A6674"/>
    <w:rsid w:val="007A66D2"/>
    <w:rsid w:val="007A68C4"/>
    <w:rsid w:val="007A6971"/>
    <w:rsid w:val="007A6A0D"/>
    <w:rsid w:val="007A6A11"/>
    <w:rsid w:val="007A6B7F"/>
    <w:rsid w:val="007A6BD6"/>
    <w:rsid w:val="007A6E21"/>
    <w:rsid w:val="007A70BB"/>
    <w:rsid w:val="007A710B"/>
    <w:rsid w:val="007A7212"/>
    <w:rsid w:val="007A721A"/>
    <w:rsid w:val="007A724B"/>
    <w:rsid w:val="007A7255"/>
    <w:rsid w:val="007A727C"/>
    <w:rsid w:val="007A754B"/>
    <w:rsid w:val="007A7553"/>
    <w:rsid w:val="007A75A4"/>
    <w:rsid w:val="007A77C8"/>
    <w:rsid w:val="007A7915"/>
    <w:rsid w:val="007A7973"/>
    <w:rsid w:val="007A7A16"/>
    <w:rsid w:val="007A7A17"/>
    <w:rsid w:val="007A7A7C"/>
    <w:rsid w:val="007A7CAC"/>
    <w:rsid w:val="007A7D00"/>
    <w:rsid w:val="007A7D11"/>
    <w:rsid w:val="007A7DEA"/>
    <w:rsid w:val="007B0012"/>
    <w:rsid w:val="007B0055"/>
    <w:rsid w:val="007B018A"/>
    <w:rsid w:val="007B02B2"/>
    <w:rsid w:val="007B03A5"/>
    <w:rsid w:val="007B0517"/>
    <w:rsid w:val="007B05F5"/>
    <w:rsid w:val="007B073C"/>
    <w:rsid w:val="007B084E"/>
    <w:rsid w:val="007B089B"/>
    <w:rsid w:val="007B098D"/>
    <w:rsid w:val="007B0997"/>
    <w:rsid w:val="007B0B7E"/>
    <w:rsid w:val="007B0D1B"/>
    <w:rsid w:val="007B0D24"/>
    <w:rsid w:val="007B0E44"/>
    <w:rsid w:val="007B109A"/>
    <w:rsid w:val="007B10F7"/>
    <w:rsid w:val="007B11D4"/>
    <w:rsid w:val="007B1392"/>
    <w:rsid w:val="007B1543"/>
    <w:rsid w:val="007B16A5"/>
    <w:rsid w:val="007B16DB"/>
    <w:rsid w:val="007B173B"/>
    <w:rsid w:val="007B1788"/>
    <w:rsid w:val="007B17A3"/>
    <w:rsid w:val="007B17F6"/>
    <w:rsid w:val="007B180B"/>
    <w:rsid w:val="007B18F2"/>
    <w:rsid w:val="007B1AB8"/>
    <w:rsid w:val="007B1AD0"/>
    <w:rsid w:val="007B1B5E"/>
    <w:rsid w:val="007B1B62"/>
    <w:rsid w:val="007B1C2C"/>
    <w:rsid w:val="007B1C9C"/>
    <w:rsid w:val="007B1D8D"/>
    <w:rsid w:val="007B1DD2"/>
    <w:rsid w:val="007B1E71"/>
    <w:rsid w:val="007B1FA5"/>
    <w:rsid w:val="007B1FB3"/>
    <w:rsid w:val="007B202B"/>
    <w:rsid w:val="007B203D"/>
    <w:rsid w:val="007B2096"/>
    <w:rsid w:val="007B217E"/>
    <w:rsid w:val="007B2279"/>
    <w:rsid w:val="007B2493"/>
    <w:rsid w:val="007B2708"/>
    <w:rsid w:val="007B2775"/>
    <w:rsid w:val="007B27F6"/>
    <w:rsid w:val="007B2910"/>
    <w:rsid w:val="007B296E"/>
    <w:rsid w:val="007B2A0B"/>
    <w:rsid w:val="007B2D09"/>
    <w:rsid w:val="007B2F2C"/>
    <w:rsid w:val="007B3031"/>
    <w:rsid w:val="007B307B"/>
    <w:rsid w:val="007B309B"/>
    <w:rsid w:val="007B3191"/>
    <w:rsid w:val="007B32BA"/>
    <w:rsid w:val="007B32E3"/>
    <w:rsid w:val="007B3426"/>
    <w:rsid w:val="007B35C0"/>
    <w:rsid w:val="007B3637"/>
    <w:rsid w:val="007B36D0"/>
    <w:rsid w:val="007B377B"/>
    <w:rsid w:val="007B37B5"/>
    <w:rsid w:val="007B37BA"/>
    <w:rsid w:val="007B389F"/>
    <w:rsid w:val="007B39EC"/>
    <w:rsid w:val="007B3AA7"/>
    <w:rsid w:val="007B3B45"/>
    <w:rsid w:val="007B3C26"/>
    <w:rsid w:val="007B3D5B"/>
    <w:rsid w:val="007B3E9D"/>
    <w:rsid w:val="007B3F54"/>
    <w:rsid w:val="007B3F5E"/>
    <w:rsid w:val="007B40D1"/>
    <w:rsid w:val="007B40F8"/>
    <w:rsid w:val="007B45C4"/>
    <w:rsid w:val="007B4724"/>
    <w:rsid w:val="007B490B"/>
    <w:rsid w:val="007B49EC"/>
    <w:rsid w:val="007B4AE9"/>
    <w:rsid w:val="007B4C1A"/>
    <w:rsid w:val="007B4C4E"/>
    <w:rsid w:val="007B4D32"/>
    <w:rsid w:val="007B4D77"/>
    <w:rsid w:val="007B4DD7"/>
    <w:rsid w:val="007B5019"/>
    <w:rsid w:val="007B5048"/>
    <w:rsid w:val="007B507F"/>
    <w:rsid w:val="007B5205"/>
    <w:rsid w:val="007B521E"/>
    <w:rsid w:val="007B523B"/>
    <w:rsid w:val="007B524E"/>
    <w:rsid w:val="007B532E"/>
    <w:rsid w:val="007B5379"/>
    <w:rsid w:val="007B553F"/>
    <w:rsid w:val="007B5578"/>
    <w:rsid w:val="007B55A5"/>
    <w:rsid w:val="007B566C"/>
    <w:rsid w:val="007B5677"/>
    <w:rsid w:val="007B56A3"/>
    <w:rsid w:val="007B58C9"/>
    <w:rsid w:val="007B5981"/>
    <w:rsid w:val="007B5A1C"/>
    <w:rsid w:val="007B5AB7"/>
    <w:rsid w:val="007B5BC3"/>
    <w:rsid w:val="007B5C20"/>
    <w:rsid w:val="007B5C4B"/>
    <w:rsid w:val="007B5D4A"/>
    <w:rsid w:val="007B5DC7"/>
    <w:rsid w:val="007B5DEB"/>
    <w:rsid w:val="007B5E53"/>
    <w:rsid w:val="007B5E95"/>
    <w:rsid w:val="007B5F16"/>
    <w:rsid w:val="007B5F6A"/>
    <w:rsid w:val="007B5F7F"/>
    <w:rsid w:val="007B60D5"/>
    <w:rsid w:val="007B62F5"/>
    <w:rsid w:val="007B649F"/>
    <w:rsid w:val="007B654B"/>
    <w:rsid w:val="007B66ED"/>
    <w:rsid w:val="007B6843"/>
    <w:rsid w:val="007B6857"/>
    <w:rsid w:val="007B6895"/>
    <w:rsid w:val="007B689B"/>
    <w:rsid w:val="007B68C6"/>
    <w:rsid w:val="007B698C"/>
    <w:rsid w:val="007B6B08"/>
    <w:rsid w:val="007B6C0C"/>
    <w:rsid w:val="007B6C99"/>
    <w:rsid w:val="007B6CD8"/>
    <w:rsid w:val="007B6FE0"/>
    <w:rsid w:val="007B712F"/>
    <w:rsid w:val="007B720F"/>
    <w:rsid w:val="007B72A6"/>
    <w:rsid w:val="007B72E5"/>
    <w:rsid w:val="007B743E"/>
    <w:rsid w:val="007B7610"/>
    <w:rsid w:val="007B761A"/>
    <w:rsid w:val="007B76B9"/>
    <w:rsid w:val="007B7739"/>
    <w:rsid w:val="007B7777"/>
    <w:rsid w:val="007B77D7"/>
    <w:rsid w:val="007B7827"/>
    <w:rsid w:val="007B78B9"/>
    <w:rsid w:val="007B7902"/>
    <w:rsid w:val="007B79B8"/>
    <w:rsid w:val="007B79F7"/>
    <w:rsid w:val="007B7A1E"/>
    <w:rsid w:val="007B7B67"/>
    <w:rsid w:val="007B7BDD"/>
    <w:rsid w:val="007B7C25"/>
    <w:rsid w:val="007B7D5C"/>
    <w:rsid w:val="007B7DE1"/>
    <w:rsid w:val="007B7DE8"/>
    <w:rsid w:val="007B7EC9"/>
    <w:rsid w:val="007B7F0E"/>
    <w:rsid w:val="007B7FCD"/>
    <w:rsid w:val="007C0021"/>
    <w:rsid w:val="007C011B"/>
    <w:rsid w:val="007C012F"/>
    <w:rsid w:val="007C02D3"/>
    <w:rsid w:val="007C033F"/>
    <w:rsid w:val="007C0372"/>
    <w:rsid w:val="007C037C"/>
    <w:rsid w:val="007C0422"/>
    <w:rsid w:val="007C0480"/>
    <w:rsid w:val="007C0550"/>
    <w:rsid w:val="007C05AF"/>
    <w:rsid w:val="007C081E"/>
    <w:rsid w:val="007C08BA"/>
    <w:rsid w:val="007C0C03"/>
    <w:rsid w:val="007C0CB9"/>
    <w:rsid w:val="007C0D59"/>
    <w:rsid w:val="007C0EB0"/>
    <w:rsid w:val="007C0ED7"/>
    <w:rsid w:val="007C0FAD"/>
    <w:rsid w:val="007C1046"/>
    <w:rsid w:val="007C113F"/>
    <w:rsid w:val="007C128B"/>
    <w:rsid w:val="007C12FD"/>
    <w:rsid w:val="007C1312"/>
    <w:rsid w:val="007C1380"/>
    <w:rsid w:val="007C1499"/>
    <w:rsid w:val="007C14EB"/>
    <w:rsid w:val="007C1553"/>
    <w:rsid w:val="007C155B"/>
    <w:rsid w:val="007C160F"/>
    <w:rsid w:val="007C178C"/>
    <w:rsid w:val="007C1824"/>
    <w:rsid w:val="007C18AD"/>
    <w:rsid w:val="007C1A7C"/>
    <w:rsid w:val="007C1B1C"/>
    <w:rsid w:val="007C1B74"/>
    <w:rsid w:val="007C1DC1"/>
    <w:rsid w:val="007C1EAC"/>
    <w:rsid w:val="007C1ED7"/>
    <w:rsid w:val="007C1F0A"/>
    <w:rsid w:val="007C1F79"/>
    <w:rsid w:val="007C207F"/>
    <w:rsid w:val="007C20D5"/>
    <w:rsid w:val="007C2174"/>
    <w:rsid w:val="007C21C7"/>
    <w:rsid w:val="007C22F4"/>
    <w:rsid w:val="007C2303"/>
    <w:rsid w:val="007C2374"/>
    <w:rsid w:val="007C23BE"/>
    <w:rsid w:val="007C23E9"/>
    <w:rsid w:val="007C2585"/>
    <w:rsid w:val="007C2658"/>
    <w:rsid w:val="007C27D6"/>
    <w:rsid w:val="007C291E"/>
    <w:rsid w:val="007C2A11"/>
    <w:rsid w:val="007C2E87"/>
    <w:rsid w:val="007C2EF0"/>
    <w:rsid w:val="007C2F14"/>
    <w:rsid w:val="007C2F32"/>
    <w:rsid w:val="007C30AF"/>
    <w:rsid w:val="007C3138"/>
    <w:rsid w:val="007C31EB"/>
    <w:rsid w:val="007C3237"/>
    <w:rsid w:val="007C32AA"/>
    <w:rsid w:val="007C3376"/>
    <w:rsid w:val="007C3411"/>
    <w:rsid w:val="007C34E6"/>
    <w:rsid w:val="007C355D"/>
    <w:rsid w:val="007C37A1"/>
    <w:rsid w:val="007C380C"/>
    <w:rsid w:val="007C3823"/>
    <w:rsid w:val="007C38D5"/>
    <w:rsid w:val="007C390A"/>
    <w:rsid w:val="007C3910"/>
    <w:rsid w:val="007C39B5"/>
    <w:rsid w:val="007C3AC3"/>
    <w:rsid w:val="007C3ADC"/>
    <w:rsid w:val="007C3C38"/>
    <w:rsid w:val="007C3CC2"/>
    <w:rsid w:val="007C3D35"/>
    <w:rsid w:val="007C3E54"/>
    <w:rsid w:val="007C3FA6"/>
    <w:rsid w:val="007C3FAE"/>
    <w:rsid w:val="007C4115"/>
    <w:rsid w:val="007C4167"/>
    <w:rsid w:val="007C41B9"/>
    <w:rsid w:val="007C42A6"/>
    <w:rsid w:val="007C4409"/>
    <w:rsid w:val="007C44C8"/>
    <w:rsid w:val="007C45B4"/>
    <w:rsid w:val="007C45E3"/>
    <w:rsid w:val="007C464A"/>
    <w:rsid w:val="007C466A"/>
    <w:rsid w:val="007C47DE"/>
    <w:rsid w:val="007C493F"/>
    <w:rsid w:val="007C495C"/>
    <w:rsid w:val="007C4A67"/>
    <w:rsid w:val="007C4C29"/>
    <w:rsid w:val="007C4C84"/>
    <w:rsid w:val="007C4FF5"/>
    <w:rsid w:val="007C527D"/>
    <w:rsid w:val="007C53D8"/>
    <w:rsid w:val="007C53F5"/>
    <w:rsid w:val="007C5467"/>
    <w:rsid w:val="007C59A0"/>
    <w:rsid w:val="007C5CB0"/>
    <w:rsid w:val="007C5D15"/>
    <w:rsid w:val="007C5EBB"/>
    <w:rsid w:val="007C5F94"/>
    <w:rsid w:val="007C600E"/>
    <w:rsid w:val="007C625E"/>
    <w:rsid w:val="007C626C"/>
    <w:rsid w:val="007C6304"/>
    <w:rsid w:val="007C6351"/>
    <w:rsid w:val="007C63CE"/>
    <w:rsid w:val="007C64E1"/>
    <w:rsid w:val="007C668F"/>
    <w:rsid w:val="007C6860"/>
    <w:rsid w:val="007C6BFE"/>
    <w:rsid w:val="007C6C0F"/>
    <w:rsid w:val="007C6E07"/>
    <w:rsid w:val="007C723E"/>
    <w:rsid w:val="007C7271"/>
    <w:rsid w:val="007C74B3"/>
    <w:rsid w:val="007C74CF"/>
    <w:rsid w:val="007C74E9"/>
    <w:rsid w:val="007C74EF"/>
    <w:rsid w:val="007C75B8"/>
    <w:rsid w:val="007C75F0"/>
    <w:rsid w:val="007C762C"/>
    <w:rsid w:val="007C762E"/>
    <w:rsid w:val="007C7674"/>
    <w:rsid w:val="007C76AB"/>
    <w:rsid w:val="007C76CE"/>
    <w:rsid w:val="007C77DF"/>
    <w:rsid w:val="007C798E"/>
    <w:rsid w:val="007C79E7"/>
    <w:rsid w:val="007C7A8A"/>
    <w:rsid w:val="007C7D0E"/>
    <w:rsid w:val="007C7DF3"/>
    <w:rsid w:val="007D00F4"/>
    <w:rsid w:val="007D00F8"/>
    <w:rsid w:val="007D020B"/>
    <w:rsid w:val="007D05F1"/>
    <w:rsid w:val="007D0822"/>
    <w:rsid w:val="007D0990"/>
    <w:rsid w:val="007D09B6"/>
    <w:rsid w:val="007D0B04"/>
    <w:rsid w:val="007D0BBD"/>
    <w:rsid w:val="007D0BD4"/>
    <w:rsid w:val="007D0E01"/>
    <w:rsid w:val="007D0E47"/>
    <w:rsid w:val="007D109C"/>
    <w:rsid w:val="007D10DA"/>
    <w:rsid w:val="007D11EB"/>
    <w:rsid w:val="007D1256"/>
    <w:rsid w:val="007D128F"/>
    <w:rsid w:val="007D1332"/>
    <w:rsid w:val="007D1356"/>
    <w:rsid w:val="007D1525"/>
    <w:rsid w:val="007D15F5"/>
    <w:rsid w:val="007D160A"/>
    <w:rsid w:val="007D16CC"/>
    <w:rsid w:val="007D17CF"/>
    <w:rsid w:val="007D18F9"/>
    <w:rsid w:val="007D1923"/>
    <w:rsid w:val="007D1B5E"/>
    <w:rsid w:val="007D1B80"/>
    <w:rsid w:val="007D1B85"/>
    <w:rsid w:val="007D1C50"/>
    <w:rsid w:val="007D1D7F"/>
    <w:rsid w:val="007D1DC5"/>
    <w:rsid w:val="007D1EBC"/>
    <w:rsid w:val="007D1ED3"/>
    <w:rsid w:val="007D2169"/>
    <w:rsid w:val="007D24D4"/>
    <w:rsid w:val="007D250B"/>
    <w:rsid w:val="007D2567"/>
    <w:rsid w:val="007D262E"/>
    <w:rsid w:val="007D28B1"/>
    <w:rsid w:val="007D28E9"/>
    <w:rsid w:val="007D2A32"/>
    <w:rsid w:val="007D2AA3"/>
    <w:rsid w:val="007D2AF9"/>
    <w:rsid w:val="007D2CC1"/>
    <w:rsid w:val="007D2D15"/>
    <w:rsid w:val="007D2DE2"/>
    <w:rsid w:val="007D2E15"/>
    <w:rsid w:val="007D2F91"/>
    <w:rsid w:val="007D321A"/>
    <w:rsid w:val="007D322A"/>
    <w:rsid w:val="007D325D"/>
    <w:rsid w:val="007D333D"/>
    <w:rsid w:val="007D34FE"/>
    <w:rsid w:val="007D3506"/>
    <w:rsid w:val="007D35DE"/>
    <w:rsid w:val="007D361E"/>
    <w:rsid w:val="007D3833"/>
    <w:rsid w:val="007D3886"/>
    <w:rsid w:val="007D388C"/>
    <w:rsid w:val="007D39A0"/>
    <w:rsid w:val="007D39B0"/>
    <w:rsid w:val="007D3A0F"/>
    <w:rsid w:val="007D3AB8"/>
    <w:rsid w:val="007D3C7E"/>
    <w:rsid w:val="007D3CCB"/>
    <w:rsid w:val="007D3CEA"/>
    <w:rsid w:val="007D3D41"/>
    <w:rsid w:val="007D3E06"/>
    <w:rsid w:val="007D3F21"/>
    <w:rsid w:val="007D3F32"/>
    <w:rsid w:val="007D4265"/>
    <w:rsid w:val="007D446E"/>
    <w:rsid w:val="007D4545"/>
    <w:rsid w:val="007D4646"/>
    <w:rsid w:val="007D467A"/>
    <w:rsid w:val="007D468E"/>
    <w:rsid w:val="007D46AB"/>
    <w:rsid w:val="007D46D1"/>
    <w:rsid w:val="007D4721"/>
    <w:rsid w:val="007D47A4"/>
    <w:rsid w:val="007D4911"/>
    <w:rsid w:val="007D499B"/>
    <w:rsid w:val="007D49D6"/>
    <w:rsid w:val="007D4AF4"/>
    <w:rsid w:val="007D4B2A"/>
    <w:rsid w:val="007D4C01"/>
    <w:rsid w:val="007D4C19"/>
    <w:rsid w:val="007D4D06"/>
    <w:rsid w:val="007D4E21"/>
    <w:rsid w:val="007D4F90"/>
    <w:rsid w:val="007D5170"/>
    <w:rsid w:val="007D51E1"/>
    <w:rsid w:val="007D5223"/>
    <w:rsid w:val="007D5280"/>
    <w:rsid w:val="007D52B4"/>
    <w:rsid w:val="007D52C9"/>
    <w:rsid w:val="007D531C"/>
    <w:rsid w:val="007D53FC"/>
    <w:rsid w:val="007D547E"/>
    <w:rsid w:val="007D5626"/>
    <w:rsid w:val="007D5AEF"/>
    <w:rsid w:val="007D5B18"/>
    <w:rsid w:val="007D5B54"/>
    <w:rsid w:val="007D5C7C"/>
    <w:rsid w:val="007D5DDA"/>
    <w:rsid w:val="007D5DEF"/>
    <w:rsid w:val="007D6167"/>
    <w:rsid w:val="007D6229"/>
    <w:rsid w:val="007D65DC"/>
    <w:rsid w:val="007D6649"/>
    <w:rsid w:val="007D6716"/>
    <w:rsid w:val="007D67FE"/>
    <w:rsid w:val="007D68D6"/>
    <w:rsid w:val="007D691F"/>
    <w:rsid w:val="007D697B"/>
    <w:rsid w:val="007D69E6"/>
    <w:rsid w:val="007D6A20"/>
    <w:rsid w:val="007D6BAE"/>
    <w:rsid w:val="007D6EDD"/>
    <w:rsid w:val="007D6F56"/>
    <w:rsid w:val="007D6F60"/>
    <w:rsid w:val="007D6F9D"/>
    <w:rsid w:val="007D70BC"/>
    <w:rsid w:val="007D70BF"/>
    <w:rsid w:val="007D72B0"/>
    <w:rsid w:val="007D72B2"/>
    <w:rsid w:val="007D7302"/>
    <w:rsid w:val="007D7414"/>
    <w:rsid w:val="007D74BE"/>
    <w:rsid w:val="007D753D"/>
    <w:rsid w:val="007D7586"/>
    <w:rsid w:val="007D767A"/>
    <w:rsid w:val="007D77D4"/>
    <w:rsid w:val="007D783A"/>
    <w:rsid w:val="007D7886"/>
    <w:rsid w:val="007D789B"/>
    <w:rsid w:val="007D78A5"/>
    <w:rsid w:val="007D78E1"/>
    <w:rsid w:val="007D7930"/>
    <w:rsid w:val="007D7946"/>
    <w:rsid w:val="007D7963"/>
    <w:rsid w:val="007D7998"/>
    <w:rsid w:val="007D7ACE"/>
    <w:rsid w:val="007D7B1C"/>
    <w:rsid w:val="007D7C13"/>
    <w:rsid w:val="007D7C2E"/>
    <w:rsid w:val="007D7CBA"/>
    <w:rsid w:val="007D7D2A"/>
    <w:rsid w:val="007D7D2E"/>
    <w:rsid w:val="007D7D57"/>
    <w:rsid w:val="007D7D7B"/>
    <w:rsid w:val="007D7E21"/>
    <w:rsid w:val="007D7F07"/>
    <w:rsid w:val="007D7FAE"/>
    <w:rsid w:val="007D7FC6"/>
    <w:rsid w:val="007D7FEA"/>
    <w:rsid w:val="007E01EF"/>
    <w:rsid w:val="007E049A"/>
    <w:rsid w:val="007E04E6"/>
    <w:rsid w:val="007E0520"/>
    <w:rsid w:val="007E081C"/>
    <w:rsid w:val="007E0874"/>
    <w:rsid w:val="007E08DA"/>
    <w:rsid w:val="007E092C"/>
    <w:rsid w:val="007E0954"/>
    <w:rsid w:val="007E096D"/>
    <w:rsid w:val="007E0A7C"/>
    <w:rsid w:val="007E0B00"/>
    <w:rsid w:val="007E0B13"/>
    <w:rsid w:val="007E0BD2"/>
    <w:rsid w:val="007E0D89"/>
    <w:rsid w:val="007E0E47"/>
    <w:rsid w:val="007E1078"/>
    <w:rsid w:val="007E10C1"/>
    <w:rsid w:val="007E1535"/>
    <w:rsid w:val="007E15C4"/>
    <w:rsid w:val="007E164E"/>
    <w:rsid w:val="007E18AD"/>
    <w:rsid w:val="007E1914"/>
    <w:rsid w:val="007E1BA4"/>
    <w:rsid w:val="007E1C72"/>
    <w:rsid w:val="007E1ECC"/>
    <w:rsid w:val="007E1EEB"/>
    <w:rsid w:val="007E1FBA"/>
    <w:rsid w:val="007E2012"/>
    <w:rsid w:val="007E206D"/>
    <w:rsid w:val="007E210E"/>
    <w:rsid w:val="007E22FF"/>
    <w:rsid w:val="007E2312"/>
    <w:rsid w:val="007E236A"/>
    <w:rsid w:val="007E2394"/>
    <w:rsid w:val="007E24EF"/>
    <w:rsid w:val="007E2555"/>
    <w:rsid w:val="007E255E"/>
    <w:rsid w:val="007E2614"/>
    <w:rsid w:val="007E273E"/>
    <w:rsid w:val="007E2973"/>
    <w:rsid w:val="007E29B9"/>
    <w:rsid w:val="007E29C3"/>
    <w:rsid w:val="007E2A8C"/>
    <w:rsid w:val="007E2B8D"/>
    <w:rsid w:val="007E2C16"/>
    <w:rsid w:val="007E2CA2"/>
    <w:rsid w:val="007E2D21"/>
    <w:rsid w:val="007E2D47"/>
    <w:rsid w:val="007E2FAF"/>
    <w:rsid w:val="007E30C9"/>
    <w:rsid w:val="007E310C"/>
    <w:rsid w:val="007E32DF"/>
    <w:rsid w:val="007E33BE"/>
    <w:rsid w:val="007E3414"/>
    <w:rsid w:val="007E359E"/>
    <w:rsid w:val="007E3652"/>
    <w:rsid w:val="007E36FC"/>
    <w:rsid w:val="007E38F1"/>
    <w:rsid w:val="007E3968"/>
    <w:rsid w:val="007E3A6C"/>
    <w:rsid w:val="007E3A87"/>
    <w:rsid w:val="007E3CEE"/>
    <w:rsid w:val="007E3D22"/>
    <w:rsid w:val="007E3D43"/>
    <w:rsid w:val="007E3EAB"/>
    <w:rsid w:val="007E4030"/>
    <w:rsid w:val="007E40CB"/>
    <w:rsid w:val="007E4218"/>
    <w:rsid w:val="007E4494"/>
    <w:rsid w:val="007E44AE"/>
    <w:rsid w:val="007E45A6"/>
    <w:rsid w:val="007E47C6"/>
    <w:rsid w:val="007E47FF"/>
    <w:rsid w:val="007E4846"/>
    <w:rsid w:val="007E488D"/>
    <w:rsid w:val="007E4AFE"/>
    <w:rsid w:val="007E4B9B"/>
    <w:rsid w:val="007E4C34"/>
    <w:rsid w:val="007E4C8D"/>
    <w:rsid w:val="007E4DFD"/>
    <w:rsid w:val="007E4EE9"/>
    <w:rsid w:val="007E50EE"/>
    <w:rsid w:val="007E5156"/>
    <w:rsid w:val="007E51FD"/>
    <w:rsid w:val="007E5219"/>
    <w:rsid w:val="007E5274"/>
    <w:rsid w:val="007E5398"/>
    <w:rsid w:val="007E53B4"/>
    <w:rsid w:val="007E53DA"/>
    <w:rsid w:val="007E55B6"/>
    <w:rsid w:val="007E56AB"/>
    <w:rsid w:val="007E5978"/>
    <w:rsid w:val="007E59A0"/>
    <w:rsid w:val="007E5B28"/>
    <w:rsid w:val="007E5CA9"/>
    <w:rsid w:val="007E5D5B"/>
    <w:rsid w:val="007E5D7E"/>
    <w:rsid w:val="007E5E2A"/>
    <w:rsid w:val="007E5EF8"/>
    <w:rsid w:val="007E6062"/>
    <w:rsid w:val="007E63D0"/>
    <w:rsid w:val="007E63E2"/>
    <w:rsid w:val="007E66CF"/>
    <w:rsid w:val="007E671F"/>
    <w:rsid w:val="007E6861"/>
    <w:rsid w:val="007E68BA"/>
    <w:rsid w:val="007E68BC"/>
    <w:rsid w:val="007E68FF"/>
    <w:rsid w:val="007E6934"/>
    <w:rsid w:val="007E6A1D"/>
    <w:rsid w:val="007E6A9D"/>
    <w:rsid w:val="007E6AA7"/>
    <w:rsid w:val="007E6AC5"/>
    <w:rsid w:val="007E6B03"/>
    <w:rsid w:val="007E6B1E"/>
    <w:rsid w:val="007E6B25"/>
    <w:rsid w:val="007E6CB0"/>
    <w:rsid w:val="007E6D6F"/>
    <w:rsid w:val="007E6E7C"/>
    <w:rsid w:val="007E702F"/>
    <w:rsid w:val="007E70D9"/>
    <w:rsid w:val="007E70F5"/>
    <w:rsid w:val="007E71E1"/>
    <w:rsid w:val="007E720A"/>
    <w:rsid w:val="007E72F0"/>
    <w:rsid w:val="007E7547"/>
    <w:rsid w:val="007E78C1"/>
    <w:rsid w:val="007E78EE"/>
    <w:rsid w:val="007E79B6"/>
    <w:rsid w:val="007E7B08"/>
    <w:rsid w:val="007E7C45"/>
    <w:rsid w:val="007E7D5F"/>
    <w:rsid w:val="007E7D61"/>
    <w:rsid w:val="007E7D69"/>
    <w:rsid w:val="007E7E35"/>
    <w:rsid w:val="007E7EB0"/>
    <w:rsid w:val="007E7F5C"/>
    <w:rsid w:val="007E7FAE"/>
    <w:rsid w:val="007F0001"/>
    <w:rsid w:val="007F0079"/>
    <w:rsid w:val="007F02D2"/>
    <w:rsid w:val="007F034A"/>
    <w:rsid w:val="007F036E"/>
    <w:rsid w:val="007F0397"/>
    <w:rsid w:val="007F03CA"/>
    <w:rsid w:val="007F03CE"/>
    <w:rsid w:val="007F04C0"/>
    <w:rsid w:val="007F0518"/>
    <w:rsid w:val="007F0549"/>
    <w:rsid w:val="007F0552"/>
    <w:rsid w:val="007F05DC"/>
    <w:rsid w:val="007F05EE"/>
    <w:rsid w:val="007F06FC"/>
    <w:rsid w:val="007F07A9"/>
    <w:rsid w:val="007F08F7"/>
    <w:rsid w:val="007F0A17"/>
    <w:rsid w:val="007F0AFC"/>
    <w:rsid w:val="007F0BCB"/>
    <w:rsid w:val="007F0F62"/>
    <w:rsid w:val="007F0F8B"/>
    <w:rsid w:val="007F117C"/>
    <w:rsid w:val="007F142C"/>
    <w:rsid w:val="007F153E"/>
    <w:rsid w:val="007F15BD"/>
    <w:rsid w:val="007F175F"/>
    <w:rsid w:val="007F19B0"/>
    <w:rsid w:val="007F1A3C"/>
    <w:rsid w:val="007F1AA7"/>
    <w:rsid w:val="007F1B38"/>
    <w:rsid w:val="007F1B77"/>
    <w:rsid w:val="007F1C45"/>
    <w:rsid w:val="007F1D09"/>
    <w:rsid w:val="007F2078"/>
    <w:rsid w:val="007F20C7"/>
    <w:rsid w:val="007F225B"/>
    <w:rsid w:val="007F22A3"/>
    <w:rsid w:val="007F24C7"/>
    <w:rsid w:val="007F24CC"/>
    <w:rsid w:val="007F25A4"/>
    <w:rsid w:val="007F2655"/>
    <w:rsid w:val="007F2753"/>
    <w:rsid w:val="007F275D"/>
    <w:rsid w:val="007F27EF"/>
    <w:rsid w:val="007F29DB"/>
    <w:rsid w:val="007F29F7"/>
    <w:rsid w:val="007F2A4B"/>
    <w:rsid w:val="007F2B14"/>
    <w:rsid w:val="007F2BAF"/>
    <w:rsid w:val="007F2E71"/>
    <w:rsid w:val="007F2EB1"/>
    <w:rsid w:val="007F2F51"/>
    <w:rsid w:val="007F2FB3"/>
    <w:rsid w:val="007F3231"/>
    <w:rsid w:val="007F3414"/>
    <w:rsid w:val="007F3530"/>
    <w:rsid w:val="007F3588"/>
    <w:rsid w:val="007F35AE"/>
    <w:rsid w:val="007F35F9"/>
    <w:rsid w:val="007F37B1"/>
    <w:rsid w:val="007F38D5"/>
    <w:rsid w:val="007F392F"/>
    <w:rsid w:val="007F394B"/>
    <w:rsid w:val="007F3AC7"/>
    <w:rsid w:val="007F3AEF"/>
    <w:rsid w:val="007F3AF5"/>
    <w:rsid w:val="007F3AFD"/>
    <w:rsid w:val="007F3C32"/>
    <w:rsid w:val="007F3C59"/>
    <w:rsid w:val="007F3E17"/>
    <w:rsid w:val="007F3E28"/>
    <w:rsid w:val="007F3E39"/>
    <w:rsid w:val="007F3ECC"/>
    <w:rsid w:val="007F3F2E"/>
    <w:rsid w:val="007F3FB2"/>
    <w:rsid w:val="007F406E"/>
    <w:rsid w:val="007F4160"/>
    <w:rsid w:val="007F42DE"/>
    <w:rsid w:val="007F43F7"/>
    <w:rsid w:val="007F45AD"/>
    <w:rsid w:val="007F45BB"/>
    <w:rsid w:val="007F462A"/>
    <w:rsid w:val="007F48B6"/>
    <w:rsid w:val="007F48DE"/>
    <w:rsid w:val="007F48FF"/>
    <w:rsid w:val="007F499B"/>
    <w:rsid w:val="007F49C3"/>
    <w:rsid w:val="007F4A07"/>
    <w:rsid w:val="007F4A92"/>
    <w:rsid w:val="007F4C75"/>
    <w:rsid w:val="007F5096"/>
    <w:rsid w:val="007F5134"/>
    <w:rsid w:val="007F52C5"/>
    <w:rsid w:val="007F536B"/>
    <w:rsid w:val="007F5374"/>
    <w:rsid w:val="007F5395"/>
    <w:rsid w:val="007F53F9"/>
    <w:rsid w:val="007F540E"/>
    <w:rsid w:val="007F5513"/>
    <w:rsid w:val="007F5657"/>
    <w:rsid w:val="007F570D"/>
    <w:rsid w:val="007F5888"/>
    <w:rsid w:val="007F5932"/>
    <w:rsid w:val="007F5A88"/>
    <w:rsid w:val="007F5AF2"/>
    <w:rsid w:val="007F5D38"/>
    <w:rsid w:val="007F5D56"/>
    <w:rsid w:val="007F5D71"/>
    <w:rsid w:val="007F5DDF"/>
    <w:rsid w:val="007F5E27"/>
    <w:rsid w:val="007F5ECF"/>
    <w:rsid w:val="007F64E6"/>
    <w:rsid w:val="007F654A"/>
    <w:rsid w:val="007F6670"/>
    <w:rsid w:val="007F66C3"/>
    <w:rsid w:val="007F6865"/>
    <w:rsid w:val="007F6975"/>
    <w:rsid w:val="007F6BF9"/>
    <w:rsid w:val="007F6C5B"/>
    <w:rsid w:val="007F6D72"/>
    <w:rsid w:val="007F6E1D"/>
    <w:rsid w:val="007F6F4A"/>
    <w:rsid w:val="007F7062"/>
    <w:rsid w:val="007F706A"/>
    <w:rsid w:val="007F75B2"/>
    <w:rsid w:val="007F76A6"/>
    <w:rsid w:val="007F76FB"/>
    <w:rsid w:val="007F7797"/>
    <w:rsid w:val="007F7892"/>
    <w:rsid w:val="007F789D"/>
    <w:rsid w:val="007F7A36"/>
    <w:rsid w:val="007F7B1F"/>
    <w:rsid w:val="007F7D12"/>
    <w:rsid w:val="007F7DA4"/>
    <w:rsid w:val="007F7ECB"/>
    <w:rsid w:val="007F7EED"/>
    <w:rsid w:val="007F7F0E"/>
    <w:rsid w:val="007F7F80"/>
    <w:rsid w:val="007F7FFB"/>
    <w:rsid w:val="0080014D"/>
    <w:rsid w:val="00800171"/>
    <w:rsid w:val="0080019A"/>
    <w:rsid w:val="00800271"/>
    <w:rsid w:val="008002C6"/>
    <w:rsid w:val="00800379"/>
    <w:rsid w:val="008003B0"/>
    <w:rsid w:val="008003D1"/>
    <w:rsid w:val="00800454"/>
    <w:rsid w:val="0080048F"/>
    <w:rsid w:val="0080062F"/>
    <w:rsid w:val="008006F8"/>
    <w:rsid w:val="0080070E"/>
    <w:rsid w:val="008007D7"/>
    <w:rsid w:val="00800925"/>
    <w:rsid w:val="008009B4"/>
    <w:rsid w:val="00800CBB"/>
    <w:rsid w:val="00800CE7"/>
    <w:rsid w:val="00800D20"/>
    <w:rsid w:val="00800E0E"/>
    <w:rsid w:val="00800F14"/>
    <w:rsid w:val="00801008"/>
    <w:rsid w:val="0080109F"/>
    <w:rsid w:val="0080110F"/>
    <w:rsid w:val="00801196"/>
    <w:rsid w:val="008011FC"/>
    <w:rsid w:val="00801274"/>
    <w:rsid w:val="00801302"/>
    <w:rsid w:val="00801324"/>
    <w:rsid w:val="00801372"/>
    <w:rsid w:val="00801379"/>
    <w:rsid w:val="008014C5"/>
    <w:rsid w:val="008014D6"/>
    <w:rsid w:val="0080154A"/>
    <w:rsid w:val="0080172C"/>
    <w:rsid w:val="0080177B"/>
    <w:rsid w:val="0080181F"/>
    <w:rsid w:val="0080182F"/>
    <w:rsid w:val="00801864"/>
    <w:rsid w:val="008018B8"/>
    <w:rsid w:val="00801A17"/>
    <w:rsid w:val="00801B66"/>
    <w:rsid w:val="00801B8B"/>
    <w:rsid w:val="00801D26"/>
    <w:rsid w:val="00801E0F"/>
    <w:rsid w:val="00801F18"/>
    <w:rsid w:val="00802068"/>
    <w:rsid w:val="0080216B"/>
    <w:rsid w:val="008021C9"/>
    <w:rsid w:val="0080224C"/>
    <w:rsid w:val="00802260"/>
    <w:rsid w:val="008022B6"/>
    <w:rsid w:val="00802384"/>
    <w:rsid w:val="0080243A"/>
    <w:rsid w:val="008026CD"/>
    <w:rsid w:val="00802A9E"/>
    <w:rsid w:val="00802B4C"/>
    <w:rsid w:val="00802D1E"/>
    <w:rsid w:val="00802DF2"/>
    <w:rsid w:val="00802DFB"/>
    <w:rsid w:val="00802FB8"/>
    <w:rsid w:val="00802FD6"/>
    <w:rsid w:val="00803273"/>
    <w:rsid w:val="0080327B"/>
    <w:rsid w:val="00803464"/>
    <w:rsid w:val="00803517"/>
    <w:rsid w:val="0080363D"/>
    <w:rsid w:val="008036B7"/>
    <w:rsid w:val="0080375B"/>
    <w:rsid w:val="008038FC"/>
    <w:rsid w:val="00803955"/>
    <w:rsid w:val="00803B15"/>
    <w:rsid w:val="00803ED4"/>
    <w:rsid w:val="00803FC8"/>
    <w:rsid w:val="00803FDC"/>
    <w:rsid w:val="0080405C"/>
    <w:rsid w:val="0080407F"/>
    <w:rsid w:val="00804092"/>
    <w:rsid w:val="00804206"/>
    <w:rsid w:val="0080448E"/>
    <w:rsid w:val="008044C2"/>
    <w:rsid w:val="00804532"/>
    <w:rsid w:val="00804553"/>
    <w:rsid w:val="0080458F"/>
    <w:rsid w:val="00804595"/>
    <w:rsid w:val="008047C5"/>
    <w:rsid w:val="008049CE"/>
    <w:rsid w:val="00804A19"/>
    <w:rsid w:val="00804AAC"/>
    <w:rsid w:val="00804B51"/>
    <w:rsid w:val="00804C92"/>
    <w:rsid w:val="00804CD5"/>
    <w:rsid w:val="00804DE7"/>
    <w:rsid w:val="00804E94"/>
    <w:rsid w:val="00804F01"/>
    <w:rsid w:val="00804F85"/>
    <w:rsid w:val="00804FF3"/>
    <w:rsid w:val="00805066"/>
    <w:rsid w:val="008053E3"/>
    <w:rsid w:val="00805419"/>
    <w:rsid w:val="0080546F"/>
    <w:rsid w:val="008054A2"/>
    <w:rsid w:val="00805532"/>
    <w:rsid w:val="00805569"/>
    <w:rsid w:val="0080563E"/>
    <w:rsid w:val="00805656"/>
    <w:rsid w:val="00805A5D"/>
    <w:rsid w:val="00805A7D"/>
    <w:rsid w:val="00805AEC"/>
    <w:rsid w:val="00805AED"/>
    <w:rsid w:val="00805D14"/>
    <w:rsid w:val="00805E8D"/>
    <w:rsid w:val="0080607C"/>
    <w:rsid w:val="008060D7"/>
    <w:rsid w:val="0080626A"/>
    <w:rsid w:val="008062B1"/>
    <w:rsid w:val="00806329"/>
    <w:rsid w:val="00806473"/>
    <w:rsid w:val="008064C1"/>
    <w:rsid w:val="00806575"/>
    <w:rsid w:val="00806598"/>
    <w:rsid w:val="008066AF"/>
    <w:rsid w:val="0080678C"/>
    <w:rsid w:val="0080681D"/>
    <w:rsid w:val="00806936"/>
    <w:rsid w:val="00806A74"/>
    <w:rsid w:val="00806C4F"/>
    <w:rsid w:val="0080705F"/>
    <w:rsid w:val="00807070"/>
    <w:rsid w:val="00807164"/>
    <w:rsid w:val="00807227"/>
    <w:rsid w:val="00807471"/>
    <w:rsid w:val="00807535"/>
    <w:rsid w:val="00807730"/>
    <w:rsid w:val="00807754"/>
    <w:rsid w:val="008077E9"/>
    <w:rsid w:val="008078E1"/>
    <w:rsid w:val="0080797C"/>
    <w:rsid w:val="008079F0"/>
    <w:rsid w:val="00807B08"/>
    <w:rsid w:val="00807C1E"/>
    <w:rsid w:val="00807E6F"/>
    <w:rsid w:val="00807EB4"/>
    <w:rsid w:val="00807EBB"/>
    <w:rsid w:val="00807FDF"/>
    <w:rsid w:val="00807FE7"/>
    <w:rsid w:val="00810117"/>
    <w:rsid w:val="0081015A"/>
    <w:rsid w:val="008101DA"/>
    <w:rsid w:val="00810244"/>
    <w:rsid w:val="0081028C"/>
    <w:rsid w:val="008102F7"/>
    <w:rsid w:val="0081059E"/>
    <w:rsid w:val="0081065C"/>
    <w:rsid w:val="00810702"/>
    <w:rsid w:val="0081085A"/>
    <w:rsid w:val="008108C0"/>
    <w:rsid w:val="00810A95"/>
    <w:rsid w:val="00810B02"/>
    <w:rsid w:val="00810B0B"/>
    <w:rsid w:val="00810C65"/>
    <w:rsid w:val="00810CA6"/>
    <w:rsid w:val="00810DFA"/>
    <w:rsid w:val="00810E23"/>
    <w:rsid w:val="00810F92"/>
    <w:rsid w:val="00811124"/>
    <w:rsid w:val="0081118B"/>
    <w:rsid w:val="00811363"/>
    <w:rsid w:val="008113C9"/>
    <w:rsid w:val="008113CF"/>
    <w:rsid w:val="00811492"/>
    <w:rsid w:val="008114E0"/>
    <w:rsid w:val="0081155F"/>
    <w:rsid w:val="0081157A"/>
    <w:rsid w:val="00811644"/>
    <w:rsid w:val="008119B5"/>
    <w:rsid w:val="008119CF"/>
    <w:rsid w:val="00811A28"/>
    <w:rsid w:val="00811B2B"/>
    <w:rsid w:val="00811C62"/>
    <w:rsid w:val="00811D38"/>
    <w:rsid w:val="00811D75"/>
    <w:rsid w:val="00811DE5"/>
    <w:rsid w:val="00811E06"/>
    <w:rsid w:val="00812111"/>
    <w:rsid w:val="008123C5"/>
    <w:rsid w:val="00812426"/>
    <w:rsid w:val="00812810"/>
    <w:rsid w:val="00812831"/>
    <w:rsid w:val="0081284B"/>
    <w:rsid w:val="00812852"/>
    <w:rsid w:val="008129B4"/>
    <w:rsid w:val="00812D51"/>
    <w:rsid w:val="00812D6A"/>
    <w:rsid w:val="00812F86"/>
    <w:rsid w:val="00812F92"/>
    <w:rsid w:val="0081300E"/>
    <w:rsid w:val="008130B6"/>
    <w:rsid w:val="008131F0"/>
    <w:rsid w:val="00813316"/>
    <w:rsid w:val="00813433"/>
    <w:rsid w:val="00813470"/>
    <w:rsid w:val="008134F3"/>
    <w:rsid w:val="008135F3"/>
    <w:rsid w:val="008137AB"/>
    <w:rsid w:val="00813939"/>
    <w:rsid w:val="00813963"/>
    <w:rsid w:val="008139DA"/>
    <w:rsid w:val="00813C41"/>
    <w:rsid w:val="00813C94"/>
    <w:rsid w:val="00813D8E"/>
    <w:rsid w:val="00813F34"/>
    <w:rsid w:val="0081420D"/>
    <w:rsid w:val="008142D3"/>
    <w:rsid w:val="008142EC"/>
    <w:rsid w:val="008143DF"/>
    <w:rsid w:val="00814460"/>
    <w:rsid w:val="008145F3"/>
    <w:rsid w:val="00814663"/>
    <w:rsid w:val="0081469F"/>
    <w:rsid w:val="0081478B"/>
    <w:rsid w:val="00814875"/>
    <w:rsid w:val="00814C18"/>
    <w:rsid w:val="00814D3C"/>
    <w:rsid w:val="00814D96"/>
    <w:rsid w:val="00815047"/>
    <w:rsid w:val="008151C8"/>
    <w:rsid w:val="00815307"/>
    <w:rsid w:val="00815368"/>
    <w:rsid w:val="008153EE"/>
    <w:rsid w:val="0081540D"/>
    <w:rsid w:val="00815489"/>
    <w:rsid w:val="00815574"/>
    <w:rsid w:val="008156D7"/>
    <w:rsid w:val="0081577F"/>
    <w:rsid w:val="00815798"/>
    <w:rsid w:val="00815866"/>
    <w:rsid w:val="0081590F"/>
    <w:rsid w:val="00815B80"/>
    <w:rsid w:val="00815C4C"/>
    <w:rsid w:val="00815D1E"/>
    <w:rsid w:val="00815D74"/>
    <w:rsid w:val="00815E22"/>
    <w:rsid w:val="00815F34"/>
    <w:rsid w:val="0081612A"/>
    <w:rsid w:val="008161E2"/>
    <w:rsid w:val="00816279"/>
    <w:rsid w:val="0081629E"/>
    <w:rsid w:val="008165DC"/>
    <w:rsid w:val="00816615"/>
    <w:rsid w:val="0081666B"/>
    <w:rsid w:val="008167E9"/>
    <w:rsid w:val="00816A63"/>
    <w:rsid w:val="00816AA8"/>
    <w:rsid w:val="00816AFB"/>
    <w:rsid w:val="00816BDD"/>
    <w:rsid w:val="00816D3F"/>
    <w:rsid w:val="00816D75"/>
    <w:rsid w:val="00816E15"/>
    <w:rsid w:val="00816EFD"/>
    <w:rsid w:val="00816F97"/>
    <w:rsid w:val="00816FAD"/>
    <w:rsid w:val="00817056"/>
    <w:rsid w:val="0081724D"/>
    <w:rsid w:val="008172D5"/>
    <w:rsid w:val="0081731A"/>
    <w:rsid w:val="00817400"/>
    <w:rsid w:val="008174B4"/>
    <w:rsid w:val="008174C1"/>
    <w:rsid w:val="008174DF"/>
    <w:rsid w:val="0081750B"/>
    <w:rsid w:val="008175D8"/>
    <w:rsid w:val="008178BE"/>
    <w:rsid w:val="008178E4"/>
    <w:rsid w:val="008178FE"/>
    <w:rsid w:val="00817A7F"/>
    <w:rsid w:val="00817ADE"/>
    <w:rsid w:val="00817AF8"/>
    <w:rsid w:val="00817B3B"/>
    <w:rsid w:val="00817BAA"/>
    <w:rsid w:val="00817BC5"/>
    <w:rsid w:val="00817CDA"/>
    <w:rsid w:val="00817E89"/>
    <w:rsid w:val="00817F7D"/>
    <w:rsid w:val="00817FAD"/>
    <w:rsid w:val="00820126"/>
    <w:rsid w:val="00820155"/>
    <w:rsid w:val="00820201"/>
    <w:rsid w:val="00820337"/>
    <w:rsid w:val="00820353"/>
    <w:rsid w:val="008203EA"/>
    <w:rsid w:val="008206C0"/>
    <w:rsid w:val="008207B5"/>
    <w:rsid w:val="0082087E"/>
    <w:rsid w:val="00820939"/>
    <w:rsid w:val="00820A0B"/>
    <w:rsid w:val="00820A13"/>
    <w:rsid w:val="00820CEC"/>
    <w:rsid w:val="00820DC3"/>
    <w:rsid w:val="00820DCF"/>
    <w:rsid w:val="00820F49"/>
    <w:rsid w:val="00820F5D"/>
    <w:rsid w:val="00821022"/>
    <w:rsid w:val="00821194"/>
    <w:rsid w:val="008214A9"/>
    <w:rsid w:val="008214DF"/>
    <w:rsid w:val="008214E5"/>
    <w:rsid w:val="00821539"/>
    <w:rsid w:val="0082158E"/>
    <w:rsid w:val="00821689"/>
    <w:rsid w:val="008217CB"/>
    <w:rsid w:val="0082183C"/>
    <w:rsid w:val="008218BC"/>
    <w:rsid w:val="00821AEE"/>
    <w:rsid w:val="00821BAE"/>
    <w:rsid w:val="00821BB4"/>
    <w:rsid w:val="00821BB9"/>
    <w:rsid w:val="00821C9D"/>
    <w:rsid w:val="00821F98"/>
    <w:rsid w:val="00822005"/>
    <w:rsid w:val="0082225D"/>
    <w:rsid w:val="008222D0"/>
    <w:rsid w:val="0082232F"/>
    <w:rsid w:val="00822340"/>
    <w:rsid w:val="0082236C"/>
    <w:rsid w:val="00822383"/>
    <w:rsid w:val="008223AE"/>
    <w:rsid w:val="008223EA"/>
    <w:rsid w:val="00822662"/>
    <w:rsid w:val="0082266C"/>
    <w:rsid w:val="008226F6"/>
    <w:rsid w:val="00822858"/>
    <w:rsid w:val="00822A24"/>
    <w:rsid w:val="00822B05"/>
    <w:rsid w:val="00822C79"/>
    <w:rsid w:val="00822CC8"/>
    <w:rsid w:val="00822D4E"/>
    <w:rsid w:val="00822D89"/>
    <w:rsid w:val="00822DFA"/>
    <w:rsid w:val="00822E9B"/>
    <w:rsid w:val="00823018"/>
    <w:rsid w:val="0082305C"/>
    <w:rsid w:val="0082308B"/>
    <w:rsid w:val="0082319D"/>
    <w:rsid w:val="0082320A"/>
    <w:rsid w:val="0082324F"/>
    <w:rsid w:val="008232C5"/>
    <w:rsid w:val="00823316"/>
    <w:rsid w:val="008234A5"/>
    <w:rsid w:val="008235CE"/>
    <w:rsid w:val="008235D2"/>
    <w:rsid w:val="00823710"/>
    <w:rsid w:val="00823816"/>
    <w:rsid w:val="00823933"/>
    <w:rsid w:val="0082398F"/>
    <w:rsid w:val="0082399B"/>
    <w:rsid w:val="00823A04"/>
    <w:rsid w:val="00823AB0"/>
    <w:rsid w:val="00823D84"/>
    <w:rsid w:val="00823E8F"/>
    <w:rsid w:val="00823EBD"/>
    <w:rsid w:val="00823F66"/>
    <w:rsid w:val="00823FB6"/>
    <w:rsid w:val="00823FE8"/>
    <w:rsid w:val="008240D1"/>
    <w:rsid w:val="008240F1"/>
    <w:rsid w:val="00824543"/>
    <w:rsid w:val="0082456E"/>
    <w:rsid w:val="0082457A"/>
    <w:rsid w:val="0082471A"/>
    <w:rsid w:val="0082480F"/>
    <w:rsid w:val="00824841"/>
    <w:rsid w:val="00824877"/>
    <w:rsid w:val="0082487C"/>
    <w:rsid w:val="0082495B"/>
    <w:rsid w:val="00824AAC"/>
    <w:rsid w:val="00824ACE"/>
    <w:rsid w:val="00824AF5"/>
    <w:rsid w:val="00824B41"/>
    <w:rsid w:val="00824CEB"/>
    <w:rsid w:val="00824D61"/>
    <w:rsid w:val="00824D9D"/>
    <w:rsid w:val="00824DB9"/>
    <w:rsid w:val="00824E07"/>
    <w:rsid w:val="00824E50"/>
    <w:rsid w:val="00825167"/>
    <w:rsid w:val="00825239"/>
    <w:rsid w:val="0082523E"/>
    <w:rsid w:val="00825247"/>
    <w:rsid w:val="008253FB"/>
    <w:rsid w:val="00825536"/>
    <w:rsid w:val="00825677"/>
    <w:rsid w:val="008256A2"/>
    <w:rsid w:val="008257EF"/>
    <w:rsid w:val="008258B0"/>
    <w:rsid w:val="0082595A"/>
    <w:rsid w:val="00825A18"/>
    <w:rsid w:val="00825A2F"/>
    <w:rsid w:val="00825AEA"/>
    <w:rsid w:val="00825B0D"/>
    <w:rsid w:val="00825C5E"/>
    <w:rsid w:val="00825D9D"/>
    <w:rsid w:val="00825DE9"/>
    <w:rsid w:val="00825DF8"/>
    <w:rsid w:val="00825E26"/>
    <w:rsid w:val="00825E2B"/>
    <w:rsid w:val="00825E6C"/>
    <w:rsid w:val="00825E7B"/>
    <w:rsid w:val="00825E8B"/>
    <w:rsid w:val="00826024"/>
    <w:rsid w:val="008260FD"/>
    <w:rsid w:val="0082615F"/>
    <w:rsid w:val="00826197"/>
    <w:rsid w:val="008262DD"/>
    <w:rsid w:val="00826306"/>
    <w:rsid w:val="0082658D"/>
    <w:rsid w:val="008267A5"/>
    <w:rsid w:val="008267EE"/>
    <w:rsid w:val="00826947"/>
    <w:rsid w:val="00826A18"/>
    <w:rsid w:val="00826A72"/>
    <w:rsid w:val="00826AA0"/>
    <w:rsid w:val="00826B49"/>
    <w:rsid w:val="00826C94"/>
    <w:rsid w:val="00826CA5"/>
    <w:rsid w:val="00826D04"/>
    <w:rsid w:val="00826DAD"/>
    <w:rsid w:val="00826E16"/>
    <w:rsid w:val="00826EDA"/>
    <w:rsid w:val="00826FD1"/>
    <w:rsid w:val="00826FD4"/>
    <w:rsid w:val="008270E5"/>
    <w:rsid w:val="0082710F"/>
    <w:rsid w:val="00827115"/>
    <w:rsid w:val="0082731C"/>
    <w:rsid w:val="00827339"/>
    <w:rsid w:val="00827387"/>
    <w:rsid w:val="0082753E"/>
    <w:rsid w:val="00827639"/>
    <w:rsid w:val="008276F8"/>
    <w:rsid w:val="0082776B"/>
    <w:rsid w:val="00827771"/>
    <w:rsid w:val="008277D6"/>
    <w:rsid w:val="00827912"/>
    <w:rsid w:val="00827923"/>
    <w:rsid w:val="00827983"/>
    <w:rsid w:val="008279ED"/>
    <w:rsid w:val="00827A24"/>
    <w:rsid w:val="00827B9A"/>
    <w:rsid w:val="00827BFD"/>
    <w:rsid w:val="00827C27"/>
    <w:rsid w:val="00827C58"/>
    <w:rsid w:val="00827CA8"/>
    <w:rsid w:val="00827DD2"/>
    <w:rsid w:val="00827ED2"/>
    <w:rsid w:val="00827F34"/>
    <w:rsid w:val="00827FDF"/>
    <w:rsid w:val="0083016B"/>
    <w:rsid w:val="008302DC"/>
    <w:rsid w:val="008302FC"/>
    <w:rsid w:val="00830319"/>
    <w:rsid w:val="00830353"/>
    <w:rsid w:val="008303BE"/>
    <w:rsid w:val="0083040E"/>
    <w:rsid w:val="00830506"/>
    <w:rsid w:val="008305DA"/>
    <w:rsid w:val="008306CB"/>
    <w:rsid w:val="008306D2"/>
    <w:rsid w:val="0083085C"/>
    <w:rsid w:val="008308B9"/>
    <w:rsid w:val="00830CC7"/>
    <w:rsid w:val="00830CF8"/>
    <w:rsid w:val="00830D2C"/>
    <w:rsid w:val="008310D3"/>
    <w:rsid w:val="00831101"/>
    <w:rsid w:val="00831120"/>
    <w:rsid w:val="008314C1"/>
    <w:rsid w:val="008315D6"/>
    <w:rsid w:val="00831603"/>
    <w:rsid w:val="00831695"/>
    <w:rsid w:val="00831739"/>
    <w:rsid w:val="00831741"/>
    <w:rsid w:val="00831797"/>
    <w:rsid w:val="008317AB"/>
    <w:rsid w:val="008317B6"/>
    <w:rsid w:val="00831996"/>
    <w:rsid w:val="00831A70"/>
    <w:rsid w:val="00831B9D"/>
    <w:rsid w:val="00831D65"/>
    <w:rsid w:val="00831E23"/>
    <w:rsid w:val="00831EB3"/>
    <w:rsid w:val="00831F31"/>
    <w:rsid w:val="00831F57"/>
    <w:rsid w:val="00831FD2"/>
    <w:rsid w:val="0083202D"/>
    <w:rsid w:val="008320F4"/>
    <w:rsid w:val="00832120"/>
    <w:rsid w:val="008322D8"/>
    <w:rsid w:val="0083230B"/>
    <w:rsid w:val="00832326"/>
    <w:rsid w:val="008323CA"/>
    <w:rsid w:val="008324A0"/>
    <w:rsid w:val="0083286C"/>
    <w:rsid w:val="008329A4"/>
    <w:rsid w:val="00832B3F"/>
    <w:rsid w:val="00832C44"/>
    <w:rsid w:val="00832C47"/>
    <w:rsid w:val="00832D28"/>
    <w:rsid w:val="00832DD4"/>
    <w:rsid w:val="00832DDE"/>
    <w:rsid w:val="00832EDC"/>
    <w:rsid w:val="00832EF0"/>
    <w:rsid w:val="00832F60"/>
    <w:rsid w:val="00833066"/>
    <w:rsid w:val="008330B5"/>
    <w:rsid w:val="00833123"/>
    <w:rsid w:val="008331DC"/>
    <w:rsid w:val="008332AA"/>
    <w:rsid w:val="0083333C"/>
    <w:rsid w:val="00833359"/>
    <w:rsid w:val="00833390"/>
    <w:rsid w:val="008334E7"/>
    <w:rsid w:val="00833570"/>
    <w:rsid w:val="008336E1"/>
    <w:rsid w:val="008337A0"/>
    <w:rsid w:val="00833815"/>
    <w:rsid w:val="00833B2A"/>
    <w:rsid w:val="00833BA6"/>
    <w:rsid w:val="00833C59"/>
    <w:rsid w:val="00833C94"/>
    <w:rsid w:val="00833CB5"/>
    <w:rsid w:val="00833F02"/>
    <w:rsid w:val="00833F23"/>
    <w:rsid w:val="00833F3E"/>
    <w:rsid w:val="00833F4C"/>
    <w:rsid w:val="00834096"/>
    <w:rsid w:val="00834108"/>
    <w:rsid w:val="0083410C"/>
    <w:rsid w:val="0083415A"/>
    <w:rsid w:val="00834204"/>
    <w:rsid w:val="00834616"/>
    <w:rsid w:val="00834770"/>
    <w:rsid w:val="008348D5"/>
    <w:rsid w:val="00834A71"/>
    <w:rsid w:val="00834A84"/>
    <w:rsid w:val="00834ACC"/>
    <w:rsid w:val="00834B67"/>
    <w:rsid w:val="00834D7A"/>
    <w:rsid w:val="00834E06"/>
    <w:rsid w:val="00834E16"/>
    <w:rsid w:val="00834E96"/>
    <w:rsid w:val="00834F0D"/>
    <w:rsid w:val="00834F34"/>
    <w:rsid w:val="00834F37"/>
    <w:rsid w:val="00835050"/>
    <w:rsid w:val="00835085"/>
    <w:rsid w:val="0083511D"/>
    <w:rsid w:val="00835192"/>
    <w:rsid w:val="00835197"/>
    <w:rsid w:val="008351A2"/>
    <w:rsid w:val="0083521C"/>
    <w:rsid w:val="008352FC"/>
    <w:rsid w:val="008355AC"/>
    <w:rsid w:val="00835871"/>
    <w:rsid w:val="008358AC"/>
    <w:rsid w:val="0083590D"/>
    <w:rsid w:val="00835B78"/>
    <w:rsid w:val="00835B80"/>
    <w:rsid w:val="00835C54"/>
    <w:rsid w:val="00835CD8"/>
    <w:rsid w:val="00835DD7"/>
    <w:rsid w:val="00835DFE"/>
    <w:rsid w:val="00835FAD"/>
    <w:rsid w:val="00835FE4"/>
    <w:rsid w:val="008360C2"/>
    <w:rsid w:val="00836167"/>
    <w:rsid w:val="0083616D"/>
    <w:rsid w:val="0083629C"/>
    <w:rsid w:val="00836345"/>
    <w:rsid w:val="008364E5"/>
    <w:rsid w:val="0083653F"/>
    <w:rsid w:val="0083666B"/>
    <w:rsid w:val="00836A7F"/>
    <w:rsid w:val="00836C57"/>
    <w:rsid w:val="00836CC5"/>
    <w:rsid w:val="00836D5D"/>
    <w:rsid w:val="00836DB4"/>
    <w:rsid w:val="00836F8E"/>
    <w:rsid w:val="00837011"/>
    <w:rsid w:val="008370C1"/>
    <w:rsid w:val="008370E2"/>
    <w:rsid w:val="00837298"/>
    <w:rsid w:val="00837475"/>
    <w:rsid w:val="00837492"/>
    <w:rsid w:val="008375E6"/>
    <w:rsid w:val="008377C6"/>
    <w:rsid w:val="008377F2"/>
    <w:rsid w:val="00837853"/>
    <w:rsid w:val="008379B8"/>
    <w:rsid w:val="00837A8F"/>
    <w:rsid w:val="00837B2B"/>
    <w:rsid w:val="00837B53"/>
    <w:rsid w:val="00837CB4"/>
    <w:rsid w:val="00837DAA"/>
    <w:rsid w:val="00837EDA"/>
    <w:rsid w:val="00837EF2"/>
    <w:rsid w:val="00837FCB"/>
    <w:rsid w:val="008400E9"/>
    <w:rsid w:val="008401B9"/>
    <w:rsid w:val="00840275"/>
    <w:rsid w:val="008402E4"/>
    <w:rsid w:val="008403C0"/>
    <w:rsid w:val="00840427"/>
    <w:rsid w:val="00840492"/>
    <w:rsid w:val="00840554"/>
    <w:rsid w:val="008406AA"/>
    <w:rsid w:val="008407A3"/>
    <w:rsid w:val="008407CB"/>
    <w:rsid w:val="00840847"/>
    <w:rsid w:val="008408FE"/>
    <w:rsid w:val="00840A60"/>
    <w:rsid w:val="00840C3C"/>
    <w:rsid w:val="00840E08"/>
    <w:rsid w:val="00840E42"/>
    <w:rsid w:val="00840FB0"/>
    <w:rsid w:val="00840FF3"/>
    <w:rsid w:val="0084102A"/>
    <w:rsid w:val="008411B1"/>
    <w:rsid w:val="0084140A"/>
    <w:rsid w:val="008414A3"/>
    <w:rsid w:val="00841561"/>
    <w:rsid w:val="0084157B"/>
    <w:rsid w:val="00841752"/>
    <w:rsid w:val="0084185C"/>
    <w:rsid w:val="00841943"/>
    <w:rsid w:val="00841986"/>
    <w:rsid w:val="00841AD9"/>
    <w:rsid w:val="00841ADC"/>
    <w:rsid w:val="00841AE5"/>
    <w:rsid w:val="00841C55"/>
    <w:rsid w:val="00841C6F"/>
    <w:rsid w:val="008422BD"/>
    <w:rsid w:val="00842475"/>
    <w:rsid w:val="0084265E"/>
    <w:rsid w:val="00842694"/>
    <w:rsid w:val="00842708"/>
    <w:rsid w:val="00842726"/>
    <w:rsid w:val="0084286E"/>
    <w:rsid w:val="00842899"/>
    <w:rsid w:val="008428C8"/>
    <w:rsid w:val="008428EB"/>
    <w:rsid w:val="00842A2C"/>
    <w:rsid w:val="00842AA7"/>
    <w:rsid w:val="00842D96"/>
    <w:rsid w:val="00842EA4"/>
    <w:rsid w:val="00842F7E"/>
    <w:rsid w:val="00843023"/>
    <w:rsid w:val="00843066"/>
    <w:rsid w:val="008430BC"/>
    <w:rsid w:val="008430BF"/>
    <w:rsid w:val="008431B0"/>
    <w:rsid w:val="008432A8"/>
    <w:rsid w:val="00843328"/>
    <w:rsid w:val="0084343A"/>
    <w:rsid w:val="008434D0"/>
    <w:rsid w:val="008436A7"/>
    <w:rsid w:val="0084374E"/>
    <w:rsid w:val="00843775"/>
    <w:rsid w:val="008437EE"/>
    <w:rsid w:val="00843801"/>
    <w:rsid w:val="0084395F"/>
    <w:rsid w:val="00843974"/>
    <w:rsid w:val="00843A47"/>
    <w:rsid w:val="00843AA6"/>
    <w:rsid w:val="00843ADD"/>
    <w:rsid w:val="00843AF5"/>
    <w:rsid w:val="00843B36"/>
    <w:rsid w:val="00843BBF"/>
    <w:rsid w:val="00843C21"/>
    <w:rsid w:val="00843C43"/>
    <w:rsid w:val="00843D1E"/>
    <w:rsid w:val="00843D50"/>
    <w:rsid w:val="00843D61"/>
    <w:rsid w:val="00843DB0"/>
    <w:rsid w:val="00844058"/>
    <w:rsid w:val="00844168"/>
    <w:rsid w:val="0084438E"/>
    <w:rsid w:val="00844476"/>
    <w:rsid w:val="00844520"/>
    <w:rsid w:val="00844539"/>
    <w:rsid w:val="008446A6"/>
    <w:rsid w:val="0084481B"/>
    <w:rsid w:val="0084486E"/>
    <w:rsid w:val="008448A0"/>
    <w:rsid w:val="008448A7"/>
    <w:rsid w:val="008448CB"/>
    <w:rsid w:val="00844978"/>
    <w:rsid w:val="0084498A"/>
    <w:rsid w:val="00844A51"/>
    <w:rsid w:val="00844A7B"/>
    <w:rsid w:val="00844B6C"/>
    <w:rsid w:val="00844EA5"/>
    <w:rsid w:val="00844EF8"/>
    <w:rsid w:val="00845082"/>
    <w:rsid w:val="008450BB"/>
    <w:rsid w:val="00845211"/>
    <w:rsid w:val="00845282"/>
    <w:rsid w:val="008452C0"/>
    <w:rsid w:val="0084532C"/>
    <w:rsid w:val="008453E3"/>
    <w:rsid w:val="0084549B"/>
    <w:rsid w:val="008454B4"/>
    <w:rsid w:val="008454CF"/>
    <w:rsid w:val="00845501"/>
    <w:rsid w:val="00845534"/>
    <w:rsid w:val="0084556B"/>
    <w:rsid w:val="00845684"/>
    <w:rsid w:val="0084569A"/>
    <w:rsid w:val="00845750"/>
    <w:rsid w:val="00845A3B"/>
    <w:rsid w:val="00845A96"/>
    <w:rsid w:val="00845B48"/>
    <w:rsid w:val="00845C0A"/>
    <w:rsid w:val="00845C7D"/>
    <w:rsid w:val="00845D0A"/>
    <w:rsid w:val="00845F4B"/>
    <w:rsid w:val="00846008"/>
    <w:rsid w:val="0084608B"/>
    <w:rsid w:val="00846238"/>
    <w:rsid w:val="0084623B"/>
    <w:rsid w:val="0084629B"/>
    <w:rsid w:val="00846397"/>
    <w:rsid w:val="00846527"/>
    <w:rsid w:val="00846578"/>
    <w:rsid w:val="008465F0"/>
    <w:rsid w:val="00846602"/>
    <w:rsid w:val="00846733"/>
    <w:rsid w:val="0084673F"/>
    <w:rsid w:val="00846788"/>
    <w:rsid w:val="00846823"/>
    <w:rsid w:val="0084697F"/>
    <w:rsid w:val="00846A77"/>
    <w:rsid w:val="00846A98"/>
    <w:rsid w:val="00846AB7"/>
    <w:rsid w:val="00846C6F"/>
    <w:rsid w:val="00846DB4"/>
    <w:rsid w:val="00846E56"/>
    <w:rsid w:val="00846FB7"/>
    <w:rsid w:val="0084707C"/>
    <w:rsid w:val="008470F3"/>
    <w:rsid w:val="008471EF"/>
    <w:rsid w:val="00847424"/>
    <w:rsid w:val="00847525"/>
    <w:rsid w:val="008476A4"/>
    <w:rsid w:val="008478C2"/>
    <w:rsid w:val="008478E4"/>
    <w:rsid w:val="0084799B"/>
    <w:rsid w:val="00847B5E"/>
    <w:rsid w:val="00847CCD"/>
    <w:rsid w:val="00847D29"/>
    <w:rsid w:val="00847D88"/>
    <w:rsid w:val="00847E07"/>
    <w:rsid w:val="00847E63"/>
    <w:rsid w:val="00847EA9"/>
    <w:rsid w:val="00847F06"/>
    <w:rsid w:val="00850041"/>
    <w:rsid w:val="00850187"/>
    <w:rsid w:val="00850266"/>
    <w:rsid w:val="00850285"/>
    <w:rsid w:val="008502AF"/>
    <w:rsid w:val="008502FA"/>
    <w:rsid w:val="00850444"/>
    <w:rsid w:val="008504CC"/>
    <w:rsid w:val="0085057B"/>
    <w:rsid w:val="0085070D"/>
    <w:rsid w:val="008507FE"/>
    <w:rsid w:val="008508F2"/>
    <w:rsid w:val="00850A2B"/>
    <w:rsid w:val="00850ADF"/>
    <w:rsid w:val="00850AEF"/>
    <w:rsid w:val="00850C3B"/>
    <w:rsid w:val="00850C56"/>
    <w:rsid w:val="00850D69"/>
    <w:rsid w:val="00850ECD"/>
    <w:rsid w:val="00850EEC"/>
    <w:rsid w:val="00850F78"/>
    <w:rsid w:val="00850FCA"/>
    <w:rsid w:val="0085111B"/>
    <w:rsid w:val="00851246"/>
    <w:rsid w:val="008512CD"/>
    <w:rsid w:val="00851435"/>
    <w:rsid w:val="008514C9"/>
    <w:rsid w:val="0085155C"/>
    <w:rsid w:val="008516F6"/>
    <w:rsid w:val="0085185C"/>
    <w:rsid w:val="00851962"/>
    <w:rsid w:val="00851A5F"/>
    <w:rsid w:val="00851C9A"/>
    <w:rsid w:val="00851CD0"/>
    <w:rsid w:val="00851DB0"/>
    <w:rsid w:val="00851DB9"/>
    <w:rsid w:val="00851EEB"/>
    <w:rsid w:val="00851F3E"/>
    <w:rsid w:val="00851F61"/>
    <w:rsid w:val="00851FCB"/>
    <w:rsid w:val="00852011"/>
    <w:rsid w:val="0085206F"/>
    <w:rsid w:val="008520D4"/>
    <w:rsid w:val="0085211E"/>
    <w:rsid w:val="00852148"/>
    <w:rsid w:val="00852154"/>
    <w:rsid w:val="00852189"/>
    <w:rsid w:val="008521B3"/>
    <w:rsid w:val="008521B4"/>
    <w:rsid w:val="00852392"/>
    <w:rsid w:val="00852448"/>
    <w:rsid w:val="0085256B"/>
    <w:rsid w:val="008525F0"/>
    <w:rsid w:val="00852688"/>
    <w:rsid w:val="00852695"/>
    <w:rsid w:val="00852839"/>
    <w:rsid w:val="0085290E"/>
    <w:rsid w:val="00852A6D"/>
    <w:rsid w:val="00852B0C"/>
    <w:rsid w:val="00852D09"/>
    <w:rsid w:val="00852D4F"/>
    <w:rsid w:val="00852DF3"/>
    <w:rsid w:val="00852E58"/>
    <w:rsid w:val="00852F65"/>
    <w:rsid w:val="00852F97"/>
    <w:rsid w:val="008531F5"/>
    <w:rsid w:val="008533D5"/>
    <w:rsid w:val="008533D6"/>
    <w:rsid w:val="008535BE"/>
    <w:rsid w:val="00853619"/>
    <w:rsid w:val="008536D7"/>
    <w:rsid w:val="008536D9"/>
    <w:rsid w:val="008537EA"/>
    <w:rsid w:val="008539C3"/>
    <w:rsid w:val="00853C35"/>
    <w:rsid w:val="00853CEB"/>
    <w:rsid w:val="00853F63"/>
    <w:rsid w:val="00854048"/>
    <w:rsid w:val="0085407D"/>
    <w:rsid w:val="0085427E"/>
    <w:rsid w:val="00854382"/>
    <w:rsid w:val="00854480"/>
    <w:rsid w:val="00854586"/>
    <w:rsid w:val="0085467F"/>
    <w:rsid w:val="008546D8"/>
    <w:rsid w:val="00854808"/>
    <w:rsid w:val="008548BC"/>
    <w:rsid w:val="0085491F"/>
    <w:rsid w:val="008549C6"/>
    <w:rsid w:val="00854A58"/>
    <w:rsid w:val="00854A6F"/>
    <w:rsid w:val="00854A89"/>
    <w:rsid w:val="00854AD3"/>
    <w:rsid w:val="00854D1B"/>
    <w:rsid w:val="00854E62"/>
    <w:rsid w:val="00854E8C"/>
    <w:rsid w:val="00854F76"/>
    <w:rsid w:val="00854F8F"/>
    <w:rsid w:val="00854FA7"/>
    <w:rsid w:val="0085514E"/>
    <w:rsid w:val="008553BA"/>
    <w:rsid w:val="0085541D"/>
    <w:rsid w:val="00855432"/>
    <w:rsid w:val="0085551D"/>
    <w:rsid w:val="008555C8"/>
    <w:rsid w:val="008555DC"/>
    <w:rsid w:val="0085567B"/>
    <w:rsid w:val="008557BE"/>
    <w:rsid w:val="00855892"/>
    <w:rsid w:val="008559E2"/>
    <w:rsid w:val="00855A98"/>
    <w:rsid w:val="00855AE9"/>
    <w:rsid w:val="00855BE2"/>
    <w:rsid w:val="00855BF8"/>
    <w:rsid w:val="00855D6B"/>
    <w:rsid w:val="00855DBD"/>
    <w:rsid w:val="00855DE9"/>
    <w:rsid w:val="00855E6E"/>
    <w:rsid w:val="00855E83"/>
    <w:rsid w:val="00855FA0"/>
    <w:rsid w:val="00855FBC"/>
    <w:rsid w:val="008560AC"/>
    <w:rsid w:val="008560F9"/>
    <w:rsid w:val="008561B8"/>
    <w:rsid w:val="0085621B"/>
    <w:rsid w:val="00856256"/>
    <w:rsid w:val="00856318"/>
    <w:rsid w:val="00856451"/>
    <w:rsid w:val="008565F2"/>
    <w:rsid w:val="0085663A"/>
    <w:rsid w:val="0085691B"/>
    <w:rsid w:val="0085697D"/>
    <w:rsid w:val="00856AFC"/>
    <w:rsid w:val="00856B55"/>
    <w:rsid w:val="00856C62"/>
    <w:rsid w:val="00856C8E"/>
    <w:rsid w:val="00856D26"/>
    <w:rsid w:val="00856E9A"/>
    <w:rsid w:val="00856F2C"/>
    <w:rsid w:val="00856F47"/>
    <w:rsid w:val="00857241"/>
    <w:rsid w:val="008572FB"/>
    <w:rsid w:val="008573BB"/>
    <w:rsid w:val="00857446"/>
    <w:rsid w:val="008574BF"/>
    <w:rsid w:val="00857508"/>
    <w:rsid w:val="00857553"/>
    <w:rsid w:val="00857573"/>
    <w:rsid w:val="0085762A"/>
    <w:rsid w:val="008576EF"/>
    <w:rsid w:val="008579A0"/>
    <w:rsid w:val="008579C6"/>
    <w:rsid w:val="00857A03"/>
    <w:rsid w:val="00857A95"/>
    <w:rsid w:val="00857B81"/>
    <w:rsid w:val="00857B95"/>
    <w:rsid w:val="00857BFE"/>
    <w:rsid w:val="00857C36"/>
    <w:rsid w:val="00857E4F"/>
    <w:rsid w:val="00857E5C"/>
    <w:rsid w:val="00857EDE"/>
    <w:rsid w:val="00860160"/>
    <w:rsid w:val="0086036B"/>
    <w:rsid w:val="008604D9"/>
    <w:rsid w:val="008605B9"/>
    <w:rsid w:val="00860634"/>
    <w:rsid w:val="008606A3"/>
    <w:rsid w:val="00860715"/>
    <w:rsid w:val="00860734"/>
    <w:rsid w:val="00860744"/>
    <w:rsid w:val="008607C6"/>
    <w:rsid w:val="00860A84"/>
    <w:rsid w:val="00860AB3"/>
    <w:rsid w:val="00860B3D"/>
    <w:rsid w:val="00860C9D"/>
    <w:rsid w:val="00860CF8"/>
    <w:rsid w:val="0086118F"/>
    <w:rsid w:val="008612FE"/>
    <w:rsid w:val="0086134E"/>
    <w:rsid w:val="008613B7"/>
    <w:rsid w:val="008615AC"/>
    <w:rsid w:val="008616E1"/>
    <w:rsid w:val="00861702"/>
    <w:rsid w:val="00861742"/>
    <w:rsid w:val="008618D5"/>
    <w:rsid w:val="00861914"/>
    <w:rsid w:val="0086196F"/>
    <w:rsid w:val="0086199F"/>
    <w:rsid w:val="00861B4F"/>
    <w:rsid w:val="00861B7D"/>
    <w:rsid w:val="00861BDD"/>
    <w:rsid w:val="00862076"/>
    <w:rsid w:val="008620A8"/>
    <w:rsid w:val="00862117"/>
    <w:rsid w:val="00862267"/>
    <w:rsid w:val="00862510"/>
    <w:rsid w:val="00862624"/>
    <w:rsid w:val="00862676"/>
    <w:rsid w:val="00862873"/>
    <w:rsid w:val="0086287C"/>
    <w:rsid w:val="0086289C"/>
    <w:rsid w:val="008628CB"/>
    <w:rsid w:val="0086297D"/>
    <w:rsid w:val="00862A85"/>
    <w:rsid w:val="00862C1A"/>
    <w:rsid w:val="00862DAE"/>
    <w:rsid w:val="00862F47"/>
    <w:rsid w:val="00862F9D"/>
    <w:rsid w:val="00862FAD"/>
    <w:rsid w:val="00863115"/>
    <w:rsid w:val="008631A6"/>
    <w:rsid w:val="00863274"/>
    <w:rsid w:val="008632A0"/>
    <w:rsid w:val="008633ED"/>
    <w:rsid w:val="00863422"/>
    <w:rsid w:val="00863524"/>
    <w:rsid w:val="0086356F"/>
    <w:rsid w:val="008636B5"/>
    <w:rsid w:val="00863804"/>
    <w:rsid w:val="008638A0"/>
    <w:rsid w:val="0086395C"/>
    <w:rsid w:val="00863C06"/>
    <w:rsid w:val="00863CAD"/>
    <w:rsid w:val="00863D1B"/>
    <w:rsid w:val="00863EF9"/>
    <w:rsid w:val="00863F30"/>
    <w:rsid w:val="00863F79"/>
    <w:rsid w:val="00863F8E"/>
    <w:rsid w:val="00863F9B"/>
    <w:rsid w:val="00863FA8"/>
    <w:rsid w:val="0086404D"/>
    <w:rsid w:val="00864068"/>
    <w:rsid w:val="0086408B"/>
    <w:rsid w:val="0086418A"/>
    <w:rsid w:val="00864238"/>
    <w:rsid w:val="0086428E"/>
    <w:rsid w:val="00864395"/>
    <w:rsid w:val="008643E5"/>
    <w:rsid w:val="0086447B"/>
    <w:rsid w:val="0086453A"/>
    <w:rsid w:val="008645FB"/>
    <w:rsid w:val="0086463A"/>
    <w:rsid w:val="00864806"/>
    <w:rsid w:val="0086486F"/>
    <w:rsid w:val="008648FE"/>
    <w:rsid w:val="008649AD"/>
    <w:rsid w:val="008649CE"/>
    <w:rsid w:val="00864A71"/>
    <w:rsid w:val="00864B1A"/>
    <w:rsid w:val="00864C58"/>
    <w:rsid w:val="00864C89"/>
    <w:rsid w:val="00864D4C"/>
    <w:rsid w:val="00864DF9"/>
    <w:rsid w:val="00864E4B"/>
    <w:rsid w:val="00864E9C"/>
    <w:rsid w:val="00864EF7"/>
    <w:rsid w:val="00864F26"/>
    <w:rsid w:val="00864FA4"/>
    <w:rsid w:val="0086506D"/>
    <w:rsid w:val="00865072"/>
    <w:rsid w:val="00865083"/>
    <w:rsid w:val="008650A7"/>
    <w:rsid w:val="008651AD"/>
    <w:rsid w:val="0086523C"/>
    <w:rsid w:val="008653AC"/>
    <w:rsid w:val="0086540F"/>
    <w:rsid w:val="008656C8"/>
    <w:rsid w:val="00865805"/>
    <w:rsid w:val="0086590F"/>
    <w:rsid w:val="0086595F"/>
    <w:rsid w:val="008659DE"/>
    <w:rsid w:val="00865AFD"/>
    <w:rsid w:val="00865B71"/>
    <w:rsid w:val="00865BD4"/>
    <w:rsid w:val="00865CB5"/>
    <w:rsid w:val="00865E11"/>
    <w:rsid w:val="00865F51"/>
    <w:rsid w:val="00865FC7"/>
    <w:rsid w:val="0086616B"/>
    <w:rsid w:val="00866186"/>
    <w:rsid w:val="00866264"/>
    <w:rsid w:val="008662A3"/>
    <w:rsid w:val="0086633A"/>
    <w:rsid w:val="00866460"/>
    <w:rsid w:val="008664D4"/>
    <w:rsid w:val="00866619"/>
    <w:rsid w:val="0086665D"/>
    <w:rsid w:val="0086671A"/>
    <w:rsid w:val="008667D7"/>
    <w:rsid w:val="00866955"/>
    <w:rsid w:val="008669AA"/>
    <w:rsid w:val="00866AD4"/>
    <w:rsid w:val="00866AD8"/>
    <w:rsid w:val="00866B1B"/>
    <w:rsid w:val="00866BFB"/>
    <w:rsid w:val="00866C10"/>
    <w:rsid w:val="00866C60"/>
    <w:rsid w:val="00866C9F"/>
    <w:rsid w:val="00866CF7"/>
    <w:rsid w:val="00866E80"/>
    <w:rsid w:val="00866F75"/>
    <w:rsid w:val="008670B0"/>
    <w:rsid w:val="0086716C"/>
    <w:rsid w:val="0086720B"/>
    <w:rsid w:val="008674C0"/>
    <w:rsid w:val="0086753B"/>
    <w:rsid w:val="0086762A"/>
    <w:rsid w:val="00867688"/>
    <w:rsid w:val="0086773F"/>
    <w:rsid w:val="00867866"/>
    <w:rsid w:val="008678FB"/>
    <w:rsid w:val="0086793D"/>
    <w:rsid w:val="008679A8"/>
    <w:rsid w:val="00867A33"/>
    <w:rsid w:val="00867B46"/>
    <w:rsid w:val="00867C0C"/>
    <w:rsid w:val="00867C65"/>
    <w:rsid w:val="00867D41"/>
    <w:rsid w:val="00867E4E"/>
    <w:rsid w:val="00867EAA"/>
    <w:rsid w:val="00867EED"/>
    <w:rsid w:val="00867F5B"/>
    <w:rsid w:val="00867FD6"/>
    <w:rsid w:val="0087002D"/>
    <w:rsid w:val="008700A6"/>
    <w:rsid w:val="00870107"/>
    <w:rsid w:val="0087016B"/>
    <w:rsid w:val="008701E5"/>
    <w:rsid w:val="008702CB"/>
    <w:rsid w:val="008702E0"/>
    <w:rsid w:val="008703C6"/>
    <w:rsid w:val="008703F8"/>
    <w:rsid w:val="00870477"/>
    <w:rsid w:val="008704EF"/>
    <w:rsid w:val="0087053A"/>
    <w:rsid w:val="00870598"/>
    <w:rsid w:val="008705B4"/>
    <w:rsid w:val="008705DF"/>
    <w:rsid w:val="008705F2"/>
    <w:rsid w:val="0087067A"/>
    <w:rsid w:val="008706AE"/>
    <w:rsid w:val="008706DD"/>
    <w:rsid w:val="00870792"/>
    <w:rsid w:val="008707FE"/>
    <w:rsid w:val="00870834"/>
    <w:rsid w:val="00870949"/>
    <w:rsid w:val="0087096C"/>
    <w:rsid w:val="00870A9C"/>
    <w:rsid w:val="00870BDB"/>
    <w:rsid w:val="00870C47"/>
    <w:rsid w:val="00870DCF"/>
    <w:rsid w:val="00870DF2"/>
    <w:rsid w:val="00870E86"/>
    <w:rsid w:val="0087104A"/>
    <w:rsid w:val="00871072"/>
    <w:rsid w:val="0087118F"/>
    <w:rsid w:val="0087126A"/>
    <w:rsid w:val="0087136F"/>
    <w:rsid w:val="0087148A"/>
    <w:rsid w:val="008714D0"/>
    <w:rsid w:val="00871501"/>
    <w:rsid w:val="00871726"/>
    <w:rsid w:val="008717AE"/>
    <w:rsid w:val="00871831"/>
    <w:rsid w:val="00871DE5"/>
    <w:rsid w:val="00871EA8"/>
    <w:rsid w:val="00871EFF"/>
    <w:rsid w:val="0087214E"/>
    <w:rsid w:val="008722AF"/>
    <w:rsid w:val="0087230F"/>
    <w:rsid w:val="00872415"/>
    <w:rsid w:val="00872922"/>
    <w:rsid w:val="00872A58"/>
    <w:rsid w:val="00872ABC"/>
    <w:rsid w:val="00872AFE"/>
    <w:rsid w:val="00872D97"/>
    <w:rsid w:val="0087301E"/>
    <w:rsid w:val="008730B7"/>
    <w:rsid w:val="0087317F"/>
    <w:rsid w:val="008731DE"/>
    <w:rsid w:val="0087321C"/>
    <w:rsid w:val="0087325D"/>
    <w:rsid w:val="0087344E"/>
    <w:rsid w:val="0087346E"/>
    <w:rsid w:val="008736CC"/>
    <w:rsid w:val="0087374D"/>
    <w:rsid w:val="00873768"/>
    <w:rsid w:val="00873983"/>
    <w:rsid w:val="00873AB2"/>
    <w:rsid w:val="00873C8A"/>
    <w:rsid w:val="00873D52"/>
    <w:rsid w:val="00873D69"/>
    <w:rsid w:val="00873D76"/>
    <w:rsid w:val="00873E1B"/>
    <w:rsid w:val="00873F80"/>
    <w:rsid w:val="00874446"/>
    <w:rsid w:val="008744B3"/>
    <w:rsid w:val="0087455C"/>
    <w:rsid w:val="00874651"/>
    <w:rsid w:val="00874798"/>
    <w:rsid w:val="00874883"/>
    <w:rsid w:val="008748E1"/>
    <w:rsid w:val="008749A1"/>
    <w:rsid w:val="00874A78"/>
    <w:rsid w:val="00874BDB"/>
    <w:rsid w:val="00874C27"/>
    <w:rsid w:val="00874CF4"/>
    <w:rsid w:val="00874D3A"/>
    <w:rsid w:val="00874F54"/>
    <w:rsid w:val="00874F61"/>
    <w:rsid w:val="00874F81"/>
    <w:rsid w:val="00874FB7"/>
    <w:rsid w:val="00875066"/>
    <w:rsid w:val="0087531C"/>
    <w:rsid w:val="0087532C"/>
    <w:rsid w:val="008753E0"/>
    <w:rsid w:val="0087540C"/>
    <w:rsid w:val="008754C5"/>
    <w:rsid w:val="00875824"/>
    <w:rsid w:val="00875A4C"/>
    <w:rsid w:val="00875A78"/>
    <w:rsid w:val="00875A81"/>
    <w:rsid w:val="00875BCD"/>
    <w:rsid w:val="00875DCE"/>
    <w:rsid w:val="00875E68"/>
    <w:rsid w:val="0087617D"/>
    <w:rsid w:val="00876197"/>
    <w:rsid w:val="008761DE"/>
    <w:rsid w:val="00876207"/>
    <w:rsid w:val="00876284"/>
    <w:rsid w:val="0087640C"/>
    <w:rsid w:val="00876446"/>
    <w:rsid w:val="00876541"/>
    <w:rsid w:val="00876750"/>
    <w:rsid w:val="00876813"/>
    <w:rsid w:val="00876883"/>
    <w:rsid w:val="00876A38"/>
    <w:rsid w:val="00876AC3"/>
    <w:rsid w:val="00876CE7"/>
    <w:rsid w:val="00876D7B"/>
    <w:rsid w:val="008770D1"/>
    <w:rsid w:val="0087717D"/>
    <w:rsid w:val="0087726F"/>
    <w:rsid w:val="0087729B"/>
    <w:rsid w:val="00877354"/>
    <w:rsid w:val="008773AF"/>
    <w:rsid w:val="008773D0"/>
    <w:rsid w:val="00877501"/>
    <w:rsid w:val="0087759B"/>
    <w:rsid w:val="008776BF"/>
    <w:rsid w:val="00877B86"/>
    <w:rsid w:val="00877BDC"/>
    <w:rsid w:val="00877C98"/>
    <w:rsid w:val="00877F28"/>
    <w:rsid w:val="00877F57"/>
    <w:rsid w:val="008800AD"/>
    <w:rsid w:val="00880101"/>
    <w:rsid w:val="00880113"/>
    <w:rsid w:val="00880299"/>
    <w:rsid w:val="00880360"/>
    <w:rsid w:val="0088038E"/>
    <w:rsid w:val="008804CF"/>
    <w:rsid w:val="00880681"/>
    <w:rsid w:val="008806D6"/>
    <w:rsid w:val="00880873"/>
    <w:rsid w:val="008809E6"/>
    <w:rsid w:val="008809F2"/>
    <w:rsid w:val="008809F4"/>
    <w:rsid w:val="00880A6F"/>
    <w:rsid w:val="00880A8E"/>
    <w:rsid w:val="00880A9E"/>
    <w:rsid w:val="00880B07"/>
    <w:rsid w:val="00880D26"/>
    <w:rsid w:val="00880DA9"/>
    <w:rsid w:val="00880EAF"/>
    <w:rsid w:val="00880FD5"/>
    <w:rsid w:val="00881005"/>
    <w:rsid w:val="00881028"/>
    <w:rsid w:val="008811CA"/>
    <w:rsid w:val="0088139A"/>
    <w:rsid w:val="0088159C"/>
    <w:rsid w:val="008815B6"/>
    <w:rsid w:val="0088165B"/>
    <w:rsid w:val="0088166D"/>
    <w:rsid w:val="00881907"/>
    <w:rsid w:val="00881984"/>
    <w:rsid w:val="008819FB"/>
    <w:rsid w:val="00881A81"/>
    <w:rsid w:val="00881BD7"/>
    <w:rsid w:val="00881BEB"/>
    <w:rsid w:val="00881C01"/>
    <w:rsid w:val="00881C26"/>
    <w:rsid w:val="00881D59"/>
    <w:rsid w:val="00881F0F"/>
    <w:rsid w:val="00882016"/>
    <w:rsid w:val="00882040"/>
    <w:rsid w:val="008820E4"/>
    <w:rsid w:val="0088210F"/>
    <w:rsid w:val="0088213B"/>
    <w:rsid w:val="008821A6"/>
    <w:rsid w:val="008821E0"/>
    <w:rsid w:val="00882223"/>
    <w:rsid w:val="00882471"/>
    <w:rsid w:val="0088248D"/>
    <w:rsid w:val="008824BC"/>
    <w:rsid w:val="008824D7"/>
    <w:rsid w:val="008826F4"/>
    <w:rsid w:val="00882795"/>
    <w:rsid w:val="008827CB"/>
    <w:rsid w:val="00882835"/>
    <w:rsid w:val="0088290D"/>
    <w:rsid w:val="00882975"/>
    <w:rsid w:val="00882A28"/>
    <w:rsid w:val="00882A7D"/>
    <w:rsid w:val="00882B41"/>
    <w:rsid w:val="00882CE0"/>
    <w:rsid w:val="00882D0A"/>
    <w:rsid w:val="00882D15"/>
    <w:rsid w:val="00882DDB"/>
    <w:rsid w:val="00882EA3"/>
    <w:rsid w:val="00882F75"/>
    <w:rsid w:val="0088302D"/>
    <w:rsid w:val="0088303D"/>
    <w:rsid w:val="00883129"/>
    <w:rsid w:val="00883241"/>
    <w:rsid w:val="00883324"/>
    <w:rsid w:val="0088334F"/>
    <w:rsid w:val="00883390"/>
    <w:rsid w:val="0088354C"/>
    <w:rsid w:val="00883576"/>
    <w:rsid w:val="00883634"/>
    <w:rsid w:val="008836A6"/>
    <w:rsid w:val="008837B5"/>
    <w:rsid w:val="008838A7"/>
    <w:rsid w:val="00883C94"/>
    <w:rsid w:val="00883D0A"/>
    <w:rsid w:val="00883D8A"/>
    <w:rsid w:val="00883E48"/>
    <w:rsid w:val="00883E5E"/>
    <w:rsid w:val="00883EAC"/>
    <w:rsid w:val="00883F55"/>
    <w:rsid w:val="00883F7F"/>
    <w:rsid w:val="008840B0"/>
    <w:rsid w:val="0088418D"/>
    <w:rsid w:val="0088421D"/>
    <w:rsid w:val="00884222"/>
    <w:rsid w:val="00884236"/>
    <w:rsid w:val="0088431A"/>
    <w:rsid w:val="00884328"/>
    <w:rsid w:val="0088453E"/>
    <w:rsid w:val="00884570"/>
    <w:rsid w:val="00884647"/>
    <w:rsid w:val="0088480C"/>
    <w:rsid w:val="0088480E"/>
    <w:rsid w:val="0088487E"/>
    <w:rsid w:val="00884B60"/>
    <w:rsid w:val="00884C4A"/>
    <w:rsid w:val="00884CE6"/>
    <w:rsid w:val="00884D0C"/>
    <w:rsid w:val="00884E46"/>
    <w:rsid w:val="00884EF6"/>
    <w:rsid w:val="00884FEE"/>
    <w:rsid w:val="00885184"/>
    <w:rsid w:val="008853D3"/>
    <w:rsid w:val="008853D5"/>
    <w:rsid w:val="0088550F"/>
    <w:rsid w:val="00885620"/>
    <w:rsid w:val="008856B5"/>
    <w:rsid w:val="008856C6"/>
    <w:rsid w:val="008857C4"/>
    <w:rsid w:val="008857DC"/>
    <w:rsid w:val="008857E7"/>
    <w:rsid w:val="00885930"/>
    <w:rsid w:val="00885A44"/>
    <w:rsid w:val="00885AC0"/>
    <w:rsid w:val="00885C6D"/>
    <w:rsid w:val="00885C87"/>
    <w:rsid w:val="00885CB9"/>
    <w:rsid w:val="00885D39"/>
    <w:rsid w:val="00885D58"/>
    <w:rsid w:val="00885D91"/>
    <w:rsid w:val="00885D92"/>
    <w:rsid w:val="00885E07"/>
    <w:rsid w:val="00885E2A"/>
    <w:rsid w:val="00885EE1"/>
    <w:rsid w:val="00885FF7"/>
    <w:rsid w:val="0088601B"/>
    <w:rsid w:val="00886036"/>
    <w:rsid w:val="008861EE"/>
    <w:rsid w:val="00886308"/>
    <w:rsid w:val="00886452"/>
    <w:rsid w:val="008864C0"/>
    <w:rsid w:val="0088653B"/>
    <w:rsid w:val="008865B0"/>
    <w:rsid w:val="008865B8"/>
    <w:rsid w:val="00886653"/>
    <w:rsid w:val="00886671"/>
    <w:rsid w:val="00886688"/>
    <w:rsid w:val="008866DD"/>
    <w:rsid w:val="00886760"/>
    <w:rsid w:val="008867DB"/>
    <w:rsid w:val="00886827"/>
    <w:rsid w:val="00886833"/>
    <w:rsid w:val="0088688F"/>
    <w:rsid w:val="00886A4C"/>
    <w:rsid w:val="00886A85"/>
    <w:rsid w:val="00886AA8"/>
    <w:rsid w:val="00886B5C"/>
    <w:rsid w:val="00886B99"/>
    <w:rsid w:val="00886BE4"/>
    <w:rsid w:val="00886D36"/>
    <w:rsid w:val="00886E48"/>
    <w:rsid w:val="00886EBC"/>
    <w:rsid w:val="00886EFB"/>
    <w:rsid w:val="00886F56"/>
    <w:rsid w:val="0088708F"/>
    <w:rsid w:val="008870F0"/>
    <w:rsid w:val="0088725A"/>
    <w:rsid w:val="008872F8"/>
    <w:rsid w:val="00887419"/>
    <w:rsid w:val="00887427"/>
    <w:rsid w:val="008874B0"/>
    <w:rsid w:val="00887518"/>
    <w:rsid w:val="00887541"/>
    <w:rsid w:val="0088769F"/>
    <w:rsid w:val="008877DE"/>
    <w:rsid w:val="00887824"/>
    <w:rsid w:val="00887924"/>
    <w:rsid w:val="00887B28"/>
    <w:rsid w:val="00887BA8"/>
    <w:rsid w:val="00887C09"/>
    <w:rsid w:val="00887C11"/>
    <w:rsid w:val="00887E24"/>
    <w:rsid w:val="00887F45"/>
    <w:rsid w:val="0089006A"/>
    <w:rsid w:val="008900C9"/>
    <w:rsid w:val="00890107"/>
    <w:rsid w:val="00890166"/>
    <w:rsid w:val="00890176"/>
    <w:rsid w:val="008901C7"/>
    <w:rsid w:val="0089052A"/>
    <w:rsid w:val="008905A6"/>
    <w:rsid w:val="008905E7"/>
    <w:rsid w:val="008907F4"/>
    <w:rsid w:val="00890860"/>
    <w:rsid w:val="008909E1"/>
    <w:rsid w:val="00890A58"/>
    <w:rsid w:val="00890AA6"/>
    <w:rsid w:val="00890AB5"/>
    <w:rsid w:val="00890B97"/>
    <w:rsid w:val="00890E04"/>
    <w:rsid w:val="008911C0"/>
    <w:rsid w:val="00891277"/>
    <w:rsid w:val="008913CA"/>
    <w:rsid w:val="00891446"/>
    <w:rsid w:val="008914A0"/>
    <w:rsid w:val="00891524"/>
    <w:rsid w:val="008915E6"/>
    <w:rsid w:val="00891692"/>
    <w:rsid w:val="0089173E"/>
    <w:rsid w:val="00891834"/>
    <w:rsid w:val="0089191E"/>
    <w:rsid w:val="0089195F"/>
    <w:rsid w:val="008919DF"/>
    <w:rsid w:val="00891A00"/>
    <w:rsid w:val="00891A7F"/>
    <w:rsid w:val="00891B6C"/>
    <w:rsid w:val="00891C7A"/>
    <w:rsid w:val="00891C7B"/>
    <w:rsid w:val="00891E94"/>
    <w:rsid w:val="00891ECF"/>
    <w:rsid w:val="00891ED7"/>
    <w:rsid w:val="00891FED"/>
    <w:rsid w:val="00892129"/>
    <w:rsid w:val="008921CB"/>
    <w:rsid w:val="008922CE"/>
    <w:rsid w:val="008922EB"/>
    <w:rsid w:val="0089238F"/>
    <w:rsid w:val="008923B7"/>
    <w:rsid w:val="0089247A"/>
    <w:rsid w:val="0089248F"/>
    <w:rsid w:val="0089255B"/>
    <w:rsid w:val="00892782"/>
    <w:rsid w:val="008928AD"/>
    <w:rsid w:val="0089290E"/>
    <w:rsid w:val="00892995"/>
    <w:rsid w:val="00892AD7"/>
    <w:rsid w:val="00892B2D"/>
    <w:rsid w:val="00892B6D"/>
    <w:rsid w:val="00892C59"/>
    <w:rsid w:val="00892C85"/>
    <w:rsid w:val="00892CA7"/>
    <w:rsid w:val="00892D07"/>
    <w:rsid w:val="00892F53"/>
    <w:rsid w:val="00892FBE"/>
    <w:rsid w:val="00892FDB"/>
    <w:rsid w:val="008930AC"/>
    <w:rsid w:val="008931C4"/>
    <w:rsid w:val="00893236"/>
    <w:rsid w:val="008932A2"/>
    <w:rsid w:val="00893301"/>
    <w:rsid w:val="008933CB"/>
    <w:rsid w:val="00893513"/>
    <w:rsid w:val="008935A7"/>
    <w:rsid w:val="008935C5"/>
    <w:rsid w:val="0089361E"/>
    <w:rsid w:val="00893772"/>
    <w:rsid w:val="00893794"/>
    <w:rsid w:val="0089382C"/>
    <w:rsid w:val="00893860"/>
    <w:rsid w:val="00893917"/>
    <w:rsid w:val="00893C36"/>
    <w:rsid w:val="00893D24"/>
    <w:rsid w:val="00893D83"/>
    <w:rsid w:val="00893DFB"/>
    <w:rsid w:val="00893E82"/>
    <w:rsid w:val="00893FA1"/>
    <w:rsid w:val="00893FC5"/>
    <w:rsid w:val="008940EA"/>
    <w:rsid w:val="00894191"/>
    <w:rsid w:val="00894230"/>
    <w:rsid w:val="008942C0"/>
    <w:rsid w:val="00894315"/>
    <w:rsid w:val="00894414"/>
    <w:rsid w:val="008944AF"/>
    <w:rsid w:val="008945AF"/>
    <w:rsid w:val="0089460A"/>
    <w:rsid w:val="00894724"/>
    <w:rsid w:val="008948B7"/>
    <w:rsid w:val="0089493C"/>
    <w:rsid w:val="0089497C"/>
    <w:rsid w:val="00894A41"/>
    <w:rsid w:val="00894BF7"/>
    <w:rsid w:val="00894C6A"/>
    <w:rsid w:val="00894EAE"/>
    <w:rsid w:val="00894F15"/>
    <w:rsid w:val="00895028"/>
    <w:rsid w:val="0089510B"/>
    <w:rsid w:val="00895162"/>
    <w:rsid w:val="0089525F"/>
    <w:rsid w:val="0089541C"/>
    <w:rsid w:val="00895561"/>
    <w:rsid w:val="0089559D"/>
    <w:rsid w:val="00895630"/>
    <w:rsid w:val="008956FB"/>
    <w:rsid w:val="0089581C"/>
    <w:rsid w:val="008958F6"/>
    <w:rsid w:val="00895AD2"/>
    <w:rsid w:val="00895C7D"/>
    <w:rsid w:val="00895CEA"/>
    <w:rsid w:val="00895F3E"/>
    <w:rsid w:val="00895F83"/>
    <w:rsid w:val="00896059"/>
    <w:rsid w:val="00896280"/>
    <w:rsid w:val="008962BE"/>
    <w:rsid w:val="008966EF"/>
    <w:rsid w:val="008968B9"/>
    <w:rsid w:val="008968CD"/>
    <w:rsid w:val="00896936"/>
    <w:rsid w:val="008969D1"/>
    <w:rsid w:val="00896A19"/>
    <w:rsid w:val="00896B7A"/>
    <w:rsid w:val="00896B8F"/>
    <w:rsid w:val="00896C69"/>
    <w:rsid w:val="00896C81"/>
    <w:rsid w:val="00896E17"/>
    <w:rsid w:val="0089703E"/>
    <w:rsid w:val="00897177"/>
    <w:rsid w:val="008971A1"/>
    <w:rsid w:val="008974E5"/>
    <w:rsid w:val="0089758E"/>
    <w:rsid w:val="008975F5"/>
    <w:rsid w:val="00897680"/>
    <w:rsid w:val="008977F3"/>
    <w:rsid w:val="00897840"/>
    <w:rsid w:val="008978B0"/>
    <w:rsid w:val="008978D6"/>
    <w:rsid w:val="00897918"/>
    <w:rsid w:val="0089792C"/>
    <w:rsid w:val="00897AE6"/>
    <w:rsid w:val="00897C67"/>
    <w:rsid w:val="00897E40"/>
    <w:rsid w:val="00897F14"/>
    <w:rsid w:val="00897FF2"/>
    <w:rsid w:val="00897FFA"/>
    <w:rsid w:val="008A0043"/>
    <w:rsid w:val="008A0138"/>
    <w:rsid w:val="008A0296"/>
    <w:rsid w:val="008A0304"/>
    <w:rsid w:val="008A032C"/>
    <w:rsid w:val="008A0347"/>
    <w:rsid w:val="008A0463"/>
    <w:rsid w:val="008A0575"/>
    <w:rsid w:val="008A05E6"/>
    <w:rsid w:val="008A0638"/>
    <w:rsid w:val="008A0712"/>
    <w:rsid w:val="008A07A3"/>
    <w:rsid w:val="008A09A6"/>
    <w:rsid w:val="008A0A8F"/>
    <w:rsid w:val="008A0B3B"/>
    <w:rsid w:val="008A0C31"/>
    <w:rsid w:val="008A0D4B"/>
    <w:rsid w:val="008A0DC8"/>
    <w:rsid w:val="008A1065"/>
    <w:rsid w:val="008A10AC"/>
    <w:rsid w:val="008A10EE"/>
    <w:rsid w:val="008A10F0"/>
    <w:rsid w:val="008A12BD"/>
    <w:rsid w:val="008A12E8"/>
    <w:rsid w:val="008A1348"/>
    <w:rsid w:val="008A148C"/>
    <w:rsid w:val="008A149A"/>
    <w:rsid w:val="008A14AF"/>
    <w:rsid w:val="008A1519"/>
    <w:rsid w:val="008A1524"/>
    <w:rsid w:val="008A1559"/>
    <w:rsid w:val="008A15BD"/>
    <w:rsid w:val="008A1626"/>
    <w:rsid w:val="008A164C"/>
    <w:rsid w:val="008A17B4"/>
    <w:rsid w:val="008A17F5"/>
    <w:rsid w:val="008A1903"/>
    <w:rsid w:val="008A19B8"/>
    <w:rsid w:val="008A1A12"/>
    <w:rsid w:val="008A1CB0"/>
    <w:rsid w:val="008A1CB8"/>
    <w:rsid w:val="008A1CE2"/>
    <w:rsid w:val="008A1DA4"/>
    <w:rsid w:val="008A1FD5"/>
    <w:rsid w:val="008A1FEB"/>
    <w:rsid w:val="008A20C1"/>
    <w:rsid w:val="008A2208"/>
    <w:rsid w:val="008A228B"/>
    <w:rsid w:val="008A235D"/>
    <w:rsid w:val="008A24FF"/>
    <w:rsid w:val="008A2557"/>
    <w:rsid w:val="008A25A4"/>
    <w:rsid w:val="008A26F6"/>
    <w:rsid w:val="008A2850"/>
    <w:rsid w:val="008A29AD"/>
    <w:rsid w:val="008A29E2"/>
    <w:rsid w:val="008A2BEA"/>
    <w:rsid w:val="008A2D17"/>
    <w:rsid w:val="008A2DFF"/>
    <w:rsid w:val="008A2EDB"/>
    <w:rsid w:val="008A2F40"/>
    <w:rsid w:val="008A2FCD"/>
    <w:rsid w:val="008A2FDC"/>
    <w:rsid w:val="008A3024"/>
    <w:rsid w:val="008A307F"/>
    <w:rsid w:val="008A31B9"/>
    <w:rsid w:val="008A31C1"/>
    <w:rsid w:val="008A32AA"/>
    <w:rsid w:val="008A365D"/>
    <w:rsid w:val="008A36AD"/>
    <w:rsid w:val="008A377D"/>
    <w:rsid w:val="008A3862"/>
    <w:rsid w:val="008A3910"/>
    <w:rsid w:val="008A3ABD"/>
    <w:rsid w:val="008A3B40"/>
    <w:rsid w:val="008A3C21"/>
    <w:rsid w:val="008A3C23"/>
    <w:rsid w:val="008A3C99"/>
    <w:rsid w:val="008A3E4A"/>
    <w:rsid w:val="008A408B"/>
    <w:rsid w:val="008A41A7"/>
    <w:rsid w:val="008A421D"/>
    <w:rsid w:val="008A4344"/>
    <w:rsid w:val="008A439E"/>
    <w:rsid w:val="008A43AE"/>
    <w:rsid w:val="008A43D2"/>
    <w:rsid w:val="008A4412"/>
    <w:rsid w:val="008A4422"/>
    <w:rsid w:val="008A46A8"/>
    <w:rsid w:val="008A46FA"/>
    <w:rsid w:val="008A487C"/>
    <w:rsid w:val="008A495F"/>
    <w:rsid w:val="008A4A44"/>
    <w:rsid w:val="008A4AA5"/>
    <w:rsid w:val="008A4D5B"/>
    <w:rsid w:val="008A4D7F"/>
    <w:rsid w:val="008A4E46"/>
    <w:rsid w:val="008A4EAB"/>
    <w:rsid w:val="008A4EFA"/>
    <w:rsid w:val="008A4F2F"/>
    <w:rsid w:val="008A51F9"/>
    <w:rsid w:val="008A52CF"/>
    <w:rsid w:val="008A52E7"/>
    <w:rsid w:val="008A588A"/>
    <w:rsid w:val="008A5909"/>
    <w:rsid w:val="008A5930"/>
    <w:rsid w:val="008A593F"/>
    <w:rsid w:val="008A5A6B"/>
    <w:rsid w:val="008A5BAE"/>
    <w:rsid w:val="008A5C50"/>
    <w:rsid w:val="008A5C51"/>
    <w:rsid w:val="008A5C83"/>
    <w:rsid w:val="008A5DF7"/>
    <w:rsid w:val="008A5E8F"/>
    <w:rsid w:val="008A5ECB"/>
    <w:rsid w:val="008A5F64"/>
    <w:rsid w:val="008A616E"/>
    <w:rsid w:val="008A6304"/>
    <w:rsid w:val="008A634A"/>
    <w:rsid w:val="008A6378"/>
    <w:rsid w:val="008A6395"/>
    <w:rsid w:val="008A6507"/>
    <w:rsid w:val="008A65BE"/>
    <w:rsid w:val="008A6715"/>
    <w:rsid w:val="008A6757"/>
    <w:rsid w:val="008A6769"/>
    <w:rsid w:val="008A67C4"/>
    <w:rsid w:val="008A67CD"/>
    <w:rsid w:val="008A6903"/>
    <w:rsid w:val="008A6904"/>
    <w:rsid w:val="008A6940"/>
    <w:rsid w:val="008A69DE"/>
    <w:rsid w:val="008A6AB9"/>
    <w:rsid w:val="008A6AD3"/>
    <w:rsid w:val="008A6AE1"/>
    <w:rsid w:val="008A6B33"/>
    <w:rsid w:val="008A6C8C"/>
    <w:rsid w:val="008A6DAA"/>
    <w:rsid w:val="008A6F04"/>
    <w:rsid w:val="008A6F3B"/>
    <w:rsid w:val="008A6F3E"/>
    <w:rsid w:val="008A6F6A"/>
    <w:rsid w:val="008A6FF2"/>
    <w:rsid w:val="008A6FFF"/>
    <w:rsid w:val="008A72A1"/>
    <w:rsid w:val="008A7317"/>
    <w:rsid w:val="008A7441"/>
    <w:rsid w:val="008A75ED"/>
    <w:rsid w:val="008A7677"/>
    <w:rsid w:val="008A76CF"/>
    <w:rsid w:val="008A79B6"/>
    <w:rsid w:val="008A7A18"/>
    <w:rsid w:val="008A7A37"/>
    <w:rsid w:val="008A7A3E"/>
    <w:rsid w:val="008A7A74"/>
    <w:rsid w:val="008A7A9B"/>
    <w:rsid w:val="008A7BB8"/>
    <w:rsid w:val="008A7C3C"/>
    <w:rsid w:val="008A7C60"/>
    <w:rsid w:val="008A7D84"/>
    <w:rsid w:val="008A7E8D"/>
    <w:rsid w:val="008A7ECE"/>
    <w:rsid w:val="008A7FF1"/>
    <w:rsid w:val="008B00B4"/>
    <w:rsid w:val="008B0182"/>
    <w:rsid w:val="008B0221"/>
    <w:rsid w:val="008B02A8"/>
    <w:rsid w:val="008B04D6"/>
    <w:rsid w:val="008B0569"/>
    <w:rsid w:val="008B0624"/>
    <w:rsid w:val="008B0A85"/>
    <w:rsid w:val="008B0AA0"/>
    <w:rsid w:val="008B0C19"/>
    <w:rsid w:val="008B0C4A"/>
    <w:rsid w:val="008B0CD7"/>
    <w:rsid w:val="008B0D6F"/>
    <w:rsid w:val="008B0E44"/>
    <w:rsid w:val="008B0EA4"/>
    <w:rsid w:val="008B0F1E"/>
    <w:rsid w:val="008B0F85"/>
    <w:rsid w:val="008B0FDD"/>
    <w:rsid w:val="008B1037"/>
    <w:rsid w:val="008B10CC"/>
    <w:rsid w:val="008B1110"/>
    <w:rsid w:val="008B112C"/>
    <w:rsid w:val="008B127A"/>
    <w:rsid w:val="008B12BF"/>
    <w:rsid w:val="008B12D2"/>
    <w:rsid w:val="008B1336"/>
    <w:rsid w:val="008B1366"/>
    <w:rsid w:val="008B1445"/>
    <w:rsid w:val="008B1496"/>
    <w:rsid w:val="008B150B"/>
    <w:rsid w:val="008B1772"/>
    <w:rsid w:val="008B1AFA"/>
    <w:rsid w:val="008B1B02"/>
    <w:rsid w:val="008B1B72"/>
    <w:rsid w:val="008B1BA5"/>
    <w:rsid w:val="008B1CFD"/>
    <w:rsid w:val="008B1E64"/>
    <w:rsid w:val="008B1EC8"/>
    <w:rsid w:val="008B1F5D"/>
    <w:rsid w:val="008B2145"/>
    <w:rsid w:val="008B21C7"/>
    <w:rsid w:val="008B2250"/>
    <w:rsid w:val="008B23B7"/>
    <w:rsid w:val="008B2414"/>
    <w:rsid w:val="008B241B"/>
    <w:rsid w:val="008B2458"/>
    <w:rsid w:val="008B26B8"/>
    <w:rsid w:val="008B279C"/>
    <w:rsid w:val="008B27CC"/>
    <w:rsid w:val="008B28E9"/>
    <w:rsid w:val="008B294F"/>
    <w:rsid w:val="008B2A36"/>
    <w:rsid w:val="008B2AD6"/>
    <w:rsid w:val="008B2B55"/>
    <w:rsid w:val="008B2B9E"/>
    <w:rsid w:val="008B2C5A"/>
    <w:rsid w:val="008B2D86"/>
    <w:rsid w:val="008B2DE1"/>
    <w:rsid w:val="008B2F9C"/>
    <w:rsid w:val="008B314F"/>
    <w:rsid w:val="008B3197"/>
    <w:rsid w:val="008B323A"/>
    <w:rsid w:val="008B327E"/>
    <w:rsid w:val="008B32AB"/>
    <w:rsid w:val="008B344A"/>
    <w:rsid w:val="008B3462"/>
    <w:rsid w:val="008B3484"/>
    <w:rsid w:val="008B34FA"/>
    <w:rsid w:val="008B3549"/>
    <w:rsid w:val="008B35B8"/>
    <w:rsid w:val="008B383D"/>
    <w:rsid w:val="008B3890"/>
    <w:rsid w:val="008B391E"/>
    <w:rsid w:val="008B39CA"/>
    <w:rsid w:val="008B3BB6"/>
    <w:rsid w:val="008B3D3E"/>
    <w:rsid w:val="008B3E02"/>
    <w:rsid w:val="008B3E2E"/>
    <w:rsid w:val="008B3E39"/>
    <w:rsid w:val="008B3E7B"/>
    <w:rsid w:val="008B3EBC"/>
    <w:rsid w:val="008B3FAB"/>
    <w:rsid w:val="008B41A2"/>
    <w:rsid w:val="008B4393"/>
    <w:rsid w:val="008B43FE"/>
    <w:rsid w:val="008B4600"/>
    <w:rsid w:val="008B465A"/>
    <w:rsid w:val="008B4809"/>
    <w:rsid w:val="008B49C7"/>
    <w:rsid w:val="008B49E4"/>
    <w:rsid w:val="008B4A67"/>
    <w:rsid w:val="008B4A6E"/>
    <w:rsid w:val="008B4C4F"/>
    <w:rsid w:val="008B4CBB"/>
    <w:rsid w:val="008B4EAD"/>
    <w:rsid w:val="008B4EE3"/>
    <w:rsid w:val="008B4F2D"/>
    <w:rsid w:val="008B51BA"/>
    <w:rsid w:val="008B51E3"/>
    <w:rsid w:val="008B51E7"/>
    <w:rsid w:val="008B5387"/>
    <w:rsid w:val="008B539B"/>
    <w:rsid w:val="008B55E9"/>
    <w:rsid w:val="008B56D8"/>
    <w:rsid w:val="008B56E2"/>
    <w:rsid w:val="008B56F3"/>
    <w:rsid w:val="008B57C8"/>
    <w:rsid w:val="008B5800"/>
    <w:rsid w:val="008B5841"/>
    <w:rsid w:val="008B58A3"/>
    <w:rsid w:val="008B5BAB"/>
    <w:rsid w:val="008B5DB1"/>
    <w:rsid w:val="008B5DD6"/>
    <w:rsid w:val="008B5DEB"/>
    <w:rsid w:val="008B5DF4"/>
    <w:rsid w:val="008B60C4"/>
    <w:rsid w:val="008B60C9"/>
    <w:rsid w:val="008B60CC"/>
    <w:rsid w:val="008B617D"/>
    <w:rsid w:val="008B6237"/>
    <w:rsid w:val="008B626C"/>
    <w:rsid w:val="008B6375"/>
    <w:rsid w:val="008B6444"/>
    <w:rsid w:val="008B6570"/>
    <w:rsid w:val="008B65B4"/>
    <w:rsid w:val="008B6782"/>
    <w:rsid w:val="008B6784"/>
    <w:rsid w:val="008B682C"/>
    <w:rsid w:val="008B6C18"/>
    <w:rsid w:val="008B6C93"/>
    <w:rsid w:val="008B6CEB"/>
    <w:rsid w:val="008B6D42"/>
    <w:rsid w:val="008B6E1B"/>
    <w:rsid w:val="008B6F1E"/>
    <w:rsid w:val="008B7074"/>
    <w:rsid w:val="008B73AD"/>
    <w:rsid w:val="008B73B9"/>
    <w:rsid w:val="008B755D"/>
    <w:rsid w:val="008B760E"/>
    <w:rsid w:val="008B76A7"/>
    <w:rsid w:val="008B76BE"/>
    <w:rsid w:val="008B775A"/>
    <w:rsid w:val="008B77E4"/>
    <w:rsid w:val="008B782B"/>
    <w:rsid w:val="008B78F5"/>
    <w:rsid w:val="008B7AFF"/>
    <w:rsid w:val="008B7B61"/>
    <w:rsid w:val="008B7DBE"/>
    <w:rsid w:val="008B7E49"/>
    <w:rsid w:val="008B7EB2"/>
    <w:rsid w:val="008B7EBD"/>
    <w:rsid w:val="008C0412"/>
    <w:rsid w:val="008C0477"/>
    <w:rsid w:val="008C06AF"/>
    <w:rsid w:val="008C070A"/>
    <w:rsid w:val="008C07D2"/>
    <w:rsid w:val="008C089E"/>
    <w:rsid w:val="008C0A0F"/>
    <w:rsid w:val="008C0AD2"/>
    <w:rsid w:val="008C0C14"/>
    <w:rsid w:val="008C0D2C"/>
    <w:rsid w:val="008C0D41"/>
    <w:rsid w:val="008C0D77"/>
    <w:rsid w:val="008C0E6C"/>
    <w:rsid w:val="008C0F1B"/>
    <w:rsid w:val="008C105B"/>
    <w:rsid w:val="008C10A8"/>
    <w:rsid w:val="008C10E2"/>
    <w:rsid w:val="008C117F"/>
    <w:rsid w:val="008C1278"/>
    <w:rsid w:val="008C1282"/>
    <w:rsid w:val="008C1428"/>
    <w:rsid w:val="008C14E2"/>
    <w:rsid w:val="008C15B1"/>
    <w:rsid w:val="008C162B"/>
    <w:rsid w:val="008C16B4"/>
    <w:rsid w:val="008C191C"/>
    <w:rsid w:val="008C19A8"/>
    <w:rsid w:val="008C1A3B"/>
    <w:rsid w:val="008C1A3E"/>
    <w:rsid w:val="008C1B00"/>
    <w:rsid w:val="008C1BDC"/>
    <w:rsid w:val="008C1CC8"/>
    <w:rsid w:val="008C1DB2"/>
    <w:rsid w:val="008C200F"/>
    <w:rsid w:val="008C20B4"/>
    <w:rsid w:val="008C226B"/>
    <w:rsid w:val="008C22FF"/>
    <w:rsid w:val="008C2503"/>
    <w:rsid w:val="008C25AB"/>
    <w:rsid w:val="008C2714"/>
    <w:rsid w:val="008C2A8E"/>
    <w:rsid w:val="008C2A9E"/>
    <w:rsid w:val="008C2AAD"/>
    <w:rsid w:val="008C2B70"/>
    <w:rsid w:val="008C2C2A"/>
    <w:rsid w:val="008C2C3D"/>
    <w:rsid w:val="008C2DCA"/>
    <w:rsid w:val="008C304D"/>
    <w:rsid w:val="008C305D"/>
    <w:rsid w:val="008C3088"/>
    <w:rsid w:val="008C316D"/>
    <w:rsid w:val="008C321A"/>
    <w:rsid w:val="008C3273"/>
    <w:rsid w:val="008C32C3"/>
    <w:rsid w:val="008C3464"/>
    <w:rsid w:val="008C3512"/>
    <w:rsid w:val="008C358D"/>
    <w:rsid w:val="008C359A"/>
    <w:rsid w:val="008C35AB"/>
    <w:rsid w:val="008C3830"/>
    <w:rsid w:val="008C38AA"/>
    <w:rsid w:val="008C3914"/>
    <w:rsid w:val="008C3E46"/>
    <w:rsid w:val="008C3EAF"/>
    <w:rsid w:val="008C4074"/>
    <w:rsid w:val="008C4177"/>
    <w:rsid w:val="008C41B3"/>
    <w:rsid w:val="008C41C4"/>
    <w:rsid w:val="008C41D8"/>
    <w:rsid w:val="008C4330"/>
    <w:rsid w:val="008C43A9"/>
    <w:rsid w:val="008C455D"/>
    <w:rsid w:val="008C467F"/>
    <w:rsid w:val="008C4A02"/>
    <w:rsid w:val="008C4A25"/>
    <w:rsid w:val="008C4A79"/>
    <w:rsid w:val="008C4A80"/>
    <w:rsid w:val="008C4BA4"/>
    <w:rsid w:val="008C4D4A"/>
    <w:rsid w:val="008C4D65"/>
    <w:rsid w:val="008C4DB2"/>
    <w:rsid w:val="008C4E56"/>
    <w:rsid w:val="008C5250"/>
    <w:rsid w:val="008C5375"/>
    <w:rsid w:val="008C5451"/>
    <w:rsid w:val="008C549A"/>
    <w:rsid w:val="008C5557"/>
    <w:rsid w:val="008C565F"/>
    <w:rsid w:val="008C566C"/>
    <w:rsid w:val="008C56E1"/>
    <w:rsid w:val="008C57B4"/>
    <w:rsid w:val="008C5807"/>
    <w:rsid w:val="008C58F5"/>
    <w:rsid w:val="008C5965"/>
    <w:rsid w:val="008C5E09"/>
    <w:rsid w:val="008C6047"/>
    <w:rsid w:val="008C610B"/>
    <w:rsid w:val="008C61C8"/>
    <w:rsid w:val="008C61F8"/>
    <w:rsid w:val="008C6233"/>
    <w:rsid w:val="008C6368"/>
    <w:rsid w:val="008C63B9"/>
    <w:rsid w:val="008C64D9"/>
    <w:rsid w:val="008C64F9"/>
    <w:rsid w:val="008C65D3"/>
    <w:rsid w:val="008C666A"/>
    <w:rsid w:val="008C6726"/>
    <w:rsid w:val="008C67A7"/>
    <w:rsid w:val="008C6827"/>
    <w:rsid w:val="008C6972"/>
    <w:rsid w:val="008C6A22"/>
    <w:rsid w:val="008C6A39"/>
    <w:rsid w:val="008C6AD0"/>
    <w:rsid w:val="008C6AD4"/>
    <w:rsid w:val="008C6AE1"/>
    <w:rsid w:val="008C6AFB"/>
    <w:rsid w:val="008C6BFB"/>
    <w:rsid w:val="008C6C0A"/>
    <w:rsid w:val="008C6D8A"/>
    <w:rsid w:val="008C6DAB"/>
    <w:rsid w:val="008C6DAC"/>
    <w:rsid w:val="008C6EEF"/>
    <w:rsid w:val="008C6EF3"/>
    <w:rsid w:val="008C6F39"/>
    <w:rsid w:val="008C7028"/>
    <w:rsid w:val="008C7232"/>
    <w:rsid w:val="008C7244"/>
    <w:rsid w:val="008C7289"/>
    <w:rsid w:val="008C72F7"/>
    <w:rsid w:val="008C7307"/>
    <w:rsid w:val="008C742D"/>
    <w:rsid w:val="008C7496"/>
    <w:rsid w:val="008C761E"/>
    <w:rsid w:val="008C76BA"/>
    <w:rsid w:val="008C7719"/>
    <w:rsid w:val="008C7726"/>
    <w:rsid w:val="008C774A"/>
    <w:rsid w:val="008C79A5"/>
    <w:rsid w:val="008C79E7"/>
    <w:rsid w:val="008C7A26"/>
    <w:rsid w:val="008C7D17"/>
    <w:rsid w:val="008C7DF2"/>
    <w:rsid w:val="008C7E9B"/>
    <w:rsid w:val="008C7F41"/>
    <w:rsid w:val="008D0003"/>
    <w:rsid w:val="008D004D"/>
    <w:rsid w:val="008D008C"/>
    <w:rsid w:val="008D017F"/>
    <w:rsid w:val="008D026A"/>
    <w:rsid w:val="008D02C8"/>
    <w:rsid w:val="008D02ED"/>
    <w:rsid w:val="008D037C"/>
    <w:rsid w:val="008D0539"/>
    <w:rsid w:val="008D054D"/>
    <w:rsid w:val="008D0649"/>
    <w:rsid w:val="008D0778"/>
    <w:rsid w:val="008D07CE"/>
    <w:rsid w:val="008D093E"/>
    <w:rsid w:val="008D0C33"/>
    <w:rsid w:val="008D0C7E"/>
    <w:rsid w:val="008D0CB1"/>
    <w:rsid w:val="008D0CB7"/>
    <w:rsid w:val="008D0D1B"/>
    <w:rsid w:val="008D0E64"/>
    <w:rsid w:val="008D0EE6"/>
    <w:rsid w:val="008D0F79"/>
    <w:rsid w:val="008D0FFA"/>
    <w:rsid w:val="008D10C1"/>
    <w:rsid w:val="008D11C3"/>
    <w:rsid w:val="008D11DF"/>
    <w:rsid w:val="008D146D"/>
    <w:rsid w:val="008D15C5"/>
    <w:rsid w:val="008D1656"/>
    <w:rsid w:val="008D16D0"/>
    <w:rsid w:val="008D1797"/>
    <w:rsid w:val="008D190B"/>
    <w:rsid w:val="008D1AD0"/>
    <w:rsid w:val="008D1B38"/>
    <w:rsid w:val="008D1BB4"/>
    <w:rsid w:val="008D1BD1"/>
    <w:rsid w:val="008D1C4C"/>
    <w:rsid w:val="008D1C59"/>
    <w:rsid w:val="008D1CE5"/>
    <w:rsid w:val="008D1D9F"/>
    <w:rsid w:val="008D1EB5"/>
    <w:rsid w:val="008D1EBF"/>
    <w:rsid w:val="008D1EFA"/>
    <w:rsid w:val="008D1FB9"/>
    <w:rsid w:val="008D2020"/>
    <w:rsid w:val="008D2070"/>
    <w:rsid w:val="008D20FD"/>
    <w:rsid w:val="008D2121"/>
    <w:rsid w:val="008D2150"/>
    <w:rsid w:val="008D2169"/>
    <w:rsid w:val="008D21B1"/>
    <w:rsid w:val="008D21EA"/>
    <w:rsid w:val="008D2203"/>
    <w:rsid w:val="008D225D"/>
    <w:rsid w:val="008D29B3"/>
    <w:rsid w:val="008D29ED"/>
    <w:rsid w:val="008D2CD4"/>
    <w:rsid w:val="008D2E4A"/>
    <w:rsid w:val="008D2E50"/>
    <w:rsid w:val="008D309A"/>
    <w:rsid w:val="008D329D"/>
    <w:rsid w:val="008D32EF"/>
    <w:rsid w:val="008D33C8"/>
    <w:rsid w:val="008D341C"/>
    <w:rsid w:val="008D35CE"/>
    <w:rsid w:val="008D366F"/>
    <w:rsid w:val="008D36C4"/>
    <w:rsid w:val="008D371B"/>
    <w:rsid w:val="008D3769"/>
    <w:rsid w:val="008D37AE"/>
    <w:rsid w:val="008D37D9"/>
    <w:rsid w:val="008D3918"/>
    <w:rsid w:val="008D392D"/>
    <w:rsid w:val="008D39FD"/>
    <w:rsid w:val="008D3A39"/>
    <w:rsid w:val="008D3A72"/>
    <w:rsid w:val="008D3B5F"/>
    <w:rsid w:val="008D3C68"/>
    <w:rsid w:val="008D3C75"/>
    <w:rsid w:val="008D3CA1"/>
    <w:rsid w:val="008D3CE0"/>
    <w:rsid w:val="008D3CF3"/>
    <w:rsid w:val="008D3D0B"/>
    <w:rsid w:val="008D3D65"/>
    <w:rsid w:val="008D3E4A"/>
    <w:rsid w:val="008D3ECB"/>
    <w:rsid w:val="008D3EF8"/>
    <w:rsid w:val="008D3F0B"/>
    <w:rsid w:val="008D3F8A"/>
    <w:rsid w:val="008D4078"/>
    <w:rsid w:val="008D4144"/>
    <w:rsid w:val="008D437C"/>
    <w:rsid w:val="008D45CB"/>
    <w:rsid w:val="008D45DE"/>
    <w:rsid w:val="008D4640"/>
    <w:rsid w:val="008D4C6A"/>
    <w:rsid w:val="008D4D5A"/>
    <w:rsid w:val="008D4DDB"/>
    <w:rsid w:val="008D4EBA"/>
    <w:rsid w:val="008D4F5D"/>
    <w:rsid w:val="008D4FF2"/>
    <w:rsid w:val="008D55CD"/>
    <w:rsid w:val="008D5814"/>
    <w:rsid w:val="008D5942"/>
    <w:rsid w:val="008D5A07"/>
    <w:rsid w:val="008D5A3F"/>
    <w:rsid w:val="008D5A87"/>
    <w:rsid w:val="008D5AD0"/>
    <w:rsid w:val="008D5BDE"/>
    <w:rsid w:val="008D5D18"/>
    <w:rsid w:val="008D5D8B"/>
    <w:rsid w:val="008D5D90"/>
    <w:rsid w:val="008D5DC0"/>
    <w:rsid w:val="008D5DC6"/>
    <w:rsid w:val="008D5E7E"/>
    <w:rsid w:val="008D5F2F"/>
    <w:rsid w:val="008D6050"/>
    <w:rsid w:val="008D6105"/>
    <w:rsid w:val="008D6209"/>
    <w:rsid w:val="008D625E"/>
    <w:rsid w:val="008D6448"/>
    <w:rsid w:val="008D651B"/>
    <w:rsid w:val="008D68A9"/>
    <w:rsid w:val="008D695D"/>
    <w:rsid w:val="008D6A51"/>
    <w:rsid w:val="008D6AF9"/>
    <w:rsid w:val="008D6C4F"/>
    <w:rsid w:val="008D6C85"/>
    <w:rsid w:val="008D6C95"/>
    <w:rsid w:val="008D6CB0"/>
    <w:rsid w:val="008D6E3F"/>
    <w:rsid w:val="008D6EE9"/>
    <w:rsid w:val="008D6FBD"/>
    <w:rsid w:val="008D6FBF"/>
    <w:rsid w:val="008D6FDA"/>
    <w:rsid w:val="008D7002"/>
    <w:rsid w:val="008D70CE"/>
    <w:rsid w:val="008D71E5"/>
    <w:rsid w:val="008D7360"/>
    <w:rsid w:val="008D742A"/>
    <w:rsid w:val="008D74D2"/>
    <w:rsid w:val="008D78E5"/>
    <w:rsid w:val="008D7924"/>
    <w:rsid w:val="008D7973"/>
    <w:rsid w:val="008D7B1B"/>
    <w:rsid w:val="008D7BA3"/>
    <w:rsid w:val="008D7DA1"/>
    <w:rsid w:val="008D7F47"/>
    <w:rsid w:val="008E0069"/>
    <w:rsid w:val="008E00BE"/>
    <w:rsid w:val="008E010D"/>
    <w:rsid w:val="008E0117"/>
    <w:rsid w:val="008E01D9"/>
    <w:rsid w:val="008E029F"/>
    <w:rsid w:val="008E03E1"/>
    <w:rsid w:val="008E0498"/>
    <w:rsid w:val="008E05FA"/>
    <w:rsid w:val="008E064A"/>
    <w:rsid w:val="008E07CA"/>
    <w:rsid w:val="008E08A3"/>
    <w:rsid w:val="008E0965"/>
    <w:rsid w:val="008E096C"/>
    <w:rsid w:val="008E098F"/>
    <w:rsid w:val="008E0A5A"/>
    <w:rsid w:val="008E0BE4"/>
    <w:rsid w:val="008E0BFF"/>
    <w:rsid w:val="008E0C56"/>
    <w:rsid w:val="008E0CEB"/>
    <w:rsid w:val="008E0CF3"/>
    <w:rsid w:val="008E0D37"/>
    <w:rsid w:val="008E0D46"/>
    <w:rsid w:val="008E0D76"/>
    <w:rsid w:val="008E0F26"/>
    <w:rsid w:val="008E1012"/>
    <w:rsid w:val="008E1057"/>
    <w:rsid w:val="008E1096"/>
    <w:rsid w:val="008E1101"/>
    <w:rsid w:val="008E110C"/>
    <w:rsid w:val="008E12CF"/>
    <w:rsid w:val="008E12DD"/>
    <w:rsid w:val="008E1372"/>
    <w:rsid w:val="008E13E4"/>
    <w:rsid w:val="008E144A"/>
    <w:rsid w:val="008E14FC"/>
    <w:rsid w:val="008E1537"/>
    <w:rsid w:val="008E153D"/>
    <w:rsid w:val="008E16DA"/>
    <w:rsid w:val="008E16ED"/>
    <w:rsid w:val="008E1904"/>
    <w:rsid w:val="008E1922"/>
    <w:rsid w:val="008E19CE"/>
    <w:rsid w:val="008E1A0C"/>
    <w:rsid w:val="008E1B4B"/>
    <w:rsid w:val="008E1C0B"/>
    <w:rsid w:val="008E1DED"/>
    <w:rsid w:val="008E1E97"/>
    <w:rsid w:val="008E1F1E"/>
    <w:rsid w:val="008E1F59"/>
    <w:rsid w:val="008E207F"/>
    <w:rsid w:val="008E20ED"/>
    <w:rsid w:val="008E20F4"/>
    <w:rsid w:val="008E245D"/>
    <w:rsid w:val="008E2480"/>
    <w:rsid w:val="008E2534"/>
    <w:rsid w:val="008E2537"/>
    <w:rsid w:val="008E26DC"/>
    <w:rsid w:val="008E27B6"/>
    <w:rsid w:val="008E27D2"/>
    <w:rsid w:val="008E2998"/>
    <w:rsid w:val="008E2A97"/>
    <w:rsid w:val="008E2B6B"/>
    <w:rsid w:val="008E2BE5"/>
    <w:rsid w:val="008E2D9D"/>
    <w:rsid w:val="008E2E85"/>
    <w:rsid w:val="008E2EC0"/>
    <w:rsid w:val="008E2F57"/>
    <w:rsid w:val="008E2FDC"/>
    <w:rsid w:val="008E2FDE"/>
    <w:rsid w:val="008E3215"/>
    <w:rsid w:val="008E3218"/>
    <w:rsid w:val="008E322B"/>
    <w:rsid w:val="008E32E4"/>
    <w:rsid w:val="008E3348"/>
    <w:rsid w:val="008E33BE"/>
    <w:rsid w:val="008E33C8"/>
    <w:rsid w:val="008E346D"/>
    <w:rsid w:val="008E3496"/>
    <w:rsid w:val="008E351D"/>
    <w:rsid w:val="008E353A"/>
    <w:rsid w:val="008E38A3"/>
    <w:rsid w:val="008E38AF"/>
    <w:rsid w:val="008E399F"/>
    <w:rsid w:val="008E3B37"/>
    <w:rsid w:val="008E3BD3"/>
    <w:rsid w:val="008E3BFE"/>
    <w:rsid w:val="008E3DB9"/>
    <w:rsid w:val="008E4040"/>
    <w:rsid w:val="008E40FA"/>
    <w:rsid w:val="008E41F6"/>
    <w:rsid w:val="008E41FD"/>
    <w:rsid w:val="008E4252"/>
    <w:rsid w:val="008E450B"/>
    <w:rsid w:val="008E452E"/>
    <w:rsid w:val="008E45A1"/>
    <w:rsid w:val="008E45A4"/>
    <w:rsid w:val="008E474E"/>
    <w:rsid w:val="008E4838"/>
    <w:rsid w:val="008E484C"/>
    <w:rsid w:val="008E488D"/>
    <w:rsid w:val="008E4938"/>
    <w:rsid w:val="008E494A"/>
    <w:rsid w:val="008E4958"/>
    <w:rsid w:val="008E4967"/>
    <w:rsid w:val="008E49A6"/>
    <w:rsid w:val="008E49E0"/>
    <w:rsid w:val="008E4AD9"/>
    <w:rsid w:val="008E4BB3"/>
    <w:rsid w:val="008E4CDD"/>
    <w:rsid w:val="008E4D00"/>
    <w:rsid w:val="008E4E25"/>
    <w:rsid w:val="008E4E59"/>
    <w:rsid w:val="008E4F90"/>
    <w:rsid w:val="008E4FE3"/>
    <w:rsid w:val="008E52DF"/>
    <w:rsid w:val="008E539C"/>
    <w:rsid w:val="008E53DA"/>
    <w:rsid w:val="008E5463"/>
    <w:rsid w:val="008E5726"/>
    <w:rsid w:val="008E572E"/>
    <w:rsid w:val="008E5838"/>
    <w:rsid w:val="008E5A6D"/>
    <w:rsid w:val="008E5AFC"/>
    <w:rsid w:val="008E5B4D"/>
    <w:rsid w:val="008E5C7F"/>
    <w:rsid w:val="008E5C8A"/>
    <w:rsid w:val="008E5F42"/>
    <w:rsid w:val="008E608C"/>
    <w:rsid w:val="008E60EF"/>
    <w:rsid w:val="008E6321"/>
    <w:rsid w:val="008E6339"/>
    <w:rsid w:val="008E6410"/>
    <w:rsid w:val="008E64C8"/>
    <w:rsid w:val="008E652F"/>
    <w:rsid w:val="008E65F0"/>
    <w:rsid w:val="008E673D"/>
    <w:rsid w:val="008E6745"/>
    <w:rsid w:val="008E677A"/>
    <w:rsid w:val="008E686B"/>
    <w:rsid w:val="008E686D"/>
    <w:rsid w:val="008E6A32"/>
    <w:rsid w:val="008E6A4B"/>
    <w:rsid w:val="008E6A59"/>
    <w:rsid w:val="008E6AB7"/>
    <w:rsid w:val="008E6B4F"/>
    <w:rsid w:val="008E6DF9"/>
    <w:rsid w:val="008E6EA9"/>
    <w:rsid w:val="008E6EF1"/>
    <w:rsid w:val="008E7060"/>
    <w:rsid w:val="008E71B0"/>
    <w:rsid w:val="008E71FA"/>
    <w:rsid w:val="008E7225"/>
    <w:rsid w:val="008E722B"/>
    <w:rsid w:val="008E72DB"/>
    <w:rsid w:val="008E736C"/>
    <w:rsid w:val="008E7461"/>
    <w:rsid w:val="008E7491"/>
    <w:rsid w:val="008E75DB"/>
    <w:rsid w:val="008E7637"/>
    <w:rsid w:val="008E7730"/>
    <w:rsid w:val="008E78E2"/>
    <w:rsid w:val="008E79B2"/>
    <w:rsid w:val="008E7D17"/>
    <w:rsid w:val="008E7D35"/>
    <w:rsid w:val="008E7E99"/>
    <w:rsid w:val="008F0171"/>
    <w:rsid w:val="008F0196"/>
    <w:rsid w:val="008F01D2"/>
    <w:rsid w:val="008F0242"/>
    <w:rsid w:val="008F0269"/>
    <w:rsid w:val="008F0357"/>
    <w:rsid w:val="008F0438"/>
    <w:rsid w:val="008F055B"/>
    <w:rsid w:val="008F06C3"/>
    <w:rsid w:val="008F06C4"/>
    <w:rsid w:val="008F0700"/>
    <w:rsid w:val="008F080B"/>
    <w:rsid w:val="008F0900"/>
    <w:rsid w:val="008F0A33"/>
    <w:rsid w:val="008F0A50"/>
    <w:rsid w:val="008F0A70"/>
    <w:rsid w:val="008F0AEF"/>
    <w:rsid w:val="008F0B77"/>
    <w:rsid w:val="008F0C02"/>
    <w:rsid w:val="008F0C77"/>
    <w:rsid w:val="008F0F27"/>
    <w:rsid w:val="008F0FC1"/>
    <w:rsid w:val="008F104D"/>
    <w:rsid w:val="008F10E2"/>
    <w:rsid w:val="008F119E"/>
    <w:rsid w:val="008F12D3"/>
    <w:rsid w:val="008F12DF"/>
    <w:rsid w:val="008F1495"/>
    <w:rsid w:val="008F14AF"/>
    <w:rsid w:val="008F14C3"/>
    <w:rsid w:val="008F1694"/>
    <w:rsid w:val="008F1748"/>
    <w:rsid w:val="008F182E"/>
    <w:rsid w:val="008F1894"/>
    <w:rsid w:val="008F1A48"/>
    <w:rsid w:val="008F1B97"/>
    <w:rsid w:val="008F1C0D"/>
    <w:rsid w:val="008F1CA4"/>
    <w:rsid w:val="008F1DBA"/>
    <w:rsid w:val="008F1E0A"/>
    <w:rsid w:val="008F2141"/>
    <w:rsid w:val="008F2145"/>
    <w:rsid w:val="008F221B"/>
    <w:rsid w:val="008F2232"/>
    <w:rsid w:val="008F2249"/>
    <w:rsid w:val="008F22A0"/>
    <w:rsid w:val="008F2337"/>
    <w:rsid w:val="008F23E7"/>
    <w:rsid w:val="008F240C"/>
    <w:rsid w:val="008F255A"/>
    <w:rsid w:val="008F2745"/>
    <w:rsid w:val="008F276C"/>
    <w:rsid w:val="008F2815"/>
    <w:rsid w:val="008F282C"/>
    <w:rsid w:val="008F285F"/>
    <w:rsid w:val="008F29C7"/>
    <w:rsid w:val="008F29F4"/>
    <w:rsid w:val="008F2A8C"/>
    <w:rsid w:val="008F2AB1"/>
    <w:rsid w:val="008F2C0E"/>
    <w:rsid w:val="008F2C10"/>
    <w:rsid w:val="008F2CF5"/>
    <w:rsid w:val="008F2D57"/>
    <w:rsid w:val="008F2D86"/>
    <w:rsid w:val="008F2E8F"/>
    <w:rsid w:val="008F2EFA"/>
    <w:rsid w:val="008F2F3C"/>
    <w:rsid w:val="008F2FF2"/>
    <w:rsid w:val="008F3089"/>
    <w:rsid w:val="008F308B"/>
    <w:rsid w:val="008F3169"/>
    <w:rsid w:val="008F3181"/>
    <w:rsid w:val="008F31CA"/>
    <w:rsid w:val="008F3208"/>
    <w:rsid w:val="008F3552"/>
    <w:rsid w:val="008F362C"/>
    <w:rsid w:val="008F3842"/>
    <w:rsid w:val="008F39E3"/>
    <w:rsid w:val="008F3A3D"/>
    <w:rsid w:val="008F3AB4"/>
    <w:rsid w:val="008F3BB5"/>
    <w:rsid w:val="008F3C61"/>
    <w:rsid w:val="008F3DB3"/>
    <w:rsid w:val="008F3E3B"/>
    <w:rsid w:val="008F3EF5"/>
    <w:rsid w:val="008F4326"/>
    <w:rsid w:val="008F44C7"/>
    <w:rsid w:val="008F4502"/>
    <w:rsid w:val="008F4630"/>
    <w:rsid w:val="008F4770"/>
    <w:rsid w:val="008F47FB"/>
    <w:rsid w:val="008F4909"/>
    <w:rsid w:val="008F4AA7"/>
    <w:rsid w:val="008F4AC9"/>
    <w:rsid w:val="008F4B98"/>
    <w:rsid w:val="008F4BA5"/>
    <w:rsid w:val="008F4C5A"/>
    <w:rsid w:val="008F4C5D"/>
    <w:rsid w:val="008F4E34"/>
    <w:rsid w:val="008F4E54"/>
    <w:rsid w:val="008F4F33"/>
    <w:rsid w:val="008F5052"/>
    <w:rsid w:val="008F508A"/>
    <w:rsid w:val="008F527F"/>
    <w:rsid w:val="008F52B8"/>
    <w:rsid w:val="008F539D"/>
    <w:rsid w:val="008F53E5"/>
    <w:rsid w:val="008F55F8"/>
    <w:rsid w:val="008F56ED"/>
    <w:rsid w:val="008F574F"/>
    <w:rsid w:val="008F5761"/>
    <w:rsid w:val="008F5769"/>
    <w:rsid w:val="008F57AE"/>
    <w:rsid w:val="008F5806"/>
    <w:rsid w:val="008F5974"/>
    <w:rsid w:val="008F59F9"/>
    <w:rsid w:val="008F5A8F"/>
    <w:rsid w:val="008F5A98"/>
    <w:rsid w:val="008F5B9C"/>
    <w:rsid w:val="008F5C37"/>
    <w:rsid w:val="008F5D55"/>
    <w:rsid w:val="008F5E50"/>
    <w:rsid w:val="008F5E99"/>
    <w:rsid w:val="008F5F9E"/>
    <w:rsid w:val="008F650C"/>
    <w:rsid w:val="008F6569"/>
    <w:rsid w:val="008F6626"/>
    <w:rsid w:val="008F6659"/>
    <w:rsid w:val="008F66E4"/>
    <w:rsid w:val="008F691E"/>
    <w:rsid w:val="008F6992"/>
    <w:rsid w:val="008F6A08"/>
    <w:rsid w:val="008F6B4F"/>
    <w:rsid w:val="008F6D96"/>
    <w:rsid w:val="008F6ECD"/>
    <w:rsid w:val="008F6F18"/>
    <w:rsid w:val="008F717C"/>
    <w:rsid w:val="008F7324"/>
    <w:rsid w:val="008F7397"/>
    <w:rsid w:val="008F73DB"/>
    <w:rsid w:val="008F756B"/>
    <w:rsid w:val="008F7728"/>
    <w:rsid w:val="008F7769"/>
    <w:rsid w:val="008F77A2"/>
    <w:rsid w:val="008F780D"/>
    <w:rsid w:val="008F7856"/>
    <w:rsid w:val="008F79A5"/>
    <w:rsid w:val="008F79D1"/>
    <w:rsid w:val="008F7AEF"/>
    <w:rsid w:val="008F7B1D"/>
    <w:rsid w:val="008F7B73"/>
    <w:rsid w:val="0090001E"/>
    <w:rsid w:val="009000F8"/>
    <w:rsid w:val="009002E8"/>
    <w:rsid w:val="009002FD"/>
    <w:rsid w:val="009003D3"/>
    <w:rsid w:val="009003F9"/>
    <w:rsid w:val="00900470"/>
    <w:rsid w:val="0090071F"/>
    <w:rsid w:val="009007E8"/>
    <w:rsid w:val="00900887"/>
    <w:rsid w:val="0090095B"/>
    <w:rsid w:val="00900B24"/>
    <w:rsid w:val="00900BA3"/>
    <w:rsid w:val="00900BC9"/>
    <w:rsid w:val="00900DBD"/>
    <w:rsid w:val="00900FB7"/>
    <w:rsid w:val="00901040"/>
    <w:rsid w:val="00901131"/>
    <w:rsid w:val="00901478"/>
    <w:rsid w:val="009014A3"/>
    <w:rsid w:val="009014D8"/>
    <w:rsid w:val="00901573"/>
    <w:rsid w:val="009015FD"/>
    <w:rsid w:val="009016F5"/>
    <w:rsid w:val="00901783"/>
    <w:rsid w:val="009017C5"/>
    <w:rsid w:val="00901830"/>
    <w:rsid w:val="00901909"/>
    <w:rsid w:val="009019E7"/>
    <w:rsid w:val="00901A22"/>
    <w:rsid w:val="00901AD1"/>
    <w:rsid w:val="00901AEE"/>
    <w:rsid w:val="00901AF8"/>
    <w:rsid w:val="00901B26"/>
    <w:rsid w:val="00901C55"/>
    <w:rsid w:val="00901D3E"/>
    <w:rsid w:val="00901D64"/>
    <w:rsid w:val="00901DE3"/>
    <w:rsid w:val="00901DF8"/>
    <w:rsid w:val="00901E37"/>
    <w:rsid w:val="00901F93"/>
    <w:rsid w:val="00902021"/>
    <w:rsid w:val="00902057"/>
    <w:rsid w:val="009020A8"/>
    <w:rsid w:val="00902183"/>
    <w:rsid w:val="0090237A"/>
    <w:rsid w:val="009024EA"/>
    <w:rsid w:val="009025D5"/>
    <w:rsid w:val="009025FD"/>
    <w:rsid w:val="009028BD"/>
    <w:rsid w:val="0090296D"/>
    <w:rsid w:val="00902AE6"/>
    <w:rsid w:val="00902B56"/>
    <w:rsid w:val="00902BC8"/>
    <w:rsid w:val="00902C3E"/>
    <w:rsid w:val="00902CA3"/>
    <w:rsid w:val="00902E4B"/>
    <w:rsid w:val="00902E96"/>
    <w:rsid w:val="00902E9F"/>
    <w:rsid w:val="00903338"/>
    <w:rsid w:val="009033C4"/>
    <w:rsid w:val="00903404"/>
    <w:rsid w:val="009034A6"/>
    <w:rsid w:val="00903555"/>
    <w:rsid w:val="0090355C"/>
    <w:rsid w:val="00903653"/>
    <w:rsid w:val="009037E6"/>
    <w:rsid w:val="009037E7"/>
    <w:rsid w:val="00903999"/>
    <w:rsid w:val="00903A61"/>
    <w:rsid w:val="00903A9E"/>
    <w:rsid w:val="00903B2E"/>
    <w:rsid w:val="00903CBD"/>
    <w:rsid w:val="00903D64"/>
    <w:rsid w:val="00903E86"/>
    <w:rsid w:val="00903F26"/>
    <w:rsid w:val="00903F8B"/>
    <w:rsid w:val="00903FA7"/>
    <w:rsid w:val="009040AF"/>
    <w:rsid w:val="009040BF"/>
    <w:rsid w:val="009041A3"/>
    <w:rsid w:val="009044F9"/>
    <w:rsid w:val="0090453A"/>
    <w:rsid w:val="0090455D"/>
    <w:rsid w:val="009045A1"/>
    <w:rsid w:val="009045EB"/>
    <w:rsid w:val="00904607"/>
    <w:rsid w:val="00904612"/>
    <w:rsid w:val="00904650"/>
    <w:rsid w:val="00904765"/>
    <w:rsid w:val="009047F5"/>
    <w:rsid w:val="00904871"/>
    <w:rsid w:val="00904879"/>
    <w:rsid w:val="00904921"/>
    <w:rsid w:val="009049B1"/>
    <w:rsid w:val="00904A43"/>
    <w:rsid w:val="00904AA8"/>
    <w:rsid w:val="00904D28"/>
    <w:rsid w:val="00904FA2"/>
    <w:rsid w:val="0090507E"/>
    <w:rsid w:val="00905164"/>
    <w:rsid w:val="00905183"/>
    <w:rsid w:val="00905187"/>
    <w:rsid w:val="0090538C"/>
    <w:rsid w:val="009053BB"/>
    <w:rsid w:val="009054A4"/>
    <w:rsid w:val="0090563B"/>
    <w:rsid w:val="0090569C"/>
    <w:rsid w:val="00905719"/>
    <w:rsid w:val="00905854"/>
    <w:rsid w:val="009058FE"/>
    <w:rsid w:val="00905925"/>
    <w:rsid w:val="009059F2"/>
    <w:rsid w:val="00905BCD"/>
    <w:rsid w:val="00905C11"/>
    <w:rsid w:val="00905C1A"/>
    <w:rsid w:val="00905D31"/>
    <w:rsid w:val="00905DBD"/>
    <w:rsid w:val="00905E58"/>
    <w:rsid w:val="00905F6B"/>
    <w:rsid w:val="009060B3"/>
    <w:rsid w:val="00906161"/>
    <w:rsid w:val="009061C8"/>
    <w:rsid w:val="009061ED"/>
    <w:rsid w:val="009062EB"/>
    <w:rsid w:val="009062F7"/>
    <w:rsid w:val="0090654F"/>
    <w:rsid w:val="00906639"/>
    <w:rsid w:val="00906645"/>
    <w:rsid w:val="0090674F"/>
    <w:rsid w:val="009067D4"/>
    <w:rsid w:val="0090680A"/>
    <w:rsid w:val="0090680E"/>
    <w:rsid w:val="009068BA"/>
    <w:rsid w:val="009069BF"/>
    <w:rsid w:val="00906A20"/>
    <w:rsid w:val="00906A77"/>
    <w:rsid w:val="00906B93"/>
    <w:rsid w:val="00906CEA"/>
    <w:rsid w:val="00906EB4"/>
    <w:rsid w:val="00907181"/>
    <w:rsid w:val="009073C3"/>
    <w:rsid w:val="009073CE"/>
    <w:rsid w:val="00907468"/>
    <w:rsid w:val="00907480"/>
    <w:rsid w:val="009075CE"/>
    <w:rsid w:val="0090762F"/>
    <w:rsid w:val="00907967"/>
    <w:rsid w:val="009079A9"/>
    <w:rsid w:val="009079B2"/>
    <w:rsid w:val="00907B2B"/>
    <w:rsid w:val="00907BEA"/>
    <w:rsid w:val="00907D7C"/>
    <w:rsid w:val="00907DD2"/>
    <w:rsid w:val="00907E59"/>
    <w:rsid w:val="00907EF8"/>
    <w:rsid w:val="00907FA9"/>
    <w:rsid w:val="00907FCF"/>
    <w:rsid w:val="00910044"/>
    <w:rsid w:val="009100D2"/>
    <w:rsid w:val="00910114"/>
    <w:rsid w:val="00910143"/>
    <w:rsid w:val="00910176"/>
    <w:rsid w:val="009102C3"/>
    <w:rsid w:val="00910375"/>
    <w:rsid w:val="00910433"/>
    <w:rsid w:val="00910446"/>
    <w:rsid w:val="0091065A"/>
    <w:rsid w:val="00910696"/>
    <w:rsid w:val="009106E1"/>
    <w:rsid w:val="00910868"/>
    <w:rsid w:val="00910974"/>
    <w:rsid w:val="00910AE4"/>
    <w:rsid w:val="00910AF0"/>
    <w:rsid w:val="00910C5F"/>
    <w:rsid w:val="00910CCF"/>
    <w:rsid w:val="00910D23"/>
    <w:rsid w:val="00910D40"/>
    <w:rsid w:val="00910DC2"/>
    <w:rsid w:val="00910DC9"/>
    <w:rsid w:val="00910E14"/>
    <w:rsid w:val="00910E63"/>
    <w:rsid w:val="00910F0A"/>
    <w:rsid w:val="00910F18"/>
    <w:rsid w:val="00911049"/>
    <w:rsid w:val="00911237"/>
    <w:rsid w:val="00911345"/>
    <w:rsid w:val="0091144D"/>
    <w:rsid w:val="009114D2"/>
    <w:rsid w:val="009119CB"/>
    <w:rsid w:val="00911AAA"/>
    <w:rsid w:val="00911AC4"/>
    <w:rsid w:val="00911BD9"/>
    <w:rsid w:val="00911C46"/>
    <w:rsid w:val="00911DA9"/>
    <w:rsid w:val="00911DE3"/>
    <w:rsid w:val="00912074"/>
    <w:rsid w:val="0091225A"/>
    <w:rsid w:val="00912365"/>
    <w:rsid w:val="0091248D"/>
    <w:rsid w:val="0091253A"/>
    <w:rsid w:val="00912561"/>
    <w:rsid w:val="009125AE"/>
    <w:rsid w:val="009125D1"/>
    <w:rsid w:val="00912A3C"/>
    <w:rsid w:val="00912B0B"/>
    <w:rsid w:val="00912DF2"/>
    <w:rsid w:val="00912E1D"/>
    <w:rsid w:val="00912E5C"/>
    <w:rsid w:val="00912F83"/>
    <w:rsid w:val="0091300C"/>
    <w:rsid w:val="009130C1"/>
    <w:rsid w:val="00913117"/>
    <w:rsid w:val="009131DA"/>
    <w:rsid w:val="009132A9"/>
    <w:rsid w:val="00913382"/>
    <w:rsid w:val="00913384"/>
    <w:rsid w:val="009135C5"/>
    <w:rsid w:val="0091362C"/>
    <w:rsid w:val="00913714"/>
    <w:rsid w:val="00913784"/>
    <w:rsid w:val="009137C7"/>
    <w:rsid w:val="009138C4"/>
    <w:rsid w:val="009138D2"/>
    <w:rsid w:val="00913BF9"/>
    <w:rsid w:val="00913C5B"/>
    <w:rsid w:val="00913D81"/>
    <w:rsid w:val="00913E09"/>
    <w:rsid w:val="00913F39"/>
    <w:rsid w:val="00913FFA"/>
    <w:rsid w:val="009141E1"/>
    <w:rsid w:val="0091421A"/>
    <w:rsid w:val="0091432A"/>
    <w:rsid w:val="009143DD"/>
    <w:rsid w:val="009143E5"/>
    <w:rsid w:val="0091447D"/>
    <w:rsid w:val="0091453F"/>
    <w:rsid w:val="009145DD"/>
    <w:rsid w:val="009146E2"/>
    <w:rsid w:val="0091473C"/>
    <w:rsid w:val="009147C3"/>
    <w:rsid w:val="00914834"/>
    <w:rsid w:val="00914835"/>
    <w:rsid w:val="009148AD"/>
    <w:rsid w:val="009148D1"/>
    <w:rsid w:val="009148E3"/>
    <w:rsid w:val="00914A8C"/>
    <w:rsid w:val="00914C1F"/>
    <w:rsid w:val="00914C5E"/>
    <w:rsid w:val="00914D1B"/>
    <w:rsid w:val="00914D2A"/>
    <w:rsid w:val="00914E6F"/>
    <w:rsid w:val="00914EEE"/>
    <w:rsid w:val="00914F76"/>
    <w:rsid w:val="0091519A"/>
    <w:rsid w:val="009153D2"/>
    <w:rsid w:val="00915441"/>
    <w:rsid w:val="00915492"/>
    <w:rsid w:val="009154C2"/>
    <w:rsid w:val="009155E3"/>
    <w:rsid w:val="0091566B"/>
    <w:rsid w:val="009156F4"/>
    <w:rsid w:val="0091581D"/>
    <w:rsid w:val="00915975"/>
    <w:rsid w:val="00915A23"/>
    <w:rsid w:val="00915A24"/>
    <w:rsid w:val="00915ADE"/>
    <w:rsid w:val="00915BC0"/>
    <w:rsid w:val="00915BF5"/>
    <w:rsid w:val="00915C8B"/>
    <w:rsid w:val="00915C95"/>
    <w:rsid w:val="00915D4B"/>
    <w:rsid w:val="00915D54"/>
    <w:rsid w:val="00915DC9"/>
    <w:rsid w:val="00915E7B"/>
    <w:rsid w:val="0091625E"/>
    <w:rsid w:val="009162B0"/>
    <w:rsid w:val="009162CE"/>
    <w:rsid w:val="009162E1"/>
    <w:rsid w:val="009163DB"/>
    <w:rsid w:val="0091664F"/>
    <w:rsid w:val="009166DF"/>
    <w:rsid w:val="00916853"/>
    <w:rsid w:val="009169DD"/>
    <w:rsid w:val="00916A27"/>
    <w:rsid w:val="00916BA1"/>
    <w:rsid w:val="00916C2E"/>
    <w:rsid w:val="00916C63"/>
    <w:rsid w:val="00916D9D"/>
    <w:rsid w:val="00916EE7"/>
    <w:rsid w:val="00916F63"/>
    <w:rsid w:val="009170FE"/>
    <w:rsid w:val="0091716B"/>
    <w:rsid w:val="009171A0"/>
    <w:rsid w:val="009171C9"/>
    <w:rsid w:val="00917302"/>
    <w:rsid w:val="00917347"/>
    <w:rsid w:val="0091745D"/>
    <w:rsid w:val="0091767C"/>
    <w:rsid w:val="0091780A"/>
    <w:rsid w:val="00917824"/>
    <w:rsid w:val="00917838"/>
    <w:rsid w:val="00917986"/>
    <w:rsid w:val="00917A9A"/>
    <w:rsid w:val="00917B31"/>
    <w:rsid w:val="00917BB3"/>
    <w:rsid w:val="00917C33"/>
    <w:rsid w:val="00917DF7"/>
    <w:rsid w:val="00917EE3"/>
    <w:rsid w:val="009200AE"/>
    <w:rsid w:val="00920127"/>
    <w:rsid w:val="009201E0"/>
    <w:rsid w:val="00920238"/>
    <w:rsid w:val="00920398"/>
    <w:rsid w:val="009203C2"/>
    <w:rsid w:val="00920415"/>
    <w:rsid w:val="00920584"/>
    <w:rsid w:val="00920973"/>
    <w:rsid w:val="00920B11"/>
    <w:rsid w:val="00920BF0"/>
    <w:rsid w:val="00920CB6"/>
    <w:rsid w:val="00920D31"/>
    <w:rsid w:val="00920DDE"/>
    <w:rsid w:val="00920E5E"/>
    <w:rsid w:val="00920E95"/>
    <w:rsid w:val="00920F2B"/>
    <w:rsid w:val="00920FA8"/>
    <w:rsid w:val="00921063"/>
    <w:rsid w:val="009210B5"/>
    <w:rsid w:val="009210BD"/>
    <w:rsid w:val="009210F4"/>
    <w:rsid w:val="00921297"/>
    <w:rsid w:val="009213A9"/>
    <w:rsid w:val="00921452"/>
    <w:rsid w:val="00921583"/>
    <w:rsid w:val="0092179D"/>
    <w:rsid w:val="00921931"/>
    <w:rsid w:val="00921978"/>
    <w:rsid w:val="00921A10"/>
    <w:rsid w:val="00921AD9"/>
    <w:rsid w:val="00921BE4"/>
    <w:rsid w:val="00921C94"/>
    <w:rsid w:val="00921DAA"/>
    <w:rsid w:val="00921E19"/>
    <w:rsid w:val="00921FDC"/>
    <w:rsid w:val="009220ED"/>
    <w:rsid w:val="00922203"/>
    <w:rsid w:val="0092228E"/>
    <w:rsid w:val="009223CD"/>
    <w:rsid w:val="00922443"/>
    <w:rsid w:val="009224CC"/>
    <w:rsid w:val="0092258A"/>
    <w:rsid w:val="009225A5"/>
    <w:rsid w:val="00922616"/>
    <w:rsid w:val="009226FE"/>
    <w:rsid w:val="00922739"/>
    <w:rsid w:val="00922753"/>
    <w:rsid w:val="00922796"/>
    <w:rsid w:val="009228CF"/>
    <w:rsid w:val="00922B4D"/>
    <w:rsid w:val="00922C88"/>
    <w:rsid w:val="00922E25"/>
    <w:rsid w:val="00922EE2"/>
    <w:rsid w:val="00922FA1"/>
    <w:rsid w:val="009230B6"/>
    <w:rsid w:val="0092326C"/>
    <w:rsid w:val="00923304"/>
    <w:rsid w:val="00923422"/>
    <w:rsid w:val="009234B8"/>
    <w:rsid w:val="00923519"/>
    <w:rsid w:val="00923560"/>
    <w:rsid w:val="009236CB"/>
    <w:rsid w:val="00923AC6"/>
    <w:rsid w:val="00923AE3"/>
    <w:rsid w:val="00923AEC"/>
    <w:rsid w:val="00923CDA"/>
    <w:rsid w:val="00923F48"/>
    <w:rsid w:val="009240F0"/>
    <w:rsid w:val="0092417D"/>
    <w:rsid w:val="009241D9"/>
    <w:rsid w:val="009242B3"/>
    <w:rsid w:val="009243F3"/>
    <w:rsid w:val="009244AA"/>
    <w:rsid w:val="009244D8"/>
    <w:rsid w:val="00924526"/>
    <w:rsid w:val="009246F5"/>
    <w:rsid w:val="00924708"/>
    <w:rsid w:val="00924784"/>
    <w:rsid w:val="009249DB"/>
    <w:rsid w:val="00924A26"/>
    <w:rsid w:val="00924DEC"/>
    <w:rsid w:val="00924E08"/>
    <w:rsid w:val="00924E0D"/>
    <w:rsid w:val="00924EA1"/>
    <w:rsid w:val="00924F60"/>
    <w:rsid w:val="00924FAB"/>
    <w:rsid w:val="009250D4"/>
    <w:rsid w:val="009250F9"/>
    <w:rsid w:val="00925114"/>
    <w:rsid w:val="00925169"/>
    <w:rsid w:val="009252E2"/>
    <w:rsid w:val="009252F8"/>
    <w:rsid w:val="0092532F"/>
    <w:rsid w:val="009253EE"/>
    <w:rsid w:val="0092540A"/>
    <w:rsid w:val="00925464"/>
    <w:rsid w:val="00925480"/>
    <w:rsid w:val="009255FA"/>
    <w:rsid w:val="00925715"/>
    <w:rsid w:val="0092573B"/>
    <w:rsid w:val="00925741"/>
    <w:rsid w:val="00925854"/>
    <w:rsid w:val="009258A3"/>
    <w:rsid w:val="0092599D"/>
    <w:rsid w:val="00925A9D"/>
    <w:rsid w:val="00925C54"/>
    <w:rsid w:val="00925DEC"/>
    <w:rsid w:val="00925E38"/>
    <w:rsid w:val="00925EF7"/>
    <w:rsid w:val="00925F4E"/>
    <w:rsid w:val="00926107"/>
    <w:rsid w:val="00926148"/>
    <w:rsid w:val="00926191"/>
    <w:rsid w:val="009261B0"/>
    <w:rsid w:val="00926239"/>
    <w:rsid w:val="00926307"/>
    <w:rsid w:val="0092633C"/>
    <w:rsid w:val="009264CB"/>
    <w:rsid w:val="00926583"/>
    <w:rsid w:val="00926591"/>
    <w:rsid w:val="009265E8"/>
    <w:rsid w:val="00926726"/>
    <w:rsid w:val="00926790"/>
    <w:rsid w:val="009268D6"/>
    <w:rsid w:val="009268EB"/>
    <w:rsid w:val="0092699A"/>
    <w:rsid w:val="00926C07"/>
    <w:rsid w:val="00926C08"/>
    <w:rsid w:val="00926D1B"/>
    <w:rsid w:val="00926D64"/>
    <w:rsid w:val="00926DB8"/>
    <w:rsid w:val="00926FF6"/>
    <w:rsid w:val="00927019"/>
    <w:rsid w:val="009270E1"/>
    <w:rsid w:val="0092717D"/>
    <w:rsid w:val="0092725E"/>
    <w:rsid w:val="009273A3"/>
    <w:rsid w:val="009273F8"/>
    <w:rsid w:val="00927425"/>
    <w:rsid w:val="00927533"/>
    <w:rsid w:val="0092755B"/>
    <w:rsid w:val="00927687"/>
    <w:rsid w:val="0092775E"/>
    <w:rsid w:val="009277E0"/>
    <w:rsid w:val="0092789A"/>
    <w:rsid w:val="00927A6B"/>
    <w:rsid w:val="00927B50"/>
    <w:rsid w:val="00927BCC"/>
    <w:rsid w:val="00927C39"/>
    <w:rsid w:val="00927D3D"/>
    <w:rsid w:val="00927DB5"/>
    <w:rsid w:val="00927E31"/>
    <w:rsid w:val="00927ED5"/>
    <w:rsid w:val="00927F9B"/>
    <w:rsid w:val="00927FA2"/>
    <w:rsid w:val="00927FA8"/>
    <w:rsid w:val="00927FC3"/>
    <w:rsid w:val="0093008B"/>
    <w:rsid w:val="009301CF"/>
    <w:rsid w:val="009302BA"/>
    <w:rsid w:val="009302CF"/>
    <w:rsid w:val="009303E5"/>
    <w:rsid w:val="00930589"/>
    <w:rsid w:val="009305F8"/>
    <w:rsid w:val="009306D9"/>
    <w:rsid w:val="00930716"/>
    <w:rsid w:val="009307B8"/>
    <w:rsid w:val="009307F2"/>
    <w:rsid w:val="00930993"/>
    <w:rsid w:val="00930B1F"/>
    <w:rsid w:val="00930BD2"/>
    <w:rsid w:val="00930C63"/>
    <w:rsid w:val="00930CEC"/>
    <w:rsid w:val="00930D90"/>
    <w:rsid w:val="00930DFE"/>
    <w:rsid w:val="00930F4A"/>
    <w:rsid w:val="00930FA9"/>
    <w:rsid w:val="00931101"/>
    <w:rsid w:val="0093110E"/>
    <w:rsid w:val="0093116F"/>
    <w:rsid w:val="0093117F"/>
    <w:rsid w:val="00931197"/>
    <w:rsid w:val="009311B8"/>
    <w:rsid w:val="00931290"/>
    <w:rsid w:val="00931337"/>
    <w:rsid w:val="009313FB"/>
    <w:rsid w:val="00931445"/>
    <w:rsid w:val="00931497"/>
    <w:rsid w:val="009314E0"/>
    <w:rsid w:val="009315AE"/>
    <w:rsid w:val="009317A2"/>
    <w:rsid w:val="0093198E"/>
    <w:rsid w:val="00931A7B"/>
    <w:rsid w:val="00931C56"/>
    <w:rsid w:val="00931D83"/>
    <w:rsid w:val="00931E04"/>
    <w:rsid w:val="00931E87"/>
    <w:rsid w:val="00931F46"/>
    <w:rsid w:val="00932078"/>
    <w:rsid w:val="00932187"/>
    <w:rsid w:val="009321AF"/>
    <w:rsid w:val="00932296"/>
    <w:rsid w:val="009322C4"/>
    <w:rsid w:val="009322EB"/>
    <w:rsid w:val="00932646"/>
    <w:rsid w:val="00932770"/>
    <w:rsid w:val="009327B3"/>
    <w:rsid w:val="009327FC"/>
    <w:rsid w:val="00932861"/>
    <w:rsid w:val="0093292F"/>
    <w:rsid w:val="00932A8D"/>
    <w:rsid w:val="00932B3D"/>
    <w:rsid w:val="00932B7E"/>
    <w:rsid w:val="00932C5D"/>
    <w:rsid w:val="00932DC7"/>
    <w:rsid w:val="00932E0A"/>
    <w:rsid w:val="00932ED9"/>
    <w:rsid w:val="0093305D"/>
    <w:rsid w:val="00933091"/>
    <w:rsid w:val="009330CE"/>
    <w:rsid w:val="00933172"/>
    <w:rsid w:val="009331D4"/>
    <w:rsid w:val="009331D7"/>
    <w:rsid w:val="00933258"/>
    <w:rsid w:val="009333B3"/>
    <w:rsid w:val="00933446"/>
    <w:rsid w:val="009334B0"/>
    <w:rsid w:val="0093356C"/>
    <w:rsid w:val="0093363A"/>
    <w:rsid w:val="0093365C"/>
    <w:rsid w:val="009336CD"/>
    <w:rsid w:val="00933861"/>
    <w:rsid w:val="009339A6"/>
    <w:rsid w:val="00933B32"/>
    <w:rsid w:val="00933B49"/>
    <w:rsid w:val="00933C89"/>
    <w:rsid w:val="00933D19"/>
    <w:rsid w:val="00933D3D"/>
    <w:rsid w:val="00933D8C"/>
    <w:rsid w:val="00933E7B"/>
    <w:rsid w:val="00933E9A"/>
    <w:rsid w:val="00933EAF"/>
    <w:rsid w:val="00933EE3"/>
    <w:rsid w:val="00933F0D"/>
    <w:rsid w:val="00933F59"/>
    <w:rsid w:val="00933F84"/>
    <w:rsid w:val="00933FCC"/>
    <w:rsid w:val="00934133"/>
    <w:rsid w:val="0093415F"/>
    <w:rsid w:val="009341ED"/>
    <w:rsid w:val="00934206"/>
    <w:rsid w:val="00934321"/>
    <w:rsid w:val="009345A5"/>
    <w:rsid w:val="009345C5"/>
    <w:rsid w:val="009346AA"/>
    <w:rsid w:val="0093474B"/>
    <w:rsid w:val="00934792"/>
    <w:rsid w:val="00934A5A"/>
    <w:rsid w:val="00934A96"/>
    <w:rsid w:val="00934AB0"/>
    <w:rsid w:val="00934B04"/>
    <w:rsid w:val="00934B0B"/>
    <w:rsid w:val="00934CB3"/>
    <w:rsid w:val="00934DDE"/>
    <w:rsid w:val="00934F62"/>
    <w:rsid w:val="00935087"/>
    <w:rsid w:val="009350B0"/>
    <w:rsid w:val="00935168"/>
    <w:rsid w:val="009351A2"/>
    <w:rsid w:val="0093522B"/>
    <w:rsid w:val="00935288"/>
    <w:rsid w:val="0093529C"/>
    <w:rsid w:val="00935575"/>
    <w:rsid w:val="009355F4"/>
    <w:rsid w:val="00935628"/>
    <w:rsid w:val="0093570A"/>
    <w:rsid w:val="0093572C"/>
    <w:rsid w:val="009358A8"/>
    <w:rsid w:val="00935A5D"/>
    <w:rsid w:val="00935AA1"/>
    <w:rsid w:val="00935C37"/>
    <w:rsid w:val="0093605C"/>
    <w:rsid w:val="0093608E"/>
    <w:rsid w:val="009360EA"/>
    <w:rsid w:val="00936160"/>
    <w:rsid w:val="0093618A"/>
    <w:rsid w:val="00936294"/>
    <w:rsid w:val="00936449"/>
    <w:rsid w:val="009366B6"/>
    <w:rsid w:val="009367B7"/>
    <w:rsid w:val="00936801"/>
    <w:rsid w:val="0093686D"/>
    <w:rsid w:val="00936957"/>
    <w:rsid w:val="0093698C"/>
    <w:rsid w:val="00936AA1"/>
    <w:rsid w:val="00936ADD"/>
    <w:rsid w:val="00936C28"/>
    <w:rsid w:val="00936C64"/>
    <w:rsid w:val="00936D27"/>
    <w:rsid w:val="00936E36"/>
    <w:rsid w:val="00936E40"/>
    <w:rsid w:val="00936E47"/>
    <w:rsid w:val="00936F60"/>
    <w:rsid w:val="009370E6"/>
    <w:rsid w:val="00937382"/>
    <w:rsid w:val="0093740E"/>
    <w:rsid w:val="00937437"/>
    <w:rsid w:val="0093743E"/>
    <w:rsid w:val="0093744B"/>
    <w:rsid w:val="0093750A"/>
    <w:rsid w:val="0093757F"/>
    <w:rsid w:val="0093766F"/>
    <w:rsid w:val="0093769E"/>
    <w:rsid w:val="00937742"/>
    <w:rsid w:val="0093796B"/>
    <w:rsid w:val="00937980"/>
    <w:rsid w:val="00937A76"/>
    <w:rsid w:val="00937ACF"/>
    <w:rsid w:val="00937AD6"/>
    <w:rsid w:val="00937ADA"/>
    <w:rsid w:val="00937C1F"/>
    <w:rsid w:val="00937CA8"/>
    <w:rsid w:val="00937CE9"/>
    <w:rsid w:val="00937D9C"/>
    <w:rsid w:val="00937E1D"/>
    <w:rsid w:val="00937F51"/>
    <w:rsid w:val="009401CC"/>
    <w:rsid w:val="009403B9"/>
    <w:rsid w:val="0094052E"/>
    <w:rsid w:val="00940555"/>
    <w:rsid w:val="00940A3A"/>
    <w:rsid w:val="00940A45"/>
    <w:rsid w:val="00940B8E"/>
    <w:rsid w:val="00940D5A"/>
    <w:rsid w:val="00940F65"/>
    <w:rsid w:val="00941048"/>
    <w:rsid w:val="00941139"/>
    <w:rsid w:val="0094120C"/>
    <w:rsid w:val="009412C9"/>
    <w:rsid w:val="009412CC"/>
    <w:rsid w:val="00941331"/>
    <w:rsid w:val="00941374"/>
    <w:rsid w:val="009413F9"/>
    <w:rsid w:val="0094145E"/>
    <w:rsid w:val="009414B3"/>
    <w:rsid w:val="00941538"/>
    <w:rsid w:val="0094154B"/>
    <w:rsid w:val="00941560"/>
    <w:rsid w:val="00941703"/>
    <w:rsid w:val="0094178E"/>
    <w:rsid w:val="009417F3"/>
    <w:rsid w:val="0094195B"/>
    <w:rsid w:val="00941972"/>
    <w:rsid w:val="00941AF2"/>
    <w:rsid w:val="00941B2C"/>
    <w:rsid w:val="00941B5F"/>
    <w:rsid w:val="00941B66"/>
    <w:rsid w:val="00941B87"/>
    <w:rsid w:val="00941B98"/>
    <w:rsid w:val="00941E9A"/>
    <w:rsid w:val="00941F31"/>
    <w:rsid w:val="00941F4A"/>
    <w:rsid w:val="00941FF9"/>
    <w:rsid w:val="0094208B"/>
    <w:rsid w:val="0094213B"/>
    <w:rsid w:val="0094216D"/>
    <w:rsid w:val="0094216E"/>
    <w:rsid w:val="00942215"/>
    <w:rsid w:val="00942225"/>
    <w:rsid w:val="00942290"/>
    <w:rsid w:val="00942326"/>
    <w:rsid w:val="009423C2"/>
    <w:rsid w:val="009423E6"/>
    <w:rsid w:val="00942581"/>
    <w:rsid w:val="009425DE"/>
    <w:rsid w:val="00942641"/>
    <w:rsid w:val="0094265C"/>
    <w:rsid w:val="009427DF"/>
    <w:rsid w:val="00942A69"/>
    <w:rsid w:val="00942B35"/>
    <w:rsid w:val="00942D28"/>
    <w:rsid w:val="00942DCB"/>
    <w:rsid w:val="00942DE8"/>
    <w:rsid w:val="00942E67"/>
    <w:rsid w:val="00942E8D"/>
    <w:rsid w:val="00942F5D"/>
    <w:rsid w:val="00942F92"/>
    <w:rsid w:val="009430A7"/>
    <w:rsid w:val="009430C1"/>
    <w:rsid w:val="00943192"/>
    <w:rsid w:val="009431BC"/>
    <w:rsid w:val="009431F3"/>
    <w:rsid w:val="00943265"/>
    <w:rsid w:val="00943343"/>
    <w:rsid w:val="0094345F"/>
    <w:rsid w:val="00943560"/>
    <w:rsid w:val="00943654"/>
    <w:rsid w:val="0094371A"/>
    <w:rsid w:val="0094372C"/>
    <w:rsid w:val="00943835"/>
    <w:rsid w:val="009438E6"/>
    <w:rsid w:val="009439B0"/>
    <w:rsid w:val="009439DA"/>
    <w:rsid w:val="00943B06"/>
    <w:rsid w:val="00943C8B"/>
    <w:rsid w:val="00943D2D"/>
    <w:rsid w:val="00943FB6"/>
    <w:rsid w:val="00943FC0"/>
    <w:rsid w:val="0094403C"/>
    <w:rsid w:val="0094421C"/>
    <w:rsid w:val="00944395"/>
    <w:rsid w:val="009443BD"/>
    <w:rsid w:val="00944536"/>
    <w:rsid w:val="0094460F"/>
    <w:rsid w:val="00944620"/>
    <w:rsid w:val="00944857"/>
    <w:rsid w:val="00944867"/>
    <w:rsid w:val="009448CF"/>
    <w:rsid w:val="00944A9D"/>
    <w:rsid w:val="00944CD9"/>
    <w:rsid w:val="00944D3F"/>
    <w:rsid w:val="00944F22"/>
    <w:rsid w:val="00944FFD"/>
    <w:rsid w:val="00945078"/>
    <w:rsid w:val="00945093"/>
    <w:rsid w:val="009450AB"/>
    <w:rsid w:val="009450BD"/>
    <w:rsid w:val="00945117"/>
    <w:rsid w:val="009452D2"/>
    <w:rsid w:val="00945300"/>
    <w:rsid w:val="00945312"/>
    <w:rsid w:val="0094544B"/>
    <w:rsid w:val="00945560"/>
    <w:rsid w:val="00945565"/>
    <w:rsid w:val="009455F2"/>
    <w:rsid w:val="00945607"/>
    <w:rsid w:val="009456D4"/>
    <w:rsid w:val="00945747"/>
    <w:rsid w:val="00945782"/>
    <w:rsid w:val="00945B7A"/>
    <w:rsid w:val="00945C0E"/>
    <w:rsid w:val="00945C29"/>
    <w:rsid w:val="00945C9B"/>
    <w:rsid w:val="00945D40"/>
    <w:rsid w:val="00945D7A"/>
    <w:rsid w:val="00945DCC"/>
    <w:rsid w:val="00945EDF"/>
    <w:rsid w:val="00945FE5"/>
    <w:rsid w:val="00946020"/>
    <w:rsid w:val="00946049"/>
    <w:rsid w:val="00946061"/>
    <w:rsid w:val="00946441"/>
    <w:rsid w:val="0094648B"/>
    <w:rsid w:val="009464DD"/>
    <w:rsid w:val="00946672"/>
    <w:rsid w:val="009466C7"/>
    <w:rsid w:val="009466FC"/>
    <w:rsid w:val="009468A5"/>
    <w:rsid w:val="009469E5"/>
    <w:rsid w:val="00946C0B"/>
    <w:rsid w:val="00946DED"/>
    <w:rsid w:val="00946FF8"/>
    <w:rsid w:val="00947091"/>
    <w:rsid w:val="00947156"/>
    <w:rsid w:val="0094722D"/>
    <w:rsid w:val="00947491"/>
    <w:rsid w:val="00947558"/>
    <w:rsid w:val="0094765E"/>
    <w:rsid w:val="00947661"/>
    <w:rsid w:val="009476C0"/>
    <w:rsid w:val="00947709"/>
    <w:rsid w:val="00947771"/>
    <w:rsid w:val="009477BC"/>
    <w:rsid w:val="00947961"/>
    <w:rsid w:val="009479AD"/>
    <w:rsid w:val="00947AA3"/>
    <w:rsid w:val="00947CC1"/>
    <w:rsid w:val="00947D2C"/>
    <w:rsid w:val="00947D7D"/>
    <w:rsid w:val="00947E85"/>
    <w:rsid w:val="00947EB6"/>
    <w:rsid w:val="00947EEA"/>
    <w:rsid w:val="00947F2A"/>
    <w:rsid w:val="00947F67"/>
    <w:rsid w:val="00947FF3"/>
    <w:rsid w:val="0095018D"/>
    <w:rsid w:val="009501D4"/>
    <w:rsid w:val="009502CE"/>
    <w:rsid w:val="00950316"/>
    <w:rsid w:val="00950338"/>
    <w:rsid w:val="009505D9"/>
    <w:rsid w:val="00950639"/>
    <w:rsid w:val="00950731"/>
    <w:rsid w:val="009508AD"/>
    <w:rsid w:val="009509E5"/>
    <w:rsid w:val="009509E7"/>
    <w:rsid w:val="00950A48"/>
    <w:rsid w:val="00950C35"/>
    <w:rsid w:val="00950DB6"/>
    <w:rsid w:val="00950FA7"/>
    <w:rsid w:val="00950FB1"/>
    <w:rsid w:val="00951233"/>
    <w:rsid w:val="009512DB"/>
    <w:rsid w:val="0095131A"/>
    <w:rsid w:val="00951349"/>
    <w:rsid w:val="00951511"/>
    <w:rsid w:val="009516A0"/>
    <w:rsid w:val="009516C4"/>
    <w:rsid w:val="009516C6"/>
    <w:rsid w:val="00951852"/>
    <w:rsid w:val="0095191B"/>
    <w:rsid w:val="0095199F"/>
    <w:rsid w:val="00951A0F"/>
    <w:rsid w:val="00951A3B"/>
    <w:rsid w:val="00951C21"/>
    <w:rsid w:val="00951FB5"/>
    <w:rsid w:val="00951FE6"/>
    <w:rsid w:val="00952059"/>
    <w:rsid w:val="009520B5"/>
    <w:rsid w:val="009521A5"/>
    <w:rsid w:val="00952276"/>
    <w:rsid w:val="00952297"/>
    <w:rsid w:val="0095239C"/>
    <w:rsid w:val="0095247B"/>
    <w:rsid w:val="0095260B"/>
    <w:rsid w:val="00952663"/>
    <w:rsid w:val="0095269D"/>
    <w:rsid w:val="009526DA"/>
    <w:rsid w:val="00952738"/>
    <w:rsid w:val="0095277F"/>
    <w:rsid w:val="009527ED"/>
    <w:rsid w:val="009528AA"/>
    <w:rsid w:val="009528B4"/>
    <w:rsid w:val="00952943"/>
    <w:rsid w:val="009529EA"/>
    <w:rsid w:val="00952CBE"/>
    <w:rsid w:val="00952E07"/>
    <w:rsid w:val="00952E41"/>
    <w:rsid w:val="00953009"/>
    <w:rsid w:val="009531BF"/>
    <w:rsid w:val="00953229"/>
    <w:rsid w:val="009534F5"/>
    <w:rsid w:val="00953699"/>
    <w:rsid w:val="00953737"/>
    <w:rsid w:val="009538C8"/>
    <w:rsid w:val="009539DB"/>
    <w:rsid w:val="00953A02"/>
    <w:rsid w:val="00953AD9"/>
    <w:rsid w:val="00953B2E"/>
    <w:rsid w:val="00953CBB"/>
    <w:rsid w:val="00953D2E"/>
    <w:rsid w:val="00953D55"/>
    <w:rsid w:val="00953E19"/>
    <w:rsid w:val="009540B0"/>
    <w:rsid w:val="009541E8"/>
    <w:rsid w:val="009541F3"/>
    <w:rsid w:val="0095433B"/>
    <w:rsid w:val="0095448D"/>
    <w:rsid w:val="009544B1"/>
    <w:rsid w:val="00954517"/>
    <w:rsid w:val="009546C5"/>
    <w:rsid w:val="009547EF"/>
    <w:rsid w:val="009548F5"/>
    <w:rsid w:val="009549B7"/>
    <w:rsid w:val="00954B04"/>
    <w:rsid w:val="00954B34"/>
    <w:rsid w:val="00954CC8"/>
    <w:rsid w:val="00954D2E"/>
    <w:rsid w:val="00954E82"/>
    <w:rsid w:val="00954FC2"/>
    <w:rsid w:val="0095516B"/>
    <w:rsid w:val="00955175"/>
    <w:rsid w:val="0095545D"/>
    <w:rsid w:val="00955606"/>
    <w:rsid w:val="0095573F"/>
    <w:rsid w:val="009557CC"/>
    <w:rsid w:val="0095588D"/>
    <w:rsid w:val="009559DF"/>
    <w:rsid w:val="00955C7A"/>
    <w:rsid w:val="00955C85"/>
    <w:rsid w:val="00955CEA"/>
    <w:rsid w:val="00955E55"/>
    <w:rsid w:val="00955F1A"/>
    <w:rsid w:val="00955F95"/>
    <w:rsid w:val="0095604A"/>
    <w:rsid w:val="00956165"/>
    <w:rsid w:val="009561E0"/>
    <w:rsid w:val="009562C0"/>
    <w:rsid w:val="0095648D"/>
    <w:rsid w:val="009564E8"/>
    <w:rsid w:val="009564F9"/>
    <w:rsid w:val="00956657"/>
    <w:rsid w:val="0095666C"/>
    <w:rsid w:val="00956671"/>
    <w:rsid w:val="009566D9"/>
    <w:rsid w:val="009567A7"/>
    <w:rsid w:val="009567D2"/>
    <w:rsid w:val="00956867"/>
    <w:rsid w:val="009569BF"/>
    <w:rsid w:val="00956C65"/>
    <w:rsid w:val="00956D52"/>
    <w:rsid w:val="00956E46"/>
    <w:rsid w:val="00956E55"/>
    <w:rsid w:val="00956E6E"/>
    <w:rsid w:val="00956ECC"/>
    <w:rsid w:val="00957113"/>
    <w:rsid w:val="0095717F"/>
    <w:rsid w:val="009571B3"/>
    <w:rsid w:val="00957354"/>
    <w:rsid w:val="00957438"/>
    <w:rsid w:val="00957762"/>
    <w:rsid w:val="00957763"/>
    <w:rsid w:val="009577D0"/>
    <w:rsid w:val="0095781D"/>
    <w:rsid w:val="00957828"/>
    <w:rsid w:val="00957995"/>
    <w:rsid w:val="00957A84"/>
    <w:rsid w:val="00957B28"/>
    <w:rsid w:val="00957CC0"/>
    <w:rsid w:val="00957D65"/>
    <w:rsid w:val="00957D91"/>
    <w:rsid w:val="00957E5E"/>
    <w:rsid w:val="00957EC2"/>
    <w:rsid w:val="00957F55"/>
    <w:rsid w:val="00957F66"/>
    <w:rsid w:val="00957F68"/>
    <w:rsid w:val="00960052"/>
    <w:rsid w:val="00960169"/>
    <w:rsid w:val="009601C9"/>
    <w:rsid w:val="00960241"/>
    <w:rsid w:val="009602E9"/>
    <w:rsid w:val="009602ED"/>
    <w:rsid w:val="00960330"/>
    <w:rsid w:val="0096037F"/>
    <w:rsid w:val="00960559"/>
    <w:rsid w:val="009606F4"/>
    <w:rsid w:val="00960726"/>
    <w:rsid w:val="00960773"/>
    <w:rsid w:val="00960880"/>
    <w:rsid w:val="009608B7"/>
    <w:rsid w:val="00960912"/>
    <w:rsid w:val="00960958"/>
    <w:rsid w:val="00960BEB"/>
    <w:rsid w:val="00960C00"/>
    <w:rsid w:val="00960E48"/>
    <w:rsid w:val="00960F6B"/>
    <w:rsid w:val="00960F72"/>
    <w:rsid w:val="00961059"/>
    <w:rsid w:val="009610E7"/>
    <w:rsid w:val="009610FA"/>
    <w:rsid w:val="00961119"/>
    <w:rsid w:val="00961171"/>
    <w:rsid w:val="00961212"/>
    <w:rsid w:val="0096141F"/>
    <w:rsid w:val="00961429"/>
    <w:rsid w:val="00961536"/>
    <w:rsid w:val="009618D8"/>
    <w:rsid w:val="009618F8"/>
    <w:rsid w:val="00961928"/>
    <w:rsid w:val="00961ACC"/>
    <w:rsid w:val="00961B90"/>
    <w:rsid w:val="00961D14"/>
    <w:rsid w:val="00961D92"/>
    <w:rsid w:val="00961DAD"/>
    <w:rsid w:val="00961E37"/>
    <w:rsid w:val="00962002"/>
    <w:rsid w:val="009620E9"/>
    <w:rsid w:val="009621BE"/>
    <w:rsid w:val="009621F0"/>
    <w:rsid w:val="009623F1"/>
    <w:rsid w:val="00962409"/>
    <w:rsid w:val="00962446"/>
    <w:rsid w:val="00962508"/>
    <w:rsid w:val="00962872"/>
    <w:rsid w:val="00962A08"/>
    <w:rsid w:val="00962A51"/>
    <w:rsid w:val="00962C03"/>
    <w:rsid w:val="00962D4B"/>
    <w:rsid w:val="00962EF8"/>
    <w:rsid w:val="00962F3D"/>
    <w:rsid w:val="00963000"/>
    <w:rsid w:val="009630F7"/>
    <w:rsid w:val="00963118"/>
    <w:rsid w:val="009631EF"/>
    <w:rsid w:val="0096325B"/>
    <w:rsid w:val="00963580"/>
    <w:rsid w:val="00963607"/>
    <w:rsid w:val="0096388B"/>
    <w:rsid w:val="0096391C"/>
    <w:rsid w:val="00963941"/>
    <w:rsid w:val="00963983"/>
    <w:rsid w:val="00963AAF"/>
    <w:rsid w:val="00963B68"/>
    <w:rsid w:val="00963B8B"/>
    <w:rsid w:val="00963BBF"/>
    <w:rsid w:val="00963D17"/>
    <w:rsid w:val="00963E52"/>
    <w:rsid w:val="00963E82"/>
    <w:rsid w:val="00963E95"/>
    <w:rsid w:val="00963EB1"/>
    <w:rsid w:val="0096429E"/>
    <w:rsid w:val="0096432F"/>
    <w:rsid w:val="009643BB"/>
    <w:rsid w:val="009643EE"/>
    <w:rsid w:val="0096466C"/>
    <w:rsid w:val="0096485A"/>
    <w:rsid w:val="0096486E"/>
    <w:rsid w:val="00964AB1"/>
    <w:rsid w:val="00964B94"/>
    <w:rsid w:val="00964C8E"/>
    <w:rsid w:val="00964E60"/>
    <w:rsid w:val="00964E72"/>
    <w:rsid w:val="00965000"/>
    <w:rsid w:val="0096520B"/>
    <w:rsid w:val="009652BD"/>
    <w:rsid w:val="009653B0"/>
    <w:rsid w:val="009653EC"/>
    <w:rsid w:val="0096544F"/>
    <w:rsid w:val="009654DB"/>
    <w:rsid w:val="009655D7"/>
    <w:rsid w:val="009656C0"/>
    <w:rsid w:val="0096575D"/>
    <w:rsid w:val="009657F2"/>
    <w:rsid w:val="00965B5F"/>
    <w:rsid w:val="00965D7D"/>
    <w:rsid w:val="00965DDE"/>
    <w:rsid w:val="00965EBE"/>
    <w:rsid w:val="00965FA9"/>
    <w:rsid w:val="00965FB6"/>
    <w:rsid w:val="009660DE"/>
    <w:rsid w:val="00966414"/>
    <w:rsid w:val="0096652E"/>
    <w:rsid w:val="00966547"/>
    <w:rsid w:val="0096677F"/>
    <w:rsid w:val="0096691A"/>
    <w:rsid w:val="009669AC"/>
    <w:rsid w:val="00966AC0"/>
    <w:rsid w:val="00966B0A"/>
    <w:rsid w:val="00966D04"/>
    <w:rsid w:val="00966D0D"/>
    <w:rsid w:val="00966FF2"/>
    <w:rsid w:val="0096700E"/>
    <w:rsid w:val="0096735B"/>
    <w:rsid w:val="00967450"/>
    <w:rsid w:val="0096748E"/>
    <w:rsid w:val="009674E8"/>
    <w:rsid w:val="00967721"/>
    <w:rsid w:val="009677CE"/>
    <w:rsid w:val="0096787D"/>
    <w:rsid w:val="00967D15"/>
    <w:rsid w:val="00967D1C"/>
    <w:rsid w:val="00967D40"/>
    <w:rsid w:val="00967DCE"/>
    <w:rsid w:val="00967F6F"/>
    <w:rsid w:val="00967F96"/>
    <w:rsid w:val="009701B0"/>
    <w:rsid w:val="00970316"/>
    <w:rsid w:val="009703DE"/>
    <w:rsid w:val="0097045B"/>
    <w:rsid w:val="009705D9"/>
    <w:rsid w:val="00970930"/>
    <w:rsid w:val="00970BB5"/>
    <w:rsid w:val="00970C2A"/>
    <w:rsid w:val="00970E93"/>
    <w:rsid w:val="00970F22"/>
    <w:rsid w:val="00970F26"/>
    <w:rsid w:val="00970FD9"/>
    <w:rsid w:val="00970FE3"/>
    <w:rsid w:val="00971038"/>
    <w:rsid w:val="009713BA"/>
    <w:rsid w:val="009715C7"/>
    <w:rsid w:val="009715EF"/>
    <w:rsid w:val="0097164D"/>
    <w:rsid w:val="0097165B"/>
    <w:rsid w:val="00971668"/>
    <w:rsid w:val="00971823"/>
    <w:rsid w:val="009718D3"/>
    <w:rsid w:val="00971929"/>
    <w:rsid w:val="00971A5F"/>
    <w:rsid w:val="00971ACA"/>
    <w:rsid w:val="00971B1B"/>
    <w:rsid w:val="00971B26"/>
    <w:rsid w:val="00971E7C"/>
    <w:rsid w:val="00971E9A"/>
    <w:rsid w:val="00971F1D"/>
    <w:rsid w:val="00971F7C"/>
    <w:rsid w:val="0097216C"/>
    <w:rsid w:val="009722A3"/>
    <w:rsid w:val="009722C5"/>
    <w:rsid w:val="009724D8"/>
    <w:rsid w:val="009724E5"/>
    <w:rsid w:val="00972503"/>
    <w:rsid w:val="0097253F"/>
    <w:rsid w:val="009725A3"/>
    <w:rsid w:val="0097263A"/>
    <w:rsid w:val="009726DF"/>
    <w:rsid w:val="00972803"/>
    <w:rsid w:val="00972838"/>
    <w:rsid w:val="0097289A"/>
    <w:rsid w:val="00972AE8"/>
    <w:rsid w:val="00972B6C"/>
    <w:rsid w:val="00972E2A"/>
    <w:rsid w:val="00972FA6"/>
    <w:rsid w:val="009731C5"/>
    <w:rsid w:val="009731DB"/>
    <w:rsid w:val="00973215"/>
    <w:rsid w:val="00973231"/>
    <w:rsid w:val="009732C2"/>
    <w:rsid w:val="009732D1"/>
    <w:rsid w:val="00973398"/>
    <w:rsid w:val="009733CF"/>
    <w:rsid w:val="0097342E"/>
    <w:rsid w:val="0097356E"/>
    <w:rsid w:val="009737C0"/>
    <w:rsid w:val="00973847"/>
    <w:rsid w:val="00973984"/>
    <w:rsid w:val="00973A95"/>
    <w:rsid w:val="00973D1E"/>
    <w:rsid w:val="00973D79"/>
    <w:rsid w:val="00973DB9"/>
    <w:rsid w:val="00973FAF"/>
    <w:rsid w:val="0097405A"/>
    <w:rsid w:val="00974188"/>
    <w:rsid w:val="009741D5"/>
    <w:rsid w:val="009743AB"/>
    <w:rsid w:val="00974449"/>
    <w:rsid w:val="009744FF"/>
    <w:rsid w:val="00974610"/>
    <w:rsid w:val="00974633"/>
    <w:rsid w:val="00974823"/>
    <w:rsid w:val="009748E3"/>
    <w:rsid w:val="00974914"/>
    <w:rsid w:val="00974955"/>
    <w:rsid w:val="00974AAD"/>
    <w:rsid w:val="00974B6D"/>
    <w:rsid w:val="00974DFF"/>
    <w:rsid w:val="00974E12"/>
    <w:rsid w:val="00974E2F"/>
    <w:rsid w:val="00974F21"/>
    <w:rsid w:val="0097509F"/>
    <w:rsid w:val="009750F4"/>
    <w:rsid w:val="0097513A"/>
    <w:rsid w:val="0097523A"/>
    <w:rsid w:val="00975266"/>
    <w:rsid w:val="00975353"/>
    <w:rsid w:val="009753D4"/>
    <w:rsid w:val="0097545A"/>
    <w:rsid w:val="00975488"/>
    <w:rsid w:val="009754AF"/>
    <w:rsid w:val="009755D2"/>
    <w:rsid w:val="00975651"/>
    <w:rsid w:val="00975701"/>
    <w:rsid w:val="009757C5"/>
    <w:rsid w:val="00975877"/>
    <w:rsid w:val="009758D4"/>
    <w:rsid w:val="00975A1A"/>
    <w:rsid w:val="00975C74"/>
    <w:rsid w:val="00975C92"/>
    <w:rsid w:val="00975DDE"/>
    <w:rsid w:val="00975E04"/>
    <w:rsid w:val="00975E10"/>
    <w:rsid w:val="00975FE4"/>
    <w:rsid w:val="00975FEE"/>
    <w:rsid w:val="00976003"/>
    <w:rsid w:val="00976107"/>
    <w:rsid w:val="0097629A"/>
    <w:rsid w:val="009762F9"/>
    <w:rsid w:val="009763CC"/>
    <w:rsid w:val="00976443"/>
    <w:rsid w:val="00976575"/>
    <w:rsid w:val="009765A2"/>
    <w:rsid w:val="009765AF"/>
    <w:rsid w:val="0097669A"/>
    <w:rsid w:val="00976960"/>
    <w:rsid w:val="00976B67"/>
    <w:rsid w:val="00976BC8"/>
    <w:rsid w:val="00976C0F"/>
    <w:rsid w:val="00976C68"/>
    <w:rsid w:val="00976C70"/>
    <w:rsid w:val="00976C74"/>
    <w:rsid w:val="00976E84"/>
    <w:rsid w:val="00976F81"/>
    <w:rsid w:val="00976FE5"/>
    <w:rsid w:val="00977020"/>
    <w:rsid w:val="00977061"/>
    <w:rsid w:val="0097710C"/>
    <w:rsid w:val="0097716F"/>
    <w:rsid w:val="009771B9"/>
    <w:rsid w:val="009771C5"/>
    <w:rsid w:val="00977288"/>
    <w:rsid w:val="00977299"/>
    <w:rsid w:val="009774F6"/>
    <w:rsid w:val="00977589"/>
    <w:rsid w:val="00977595"/>
    <w:rsid w:val="00977708"/>
    <w:rsid w:val="0097778B"/>
    <w:rsid w:val="00977862"/>
    <w:rsid w:val="00977881"/>
    <w:rsid w:val="0097799B"/>
    <w:rsid w:val="00977A1F"/>
    <w:rsid w:val="00977C6D"/>
    <w:rsid w:val="00977D2F"/>
    <w:rsid w:val="00977DFB"/>
    <w:rsid w:val="00977E1F"/>
    <w:rsid w:val="00977EA1"/>
    <w:rsid w:val="00977EA8"/>
    <w:rsid w:val="00977EC9"/>
    <w:rsid w:val="00980125"/>
    <w:rsid w:val="009802A4"/>
    <w:rsid w:val="00980331"/>
    <w:rsid w:val="00980351"/>
    <w:rsid w:val="00980373"/>
    <w:rsid w:val="0098048A"/>
    <w:rsid w:val="009804F5"/>
    <w:rsid w:val="00980697"/>
    <w:rsid w:val="00980740"/>
    <w:rsid w:val="0098078B"/>
    <w:rsid w:val="0098087D"/>
    <w:rsid w:val="0098089E"/>
    <w:rsid w:val="009808D5"/>
    <w:rsid w:val="00980A7B"/>
    <w:rsid w:val="00980CFA"/>
    <w:rsid w:val="00980D4D"/>
    <w:rsid w:val="00980F6C"/>
    <w:rsid w:val="00980FC3"/>
    <w:rsid w:val="0098110F"/>
    <w:rsid w:val="009812DA"/>
    <w:rsid w:val="00981467"/>
    <w:rsid w:val="00981562"/>
    <w:rsid w:val="009815A3"/>
    <w:rsid w:val="009816E9"/>
    <w:rsid w:val="00981874"/>
    <w:rsid w:val="009818D9"/>
    <w:rsid w:val="00981A08"/>
    <w:rsid w:val="00981BBC"/>
    <w:rsid w:val="00981C56"/>
    <w:rsid w:val="00981D5B"/>
    <w:rsid w:val="00981D76"/>
    <w:rsid w:val="00981D9D"/>
    <w:rsid w:val="00981E05"/>
    <w:rsid w:val="009820EE"/>
    <w:rsid w:val="0098213F"/>
    <w:rsid w:val="00982169"/>
    <w:rsid w:val="00982239"/>
    <w:rsid w:val="00982268"/>
    <w:rsid w:val="00982300"/>
    <w:rsid w:val="00982551"/>
    <w:rsid w:val="00982767"/>
    <w:rsid w:val="00982802"/>
    <w:rsid w:val="009828B3"/>
    <w:rsid w:val="00982A19"/>
    <w:rsid w:val="00982D19"/>
    <w:rsid w:val="00982D85"/>
    <w:rsid w:val="00982E2F"/>
    <w:rsid w:val="00982EB6"/>
    <w:rsid w:val="00982EED"/>
    <w:rsid w:val="00983035"/>
    <w:rsid w:val="009830B0"/>
    <w:rsid w:val="009830B6"/>
    <w:rsid w:val="0098324E"/>
    <w:rsid w:val="009833D9"/>
    <w:rsid w:val="00983551"/>
    <w:rsid w:val="009835FD"/>
    <w:rsid w:val="009835FF"/>
    <w:rsid w:val="009838B2"/>
    <w:rsid w:val="0098399E"/>
    <w:rsid w:val="009839A3"/>
    <w:rsid w:val="00983AA8"/>
    <w:rsid w:val="00983ADF"/>
    <w:rsid w:val="00983D32"/>
    <w:rsid w:val="00983D8E"/>
    <w:rsid w:val="00983E86"/>
    <w:rsid w:val="00983F6D"/>
    <w:rsid w:val="0098407C"/>
    <w:rsid w:val="00984093"/>
    <w:rsid w:val="00984099"/>
    <w:rsid w:val="00984237"/>
    <w:rsid w:val="00984398"/>
    <w:rsid w:val="00984549"/>
    <w:rsid w:val="00984564"/>
    <w:rsid w:val="009846D8"/>
    <w:rsid w:val="00984771"/>
    <w:rsid w:val="009847BF"/>
    <w:rsid w:val="0098482E"/>
    <w:rsid w:val="0098488E"/>
    <w:rsid w:val="009849F2"/>
    <w:rsid w:val="00984B44"/>
    <w:rsid w:val="00984BAD"/>
    <w:rsid w:val="00984C91"/>
    <w:rsid w:val="00984D7C"/>
    <w:rsid w:val="00984E94"/>
    <w:rsid w:val="00984F31"/>
    <w:rsid w:val="00984F35"/>
    <w:rsid w:val="00984F50"/>
    <w:rsid w:val="00985016"/>
    <w:rsid w:val="0098517D"/>
    <w:rsid w:val="00985202"/>
    <w:rsid w:val="00985376"/>
    <w:rsid w:val="009853E9"/>
    <w:rsid w:val="00985471"/>
    <w:rsid w:val="0098566D"/>
    <w:rsid w:val="009856CD"/>
    <w:rsid w:val="0098572D"/>
    <w:rsid w:val="00985944"/>
    <w:rsid w:val="00985AEF"/>
    <w:rsid w:val="00985B9F"/>
    <w:rsid w:val="00985D6E"/>
    <w:rsid w:val="00985DF9"/>
    <w:rsid w:val="00985E73"/>
    <w:rsid w:val="00985F40"/>
    <w:rsid w:val="00985FF6"/>
    <w:rsid w:val="009860BE"/>
    <w:rsid w:val="009860C3"/>
    <w:rsid w:val="00986115"/>
    <w:rsid w:val="0098613B"/>
    <w:rsid w:val="009861DD"/>
    <w:rsid w:val="0098629D"/>
    <w:rsid w:val="009862BD"/>
    <w:rsid w:val="00986317"/>
    <w:rsid w:val="00986336"/>
    <w:rsid w:val="00986640"/>
    <w:rsid w:val="009866C2"/>
    <w:rsid w:val="00986747"/>
    <w:rsid w:val="00986857"/>
    <w:rsid w:val="00986A11"/>
    <w:rsid w:val="00986A5F"/>
    <w:rsid w:val="00986B0D"/>
    <w:rsid w:val="00986B48"/>
    <w:rsid w:val="00986D60"/>
    <w:rsid w:val="00986D77"/>
    <w:rsid w:val="00986E38"/>
    <w:rsid w:val="00986E4B"/>
    <w:rsid w:val="00986F14"/>
    <w:rsid w:val="00986F1B"/>
    <w:rsid w:val="009870ED"/>
    <w:rsid w:val="009872B6"/>
    <w:rsid w:val="00987339"/>
    <w:rsid w:val="009874E8"/>
    <w:rsid w:val="00987587"/>
    <w:rsid w:val="009875D8"/>
    <w:rsid w:val="00987630"/>
    <w:rsid w:val="009876AA"/>
    <w:rsid w:val="009876AD"/>
    <w:rsid w:val="009876EC"/>
    <w:rsid w:val="00987706"/>
    <w:rsid w:val="009877D9"/>
    <w:rsid w:val="009877E8"/>
    <w:rsid w:val="00987847"/>
    <w:rsid w:val="0098789B"/>
    <w:rsid w:val="009878BD"/>
    <w:rsid w:val="009878F9"/>
    <w:rsid w:val="00987A88"/>
    <w:rsid w:val="00987AFB"/>
    <w:rsid w:val="00987B1B"/>
    <w:rsid w:val="00987BA7"/>
    <w:rsid w:val="00987C1E"/>
    <w:rsid w:val="00987DFB"/>
    <w:rsid w:val="00987E4D"/>
    <w:rsid w:val="00987E57"/>
    <w:rsid w:val="00987EDE"/>
    <w:rsid w:val="00987FBF"/>
    <w:rsid w:val="009900E8"/>
    <w:rsid w:val="00990144"/>
    <w:rsid w:val="009901D6"/>
    <w:rsid w:val="0099025A"/>
    <w:rsid w:val="0099030E"/>
    <w:rsid w:val="009903CB"/>
    <w:rsid w:val="009905AC"/>
    <w:rsid w:val="0099062D"/>
    <w:rsid w:val="00990691"/>
    <w:rsid w:val="009906FF"/>
    <w:rsid w:val="009907F2"/>
    <w:rsid w:val="00990810"/>
    <w:rsid w:val="0099096C"/>
    <w:rsid w:val="00990AE5"/>
    <w:rsid w:val="00990AF6"/>
    <w:rsid w:val="00990C77"/>
    <w:rsid w:val="00990CBF"/>
    <w:rsid w:val="00990E22"/>
    <w:rsid w:val="00990E64"/>
    <w:rsid w:val="00990F37"/>
    <w:rsid w:val="00991071"/>
    <w:rsid w:val="00991091"/>
    <w:rsid w:val="00991183"/>
    <w:rsid w:val="00991269"/>
    <w:rsid w:val="009912A7"/>
    <w:rsid w:val="009915A7"/>
    <w:rsid w:val="0099167F"/>
    <w:rsid w:val="00991713"/>
    <w:rsid w:val="0099173C"/>
    <w:rsid w:val="009917BA"/>
    <w:rsid w:val="0099189B"/>
    <w:rsid w:val="00991ACD"/>
    <w:rsid w:val="00991ACF"/>
    <w:rsid w:val="00991BF5"/>
    <w:rsid w:val="00991CAE"/>
    <w:rsid w:val="00991CEE"/>
    <w:rsid w:val="00991E2C"/>
    <w:rsid w:val="00991F9A"/>
    <w:rsid w:val="00991FC4"/>
    <w:rsid w:val="00992020"/>
    <w:rsid w:val="0099202D"/>
    <w:rsid w:val="0099205A"/>
    <w:rsid w:val="00992069"/>
    <w:rsid w:val="00992172"/>
    <w:rsid w:val="009921A5"/>
    <w:rsid w:val="009921F5"/>
    <w:rsid w:val="00992205"/>
    <w:rsid w:val="0099224F"/>
    <w:rsid w:val="00992289"/>
    <w:rsid w:val="009922AF"/>
    <w:rsid w:val="009924BD"/>
    <w:rsid w:val="0099257D"/>
    <w:rsid w:val="009925C1"/>
    <w:rsid w:val="009925E9"/>
    <w:rsid w:val="00992733"/>
    <w:rsid w:val="0099291D"/>
    <w:rsid w:val="00992930"/>
    <w:rsid w:val="009929D2"/>
    <w:rsid w:val="00992AF2"/>
    <w:rsid w:val="00992B11"/>
    <w:rsid w:val="00992B7C"/>
    <w:rsid w:val="00992CB8"/>
    <w:rsid w:val="00992DD6"/>
    <w:rsid w:val="00992F4E"/>
    <w:rsid w:val="00992F6C"/>
    <w:rsid w:val="0099301A"/>
    <w:rsid w:val="009930DC"/>
    <w:rsid w:val="0099339C"/>
    <w:rsid w:val="009933C6"/>
    <w:rsid w:val="0099359F"/>
    <w:rsid w:val="009939EA"/>
    <w:rsid w:val="00993A65"/>
    <w:rsid w:val="00993AA1"/>
    <w:rsid w:val="00993BE7"/>
    <w:rsid w:val="00993C21"/>
    <w:rsid w:val="00993C5D"/>
    <w:rsid w:val="00993D1A"/>
    <w:rsid w:val="00993E21"/>
    <w:rsid w:val="00993F64"/>
    <w:rsid w:val="00993FA3"/>
    <w:rsid w:val="0099408D"/>
    <w:rsid w:val="009941CC"/>
    <w:rsid w:val="00994367"/>
    <w:rsid w:val="00994438"/>
    <w:rsid w:val="0099445B"/>
    <w:rsid w:val="009944A0"/>
    <w:rsid w:val="0099458E"/>
    <w:rsid w:val="009946E1"/>
    <w:rsid w:val="009948AB"/>
    <w:rsid w:val="0099490F"/>
    <w:rsid w:val="0099496F"/>
    <w:rsid w:val="0099497B"/>
    <w:rsid w:val="00994BE5"/>
    <w:rsid w:val="00994C88"/>
    <w:rsid w:val="00994D03"/>
    <w:rsid w:val="00994DED"/>
    <w:rsid w:val="00994E0C"/>
    <w:rsid w:val="00994FC2"/>
    <w:rsid w:val="00995167"/>
    <w:rsid w:val="00995204"/>
    <w:rsid w:val="009952FD"/>
    <w:rsid w:val="0099538E"/>
    <w:rsid w:val="009956BE"/>
    <w:rsid w:val="00995EBD"/>
    <w:rsid w:val="00995F2D"/>
    <w:rsid w:val="0099621B"/>
    <w:rsid w:val="009962B2"/>
    <w:rsid w:val="00996330"/>
    <w:rsid w:val="00996382"/>
    <w:rsid w:val="0099646D"/>
    <w:rsid w:val="0099648E"/>
    <w:rsid w:val="009964DA"/>
    <w:rsid w:val="00996641"/>
    <w:rsid w:val="00996755"/>
    <w:rsid w:val="0099676A"/>
    <w:rsid w:val="0099679E"/>
    <w:rsid w:val="009968DB"/>
    <w:rsid w:val="0099690A"/>
    <w:rsid w:val="00996954"/>
    <w:rsid w:val="00996B11"/>
    <w:rsid w:val="00996F9D"/>
    <w:rsid w:val="00996FCB"/>
    <w:rsid w:val="0099700F"/>
    <w:rsid w:val="00997029"/>
    <w:rsid w:val="00997087"/>
    <w:rsid w:val="009970C7"/>
    <w:rsid w:val="00997231"/>
    <w:rsid w:val="0099724F"/>
    <w:rsid w:val="00997394"/>
    <w:rsid w:val="00997398"/>
    <w:rsid w:val="009973DC"/>
    <w:rsid w:val="009973F4"/>
    <w:rsid w:val="00997589"/>
    <w:rsid w:val="00997596"/>
    <w:rsid w:val="00997737"/>
    <w:rsid w:val="00997849"/>
    <w:rsid w:val="009978E2"/>
    <w:rsid w:val="0099792F"/>
    <w:rsid w:val="00997B0A"/>
    <w:rsid w:val="00997B7A"/>
    <w:rsid w:val="00997BB9"/>
    <w:rsid w:val="00997C4D"/>
    <w:rsid w:val="00997D4F"/>
    <w:rsid w:val="00997D85"/>
    <w:rsid w:val="00997DA2"/>
    <w:rsid w:val="00997DE3"/>
    <w:rsid w:val="00997DF7"/>
    <w:rsid w:val="00997F33"/>
    <w:rsid w:val="009A00B0"/>
    <w:rsid w:val="009A00F2"/>
    <w:rsid w:val="009A01D5"/>
    <w:rsid w:val="009A0260"/>
    <w:rsid w:val="009A0384"/>
    <w:rsid w:val="009A0477"/>
    <w:rsid w:val="009A0578"/>
    <w:rsid w:val="009A0583"/>
    <w:rsid w:val="009A05EE"/>
    <w:rsid w:val="009A0631"/>
    <w:rsid w:val="009A067B"/>
    <w:rsid w:val="009A0683"/>
    <w:rsid w:val="009A09DE"/>
    <w:rsid w:val="009A0AAF"/>
    <w:rsid w:val="009A0D5F"/>
    <w:rsid w:val="009A0D8D"/>
    <w:rsid w:val="009A0E81"/>
    <w:rsid w:val="009A0FC1"/>
    <w:rsid w:val="009A0FD3"/>
    <w:rsid w:val="009A100D"/>
    <w:rsid w:val="009A119B"/>
    <w:rsid w:val="009A1293"/>
    <w:rsid w:val="009A131E"/>
    <w:rsid w:val="009A135E"/>
    <w:rsid w:val="009A1553"/>
    <w:rsid w:val="009A15D0"/>
    <w:rsid w:val="009A15FA"/>
    <w:rsid w:val="009A1617"/>
    <w:rsid w:val="009A16C9"/>
    <w:rsid w:val="009A16E9"/>
    <w:rsid w:val="009A16F8"/>
    <w:rsid w:val="009A17B0"/>
    <w:rsid w:val="009A187B"/>
    <w:rsid w:val="009A1993"/>
    <w:rsid w:val="009A1A3B"/>
    <w:rsid w:val="009A1A5E"/>
    <w:rsid w:val="009A1A9A"/>
    <w:rsid w:val="009A1CB5"/>
    <w:rsid w:val="009A1CF6"/>
    <w:rsid w:val="009A1D20"/>
    <w:rsid w:val="009A1F3A"/>
    <w:rsid w:val="009A1FD8"/>
    <w:rsid w:val="009A2110"/>
    <w:rsid w:val="009A218B"/>
    <w:rsid w:val="009A226B"/>
    <w:rsid w:val="009A22EB"/>
    <w:rsid w:val="009A245B"/>
    <w:rsid w:val="009A247B"/>
    <w:rsid w:val="009A252D"/>
    <w:rsid w:val="009A2538"/>
    <w:rsid w:val="009A25DC"/>
    <w:rsid w:val="009A287A"/>
    <w:rsid w:val="009A2889"/>
    <w:rsid w:val="009A296D"/>
    <w:rsid w:val="009A2A61"/>
    <w:rsid w:val="009A2C02"/>
    <w:rsid w:val="009A2C04"/>
    <w:rsid w:val="009A2C5D"/>
    <w:rsid w:val="009A2C7D"/>
    <w:rsid w:val="009A2C93"/>
    <w:rsid w:val="009A2E5A"/>
    <w:rsid w:val="009A2F81"/>
    <w:rsid w:val="009A309B"/>
    <w:rsid w:val="009A3237"/>
    <w:rsid w:val="009A3249"/>
    <w:rsid w:val="009A366C"/>
    <w:rsid w:val="009A3709"/>
    <w:rsid w:val="009A3822"/>
    <w:rsid w:val="009A38EA"/>
    <w:rsid w:val="009A3937"/>
    <w:rsid w:val="009A3945"/>
    <w:rsid w:val="009A39FA"/>
    <w:rsid w:val="009A3A76"/>
    <w:rsid w:val="009A3A98"/>
    <w:rsid w:val="009A3B3A"/>
    <w:rsid w:val="009A3B54"/>
    <w:rsid w:val="009A3C00"/>
    <w:rsid w:val="009A3CDF"/>
    <w:rsid w:val="009A3D76"/>
    <w:rsid w:val="009A3EE6"/>
    <w:rsid w:val="009A3FAF"/>
    <w:rsid w:val="009A4155"/>
    <w:rsid w:val="009A41B0"/>
    <w:rsid w:val="009A4294"/>
    <w:rsid w:val="009A4502"/>
    <w:rsid w:val="009A4543"/>
    <w:rsid w:val="009A471A"/>
    <w:rsid w:val="009A4758"/>
    <w:rsid w:val="009A476E"/>
    <w:rsid w:val="009A478F"/>
    <w:rsid w:val="009A47AD"/>
    <w:rsid w:val="009A48CF"/>
    <w:rsid w:val="009A4A10"/>
    <w:rsid w:val="009A4AB4"/>
    <w:rsid w:val="009A4BA7"/>
    <w:rsid w:val="009A4C26"/>
    <w:rsid w:val="009A4C56"/>
    <w:rsid w:val="009A4C58"/>
    <w:rsid w:val="009A4C5D"/>
    <w:rsid w:val="009A4E58"/>
    <w:rsid w:val="009A4EAA"/>
    <w:rsid w:val="009A4EC2"/>
    <w:rsid w:val="009A507B"/>
    <w:rsid w:val="009A5182"/>
    <w:rsid w:val="009A519B"/>
    <w:rsid w:val="009A51FC"/>
    <w:rsid w:val="009A523D"/>
    <w:rsid w:val="009A526A"/>
    <w:rsid w:val="009A53C9"/>
    <w:rsid w:val="009A5521"/>
    <w:rsid w:val="009A553C"/>
    <w:rsid w:val="009A55F9"/>
    <w:rsid w:val="009A56EE"/>
    <w:rsid w:val="009A572A"/>
    <w:rsid w:val="009A5778"/>
    <w:rsid w:val="009A58AA"/>
    <w:rsid w:val="009A5956"/>
    <w:rsid w:val="009A5C36"/>
    <w:rsid w:val="009A5C9D"/>
    <w:rsid w:val="009A5ECF"/>
    <w:rsid w:val="009A5FE1"/>
    <w:rsid w:val="009A61D7"/>
    <w:rsid w:val="009A6257"/>
    <w:rsid w:val="009A6370"/>
    <w:rsid w:val="009A63A5"/>
    <w:rsid w:val="009A63B8"/>
    <w:rsid w:val="009A6497"/>
    <w:rsid w:val="009A669C"/>
    <w:rsid w:val="009A66B0"/>
    <w:rsid w:val="009A66C2"/>
    <w:rsid w:val="009A66D8"/>
    <w:rsid w:val="009A6779"/>
    <w:rsid w:val="009A67A1"/>
    <w:rsid w:val="009A6859"/>
    <w:rsid w:val="009A69C0"/>
    <w:rsid w:val="009A6AC7"/>
    <w:rsid w:val="009A6B3E"/>
    <w:rsid w:val="009A6B5E"/>
    <w:rsid w:val="009A6BB6"/>
    <w:rsid w:val="009A6D59"/>
    <w:rsid w:val="009A6E12"/>
    <w:rsid w:val="009A6EA2"/>
    <w:rsid w:val="009A6EFC"/>
    <w:rsid w:val="009A6F07"/>
    <w:rsid w:val="009A70B0"/>
    <w:rsid w:val="009A716C"/>
    <w:rsid w:val="009A71A1"/>
    <w:rsid w:val="009A7297"/>
    <w:rsid w:val="009A72A4"/>
    <w:rsid w:val="009A72C3"/>
    <w:rsid w:val="009A733A"/>
    <w:rsid w:val="009A7385"/>
    <w:rsid w:val="009A7402"/>
    <w:rsid w:val="009A740E"/>
    <w:rsid w:val="009A74B5"/>
    <w:rsid w:val="009A74FB"/>
    <w:rsid w:val="009A76E0"/>
    <w:rsid w:val="009A77B6"/>
    <w:rsid w:val="009A7986"/>
    <w:rsid w:val="009A79AD"/>
    <w:rsid w:val="009A7A37"/>
    <w:rsid w:val="009A7A39"/>
    <w:rsid w:val="009A7A3B"/>
    <w:rsid w:val="009A7A55"/>
    <w:rsid w:val="009A7CF4"/>
    <w:rsid w:val="009A7D58"/>
    <w:rsid w:val="009A7DCB"/>
    <w:rsid w:val="009A7DCC"/>
    <w:rsid w:val="009A7E42"/>
    <w:rsid w:val="009B0011"/>
    <w:rsid w:val="009B0048"/>
    <w:rsid w:val="009B0060"/>
    <w:rsid w:val="009B00D9"/>
    <w:rsid w:val="009B0452"/>
    <w:rsid w:val="009B0538"/>
    <w:rsid w:val="009B0605"/>
    <w:rsid w:val="009B08DE"/>
    <w:rsid w:val="009B0A5A"/>
    <w:rsid w:val="009B0B99"/>
    <w:rsid w:val="009B0BA7"/>
    <w:rsid w:val="009B0FEC"/>
    <w:rsid w:val="009B1042"/>
    <w:rsid w:val="009B11C3"/>
    <w:rsid w:val="009B11F4"/>
    <w:rsid w:val="009B134F"/>
    <w:rsid w:val="009B136B"/>
    <w:rsid w:val="009B1476"/>
    <w:rsid w:val="009B1673"/>
    <w:rsid w:val="009B16F7"/>
    <w:rsid w:val="009B16FF"/>
    <w:rsid w:val="009B1751"/>
    <w:rsid w:val="009B1793"/>
    <w:rsid w:val="009B17A8"/>
    <w:rsid w:val="009B1805"/>
    <w:rsid w:val="009B19B8"/>
    <w:rsid w:val="009B1A7D"/>
    <w:rsid w:val="009B1ADA"/>
    <w:rsid w:val="009B1AE4"/>
    <w:rsid w:val="009B1C43"/>
    <w:rsid w:val="009B1C4C"/>
    <w:rsid w:val="009B1C96"/>
    <w:rsid w:val="009B1D0A"/>
    <w:rsid w:val="009B1EFC"/>
    <w:rsid w:val="009B2023"/>
    <w:rsid w:val="009B20BE"/>
    <w:rsid w:val="009B216B"/>
    <w:rsid w:val="009B21D9"/>
    <w:rsid w:val="009B223F"/>
    <w:rsid w:val="009B22D0"/>
    <w:rsid w:val="009B234F"/>
    <w:rsid w:val="009B243A"/>
    <w:rsid w:val="009B24A8"/>
    <w:rsid w:val="009B2625"/>
    <w:rsid w:val="009B2678"/>
    <w:rsid w:val="009B26E4"/>
    <w:rsid w:val="009B273D"/>
    <w:rsid w:val="009B2749"/>
    <w:rsid w:val="009B286F"/>
    <w:rsid w:val="009B289F"/>
    <w:rsid w:val="009B28AA"/>
    <w:rsid w:val="009B2925"/>
    <w:rsid w:val="009B299B"/>
    <w:rsid w:val="009B2AD9"/>
    <w:rsid w:val="009B2CFA"/>
    <w:rsid w:val="009B2E69"/>
    <w:rsid w:val="009B2E79"/>
    <w:rsid w:val="009B2ED8"/>
    <w:rsid w:val="009B31DF"/>
    <w:rsid w:val="009B3362"/>
    <w:rsid w:val="009B33CC"/>
    <w:rsid w:val="009B33F2"/>
    <w:rsid w:val="009B3429"/>
    <w:rsid w:val="009B3712"/>
    <w:rsid w:val="009B375B"/>
    <w:rsid w:val="009B3828"/>
    <w:rsid w:val="009B390B"/>
    <w:rsid w:val="009B390F"/>
    <w:rsid w:val="009B39BB"/>
    <w:rsid w:val="009B39C4"/>
    <w:rsid w:val="009B3A71"/>
    <w:rsid w:val="009B3A80"/>
    <w:rsid w:val="009B3E86"/>
    <w:rsid w:val="009B3EB1"/>
    <w:rsid w:val="009B3EEB"/>
    <w:rsid w:val="009B3F7C"/>
    <w:rsid w:val="009B4065"/>
    <w:rsid w:val="009B4075"/>
    <w:rsid w:val="009B4247"/>
    <w:rsid w:val="009B4344"/>
    <w:rsid w:val="009B43ED"/>
    <w:rsid w:val="009B44E0"/>
    <w:rsid w:val="009B44E2"/>
    <w:rsid w:val="009B4558"/>
    <w:rsid w:val="009B466A"/>
    <w:rsid w:val="009B469E"/>
    <w:rsid w:val="009B4728"/>
    <w:rsid w:val="009B4768"/>
    <w:rsid w:val="009B4819"/>
    <w:rsid w:val="009B4846"/>
    <w:rsid w:val="009B48DE"/>
    <w:rsid w:val="009B4BC1"/>
    <w:rsid w:val="009B4CFC"/>
    <w:rsid w:val="009B4D6B"/>
    <w:rsid w:val="009B4E9B"/>
    <w:rsid w:val="009B4EEB"/>
    <w:rsid w:val="009B4EFC"/>
    <w:rsid w:val="009B4F86"/>
    <w:rsid w:val="009B507C"/>
    <w:rsid w:val="009B5106"/>
    <w:rsid w:val="009B5230"/>
    <w:rsid w:val="009B5377"/>
    <w:rsid w:val="009B5663"/>
    <w:rsid w:val="009B5802"/>
    <w:rsid w:val="009B58B1"/>
    <w:rsid w:val="009B5994"/>
    <w:rsid w:val="009B59DA"/>
    <w:rsid w:val="009B5A24"/>
    <w:rsid w:val="009B5A6D"/>
    <w:rsid w:val="009B5A80"/>
    <w:rsid w:val="009B5BCB"/>
    <w:rsid w:val="009B5D36"/>
    <w:rsid w:val="009B5D5F"/>
    <w:rsid w:val="009B5DA3"/>
    <w:rsid w:val="009B5E09"/>
    <w:rsid w:val="009B5E22"/>
    <w:rsid w:val="009B5F81"/>
    <w:rsid w:val="009B6002"/>
    <w:rsid w:val="009B6157"/>
    <w:rsid w:val="009B6178"/>
    <w:rsid w:val="009B6191"/>
    <w:rsid w:val="009B61D2"/>
    <w:rsid w:val="009B6215"/>
    <w:rsid w:val="009B63DF"/>
    <w:rsid w:val="009B6468"/>
    <w:rsid w:val="009B64CB"/>
    <w:rsid w:val="009B67B5"/>
    <w:rsid w:val="009B689D"/>
    <w:rsid w:val="009B68E0"/>
    <w:rsid w:val="009B6913"/>
    <w:rsid w:val="009B695E"/>
    <w:rsid w:val="009B6B75"/>
    <w:rsid w:val="009B6BE3"/>
    <w:rsid w:val="009B6BFB"/>
    <w:rsid w:val="009B6CE7"/>
    <w:rsid w:val="009B6DD3"/>
    <w:rsid w:val="009B6EF4"/>
    <w:rsid w:val="009B6F82"/>
    <w:rsid w:val="009B6FC4"/>
    <w:rsid w:val="009B6FF2"/>
    <w:rsid w:val="009B7040"/>
    <w:rsid w:val="009B71A7"/>
    <w:rsid w:val="009B71CC"/>
    <w:rsid w:val="009B7229"/>
    <w:rsid w:val="009B73DF"/>
    <w:rsid w:val="009B75A3"/>
    <w:rsid w:val="009B7649"/>
    <w:rsid w:val="009B7655"/>
    <w:rsid w:val="009B76EF"/>
    <w:rsid w:val="009B7702"/>
    <w:rsid w:val="009B77D2"/>
    <w:rsid w:val="009B77D7"/>
    <w:rsid w:val="009B788C"/>
    <w:rsid w:val="009B7A11"/>
    <w:rsid w:val="009B7AD1"/>
    <w:rsid w:val="009B7BCF"/>
    <w:rsid w:val="009B7BEB"/>
    <w:rsid w:val="009B7D46"/>
    <w:rsid w:val="009B7FDB"/>
    <w:rsid w:val="009B7FFB"/>
    <w:rsid w:val="009C00EB"/>
    <w:rsid w:val="009C010D"/>
    <w:rsid w:val="009C029F"/>
    <w:rsid w:val="009C0550"/>
    <w:rsid w:val="009C061E"/>
    <w:rsid w:val="009C0691"/>
    <w:rsid w:val="009C06A6"/>
    <w:rsid w:val="009C08CA"/>
    <w:rsid w:val="009C08CF"/>
    <w:rsid w:val="009C0907"/>
    <w:rsid w:val="009C0965"/>
    <w:rsid w:val="009C09E7"/>
    <w:rsid w:val="009C0A5A"/>
    <w:rsid w:val="009C0BD8"/>
    <w:rsid w:val="009C0BF1"/>
    <w:rsid w:val="009C0CC8"/>
    <w:rsid w:val="009C0D48"/>
    <w:rsid w:val="009C0DD9"/>
    <w:rsid w:val="009C0FCD"/>
    <w:rsid w:val="009C1000"/>
    <w:rsid w:val="009C1248"/>
    <w:rsid w:val="009C1263"/>
    <w:rsid w:val="009C141C"/>
    <w:rsid w:val="009C148B"/>
    <w:rsid w:val="009C16CB"/>
    <w:rsid w:val="009C17B2"/>
    <w:rsid w:val="009C17F0"/>
    <w:rsid w:val="009C19F3"/>
    <w:rsid w:val="009C1A4D"/>
    <w:rsid w:val="009C1AF2"/>
    <w:rsid w:val="009C1B1B"/>
    <w:rsid w:val="009C1B57"/>
    <w:rsid w:val="009C1CE6"/>
    <w:rsid w:val="009C1D00"/>
    <w:rsid w:val="009C1E83"/>
    <w:rsid w:val="009C1EDD"/>
    <w:rsid w:val="009C1F83"/>
    <w:rsid w:val="009C1F92"/>
    <w:rsid w:val="009C1FAF"/>
    <w:rsid w:val="009C1FC5"/>
    <w:rsid w:val="009C21E7"/>
    <w:rsid w:val="009C21FD"/>
    <w:rsid w:val="009C226C"/>
    <w:rsid w:val="009C235F"/>
    <w:rsid w:val="009C238F"/>
    <w:rsid w:val="009C2390"/>
    <w:rsid w:val="009C2427"/>
    <w:rsid w:val="009C25B0"/>
    <w:rsid w:val="009C262A"/>
    <w:rsid w:val="009C265D"/>
    <w:rsid w:val="009C2715"/>
    <w:rsid w:val="009C2855"/>
    <w:rsid w:val="009C290E"/>
    <w:rsid w:val="009C2954"/>
    <w:rsid w:val="009C2A40"/>
    <w:rsid w:val="009C2A66"/>
    <w:rsid w:val="009C2B1B"/>
    <w:rsid w:val="009C2B83"/>
    <w:rsid w:val="009C2C15"/>
    <w:rsid w:val="009C2C57"/>
    <w:rsid w:val="009C2D45"/>
    <w:rsid w:val="009C2ED8"/>
    <w:rsid w:val="009C306B"/>
    <w:rsid w:val="009C309D"/>
    <w:rsid w:val="009C30FD"/>
    <w:rsid w:val="009C3354"/>
    <w:rsid w:val="009C3546"/>
    <w:rsid w:val="009C362D"/>
    <w:rsid w:val="009C3707"/>
    <w:rsid w:val="009C37BB"/>
    <w:rsid w:val="009C37E9"/>
    <w:rsid w:val="009C37ED"/>
    <w:rsid w:val="009C386B"/>
    <w:rsid w:val="009C38C2"/>
    <w:rsid w:val="009C38FD"/>
    <w:rsid w:val="009C3958"/>
    <w:rsid w:val="009C3A3B"/>
    <w:rsid w:val="009C3A40"/>
    <w:rsid w:val="009C3A68"/>
    <w:rsid w:val="009C3A7F"/>
    <w:rsid w:val="009C3AD2"/>
    <w:rsid w:val="009C3B0B"/>
    <w:rsid w:val="009C3BAE"/>
    <w:rsid w:val="009C3CEA"/>
    <w:rsid w:val="009C3DE9"/>
    <w:rsid w:val="009C3E3E"/>
    <w:rsid w:val="009C3F20"/>
    <w:rsid w:val="009C3F6A"/>
    <w:rsid w:val="009C42BB"/>
    <w:rsid w:val="009C4355"/>
    <w:rsid w:val="009C4357"/>
    <w:rsid w:val="009C4389"/>
    <w:rsid w:val="009C438A"/>
    <w:rsid w:val="009C4522"/>
    <w:rsid w:val="009C4905"/>
    <w:rsid w:val="009C499D"/>
    <w:rsid w:val="009C4A60"/>
    <w:rsid w:val="009C4AB8"/>
    <w:rsid w:val="009C4BC3"/>
    <w:rsid w:val="009C4C40"/>
    <w:rsid w:val="009C4C93"/>
    <w:rsid w:val="009C4D0A"/>
    <w:rsid w:val="009C4D14"/>
    <w:rsid w:val="009C4D1E"/>
    <w:rsid w:val="009C4D22"/>
    <w:rsid w:val="009C4DB8"/>
    <w:rsid w:val="009C4EA0"/>
    <w:rsid w:val="009C4F3F"/>
    <w:rsid w:val="009C5034"/>
    <w:rsid w:val="009C50E4"/>
    <w:rsid w:val="009C5153"/>
    <w:rsid w:val="009C51E5"/>
    <w:rsid w:val="009C52BD"/>
    <w:rsid w:val="009C5318"/>
    <w:rsid w:val="009C53ED"/>
    <w:rsid w:val="009C5440"/>
    <w:rsid w:val="009C5448"/>
    <w:rsid w:val="009C54D5"/>
    <w:rsid w:val="009C5582"/>
    <w:rsid w:val="009C568D"/>
    <w:rsid w:val="009C5779"/>
    <w:rsid w:val="009C577B"/>
    <w:rsid w:val="009C59AA"/>
    <w:rsid w:val="009C5D24"/>
    <w:rsid w:val="009C5DDC"/>
    <w:rsid w:val="009C5E70"/>
    <w:rsid w:val="009C5EE8"/>
    <w:rsid w:val="009C5F6D"/>
    <w:rsid w:val="009C6014"/>
    <w:rsid w:val="009C601C"/>
    <w:rsid w:val="009C617E"/>
    <w:rsid w:val="009C622E"/>
    <w:rsid w:val="009C624A"/>
    <w:rsid w:val="009C6273"/>
    <w:rsid w:val="009C63B9"/>
    <w:rsid w:val="009C6481"/>
    <w:rsid w:val="009C655D"/>
    <w:rsid w:val="009C6664"/>
    <w:rsid w:val="009C6805"/>
    <w:rsid w:val="009C689A"/>
    <w:rsid w:val="009C68A6"/>
    <w:rsid w:val="009C697D"/>
    <w:rsid w:val="009C6ADF"/>
    <w:rsid w:val="009C6BF2"/>
    <w:rsid w:val="009C6CBB"/>
    <w:rsid w:val="009C6F2A"/>
    <w:rsid w:val="009C7173"/>
    <w:rsid w:val="009C7206"/>
    <w:rsid w:val="009C7250"/>
    <w:rsid w:val="009C73E6"/>
    <w:rsid w:val="009C75FC"/>
    <w:rsid w:val="009C7634"/>
    <w:rsid w:val="009C7642"/>
    <w:rsid w:val="009C7660"/>
    <w:rsid w:val="009C7752"/>
    <w:rsid w:val="009C7923"/>
    <w:rsid w:val="009C795E"/>
    <w:rsid w:val="009C7AB6"/>
    <w:rsid w:val="009C7B77"/>
    <w:rsid w:val="009C7C6B"/>
    <w:rsid w:val="009C7E7C"/>
    <w:rsid w:val="009C7F13"/>
    <w:rsid w:val="009C7FAD"/>
    <w:rsid w:val="009D0003"/>
    <w:rsid w:val="009D0057"/>
    <w:rsid w:val="009D0124"/>
    <w:rsid w:val="009D016A"/>
    <w:rsid w:val="009D03C4"/>
    <w:rsid w:val="009D0413"/>
    <w:rsid w:val="009D04C1"/>
    <w:rsid w:val="009D05D2"/>
    <w:rsid w:val="009D0693"/>
    <w:rsid w:val="009D0709"/>
    <w:rsid w:val="009D0740"/>
    <w:rsid w:val="009D09E5"/>
    <w:rsid w:val="009D0A1A"/>
    <w:rsid w:val="009D0B4E"/>
    <w:rsid w:val="009D0E5D"/>
    <w:rsid w:val="009D0F91"/>
    <w:rsid w:val="009D100A"/>
    <w:rsid w:val="009D121C"/>
    <w:rsid w:val="009D12B9"/>
    <w:rsid w:val="009D13D8"/>
    <w:rsid w:val="009D142A"/>
    <w:rsid w:val="009D1664"/>
    <w:rsid w:val="009D17AC"/>
    <w:rsid w:val="009D1944"/>
    <w:rsid w:val="009D19E3"/>
    <w:rsid w:val="009D1A5F"/>
    <w:rsid w:val="009D1B55"/>
    <w:rsid w:val="009D1CC9"/>
    <w:rsid w:val="009D2106"/>
    <w:rsid w:val="009D2152"/>
    <w:rsid w:val="009D21FB"/>
    <w:rsid w:val="009D2450"/>
    <w:rsid w:val="009D24C0"/>
    <w:rsid w:val="009D2568"/>
    <w:rsid w:val="009D262E"/>
    <w:rsid w:val="009D2665"/>
    <w:rsid w:val="009D27E5"/>
    <w:rsid w:val="009D28A7"/>
    <w:rsid w:val="009D28CD"/>
    <w:rsid w:val="009D29EE"/>
    <w:rsid w:val="009D2A2A"/>
    <w:rsid w:val="009D2A2B"/>
    <w:rsid w:val="009D2A9B"/>
    <w:rsid w:val="009D2C71"/>
    <w:rsid w:val="009D2D18"/>
    <w:rsid w:val="009D3141"/>
    <w:rsid w:val="009D3178"/>
    <w:rsid w:val="009D3388"/>
    <w:rsid w:val="009D33DC"/>
    <w:rsid w:val="009D33DD"/>
    <w:rsid w:val="009D3476"/>
    <w:rsid w:val="009D367C"/>
    <w:rsid w:val="009D36AE"/>
    <w:rsid w:val="009D375C"/>
    <w:rsid w:val="009D37CA"/>
    <w:rsid w:val="009D38AE"/>
    <w:rsid w:val="009D38B9"/>
    <w:rsid w:val="009D38E9"/>
    <w:rsid w:val="009D3922"/>
    <w:rsid w:val="009D3955"/>
    <w:rsid w:val="009D3976"/>
    <w:rsid w:val="009D3979"/>
    <w:rsid w:val="009D3A04"/>
    <w:rsid w:val="009D3A5D"/>
    <w:rsid w:val="009D3AA1"/>
    <w:rsid w:val="009D3B18"/>
    <w:rsid w:val="009D3B63"/>
    <w:rsid w:val="009D3B84"/>
    <w:rsid w:val="009D3BE9"/>
    <w:rsid w:val="009D3D3F"/>
    <w:rsid w:val="009D3E1D"/>
    <w:rsid w:val="009D3E29"/>
    <w:rsid w:val="009D3F1F"/>
    <w:rsid w:val="009D3FC2"/>
    <w:rsid w:val="009D404A"/>
    <w:rsid w:val="009D4082"/>
    <w:rsid w:val="009D408D"/>
    <w:rsid w:val="009D40BB"/>
    <w:rsid w:val="009D4442"/>
    <w:rsid w:val="009D44CF"/>
    <w:rsid w:val="009D4529"/>
    <w:rsid w:val="009D47BB"/>
    <w:rsid w:val="009D4846"/>
    <w:rsid w:val="009D499B"/>
    <w:rsid w:val="009D49AD"/>
    <w:rsid w:val="009D4A2F"/>
    <w:rsid w:val="009D4A90"/>
    <w:rsid w:val="009D4ACD"/>
    <w:rsid w:val="009D4B10"/>
    <w:rsid w:val="009D4BBA"/>
    <w:rsid w:val="009D4C64"/>
    <w:rsid w:val="009D4C84"/>
    <w:rsid w:val="009D4CC6"/>
    <w:rsid w:val="009D4D92"/>
    <w:rsid w:val="009D50E0"/>
    <w:rsid w:val="009D5271"/>
    <w:rsid w:val="009D53F0"/>
    <w:rsid w:val="009D5478"/>
    <w:rsid w:val="009D5584"/>
    <w:rsid w:val="009D558C"/>
    <w:rsid w:val="009D595F"/>
    <w:rsid w:val="009D5AE3"/>
    <w:rsid w:val="009D5C04"/>
    <w:rsid w:val="009D5C6C"/>
    <w:rsid w:val="009D5CA8"/>
    <w:rsid w:val="009D5F12"/>
    <w:rsid w:val="009D6016"/>
    <w:rsid w:val="009D602F"/>
    <w:rsid w:val="009D6073"/>
    <w:rsid w:val="009D60EB"/>
    <w:rsid w:val="009D6130"/>
    <w:rsid w:val="009D636E"/>
    <w:rsid w:val="009D63F4"/>
    <w:rsid w:val="009D6422"/>
    <w:rsid w:val="009D6587"/>
    <w:rsid w:val="009D6612"/>
    <w:rsid w:val="009D66B0"/>
    <w:rsid w:val="009D683C"/>
    <w:rsid w:val="009D685B"/>
    <w:rsid w:val="009D692D"/>
    <w:rsid w:val="009D69C1"/>
    <w:rsid w:val="009D6A17"/>
    <w:rsid w:val="009D6A5E"/>
    <w:rsid w:val="009D6A8F"/>
    <w:rsid w:val="009D6C08"/>
    <w:rsid w:val="009D6C24"/>
    <w:rsid w:val="009D6C7F"/>
    <w:rsid w:val="009D6D11"/>
    <w:rsid w:val="009D6D3E"/>
    <w:rsid w:val="009D6DAE"/>
    <w:rsid w:val="009D6E13"/>
    <w:rsid w:val="009D6EB4"/>
    <w:rsid w:val="009D6ED0"/>
    <w:rsid w:val="009D7050"/>
    <w:rsid w:val="009D7076"/>
    <w:rsid w:val="009D70B5"/>
    <w:rsid w:val="009D7131"/>
    <w:rsid w:val="009D721B"/>
    <w:rsid w:val="009D73BA"/>
    <w:rsid w:val="009D7413"/>
    <w:rsid w:val="009D758D"/>
    <w:rsid w:val="009D75D6"/>
    <w:rsid w:val="009D7662"/>
    <w:rsid w:val="009D7798"/>
    <w:rsid w:val="009D779C"/>
    <w:rsid w:val="009D77C4"/>
    <w:rsid w:val="009D78C4"/>
    <w:rsid w:val="009D78F5"/>
    <w:rsid w:val="009D7990"/>
    <w:rsid w:val="009D799D"/>
    <w:rsid w:val="009D7BEE"/>
    <w:rsid w:val="009D7C1C"/>
    <w:rsid w:val="009D7C70"/>
    <w:rsid w:val="009D7D31"/>
    <w:rsid w:val="009D7DD8"/>
    <w:rsid w:val="009D7E85"/>
    <w:rsid w:val="009E0098"/>
    <w:rsid w:val="009E0174"/>
    <w:rsid w:val="009E032A"/>
    <w:rsid w:val="009E03CF"/>
    <w:rsid w:val="009E04E4"/>
    <w:rsid w:val="009E058B"/>
    <w:rsid w:val="009E0634"/>
    <w:rsid w:val="009E0780"/>
    <w:rsid w:val="009E07B6"/>
    <w:rsid w:val="009E0A6A"/>
    <w:rsid w:val="009E0D51"/>
    <w:rsid w:val="009E0EA9"/>
    <w:rsid w:val="009E0EC0"/>
    <w:rsid w:val="009E0F8D"/>
    <w:rsid w:val="009E116F"/>
    <w:rsid w:val="009E13B5"/>
    <w:rsid w:val="009E1832"/>
    <w:rsid w:val="009E18BD"/>
    <w:rsid w:val="009E19DA"/>
    <w:rsid w:val="009E1A0C"/>
    <w:rsid w:val="009E1A2C"/>
    <w:rsid w:val="009E1C39"/>
    <w:rsid w:val="009E1DED"/>
    <w:rsid w:val="009E1E02"/>
    <w:rsid w:val="009E1E56"/>
    <w:rsid w:val="009E1E72"/>
    <w:rsid w:val="009E1F50"/>
    <w:rsid w:val="009E2042"/>
    <w:rsid w:val="009E214C"/>
    <w:rsid w:val="009E21A5"/>
    <w:rsid w:val="009E21DC"/>
    <w:rsid w:val="009E22E6"/>
    <w:rsid w:val="009E2408"/>
    <w:rsid w:val="009E2460"/>
    <w:rsid w:val="009E24B5"/>
    <w:rsid w:val="009E24DC"/>
    <w:rsid w:val="009E2545"/>
    <w:rsid w:val="009E2580"/>
    <w:rsid w:val="009E26D2"/>
    <w:rsid w:val="009E26EF"/>
    <w:rsid w:val="009E2783"/>
    <w:rsid w:val="009E2867"/>
    <w:rsid w:val="009E287A"/>
    <w:rsid w:val="009E28A7"/>
    <w:rsid w:val="009E2952"/>
    <w:rsid w:val="009E29CC"/>
    <w:rsid w:val="009E29D9"/>
    <w:rsid w:val="009E2A1B"/>
    <w:rsid w:val="009E2B9B"/>
    <w:rsid w:val="009E2DB5"/>
    <w:rsid w:val="009E2DE7"/>
    <w:rsid w:val="009E2E76"/>
    <w:rsid w:val="009E2EA7"/>
    <w:rsid w:val="009E2F1F"/>
    <w:rsid w:val="009E31B0"/>
    <w:rsid w:val="009E326B"/>
    <w:rsid w:val="009E3304"/>
    <w:rsid w:val="009E3495"/>
    <w:rsid w:val="009E34E0"/>
    <w:rsid w:val="009E34F7"/>
    <w:rsid w:val="009E3601"/>
    <w:rsid w:val="009E374C"/>
    <w:rsid w:val="009E382A"/>
    <w:rsid w:val="009E3847"/>
    <w:rsid w:val="009E399A"/>
    <w:rsid w:val="009E39B7"/>
    <w:rsid w:val="009E3A21"/>
    <w:rsid w:val="009E3AE8"/>
    <w:rsid w:val="009E3B57"/>
    <w:rsid w:val="009E3BA9"/>
    <w:rsid w:val="009E3BD6"/>
    <w:rsid w:val="009E3C29"/>
    <w:rsid w:val="009E3C9C"/>
    <w:rsid w:val="009E3CEB"/>
    <w:rsid w:val="009E3D6D"/>
    <w:rsid w:val="009E405F"/>
    <w:rsid w:val="009E4080"/>
    <w:rsid w:val="009E4262"/>
    <w:rsid w:val="009E435F"/>
    <w:rsid w:val="009E43CF"/>
    <w:rsid w:val="009E4416"/>
    <w:rsid w:val="009E4555"/>
    <w:rsid w:val="009E456F"/>
    <w:rsid w:val="009E45B6"/>
    <w:rsid w:val="009E4737"/>
    <w:rsid w:val="009E479D"/>
    <w:rsid w:val="009E4884"/>
    <w:rsid w:val="009E48D8"/>
    <w:rsid w:val="009E49F3"/>
    <w:rsid w:val="009E4A5C"/>
    <w:rsid w:val="009E4BDD"/>
    <w:rsid w:val="009E5134"/>
    <w:rsid w:val="009E51E7"/>
    <w:rsid w:val="009E5381"/>
    <w:rsid w:val="009E5386"/>
    <w:rsid w:val="009E55B7"/>
    <w:rsid w:val="009E58CE"/>
    <w:rsid w:val="009E591A"/>
    <w:rsid w:val="009E596E"/>
    <w:rsid w:val="009E5A6E"/>
    <w:rsid w:val="009E5C9B"/>
    <w:rsid w:val="009E5D8F"/>
    <w:rsid w:val="009E5F0B"/>
    <w:rsid w:val="009E5FD7"/>
    <w:rsid w:val="009E623A"/>
    <w:rsid w:val="009E6553"/>
    <w:rsid w:val="009E6658"/>
    <w:rsid w:val="009E6689"/>
    <w:rsid w:val="009E6838"/>
    <w:rsid w:val="009E68DE"/>
    <w:rsid w:val="009E6920"/>
    <w:rsid w:val="009E69AF"/>
    <w:rsid w:val="009E69D8"/>
    <w:rsid w:val="009E6A81"/>
    <w:rsid w:val="009E6ADC"/>
    <w:rsid w:val="009E6AE8"/>
    <w:rsid w:val="009E6B86"/>
    <w:rsid w:val="009E6BCC"/>
    <w:rsid w:val="009E6BCE"/>
    <w:rsid w:val="009E6C31"/>
    <w:rsid w:val="009E6C75"/>
    <w:rsid w:val="009E6FAE"/>
    <w:rsid w:val="009E72D4"/>
    <w:rsid w:val="009E745B"/>
    <w:rsid w:val="009E74B0"/>
    <w:rsid w:val="009E757C"/>
    <w:rsid w:val="009E75CC"/>
    <w:rsid w:val="009E766A"/>
    <w:rsid w:val="009E7833"/>
    <w:rsid w:val="009E794C"/>
    <w:rsid w:val="009E796F"/>
    <w:rsid w:val="009E79A6"/>
    <w:rsid w:val="009E79F3"/>
    <w:rsid w:val="009E7A34"/>
    <w:rsid w:val="009E7B1B"/>
    <w:rsid w:val="009E7B23"/>
    <w:rsid w:val="009E7B94"/>
    <w:rsid w:val="009E7BE3"/>
    <w:rsid w:val="009E7CA5"/>
    <w:rsid w:val="009E7D92"/>
    <w:rsid w:val="009E7DD3"/>
    <w:rsid w:val="009E7EB8"/>
    <w:rsid w:val="009E7F07"/>
    <w:rsid w:val="009E7F98"/>
    <w:rsid w:val="009F00C9"/>
    <w:rsid w:val="009F0146"/>
    <w:rsid w:val="009F02C8"/>
    <w:rsid w:val="009F02D7"/>
    <w:rsid w:val="009F0346"/>
    <w:rsid w:val="009F035E"/>
    <w:rsid w:val="009F0394"/>
    <w:rsid w:val="009F058F"/>
    <w:rsid w:val="009F0666"/>
    <w:rsid w:val="009F067A"/>
    <w:rsid w:val="009F074F"/>
    <w:rsid w:val="009F07BB"/>
    <w:rsid w:val="009F07EE"/>
    <w:rsid w:val="009F09B0"/>
    <w:rsid w:val="009F0B52"/>
    <w:rsid w:val="009F0B98"/>
    <w:rsid w:val="009F0BB0"/>
    <w:rsid w:val="009F0BC3"/>
    <w:rsid w:val="009F0CF5"/>
    <w:rsid w:val="009F0DCA"/>
    <w:rsid w:val="009F0DEB"/>
    <w:rsid w:val="009F0F06"/>
    <w:rsid w:val="009F10A3"/>
    <w:rsid w:val="009F10B4"/>
    <w:rsid w:val="009F11DC"/>
    <w:rsid w:val="009F14FC"/>
    <w:rsid w:val="009F15BF"/>
    <w:rsid w:val="009F195F"/>
    <w:rsid w:val="009F196F"/>
    <w:rsid w:val="009F1B9D"/>
    <w:rsid w:val="009F1BDF"/>
    <w:rsid w:val="009F1CAF"/>
    <w:rsid w:val="009F1CF6"/>
    <w:rsid w:val="009F2141"/>
    <w:rsid w:val="009F227E"/>
    <w:rsid w:val="009F22DA"/>
    <w:rsid w:val="009F230E"/>
    <w:rsid w:val="009F23E6"/>
    <w:rsid w:val="009F245C"/>
    <w:rsid w:val="009F24B8"/>
    <w:rsid w:val="009F2581"/>
    <w:rsid w:val="009F259F"/>
    <w:rsid w:val="009F292C"/>
    <w:rsid w:val="009F2A07"/>
    <w:rsid w:val="009F2A8F"/>
    <w:rsid w:val="009F2C3B"/>
    <w:rsid w:val="009F2DBA"/>
    <w:rsid w:val="009F2E70"/>
    <w:rsid w:val="009F3059"/>
    <w:rsid w:val="009F3119"/>
    <w:rsid w:val="009F31F6"/>
    <w:rsid w:val="009F331A"/>
    <w:rsid w:val="009F3392"/>
    <w:rsid w:val="009F33D8"/>
    <w:rsid w:val="009F366A"/>
    <w:rsid w:val="009F3693"/>
    <w:rsid w:val="009F36F1"/>
    <w:rsid w:val="009F37D8"/>
    <w:rsid w:val="009F393C"/>
    <w:rsid w:val="009F3956"/>
    <w:rsid w:val="009F39BC"/>
    <w:rsid w:val="009F3A6C"/>
    <w:rsid w:val="009F3AFF"/>
    <w:rsid w:val="009F3B3E"/>
    <w:rsid w:val="009F3B54"/>
    <w:rsid w:val="009F3BD3"/>
    <w:rsid w:val="009F3C38"/>
    <w:rsid w:val="009F3C8F"/>
    <w:rsid w:val="009F3CAB"/>
    <w:rsid w:val="009F3DCC"/>
    <w:rsid w:val="009F3E6C"/>
    <w:rsid w:val="009F3F12"/>
    <w:rsid w:val="009F3F1F"/>
    <w:rsid w:val="009F3F20"/>
    <w:rsid w:val="009F3F29"/>
    <w:rsid w:val="009F40CE"/>
    <w:rsid w:val="009F40F1"/>
    <w:rsid w:val="009F41A3"/>
    <w:rsid w:val="009F472C"/>
    <w:rsid w:val="009F4796"/>
    <w:rsid w:val="009F47ED"/>
    <w:rsid w:val="009F47F1"/>
    <w:rsid w:val="009F48D6"/>
    <w:rsid w:val="009F491C"/>
    <w:rsid w:val="009F491D"/>
    <w:rsid w:val="009F4922"/>
    <w:rsid w:val="009F4927"/>
    <w:rsid w:val="009F4986"/>
    <w:rsid w:val="009F4A2F"/>
    <w:rsid w:val="009F4A37"/>
    <w:rsid w:val="009F4A85"/>
    <w:rsid w:val="009F4AF9"/>
    <w:rsid w:val="009F4BEA"/>
    <w:rsid w:val="009F4D11"/>
    <w:rsid w:val="009F4D67"/>
    <w:rsid w:val="009F4E14"/>
    <w:rsid w:val="009F50CC"/>
    <w:rsid w:val="009F53EB"/>
    <w:rsid w:val="009F5629"/>
    <w:rsid w:val="009F56C2"/>
    <w:rsid w:val="009F5742"/>
    <w:rsid w:val="009F58B1"/>
    <w:rsid w:val="009F5B21"/>
    <w:rsid w:val="009F5CB0"/>
    <w:rsid w:val="009F5E67"/>
    <w:rsid w:val="009F5F48"/>
    <w:rsid w:val="009F6248"/>
    <w:rsid w:val="009F6365"/>
    <w:rsid w:val="009F642C"/>
    <w:rsid w:val="009F66E7"/>
    <w:rsid w:val="009F67BD"/>
    <w:rsid w:val="009F67FD"/>
    <w:rsid w:val="009F6936"/>
    <w:rsid w:val="009F69E0"/>
    <w:rsid w:val="009F6B42"/>
    <w:rsid w:val="009F6DC3"/>
    <w:rsid w:val="009F6E98"/>
    <w:rsid w:val="009F7002"/>
    <w:rsid w:val="009F71A2"/>
    <w:rsid w:val="009F71B6"/>
    <w:rsid w:val="009F7208"/>
    <w:rsid w:val="009F7251"/>
    <w:rsid w:val="009F72B2"/>
    <w:rsid w:val="009F72F4"/>
    <w:rsid w:val="009F747E"/>
    <w:rsid w:val="009F74C8"/>
    <w:rsid w:val="009F75B9"/>
    <w:rsid w:val="009F75C2"/>
    <w:rsid w:val="009F75C5"/>
    <w:rsid w:val="009F778B"/>
    <w:rsid w:val="009F79DE"/>
    <w:rsid w:val="009F7A4A"/>
    <w:rsid w:val="009F7B18"/>
    <w:rsid w:val="009F7B42"/>
    <w:rsid w:val="009F7BF8"/>
    <w:rsid w:val="009F7D5B"/>
    <w:rsid w:val="009F7DC4"/>
    <w:rsid w:val="009F7E1B"/>
    <w:rsid w:val="009F7ED2"/>
    <w:rsid w:val="00A000A6"/>
    <w:rsid w:val="00A000A8"/>
    <w:rsid w:val="00A002B5"/>
    <w:rsid w:val="00A0032A"/>
    <w:rsid w:val="00A0036B"/>
    <w:rsid w:val="00A003DF"/>
    <w:rsid w:val="00A0044D"/>
    <w:rsid w:val="00A00517"/>
    <w:rsid w:val="00A00526"/>
    <w:rsid w:val="00A00610"/>
    <w:rsid w:val="00A00614"/>
    <w:rsid w:val="00A0073F"/>
    <w:rsid w:val="00A007AB"/>
    <w:rsid w:val="00A007EE"/>
    <w:rsid w:val="00A00861"/>
    <w:rsid w:val="00A008E0"/>
    <w:rsid w:val="00A00AB3"/>
    <w:rsid w:val="00A00C06"/>
    <w:rsid w:val="00A00E57"/>
    <w:rsid w:val="00A00E8F"/>
    <w:rsid w:val="00A00EB2"/>
    <w:rsid w:val="00A00EC5"/>
    <w:rsid w:val="00A00F4C"/>
    <w:rsid w:val="00A00FA9"/>
    <w:rsid w:val="00A00FD3"/>
    <w:rsid w:val="00A010AF"/>
    <w:rsid w:val="00A010B3"/>
    <w:rsid w:val="00A01170"/>
    <w:rsid w:val="00A01201"/>
    <w:rsid w:val="00A01206"/>
    <w:rsid w:val="00A0130F"/>
    <w:rsid w:val="00A0133B"/>
    <w:rsid w:val="00A01345"/>
    <w:rsid w:val="00A0143C"/>
    <w:rsid w:val="00A01457"/>
    <w:rsid w:val="00A01494"/>
    <w:rsid w:val="00A016E2"/>
    <w:rsid w:val="00A01AB8"/>
    <w:rsid w:val="00A01AC8"/>
    <w:rsid w:val="00A01BF6"/>
    <w:rsid w:val="00A01C0F"/>
    <w:rsid w:val="00A01CCC"/>
    <w:rsid w:val="00A01D45"/>
    <w:rsid w:val="00A01E11"/>
    <w:rsid w:val="00A01EFB"/>
    <w:rsid w:val="00A01F81"/>
    <w:rsid w:val="00A01FA7"/>
    <w:rsid w:val="00A0230F"/>
    <w:rsid w:val="00A02436"/>
    <w:rsid w:val="00A02494"/>
    <w:rsid w:val="00A0252A"/>
    <w:rsid w:val="00A0252E"/>
    <w:rsid w:val="00A02655"/>
    <w:rsid w:val="00A02671"/>
    <w:rsid w:val="00A02674"/>
    <w:rsid w:val="00A0269B"/>
    <w:rsid w:val="00A026CC"/>
    <w:rsid w:val="00A0296A"/>
    <w:rsid w:val="00A029E6"/>
    <w:rsid w:val="00A02B4C"/>
    <w:rsid w:val="00A02B76"/>
    <w:rsid w:val="00A02BBE"/>
    <w:rsid w:val="00A02C0F"/>
    <w:rsid w:val="00A02DFA"/>
    <w:rsid w:val="00A02E12"/>
    <w:rsid w:val="00A03067"/>
    <w:rsid w:val="00A030D2"/>
    <w:rsid w:val="00A0314A"/>
    <w:rsid w:val="00A03607"/>
    <w:rsid w:val="00A03841"/>
    <w:rsid w:val="00A03845"/>
    <w:rsid w:val="00A03914"/>
    <w:rsid w:val="00A039DE"/>
    <w:rsid w:val="00A03CCA"/>
    <w:rsid w:val="00A03D47"/>
    <w:rsid w:val="00A04000"/>
    <w:rsid w:val="00A041FE"/>
    <w:rsid w:val="00A04335"/>
    <w:rsid w:val="00A0445A"/>
    <w:rsid w:val="00A04475"/>
    <w:rsid w:val="00A044AD"/>
    <w:rsid w:val="00A04589"/>
    <w:rsid w:val="00A045D3"/>
    <w:rsid w:val="00A0462A"/>
    <w:rsid w:val="00A046EF"/>
    <w:rsid w:val="00A04BD3"/>
    <w:rsid w:val="00A04BDE"/>
    <w:rsid w:val="00A04CA1"/>
    <w:rsid w:val="00A04DE6"/>
    <w:rsid w:val="00A04E37"/>
    <w:rsid w:val="00A04E57"/>
    <w:rsid w:val="00A04F7A"/>
    <w:rsid w:val="00A04FAD"/>
    <w:rsid w:val="00A05078"/>
    <w:rsid w:val="00A05091"/>
    <w:rsid w:val="00A05174"/>
    <w:rsid w:val="00A051B4"/>
    <w:rsid w:val="00A053AF"/>
    <w:rsid w:val="00A05473"/>
    <w:rsid w:val="00A05594"/>
    <w:rsid w:val="00A055B6"/>
    <w:rsid w:val="00A0575A"/>
    <w:rsid w:val="00A0588F"/>
    <w:rsid w:val="00A05928"/>
    <w:rsid w:val="00A05AE7"/>
    <w:rsid w:val="00A05B1A"/>
    <w:rsid w:val="00A05C54"/>
    <w:rsid w:val="00A05D49"/>
    <w:rsid w:val="00A05E47"/>
    <w:rsid w:val="00A05F5D"/>
    <w:rsid w:val="00A0600B"/>
    <w:rsid w:val="00A06038"/>
    <w:rsid w:val="00A06232"/>
    <w:rsid w:val="00A06258"/>
    <w:rsid w:val="00A062BD"/>
    <w:rsid w:val="00A063DA"/>
    <w:rsid w:val="00A063F4"/>
    <w:rsid w:val="00A06596"/>
    <w:rsid w:val="00A065F6"/>
    <w:rsid w:val="00A0660A"/>
    <w:rsid w:val="00A0663C"/>
    <w:rsid w:val="00A06681"/>
    <w:rsid w:val="00A066FC"/>
    <w:rsid w:val="00A0671E"/>
    <w:rsid w:val="00A06847"/>
    <w:rsid w:val="00A06971"/>
    <w:rsid w:val="00A069E6"/>
    <w:rsid w:val="00A06A49"/>
    <w:rsid w:val="00A06A77"/>
    <w:rsid w:val="00A06A92"/>
    <w:rsid w:val="00A06AA3"/>
    <w:rsid w:val="00A06ABC"/>
    <w:rsid w:val="00A06D5D"/>
    <w:rsid w:val="00A06DAB"/>
    <w:rsid w:val="00A06E32"/>
    <w:rsid w:val="00A07086"/>
    <w:rsid w:val="00A071CA"/>
    <w:rsid w:val="00A072DA"/>
    <w:rsid w:val="00A073C1"/>
    <w:rsid w:val="00A0744D"/>
    <w:rsid w:val="00A074A7"/>
    <w:rsid w:val="00A07515"/>
    <w:rsid w:val="00A07629"/>
    <w:rsid w:val="00A076A6"/>
    <w:rsid w:val="00A0781A"/>
    <w:rsid w:val="00A0786F"/>
    <w:rsid w:val="00A078B3"/>
    <w:rsid w:val="00A079C0"/>
    <w:rsid w:val="00A07A23"/>
    <w:rsid w:val="00A07C7A"/>
    <w:rsid w:val="00A07CB4"/>
    <w:rsid w:val="00A07CD4"/>
    <w:rsid w:val="00A07D31"/>
    <w:rsid w:val="00A07DD9"/>
    <w:rsid w:val="00A07DF7"/>
    <w:rsid w:val="00A07E0C"/>
    <w:rsid w:val="00A07F90"/>
    <w:rsid w:val="00A10033"/>
    <w:rsid w:val="00A100B5"/>
    <w:rsid w:val="00A10218"/>
    <w:rsid w:val="00A10287"/>
    <w:rsid w:val="00A10371"/>
    <w:rsid w:val="00A104F3"/>
    <w:rsid w:val="00A10515"/>
    <w:rsid w:val="00A10615"/>
    <w:rsid w:val="00A106B4"/>
    <w:rsid w:val="00A106FE"/>
    <w:rsid w:val="00A107CD"/>
    <w:rsid w:val="00A10890"/>
    <w:rsid w:val="00A10A1F"/>
    <w:rsid w:val="00A10B1F"/>
    <w:rsid w:val="00A10B7B"/>
    <w:rsid w:val="00A10C64"/>
    <w:rsid w:val="00A10C7D"/>
    <w:rsid w:val="00A10D8D"/>
    <w:rsid w:val="00A10EED"/>
    <w:rsid w:val="00A11023"/>
    <w:rsid w:val="00A110A2"/>
    <w:rsid w:val="00A11178"/>
    <w:rsid w:val="00A111AD"/>
    <w:rsid w:val="00A1127F"/>
    <w:rsid w:val="00A11284"/>
    <w:rsid w:val="00A1139C"/>
    <w:rsid w:val="00A113EB"/>
    <w:rsid w:val="00A1145E"/>
    <w:rsid w:val="00A1159A"/>
    <w:rsid w:val="00A11691"/>
    <w:rsid w:val="00A116B6"/>
    <w:rsid w:val="00A116C2"/>
    <w:rsid w:val="00A11929"/>
    <w:rsid w:val="00A1196A"/>
    <w:rsid w:val="00A11A61"/>
    <w:rsid w:val="00A11AE6"/>
    <w:rsid w:val="00A11D73"/>
    <w:rsid w:val="00A11EAD"/>
    <w:rsid w:val="00A11F5D"/>
    <w:rsid w:val="00A11FF7"/>
    <w:rsid w:val="00A12386"/>
    <w:rsid w:val="00A124C4"/>
    <w:rsid w:val="00A1257B"/>
    <w:rsid w:val="00A12817"/>
    <w:rsid w:val="00A1282B"/>
    <w:rsid w:val="00A128CB"/>
    <w:rsid w:val="00A12A0D"/>
    <w:rsid w:val="00A12A7A"/>
    <w:rsid w:val="00A12AFF"/>
    <w:rsid w:val="00A12B19"/>
    <w:rsid w:val="00A12B8C"/>
    <w:rsid w:val="00A12B92"/>
    <w:rsid w:val="00A12D99"/>
    <w:rsid w:val="00A12E9A"/>
    <w:rsid w:val="00A1321D"/>
    <w:rsid w:val="00A1322F"/>
    <w:rsid w:val="00A13402"/>
    <w:rsid w:val="00A13414"/>
    <w:rsid w:val="00A135C6"/>
    <w:rsid w:val="00A1367D"/>
    <w:rsid w:val="00A137E9"/>
    <w:rsid w:val="00A1386A"/>
    <w:rsid w:val="00A13904"/>
    <w:rsid w:val="00A13A28"/>
    <w:rsid w:val="00A13A9A"/>
    <w:rsid w:val="00A13E7C"/>
    <w:rsid w:val="00A13F18"/>
    <w:rsid w:val="00A13F32"/>
    <w:rsid w:val="00A14008"/>
    <w:rsid w:val="00A1405A"/>
    <w:rsid w:val="00A14168"/>
    <w:rsid w:val="00A14187"/>
    <w:rsid w:val="00A14323"/>
    <w:rsid w:val="00A143B5"/>
    <w:rsid w:val="00A144A5"/>
    <w:rsid w:val="00A144ED"/>
    <w:rsid w:val="00A1455D"/>
    <w:rsid w:val="00A14577"/>
    <w:rsid w:val="00A145C0"/>
    <w:rsid w:val="00A145C5"/>
    <w:rsid w:val="00A14720"/>
    <w:rsid w:val="00A14864"/>
    <w:rsid w:val="00A148B6"/>
    <w:rsid w:val="00A148F5"/>
    <w:rsid w:val="00A148F6"/>
    <w:rsid w:val="00A14B70"/>
    <w:rsid w:val="00A14C55"/>
    <w:rsid w:val="00A14C6F"/>
    <w:rsid w:val="00A14C9B"/>
    <w:rsid w:val="00A14CA4"/>
    <w:rsid w:val="00A14CB9"/>
    <w:rsid w:val="00A14CBA"/>
    <w:rsid w:val="00A14CE1"/>
    <w:rsid w:val="00A14D70"/>
    <w:rsid w:val="00A14F27"/>
    <w:rsid w:val="00A14FA2"/>
    <w:rsid w:val="00A14FB5"/>
    <w:rsid w:val="00A150BE"/>
    <w:rsid w:val="00A150F6"/>
    <w:rsid w:val="00A151DD"/>
    <w:rsid w:val="00A152E2"/>
    <w:rsid w:val="00A1530B"/>
    <w:rsid w:val="00A1532D"/>
    <w:rsid w:val="00A1542A"/>
    <w:rsid w:val="00A155F7"/>
    <w:rsid w:val="00A156B8"/>
    <w:rsid w:val="00A1571F"/>
    <w:rsid w:val="00A1572B"/>
    <w:rsid w:val="00A157B4"/>
    <w:rsid w:val="00A15822"/>
    <w:rsid w:val="00A15965"/>
    <w:rsid w:val="00A15ACC"/>
    <w:rsid w:val="00A15ADF"/>
    <w:rsid w:val="00A15C4D"/>
    <w:rsid w:val="00A15C64"/>
    <w:rsid w:val="00A15CFC"/>
    <w:rsid w:val="00A15F6B"/>
    <w:rsid w:val="00A160A7"/>
    <w:rsid w:val="00A16219"/>
    <w:rsid w:val="00A162B0"/>
    <w:rsid w:val="00A162DD"/>
    <w:rsid w:val="00A16361"/>
    <w:rsid w:val="00A164C3"/>
    <w:rsid w:val="00A1657F"/>
    <w:rsid w:val="00A165FB"/>
    <w:rsid w:val="00A16634"/>
    <w:rsid w:val="00A1666C"/>
    <w:rsid w:val="00A16A70"/>
    <w:rsid w:val="00A16B08"/>
    <w:rsid w:val="00A16B8F"/>
    <w:rsid w:val="00A16BD5"/>
    <w:rsid w:val="00A17001"/>
    <w:rsid w:val="00A17005"/>
    <w:rsid w:val="00A1709A"/>
    <w:rsid w:val="00A170CF"/>
    <w:rsid w:val="00A17145"/>
    <w:rsid w:val="00A17257"/>
    <w:rsid w:val="00A1736C"/>
    <w:rsid w:val="00A17565"/>
    <w:rsid w:val="00A17636"/>
    <w:rsid w:val="00A17741"/>
    <w:rsid w:val="00A177C2"/>
    <w:rsid w:val="00A1787A"/>
    <w:rsid w:val="00A1789E"/>
    <w:rsid w:val="00A178E7"/>
    <w:rsid w:val="00A1798C"/>
    <w:rsid w:val="00A17A17"/>
    <w:rsid w:val="00A17ABB"/>
    <w:rsid w:val="00A17B72"/>
    <w:rsid w:val="00A17B9B"/>
    <w:rsid w:val="00A17C2D"/>
    <w:rsid w:val="00A17D8D"/>
    <w:rsid w:val="00A17DE7"/>
    <w:rsid w:val="00A17EB9"/>
    <w:rsid w:val="00A17F25"/>
    <w:rsid w:val="00A200C4"/>
    <w:rsid w:val="00A200E5"/>
    <w:rsid w:val="00A2026F"/>
    <w:rsid w:val="00A20391"/>
    <w:rsid w:val="00A203C5"/>
    <w:rsid w:val="00A204C3"/>
    <w:rsid w:val="00A2063A"/>
    <w:rsid w:val="00A206CB"/>
    <w:rsid w:val="00A2072E"/>
    <w:rsid w:val="00A20754"/>
    <w:rsid w:val="00A2075B"/>
    <w:rsid w:val="00A20802"/>
    <w:rsid w:val="00A20921"/>
    <w:rsid w:val="00A20AB4"/>
    <w:rsid w:val="00A20BB6"/>
    <w:rsid w:val="00A20C1A"/>
    <w:rsid w:val="00A20ED1"/>
    <w:rsid w:val="00A20FCF"/>
    <w:rsid w:val="00A21026"/>
    <w:rsid w:val="00A210B2"/>
    <w:rsid w:val="00A210FB"/>
    <w:rsid w:val="00A2113E"/>
    <w:rsid w:val="00A21373"/>
    <w:rsid w:val="00A213FC"/>
    <w:rsid w:val="00A216AB"/>
    <w:rsid w:val="00A21753"/>
    <w:rsid w:val="00A217DF"/>
    <w:rsid w:val="00A2184F"/>
    <w:rsid w:val="00A21AC3"/>
    <w:rsid w:val="00A21BA0"/>
    <w:rsid w:val="00A21BA1"/>
    <w:rsid w:val="00A21BE8"/>
    <w:rsid w:val="00A21D24"/>
    <w:rsid w:val="00A21D2C"/>
    <w:rsid w:val="00A21D31"/>
    <w:rsid w:val="00A21E14"/>
    <w:rsid w:val="00A21E3D"/>
    <w:rsid w:val="00A21E98"/>
    <w:rsid w:val="00A21F63"/>
    <w:rsid w:val="00A220DE"/>
    <w:rsid w:val="00A223CC"/>
    <w:rsid w:val="00A223E7"/>
    <w:rsid w:val="00A2240C"/>
    <w:rsid w:val="00A2255A"/>
    <w:rsid w:val="00A22843"/>
    <w:rsid w:val="00A228B4"/>
    <w:rsid w:val="00A22997"/>
    <w:rsid w:val="00A22A65"/>
    <w:rsid w:val="00A22ABA"/>
    <w:rsid w:val="00A22B05"/>
    <w:rsid w:val="00A22B33"/>
    <w:rsid w:val="00A22B5B"/>
    <w:rsid w:val="00A22B75"/>
    <w:rsid w:val="00A22B7A"/>
    <w:rsid w:val="00A22CA3"/>
    <w:rsid w:val="00A22D36"/>
    <w:rsid w:val="00A22DEE"/>
    <w:rsid w:val="00A23002"/>
    <w:rsid w:val="00A2318B"/>
    <w:rsid w:val="00A23480"/>
    <w:rsid w:val="00A2354B"/>
    <w:rsid w:val="00A237A7"/>
    <w:rsid w:val="00A237AB"/>
    <w:rsid w:val="00A238A9"/>
    <w:rsid w:val="00A23950"/>
    <w:rsid w:val="00A23ADE"/>
    <w:rsid w:val="00A23B3A"/>
    <w:rsid w:val="00A23C86"/>
    <w:rsid w:val="00A23CAA"/>
    <w:rsid w:val="00A23EB0"/>
    <w:rsid w:val="00A23EC4"/>
    <w:rsid w:val="00A23F6C"/>
    <w:rsid w:val="00A24023"/>
    <w:rsid w:val="00A24074"/>
    <w:rsid w:val="00A241B7"/>
    <w:rsid w:val="00A241CC"/>
    <w:rsid w:val="00A2423E"/>
    <w:rsid w:val="00A243C0"/>
    <w:rsid w:val="00A243E1"/>
    <w:rsid w:val="00A24479"/>
    <w:rsid w:val="00A24541"/>
    <w:rsid w:val="00A24619"/>
    <w:rsid w:val="00A246C7"/>
    <w:rsid w:val="00A246F1"/>
    <w:rsid w:val="00A24762"/>
    <w:rsid w:val="00A247C2"/>
    <w:rsid w:val="00A24863"/>
    <w:rsid w:val="00A2486D"/>
    <w:rsid w:val="00A2487C"/>
    <w:rsid w:val="00A24A35"/>
    <w:rsid w:val="00A24BF6"/>
    <w:rsid w:val="00A24C6E"/>
    <w:rsid w:val="00A24CC4"/>
    <w:rsid w:val="00A24D75"/>
    <w:rsid w:val="00A24E08"/>
    <w:rsid w:val="00A24E2D"/>
    <w:rsid w:val="00A24E8E"/>
    <w:rsid w:val="00A24FFD"/>
    <w:rsid w:val="00A25105"/>
    <w:rsid w:val="00A25118"/>
    <w:rsid w:val="00A25189"/>
    <w:rsid w:val="00A251C0"/>
    <w:rsid w:val="00A252BE"/>
    <w:rsid w:val="00A2535F"/>
    <w:rsid w:val="00A25378"/>
    <w:rsid w:val="00A25391"/>
    <w:rsid w:val="00A2544F"/>
    <w:rsid w:val="00A25454"/>
    <w:rsid w:val="00A2545E"/>
    <w:rsid w:val="00A25532"/>
    <w:rsid w:val="00A25775"/>
    <w:rsid w:val="00A257D9"/>
    <w:rsid w:val="00A25829"/>
    <w:rsid w:val="00A258B6"/>
    <w:rsid w:val="00A259C8"/>
    <w:rsid w:val="00A259ED"/>
    <w:rsid w:val="00A25A83"/>
    <w:rsid w:val="00A25B12"/>
    <w:rsid w:val="00A25C93"/>
    <w:rsid w:val="00A25D48"/>
    <w:rsid w:val="00A260EE"/>
    <w:rsid w:val="00A26119"/>
    <w:rsid w:val="00A2611E"/>
    <w:rsid w:val="00A2618C"/>
    <w:rsid w:val="00A26241"/>
    <w:rsid w:val="00A26245"/>
    <w:rsid w:val="00A2673E"/>
    <w:rsid w:val="00A2674C"/>
    <w:rsid w:val="00A26781"/>
    <w:rsid w:val="00A26784"/>
    <w:rsid w:val="00A26796"/>
    <w:rsid w:val="00A267BA"/>
    <w:rsid w:val="00A26857"/>
    <w:rsid w:val="00A268A5"/>
    <w:rsid w:val="00A268AC"/>
    <w:rsid w:val="00A26964"/>
    <w:rsid w:val="00A269FC"/>
    <w:rsid w:val="00A26A3E"/>
    <w:rsid w:val="00A26A74"/>
    <w:rsid w:val="00A26AB2"/>
    <w:rsid w:val="00A26C65"/>
    <w:rsid w:val="00A26C87"/>
    <w:rsid w:val="00A26CEC"/>
    <w:rsid w:val="00A27148"/>
    <w:rsid w:val="00A272C5"/>
    <w:rsid w:val="00A27407"/>
    <w:rsid w:val="00A27535"/>
    <w:rsid w:val="00A27553"/>
    <w:rsid w:val="00A27584"/>
    <w:rsid w:val="00A275B3"/>
    <w:rsid w:val="00A276CC"/>
    <w:rsid w:val="00A276E2"/>
    <w:rsid w:val="00A2772A"/>
    <w:rsid w:val="00A27820"/>
    <w:rsid w:val="00A278DA"/>
    <w:rsid w:val="00A27914"/>
    <w:rsid w:val="00A27919"/>
    <w:rsid w:val="00A279E1"/>
    <w:rsid w:val="00A279F2"/>
    <w:rsid w:val="00A27A16"/>
    <w:rsid w:val="00A27C06"/>
    <w:rsid w:val="00A27CA0"/>
    <w:rsid w:val="00A27EC9"/>
    <w:rsid w:val="00A27F17"/>
    <w:rsid w:val="00A27F8F"/>
    <w:rsid w:val="00A3006F"/>
    <w:rsid w:val="00A30073"/>
    <w:rsid w:val="00A3019C"/>
    <w:rsid w:val="00A30260"/>
    <w:rsid w:val="00A30319"/>
    <w:rsid w:val="00A305F7"/>
    <w:rsid w:val="00A30608"/>
    <w:rsid w:val="00A3071E"/>
    <w:rsid w:val="00A30731"/>
    <w:rsid w:val="00A30822"/>
    <w:rsid w:val="00A30946"/>
    <w:rsid w:val="00A30ABB"/>
    <w:rsid w:val="00A30AD2"/>
    <w:rsid w:val="00A30CF6"/>
    <w:rsid w:val="00A30EF2"/>
    <w:rsid w:val="00A310AF"/>
    <w:rsid w:val="00A310B3"/>
    <w:rsid w:val="00A3112A"/>
    <w:rsid w:val="00A311AC"/>
    <w:rsid w:val="00A31211"/>
    <w:rsid w:val="00A31252"/>
    <w:rsid w:val="00A31271"/>
    <w:rsid w:val="00A312EC"/>
    <w:rsid w:val="00A313F4"/>
    <w:rsid w:val="00A3147B"/>
    <w:rsid w:val="00A314C9"/>
    <w:rsid w:val="00A314EA"/>
    <w:rsid w:val="00A31634"/>
    <w:rsid w:val="00A316FE"/>
    <w:rsid w:val="00A318D8"/>
    <w:rsid w:val="00A319AF"/>
    <w:rsid w:val="00A31A3F"/>
    <w:rsid w:val="00A31A65"/>
    <w:rsid w:val="00A31B45"/>
    <w:rsid w:val="00A31C44"/>
    <w:rsid w:val="00A31D29"/>
    <w:rsid w:val="00A31D2C"/>
    <w:rsid w:val="00A31FAD"/>
    <w:rsid w:val="00A32068"/>
    <w:rsid w:val="00A320AA"/>
    <w:rsid w:val="00A320BF"/>
    <w:rsid w:val="00A32168"/>
    <w:rsid w:val="00A32272"/>
    <w:rsid w:val="00A324C3"/>
    <w:rsid w:val="00A32608"/>
    <w:rsid w:val="00A3263E"/>
    <w:rsid w:val="00A32750"/>
    <w:rsid w:val="00A3275E"/>
    <w:rsid w:val="00A327A2"/>
    <w:rsid w:val="00A329CA"/>
    <w:rsid w:val="00A32B04"/>
    <w:rsid w:val="00A32BBC"/>
    <w:rsid w:val="00A32D31"/>
    <w:rsid w:val="00A32EA4"/>
    <w:rsid w:val="00A32F20"/>
    <w:rsid w:val="00A32F57"/>
    <w:rsid w:val="00A32F9A"/>
    <w:rsid w:val="00A3327D"/>
    <w:rsid w:val="00A332B6"/>
    <w:rsid w:val="00A332CC"/>
    <w:rsid w:val="00A33523"/>
    <w:rsid w:val="00A33544"/>
    <w:rsid w:val="00A33596"/>
    <w:rsid w:val="00A3359A"/>
    <w:rsid w:val="00A3368F"/>
    <w:rsid w:val="00A33705"/>
    <w:rsid w:val="00A33725"/>
    <w:rsid w:val="00A33787"/>
    <w:rsid w:val="00A338B8"/>
    <w:rsid w:val="00A338DB"/>
    <w:rsid w:val="00A3391D"/>
    <w:rsid w:val="00A33A30"/>
    <w:rsid w:val="00A33A99"/>
    <w:rsid w:val="00A33ADA"/>
    <w:rsid w:val="00A33C21"/>
    <w:rsid w:val="00A33C91"/>
    <w:rsid w:val="00A33CF5"/>
    <w:rsid w:val="00A33D50"/>
    <w:rsid w:val="00A33DCA"/>
    <w:rsid w:val="00A33FB0"/>
    <w:rsid w:val="00A3408D"/>
    <w:rsid w:val="00A340E0"/>
    <w:rsid w:val="00A34269"/>
    <w:rsid w:val="00A34291"/>
    <w:rsid w:val="00A34295"/>
    <w:rsid w:val="00A34314"/>
    <w:rsid w:val="00A34367"/>
    <w:rsid w:val="00A3436C"/>
    <w:rsid w:val="00A34443"/>
    <w:rsid w:val="00A3463C"/>
    <w:rsid w:val="00A3470D"/>
    <w:rsid w:val="00A34B2E"/>
    <w:rsid w:val="00A34B5F"/>
    <w:rsid w:val="00A34B72"/>
    <w:rsid w:val="00A34BA1"/>
    <w:rsid w:val="00A34BAD"/>
    <w:rsid w:val="00A34C9E"/>
    <w:rsid w:val="00A34CB2"/>
    <w:rsid w:val="00A35023"/>
    <w:rsid w:val="00A350CF"/>
    <w:rsid w:val="00A3513B"/>
    <w:rsid w:val="00A35152"/>
    <w:rsid w:val="00A351F0"/>
    <w:rsid w:val="00A35273"/>
    <w:rsid w:val="00A3532B"/>
    <w:rsid w:val="00A3533E"/>
    <w:rsid w:val="00A35389"/>
    <w:rsid w:val="00A353F6"/>
    <w:rsid w:val="00A3540E"/>
    <w:rsid w:val="00A3559A"/>
    <w:rsid w:val="00A3559E"/>
    <w:rsid w:val="00A355BE"/>
    <w:rsid w:val="00A355FA"/>
    <w:rsid w:val="00A35700"/>
    <w:rsid w:val="00A35754"/>
    <w:rsid w:val="00A35B26"/>
    <w:rsid w:val="00A35BF3"/>
    <w:rsid w:val="00A35C63"/>
    <w:rsid w:val="00A35C72"/>
    <w:rsid w:val="00A35E4C"/>
    <w:rsid w:val="00A35E4D"/>
    <w:rsid w:val="00A35EF4"/>
    <w:rsid w:val="00A35F96"/>
    <w:rsid w:val="00A36048"/>
    <w:rsid w:val="00A3608C"/>
    <w:rsid w:val="00A3608F"/>
    <w:rsid w:val="00A36107"/>
    <w:rsid w:val="00A36281"/>
    <w:rsid w:val="00A36299"/>
    <w:rsid w:val="00A36366"/>
    <w:rsid w:val="00A363EA"/>
    <w:rsid w:val="00A36442"/>
    <w:rsid w:val="00A364E5"/>
    <w:rsid w:val="00A36696"/>
    <w:rsid w:val="00A366B4"/>
    <w:rsid w:val="00A36764"/>
    <w:rsid w:val="00A36852"/>
    <w:rsid w:val="00A36880"/>
    <w:rsid w:val="00A3695E"/>
    <w:rsid w:val="00A36A41"/>
    <w:rsid w:val="00A36AF4"/>
    <w:rsid w:val="00A36B22"/>
    <w:rsid w:val="00A36B59"/>
    <w:rsid w:val="00A36CB0"/>
    <w:rsid w:val="00A36E42"/>
    <w:rsid w:val="00A36EFB"/>
    <w:rsid w:val="00A36F0C"/>
    <w:rsid w:val="00A36F74"/>
    <w:rsid w:val="00A3706F"/>
    <w:rsid w:val="00A370ED"/>
    <w:rsid w:val="00A3712A"/>
    <w:rsid w:val="00A371BB"/>
    <w:rsid w:val="00A373A2"/>
    <w:rsid w:val="00A37445"/>
    <w:rsid w:val="00A3776E"/>
    <w:rsid w:val="00A377E1"/>
    <w:rsid w:val="00A37961"/>
    <w:rsid w:val="00A37BC3"/>
    <w:rsid w:val="00A37C49"/>
    <w:rsid w:val="00A37CAA"/>
    <w:rsid w:val="00A37CDD"/>
    <w:rsid w:val="00A37DE1"/>
    <w:rsid w:val="00A37E15"/>
    <w:rsid w:val="00A400D9"/>
    <w:rsid w:val="00A400E3"/>
    <w:rsid w:val="00A40353"/>
    <w:rsid w:val="00A40499"/>
    <w:rsid w:val="00A4056C"/>
    <w:rsid w:val="00A40583"/>
    <w:rsid w:val="00A40595"/>
    <w:rsid w:val="00A4065D"/>
    <w:rsid w:val="00A4068E"/>
    <w:rsid w:val="00A40702"/>
    <w:rsid w:val="00A407EF"/>
    <w:rsid w:val="00A4088F"/>
    <w:rsid w:val="00A408B7"/>
    <w:rsid w:val="00A408D3"/>
    <w:rsid w:val="00A40A40"/>
    <w:rsid w:val="00A40A63"/>
    <w:rsid w:val="00A40AE8"/>
    <w:rsid w:val="00A40B72"/>
    <w:rsid w:val="00A40EB2"/>
    <w:rsid w:val="00A41055"/>
    <w:rsid w:val="00A41084"/>
    <w:rsid w:val="00A410E0"/>
    <w:rsid w:val="00A41141"/>
    <w:rsid w:val="00A41226"/>
    <w:rsid w:val="00A412D3"/>
    <w:rsid w:val="00A41877"/>
    <w:rsid w:val="00A41A16"/>
    <w:rsid w:val="00A41A5D"/>
    <w:rsid w:val="00A41D6A"/>
    <w:rsid w:val="00A41E3F"/>
    <w:rsid w:val="00A42070"/>
    <w:rsid w:val="00A420A0"/>
    <w:rsid w:val="00A42244"/>
    <w:rsid w:val="00A42280"/>
    <w:rsid w:val="00A423C8"/>
    <w:rsid w:val="00A42474"/>
    <w:rsid w:val="00A424B6"/>
    <w:rsid w:val="00A424F6"/>
    <w:rsid w:val="00A42532"/>
    <w:rsid w:val="00A426B2"/>
    <w:rsid w:val="00A4270D"/>
    <w:rsid w:val="00A4290A"/>
    <w:rsid w:val="00A42921"/>
    <w:rsid w:val="00A42965"/>
    <w:rsid w:val="00A429CC"/>
    <w:rsid w:val="00A42A21"/>
    <w:rsid w:val="00A42B61"/>
    <w:rsid w:val="00A42CE1"/>
    <w:rsid w:val="00A42D06"/>
    <w:rsid w:val="00A42E09"/>
    <w:rsid w:val="00A42F12"/>
    <w:rsid w:val="00A42F3E"/>
    <w:rsid w:val="00A42FA1"/>
    <w:rsid w:val="00A42FDE"/>
    <w:rsid w:val="00A430F2"/>
    <w:rsid w:val="00A431E8"/>
    <w:rsid w:val="00A4326E"/>
    <w:rsid w:val="00A432C9"/>
    <w:rsid w:val="00A432FD"/>
    <w:rsid w:val="00A43328"/>
    <w:rsid w:val="00A43382"/>
    <w:rsid w:val="00A43454"/>
    <w:rsid w:val="00A4355F"/>
    <w:rsid w:val="00A4356F"/>
    <w:rsid w:val="00A43576"/>
    <w:rsid w:val="00A43679"/>
    <w:rsid w:val="00A4370D"/>
    <w:rsid w:val="00A4379B"/>
    <w:rsid w:val="00A438FD"/>
    <w:rsid w:val="00A43AD4"/>
    <w:rsid w:val="00A43B02"/>
    <w:rsid w:val="00A43B1A"/>
    <w:rsid w:val="00A43BAD"/>
    <w:rsid w:val="00A43BB0"/>
    <w:rsid w:val="00A43C9B"/>
    <w:rsid w:val="00A43CBB"/>
    <w:rsid w:val="00A43D29"/>
    <w:rsid w:val="00A43D91"/>
    <w:rsid w:val="00A43E37"/>
    <w:rsid w:val="00A44097"/>
    <w:rsid w:val="00A4417A"/>
    <w:rsid w:val="00A441A0"/>
    <w:rsid w:val="00A441E4"/>
    <w:rsid w:val="00A4420E"/>
    <w:rsid w:val="00A442CD"/>
    <w:rsid w:val="00A443FB"/>
    <w:rsid w:val="00A44456"/>
    <w:rsid w:val="00A444D6"/>
    <w:rsid w:val="00A445D9"/>
    <w:rsid w:val="00A447E0"/>
    <w:rsid w:val="00A44A6D"/>
    <w:rsid w:val="00A44C29"/>
    <w:rsid w:val="00A44E34"/>
    <w:rsid w:val="00A44E9C"/>
    <w:rsid w:val="00A44F3E"/>
    <w:rsid w:val="00A44FA7"/>
    <w:rsid w:val="00A451C0"/>
    <w:rsid w:val="00A451EA"/>
    <w:rsid w:val="00A451F5"/>
    <w:rsid w:val="00A453B4"/>
    <w:rsid w:val="00A453C9"/>
    <w:rsid w:val="00A453E7"/>
    <w:rsid w:val="00A454F0"/>
    <w:rsid w:val="00A4556A"/>
    <w:rsid w:val="00A45636"/>
    <w:rsid w:val="00A457E5"/>
    <w:rsid w:val="00A45ADA"/>
    <w:rsid w:val="00A45F97"/>
    <w:rsid w:val="00A460D9"/>
    <w:rsid w:val="00A4611A"/>
    <w:rsid w:val="00A462A2"/>
    <w:rsid w:val="00A4631A"/>
    <w:rsid w:val="00A46349"/>
    <w:rsid w:val="00A465AE"/>
    <w:rsid w:val="00A465FC"/>
    <w:rsid w:val="00A4685C"/>
    <w:rsid w:val="00A4687C"/>
    <w:rsid w:val="00A468A8"/>
    <w:rsid w:val="00A468B7"/>
    <w:rsid w:val="00A468FA"/>
    <w:rsid w:val="00A46930"/>
    <w:rsid w:val="00A46C42"/>
    <w:rsid w:val="00A46D3D"/>
    <w:rsid w:val="00A46F5C"/>
    <w:rsid w:val="00A46FD7"/>
    <w:rsid w:val="00A47012"/>
    <w:rsid w:val="00A47042"/>
    <w:rsid w:val="00A4705A"/>
    <w:rsid w:val="00A473CD"/>
    <w:rsid w:val="00A47511"/>
    <w:rsid w:val="00A47522"/>
    <w:rsid w:val="00A47618"/>
    <w:rsid w:val="00A47638"/>
    <w:rsid w:val="00A47727"/>
    <w:rsid w:val="00A4775C"/>
    <w:rsid w:val="00A47840"/>
    <w:rsid w:val="00A47880"/>
    <w:rsid w:val="00A47931"/>
    <w:rsid w:val="00A47BAF"/>
    <w:rsid w:val="00A47D3B"/>
    <w:rsid w:val="00A47E5F"/>
    <w:rsid w:val="00A47FD8"/>
    <w:rsid w:val="00A500E9"/>
    <w:rsid w:val="00A5020F"/>
    <w:rsid w:val="00A502BA"/>
    <w:rsid w:val="00A50312"/>
    <w:rsid w:val="00A5041E"/>
    <w:rsid w:val="00A50533"/>
    <w:rsid w:val="00A505D7"/>
    <w:rsid w:val="00A505DE"/>
    <w:rsid w:val="00A505E0"/>
    <w:rsid w:val="00A5060A"/>
    <w:rsid w:val="00A50800"/>
    <w:rsid w:val="00A5087C"/>
    <w:rsid w:val="00A50977"/>
    <w:rsid w:val="00A50B26"/>
    <w:rsid w:val="00A50BA1"/>
    <w:rsid w:val="00A50BA5"/>
    <w:rsid w:val="00A50BE1"/>
    <w:rsid w:val="00A50BF1"/>
    <w:rsid w:val="00A50C57"/>
    <w:rsid w:val="00A50CA7"/>
    <w:rsid w:val="00A50D1B"/>
    <w:rsid w:val="00A50D21"/>
    <w:rsid w:val="00A50D5A"/>
    <w:rsid w:val="00A50E78"/>
    <w:rsid w:val="00A50F36"/>
    <w:rsid w:val="00A51087"/>
    <w:rsid w:val="00A51109"/>
    <w:rsid w:val="00A5116A"/>
    <w:rsid w:val="00A51374"/>
    <w:rsid w:val="00A514CE"/>
    <w:rsid w:val="00A5153F"/>
    <w:rsid w:val="00A515B9"/>
    <w:rsid w:val="00A515CA"/>
    <w:rsid w:val="00A518D4"/>
    <w:rsid w:val="00A51AC6"/>
    <w:rsid w:val="00A51B82"/>
    <w:rsid w:val="00A51D54"/>
    <w:rsid w:val="00A51DC7"/>
    <w:rsid w:val="00A52243"/>
    <w:rsid w:val="00A5232A"/>
    <w:rsid w:val="00A523A1"/>
    <w:rsid w:val="00A52417"/>
    <w:rsid w:val="00A524EF"/>
    <w:rsid w:val="00A525BD"/>
    <w:rsid w:val="00A5296C"/>
    <w:rsid w:val="00A52A2A"/>
    <w:rsid w:val="00A52AFA"/>
    <w:rsid w:val="00A52B87"/>
    <w:rsid w:val="00A52C9B"/>
    <w:rsid w:val="00A52DD7"/>
    <w:rsid w:val="00A52E62"/>
    <w:rsid w:val="00A530C6"/>
    <w:rsid w:val="00A532A3"/>
    <w:rsid w:val="00A53427"/>
    <w:rsid w:val="00A5352A"/>
    <w:rsid w:val="00A5359B"/>
    <w:rsid w:val="00A535E4"/>
    <w:rsid w:val="00A5375A"/>
    <w:rsid w:val="00A5386F"/>
    <w:rsid w:val="00A538AD"/>
    <w:rsid w:val="00A538C4"/>
    <w:rsid w:val="00A53A3D"/>
    <w:rsid w:val="00A53B1E"/>
    <w:rsid w:val="00A53C41"/>
    <w:rsid w:val="00A53F43"/>
    <w:rsid w:val="00A53FC1"/>
    <w:rsid w:val="00A54077"/>
    <w:rsid w:val="00A5417C"/>
    <w:rsid w:val="00A54241"/>
    <w:rsid w:val="00A54250"/>
    <w:rsid w:val="00A5428F"/>
    <w:rsid w:val="00A544B2"/>
    <w:rsid w:val="00A54507"/>
    <w:rsid w:val="00A5450F"/>
    <w:rsid w:val="00A5455D"/>
    <w:rsid w:val="00A54695"/>
    <w:rsid w:val="00A547DA"/>
    <w:rsid w:val="00A548B8"/>
    <w:rsid w:val="00A5490F"/>
    <w:rsid w:val="00A54932"/>
    <w:rsid w:val="00A54C14"/>
    <w:rsid w:val="00A54EAC"/>
    <w:rsid w:val="00A54F3A"/>
    <w:rsid w:val="00A552E5"/>
    <w:rsid w:val="00A553E8"/>
    <w:rsid w:val="00A554BF"/>
    <w:rsid w:val="00A554F9"/>
    <w:rsid w:val="00A55515"/>
    <w:rsid w:val="00A555F5"/>
    <w:rsid w:val="00A5563E"/>
    <w:rsid w:val="00A55694"/>
    <w:rsid w:val="00A558D4"/>
    <w:rsid w:val="00A55953"/>
    <w:rsid w:val="00A55B0A"/>
    <w:rsid w:val="00A55CBE"/>
    <w:rsid w:val="00A55E2C"/>
    <w:rsid w:val="00A55F6D"/>
    <w:rsid w:val="00A5605F"/>
    <w:rsid w:val="00A56173"/>
    <w:rsid w:val="00A56229"/>
    <w:rsid w:val="00A56289"/>
    <w:rsid w:val="00A56365"/>
    <w:rsid w:val="00A56398"/>
    <w:rsid w:val="00A563DC"/>
    <w:rsid w:val="00A5655C"/>
    <w:rsid w:val="00A5664E"/>
    <w:rsid w:val="00A56918"/>
    <w:rsid w:val="00A56B79"/>
    <w:rsid w:val="00A56B7A"/>
    <w:rsid w:val="00A56F53"/>
    <w:rsid w:val="00A56F62"/>
    <w:rsid w:val="00A56FA6"/>
    <w:rsid w:val="00A57091"/>
    <w:rsid w:val="00A571DB"/>
    <w:rsid w:val="00A5736A"/>
    <w:rsid w:val="00A57420"/>
    <w:rsid w:val="00A574BA"/>
    <w:rsid w:val="00A576C0"/>
    <w:rsid w:val="00A57717"/>
    <w:rsid w:val="00A57735"/>
    <w:rsid w:val="00A57830"/>
    <w:rsid w:val="00A5783B"/>
    <w:rsid w:val="00A578AD"/>
    <w:rsid w:val="00A57913"/>
    <w:rsid w:val="00A57986"/>
    <w:rsid w:val="00A579F2"/>
    <w:rsid w:val="00A57BDF"/>
    <w:rsid w:val="00A57C31"/>
    <w:rsid w:val="00A57C86"/>
    <w:rsid w:val="00A57CA7"/>
    <w:rsid w:val="00A57CDC"/>
    <w:rsid w:val="00A57D5B"/>
    <w:rsid w:val="00A57E13"/>
    <w:rsid w:val="00A60035"/>
    <w:rsid w:val="00A60120"/>
    <w:rsid w:val="00A60201"/>
    <w:rsid w:val="00A6023B"/>
    <w:rsid w:val="00A60462"/>
    <w:rsid w:val="00A6048D"/>
    <w:rsid w:val="00A605BB"/>
    <w:rsid w:val="00A6073F"/>
    <w:rsid w:val="00A607E3"/>
    <w:rsid w:val="00A60971"/>
    <w:rsid w:val="00A60ABA"/>
    <w:rsid w:val="00A60B28"/>
    <w:rsid w:val="00A60B82"/>
    <w:rsid w:val="00A60D15"/>
    <w:rsid w:val="00A60D20"/>
    <w:rsid w:val="00A60E8C"/>
    <w:rsid w:val="00A60E96"/>
    <w:rsid w:val="00A60EDB"/>
    <w:rsid w:val="00A60F33"/>
    <w:rsid w:val="00A60F45"/>
    <w:rsid w:val="00A6100D"/>
    <w:rsid w:val="00A61035"/>
    <w:rsid w:val="00A61038"/>
    <w:rsid w:val="00A61151"/>
    <w:rsid w:val="00A611E7"/>
    <w:rsid w:val="00A611ED"/>
    <w:rsid w:val="00A6128C"/>
    <w:rsid w:val="00A612A7"/>
    <w:rsid w:val="00A615A4"/>
    <w:rsid w:val="00A6182C"/>
    <w:rsid w:val="00A61B4A"/>
    <w:rsid w:val="00A61C32"/>
    <w:rsid w:val="00A61C45"/>
    <w:rsid w:val="00A61CB5"/>
    <w:rsid w:val="00A61CBA"/>
    <w:rsid w:val="00A61D76"/>
    <w:rsid w:val="00A61DB7"/>
    <w:rsid w:val="00A61E0F"/>
    <w:rsid w:val="00A61F07"/>
    <w:rsid w:val="00A61FAE"/>
    <w:rsid w:val="00A62139"/>
    <w:rsid w:val="00A62274"/>
    <w:rsid w:val="00A62486"/>
    <w:rsid w:val="00A624E9"/>
    <w:rsid w:val="00A62527"/>
    <w:rsid w:val="00A62560"/>
    <w:rsid w:val="00A626A9"/>
    <w:rsid w:val="00A626AF"/>
    <w:rsid w:val="00A627CE"/>
    <w:rsid w:val="00A62854"/>
    <w:rsid w:val="00A628EB"/>
    <w:rsid w:val="00A62C2C"/>
    <w:rsid w:val="00A62CF3"/>
    <w:rsid w:val="00A62E8B"/>
    <w:rsid w:val="00A63039"/>
    <w:rsid w:val="00A63097"/>
    <w:rsid w:val="00A63181"/>
    <w:rsid w:val="00A63283"/>
    <w:rsid w:val="00A63322"/>
    <w:rsid w:val="00A63599"/>
    <w:rsid w:val="00A635B4"/>
    <w:rsid w:val="00A636F1"/>
    <w:rsid w:val="00A6380E"/>
    <w:rsid w:val="00A63AD0"/>
    <w:rsid w:val="00A63BE4"/>
    <w:rsid w:val="00A63C73"/>
    <w:rsid w:val="00A63C77"/>
    <w:rsid w:val="00A63DAC"/>
    <w:rsid w:val="00A63EA1"/>
    <w:rsid w:val="00A63F70"/>
    <w:rsid w:val="00A6408B"/>
    <w:rsid w:val="00A6411B"/>
    <w:rsid w:val="00A6424A"/>
    <w:rsid w:val="00A6437E"/>
    <w:rsid w:val="00A64380"/>
    <w:rsid w:val="00A6440D"/>
    <w:rsid w:val="00A64425"/>
    <w:rsid w:val="00A645AE"/>
    <w:rsid w:val="00A6467D"/>
    <w:rsid w:val="00A6473A"/>
    <w:rsid w:val="00A6483E"/>
    <w:rsid w:val="00A64998"/>
    <w:rsid w:val="00A64A71"/>
    <w:rsid w:val="00A64FBA"/>
    <w:rsid w:val="00A64FD7"/>
    <w:rsid w:val="00A650EA"/>
    <w:rsid w:val="00A65305"/>
    <w:rsid w:val="00A65603"/>
    <w:rsid w:val="00A6565E"/>
    <w:rsid w:val="00A65686"/>
    <w:rsid w:val="00A65763"/>
    <w:rsid w:val="00A65853"/>
    <w:rsid w:val="00A65A4A"/>
    <w:rsid w:val="00A65A5C"/>
    <w:rsid w:val="00A65B2C"/>
    <w:rsid w:val="00A65BD0"/>
    <w:rsid w:val="00A65BF3"/>
    <w:rsid w:val="00A65D64"/>
    <w:rsid w:val="00A65DA1"/>
    <w:rsid w:val="00A65DD3"/>
    <w:rsid w:val="00A65EA9"/>
    <w:rsid w:val="00A65F58"/>
    <w:rsid w:val="00A6602F"/>
    <w:rsid w:val="00A6606E"/>
    <w:rsid w:val="00A661F9"/>
    <w:rsid w:val="00A66220"/>
    <w:rsid w:val="00A66383"/>
    <w:rsid w:val="00A66426"/>
    <w:rsid w:val="00A664B9"/>
    <w:rsid w:val="00A66510"/>
    <w:rsid w:val="00A6652E"/>
    <w:rsid w:val="00A66606"/>
    <w:rsid w:val="00A6661A"/>
    <w:rsid w:val="00A66648"/>
    <w:rsid w:val="00A666F3"/>
    <w:rsid w:val="00A66762"/>
    <w:rsid w:val="00A66805"/>
    <w:rsid w:val="00A66968"/>
    <w:rsid w:val="00A66A53"/>
    <w:rsid w:val="00A66A81"/>
    <w:rsid w:val="00A66B64"/>
    <w:rsid w:val="00A66D2F"/>
    <w:rsid w:val="00A6716B"/>
    <w:rsid w:val="00A6718D"/>
    <w:rsid w:val="00A671DA"/>
    <w:rsid w:val="00A67296"/>
    <w:rsid w:val="00A67297"/>
    <w:rsid w:val="00A673E8"/>
    <w:rsid w:val="00A6744D"/>
    <w:rsid w:val="00A67515"/>
    <w:rsid w:val="00A67538"/>
    <w:rsid w:val="00A67676"/>
    <w:rsid w:val="00A6769B"/>
    <w:rsid w:val="00A678E8"/>
    <w:rsid w:val="00A67934"/>
    <w:rsid w:val="00A67987"/>
    <w:rsid w:val="00A679C2"/>
    <w:rsid w:val="00A67A13"/>
    <w:rsid w:val="00A67A61"/>
    <w:rsid w:val="00A67AB2"/>
    <w:rsid w:val="00A67B98"/>
    <w:rsid w:val="00A67C63"/>
    <w:rsid w:val="00A67C9A"/>
    <w:rsid w:val="00A67E1B"/>
    <w:rsid w:val="00A67EC9"/>
    <w:rsid w:val="00A70014"/>
    <w:rsid w:val="00A701BA"/>
    <w:rsid w:val="00A70382"/>
    <w:rsid w:val="00A7067A"/>
    <w:rsid w:val="00A706BC"/>
    <w:rsid w:val="00A70795"/>
    <w:rsid w:val="00A7089B"/>
    <w:rsid w:val="00A70A01"/>
    <w:rsid w:val="00A70BB8"/>
    <w:rsid w:val="00A70C5D"/>
    <w:rsid w:val="00A70CCA"/>
    <w:rsid w:val="00A70E9A"/>
    <w:rsid w:val="00A70F01"/>
    <w:rsid w:val="00A70FF7"/>
    <w:rsid w:val="00A71056"/>
    <w:rsid w:val="00A713D8"/>
    <w:rsid w:val="00A71536"/>
    <w:rsid w:val="00A7158D"/>
    <w:rsid w:val="00A71687"/>
    <w:rsid w:val="00A716A5"/>
    <w:rsid w:val="00A716CB"/>
    <w:rsid w:val="00A71927"/>
    <w:rsid w:val="00A7194C"/>
    <w:rsid w:val="00A719AD"/>
    <w:rsid w:val="00A71A2A"/>
    <w:rsid w:val="00A71B45"/>
    <w:rsid w:val="00A71C67"/>
    <w:rsid w:val="00A71CD7"/>
    <w:rsid w:val="00A71D51"/>
    <w:rsid w:val="00A71D74"/>
    <w:rsid w:val="00A71E37"/>
    <w:rsid w:val="00A71E76"/>
    <w:rsid w:val="00A71E7F"/>
    <w:rsid w:val="00A71FA0"/>
    <w:rsid w:val="00A72096"/>
    <w:rsid w:val="00A72129"/>
    <w:rsid w:val="00A7215C"/>
    <w:rsid w:val="00A7229B"/>
    <w:rsid w:val="00A72334"/>
    <w:rsid w:val="00A723AF"/>
    <w:rsid w:val="00A72462"/>
    <w:rsid w:val="00A725C2"/>
    <w:rsid w:val="00A7267E"/>
    <w:rsid w:val="00A7277B"/>
    <w:rsid w:val="00A7279D"/>
    <w:rsid w:val="00A729CF"/>
    <w:rsid w:val="00A72A8B"/>
    <w:rsid w:val="00A72B7E"/>
    <w:rsid w:val="00A72BFE"/>
    <w:rsid w:val="00A72C77"/>
    <w:rsid w:val="00A72CBD"/>
    <w:rsid w:val="00A72CE5"/>
    <w:rsid w:val="00A72D65"/>
    <w:rsid w:val="00A72F0E"/>
    <w:rsid w:val="00A72F5F"/>
    <w:rsid w:val="00A72F8C"/>
    <w:rsid w:val="00A72FF3"/>
    <w:rsid w:val="00A73163"/>
    <w:rsid w:val="00A7323E"/>
    <w:rsid w:val="00A7337D"/>
    <w:rsid w:val="00A7338C"/>
    <w:rsid w:val="00A733B1"/>
    <w:rsid w:val="00A73492"/>
    <w:rsid w:val="00A73527"/>
    <w:rsid w:val="00A7356C"/>
    <w:rsid w:val="00A7366B"/>
    <w:rsid w:val="00A7369C"/>
    <w:rsid w:val="00A73746"/>
    <w:rsid w:val="00A737DD"/>
    <w:rsid w:val="00A73A1A"/>
    <w:rsid w:val="00A73B90"/>
    <w:rsid w:val="00A73C6C"/>
    <w:rsid w:val="00A73C86"/>
    <w:rsid w:val="00A73CA6"/>
    <w:rsid w:val="00A73CFE"/>
    <w:rsid w:val="00A73D03"/>
    <w:rsid w:val="00A73D97"/>
    <w:rsid w:val="00A73DC4"/>
    <w:rsid w:val="00A74153"/>
    <w:rsid w:val="00A74242"/>
    <w:rsid w:val="00A74431"/>
    <w:rsid w:val="00A74451"/>
    <w:rsid w:val="00A7463A"/>
    <w:rsid w:val="00A746B5"/>
    <w:rsid w:val="00A74850"/>
    <w:rsid w:val="00A749FB"/>
    <w:rsid w:val="00A74A0A"/>
    <w:rsid w:val="00A74BBF"/>
    <w:rsid w:val="00A74BC8"/>
    <w:rsid w:val="00A74CCE"/>
    <w:rsid w:val="00A74EBE"/>
    <w:rsid w:val="00A75083"/>
    <w:rsid w:val="00A75114"/>
    <w:rsid w:val="00A7528F"/>
    <w:rsid w:val="00A752A8"/>
    <w:rsid w:val="00A75349"/>
    <w:rsid w:val="00A7539A"/>
    <w:rsid w:val="00A7548A"/>
    <w:rsid w:val="00A757F2"/>
    <w:rsid w:val="00A758C2"/>
    <w:rsid w:val="00A758F8"/>
    <w:rsid w:val="00A75A0D"/>
    <w:rsid w:val="00A75B50"/>
    <w:rsid w:val="00A75CBA"/>
    <w:rsid w:val="00A75D49"/>
    <w:rsid w:val="00A75DC5"/>
    <w:rsid w:val="00A75EC5"/>
    <w:rsid w:val="00A7625A"/>
    <w:rsid w:val="00A762DD"/>
    <w:rsid w:val="00A76334"/>
    <w:rsid w:val="00A76350"/>
    <w:rsid w:val="00A7642F"/>
    <w:rsid w:val="00A764AD"/>
    <w:rsid w:val="00A76611"/>
    <w:rsid w:val="00A7675C"/>
    <w:rsid w:val="00A768D4"/>
    <w:rsid w:val="00A76AA7"/>
    <w:rsid w:val="00A76B02"/>
    <w:rsid w:val="00A76B6A"/>
    <w:rsid w:val="00A76D43"/>
    <w:rsid w:val="00A76DDA"/>
    <w:rsid w:val="00A76E39"/>
    <w:rsid w:val="00A7722F"/>
    <w:rsid w:val="00A7731D"/>
    <w:rsid w:val="00A773B9"/>
    <w:rsid w:val="00A7751E"/>
    <w:rsid w:val="00A7755B"/>
    <w:rsid w:val="00A77839"/>
    <w:rsid w:val="00A7789B"/>
    <w:rsid w:val="00A778EB"/>
    <w:rsid w:val="00A77916"/>
    <w:rsid w:val="00A77A9D"/>
    <w:rsid w:val="00A77ADA"/>
    <w:rsid w:val="00A77AEF"/>
    <w:rsid w:val="00A77AFC"/>
    <w:rsid w:val="00A77BA5"/>
    <w:rsid w:val="00A77BCF"/>
    <w:rsid w:val="00A77BFF"/>
    <w:rsid w:val="00A77C6A"/>
    <w:rsid w:val="00A77CA8"/>
    <w:rsid w:val="00A8004F"/>
    <w:rsid w:val="00A8007D"/>
    <w:rsid w:val="00A800FD"/>
    <w:rsid w:val="00A80112"/>
    <w:rsid w:val="00A80177"/>
    <w:rsid w:val="00A80288"/>
    <w:rsid w:val="00A8031C"/>
    <w:rsid w:val="00A806F3"/>
    <w:rsid w:val="00A8073D"/>
    <w:rsid w:val="00A80A0D"/>
    <w:rsid w:val="00A80B48"/>
    <w:rsid w:val="00A80B56"/>
    <w:rsid w:val="00A80BDB"/>
    <w:rsid w:val="00A80CCA"/>
    <w:rsid w:val="00A80F3D"/>
    <w:rsid w:val="00A80F6E"/>
    <w:rsid w:val="00A810BF"/>
    <w:rsid w:val="00A81118"/>
    <w:rsid w:val="00A8132B"/>
    <w:rsid w:val="00A813C7"/>
    <w:rsid w:val="00A81465"/>
    <w:rsid w:val="00A81538"/>
    <w:rsid w:val="00A81560"/>
    <w:rsid w:val="00A81627"/>
    <w:rsid w:val="00A816A1"/>
    <w:rsid w:val="00A816A2"/>
    <w:rsid w:val="00A8172C"/>
    <w:rsid w:val="00A817AC"/>
    <w:rsid w:val="00A81986"/>
    <w:rsid w:val="00A819BF"/>
    <w:rsid w:val="00A81A4F"/>
    <w:rsid w:val="00A81A88"/>
    <w:rsid w:val="00A81AB4"/>
    <w:rsid w:val="00A81B69"/>
    <w:rsid w:val="00A81BEB"/>
    <w:rsid w:val="00A81C64"/>
    <w:rsid w:val="00A81CD7"/>
    <w:rsid w:val="00A81CEE"/>
    <w:rsid w:val="00A81E20"/>
    <w:rsid w:val="00A81F66"/>
    <w:rsid w:val="00A8200B"/>
    <w:rsid w:val="00A8224C"/>
    <w:rsid w:val="00A82486"/>
    <w:rsid w:val="00A82523"/>
    <w:rsid w:val="00A8256E"/>
    <w:rsid w:val="00A82735"/>
    <w:rsid w:val="00A8281F"/>
    <w:rsid w:val="00A829E3"/>
    <w:rsid w:val="00A82A65"/>
    <w:rsid w:val="00A82A9D"/>
    <w:rsid w:val="00A82B82"/>
    <w:rsid w:val="00A82CA5"/>
    <w:rsid w:val="00A82CB1"/>
    <w:rsid w:val="00A82D53"/>
    <w:rsid w:val="00A82E9D"/>
    <w:rsid w:val="00A8302C"/>
    <w:rsid w:val="00A830E4"/>
    <w:rsid w:val="00A831E1"/>
    <w:rsid w:val="00A83223"/>
    <w:rsid w:val="00A8346C"/>
    <w:rsid w:val="00A83530"/>
    <w:rsid w:val="00A838B0"/>
    <w:rsid w:val="00A8390A"/>
    <w:rsid w:val="00A83C44"/>
    <w:rsid w:val="00A83C50"/>
    <w:rsid w:val="00A83D15"/>
    <w:rsid w:val="00A83D5D"/>
    <w:rsid w:val="00A83DA3"/>
    <w:rsid w:val="00A83E3A"/>
    <w:rsid w:val="00A83E46"/>
    <w:rsid w:val="00A83FAA"/>
    <w:rsid w:val="00A83FC0"/>
    <w:rsid w:val="00A841BE"/>
    <w:rsid w:val="00A842DC"/>
    <w:rsid w:val="00A8440C"/>
    <w:rsid w:val="00A84723"/>
    <w:rsid w:val="00A8473D"/>
    <w:rsid w:val="00A84782"/>
    <w:rsid w:val="00A847AB"/>
    <w:rsid w:val="00A84895"/>
    <w:rsid w:val="00A84A94"/>
    <w:rsid w:val="00A84B06"/>
    <w:rsid w:val="00A84B47"/>
    <w:rsid w:val="00A84B6C"/>
    <w:rsid w:val="00A84B6D"/>
    <w:rsid w:val="00A84BB4"/>
    <w:rsid w:val="00A84C03"/>
    <w:rsid w:val="00A84E04"/>
    <w:rsid w:val="00A84E60"/>
    <w:rsid w:val="00A84E83"/>
    <w:rsid w:val="00A84F9F"/>
    <w:rsid w:val="00A84FEF"/>
    <w:rsid w:val="00A85077"/>
    <w:rsid w:val="00A85372"/>
    <w:rsid w:val="00A85413"/>
    <w:rsid w:val="00A8545D"/>
    <w:rsid w:val="00A8554B"/>
    <w:rsid w:val="00A856BD"/>
    <w:rsid w:val="00A8572E"/>
    <w:rsid w:val="00A85845"/>
    <w:rsid w:val="00A85915"/>
    <w:rsid w:val="00A85967"/>
    <w:rsid w:val="00A85AB8"/>
    <w:rsid w:val="00A85BC8"/>
    <w:rsid w:val="00A85BDB"/>
    <w:rsid w:val="00A85BDC"/>
    <w:rsid w:val="00A85C8C"/>
    <w:rsid w:val="00A85CDB"/>
    <w:rsid w:val="00A85D50"/>
    <w:rsid w:val="00A85DCD"/>
    <w:rsid w:val="00A85E53"/>
    <w:rsid w:val="00A85EDC"/>
    <w:rsid w:val="00A8605C"/>
    <w:rsid w:val="00A861B6"/>
    <w:rsid w:val="00A862B3"/>
    <w:rsid w:val="00A862C9"/>
    <w:rsid w:val="00A86359"/>
    <w:rsid w:val="00A86393"/>
    <w:rsid w:val="00A86452"/>
    <w:rsid w:val="00A864EA"/>
    <w:rsid w:val="00A86545"/>
    <w:rsid w:val="00A8682B"/>
    <w:rsid w:val="00A86A02"/>
    <w:rsid w:val="00A86A84"/>
    <w:rsid w:val="00A86B78"/>
    <w:rsid w:val="00A86C26"/>
    <w:rsid w:val="00A86E76"/>
    <w:rsid w:val="00A86E9E"/>
    <w:rsid w:val="00A8702D"/>
    <w:rsid w:val="00A87063"/>
    <w:rsid w:val="00A87273"/>
    <w:rsid w:val="00A8729A"/>
    <w:rsid w:val="00A87676"/>
    <w:rsid w:val="00A8769D"/>
    <w:rsid w:val="00A8779B"/>
    <w:rsid w:val="00A878F0"/>
    <w:rsid w:val="00A87AB3"/>
    <w:rsid w:val="00A87BAE"/>
    <w:rsid w:val="00A87C1E"/>
    <w:rsid w:val="00A87C6D"/>
    <w:rsid w:val="00A87E65"/>
    <w:rsid w:val="00A87EA3"/>
    <w:rsid w:val="00A87EA5"/>
    <w:rsid w:val="00A87EFE"/>
    <w:rsid w:val="00A87F08"/>
    <w:rsid w:val="00A87F1C"/>
    <w:rsid w:val="00A87F6A"/>
    <w:rsid w:val="00A87FD7"/>
    <w:rsid w:val="00A9013B"/>
    <w:rsid w:val="00A90197"/>
    <w:rsid w:val="00A9024B"/>
    <w:rsid w:val="00A9029A"/>
    <w:rsid w:val="00A902BD"/>
    <w:rsid w:val="00A9031C"/>
    <w:rsid w:val="00A903B5"/>
    <w:rsid w:val="00A9046D"/>
    <w:rsid w:val="00A9065E"/>
    <w:rsid w:val="00A909EC"/>
    <w:rsid w:val="00A90A4B"/>
    <w:rsid w:val="00A90B2A"/>
    <w:rsid w:val="00A90B82"/>
    <w:rsid w:val="00A90C6D"/>
    <w:rsid w:val="00A90C9C"/>
    <w:rsid w:val="00A90CF5"/>
    <w:rsid w:val="00A90DA9"/>
    <w:rsid w:val="00A90EE4"/>
    <w:rsid w:val="00A90F81"/>
    <w:rsid w:val="00A90F8A"/>
    <w:rsid w:val="00A90FC1"/>
    <w:rsid w:val="00A90FC4"/>
    <w:rsid w:val="00A90FF7"/>
    <w:rsid w:val="00A9110F"/>
    <w:rsid w:val="00A911C0"/>
    <w:rsid w:val="00A911D2"/>
    <w:rsid w:val="00A911E6"/>
    <w:rsid w:val="00A912A8"/>
    <w:rsid w:val="00A912CA"/>
    <w:rsid w:val="00A914D4"/>
    <w:rsid w:val="00A91855"/>
    <w:rsid w:val="00A91AC9"/>
    <w:rsid w:val="00A91B4E"/>
    <w:rsid w:val="00A91BD4"/>
    <w:rsid w:val="00A91C71"/>
    <w:rsid w:val="00A91D17"/>
    <w:rsid w:val="00A91E72"/>
    <w:rsid w:val="00A91EA2"/>
    <w:rsid w:val="00A91EA6"/>
    <w:rsid w:val="00A91F15"/>
    <w:rsid w:val="00A91F41"/>
    <w:rsid w:val="00A920AA"/>
    <w:rsid w:val="00A920FE"/>
    <w:rsid w:val="00A92123"/>
    <w:rsid w:val="00A92197"/>
    <w:rsid w:val="00A921C8"/>
    <w:rsid w:val="00A92257"/>
    <w:rsid w:val="00A9238A"/>
    <w:rsid w:val="00A92484"/>
    <w:rsid w:val="00A9251F"/>
    <w:rsid w:val="00A925FF"/>
    <w:rsid w:val="00A9261E"/>
    <w:rsid w:val="00A926F6"/>
    <w:rsid w:val="00A927AD"/>
    <w:rsid w:val="00A92C76"/>
    <w:rsid w:val="00A92C9C"/>
    <w:rsid w:val="00A92CFE"/>
    <w:rsid w:val="00A92D6F"/>
    <w:rsid w:val="00A92D88"/>
    <w:rsid w:val="00A92DB4"/>
    <w:rsid w:val="00A92E41"/>
    <w:rsid w:val="00A92F2E"/>
    <w:rsid w:val="00A92F61"/>
    <w:rsid w:val="00A92FE0"/>
    <w:rsid w:val="00A9313E"/>
    <w:rsid w:val="00A9331E"/>
    <w:rsid w:val="00A9332F"/>
    <w:rsid w:val="00A93341"/>
    <w:rsid w:val="00A93456"/>
    <w:rsid w:val="00A93567"/>
    <w:rsid w:val="00A93618"/>
    <w:rsid w:val="00A937A6"/>
    <w:rsid w:val="00A937D0"/>
    <w:rsid w:val="00A938E0"/>
    <w:rsid w:val="00A93997"/>
    <w:rsid w:val="00A93A47"/>
    <w:rsid w:val="00A93A91"/>
    <w:rsid w:val="00A93B4A"/>
    <w:rsid w:val="00A93B95"/>
    <w:rsid w:val="00A93C18"/>
    <w:rsid w:val="00A93CDD"/>
    <w:rsid w:val="00A93CE0"/>
    <w:rsid w:val="00A93D51"/>
    <w:rsid w:val="00A93E30"/>
    <w:rsid w:val="00A94130"/>
    <w:rsid w:val="00A94319"/>
    <w:rsid w:val="00A94370"/>
    <w:rsid w:val="00A943DB"/>
    <w:rsid w:val="00A9444D"/>
    <w:rsid w:val="00A9446B"/>
    <w:rsid w:val="00A944B9"/>
    <w:rsid w:val="00A94507"/>
    <w:rsid w:val="00A945B3"/>
    <w:rsid w:val="00A94785"/>
    <w:rsid w:val="00A9487F"/>
    <w:rsid w:val="00A949A6"/>
    <w:rsid w:val="00A94AC7"/>
    <w:rsid w:val="00A94CBD"/>
    <w:rsid w:val="00A94D66"/>
    <w:rsid w:val="00A94E04"/>
    <w:rsid w:val="00A94F0B"/>
    <w:rsid w:val="00A94F1B"/>
    <w:rsid w:val="00A94F74"/>
    <w:rsid w:val="00A94F93"/>
    <w:rsid w:val="00A94FB8"/>
    <w:rsid w:val="00A94FC6"/>
    <w:rsid w:val="00A9513F"/>
    <w:rsid w:val="00A951AD"/>
    <w:rsid w:val="00A9540F"/>
    <w:rsid w:val="00A954DF"/>
    <w:rsid w:val="00A956ED"/>
    <w:rsid w:val="00A958E6"/>
    <w:rsid w:val="00A95AEC"/>
    <w:rsid w:val="00A95B28"/>
    <w:rsid w:val="00A95B60"/>
    <w:rsid w:val="00A95BDA"/>
    <w:rsid w:val="00A95CF4"/>
    <w:rsid w:val="00A95E2F"/>
    <w:rsid w:val="00A960B3"/>
    <w:rsid w:val="00A96194"/>
    <w:rsid w:val="00A96218"/>
    <w:rsid w:val="00A9631A"/>
    <w:rsid w:val="00A9636F"/>
    <w:rsid w:val="00A964BE"/>
    <w:rsid w:val="00A9670F"/>
    <w:rsid w:val="00A96807"/>
    <w:rsid w:val="00A969EC"/>
    <w:rsid w:val="00A96A6B"/>
    <w:rsid w:val="00A96BBA"/>
    <w:rsid w:val="00A96C2A"/>
    <w:rsid w:val="00A96D34"/>
    <w:rsid w:val="00A96D42"/>
    <w:rsid w:val="00A96DCF"/>
    <w:rsid w:val="00A9700C"/>
    <w:rsid w:val="00A970D5"/>
    <w:rsid w:val="00A97270"/>
    <w:rsid w:val="00A9733D"/>
    <w:rsid w:val="00A97351"/>
    <w:rsid w:val="00A9736A"/>
    <w:rsid w:val="00A9750C"/>
    <w:rsid w:val="00A97962"/>
    <w:rsid w:val="00A97A37"/>
    <w:rsid w:val="00A97DE0"/>
    <w:rsid w:val="00AA0057"/>
    <w:rsid w:val="00AA008F"/>
    <w:rsid w:val="00AA0186"/>
    <w:rsid w:val="00AA028F"/>
    <w:rsid w:val="00AA0641"/>
    <w:rsid w:val="00AA06C4"/>
    <w:rsid w:val="00AA07CC"/>
    <w:rsid w:val="00AA0837"/>
    <w:rsid w:val="00AA08E2"/>
    <w:rsid w:val="00AA0B9D"/>
    <w:rsid w:val="00AA0BE3"/>
    <w:rsid w:val="00AA0CCB"/>
    <w:rsid w:val="00AA0CD0"/>
    <w:rsid w:val="00AA0CE5"/>
    <w:rsid w:val="00AA0CF2"/>
    <w:rsid w:val="00AA0D3C"/>
    <w:rsid w:val="00AA0D49"/>
    <w:rsid w:val="00AA0D4D"/>
    <w:rsid w:val="00AA0E47"/>
    <w:rsid w:val="00AA0E9C"/>
    <w:rsid w:val="00AA0F9B"/>
    <w:rsid w:val="00AA107F"/>
    <w:rsid w:val="00AA11CD"/>
    <w:rsid w:val="00AA1462"/>
    <w:rsid w:val="00AA14B8"/>
    <w:rsid w:val="00AA1562"/>
    <w:rsid w:val="00AA159D"/>
    <w:rsid w:val="00AA15D5"/>
    <w:rsid w:val="00AA1649"/>
    <w:rsid w:val="00AA16CF"/>
    <w:rsid w:val="00AA1725"/>
    <w:rsid w:val="00AA1844"/>
    <w:rsid w:val="00AA1A2D"/>
    <w:rsid w:val="00AA1A44"/>
    <w:rsid w:val="00AA1A83"/>
    <w:rsid w:val="00AA1B04"/>
    <w:rsid w:val="00AA1BD6"/>
    <w:rsid w:val="00AA1C46"/>
    <w:rsid w:val="00AA1D90"/>
    <w:rsid w:val="00AA1F85"/>
    <w:rsid w:val="00AA1FD7"/>
    <w:rsid w:val="00AA2292"/>
    <w:rsid w:val="00AA2316"/>
    <w:rsid w:val="00AA239C"/>
    <w:rsid w:val="00AA2450"/>
    <w:rsid w:val="00AA247E"/>
    <w:rsid w:val="00AA2484"/>
    <w:rsid w:val="00AA255B"/>
    <w:rsid w:val="00AA2597"/>
    <w:rsid w:val="00AA27C4"/>
    <w:rsid w:val="00AA27F5"/>
    <w:rsid w:val="00AA281E"/>
    <w:rsid w:val="00AA2872"/>
    <w:rsid w:val="00AA2950"/>
    <w:rsid w:val="00AA298E"/>
    <w:rsid w:val="00AA2A49"/>
    <w:rsid w:val="00AA2B60"/>
    <w:rsid w:val="00AA2CA7"/>
    <w:rsid w:val="00AA2E28"/>
    <w:rsid w:val="00AA2F59"/>
    <w:rsid w:val="00AA3164"/>
    <w:rsid w:val="00AA316B"/>
    <w:rsid w:val="00AA3170"/>
    <w:rsid w:val="00AA31AB"/>
    <w:rsid w:val="00AA3234"/>
    <w:rsid w:val="00AA326B"/>
    <w:rsid w:val="00AA343A"/>
    <w:rsid w:val="00AA36C7"/>
    <w:rsid w:val="00AA36EF"/>
    <w:rsid w:val="00AA378F"/>
    <w:rsid w:val="00AA3858"/>
    <w:rsid w:val="00AA396B"/>
    <w:rsid w:val="00AA39B0"/>
    <w:rsid w:val="00AA3A10"/>
    <w:rsid w:val="00AA3AAA"/>
    <w:rsid w:val="00AA3BE0"/>
    <w:rsid w:val="00AA3BF6"/>
    <w:rsid w:val="00AA3C44"/>
    <w:rsid w:val="00AA3D76"/>
    <w:rsid w:val="00AA3E1C"/>
    <w:rsid w:val="00AA3E41"/>
    <w:rsid w:val="00AA3F37"/>
    <w:rsid w:val="00AA402F"/>
    <w:rsid w:val="00AA43A3"/>
    <w:rsid w:val="00AA452B"/>
    <w:rsid w:val="00AA4694"/>
    <w:rsid w:val="00AA486C"/>
    <w:rsid w:val="00AA48CD"/>
    <w:rsid w:val="00AA4B5D"/>
    <w:rsid w:val="00AA4C46"/>
    <w:rsid w:val="00AA4FE5"/>
    <w:rsid w:val="00AA50C5"/>
    <w:rsid w:val="00AA512C"/>
    <w:rsid w:val="00AA515F"/>
    <w:rsid w:val="00AA51E8"/>
    <w:rsid w:val="00AA53A4"/>
    <w:rsid w:val="00AA53ED"/>
    <w:rsid w:val="00AA5439"/>
    <w:rsid w:val="00AA5540"/>
    <w:rsid w:val="00AA5732"/>
    <w:rsid w:val="00AA5C04"/>
    <w:rsid w:val="00AA5DD5"/>
    <w:rsid w:val="00AA5DDD"/>
    <w:rsid w:val="00AA5ECD"/>
    <w:rsid w:val="00AA60FD"/>
    <w:rsid w:val="00AA62BC"/>
    <w:rsid w:val="00AA633F"/>
    <w:rsid w:val="00AA64EB"/>
    <w:rsid w:val="00AA653A"/>
    <w:rsid w:val="00AA657F"/>
    <w:rsid w:val="00AA6685"/>
    <w:rsid w:val="00AA66F6"/>
    <w:rsid w:val="00AA67BE"/>
    <w:rsid w:val="00AA686E"/>
    <w:rsid w:val="00AA690C"/>
    <w:rsid w:val="00AA692F"/>
    <w:rsid w:val="00AA695F"/>
    <w:rsid w:val="00AA6993"/>
    <w:rsid w:val="00AA69E3"/>
    <w:rsid w:val="00AA6AD0"/>
    <w:rsid w:val="00AA6AEC"/>
    <w:rsid w:val="00AA6D11"/>
    <w:rsid w:val="00AA6DF6"/>
    <w:rsid w:val="00AA6E0C"/>
    <w:rsid w:val="00AA6FC4"/>
    <w:rsid w:val="00AA7008"/>
    <w:rsid w:val="00AA7025"/>
    <w:rsid w:val="00AA70ED"/>
    <w:rsid w:val="00AA7113"/>
    <w:rsid w:val="00AA7128"/>
    <w:rsid w:val="00AA7198"/>
    <w:rsid w:val="00AA71F1"/>
    <w:rsid w:val="00AA7206"/>
    <w:rsid w:val="00AA7239"/>
    <w:rsid w:val="00AA72A4"/>
    <w:rsid w:val="00AA7418"/>
    <w:rsid w:val="00AA7462"/>
    <w:rsid w:val="00AA74DF"/>
    <w:rsid w:val="00AA770D"/>
    <w:rsid w:val="00AA77A3"/>
    <w:rsid w:val="00AA77FB"/>
    <w:rsid w:val="00AA7893"/>
    <w:rsid w:val="00AA78E0"/>
    <w:rsid w:val="00AA7989"/>
    <w:rsid w:val="00AA79EC"/>
    <w:rsid w:val="00AA7AF7"/>
    <w:rsid w:val="00AA7B7C"/>
    <w:rsid w:val="00AA7B83"/>
    <w:rsid w:val="00AA7C28"/>
    <w:rsid w:val="00AA7D0B"/>
    <w:rsid w:val="00AA7D1A"/>
    <w:rsid w:val="00AA7D78"/>
    <w:rsid w:val="00AA7E0E"/>
    <w:rsid w:val="00AA7F7D"/>
    <w:rsid w:val="00AB0091"/>
    <w:rsid w:val="00AB01EC"/>
    <w:rsid w:val="00AB0208"/>
    <w:rsid w:val="00AB04D8"/>
    <w:rsid w:val="00AB04DD"/>
    <w:rsid w:val="00AB0532"/>
    <w:rsid w:val="00AB055C"/>
    <w:rsid w:val="00AB0570"/>
    <w:rsid w:val="00AB05D6"/>
    <w:rsid w:val="00AB05E5"/>
    <w:rsid w:val="00AB065E"/>
    <w:rsid w:val="00AB06ED"/>
    <w:rsid w:val="00AB0742"/>
    <w:rsid w:val="00AB07A8"/>
    <w:rsid w:val="00AB07EB"/>
    <w:rsid w:val="00AB08AE"/>
    <w:rsid w:val="00AB0A73"/>
    <w:rsid w:val="00AB0A83"/>
    <w:rsid w:val="00AB0AFE"/>
    <w:rsid w:val="00AB0B02"/>
    <w:rsid w:val="00AB0C8C"/>
    <w:rsid w:val="00AB0CE7"/>
    <w:rsid w:val="00AB0D1E"/>
    <w:rsid w:val="00AB0ECB"/>
    <w:rsid w:val="00AB0F51"/>
    <w:rsid w:val="00AB1005"/>
    <w:rsid w:val="00AB109A"/>
    <w:rsid w:val="00AB10A9"/>
    <w:rsid w:val="00AB10CA"/>
    <w:rsid w:val="00AB10E8"/>
    <w:rsid w:val="00AB1287"/>
    <w:rsid w:val="00AB12CF"/>
    <w:rsid w:val="00AB1304"/>
    <w:rsid w:val="00AB1419"/>
    <w:rsid w:val="00AB162E"/>
    <w:rsid w:val="00AB169B"/>
    <w:rsid w:val="00AB1743"/>
    <w:rsid w:val="00AB18DB"/>
    <w:rsid w:val="00AB1A12"/>
    <w:rsid w:val="00AB1A3A"/>
    <w:rsid w:val="00AB1A3C"/>
    <w:rsid w:val="00AB1B5C"/>
    <w:rsid w:val="00AB1C3A"/>
    <w:rsid w:val="00AB1C54"/>
    <w:rsid w:val="00AB1C7D"/>
    <w:rsid w:val="00AB1D47"/>
    <w:rsid w:val="00AB1D76"/>
    <w:rsid w:val="00AB1E94"/>
    <w:rsid w:val="00AB2089"/>
    <w:rsid w:val="00AB2128"/>
    <w:rsid w:val="00AB21B7"/>
    <w:rsid w:val="00AB2252"/>
    <w:rsid w:val="00AB24A2"/>
    <w:rsid w:val="00AB2519"/>
    <w:rsid w:val="00AB251D"/>
    <w:rsid w:val="00AB260C"/>
    <w:rsid w:val="00AB2633"/>
    <w:rsid w:val="00AB26C5"/>
    <w:rsid w:val="00AB27D3"/>
    <w:rsid w:val="00AB2832"/>
    <w:rsid w:val="00AB2856"/>
    <w:rsid w:val="00AB28A1"/>
    <w:rsid w:val="00AB2A1B"/>
    <w:rsid w:val="00AB2B1A"/>
    <w:rsid w:val="00AB2BFF"/>
    <w:rsid w:val="00AB2D95"/>
    <w:rsid w:val="00AB2F1C"/>
    <w:rsid w:val="00AB3057"/>
    <w:rsid w:val="00AB3065"/>
    <w:rsid w:val="00AB306B"/>
    <w:rsid w:val="00AB314B"/>
    <w:rsid w:val="00AB31A3"/>
    <w:rsid w:val="00AB31BA"/>
    <w:rsid w:val="00AB3239"/>
    <w:rsid w:val="00AB32E1"/>
    <w:rsid w:val="00AB32F2"/>
    <w:rsid w:val="00AB32F6"/>
    <w:rsid w:val="00AB3300"/>
    <w:rsid w:val="00AB3350"/>
    <w:rsid w:val="00AB33DE"/>
    <w:rsid w:val="00AB3510"/>
    <w:rsid w:val="00AB351E"/>
    <w:rsid w:val="00AB355A"/>
    <w:rsid w:val="00AB35FD"/>
    <w:rsid w:val="00AB38CF"/>
    <w:rsid w:val="00AB3978"/>
    <w:rsid w:val="00AB39FD"/>
    <w:rsid w:val="00AB3B2F"/>
    <w:rsid w:val="00AB3B30"/>
    <w:rsid w:val="00AB3BE6"/>
    <w:rsid w:val="00AB3C64"/>
    <w:rsid w:val="00AB3C93"/>
    <w:rsid w:val="00AB3D5B"/>
    <w:rsid w:val="00AB3E63"/>
    <w:rsid w:val="00AB4047"/>
    <w:rsid w:val="00AB40C9"/>
    <w:rsid w:val="00AB40D4"/>
    <w:rsid w:val="00AB40E5"/>
    <w:rsid w:val="00AB417F"/>
    <w:rsid w:val="00AB4269"/>
    <w:rsid w:val="00AB4576"/>
    <w:rsid w:val="00AB45E9"/>
    <w:rsid w:val="00AB460E"/>
    <w:rsid w:val="00AB4623"/>
    <w:rsid w:val="00AB467A"/>
    <w:rsid w:val="00AB468D"/>
    <w:rsid w:val="00AB46BD"/>
    <w:rsid w:val="00AB479C"/>
    <w:rsid w:val="00AB48D6"/>
    <w:rsid w:val="00AB4B0C"/>
    <w:rsid w:val="00AB4C76"/>
    <w:rsid w:val="00AB4CA7"/>
    <w:rsid w:val="00AB5057"/>
    <w:rsid w:val="00AB5125"/>
    <w:rsid w:val="00AB5295"/>
    <w:rsid w:val="00AB54AA"/>
    <w:rsid w:val="00AB54C5"/>
    <w:rsid w:val="00AB552A"/>
    <w:rsid w:val="00AB56B9"/>
    <w:rsid w:val="00AB57C8"/>
    <w:rsid w:val="00AB5936"/>
    <w:rsid w:val="00AB5B84"/>
    <w:rsid w:val="00AB5D3F"/>
    <w:rsid w:val="00AB5D8B"/>
    <w:rsid w:val="00AB5DF6"/>
    <w:rsid w:val="00AB5E37"/>
    <w:rsid w:val="00AB5E51"/>
    <w:rsid w:val="00AB5EE0"/>
    <w:rsid w:val="00AB615B"/>
    <w:rsid w:val="00AB6202"/>
    <w:rsid w:val="00AB62B6"/>
    <w:rsid w:val="00AB62CF"/>
    <w:rsid w:val="00AB6331"/>
    <w:rsid w:val="00AB6348"/>
    <w:rsid w:val="00AB634B"/>
    <w:rsid w:val="00AB63A0"/>
    <w:rsid w:val="00AB63E5"/>
    <w:rsid w:val="00AB63E6"/>
    <w:rsid w:val="00AB63FA"/>
    <w:rsid w:val="00AB6493"/>
    <w:rsid w:val="00AB64A7"/>
    <w:rsid w:val="00AB6988"/>
    <w:rsid w:val="00AB6A0E"/>
    <w:rsid w:val="00AB6A6B"/>
    <w:rsid w:val="00AB6AF5"/>
    <w:rsid w:val="00AB6B35"/>
    <w:rsid w:val="00AB6C43"/>
    <w:rsid w:val="00AB6C8F"/>
    <w:rsid w:val="00AB6D24"/>
    <w:rsid w:val="00AB6D7C"/>
    <w:rsid w:val="00AB6D8F"/>
    <w:rsid w:val="00AB6EC0"/>
    <w:rsid w:val="00AB709B"/>
    <w:rsid w:val="00AB70E4"/>
    <w:rsid w:val="00AB70F6"/>
    <w:rsid w:val="00AB7178"/>
    <w:rsid w:val="00AB7252"/>
    <w:rsid w:val="00AB7385"/>
    <w:rsid w:val="00AB73AC"/>
    <w:rsid w:val="00AB73FF"/>
    <w:rsid w:val="00AB7427"/>
    <w:rsid w:val="00AB750C"/>
    <w:rsid w:val="00AB7763"/>
    <w:rsid w:val="00AB7784"/>
    <w:rsid w:val="00AB77AA"/>
    <w:rsid w:val="00AB7950"/>
    <w:rsid w:val="00AB7A57"/>
    <w:rsid w:val="00AB7A5D"/>
    <w:rsid w:val="00AB7CDE"/>
    <w:rsid w:val="00AB7E0A"/>
    <w:rsid w:val="00AB7E31"/>
    <w:rsid w:val="00AB7FD3"/>
    <w:rsid w:val="00AB7FD6"/>
    <w:rsid w:val="00AC0106"/>
    <w:rsid w:val="00AC0194"/>
    <w:rsid w:val="00AC03B4"/>
    <w:rsid w:val="00AC04B4"/>
    <w:rsid w:val="00AC04DA"/>
    <w:rsid w:val="00AC0524"/>
    <w:rsid w:val="00AC05EB"/>
    <w:rsid w:val="00AC071C"/>
    <w:rsid w:val="00AC08A5"/>
    <w:rsid w:val="00AC0957"/>
    <w:rsid w:val="00AC0A58"/>
    <w:rsid w:val="00AC0BFE"/>
    <w:rsid w:val="00AC0C9B"/>
    <w:rsid w:val="00AC0CED"/>
    <w:rsid w:val="00AC0D42"/>
    <w:rsid w:val="00AC0FEA"/>
    <w:rsid w:val="00AC1120"/>
    <w:rsid w:val="00AC1149"/>
    <w:rsid w:val="00AC1322"/>
    <w:rsid w:val="00AC1323"/>
    <w:rsid w:val="00AC1390"/>
    <w:rsid w:val="00AC1477"/>
    <w:rsid w:val="00AC14A8"/>
    <w:rsid w:val="00AC14FC"/>
    <w:rsid w:val="00AC1557"/>
    <w:rsid w:val="00AC1563"/>
    <w:rsid w:val="00AC1755"/>
    <w:rsid w:val="00AC18D5"/>
    <w:rsid w:val="00AC190A"/>
    <w:rsid w:val="00AC1B10"/>
    <w:rsid w:val="00AC1B21"/>
    <w:rsid w:val="00AC1F4A"/>
    <w:rsid w:val="00AC1F85"/>
    <w:rsid w:val="00AC1F9F"/>
    <w:rsid w:val="00AC21FE"/>
    <w:rsid w:val="00AC2229"/>
    <w:rsid w:val="00AC22D6"/>
    <w:rsid w:val="00AC235A"/>
    <w:rsid w:val="00AC23E6"/>
    <w:rsid w:val="00AC2486"/>
    <w:rsid w:val="00AC24A0"/>
    <w:rsid w:val="00AC26AB"/>
    <w:rsid w:val="00AC26BF"/>
    <w:rsid w:val="00AC26C0"/>
    <w:rsid w:val="00AC26E1"/>
    <w:rsid w:val="00AC2778"/>
    <w:rsid w:val="00AC2788"/>
    <w:rsid w:val="00AC282C"/>
    <w:rsid w:val="00AC2883"/>
    <w:rsid w:val="00AC28E0"/>
    <w:rsid w:val="00AC2990"/>
    <w:rsid w:val="00AC2B41"/>
    <w:rsid w:val="00AC2B7F"/>
    <w:rsid w:val="00AC2DE2"/>
    <w:rsid w:val="00AC2DFC"/>
    <w:rsid w:val="00AC2E93"/>
    <w:rsid w:val="00AC2ED0"/>
    <w:rsid w:val="00AC2FED"/>
    <w:rsid w:val="00AC30A2"/>
    <w:rsid w:val="00AC3246"/>
    <w:rsid w:val="00AC328C"/>
    <w:rsid w:val="00AC3363"/>
    <w:rsid w:val="00AC35E1"/>
    <w:rsid w:val="00AC366C"/>
    <w:rsid w:val="00AC37B7"/>
    <w:rsid w:val="00AC388B"/>
    <w:rsid w:val="00AC38D9"/>
    <w:rsid w:val="00AC38F3"/>
    <w:rsid w:val="00AC38F6"/>
    <w:rsid w:val="00AC3BD5"/>
    <w:rsid w:val="00AC3CFC"/>
    <w:rsid w:val="00AC4081"/>
    <w:rsid w:val="00AC4326"/>
    <w:rsid w:val="00AC432A"/>
    <w:rsid w:val="00AC435D"/>
    <w:rsid w:val="00AC43AB"/>
    <w:rsid w:val="00AC45BB"/>
    <w:rsid w:val="00AC45E8"/>
    <w:rsid w:val="00AC4615"/>
    <w:rsid w:val="00AC462A"/>
    <w:rsid w:val="00AC47F6"/>
    <w:rsid w:val="00AC482E"/>
    <w:rsid w:val="00AC4B18"/>
    <w:rsid w:val="00AC4C4A"/>
    <w:rsid w:val="00AC4E17"/>
    <w:rsid w:val="00AC4E87"/>
    <w:rsid w:val="00AC4FB6"/>
    <w:rsid w:val="00AC5004"/>
    <w:rsid w:val="00AC502F"/>
    <w:rsid w:val="00AC5067"/>
    <w:rsid w:val="00AC50B6"/>
    <w:rsid w:val="00AC5219"/>
    <w:rsid w:val="00AC531C"/>
    <w:rsid w:val="00AC5325"/>
    <w:rsid w:val="00AC5397"/>
    <w:rsid w:val="00AC53D0"/>
    <w:rsid w:val="00AC5562"/>
    <w:rsid w:val="00AC5594"/>
    <w:rsid w:val="00AC563F"/>
    <w:rsid w:val="00AC576E"/>
    <w:rsid w:val="00AC579B"/>
    <w:rsid w:val="00AC5A78"/>
    <w:rsid w:val="00AC5A9F"/>
    <w:rsid w:val="00AC5CFC"/>
    <w:rsid w:val="00AC5E52"/>
    <w:rsid w:val="00AC5EED"/>
    <w:rsid w:val="00AC6136"/>
    <w:rsid w:val="00AC6155"/>
    <w:rsid w:val="00AC61E8"/>
    <w:rsid w:val="00AC62A2"/>
    <w:rsid w:val="00AC62B0"/>
    <w:rsid w:val="00AC63A3"/>
    <w:rsid w:val="00AC642A"/>
    <w:rsid w:val="00AC652E"/>
    <w:rsid w:val="00AC6548"/>
    <w:rsid w:val="00AC65BB"/>
    <w:rsid w:val="00AC6619"/>
    <w:rsid w:val="00AC66C2"/>
    <w:rsid w:val="00AC66E7"/>
    <w:rsid w:val="00AC680F"/>
    <w:rsid w:val="00AC684B"/>
    <w:rsid w:val="00AC6BE1"/>
    <w:rsid w:val="00AC6C2C"/>
    <w:rsid w:val="00AC6C35"/>
    <w:rsid w:val="00AC6F29"/>
    <w:rsid w:val="00AC726D"/>
    <w:rsid w:val="00AC7296"/>
    <w:rsid w:val="00AC72A7"/>
    <w:rsid w:val="00AC7437"/>
    <w:rsid w:val="00AC7457"/>
    <w:rsid w:val="00AC7539"/>
    <w:rsid w:val="00AC763E"/>
    <w:rsid w:val="00AC780C"/>
    <w:rsid w:val="00AC78EE"/>
    <w:rsid w:val="00AC7A60"/>
    <w:rsid w:val="00AC7B7E"/>
    <w:rsid w:val="00AC7BE5"/>
    <w:rsid w:val="00AC7D57"/>
    <w:rsid w:val="00AC7D8B"/>
    <w:rsid w:val="00AC7E20"/>
    <w:rsid w:val="00AC7E3C"/>
    <w:rsid w:val="00AC7EEA"/>
    <w:rsid w:val="00AC7F04"/>
    <w:rsid w:val="00AC7FBC"/>
    <w:rsid w:val="00AD0298"/>
    <w:rsid w:val="00AD041C"/>
    <w:rsid w:val="00AD0465"/>
    <w:rsid w:val="00AD06F0"/>
    <w:rsid w:val="00AD07E9"/>
    <w:rsid w:val="00AD08E6"/>
    <w:rsid w:val="00AD0A10"/>
    <w:rsid w:val="00AD0A31"/>
    <w:rsid w:val="00AD0E9C"/>
    <w:rsid w:val="00AD0EBC"/>
    <w:rsid w:val="00AD0FAE"/>
    <w:rsid w:val="00AD0FD3"/>
    <w:rsid w:val="00AD1064"/>
    <w:rsid w:val="00AD11E4"/>
    <w:rsid w:val="00AD12DF"/>
    <w:rsid w:val="00AD1424"/>
    <w:rsid w:val="00AD1437"/>
    <w:rsid w:val="00AD14FE"/>
    <w:rsid w:val="00AD17E8"/>
    <w:rsid w:val="00AD184F"/>
    <w:rsid w:val="00AD1901"/>
    <w:rsid w:val="00AD1910"/>
    <w:rsid w:val="00AD1AFD"/>
    <w:rsid w:val="00AD1BE9"/>
    <w:rsid w:val="00AD1CD0"/>
    <w:rsid w:val="00AD1D28"/>
    <w:rsid w:val="00AD1D3C"/>
    <w:rsid w:val="00AD1EAB"/>
    <w:rsid w:val="00AD1F83"/>
    <w:rsid w:val="00AD1FCB"/>
    <w:rsid w:val="00AD20C4"/>
    <w:rsid w:val="00AD20DD"/>
    <w:rsid w:val="00AD22A3"/>
    <w:rsid w:val="00AD2411"/>
    <w:rsid w:val="00AD24A4"/>
    <w:rsid w:val="00AD2585"/>
    <w:rsid w:val="00AD2661"/>
    <w:rsid w:val="00AD275D"/>
    <w:rsid w:val="00AD2979"/>
    <w:rsid w:val="00AD2A47"/>
    <w:rsid w:val="00AD2C7A"/>
    <w:rsid w:val="00AD2C8F"/>
    <w:rsid w:val="00AD2E91"/>
    <w:rsid w:val="00AD2FB2"/>
    <w:rsid w:val="00AD2FBC"/>
    <w:rsid w:val="00AD31A2"/>
    <w:rsid w:val="00AD31FF"/>
    <w:rsid w:val="00AD344F"/>
    <w:rsid w:val="00AD3473"/>
    <w:rsid w:val="00AD34AB"/>
    <w:rsid w:val="00AD353F"/>
    <w:rsid w:val="00AD35C4"/>
    <w:rsid w:val="00AD368B"/>
    <w:rsid w:val="00AD3750"/>
    <w:rsid w:val="00AD376E"/>
    <w:rsid w:val="00AD37F1"/>
    <w:rsid w:val="00AD381D"/>
    <w:rsid w:val="00AD393F"/>
    <w:rsid w:val="00AD394F"/>
    <w:rsid w:val="00AD39BB"/>
    <w:rsid w:val="00AD3C57"/>
    <w:rsid w:val="00AD3C61"/>
    <w:rsid w:val="00AD3CA0"/>
    <w:rsid w:val="00AD3D32"/>
    <w:rsid w:val="00AD3E26"/>
    <w:rsid w:val="00AD3E4A"/>
    <w:rsid w:val="00AD3E8D"/>
    <w:rsid w:val="00AD3F51"/>
    <w:rsid w:val="00AD3F7B"/>
    <w:rsid w:val="00AD40E5"/>
    <w:rsid w:val="00AD4135"/>
    <w:rsid w:val="00AD4199"/>
    <w:rsid w:val="00AD41A4"/>
    <w:rsid w:val="00AD41AE"/>
    <w:rsid w:val="00AD41B4"/>
    <w:rsid w:val="00AD4205"/>
    <w:rsid w:val="00AD4233"/>
    <w:rsid w:val="00AD42B8"/>
    <w:rsid w:val="00AD42E0"/>
    <w:rsid w:val="00AD430F"/>
    <w:rsid w:val="00AD43B2"/>
    <w:rsid w:val="00AD4509"/>
    <w:rsid w:val="00AD450E"/>
    <w:rsid w:val="00AD4547"/>
    <w:rsid w:val="00AD45E2"/>
    <w:rsid w:val="00AD467F"/>
    <w:rsid w:val="00AD47A3"/>
    <w:rsid w:val="00AD4921"/>
    <w:rsid w:val="00AD4971"/>
    <w:rsid w:val="00AD49F1"/>
    <w:rsid w:val="00AD4A6E"/>
    <w:rsid w:val="00AD4B29"/>
    <w:rsid w:val="00AD4BF7"/>
    <w:rsid w:val="00AD4D0B"/>
    <w:rsid w:val="00AD4D94"/>
    <w:rsid w:val="00AD512A"/>
    <w:rsid w:val="00AD51C4"/>
    <w:rsid w:val="00AD51E5"/>
    <w:rsid w:val="00AD53AB"/>
    <w:rsid w:val="00AD555E"/>
    <w:rsid w:val="00AD5575"/>
    <w:rsid w:val="00AD571C"/>
    <w:rsid w:val="00AD588F"/>
    <w:rsid w:val="00AD58F3"/>
    <w:rsid w:val="00AD5953"/>
    <w:rsid w:val="00AD59AE"/>
    <w:rsid w:val="00AD59B7"/>
    <w:rsid w:val="00AD5ABB"/>
    <w:rsid w:val="00AD5B00"/>
    <w:rsid w:val="00AD5C75"/>
    <w:rsid w:val="00AD5EA6"/>
    <w:rsid w:val="00AD5FEB"/>
    <w:rsid w:val="00AD6518"/>
    <w:rsid w:val="00AD65D2"/>
    <w:rsid w:val="00AD673C"/>
    <w:rsid w:val="00AD6762"/>
    <w:rsid w:val="00AD68DA"/>
    <w:rsid w:val="00AD6A21"/>
    <w:rsid w:val="00AD6B83"/>
    <w:rsid w:val="00AD6D1F"/>
    <w:rsid w:val="00AD6D23"/>
    <w:rsid w:val="00AD6E3A"/>
    <w:rsid w:val="00AD6E51"/>
    <w:rsid w:val="00AD6E9C"/>
    <w:rsid w:val="00AD6F61"/>
    <w:rsid w:val="00AD6FCD"/>
    <w:rsid w:val="00AD7064"/>
    <w:rsid w:val="00AD70CB"/>
    <w:rsid w:val="00AD7154"/>
    <w:rsid w:val="00AD7312"/>
    <w:rsid w:val="00AD73D4"/>
    <w:rsid w:val="00AD7522"/>
    <w:rsid w:val="00AD7567"/>
    <w:rsid w:val="00AD75BC"/>
    <w:rsid w:val="00AD7838"/>
    <w:rsid w:val="00AD78A9"/>
    <w:rsid w:val="00AD79A4"/>
    <w:rsid w:val="00AD7A62"/>
    <w:rsid w:val="00AD7A6B"/>
    <w:rsid w:val="00AD7BCB"/>
    <w:rsid w:val="00AD7C56"/>
    <w:rsid w:val="00AD7D57"/>
    <w:rsid w:val="00AD7E99"/>
    <w:rsid w:val="00AD7F48"/>
    <w:rsid w:val="00AE008B"/>
    <w:rsid w:val="00AE0180"/>
    <w:rsid w:val="00AE023B"/>
    <w:rsid w:val="00AE0388"/>
    <w:rsid w:val="00AE03D6"/>
    <w:rsid w:val="00AE047B"/>
    <w:rsid w:val="00AE04E6"/>
    <w:rsid w:val="00AE053F"/>
    <w:rsid w:val="00AE055C"/>
    <w:rsid w:val="00AE059A"/>
    <w:rsid w:val="00AE05E6"/>
    <w:rsid w:val="00AE05FC"/>
    <w:rsid w:val="00AE062F"/>
    <w:rsid w:val="00AE07AF"/>
    <w:rsid w:val="00AE08B9"/>
    <w:rsid w:val="00AE0B8E"/>
    <w:rsid w:val="00AE0EAD"/>
    <w:rsid w:val="00AE0EB6"/>
    <w:rsid w:val="00AE0F97"/>
    <w:rsid w:val="00AE10C6"/>
    <w:rsid w:val="00AE10F5"/>
    <w:rsid w:val="00AE1107"/>
    <w:rsid w:val="00AE1145"/>
    <w:rsid w:val="00AE11A4"/>
    <w:rsid w:val="00AE123C"/>
    <w:rsid w:val="00AE125B"/>
    <w:rsid w:val="00AE1266"/>
    <w:rsid w:val="00AE135B"/>
    <w:rsid w:val="00AE1447"/>
    <w:rsid w:val="00AE14EA"/>
    <w:rsid w:val="00AE1626"/>
    <w:rsid w:val="00AE1646"/>
    <w:rsid w:val="00AE16C4"/>
    <w:rsid w:val="00AE1784"/>
    <w:rsid w:val="00AE17A6"/>
    <w:rsid w:val="00AE1A96"/>
    <w:rsid w:val="00AE1B31"/>
    <w:rsid w:val="00AE1D04"/>
    <w:rsid w:val="00AE20FE"/>
    <w:rsid w:val="00AE23AC"/>
    <w:rsid w:val="00AE2506"/>
    <w:rsid w:val="00AE252E"/>
    <w:rsid w:val="00AE25DD"/>
    <w:rsid w:val="00AE2675"/>
    <w:rsid w:val="00AE2735"/>
    <w:rsid w:val="00AE2967"/>
    <w:rsid w:val="00AE2992"/>
    <w:rsid w:val="00AE2A5A"/>
    <w:rsid w:val="00AE2A71"/>
    <w:rsid w:val="00AE2A73"/>
    <w:rsid w:val="00AE2B0D"/>
    <w:rsid w:val="00AE2BF4"/>
    <w:rsid w:val="00AE2C96"/>
    <w:rsid w:val="00AE2D2C"/>
    <w:rsid w:val="00AE2D4A"/>
    <w:rsid w:val="00AE2D73"/>
    <w:rsid w:val="00AE2E9D"/>
    <w:rsid w:val="00AE2F9F"/>
    <w:rsid w:val="00AE314C"/>
    <w:rsid w:val="00AE3186"/>
    <w:rsid w:val="00AE3274"/>
    <w:rsid w:val="00AE32E0"/>
    <w:rsid w:val="00AE32F0"/>
    <w:rsid w:val="00AE3369"/>
    <w:rsid w:val="00AE33CA"/>
    <w:rsid w:val="00AE368D"/>
    <w:rsid w:val="00AE37D9"/>
    <w:rsid w:val="00AE380A"/>
    <w:rsid w:val="00AE38FF"/>
    <w:rsid w:val="00AE3915"/>
    <w:rsid w:val="00AE3937"/>
    <w:rsid w:val="00AE3A00"/>
    <w:rsid w:val="00AE3AFD"/>
    <w:rsid w:val="00AE3BEC"/>
    <w:rsid w:val="00AE3D3C"/>
    <w:rsid w:val="00AE3E84"/>
    <w:rsid w:val="00AE4077"/>
    <w:rsid w:val="00AE409B"/>
    <w:rsid w:val="00AE40CE"/>
    <w:rsid w:val="00AE4285"/>
    <w:rsid w:val="00AE4359"/>
    <w:rsid w:val="00AE446A"/>
    <w:rsid w:val="00AE454D"/>
    <w:rsid w:val="00AE462F"/>
    <w:rsid w:val="00AE472E"/>
    <w:rsid w:val="00AE479B"/>
    <w:rsid w:val="00AE47E5"/>
    <w:rsid w:val="00AE4902"/>
    <w:rsid w:val="00AE4992"/>
    <w:rsid w:val="00AE4AC0"/>
    <w:rsid w:val="00AE4DCE"/>
    <w:rsid w:val="00AE4DF7"/>
    <w:rsid w:val="00AE4E32"/>
    <w:rsid w:val="00AE4F32"/>
    <w:rsid w:val="00AE4F44"/>
    <w:rsid w:val="00AE4F92"/>
    <w:rsid w:val="00AE4FA6"/>
    <w:rsid w:val="00AE4FF4"/>
    <w:rsid w:val="00AE5006"/>
    <w:rsid w:val="00AE5076"/>
    <w:rsid w:val="00AE516A"/>
    <w:rsid w:val="00AE517B"/>
    <w:rsid w:val="00AE5304"/>
    <w:rsid w:val="00AE542A"/>
    <w:rsid w:val="00AE554B"/>
    <w:rsid w:val="00AE569F"/>
    <w:rsid w:val="00AE57A5"/>
    <w:rsid w:val="00AE5800"/>
    <w:rsid w:val="00AE599F"/>
    <w:rsid w:val="00AE59A5"/>
    <w:rsid w:val="00AE5AB9"/>
    <w:rsid w:val="00AE5D31"/>
    <w:rsid w:val="00AE5E95"/>
    <w:rsid w:val="00AE5F02"/>
    <w:rsid w:val="00AE5F40"/>
    <w:rsid w:val="00AE5FAB"/>
    <w:rsid w:val="00AE6074"/>
    <w:rsid w:val="00AE607E"/>
    <w:rsid w:val="00AE6149"/>
    <w:rsid w:val="00AE61D6"/>
    <w:rsid w:val="00AE6278"/>
    <w:rsid w:val="00AE6280"/>
    <w:rsid w:val="00AE6298"/>
    <w:rsid w:val="00AE6412"/>
    <w:rsid w:val="00AE651E"/>
    <w:rsid w:val="00AE6560"/>
    <w:rsid w:val="00AE6630"/>
    <w:rsid w:val="00AE671F"/>
    <w:rsid w:val="00AE6731"/>
    <w:rsid w:val="00AE6744"/>
    <w:rsid w:val="00AE6757"/>
    <w:rsid w:val="00AE676D"/>
    <w:rsid w:val="00AE697D"/>
    <w:rsid w:val="00AE69CA"/>
    <w:rsid w:val="00AE6A11"/>
    <w:rsid w:val="00AE6A58"/>
    <w:rsid w:val="00AE6A89"/>
    <w:rsid w:val="00AE6B27"/>
    <w:rsid w:val="00AE6B8D"/>
    <w:rsid w:val="00AE6D0F"/>
    <w:rsid w:val="00AE6D8F"/>
    <w:rsid w:val="00AE6EBA"/>
    <w:rsid w:val="00AE701E"/>
    <w:rsid w:val="00AE7140"/>
    <w:rsid w:val="00AE71C4"/>
    <w:rsid w:val="00AE72BC"/>
    <w:rsid w:val="00AE751D"/>
    <w:rsid w:val="00AE7693"/>
    <w:rsid w:val="00AE7828"/>
    <w:rsid w:val="00AE78D5"/>
    <w:rsid w:val="00AE7912"/>
    <w:rsid w:val="00AE7977"/>
    <w:rsid w:val="00AE79D7"/>
    <w:rsid w:val="00AE7AFA"/>
    <w:rsid w:val="00AE7BFC"/>
    <w:rsid w:val="00AE7C0F"/>
    <w:rsid w:val="00AE7C10"/>
    <w:rsid w:val="00AE7C30"/>
    <w:rsid w:val="00AE7C93"/>
    <w:rsid w:val="00AE7C9E"/>
    <w:rsid w:val="00AE7E4C"/>
    <w:rsid w:val="00AE7EA7"/>
    <w:rsid w:val="00AE7FA7"/>
    <w:rsid w:val="00AE7FCA"/>
    <w:rsid w:val="00AF0197"/>
    <w:rsid w:val="00AF01E8"/>
    <w:rsid w:val="00AF05E3"/>
    <w:rsid w:val="00AF085F"/>
    <w:rsid w:val="00AF08E3"/>
    <w:rsid w:val="00AF0980"/>
    <w:rsid w:val="00AF0DEE"/>
    <w:rsid w:val="00AF0E59"/>
    <w:rsid w:val="00AF0E75"/>
    <w:rsid w:val="00AF0E9A"/>
    <w:rsid w:val="00AF0EA4"/>
    <w:rsid w:val="00AF0EC0"/>
    <w:rsid w:val="00AF0EEA"/>
    <w:rsid w:val="00AF0F6B"/>
    <w:rsid w:val="00AF0FE1"/>
    <w:rsid w:val="00AF10BB"/>
    <w:rsid w:val="00AF1144"/>
    <w:rsid w:val="00AF11AA"/>
    <w:rsid w:val="00AF120B"/>
    <w:rsid w:val="00AF130D"/>
    <w:rsid w:val="00AF1598"/>
    <w:rsid w:val="00AF15A6"/>
    <w:rsid w:val="00AF1663"/>
    <w:rsid w:val="00AF1691"/>
    <w:rsid w:val="00AF173A"/>
    <w:rsid w:val="00AF1805"/>
    <w:rsid w:val="00AF18F0"/>
    <w:rsid w:val="00AF18F5"/>
    <w:rsid w:val="00AF1AD4"/>
    <w:rsid w:val="00AF1B93"/>
    <w:rsid w:val="00AF1C2C"/>
    <w:rsid w:val="00AF1CB1"/>
    <w:rsid w:val="00AF1CD5"/>
    <w:rsid w:val="00AF1D07"/>
    <w:rsid w:val="00AF1EB2"/>
    <w:rsid w:val="00AF1F1A"/>
    <w:rsid w:val="00AF1F51"/>
    <w:rsid w:val="00AF1F78"/>
    <w:rsid w:val="00AF2009"/>
    <w:rsid w:val="00AF22DE"/>
    <w:rsid w:val="00AF22F2"/>
    <w:rsid w:val="00AF25FD"/>
    <w:rsid w:val="00AF2602"/>
    <w:rsid w:val="00AF2682"/>
    <w:rsid w:val="00AF27A8"/>
    <w:rsid w:val="00AF2915"/>
    <w:rsid w:val="00AF29E7"/>
    <w:rsid w:val="00AF2A33"/>
    <w:rsid w:val="00AF2ECC"/>
    <w:rsid w:val="00AF2FF2"/>
    <w:rsid w:val="00AF3154"/>
    <w:rsid w:val="00AF31E4"/>
    <w:rsid w:val="00AF325A"/>
    <w:rsid w:val="00AF3390"/>
    <w:rsid w:val="00AF33AA"/>
    <w:rsid w:val="00AF33F8"/>
    <w:rsid w:val="00AF3407"/>
    <w:rsid w:val="00AF346C"/>
    <w:rsid w:val="00AF3497"/>
    <w:rsid w:val="00AF3508"/>
    <w:rsid w:val="00AF36B3"/>
    <w:rsid w:val="00AF36CA"/>
    <w:rsid w:val="00AF378E"/>
    <w:rsid w:val="00AF3864"/>
    <w:rsid w:val="00AF38F7"/>
    <w:rsid w:val="00AF3998"/>
    <w:rsid w:val="00AF3A5F"/>
    <w:rsid w:val="00AF3CB3"/>
    <w:rsid w:val="00AF3CBA"/>
    <w:rsid w:val="00AF3D21"/>
    <w:rsid w:val="00AF3E09"/>
    <w:rsid w:val="00AF3F1C"/>
    <w:rsid w:val="00AF3FA4"/>
    <w:rsid w:val="00AF4083"/>
    <w:rsid w:val="00AF43A0"/>
    <w:rsid w:val="00AF43DC"/>
    <w:rsid w:val="00AF4590"/>
    <w:rsid w:val="00AF460B"/>
    <w:rsid w:val="00AF462C"/>
    <w:rsid w:val="00AF4A30"/>
    <w:rsid w:val="00AF4AB4"/>
    <w:rsid w:val="00AF4AC2"/>
    <w:rsid w:val="00AF4BA3"/>
    <w:rsid w:val="00AF4BB6"/>
    <w:rsid w:val="00AF4BD5"/>
    <w:rsid w:val="00AF4C06"/>
    <w:rsid w:val="00AF4C37"/>
    <w:rsid w:val="00AF4CA5"/>
    <w:rsid w:val="00AF4CA8"/>
    <w:rsid w:val="00AF4CEA"/>
    <w:rsid w:val="00AF4D4C"/>
    <w:rsid w:val="00AF4D88"/>
    <w:rsid w:val="00AF4DE3"/>
    <w:rsid w:val="00AF4DEE"/>
    <w:rsid w:val="00AF4DFF"/>
    <w:rsid w:val="00AF4E5A"/>
    <w:rsid w:val="00AF4ECA"/>
    <w:rsid w:val="00AF4FEA"/>
    <w:rsid w:val="00AF511C"/>
    <w:rsid w:val="00AF524D"/>
    <w:rsid w:val="00AF5280"/>
    <w:rsid w:val="00AF5296"/>
    <w:rsid w:val="00AF5422"/>
    <w:rsid w:val="00AF544F"/>
    <w:rsid w:val="00AF556F"/>
    <w:rsid w:val="00AF58DD"/>
    <w:rsid w:val="00AF59F0"/>
    <w:rsid w:val="00AF5A66"/>
    <w:rsid w:val="00AF5A99"/>
    <w:rsid w:val="00AF5AB6"/>
    <w:rsid w:val="00AF5B6B"/>
    <w:rsid w:val="00AF5CB3"/>
    <w:rsid w:val="00AF5CD3"/>
    <w:rsid w:val="00AF5D22"/>
    <w:rsid w:val="00AF5E77"/>
    <w:rsid w:val="00AF5EC9"/>
    <w:rsid w:val="00AF5EED"/>
    <w:rsid w:val="00AF5F39"/>
    <w:rsid w:val="00AF60FB"/>
    <w:rsid w:val="00AF6218"/>
    <w:rsid w:val="00AF62C6"/>
    <w:rsid w:val="00AF6434"/>
    <w:rsid w:val="00AF66C0"/>
    <w:rsid w:val="00AF67EC"/>
    <w:rsid w:val="00AF68AB"/>
    <w:rsid w:val="00AF697F"/>
    <w:rsid w:val="00AF6B1F"/>
    <w:rsid w:val="00AF6B2D"/>
    <w:rsid w:val="00AF6B4B"/>
    <w:rsid w:val="00AF6D46"/>
    <w:rsid w:val="00AF6DC3"/>
    <w:rsid w:val="00AF6DF5"/>
    <w:rsid w:val="00AF6E3D"/>
    <w:rsid w:val="00AF7060"/>
    <w:rsid w:val="00AF70F9"/>
    <w:rsid w:val="00AF7177"/>
    <w:rsid w:val="00AF7250"/>
    <w:rsid w:val="00AF7281"/>
    <w:rsid w:val="00AF72BF"/>
    <w:rsid w:val="00AF730F"/>
    <w:rsid w:val="00AF74BB"/>
    <w:rsid w:val="00AF75E8"/>
    <w:rsid w:val="00AF7808"/>
    <w:rsid w:val="00AF794E"/>
    <w:rsid w:val="00AF79B2"/>
    <w:rsid w:val="00AF7A40"/>
    <w:rsid w:val="00AF7C91"/>
    <w:rsid w:val="00AF7CA1"/>
    <w:rsid w:val="00AF7DCA"/>
    <w:rsid w:val="00AF7E1E"/>
    <w:rsid w:val="00AF7EA6"/>
    <w:rsid w:val="00AF7FAA"/>
    <w:rsid w:val="00B0002E"/>
    <w:rsid w:val="00B00139"/>
    <w:rsid w:val="00B00214"/>
    <w:rsid w:val="00B00225"/>
    <w:rsid w:val="00B00228"/>
    <w:rsid w:val="00B00295"/>
    <w:rsid w:val="00B00321"/>
    <w:rsid w:val="00B003EE"/>
    <w:rsid w:val="00B0043F"/>
    <w:rsid w:val="00B004DD"/>
    <w:rsid w:val="00B00539"/>
    <w:rsid w:val="00B00555"/>
    <w:rsid w:val="00B005BD"/>
    <w:rsid w:val="00B00792"/>
    <w:rsid w:val="00B007CE"/>
    <w:rsid w:val="00B007DC"/>
    <w:rsid w:val="00B00843"/>
    <w:rsid w:val="00B008A2"/>
    <w:rsid w:val="00B008D3"/>
    <w:rsid w:val="00B00936"/>
    <w:rsid w:val="00B00B78"/>
    <w:rsid w:val="00B00BB7"/>
    <w:rsid w:val="00B00E63"/>
    <w:rsid w:val="00B00E90"/>
    <w:rsid w:val="00B00EAB"/>
    <w:rsid w:val="00B00F4B"/>
    <w:rsid w:val="00B00F67"/>
    <w:rsid w:val="00B01106"/>
    <w:rsid w:val="00B01251"/>
    <w:rsid w:val="00B01270"/>
    <w:rsid w:val="00B013C6"/>
    <w:rsid w:val="00B013EB"/>
    <w:rsid w:val="00B01655"/>
    <w:rsid w:val="00B016C0"/>
    <w:rsid w:val="00B0181C"/>
    <w:rsid w:val="00B0183C"/>
    <w:rsid w:val="00B018DD"/>
    <w:rsid w:val="00B0198B"/>
    <w:rsid w:val="00B019E7"/>
    <w:rsid w:val="00B01BC8"/>
    <w:rsid w:val="00B01BD3"/>
    <w:rsid w:val="00B01C19"/>
    <w:rsid w:val="00B01C77"/>
    <w:rsid w:val="00B01CE3"/>
    <w:rsid w:val="00B01DE4"/>
    <w:rsid w:val="00B01F71"/>
    <w:rsid w:val="00B020BC"/>
    <w:rsid w:val="00B020E6"/>
    <w:rsid w:val="00B02254"/>
    <w:rsid w:val="00B022BF"/>
    <w:rsid w:val="00B02416"/>
    <w:rsid w:val="00B0264D"/>
    <w:rsid w:val="00B026AA"/>
    <w:rsid w:val="00B02741"/>
    <w:rsid w:val="00B02790"/>
    <w:rsid w:val="00B02933"/>
    <w:rsid w:val="00B0294D"/>
    <w:rsid w:val="00B02B20"/>
    <w:rsid w:val="00B02C11"/>
    <w:rsid w:val="00B02CE2"/>
    <w:rsid w:val="00B02D67"/>
    <w:rsid w:val="00B02F04"/>
    <w:rsid w:val="00B02F54"/>
    <w:rsid w:val="00B02FE0"/>
    <w:rsid w:val="00B030FA"/>
    <w:rsid w:val="00B0313E"/>
    <w:rsid w:val="00B031CA"/>
    <w:rsid w:val="00B0322C"/>
    <w:rsid w:val="00B0327F"/>
    <w:rsid w:val="00B03301"/>
    <w:rsid w:val="00B033D9"/>
    <w:rsid w:val="00B034DA"/>
    <w:rsid w:val="00B034E2"/>
    <w:rsid w:val="00B03526"/>
    <w:rsid w:val="00B035E9"/>
    <w:rsid w:val="00B035F3"/>
    <w:rsid w:val="00B035F4"/>
    <w:rsid w:val="00B0382B"/>
    <w:rsid w:val="00B03878"/>
    <w:rsid w:val="00B0396E"/>
    <w:rsid w:val="00B03A64"/>
    <w:rsid w:val="00B03B96"/>
    <w:rsid w:val="00B03BB6"/>
    <w:rsid w:val="00B03BD2"/>
    <w:rsid w:val="00B03C18"/>
    <w:rsid w:val="00B03CEA"/>
    <w:rsid w:val="00B03D73"/>
    <w:rsid w:val="00B03DB7"/>
    <w:rsid w:val="00B03DF3"/>
    <w:rsid w:val="00B03E97"/>
    <w:rsid w:val="00B03F0F"/>
    <w:rsid w:val="00B04152"/>
    <w:rsid w:val="00B0416E"/>
    <w:rsid w:val="00B0434D"/>
    <w:rsid w:val="00B043EC"/>
    <w:rsid w:val="00B04498"/>
    <w:rsid w:val="00B04565"/>
    <w:rsid w:val="00B047DA"/>
    <w:rsid w:val="00B047DB"/>
    <w:rsid w:val="00B04ABF"/>
    <w:rsid w:val="00B04E27"/>
    <w:rsid w:val="00B04E8E"/>
    <w:rsid w:val="00B05085"/>
    <w:rsid w:val="00B05160"/>
    <w:rsid w:val="00B05185"/>
    <w:rsid w:val="00B051A6"/>
    <w:rsid w:val="00B051BA"/>
    <w:rsid w:val="00B051CB"/>
    <w:rsid w:val="00B05207"/>
    <w:rsid w:val="00B052E7"/>
    <w:rsid w:val="00B054D1"/>
    <w:rsid w:val="00B0553B"/>
    <w:rsid w:val="00B0558A"/>
    <w:rsid w:val="00B055A5"/>
    <w:rsid w:val="00B05616"/>
    <w:rsid w:val="00B059B5"/>
    <w:rsid w:val="00B05A49"/>
    <w:rsid w:val="00B05A8C"/>
    <w:rsid w:val="00B05D52"/>
    <w:rsid w:val="00B05EEB"/>
    <w:rsid w:val="00B0612D"/>
    <w:rsid w:val="00B062F7"/>
    <w:rsid w:val="00B06356"/>
    <w:rsid w:val="00B06586"/>
    <w:rsid w:val="00B06588"/>
    <w:rsid w:val="00B065B6"/>
    <w:rsid w:val="00B066E1"/>
    <w:rsid w:val="00B067E0"/>
    <w:rsid w:val="00B068A1"/>
    <w:rsid w:val="00B068D9"/>
    <w:rsid w:val="00B06913"/>
    <w:rsid w:val="00B06BCA"/>
    <w:rsid w:val="00B06BD4"/>
    <w:rsid w:val="00B06C1E"/>
    <w:rsid w:val="00B06D3A"/>
    <w:rsid w:val="00B06FC7"/>
    <w:rsid w:val="00B0724C"/>
    <w:rsid w:val="00B07302"/>
    <w:rsid w:val="00B076DA"/>
    <w:rsid w:val="00B07778"/>
    <w:rsid w:val="00B07ADE"/>
    <w:rsid w:val="00B07AE6"/>
    <w:rsid w:val="00B07B23"/>
    <w:rsid w:val="00B07C73"/>
    <w:rsid w:val="00B07DFC"/>
    <w:rsid w:val="00B07E0B"/>
    <w:rsid w:val="00B07E7A"/>
    <w:rsid w:val="00B07E94"/>
    <w:rsid w:val="00B100F4"/>
    <w:rsid w:val="00B100F7"/>
    <w:rsid w:val="00B10266"/>
    <w:rsid w:val="00B10288"/>
    <w:rsid w:val="00B1061E"/>
    <w:rsid w:val="00B107CB"/>
    <w:rsid w:val="00B107D8"/>
    <w:rsid w:val="00B1084E"/>
    <w:rsid w:val="00B1087F"/>
    <w:rsid w:val="00B109CB"/>
    <w:rsid w:val="00B10DEF"/>
    <w:rsid w:val="00B10E49"/>
    <w:rsid w:val="00B10F89"/>
    <w:rsid w:val="00B110BC"/>
    <w:rsid w:val="00B11472"/>
    <w:rsid w:val="00B117E7"/>
    <w:rsid w:val="00B119C4"/>
    <w:rsid w:val="00B11A4E"/>
    <w:rsid w:val="00B11A67"/>
    <w:rsid w:val="00B11A8E"/>
    <w:rsid w:val="00B11BAD"/>
    <w:rsid w:val="00B11D29"/>
    <w:rsid w:val="00B11D3C"/>
    <w:rsid w:val="00B11E1C"/>
    <w:rsid w:val="00B11F2E"/>
    <w:rsid w:val="00B120A0"/>
    <w:rsid w:val="00B120BD"/>
    <w:rsid w:val="00B12140"/>
    <w:rsid w:val="00B12182"/>
    <w:rsid w:val="00B122F6"/>
    <w:rsid w:val="00B1238A"/>
    <w:rsid w:val="00B123D5"/>
    <w:rsid w:val="00B1247B"/>
    <w:rsid w:val="00B125D2"/>
    <w:rsid w:val="00B125FC"/>
    <w:rsid w:val="00B12773"/>
    <w:rsid w:val="00B12812"/>
    <w:rsid w:val="00B1282E"/>
    <w:rsid w:val="00B12862"/>
    <w:rsid w:val="00B1291E"/>
    <w:rsid w:val="00B1298F"/>
    <w:rsid w:val="00B12A36"/>
    <w:rsid w:val="00B12B1A"/>
    <w:rsid w:val="00B12B9B"/>
    <w:rsid w:val="00B12CDC"/>
    <w:rsid w:val="00B12D70"/>
    <w:rsid w:val="00B12E33"/>
    <w:rsid w:val="00B12E54"/>
    <w:rsid w:val="00B12EA1"/>
    <w:rsid w:val="00B12ECD"/>
    <w:rsid w:val="00B12F46"/>
    <w:rsid w:val="00B1310C"/>
    <w:rsid w:val="00B13141"/>
    <w:rsid w:val="00B1315F"/>
    <w:rsid w:val="00B131D1"/>
    <w:rsid w:val="00B132BB"/>
    <w:rsid w:val="00B133C3"/>
    <w:rsid w:val="00B13488"/>
    <w:rsid w:val="00B13549"/>
    <w:rsid w:val="00B135A0"/>
    <w:rsid w:val="00B135E4"/>
    <w:rsid w:val="00B13658"/>
    <w:rsid w:val="00B1367F"/>
    <w:rsid w:val="00B13802"/>
    <w:rsid w:val="00B138C1"/>
    <w:rsid w:val="00B13B7E"/>
    <w:rsid w:val="00B13C2B"/>
    <w:rsid w:val="00B13E07"/>
    <w:rsid w:val="00B13F33"/>
    <w:rsid w:val="00B13FC0"/>
    <w:rsid w:val="00B14162"/>
    <w:rsid w:val="00B141C2"/>
    <w:rsid w:val="00B143C7"/>
    <w:rsid w:val="00B146A5"/>
    <w:rsid w:val="00B146B2"/>
    <w:rsid w:val="00B1479C"/>
    <w:rsid w:val="00B147B2"/>
    <w:rsid w:val="00B14839"/>
    <w:rsid w:val="00B1495E"/>
    <w:rsid w:val="00B14A90"/>
    <w:rsid w:val="00B14BC2"/>
    <w:rsid w:val="00B14D17"/>
    <w:rsid w:val="00B14E3A"/>
    <w:rsid w:val="00B14F2A"/>
    <w:rsid w:val="00B14FF0"/>
    <w:rsid w:val="00B1505C"/>
    <w:rsid w:val="00B15337"/>
    <w:rsid w:val="00B1538B"/>
    <w:rsid w:val="00B153E5"/>
    <w:rsid w:val="00B15462"/>
    <w:rsid w:val="00B15478"/>
    <w:rsid w:val="00B154D4"/>
    <w:rsid w:val="00B15505"/>
    <w:rsid w:val="00B15634"/>
    <w:rsid w:val="00B156E0"/>
    <w:rsid w:val="00B156F5"/>
    <w:rsid w:val="00B15796"/>
    <w:rsid w:val="00B15AD1"/>
    <w:rsid w:val="00B15B47"/>
    <w:rsid w:val="00B15DE7"/>
    <w:rsid w:val="00B15E5F"/>
    <w:rsid w:val="00B15EE7"/>
    <w:rsid w:val="00B15F8D"/>
    <w:rsid w:val="00B16004"/>
    <w:rsid w:val="00B161A4"/>
    <w:rsid w:val="00B164E9"/>
    <w:rsid w:val="00B16513"/>
    <w:rsid w:val="00B16527"/>
    <w:rsid w:val="00B165BE"/>
    <w:rsid w:val="00B167B9"/>
    <w:rsid w:val="00B167C3"/>
    <w:rsid w:val="00B168A5"/>
    <w:rsid w:val="00B16922"/>
    <w:rsid w:val="00B169DB"/>
    <w:rsid w:val="00B16A84"/>
    <w:rsid w:val="00B16A8B"/>
    <w:rsid w:val="00B16B2D"/>
    <w:rsid w:val="00B16BE6"/>
    <w:rsid w:val="00B16DAA"/>
    <w:rsid w:val="00B16E26"/>
    <w:rsid w:val="00B16E65"/>
    <w:rsid w:val="00B16E9E"/>
    <w:rsid w:val="00B16EDC"/>
    <w:rsid w:val="00B1708E"/>
    <w:rsid w:val="00B1710E"/>
    <w:rsid w:val="00B17135"/>
    <w:rsid w:val="00B172A5"/>
    <w:rsid w:val="00B172CD"/>
    <w:rsid w:val="00B177F9"/>
    <w:rsid w:val="00B17989"/>
    <w:rsid w:val="00B179DA"/>
    <w:rsid w:val="00B17A10"/>
    <w:rsid w:val="00B17AB1"/>
    <w:rsid w:val="00B17AD9"/>
    <w:rsid w:val="00B17BCD"/>
    <w:rsid w:val="00B17BFA"/>
    <w:rsid w:val="00B17C7E"/>
    <w:rsid w:val="00B17CA8"/>
    <w:rsid w:val="00B17CC7"/>
    <w:rsid w:val="00B17DC6"/>
    <w:rsid w:val="00B17E1F"/>
    <w:rsid w:val="00B17E34"/>
    <w:rsid w:val="00B17E59"/>
    <w:rsid w:val="00B17E98"/>
    <w:rsid w:val="00B17EB4"/>
    <w:rsid w:val="00B17EDB"/>
    <w:rsid w:val="00B17F2A"/>
    <w:rsid w:val="00B20194"/>
    <w:rsid w:val="00B201DA"/>
    <w:rsid w:val="00B20206"/>
    <w:rsid w:val="00B20381"/>
    <w:rsid w:val="00B2041F"/>
    <w:rsid w:val="00B204A1"/>
    <w:rsid w:val="00B20539"/>
    <w:rsid w:val="00B2059B"/>
    <w:rsid w:val="00B20842"/>
    <w:rsid w:val="00B209DC"/>
    <w:rsid w:val="00B20A34"/>
    <w:rsid w:val="00B20A89"/>
    <w:rsid w:val="00B20ACA"/>
    <w:rsid w:val="00B20C52"/>
    <w:rsid w:val="00B20CB6"/>
    <w:rsid w:val="00B20E78"/>
    <w:rsid w:val="00B20FE0"/>
    <w:rsid w:val="00B20FE6"/>
    <w:rsid w:val="00B212E1"/>
    <w:rsid w:val="00B2147B"/>
    <w:rsid w:val="00B2150E"/>
    <w:rsid w:val="00B21668"/>
    <w:rsid w:val="00B216E2"/>
    <w:rsid w:val="00B21891"/>
    <w:rsid w:val="00B2194D"/>
    <w:rsid w:val="00B2195B"/>
    <w:rsid w:val="00B219D4"/>
    <w:rsid w:val="00B219F8"/>
    <w:rsid w:val="00B21C15"/>
    <w:rsid w:val="00B21E5A"/>
    <w:rsid w:val="00B21F5F"/>
    <w:rsid w:val="00B22025"/>
    <w:rsid w:val="00B22236"/>
    <w:rsid w:val="00B22368"/>
    <w:rsid w:val="00B223DB"/>
    <w:rsid w:val="00B224B8"/>
    <w:rsid w:val="00B224C8"/>
    <w:rsid w:val="00B2266C"/>
    <w:rsid w:val="00B22763"/>
    <w:rsid w:val="00B2277E"/>
    <w:rsid w:val="00B22BB2"/>
    <w:rsid w:val="00B22C28"/>
    <w:rsid w:val="00B22CDE"/>
    <w:rsid w:val="00B22DD8"/>
    <w:rsid w:val="00B22F98"/>
    <w:rsid w:val="00B23049"/>
    <w:rsid w:val="00B23065"/>
    <w:rsid w:val="00B230C5"/>
    <w:rsid w:val="00B23432"/>
    <w:rsid w:val="00B23626"/>
    <w:rsid w:val="00B2369B"/>
    <w:rsid w:val="00B23A35"/>
    <w:rsid w:val="00B23AF5"/>
    <w:rsid w:val="00B23B23"/>
    <w:rsid w:val="00B23D0A"/>
    <w:rsid w:val="00B23EE5"/>
    <w:rsid w:val="00B23F84"/>
    <w:rsid w:val="00B241C4"/>
    <w:rsid w:val="00B24207"/>
    <w:rsid w:val="00B24251"/>
    <w:rsid w:val="00B242F3"/>
    <w:rsid w:val="00B2438B"/>
    <w:rsid w:val="00B244CA"/>
    <w:rsid w:val="00B24539"/>
    <w:rsid w:val="00B245F1"/>
    <w:rsid w:val="00B24643"/>
    <w:rsid w:val="00B246B4"/>
    <w:rsid w:val="00B247AF"/>
    <w:rsid w:val="00B247E7"/>
    <w:rsid w:val="00B2481F"/>
    <w:rsid w:val="00B248D9"/>
    <w:rsid w:val="00B248F2"/>
    <w:rsid w:val="00B24908"/>
    <w:rsid w:val="00B24949"/>
    <w:rsid w:val="00B249F6"/>
    <w:rsid w:val="00B24A1B"/>
    <w:rsid w:val="00B24AA6"/>
    <w:rsid w:val="00B24C17"/>
    <w:rsid w:val="00B24C21"/>
    <w:rsid w:val="00B24D16"/>
    <w:rsid w:val="00B24DD1"/>
    <w:rsid w:val="00B24EE2"/>
    <w:rsid w:val="00B24F4E"/>
    <w:rsid w:val="00B24F5D"/>
    <w:rsid w:val="00B24FC1"/>
    <w:rsid w:val="00B24FFD"/>
    <w:rsid w:val="00B250A7"/>
    <w:rsid w:val="00B25131"/>
    <w:rsid w:val="00B2513E"/>
    <w:rsid w:val="00B25322"/>
    <w:rsid w:val="00B25341"/>
    <w:rsid w:val="00B25366"/>
    <w:rsid w:val="00B2566D"/>
    <w:rsid w:val="00B2566F"/>
    <w:rsid w:val="00B25703"/>
    <w:rsid w:val="00B2570D"/>
    <w:rsid w:val="00B25737"/>
    <w:rsid w:val="00B25859"/>
    <w:rsid w:val="00B25C31"/>
    <w:rsid w:val="00B25E30"/>
    <w:rsid w:val="00B26301"/>
    <w:rsid w:val="00B263CD"/>
    <w:rsid w:val="00B2647E"/>
    <w:rsid w:val="00B264EE"/>
    <w:rsid w:val="00B265D3"/>
    <w:rsid w:val="00B26740"/>
    <w:rsid w:val="00B269F9"/>
    <w:rsid w:val="00B26A07"/>
    <w:rsid w:val="00B26BE7"/>
    <w:rsid w:val="00B26C0C"/>
    <w:rsid w:val="00B26CA4"/>
    <w:rsid w:val="00B26DBC"/>
    <w:rsid w:val="00B26E35"/>
    <w:rsid w:val="00B26E5E"/>
    <w:rsid w:val="00B26F24"/>
    <w:rsid w:val="00B26F48"/>
    <w:rsid w:val="00B26FD9"/>
    <w:rsid w:val="00B2731B"/>
    <w:rsid w:val="00B27418"/>
    <w:rsid w:val="00B27448"/>
    <w:rsid w:val="00B274E9"/>
    <w:rsid w:val="00B27529"/>
    <w:rsid w:val="00B276AD"/>
    <w:rsid w:val="00B2789A"/>
    <w:rsid w:val="00B27989"/>
    <w:rsid w:val="00B27A5B"/>
    <w:rsid w:val="00B27B26"/>
    <w:rsid w:val="00B27B3E"/>
    <w:rsid w:val="00B27C67"/>
    <w:rsid w:val="00B27E0C"/>
    <w:rsid w:val="00B27EDB"/>
    <w:rsid w:val="00B27FBC"/>
    <w:rsid w:val="00B30349"/>
    <w:rsid w:val="00B303DE"/>
    <w:rsid w:val="00B3040D"/>
    <w:rsid w:val="00B3045D"/>
    <w:rsid w:val="00B304C2"/>
    <w:rsid w:val="00B30524"/>
    <w:rsid w:val="00B3053E"/>
    <w:rsid w:val="00B30730"/>
    <w:rsid w:val="00B30852"/>
    <w:rsid w:val="00B30A9C"/>
    <w:rsid w:val="00B30AB1"/>
    <w:rsid w:val="00B30AF6"/>
    <w:rsid w:val="00B30BCD"/>
    <w:rsid w:val="00B30C3C"/>
    <w:rsid w:val="00B30D93"/>
    <w:rsid w:val="00B30DE6"/>
    <w:rsid w:val="00B30F13"/>
    <w:rsid w:val="00B30FF7"/>
    <w:rsid w:val="00B31022"/>
    <w:rsid w:val="00B31054"/>
    <w:rsid w:val="00B310E0"/>
    <w:rsid w:val="00B3111A"/>
    <w:rsid w:val="00B3114A"/>
    <w:rsid w:val="00B31169"/>
    <w:rsid w:val="00B31244"/>
    <w:rsid w:val="00B312E8"/>
    <w:rsid w:val="00B3145A"/>
    <w:rsid w:val="00B3162B"/>
    <w:rsid w:val="00B3164B"/>
    <w:rsid w:val="00B31664"/>
    <w:rsid w:val="00B31681"/>
    <w:rsid w:val="00B316F0"/>
    <w:rsid w:val="00B319EB"/>
    <w:rsid w:val="00B31B2A"/>
    <w:rsid w:val="00B31B69"/>
    <w:rsid w:val="00B31B99"/>
    <w:rsid w:val="00B31C3F"/>
    <w:rsid w:val="00B31D10"/>
    <w:rsid w:val="00B31DB2"/>
    <w:rsid w:val="00B31FE1"/>
    <w:rsid w:val="00B3212F"/>
    <w:rsid w:val="00B321CC"/>
    <w:rsid w:val="00B323C2"/>
    <w:rsid w:val="00B32497"/>
    <w:rsid w:val="00B324C0"/>
    <w:rsid w:val="00B32516"/>
    <w:rsid w:val="00B326A1"/>
    <w:rsid w:val="00B3276D"/>
    <w:rsid w:val="00B3286D"/>
    <w:rsid w:val="00B32885"/>
    <w:rsid w:val="00B32992"/>
    <w:rsid w:val="00B32A75"/>
    <w:rsid w:val="00B32AD7"/>
    <w:rsid w:val="00B32DA1"/>
    <w:rsid w:val="00B32F17"/>
    <w:rsid w:val="00B330AE"/>
    <w:rsid w:val="00B33161"/>
    <w:rsid w:val="00B331ED"/>
    <w:rsid w:val="00B334B6"/>
    <w:rsid w:val="00B3352E"/>
    <w:rsid w:val="00B335B8"/>
    <w:rsid w:val="00B33661"/>
    <w:rsid w:val="00B33771"/>
    <w:rsid w:val="00B3386C"/>
    <w:rsid w:val="00B33AB0"/>
    <w:rsid w:val="00B33D68"/>
    <w:rsid w:val="00B33D99"/>
    <w:rsid w:val="00B33D9F"/>
    <w:rsid w:val="00B33EE4"/>
    <w:rsid w:val="00B34151"/>
    <w:rsid w:val="00B3426E"/>
    <w:rsid w:val="00B3452F"/>
    <w:rsid w:val="00B345CA"/>
    <w:rsid w:val="00B346DA"/>
    <w:rsid w:val="00B34737"/>
    <w:rsid w:val="00B34760"/>
    <w:rsid w:val="00B3477D"/>
    <w:rsid w:val="00B34882"/>
    <w:rsid w:val="00B34948"/>
    <w:rsid w:val="00B34A44"/>
    <w:rsid w:val="00B34AF7"/>
    <w:rsid w:val="00B34C1F"/>
    <w:rsid w:val="00B34CC8"/>
    <w:rsid w:val="00B34D5B"/>
    <w:rsid w:val="00B34D9F"/>
    <w:rsid w:val="00B34E6E"/>
    <w:rsid w:val="00B3507C"/>
    <w:rsid w:val="00B35180"/>
    <w:rsid w:val="00B351A8"/>
    <w:rsid w:val="00B351B5"/>
    <w:rsid w:val="00B351D3"/>
    <w:rsid w:val="00B351D4"/>
    <w:rsid w:val="00B353A7"/>
    <w:rsid w:val="00B3540E"/>
    <w:rsid w:val="00B35427"/>
    <w:rsid w:val="00B3561E"/>
    <w:rsid w:val="00B3566F"/>
    <w:rsid w:val="00B35850"/>
    <w:rsid w:val="00B35875"/>
    <w:rsid w:val="00B358BA"/>
    <w:rsid w:val="00B35A4C"/>
    <w:rsid w:val="00B35A8D"/>
    <w:rsid w:val="00B35B0B"/>
    <w:rsid w:val="00B35B54"/>
    <w:rsid w:val="00B35C08"/>
    <w:rsid w:val="00B35C2F"/>
    <w:rsid w:val="00B35C55"/>
    <w:rsid w:val="00B35CD8"/>
    <w:rsid w:val="00B35E4B"/>
    <w:rsid w:val="00B35F30"/>
    <w:rsid w:val="00B36014"/>
    <w:rsid w:val="00B36070"/>
    <w:rsid w:val="00B36077"/>
    <w:rsid w:val="00B360FB"/>
    <w:rsid w:val="00B360FE"/>
    <w:rsid w:val="00B36233"/>
    <w:rsid w:val="00B362EF"/>
    <w:rsid w:val="00B363B7"/>
    <w:rsid w:val="00B363C7"/>
    <w:rsid w:val="00B364B9"/>
    <w:rsid w:val="00B36578"/>
    <w:rsid w:val="00B36585"/>
    <w:rsid w:val="00B36616"/>
    <w:rsid w:val="00B366E0"/>
    <w:rsid w:val="00B36820"/>
    <w:rsid w:val="00B3685C"/>
    <w:rsid w:val="00B3688D"/>
    <w:rsid w:val="00B369A8"/>
    <w:rsid w:val="00B36A23"/>
    <w:rsid w:val="00B36AA1"/>
    <w:rsid w:val="00B36AB5"/>
    <w:rsid w:val="00B36DB3"/>
    <w:rsid w:val="00B36E23"/>
    <w:rsid w:val="00B36E59"/>
    <w:rsid w:val="00B36FE3"/>
    <w:rsid w:val="00B370CC"/>
    <w:rsid w:val="00B372CB"/>
    <w:rsid w:val="00B37468"/>
    <w:rsid w:val="00B37482"/>
    <w:rsid w:val="00B375D8"/>
    <w:rsid w:val="00B37632"/>
    <w:rsid w:val="00B37671"/>
    <w:rsid w:val="00B376E7"/>
    <w:rsid w:val="00B37740"/>
    <w:rsid w:val="00B3776E"/>
    <w:rsid w:val="00B37781"/>
    <w:rsid w:val="00B378BA"/>
    <w:rsid w:val="00B378D2"/>
    <w:rsid w:val="00B37976"/>
    <w:rsid w:val="00B379D3"/>
    <w:rsid w:val="00B37AD0"/>
    <w:rsid w:val="00B37B10"/>
    <w:rsid w:val="00B37B6B"/>
    <w:rsid w:val="00B37B91"/>
    <w:rsid w:val="00B37D83"/>
    <w:rsid w:val="00B37D9F"/>
    <w:rsid w:val="00B37DC6"/>
    <w:rsid w:val="00B40044"/>
    <w:rsid w:val="00B40098"/>
    <w:rsid w:val="00B404E5"/>
    <w:rsid w:val="00B405A7"/>
    <w:rsid w:val="00B4067D"/>
    <w:rsid w:val="00B4094E"/>
    <w:rsid w:val="00B40962"/>
    <w:rsid w:val="00B40976"/>
    <w:rsid w:val="00B40A1C"/>
    <w:rsid w:val="00B40A8F"/>
    <w:rsid w:val="00B40C5C"/>
    <w:rsid w:val="00B40D60"/>
    <w:rsid w:val="00B40F74"/>
    <w:rsid w:val="00B41099"/>
    <w:rsid w:val="00B412D3"/>
    <w:rsid w:val="00B41680"/>
    <w:rsid w:val="00B41735"/>
    <w:rsid w:val="00B41837"/>
    <w:rsid w:val="00B4184A"/>
    <w:rsid w:val="00B418A1"/>
    <w:rsid w:val="00B41C5D"/>
    <w:rsid w:val="00B41EFE"/>
    <w:rsid w:val="00B41F6F"/>
    <w:rsid w:val="00B41F8B"/>
    <w:rsid w:val="00B42008"/>
    <w:rsid w:val="00B4201C"/>
    <w:rsid w:val="00B423ED"/>
    <w:rsid w:val="00B42783"/>
    <w:rsid w:val="00B4286F"/>
    <w:rsid w:val="00B42936"/>
    <w:rsid w:val="00B42990"/>
    <w:rsid w:val="00B42AC2"/>
    <w:rsid w:val="00B42B80"/>
    <w:rsid w:val="00B42BAC"/>
    <w:rsid w:val="00B42D12"/>
    <w:rsid w:val="00B42D2C"/>
    <w:rsid w:val="00B42D89"/>
    <w:rsid w:val="00B43059"/>
    <w:rsid w:val="00B430E0"/>
    <w:rsid w:val="00B430EF"/>
    <w:rsid w:val="00B43165"/>
    <w:rsid w:val="00B4324A"/>
    <w:rsid w:val="00B433F9"/>
    <w:rsid w:val="00B43489"/>
    <w:rsid w:val="00B43553"/>
    <w:rsid w:val="00B43585"/>
    <w:rsid w:val="00B4370B"/>
    <w:rsid w:val="00B43775"/>
    <w:rsid w:val="00B438B7"/>
    <w:rsid w:val="00B439BD"/>
    <w:rsid w:val="00B43AB5"/>
    <w:rsid w:val="00B43AC8"/>
    <w:rsid w:val="00B43B1A"/>
    <w:rsid w:val="00B43B42"/>
    <w:rsid w:val="00B43BB2"/>
    <w:rsid w:val="00B43C5C"/>
    <w:rsid w:val="00B43C79"/>
    <w:rsid w:val="00B43CA7"/>
    <w:rsid w:val="00B43D52"/>
    <w:rsid w:val="00B44007"/>
    <w:rsid w:val="00B4415D"/>
    <w:rsid w:val="00B4416B"/>
    <w:rsid w:val="00B4427C"/>
    <w:rsid w:val="00B442B0"/>
    <w:rsid w:val="00B44335"/>
    <w:rsid w:val="00B44357"/>
    <w:rsid w:val="00B444E9"/>
    <w:rsid w:val="00B4451B"/>
    <w:rsid w:val="00B446EE"/>
    <w:rsid w:val="00B446FC"/>
    <w:rsid w:val="00B447DF"/>
    <w:rsid w:val="00B447F3"/>
    <w:rsid w:val="00B447FB"/>
    <w:rsid w:val="00B44882"/>
    <w:rsid w:val="00B44970"/>
    <w:rsid w:val="00B44A69"/>
    <w:rsid w:val="00B44B40"/>
    <w:rsid w:val="00B44C2F"/>
    <w:rsid w:val="00B44D09"/>
    <w:rsid w:val="00B44E7D"/>
    <w:rsid w:val="00B44FE9"/>
    <w:rsid w:val="00B4511F"/>
    <w:rsid w:val="00B45162"/>
    <w:rsid w:val="00B452D5"/>
    <w:rsid w:val="00B452E4"/>
    <w:rsid w:val="00B454D1"/>
    <w:rsid w:val="00B459C8"/>
    <w:rsid w:val="00B45B1E"/>
    <w:rsid w:val="00B45C5D"/>
    <w:rsid w:val="00B45CC7"/>
    <w:rsid w:val="00B45D4E"/>
    <w:rsid w:val="00B45EC1"/>
    <w:rsid w:val="00B46046"/>
    <w:rsid w:val="00B46231"/>
    <w:rsid w:val="00B46245"/>
    <w:rsid w:val="00B46792"/>
    <w:rsid w:val="00B46A11"/>
    <w:rsid w:val="00B46AA1"/>
    <w:rsid w:val="00B46B08"/>
    <w:rsid w:val="00B46CD3"/>
    <w:rsid w:val="00B46D42"/>
    <w:rsid w:val="00B46E32"/>
    <w:rsid w:val="00B46EA9"/>
    <w:rsid w:val="00B46F15"/>
    <w:rsid w:val="00B4707E"/>
    <w:rsid w:val="00B470FA"/>
    <w:rsid w:val="00B47230"/>
    <w:rsid w:val="00B4733B"/>
    <w:rsid w:val="00B473C0"/>
    <w:rsid w:val="00B47421"/>
    <w:rsid w:val="00B47440"/>
    <w:rsid w:val="00B47522"/>
    <w:rsid w:val="00B475DD"/>
    <w:rsid w:val="00B47735"/>
    <w:rsid w:val="00B477E1"/>
    <w:rsid w:val="00B4793F"/>
    <w:rsid w:val="00B47A36"/>
    <w:rsid w:val="00B47A6C"/>
    <w:rsid w:val="00B47E32"/>
    <w:rsid w:val="00B47F89"/>
    <w:rsid w:val="00B47FA9"/>
    <w:rsid w:val="00B50335"/>
    <w:rsid w:val="00B50447"/>
    <w:rsid w:val="00B5069E"/>
    <w:rsid w:val="00B507E6"/>
    <w:rsid w:val="00B50838"/>
    <w:rsid w:val="00B50912"/>
    <w:rsid w:val="00B50957"/>
    <w:rsid w:val="00B509EC"/>
    <w:rsid w:val="00B50A3A"/>
    <w:rsid w:val="00B50D2F"/>
    <w:rsid w:val="00B50F00"/>
    <w:rsid w:val="00B50F4D"/>
    <w:rsid w:val="00B51085"/>
    <w:rsid w:val="00B511FD"/>
    <w:rsid w:val="00B5122C"/>
    <w:rsid w:val="00B51373"/>
    <w:rsid w:val="00B5146E"/>
    <w:rsid w:val="00B51590"/>
    <w:rsid w:val="00B51680"/>
    <w:rsid w:val="00B51707"/>
    <w:rsid w:val="00B5175C"/>
    <w:rsid w:val="00B51814"/>
    <w:rsid w:val="00B5191A"/>
    <w:rsid w:val="00B51A86"/>
    <w:rsid w:val="00B51BA2"/>
    <w:rsid w:val="00B51C24"/>
    <w:rsid w:val="00B51CA8"/>
    <w:rsid w:val="00B51D37"/>
    <w:rsid w:val="00B51D54"/>
    <w:rsid w:val="00B51E7C"/>
    <w:rsid w:val="00B52118"/>
    <w:rsid w:val="00B521C5"/>
    <w:rsid w:val="00B52263"/>
    <w:rsid w:val="00B522B2"/>
    <w:rsid w:val="00B52365"/>
    <w:rsid w:val="00B52431"/>
    <w:rsid w:val="00B5245F"/>
    <w:rsid w:val="00B525C2"/>
    <w:rsid w:val="00B525E0"/>
    <w:rsid w:val="00B528EF"/>
    <w:rsid w:val="00B52A9F"/>
    <w:rsid w:val="00B52AE2"/>
    <w:rsid w:val="00B52B14"/>
    <w:rsid w:val="00B52C97"/>
    <w:rsid w:val="00B52CC5"/>
    <w:rsid w:val="00B52CCE"/>
    <w:rsid w:val="00B52D87"/>
    <w:rsid w:val="00B52D93"/>
    <w:rsid w:val="00B52E35"/>
    <w:rsid w:val="00B52E5F"/>
    <w:rsid w:val="00B52FD9"/>
    <w:rsid w:val="00B53082"/>
    <w:rsid w:val="00B531D4"/>
    <w:rsid w:val="00B531FB"/>
    <w:rsid w:val="00B533C4"/>
    <w:rsid w:val="00B533C9"/>
    <w:rsid w:val="00B534CF"/>
    <w:rsid w:val="00B53521"/>
    <w:rsid w:val="00B53667"/>
    <w:rsid w:val="00B536DF"/>
    <w:rsid w:val="00B537FA"/>
    <w:rsid w:val="00B5380B"/>
    <w:rsid w:val="00B53857"/>
    <w:rsid w:val="00B539F0"/>
    <w:rsid w:val="00B53B60"/>
    <w:rsid w:val="00B53E44"/>
    <w:rsid w:val="00B53F07"/>
    <w:rsid w:val="00B53F2D"/>
    <w:rsid w:val="00B53FB1"/>
    <w:rsid w:val="00B53FEF"/>
    <w:rsid w:val="00B54034"/>
    <w:rsid w:val="00B54110"/>
    <w:rsid w:val="00B54392"/>
    <w:rsid w:val="00B54493"/>
    <w:rsid w:val="00B54496"/>
    <w:rsid w:val="00B544D8"/>
    <w:rsid w:val="00B54671"/>
    <w:rsid w:val="00B5469A"/>
    <w:rsid w:val="00B546D8"/>
    <w:rsid w:val="00B54713"/>
    <w:rsid w:val="00B5473D"/>
    <w:rsid w:val="00B547B7"/>
    <w:rsid w:val="00B548BC"/>
    <w:rsid w:val="00B54A08"/>
    <w:rsid w:val="00B54A5A"/>
    <w:rsid w:val="00B54B51"/>
    <w:rsid w:val="00B54C00"/>
    <w:rsid w:val="00B54C35"/>
    <w:rsid w:val="00B54C3D"/>
    <w:rsid w:val="00B54C89"/>
    <w:rsid w:val="00B54DAB"/>
    <w:rsid w:val="00B54DF9"/>
    <w:rsid w:val="00B54DFE"/>
    <w:rsid w:val="00B54EE5"/>
    <w:rsid w:val="00B54F83"/>
    <w:rsid w:val="00B54FC7"/>
    <w:rsid w:val="00B54FE3"/>
    <w:rsid w:val="00B5504D"/>
    <w:rsid w:val="00B552FA"/>
    <w:rsid w:val="00B55308"/>
    <w:rsid w:val="00B55354"/>
    <w:rsid w:val="00B5539A"/>
    <w:rsid w:val="00B5547C"/>
    <w:rsid w:val="00B55589"/>
    <w:rsid w:val="00B55724"/>
    <w:rsid w:val="00B5573B"/>
    <w:rsid w:val="00B5575B"/>
    <w:rsid w:val="00B558CB"/>
    <w:rsid w:val="00B55B4D"/>
    <w:rsid w:val="00B55CC5"/>
    <w:rsid w:val="00B55D62"/>
    <w:rsid w:val="00B55D97"/>
    <w:rsid w:val="00B55E41"/>
    <w:rsid w:val="00B55EEE"/>
    <w:rsid w:val="00B56008"/>
    <w:rsid w:val="00B562C4"/>
    <w:rsid w:val="00B562D2"/>
    <w:rsid w:val="00B562E9"/>
    <w:rsid w:val="00B563CF"/>
    <w:rsid w:val="00B563FA"/>
    <w:rsid w:val="00B5640A"/>
    <w:rsid w:val="00B5649C"/>
    <w:rsid w:val="00B564B4"/>
    <w:rsid w:val="00B56626"/>
    <w:rsid w:val="00B566A4"/>
    <w:rsid w:val="00B566AB"/>
    <w:rsid w:val="00B56877"/>
    <w:rsid w:val="00B56918"/>
    <w:rsid w:val="00B5699B"/>
    <w:rsid w:val="00B569AB"/>
    <w:rsid w:val="00B56A5D"/>
    <w:rsid w:val="00B56ACB"/>
    <w:rsid w:val="00B56B7D"/>
    <w:rsid w:val="00B56BAA"/>
    <w:rsid w:val="00B56BDB"/>
    <w:rsid w:val="00B56BE5"/>
    <w:rsid w:val="00B56F12"/>
    <w:rsid w:val="00B56FA5"/>
    <w:rsid w:val="00B56FB9"/>
    <w:rsid w:val="00B571B7"/>
    <w:rsid w:val="00B57334"/>
    <w:rsid w:val="00B57368"/>
    <w:rsid w:val="00B57404"/>
    <w:rsid w:val="00B57529"/>
    <w:rsid w:val="00B5758C"/>
    <w:rsid w:val="00B575EB"/>
    <w:rsid w:val="00B5760A"/>
    <w:rsid w:val="00B576EA"/>
    <w:rsid w:val="00B57723"/>
    <w:rsid w:val="00B5772E"/>
    <w:rsid w:val="00B577B1"/>
    <w:rsid w:val="00B57CBB"/>
    <w:rsid w:val="00B57CF7"/>
    <w:rsid w:val="00B57DEF"/>
    <w:rsid w:val="00B57DF4"/>
    <w:rsid w:val="00B57F27"/>
    <w:rsid w:val="00B60098"/>
    <w:rsid w:val="00B60137"/>
    <w:rsid w:val="00B6022E"/>
    <w:rsid w:val="00B6029F"/>
    <w:rsid w:val="00B602B1"/>
    <w:rsid w:val="00B60394"/>
    <w:rsid w:val="00B603CB"/>
    <w:rsid w:val="00B60561"/>
    <w:rsid w:val="00B606B3"/>
    <w:rsid w:val="00B60862"/>
    <w:rsid w:val="00B60A6B"/>
    <w:rsid w:val="00B60C98"/>
    <w:rsid w:val="00B60EF4"/>
    <w:rsid w:val="00B61083"/>
    <w:rsid w:val="00B610B5"/>
    <w:rsid w:val="00B610F0"/>
    <w:rsid w:val="00B61259"/>
    <w:rsid w:val="00B6128E"/>
    <w:rsid w:val="00B6134D"/>
    <w:rsid w:val="00B61529"/>
    <w:rsid w:val="00B615CA"/>
    <w:rsid w:val="00B615F5"/>
    <w:rsid w:val="00B616EE"/>
    <w:rsid w:val="00B61809"/>
    <w:rsid w:val="00B6186B"/>
    <w:rsid w:val="00B61A4C"/>
    <w:rsid w:val="00B61B2F"/>
    <w:rsid w:val="00B61B3B"/>
    <w:rsid w:val="00B61B8D"/>
    <w:rsid w:val="00B61C80"/>
    <w:rsid w:val="00B61CAD"/>
    <w:rsid w:val="00B61CBA"/>
    <w:rsid w:val="00B61E2D"/>
    <w:rsid w:val="00B61E5E"/>
    <w:rsid w:val="00B61F57"/>
    <w:rsid w:val="00B620B1"/>
    <w:rsid w:val="00B62136"/>
    <w:rsid w:val="00B62188"/>
    <w:rsid w:val="00B6234D"/>
    <w:rsid w:val="00B623C0"/>
    <w:rsid w:val="00B62586"/>
    <w:rsid w:val="00B626F9"/>
    <w:rsid w:val="00B6275C"/>
    <w:rsid w:val="00B62954"/>
    <w:rsid w:val="00B62981"/>
    <w:rsid w:val="00B62AD8"/>
    <w:rsid w:val="00B62AF7"/>
    <w:rsid w:val="00B62B4F"/>
    <w:rsid w:val="00B62B6F"/>
    <w:rsid w:val="00B62B94"/>
    <w:rsid w:val="00B62BA3"/>
    <w:rsid w:val="00B62CF3"/>
    <w:rsid w:val="00B62CFE"/>
    <w:rsid w:val="00B62DE2"/>
    <w:rsid w:val="00B62EAB"/>
    <w:rsid w:val="00B62ED2"/>
    <w:rsid w:val="00B62F49"/>
    <w:rsid w:val="00B62FFD"/>
    <w:rsid w:val="00B63131"/>
    <w:rsid w:val="00B6316A"/>
    <w:rsid w:val="00B631A9"/>
    <w:rsid w:val="00B631E2"/>
    <w:rsid w:val="00B6335C"/>
    <w:rsid w:val="00B633BA"/>
    <w:rsid w:val="00B63480"/>
    <w:rsid w:val="00B6352E"/>
    <w:rsid w:val="00B6354C"/>
    <w:rsid w:val="00B63643"/>
    <w:rsid w:val="00B6367A"/>
    <w:rsid w:val="00B636EB"/>
    <w:rsid w:val="00B63720"/>
    <w:rsid w:val="00B63A95"/>
    <w:rsid w:val="00B63AAF"/>
    <w:rsid w:val="00B63AD1"/>
    <w:rsid w:val="00B63C6E"/>
    <w:rsid w:val="00B63CB9"/>
    <w:rsid w:val="00B63DAB"/>
    <w:rsid w:val="00B63E19"/>
    <w:rsid w:val="00B63E6F"/>
    <w:rsid w:val="00B63E7B"/>
    <w:rsid w:val="00B63E9B"/>
    <w:rsid w:val="00B63ED4"/>
    <w:rsid w:val="00B63FC4"/>
    <w:rsid w:val="00B64012"/>
    <w:rsid w:val="00B6404B"/>
    <w:rsid w:val="00B64175"/>
    <w:rsid w:val="00B6423B"/>
    <w:rsid w:val="00B642C0"/>
    <w:rsid w:val="00B64302"/>
    <w:rsid w:val="00B64359"/>
    <w:rsid w:val="00B643D1"/>
    <w:rsid w:val="00B643D6"/>
    <w:rsid w:val="00B644F7"/>
    <w:rsid w:val="00B64632"/>
    <w:rsid w:val="00B64659"/>
    <w:rsid w:val="00B6467C"/>
    <w:rsid w:val="00B646C2"/>
    <w:rsid w:val="00B6472C"/>
    <w:rsid w:val="00B6479A"/>
    <w:rsid w:val="00B64865"/>
    <w:rsid w:val="00B649C2"/>
    <w:rsid w:val="00B649FE"/>
    <w:rsid w:val="00B64A19"/>
    <w:rsid w:val="00B64A1B"/>
    <w:rsid w:val="00B64AA1"/>
    <w:rsid w:val="00B64B87"/>
    <w:rsid w:val="00B64BF5"/>
    <w:rsid w:val="00B64C5B"/>
    <w:rsid w:val="00B64C7E"/>
    <w:rsid w:val="00B64E7D"/>
    <w:rsid w:val="00B65013"/>
    <w:rsid w:val="00B6526B"/>
    <w:rsid w:val="00B652D1"/>
    <w:rsid w:val="00B652D3"/>
    <w:rsid w:val="00B65340"/>
    <w:rsid w:val="00B653DB"/>
    <w:rsid w:val="00B6546D"/>
    <w:rsid w:val="00B6558C"/>
    <w:rsid w:val="00B655FD"/>
    <w:rsid w:val="00B65619"/>
    <w:rsid w:val="00B658FA"/>
    <w:rsid w:val="00B65A74"/>
    <w:rsid w:val="00B65B2B"/>
    <w:rsid w:val="00B65B7D"/>
    <w:rsid w:val="00B65B82"/>
    <w:rsid w:val="00B65B9E"/>
    <w:rsid w:val="00B6605A"/>
    <w:rsid w:val="00B66076"/>
    <w:rsid w:val="00B66279"/>
    <w:rsid w:val="00B6637B"/>
    <w:rsid w:val="00B664DA"/>
    <w:rsid w:val="00B665BC"/>
    <w:rsid w:val="00B665C1"/>
    <w:rsid w:val="00B665D2"/>
    <w:rsid w:val="00B669E3"/>
    <w:rsid w:val="00B66B55"/>
    <w:rsid w:val="00B66C0D"/>
    <w:rsid w:val="00B66DAA"/>
    <w:rsid w:val="00B66F75"/>
    <w:rsid w:val="00B67173"/>
    <w:rsid w:val="00B67230"/>
    <w:rsid w:val="00B672AC"/>
    <w:rsid w:val="00B67355"/>
    <w:rsid w:val="00B67411"/>
    <w:rsid w:val="00B67545"/>
    <w:rsid w:val="00B6754C"/>
    <w:rsid w:val="00B67736"/>
    <w:rsid w:val="00B6777E"/>
    <w:rsid w:val="00B6798B"/>
    <w:rsid w:val="00B6799F"/>
    <w:rsid w:val="00B67A03"/>
    <w:rsid w:val="00B67B56"/>
    <w:rsid w:val="00B67C36"/>
    <w:rsid w:val="00B67C70"/>
    <w:rsid w:val="00B67CCF"/>
    <w:rsid w:val="00B67CE2"/>
    <w:rsid w:val="00B67DA6"/>
    <w:rsid w:val="00B67DB8"/>
    <w:rsid w:val="00B67EC8"/>
    <w:rsid w:val="00B67F2A"/>
    <w:rsid w:val="00B67F64"/>
    <w:rsid w:val="00B70114"/>
    <w:rsid w:val="00B7012E"/>
    <w:rsid w:val="00B7042E"/>
    <w:rsid w:val="00B7046D"/>
    <w:rsid w:val="00B70566"/>
    <w:rsid w:val="00B705B8"/>
    <w:rsid w:val="00B705E6"/>
    <w:rsid w:val="00B70632"/>
    <w:rsid w:val="00B7067E"/>
    <w:rsid w:val="00B70719"/>
    <w:rsid w:val="00B70807"/>
    <w:rsid w:val="00B7097A"/>
    <w:rsid w:val="00B709F6"/>
    <w:rsid w:val="00B70A01"/>
    <w:rsid w:val="00B70CF4"/>
    <w:rsid w:val="00B70D35"/>
    <w:rsid w:val="00B70DF8"/>
    <w:rsid w:val="00B70EE2"/>
    <w:rsid w:val="00B70F1F"/>
    <w:rsid w:val="00B70F72"/>
    <w:rsid w:val="00B71096"/>
    <w:rsid w:val="00B713A0"/>
    <w:rsid w:val="00B7144F"/>
    <w:rsid w:val="00B71658"/>
    <w:rsid w:val="00B717C7"/>
    <w:rsid w:val="00B71834"/>
    <w:rsid w:val="00B71877"/>
    <w:rsid w:val="00B718FF"/>
    <w:rsid w:val="00B71955"/>
    <w:rsid w:val="00B719D5"/>
    <w:rsid w:val="00B71A03"/>
    <w:rsid w:val="00B71A31"/>
    <w:rsid w:val="00B71C7F"/>
    <w:rsid w:val="00B71D00"/>
    <w:rsid w:val="00B71ECD"/>
    <w:rsid w:val="00B71FB6"/>
    <w:rsid w:val="00B720C1"/>
    <w:rsid w:val="00B721F0"/>
    <w:rsid w:val="00B72203"/>
    <w:rsid w:val="00B722B2"/>
    <w:rsid w:val="00B722DE"/>
    <w:rsid w:val="00B72465"/>
    <w:rsid w:val="00B725A5"/>
    <w:rsid w:val="00B7263C"/>
    <w:rsid w:val="00B7269F"/>
    <w:rsid w:val="00B72914"/>
    <w:rsid w:val="00B729FA"/>
    <w:rsid w:val="00B72A66"/>
    <w:rsid w:val="00B72B03"/>
    <w:rsid w:val="00B72B6F"/>
    <w:rsid w:val="00B72CCA"/>
    <w:rsid w:val="00B72D16"/>
    <w:rsid w:val="00B72D96"/>
    <w:rsid w:val="00B72E14"/>
    <w:rsid w:val="00B72E66"/>
    <w:rsid w:val="00B72EFE"/>
    <w:rsid w:val="00B731B6"/>
    <w:rsid w:val="00B73321"/>
    <w:rsid w:val="00B7348F"/>
    <w:rsid w:val="00B734D5"/>
    <w:rsid w:val="00B734D8"/>
    <w:rsid w:val="00B735CE"/>
    <w:rsid w:val="00B7386E"/>
    <w:rsid w:val="00B738D9"/>
    <w:rsid w:val="00B73A67"/>
    <w:rsid w:val="00B73A6C"/>
    <w:rsid w:val="00B73AB5"/>
    <w:rsid w:val="00B73AFE"/>
    <w:rsid w:val="00B73C6D"/>
    <w:rsid w:val="00B73D54"/>
    <w:rsid w:val="00B7404E"/>
    <w:rsid w:val="00B74076"/>
    <w:rsid w:val="00B740F8"/>
    <w:rsid w:val="00B742E3"/>
    <w:rsid w:val="00B74313"/>
    <w:rsid w:val="00B7433F"/>
    <w:rsid w:val="00B7439C"/>
    <w:rsid w:val="00B74407"/>
    <w:rsid w:val="00B74416"/>
    <w:rsid w:val="00B74498"/>
    <w:rsid w:val="00B744AE"/>
    <w:rsid w:val="00B744AF"/>
    <w:rsid w:val="00B7458B"/>
    <w:rsid w:val="00B745A2"/>
    <w:rsid w:val="00B745E7"/>
    <w:rsid w:val="00B7460F"/>
    <w:rsid w:val="00B749C5"/>
    <w:rsid w:val="00B749FC"/>
    <w:rsid w:val="00B74A17"/>
    <w:rsid w:val="00B74A98"/>
    <w:rsid w:val="00B74AF2"/>
    <w:rsid w:val="00B74B07"/>
    <w:rsid w:val="00B74B6A"/>
    <w:rsid w:val="00B75086"/>
    <w:rsid w:val="00B750FB"/>
    <w:rsid w:val="00B7523A"/>
    <w:rsid w:val="00B75242"/>
    <w:rsid w:val="00B75313"/>
    <w:rsid w:val="00B75317"/>
    <w:rsid w:val="00B753FF"/>
    <w:rsid w:val="00B75432"/>
    <w:rsid w:val="00B754CB"/>
    <w:rsid w:val="00B75752"/>
    <w:rsid w:val="00B7578A"/>
    <w:rsid w:val="00B75873"/>
    <w:rsid w:val="00B75A29"/>
    <w:rsid w:val="00B75ADA"/>
    <w:rsid w:val="00B75B3C"/>
    <w:rsid w:val="00B75B5C"/>
    <w:rsid w:val="00B75BF3"/>
    <w:rsid w:val="00B75C17"/>
    <w:rsid w:val="00B75C3A"/>
    <w:rsid w:val="00B75DCF"/>
    <w:rsid w:val="00B75E04"/>
    <w:rsid w:val="00B760BF"/>
    <w:rsid w:val="00B761B0"/>
    <w:rsid w:val="00B761BF"/>
    <w:rsid w:val="00B76327"/>
    <w:rsid w:val="00B763E5"/>
    <w:rsid w:val="00B764F1"/>
    <w:rsid w:val="00B765EC"/>
    <w:rsid w:val="00B7686D"/>
    <w:rsid w:val="00B76883"/>
    <w:rsid w:val="00B76897"/>
    <w:rsid w:val="00B768E7"/>
    <w:rsid w:val="00B7692A"/>
    <w:rsid w:val="00B76A58"/>
    <w:rsid w:val="00B76AC7"/>
    <w:rsid w:val="00B76B64"/>
    <w:rsid w:val="00B76C78"/>
    <w:rsid w:val="00B76CB7"/>
    <w:rsid w:val="00B76CEF"/>
    <w:rsid w:val="00B76D44"/>
    <w:rsid w:val="00B76E4F"/>
    <w:rsid w:val="00B76E84"/>
    <w:rsid w:val="00B77127"/>
    <w:rsid w:val="00B772BF"/>
    <w:rsid w:val="00B773A4"/>
    <w:rsid w:val="00B773E6"/>
    <w:rsid w:val="00B77544"/>
    <w:rsid w:val="00B7754C"/>
    <w:rsid w:val="00B77624"/>
    <w:rsid w:val="00B7766D"/>
    <w:rsid w:val="00B776E2"/>
    <w:rsid w:val="00B77705"/>
    <w:rsid w:val="00B77BBC"/>
    <w:rsid w:val="00B77BEC"/>
    <w:rsid w:val="00B77D73"/>
    <w:rsid w:val="00B77ECA"/>
    <w:rsid w:val="00B77FA2"/>
    <w:rsid w:val="00B80064"/>
    <w:rsid w:val="00B800A3"/>
    <w:rsid w:val="00B800C2"/>
    <w:rsid w:val="00B801BE"/>
    <w:rsid w:val="00B801BF"/>
    <w:rsid w:val="00B8028C"/>
    <w:rsid w:val="00B802E0"/>
    <w:rsid w:val="00B80466"/>
    <w:rsid w:val="00B807F2"/>
    <w:rsid w:val="00B80900"/>
    <w:rsid w:val="00B80983"/>
    <w:rsid w:val="00B80C15"/>
    <w:rsid w:val="00B80E67"/>
    <w:rsid w:val="00B80F04"/>
    <w:rsid w:val="00B80F41"/>
    <w:rsid w:val="00B80FEC"/>
    <w:rsid w:val="00B8106C"/>
    <w:rsid w:val="00B81207"/>
    <w:rsid w:val="00B812B6"/>
    <w:rsid w:val="00B81404"/>
    <w:rsid w:val="00B815EE"/>
    <w:rsid w:val="00B815F2"/>
    <w:rsid w:val="00B8160E"/>
    <w:rsid w:val="00B8164F"/>
    <w:rsid w:val="00B8175E"/>
    <w:rsid w:val="00B817DE"/>
    <w:rsid w:val="00B81873"/>
    <w:rsid w:val="00B818BA"/>
    <w:rsid w:val="00B8197D"/>
    <w:rsid w:val="00B819A5"/>
    <w:rsid w:val="00B81BB4"/>
    <w:rsid w:val="00B81C13"/>
    <w:rsid w:val="00B81CAA"/>
    <w:rsid w:val="00B81CE5"/>
    <w:rsid w:val="00B81D29"/>
    <w:rsid w:val="00B81D80"/>
    <w:rsid w:val="00B81DBB"/>
    <w:rsid w:val="00B81E06"/>
    <w:rsid w:val="00B81E3D"/>
    <w:rsid w:val="00B8205D"/>
    <w:rsid w:val="00B821A9"/>
    <w:rsid w:val="00B8260F"/>
    <w:rsid w:val="00B826CC"/>
    <w:rsid w:val="00B8281D"/>
    <w:rsid w:val="00B828DC"/>
    <w:rsid w:val="00B8295E"/>
    <w:rsid w:val="00B82AD4"/>
    <w:rsid w:val="00B82BA1"/>
    <w:rsid w:val="00B82BFB"/>
    <w:rsid w:val="00B82DA3"/>
    <w:rsid w:val="00B82E62"/>
    <w:rsid w:val="00B82E68"/>
    <w:rsid w:val="00B830E4"/>
    <w:rsid w:val="00B8311C"/>
    <w:rsid w:val="00B8317A"/>
    <w:rsid w:val="00B831D3"/>
    <w:rsid w:val="00B831EF"/>
    <w:rsid w:val="00B83435"/>
    <w:rsid w:val="00B834B9"/>
    <w:rsid w:val="00B834F1"/>
    <w:rsid w:val="00B83520"/>
    <w:rsid w:val="00B83589"/>
    <w:rsid w:val="00B83593"/>
    <w:rsid w:val="00B835D0"/>
    <w:rsid w:val="00B83604"/>
    <w:rsid w:val="00B83648"/>
    <w:rsid w:val="00B836EC"/>
    <w:rsid w:val="00B83718"/>
    <w:rsid w:val="00B83898"/>
    <w:rsid w:val="00B8394A"/>
    <w:rsid w:val="00B83B95"/>
    <w:rsid w:val="00B83C6A"/>
    <w:rsid w:val="00B83C6F"/>
    <w:rsid w:val="00B83C71"/>
    <w:rsid w:val="00B83C9A"/>
    <w:rsid w:val="00B83E27"/>
    <w:rsid w:val="00B83F30"/>
    <w:rsid w:val="00B83FAD"/>
    <w:rsid w:val="00B84069"/>
    <w:rsid w:val="00B84290"/>
    <w:rsid w:val="00B842F8"/>
    <w:rsid w:val="00B84301"/>
    <w:rsid w:val="00B84392"/>
    <w:rsid w:val="00B843D6"/>
    <w:rsid w:val="00B84540"/>
    <w:rsid w:val="00B8465E"/>
    <w:rsid w:val="00B846C0"/>
    <w:rsid w:val="00B84828"/>
    <w:rsid w:val="00B849C5"/>
    <w:rsid w:val="00B849E5"/>
    <w:rsid w:val="00B84A1A"/>
    <w:rsid w:val="00B84A24"/>
    <w:rsid w:val="00B84AFE"/>
    <w:rsid w:val="00B84C85"/>
    <w:rsid w:val="00B84E30"/>
    <w:rsid w:val="00B84E58"/>
    <w:rsid w:val="00B84E70"/>
    <w:rsid w:val="00B8503A"/>
    <w:rsid w:val="00B85053"/>
    <w:rsid w:val="00B851C3"/>
    <w:rsid w:val="00B85233"/>
    <w:rsid w:val="00B8544D"/>
    <w:rsid w:val="00B8544F"/>
    <w:rsid w:val="00B8546E"/>
    <w:rsid w:val="00B8550B"/>
    <w:rsid w:val="00B8575D"/>
    <w:rsid w:val="00B857C0"/>
    <w:rsid w:val="00B85822"/>
    <w:rsid w:val="00B858C3"/>
    <w:rsid w:val="00B85933"/>
    <w:rsid w:val="00B8594C"/>
    <w:rsid w:val="00B85CAC"/>
    <w:rsid w:val="00B85D86"/>
    <w:rsid w:val="00B85DCD"/>
    <w:rsid w:val="00B85F0F"/>
    <w:rsid w:val="00B85F89"/>
    <w:rsid w:val="00B860DE"/>
    <w:rsid w:val="00B861CD"/>
    <w:rsid w:val="00B861F6"/>
    <w:rsid w:val="00B8622E"/>
    <w:rsid w:val="00B862B7"/>
    <w:rsid w:val="00B863F4"/>
    <w:rsid w:val="00B864F3"/>
    <w:rsid w:val="00B8670F"/>
    <w:rsid w:val="00B8689F"/>
    <w:rsid w:val="00B86C08"/>
    <w:rsid w:val="00B86CAB"/>
    <w:rsid w:val="00B86E13"/>
    <w:rsid w:val="00B86E6D"/>
    <w:rsid w:val="00B86EA0"/>
    <w:rsid w:val="00B87074"/>
    <w:rsid w:val="00B87130"/>
    <w:rsid w:val="00B87143"/>
    <w:rsid w:val="00B87237"/>
    <w:rsid w:val="00B87598"/>
    <w:rsid w:val="00B875C9"/>
    <w:rsid w:val="00B878B1"/>
    <w:rsid w:val="00B87921"/>
    <w:rsid w:val="00B87CBA"/>
    <w:rsid w:val="00B87CFD"/>
    <w:rsid w:val="00B87D56"/>
    <w:rsid w:val="00B87E57"/>
    <w:rsid w:val="00B87F6F"/>
    <w:rsid w:val="00B9000F"/>
    <w:rsid w:val="00B90052"/>
    <w:rsid w:val="00B900A1"/>
    <w:rsid w:val="00B900AF"/>
    <w:rsid w:val="00B9014B"/>
    <w:rsid w:val="00B901B5"/>
    <w:rsid w:val="00B901BF"/>
    <w:rsid w:val="00B901DE"/>
    <w:rsid w:val="00B90507"/>
    <w:rsid w:val="00B90666"/>
    <w:rsid w:val="00B906FB"/>
    <w:rsid w:val="00B90736"/>
    <w:rsid w:val="00B90830"/>
    <w:rsid w:val="00B90837"/>
    <w:rsid w:val="00B90B12"/>
    <w:rsid w:val="00B90B2F"/>
    <w:rsid w:val="00B90B94"/>
    <w:rsid w:val="00B90BCF"/>
    <w:rsid w:val="00B90C91"/>
    <w:rsid w:val="00B90CB4"/>
    <w:rsid w:val="00B90E96"/>
    <w:rsid w:val="00B90EB4"/>
    <w:rsid w:val="00B90F4B"/>
    <w:rsid w:val="00B90F69"/>
    <w:rsid w:val="00B9101F"/>
    <w:rsid w:val="00B910A7"/>
    <w:rsid w:val="00B91153"/>
    <w:rsid w:val="00B9119A"/>
    <w:rsid w:val="00B915D2"/>
    <w:rsid w:val="00B915E3"/>
    <w:rsid w:val="00B91859"/>
    <w:rsid w:val="00B918BE"/>
    <w:rsid w:val="00B9196D"/>
    <w:rsid w:val="00B91995"/>
    <w:rsid w:val="00B91AED"/>
    <w:rsid w:val="00B91AF4"/>
    <w:rsid w:val="00B91AF9"/>
    <w:rsid w:val="00B91B1E"/>
    <w:rsid w:val="00B91B2E"/>
    <w:rsid w:val="00B91BEE"/>
    <w:rsid w:val="00B91D1B"/>
    <w:rsid w:val="00B91E37"/>
    <w:rsid w:val="00B91E8A"/>
    <w:rsid w:val="00B91F59"/>
    <w:rsid w:val="00B91F86"/>
    <w:rsid w:val="00B91FE9"/>
    <w:rsid w:val="00B92038"/>
    <w:rsid w:val="00B9204B"/>
    <w:rsid w:val="00B92153"/>
    <w:rsid w:val="00B921DE"/>
    <w:rsid w:val="00B921F6"/>
    <w:rsid w:val="00B923A5"/>
    <w:rsid w:val="00B923AB"/>
    <w:rsid w:val="00B9255D"/>
    <w:rsid w:val="00B9259D"/>
    <w:rsid w:val="00B92604"/>
    <w:rsid w:val="00B92815"/>
    <w:rsid w:val="00B92913"/>
    <w:rsid w:val="00B92961"/>
    <w:rsid w:val="00B92AEA"/>
    <w:rsid w:val="00B92AEB"/>
    <w:rsid w:val="00B92AF1"/>
    <w:rsid w:val="00B92B2D"/>
    <w:rsid w:val="00B92C33"/>
    <w:rsid w:val="00B92D0E"/>
    <w:rsid w:val="00B92D37"/>
    <w:rsid w:val="00B92D4C"/>
    <w:rsid w:val="00B92E8E"/>
    <w:rsid w:val="00B92F1F"/>
    <w:rsid w:val="00B93010"/>
    <w:rsid w:val="00B930C7"/>
    <w:rsid w:val="00B93153"/>
    <w:rsid w:val="00B9318C"/>
    <w:rsid w:val="00B932BA"/>
    <w:rsid w:val="00B93308"/>
    <w:rsid w:val="00B93335"/>
    <w:rsid w:val="00B9349A"/>
    <w:rsid w:val="00B93524"/>
    <w:rsid w:val="00B9375D"/>
    <w:rsid w:val="00B93837"/>
    <w:rsid w:val="00B9384D"/>
    <w:rsid w:val="00B9384F"/>
    <w:rsid w:val="00B938C2"/>
    <w:rsid w:val="00B938FC"/>
    <w:rsid w:val="00B939E4"/>
    <w:rsid w:val="00B93A48"/>
    <w:rsid w:val="00B93B4C"/>
    <w:rsid w:val="00B93D47"/>
    <w:rsid w:val="00B940F2"/>
    <w:rsid w:val="00B940FA"/>
    <w:rsid w:val="00B9426A"/>
    <w:rsid w:val="00B942C5"/>
    <w:rsid w:val="00B943F1"/>
    <w:rsid w:val="00B9442F"/>
    <w:rsid w:val="00B945F6"/>
    <w:rsid w:val="00B9487D"/>
    <w:rsid w:val="00B949AC"/>
    <w:rsid w:val="00B94A08"/>
    <w:rsid w:val="00B94A18"/>
    <w:rsid w:val="00B94ACA"/>
    <w:rsid w:val="00B94BBE"/>
    <w:rsid w:val="00B94C6C"/>
    <w:rsid w:val="00B94D30"/>
    <w:rsid w:val="00B94D32"/>
    <w:rsid w:val="00B94D77"/>
    <w:rsid w:val="00B94D82"/>
    <w:rsid w:val="00B94D90"/>
    <w:rsid w:val="00B94DA9"/>
    <w:rsid w:val="00B94DEB"/>
    <w:rsid w:val="00B950BE"/>
    <w:rsid w:val="00B95101"/>
    <w:rsid w:val="00B951CC"/>
    <w:rsid w:val="00B95205"/>
    <w:rsid w:val="00B952F9"/>
    <w:rsid w:val="00B9532D"/>
    <w:rsid w:val="00B953E1"/>
    <w:rsid w:val="00B954E2"/>
    <w:rsid w:val="00B95586"/>
    <w:rsid w:val="00B955BB"/>
    <w:rsid w:val="00B9573E"/>
    <w:rsid w:val="00B95764"/>
    <w:rsid w:val="00B95867"/>
    <w:rsid w:val="00B9586C"/>
    <w:rsid w:val="00B9592C"/>
    <w:rsid w:val="00B9596F"/>
    <w:rsid w:val="00B959DB"/>
    <w:rsid w:val="00B95BA4"/>
    <w:rsid w:val="00B95BC0"/>
    <w:rsid w:val="00B95DA8"/>
    <w:rsid w:val="00B96122"/>
    <w:rsid w:val="00B961F4"/>
    <w:rsid w:val="00B96272"/>
    <w:rsid w:val="00B964E1"/>
    <w:rsid w:val="00B964EF"/>
    <w:rsid w:val="00B96624"/>
    <w:rsid w:val="00B9665E"/>
    <w:rsid w:val="00B96851"/>
    <w:rsid w:val="00B96A23"/>
    <w:rsid w:val="00B96CD3"/>
    <w:rsid w:val="00B96CF6"/>
    <w:rsid w:val="00B96F14"/>
    <w:rsid w:val="00B96F31"/>
    <w:rsid w:val="00B96FB6"/>
    <w:rsid w:val="00B97112"/>
    <w:rsid w:val="00B9745A"/>
    <w:rsid w:val="00B97498"/>
    <w:rsid w:val="00B97515"/>
    <w:rsid w:val="00B9751D"/>
    <w:rsid w:val="00B97622"/>
    <w:rsid w:val="00B976A5"/>
    <w:rsid w:val="00B977B1"/>
    <w:rsid w:val="00B977CE"/>
    <w:rsid w:val="00B977D6"/>
    <w:rsid w:val="00B979C6"/>
    <w:rsid w:val="00B97B08"/>
    <w:rsid w:val="00B97B7A"/>
    <w:rsid w:val="00B97BC5"/>
    <w:rsid w:val="00B97C1E"/>
    <w:rsid w:val="00B97CB9"/>
    <w:rsid w:val="00B97E8C"/>
    <w:rsid w:val="00B97ED5"/>
    <w:rsid w:val="00B97FAC"/>
    <w:rsid w:val="00BA00A3"/>
    <w:rsid w:val="00BA012D"/>
    <w:rsid w:val="00BA018D"/>
    <w:rsid w:val="00BA0225"/>
    <w:rsid w:val="00BA0476"/>
    <w:rsid w:val="00BA06B1"/>
    <w:rsid w:val="00BA06C4"/>
    <w:rsid w:val="00BA07D1"/>
    <w:rsid w:val="00BA0840"/>
    <w:rsid w:val="00BA0BA0"/>
    <w:rsid w:val="00BA0C6B"/>
    <w:rsid w:val="00BA0CA8"/>
    <w:rsid w:val="00BA0CF6"/>
    <w:rsid w:val="00BA0D0F"/>
    <w:rsid w:val="00BA0D2E"/>
    <w:rsid w:val="00BA0D31"/>
    <w:rsid w:val="00BA0DD8"/>
    <w:rsid w:val="00BA0E42"/>
    <w:rsid w:val="00BA0E6C"/>
    <w:rsid w:val="00BA0F8D"/>
    <w:rsid w:val="00BA15E9"/>
    <w:rsid w:val="00BA162E"/>
    <w:rsid w:val="00BA18B0"/>
    <w:rsid w:val="00BA1AA1"/>
    <w:rsid w:val="00BA1B15"/>
    <w:rsid w:val="00BA1B3F"/>
    <w:rsid w:val="00BA1B5F"/>
    <w:rsid w:val="00BA1B71"/>
    <w:rsid w:val="00BA1BE8"/>
    <w:rsid w:val="00BA1C70"/>
    <w:rsid w:val="00BA1D53"/>
    <w:rsid w:val="00BA1E81"/>
    <w:rsid w:val="00BA1F13"/>
    <w:rsid w:val="00BA2037"/>
    <w:rsid w:val="00BA2226"/>
    <w:rsid w:val="00BA23D6"/>
    <w:rsid w:val="00BA23FB"/>
    <w:rsid w:val="00BA2517"/>
    <w:rsid w:val="00BA25C5"/>
    <w:rsid w:val="00BA25F6"/>
    <w:rsid w:val="00BA260F"/>
    <w:rsid w:val="00BA2689"/>
    <w:rsid w:val="00BA27EE"/>
    <w:rsid w:val="00BA2854"/>
    <w:rsid w:val="00BA2ABA"/>
    <w:rsid w:val="00BA2B43"/>
    <w:rsid w:val="00BA2E08"/>
    <w:rsid w:val="00BA2FAB"/>
    <w:rsid w:val="00BA2FD8"/>
    <w:rsid w:val="00BA2FED"/>
    <w:rsid w:val="00BA3026"/>
    <w:rsid w:val="00BA3079"/>
    <w:rsid w:val="00BA3101"/>
    <w:rsid w:val="00BA3429"/>
    <w:rsid w:val="00BA3615"/>
    <w:rsid w:val="00BA363D"/>
    <w:rsid w:val="00BA36A3"/>
    <w:rsid w:val="00BA3731"/>
    <w:rsid w:val="00BA3754"/>
    <w:rsid w:val="00BA3785"/>
    <w:rsid w:val="00BA37E0"/>
    <w:rsid w:val="00BA38A0"/>
    <w:rsid w:val="00BA39C3"/>
    <w:rsid w:val="00BA3A02"/>
    <w:rsid w:val="00BA3C59"/>
    <w:rsid w:val="00BA3ED9"/>
    <w:rsid w:val="00BA3F4A"/>
    <w:rsid w:val="00BA3F83"/>
    <w:rsid w:val="00BA3FA9"/>
    <w:rsid w:val="00BA41C3"/>
    <w:rsid w:val="00BA42C8"/>
    <w:rsid w:val="00BA4470"/>
    <w:rsid w:val="00BA44D1"/>
    <w:rsid w:val="00BA468A"/>
    <w:rsid w:val="00BA4705"/>
    <w:rsid w:val="00BA484F"/>
    <w:rsid w:val="00BA4985"/>
    <w:rsid w:val="00BA4A13"/>
    <w:rsid w:val="00BA4A8D"/>
    <w:rsid w:val="00BA4B78"/>
    <w:rsid w:val="00BA4B7A"/>
    <w:rsid w:val="00BA4BFF"/>
    <w:rsid w:val="00BA4C03"/>
    <w:rsid w:val="00BA4C4F"/>
    <w:rsid w:val="00BA4CD9"/>
    <w:rsid w:val="00BA4D05"/>
    <w:rsid w:val="00BA4F09"/>
    <w:rsid w:val="00BA4F11"/>
    <w:rsid w:val="00BA4F2F"/>
    <w:rsid w:val="00BA4FE4"/>
    <w:rsid w:val="00BA501E"/>
    <w:rsid w:val="00BA5026"/>
    <w:rsid w:val="00BA508B"/>
    <w:rsid w:val="00BA50E2"/>
    <w:rsid w:val="00BA51CA"/>
    <w:rsid w:val="00BA5303"/>
    <w:rsid w:val="00BA5311"/>
    <w:rsid w:val="00BA5327"/>
    <w:rsid w:val="00BA53D7"/>
    <w:rsid w:val="00BA54A6"/>
    <w:rsid w:val="00BA5646"/>
    <w:rsid w:val="00BA564F"/>
    <w:rsid w:val="00BA5754"/>
    <w:rsid w:val="00BA5797"/>
    <w:rsid w:val="00BA5917"/>
    <w:rsid w:val="00BA5C78"/>
    <w:rsid w:val="00BA5D3C"/>
    <w:rsid w:val="00BA5E7E"/>
    <w:rsid w:val="00BA5F3D"/>
    <w:rsid w:val="00BA5F69"/>
    <w:rsid w:val="00BA5F9B"/>
    <w:rsid w:val="00BA60AC"/>
    <w:rsid w:val="00BA60AD"/>
    <w:rsid w:val="00BA61A1"/>
    <w:rsid w:val="00BA622C"/>
    <w:rsid w:val="00BA62AC"/>
    <w:rsid w:val="00BA634A"/>
    <w:rsid w:val="00BA635C"/>
    <w:rsid w:val="00BA6535"/>
    <w:rsid w:val="00BA65CD"/>
    <w:rsid w:val="00BA666A"/>
    <w:rsid w:val="00BA6957"/>
    <w:rsid w:val="00BA6992"/>
    <w:rsid w:val="00BA6B04"/>
    <w:rsid w:val="00BA6B10"/>
    <w:rsid w:val="00BA6B7A"/>
    <w:rsid w:val="00BA6CD6"/>
    <w:rsid w:val="00BA6E0E"/>
    <w:rsid w:val="00BA6E7E"/>
    <w:rsid w:val="00BA6EA3"/>
    <w:rsid w:val="00BA6EA7"/>
    <w:rsid w:val="00BA723E"/>
    <w:rsid w:val="00BA7246"/>
    <w:rsid w:val="00BA72E7"/>
    <w:rsid w:val="00BA740C"/>
    <w:rsid w:val="00BA753C"/>
    <w:rsid w:val="00BA762D"/>
    <w:rsid w:val="00BA7756"/>
    <w:rsid w:val="00BA78AC"/>
    <w:rsid w:val="00BA7AD1"/>
    <w:rsid w:val="00BA7CBE"/>
    <w:rsid w:val="00BA7CCD"/>
    <w:rsid w:val="00BA7D0F"/>
    <w:rsid w:val="00BA7DA4"/>
    <w:rsid w:val="00BA7E88"/>
    <w:rsid w:val="00BA7EEB"/>
    <w:rsid w:val="00BA7F1D"/>
    <w:rsid w:val="00BA7F9D"/>
    <w:rsid w:val="00BB0002"/>
    <w:rsid w:val="00BB0107"/>
    <w:rsid w:val="00BB0304"/>
    <w:rsid w:val="00BB033C"/>
    <w:rsid w:val="00BB03CC"/>
    <w:rsid w:val="00BB0470"/>
    <w:rsid w:val="00BB0531"/>
    <w:rsid w:val="00BB0646"/>
    <w:rsid w:val="00BB069A"/>
    <w:rsid w:val="00BB0707"/>
    <w:rsid w:val="00BB0794"/>
    <w:rsid w:val="00BB09BE"/>
    <w:rsid w:val="00BB09E9"/>
    <w:rsid w:val="00BB0B4C"/>
    <w:rsid w:val="00BB0BCB"/>
    <w:rsid w:val="00BB0C19"/>
    <w:rsid w:val="00BB0C90"/>
    <w:rsid w:val="00BB0D4B"/>
    <w:rsid w:val="00BB0EA5"/>
    <w:rsid w:val="00BB0EF3"/>
    <w:rsid w:val="00BB0F72"/>
    <w:rsid w:val="00BB12AF"/>
    <w:rsid w:val="00BB13BB"/>
    <w:rsid w:val="00BB1532"/>
    <w:rsid w:val="00BB15BD"/>
    <w:rsid w:val="00BB17A8"/>
    <w:rsid w:val="00BB17CB"/>
    <w:rsid w:val="00BB1877"/>
    <w:rsid w:val="00BB18B6"/>
    <w:rsid w:val="00BB1A26"/>
    <w:rsid w:val="00BB1B02"/>
    <w:rsid w:val="00BB1CF8"/>
    <w:rsid w:val="00BB1DC5"/>
    <w:rsid w:val="00BB1E22"/>
    <w:rsid w:val="00BB1EB6"/>
    <w:rsid w:val="00BB1FCA"/>
    <w:rsid w:val="00BB207D"/>
    <w:rsid w:val="00BB20B8"/>
    <w:rsid w:val="00BB20E9"/>
    <w:rsid w:val="00BB2154"/>
    <w:rsid w:val="00BB2307"/>
    <w:rsid w:val="00BB247B"/>
    <w:rsid w:val="00BB2558"/>
    <w:rsid w:val="00BB2818"/>
    <w:rsid w:val="00BB2A0F"/>
    <w:rsid w:val="00BB2A62"/>
    <w:rsid w:val="00BB2B0B"/>
    <w:rsid w:val="00BB2B58"/>
    <w:rsid w:val="00BB2C55"/>
    <w:rsid w:val="00BB2E17"/>
    <w:rsid w:val="00BB2E46"/>
    <w:rsid w:val="00BB2EF7"/>
    <w:rsid w:val="00BB2EFB"/>
    <w:rsid w:val="00BB2FCC"/>
    <w:rsid w:val="00BB3131"/>
    <w:rsid w:val="00BB33A8"/>
    <w:rsid w:val="00BB36AC"/>
    <w:rsid w:val="00BB372C"/>
    <w:rsid w:val="00BB379B"/>
    <w:rsid w:val="00BB3CE1"/>
    <w:rsid w:val="00BB3E7E"/>
    <w:rsid w:val="00BB41EC"/>
    <w:rsid w:val="00BB438E"/>
    <w:rsid w:val="00BB4404"/>
    <w:rsid w:val="00BB440A"/>
    <w:rsid w:val="00BB44FB"/>
    <w:rsid w:val="00BB454C"/>
    <w:rsid w:val="00BB459B"/>
    <w:rsid w:val="00BB45E3"/>
    <w:rsid w:val="00BB4742"/>
    <w:rsid w:val="00BB4813"/>
    <w:rsid w:val="00BB48BF"/>
    <w:rsid w:val="00BB48DF"/>
    <w:rsid w:val="00BB490A"/>
    <w:rsid w:val="00BB498F"/>
    <w:rsid w:val="00BB49BD"/>
    <w:rsid w:val="00BB4A14"/>
    <w:rsid w:val="00BB4A85"/>
    <w:rsid w:val="00BB4B0B"/>
    <w:rsid w:val="00BB4B3A"/>
    <w:rsid w:val="00BB4B6D"/>
    <w:rsid w:val="00BB4BD9"/>
    <w:rsid w:val="00BB4C0A"/>
    <w:rsid w:val="00BB4DF7"/>
    <w:rsid w:val="00BB4DFE"/>
    <w:rsid w:val="00BB4E71"/>
    <w:rsid w:val="00BB4EB6"/>
    <w:rsid w:val="00BB4EEF"/>
    <w:rsid w:val="00BB5104"/>
    <w:rsid w:val="00BB5118"/>
    <w:rsid w:val="00BB527A"/>
    <w:rsid w:val="00BB527E"/>
    <w:rsid w:val="00BB52EC"/>
    <w:rsid w:val="00BB5300"/>
    <w:rsid w:val="00BB5398"/>
    <w:rsid w:val="00BB53E1"/>
    <w:rsid w:val="00BB540F"/>
    <w:rsid w:val="00BB5474"/>
    <w:rsid w:val="00BB54C7"/>
    <w:rsid w:val="00BB54F4"/>
    <w:rsid w:val="00BB55C9"/>
    <w:rsid w:val="00BB57FB"/>
    <w:rsid w:val="00BB5816"/>
    <w:rsid w:val="00BB59B8"/>
    <w:rsid w:val="00BB59C2"/>
    <w:rsid w:val="00BB5A52"/>
    <w:rsid w:val="00BB5A67"/>
    <w:rsid w:val="00BB5A96"/>
    <w:rsid w:val="00BB5C3D"/>
    <w:rsid w:val="00BB5CD3"/>
    <w:rsid w:val="00BB5EFE"/>
    <w:rsid w:val="00BB6065"/>
    <w:rsid w:val="00BB6199"/>
    <w:rsid w:val="00BB63AC"/>
    <w:rsid w:val="00BB6424"/>
    <w:rsid w:val="00BB65DD"/>
    <w:rsid w:val="00BB66C4"/>
    <w:rsid w:val="00BB66D8"/>
    <w:rsid w:val="00BB6765"/>
    <w:rsid w:val="00BB687C"/>
    <w:rsid w:val="00BB68D1"/>
    <w:rsid w:val="00BB6996"/>
    <w:rsid w:val="00BB69EE"/>
    <w:rsid w:val="00BB6AFB"/>
    <w:rsid w:val="00BB6B78"/>
    <w:rsid w:val="00BB6BDD"/>
    <w:rsid w:val="00BB6C72"/>
    <w:rsid w:val="00BB6CD6"/>
    <w:rsid w:val="00BB6F50"/>
    <w:rsid w:val="00BB6F77"/>
    <w:rsid w:val="00BB6FB1"/>
    <w:rsid w:val="00BB7167"/>
    <w:rsid w:val="00BB7252"/>
    <w:rsid w:val="00BB72CB"/>
    <w:rsid w:val="00BB7330"/>
    <w:rsid w:val="00BB73A7"/>
    <w:rsid w:val="00BB73C6"/>
    <w:rsid w:val="00BB73F0"/>
    <w:rsid w:val="00BB7556"/>
    <w:rsid w:val="00BB75A2"/>
    <w:rsid w:val="00BB75BF"/>
    <w:rsid w:val="00BB75D3"/>
    <w:rsid w:val="00BB764B"/>
    <w:rsid w:val="00BB7740"/>
    <w:rsid w:val="00BB7766"/>
    <w:rsid w:val="00BB7954"/>
    <w:rsid w:val="00BB7A05"/>
    <w:rsid w:val="00BB7ABD"/>
    <w:rsid w:val="00BB7CB3"/>
    <w:rsid w:val="00BB7CCE"/>
    <w:rsid w:val="00BB7D42"/>
    <w:rsid w:val="00BB7E66"/>
    <w:rsid w:val="00BB7EAE"/>
    <w:rsid w:val="00BB7F74"/>
    <w:rsid w:val="00BB7FE1"/>
    <w:rsid w:val="00BC012A"/>
    <w:rsid w:val="00BC0258"/>
    <w:rsid w:val="00BC0284"/>
    <w:rsid w:val="00BC03BD"/>
    <w:rsid w:val="00BC041B"/>
    <w:rsid w:val="00BC04E6"/>
    <w:rsid w:val="00BC053C"/>
    <w:rsid w:val="00BC05BD"/>
    <w:rsid w:val="00BC06B8"/>
    <w:rsid w:val="00BC0791"/>
    <w:rsid w:val="00BC079D"/>
    <w:rsid w:val="00BC07C5"/>
    <w:rsid w:val="00BC085F"/>
    <w:rsid w:val="00BC0967"/>
    <w:rsid w:val="00BC09A8"/>
    <w:rsid w:val="00BC0A91"/>
    <w:rsid w:val="00BC0AF4"/>
    <w:rsid w:val="00BC0B9B"/>
    <w:rsid w:val="00BC0E44"/>
    <w:rsid w:val="00BC0F8E"/>
    <w:rsid w:val="00BC0FD4"/>
    <w:rsid w:val="00BC1225"/>
    <w:rsid w:val="00BC12C7"/>
    <w:rsid w:val="00BC1343"/>
    <w:rsid w:val="00BC1373"/>
    <w:rsid w:val="00BC14F8"/>
    <w:rsid w:val="00BC15DE"/>
    <w:rsid w:val="00BC160F"/>
    <w:rsid w:val="00BC16CA"/>
    <w:rsid w:val="00BC16D8"/>
    <w:rsid w:val="00BC16E2"/>
    <w:rsid w:val="00BC179C"/>
    <w:rsid w:val="00BC17F3"/>
    <w:rsid w:val="00BC1A47"/>
    <w:rsid w:val="00BC1A88"/>
    <w:rsid w:val="00BC1AC6"/>
    <w:rsid w:val="00BC1D94"/>
    <w:rsid w:val="00BC1DD4"/>
    <w:rsid w:val="00BC1E6A"/>
    <w:rsid w:val="00BC1EC0"/>
    <w:rsid w:val="00BC1F06"/>
    <w:rsid w:val="00BC200B"/>
    <w:rsid w:val="00BC2026"/>
    <w:rsid w:val="00BC2071"/>
    <w:rsid w:val="00BC2098"/>
    <w:rsid w:val="00BC21BC"/>
    <w:rsid w:val="00BC21F4"/>
    <w:rsid w:val="00BC2219"/>
    <w:rsid w:val="00BC221D"/>
    <w:rsid w:val="00BC222E"/>
    <w:rsid w:val="00BC2512"/>
    <w:rsid w:val="00BC2520"/>
    <w:rsid w:val="00BC25C2"/>
    <w:rsid w:val="00BC2763"/>
    <w:rsid w:val="00BC28CA"/>
    <w:rsid w:val="00BC28F9"/>
    <w:rsid w:val="00BC2971"/>
    <w:rsid w:val="00BC2B8F"/>
    <w:rsid w:val="00BC2BB7"/>
    <w:rsid w:val="00BC2C5B"/>
    <w:rsid w:val="00BC2C66"/>
    <w:rsid w:val="00BC2CB5"/>
    <w:rsid w:val="00BC2CB6"/>
    <w:rsid w:val="00BC2CC3"/>
    <w:rsid w:val="00BC2F03"/>
    <w:rsid w:val="00BC2F3E"/>
    <w:rsid w:val="00BC3091"/>
    <w:rsid w:val="00BC30A1"/>
    <w:rsid w:val="00BC30D3"/>
    <w:rsid w:val="00BC3122"/>
    <w:rsid w:val="00BC3290"/>
    <w:rsid w:val="00BC3292"/>
    <w:rsid w:val="00BC33F5"/>
    <w:rsid w:val="00BC3530"/>
    <w:rsid w:val="00BC35CF"/>
    <w:rsid w:val="00BC3607"/>
    <w:rsid w:val="00BC36FB"/>
    <w:rsid w:val="00BC38AB"/>
    <w:rsid w:val="00BC3907"/>
    <w:rsid w:val="00BC39D7"/>
    <w:rsid w:val="00BC3A7C"/>
    <w:rsid w:val="00BC3AF2"/>
    <w:rsid w:val="00BC3AF5"/>
    <w:rsid w:val="00BC3BC1"/>
    <w:rsid w:val="00BC3C5F"/>
    <w:rsid w:val="00BC3CBE"/>
    <w:rsid w:val="00BC3D08"/>
    <w:rsid w:val="00BC3DE1"/>
    <w:rsid w:val="00BC3E1A"/>
    <w:rsid w:val="00BC3E44"/>
    <w:rsid w:val="00BC3ED8"/>
    <w:rsid w:val="00BC40DC"/>
    <w:rsid w:val="00BC40EC"/>
    <w:rsid w:val="00BC4183"/>
    <w:rsid w:val="00BC4198"/>
    <w:rsid w:val="00BC44D4"/>
    <w:rsid w:val="00BC4627"/>
    <w:rsid w:val="00BC4693"/>
    <w:rsid w:val="00BC47E4"/>
    <w:rsid w:val="00BC48AF"/>
    <w:rsid w:val="00BC492E"/>
    <w:rsid w:val="00BC4B23"/>
    <w:rsid w:val="00BC4B29"/>
    <w:rsid w:val="00BC4B77"/>
    <w:rsid w:val="00BC4DC9"/>
    <w:rsid w:val="00BC4E27"/>
    <w:rsid w:val="00BC4E4F"/>
    <w:rsid w:val="00BC4E72"/>
    <w:rsid w:val="00BC4F96"/>
    <w:rsid w:val="00BC4FAD"/>
    <w:rsid w:val="00BC5044"/>
    <w:rsid w:val="00BC5051"/>
    <w:rsid w:val="00BC50D1"/>
    <w:rsid w:val="00BC516E"/>
    <w:rsid w:val="00BC51A1"/>
    <w:rsid w:val="00BC53E2"/>
    <w:rsid w:val="00BC53F4"/>
    <w:rsid w:val="00BC542D"/>
    <w:rsid w:val="00BC5452"/>
    <w:rsid w:val="00BC54F3"/>
    <w:rsid w:val="00BC55BF"/>
    <w:rsid w:val="00BC56DD"/>
    <w:rsid w:val="00BC5778"/>
    <w:rsid w:val="00BC581F"/>
    <w:rsid w:val="00BC585F"/>
    <w:rsid w:val="00BC58FC"/>
    <w:rsid w:val="00BC5922"/>
    <w:rsid w:val="00BC593F"/>
    <w:rsid w:val="00BC5A6A"/>
    <w:rsid w:val="00BC5A8C"/>
    <w:rsid w:val="00BC5C10"/>
    <w:rsid w:val="00BC5D13"/>
    <w:rsid w:val="00BC5D3A"/>
    <w:rsid w:val="00BC5EAC"/>
    <w:rsid w:val="00BC5EBB"/>
    <w:rsid w:val="00BC5FF2"/>
    <w:rsid w:val="00BC62A2"/>
    <w:rsid w:val="00BC62ED"/>
    <w:rsid w:val="00BC6320"/>
    <w:rsid w:val="00BC63F4"/>
    <w:rsid w:val="00BC6409"/>
    <w:rsid w:val="00BC64B8"/>
    <w:rsid w:val="00BC6574"/>
    <w:rsid w:val="00BC671B"/>
    <w:rsid w:val="00BC676A"/>
    <w:rsid w:val="00BC676B"/>
    <w:rsid w:val="00BC676D"/>
    <w:rsid w:val="00BC6800"/>
    <w:rsid w:val="00BC6860"/>
    <w:rsid w:val="00BC6891"/>
    <w:rsid w:val="00BC68AB"/>
    <w:rsid w:val="00BC6A0A"/>
    <w:rsid w:val="00BC6A82"/>
    <w:rsid w:val="00BC6AD0"/>
    <w:rsid w:val="00BC6C37"/>
    <w:rsid w:val="00BC6CE9"/>
    <w:rsid w:val="00BC6CEB"/>
    <w:rsid w:val="00BC6D5A"/>
    <w:rsid w:val="00BC6DC2"/>
    <w:rsid w:val="00BC6F36"/>
    <w:rsid w:val="00BC6FBF"/>
    <w:rsid w:val="00BC70E2"/>
    <w:rsid w:val="00BC715E"/>
    <w:rsid w:val="00BC728A"/>
    <w:rsid w:val="00BC72B2"/>
    <w:rsid w:val="00BC73BE"/>
    <w:rsid w:val="00BC7443"/>
    <w:rsid w:val="00BC74DF"/>
    <w:rsid w:val="00BC75E6"/>
    <w:rsid w:val="00BC7729"/>
    <w:rsid w:val="00BC77A4"/>
    <w:rsid w:val="00BC77C5"/>
    <w:rsid w:val="00BC77E9"/>
    <w:rsid w:val="00BC78BB"/>
    <w:rsid w:val="00BC78E9"/>
    <w:rsid w:val="00BC7920"/>
    <w:rsid w:val="00BC792E"/>
    <w:rsid w:val="00BC7A72"/>
    <w:rsid w:val="00BC7BE0"/>
    <w:rsid w:val="00BC7C01"/>
    <w:rsid w:val="00BC7C4D"/>
    <w:rsid w:val="00BC7DA8"/>
    <w:rsid w:val="00BC7E36"/>
    <w:rsid w:val="00BC7E40"/>
    <w:rsid w:val="00BC7E79"/>
    <w:rsid w:val="00BC7E85"/>
    <w:rsid w:val="00BD0017"/>
    <w:rsid w:val="00BD00E7"/>
    <w:rsid w:val="00BD010E"/>
    <w:rsid w:val="00BD0140"/>
    <w:rsid w:val="00BD0213"/>
    <w:rsid w:val="00BD0287"/>
    <w:rsid w:val="00BD03FE"/>
    <w:rsid w:val="00BD04A1"/>
    <w:rsid w:val="00BD04C9"/>
    <w:rsid w:val="00BD0545"/>
    <w:rsid w:val="00BD063D"/>
    <w:rsid w:val="00BD0771"/>
    <w:rsid w:val="00BD08B9"/>
    <w:rsid w:val="00BD08F3"/>
    <w:rsid w:val="00BD09B4"/>
    <w:rsid w:val="00BD09E8"/>
    <w:rsid w:val="00BD0CB6"/>
    <w:rsid w:val="00BD0D94"/>
    <w:rsid w:val="00BD0DB6"/>
    <w:rsid w:val="00BD0E31"/>
    <w:rsid w:val="00BD0E59"/>
    <w:rsid w:val="00BD0F16"/>
    <w:rsid w:val="00BD0FC3"/>
    <w:rsid w:val="00BD1058"/>
    <w:rsid w:val="00BD10EE"/>
    <w:rsid w:val="00BD10FA"/>
    <w:rsid w:val="00BD1121"/>
    <w:rsid w:val="00BD1142"/>
    <w:rsid w:val="00BD13D1"/>
    <w:rsid w:val="00BD13E8"/>
    <w:rsid w:val="00BD150B"/>
    <w:rsid w:val="00BD1527"/>
    <w:rsid w:val="00BD1547"/>
    <w:rsid w:val="00BD186E"/>
    <w:rsid w:val="00BD1A43"/>
    <w:rsid w:val="00BD1B3A"/>
    <w:rsid w:val="00BD1BA7"/>
    <w:rsid w:val="00BD1D81"/>
    <w:rsid w:val="00BD1DC4"/>
    <w:rsid w:val="00BD1F8E"/>
    <w:rsid w:val="00BD2092"/>
    <w:rsid w:val="00BD20D5"/>
    <w:rsid w:val="00BD2279"/>
    <w:rsid w:val="00BD22A8"/>
    <w:rsid w:val="00BD234D"/>
    <w:rsid w:val="00BD236A"/>
    <w:rsid w:val="00BD23B7"/>
    <w:rsid w:val="00BD2404"/>
    <w:rsid w:val="00BD2436"/>
    <w:rsid w:val="00BD245A"/>
    <w:rsid w:val="00BD27B3"/>
    <w:rsid w:val="00BD282D"/>
    <w:rsid w:val="00BD289A"/>
    <w:rsid w:val="00BD2A53"/>
    <w:rsid w:val="00BD2AC2"/>
    <w:rsid w:val="00BD2AE8"/>
    <w:rsid w:val="00BD2C51"/>
    <w:rsid w:val="00BD2C96"/>
    <w:rsid w:val="00BD2E4B"/>
    <w:rsid w:val="00BD2F78"/>
    <w:rsid w:val="00BD32AB"/>
    <w:rsid w:val="00BD32B6"/>
    <w:rsid w:val="00BD336D"/>
    <w:rsid w:val="00BD34B1"/>
    <w:rsid w:val="00BD34E3"/>
    <w:rsid w:val="00BD351E"/>
    <w:rsid w:val="00BD35DA"/>
    <w:rsid w:val="00BD373D"/>
    <w:rsid w:val="00BD3781"/>
    <w:rsid w:val="00BD381F"/>
    <w:rsid w:val="00BD387F"/>
    <w:rsid w:val="00BD398A"/>
    <w:rsid w:val="00BD3AF9"/>
    <w:rsid w:val="00BD3E9E"/>
    <w:rsid w:val="00BD3EAB"/>
    <w:rsid w:val="00BD3EF0"/>
    <w:rsid w:val="00BD3F0A"/>
    <w:rsid w:val="00BD3F13"/>
    <w:rsid w:val="00BD3F22"/>
    <w:rsid w:val="00BD3FF0"/>
    <w:rsid w:val="00BD40CB"/>
    <w:rsid w:val="00BD41C7"/>
    <w:rsid w:val="00BD431A"/>
    <w:rsid w:val="00BD4352"/>
    <w:rsid w:val="00BD44A0"/>
    <w:rsid w:val="00BD463B"/>
    <w:rsid w:val="00BD463C"/>
    <w:rsid w:val="00BD469A"/>
    <w:rsid w:val="00BD4729"/>
    <w:rsid w:val="00BD475D"/>
    <w:rsid w:val="00BD4A01"/>
    <w:rsid w:val="00BD4BF0"/>
    <w:rsid w:val="00BD4C34"/>
    <w:rsid w:val="00BD4D5C"/>
    <w:rsid w:val="00BD5054"/>
    <w:rsid w:val="00BD510D"/>
    <w:rsid w:val="00BD5245"/>
    <w:rsid w:val="00BD52FB"/>
    <w:rsid w:val="00BD531B"/>
    <w:rsid w:val="00BD531D"/>
    <w:rsid w:val="00BD53B6"/>
    <w:rsid w:val="00BD54FB"/>
    <w:rsid w:val="00BD5554"/>
    <w:rsid w:val="00BD568E"/>
    <w:rsid w:val="00BD57B1"/>
    <w:rsid w:val="00BD5902"/>
    <w:rsid w:val="00BD5982"/>
    <w:rsid w:val="00BD59AF"/>
    <w:rsid w:val="00BD59DA"/>
    <w:rsid w:val="00BD5AC1"/>
    <w:rsid w:val="00BD5B16"/>
    <w:rsid w:val="00BD5B36"/>
    <w:rsid w:val="00BD5C15"/>
    <w:rsid w:val="00BD5C6A"/>
    <w:rsid w:val="00BD5C80"/>
    <w:rsid w:val="00BD5DC0"/>
    <w:rsid w:val="00BD5DEE"/>
    <w:rsid w:val="00BD5FB0"/>
    <w:rsid w:val="00BD5FCC"/>
    <w:rsid w:val="00BD5FD5"/>
    <w:rsid w:val="00BD60E2"/>
    <w:rsid w:val="00BD61A4"/>
    <w:rsid w:val="00BD61D9"/>
    <w:rsid w:val="00BD61E3"/>
    <w:rsid w:val="00BD6308"/>
    <w:rsid w:val="00BD6351"/>
    <w:rsid w:val="00BD66CF"/>
    <w:rsid w:val="00BD6785"/>
    <w:rsid w:val="00BD6859"/>
    <w:rsid w:val="00BD6B76"/>
    <w:rsid w:val="00BD6C39"/>
    <w:rsid w:val="00BD6D11"/>
    <w:rsid w:val="00BD6D9F"/>
    <w:rsid w:val="00BD6F7C"/>
    <w:rsid w:val="00BD6F9C"/>
    <w:rsid w:val="00BD70E4"/>
    <w:rsid w:val="00BD7125"/>
    <w:rsid w:val="00BD713F"/>
    <w:rsid w:val="00BD7318"/>
    <w:rsid w:val="00BD7457"/>
    <w:rsid w:val="00BD7461"/>
    <w:rsid w:val="00BD7485"/>
    <w:rsid w:val="00BD79AD"/>
    <w:rsid w:val="00BD7A53"/>
    <w:rsid w:val="00BD7A5D"/>
    <w:rsid w:val="00BD7A60"/>
    <w:rsid w:val="00BD7B60"/>
    <w:rsid w:val="00BD7BE7"/>
    <w:rsid w:val="00BD7CFF"/>
    <w:rsid w:val="00BD7D25"/>
    <w:rsid w:val="00BD7D76"/>
    <w:rsid w:val="00BD7D7A"/>
    <w:rsid w:val="00BD7E16"/>
    <w:rsid w:val="00BD7E1B"/>
    <w:rsid w:val="00BD7E38"/>
    <w:rsid w:val="00BD7E60"/>
    <w:rsid w:val="00BD7F07"/>
    <w:rsid w:val="00BD7FEF"/>
    <w:rsid w:val="00BE01B5"/>
    <w:rsid w:val="00BE01E0"/>
    <w:rsid w:val="00BE021D"/>
    <w:rsid w:val="00BE0297"/>
    <w:rsid w:val="00BE02F6"/>
    <w:rsid w:val="00BE0373"/>
    <w:rsid w:val="00BE03C6"/>
    <w:rsid w:val="00BE0539"/>
    <w:rsid w:val="00BE055E"/>
    <w:rsid w:val="00BE0644"/>
    <w:rsid w:val="00BE0645"/>
    <w:rsid w:val="00BE0679"/>
    <w:rsid w:val="00BE06EC"/>
    <w:rsid w:val="00BE0720"/>
    <w:rsid w:val="00BE07BC"/>
    <w:rsid w:val="00BE08D6"/>
    <w:rsid w:val="00BE08D7"/>
    <w:rsid w:val="00BE0923"/>
    <w:rsid w:val="00BE093E"/>
    <w:rsid w:val="00BE09AA"/>
    <w:rsid w:val="00BE09C3"/>
    <w:rsid w:val="00BE0AD9"/>
    <w:rsid w:val="00BE0B31"/>
    <w:rsid w:val="00BE0C72"/>
    <w:rsid w:val="00BE0CB5"/>
    <w:rsid w:val="00BE0D74"/>
    <w:rsid w:val="00BE0DE0"/>
    <w:rsid w:val="00BE0DFD"/>
    <w:rsid w:val="00BE0E03"/>
    <w:rsid w:val="00BE0F09"/>
    <w:rsid w:val="00BE100D"/>
    <w:rsid w:val="00BE1174"/>
    <w:rsid w:val="00BE11D2"/>
    <w:rsid w:val="00BE1271"/>
    <w:rsid w:val="00BE13EE"/>
    <w:rsid w:val="00BE14DF"/>
    <w:rsid w:val="00BE1539"/>
    <w:rsid w:val="00BE1560"/>
    <w:rsid w:val="00BE16D2"/>
    <w:rsid w:val="00BE171D"/>
    <w:rsid w:val="00BE1794"/>
    <w:rsid w:val="00BE1897"/>
    <w:rsid w:val="00BE194F"/>
    <w:rsid w:val="00BE1975"/>
    <w:rsid w:val="00BE1BCF"/>
    <w:rsid w:val="00BE1D27"/>
    <w:rsid w:val="00BE1DDA"/>
    <w:rsid w:val="00BE1EC6"/>
    <w:rsid w:val="00BE1F7A"/>
    <w:rsid w:val="00BE1FFD"/>
    <w:rsid w:val="00BE2068"/>
    <w:rsid w:val="00BE21C4"/>
    <w:rsid w:val="00BE22E1"/>
    <w:rsid w:val="00BE2336"/>
    <w:rsid w:val="00BE2420"/>
    <w:rsid w:val="00BE2473"/>
    <w:rsid w:val="00BE24BA"/>
    <w:rsid w:val="00BE24D1"/>
    <w:rsid w:val="00BE25A1"/>
    <w:rsid w:val="00BE26BD"/>
    <w:rsid w:val="00BE2755"/>
    <w:rsid w:val="00BE2CA9"/>
    <w:rsid w:val="00BE2E2E"/>
    <w:rsid w:val="00BE2EB2"/>
    <w:rsid w:val="00BE2EC5"/>
    <w:rsid w:val="00BE3019"/>
    <w:rsid w:val="00BE307A"/>
    <w:rsid w:val="00BE308A"/>
    <w:rsid w:val="00BE3415"/>
    <w:rsid w:val="00BE3417"/>
    <w:rsid w:val="00BE36FF"/>
    <w:rsid w:val="00BE37B3"/>
    <w:rsid w:val="00BE37BE"/>
    <w:rsid w:val="00BE3852"/>
    <w:rsid w:val="00BE385F"/>
    <w:rsid w:val="00BE392B"/>
    <w:rsid w:val="00BE3999"/>
    <w:rsid w:val="00BE39E7"/>
    <w:rsid w:val="00BE3AF3"/>
    <w:rsid w:val="00BE3C62"/>
    <w:rsid w:val="00BE3F08"/>
    <w:rsid w:val="00BE3FD3"/>
    <w:rsid w:val="00BE3FFC"/>
    <w:rsid w:val="00BE4080"/>
    <w:rsid w:val="00BE40B9"/>
    <w:rsid w:val="00BE40C2"/>
    <w:rsid w:val="00BE40DB"/>
    <w:rsid w:val="00BE42AB"/>
    <w:rsid w:val="00BE430A"/>
    <w:rsid w:val="00BE44AF"/>
    <w:rsid w:val="00BE44E6"/>
    <w:rsid w:val="00BE44F7"/>
    <w:rsid w:val="00BE4501"/>
    <w:rsid w:val="00BE4506"/>
    <w:rsid w:val="00BE453F"/>
    <w:rsid w:val="00BE454C"/>
    <w:rsid w:val="00BE464C"/>
    <w:rsid w:val="00BE4703"/>
    <w:rsid w:val="00BE470B"/>
    <w:rsid w:val="00BE47F3"/>
    <w:rsid w:val="00BE4801"/>
    <w:rsid w:val="00BE4812"/>
    <w:rsid w:val="00BE48C9"/>
    <w:rsid w:val="00BE4991"/>
    <w:rsid w:val="00BE4A2C"/>
    <w:rsid w:val="00BE4A7D"/>
    <w:rsid w:val="00BE4ABD"/>
    <w:rsid w:val="00BE4B17"/>
    <w:rsid w:val="00BE4B33"/>
    <w:rsid w:val="00BE4C02"/>
    <w:rsid w:val="00BE4C97"/>
    <w:rsid w:val="00BE4C9C"/>
    <w:rsid w:val="00BE4DD4"/>
    <w:rsid w:val="00BE4F93"/>
    <w:rsid w:val="00BE50D2"/>
    <w:rsid w:val="00BE50DF"/>
    <w:rsid w:val="00BE5146"/>
    <w:rsid w:val="00BE52AA"/>
    <w:rsid w:val="00BE542E"/>
    <w:rsid w:val="00BE5483"/>
    <w:rsid w:val="00BE54CD"/>
    <w:rsid w:val="00BE5579"/>
    <w:rsid w:val="00BE56B0"/>
    <w:rsid w:val="00BE57A4"/>
    <w:rsid w:val="00BE58FA"/>
    <w:rsid w:val="00BE5979"/>
    <w:rsid w:val="00BE5991"/>
    <w:rsid w:val="00BE5A08"/>
    <w:rsid w:val="00BE5B23"/>
    <w:rsid w:val="00BE5C79"/>
    <w:rsid w:val="00BE5C92"/>
    <w:rsid w:val="00BE5D71"/>
    <w:rsid w:val="00BE5F48"/>
    <w:rsid w:val="00BE5F65"/>
    <w:rsid w:val="00BE609A"/>
    <w:rsid w:val="00BE614F"/>
    <w:rsid w:val="00BE61F7"/>
    <w:rsid w:val="00BE6252"/>
    <w:rsid w:val="00BE6336"/>
    <w:rsid w:val="00BE656C"/>
    <w:rsid w:val="00BE6693"/>
    <w:rsid w:val="00BE66E2"/>
    <w:rsid w:val="00BE677A"/>
    <w:rsid w:val="00BE6A3D"/>
    <w:rsid w:val="00BE6AD3"/>
    <w:rsid w:val="00BE6B9F"/>
    <w:rsid w:val="00BE6CA9"/>
    <w:rsid w:val="00BE6DFB"/>
    <w:rsid w:val="00BE6F35"/>
    <w:rsid w:val="00BE6FC4"/>
    <w:rsid w:val="00BE7039"/>
    <w:rsid w:val="00BE70AC"/>
    <w:rsid w:val="00BE712B"/>
    <w:rsid w:val="00BE718A"/>
    <w:rsid w:val="00BE733C"/>
    <w:rsid w:val="00BE74A3"/>
    <w:rsid w:val="00BE7542"/>
    <w:rsid w:val="00BE7557"/>
    <w:rsid w:val="00BE75D0"/>
    <w:rsid w:val="00BE76CB"/>
    <w:rsid w:val="00BE772B"/>
    <w:rsid w:val="00BE7796"/>
    <w:rsid w:val="00BE7959"/>
    <w:rsid w:val="00BE79A1"/>
    <w:rsid w:val="00BE7A9D"/>
    <w:rsid w:val="00BE7B8A"/>
    <w:rsid w:val="00BE7BD2"/>
    <w:rsid w:val="00BE7C2C"/>
    <w:rsid w:val="00BE7C79"/>
    <w:rsid w:val="00BE7CAA"/>
    <w:rsid w:val="00BE7CBF"/>
    <w:rsid w:val="00BE7D9D"/>
    <w:rsid w:val="00BE7EC2"/>
    <w:rsid w:val="00BE7ED4"/>
    <w:rsid w:val="00BE7F0D"/>
    <w:rsid w:val="00BE7F5C"/>
    <w:rsid w:val="00BE7F99"/>
    <w:rsid w:val="00BF006F"/>
    <w:rsid w:val="00BF0196"/>
    <w:rsid w:val="00BF01A1"/>
    <w:rsid w:val="00BF01BA"/>
    <w:rsid w:val="00BF0357"/>
    <w:rsid w:val="00BF0363"/>
    <w:rsid w:val="00BF03C3"/>
    <w:rsid w:val="00BF04DC"/>
    <w:rsid w:val="00BF0620"/>
    <w:rsid w:val="00BF07CA"/>
    <w:rsid w:val="00BF084E"/>
    <w:rsid w:val="00BF08BF"/>
    <w:rsid w:val="00BF08DB"/>
    <w:rsid w:val="00BF08EF"/>
    <w:rsid w:val="00BF0AA3"/>
    <w:rsid w:val="00BF0B78"/>
    <w:rsid w:val="00BF0BE3"/>
    <w:rsid w:val="00BF0C27"/>
    <w:rsid w:val="00BF0D60"/>
    <w:rsid w:val="00BF0DFA"/>
    <w:rsid w:val="00BF109A"/>
    <w:rsid w:val="00BF110E"/>
    <w:rsid w:val="00BF120C"/>
    <w:rsid w:val="00BF1440"/>
    <w:rsid w:val="00BF1472"/>
    <w:rsid w:val="00BF15C0"/>
    <w:rsid w:val="00BF15E1"/>
    <w:rsid w:val="00BF16D1"/>
    <w:rsid w:val="00BF17DF"/>
    <w:rsid w:val="00BF182F"/>
    <w:rsid w:val="00BF1899"/>
    <w:rsid w:val="00BF18AF"/>
    <w:rsid w:val="00BF19B6"/>
    <w:rsid w:val="00BF1A00"/>
    <w:rsid w:val="00BF1CEA"/>
    <w:rsid w:val="00BF1F97"/>
    <w:rsid w:val="00BF1FB0"/>
    <w:rsid w:val="00BF2001"/>
    <w:rsid w:val="00BF2100"/>
    <w:rsid w:val="00BF2218"/>
    <w:rsid w:val="00BF26D8"/>
    <w:rsid w:val="00BF2745"/>
    <w:rsid w:val="00BF274F"/>
    <w:rsid w:val="00BF2822"/>
    <w:rsid w:val="00BF290A"/>
    <w:rsid w:val="00BF2C35"/>
    <w:rsid w:val="00BF2CCA"/>
    <w:rsid w:val="00BF2E68"/>
    <w:rsid w:val="00BF2E7C"/>
    <w:rsid w:val="00BF3024"/>
    <w:rsid w:val="00BF3321"/>
    <w:rsid w:val="00BF367E"/>
    <w:rsid w:val="00BF36D1"/>
    <w:rsid w:val="00BF376C"/>
    <w:rsid w:val="00BF37E1"/>
    <w:rsid w:val="00BF382A"/>
    <w:rsid w:val="00BF38C1"/>
    <w:rsid w:val="00BF3929"/>
    <w:rsid w:val="00BF392F"/>
    <w:rsid w:val="00BF3A1E"/>
    <w:rsid w:val="00BF3A34"/>
    <w:rsid w:val="00BF3A9B"/>
    <w:rsid w:val="00BF3D0E"/>
    <w:rsid w:val="00BF3D8C"/>
    <w:rsid w:val="00BF3E20"/>
    <w:rsid w:val="00BF3E7F"/>
    <w:rsid w:val="00BF40CF"/>
    <w:rsid w:val="00BF4298"/>
    <w:rsid w:val="00BF4549"/>
    <w:rsid w:val="00BF45B4"/>
    <w:rsid w:val="00BF46C3"/>
    <w:rsid w:val="00BF4785"/>
    <w:rsid w:val="00BF484F"/>
    <w:rsid w:val="00BF486E"/>
    <w:rsid w:val="00BF49C3"/>
    <w:rsid w:val="00BF4AAF"/>
    <w:rsid w:val="00BF4B14"/>
    <w:rsid w:val="00BF4B39"/>
    <w:rsid w:val="00BF4B99"/>
    <w:rsid w:val="00BF4C6B"/>
    <w:rsid w:val="00BF4D6B"/>
    <w:rsid w:val="00BF4EE1"/>
    <w:rsid w:val="00BF4F94"/>
    <w:rsid w:val="00BF5040"/>
    <w:rsid w:val="00BF5162"/>
    <w:rsid w:val="00BF519E"/>
    <w:rsid w:val="00BF5302"/>
    <w:rsid w:val="00BF53AE"/>
    <w:rsid w:val="00BF545E"/>
    <w:rsid w:val="00BF54C5"/>
    <w:rsid w:val="00BF554E"/>
    <w:rsid w:val="00BF55C0"/>
    <w:rsid w:val="00BF5684"/>
    <w:rsid w:val="00BF56DA"/>
    <w:rsid w:val="00BF5736"/>
    <w:rsid w:val="00BF5831"/>
    <w:rsid w:val="00BF5838"/>
    <w:rsid w:val="00BF586F"/>
    <w:rsid w:val="00BF58C9"/>
    <w:rsid w:val="00BF5939"/>
    <w:rsid w:val="00BF596B"/>
    <w:rsid w:val="00BF5993"/>
    <w:rsid w:val="00BF59A8"/>
    <w:rsid w:val="00BF5A05"/>
    <w:rsid w:val="00BF5A5F"/>
    <w:rsid w:val="00BF5ADC"/>
    <w:rsid w:val="00BF5D72"/>
    <w:rsid w:val="00BF5DAE"/>
    <w:rsid w:val="00BF5DC5"/>
    <w:rsid w:val="00BF5E88"/>
    <w:rsid w:val="00BF5EE2"/>
    <w:rsid w:val="00BF6042"/>
    <w:rsid w:val="00BF62FD"/>
    <w:rsid w:val="00BF653C"/>
    <w:rsid w:val="00BF65C5"/>
    <w:rsid w:val="00BF65CE"/>
    <w:rsid w:val="00BF663A"/>
    <w:rsid w:val="00BF6640"/>
    <w:rsid w:val="00BF66B2"/>
    <w:rsid w:val="00BF690B"/>
    <w:rsid w:val="00BF6960"/>
    <w:rsid w:val="00BF699A"/>
    <w:rsid w:val="00BF6A2A"/>
    <w:rsid w:val="00BF6D31"/>
    <w:rsid w:val="00BF6D34"/>
    <w:rsid w:val="00BF6FD1"/>
    <w:rsid w:val="00BF7070"/>
    <w:rsid w:val="00BF7187"/>
    <w:rsid w:val="00BF7726"/>
    <w:rsid w:val="00BF77CD"/>
    <w:rsid w:val="00BF7812"/>
    <w:rsid w:val="00BF788C"/>
    <w:rsid w:val="00BF78B9"/>
    <w:rsid w:val="00BF7C79"/>
    <w:rsid w:val="00BF7D35"/>
    <w:rsid w:val="00BF7E52"/>
    <w:rsid w:val="00BF7EB8"/>
    <w:rsid w:val="00C00212"/>
    <w:rsid w:val="00C00224"/>
    <w:rsid w:val="00C002C9"/>
    <w:rsid w:val="00C0052B"/>
    <w:rsid w:val="00C006A1"/>
    <w:rsid w:val="00C00774"/>
    <w:rsid w:val="00C008A1"/>
    <w:rsid w:val="00C009E1"/>
    <w:rsid w:val="00C00AB3"/>
    <w:rsid w:val="00C00AF7"/>
    <w:rsid w:val="00C00BAC"/>
    <w:rsid w:val="00C00BD7"/>
    <w:rsid w:val="00C00C85"/>
    <w:rsid w:val="00C00C8E"/>
    <w:rsid w:val="00C00E74"/>
    <w:rsid w:val="00C00F3C"/>
    <w:rsid w:val="00C00FB9"/>
    <w:rsid w:val="00C01061"/>
    <w:rsid w:val="00C01063"/>
    <w:rsid w:val="00C010A2"/>
    <w:rsid w:val="00C012C5"/>
    <w:rsid w:val="00C012F5"/>
    <w:rsid w:val="00C01414"/>
    <w:rsid w:val="00C0147D"/>
    <w:rsid w:val="00C016A4"/>
    <w:rsid w:val="00C01814"/>
    <w:rsid w:val="00C01917"/>
    <w:rsid w:val="00C01989"/>
    <w:rsid w:val="00C01B61"/>
    <w:rsid w:val="00C01D57"/>
    <w:rsid w:val="00C0201E"/>
    <w:rsid w:val="00C020A1"/>
    <w:rsid w:val="00C02167"/>
    <w:rsid w:val="00C021F9"/>
    <w:rsid w:val="00C022D7"/>
    <w:rsid w:val="00C02544"/>
    <w:rsid w:val="00C025F3"/>
    <w:rsid w:val="00C0262B"/>
    <w:rsid w:val="00C026E7"/>
    <w:rsid w:val="00C026EB"/>
    <w:rsid w:val="00C027F0"/>
    <w:rsid w:val="00C0283C"/>
    <w:rsid w:val="00C028BD"/>
    <w:rsid w:val="00C02A56"/>
    <w:rsid w:val="00C02A99"/>
    <w:rsid w:val="00C02AB4"/>
    <w:rsid w:val="00C02B66"/>
    <w:rsid w:val="00C02BED"/>
    <w:rsid w:val="00C02BF2"/>
    <w:rsid w:val="00C02DE1"/>
    <w:rsid w:val="00C02F2F"/>
    <w:rsid w:val="00C02FD7"/>
    <w:rsid w:val="00C0303A"/>
    <w:rsid w:val="00C030CE"/>
    <w:rsid w:val="00C030CF"/>
    <w:rsid w:val="00C03118"/>
    <w:rsid w:val="00C031DF"/>
    <w:rsid w:val="00C03276"/>
    <w:rsid w:val="00C03290"/>
    <w:rsid w:val="00C032D2"/>
    <w:rsid w:val="00C03356"/>
    <w:rsid w:val="00C03359"/>
    <w:rsid w:val="00C03367"/>
    <w:rsid w:val="00C034A5"/>
    <w:rsid w:val="00C034C2"/>
    <w:rsid w:val="00C036EA"/>
    <w:rsid w:val="00C039B1"/>
    <w:rsid w:val="00C03A33"/>
    <w:rsid w:val="00C03A35"/>
    <w:rsid w:val="00C03B4D"/>
    <w:rsid w:val="00C03D24"/>
    <w:rsid w:val="00C03D8E"/>
    <w:rsid w:val="00C03DC4"/>
    <w:rsid w:val="00C03E22"/>
    <w:rsid w:val="00C03E51"/>
    <w:rsid w:val="00C03F31"/>
    <w:rsid w:val="00C03F92"/>
    <w:rsid w:val="00C04033"/>
    <w:rsid w:val="00C041D4"/>
    <w:rsid w:val="00C04225"/>
    <w:rsid w:val="00C042B1"/>
    <w:rsid w:val="00C042FB"/>
    <w:rsid w:val="00C04328"/>
    <w:rsid w:val="00C045B2"/>
    <w:rsid w:val="00C0464A"/>
    <w:rsid w:val="00C04654"/>
    <w:rsid w:val="00C046C0"/>
    <w:rsid w:val="00C0474F"/>
    <w:rsid w:val="00C04794"/>
    <w:rsid w:val="00C0487A"/>
    <w:rsid w:val="00C048E8"/>
    <w:rsid w:val="00C0491F"/>
    <w:rsid w:val="00C04951"/>
    <w:rsid w:val="00C0497B"/>
    <w:rsid w:val="00C04991"/>
    <w:rsid w:val="00C04A60"/>
    <w:rsid w:val="00C04A6F"/>
    <w:rsid w:val="00C04AD7"/>
    <w:rsid w:val="00C04D80"/>
    <w:rsid w:val="00C04DC3"/>
    <w:rsid w:val="00C04E30"/>
    <w:rsid w:val="00C04EE3"/>
    <w:rsid w:val="00C04EE4"/>
    <w:rsid w:val="00C05210"/>
    <w:rsid w:val="00C05228"/>
    <w:rsid w:val="00C05291"/>
    <w:rsid w:val="00C05317"/>
    <w:rsid w:val="00C05431"/>
    <w:rsid w:val="00C05452"/>
    <w:rsid w:val="00C0547B"/>
    <w:rsid w:val="00C054B7"/>
    <w:rsid w:val="00C0550C"/>
    <w:rsid w:val="00C05611"/>
    <w:rsid w:val="00C057B8"/>
    <w:rsid w:val="00C059B9"/>
    <w:rsid w:val="00C059D8"/>
    <w:rsid w:val="00C05A06"/>
    <w:rsid w:val="00C05B31"/>
    <w:rsid w:val="00C05B52"/>
    <w:rsid w:val="00C05C06"/>
    <w:rsid w:val="00C05C32"/>
    <w:rsid w:val="00C05D4E"/>
    <w:rsid w:val="00C06034"/>
    <w:rsid w:val="00C060D7"/>
    <w:rsid w:val="00C06147"/>
    <w:rsid w:val="00C06257"/>
    <w:rsid w:val="00C0630E"/>
    <w:rsid w:val="00C063DA"/>
    <w:rsid w:val="00C06535"/>
    <w:rsid w:val="00C0659A"/>
    <w:rsid w:val="00C065E2"/>
    <w:rsid w:val="00C066D3"/>
    <w:rsid w:val="00C067EB"/>
    <w:rsid w:val="00C06915"/>
    <w:rsid w:val="00C069C1"/>
    <w:rsid w:val="00C06DA1"/>
    <w:rsid w:val="00C06DD1"/>
    <w:rsid w:val="00C0700F"/>
    <w:rsid w:val="00C070F5"/>
    <w:rsid w:val="00C07222"/>
    <w:rsid w:val="00C072E7"/>
    <w:rsid w:val="00C07470"/>
    <w:rsid w:val="00C074AC"/>
    <w:rsid w:val="00C07636"/>
    <w:rsid w:val="00C07641"/>
    <w:rsid w:val="00C076FC"/>
    <w:rsid w:val="00C0774F"/>
    <w:rsid w:val="00C07892"/>
    <w:rsid w:val="00C07936"/>
    <w:rsid w:val="00C07AC4"/>
    <w:rsid w:val="00C07BBC"/>
    <w:rsid w:val="00C07CCF"/>
    <w:rsid w:val="00C07D4F"/>
    <w:rsid w:val="00C07EB8"/>
    <w:rsid w:val="00C07EBB"/>
    <w:rsid w:val="00C07F10"/>
    <w:rsid w:val="00C1000B"/>
    <w:rsid w:val="00C1018A"/>
    <w:rsid w:val="00C103F5"/>
    <w:rsid w:val="00C1043B"/>
    <w:rsid w:val="00C104CC"/>
    <w:rsid w:val="00C105B3"/>
    <w:rsid w:val="00C105E4"/>
    <w:rsid w:val="00C1099D"/>
    <w:rsid w:val="00C109D7"/>
    <w:rsid w:val="00C10A26"/>
    <w:rsid w:val="00C10A2B"/>
    <w:rsid w:val="00C10A7A"/>
    <w:rsid w:val="00C10B3E"/>
    <w:rsid w:val="00C10CE5"/>
    <w:rsid w:val="00C10D23"/>
    <w:rsid w:val="00C10D91"/>
    <w:rsid w:val="00C10D9C"/>
    <w:rsid w:val="00C10DEE"/>
    <w:rsid w:val="00C10E94"/>
    <w:rsid w:val="00C10E9E"/>
    <w:rsid w:val="00C10FE0"/>
    <w:rsid w:val="00C11026"/>
    <w:rsid w:val="00C1103C"/>
    <w:rsid w:val="00C1123E"/>
    <w:rsid w:val="00C11377"/>
    <w:rsid w:val="00C1157E"/>
    <w:rsid w:val="00C115A9"/>
    <w:rsid w:val="00C11780"/>
    <w:rsid w:val="00C117F7"/>
    <w:rsid w:val="00C1190C"/>
    <w:rsid w:val="00C119C8"/>
    <w:rsid w:val="00C119CA"/>
    <w:rsid w:val="00C11A7F"/>
    <w:rsid w:val="00C11D18"/>
    <w:rsid w:val="00C11D97"/>
    <w:rsid w:val="00C11D98"/>
    <w:rsid w:val="00C11DD2"/>
    <w:rsid w:val="00C11EDB"/>
    <w:rsid w:val="00C11EE3"/>
    <w:rsid w:val="00C120A7"/>
    <w:rsid w:val="00C120EB"/>
    <w:rsid w:val="00C121C7"/>
    <w:rsid w:val="00C12296"/>
    <w:rsid w:val="00C1253C"/>
    <w:rsid w:val="00C125C7"/>
    <w:rsid w:val="00C126EA"/>
    <w:rsid w:val="00C12797"/>
    <w:rsid w:val="00C127A7"/>
    <w:rsid w:val="00C12822"/>
    <w:rsid w:val="00C12840"/>
    <w:rsid w:val="00C128C7"/>
    <w:rsid w:val="00C12906"/>
    <w:rsid w:val="00C129B2"/>
    <w:rsid w:val="00C12A7E"/>
    <w:rsid w:val="00C12B8E"/>
    <w:rsid w:val="00C12B9E"/>
    <w:rsid w:val="00C12BD8"/>
    <w:rsid w:val="00C12C3E"/>
    <w:rsid w:val="00C12C7B"/>
    <w:rsid w:val="00C12CA6"/>
    <w:rsid w:val="00C12ECB"/>
    <w:rsid w:val="00C12FDC"/>
    <w:rsid w:val="00C1310B"/>
    <w:rsid w:val="00C1311D"/>
    <w:rsid w:val="00C13195"/>
    <w:rsid w:val="00C132DA"/>
    <w:rsid w:val="00C13318"/>
    <w:rsid w:val="00C13384"/>
    <w:rsid w:val="00C1356F"/>
    <w:rsid w:val="00C13573"/>
    <w:rsid w:val="00C13660"/>
    <w:rsid w:val="00C13787"/>
    <w:rsid w:val="00C13A38"/>
    <w:rsid w:val="00C13A73"/>
    <w:rsid w:val="00C13B7F"/>
    <w:rsid w:val="00C13C7E"/>
    <w:rsid w:val="00C13DFC"/>
    <w:rsid w:val="00C13E85"/>
    <w:rsid w:val="00C13F1E"/>
    <w:rsid w:val="00C13FC7"/>
    <w:rsid w:val="00C140AD"/>
    <w:rsid w:val="00C14129"/>
    <w:rsid w:val="00C1453D"/>
    <w:rsid w:val="00C1459A"/>
    <w:rsid w:val="00C145D8"/>
    <w:rsid w:val="00C14607"/>
    <w:rsid w:val="00C14620"/>
    <w:rsid w:val="00C14764"/>
    <w:rsid w:val="00C147C2"/>
    <w:rsid w:val="00C147E2"/>
    <w:rsid w:val="00C1485E"/>
    <w:rsid w:val="00C14864"/>
    <w:rsid w:val="00C1497E"/>
    <w:rsid w:val="00C14A0B"/>
    <w:rsid w:val="00C14A38"/>
    <w:rsid w:val="00C14A54"/>
    <w:rsid w:val="00C14AB7"/>
    <w:rsid w:val="00C14BC8"/>
    <w:rsid w:val="00C14C27"/>
    <w:rsid w:val="00C14D07"/>
    <w:rsid w:val="00C14F4B"/>
    <w:rsid w:val="00C150CB"/>
    <w:rsid w:val="00C150FE"/>
    <w:rsid w:val="00C1526A"/>
    <w:rsid w:val="00C15427"/>
    <w:rsid w:val="00C154EA"/>
    <w:rsid w:val="00C155B1"/>
    <w:rsid w:val="00C15698"/>
    <w:rsid w:val="00C156C8"/>
    <w:rsid w:val="00C157B8"/>
    <w:rsid w:val="00C1589E"/>
    <w:rsid w:val="00C158B4"/>
    <w:rsid w:val="00C15C13"/>
    <w:rsid w:val="00C15CEA"/>
    <w:rsid w:val="00C15D4E"/>
    <w:rsid w:val="00C15D88"/>
    <w:rsid w:val="00C15E13"/>
    <w:rsid w:val="00C15FAB"/>
    <w:rsid w:val="00C1625C"/>
    <w:rsid w:val="00C162A3"/>
    <w:rsid w:val="00C162B7"/>
    <w:rsid w:val="00C162CB"/>
    <w:rsid w:val="00C16324"/>
    <w:rsid w:val="00C1634C"/>
    <w:rsid w:val="00C1636E"/>
    <w:rsid w:val="00C16429"/>
    <w:rsid w:val="00C16617"/>
    <w:rsid w:val="00C1672E"/>
    <w:rsid w:val="00C16865"/>
    <w:rsid w:val="00C16B0B"/>
    <w:rsid w:val="00C16B23"/>
    <w:rsid w:val="00C16B55"/>
    <w:rsid w:val="00C16B8A"/>
    <w:rsid w:val="00C16BFC"/>
    <w:rsid w:val="00C16FAD"/>
    <w:rsid w:val="00C16FED"/>
    <w:rsid w:val="00C1706C"/>
    <w:rsid w:val="00C1717E"/>
    <w:rsid w:val="00C172DD"/>
    <w:rsid w:val="00C1730B"/>
    <w:rsid w:val="00C1736B"/>
    <w:rsid w:val="00C173D7"/>
    <w:rsid w:val="00C17433"/>
    <w:rsid w:val="00C17444"/>
    <w:rsid w:val="00C1748B"/>
    <w:rsid w:val="00C175C4"/>
    <w:rsid w:val="00C17792"/>
    <w:rsid w:val="00C177CB"/>
    <w:rsid w:val="00C1791A"/>
    <w:rsid w:val="00C17B41"/>
    <w:rsid w:val="00C17BD3"/>
    <w:rsid w:val="00C17D75"/>
    <w:rsid w:val="00C17D82"/>
    <w:rsid w:val="00C17EDA"/>
    <w:rsid w:val="00C200AC"/>
    <w:rsid w:val="00C2010A"/>
    <w:rsid w:val="00C20115"/>
    <w:rsid w:val="00C20144"/>
    <w:rsid w:val="00C20265"/>
    <w:rsid w:val="00C204DC"/>
    <w:rsid w:val="00C20928"/>
    <w:rsid w:val="00C20A4C"/>
    <w:rsid w:val="00C20D5D"/>
    <w:rsid w:val="00C210FC"/>
    <w:rsid w:val="00C21110"/>
    <w:rsid w:val="00C2123E"/>
    <w:rsid w:val="00C213B5"/>
    <w:rsid w:val="00C2148C"/>
    <w:rsid w:val="00C2154A"/>
    <w:rsid w:val="00C21899"/>
    <w:rsid w:val="00C21A0E"/>
    <w:rsid w:val="00C21A28"/>
    <w:rsid w:val="00C21C6E"/>
    <w:rsid w:val="00C21C97"/>
    <w:rsid w:val="00C21E86"/>
    <w:rsid w:val="00C21E8B"/>
    <w:rsid w:val="00C21F7B"/>
    <w:rsid w:val="00C21FCE"/>
    <w:rsid w:val="00C22095"/>
    <w:rsid w:val="00C22168"/>
    <w:rsid w:val="00C221EF"/>
    <w:rsid w:val="00C22441"/>
    <w:rsid w:val="00C225EF"/>
    <w:rsid w:val="00C2265F"/>
    <w:rsid w:val="00C22860"/>
    <w:rsid w:val="00C22928"/>
    <w:rsid w:val="00C22B0F"/>
    <w:rsid w:val="00C22B18"/>
    <w:rsid w:val="00C22BDE"/>
    <w:rsid w:val="00C22D9A"/>
    <w:rsid w:val="00C22E0E"/>
    <w:rsid w:val="00C22E37"/>
    <w:rsid w:val="00C22E45"/>
    <w:rsid w:val="00C22E53"/>
    <w:rsid w:val="00C22EF4"/>
    <w:rsid w:val="00C22F3D"/>
    <w:rsid w:val="00C22F8A"/>
    <w:rsid w:val="00C22FC7"/>
    <w:rsid w:val="00C23253"/>
    <w:rsid w:val="00C2325C"/>
    <w:rsid w:val="00C23321"/>
    <w:rsid w:val="00C23361"/>
    <w:rsid w:val="00C23478"/>
    <w:rsid w:val="00C236A0"/>
    <w:rsid w:val="00C23774"/>
    <w:rsid w:val="00C238E0"/>
    <w:rsid w:val="00C23904"/>
    <w:rsid w:val="00C23933"/>
    <w:rsid w:val="00C23A0B"/>
    <w:rsid w:val="00C23B0A"/>
    <w:rsid w:val="00C23DC4"/>
    <w:rsid w:val="00C23F29"/>
    <w:rsid w:val="00C243E2"/>
    <w:rsid w:val="00C24474"/>
    <w:rsid w:val="00C24475"/>
    <w:rsid w:val="00C24507"/>
    <w:rsid w:val="00C246F8"/>
    <w:rsid w:val="00C247B1"/>
    <w:rsid w:val="00C24880"/>
    <w:rsid w:val="00C2498D"/>
    <w:rsid w:val="00C24C45"/>
    <w:rsid w:val="00C24D10"/>
    <w:rsid w:val="00C24D67"/>
    <w:rsid w:val="00C252D1"/>
    <w:rsid w:val="00C252F8"/>
    <w:rsid w:val="00C25372"/>
    <w:rsid w:val="00C254FC"/>
    <w:rsid w:val="00C25592"/>
    <w:rsid w:val="00C256C6"/>
    <w:rsid w:val="00C257BD"/>
    <w:rsid w:val="00C2581D"/>
    <w:rsid w:val="00C25A2D"/>
    <w:rsid w:val="00C25A35"/>
    <w:rsid w:val="00C25B3E"/>
    <w:rsid w:val="00C25DF1"/>
    <w:rsid w:val="00C26022"/>
    <w:rsid w:val="00C260A3"/>
    <w:rsid w:val="00C26539"/>
    <w:rsid w:val="00C26560"/>
    <w:rsid w:val="00C265A6"/>
    <w:rsid w:val="00C26642"/>
    <w:rsid w:val="00C26691"/>
    <w:rsid w:val="00C266CB"/>
    <w:rsid w:val="00C267AF"/>
    <w:rsid w:val="00C26984"/>
    <w:rsid w:val="00C26BC6"/>
    <w:rsid w:val="00C26BF7"/>
    <w:rsid w:val="00C26E60"/>
    <w:rsid w:val="00C2734F"/>
    <w:rsid w:val="00C2735A"/>
    <w:rsid w:val="00C273A6"/>
    <w:rsid w:val="00C2743C"/>
    <w:rsid w:val="00C27592"/>
    <w:rsid w:val="00C275BC"/>
    <w:rsid w:val="00C27651"/>
    <w:rsid w:val="00C27701"/>
    <w:rsid w:val="00C2785F"/>
    <w:rsid w:val="00C27973"/>
    <w:rsid w:val="00C27A16"/>
    <w:rsid w:val="00C27AA4"/>
    <w:rsid w:val="00C27AFA"/>
    <w:rsid w:val="00C27C17"/>
    <w:rsid w:val="00C27C86"/>
    <w:rsid w:val="00C27C95"/>
    <w:rsid w:val="00C27DEC"/>
    <w:rsid w:val="00C27F49"/>
    <w:rsid w:val="00C27F64"/>
    <w:rsid w:val="00C300F9"/>
    <w:rsid w:val="00C30184"/>
    <w:rsid w:val="00C30323"/>
    <w:rsid w:val="00C303D1"/>
    <w:rsid w:val="00C303E4"/>
    <w:rsid w:val="00C3049E"/>
    <w:rsid w:val="00C304DA"/>
    <w:rsid w:val="00C30631"/>
    <w:rsid w:val="00C30853"/>
    <w:rsid w:val="00C30A65"/>
    <w:rsid w:val="00C30CBF"/>
    <w:rsid w:val="00C30D3E"/>
    <w:rsid w:val="00C30DDC"/>
    <w:rsid w:val="00C30F6D"/>
    <w:rsid w:val="00C3126E"/>
    <w:rsid w:val="00C31284"/>
    <w:rsid w:val="00C312B9"/>
    <w:rsid w:val="00C312E2"/>
    <w:rsid w:val="00C314FF"/>
    <w:rsid w:val="00C31614"/>
    <w:rsid w:val="00C31675"/>
    <w:rsid w:val="00C31691"/>
    <w:rsid w:val="00C317C1"/>
    <w:rsid w:val="00C317DF"/>
    <w:rsid w:val="00C3197E"/>
    <w:rsid w:val="00C3199B"/>
    <w:rsid w:val="00C319AE"/>
    <w:rsid w:val="00C31A1F"/>
    <w:rsid w:val="00C31A64"/>
    <w:rsid w:val="00C31AB2"/>
    <w:rsid w:val="00C31AED"/>
    <w:rsid w:val="00C31BB6"/>
    <w:rsid w:val="00C31BD9"/>
    <w:rsid w:val="00C31C6B"/>
    <w:rsid w:val="00C31CB3"/>
    <w:rsid w:val="00C31DB2"/>
    <w:rsid w:val="00C31E49"/>
    <w:rsid w:val="00C31EEB"/>
    <w:rsid w:val="00C31FCA"/>
    <w:rsid w:val="00C321DB"/>
    <w:rsid w:val="00C322C6"/>
    <w:rsid w:val="00C322D8"/>
    <w:rsid w:val="00C32300"/>
    <w:rsid w:val="00C3239D"/>
    <w:rsid w:val="00C323EB"/>
    <w:rsid w:val="00C3252E"/>
    <w:rsid w:val="00C32535"/>
    <w:rsid w:val="00C326F5"/>
    <w:rsid w:val="00C3273A"/>
    <w:rsid w:val="00C328AB"/>
    <w:rsid w:val="00C328CD"/>
    <w:rsid w:val="00C329AA"/>
    <w:rsid w:val="00C329B3"/>
    <w:rsid w:val="00C329D8"/>
    <w:rsid w:val="00C329DB"/>
    <w:rsid w:val="00C32A58"/>
    <w:rsid w:val="00C32AAE"/>
    <w:rsid w:val="00C32D25"/>
    <w:rsid w:val="00C32D79"/>
    <w:rsid w:val="00C32DB9"/>
    <w:rsid w:val="00C32F84"/>
    <w:rsid w:val="00C33108"/>
    <w:rsid w:val="00C33129"/>
    <w:rsid w:val="00C33159"/>
    <w:rsid w:val="00C33274"/>
    <w:rsid w:val="00C33346"/>
    <w:rsid w:val="00C333F0"/>
    <w:rsid w:val="00C334EB"/>
    <w:rsid w:val="00C3356A"/>
    <w:rsid w:val="00C3361F"/>
    <w:rsid w:val="00C33784"/>
    <w:rsid w:val="00C33909"/>
    <w:rsid w:val="00C33985"/>
    <w:rsid w:val="00C33AEA"/>
    <w:rsid w:val="00C33B29"/>
    <w:rsid w:val="00C33BA3"/>
    <w:rsid w:val="00C33C2F"/>
    <w:rsid w:val="00C33C33"/>
    <w:rsid w:val="00C33DA0"/>
    <w:rsid w:val="00C33F0E"/>
    <w:rsid w:val="00C33F20"/>
    <w:rsid w:val="00C33F3F"/>
    <w:rsid w:val="00C34291"/>
    <w:rsid w:val="00C343B5"/>
    <w:rsid w:val="00C34528"/>
    <w:rsid w:val="00C34584"/>
    <w:rsid w:val="00C3474F"/>
    <w:rsid w:val="00C349F2"/>
    <w:rsid w:val="00C34B3B"/>
    <w:rsid w:val="00C34B59"/>
    <w:rsid w:val="00C34B95"/>
    <w:rsid w:val="00C34C53"/>
    <w:rsid w:val="00C34EF0"/>
    <w:rsid w:val="00C34F8F"/>
    <w:rsid w:val="00C35028"/>
    <w:rsid w:val="00C350C1"/>
    <w:rsid w:val="00C3520E"/>
    <w:rsid w:val="00C3566B"/>
    <w:rsid w:val="00C35692"/>
    <w:rsid w:val="00C357CE"/>
    <w:rsid w:val="00C3589F"/>
    <w:rsid w:val="00C358B5"/>
    <w:rsid w:val="00C35901"/>
    <w:rsid w:val="00C35954"/>
    <w:rsid w:val="00C3596D"/>
    <w:rsid w:val="00C35A66"/>
    <w:rsid w:val="00C35B2C"/>
    <w:rsid w:val="00C35C73"/>
    <w:rsid w:val="00C35C7F"/>
    <w:rsid w:val="00C35C9A"/>
    <w:rsid w:val="00C35CB6"/>
    <w:rsid w:val="00C35D7F"/>
    <w:rsid w:val="00C35E35"/>
    <w:rsid w:val="00C36022"/>
    <w:rsid w:val="00C36230"/>
    <w:rsid w:val="00C36279"/>
    <w:rsid w:val="00C3654F"/>
    <w:rsid w:val="00C365B4"/>
    <w:rsid w:val="00C36744"/>
    <w:rsid w:val="00C367F4"/>
    <w:rsid w:val="00C368C7"/>
    <w:rsid w:val="00C36A93"/>
    <w:rsid w:val="00C36B87"/>
    <w:rsid w:val="00C36BF2"/>
    <w:rsid w:val="00C36E0A"/>
    <w:rsid w:val="00C36E1F"/>
    <w:rsid w:val="00C36EFB"/>
    <w:rsid w:val="00C3715D"/>
    <w:rsid w:val="00C373BA"/>
    <w:rsid w:val="00C37569"/>
    <w:rsid w:val="00C375F7"/>
    <w:rsid w:val="00C3767D"/>
    <w:rsid w:val="00C379D1"/>
    <w:rsid w:val="00C37A68"/>
    <w:rsid w:val="00C37AE0"/>
    <w:rsid w:val="00C37BB5"/>
    <w:rsid w:val="00C37C82"/>
    <w:rsid w:val="00C37DBF"/>
    <w:rsid w:val="00C37E7C"/>
    <w:rsid w:val="00C37F45"/>
    <w:rsid w:val="00C37FC9"/>
    <w:rsid w:val="00C37FF4"/>
    <w:rsid w:val="00C40133"/>
    <w:rsid w:val="00C40164"/>
    <w:rsid w:val="00C401E5"/>
    <w:rsid w:val="00C40294"/>
    <w:rsid w:val="00C402AD"/>
    <w:rsid w:val="00C402F5"/>
    <w:rsid w:val="00C40306"/>
    <w:rsid w:val="00C40321"/>
    <w:rsid w:val="00C403E9"/>
    <w:rsid w:val="00C40415"/>
    <w:rsid w:val="00C40428"/>
    <w:rsid w:val="00C40481"/>
    <w:rsid w:val="00C405C6"/>
    <w:rsid w:val="00C40730"/>
    <w:rsid w:val="00C40865"/>
    <w:rsid w:val="00C40971"/>
    <w:rsid w:val="00C40AD7"/>
    <w:rsid w:val="00C40BB2"/>
    <w:rsid w:val="00C40C7B"/>
    <w:rsid w:val="00C40DA8"/>
    <w:rsid w:val="00C40E8C"/>
    <w:rsid w:val="00C410E5"/>
    <w:rsid w:val="00C413B0"/>
    <w:rsid w:val="00C4152A"/>
    <w:rsid w:val="00C415EC"/>
    <w:rsid w:val="00C41779"/>
    <w:rsid w:val="00C4177B"/>
    <w:rsid w:val="00C41905"/>
    <w:rsid w:val="00C41AD9"/>
    <w:rsid w:val="00C41B16"/>
    <w:rsid w:val="00C41CD6"/>
    <w:rsid w:val="00C41DBD"/>
    <w:rsid w:val="00C41DD3"/>
    <w:rsid w:val="00C41EDA"/>
    <w:rsid w:val="00C41EDC"/>
    <w:rsid w:val="00C41F42"/>
    <w:rsid w:val="00C4200E"/>
    <w:rsid w:val="00C4226B"/>
    <w:rsid w:val="00C42396"/>
    <w:rsid w:val="00C4293F"/>
    <w:rsid w:val="00C42A66"/>
    <w:rsid w:val="00C42B03"/>
    <w:rsid w:val="00C42C4F"/>
    <w:rsid w:val="00C42DA9"/>
    <w:rsid w:val="00C42DCD"/>
    <w:rsid w:val="00C42E78"/>
    <w:rsid w:val="00C42F84"/>
    <w:rsid w:val="00C43352"/>
    <w:rsid w:val="00C43369"/>
    <w:rsid w:val="00C433B3"/>
    <w:rsid w:val="00C433E1"/>
    <w:rsid w:val="00C433E3"/>
    <w:rsid w:val="00C434A7"/>
    <w:rsid w:val="00C43501"/>
    <w:rsid w:val="00C435C9"/>
    <w:rsid w:val="00C4363D"/>
    <w:rsid w:val="00C436A4"/>
    <w:rsid w:val="00C43753"/>
    <w:rsid w:val="00C43822"/>
    <w:rsid w:val="00C43859"/>
    <w:rsid w:val="00C4386E"/>
    <w:rsid w:val="00C438DC"/>
    <w:rsid w:val="00C4397E"/>
    <w:rsid w:val="00C439B8"/>
    <w:rsid w:val="00C43A26"/>
    <w:rsid w:val="00C43B40"/>
    <w:rsid w:val="00C43B67"/>
    <w:rsid w:val="00C43B83"/>
    <w:rsid w:val="00C43CA9"/>
    <w:rsid w:val="00C43D09"/>
    <w:rsid w:val="00C43D66"/>
    <w:rsid w:val="00C43E10"/>
    <w:rsid w:val="00C43F9B"/>
    <w:rsid w:val="00C43FD3"/>
    <w:rsid w:val="00C44070"/>
    <w:rsid w:val="00C440AE"/>
    <w:rsid w:val="00C440D8"/>
    <w:rsid w:val="00C44195"/>
    <w:rsid w:val="00C4419A"/>
    <w:rsid w:val="00C441A7"/>
    <w:rsid w:val="00C44278"/>
    <w:rsid w:val="00C44356"/>
    <w:rsid w:val="00C44465"/>
    <w:rsid w:val="00C4449D"/>
    <w:rsid w:val="00C444CD"/>
    <w:rsid w:val="00C44584"/>
    <w:rsid w:val="00C445E2"/>
    <w:rsid w:val="00C44779"/>
    <w:rsid w:val="00C4477D"/>
    <w:rsid w:val="00C447D2"/>
    <w:rsid w:val="00C4484E"/>
    <w:rsid w:val="00C449DB"/>
    <w:rsid w:val="00C44A04"/>
    <w:rsid w:val="00C44AAB"/>
    <w:rsid w:val="00C44B59"/>
    <w:rsid w:val="00C44BA7"/>
    <w:rsid w:val="00C44C8A"/>
    <w:rsid w:val="00C44E46"/>
    <w:rsid w:val="00C44EBD"/>
    <w:rsid w:val="00C44FAC"/>
    <w:rsid w:val="00C451FE"/>
    <w:rsid w:val="00C4533D"/>
    <w:rsid w:val="00C4538F"/>
    <w:rsid w:val="00C453CD"/>
    <w:rsid w:val="00C45472"/>
    <w:rsid w:val="00C454E8"/>
    <w:rsid w:val="00C456FD"/>
    <w:rsid w:val="00C4586D"/>
    <w:rsid w:val="00C4599A"/>
    <w:rsid w:val="00C45A66"/>
    <w:rsid w:val="00C45ADB"/>
    <w:rsid w:val="00C45CBF"/>
    <w:rsid w:val="00C45E2A"/>
    <w:rsid w:val="00C45F23"/>
    <w:rsid w:val="00C45F2B"/>
    <w:rsid w:val="00C45FE1"/>
    <w:rsid w:val="00C45FF8"/>
    <w:rsid w:val="00C46064"/>
    <w:rsid w:val="00C46157"/>
    <w:rsid w:val="00C46163"/>
    <w:rsid w:val="00C461BE"/>
    <w:rsid w:val="00C461C8"/>
    <w:rsid w:val="00C46349"/>
    <w:rsid w:val="00C463FC"/>
    <w:rsid w:val="00C46402"/>
    <w:rsid w:val="00C46435"/>
    <w:rsid w:val="00C46447"/>
    <w:rsid w:val="00C465F0"/>
    <w:rsid w:val="00C4669D"/>
    <w:rsid w:val="00C466C7"/>
    <w:rsid w:val="00C46787"/>
    <w:rsid w:val="00C468C9"/>
    <w:rsid w:val="00C46912"/>
    <w:rsid w:val="00C469DA"/>
    <w:rsid w:val="00C46A2D"/>
    <w:rsid w:val="00C46D89"/>
    <w:rsid w:val="00C46D9C"/>
    <w:rsid w:val="00C46DE8"/>
    <w:rsid w:val="00C46E26"/>
    <w:rsid w:val="00C46E2B"/>
    <w:rsid w:val="00C46E6A"/>
    <w:rsid w:val="00C46F0D"/>
    <w:rsid w:val="00C46FF1"/>
    <w:rsid w:val="00C470A4"/>
    <w:rsid w:val="00C47117"/>
    <w:rsid w:val="00C47127"/>
    <w:rsid w:val="00C4723B"/>
    <w:rsid w:val="00C472F1"/>
    <w:rsid w:val="00C4746D"/>
    <w:rsid w:val="00C474A5"/>
    <w:rsid w:val="00C4757E"/>
    <w:rsid w:val="00C475B2"/>
    <w:rsid w:val="00C47621"/>
    <w:rsid w:val="00C476A2"/>
    <w:rsid w:val="00C479BA"/>
    <w:rsid w:val="00C47AE9"/>
    <w:rsid w:val="00C47AF8"/>
    <w:rsid w:val="00C47BE3"/>
    <w:rsid w:val="00C47C89"/>
    <w:rsid w:val="00C47CF5"/>
    <w:rsid w:val="00C47D62"/>
    <w:rsid w:val="00C47E71"/>
    <w:rsid w:val="00C47E98"/>
    <w:rsid w:val="00C47FF4"/>
    <w:rsid w:val="00C50371"/>
    <w:rsid w:val="00C5049F"/>
    <w:rsid w:val="00C5050B"/>
    <w:rsid w:val="00C5067C"/>
    <w:rsid w:val="00C50772"/>
    <w:rsid w:val="00C507B6"/>
    <w:rsid w:val="00C50865"/>
    <w:rsid w:val="00C508EE"/>
    <w:rsid w:val="00C50948"/>
    <w:rsid w:val="00C5097B"/>
    <w:rsid w:val="00C50C3A"/>
    <w:rsid w:val="00C50DC1"/>
    <w:rsid w:val="00C50E66"/>
    <w:rsid w:val="00C50EAB"/>
    <w:rsid w:val="00C50EC8"/>
    <w:rsid w:val="00C50F1D"/>
    <w:rsid w:val="00C5111A"/>
    <w:rsid w:val="00C511A4"/>
    <w:rsid w:val="00C511BC"/>
    <w:rsid w:val="00C513AE"/>
    <w:rsid w:val="00C51560"/>
    <w:rsid w:val="00C515F6"/>
    <w:rsid w:val="00C516A3"/>
    <w:rsid w:val="00C518A6"/>
    <w:rsid w:val="00C519FD"/>
    <w:rsid w:val="00C51B68"/>
    <w:rsid w:val="00C51B6D"/>
    <w:rsid w:val="00C51BC4"/>
    <w:rsid w:val="00C51C9E"/>
    <w:rsid w:val="00C51DC7"/>
    <w:rsid w:val="00C51F9F"/>
    <w:rsid w:val="00C521A7"/>
    <w:rsid w:val="00C52230"/>
    <w:rsid w:val="00C52372"/>
    <w:rsid w:val="00C523B3"/>
    <w:rsid w:val="00C52475"/>
    <w:rsid w:val="00C524AD"/>
    <w:rsid w:val="00C52505"/>
    <w:rsid w:val="00C525CC"/>
    <w:rsid w:val="00C525D8"/>
    <w:rsid w:val="00C52788"/>
    <w:rsid w:val="00C529BA"/>
    <w:rsid w:val="00C52C7B"/>
    <w:rsid w:val="00C52DF4"/>
    <w:rsid w:val="00C52E71"/>
    <w:rsid w:val="00C52E93"/>
    <w:rsid w:val="00C52F02"/>
    <w:rsid w:val="00C52F78"/>
    <w:rsid w:val="00C53152"/>
    <w:rsid w:val="00C53293"/>
    <w:rsid w:val="00C532D4"/>
    <w:rsid w:val="00C5335A"/>
    <w:rsid w:val="00C533E4"/>
    <w:rsid w:val="00C5344B"/>
    <w:rsid w:val="00C535A8"/>
    <w:rsid w:val="00C53609"/>
    <w:rsid w:val="00C53616"/>
    <w:rsid w:val="00C5374B"/>
    <w:rsid w:val="00C53824"/>
    <w:rsid w:val="00C53899"/>
    <w:rsid w:val="00C538B1"/>
    <w:rsid w:val="00C53968"/>
    <w:rsid w:val="00C53A83"/>
    <w:rsid w:val="00C53AB5"/>
    <w:rsid w:val="00C53B87"/>
    <w:rsid w:val="00C53C63"/>
    <w:rsid w:val="00C53C9E"/>
    <w:rsid w:val="00C53E23"/>
    <w:rsid w:val="00C53E70"/>
    <w:rsid w:val="00C53E97"/>
    <w:rsid w:val="00C53F16"/>
    <w:rsid w:val="00C53F49"/>
    <w:rsid w:val="00C53FEE"/>
    <w:rsid w:val="00C541B7"/>
    <w:rsid w:val="00C541CF"/>
    <w:rsid w:val="00C54303"/>
    <w:rsid w:val="00C5436A"/>
    <w:rsid w:val="00C5439B"/>
    <w:rsid w:val="00C54420"/>
    <w:rsid w:val="00C54489"/>
    <w:rsid w:val="00C545E3"/>
    <w:rsid w:val="00C546C0"/>
    <w:rsid w:val="00C546F8"/>
    <w:rsid w:val="00C547C6"/>
    <w:rsid w:val="00C54900"/>
    <w:rsid w:val="00C54991"/>
    <w:rsid w:val="00C54AA5"/>
    <w:rsid w:val="00C54AE4"/>
    <w:rsid w:val="00C54B87"/>
    <w:rsid w:val="00C54B98"/>
    <w:rsid w:val="00C54C80"/>
    <w:rsid w:val="00C54CD5"/>
    <w:rsid w:val="00C54D23"/>
    <w:rsid w:val="00C54DD8"/>
    <w:rsid w:val="00C54E00"/>
    <w:rsid w:val="00C54E49"/>
    <w:rsid w:val="00C54E64"/>
    <w:rsid w:val="00C54F96"/>
    <w:rsid w:val="00C5514A"/>
    <w:rsid w:val="00C55169"/>
    <w:rsid w:val="00C5524C"/>
    <w:rsid w:val="00C553C2"/>
    <w:rsid w:val="00C553F2"/>
    <w:rsid w:val="00C5542B"/>
    <w:rsid w:val="00C55450"/>
    <w:rsid w:val="00C55500"/>
    <w:rsid w:val="00C5550B"/>
    <w:rsid w:val="00C5563A"/>
    <w:rsid w:val="00C55695"/>
    <w:rsid w:val="00C55911"/>
    <w:rsid w:val="00C559DB"/>
    <w:rsid w:val="00C559FF"/>
    <w:rsid w:val="00C55A1D"/>
    <w:rsid w:val="00C55B57"/>
    <w:rsid w:val="00C55BD0"/>
    <w:rsid w:val="00C55BE8"/>
    <w:rsid w:val="00C55C52"/>
    <w:rsid w:val="00C55C9E"/>
    <w:rsid w:val="00C55EBF"/>
    <w:rsid w:val="00C56075"/>
    <w:rsid w:val="00C56086"/>
    <w:rsid w:val="00C560DD"/>
    <w:rsid w:val="00C560E5"/>
    <w:rsid w:val="00C561C4"/>
    <w:rsid w:val="00C56239"/>
    <w:rsid w:val="00C562E5"/>
    <w:rsid w:val="00C56382"/>
    <w:rsid w:val="00C56580"/>
    <w:rsid w:val="00C56650"/>
    <w:rsid w:val="00C56663"/>
    <w:rsid w:val="00C56787"/>
    <w:rsid w:val="00C56827"/>
    <w:rsid w:val="00C568A4"/>
    <w:rsid w:val="00C569B4"/>
    <w:rsid w:val="00C569C5"/>
    <w:rsid w:val="00C569E7"/>
    <w:rsid w:val="00C56A01"/>
    <w:rsid w:val="00C56A2E"/>
    <w:rsid w:val="00C56C28"/>
    <w:rsid w:val="00C56C86"/>
    <w:rsid w:val="00C56C8F"/>
    <w:rsid w:val="00C56E55"/>
    <w:rsid w:val="00C56E76"/>
    <w:rsid w:val="00C56EAD"/>
    <w:rsid w:val="00C56F5C"/>
    <w:rsid w:val="00C5706E"/>
    <w:rsid w:val="00C5712F"/>
    <w:rsid w:val="00C57134"/>
    <w:rsid w:val="00C57141"/>
    <w:rsid w:val="00C572D1"/>
    <w:rsid w:val="00C572E2"/>
    <w:rsid w:val="00C57433"/>
    <w:rsid w:val="00C574AF"/>
    <w:rsid w:val="00C57516"/>
    <w:rsid w:val="00C57519"/>
    <w:rsid w:val="00C57562"/>
    <w:rsid w:val="00C576CD"/>
    <w:rsid w:val="00C578F3"/>
    <w:rsid w:val="00C57968"/>
    <w:rsid w:val="00C579A1"/>
    <w:rsid w:val="00C579FA"/>
    <w:rsid w:val="00C57A21"/>
    <w:rsid w:val="00C57A67"/>
    <w:rsid w:val="00C57C13"/>
    <w:rsid w:val="00C57C6A"/>
    <w:rsid w:val="00C57C9D"/>
    <w:rsid w:val="00C57D56"/>
    <w:rsid w:val="00C57D79"/>
    <w:rsid w:val="00C57DD4"/>
    <w:rsid w:val="00C57E76"/>
    <w:rsid w:val="00C57E79"/>
    <w:rsid w:val="00C57EA6"/>
    <w:rsid w:val="00C57EAA"/>
    <w:rsid w:val="00C57F34"/>
    <w:rsid w:val="00C57F9C"/>
    <w:rsid w:val="00C60013"/>
    <w:rsid w:val="00C600C4"/>
    <w:rsid w:val="00C600F5"/>
    <w:rsid w:val="00C601CE"/>
    <w:rsid w:val="00C601D0"/>
    <w:rsid w:val="00C6022F"/>
    <w:rsid w:val="00C6027B"/>
    <w:rsid w:val="00C602CF"/>
    <w:rsid w:val="00C6031D"/>
    <w:rsid w:val="00C60369"/>
    <w:rsid w:val="00C603A0"/>
    <w:rsid w:val="00C60421"/>
    <w:rsid w:val="00C604C1"/>
    <w:rsid w:val="00C60626"/>
    <w:rsid w:val="00C60728"/>
    <w:rsid w:val="00C607D8"/>
    <w:rsid w:val="00C6081F"/>
    <w:rsid w:val="00C6098D"/>
    <w:rsid w:val="00C60AFB"/>
    <w:rsid w:val="00C60B1F"/>
    <w:rsid w:val="00C60C7D"/>
    <w:rsid w:val="00C60CAA"/>
    <w:rsid w:val="00C60D5E"/>
    <w:rsid w:val="00C60D8F"/>
    <w:rsid w:val="00C60DC8"/>
    <w:rsid w:val="00C60E27"/>
    <w:rsid w:val="00C60E36"/>
    <w:rsid w:val="00C60E45"/>
    <w:rsid w:val="00C60EA5"/>
    <w:rsid w:val="00C60F28"/>
    <w:rsid w:val="00C60FA6"/>
    <w:rsid w:val="00C61044"/>
    <w:rsid w:val="00C61158"/>
    <w:rsid w:val="00C611C8"/>
    <w:rsid w:val="00C611E4"/>
    <w:rsid w:val="00C611F2"/>
    <w:rsid w:val="00C6134C"/>
    <w:rsid w:val="00C613D3"/>
    <w:rsid w:val="00C614B6"/>
    <w:rsid w:val="00C61637"/>
    <w:rsid w:val="00C61802"/>
    <w:rsid w:val="00C6194A"/>
    <w:rsid w:val="00C61A98"/>
    <w:rsid w:val="00C61B3E"/>
    <w:rsid w:val="00C61B4C"/>
    <w:rsid w:val="00C61C19"/>
    <w:rsid w:val="00C61F7C"/>
    <w:rsid w:val="00C61FCC"/>
    <w:rsid w:val="00C6201E"/>
    <w:rsid w:val="00C62030"/>
    <w:rsid w:val="00C62189"/>
    <w:rsid w:val="00C62241"/>
    <w:rsid w:val="00C622B5"/>
    <w:rsid w:val="00C6237A"/>
    <w:rsid w:val="00C62516"/>
    <w:rsid w:val="00C6259A"/>
    <w:rsid w:val="00C626EF"/>
    <w:rsid w:val="00C62719"/>
    <w:rsid w:val="00C62786"/>
    <w:rsid w:val="00C629C1"/>
    <w:rsid w:val="00C62A1B"/>
    <w:rsid w:val="00C62A25"/>
    <w:rsid w:val="00C62B6C"/>
    <w:rsid w:val="00C62BE4"/>
    <w:rsid w:val="00C62C84"/>
    <w:rsid w:val="00C62DFE"/>
    <w:rsid w:val="00C62E86"/>
    <w:rsid w:val="00C62F12"/>
    <w:rsid w:val="00C62F1D"/>
    <w:rsid w:val="00C63057"/>
    <w:rsid w:val="00C63108"/>
    <w:rsid w:val="00C6310C"/>
    <w:rsid w:val="00C63231"/>
    <w:rsid w:val="00C6339B"/>
    <w:rsid w:val="00C63525"/>
    <w:rsid w:val="00C63548"/>
    <w:rsid w:val="00C635D7"/>
    <w:rsid w:val="00C635FB"/>
    <w:rsid w:val="00C63642"/>
    <w:rsid w:val="00C636B5"/>
    <w:rsid w:val="00C636FD"/>
    <w:rsid w:val="00C63841"/>
    <w:rsid w:val="00C63AFF"/>
    <w:rsid w:val="00C63B5C"/>
    <w:rsid w:val="00C63CAE"/>
    <w:rsid w:val="00C63EED"/>
    <w:rsid w:val="00C64055"/>
    <w:rsid w:val="00C64562"/>
    <w:rsid w:val="00C6472A"/>
    <w:rsid w:val="00C64B10"/>
    <w:rsid w:val="00C64B60"/>
    <w:rsid w:val="00C64BCF"/>
    <w:rsid w:val="00C64CC1"/>
    <w:rsid w:val="00C64E4B"/>
    <w:rsid w:val="00C64EB4"/>
    <w:rsid w:val="00C64F03"/>
    <w:rsid w:val="00C64F8F"/>
    <w:rsid w:val="00C65080"/>
    <w:rsid w:val="00C650B8"/>
    <w:rsid w:val="00C6520F"/>
    <w:rsid w:val="00C6544A"/>
    <w:rsid w:val="00C655B5"/>
    <w:rsid w:val="00C6563D"/>
    <w:rsid w:val="00C65662"/>
    <w:rsid w:val="00C656CF"/>
    <w:rsid w:val="00C6571D"/>
    <w:rsid w:val="00C65891"/>
    <w:rsid w:val="00C65A51"/>
    <w:rsid w:val="00C65A9F"/>
    <w:rsid w:val="00C65AD1"/>
    <w:rsid w:val="00C65D20"/>
    <w:rsid w:val="00C65E20"/>
    <w:rsid w:val="00C65E3B"/>
    <w:rsid w:val="00C65EF4"/>
    <w:rsid w:val="00C66140"/>
    <w:rsid w:val="00C6622D"/>
    <w:rsid w:val="00C6626C"/>
    <w:rsid w:val="00C662E1"/>
    <w:rsid w:val="00C66393"/>
    <w:rsid w:val="00C663B9"/>
    <w:rsid w:val="00C6644B"/>
    <w:rsid w:val="00C66470"/>
    <w:rsid w:val="00C664F7"/>
    <w:rsid w:val="00C66584"/>
    <w:rsid w:val="00C66586"/>
    <w:rsid w:val="00C66653"/>
    <w:rsid w:val="00C666EB"/>
    <w:rsid w:val="00C66739"/>
    <w:rsid w:val="00C66760"/>
    <w:rsid w:val="00C6680D"/>
    <w:rsid w:val="00C66884"/>
    <w:rsid w:val="00C668BD"/>
    <w:rsid w:val="00C66B2C"/>
    <w:rsid w:val="00C66B58"/>
    <w:rsid w:val="00C66BE3"/>
    <w:rsid w:val="00C66CBB"/>
    <w:rsid w:val="00C66FFD"/>
    <w:rsid w:val="00C67109"/>
    <w:rsid w:val="00C67142"/>
    <w:rsid w:val="00C671DC"/>
    <w:rsid w:val="00C6738F"/>
    <w:rsid w:val="00C67393"/>
    <w:rsid w:val="00C674BF"/>
    <w:rsid w:val="00C674EB"/>
    <w:rsid w:val="00C67745"/>
    <w:rsid w:val="00C6789E"/>
    <w:rsid w:val="00C678A3"/>
    <w:rsid w:val="00C679CD"/>
    <w:rsid w:val="00C67AF0"/>
    <w:rsid w:val="00C67B88"/>
    <w:rsid w:val="00C67BBB"/>
    <w:rsid w:val="00C67C79"/>
    <w:rsid w:val="00C67C99"/>
    <w:rsid w:val="00C67D0B"/>
    <w:rsid w:val="00C67D53"/>
    <w:rsid w:val="00C67D7C"/>
    <w:rsid w:val="00C67E96"/>
    <w:rsid w:val="00C67FE9"/>
    <w:rsid w:val="00C7006A"/>
    <w:rsid w:val="00C700D3"/>
    <w:rsid w:val="00C70278"/>
    <w:rsid w:val="00C70282"/>
    <w:rsid w:val="00C703EF"/>
    <w:rsid w:val="00C7047D"/>
    <w:rsid w:val="00C7084D"/>
    <w:rsid w:val="00C7087B"/>
    <w:rsid w:val="00C709AD"/>
    <w:rsid w:val="00C70A71"/>
    <w:rsid w:val="00C70AC6"/>
    <w:rsid w:val="00C70B4F"/>
    <w:rsid w:val="00C70CFE"/>
    <w:rsid w:val="00C70DF0"/>
    <w:rsid w:val="00C70EFB"/>
    <w:rsid w:val="00C70FDD"/>
    <w:rsid w:val="00C71140"/>
    <w:rsid w:val="00C712A5"/>
    <w:rsid w:val="00C71331"/>
    <w:rsid w:val="00C713EA"/>
    <w:rsid w:val="00C713F3"/>
    <w:rsid w:val="00C71530"/>
    <w:rsid w:val="00C7166C"/>
    <w:rsid w:val="00C717A1"/>
    <w:rsid w:val="00C71810"/>
    <w:rsid w:val="00C7198F"/>
    <w:rsid w:val="00C71B18"/>
    <w:rsid w:val="00C71B1B"/>
    <w:rsid w:val="00C71D3E"/>
    <w:rsid w:val="00C71D50"/>
    <w:rsid w:val="00C71E40"/>
    <w:rsid w:val="00C71E42"/>
    <w:rsid w:val="00C71E63"/>
    <w:rsid w:val="00C71EE1"/>
    <w:rsid w:val="00C72082"/>
    <w:rsid w:val="00C720A6"/>
    <w:rsid w:val="00C720CE"/>
    <w:rsid w:val="00C723CB"/>
    <w:rsid w:val="00C72441"/>
    <w:rsid w:val="00C725B5"/>
    <w:rsid w:val="00C725C5"/>
    <w:rsid w:val="00C72939"/>
    <w:rsid w:val="00C729F5"/>
    <w:rsid w:val="00C72A50"/>
    <w:rsid w:val="00C72BB9"/>
    <w:rsid w:val="00C72C26"/>
    <w:rsid w:val="00C72D34"/>
    <w:rsid w:val="00C72E83"/>
    <w:rsid w:val="00C72F40"/>
    <w:rsid w:val="00C72F42"/>
    <w:rsid w:val="00C7330D"/>
    <w:rsid w:val="00C733B8"/>
    <w:rsid w:val="00C7347D"/>
    <w:rsid w:val="00C734F1"/>
    <w:rsid w:val="00C735FC"/>
    <w:rsid w:val="00C735FF"/>
    <w:rsid w:val="00C73883"/>
    <w:rsid w:val="00C738C0"/>
    <w:rsid w:val="00C738C7"/>
    <w:rsid w:val="00C739CC"/>
    <w:rsid w:val="00C73AD3"/>
    <w:rsid w:val="00C73D16"/>
    <w:rsid w:val="00C73D2B"/>
    <w:rsid w:val="00C73E34"/>
    <w:rsid w:val="00C73F53"/>
    <w:rsid w:val="00C741CE"/>
    <w:rsid w:val="00C74216"/>
    <w:rsid w:val="00C74239"/>
    <w:rsid w:val="00C74250"/>
    <w:rsid w:val="00C742DF"/>
    <w:rsid w:val="00C7435D"/>
    <w:rsid w:val="00C74485"/>
    <w:rsid w:val="00C744C8"/>
    <w:rsid w:val="00C74882"/>
    <w:rsid w:val="00C748B7"/>
    <w:rsid w:val="00C7492D"/>
    <w:rsid w:val="00C74969"/>
    <w:rsid w:val="00C74984"/>
    <w:rsid w:val="00C74CDC"/>
    <w:rsid w:val="00C74DDA"/>
    <w:rsid w:val="00C74E8E"/>
    <w:rsid w:val="00C750C8"/>
    <w:rsid w:val="00C750D4"/>
    <w:rsid w:val="00C75469"/>
    <w:rsid w:val="00C755E2"/>
    <w:rsid w:val="00C755FF"/>
    <w:rsid w:val="00C756C9"/>
    <w:rsid w:val="00C757A9"/>
    <w:rsid w:val="00C7589A"/>
    <w:rsid w:val="00C758C9"/>
    <w:rsid w:val="00C758D7"/>
    <w:rsid w:val="00C75A52"/>
    <w:rsid w:val="00C75ABC"/>
    <w:rsid w:val="00C75B36"/>
    <w:rsid w:val="00C75D9E"/>
    <w:rsid w:val="00C75E70"/>
    <w:rsid w:val="00C76187"/>
    <w:rsid w:val="00C76193"/>
    <w:rsid w:val="00C761F2"/>
    <w:rsid w:val="00C76256"/>
    <w:rsid w:val="00C7630E"/>
    <w:rsid w:val="00C7649A"/>
    <w:rsid w:val="00C764CE"/>
    <w:rsid w:val="00C76521"/>
    <w:rsid w:val="00C7663E"/>
    <w:rsid w:val="00C76755"/>
    <w:rsid w:val="00C7675C"/>
    <w:rsid w:val="00C76A03"/>
    <w:rsid w:val="00C76A73"/>
    <w:rsid w:val="00C76CD7"/>
    <w:rsid w:val="00C76D0B"/>
    <w:rsid w:val="00C76EE0"/>
    <w:rsid w:val="00C76F13"/>
    <w:rsid w:val="00C76FB1"/>
    <w:rsid w:val="00C77057"/>
    <w:rsid w:val="00C7709B"/>
    <w:rsid w:val="00C7718F"/>
    <w:rsid w:val="00C77282"/>
    <w:rsid w:val="00C7728D"/>
    <w:rsid w:val="00C772D7"/>
    <w:rsid w:val="00C773C2"/>
    <w:rsid w:val="00C7746F"/>
    <w:rsid w:val="00C7758D"/>
    <w:rsid w:val="00C777FA"/>
    <w:rsid w:val="00C7780D"/>
    <w:rsid w:val="00C7787E"/>
    <w:rsid w:val="00C77BD0"/>
    <w:rsid w:val="00C77C10"/>
    <w:rsid w:val="00C77FC2"/>
    <w:rsid w:val="00C800E2"/>
    <w:rsid w:val="00C800ED"/>
    <w:rsid w:val="00C80161"/>
    <w:rsid w:val="00C80270"/>
    <w:rsid w:val="00C80309"/>
    <w:rsid w:val="00C803E2"/>
    <w:rsid w:val="00C8058D"/>
    <w:rsid w:val="00C8063E"/>
    <w:rsid w:val="00C806AF"/>
    <w:rsid w:val="00C806B6"/>
    <w:rsid w:val="00C809A7"/>
    <w:rsid w:val="00C809E8"/>
    <w:rsid w:val="00C80AF9"/>
    <w:rsid w:val="00C80C6E"/>
    <w:rsid w:val="00C80C90"/>
    <w:rsid w:val="00C80CF6"/>
    <w:rsid w:val="00C80D54"/>
    <w:rsid w:val="00C80D75"/>
    <w:rsid w:val="00C80DBC"/>
    <w:rsid w:val="00C80DED"/>
    <w:rsid w:val="00C80F8A"/>
    <w:rsid w:val="00C80FA1"/>
    <w:rsid w:val="00C80FF9"/>
    <w:rsid w:val="00C8119D"/>
    <w:rsid w:val="00C8137E"/>
    <w:rsid w:val="00C813BA"/>
    <w:rsid w:val="00C8141E"/>
    <w:rsid w:val="00C8147C"/>
    <w:rsid w:val="00C815B4"/>
    <w:rsid w:val="00C815BA"/>
    <w:rsid w:val="00C8167A"/>
    <w:rsid w:val="00C816FB"/>
    <w:rsid w:val="00C81713"/>
    <w:rsid w:val="00C818DD"/>
    <w:rsid w:val="00C8192A"/>
    <w:rsid w:val="00C8194A"/>
    <w:rsid w:val="00C819DD"/>
    <w:rsid w:val="00C819ED"/>
    <w:rsid w:val="00C81A1E"/>
    <w:rsid w:val="00C81AE8"/>
    <w:rsid w:val="00C81C8D"/>
    <w:rsid w:val="00C81C99"/>
    <w:rsid w:val="00C81CD5"/>
    <w:rsid w:val="00C81CDC"/>
    <w:rsid w:val="00C81E38"/>
    <w:rsid w:val="00C8200A"/>
    <w:rsid w:val="00C82109"/>
    <w:rsid w:val="00C82114"/>
    <w:rsid w:val="00C8212B"/>
    <w:rsid w:val="00C82134"/>
    <w:rsid w:val="00C82153"/>
    <w:rsid w:val="00C821BF"/>
    <w:rsid w:val="00C82235"/>
    <w:rsid w:val="00C82276"/>
    <w:rsid w:val="00C82435"/>
    <w:rsid w:val="00C82491"/>
    <w:rsid w:val="00C8259E"/>
    <w:rsid w:val="00C825B2"/>
    <w:rsid w:val="00C825F5"/>
    <w:rsid w:val="00C82686"/>
    <w:rsid w:val="00C8271F"/>
    <w:rsid w:val="00C82750"/>
    <w:rsid w:val="00C82780"/>
    <w:rsid w:val="00C8278F"/>
    <w:rsid w:val="00C82866"/>
    <w:rsid w:val="00C828BD"/>
    <w:rsid w:val="00C82939"/>
    <w:rsid w:val="00C82940"/>
    <w:rsid w:val="00C82A38"/>
    <w:rsid w:val="00C82A7F"/>
    <w:rsid w:val="00C82AA1"/>
    <w:rsid w:val="00C82B80"/>
    <w:rsid w:val="00C82DC2"/>
    <w:rsid w:val="00C82E89"/>
    <w:rsid w:val="00C83096"/>
    <w:rsid w:val="00C8314C"/>
    <w:rsid w:val="00C831B8"/>
    <w:rsid w:val="00C83374"/>
    <w:rsid w:val="00C833B0"/>
    <w:rsid w:val="00C8346E"/>
    <w:rsid w:val="00C83784"/>
    <w:rsid w:val="00C838AB"/>
    <w:rsid w:val="00C8390A"/>
    <w:rsid w:val="00C83AA3"/>
    <w:rsid w:val="00C83F00"/>
    <w:rsid w:val="00C83F7D"/>
    <w:rsid w:val="00C8414C"/>
    <w:rsid w:val="00C84229"/>
    <w:rsid w:val="00C84274"/>
    <w:rsid w:val="00C842F2"/>
    <w:rsid w:val="00C844A0"/>
    <w:rsid w:val="00C844D8"/>
    <w:rsid w:val="00C84595"/>
    <w:rsid w:val="00C84601"/>
    <w:rsid w:val="00C84635"/>
    <w:rsid w:val="00C847A3"/>
    <w:rsid w:val="00C84816"/>
    <w:rsid w:val="00C84A06"/>
    <w:rsid w:val="00C84B14"/>
    <w:rsid w:val="00C84C4E"/>
    <w:rsid w:val="00C84D5B"/>
    <w:rsid w:val="00C84D96"/>
    <w:rsid w:val="00C84DCA"/>
    <w:rsid w:val="00C84F5B"/>
    <w:rsid w:val="00C85046"/>
    <w:rsid w:val="00C85068"/>
    <w:rsid w:val="00C8508B"/>
    <w:rsid w:val="00C85275"/>
    <w:rsid w:val="00C852FC"/>
    <w:rsid w:val="00C854CE"/>
    <w:rsid w:val="00C8575F"/>
    <w:rsid w:val="00C8580F"/>
    <w:rsid w:val="00C85910"/>
    <w:rsid w:val="00C85A10"/>
    <w:rsid w:val="00C85CD2"/>
    <w:rsid w:val="00C85D6C"/>
    <w:rsid w:val="00C85E94"/>
    <w:rsid w:val="00C85F39"/>
    <w:rsid w:val="00C85F42"/>
    <w:rsid w:val="00C86016"/>
    <w:rsid w:val="00C8606E"/>
    <w:rsid w:val="00C860CC"/>
    <w:rsid w:val="00C86161"/>
    <w:rsid w:val="00C86267"/>
    <w:rsid w:val="00C8628C"/>
    <w:rsid w:val="00C862F2"/>
    <w:rsid w:val="00C863D6"/>
    <w:rsid w:val="00C8642E"/>
    <w:rsid w:val="00C864E7"/>
    <w:rsid w:val="00C866FB"/>
    <w:rsid w:val="00C86790"/>
    <w:rsid w:val="00C867CB"/>
    <w:rsid w:val="00C86807"/>
    <w:rsid w:val="00C86840"/>
    <w:rsid w:val="00C868AF"/>
    <w:rsid w:val="00C86A6E"/>
    <w:rsid w:val="00C86AA5"/>
    <w:rsid w:val="00C86BDE"/>
    <w:rsid w:val="00C86BF2"/>
    <w:rsid w:val="00C86D3B"/>
    <w:rsid w:val="00C86DAE"/>
    <w:rsid w:val="00C870FB"/>
    <w:rsid w:val="00C87111"/>
    <w:rsid w:val="00C87126"/>
    <w:rsid w:val="00C87239"/>
    <w:rsid w:val="00C87271"/>
    <w:rsid w:val="00C87281"/>
    <w:rsid w:val="00C8733D"/>
    <w:rsid w:val="00C8747E"/>
    <w:rsid w:val="00C874DF"/>
    <w:rsid w:val="00C87597"/>
    <w:rsid w:val="00C875E3"/>
    <w:rsid w:val="00C8769B"/>
    <w:rsid w:val="00C8776D"/>
    <w:rsid w:val="00C877C0"/>
    <w:rsid w:val="00C878FB"/>
    <w:rsid w:val="00C87A99"/>
    <w:rsid w:val="00C87BEA"/>
    <w:rsid w:val="00C87CBB"/>
    <w:rsid w:val="00C87DB8"/>
    <w:rsid w:val="00C87FE4"/>
    <w:rsid w:val="00C90102"/>
    <w:rsid w:val="00C9015B"/>
    <w:rsid w:val="00C90176"/>
    <w:rsid w:val="00C901E5"/>
    <w:rsid w:val="00C902BE"/>
    <w:rsid w:val="00C9043D"/>
    <w:rsid w:val="00C9049C"/>
    <w:rsid w:val="00C904B0"/>
    <w:rsid w:val="00C904E3"/>
    <w:rsid w:val="00C906C3"/>
    <w:rsid w:val="00C9079B"/>
    <w:rsid w:val="00C90A8A"/>
    <w:rsid w:val="00C90B0C"/>
    <w:rsid w:val="00C90B14"/>
    <w:rsid w:val="00C90BCD"/>
    <w:rsid w:val="00C90CFE"/>
    <w:rsid w:val="00C90D04"/>
    <w:rsid w:val="00C90D16"/>
    <w:rsid w:val="00C90DB1"/>
    <w:rsid w:val="00C90DB8"/>
    <w:rsid w:val="00C90EEF"/>
    <w:rsid w:val="00C90F3B"/>
    <w:rsid w:val="00C910D7"/>
    <w:rsid w:val="00C911A8"/>
    <w:rsid w:val="00C911F7"/>
    <w:rsid w:val="00C913AB"/>
    <w:rsid w:val="00C9164F"/>
    <w:rsid w:val="00C9168E"/>
    <w:rsid w:val="00C91702"/>
    <w:rsid w:val="00C917D7"/>
    <w:rsid w:val="00C9184A"/>
    <w:rsid w:val="00C91955"/>
    <w:rsid w:val="00C91976"/>
    <w:rsid w:val="00C919E1"/>
    <w:rsid w:val="00C91B5B"/>
    <w:rsid w:val="00C91C4D"/>
    <w:rsid w:val="00C91C4E"/>
    <w:rsid w:val="00C91D63"/>
    <w:rsid w:val="00C91DD2"/>
    <w:rsid w:val="00C91EC5"/>
    <w:rsid w:val="00C91F98"/>
    <w:rsid w:val="00C920B5"/>
    <w:rsid w:val="00C92234"/>
    <w:rsid w:val="00C92283"/>
    <w:rsid w:val="00C9241C"/>
    <w:rsid w:val="00C924F7"/>
    <w:rsid w:val="00C9251F"/>
    <w:rsid w:val="00C92536"/>
    <w:rsid w:val="00C925C1"/>
    <w:rsid w:val="00C9260D"/>
    <w:rsid w:val="00C928EB"/>
    <w:rsid w:val="00C92924"/>
    <w:rsid w:val="00C92929"/>
    <w:rsid w:val="00C9296A"/>
    <w:rsid w:val="00C9299F"/>
    <w:rsid w:val="00C929BE"/>
    <w:rsid w:val="00C92A0D"/>
    <w:rsid w:val="00C92A72"/>
    <w:rsid w:val="00C92B4C"/>
    <w:rsid w:val="00C92C3A"/>
    <w:rsid w:val="00C92DE7"/>
    <w:rsid w:val="00C92E71"/>
    <w:rsid w:val="00C92E80"/>
    <w:rsid w:val="00C92F01"/>
    <w:rsid w:val="00C930D3"/>
    <w:rsid w:val="00C930F4"/>
    <w:rsid w:val="00C931A8"/>
    <w:rsid w:val="00C931AA"/>
    <w:rsid w:val="00C931E0"/>
    <w:rsid w:val="00C93262"/>
    <w:rsid w:val="00C932F3"/>
    <w:rsid w:val="00C93324"/>
    <w:rsid w:val="00C93398"/>
    <w:rsid w:val="00C934C5"/>
    <w:rsid w:val="00C93517"/>
    <w:rsid w:val="00C93652"/>
    <w:rsid w:val="00C93685"/>
    <w:rsid w:val="00C937D5"/>
    <w:rsid w:val="00C9389A"/>
    <w:rsid w:val="00C93A61"/>
    <w:rsid w:val="00C93A7B"/>
    <w:rsid w:val="00C93AFD"/>
    <w:rsid w:val="00C93C7A"/>
    <w:rsid w:val="00C93D19"/>
    <w:rsid w:val="00C93DD4"/>
    <w:rsid w:val="00C93EBB"/>
    <w:rsid w:val="00C93EFF"/>
    <w:rsid w:val="00C94048"/>
    <w:rsid w:val="00C9408A"/>
    <w:rsid w:val="00C9410B"/>
    <w:rsid w:val="00C941A0"/>
    <w:rsid w:val="00C9421B"/>
    <w:rsid w:val="00C943CA"/>
    <w:rsid w:val="00C94479"/>
    <w:rsid w:val="00C9451E"/>
    <w:rsid w:val="00C945BB"/>
    <w:rsid w:val="00C94608"/>
    <w:rsid w:val="00C94756"/>
    <w:rsid w:val="00C9495F"/>
    <w:rsid w:val="00C94A19"/>
    <w:rsid w:val="00C94A6D"/>
    <w:rsid w:val="00C94A7C"/>
    <w:rsid w:val="00C94A9B"/>
    <w:rsid w:val="00C94AB7"/>
    <w:rsid w:val="00C94DA4"/>
    <w:rsid w:val="00C94E42"/>
    <w:rsid w:val="00C94E7E"/>
    <w:rsid w:val="00C94FF2"/>
    <w:rsid w:val="00C950C1"/>
    <w:rsid w:val="00C951D8"/>
    <w:rsid w:val="00C951DE"/>
    <w:rsid w:val="00C9523F"/>
    <w:rsid w:val="00C9526E"/>
    <w:rsid w:val="00C95315"/>
    <w:rsid w:val="00C95355"/>
    <w:rsid w:val="00C95372"/>
    <w:rsid w:val="00C953D7"/>
    <w:rsid w:val="00C954DA"/>
    <w:rsid w:val="00C9555E"/>
    <w:rsid w:val="00C955BD"/>
    <w:rsid w:val="00C955E1"/>
    <w:rsid w:val="00C9565D"/>
    <w:rsid w:val="00C95769"/>
    <w:rsid w:val="00C95987"/>
    <w:rsid w:val="00C95C27"/>
    <w:rsid w:val="00C95C5A"/>
    <w:rsid w:val="00C95CDC"/>
    <w:rsid w:val="00C95D9D"/>
    <w:rsid w:val="00C95F9F"/>
    <w:rsid w:val="00C95FD3"/>
    <w:rsid w:val="00C9607B"/>
    <w:rsid w:val="00C96120"/>
    <w:rsid w:val="00C961BA"/>
    <w:rsid w:val="00C962F7"/>
    <w:rsid w:val="00C96347"/>
    <w:rsid w:val="00C963D8"/>
    <w:rsid w:val="00C96412"/>
    <w:rsid w:val="00C9641B"/>
    <w:rsid w:val="00C9667B"/>
    <w:rsid w:val="00C966B6"/>
    <w:rsid w:val="00C96720"/>
    <w:rsid w:val="00C9672B"/>
    <w:rsid w:val="00C96760"/>
    <w:rsid w:val="00C96884"/>
    <w:rsid w:val="00C9694B"/>
    <w:rsid w:val="00C96953"/>
    <w:rsid w:val="00C96AFD"/>
    <w:rsid w:val="00C96BA0"/>
    <w:rsid w:val="00C96BE6"/>
    <w:rsid w:val="00C96D00"/>
    <w:rsid w:val="00C96D8C"/>
    <w:rsid w:val="00C96E94"/>
    <w:rsid w:val="00C96EAF"/>
    <w:rsid w:val="00C970C0"/>
    <w:rsid w:val="00C970C4"/>
    <w:rsid w:val="00C970DD"/>
    <w:rsid w:val="00C972C0"/>
    <w:rsid w:val="00C972F8"/>
    <w:rsid w:val="00C97360"/>
    <w:rsid w:val="00C97368"/>
    <w:rsid w:val="00C9738D"/>
    <w:rsid w:val="00C97640"/>
    <w:rsid w:val="00C97974"/>
    <w:rsid w:val="00C97AC7"/>
    <w:rsid w:val="00C97B9F"/>
    <w:rsid w:val="00C97CBB"/>
    <w:rsid w:val="00C97D4A"/>
    <w:rsid w:val="00C97DEF"/>
    <w:rsid w:val="00C97E01"/>
    <w:rsid w:val="00C97EE1"/>
    <w:rsid w:val="00C97F7F"/>
    <w:rsid w:val="00CA0065"/>
    <w:rsid w:val="00CA0108"/>
    <w:rsid w:val="00CA022C"/>
    <w:rsid w:val="00CA034A"/>
    <w:rsid w:val="00CA0410"/>
    <w:rsid w:val="00CA050B"/>
    <w:rsid w:val="00CA054B"/>
    <w:rsid w:val="00CA0619"/>
    <w:rsid w:val="00CA0624"/>
    <w:rsid w:val="00CA08D5"/>
    <w:rsid w:val="00CA08DB"/>
    <w:rsid w:val="00CA08F8"/>
    <w:rsid w:val="00CA0A4F"/>
    <w:rsid w:val="00CA0A6F"/>
    <w:rsid w:val="00CA0B11"/>
    <w:rsid w:val="00CA0B78"/>
    <w:rsid w:val="00CA0D98"/>
    <w:rsid w:val="00CA0DD0"/>
    <w:rsid w:val="00CA1157"/>
    <w:rsid w:val="00CA1192"/>
    <w:rsid w:val="00CA12D1"/>
    <w:rsid w:val="00CA12F4"/>
    <w:rsid w:val="00CA165B"/>
    <w:rsid w:val="00CA168F"/>
    <w:rsid w:val="00CA1713"/>
    <w:rsid w:val="00CA1740"/>
    <w:rsid w:val="00CA18BA"/>
    <w:rsid w:val="00CA1A4F"/>
    <w:rsid w:val="00CA1A74"/>
    <w:rsid w:val="00CA1B56"/>
    <w:rsid w:val="00CA1C25"/>
    <w:rsid w:val="00CA1C90"/>
    <w:rsid w:val="00CA1CBB"/>
    <w:rsid w:val="00CA1D51"/>
    <w:rsid w:val="00CA1E18"/>
    <w:rsid w:val="00CA1EB5"/>
    <w:rsid w:val="00CA1ED4"/>
    <w:rsid w:val="00CA20DC"/>
    <w:rsid w:val="00CA21DE"/>
    <w:rsid w:val="00CA21FB"/>
    <w:rsid w:val="00CA2202"/>
    <w:rsid w:val="00CA22B2"/>
    <w:rsid w:val="00CA2461"/>
    <w:rsid w:val="00CA24BF"/>
    <w:rsid w:val="00CA24FF"/>
    <w:rsid w:val="00CA252D"/>
    <w:rsid w:val="00CA261B"/>
    <w:rsid w:val="00CA2632"/>
    <w:rsid w:val="00CA285B"/>
    <w:rsid w:val="00CA28B5"/>
    <w:rsid w:val="00CA2A0C"/>
    <w:rsid w:val="00CA2A5F"/>
    <w:rsid w:val="00CA2B83"/>
    <w:rsid w:val="00CA2CF2"/>
    <w:rsid w:val="00CA2D3E"/>
    <w:rsid w:val="00CA2DFE"/>
    <w:rsid w:val="00CA2E17"/>
    <w:rsid w:val="00CA2F88"/>
    <w:rsid w:val="00CA3038"/>
    <w:rsid w:val="00CA328C"/>
    <w:rsid w:val="00CA38A4"/>
    <w:rsid w:val="00CA38C4"/>
    <w:rsid w:val="00CA39A1"/>
    <w:rsid w:val="00CA3A07"/>
    <w:rsid w:val="00CA3CE1"/>
    <w:rsid w:val="00CA3DEE"/>
    <w:rsid w:val="00CA3FFE"/>
    <w:rsid w:val="00CA409B"/>
    <w:rsid w:val="00CA417A"/>
    <w:rsid w:val="00CA41D0"/>
    <w:rsid w:val="00CA4255"/>
    <w:rsid w:val="00CA428D"/>
    <w:rsid w:val="00CA434E"/>
    <w:rsid w:val="00CA4368"/>
    <w:rsid w:val="00CA4599"/>
    <w:rsid w:val="00CA4625"/>
    <w:rsid w:val="00CA473C"/>
    <w:rsid w:val="00CA4907"/>
    <w:rsid w:val="00CA49F6"/>
    <w:rsid w:val="00CA4A0E"/>
    <w:rsid w:val="00CA4B47"/>
    <w:rsid w:val="00CA4C35"/>
    <w:rsid w:val="00CA4C93"/>
    <w:rsid w:val="00CA4CAC"/>
    <w:rsid w:val="00CA4D5F"/>
    <w:rsid w:val="00CA4D85"/>
    <w:rsid w:val="00CA4E59"/>
    <w:rsid w:val="00CA4E77"/>
    <w:rsid w:val="00CA4E79"/>
    <w:rsid w:val="00CA5005"/>
    <w:rsid w:val="00CA51F8"/>
    <w:rsid w:val="00CA5265"/>
    <w:rsid w:val="00CA52C5"/>
    <w:rsid w:val="00CA5553"/>
    <w:rsid w:val="00CA56BE"/>
    <w:rsid w:val="00CA58D8"/>
    <w:rsid w:val="00CA592D"/>
    <w:rsid w:val="00CA59CF"/>
    <w:rsid w:val="00CA59D7"/>
    <w:rsid w:val="00CA5B72"/>
    <w:rsid w:val="00CA5DAB"/>
    <w:rsid w:val="00CA5DCC"/>
    <w:rsid w:val="00CA5DD2"/>
    <w:rsid w:val="00CA5DDD"/>
    <w:rsid w:val="00CA5E36"/>
    <w:rsid w:val="00CA5EB7"/>
    <w:rsid w:val="00CA5EEE"/>
    <w:rsid w:val="00CA6124"/>
    <w:rsid w:val="00CA6351"/>
    <w:rsid w:val="00CA6539"/>
    <w:rsid w:val="00CA6580"/>
    <w:rsid w:val="00CA6659"/>
    <w:rsid w:val="00CA68BE"/>
    <w:rsid w:val="00CA697F"/>
    <w:rsid w:val="00CA6A72"/>
    <w:rsid w:val="00CA6C7C"/>
    <w:rsid w:val="00CA6C85"/>
    <w:rsid w:val="00CA6CEA"/>
    <w:rsid w:val="00CA6EA5"/>
    <w:rsid w:val="00CA7032"/>
    <w:rsid w:val="00CA7103"/>
    <w:rsid w:val="00CA71E3"/>
    <w:rsid w:val="00CA71FE"/>
    <w:rsid w:val="00CA740A"/>
    <w:rsid w:val="00CA7560"/>
    <w:rsid w:val="00CA7645"/>
    <w:rsid w:val="00CA796C"/>
    <w:rsid w:val="00CA7AB5"/>
    <w:rsid w:val="00CA7BCE"/>
    <w:rsid w:val="00CA7BDC"/>
    <w:rsid w:val="00CA7C25"/>
    <w:rsid w:val="00CA7C64"/>
    <w:rsid w:val="00CA7D1F"/>
    <w:rsid w:val="00CA7DF0"/>
    <w:rsid w:val="00CA7FD1"/>
    <w:rsid w:val="00CB01F3"/>
    <w:rsid w:val="00CB041A"/>
    <w:rsid w:val="00CB041E"/>
    <w:rsid w:val="00CB0551"/>
    <w:rsid w:val="00CB05D2"/>
    <w:rsid w:val="00CB07BE"/>
    <w:rsid w:val="00CB0839"/>
    <w:rsid w:val="00CB086C"/>
    <w:rsid w:val="00CB0A7B"/>
    <w:rsid w:val="00CB0ACB"/>
    <w:rsid w:val="00CB0CF0"/>
    <w:rsid w:val="00CB0D46"/>
    <w:rsid w:val="00CB0E43"/>
    <w:rsid w:val="00CB0EB7"/>
    <w:rsid w:val="00CB0EC6"/>
    <w:rsid w:val="00CB0EEC"/>
    <w:rsid w:val="00CB0FD1"/>
    <w:rsid w:val="00CB137E"/>
    <w:rsid w:val="00CB138B"/>
    <w:rsid w:val="00CB1459"/>
    <w:rsid w:val="00CB14FA"/>
    <w:rsid w:val="00CB16B9"/>
    <w:rsid w:val="00CB16BD"/>
    <w:rsid w:val="00CB16D7"/>
    <w:rsid w:val="00CB1745"/>
    <w:rsid w:val="00CB174F"/>
    <w:rsid w:val="00CB17B7"/>
    <w:rsid w:val="00CB18B5"/>
    <w:rsid w:val="00CB19AD"/>
    <w:rsid w:val="00CB1AA9"/>
    <w:rsid w:val="00CB1BDF"/>
    <w:rsid w:val="00CB1CBC"/>
    <w:rsid w:val="00CB1CDD"/>
    <w:rsid w:val="00CB1DA0"/>
    <w:rsid w:val="00CB1DDC"/>
    <w:rsid w:val="00CB1E9A"/>
    <w:rsid w:val="00CB207D"/>
    <w:rsid w:val="00CB2201"/>
    <w:rsid w:val="00CB2224"/>
    <w:rsid w:val="00CB23A9"/>
    <w:rsid w:val="00CB2415"/>
    <w:rsid w:val="00CB2428"/>
    <w:rsid w:val="00CB25C0"/>
    <w:rsid w:val="00CB2815"/>
    <w:rsid w:val="00CB28A6"/>
    <w:rsid w:val="00CB29EF"/>
    <w:rsid w:val="00CB2A5D"/>
    <w:rsid w:val="00CB2B17"/>
    <w:rsid w:val="00CB2C01"/>
    <w:rsid w:val="00CB2C5A"/>
    <w:rsid w:val="00CB2E63"/>
    <w:rsid w:val="00CB2E6F"/>
    <w:rsid w:val="00CB2FD8"/>
    <w:rsid w:val="00CB3071"/>
    <w:rsid w:val="00CB3126"/>
    <w:rsid w:val="00CB3170"/>
    <w:rsid w:val="00CB31BA"/>
    <w:rsid w:val="00CB3213"/>
    <w:rsid w:val="00CB321B"/>
    <w:rsid w:val="00CB3259"/>
    <w:rsid w:val="00CB3355"/>
    <w:rsid w:val="00CB33FA"/>
    <w:rsid w:val="00CB349B"/>
    <w:rsid w:val="00CB376C"/>
    <w:rsid w:val="00CB399F"/>
    <w:rsid w:val="00CB3B38"/>
    <w:rsid w:val="00CB3BAC"/>
    <w:rsid w:val="00CB3CE3"/>
    <w:rsid w:val="00CB3D66"/>
    <w:rsid w:val="00CB3DD7"/>
    <w:rsid w:val="00CB3EB5"/>
    <w:rsid w:val="00CB3EC9"/>
    <w:rsid w:val="00CB3F4F"/>
    <w:rsid w:val="00CB3F7F"/>
    <w:rsid w:val="00CB4151"/>
    <w:rsid w:val="00CB42E8"/>
    <w:rsid w:val="00CB45E7"/>
    <w:rsid w:val="00CB488A"/>
    <w:rsid w:val="00CB49EB"/>
    <w:rsid w:val="00CB4A1B"/>
    <w:rsid w:val="00CB4A22"/>
    <w:rsid w:val="00CB4B1A"/>
    <w:rsid w:val="00CB4B82"/>
    <w:rsid w:val="00CB4C66"/>
    <w:rsid w:val="00CB4E1A"/>
    <w:rsid w:val="00CB4E25"/>
    <w:rsid w:val="00CB4EC0"/>
    <w:rsid w:val="00CB4FAD"/>
    <w:rsid w:val="00CB5061"/>
    <w:rsid w:val="00CB5215"/>
    <w:rsid w:val="00CB5295"/>
    <w:rsid w:val="00CB5619"/>
    <w:rsid w:val="00CB57A8"/>
    <w:rsid w:val="00CB5A50"/>
    <w:rsid w:val="00CB5AB4"/>
    <w:rsid w:val="00CB5B05"/>
    <w:rsid w:val="00CB5CED"/>
    <w:rsid w:val="00CB5D8B"/>
    <w:rsid w:val="00CB5F35"/>
    <w:rsid w:val="00CB600F"/>
    <w:rsid w:val="00CB60F5"/>
    <w:rsid w:val="00CB6189"/>
    <w:rsid w:val="00CB61F1"/>
    <w:rsid w:val="00CB6235"/>
    <w:rsid w:val="00CB6237"/>
    <w:rsid w:val="00CB633C"/>
    <w:rsid w:val="00CB63FE"/>
    <w:rsid w:val="00CB65E0"/>
    <w:rsid w:val="00CB66F8"/>
    <w:rsid w:val="00CB675E"/>
    <w:rsid w:val="00CB6787"/>
    <w:rsid w:val="00CB6825"/>
    <w:rsid w:val="00CB6831"/>
    <w:rsid w:val="00CB6859"/>
    <w:rsid w:val="00CB6870"/>
    <w:rsid w:val="00CB6961"/>
    <w:rsid w:val="00CB697F"/>
    <w:rsid w:val="00CB6BC0"/>
    <w:rsid w:val="00CB6BD0"/>
    <w:rsid w:val="00CB6CBC"/>
    <w:rsid w:val="00CB6CD3"/>
    <w:rsid w:val="00CB6D14"/>
    <w:rsid w:val="00CB6E55"/>
    <w:rsid w:val="00CB6EBE"/>
    <w:rsid w:val="00CB700F"/>
    <w:rsid w:val="00CB7179"/>
    <w:rsid w:val="00CB718B"/>
    <w:rsid w:val="00CB7373"/>
    <w:rsid w:val="00CB73E1"/>
    <w:rsid w:val="00CB7404"/>
    <w:rsid w:val="00CB746A"/>
    <w:rsid w:val="00CB74CF"/>
    <w:rsid w:val="00CB751C"/>
    <w:rsid w:val="00CB7545"/>
    <w:rsid w:val="00CB768F"/>
    <w:rsid w:val="00CB78CA"/>
    <w:rsid w:val="00CB7924"/>
    <w:rsid w:val="00CB795B"/>
    <w:rsid w:val="00CB79CD"/>
    <w:rsid w:val="00CB7A15"/>
    <w:rsid w:val="00CB7A76"/>
    <w:rsid w:val="00CB7AA6"/>
    <w:rsid w:val="00CB7ADB"/>
    <w:rsid w:val="00CC0000"/>
    <w:rsid w:val="00CC0005"/>
    <w:rsid w:val="00CC00A7"/>
    <w:rsid w:val="00CC0108"/>
    <w:rsid w:val="00CC01EA"/>
    <w:rsid w:val="00CC0263"/>
    <w:rsid w:val="00CC02B9"/>
    <w:rsid w:val="00CC0501"/>
    <w:rsid w:val="00CC069B"/>
    <w:rsid w:val="00CC091F"/>
    <w:rsid w:val="00CC0A7A"/>
    <w:rsid w:val="00CC0B0B"/>
    <w:rsid w:val="00CC0B5E"/>
    <w:rsid w:val="00CC0DB2"/>
    <w:rsid w:val="00CC0DC4"/>
    <w:rsid w:val="00CC0FD8"/>
    <w:rsid w:val="00CC102C"/>
    <w:rsid w:val="00CC102F"/>
    <w:rsid w:val="00CC1050"/>
    <w:rsid w:val="00CC1094"/>
    <w:rsid w:val="00CC10DA"/>
    <w:rsid w:val="00CC11FB"/>
    <w:rsid w:val="00CC120D"/>
    <w:rsid w:val="00CC1377"/>
    <w:rsid w:val="00CC147E"/>
    <w:rsid w:val="00CC1524"/>
    <w:rsid w:val="00CC1546"/>
    <w:rsid w:val="00CC1547"/>
    <w:rsid w:val="00CC155C"/>
    <w:rsid w:val="00CC1936"/>
    <w:rsid w:val="00CC198E"/>
    <w:rsid w:val="00CC1AD5"/>
    <w:rsid w:val="00CC1BA3"/>
    <w:rsid w:val="00CC1C50"/>
    <w:rsid w:val="00CC1E93"/>
    <w:rsid w:val="00CC1ED9"/>
    <w:rsid w:val="00CC1F55"/>
    <w:rsid w:val="00CC1F67"/>
    <w:rsid w:val="00CC201A"/>
    <w:rsid w:val="00CC217D"/>
    <w:rsid w:val="00CC2356"/>
    <w:rsid w:val="00CC238E"/>
    <w:rsid w:val="00CC2420"/>
    <w:rsid w:val="00CC24C3"/>
    <w:rsid w:val="00CC268B"/>
    <w:rsid w:val="00CC269A"/>
    <w:rsid w:val="00CC2709"/>
    <w:rsid w:val="00CC2751"/>
    <w:rsid w:val="00CC28D4"/>
    <w:rsid w:val="00CC293A"/>
    <w:rsid w:val="00CC2944"/>
    <w:rsid w:val="00CC29B0"/>
    <w:rsid w:val="00CC2AB2"/>
    <w:rsid w:val="00CC2C1C"/>
    <w:rsid w:val="00CC2E2C"/>
    <w:rsid w:val="00CC2E6E"/>
    <w:rsid w:val="00CC2EB9"/>
    <w:rsid w:val="00CC31FA"/>
    <w:rsid w:val="00CC3313"/>
    <w:rsid w:val="00CC3353"/>
    <w:rsid w:val="00CC3423"/>
    <w:rsid w:val="00CC36A2"/>
    <w:rsid w:val="00CC36CC"/>
    <w:rsid w:val="00CC36FA"/>
    <w:rsid w:val="00CC3937"/>
    <w:rsid w:val="00CC39DD"/>
    <w:rsid w:val="00CC3A95"/>
    <w:rsid w:val="00CC3ACB"/>
    <w:rsid w:val="00CC3CD4"/>
    <w:rsid w:val="00CC3CE8"/>
    <w:rsid w:val="00CC3DD0"/>
    <w:rsid w:val="00CC3E1C"/>
    <w:rsid w:val="00CC3EBD"/>
    <w:rsid w:val="00CC3EFC"/>
    <w:rsid w:val="00CC3F5B"/>
    <w:rsid w:val="00CC3FCC"/>
    <w:rsid w:val="00CC40D6"/>
    <w:rsid w:val="00CC419E"/>
    <w:rsid w:val="00CC4272"/>
    <w:rsid w:val="00CC42AD"/>
    <w:rsid w:val="00CC440D"/>
    <w:rsid w:val="00CC44E8"/>
    <w:rsid w:val="00CC4609"/>
    <w:rsid w:val="00CC4629"/>
    <w:rsid w:val="00CC463A"/>
    <w:rsid w:val="00CC467C"/>
    <w:rsid w:val="00CC46E2"/>
    <w:rsid w:val="00CC4709"/>
    <w:rsid w:val="00CC48BF"/>
    <w:rsid w:val="00CC49AB"/>
    <w:rsid w:val="00CC4A0F"/>
    <w:rsid w:val="00CC4A56"/>
    <w:rsid w:val="00CC4AE0"/>
    <w:rsid w:val="00CC4AFE"/>
    <w:rsid w:val="00CC4BE8"/>
    <w:rsid w:val="00CC4D47"/>
    <w:rsid w:val="00CC4E1D"/>
    <w:rsid w:val="00CC4E59"/>
    <w:rsid w:val="00CC4E84"/>
    <w:rsid w:val="00CC4F1A"/>
    <w:rsid w:val="00CC50FE"/>
    <w:rsid w:val="00CC51BF"/>
    <w:rsid w:val="00CC52BB"/>
    <w:rsid w:val="00CC52F0"/>
    <w:rsid w:val="00CC5352"/>
    <w:rsid w:val="00CC5405"/>
    <w:rsid w:val="00CC55DB"/>
    <w:rsid w:val="00CC56A6"/>
    <w:rsid w:val="00CC594D"/>
    <w:rsid w:val="00CC5971"/>
    <w:rsid w:val="00CC59DB"/>
    <w:rsid w:val="00CC5AAD"/>
    <w:rsid w:val="00CC5AC6"/>
    <w:rsid w:val="00CC5B57"/>
    <w:rsid w:val="00CC5B69"/>
    <w:rsid w:val="00CC5B9C"/>
    <w:rsid w:val="00CC5C01"/>
    <w:rsid w:val="00CC5C59"/>
    <w:rsid w:val="00CC5D55"/>
    <w:rsid w:val="00CC5E2E"/>
    <w:rsid w:val="00CC5E90"/>
    <w:rsid w:val="00CC5EC9"/>
    <w:rsid w:val="00CC5EE6"/>
    <w:rsid w:val="00CC5F23"/>
    <w:rsid w:val="00CC5FF7"/>
    <w:rsid w:val="00CC6004"/>
    <w:rsid w:val="00CC615A"/>
    <w:rsid w:val="00CC6178"/>
    <w:rsid w:val="00CC61E4"/>
    <w:rsid w:val="00CC6449"/>
    <w:rsid w:val="00CC6474"/>
    <w:rsid w:val="00CC65E2"/>
    <w:rsid w:val="00CC6606"/>
    <w:rsid w:val="00CC6827"/>
    <w:rsid w:val="00CC6861"/>
    <w:rsid w:val="00CC6866"/>
    <w:rsid w:val="00CC687F"/>
    <w:rsid w:val="00CC68F7"/>
    <w:rsid w:val="00CC699D"/>
    <w:rsid w:val="00CC6AAA"/>
    <w:rsid w:val="00CC6B02"/>
    <w:rsid w:val="00CC6B0C"/>
    <w:rsid w:val="00CC6D35"/>
    <w:rsid w:val="00CC6D82"/>
    <w:rsid w:val="00CC6F9D"/>
    <w:rsid w:val="00CC6FCE"/>
    <w:rsid w:val="00CC6FE1"/>
    <w:rsid w:val="00CC6FF4"/>
    <w:rsid w:val="00CC7254"/>
    <w:rsid w:val="00CC725B"/>
    <w:rsid w:val="00CC7292"/>
    <w:rsid w:val="00CC7498"/>
    <w:rsid w:val="00CC75B8"/>
    <w:rsid w:val="00CC75CB"/>
    <w:rsid w:val="00CC7745"/>
    <w:rsid w:val="00CC7802"/>
    <w:rsid w:val="00CC7916"/>
    <w:rsid w:val="00CC79D5"/>
    <w:rsid w:val="00CC7A13"/>
    <w:rsid w:val="00CC7AD6"/>
    <w:rsid w:val="00CC7B75"/>
    <w:rsid w:val="00CD0158"/>
    <w:rsid w:val="00CD020D"/>
    <w:rsid w:val="00CD0221"/>
    <w:rsid w:val="00CD02A0"/>
    <w:rsid w:val="00CD03A4"/>
    <w:rsid w:val="00CD05AE"/>
    <w:rsid w:val="00CD0684"/>
    <w:rsid w:val="00CD072E"/>
    <w:rsid w:val="00CD0930"/>
    <w:rsid w:val="00CD0A18"/>
    <w:rsid w:val="00CD0A6F"/>
    <w:rsid w:val="00CD0C07"/>
    <w:rsid w:val="00CD0DF9"/>
    <w:rsid w:val="00CD0E4D"/>
    <w:rsid w:val="00CD0F56"/>
    <w:rsid w:val="00CD0F6A"/>
    <w:rsid w:val="00CD10BE"/>
    <w:rsid w:val="00CD11B7"/>
    <w:rsid w:val="00CD1229"/>
    <w:rsid w:val="00CD1234"/>
    <w:rsid w:val="00CD12BB"/>
    <w:rsid w:val="00CD139F"/>
    <w:rsid w:val="00CD1572"/>
    <w:rsid w:val="00CD15D4"/>
    <w:rsid w:val="00CD1617"/>
    <w:rsid w:val="00CD1753"/>
    <w:rsid w:val="00CD1755"/>
    <w:rsid w:val="00CD17EF"/>
    <w:rsid w:val="00CD1967"/>
    <w:rsid w:val="00CD19EB"/>
    <w:rsid w:val="00CD1AD8"/>
    <w:rsid w:val="00CD1BC4"/>
    <w:rsid w:val="00CD1D68"/>
    <w:rsid w:val="00CD1E38"/>
    <w:rsid w:val="00CD1EB6"/>
    <w:rsid w:val="00CD2290"/>
    <w:rsid w:val="00CD242A"/>
    <w:rsid w:val="00CD2632"/>
    <w:rsid w:val="00CD2677"/>
    <w:rsid w:val="00CD27AB"/>
    <w:rsid w:val="00CD285D"/>
    <w:rsid w:val="00CD2985"/>
    <w:rsid w:val="00CD299E"/>
    <w:rsid w:val="00CD2A45"/>
    <w:rsid w:val="00CD2A4E"/>
    <w:rsid w:val="00CD2AA6"/>
    <w:rsid w:val="00CD2AF5"/>
    <w:rsid w:val="00CD2B0A"/>
    <w:rsid w:val="00CD2B9C"/>
    <w:rsid w:val="00CD2C0B"/>
    <w:rsid w:val="00CD2C80"/>
    <w:rsid w:val="00CD2D52"/>
    <w:rsid w:val="00CD2F04"/>
    <w:rsid w:val="00CD3194"/>
    <w:rsid w:val="00CD319D"/>
    <w:rsid w:val="00CD31A9"/>
    <w:rsid w:val="00CD31D0"/>
    <w:rsid w:val="00CD3471"/>
    <w:rsid w:val="00CD34BF"/>
    <w:rsid w:val="00CD35DF"/>
    <w:rsid w:val="00CD35E2"/>
    <w:rsid w:val="00CD3925"/>
    <w:rsid w:val="00CD3A51"/>
    <w:rsid w:val="00CD3B6F"/>
    <w:rsid w:val="00CD3B7A"/>
    <w:rsid w:val="00CD3C24"/>
    <w:rsid w:val="00CD3C31"/>
    <w:rsid w:val="00CD3E1C"/>
    <w:rsid w:val="00CD3E96"/>
    <w:rsid w:val="00CD4016"/>
    <w:rsid w:val="00CD4189"/>
    <w:rsid w:val="00CD4240"/>
    <w:rsid w:val="00CD4259"/>
    <w:rsid w:val="00CD4286"/>
    <w:rsid w:val="00CD4619"/>
    <w:rsid w:val="00CD4712"/>
    <w:rsid w:val="00CD473A"/>
    <w:rsid w:val="00CD473D"/>
    <w:rsid w:val="00CD479B"/>
    <w:rsid w:val="00CD4A76"/>
    <w:rsid w:val="00CD4BE5"/>
    <w:rsid w:val="00CD4CA2"/>
    <w:rsid w:val="00CD4DF8"/>
    <w:rsid w:val="00CD4E8B"/>
    <w:rsid w:val="00CD4FB6"/>
    <w:rsid w:val="00CD50A7"/>
    <w:rsid w:val="00CD5169"/>
    <w:rsid w:val="00CD524E"/>
    <w:rsid w:val="00CD546B"/>
    <w:rsid w:val="00CD5493"/>
    <w:rsid w:val="00CD5526"/>
    <w:rsid w:val="00CD555B"/>
    <w:rsid w:val="00CD55DE"/>
    <w:rsid w:val="00CD5694"/>
    <w:rsid w:val="00CD579F"/>
    <w:rsid w:val="00CD58AD"/>
    <w:rsid w:val="00CD58F1"/>
    <w:rsid w:val="00CD593A"/>
    <w:rsid w:val="00CD5A0E"/>
    <w:rsid w:val="00CD5A2B"/>
    <w:rsid w:val="00CD5A6D"/>
    <w:rsid w:val="00CD5A6F"/>
    <w:rsid w:val="00CD5B8A"/>
    <w:rsid w:val="00CD5DAC"/>
    <w:rsid w:val="00CD5DE9"/>
    <w:rsid w:val="00CD5E8C"/>
    <w:rsid w:val="00CD5EB1"/>
    <w:rsid w:val="00CD5F0D"/>
    <w:rsid w:val="00CD5FF4"/>
    <w:rsid w:val="00CD60C2"/>
    <w:rsid w:val="00CD6107"/>
    <w:rsid w:val="00CD6173"/>
    <w:rsid w:val="00CD61ED"/>
    <w:rsid w:val="00CD638A"/>
    <w:rsid w:val="00CD63D8"/>
    <w:rsid w:val="00CD645A"/>
    <w:rsid w:val="00CD64B1"/>
    <w:rsid w:val="00CD657A"/>
    <w:rsid w:val="00CD6584"/>
    <w:rsid w:val="00CD65B7"/>
    <w:rsid w:val="00CD66F5"/>
    <w:rsid w:val="00CD697F"/>
    <w:rsid w:val="00CD6AEC"/>
    <w:rsid w:val="00CD6B0F"/>
    <w:rsid w:val="00CD6CFC"/>
    <w:rsid w:val="00CD6D1B"/>
    <w:rsid w:val="00CD6DB4"/>
    <w:rsid w:val="00CD6DD1"/>
    <w:rsid w:val="00CD6F4A"/>
    <w:rsid w:val="00CD7056"/>
    <w:rsid w:val="00CD71F5"/>
    <w:rsid w:val="00CD7342"/>
    <w:rsid w:val="00CD73DE"/>
    <w:rsid w:val="00CD74F2"/>
    <w:rsid w:val="00CD756B"/>
    <w:rsid w:val="00CD773D"/>
    <w:rsid w:val="00CD78B4"/>
    <w:rsid w:val="00CD78EF"/>
    <w:rsid w:val="00CD79E4"/>
    <w:rsid w:val="00CD7A4F"/>
    <w:rsid w:val="00CD7A90"/>
    <w:rsid w:val="00CD7AA7"/>
    <w:rsid w:val="00CD7B06"/>
    <w:rsid w:val="00CD7C86"/>
    <w:rsid w:val="00CD7D5D"/>
    <w:rsid w:val="00CD7F73"/>
    <w:rsid w:val="00CE00B2"/>
    <w:rsid w:val="00CE0104"/>
    <w:rsid w:val="00CE03E3"/>
    <w:rsid w:val="00CE04E5"/>
    <w:rsid w:val="00CE0543"/>
    <w:rsid w:val="00CE0679"/>
    <w:rsid w:val="00CE06A4"/>
    <w:rsid w:val="00CE0719"/>
    <w:rsid w:val="00CE095E"/>
    <w:rsid w:val="00CE0AEB"/>
    <w:rsid w:val="00CE0B14"/>
    <w:rsid w:val="00CE0C98"/>
    <w:rsid w:val="00CE0CE0"/>
    <w:rsid w:val="00CE0D74"/>
    <w:rsid w:val="00CE0F57"/>
    <w:rsid w:val="00CE0F96"/>
    <w:rsid w:val="00CE0FCD"/>
    <w:rsid w:val="00CE103C"/>
    <w:rsid w:val="00CE11A5"/>
    <w:rsid w:val="00CE143E"/>
    <w:rsid w:val="00CE17C9"/>
    <w:rsid w:val="00CE18CF"/>
    <w:rsid w:val="00CE198B"/>
    <w:rsid w:val="00CE1A15"/>
    <w:rsid w:val="00CE1A16"/>
    <w:rsid w:val="00CE1A80"/>
    <w:rsid w:val="00CE1AF5"/>
    <w:rsid w:val="00CE1B04"/>
    <w:rsid w:val="00CE1BDB"/>
    <w:rsid w:val="00CE1C44"/>
    <w:rsid w:val="00CE1C4E"/>
    <w:rsid w:val="00CE1CE6"/>
    <w:rsid w:val="00CE1CFE"/>
    <w:rsid w:val="00CE1D2F"/>
    <w:rsid w:val="00CE1DCC"/>
    <w:rsid w:val="00CE1DF7"/>
    <w:rsid w:val="00CE1ED5"/>
    <w:rsid w:val="00CE1F0B"/>
    <w:rsid w:val="00CE1F2D"/>
    <w:rsid w:val="00CE1F7D"/>
    <w:rsid w:val="00CE1FDD"/>
    <w:rsid w:val="00CE1FF3"/>
    <w:rsid w:val="00CE2036"/>
    <w:rsid w:val="00CE20F8"/>
    <w:rsid w:val="00CE2113"/>
    <w:rsid w:val="00CE2378"/>
    <w:rsid w:val="00CE241C"/>
    <w:rsid w:val="00CE241D"/>
    <w:rsid w:val="00CE2467"/>
    <w:rsid w:val="00CE24EA"/>
    <w:rsid w:val="00CE2643"/>
    <w:rsid w:val="00CE26A7"/>
    <w:rsid w:val="00CE26E6"/>
    <w:rsid w:val="00CE270B"/>
    <w:rsid w:val="00CE273C"/>
    <w:rsid w:val="00CE2899"/>
    <w:rsid w:val="00CE2927"/>
    <w:rsid w:val="00CE2BB7"/>
    <w:rsid w:val="00CE2C37"/>
    <w:rsid w:val="00CE2C83"/>
    <w:rsid w:val="00CE2C9D"/>
    <w:rsid w:val="00CE2E0C"/>
    <w:rsid w:val="00CE2E0E"/>
    <w:rsid w:val="00CE2E60"/>
    <w:rsid w:val="00CE2F4F"/>
    <w:rsid w:val="00CE3078"/>
    <w:rsid w:val="00CE314A"/>
    <w:rsid w:val="00CE317E"/>
    <w:rsid w:val="00CE3289"/>
    <w:rsid w:val="00CE32DE"/>
    <w:rsid w:val="00CE334A"/>
    <w:rsid w:val="00CE3471"/>
    <w:rsid w:val="00CE350C"/>
    <w:rsid w:val="00CE371B"/>
    <w:rsid w:val="00CE3720"/>
    <w:rsid w:val="00CE3944"/>
    <w:rsid w:val="00CE398E"/>
    <w:rsid w:val="00CE39E8"/>
    <w:rsid w:val="00CE3A13"/>
    <w:rsid w:val="00CE3A21"/>
    <w:rsid w:val="00CE3B80"/>
    <w:rsid w:val="00CE3BBE"/>
    <w:rsid w:val="00CE3BC0"/>
    <w:rsid w:val="00CE3CD4"/>
    <w:rsid w:val="00CE3DEA"/>
    <w:rsid w:val="00CE3E94"/>
    <w:rsid w:val="00CE3EF5"/>
    <w:rsid w:val="00CE3FF9"/>
    <w:rsid w:val="00CE4029"/>
    <w:rsid w:val="00CE4072"/>
    <w:rsid w:val="00CE40AB"/>
    <w:rsid w:val="00CE4126"/>
    <w:rsid w:val="00CE413E"/>
    <w:rsid w:val="00CE43E7"/>
    <w:rsid w:val="00CE444E"/>
    <w:rsid w:val="00CE4524"/>
    <w:rsid w:val="00CE4578"/>
    <w:rsid w:val="00CE460B"/>
    <w:rsid w:val="00CE46C8"/>
    <w:rsid w:val="00CE4726"/>
    <w:rsid w:val="00CE47E9"/>
    <w:rsid w:val="00CE48B2"/>
    <w:rsid w:val="00CE498C"/>
    <w:rsid w:val="00CE4A85"/>
    <w:rsid w:val="00CE4A87"/>
    <w:rsid w:val="00CE4BA5"/>
    <w:rsid w:val="00CE4C28"/>
    <w:rsid w:val="00CE4CFE"/>
    <w:rsid w:val="00CE4D54"/>
    <w:rsid w:val="00CE4D75"/>
    <w:rsid w:val="00CE4EB4"/>
    <w:rsid w:val="00CE4F74"/>
    <w:rsid w:val="00CE50FE"/>
    <w:rsid w:val="00CE523D"/>
    <w:rsid w:val="00CE5258"/>
    <w:rsid w:val="00CE53C1"/>
    <w:rsid w:val="00CE5561"/>
    <w:rsid w:val="00CE55DE"/>
    <w:rsid w:val="00CE5872"/>
    <w:rsid w:val="00CE5A7D"/>
    <w:rsid w:val="00CE5C0C"/>
    <w:rsid w:val="00CE5CD9"/>
    <w:rsid w:val="00CE5D5F"/>
    <w:rsid w:val="00CE5E04"/>
    <w:rsid w:val="00CE5E1E"/>
    <w:rsid w:val="00CE5FE8"/>
    <w:rsid w:val="00CE6392"/>
    <w:rsid w:val="00CE64A0"/>
    <w:rsid w:val="00CE64AA"/>
    <w:rsid w:val="00CE6558"/>
    <w:rsid w:val="00CE66E0"/>
    <w:rsid w:val="00CE67A2"/>
    <w:rsid w:val="00CE69DD"/>
    <w:rsid w:val="00CE6A8A"/>
    <w:rsid w:val="00CE6AA5"/>
    <w:rsid w:val="00CE6B1E"/>
    <w:rsid w:val="00CE6B56"/>
    <w:rsid w:val="00CE6BF1"/>
    <w:rsid w:val="00CE6CCB"/>
    <w:rsid w:val="00CE6DB5"/>
    <w:rsid w:val="00CE6E0E"/>
    <w:rsid w:val="00CE6ED1"/>
    <w:rsid w:val="00CE7182"/>
    <w:rsid w:val="00CE71D5"/>
    <w:rsid w:val="00CE7263"/>
    <w:rsid w:val="00CE7487"/>
    <w:rsid w:val="00CE7574"/>
    <w:rsid w:val="00CE7595"/>
    <w:rsid w:val="00CE75AB"/>
    <w:rsid w:val="00CE766D"/>
    <w:rsid w:val="00CE76F2"/>
    <w:rsid w:val="00CE7767"/>
    <w:rsid w:val="00CE7964"/>
    <w:rsid w:val="00CE7A7F"/>
    <w:rsid w:val="00CE7E2E"/>
    <w:rsid w:val="00CE7F5F"/>
    <w:rsid w:val="00CE7FC8"/>
    <w:rsid w:val="00CF0010"/>
    <w:rsid w:val="00CF009B"/>
    <w:rsid w:val="00CF01E2"/>
    <w:rsid w:val="00CF0287"/>
    <w:rsid w:val="00CF03E1"/>
    <w:rsid w:val="00CF04E3"/>
    <w:rsid w:val="00CF05D6"/>
    <w:rsid w:val="00CF06C5"/>
    <w:rsid w:val="00CF0788"/>
    <w:rsid w:val="00CF0837"/>
    <w:rsid w:val="00CF093B"/>
    <w:rsid w:val="00CF0992"/>
    <w:rsid w:val="00CF09A0"/>
    <w:rsid w:val="00CF0AAA"/>
    <w:rsid w:val="00CF0AD7"/>
    <w:rsid w:val="00CF0BFC"/>
    <w:rsid w:val="00CF0C22"/>
    <w:rsid w:val="00CF0C41"/>
    <w:rsid w:val="00CF0C5B"/>
    <w:rsid w:val="00CF0E96"/>
    <w:rsid w:val="00CF0F44"/>
    <w:rsid w:val="00CF0F51"/>
    <w:rsid w:val="00CF0F8E"/>
    <w:rsid w:val="00CF1053"/>
    <w:rsid w:val="00CF1093"/>
    <w:rsid w:val="00CF1115"/>
    <w:rsid w:val="00CF1410"/>
    <w:rsid w:val="00CF149C"/>
    <w:rsid w:val="00CF156C"/>
    <w:rsid w:val="00CF1622"/>
    <w:rsid w:val="00CF1751"/>
    <w:rsid w:val="00CF17C8"/>
    <w:rsid w:val="00CF18C7"/>
    <w:rsid w:val="00CF193F"/>
    <w:rsid w:val="00CF1C4B"/>
    <w:rsid w:val="00CF1C9B"/>
    <w:rsid w:val="00CF1CA0"/>
    <w:rsid w:val="00CF1CCB"/>
    <w:rsid w:val="00CF1D9D"/>
    <w:rsid w:val="00CF1E8A"/>
    <w:rsid w:val="00CF1EA6"/>
    <w:rsid w:val="00CF1EDC"/>
    <w:rsid w:val="00CF21B3"/>
    <w:rsid w:val="00CF22CC"/>
    <w:rsid w:val="00CF252A"/>
    <w:rsid w:val="00CF2855"/>
    <w:rsid w:val="00CF2981"/>
    <w:rsid w:val="00CF2A68"/>
    <w:rsid w:val="00CF2B20"/>
    <w:rsid w:val="00CF2DAE"/>
    <w:rsid w:val="00CF2F3A"/>
    <w:rsid w:val="00CF2FBF"/>
    <w:rsid w:val="00CF2FD2"/>
    <w:rsid w:val="00CF30C0"/>
    <w:rsid w:val="00CF30FB"/>
    <w:rsid w:val="00CF31BC"/>
    <w:rsid w:val="00CF3372"/>
    <w:rsid w:val="00CF3378"/>
    <w:rsid w:val="00CF34AC"/>
    <w:rsid w:val="00CF3538"/>
    <w:rsid w:val="00CF36CD"/>
    <w:rsid w:val="00CF386A"/>
    <w:rsid w:val="00CF39FF"/>
    <w:rsid w:val="00CF3B0E"/>
    <w:rsid w:val="00CF3B59"/>
    <w:rsid w:val="00CF3B74"/>
    <w:rsid w:val="00CF3BC8"/>
    <w:rsid w:val="00CF3C57"/>
    <w:rsid w:val="00CF3D21"/>
    <w:rsid w:val="00CF3EE6"/>
    <w:rsid w:val="00CF3FDF"/>
    <w:rsid w:val="00CF414C"/>
    <w:rsid w:val="00CF41B3"/>
    <w:rsid w:val="00CF4249"/>
    <w:rsid w:val="00CF4339"/>
    <w:rsid w:val="00CF439F"/>
    <w:rsid w:val="00CF43E4"/>
    <w:rsid w:val="00CF4567"/>
    <w:rsid w:val="00CF4685"/>
    <w:rsid w:val="00CF4714"/>
    <w:rsid w:val="00CF478C"/>
    <w:rsid w:val="00CF47E7"/>
    <w:rsid w:val="00CF48EA"/>
    <w:rsid w:val="00CF4992"/>
    <w:rsid w:val="00CF49E9"/>
    <w:rsid w:val="00CF4A56"/>
    <w:rsid w:val="00CF4CE6"/>
    <w:rsid w:val="00CF4D26"/>
    <w:rsid w:val="00CF4E6C"/>
    <w:rsid w:val="00CF4F15"/>
    <w:rsid w:val="00CF50CE"/>
    <w:rsid w:val="00CF50D2"/>
    <w:rsid w:val="00CF5171"/>
    <w:rsid w:val="00CF51EC"/>
    <w:rsid w:val="00CF5301"/>
    <w:rsid w:val="00CF5318"/>
    <w:rsid w:val="00CF539B"/>
    <w:rsid w:val="00CF541A"/>
    <w:rsid w:val="00CF5425"/>
    <w:rsid w:val="00CF546C"/>
    <w:rsid w:val="00CF54F0"/>
    <w:rsid w:val="00CF5614"/>
    <w:rsid w:val="00CF56C0"/>
    <w:rsid w:val="00CF57A3"/>
    <w:rsid w:val="00CF5816"/>
    <w:rsid w:val="00CF588D"/>
    <w:rsid w:val="00CF5947"/>
    <w:rsid w:val="00CF5980"/>
    <w:rsid w:val="00CF5A42"/>
    <w:rsid w:val="00CF5B04"/>
    <w:rsid w:val="00CF5B98"/>
    <w:rsid w:val="00CF5BA3"/>
    <w:rsid w:val="00CF5FC6"/>
    <w:rsid w:val="00CF600D"/>
    <w:rsid w:val="00CF60AF"/>
    <w:rsid w:val="00CF60B5"/>
    <w:rsid w:val="00CF60B6"/>
    <w:rsid w:val="00CF6112"/>
    <w:rsid w:val="00CF6171"/>
    <w:rsid w:val="00CF62A4"/>
    <w:rsid w:val="00CF631A"/>
    <w:rsid w:val="00CF6869"/>
    <w:rsid w:val="00CF6957"/>
    <w:rsid w:val="00CF6B04"/>
    <w:rsid w:val="00CF6B09"/>
    <w:rsid w:val="00CF6B1E"/>
    <w:rsid w:val="00CF6B5E"/>
    <w:rsid w:val="00CF6CFC"/>
    <w:rsid w:val="00CF6DD0"/>
    <w:rsid w:val="00CF6ED5"/>
    <w:rsid w:val="00CF6FAD"/>
    <w:rsid w:val="00CF6FC6"/>
    <w:rsid w:val="00CF701B"/>
    <w:rsid w:val="00CF732C"/>
    <w:rsid w:val="00CF73A2"/>
    <w:rsid w:val="00CF73DD"/>
    <w:rsid w:val="00CF7643"/>
    <w:rsid w:val="00CF774C"/>
    <w:rsid w:val="00CF77AB"/>
    <w:rsid w:val="00CF787E"/>
    <w:rsid w:val="00CF78B4"/>
    <w:rsid w:val="00CF79E3"/>
    <w:rsid w:val="00CF7B0C"/>
    <w:rsid w:val="00CF7B99"/>
    <w:rsid w:val="00CF7BE7"/>
    <w:rsid w:val="00CF7BE8"/>
    <w:rsid w:val="00CF7CDE"/>
    <w:rsid w:val="00CF7D55"/>
    <w:rsid w:val="00CF7D66"/>
    <w:rsid w:val="00CF7D7F"/>
    <w:rsid w:val="00CF7D89"/>
    <w:rsid w:val="00D00006"/>
    <w:rsid w:val="00D0003C"/>
    <w:rsid w:val="00D001FC"/>
    <w:rsid w:val="00D002C5"/>
    <w:rsid w:val="00D00479"/>
    <w:rsid w:val="00D00537"/>
    <w:rsid w:val="00D0062D"/>
    <w:rsid w:val="00D00759"/>
    <w:rsid w:val="00D007A1"/>
    <w:rsid w:val="00D00868"/>
    <w:rsid w:val="00D00969"/>
    <w:rsid w:val="00D0097C"/>
    <w:rsid w:val="00D00AB9"/>
    <w:rsid w:val="00D00BB7"/>
    <w:rsid w:val="00D00BFD"/>
    <w:rsid w:val="00D00C0D"/>
    <w:rsid w:val="00D00C47"/>
    <w:rsid w:val="00D00D66"/>
    <w:rsid w:val="00D00DA3"/>
    <w:rsid w:val="00D00E52"/>
    <w:rsid w:val="00D00EB4"/>
    <w:rsid w:val="00D00F6E"/>
    <w:rsid w:val="00D01059"/>
    <w:rsid w:val="00D010BF"/>
    <w:rsid w:val="00D010DA"/>
    <w:rsid w:val="00D010E6"/>
    <w:rsid w:val="00D01188"/>
    <w:rsid w:val="00D0122E"/>
    <w:rsid w:val="00D0130F"/>
    <w:rsid w:val="00D013C5"/>
    <w:rsid w:val="00D01593"/>
    <w:rsid w:val="00D015DA"/>
    <w:rsid w:val="00D01634"/>
    <w:rsid w:val="00D01691"/>
    <w:rsid w:val="00D016CC"/>
    <w:rsid w:val="00D016EA"/>
    <w:rsid w:val="00D0172D"/>
    <w:rsid w:val="00D01786"/>
    <w:rsid w:val="00D019FD"/>
    <w:rsid w:val="00D01A2F"/>
    <w:rsid w:val="00D01A43"/>
    <w:rsid w:val="00D01A44"/>
    <w:rsid w:val="00D01C10"/>
    <w:rsid w:val="00D01C77"/>
    <w:rsid w:val="00D01CF5"/>
    <w:rsid w:val="00D01EA2"/>
    <w:rsid w:val="00D01EAB"/>
    <w:rsid w:val="00D01FA5"/>
    <w:rsid w:val="00D02026"/>
    <w:rsid w:val="00D02107"/>
    <w:rsid w:val="00D02214"/>
    <w:rsid w:val="00D02239"/>
    <w:rsid w:val="00D022BF"/>
    <w:rsid w:val="00D023B1"/>
    <w:rsid w:val="00D02530"/>
    <w:rsid w:val="00D02572"/>
    <w:rsid w:val="00D025A7"/>
    <w:rsid w:val="00D02654"/>
    <w:rsid w:val="00D026E3"/>
    <w:rsid w:val="00D026F8"/>
    <w:rsid w:val="00D029EE"/>
    <w:rsid w:val="00D02C0E"/>
    <w:rsid w:val="00D02CD9"/>
    <w:rsid w:val="00D02EBC"/>
    <w:rsid w:val="00D02F4E"/>
    <w:rsid w:val="00D02F6C"/>
    <w:rsid w:val="00D0316A"/>
    <w:rsid w:val="00D03302"/>
    <w:rsid w:val="00D033EE"/>
    <w:rsid w:val="00D0340C"/>
    <w:rsid w:val="00D03501"/>
    <w:rsid w:val="00D0354A"/>
    <w:rsid w:val="00D035E8"/>
    <w:rsid w:val="00D03627"/>
    <w:rsid w:val="00D0362E"/>
    <w:rsid w:val="00D037CC"/>
    <w:rsid w:val="00D037D8"/>
    <w:rsid w:val="00D03AAC"/>
    <w:rsid w:val="00D03AF9"/>
    <w:rsid w:val="00D03B31"/>
    <w:rsid w:val="00D03B3B"/>
    <w:rsid w:val="00D03D2D"/>
    <w:rsid w:val="00D03D31"/>
    <w:rsid w:val="00D03DC7"/>
    <w:rsid w:val="00D03DF9"/>
    <w:rsid w:val="00D03F1D"/>
    <w:rsid w:val="00D03F21"/>
    <w:rsid w:val="00D03FC0"/>
    <w:rsid w:val="00D0411D"/>
    <w:rsid w:val="00D0419A"/>
    <w:rsid w:val="00D041EB"/>
    <w:rsid w:val="00D04364"/>
    <w:rsid w:val="00D043B9"/>
    <w:rsid w:val="00D043CB"/>
    <w:rsid w:val="00D04643"/>
    <w:rsid w:val="00D04655"/>
    <w:rsid w:val="00D04661"/>
    <w:rsid w:val="00D04662"/>
    <w:rsid w:val="00D04686"/>
    <w:rsid w:val="00D046F6"/>
    <w:rsid w:val="00D04786"/>
    <w:rsid w:val="00D04810"/>
    <w:rsid w:val="00D048E4"/>
    <w:rsid w:val="00D0493F"/>
    <w:rsid w:val="00D04A97"/>
    <w:rsid w:val="00D04BBF"/>
    <w:rsid w:val="00D04C16"/>
    <w:rsid w:val="00D04C6F"/>
    <w:rsid w:val="00D04D3C"/>
    <w:rsid w:val="00D04DA6"/>
    <w:rsid w:val="00D04E6A"/>
    <w:rsid w:val="00D04E8B"/>
    <w:rsid w:val="00D04F35"/>
    <w:rsid w:val="00D04FA6"/>
    <w:rsid w:val="00D04FAD"/>
    <w:rsid w:val="00D04FBA"/>
    <w:rsid w:val="00D05018"/>
    <w:rsid w:val="00D05283"/>
    <w:rsid w:val="00D05287"/>
    <w:rsid w:val="00D052CB"/>
    <w:rsid w:val="00D052E9"/>
    <w:rsid w:val="00D0534D"/>
    <w:rsid w:val="00D0535C"/>
    <w:rsid w:val="00D05478"/>
    <w:rsid w:val="00D0549A"/>
    <w:rsid w:val="00D054DC"/>
    <w:rsid w:val="00D05600"/>
    <w:rsid w:val="00D0568C"/>
    <w:rsid w:val="00D056A6"/>
    <w:rsid w:val="00D05957"/>
    <w:rsid w:val="00D05979"/>
    <w:rsid w:val="00D05A7C"/>
    <w:rsid w:val="00D05BE6"/>
    <w:rsid w:val="00D05FAA"/>
    <w:rsid w:val="00D0608A"/>
    <w:rsid w:val="00D060C5"/>
    <w:rsid w:val="00D06184"/>
    <w:rsid w:val="00D0619C"/>
    <w:rsid w:val="00D061E2"/>
    <w:rsid w:val="00D065CB"/>
    <w:rsid w:val="00D06736"/>
    <w:rsid w:val="00D067E8"/>
    <w:rsid w:val="00D06823"/>
    <w:rsid w:val="00D068A9"/>
    <w:rsid w:val="00D069A2"/>
    <w:rsid w:val="00D06A63"/>
    <w:rsid w:val="00D06B57"/>
    <w:rsid w:val="00D06DA5"/>
    <w:rsid w:val="00D06E32"/>
    <w:rsid w:val="00D07096"/>
    <w:rsid w:val="00D070C8"/>
    <w:rsid w:val="00D071D3"/>
    <w:rsid w:val="00D072A3"/>
    <w:rsid w:val="00D077E2"/>
    <w:rsid w:val="00D078E1"/>
    <w:rsid w:val="00D07951"/>
    <w:rsid w:val="00D07971"/>
    <w:rsid w:val="00D07A13"/>
    <w:rsid w:val="00D07AD0"/>
    <w:rsid w:val="00D07B07"/>
    <w:rsid w:val="00D07C0D"/>
    <w:rsid w:val="00D07C21"/>
    <w:rsid w:val="00D07C45"/>
    <w:rsid w:val="00D07F59"/>
    <w:rsid w:val="00D07FB3"/>
    <w:rsid w:val="00D07FDD"/>
    <w:rsid w:val="00D07FF5"/>
    <w:rsid w:val="00D10060"/>
    <w:rsid w:val="00D101AD"/>
    <w:rsid w:val="00D101EC"/>
    <w:rsid w:val="00D1027A"/>
    <w:rsid w:val="00D103C2"/>
    <w:rsid w:val="00D1055D"/>
    <w:rsid w:val="00D1056E"/>
    <w:rsid w:val="00D10788"/>
    <w:rsid w:val="00D109B8"/>
    <w:rsid w:val="00D10B8B"/>
    <w:rsid w:val="00D10C16"/>
    <w:rsid w:val="00D10D72"/>
    <w:rsid w:val="00D10D7A"/>
    <w:rsid w:val="00D10DEC"/>
    <w:rsid w:val="00D10E26"/>
    <w:rsid w:val="00D10F02"/>
    <w:rsid w:val="00D10F88"/>
    <w:rsid w:val="00D1104B"/>
    <w:rsid w:val="00D110D9"/>
    <w:rsid w:val="00D111A1"/>
    <w:rsid w:val="00D111CE"/>
    <w:rsid w:val="00D11247"/>
    <w:rsid w:val="00D11353"/>
    <w:rsid w:val="00D114DB"/>
    <w:rsid w:val="00D116E2"/>
    <w:rsid w:val="00D1173B"/>
    <w:rsid w:val="00D11965"/>
    <w:rsid w:val="00D11991"/>
    <w:rsid w:val="00D11AB1"/>
    <w:rsid w:val="00D11AFB"/>
    <w:rsid w:val="00D11B2A"/>
    <w:rsid w:val="00D11B48"/>
    <w:rsid w:val="00D11C79"/>
    <w:rsid w:val="00D11D07"/>
    <w:rsid w:val="00D11F44"/>
    <w:rsid w:val="00D11FE2"/>
    <w:rsid w:val="00D12010"/>
    <w:rsid w:val="00D1209C"/>
    <w:rsid w:val="00D1217F"/>
    <w:rsid w:val="00D12321"/>
    <w:rsid w:val="00D12329"/>
    <w:rsid w:val="00D123D2"/>
    <w:rsid w:val="00D12429"/>
    <w:rsid w:val="00D12457"/>
    <w:rsid w:val="00D12541"/>
    <w:rsid w:val="00D1276E"/>
    <w:rsid w:val="00D12C05"/>
    <w:rsid w:val="00D12D7E"/>
    <w:rsid w:val="00D12E0D"/>
    <w:rsid w:val="00D12FF8"/>
    <w:rsid w:val="00D130D0"/>
    <w:rsid w:val="00D1317C"/>
    <w:rsid w:val="00D1321F"/>
    <w:rsid w:val="00D1346D"/>
    <w:rsid w:val="00D13517"/>
    <w:rsid w:val="00D136A0"/>
    <w:rsid w:val="00D13717"/>
    <w:rsid w:val="00D13768"/>
    <w:rsid w:val="00D137E7"/>
    <w:rsid w:val="00D139E0"/>
    <w:rsid w:val="00D13B29"/>
    <w:rsid w:val="00D13BF9"/>
    <w:rsid w:val="00D13D42"/>
    <w:rsid w:val="00D13E35"/>
    <w:rsid w:val="00D13FC9"/>
    <w:rsid w:val="00D14112"/>
    <w:rsid w:val="00D1415E"/>
    <w:rsid w:val="00D141B2"/>
    <w:rsid w:val="00D14222"/>
    <w:rsid w:val="00D14495"/>
    <w:rsid w:val="00D145AB"/>
    <w:rsid w:val="00D145CD"/>
    <w:rsid w:val="00D146F0"/>
    <w:rsid w:val="00D146F2"/>
    <w:rsid w:val="00D1479F"/>
    <w:rsid w:val="00D148CE"/>
    <w:rsid w:val="00D14EE5"/>
    <w:rsid w:val="00D14F2C"/>
    <w:rsid w:val="00D14F7F"/>
    <w:rsid w:val="00D14FEF"/>
    <w:rsid w:val="00D15236"/>
    <w:rsid w:val="00D152EB"/>
    <w:rsid w:val="00D1538F"/>
    <w:rsid w:val="00D15474"/>
    <w:rsid w:val="00D15496"/>
    <w:rsid w:val="00D1569F"/>
    <w:rsid w:val="00D158DA"/>
    <w:rsid w:val="00D158F7"/>
    <w:rsid w:val="00D1595B"/>
    <w:rsid w:val="00D1597F"/>
    <w:rsid w:val="00D15A97"/>
    <w:rsid w:val="00D15AE9"/>
    <w:rsid w:val="00D15B9B"/>
    <w:rsid w:val="00D15C7F"/>
    <w:rsid w:val="00D15F56"/>
    <w:rsid w:val="00D15FE1"/>
    <w:rsid w:val="00D15FF6"/>
    <w:rsid w:val="00D16262"/>
    <w:rsid w:val="00D16335"/>
    <w:rsid w:val="00D16449"/>
    <w:rsid w:val="00D1649E"/>
    <w:rsid w:val="00D164F2"/>
    <w:rsid w:val="00D1656D"/>
    <w:rsid w:val="00D165D6"/>
    <w:rsid w:val="00D1663B"/>
    <w:rsid w:val="00D1666E"/>
    <w:rsid w:val="00D1668F"/>
    <w:rsid w:val="00D167A3"/>
    <w:rsid w:val="00D1685E"/>
    <w:rsid w:val="00D16990"/>
    <w:rsid w:val="00D169EC"/>
    <w:rsid w:val="00D16CA9"/>
    <w:rsid w:val="00D16CBD"/>
    <w:rsid w:val="00D16E85"/>
    <w:rsid w:val="00D16FA2"/>
    <w:rsid w:val="00D16FD5"/>
    <w:rsid w:val="00D1707C"/>
    <w:rsid w:val="00D1708E"/>
    <w:rsid w:val="00D170D7"/>
    <w:rsid w:val="00D1716D"/>
    <w:rsid w:val="00D1730A"/>
    <w:rsid w:val="00D173BF"/>
    <w:rsid w:val="00D174FB"/>
    <w:rsid w:val="00D1752A"/>
    <w:rsid w:val="00D175CB"/>
    <w:rsid w:val="00D1760B"/>
    <w:rsid w:val="00D176A5"/>
    <w:rsid w:val="00D17760"/>
    <w:rsid w:val="00D17825"/>
    <w:rsid w:val="00D17863"/>
    <w:rsid w:val="00D1786D"/>
    <w:rsid w:val="00D1790A"/>
    <w:rsid w:val="00D17A06"/>
    <w:rsid w:val="00D17AE8"/>
    <w:rsid w:val="00D17B35"/>
    <w:rsid w:val="00D17D6E"/>
    <w:rsid w:val="00D17E08"/>
    <w:rsid w:val="00D17FAB"/>
    <w:rsid w:val="00D200E2"/>
    <w:rsid w:val="00D201B5"/>
    <w:rsid w:val="00D2034E"/>
    <w:rsid w:val="00D203A3"/>
    <w:rsid w:val="00D203CA"/>
    <w:rsid w:val="00D203D3"/>
    <w:rsid w:val="00D2040C"/>
    <w:rsid w:val="00D20498"/>
    <w:rsid w:val="00D20616"/>
    <w:rsid w:val="00D20618"/>
    <w:rsid w:val="00D2063D"/>
    <w:rsid w:val="00D2064F"/>
    <w:rsid w:val="00D2070D"/>
    <w:rsid w:val="00D20717"/>
    <w:rsid w:val="00D20726"/>
    <w:rsid w:val="00D20AE5"/>
    <w:rsid w:val="00D20CAC"/>
    <w:rsid w:val="00D20D88"/>
    <w:rsid w:val="00D20D9C"/>
    <w:rsid w:val="00D20E45"/>
    <w:rsid w:val="00D21061"/>
    <w:rsid w:val="00D212A3"/>
    <w:rsid w:val="00D212A5"/>
    <w:rsid w:val="00D21510"/>
    <w:rsid w:val="00D2158E"/>
    <w:rsid w:val="00D215ED"/>
    <w:rsid w:val="00D21650"/>
    <w:rsid w:val="00D21A34"/>
    <w:rsid w:val="00D21B4C"/>
    <w:rsid w:val="00D21C96"/>
    <w:rsid w:val="00D21D62"/>
    <w:rsid w:val="00D21F4A"/>
    <w:rsid w:val="00D21FA3"/>
    <w:rsid w:val="00D22013"/>
    <w:rsid w:val="00D22029"/>
    <w:rsid w:val="00D2204C"/>
    <w:rsid w:val="00D2207E"/>
    <w:rsid w:val="00D22113"/>
    <w:rsid w:val="00D22262"/>
    <w:rsid w:val="00D22498"/>
    <w:rsid w:val="00D225CA"/>
    <w:rsid w:val="00D225F5"/>
    <w:rsid w:val="00D22657"/>
    <w:rsid w:val="00D22685"/>
    <w:rsid w:val="00D2268B"/>
    <w:rsid w:val="00D22723"/>
    <w:rsid w:val="00D22745"/>
    <w:rsid w:val="00D22775"/>
    <w:rsid w:val="00D227D7"/>
    <w:rsid w:val="00D22846"/>
    <w:rsid w:val="00D22863"/>
    <w:rsid w:val="00D228AE"/>
    <w:rsid w:val="00D22918"/>
    <w:rsid w:val="00D22B75"/>
    <w:rsid w:val="00D22C05"/>
    <w:rsid w:val="00D22C7E"/>
    <w:rsid w:val="00D22C89"/>
    <w:rsid w:val="00D22CA7"/>
    <w:rsid w:val="00D22E50"/>
    <w:rsid w:val="00D22E74"/>
    <w:rsid w:val="00D230CC"/>
    <w:rsid w:val="00D230D5"/>
    <w:rsid w:val="00D231C4"/>
    <w:rsid w:val="00D23227"/>
    <w:rsid w:val="00D232A8"/>
    <w:rsid w:val="00D23355"/>
    <w:rsid w:val="00D2341F"/>
    <w:rsid w:val="00D23488"/>
    <w:rsid w:val="00D2352F"/>
    <w:rsid w:val="00D235AD"/>
    <w:rsid w:val="00D235B4"/>
    <w:rsid w:val="00D235EA"/>
    <w:rsid w:val="00D23645"/>
    <w:rsid w:val="00D2370B"/>
    <w:rsid w:val="00D2385E"/>
    <w:rsid w:val="00D238A1"/>
    <w:rsid w:val="00D23901"/>
    <w:rsid w:val="00D239E8"/>
    <w:rsid w:val="00D23A3D"/>
    <w:rsid w:val="00D23A67"/>
    <w:rsid w:val="00D23B13"/>
    <w:rsid w:val="00D23B33"/>
    <w:rsid w:val="00D23F02"/>
    <w:rsid w:val="00D23F60"/>
    <w:rsid w:val="00D24163"/>
    <w:rsid w:val="00D243B2"/>
    <w:rsid w:val="00D24445"/>
    <w:rsid w:val="00D24569"/>
    <w:rsid w:val="00D24729"/>
    <w:rsid w:val="00D24794"/>
    <w:rsid w:val="00D249D0"/>
    <w:rsid w:val="00D24CEF"/>
    <w:rsid w:val="00D24CF2"/>
    <w:rsid w:val="00D24DAC"/>
    <w:rsid w:val="00D24DFB"/>
    <w:rsid w:val="00D24E28"/>
    <w:rsid w:val="00D25040"/>
    <w:rsid w:val="00D2507A"/>
    <w:rsid w:val="00D250BD"/>
    <w:rsid w:val="00D251BE"/>
    <w:rsid w:val="00D25307"/>
    <w:rsid w:val="00D2530B"/>
    <w:rsid w:val="00D25324"/>
    <w:rsid w:val="00D2535B"/>
    <w:rsid w:val="00D253FB"/>
    <w:rsid w:val="00D25473"/>
    <w:rsid w:val="00D25481"/>
    <w:rsid w:val="00D254AD"/>
    <w:rsid w:val="00D254E6"/>
    <w:rsid w:val="00D25533"/>
    <w:rsid w:val="00D25594"/>
    <w:rsid w:val="00D255E7"/>
    <w:rsid w:val="00D255FD"/>
    <w:rsid w:val="00D25643"/>
    <w:rsid w:val="00D25704"/>
    <w:rsid w:val="00D2585E"/>
    <w:rsid w:val="00D2590C"/>
    <w:rsid w:val="00D2598B"/>
    <w:rsid w:val="00D25C4F"/>
    <w:rsid w:val="00D25C71"/>
    <w:rsid w:val="00D25C95"/>
    <w:rsid w:val="00D25CCF"/>
    <w:rsid w:val="00D25DEB"/>
    <w:rsid w:val="00D25E53"/>
    <w:rsid w:val="00D25F51"/>
    <w:rsid w:val="00D26026"/>
    <w:rsid w:val="00D260A1"/>
    <w:rsid w:val="00D26330"/>
    <w:rsid w:val="00D26371"/>
    <w:rsid w:val="00D263A3"/>
    <w:rsid w:val="00D264FC"/>
    <w:rsid w:val="00D265C0"/>
    <w:rsid w:val="00D265C4"/>
    <w:rsid w:val="00D26633"/>
    <w:rsid w:val="00D266BC"/>
    <w:rsid w:val="00D267C4"/>
    <w:rsid w:val="00D2682F"/>
    <w:rsid w:val="00D2697E"/>
    <w:rsid w:val="00D269C8"/>
    <w:rsid w:val="00D26AA1"/>
    <w:rsid w:val="00D26B7A"/>
    <w:rsid w:val="00D26CCA"/>
    <w:rsid w:val="00D26F0C"/>
    <w:rsid w:val="00D26F82"/>
    <w:rsid w:val="00D26F94"/>
    <w:rsid w:val="00D27076"/>
    <w:rsid w:val="00D27078"/>
    <w:rsid w:val="00D2707D"/>
    <w:rsid w:val="00D27080"/>
    <w:rsid w:val="00D270B1"/>
    <w:rsid w:val="00D270F4"/>
    <w:rsid w:val="00D27298"/>
    <w:rsid w:val="00D273A0"/>
    <w:rsid w:val="00D27404"/>
    <w:rsid w:val="00D27441"/>
    <w:rsid w:val="00D27476"/>
    <w:rsid w:val="00D2760D"/>
    <w:rsid w:val="00D27695"/>
    <w:rsid w:val="00D277AD"/>
    <w:rsid w:val="00D2781F"/>
    <w:rsid w:val="00D27862"/>
    <w:rsid w:val="00D27A14"/>
    <w:rsid w:val="00D27AE9"/>
    <w:rsid w:val="00D27B5F"/>
    <w:rsid w:val="00D27C01"/>
    <w:rsid w:val="00D27D94"/>
    <w:rsid w:val="00D27ED6"/>
    <w:rsid w:val="00D27F1E"/>
    <w:rsid w:val="00D27FCE"/>
    <w:rsid w:val="00D30040"/>
    <w:rsid w:val="00D300A9"/>
    <w:rsid w:val="00D30121"/>
    <w:rsid w:val="00D303C0"/>
    <w:rsid w:val="00D3045C"/>
    <w:rsid w:val="00D30646"/>
    <w:rsid w:val="00D30736"/>
    <w:rsid w:val="00D3076E"/>
    <w:rsid w:val="00D3079A"/>
    <w:rsid w:val="00D30885"/>
    <w:rsid w:val="00D30BCA"/>
    <w:rsid w:val="00D30C99"/>
    <w:rsid w:val="00D30CF7"/>
    <w:rsid w:val="00D30D2C"/>
    <w:rsid w:val="00D30D8F"/>
    <w:rsid w:val="00D30E8E"/>
    <w:rsid w:val="00D30FA7"/>
    <w:rsid w:val="00D31084"/>
    <w:rsid w:val="00D31119"/>
    <w:rsid w:val="00D31181"/>
    <w:rsid w:val="00D311D5"/>
    <w:rsid w:val="00D312CA"/>
    <w:rsid w:val="00D312CF"/>
    <w:rsid w:val="00D31448"/>
    <w:rsid w:val="00D31484"/>
    <w:rsid w:val="00D314FB"/>
    <w:rsid w:val="00D315A2"/>
    <w:rsid w:val="00D317A1"/>
    <w:rsid w:val="00D31936"/>
    <w:rsid w:val="00D31952"/>
    <w:rsid w:val="00D31A58"/>
    <w:rsid w:val="00D31C05"/>
    <w:rsid w:val="00D31C23"/>
    <w:rsid w:val="00D31C5D"/>
    <w:rsid w:val="00D31ED9"/>
    <w:rsid w:val="00D32084"/>
    <w:rsid w:val="00D3214D"/>
    <w:rsid w:val="00D3215B"/>
    <w:rsid w:val="00D322A2"/>
    <w:rsid w:val="00D323F1"/>
    <w:rsid w:val="00D324FE"/>
    <w:rsid w:val="00D32517"/>
    <w:rsid w:val="00D3251D"/>
    <w:rsid w:val="00D32650"/>
    <w:rsid w:val="00D326C6"/>
    <w:rsid w:val="00D327CD"/>
    <w:rsid w:val="00D3290B"/>
    <w:rsid w:val="00D32938"/>
    <w:rsid w:val="00D3296C"/>
    <w:rsid w:val="00D329EE"/>
    <w:rsid w:val="00D32A8C"/>
    <w:rsid w:val="00D32C17"/>
    <w:rsid w:val="00D32C27"/>
    <w:rsid w:val="00D32D6F"/>
    <w:rsid w:val="00D32D8B"/>
    <w:rsid w:val="00D32DB9"/>
    <w:rsid w:val="00D32EF6"/>
    <w:rsid w:val="00D32FE6"/>
    <w:rsid w:val="00D3307D"/>
    <w:rsid w:val="00D330E6"/>
    <w:rsid w:val="00D331B9"/>
    <w:rsid w:val="00D3323D"/>
    <w:rsid w:val="00D332A4"/>
    <w:rsid w:val="00D3333B"/>
    <w:rsid w:val="00D33427"/>
    <w:rsid w:val="00D3346D"/>
    <w:rsid w:val="00D33488"/>
    <w:rsid w:val="00D335C1"/>
    <w:rsid w:val="00D33647"/>
    <w:rsid w:val="00D336BE"/>
    <w:rsid w:val="00D33701"/>
    <w:rsid w:val="00D33840"/>
    <w:rsid w:val="00D33A5E"/>
    <w:rsid w:val="00D33AA0"/>
    <w:rsid w:val="00D33C70"/>
    <w:rsid w:val="00D33E69"/>
    <w:rsid w:val="00D33E96"/>
    <w:rsid w:val="00D33FFA"/>
    <w:rsid w:val="00D34099"/>
    <w:rsid w:val="00D341AB"/>
    <w:rsid w:val="00D341C8"/>
    <w:rsid w:val="00D3428E"/>
    <w:rsid w:val="00D342BB"/>
    <w:rsid w:val="00D3431D"/>
    <w:rsid w:val="00D34388"/>
    <w:rsid w:val="00D34412"/>
    <w:rsid w:val="00D34445"/>
    <w:rsid w:val="00D344BA"/>
    <w:rsid w:val="00D34533"/>
    <w:rsid w:val="00D34692"/>
    <w:rsid w:val="00D3494D"/>
    <w:rsid w:val="00D34A10"/>
    <w:rsid w:val="00D34A91"/>
    <w:rsid w:val="00D34B5B"/>
    <w:rsid w:val="00D34BF4"/>
    <w:rsid w:val="00D34C28"/>
    <w:rsid w:val="00D34C5E"/>
    <w:rsid w:val="00D34C79"/>
    <w:rsid w:val="00D34D48"/>
    <w:rsid w:val="00D34DD0"/>
    <w:rsid w:val="00D34F73"/>
    <w:rsid w:val="00D351F8"/>
    <w:rsid w:val="00D354AB"/>
    <w:rsid w:val="00D354C8"/>
    <w:rsid w:val="00D3552C"/>
    <w:rsid w:val="00D35626"/>
    <w:rsid w:val="00D3563C"/>
    <w:rsid w:val="00D356E6"/>
    <w:rsid w:val="00D35730"/>
    <w:rsid w:val="00D3573B"/>
    <w:rsid w:val="00D3574F"/>
    <w:rsid w:val="00D3579A"/>
    <w:rsid w:val="00D357B6"/>
    <w:rsid w:val="00D359AB"/>
    <w:rsid w:val="00D35A18"/>
    <w:rsid w:val="00D35A44"/>
    <w:rsid w:val="00D35BCB"/>
    <w:rsid w:val="00D35DAB"/>
    <w:rsid w:val="00D35F76"/>
    <w:rsid w:val="00D35FEC"/>
    <w:rsid w:val="00D36039"/>
    <w:rsid w:val="00D36057"/>
    <w:rsid w:val="00D361B3"/>
    <w:rsid w:val="00D36315"/>
    <w:rsid w:val="00D36380"/>
    <w:rsid w:val="00D36443"/>
    <w:rsid w:val="00D36579"/>
    <w:rsid w:val="00D36684"/>
    <w:rsid w:val="00D36702"/>
    <w:rsid w:val="00D368E1"/>
    <w:rsid w:val="00D36AB0"/>
    <w:rsid w:val="00D36BE1"/>
    <w:rsid w:val="00D36BEF"/>
    <w:rsid w:val="00D36C03"/>
    <w:rsid w:val="00D36C34"/>
    <w:rsid w:val="00D36C9F"/>
    <w:rsid w:val="00D36CF6"/>
    <w:rsid w:val="00D36E3E"/>
    <w:rsid w:val="00D36E93"/>
    <w:rsid w:val="00D36F1E"/>
    <w:rsid w:val="00D3701E"/>
    <w:rsid w:val="00D37052"/>
    <w:rsid w:val="00D37073"/>
    <w:rsid w:val="00D3709A"/>
    <w:rsid w:val="00D3735C"/>
    <w:rsid w:val="00D373C4"/>
    <w:rsid w:val="00D374E1"/>
    <w:rsid w:val="00D3759A"/>
    <w:rsid w:val="00D37611"/>
    <w:rsid w:val="00D37706"/>
    <w:rsid w:val="00D378F0"/>
    <w:rsid w:val="00D37916"/>
    <w:rsid w:val="00D37A36"/>
    <w:rsid w:val="00D37B66"/>
    <w:rsid w:val="00D37C4A"/>
    <w:rsid w:val="00D37D91"/>
    <w:rsid w:val="00D37E35"/>
    <w:rsid w:val="00D37E4F"/>
    <w:rsid w:val="00D40012"/>
    <w:rsid w:val="00D4012B"/>
    <w:rsid w:val="00D401C9"/>
    <w:rsid w:val="00D40437"/>
    <w:rsid w:val="00D404C7"/>
    <w:rsid w:val="00D40514"/>
    <w:rsid w:val="00D405D1"/>
    <w:rsid w:val="00D406F3"/>
    <w:rsid w:val="00D40787"/>
    <w:rsid w:val="00D4079D"/>
    <w:rsid w:val="00D40879"/>
    <w:rsid w:val="00D408D4"/>
    <w:rsid w:val="00D40C19"/>
    <w:rsid w:val="00D40DD1"/>
    <w:rsid w:val="00D40E51"/>
    <w:rsid w:val="00D40EB5"/>
    <w:rsid w:val="00D410E4"/>
    <w:rsid w:val="00D41137"/>
    <w:rsid w:val="00D411CA"/>
    <w:rsid w:val="00D412F4"/>
    <w:rsid w:val="00D4139F"/>
    <w:rsid w:val="00D413EE"/>
    <w:rsid w:val="00D413FA"/>
    <w:rsid w:val="00D4148C"/>
    <w:rsid w:val="00D414FA"/>
    <w:rsid w:val="00D41561"/>
    <w:rsid w:val="00D416C6"/>
    <w:rsid w:val="00D4182A"/>
    <w:rsid w:val="00D41895"/>
    <w:rsid w:val="00D41935"/>
    <w:rsid w:val="00D4195C"/>
    <w:rsid w:val="00D41BBD"/>
    <w:rsid w:val="00D41C5D"/>
    <w:rsid w:val="00D41D5A"/>
    <w:rsid w:val="00D41D8D"/>
    <w:rsid w:val="00D41DFB"/>
    <w:rsid w:val="00D41E3A"/>
    <w:rsid w:val="00D41EC6"/>
    <w:rsid w:val="00D41F0A"/>
    <w:rsid w:val="00D42184"/>
    <w:rsid w:val="00D421F6"/>
    <w:rsid w:val="00D422F7"/>
    <w:rsid w:val="00D42393"/>
    <w:rsid w:val="00D42396"/>
    <w:rsid w:val="00D42557"/>
    <w:rsid w:val="00D425C5"/>
    <w:rsid w:val="00D42643"/>
    <w:rsid w:val="00D426FA"/>
    <w:rsid w:val="00D427B3"/>
    <w:rsid w:val="00D4284B"/>
    <w:rsid w:val="00D4294C"/>
    <w:rsid w:val="00D42A2F"/>
    <w:rsid w:val="00D42A8F"/>
    <w:rsid w:val="00D42A9F"/>
    <w:rsid w:val="00D42B6A"/>
    <w:rsid w:val="00D42C1C"/>
    <w:rsid w:val="00D42E78"/>
    <w:rsid w:val="00D42EAB"/>
    <w:rsid w:val="00D42EB9"/>
    <w:rsid w:val="00D43006"/>
    <w:rsid w:val="00D43012"/>
    <w:rsid w:val="00D4303A"/>
    <w:rsid w:val="00D431AF"/>
    <w:rsid w:val="00D43214"/>
    <w:rsid w:val="00D43310"/>
    <w:rsid w:val="00D4335E"/>
    <w:rsid w:val="00D43432"/>
    <w:rsid w:val="00D4350C"/>
    <w:rsid w:val="00D435A2"/>
    <w:rsid w:val="00D4360D"/>
    <w:rsid w:val="00D43685"/>
    <w:rsid w:val="00D43731"/>
    <w:rsid w:val="00D4374D"/>
    <w:rsid w:val="00D437B2"/>
    <w:rsid w:val="00D43851"/>
    <w:rsid w:val="00D43870"/>
    <w:rsid w:val="00D43939"/>
    <w:rsid w:val="00D439ED"/>
    <w:rsid w:val="00D43A7E"/>
    <w:rsid w:val="00D43C45"/>
    <w:rsid w:val="00D43C89"/>
    <w:rsid w:val="00D43CDA"/>
    <w:rsid w:val="00D43D05"/>
    <w:rsid w:val="00D43E6C"/>
    <w:rsid w:val="00D43E7B"/>
    <w:rsid w:val="00D43E8B"/>
    <w:rsid w:val="00D43FB8"/>
    <w:rsid w:val="00D43FF2"/>
    <w:rsid w:val="00D441ED"/>
    <w:rsid w:val="00D443E2"/>
    <w:rsid w:val="00D443E9"/>
    <w:rsid w:val="00D444F8"/>
    <w:rsid w:val="00D4454A"/>
    <w:rsid w:val="00D44575"/>
    <w:rsid w:val="00D44716"/>
    <w:rsid w:val="00D447BE"/>
    <w:rsid w:val="00D448B2"/>
    <w:rsid w:val="00D449BA"/>
    <w:rsid w:val="00D44A25"/>
    <w:rsid w:val="00D44A7D"/>
    <w:rsid w:val="00D44CCB"/>
    <w:rsid w:val="00D44D12"/>
    <w:rsid w:val="00D44E80"/>
    <w:rsid w:val="00D45016"/>
    <w:rsid w:val="00D45117"/>
    <w:rsid w:val="00D452D6"/>
    <w:rsid w:val="00D452F5"/>
    <w:rsid w:val="00D45459"/>
    <w:rsid w:val="00D4547A"/>
    <w:rsid w:val="00D454D1"/>
    <w:rsid w:val="00D455AF"/>
    <w:rsid w:val="00D455B4"/>
    <w:rsid w:val="00D455BE"/>
    <w:rsid w:val="00D45618"/>
    <w:rsid w:val="00D45637"/>
    <w:rsid w:val="00D456C5"/>
    <w:rsid w:val="00D4572D"/>
    <w:rsid w:val="00D45764"/>
    <w:rsid w:val="00D45827"/>
    <w:rsid w:val="00D4582A"/>
    <w:rsid w:val="00D45930"/>
    <w:rsid w:val="00D45B78"/>
    <w:rsid w:val="00D45BB2"/>
    <w:rsid w:val="00D45D60"/>
    <w:rsid w:val="00D45E01"/>
    <w:rsid w:val="00D45E33"/>
    <w:rsid w:val="00D45E50"/>
    <w:rsid w:val="00D45F6E"/>
    <w:rsid w:val="00D4601C"/>
    <w:rsid w:val="00D460B9"/>
    <w:rsid w:val="00D461D1"/>
    <w:rsid w:val="00D46249"/>
    <w:rsid w:val="00D462D3"/>
    <w:rsid w:val="00D462E4"/>
    <w:rsid w:val="00D46310"/>
    <w:rsid w:val="00D46366"/>
    <w:rsid w:val="00D46463"/>
    <w:rsid w:val="00D46472"/>
    <w:rsid w:val="00D4648F"/>
    <w:rsid w:val="00D46553"/>
    <w:rsid w:val="00D46601"/>
    <w:rsid w:val="00D46730"/>
    <w:rsid w:val="00D4688D"/>
    <w:rsid w:val="00D468B3"/>
    <w:rsid w:val="00D46945"/>
    <w:rsid w:val="00D469C4"/>
    <w:rsid w:val="00D469F9"/>
    <w:rsid w:val="00D46AB4"/>
    <w:rsid w:val="00D46AB6"/>
    <w:rsid w:val="00D46CDC"/>
    <w:rsid w:val="00D46E31"/>
    <w:rsid w:val="00D46F34"/>
    <w:rsid w:val="00D47027"/>
    <w:rsid w:val="00D4704B"/>
    <w:rsid w:val="00D47093"/>
    <w:rsid w:val="00D47398"/>
    <w:rsid w:val="00D473FB"/>
    <w:rsid w:val="00D4744F"/>
    <w:rsid w:val="00D474BB"/>
    <w:rsid w:val="00D4768A"/>
    <w:rsid w:val="00D4771E"/>
    <w:rsid w:val="00D478D6"/>
    <w:rsid w:val="00D47996"/>
    <w:rsid w:val="00D47998"/>
    <w:rsid w:val="00D47A40"/>
    <w:rsid w:val="00D47A83"/>
    <w:rsid w:val="00D47B93"/>
    <w:rsid w:val="00D47BB1"/>
    <w:rsid w:val="00D47C6E"/>
    <w:rsid w:val="00D47C74"/>
    <w:rsid w:val="00D47CE6"/>
    <w:rsid w:val="00D47D38"/>
    <w:rsid w:val="00D47E8E"/>
    <w:rsid w:val="00D500B3"/>
    <w:rsid w:val="00D500CF"/>
    <w:rsid w:val="00D50142"/>
    <w:rsid w:val="00D501BD"/>
    <w:rsid w:val="00D501D5"/>
    <w:rsid w:val="00D50254"/>
    <w:rsid w:val="00D5051E"/>
    <w:rsid w:val="00D505AD"/>
    <w:rsid w:val="00D5071E"/>
    <w:rsid w:val="00D5076D"/>
    <w:rsid w:val="00D507C5"/>
    <w:rsid w:val="00D50866"/>
    <w:rsid w:val="00D50919"/>
    <w:rsid w:val="00D50998"/>
    <w:rsid w:val="00D50A46"/>
    <w:rsid w:val="00D50BE8"/>
    <w:rsid w:val="00D50D3F"/>
    <w:rsid w:val="00D50DBF"/>
    <w:rsid w:val="00D50EEA"/>
    <w:rsid w:val="00D50F66"/>
    <w:rsid w:val="00D51046"/>
    <w:rsid w:val="00D510A6"/>
    <w:rsid w:val="00D510CC"/>
    <w:rsid w:val="00D51192"/>
    <w:rsid w:val="00D511C0"/>
    <w:rsid w:val="00D511F4"/>
    <w:rsid w:val="00D51264"/>
    <w:rsid w:val="00D5126F"/>
    <w:rsid w:val="00D51277"/>
    <w:rsid w:val="00D512A0"/>
    <w:rsid w:val="00D51587"/>
    <w:rsid w:val="00D51895"/>
    <w:rsid w:val="00D5190F"/>
    <w:rsid w:val="00D51913"/>
    <w:rsid w:val="00D51A5F"/>
    <w:rsid w:val="00D51A6B"/>
    <w:rsid w:val="00D51B3D"/>
    <w:rsid w:val="00D51C1A"/>
    <w:rsid w:val="00D51D17"/>
    <w:rsid w:val="00D51DD9"/>
    <w:rsid w:val="00D51FE6"/>
    <w:rsid w:val="00D520ED"/>
    <w:rsid w:val="00D52270"/>
    <w:rsid w:val="00D522FC"/>
    <w:rsid w:val="00D5239F"/>
    <w:rsid w:val="00D52503"/>
    <w:rsid w:val="00D52774"/>
    <w:rsid w:val="00D528A0"/>
    <w:rsid w:val="00D52938"/>
    <w:rsid w:val="00D529CA"/>
    <w:rsid w:val="00D52A3E"/>
    <w:rsid w:val="00D52A6E"/>
    <w:rsid w:val="00D52A6F"/>
    <w:rsid w:val="00D52A7C"/>
    <w:rsid w:val="00D52BB5"/>
    <w:rsid w:val="00D52C29"/>
    <w:rsid w:val="00D52D84"/>
    <w:rsid w:val="00D52E05"/>
    <w:rsid w:val="00D52F90"/>
    <w:rsid w:val="00D53180"/>
    <w:rsid w:val="00D53276"/>
    <w:rsid w:val="00D532D4"/>
    <w:rsid w:val="00D532E5"/>
    <w:rsid w:val="00D53303"/>
    <w:rsid w:val="00D53353"/>
    <w:rsid w:val="00D53433"/>
    <w:rsid w:val="00D53434"/>
    <w:rsid w:val="00D53445"/>
    <w:rsid w:val="00D5350C"/>
    <w:rsid w:val="00D5367F"/>
    <w:rsid w:val="00D536AF"/>
    <w:rsid w:val="00D5370A"/>
    <w:rsid w:val="00D537FB"/>
    <w:rsid w:val="00D5388E"/>
    <w:rsid w:val="00D53965"/>
    <w:rsid w:val="00D53972"/>
    <w:rsid w:val="00D53C3A"/>
    <w:rsid w:val="00D53C47"/>
    <w:rsid w:val="00D53C73"/>
    <w:rsid w:val="00D53D80"/>
    <w:rsid w:val="00D53E01"/>
    <w:rsid w:val="00D53FF4"/>
    <w:rsid w:val="00D542B2"/>
    <w:rsid w:val="00D542B8"/>
    <w:rsid w:val="00D542D7"/>
    <w:rsid w:val="00D542E9"/>
    <w:rsid w:val="00D5438B"/>
    <w:rsid w:val="00D543F6"/>
    <w:rsid w:val="00D54406"/>
    <w:rsid w:val="00D54690"/>
    <w:rsid w:val="00D54710"/>
    <w:rsid w:val="00D54730"/>
    <w:rsid w:val="00D548C1"/>
    <w:rsid w:val="00D54992"/>
    <w:rsid w:val="00D549E9"/>
    <w:rsid w:val="00D54AA6"/>
    <w:rsid w:val="00D54AC7"/>
    <w:rsid w:val="00D54C97"/>
    <w:rsid w:val="00D54DB5"/>
    <w:rsid w:val="00D54EB5"/>
    <w:rsid w:val="00D54F01"/>
    <w:rsid w:val="00D54F04"/>
    <w:rsid w:val="00D55140"/>
    <w:rsid w:val="00D553AF"/>
    <w:rsid w:val="00D5568D"/>
    <w:rsid w:val="00D5569F"/>
    <w:rsid w:val="00D557B9"/>
    <w:rsid w:val="00D5590B"/>
    <w:rsid w:val="00D5597B"/>
    <w:rsid w:val="00D559F6"/>
    <w:rsid w:val="00D55A5C"/>
    <w:rsid w:val="00D55ACF"/>
    <w:rsid w:val="00D55C31"/>
    <w:rsid w:val="00D55E07"/>
    <w:rsid w:val="00D55E73"/>
    <w:rsid w:val="00D56003"/>
    <w:rsid w:val="00D56011"/>
    <w:rsid w:val="00D5607F"/>
    <w:rsid w:val="00D5617A"/>
    <w:rsid w:val="00D561D9"/>
    <w:rsid w:val="00D563DD"/>
    <w:rsid w:val="00D56493"/>
    <w:rsid w:val="00D5650A"/>
    <w:rsid w:val="00D56523"/>
    <w:rsid w:val="00D565ED"/>
    <w:rsid w:val="00D56654"/>
    <w:rsid w:val="00D567B5"/>
    <w:rsid w:val="00D56901"/>
    <w:rsid w:val="00D56A6D"/>
    <w:rsid w:val="00D56AF2"/>
    <w:rsid w:val="00D56B80"/>
    <w:rsid w:val="00D56C83"/>
    <w:rsid w:val="00D56CC3"/>
    <w:rsid w:val="00D56CE8"/>
    <w:rsid w:val="00D56FB7"/>
    <w:rsid w:val="00D56FFF"/>
    <w:rsid w:val="00D5704A"/>
    <w:rsid w:val="00D570D9"/>
    <w:rsid w:val="00D57162"/>
    <w:rsid w:val="00D572A4"/>
    <w:rsid w:val="00D57432"/>
    <w:rsid w:val="00D57782"/>
    <w:rsid w:val="00D5791B"/>
    <w:rsid w:val="00D579C0"/>
    <w:rsid w:val="00D579FA"/>
    <w:rsid w:val="00D57B27"/>
    <w:rsid w:val="00D57B81"/>
    <w:rsid w:val="00D57B9E"/>
    <w:rsid w:val="00D57DEC"/>
    <w:rsid w:val="00D57E59"/>
    <w:rsid w:val="00D57F7D"/>
    <w:rsid w:val="00D57FA5"/>
    <w:rsid w:val="00D60075"/>
    <w:rsid w:val="00D600DE"/>
    <w:rsid w:val="00D601BF"/>
    <w:rsid w:val="00D6021C"/>
    <w:rsid w:val="00D6028C"/>
    <w:rsid w:val="00D602B6"/>
    <w:rsid w:val="00D604F7"/>
    <w:rsid w:val="00D60783"/>
    <w:rsid w:val="00D607AE"/>
    <w:rsid w:val="00D6091B"/>
    <w:rsid w:val="00D60A8E"/>
    <w:rsid w:val="00D60B30"/>
    <w:rsid w:val="00D60C0C"/>
    <w:rsid w:val="00D60C6C"/>
    <w:rsid w:val="00D60CA3"/>
    <w:rsid w:val="00D60D9C"/>
    <w:rsid w:val="00D60DDE"/>
    <w:rsid w:val="00D60ED1"/>
    <w:rsid w:val="00D60EFF"/>
    <w:rsid w:val="00D61064"/>
    <w:rsid w:val="00D61309"/>
    <w:rsid w:val="00D61447"/>
    <w:rsid w:val="00D6149F"/>
    <w:rsid w:val="00D6156C"/>
    <w:rsid w:val="00D61585"/>
    <w:rsid w:val="00D61657"/>
    <w:rsid w:val="00D61693"/>
    <w:rsid w:val="00D616DB"/>
    <w:rsid w:val="00D61860"/>
    <w:rsid w:val="00D61880"/>
    <w:rsid w:val="00D61935"/>
    <w:rsid w:val="00D61A8B"/>
    <w:rsid w:val="00D61B0A"/>
    <w:rsid w:val="00D61B31"/>
    <w:rsid w:val="00D61B54"/>
    <w:rsid w:val="00D61BB0"/>
    <w:rsid w:val="00D61C35"/>
    <w:rsid w:val="00D61CE3"/>
    <w:rsid w:val="00D61CE8"/>
    <w:rsid w:val="00D61FBF"/>
    <w:rsid w:val="00D61FD7"/>
    <w:rsid w:val="00D6203E"/>
    <w:rsid w:val="00D620CB"/>
    <w:rsid w:val="00D6214A"/>
    <w:rsid w:val="00D6214D"/>
    <w:rsid w:val="00D6224E"/>
    <w:rsid w:val="00D62481"/>
    <w:rsid w:val="00D624A8"/>
    <w:rsid w:val="00D62638"/>
    <w:rsid w:val="00D62676"/>
    <w:rsid w:val="00D62795"/>
    <w:rsid w:val="00D62798"/>
    <w:rsid w:val="00D62928"/>
    <w:rsid w:val="00D629F7"/>
    <w:rsid w:val="00D62A31"/>
    <w:rsid w:val="00D62AAC"/>
    <w:rsid w:val="00D62ACC"/>
    <w:rsid w:val="00D62B6E"/>
    <w:rsid w:val="00D62BCA"/>
    <w:rsid w:val="00D62BF8"/>
    <w:rsid w:val="00D62CA5"/>
    <w:rsid w:val="00D62CBF"/>
    <w:rsid w:val="00D62D0F"/>
    <w:rsid w:val="00D62EB0"/>
    <w:rsid w:val="00D62FE7"/>
    <w:rsid w:val="00D63039"/>
    <w:rsid w:val="00D631C8"/>
    <w:rsid w:val="00D63213"/>
    <w:rsid w:val="00D63272"/>
    <w:rsid w:val="00D632AC"/>
    <w:rsid w:val="00D63406"/>
    <w:rsid w:val="00D634BA"/>
    <w:rsid w:val="00D63807"/>
    <w:rsid w:val="00D6388C"/>
    <w:rsid w:val="00D638EA"/>
    <w:rsid w:val="00D638EE"/>
    <w:rsid w:val="00D639A7"/>
    <w:rsid w:val="00D63A88"/>
    <w:rsid w:val="00D63C96"/>
    <w:rsid w:val="00D63F76"/>
    <w:rsid w:val="00D63FDA"/>
    <w:rsid w:val="00D6416D"/>
    <w:rsid w:val="00D643A8"/>
    <w:rsid w:val="00D6448B"/>
    <w:rsid w:val="00D644B2"/>
    <w:rsid w:val="00D6452A"/>
    <w:rsid w:val="00D6481B"/>
    <w:rsid w:val="00D64931"/>
    <w:rsid w:val="00D64942"/>
    <w:rsid w:val="00D649E8"/>
    <w:rsid w:val="00D64AB6"/>
    <w:rsid w:val="00D64AF4"/>
    <w:rsid w:val="00D64CCE"/>
    <w:rsid w:val="00D64CEE"/>
    <w:rsid w:val="00D64F0E"/>
    <w:rsid w:val="00D64F86"/>
    <w:rsid w:val="00D64FAA"/>
    <w:rsid w:val="00D651CF"/>
    <w:rsid w:val="00D652E8"/>
    <w:rsid w:val="00D654B4"/>
    <w:rsid w:val="00D654E4"/>
    <w:rsid w:val="00D65649"/>
    <w:rsid w:val="00D6565D"/>
    <w:rsid w:val="00D656E7"/>
    <w:rsid w:val="00D6586A"/>
    <w:rsid w:val="00D658BF"/>
    <w:rsid w:val="00D659A4"/>
    <w:rsid w:val="00D65A5B"/>
    <w:rsid w:val="00D65A6D"/>
    <w:rsid w:val="00D65BD4"/>
    <w:rsid w:val="00D65D14"/>
    <w:rsid w:val="00D65D25"/>
    <w:rsid w:val="00D65D9A"/>
    <w:rsid w:val="00D65EFF"/>
    <w:rsid w:val="00D660A4"/>
    <w:rsid w:val="00D660EE"/>
    <w:rsid w:val="00D66121"/>
    <w:rsid w:val="00D6623B"/>
    <w:rsid w:val="00D662C2"/>
    <w:rsid w:val="00D66336"/>
    <w:rsid w:val="00D66453"/>
    <w:rsid w:val="00D66488"/>
    <w:rsid w:val="00D6657A"/>
    <w:rsid w:val="00D6659F"/>
    <w:rsid w:val="00D666B9"/>
    <w:rsid w:val="00D667D0"/>
    <w:rsid w:val="00D668E5"/>
    <w:rsid w:val="00D66982"/>
    <w:rsid w:val="00D6698C"/>
    <w:rsid w:val="00D66A0B"/>
    <w:rsid w:val="00D66C01"/>
    <w:rsid w:val="00D66C05"/>
    <w:rsid w:val="00D66C70"/>
    <w:rsid w:val="00D66E71"/>
    <w:rsid w:val="00D67144"/>
    <w:rsid w:val="00D671D0"/>
    <w:rsid w:val="00D6733B"/>
    <w:rsid w:val="00D673A1"/>
    <w:rsid w:val="00D67480"/>
    <w:rsid w:val="00D67670"/>
    <w:rsid w:val="00D6767A"/>
    <w:rsid w:val="00D6774F"/>
    <w:rsid w:val="00D6788C"/>
    <w:rsid w:val="00D678E8"/>
    <w:rsid w:val="00D679C3"/>
    <w:rsid w:val="00D67ACF"/>
    <w:rsid w:val="00D67B15"/>
    <w:rsid w:val="00D67BAD"/>
    <w:rsid w:val="00D67CEB"/>
    <w:rsid w:val="00D67E16"/>
    <w:rsid w:val="00D67E2D"/>
    <w:rsid w:val="00D67E43"/>
    <w:rsid w:val="00D67E63"/>
    <w:rsid w:val="00D67EA0"/>
    <w:rsid w:val="00D67ED4"/>
    <w:rsid w:val="00D67F80"/>
    <w:rsid w:val="00D700F0"/>
    <w:rsid w:val="00D701F3"/>
    <w:rsid w:val="00D703B8"/>
    <w:rsid w:val="00D703D9"/>
    <w:rsid w:val="00D705F9"/>
    <w:rsid w:val="00D70671"/>
    <w:rsid w:val="00D70689"/>
    <w:rsid w:val="00D70863"/>
    <w:rsid w:val="00D70AA1"/>
    <w:rsid w:val="00D70E1F"/>
    <w:rsid w:val="00D70E72"/>
    <w:rsid w:val="00D70F3D"/>
    <w:rsid w:val="00D71012"/>
    <w:rsid w:val="00D7101D"/>
    <w:rsid w:val="00D710C7"/>
    <w:rsid w:val="00D71130"/>
    <w:rsid w:val="00D7113F"/>
    <w:rsid w:val="00D7129D"/>
    <w:rsid w:val="00D712B8"/>
    <w:rsid w:val="00D71510"/>
    <w:rsid w:val="00D715C7"/>
    <w:rsid w:val="00D71880"/>
    <w:rsid w:val="00D719A8"/>
    <w:rsid w:val="00D71A86"/>
    <w:rsid w:val="00D71B15"/>
    <w:rsid w:val="00D71B57"/>
    <w:rsid w:val="00D71B58"/>
    <w:rsid w:val="00D71B9F"/>
    <w:rsid w:val="00D71C9C"/>
    <w:rsid w:val="00D71CBD"/>
    <w:rsid w:val="00D71CCA"/>
    <w:rsid w:val="00D71CDB"/>
    <w:rsid w:val="00D71DC9"/>
    <w:rsid w:val="00D71F09"/>
    <w:rsid w:val="00D71F17"/>
    <w:rsid w:val="00D71F28"/>
    <w:rsid w:val="00D71FA0"/>
    <w:rsid w:val="00D72010"/>
    <w:rsid w:val="00D7205D"/>
    <w:rsid w:val="00D720D8"/>
    <w:rsid w:val="00D72614"/>
    <w:rsid w:val="00D726CB"/>
    <w:rsid w:val="00D7278E"/>
    <w:rsid w:val="00D72895"/>
    <w:rsid w:val="00D728AF"/>
    <w:rsid w:val="00D729CE"/>
    <w:rsid w:val="00D72A61"/>
    <w:rsid w:val="00D72B59"/>
    <w:rsid w:val="00D72D77"/>
    <w:rsid w:val="00D72D97"/>
    <w:rsid w:val="00D72DFC"/>
    <w:rsid w:val="00D72E77"/>
    <w:rsid w:val="00D72EE7"/>
    <w:rsid w:val="00D72EEC"/>
    <w:rsid w:val="00D72EF2"/>
    <w:rsid w:val="00D72F38"/>
    <w:rsid w:val="00D72F75"/>
    <w:rsid w:val="00D72FDF"/>
    <w:rsid w:val="00D7302C"/>
    <w:rsid w:val="00D7303C"/>
    <w:rsid w:val="00D730A5"/>
    <w:rsid w:val="00D7317E"/>
    <w:rsid w:val="00D7362E"/>
    <w:rsid w:val="00D7365F"/>
    <w:rsid w:val="00D73771"/>
    <w:rsid w:val="00D737A2"/>
    <w:rsid w:val="00D737CD"/>
    <w:rsid w:val="00D7393C"/>
    <w:rsid w:val="00D73D36"/>
    <w:rsid w:val="00D73D92"/>
    <w:rsid w:val="00D73DF5"/>
    <w:rsid w:val="00D73E46"/>
    <w:rsid w:val="00D73F07"/>
    <w:rsid w:val="00D7406F"/>
    <w:rsid w:val="00D741B7"/>
    <w:rsid w:val="00D741DD"/>
    <w:rsid w:val="00D742A3"/>
    <w:rsid w:val="00D7433D"/>
    <w:rsid w:val="00D743A0"/>
    <w:rsid w:val="00D7460F"/>
    <w:rsid w:val="00D7465A"/>
    <w:rsid w:val="00D746B3"/>
    <w:rsid w:val="00D746E5"/>
    <w:rsid w:val="00D7483E"/>
    <w:rsid w:val="00D748AF"/>
    <w:rsid w:val="00D748F7"/>
    <w:rsid w:val="00D748FE"/>
    <w:rsid w:val="00D74989"/>
    <w:rsid w:val="00D74A8A"/>
    <w:rsid w:val="00D74AAA"/>
    <w:rsid w:val="00D74AD0"/>
    <w:rsid w:val="00D74B05"/>
    <w:rsid w:val="00D74B5C"/>
    <w:rsid w:val="00D74C22"/>
    <w:rsid w:val="00D74DF0"/>
    <w:rsid w:val="00D74F7A"/>
    <w:rsid w:val="00D74F98"/>
    <w:rsid w:val="00D74FBE"/>
    <w:rsid w:val="00D75057"/>
    <w:rsid w:val="00D7507C"/>
    <w:rsid w:val="00D750AB"/>
    <w:rsid w:val="00D750B3"/>
    <w:rsid w:val="00D7521B"/>
    <w:rsid w:val="00D75366"/>
    <w:rsid w:val="00D75590"/>
    <w:rsid w:val="00D75832"/>
    <w:rsid w:val="00D759C3"/>
    <w:rsid w:val="00D75BA0"/>
    <w:rsid w:val="00D75E0B"/>
    <w:rsid w:val="00D75E79"/>
    <w:rsid w:val="00D760F4"/>
    <w:rsid w:val="00D76205"/>
    <w:rsid w:val="00D76273"/>
    <w:rsid w:val="00D76277"/>
    <w:rsid w:val="00D76457"/>
    <w:rsid w:val="00D764CC"/>
    <w:rsid w:val="00D7664A"/>
    <w:rsid w:val="00D766D2"/>
    <w:rsid w:val="00D766EC"/>
    <w:rsid w:val="00D76771"/>
    <w:rsid w:val="00D76860"/>
    <w:rsid w:val="00D76B62"/>
    <w:rsid w:val="00D76C5D"/>
    <w:rsid w:val="00D76CD5"/>
    <w:rsid w:val="00D76D8E"/>
    <w:rsid w:val="00D76E50"/>
    <w:rsid w:val="00D76F45"/>
    <w:rsid w:val="00D76FD6"/>
    <w:rsid w:val="00D76FE3"/>
    <w:rsid w:val="00D77009"/>
    <w:rsid w:val="00D77023"/>
    <w:rsid w:val="00D77074"/>
    <w:rsid w:val="00D7711E"/>
    <w:rsid w:val="00D772AA"/>
    <w:rsid w:val="00D77442"/>
    <w:rsid w:val="00D7752A"/>
    <w:rsid w:val="00D77591"/>
    <w:rsid w:val="00D77759"/>
    <w:rsid w:val="00D7794B"/>
    <w:rsid w:val="00D77A2B"/>
    <w:rsid w:val="00D77B25"/>
    <w:rsid w:val="00D77B67"/>
    <w:rsid w:val="00D77BA3"/>
    <w:rsid w:val="00D77BA9"/>
    <w:rsid w:val="00D77D10"/>
    <w:rsid w:val="00D77E87"/>
    <w:rsid w:val="00D77ED6"/>
    <w:rsid w:val="00D77F47"/>
    <w:rsid w:val="00D77FB0"/>
    <w:rsid w:val="00D80088"/>
    <w:rsid w:val="00D800B7"/>
    <w:rsid w:val="00D800FF"/>
    <w:rsid w:val="00D80105"/>
    <w:rsid w:val="00D801E2"/>
    <w:rsid w:val="00D8052E"/>
    <w:rsid w:val="00D805E8"/>
    <w:rsid w:val="00D80608"/>
    <w:rsid w:val="00D8061E"/>
    <w:rsid w:val="00D80702"/>
    <w:rsid w:val="00D80A88"/>
    <w:rsid w:val="00D80AD3"/>
    <w:rsid w:val="00D80DBA"/>
    <w:rsid w:val="00D80DCC"/>
    <w:rsid w:val="00D80E00"/>
    <w:rsid w:val="00D80E5F"/>
    <w:rsid w:val="00D81004"/>
    <w:rsid w:val="00D8105D"/>
    <w:rsid w:val="00D810BC"/>
    <w:rsid w:val="00D81187"/>
    <w:rsid w:val="00D811F7"/>
    <w:rsid w:val="00D81233"/>
    <w:rsid w:val="00D8127A"/>
    <w:rsid w:val="00D813EC"/>
    <w:rsid w:val="00D8153A"/>
    <w:rsid w:val="00D815C3"/>
    <w:rsid w:val="00D8169A"/>
    <w:rsid w:val="00D8170F"/>
    <w:rsid w:val="00D818BB"/>
    <w:rsid w:val="00D81A31"/>
    <w:rsid w:val="00D81ABA"/>
    <w:rsid w:val="00D81AEA"/>
    <w:rsid w:val="00D81BC4"/>
    <w:rsid w:val="00D81DBF"/>
    <w:rsid w:val="00D81DF9"/>
    <w:rsid w:val="00D81E4A"/>
    <w:rsid w:val="00D81E89"/>
    <w:rsid w:val="00D81F65"/>
    <w:rsid w:val="00D81FC6"/>
    <w:rsid w:val="00D82126"/>
    <w:rsid w:val="00D8233A"/>
    <w:rsid w:val="00D823C3"/>
    <w:rsid w:val="00D82515"/>
    <w:rsid w:val="00D829ED"/>
    <w:rsid w:val="00D82A12"/>
    <w:rsid w:val="00D82B0F"/>
    <w:rsid w:val="00D82B60"/>
    <w:rsid w:val="00D82B85"/>
    <w:rsid w:val="00D82C74"/>
    <w:rsid w:val="00D82CAF"/>
    <w:rsid w:val="00D82D4B"/>
    <w:rsid w:val="00D82E14"/>
    <w:rsid w:val="00D82E9A"/>
    <w:rsid w:val="00D82F98"/>
    <w:rsid w:val="00D83030"/>
    <w:rsid w:val="00D8341E"/>
    <w:rsid w:val="00D83469"/>
    <w:rsid w:val="00D83493"/>
    <w:rsid w:val="00D834F5"/>
    <w:rsid w:val="00D835A3"/>
    <w:rsid w:val="00D83644"/>
    <w:rsid w:val="00D836D3"/>
    <w:rsid w:val="00D83828"/>
    <w:rsid w:val="00D83905"/>
    <w:rsid w:val="00D83923"/>
    <w:rsid w:val="00D83990"/>
    <w:rsid w:val="00D83C71"/>
    <w:rsid w:val="00D83D60"/>
    <w:rsid w:val="00D83FBA"/>
    <w:rsid w:val="00D8409D"/>
    <w:rsid w:val="00D84169"/>
    <w:rsid w:val="00D841B1"/>
    <w:rsid w:val="00D841E3"/>
    <w:rsid w:val="00D842A7"/>
    <w:rsid w:val="00D843E3"/>
    <w:rsid w:val="00D84642"/>
    <w:rsid w:val="00D84676"/>
    <w:rsid w:val="00D84698"/>
    <w:rsid w:val="00D8478B"/>
    <w:rsid w:val="00D84879"/>
    <w:rsid w:val="00D84968"/>
    <w:rsid w:val="00D84A3D"/>
    <w:rsid w:val="00D84A83"/>
    <w:rsid w:val="00D84AC1"/>
    <w:rsid w:val="00D84C53"/>
    <w:rsid w:val="00D84D26"/>
    <w:rsid w:val="00D84E07"/>
    <w:rsid w:val="00D84E12"/>
    <w:rsid w:val="00D8514E"/>
    <w:rsid w:val="00D851BB"/>
    <w:rsid w:val="00D8535A"/>
    <w:rsid w:val="00D854C1"/>
    <w:rsid w:val="00D8552B"/>
    <w:rsid w:val="00D8571E"/>
    <w:rsid w:val="00D8583B"/>
    <w:rsid w:val="00D859A7"/>
    <w:rsid w:val="00D85B44"/>
    <w:rsid w:val="00D85BBD"/>
    <w:rsid w:val="00D85BD6"/>
    <w:rsid w:val="00D85C11"/>
    <w:rsid w:val="00D85C77"/>
    <w:rsid w:val="00D85CA3"/>
    <w:rsid w:val="00D85DD5"/>
    <w:rsid w:val="00D85E2C"/>
    <w:rsid w:val="00D85FC8"/>
    <w:rsid w:val="00D8605C"/>
    <w:rsid w:val="00D86079"/>
    <w:rsid w:val="00D860FD"/>
    <w:rsid w:val="00D861F3"/>
    <w:rsid w:val="00D86271"/>
    <w:rsid w:val="00D862B4"/>
    <w:rsid w:val="00D8649E"/>
    <w:rsid w:val="00D86550"/>
    <w:rsid w:val="00D865C2"/>
    <w:rsid w:val="00D86841"/>
    <w:rsid w:val="00D86880"/>
    <w:rsid w:val="00D86ACE"/>
    <w:rsid w:val="00D86B05"/>
    <w:rsid w:val="00D86CB8"/>
    <w:rsid w:val="00D86E6B"/>
    <w:rsid w:val="00D86F3E"/>
    <w:rsid w:val="00D86FA9"/>
    <w:rsid w:val="00D86FFD"/>
    <w:rsid w:val="00D87102"/>
    <w:rsid w:val="00D87146"/>
    <w:rsid w:val="00D8714E"/>
    <w:rsid w:val="00D87186"/>
    <w:rsid w:val="00D87193"/>
    <w:rsid w:val="00D8739E"/>
    <w:rsid w:val="00D873CB"/>
    <w:rsid w:val="00D87404"/>
    <w:rsid w:val="00D874F3"/>
    <w:rsid w:val="00D87508"/>
    <w:rsid w:val="00D87703"/>
    <w:rsid w:val="00D87767"/>
    <w:rsid w:val="00D87832"/>
    <w:rsid w:val="00D87A59"/>
    <w:rsid w:val="00D87AE3"/>
    <w:rsid w:val="00D87AFC"/>
    <w:rsid w:val="00D87B0B"/>
    <w:rsid w:val="00D87BCD"/>
    <w:rsid w:val="00D87D19"/>
    <w:rsid w:val="00D87D1E"/>
    <w:rsid w:val="00D87D2E"/>
    <w:rsid w:val="00D87F1D"/>
    <w:rsid w:val="00D9002D"/>
    <w:rsid w:val="00D90045"/>
    <w:rsid w:val="00D900A6"/>
    <w:rsid w:val="00D900B6"/>
    <w:rsid w:val="00D90168"/>
    <w:rsid w:val="00D90306"/>
    <w:rsid w:val="00D90358"/>
    <w:rsid w:val="00D9036F"/>
    <w:rsid w:val="00D90404"/>
    <w:rsid w:val="00D90465"/>
    <w:rsid w:val="00D904A7"/>
    <w:rsid w:val="00D90573"/>
    <w:rsid w:val="00D90712"/>
    <w:rsid w:val="00D90874"/>
    <w:rsid w:val="00D908B5"/>
    <w:rsid w:val="00D909D7"/>
    <w:rsid w:val="00D90A0C"/>
    <w:rsid w:val="00D90B9C"/>
    <w:rsid w:val="00D90C58"/>
    <w:rsid w:val="00D90C84"/>
    <w:rsid w:val="00D90CE8"/>
    <w:rsid w:val="00D90DDE"/>
    <w:rsid w:val="00D90E2F"/>
    <w:rsid w:val="00D90EEF"/>
    <w:rsid w:val="00D90F7A"/>
    <w:rsid w:val="00D91062"/>
    <w:rsid w:val="00D9132F"/>
    <w:rsid w:val="00D913E4"/>
    <w:rsid w:val="00D91604"/>
    <w:rsid w:val="00D91927"/>
    <w:rsid w:val="00D91A39"/>
    <w:rsid w:val="00D91A3C"/>
    <w:rsid w:val="00D91A57"/>
    <w:rsid w:val="00D91C26"/>
    <w:rsid w:val="00D91C6F"/>
    <w:rsid w:val="00D91CF6"/>
    <w:rsid w:val="00D91D86"/>
    <w:rsid w:val="00D91DDA"/>
    <w:rsid w:val="00D91E13"/>
    <w:rsid w:val="00D91E7F"/>
    <w:rsid w:val="00D91ED9"/>
    <w:rsid w:val="00D92029"/>
    <w:rsid w:val="00D9216D"/>
    <w:rsid w:val="00D92329"/>
    <w:rsid w:val="00D92358"/>
    <w:rsid w:val="00D9246C"/>
    <w:rsid w:val="00D92476"/>
    <w:rsid w:val="00D92511"/>
    <w:rsid w:val="00D92569"/>
    <w:rsid w:val="00D926E0"/>
    <w:rsid w:val="00D9284C"/>
    <w:rsid w:val="00D92954"/>
    <w:rsid w:val="00D92C7C"/>
    <w:rsid w:val="00D92D29"/>
    <w:rsid w:val="00D92E02"/>
    <w:rsid w:val="00D92F04"/>
    <w:rsid w:val="00D92F8F"/>
    <w:rsid w:val="00D92FC6"/>
    <w:rsid w:val="00D92FDB"/>
    <w:rsid w:val="00D92FEA"/>
    <w:rsid w:val="00D93204"/>
    <w:rsid w:val="00D9324D"/>
    <w:rsid w:val="00D93265"/>
    <w:rsid w:val="00D93317"/>
    <w:rsid w:val="00D93345"/>
    <w:rsid w:val="00D933C6"/>
    <w:rsid w:val="00D9343A"/>
    <w:rsid w:val="00D935E5"/>
    <w:rsid w:val="00D93645"/>
    <w:rsid w:val="00D93655"/>
    <w:rsid w:val="00D93796"/>
    <w:rsid w:val="00D938AF"/>
    <w:rsid w:val="00D938E3"/>
    <w:rsid w:val="00D93A0A"/>
    <w:rsid w:val="00D93B74"/>
    <w:rsid w:val="00D93C92"/>
    <w:rsid w:val="00D93CCC"/>
    <w:rsid w:val="00D93D64"/>
    <w:rsid w:val="00D93FED"/>
    <w:rsid w:val="00D940B9"/>
    <w:rsid w:val="00D9429B"/>
    <w:rsid w:val="00D943F0"/>
    <w:rsid w:val="00D9447D"/>
    <w:rsid w:val="00D944A2"/>
    <w:rsid w:val="00D944BF"/>
    <w:rsid w:val="00D944E5"/>
    <w:rsid w:val="00D94780"/>
    <w:rsid w:val="00D9478F"/>
    <w:rsid w:val="00D94808"/>
    <w:rsid w:val="00D9482B"/>
    <w:rsid w:val="00D94A75"/>
    <w:rsid w:val="00D94AE5"/>
    <w:rsid w:val="00D94AEF"/>
    <w:rsid w:val="00D94C49"/>
    <w:rsid w:val="00D94EBF"/>
    <w:rsid w:val="00D950E9"/>
    <w:rsid w:val="00D9511E"/>
    <w:rsid w:val="00D95129"/>
    <w:rsid w:val="00D95164"/>
    <w:rsid w:val="00D95384"/>
    <w:rsid w:val="00D95385"/>
    <w:rsid w:val="00D95538"/>
    <w:rsid w:val="00D95591"/>
    <w:rsid w:val="00D95669"/>
    <w:rsid w:val="00D95904"/>
    <w:rsid w:val="00D95A66"/>
    <w:rsid w:val="00D95C5C"/>
    <w:rsid w:val="00D95DCB"/>
    <w:rsid w:val="00D95DE8"/>
    <w:rsid w:val="00D95E80"/>
    <w:rsid w:val="00D95F4A"/>
    <w:rsid w:val="00D96021"/>
    <w:rsid w:val="00D96048"/>
    <w:rsid w:val="00D961B2"/>
    <w:rsid w:val="00D962FF"/>
    <w:rsid w:val="00D963A3"/>
    <w:rsid w:val="00D963D0"/>
    <w:rsid w:val="00D96461"/>
    <w:rsid w:val="00D96467"/>
    <w:rsid w:val="00D964D9"/>
    <w:rsid w:val="00D96500"/>
    <w:rsid w:val="00D96579"/>
    <w:rsid w:val="00D965CD"/>
    <w:rsid w:val="00D967F8"/>
    <w:rsid w:val="00D9686E"/>
    <w:rsid w:val="00D968A8"/>
    <w:rsid w:val="00D96B6C"/>
    <w:rsid w:val="00D96B7A"/>
    <w:rsid w:val="00D96C3E"/>
    <w:rsid w:val="00D96D2A"/>
    <w:rsid w:val="00D96F53"/>
    <w:rsid w:val="00D9706E"/>
    <w:rsid w:val="00D97691"/>
    <w:rsid w:val="00D97720"/>
    <w:rsid w:val="00D97805"/>
    <w:rsid w:val="00D9787C"/>
    <w:rsid w:val="00D979DE"/>
    <w:rsid w:val="00D97A07"/>
    <w:rsid w:val="00D97A5A"/>
    <w:rsid w:val="00D97D97"/>
    <w:rsid w:val="00DA00C3"/>
    <w:rsid w:val="00DA0112"/>
    <w:rsid w:val="00DA02C4"/>
    <w:rsid w:val="00DA02E7"/>
    <w:rsid w:val="00DA02FE"/>
    <w:rsid w:val="00DA049D"/>
    <w:rsid w:val="00DA0541"/>
    <w:rsid w:val="00DA0659"/>
    <w:rsid w:val="00DA083C"/>
    <w:rsid w:val="00DA085F"/>
    <w:rsid w:val="00DA0B79"/>
    <w:rsid w:val="00DA0D4D"/>
    <w:rsid w:val="00DA0DDF"/>
    <w:rsid w:val="00DA10BE"/>
    <w:rsid w:val="00DA1131"/>
    <w:rsid w:val="00DA11B9"/>
    <w:rsid w:val="00DA1229"/>
    <w:rsid w:val="00DA12D9"/>
    <w:rsid w:val="00DA1382"/>
    <w:rsid w:val="00DA138B"/>
    <w:rsid w:val="00DA148C"/>
    <w:rsid w:val="00DA16D0"/>
    <w:rsid w:val="00DA16E1"/>
    <w:rsid w:val="00DA17C2"/>
    <w:rsid w:val="00DA1868"/>
    <w:rsid w:val="00DA1A86"/>
    <w:rsid w:val="00DA1B9C"/>
    <w:rsid w:val="00DA1BCB"/>
    <w:rsid w:val="00DA1C07"/>
    <w:rsid w:val="00DA1C1C"/>
    <w:rsid w:val="00DA1C8A"/>
    <w:rsid w:val="00DA1C9A"/>
    <w:rsid w:val="00DA1DC2"/>
    <w:rsid w:val="00DA1DFB"/>
    <w:rsid w:val="00DA1E0E"/>
    <w:rsid w:val="00DA209E"/>
    <w:rsid w:val="00DA214A"/>
    <w:rsid w:val="00DA2169"/>
    <w:rsid w:val="00DA2306"/>
    <w:rsid w:val="00DA23DD"/>
    <w:rsid w:val="00DA240A"/>
    <w:rsid w:val="00DA27CE"/>
    <w:rsid w:val="00DA2AC9"/>
    <w:rsid w:val="00DA2B57"/>
    <w:rsid w:val="00DA2BDB"/>
    <w:rsid w:val="00DA2C43"/>
    <w:rsid w:val="00DA2D49"/>
    <w:rsid w:val="00DA2E54"/>
    <w:rsid w:val="00DA2E5D"/>
    <w:rsid w:val="00DA2E70"/>
    <w:rsid w:val="00DA2E8E"/>
    <w:rsid w:val="00DA2F21"/>
    <w:rsid w:val="00DA3190"/>
    <w:rsid w:val="00DA31AB"/>
    <w:rsid w:val="00DA329E"/>
    <w:rsid w:val="00DA32FE"/>
    <w:rsid w:val="00DA3324"/>
    <w:rsid w:val="00DA344F"/>
    <w:rsid w:val="00DA34A2"/>
    <w:rsid w:val="00DA3520"/>
    <w:rsid w:val="00DA3521"/>
    <w:rsid w:val="00DA374E"/>
    <w:rsid w:val="00DA37CA"/>
    <w:rsid w:val="00DA3A50"/>
    <w:rsid w:val="00DA3C7E"/>
    <w:rsid w:val="00DA3E2D"/>
    <w:rsid w:val="00DA3E34"/>
    <w:rsid w:val="00DA3E66"/>
    <w:rsid w:val="00DA3F1B"/>
    <w:rsid w:val="00DA4046"/>
    <w:rsid w:val="00DA4161"/>
    <w:rsid w:val="00DA41CB"/>
    <w:rsid w:val="00DA42A3"/>
    <w:rsid w:val="00DA42B2"/>
    <w:rsid w:val="00DA4316"/>
    <w:rsid w:val="00DA43F5"/>
    <w:rsid w:val="00DA4417"/>
    <w:rsid w:val="00DA468E"/>
    <w:rsid w:val="00DA496D"/>
    <w:rsid w:val="00DA49EA"/>
    <w:rsid w:val="00DA49F7"/>
    <w:rsid w:val="00DA4A7C"/>
    <w:rsid w:val="00DA4BA1"/>
    <w:rsid w:val="00DA4BEE"/>
    <w:rsid w:val="00DA4C11"/>
    <w:rsid w:val="00DA4D14"/>
    <w:rsid w:val="00DA4DA1"/>
    <w:rsid w:val="00DA4E0D"/>
    <w:rsid w:val="00DA4FA0"/>
    <w:rsid w:val="00DA502D"/>
    <w:rsid w:val="00DA5177"/>
    <w:rsid w:val="00DA5209"/>
    <w:rsid w:val="00DA5240"/>
    <w:rsid w:val="00DA5565"/>
    <w:rsid w:val="00DA5713"/>
    <w:rsid w:val="00DA57A4"/>
    <w:rsid w:val="00DA58C6"/>
    <w:rsid w:val="00DA5920"/>
    <w:rsid w:val="00DA59DC"/>
    <w:rsid w:val="00DA59F0"/>
    <w:rsid w:val="00DA5A6F"/>
    <w:rsid w:val="00DA5AB0"/>
    <w:rsid w:val="00DA5ABC"/>
    <w:rsid w:val="00DA5B34"/>
    <w:rsid w:val="00DA5C66"/>
    <w:rsid w:val="00DA5C68"/>
    <w:rsid w:val="00DA5CB6"/>
    <w:rsid w:val="00DA5D0C"/>
    <w:rsid w:val="00DA5E29"/>
    <w:rsid w:val="00DA5F57"/>
    <w:rsid w:val="00DA5FA5"/>
    <w:rsid w:val="00DA600F"/>
    <w:rsid w:val="00DA61D8"/>
    <w:rsid w:val="00DA62DB"/>
    <w:rsid w:val="00DA62E8"/>
    <w:rsid w:val="00DA6322"/>
    <w:rsid w:val="00DA641C"/>
    <w:rsid w:val="00DA6447"/>
    <w:rsid w:val="00DA64E8"/>
    <w:rsid w:val="00DA6679"/>
    <w:rsid w:val="00DA6777"/>
    <w:rsid w:val="00DA6782"/>
    <w:rsid w:val="00DA6786"/>
    <w:rsid w:val="00DA67E4"/>
    <w:rsid w:val="00DA68C1"/>
    <w:rsid w:val="00DA6ACF"/>
    <w:rsid w:val="00DA6B66"/>
    <w:rsid w:val="00DA6DDD"/>
    <w:rsid w:val="00DA6E1F"/>
    <w:rsid w:val="00DA6E7B"/>
    <w:rsid w:val="00DA717F"/>
    <w:rsid w:val="00DA720E"/>
    <w:rsid w:val="00DA7415"/>
    <w:rsid w:val="00DA7750"/>
    <w:rsid w:val="00DA7841"/>
    <w:rsid w:val="00DA79B6"/>
    <w:rsid w:val="00DA7B20"/>
    <w:rsid w:val="00DA7B82"/>
    <w:rsid w:val="00DA7CB7"/>
    <w:rsid w:val="00DA7DC6"/>
    <w:rsid w:val="00DA7DE1"/>
    <w:rsid w:val="00DA7E04"/>
    <w:rsid w:val="00DA7E69"/>
    <w:rsid w:val="00DA7EC8"/>
    <w:rsid w:val="00DA7FED"/>
    <w:rsid w:val="00DB003D"/>
    <w:rsid w:val="00DB006E"/>
    <w:rsid w:val="00DB016D"/>
    <w:rsid w:val="00DB018B"/>
    <w:rsid w:val="00DB01F2"/>
    <w:rsid w:val="00DB02CC"/>
    <w:rsid w:val="00DB04B8"/>
    <w:rsid w:val="00DB05DA"/>
    <w:rsid w:val="00DB069E"/>
    <w:rsid w:val="00DB09B1"/>
    <w:rsid w:val="00DB0A5A"/>
    <w:rsid w:val="00DB0A84"/>
    <w:rsid w:val="00DB0B41"/>
    <w:rsid w:val="00DB0BE8"/>
    <w:rsid w:val="00DB0C59"/>
    <w:rsid w:val="00DB0D19"/>
    <w:rsid w:val="00DB0DA6"/>
    <w:rsid w:val="00DB0F03"/>
    <w:rsid w:val="00DB0FD5"/>
    <w:rsid w:val="00DB10EF"/>
    <w:rsid w:val="00DB1105"/>
    <w:rsid w:val="00DB110B"/>
    <w:rsid w:val="00DB11A9"/>
    <w:rsid w:val="00DB1205"/>
    <w:rsid w:val="00DB1427"/>
    <w:rsid w:val="00DB14D4"/>
    <w:rsid w:val="00DB1659"/>
    <w:rsid w:val="00DB1729"/>
    <w:rsid w:val="00DB1766"/>
    <w:rsid w:val="00DB1942"/>
    <w:rsid w:val="00DB1B69"/>
    <w:rsid w:val="00DB1D1B"/>
    <w:rsid w:val="00DB1DE1"/>
    <w:rsid w:val="00DB2317"/>
    <w:rsid w:val="00DB23E3"/>
    <w:rsid w:val="00DB2499"/>
    <w:rsid w:val="00DB2A24"/>
    <w:rsid w:val="00DB2A28"/>
    <w:rsid w:val="00DB2A7E"/>
    <w:rsid w:val="00DB2AD6"/>
    <w:rsid w:val="00DB2BF4"/>
    <w:rsid w:val="00DB2C85"/>
    <w:rsid w:val="00DB2C8D"/>
    <w:rsid w:val="00DB2E1B"/>
    <w:rsid w:val="00DB2F5F"/>
    <w:rsid w:val="00DB30BC"/>
    <w:rsid w:val="00DB3175"/>
    <w:rsid w:val="00DB3203"/>
    <w:rsid w:val="00DB325B"/>
    <w:rsid w:val="00DB32FD"/>
    <w:rsid w:val="00DB338A"/>
    <w:rsid w:val="00DB339C"/>
    <w:rsid w:val="00DB33CE"/>
    <w:rsid w:val="00DB35B2"/>
    <w:rsid w:val="00DB35F3"/>
    <w:rsid w:val="00DB3606"/>
    <w:rsid w:val="00DB362D"/>
    <w:rsid w:val="00DB3680"/>
    <w:rsid w:val="00DB3840"/>
    <w:rsid w:val="00DB3892"/>
    <w:rsid w:val="00DB38FB"/>
    <w:rsid w:val="00DB3986"/>
    <w:rsid w:val="00DB3997"/>
    <w:rsid w:val="00DB3A26"/>
    <w:rsid w:val="00DB3A7D"/>
    <w:rsid w:val="00DB3A93"/>
    <w:rsid w:val="00DB3DA0"/>
    <w:rsid w:val="00DB3ECA"/>
    <w:rsid w:val="00DB40D6"/>
    <w:rsid w:val="00DB4297"/>
    <w:rsid w:val="00DB4346"/>
    <w:rsid w:val="00DB4378"/>
    <w:rsid w:val="00DB4395"/>
    <w:rsid w:val="00DB440C"/>
    <w:rsid w:val="00DB4537"/>
    <w:rsid w:val="00DB45F0"/>
    <w:rsid w:val="00DB4610"/>
    <w:rsid w:val="00DB462E"/>
    <w:rsid w:val="00DB46AA"/>
    <w:rsid w:val="00DB4715"/>
    <w:rsid w:val="00DB4788"/>
    <w:rsid w:val="00DB47FA"/>
    <w:rsid w:val="00DB48B1"/>
    <w:rsid w:val="00DB495B"/>
    <w:rsid w:val="00DB4A98"/>
    <w:rsid w:val="00DB4C7B"/>
    <w:rsid w:val="00DB4CB0"/>
    <w:rsid w:val="00DB4CB4"/>
    <w:rsid w:val="00DB4CC1"/>
    <w:rsid w:val="00DB4CFE"/>
    <w:rsid w:val="00DB4D4B"/>
    <w:rsid w:val="00DB4DC0"/>
    <w:rsid w:val="00DB4E11"/>
    <w:rsid w:val="00DB4E43"/>
    <w:rsid w:val="00DB4E81"/>
    <w:rsid w:val="00DB4F16"/>
    <w:rsid w:val="00DB4F3D"/>
    <w:rsid w:val="00DB4F59"/>
    <w:rsid w:val="00DB4FBA"/>
    <w:rsid w:val="00DB504D"/>
    <w:rsid w:val="00DB5118"/>
    <w:rsid w:val="00DB513A"/>
    <w:rsid w:val="00DB528F"/>
    <w:rsid w:val="00DB536F"/>
    <w:rsid w:val="00DB53EE"/>
    <w:rsid w:val="00DB54D0"/>
    <w:rsid w:val="00DB5640"/>
    <w:rsid w:val="00DB5682"/>
    <w:rsid w:val="00DB5823"/>
    <w:rsid w:val="00DB5878"/>
    <w:rsid w:val="00DB58DA"/>
    <w:rsid w:val="00DB59A5"/>
    <w:rsid w:val="00DB5A4D"/>
    <w:rsid w:val="00DB5A8A"/>
    <w:rsid w:val="00DB5C80"/>
    <w:rsid w:val="00DB5D11"/>
    <w:rsid w:val="00DB5DBE"/>
    <w:rsid w:val="00DB5E9A"/>
    <w:rsid w:val="00DB5F67"/>
    <w:rsid w:val="00DB5F8F"/>
    <w:rsid w:val="00DB5F96"/>
    <w:rsid w:val="00DB6081"/>
    <w:rsid w:val="00DB60A1"/>
    <w:rsid w:val="00DB616D"/>
    <w:rsid w:val="00DB6425"/>
    <w:rsid w:val="00DB6470"/>
    <w:rsid w:val="00DB6513"/>
    <w:rsid w:val="00DB6600"/>
    <w:rsid w:val="00DB6645"/>
    <w:rsid w:val="00DB68F6"/>
    <w:rsid w:val="00DB6C06"/>
    <w:rsid w:val="00DB6E7D"/>
    <w:rsid w:val="00DB6EDD"/>
    <w:rsid w:val="00DB6FA7"/>
    <w:rsid w:val="00DB6FB7"/>
    <w:rsid w:val="00DB7073"/>
    <w:rsid w:val="00DB7090"/>
    <w:rsid w:val="00DB70C8"/>
    <w:rsid w:val="00DB7122"/>
    <w:rsid w:val="00DB7138"/>
    <w:rsid w:val="00DB7147"/>
    <w:rsid w:val="00DB72E3"/>
    <w:rsid w:val="00DB7310"/>
    <w:rsid w:val="00DB734E"/>
    <w:rsid w:val="00DB7460"/>
    <w:rsid w:val="00DB75B3"/>
    <w:rsid w:val="00DB75BD"/>
    <w:rsid w:val="00DB79F0"/>
    <w:rsid w:val="00DB7A38"/>
    <w:rsid w:val="00DB7B5C"/>
    <w:rsid w:val="00DB7DA1"/>
    <w:rsid w:val="00DB7DE4"/>
    <w:rsid w:val="00DC007E"/>
    <w:rsid w:val="00DC00E0"/>
    <w:rsid w:val="00DC0326"/>
    <w:rsid w:val="00DC03DC"/>
    <w:rsid w:val="00DC0413"/>
    <w:rsid w:val="00DC0425"/>
    <w:rsid w:val="00DC0525"/>
    <w:rsid w:val="00DC0548"/>
    <w:rsid w:val="00DC0682"/>
    <w:rsid w:val="00DC07EC"/>
    <w:rsid w:val="00DC0884"/>
    <w:rsid w:val="00DC0A16"/>
    <w:rsid w:val="00DC0BCB"/>
    <w:rsid w:val="00DC0C0D"/>
    <w:rsid w:val="00DC0D55"/>
    <w:rsid w:val="00DC0DD3"/>
    <w:rsid w:val="00DC0F91"/>
    <w:rsid w:val="00DC0FA5"/>
    <w:rsid w:val="00DC10A8"/>
    <w:rsid w:val="00DC1262"/>
    <w:rsid w:val="00DC12D9"/>
    <w:rsid w:val="00DC1314"/>
    <w:rsid w:val="00DC13A2"/>
    <w:rsid w:val="00DC15DE"/>
    <w:rsid w:val="00DC16E7"/>
    <w:rsid w:val="00DC17F3"/>
    <w:rsid w:val="00DC180C"/>
    <w:rsid w:val="00DC193A"/>
    <w:rsid w:val="00DC1B4C"/>
    <w:rsid w:val="00DC1D08"/>
    <w:rsid w:val="00DC1D76"/>
    <w:rsid w:val="00DC1DBD"/>
    <w:rsid w:val="00DC1F23"/>
    <w:rsid w:val="00DC2007"/>
    <w:rsid w:val="00DC2034"/>
    <w:rsid w:val="00DC204F"/>
    <w:rsid w:val="00DC2061"/>
    <w:rsid w:val="00DC2083"/>
    <w:rsid w:val="00DC2106"/>
    <w:rsid w:val="00DC21DF"/>
    <w:rsid w:val="00DC22F6"/>
    <w:rsid w:val="00DC2316"/>
    <w:rsid w:val="00DC23BB"/>
    <w:rsid w:val="00DC254A"/>
    <w:rsid w:val="00DC25F1"/>
    <w:rsid w:val="00DC2775"/>
    <w:rsid w:val="00DC2A50"/>
    <w:rsid w:val="00DC2A5B"/>
    <w:rsid w:val="00DC2AA1"/>
    <w:rsid w:val="00DC2AC7"/>
    <w:rsid w:val="00DC2BA5"/>
    <w:rsid w:val="00DC2D21"/>
    <w:rsid w:val="00DC2D56"/>
    <w:rsid w:val="00DC2DD5"/>
    <w:rsid w:val="00DC2E00"/>
    <w:rsid w:val="00DC2E08"/>
    <w:rsid w:val="00DC2ECF"/>
    <w:rsid w:val="00DC3130"/>
    <w:rsid w:val="00DC3381"/>
    <w:rsid w:val="00DC33B1"/>
    <w:rsid w:val="00DC3789"/>
    <w:rsid w:val="00DC37BD"/>
    <w:rsid w:val="00DC3991"/>
    <w:rsid w:val="00DC39C9"/>
    <w:rsid w:val="00DC3A41"/>
    <w:rsid w:val="00DC3AF4"/>
    <w:rsid w:val="00DC3B1A"/>
    <w:rsid w:val="00DC3BC5"/>
    <w:rsid w:val="00DC3BD4"/>
    <w:rsid w:val="00DC3C73"/>
    <w:rsid w:val="00DC3CC8"/>
    <w:rsid w:val="00DC3DD5"/>
    <w:rsid w:val="00DC3EE2"/>
    <w:rsid w:val="00DC3F0C"/>
    <w:rsid w:val="00DC41AC"/>
    <w:rsid w:val="00DC4226"/>
    <w:rsid w:val="00DC4284"/>
    <w:rsid w:val="00DC42C5"/>
    <w:rsid w:val="00DC432D"/>
    <w:rsid w:val="00DC435C"/>
    <w:rsid w:val="00DC43EB"/>
    <w:rsid w:val="00DC4473"/>
    <w:rsid w:val="00DC452F"/>
    <w:rsid w:val="00DC490A"/>
    <w:rsid w:val="00DC4E66"/>
    <w:rsid w:val="00DC4FEF"/>
    <w:rsid w:val="00DC5063"/>
    <w:rsid w:val="00DC50EB"/>
    <w:rsid w:val="00DC50FD"/>
    <w:rsid w:val="00DC5159"/>
    <w:rsid w:val="00DC51D2"/>
    <w:rsid w:val="00DC529B"/>
    <w:rsid w:val="00DC547A"/>
    <w:rsid w:val="00DC573D"/>
    <w:rsid w:val="00DC5859"/>
    <w:rsid w:val="00DC5878"/>
    <w:rsid w:val="00DC590B"/>
    <w:rsid w:val="00DC5A34"/>
    <w:rsid w:val="00DC5A73"/>
    <w:rsid w:val="00DC5AE1"/>
    <w:rsid w:val="00DC5AF1"/>
    <w:rsid w:val="00DC5BCB"/>
    <w:rsid w:val="00DC5CCC"/>
    <w:rsid w:val="00DC5D95"/>
    <w:rsid w:val="00DC5EE5"/>
    <w:rsid w:val="00DC63A0"/>
    <w:rsid w:val="00DC6594"/>
    <w:rsid w:val="00DC6712"/>
    <w:rsid w:val="00DC6741"/>
    <w:rsid w:val="00DC67DD"/>
    <w:rsid w:val="00DC6842"/>
    <w:rsid w:val="00DC6899"/>
    <w:rsid w:val="00DC695C"/>
    <w:rsid w:val="00DC6993"/>
    <w:rsid w:val="00DC6BA9"/>
    <w:rsid w:val="00DC6D76"/>
    <w:rsid w:val="00DC6E37"/>
    <w:rsid w:val="00DC6EA9"/>
    <w:rsid w:val="00DC6FCE"/>
    <w:rsid w:val="00DC70E1"/>
    <w:rsid w:val="00DC70FF"/>
    <w:rsid w:val="00DC719F"/>
    <w:rsid w:val="00DC7246"/>
    <w:rsid w:val="00DC72E7"/>
    <w:rsid w:val="00DC7363"/>
    <w:rsid w:val="00DC744F"/>
    <w:rsid w:val="00DC7471"/>
    <w:rsid w:val="00DC753B"/>
    <w:rsid w:val="00DC75AA"/>
    <w:rsid w:val="00DC75F3"/>
    <w:rsid w:val="00DC75F5"/>
    <w:rsid w:val="00DC76FC"/>
    <w:rsid w:val="00DC771D"/>
    <w:rsid w:val="00DC7726"/>
    <w:rsid w:val="00DC776C"/>
    <w:rsid w:val="00DC7835"/>
    <w:rsid w:val="00DC78EC"/>
    <w:rsid w:val="00DC7916"/>
    <w:rsid w:val="00DC7A2E"/>
    <w:rsid w:val="00DC7B5C"/>
    <w:rsid w:val="00DC7E5B"/>
    <w:rsid w:val="00DD0183"/>
    <w:rsid w:val="00DD01C5"/>
    <w:rsid w:val="00DD0206"/>
    <w:rsid w:val="00DD039B"/>
    <w:rsid w:val="00DD03B3"/>
    <w:rsid w:val="00DD050D"/>
    <w:rsid w:val="00DD052D"/>
    <w:rsid w:val="00DD0A0F"/>
    <w:rsid w:val="00DD0A49"/>
    <w:rsid w:val="00DD0B4A"/>
    <w:rsid w:val="00DD0B63"/>
    <w:rsid w:val="00DD0C19"/>
    <w:rsid w:val="00DD0E76"/>
    <w:rsid w:val="00DD0ED8"/>
    <w:rsid w:val="00DD0F29"/>
    <w:rsid w:val="00DD0FB2"/>
    <w:rsid w:val="00DD0FE5"/>
    <w:rsid w:val="00DD10BD"/>
    <w:rsid w:val="00DD129D"/>
    <w:rsid w:val="00DD14BC"/>
    <w:rsid w:val="00DD15BF"/>
    <w:rsid w:val="00DD15D5"/>
    <w:rsid w:val="00DD1603"/>
    <w:rsid w:val="00DD174A"/>
    <w:rsid w:val="00DD1781"/>
    <w:rsid w:val="00DD1790"/>
    <w:rsid w:val="00DD17F2"/>
    <w:rsid w:val="00DD182B"/>
    <w:rsid w:val="00DD19FE"/>
    <w:rsid w:val="00DD1B0C"/>
    <w:rsid w:val="00DD1B12"/>
    <w:rsid w:val="00DD1BF1"/>
    <w:rsid w:val="00DD1CBB"/>
    <w:rsid w:val="00DD1CEE"/>
    <w:rsid w:val="00DD1CFF"/>
    <w:rsid w:val="00DD1D51"/>
    <w:rsid w:val="00DD1DAA"/>
    <w:rsid w:val="00DD1E30"/>
    <w:rsid w:val="00DD2115"/>
    <w:rsid w:val="00DD2281"/>
    <w:rsid w:val="00DD22BD"/>
    <w:rsid w:val="00DD22C0"/>
    <w:rsid w:val="00DD2457"/>
    <w:rsid w:val="00DD2483"/>
    <w:rsid w:val="00DD257D"/>
    <w:rsid w:val="00DD2586"/>
    <w:rsid w:val="00DD272D"/>
    <w:rsid w:val="00DD275E"/>
    <w:rsid w:val="00DD27BF"/>
    <w:rsid w:val="00DD27C9"/>
    <w:rsid w:val="00DD291C"/>
    <w:rsid w:val="00DD29A1"/>
    <w:rsid w:val="00DD2A25"/>
    <w:rsid w:val="00DD2A40"/>
    <w:rsid w:val="00DD2B26"/>
    <w:rsid w:val="00DD2BA1"/>
    <w:rsid w:val="00DD2C21"/>
    <w:rsid w:val="00DD2D3B"/>
    <w:rsid w:val="00DD2D8D"/>
    <w:rsid w:val="00DD2E02"/>
    <w:rsid w:val="00DD2FC1"/>
    <w:rsid w:val="00DD31F5"/>
    <w:rsid w:val="00DD3312"/>
    <w:rsid w:val="00DD373A"/>
    <w:rsid w:val="00DD3787"/>
    <w:rsid w:val="00DD3A02"/>
    <w:rsid w:val="00DD3AA7"/>
    <w:rsid w:val="00DD3B75"/>
    <w:rsid w:val="00DD3C72"/>
    <w:rsid w:val="00DD3FB2"/>
    <w:rsid w:val="00DD3FE3"/>
    <w:rsid w:val="00DD4071"/>
    <w:rsid w:val="00DD40DC"/>
    <w:rsid w:val="00DD4128"/>
    <w:rsid w:val="00DD4172"/>
    <w:rsid w:val="00DD41A8"/>
    <w:rsid w:val="00DD43AC"/>
    <w:rsid w:val="00DD44B9"/>
    <w:rsid w:val="00DD44E3"/>
    <w:rsid w:val="00DD451D"/>
    <w:rsid w:val="00DD453E"/>
    <w:rsid w:val="00DD454A"/>
    <w:rsid w:val="00DD4617"/>
    <w:rsid w:val="00DD4759"/>
    <w:rsid w:val="00DD4D8F"/>
    <w:rsid w:val="00DD4DA1"/>
    <w:rsid w:val="00DD4E93"/>
    <w:rsid w:val="00DD4EE7"/>
    <w:rsid w:val="00DD4F34"/>
    <w:rsid w:val="00DD4F59"/>
    <w:rsid w:val="00DD51DB"/>
    <w:rsid w:val="00DD52F0"/>
    <w:rsid w:val="00DD53ED"/>
    <w:rsid w:val="00DD55C0"/>
    <w:rsid w:val="00DD5601"/>
    <w:rsid w:val="00DD5619"/>
    <w:rsid w:val="00DD5637"/>
    <w:rsid w:val="00DD574B"/>
    <w:rsid w:val="00DD574F"/>
    <w:rsid w:val="00DD57AC"/>
    <w:rsid w:val="00DD5837"/>
    <w:rsid w:val="00DD592F"/>
    <w:rsid w:val="00DD598C"/>
    <w:rsid w:val="00DD5B6F"/>
    <w:rsid w:val="00DD5BBB"/>
    <w:rsid w:val="00DD5BDA"/>
    <w:rsid w:val="00DD5CA6"/>
    <w:rsid w:val="00DD5CE9"/>
    <w:rsid w:val="00DD5DB5"/>
    <w:rsid w:val="00DD5E82"/>
    <w:rsid w:val="00DD5F9B"/>
    <w:rsid w:val="00DD5FDA"/>
    <w:rsid w:val="00DD60A2"/>
    <w:rsid w:val="00DD6148"/>
    <w:rsid w:val="00DD62C8"/>
    <w:rsid w:val="00DD6379"/>
    <w:rsid w:val="00DD63AD"/>
    <w:rsid w:val="00DD63D1"/>
    <w:rsid w:val="00DD63EE"/>
    <w:rsid w:val="00DD64CC"/>
    <w:rsid w:val="00DD6519"/>
    <w:rsid w:val="00DD65E9"/>
    <w:rsid w:val="00DD6666"/>
    <w:rsid w:val="00DD6703"/>
    <w:rsid w:val="00DD675F"/>
    <w:rsid w:val="00DD682D"/>
    <w:rsid w:val="00DD69AA"/>
    <w:rsid w:val="00DD6B42"/>
    <w:rsid w:val="00DD6BAB"/>
    <w:rsid w:val="00DD6CC6"/>
    <w:rsid w:val="00DD6D56"/>
    <w:rsid w:val="00DD6D7B"/>
    <w:rsid w:val="00DD6EE6"/>
    <w:rsid w:val="00DD6F7D"/>
    <w:rsid w:val="00DD7028"/>
    <w:rsid w:val="00DD7088"/>
    <w:rsid w:val="00DD74CD"/>
    <w:rsid w:val="00DD7542"/>
    <w:rsid w:val="00DD765A"/>
    <w:rsid w:val="00DD76F0"/>
    <w:rsid w:val="00DD7722"/>
    <w:rsid w:val="00DD7864"/>
    <w:rsid w:val="00DD78AD"/>
    <w:rsid w:val="00DD78E7"/>
    <w:rsid w:val="00DD7B50"/>
    <w:rsid w:val="00DD7C0A"/>
    <w:rsid w:val="00DD7D5B"/>
    <w:rsid w:val="00DD7D69"/>
    <w:rsid w:val="00DD7D9E"/>
    <w:rsid w:val="00DD7DBD"/>
    <w:rsid w:val="00DD7F13"/>
    <w:rsid w:val="00DD7F28"/>
    <w:rsid w:val="00DD7F32"/>
    <w:rsid w:val="00DD7F42"/>
    <w:rsid w:val="00DE00C7"/>
    <w:rsid w:val="00DE0201"/>
    <w:rsid w:val="00DE020B"/>
    <w:rsid w:val="00DE02BD"/>
    <w:rsid w:val="00DE04AC"/>
    <w:rsid w:val="00DE0575"/>
    <w:rsid w:val="00DE05DC"/>
    <w:rsid w:val="00DE070B"/>
    <w:rsid w:val="00DE0798"/>
    <w:rsid w:val="00DE0960"/>
    <w:rsid w:val="00DE0961"/>
    <w:rsid w:val="00DE0A25"/>
    <w:rsid w:val="00DE0A69"/>
    <w:rsid w:val="00DE0AF4"/>
    <w:rsid w:val="00DE0C91"/>
    <w:rsid w:val="00DE0D50"/>
    <w:rsid w:val="00DE0DB4"/>
    <w:rsid w:val="00DE103D"/>
    <w:rsid w:val="00DE1064"/>
    <w:rsid w:val="00DE1296"/>
    <w:rsid w:val="00DE1398"/>
    <w:rsid w:val="00DE1470"/>
    <w:rsid w:val="00DE14EA"/>
    <w:rsid w:val="00DE1572"/>
    <w:rsid w:val="00DE1655"/>
    <w:rsid w:val="00DE16B8"/>
    <w:rsid w:val="00DE1749"/>
    <w:rsid w:val="00DE1929"/>
    <w:rsid w:val="00DE19A1"/>
    <w:rsid w:val="00DE1A0E"/>
    <w:rsid w:val="00DE1B6E"/>
    <w:rsid w:val="00DE1B92"/>
    <w:rsid w:val="00DE1BCF"/>
    <w:rsid w:val="00DE1C0E"/>
    <w:rsid w:val="00DE1C18"/>
    <w:rsid w:val="00DE1C5A"/>
    <w:rsid w:val="00DE1CCA"/>
    <w:rsid w:val="00DE1E40"/>
    <w:rsid w:val="00DE2061"/>
    <w:rsid w:val="00DE20A5"/>
    <w:rsid w:val="00DE2193"/>
    <w:rsid w:val="00DE2260"/>
    <w:rsid w:val="00DE2265"/>
    <w:rsid w:val="00DE24AC"/>
    <w:rsid w:val="00DE2869"/>
    <w:rsid w:val="00DE2A18"/>
    <w:rsid w:val="00DE2A87"/>
    <w:rsid w:val="00DE2A9C"/>
    <w:rsid w:val="00DE2AC5"/>
    <w:rsid w:val="00DE2BA9"/>
    <w:rsid w:val="00DE2BF5"/>
    <w:rsid w:val="00DE2D58"/>
    <w:rsid w:val="00DE2F87"/>
    <w:rsid w:val="00DE2F8F"/>
    <w:rsid w:val="00DE300E"/>
    <w:rsid w:val="00DE3024"/>
    <w:rsid w:val="00DE308D"/>
    <w:rsid w:val="00DE3195"/>
    <w:rsid w:val="00DE329A"/>
    <w:rsid w:val="00DE330F"/>
    <w:rsid w:val="00DE33F3"/>
    <w:rsid w:val="00DE3450"/>
    <w:rsid w:val="00DE34B8"/>
    <w:rsid w:val="00DE34D4"/>
    <w:rsid w:val="00DE351D"/>
    <w:rsid w:val="00DE3551"/>
    <w:rsid w:val="00DE356C"/>
    <w:rsid w:val="00DE3607"/>
    <w:rsid w:val="00DE366B"/>
    <w:rsid w:val="00DE3686"/>
    <w:rsid w:val="00DE3775"/>
    <w:rsid w:val="00DE38B4"/>
    <w:rsid w:val="00DE394B"/>
    <w:rsid w:val="00DE3A35"/>
    <w:rsid w:val="00DE3B97"/>
    <w:rsid w:val="00DE3BD8"/>
    <w:rsid w:val="00DE3D6D"/>
    <w:rsid w:val="00DE3DC2"/>
    <w:rsid w:val="00DE3DEB"/>
    <w:rsid w:val="00DE3F02"/>
    <w:rsid w:val="00DE4002"/>
    <w:rsid w:val="00DE407E"/>
    <w:rsid w:val="00DE409A"/>
    <w:rsid w:val="00DE41C7"/>
    <w:rsid w:val="00DE41F0"/>
    <w:rsid w:val="00DE421A"/>
    <w:rsid w:val="00DE4367"/>
    <w:rsid w:val="00DE43DA"/>
    <w:rsid w:val="00DE4461"/>
    <w:rsid w:val="00DE4641"/>
    <w:rsid w:val="00DE46B6"/>
    <w:rsid w:val="00DE470E"/>
    <w:rsid w:val="00DE493B"/>
    <w:rsid w:val="00DE496B"/>
    <w:rsid w:val="00DE4981"/>
    <w:rsid w:val="00DE4BEA"/>
    <w:rsid w:val="00DE4D32"/>
    <w:rsid w:val="00DE4EB7"/>
    <w:rsid w:val="00DE4EDA"/>
    <w:rsid w:val="00DE4F2E"/>
    <w:rsid w:val="00DE504B"/>
    <w:rsid w:val="00DE51A0"/>
    <w:rsid w:val="00DE51F3"/>
    <w:rsid w:val="00DE52E0"/>
    <w:rsid w:val="00DE5381"/>
    <w:rsid w:val="00DE5411"/>
    <w:rsid w:val="00DE55A6"/>
    <w:rsid w:val="00DE55D7"/>
    <w:rsid w:val="00DE560F"/>
    <w:rsid w:val="00DE5743"/>
    <w:rsid w:val="00DE5759"/>
    <w:rsid w:val="00DE57F8"/>
    <w:rsid w:val="00DE5ADF"/>
    <w:rsid w:val="00DE5B38"/>
    <w:rsid w:val="00DE5C5E"/>
    <w:rsid w:val="00DE5C78"/>
    <w:rsid w:val="00DE5CE3"/>
    <w:rsid w:val="00DE5DCB"/>
    <w:rsid w:val="00DE5E11"/>
    <w:rsid w:val="00DE5E1B"/>
    <w:rsid w:val="00DE5F7B"/>
    <w:rsid w:val="00DE617D"/>
    <w:rsid w:val="00DE61A5"/>
    <w:rsid w:val="00DE61D6"/>
    <w:rsid w:val="00DE623C"/>
    <w:rsid w:val="00DE6303"/>
    <w:rsid w:val="00DE6314"/>
    <w:rsid w:val="00DE64CE"/>
    <w:rsid w:val="00DE6617"/>
    <w:rsid w:val="00DE6654"/>
    <w:rsid w:val="00DE6753"/>
    <w:rsid w:val="00DE6757"/>
    <w:rsid w:val="00DE675F"/>
    <w:rsid w:val="00DE6794"/>
    <w:rsid w:val="00DE67D6"/>
    <w:rsid w:val="00DE69DE"/>
    <w:rsid w:val="00DE6A92"/>
    <w:rsid w:val="00DE6ACD"/>
    <w:rsid w:val="00DE6B43"/>
    <w:rsid w:val="00DE6B65"/>
    <w:rsid w:val="00DE6BDC"/>
    <w:rsid w:val="00DE6CB5"/>
    <w:rsid w:val="00DE6D15"/>
    <w:rsid w:val="00DE6D3D"/>
    <w:rsid w:val="00DE6E0E"/>
    <w:rsid w:val="00DE6F12"/>
    <w:rsid w:val="00DE6F7D"/>
    <w:rsid w:val="00DE6FB1"/>
    <w:rsid w:val="00DE7067"/>
    <w:rsid w:val="00DE716F"/>
    <w:rsid w:val="00DE71D2"/>
    <w:rsid w:val="00DE756B"/>
    <w:rsid w:val="00DE7590"/>
    <w:rsid w:val="00DE75F0"/>
    <w:rsid w:val="00DE76E3"/>
    <w:rsid w:val="00DE773D"/>
    <w:rsid w:val="00DE77A8"/>
    <w:rsid w:val="00DE792E"/>
    <w:rsid w:val="00DE798E"/>
    <w:rsid w:val="00DE799B"/>
    <w:rsid w:val="00DE7A10"/>
    <w:rsid w:val="00DE7B78"/>
    <w:rsid w:val="00DE7C0D"/>
    <w:rsid w:val="00DE7C14"/>
    <w:rsid w:val="00DE7C54"/>
    <w:rsid w:val="00DF0278"/>
    <w:rsid w:val="00DF034C"/>
    <w:rsid w:val="00DF03AF"/>
    <w:rsid w:val="00DF04E0"/>
    <w:rsid w:val="00DF0503"/>
    <w:rsid w:val="00DF055E"/>
    <w:rsid w:val="00DF0609"/>
    <w:rsid w:val="00DF0700"/>
    <w:rsid w:val="00DF087E"/>
    <w:rsid w:val="00DF0976"/>
    <w:rsid w:val="00DF0B29"/>
    <w:rsid w:val="00DF0BA8"/>
    <w:rsid w:val="00DF0CC1"/>
    <w:rsid w:val="00DF0D2F"/>
    <w:rsid w:val="00DF0DC6"/>
    <w:rsid w:val="00DF0E24"/>
    <w:rsid w:val="00DF0E79"/>
    <w:rsid w:val="00DF0E85"/>
    <w:rsid w:val="00DF0EF3"/>
    <w:rsid w:val="00DF0FE3"/>
    <w:rsid w:val="00DF10AE"/>
    <w:rsid w:val="00DF10FE"/>
    <w:rsid w:val="00DF112D"/>
    <w:rsid w:val="00DF11BB"/>
    <w:rsid w:val="00DF1218"/>
    <w:rsid w:val="00DF1254"/>
    <w:rsid w:val="00DF164F"/>
    <w:rsid w:val="00DF1694"/>
    <w:rsid w:val="00DF1766"/>
    <w:rsid w:val="00DF1911"/>
    <w:rsid w:val="00DF19ED"/>
    <w:rsid w:val="00DF19F6"/>
    <w:rsid w:val="00DF1A9D"/>
    <w:rsid w:val="00DF1AA5"/>
    <w:rsid w:val="00DF1C57"/>
    <w:rsid w:val="00DF1C58"/>
    <w:rsid w:val="00DF1E5C"/>
    <w:rsid w:val="00DF1E9A"/>
    <w:rsid w:val="00DF1F3A"/>
    <w:rsid w:val="00DF1FFD"/>
    <w:rsid w:val="00DF213D"/>
    <w:rsid w:val="00DF2176"/>
    <w:rsid w:val="00DF21C6"/>
    <w:rsid w:val="00DF2228"/>
    <w:rsid w:val="00DF232F"/>
    <w:rsid w:val="00DF234A"/>
    <w:rsid w:val="00DF2375"/>
    <w:rsid w:val="00DF23C4"/>
    <w:rsid w:val="00DF23F7"/>
    <w:rsid w:val="00DF2534"/>
    <w:rsid w:val="00DF25F8"/>
    <w:rsid w:val="00DF2723"/>
    <w:rsid w:val="00DF283F"/>
    <w:rsid w:val="00DF284C"/>
    <w:rsid w:val="00DF2AB5"/>
    <w:rsid w:val="00DF2B4E"/>
    <w:rsid w:val="00DF2BDE"/>
    <w:rsid w:val="00DF2C85"/>
    <w:rsid w:val="00DF2CAD"/>
    <w:rsid w:val="00DF2CE6"/>
    <w:rsid w:val="00DF2D8C"/>
    <w:rsid w:val="00DF2D95"/>
    <w:rsid w:val="00DF2ECA"/>
    <w:rsid w:val="00DF2EE7"/>
    <w:rsid w:val="00DF2F2A"/>
    <w:rsid w:val="00DF313B"/>
    <w:rsid w:val="00DF3148"/>
    <w:rsid w:val="00DF3197"/>
    <w:rsid w:val="00DF31FE"/>
    <w:rsid w:val="00DF32B8"/>
    <w:rsid w:val="00DF3447"/>
    <w:rsid w:val="00DF346F"/>
    <w:rsid w:val="00DF36F4"/>
    <w:rsid w:val="00DF3841"/>
    <w:rsid w:val="00DF3A55"/>
    <w:rsid w:val="00DF3AA1"/>
    <w:rsid w:val="00DF3D27"/>
    <w:rsid w:val="00DF3DDF"/>
    <w:rsid w:val="00DF3E2B"/>
    <w:rsid w:val="00DF3E58"/>
    <w:rsid w:val="00DF4051"/>
    <w:rsid w:val="00DF4069"/>
    <w:rsid w:val="00DF4131"/>
    <w:rsid w:val="00DF4236"/>
    <w:rsid w:val="00DF429E"/>
    <w:rsid w:val="00DF42F3"/>
    <w:rsid w:val="00DF4386"/>
    <w:rsid w:val="00DF459A"/>
    <w:rsid w:val="00DF45B7"/>
    <w:rsid w:val="00DF47A7"/>
    <w:rsid w:val="00DF49CE"/>
    <w:rsid w:val="00DF49E0"/>
    <w:rsid w:val="00DF4A9E"/>
    <w:rsid w:val="00DF4AD4"/>
    <w:rsid w:val="00DF4BE8"/>
    <w:rsid w:val="00DF4D41"/>
    <w:rsid w:val="00DF4F05"/>
    <w:rsid w:val="00DF4FB1"/>
    <w:rsid w:val="00DF5002"/>
    <w:rsid w:val="00DF51A3"/>
    <w:rsid w:val="00DF5324"/>
    <w:rsid w:val="00DF53AC"/>
    <w:rsid w:val="00DF5570"/>
    <w:rsid w:val="00DF57D1"/>
    <w:rsid w:val="00DF58D8"/>
    <w:rsid w:val="00DF5A15"/>
    <w:rsid w:val="00DF5A91"/>
    <w:rsid w:val="00DF5C1D"/>
    <w:rsid w:val="00DF5CD4"/>
    <w:rsid w:val="00DF5DB3"/>
    <w:rsid w:val="00DF5E17"/>
    <w:rsid w:val="00DF60EA"/>
    <w:rsid w:val="00DF6130"/>
    <w:rsid w:val="00DF6175"/>
    <w:rsid w:val="00DF61B7"/>
    <w:rsid w:val="00DF6284"/>
    <w:rsid w:val="00DF63F0"/>
    <w:rsid w:val="00DF64B3"/>
    <w:rsid w:val="00DF64C1"/>
    <w:rsid w:val="00DF659E"/>
    <w:rsid w:val="00DF663B"/>
    <w:rsid w:val="00DF6673"/>
    <w:rsid w:val="00DF67E3"/>
    <w:rsid w:val="00DF6A26"/>
    <w:rsid w:val="00DF6A83"/>
    <w:rsid w:val="00DF6A89"/>
    <w:rsid w:val="00DF6AB6"/>
    <w:rsid w:val="00DF6B20"/>
    <w:rsid w:val="00DF6C08"/>
    <w:rsid w:val="00DF6C24"/>
    <w:rsid w:val="00DF6CF9"/>
    <w:rsid w:val="00DF6D48"/>
    <w:rsid w:val="00DF6DE8"/>
    <w:rsid w:val="00DF6E5F"/>
    <w:rsid w:val="00DF6E74"/>
    <w:rsid w:val="00DF6ED0"/>
    <w:rsid w:val="00DF7035"/>
    <w:rsid w:val="00DF7118"/>
    <w:rsid w:val="00DF724F"/>
    <w:rsid w:val="00DF7264"/>
    <w:rsid w:val="00DF7328"/>
    <w:rsid w:val="00DF7329"/>
    <w:rsid w:val="00DF736C"/>
    <w:rsid w:val="00DF7692"/>
    <w:rsid w:val="00DF76DB"/>
    <w:rsid w:val="00DF7757"/>
    <w:rsid w:val="00DF783B"/>
    <w:rsid w:val="00DF7881"/>
    <w:rsid w:val="00DF7B97"/>
    <w:rsid w:val="00DF7BD0"/>
    <w:rsid w:val="00DF7D74"/>
    <w:rsid w:val="00DF7D7B"/>
    <w:rsid w:val="00DF7DDA"/>
    <w:rsid w:val="00DF7E11"/>
    <w:rsid w:val="00DF7E54"/>
    <w:rsid w:val="00DF7EB2"/>
    <w:rsid w:val="00DF7EC5"/>
    <w:rsid w:val="00DF7EF7"/>
    <w:rsid w:val="00DF7F5D"/>
    <w:rsid w:val="00E00031"/>
    <w:rsid w:val="00E00048"/>
    <w:rsid w:val="00E000F4"/>
    <w:rsid w:val="00E000FF"/>
    <w:rsid w:val="00E00120"/>
    <w:rsid w:val="00E001BB"/>
    <w:rsid w:val="00E0047C"/>
    <w:rsid w:val="00E004B0"/>
    <w:rsid w:val="00E0059D"/>
    <w:rsid w:val="00E00641"/>
    <w:rsid w:val="00E006DE"/>
    <w:rsid w:val="00E0073F"/>
    <w:rsid w:val="00E009C6"/>
    <w:rsid w:val="00E00A6C"/>
    <w:rsid w:val="00E00BF8"/>
    <w:rsid w:val="00E00C34"/>
    <w:rsid w:val="00E00C5E"/>
    <w:rsid w:val="00E00D09"/>
    <w:rsid w:val="00E00D22"/>
    <w:rsid w:val="00E00D45"/>
    <w:rsid w:val="00E00F43"/>
    <w:rsid w:val="00E0124B"/>
    <w:rsid w:val="00E013B6"/>
    <w:rsid w:val="00E01415"/>
    <w:rsid w:val="00E01608"/>
    <w:rsid w:val="00E01651"/>
    <w:rsid w:val="00E018A7"/>
    <w:rsid w:val="00E01902"/>
    <w:rsid w:val="00E019ED"/>
    <w:rsid w:val="00E01A1A"/>
    <w:rsid w:val="00E01A68"/>
    <w:rsid w:val="00E01AB0"/>
    <w:rsid w:val="00E01B03"/>
    <w:rsid w:val="00E01C61"/>
    <w:rsid w:val="00E01D69"/>
    <w:rsid w:val="00E01E02"/>
    <w:rsid w:val="00E01EF8"/>
    <w:rsid w:val="00E021CD"/>
    <w:rsid w:val="00E0224C"/>
    <w:rsid w:val="00E02258"/>
    <w:rsid w:val="00E022C6"/>
    <w:rsid w:val="00E02373"/>
    <w:rsid w:val="00E02517"/>
    <w:rsid w:val="00E02534"/>
    <w:rsid w:val="00E02618"/>
    <w:rsid w:val="00E0261A"/>
    <w:rsid w:val="00E026C3"/>
    <w:rsid w:val="00E026FB"/>
    <w:rsid w:val="00E02730"/>
    <w:rsid w:val="00E027B9"/>
    <w:rsid w:val="00E02844"/>
    <w:rsid w:val="00E0296E"/>
    <w:rsid w:val="00E02ACE"/>
    <w:rsid w:val="00E02AFE"/>
    <w:rsid w:val="00E02CD1"/>
    <w:rsid w:val="00E02CEB"/>
    <w:rsid w:val="00E02E8C"/>
    <w:rsid w:val="00E030CC"/>
    <w:rsid w:val="00E03332"/>
    <w:rsid w:val="00E033DC"/>
    <w:rsid w:val="00E03533"/>
    <w:rsid w:val="00E038E3"/>
    <w:rsid w:val="00E038ED"/>
    <w:rsid w:val="00E038FA"/>
    <w:rsid w:val="00E03A1B"/>
    <w:rsid w:val="00E03B44"/>
    <w:rsid w:val="00E03BFB"/>
    <w:rsid w:val="00E03C3E"/>
    <w:rsid w:val="00E03D0D"/>
    <w:rsid w:val="00E03D56"/>
    <w:rsid w:val="00E03EFC"/>
    <w:rsid w:val="00E03F82"/>
    <w:rsid w:val="00E04157"/>
    <w:rsid w:val="00E041CE"/>
    <w:rsid w:val="00E042C3"/>
    <w:rsid w:val="00E044C4"/>
    <w:rsid w:val="00E04535"/>
    <w:rsid w:val="00E045FF"/>
    <w:rsid w:val="00E04609"/>
    <w:rsid w:val="00E04636"/>
    <w:rsid w:val="00E04663"/>
    <w:rsid w:val="00E04695"/>
    <w:rsid w:val="00E04791"/>
    <w:rsid w:val="00E047CE"/>
    <w:rsid w:val="00E049D9"/>
    <w:rsid w:val="00E04B39"/>
    <w:rsid w:val="00E04B48"/>
    <w:rsid w:val="00E04C91"/>
    <w:rsid w:val="00E04D42"/>
    <w:rsid w:val="00E04D7F"/>
    <w:rsid w:val="00E04E51"/>
    <w:rsid w:val="00E04EDE"/>
    <w:rsid w:val="00E04F7A"/>
    <w:rsid w:val="00E05000"/>
    <w:rsid w:val="00E05051"/>
    <w:rsid w:val="00E0505E"/>
    <w:rsid w:val="00E05077"/>
    <w:rsid w:val="00E05137"/>
    <w:rsid w:val="00E05225"/>
    <w:rsid w:val="00E055B2"/>
    <w:rsid w:val="00E0580F"/>
    <w:rsid w:val="00E058A8"/>
    <w:rsid w:val="00E05934"/>
    <w:rsid w:val="00E05A4D"/>
    <w:rsid w:val="00E05A63"/>
    <w:rsid w:val="00E05A9C"/>
    <w:rsid w:val="00E05B06"/>
    <w:rsid w:val="00E05BAF"/>
    <w:rsid w:val="00E05C84"/>
    <w:rsid w:val="00E05CEB"/>
    <w:rsid w:val="00E05DF4"/>
    <w:rsid w:val="00E05EA5"/>
    <w:rsid w:val="00E05F6E"/>
    <w:rsid w:val="00E06045"/>
    <w:rsid w:val="00E06095"/>
    <w:rsid w:val="00E06103"/>
    <w:rsid w:val="00E061DA"/>
    <w:rsid w:val="00E061DF"/>
    <w:rsid w:val="00E061E9"/>
    <w:rsid w:val="00E063F7"/>
    <w:rsid w:val="00E06485"/>
    <w:rsid w:val="00E064FC"/>
    <w:rsid w:val="00E06626"/>
    <w:rsid w:val="00E06862"/>
    <w:rsid w:val="00E06939"/>
    <w:rsid w:val="00E06976"/>
    <w:rsid w:val="00E06994"/>
    <w:rsid w:val="00E069AC"/>
    <w:rsid w:val="00E06A33"/>
    <w:rsid w:val="00E06B21"/>
    <w:rsid w:val="00E06B70"/>
    <w:rsid w:val="00E06DFC"/>
    <w:rsid w:val="00E06F1F"/>
    <w:rsid w:val="00E06FFD"/>
    <w:rsid w:val="00E070EB"/>
    <w:rsid w:val="00E07119"/>
    <w:rsid w:val="00E07141"/>
    <w:rsid w:val="00E071A7"/>
    <w:rsid w:val="00E075AD"/>
    <w:rsid w:val="00E075BA"/>
    <w:rsid w:val="00E07750"/>
    <w:rsid w:val="00E07776"/>
    <w:rsid w:val="00E077B8"/>
    <w:rsid w:val="00E07869"/>
    <w:rsid w:val="00E07AA0"/>
    <w:rsid w:val="00E07BC4"/>
    <w:rsid w:val="00E07C38"/>
    <w:rsid w:val="00E07C50"/>
    <w:rsid w:val="00E07CDA"/>
    <w:rsid w:val="00E07DE5"/>
    <w:rsid w:val="00E07EA2"/>
    <w:rsid w:val="00E07EDC"/>
    <w:rsid w:val="00E100C8"/>
    <w:rsid w:val="00E10121"/>
    <w:rsid w:val="00E101F8"/>
    <w:rsid w:val="00E102B4"/>
    <w:rsid w:val="00E10415"/>
    <w:rsid w:val="00E1046E"/>
    <w:rsid w:val="00E10483"/>
    <w:rsid w:val="00E104ED"/>
    <w:rsid w:val="00E105B8"/>
    <w:rsid w:val="00E1061D"/>
    <w:rsid w:val="00E106C7"/>
    <w:rsid w:val="00E106F2"/>
    <w:rsid w:val="00E1084D"/>
    <w:rsid w:val="00E1086A"/>
    <w:rsid w:val="00E108A1"/>
    <w:rsid w:val="00E1092B"/>
    <w:rsid w:val="00E10BA1"/>
    <w:rsid w:val="00E10DE0"/>
    <w:rsid w:val="00E11036"/>
    <w:rsid w:val="00E11064"/>
    <w:rsid w:val="00E11198"/>
    <w:rsid w:val="00E112E7"/>
    <w:rsid w:val="00E11417"/>
    <w:rsid w:val="00E114AA"/>
    <w:rsid w:val="00E114DE"/>
    <w:rsid w:val="00E11708"/>
    <w:rsid w:val="00E11840"/>
    <w:rsid w:val="00E118E4"/>
    <w:rsid w:val="00E11924"/>
    <w:rsid w:val="00E1192F"/>
    <w:rsid w:val="00E119CC"/>
    <w:rsid w:val="00E11A00"/>
    <w:rsid w:val="00E11B8F"/>
    <w:rsid w:val="00E11C71"/>
    <w:rsid w:val="00E11C83"/>
    <w:rsid w:val="00E11E06"/>
    <w:rsid w:val="00E11E4A"/>
    <w:rsid w:val="00E11F0C"/>
    <w:rsid w:val="00E11F22"/>
    <w:rsid w:val="00E11FAE"/>
    <w:rsid w:val="00E1203A"/>
    <w:rsid w:val="00E1206F"/>
    <w:rsid w:val="00E12128"/>
    <w:rsid w:val="00E122DA"/>
    <w:rsid w:val="00E12314"/>
    <w:rsid w:val="00E12425"/>
    <w:rsid w:val="00E12581"/>
    <w:rsid w:val="00E12696"/>
    <w:rsid w:val="00E12794"/>
    <w:rsid w:val="00E127DC"/>
    <w:rsid w:val="00E12A55"/>
    <w:rsid w:val="00E12C1B"/>
    <w:rsid w:val="00E12D57"/>
    <w:rsid w:val="00E1303B"/>
    <w:rsid w:val="00E1305B"/>
    <w:rsid w:val="00E1307D"/>
    <w:rsid w:val="00E13083"/>
    <w:rsid w:val="00E1316A"/>
    <w:rsid w:val="00E131C4"/>
    <w:rsid w:val="00E13272"/>
    <w:rsid w:val="00E13464"/>
    <w:rsid w:val="00E13497"/>
    <w:rsid w:val="00E13560"/>
    <w:rsid w:val="00E136EC"/>
    <w:rsid w:val="00E1373D"/>
    <w:rsid w:val="00E137D1"/>
    <w:rsid w:val="00E137F4"/>
    <w:rsid w:val="00E13828"/>
    <w:rsid w:val="00E138EF"/>
    <w:rsid w:val="00E13966"/>
    <w:rsid w:val="00E13A18"/>
    <w:rsid w:val="00E13A6E"/>
    <w:rsid w:val="00E13B23"/>
    <w:rsid w:val="00E13BB3"/>
    <w:rsid w:val="00E13BCB"/>
    <w:rsid w:val="00E13E89"/>
    <w:rsid w:val="00E13F28"/>
    <w:rsid w:val="00E14152"/>
    <w:rsid w:val="00E14153"/>
    <w:rsid w:val="00E142EF"/>
    <w:rsid w:val="00E14694"/>
    <w:rsid w:val="00E14708"/>
    <w:rsid w:val="00E14794"/>
    <w:rsid w:val="00E1486E"/>
    <w:rsid w:val="00E14974"/>
    <w:rsid w:val="00E14AB3"/>
    <w:rsid w:val="00E14E92"/>
    <w:rsid w:val="00E14EE8"/>
    <w:rsid w:val="00E15120"/>
    <w:rsid w:val="00E152C1"/>
    <w:rsid w:val="00E153BC"/>
    <w:rsid w:val="00E153FF"/>
    <w:rsid w:val="00E15409"/>
    <w:rsid w:val="00E154A0"/>
    <w:rsid w:val="00E154B9"/>
    <w:rsid w:val="00E155ED"/>
    <w:rsid w:val="00E1569F"/>
    <w:rsid w:val="00E156F7"/>
    <w:rsid w:val="00E15AC4"/>
    <w:rsid w:val="00E15B1C"/>
    <w:rsid w:val="00E15BC2"/>
    <w:rsid w:val="00E15C2B"/>
    <w:rsid w:val="00E15C8D"/>
    <w:rsid w:val="00E15CB5"/>
    <w:rsid w:val="00E1604C"/>
    <w:rsid w:val="00E16056"/>
    <w:rsid w:val="00E161BA"/>
    <w:rsid w:val="00E162A7"/>
    <w:rsid w:val="00E16382"/>
    <w:rsid w:val="00E1646F"/>
    <w:rsid w:val="00E1647E"/>
    <w:rsid w:val="00E164D5"/>
    <w:rsid w:val="00E164F7"/>
    <w:rsid w:val="00E1655F"/>
    <w:rsid w:val="00E165A8"/>
    <w:rsid w:val="00E16682"/>
    <w:rsid w:val="00E167A5"/>
    <w:rsid w:val="00E167BE"/>
    <w:rsid w:val="00E1681C"/>
    <w:rsid w:val="00E1686C"/>
    <w:rsid w:val="00E168B1"/>
    <w:rsid w:val="00E168E2"/>
    <w:rsid w:val="00E168F3"/>
    <w:rsid w:val="00E16916"/>
    <w:rsid w:val="00E16948"/>
    <w:rsid w:val="00E16B45"/>
    <w:rsid w:val="00E16B7B"/>
    <w:rsid w:val="00E16C3B"/>
    <w:rsid w:val="00E16CEA"/>
    <w:rsid w:val="00E16D04"/>
    <w:rsid w:val="00E16D78"/>
    <w:rsid w:val="00E16EE8"/>
    <w:rsid w:val="00E16F5C"/>
    <w:rsid w:val="00E16FD9"/>
    <w:rsid w:val="00E1700D"/>
    <w:rsid w:val="00E1704F"/>
    <w:rsid w:val="00E170AE"/>
    <w:rsid w:val="00E1718E"/>
    <w:rsid w:val="00E172EE"/>
    <w:rsid w:val="00E17371"/>
    <w:rsid w:val="00E17474"/>
    <w:rsid w:val="00E17499"/>
    <w:rsid w:val="00E1749B"/>
    <w:rsid w:val="00E17537"/>
    <w:rsid w:val="00E1766D"/>
    <w:rsid w:val="00E177BB"/>
    <w:rsid w:val="00E17811"/>
    <w:rsid w:val="00E178B0"/>
    <w:rsid w:val="00E17971"/>
    <w:rsid w:val="00E17994"/>
    <w:rsid w:val="00E17A8B"/>
    <w:rsid w:val="00E17A96"/>
    <w:rsid w:val="00E17B0C"/>
    <w:rsid w:val="00E17BDD"/>
    <w:rsid w:val="00E17CA3"/>
    <w:rsid w:val="00E17CC8"/>
    <w:rsid w:val="00E17DD4"/>
    <w:rsid w:val="00E17E02"/>
    <w:rsid w:val="00E17E54"/>
    <w:rsid w:val="00E2001C"/>
    <w:rsid w:val="00E20044"/>
    <w:rsid w:val="00E20150"/>
    <w:rsid w:val="00E2015A"/>
    <w:rsid w:val="00E20337"/>
    <w:rsid w:val="00E2039C"/>
    <w:rsid w:val="00E204E9"/>
    <w:rsid w:val="00E2058B"/>
    <w:rsid w:val="00E2059F"/>
    <w:rsid w:val="00E20692"/>
    <w:rsid w:val="00E20996"/>
    <w:rsid w:val="00E20A76"/>
    <w:rsid w:val="00E20BB2"/>
    <w:rsid w:val="00E20CAB"/>
    <w:rsid w:val="00E20D75"/>
    <w:rsid w:val="00E20D7A"/>
    <w:rsid w:val="00E20E0C"/>
    <w:rsid w:val="00E20E7E"/>
    <w:rsid w:val="00E20F4D"/>
    <w:rsid w:val="00E20FB6"/>
    <w:rsid w:val="00E21030"/>
    <w:rsid w:val="00E21058"/>
    <w:rsid w:val="00E21062"/>
    <w:rsid w:val="00E210E6"/>
    <w:rsid w:val="00E21178"/>
    <w:rsid w:val="00E2134B"/>
    <w:rsid w:val="00E213E0"/>
    <w:rsid w:val="00E21716"/>
    <w:rsid w:val="00E21722"/>
    <w:rsid w:val="00E217C8"/>
    <w:rsid w:val="00E219EA"/>
    <w:rsid w:val="00E21AB3"/>
    <w:rsid w:val="00E21AD6"/>
    <w:rsid w:val="00E21AEF"/>
    <w:rsid w:val="00E21B1F"/>
    <w:rsid w:val="00E21B30"/>
    <w:rsid w:val="00E21BD1"/>
    <w:rsid w:val="00E21C01"/>
    <w:rsid w:val="00E21C70"/>
    <w:rsid w:val="00E21D1D"/>
    <w:rsid w:val="00E21E26"/>
    <w:rsid w:val="00E21FB5"/>
    <w:rsid w:val="00E22191"/>
    <w:rsid w:val="00E22779"/>
    <w:rsid w:val="00E2278E"/>
    <w:rsid w:val="00E22A56"/>
    <w:rsid w:val="00E22ACA"/>
    <w:rsid w:val="00E22AE6"/>
    <w:rsid w:val="00E22B67"/>
    <w:rsid w:val="00E22BDE"/>
    <w:rsid w:val="00E22C13"/>
    <w:rsid w:val="00E22C3A"/>
    <w:rsid w:val="00E22C78"/>
    <w:rsid w:val="00E22C84"/>
    <w:rsid w:val="00E22D73"/>
    <w:rsid w:val="00E22D9A"/>
    <w:rsid w:val="00E22E4E"/>
    <w:rsid w:val="00E22FCC"/>
    <w:rsid w:val="00E230B5"/>
    <w:rsid w:val="00E230F8"/>
    <w:rsid w:val="00E234FF"/>
    <w:rsid w:val="00E23571"/>
    <w:rsid w:val="00E235A9"/>
    <w:rsid w:val="00E235D7"/>
    <w:rsid w:val="00E2361D"/>
    <w:rsid w:val="00E23828"/>
    <w:rsid w:val="00E2392D"/>
    <w:rsid w:val="00E23938"/>
    <w:rsid w:val="00E239D6"/>
    <w:rsid w:val="00E239E7"/>
    <w:rsid w:val="00E23AD2"/>
    <w:rsid w:val="00E23B63"/>
    <w:rsid w:val="00E23D8C"/>
    <w:rsid w:val="00E23DC5"/>
    <w:rsid w:val="00E23E1E"/>
    <w:rsid w:val="00E23EB7"/>
    <w:rsid w:val="00E24026"/>
    <w:rsid w:val="00E2404E"/>
    <w:rsid w:val="00E24123"/>
    <w:rsid w:val="00E2412B"/>
    <w:rsid w:val="00E24377"/>
    <w:rsid w:val="00E2445E"/>
    <w:rsid w:val="00E244F2"/>
    <w:rsid w:val="00E24690"/>
    <w:rsid w:val="00E246A9"/>
    <w:rsid w:val="00E2486A"/>
    <w:rsid w:val="00E2490F"/>
    <w:rsid w:val="00E24923"/>
    <w:rsid w:val="00E24AC7"/>
    <w:rsid w:val="00E24B49"/>
    <w:rsid w:val="00E24C1A"/>
    <w:rsid w:val="00E24DD3"/>
    <w:rsid w:val="00E24FE1"/>
    <w:rsid w:val="00E24FF5"/>
    <w:rsid w:val="00E25233"/>
    <w:rsid w:val="00E25263"/>
    <w:rsid w:val="00E25463"/>
    <w:rsid w:val="00E2565E"/>
    <w:rsid w:val="00E2587E"/>
    <w:rsid w:val="00E258FB"/>
    <w:rsid w:val="00E259E0"/>
    <w:rsid w:val="00E25A23"/>
    <w:rsid w:val="00E25A87"/>
    <w:rsid w:val="00E25AF9"/>
    <w:rsid w:val="00E25B5F"/>
    <w:rsid w:val="00E25BA0"/>
    <w:rsid w:val="00E25CE9"/>
    <w:rsid w:val="00E25EAB"/>
    <w:rsid w:val="00E26007"/>
    <w:rsid w:val="00E26062"/>
    <w:rsid w:val="00E262E1"/>
    <w:rsid w:val="00E263B7"/>
    <w:rsid w:val="00E263F5"/>
    <w:rsid w:val="00E26423"/>
    <w:rsid w:val="00E2644E"/>
    <w:rsid w:val="00E264A6"/>
    <w:rsid w:val="00E26518"/>
    <w:rsid w:val="00E26676"/>
    <w:rsid w:val="00E266B1"/>
    <w:rsid w:val="00E266DD"/>
    <w:rsid w:val="00E2672A"/>
    <w:rsid w:val="00E269D7"/>
    <w:rsid w:val="00E26A96"/>
    <w:rsid w:val="00E26B04"/>
    <w:rsid w:val="00E26BF0"/>
    <w:rsid w:val="00E26D1E"/>
    <w:rsid w:val="00E26DF6"/>
    <w:rsid w:val="00E26E3E"/>
    <w:rsid w:val="00E26EE9"/>
    <w:rsid w:val="00E26F06"/>
    <w:rsid w:val="00E26FEE"/>
    <w:rsid w:val="00E270D1"/>
    <w:rsid w:val="00E27186"/>
    <w:rsid w:val="00E274E5"/>
    <w:rsid w:val="00E2758E"/>
    <w:rsid w:val="00E2775E"/>
    <w:rsid w:val="00E2777F"/>
    <w:rsid w:val="00E277A6"/>
    <w:rsid w:val="00E2782D"/>
    <w:rsid w:val="00E2791B"/>
    <w:rsid w:val="00E27983"/>
    <w:rsid w:val="00E279BD"/>
    <w:rsid w:val="00E27AB2"/>
    <w:rsid w:val="00E27AD8"/>
    <w:rsid w:val="00E27B0A"/>
    <w:rsid w:val="00E27B8E"/>
    <w:rsid w:val="00E27C15"/>
    <w:rsid w:val="00E27C70"/>
    <w:rsid w:val="00E27D72"/>
    <w:rsid w:val="00E27DC7"/>
    <w:rsid w:val="00E27EF8"/>
    <w:rsid w:val="00E27F48"/>
    <w:rsid w:val="00E30078"/>
    <w:rsid w:val="00E30089"/>
    <w:rsid w:val="00E303B2"/>
    <w:rsid w:val="00E303EB"/>
    <w:rsid w:val="00E30445"/>
    <w:rsid w:val="00E30741"/>
    <w:rsid w:val="00E307FE"/>
    <w:rsid w:val="00E3082C"/>
    <w:rsid w:val="00E30871"/>
    <w:rsid w:val="00E3097A"/>
    <w:rsid w:val="00E309F3"/>
    <w:rsid w:val="00E30AC7"/>
    <w:rsid w:val="00E30B10"/>
    <w:rsid w:val="00E30B79"/>
    <w:rsid w:val="00E30D5E"/>
    <w:rsid w:val="00E30EAA"/>
    <w:rsid w:val="00E30EBA"/>
    <w:rsid w:val="00E30F8F"/>
    <w:rsid w:val="00E31068"/>
    <w:rsid w:val="00E31181"/>
    <w:rsid w:val="00E31342"/>
    <w:rsid w:val="00E31717"/>
    <w:rsid w:val="00E317D3"/>
    <w:rsid w:val="00E3185A"/>
    <w:rsid w:val="00E3186F"/>
    <w:rsid w:val="00E318F1"/>
    <w:rsid w:val="00E31944"/>
    <w:rsid w:val="00E31A4C"/>
    <w:rsid w:val="00E31AC6"/>
    <w:rsid w:val="00E31B16"/>
    <w:rsid w:val="00E31BF3"/>
    <w:rsid w:val="00E31CCC"/>
    <w:rsid w:val="00E31E19"/>
    <w:rsid w:val="00E31F3C"/>
    <w:rsid w:val="00E32115"/>
    <w:rsid w:val="00E3211E"/>
    <w:rsid w:val="00E32143"/>
    <w:rsid w:val="00E3216D"/>
    <w:rsid w:val="00E32184"/>
    <w:rsid w:val="00E3220E"/>
    <w:rsid w:val="00E3226A"/>
    <w:rsid w:val="00E3230A"/>
    <w:rsid w:val="00E32370"/>
    <w:rsid w:val="00E32389"/>
    <w:rsid w:val="00E3239F"/>
    <w:rsid w:val="00E323BF"/>
    <w:rsid w:val="00E323ED"/>
    <w:rsid w:val="00E32548"/>
    <w:rsid w:val="00E32703"/>
    <w:rsid w:val="00E32992"/>
    <w:rsid w:val="00E32A16"/>
    <w:rsid w:val="00E32BC3"/>
    <w:rsid w:val="00E32C65"/>
    <w:rsid w:val="00E32DB1"/>
    <w:rsid w:val="00E32FAB"/>
    <w:rsid w:val="00E3304E"/>
    <w:rsid w:val="00E330CC"/>
    <w:rsid w:val="00E3312D"/>
    <w:rsid w:val="00E332DD"/>
    <w:rsid w:val="00E33557"/>
    <w:rsid w:val="00E335EA"/>
    <w:rsid w:val="00E33621"/>
    <w:rsid w:val="00E336EA"/>
    <w:rsid w:val="00E336FB"/>
    <w:rsid w:val="00E33747"/>
    <w:rsid w:val="00E338C2"/>
    <w:rsid w:val="00E339C2"/>
    <w:rsid w:val="00E33A4C"/>
    <w:rsid w:val="00E33BBD"/>
    <w:rsid w:val="00E33BCB"/>
    <w:rsid w:val="00E33E57"/>
    <w:rsid w:val="00E33FB4"/>
    <w:rsid w:val="00E33FF7"/>
    <w:rsid w:val="00E34021"/>
    <w:rsid w:val="00E3409D"/>
    <w:rsid w:val="00E340FA"/>
    <w:rsid w:val="00E3418E"/>
    <w:rsid w:val="00E341A7"/>
    <w:rsid w:val="00E341EF"/>
    <w:rsid w:val="00E3438A"/>
    <w:rsid w:val="00E34396"/>
    <w:rsid w:val="00E34688"/>
    <w:rsid w:val="00E34943"/>
    <w:rsid w:val="00E34A5A"/>
    <w:rsid w:val="00E34D47"/>
    <w:rsid w:val="00E34E2F"/>
    <w:rsid w:val="00E34ED2"/>
    <w:rsid w:val="00E3501E"/>
    <w:rsid w:val="00E35061"/>
    <w:rsid w:val="00E350C0"/>
    <w:rsid w:val="00E35141"/>
    <w:rsid w:val="00E35173"/>
    <w:rsid w:val="00E352B3"/>
    <w:rsid w:val="00E352FD"/>
    <w:rsid w:val="00E35335"/>
    <w:rsid w:val="00E353B6"/>
    <w:rsid w:val="00E353D8"/>
    <w:rsid w:val="00E35412"/>
    <w:rsid w:val="00E35413"/>
    <w:rsid w:val="00E35464"/>
    <w:rsid w:val="00E354FC"/>
    <w:rsid w:val="00E3550E"/>
    <w:rsid w:val="00E3570A"/>
    <w:rsid w:val="00E35911"/>
    <w:rsid w:val="00E35C43"/>
    <w:rsid w:val="00E35CAB"/>
    <w:rsid w:val="00E35D04"/>
    <w:rsid w:val="00E35F88"/>
    <w:rsid w:val="00E3601D"/>
    <w:rsid w:val="00E36021"/>
    <w:rsid w:val="00E360CA"/>
    <w:rsid w:val="00E36198"/>
    <w:rsid w:val="00E361FA"/>
    <w:rsid w:val="00E36238"/>
    <w:rsid w:val="00E36274"/>
    <w:rsid w:val="00E36321"/>
    <w:rsid w:val="00E3664A"/>
    <w:rsid w:val="00E36667"/>
    <w:rsid w:val="00E36693"/>
    <w:rsid w:val="00E3674A"/>
    <w:rsid w:val="00E3686D"/>
    <w:rsid w:val="00E36A2C"/>
    <w:rsid w:val="00E36AB6"/>
    <w:rsid w:val="00E36ACF"/>
    <w:rsid w:val="00E36AEE"/>
    <w:rsid w:val="00E36AF0"/>
    <w:rsid w:val="00E36B2B"/>
    <w:rsid w:val="00E36BE1"/>
    <w:rsid w:val="00E36C6B"/>
    <w:rsid w:val="00E36CC3"/>
    <w:rsid w:val="00E36CEF"/>
    <w:rsid w:val="00E36D40"/>
    <w:rsid w:val="00E36DD4"/>
    <w:rsid w:val="00E36DFF"/>
    <w:rsid w:val="00E36E02"/>
    <w:rsid w:val="00E36EBC"/>
    <w:rsid w:val="00E36EC6"/>
    <w:rsid w:val="00E36ED4"/>
    <w:rsid w:val="00E36F19"/>
    <w:rsid w:val="00E36FCF"/>
    <w:rsid w:val="00E37079"/>
    <w:rsid w:val="00E37085"/>
    <w:rsid w:val="00E37132"/>
    <w:rsid w:val="00E37165"/>
    <w:rsid w:val="00E37170"/>
    <w:rsid w:val="00E37257"/>
    <w:rsid w:val="00E3738F"/>
    <w:rsid w:val="00E373DB"/>
    <w:rsid w:val="00E373E2"/>
    <w:rsid w:val="00E37418"/>
    <w:rsid w:val="00E37515"/>
    <w:rsid w:val="00E37552"/>
    <w:rsid w:val="00E375D8"/>
    <w:rsid w:val="00E37739"/>
    <w:rsid w:val="00E37787"/>
    <w:rsid w:val="00E37796"/>
    <w:rsid w:val="00E37870"/>
    <w:rsid w:val="00E37908"/>
    <w:rsid w:val="00E379C9"/>
    <w:rsid w:val="00E37C05"/>
    <w:rsid w:val="00E37C34"/>
    <w:rsid w:val="00E37CC0"/>
    <w:rsid w:val="00E37E3D"/>
    <w:rsid w:val="00E37EBE"/>
    <w:rsid w:val="00E37FF8"/>
    <w:rsid w:val="00E400D5"/>
    <w:rsid w:val="00E4014B"/>
    <w:rsid w:val="00E401D8"/>
    <w:rsid w:val="00E40261"/>
    <w:rsid w:val="00E40303"/>
    <w:rsid w:val="00E40343"/>
    <w:rsid w:val="00E40381"/>
    <w:rsid w:val="00E404C5"/>
    <w:rsid w:val="00E4067F"/>
    <w:rsid w:val="00E40853"/>
    <w:rsid w:val="00E4098A"/>
    <w:rsid w:val="00E40A0E"/>
    <w:rsid w:val="00E40A3F"/>
    <w:rsid w:val="00E40A44"/>
    <w:rsid w:val="00E40A9D"/>
    <w:rsid w:val="00E40C0D"/>
    <w:rsid w:val="00E40C63"/>
    <w:rsid w:val="00E40E41"/>
    <w:rsid w:val="00E40E5D"/>
    <w:rsid w:val="00E410D2"/>
    <w:rsid w:val="00E411B9"/>
    <w:rsid w:val="00E411E4"/>
    <w:rsid w:val="00E4128D"/>
    <w:rsid w:val="00E413E7"/>
    <w:rsid w:val="00E416B2"/>
    <w:rsid w:val="00E416D0"/>
    <w:rsid w:val="00E417AE"/>
    <w:rsid w:val="00E418E5"/>
    <w:rsid w:val="00E4199E"/>
    <w:rsid w:val="00E419FE"/>
    <w:rsid w:val="00E41B1B"/>
    <w:rsid w:val="00E41B23"/>
    <w:rsid w:val="00E41B66"/>
    <w:rsid w:val="00E41C0D"/>
    <w:rsid w:val="00E41D7E"/>
    <w:rsid w:val="00E41E43"/>
    <w:rsid w:val="00E41F0E"/>
    <w:rsid w:val="00E4203F"/>
    <w:rsid w:val="00E42061"/>
    <w:rsid w:val="00E4209D"/>
    <w:rsid w:val="00E421BF"/>
    <w:rsid w:val="00E423DC"/>
    <w:rsid w:val="00E42479"/>
    <w:rsid w:val="00E42655"/>
    <w:rsid w:val="00E426D0"/>
    <w:rsid w:val="00E4270D"/>
    <w:rsid w:val="00E42731"/>
    <w:rsid w:val="00E42772"/>
    <w:rsid w:val="00E42826"/>
    <w:rsid w:val="00E428A7"/>
    <w:rsid w:val="00E428B0"/>
    <w:rsid w:val="00E42A44"/>
    <w:rsid w:val="00E42C60"/>
    <w:rsid w:val="00E42DA0"/>
    <w:rsid w:val="00E42FBB"/>
    <w:rsid w:val="00E43232"/>
    <w:rsid w:val="00E4323E"/>
    <w:rsid w:val="00E43243"/>
    <w:rsid w:val="00E4326C"/>
    <w:rsid w:val="00E434E4"/>
    <w:rsid w:val="00E43533"/>
    <w:rsid w:val="00E436B9"/>
    <w:rsid w:val="00E43839"/>
    <w:rsid w:val="00E4385D"/>
    <w:rsid w:val="00E43907"/>
    <w:rsid w:val="00E43934"/>
    <w:rsid w:val="00E43970"/>
    <w:rsid w:val="00E43A91"/>
    <w:rsid w:val="00E43AD0"/>
    <w:rsid w:val="00E43B00"/>
    <w:rsid w:val="00E43B56"/>
    <w:rsid w:val="00E43B6C"/>
    <w:rsid w:val="00E43BE2"/>
    <w:rsid w:val="00E43D6C"/>
    <w:rsid w:val="00E43ECE"/>
    <w:rsid w:val="00E43F1A"/>
    <w:rsid w:val="00E43F9C"/>
    <w:rsid w:val="00E4413D"/>
    <w:rsid w:val="00E4445C"/>
    <w:rsid w:val="00E4447D"/>
    <w:rsid w:val="00E445A9"/>
    <w:rsid w:val="00E445C4"/>
    <w:rsid w:val="00E445DA"/>
    <w:rsid w:val="00E44828"/>
    <w:rsid w:val="00E44887"/>
    <w:rsid w:val="00E4489A"/>
    <w:rsid w:val="00E448EF"/>
    <w:rsid w:val="00E44A47"/>
    <w:rsid w:val="00E44AA8"/>
    <w:rsid w:val="00E44AE0"/>
    <w:rsid w:val="00E44BA2"/>
    <w:rsid w:val="00E44BFA"/>
    <w:rsid w:val="00E44BFE"/>
    <w:rsid w:val="00E44DA9"/>
    <w:rsid w:val="00E44F96"/>
    <w:rsid w:val="00E44FE4"/>
    <w:rsid w:val="00E4500F"/>
    <w:rsid w:val="00E450AC"/>
    <w:rsid w:val="00E450F5"/>
    <w:rsid w:val="00E4514E"/>
    <w:rsid w:val="00E45212"/>
    <w:rsid w:val="00E45234"/>
    <w:rsid w:val="00E453A1"/>
    <w:rsid w:val="00E453A7"/>
    <w:rsid w:val="00E45447"/>
    <w:rsid w:val="00E454F3"/>
    <w:rsid w:val="00E45501"/>
    <w:rsid w:val="00E45514"/>
    <w:rsid w:val="00E455BB"/>
    <w:rsid w:val="00E456EF"/>
    <w:rsid w:val="00E45856"/>
    <w:rsid w:val="00E45C24"/>
    <w:rsid w:val="00E45C3C"/>
    <w:rsid w:val="00E45C84"/>
    <w:rsid w:val="00E45D1D"/>
    <w:rsid w:val="00E45E6E"/>
    <w:rsid w:val="00E45EF3"/>
    <w:rsid w:val="00E460C8"/>
    <w:rsid w:val="00E460FC"/>
    <w:rsid w:val="00E462B2"/>
    <w:rsid w:val="00E462E5"/>
    <w:rsid w:val="00E462F6"/>
    <w:rsid w:val="00E46405"/>
    <w:rsid w:val="00E46428"/>
    <w:rsid w:val="00E46471"/>
    <w:rsid w:val="00E46514"/>
    <w:rsid w:val="00E46585"/>
    <w:rsid w:val="00E4664F"/>
    <w:rsid w:val="00E4685E"/>
    <w:rsid w:val="00E468B3"/>
    <w:rsid w:val="00E468BC"/>
    <w:rsid w:val="00E46BE8"/>
    <w:rsid w:val="00E46E20"/>
    <w:rsid w:val="00E46E27"/>
    <w:rsid w:val="00E46F02"/>
    <w:rsid w:val="00E46F2B"/>
    <w:rsid w:val="00E47033"/>
    <w:rsid w:val="00E470FF"/>
    <w:rsid w:val="00E4711E"/>
    <w:rsid w:val="00E47180"/>
    <w:rsid w:val="00E472D5"/>
    <w:rsid w:val="00E473F0"/>
    <w:rsid w:val="00E475A6"/>
    <w:rsid w:val="00E475E8"/>
    <w:rsid w:val="00E4766F"/>
    <w:rsid w:val="00E4768A"/>
    <w:rsid w:val="00E476C6"/>
    <w:rsid w:val="00E47746"/>
    <w:rsid w:val="00E4778A"/>
    <w:rsid w:val="00E47CA2"/>
    <w:rsid w:val="00E47CA7"/>
    <w:rsid w:val="00E47E59"/>
    <w:rsid w:val="00E47F76"/>
    <w:rsid w:val="00E50009"/>
    <w:rsid w:val="00E501C0"/>
    <w:rsid w:val="00E5020E"/>
    <w:rsid w:val="00E50238"/>
    <w:rsid w:val="00E502DA"/>
    <w:rsid w:val="00E503F5"/>
    <w:rsid w:val="00E503FC"/>
    <w:rsid w:val="00E50491"/>
    <w:rsid w:val="00E504C2"/>
    <w:rsid w:val="00E506B2"/>
    <w:rsid w:val="00E50839"/>
    <w:rsid w:val="00E508A4"/>
    <w:rsid w:val="00E50978"/>
    <w:rsid w:val="00E509BD"/>
    <w:rsid w:val="00E509DD"/>
    <w:rsid w:val="00E50B51"/>
    <w:rsid w:val="00E50BCC"/>
    <w:rsid w:val="00E50CD0"/>
    <w:rsid w:val="00E50D5B"/>
    <w:rsid w:val="00E50F64"/>
    <w:rsid w:val="00E50F67"/>
    <w:rsid w:val="00E5102F"/>
    <w:rsid w:val="00E5104E"/>
    <w:rsid w:val="00E510D5"/>
    <w:rsid w:val="00E512CA"/>
    <w:rsid w:val="00E5142C"/>
    <w:rsid w:val="00E514C6"/>
    <w:rsid w:val="00E5170C"/>
    <w:rsid w:val="00E51775"/>
    <w:rsid w:val="00E51877"/>
    <w:rsid w:val="00E51B36"/>
    <w:rsid w:val="00E51D5D"/>
    <w:rsid w:val="00E51E74"/>
    <w:rsid w:val="00E51E8D"/>
    <w:rsid w:val="00E52036"/>
    <w:rsid w:val="00E520ED"/>
    <w:rsid w:val="00E521A9"/>
    <w:rsid w:val="00E5224C"/>
    <w:rsid w:val="00E52286"/>
    <w:rsid w:val="00E5228B"/>
    <w:rsid w:val="00E523AA"/>
    <w:rsid w:val="00E523FC"/>
    <w:rsid w:val="00E52470"/>
    <w:rsid w:val="00E5248D"/>
    <w:rsid w:val="00E52562"/>
    <w:rsid w:val="00E525D2"/>
    <w:rsid w:val="00E527A5"/>
    <w:rsid w:val="00E52830"/>
    <w:rsid w:val="00E52878"/>
    <w:rsid w:val="00E52A11"/>
    <w:rsid w:val="00E52AB8"/>
    <w:rsid w:val="00E52C51"/>
    <w:rsid w:val="00E52C61"/>
    <w:rsid w:val="00E52E14"/>
    <w:rsid w:val="00E5304D"/>
    <w:rsid w:val="00E53068"/>
    <w:rsid w:val="00E530FA"/>
    <w:rsid w:val="00E53125"/>
    <w:rsid w:val="00E53260"/>
    <w:rsid w:val="00E5337D"/>
    <w:rsid w:val="00E534AF"/>
    <w:rsid w:val="00E534E4"/>
    <w:rsid w:val="00E535DC"/>
    <w:rsid w:val="00E53654"/>
    <w:rsid w:val="00E536A8"/>
    <w:rsid w:val="00E536B9"/>
    <w:rsid w:val="00E537AB"/>
    <w:rsid w:val="00E53821"/>
    <w:rsid w:val="00E53846"/>
    <w:rsid w:val="00E53999"/>
    <w:rsid w:val="00E53A0E"/>
    <w:rsid w:val="00E53A56"/>
    <w:rsid w:val="00E53B27"/>
    <w:rsid w:val="00E53BB5"/>
    <w:rsid w:val="00E53BF5"/>
    <w:rsid w:val="00E53C08"/>
    <w:rsid w:val="00E53C09"/>
    <w:rsid w:val="00E53C11"/>
    <w:rsid w:val="00E53C35"/>
    <w:rsid w:val="00E53D48"/>
    <w:rsid w:val="00E53E7F"/>
    <w:rsid w:val="00E53EA1"/>
    <w:rsid w:val="00E53F47"/>
    <w:rsid w:val="00E53F95"/>
    <w:rsid w:val="00E54072"/>
    <w:rsid w:val="00E540FC"/>
    <w:rsid w:val="00E5418A"/>
    <w:rsid w:val="00E54233"/>
    <w:rsid w:val="00E54245"/>
    <w:rsid w:val="00E5426A"/>
    <w:rsid w:val="00E54291"/>
    <w:rsid w:val="00E542DA"/>
    <w:rsid w:val="00E542FA"/>
    <w:rsid w:val="00E54367"/>
    <w:rsid w:val="00E543EE"/>
    <w:rsid w:val="00E5451B"/>
    <w:rsid w:val="00E54584"/>
    <w:rsid w:val="00E545FD"/>
    <w:rsid w:val="00E54666"/>
    <w:rsid w:val="00E54703"/>
    <w:rsid w:val="00E54895"/>
    <w:rsid w:val="00E54912"/>
    <w:rsid w:val="00E54960"/>
    <w:rsid w:val="00E549B7"/>
    <w:rsid w:val="00E54E5A"/>
    <w:rsid w:val="00E54F35"/>
    <w:rsid w:val="00E5507F"/>
    <w:rsid w:val="00E55086"/>
    <w:rsid w:val="00E550E1"/>
    <w:rsid w:val="00E55326"/>
    <w:rsid w:val="00E55513"/>
    <w:rsid w:val="00E55524"/>
    <w:rsid w:val="00E5563A"/>
    <w:rsid w:val="00E55676"/>
    <w:rsid w:val="00E55695"/>
    <w:rsid w:val="00E556BE"/>
    <w:rsid w:val="00E556E3"/>
    <w:rsid w:val="00E558D8"/>
    <w:rsid w:val="00E559BD"/>
    <w:rsid w:val="00E55A12"/>
    <w:rsid w:val="00E55C43"/>
    <w:rsid w:val="00E55CA9"/>
    <w:rsid w:val="00E55F09"/>
    <w:rsid w:val="00E55F92"/>
    <w:rsid w:val="00E56158"/>
    <w:rsid w:val="00E5616E"/>
    <w:rsid w:val="00E561DF"/>
    <w:rsid w:val="00E56232"/>
    <w:rsid w:val="00E562BD"/>
    <w:rsid w:val="00E562D1"/>
    <w:rsid w:val="00E562E4"/>
    <w:rsid w:val="00E562F7"/>
    <w:rsid w:val="00E56509"/>
    <w:rsid w:val="00E56589"/>
    <w:rsid w:val="00E565AA"/>
    <w:rsid w:val="00E56653"/>
    <w:rsid w:val="00E56919"/>
    <w:rsid w:val="00E56A60"/>
    <w:rsid w:val="00E56A6B"/>
    <w:rsid w:val="00E56AA7"/>
    <w:rsid w:val="00E56BA8"/>
    <w:rsid w:val="00E56CBB"/>
    <w:rsid w:val="00E56CD2"/>
    <w:rsid w:val="00E57387"/>
    <w:rsid w:val="00E57428"/>
    <w:rsid w:val="00E57567"/>
    <w:rsid w:val="00E57758"/>
    <w:rsid w:val="00E577C2"/>
    <w:rsid w:val="00E577F1"/>
    <w:rsid w:val="00E5793F"/>
    <w:rsid w:val="00E5796F"/>
    <w:rsid w:val="00E57A1D"/>
    <w:rsid w:val="00E57A6C"/>
    <w:rsid w:val="00E57CF4"/>
    <w:rsid w:val="00E57FAF"/>
    <w:rsid w:val="00E57FC5"/>
    <w:rsid w:val="00E600B3"/>
    <w:rsid w:val="00E60206"/>
    <w:rsid w:val="00E60256"/>
    <w:rsid w:val="00E60331"/>
    <w:rsid w:val="00E603E2"/>
    <w:rsid w:val="00E603EF"/>
    <w:rsid w:val="00E60451"/>
    <w:rsid w:val="00E6061E"/>
    <w:rsid w:val="00E60773"/>
    <w:rsid w:val="00E60843"/>
    <w:rsid w:val="00E60B7E"/>
    <w:rsid w:val="00E60BE9"/>
    <w:rsid w:val="00E60C2B"/>
    <w:rsid w:val="00E60D98"/>
    <w:rsid w:val="00E60E2E"/>
    <w:rsid w:val="00E60F93"/>
    <w:rsid w:val="00E60FEA"/>
    <w:rsid w:val="00E60FF5"/>
    <w:rsid w:val="00E61003"/>
    <w:rsid w:val="00E61271"/>
    <w:rsid w:val="00E61393"/>
    <w:rsid w:val="00E61489"/>
    <w:rsid w:val="00E6158D"/>
    <w:rsid w:val="00E61770"/>
    <w:rsid w:val="00E61826"/>
    <w:rsid w:val="00E6197E"/>
    <w:rsid w:val="00E619B6"/>
    <w:rsid w:val="00E619D1"/>
    <w:rsid w:val="00E61A0D"/>
    <w:rsid w:val="00E61AFF"/>
    <w:rsid w:val="00E61B3E"/>
    <w:rsid w:val="00E61BAB"/>
    <w:rsid w:val="00E61BF7"/>
    <w:rsid w:val="00E61C45"/>
    <w:rsid w:val="00E61D44"/>
    <w:rsid w:val="00E62450"/>
    <w:rsid w:val="00E62458"/>
    <w:rsid w:val="00E62532"/>
    <w:rsid w:val="00E625AD"/>
    <w:rsid w:val="00E625BD"/>
    <w:rsid w:val="00E62612"/>
    <w:rsid w:val="00E62872"/>
    <w:rsid w:val="00E6289A"/>
    <w:rsid w:val="00E628D7"/>
    <w:rsid w:val="00E62992"/>
    <w:rsid w:val="00E62ABB"/>
    <w:rsid w:val="00E62ABF"/>
    <w:rsid w:val="00E62B62"/>
    <w:rsid w:val="00E62BB5"/>
    <w:rsid w:val="00E62BF5"/>
    <w:rsid w:val="00E62C4F"/>
    <w:rsid w:val="00E62EEC"/>
    <w:rsid w:val="00E63086"/>
    <w:rsid w:val="00E63205"/>
    <w:rsid w:val="00E633A7"/>
    <w:rsid w:val="00E633DD"/>
    <w:rsid w:val="00E633F3"/>
    <w:rsid w:val="00E6349A"/>
    <w:rsid w:val="00E636BD"/>
    <w:rsid w:val="00E63831"/>
    <w:rsid w:val="00E63911"/>
    <w:rsid w:val="00E63A4A"/>
    <w:rsid w:val="00E63B17"/>
    <w:rsid w:val="00E63B61"/>
    <w:rsid w:val="00E63BC8"/>
    <w:rsid w:val="00E63F8B"/>
    <w:rsid w:val="00E63FB8"/>
    <w:rsid w:val="00E6403B"/>
    <w:rsid w:val="00E641AD"/>
    <w:rsid w:val="00E642F2"/>
    <w:rsid w:val="00E64502"/>
    <w:rsid w:val="00E64584"/>
    <w:rsid w:val="00E6462E"/>
    <w:rsid w:val="00E64710"/>
    <w:rsid w:val="00E64852"/>
    <w:rsid w:val="00E64858"/>
    <w:rsid w:val="00E648EE"/>
    <w:rsid w:val="00E64964"/>
    <w:rsid w:val="00E64A4D"/>
    <w:rsid w:val="00E64A6D"/>
    <w:rsid w:val="00E64ABA"/>
    <w:rsid w:val="00E64B7E"/>
    <w:rsid w:val="00E64C4B"/>
    <w:rsid w:val="00E64D3C"/>
    <w:rsid w:val="00E64D3F"/>
    <w:rsid w:val="00E64DE3"/>
    <w:rsid w:val="00E64E1B"/>
    <w:rsid w:val="00E64E30"/>
    <w:rsid w:val="00E64E3D"/>
    <w:rsid w:val="00E64EAF"/>
    <w:rsid w:val="00E64EC0"/>
    <w:rsid w:val="00E64F8E"/>
    <w:rsid w:val="00E6509B"/>
    <w:rsid w:val="00E65104"/>
    <w:rsid w:val="00E65301"/>
    <w:rsid w:val="00E6532A"/>
    <w:rsid w:val="00E653D4"/>
    <w:rsid w:val="00E6561F"/>
    <w:rsid w:val="00E65815"/>
    <w:rsid w:val="00E6591E"/>
    <w:rsid w:val="00E65924"/>
    <w:rsid w:val="00E6598E"/>
    <w:rsid w:val="00E65CA5"/>
    <w:rsid w:val="00E65D74"/>
    <w:rsid w:val="00E65DE3"/>
    <w:rsid w:val="00E65E2C"/>
    <w:rsid w:val="00E65EB1"/>
    <w:rsid w:val="00E66012"/>
    <w:rsid w:val="00E66067"/>
    <w:rsid w:val="00E66105"/>
    <w:rsid w:val="00E661EA"/>
    <w:rsid w:val="00E66625"/>
    <w:rsid w:val="00E66821"/>
    <w:rsid w:val="00E66A3C"/>
    <w:rsid w:val="00E66A60"/>
    <w:rsid w:val="00E66B3B"/>
    <w:rsid w:val="00E66CBB"/>
    <w:rsid w:val="00E66D67"/>
    <w:rsid w:val="00E66F1D"/>
    <w:rsid w:val="00E67090"/>
    <w:rsid w:val="00E67110"/>
    <w:rsid w:val="00E67231"/>
    <w:rsid w:val="00E6725F"/>
    <w:rsid w:val="00E67278"/>
    <w:rsid w:val="00E67383"/>
    <w:rsid w:val="00E67411"/>
    <w:rsid w:val="00E6747B"/>
    <w:rsid w:val="00E67495"/>
    <w:rsid w:val="00E674B3"/>
    <w:rsid w:val="00E67578"/>
    <w:rsid w:val="00E6760D"/>
    <w:rsid w:val="00E6762D"/>
    <w:rsid w:val="00E676E5"/>
    <w:rsid w:val="00E6784F"/>
    <w:rsid w:val="00E678B7"/>
    <w:rsid w:val="00E678FD"/>
    <w:rsid w:val="00E67B38"/>
    <w:rsid w:val="00E67B6A"/>
    <w:rsid w:val="00E67D32"/>
    <w:rsid w:val="00E67D7B"/>
    <w:rsid w:val="00E67E38"/>
    <w:rsid w:val="00E67E56"/>
    <w:rsid w:val="00E67FED"/>
    <w:rsid w:val="00E7001E"/>
    <w:rsid w:val="00E7006E"/>
    <w:rsid w:val="00E700F7"/>
    <w:rsid w:val="00E701BC"/>
    <w:rsid w:val="00E7024B"/>
    <w:rsid w:val="00E70282"/>
    <w:rsid w:val="00E70315"/>
    <w:rsid w:val="00E7038D"/>
    <w:rsid w:val="00E7040D"/>
    <w:rsid w:val="00E70614"/>
    <w:rsid w:val="00E706E8"/>
    <w:rsid w:val="00E707B1"/>
    <w:rsid w:val="00E707DC"/>
    <w:rsid w:val="00E708DE"/>
    <w:rsid w:val="00E70965"/>
    <w:rsid w:val="00E709E4"/>
    <w:rsid w:val="00E70AE1"/>
    <w:rsid w:val="00E70C8D"/>
    <w:rsid w:val="00E70ED3"/>
    <w:rsid w:val="00E70F00"/>
    <w:rsid w:val="00E70F67"/>
    <w:rsid w:val="00E71045"/>
    <w:rsid w:val="00E7116A"/>
    <w:rsid w:val="00E711CF"/>
    <w:rsid w:val="00E71307"/>
    <w:rsid w:val="00E713AA"/>
    <w:rsid w:val="00E713AD"/>
    <w:rsid w:val="00E713EF"/>
    <w:rsid w:val="00E714D1"/>
    <w:rsid w:val="00E71561"/>
    <w:rsid w:val="00E71581"/>
    <w:rsid w:val="00E717D9"/>
    <w:rsid w:val="00E71939"/>
    <w:rsid w:val="00E719E6"/>
    <w:rsid w:val="00E71A09"/>
    <w:rsid w:val="00E71A76"/>
    <w:rsid w:val="00E71B79"/>
    <w:rsid w:val="00E71BC0"/>
    <w:rsid w:val="00E71C28"/>
    <w:rsid w:val="00E71C38"/>
    <w:rsid w:val="00E71C69"/>
    <w:rsid w:val="00E71C82"/>
    <w:rsid w:val="00E71C8D"/>
    <w:rsid w:val="00E71C9A"/>
    <w:rsid w:val="00E71D8A"/>
    <w:rsid w:val="00E720C4"/>
    <w:rsid w:val="00E721B6"/>
    <w:rsid w:val="00E721C4"/>
    <w:rsid w:val="00E7237F"/>
    <w:rsid w:val="00E723A3"/>
    <w:rsid w:val="00E723D8"/>
    <w:rsid w:val="00E723DC"/>
    <w:rsid w:val="00E723E0"/>
    <w:rsid w:val="00E7245F"/>
    <w:rsid w:val="00E72513"/>
    <w:rsid w:val="00E7267D"/>
    <w:rsid w:val="00E727D6"/>
    <w:rsid w:val="00E7292F"/>
    <w:rsid w:val="00E72931"/>
    <w:rsid w:val="00E72944"/>
    <w:rsid w:val="00E7294B"/>
    <w:rsid w:val="00E72AE6"/>
    <w:rsid w:val="00E72B5A"/>
    <w:rsid w:val="00E72B83"/>
    <w:rsid w:val="00E72B98"/>
    <w:rsid w:val="00E72DE3"/>
    <w:rsid w:val="00E72E63"/>
    <w:rsid w:val="00E72E7F"/>
    <w:rsid w:val="00E72EF9"/>
    <w:rsid w:val="00E72F8D"/>
    <w:rsid w:val="00E73047"/>
    <w:rsid w:val="00E7308D"/>
    <w:rsid w:val="00E73135"/>
    <w:rsid w:val="00E73137"/>
    <w:rsid w:val="00E731A5"/>
    <w:rsid w:val="00E731FD"/>
    <w:rsid w:val="00E732D2"/>
    <w:rsid w:val="00E7354D"/>
    <w:rsid w:val="00E7355D"/>
    <w:rsid w:val="00E735B0"/>
    <w:rsid w:val="00E7364C"/>
    <w:rsid w:val="00E7365E"/>
    <w:rsid w:val="00E736B1"/>
    <w:rsid w:val="00E73701"/>
    <w:rsid w:val="00E73771"/>
    <w:rsid w:val="00E7389C"/>
    <w:rsid w:val="00E73A78"/>
    <w:rsid w:val="00E73B28"/>
    <w:rsid w:val="00E73B2A"/>
    <w:rsid w:val="00E73B6C"/>
    <w:rsid w:val="00E73CF5"/>
    <w:rsid w:val="00E73D6F"/>
    <w:rsid w:val="00E73F36"/>
    <w:rsid w:val="00E73F4A"/>
    <w:rsid w:val="00E740AF"/>
    <w:rsid w:val="00E741E4"/>
    <w:rsid w:val="00E744C0"/>
    <w:rsid w:val="00E74532"/>
    <w:rsid w:val="00E745D7"/>
    <w:rsid w:val="00E746AE"/>
    <w:rsid w:val="00E74788"/>
    <w:rsid w:val="00E747D3"/>
    <w:rsid w:val="00E74844"/>
    <w:rsid w:val="00E7498F"/>
    <w:rsid w:val="00E749DB"/>
    <w:rsid w:val="00E749FA"/>
    <w:rsid w:val="00E74A5B"/>
    <w:rsid w:val="00E74A87"/>
    <w:rsid w:val="00E74AC8"/>
    <w:rsid w:val="00E74BBA"/>
    <w:rsid w:val="00E75196"/>
    <w:rsid w:val="00E751C4"/>
    <w:rsid w:val="00E7523F"/>
    <w:rsid w:val="00E75696"/>
    <w:rsid w:val="00E75B8F"/>
    <w:rsid w:val="00E75DC9"/>
    <w:rsid w:val="00E75EDB"/>
    <w:rsid w:val="00E76007"/>
    <w:rsid w:val="00E76134"/>
    <w:rsid w:val="00E76227"/>
    <w:rsid w:val="00E76229"/>
    <w:rsid w:val="00E76301"/>
    <w:rsid w:val="00E7645D"/>
    <w:rsid w:val="00E764A3"/>
    <w:rsid w:val="00E764C6"/>
    <w:rsid w:val="00E76646"/>
    <w:rsid w:val="00E76686"/>
    <w:rsid w:val="00E766AE"/>
    <w:rsid w:val="00E767CB"/>
    <w:rsid w:val="00E76890"/>
    <w:rsid w:val="00E76B20"/>
    <w:rsid w:val="00E76BBC"/>
    <w:rsid w:val="00E76C0E"/>
    <w:rsid w:val="00E76C3C"/>
    <w:rsid w:val="00E76DDF"/>
    <w:rsid w:val="00E76EF7"/>
    <w:rsid w:val="00E76F8C"/>
    <w:rsid w:val="00E77059"/>
    <w:rsid w:val="00E77064"/>
    <w:rsid w:val="00E77283"/>
    <w:rsid w:val="00E77353"/>
    <w:rsid w:val="00E773C5"/>
    <w:rsid w:val="00E77412"/>
    <w:rsid w:val="00E774AD"/>
    <w:rsid w:val="00E774D3"/>
    <w:rsid w:val="00E7758C"/>
    <w:rsid w:val="00E77619"/>
    <w:rsid w:val="00E777C2"/>
    <w:rsid w:val="00E77979"/>
    <w:rsid w:val="00E77A80"/>
    <w:rsid w:val="00E77A87"/>
    <w:rsid w:val="00E77A9D"/>
    <w:rsid w:val="00E77CAB"/>
    <w:rsid w:val="00E77FA6"/>
    <w:rsid w:val="00E77FA7"/>
    <w:rsid w:val="00E77FEB"/>
    <w:rsid w:val="00E80125"/>
    <w:rsid w:val="00E80134"/>
    <w:rsid w:val="00E8014E"/>
    <w:rsid w:val="00E80210"/>
    <w:rsid w:val="00E80216"/>
    <w:rsid w:val="00E80430"/>
    <w:rsid w:val="00E80526"/>
    <w:rsid w:val="00E8064E"/>
    <w:rsid w:val="00E8077D"/>
    <w:rsid w:val="00E80783"/>
    <w:rsid w:val="00E807BC"/>
    <w:rsid w:val="00E807F0"/>
    <w:rsid w:val="00E80841"/>
    <w:rsid w:val="00E8089D"/>
    <w:rsid w:val="00E809CD"/>
    <w:rsid w:val="00E80A53"/>
    <w:rsid w:val="00E80B65"/>
    <w:rsid w:val="00E80D6C"/>
    <w:rsid w:val="00E80D84"/>
    <w:rsid w:val="00E80EC1"/>
    <w:rsid w:val="00E81170"/>
    <w:rsid w:val="00E8165F"/>
    <w:rsid w:val="00E8176F"/>
    <w:rsid w:val="00E81873"/>
    <w:rsid w:val="00E818AD"/>
    <w:rsid w:val="00E81937"/>
    <w:rsid w:val="00E81961"/>
    <w:rsid w:val="00E81972"/>
    <w:rsid w:val="00E81A7C"/>
    <w:rsid w:val="00E81A95"/>
    <w:rsid w:val="00E81B4F"/>
    <w:rsid w:val="00E81BF0"/>
    <w:rsid w:val="00E81CE7"/>
    <w:rsid w:val="00E81DAF"/>
    <w:rsid w:val="00E81DC6"/>
    <w:rsid w:val="00E81E46"/>
    <w:rsid w:val="00E81E64"/>
    <w:rsid w:val="00E81E86"/>
    <w:rsid w:val="00E81F3B"/>
    <w:rsid w:val="00E8202F"/>
    <w:rsid w:val="00E82057"/>
    <w:rsid w:val="00E822E8"/>
    <w:rsid w:val="00E822F4"/>
    <w:rsid w:val="00E8233E"/>
    <w:rsid w:val="00E82694"/>
    <w:rsid w:val="00E826C4"/>
    <w:rsid w:val="00E82711"/>
    <w:rsid w:val="00E827A6"/>
    <w:rsid w:val="00E827F6"/>
    <w:rsid w:val="00E8281A"/>
    <w:rsid w:val="00E828E9"/>
    <w:rsid w:val="00E8298A"/>
    <w:rsid w:val="00E82990"/>
    <w:rsid w:val="00E829AC"/>
    <w:rsid w:val="00E82A06"/>
    <w:rsid w:val="00E82ACD"/>
    <w:rsid w:val="00E82B4B"/>
    <w:rsid w:val="00E82B8B"/>
    <w:rsid w:val="00E82C01"/>
    <w:rsid w:val="00E82D86"/>
    <w:rsid w:val="00E82DB2"/>
    <w:rsid w:val="00E82F36"/>
    <w:rsid w:val="00E83279"/>
    <w:rsid w:val="00E83283"/>
    <w:rsid w:val="00E83310"/>
    <w:rsid w:val="00E83331"/>
    <w:rsid w:val="00E834B0"/>
    <w:rsid w:val="00E83596"/>
    <w:rsid w:val="00E8362E"/>
    <w:rsid w:val="00E836FA"/>
    <w:rsid w:val="00E8371D"/>
    <w:rsid w:val="00E83750"/>
    <w:rsid w:val="00E8376D"/>
    <w:rsid w:val="00E83808"/>
    <w:rsid w:val="00E83903"/>
    <w:rsid w:val="00E8395A"/>
    <w:rsid w:val="00E83A09"/>
    <w:rsid w:val="00E83B04"/>
    <w:rsid w:val="00E83B81"/>
    <w:rsid w:val="00E83BED"/>
    <w:rsid w:val="00E83BF5"/>
    <w:rsid w:val="00E83C57"/>
    <w:rsid w:val="00E83C81"/>
    <w:rsid w:val="00E83CD5"/>
    <w:rsid w:val="00E83D0E"/>
    <w:rsid w:val="00E83D7E"/>
    <w:rsid w:val="00E83E34"/>
    <w:rsid w:val="00E83E8A"/>
    <w:rsid w:val="00E83EE4"/>
    <w:rsid w:val="00E83FA9"/>
    <w:rsid w:val="00E8400F"/>
    <w:rsid w:val="00E840BA"/>
    <w:rsid w:val="00E84125"/>
    <w:rsid w:val="00E841D6"/>
    <w:rsid w:val="00E842A9"/>
    <w:rsid w:val="00E843B6"/>
    <w:rsid w:val="00E84407"/>
    <w:rsid w:val="00E84478"/>
    <w:rsid w:val="00E84509"/>
    <w:rsid w:val="00E8452C"/>
    <w:rsid w:val="00E846FD"/>
    <w:rsid w:val="00E8480F"/>
    <w:rsid w:val="00E8482E"/>
    <w:rsid w:val="00E848EC"/>
    <w:rsid w:val="00E84908"/>
    <w:rsid w:val="00E84A5A"/>
    <w:rsid w:val="00E84AC3"/>
    <w:rsid w:val="00E84B23"/>
    <w:rsid w:val="00E84C28"/>
    <w:rsid w:val="00E84CCE"/>
    <w:rsid w:val="00E84CFD"/>
    <w:rsid w:val="00E84D81"/>
    <w:rsid w:val="00E84D99"/>
    <w:rsid w:val="00E84DA3"/>
    <w:rsid w:val="00E84DFE"/>
    <w:rsid w:val="00E84E4A"/>
    <w:rsid w:val="00E85029"/>
    <w:rsid w:val="00E850C3"/>
    <w:rsid w:val="00E85150"/>
    <w:rsid w:val="00E85299"/>
    <w:rsid w:val="00E8533A"/>
    <w:rsid w:val="00E85430"/>
    <w:rsid w:val="00E85476"/>
    <w:rsid w:val="00E85485"/>
    <w:rsid w:val="00E8559A"/>
    <w:rsid w:val="00E857FB"/>
    <w:rsid w:val="00E85819"/>
    <w:rsid w:val="00E858A1"/>
    <w:rsid w:val="00E8590C"/>
    <w:rsid w:val="00E8597B"/>
    <w:rsid w:val="00E85A30"/>
    <w:rsid w:val="00E85A36"/>
    <w:rsid w:val="00E85AAB"/>
    <w:rsid w:val="00E85B33"/>
    <w:rsid w:val="00E85B53"/>
    <w:rsid w:val="00E85D93"/>
    <w:rsid w:val="00E85EA7"/>
    <w:rsid w:val="00E8602F"/>
    <w:rsid w:val="00E8622F"/>
    <w:rsid w:val="00E863ED"/>
    <w:rsid w:val="00E86452"/>
    <w:rsid w:val="00E867AC"/>
    <w:rsid w:val="00E86844"/>
    <w:rsid w:val="00E868AD"/>
    <w:rsid w:val="00E868BF"/>
    <w:rsid w:val="00E86964"/>
    <w:rsid w:val="00E86AA9"/>
    <w:rsid w:val="00E86BB3"/>
    <w:rsid w:val="00E86DC9"/>
    <w:rsid w:val="00E86E83"/>
    <w:rsid w:val="00E86FC8"/>
    <w:rsid w:val="00E87018"/>
    <w:rsid w:val="00E87042"/>
    <w:rsid w:val="00E8714D"/>
    <w:rsid w:val="00E87243"/>
    <w:rsid w:val="00E87247"/>
    <w:rsid w:val="00E872C5"/>
    <w:rsid w:val="00E873C2"/>
    <w:rsid w:val="00E87426"/>
    <w:rsid w:val="00E8747F"/>
    <w:rsid w:val="00E875AE"/>
    <w:rsid w:val="00E87738"/>
    <w:rsid w:val="00E87BD8"/>
    <w:rsid w:val="00E87E80"/>
    <w:rsid w:val="00E87EC2"/>
    <w:rsid w:val="00E87EDB"/>
    <w:rsid w:val="00E87EE8"/>
    <w:rsid w:val="00E87F82"/>
    <w:rsid w:val="00E9005A"/>
    <w:rsid w:val="00E900F4"/>
    <w:rsid w:val="00E901D5"/>
    <w:rsid w:val="00E9036B"/>
    <w:rsid w:val="00E90506"/>
    <w:rsid w:val="00E9069C"/>
    <w:rsid w:val="00E9076D"/>
    <w:rsid w:val="00E9077A"/>
    <w:rsid w:val="00E907C9"/>
    <w:rsid w:val="00E908E2"/>
    <w:rsid w:val="00E90975"/>
    <w:rsid w:val="00E90A08"/>
    <w:rsid w:val="00E90A42"/>
    <w:rsid w:val="00E90AC9"/>
    <w:rsid w:val="00E90AD4"/>
    <w:rsid w:val="00E90AF0"/>
    <w:rsid w:val="00E90B25"/>
    <w:rsid w:val="00E90B71"/>
    <w:rsid w:val="00E90B88"/>
    <w:rsid w:val="00E90F1E"/>
    <w:rsid w:val="00E90F1F"/>
    <w:rsid w:val="00E9111B"/>
    <w:rsid w:val="00E91139"/>
    <w:rsid w:val="00E912A4"/>
    <w:rsid w:val="00E91345"/>
    <w:rsid w:val="00E9141B"/>
    <w:rsid w:val="00E9141F"/>
    <w:rsid w:val="00E9147E"/>
    <w:rsid w:val="00E914DA"/>
    <w:rsid w:val="00E91697"/>
    <w:rsid w:val="00E918D4"/>
    <w:rsid w:val="00E91986"/>
    <w:rsid w:val="00E91A11"/>
    <w:rsid w:val="00E91BFC"/>
    <w:rsid w:val="00E91C54"/>
    <w:rsid w:val="00E91CAA"/>
    <w:rsid w:val="00E91F17"/>
    <w:rsid w:val="00E91F55"/>
    <w:rsid w:val="00E91FE9"/>
    <w:rsid w:val="00E920D6"/>
    <w:rsid w:val="00E9214B"/>
    <w:rsid w:val="00E92247"/>
    <w:rsid w:val="00E92353"/>
    <w:rsid w:val="00E923AC"/>
    <w:rsid w:val="00E92694"/>
    <w:rsid w:val="00E9271C"/>
    <w:rsid w:val="00E9280B"/>
    <w:rsid w:val="00E928E3"/>
    <w:rsid w:val="00E929DC"/>
    <w:rsid w:val="00E929F6"/>
    <w:rsid w:val="00E92A3D"/>
    <w:rsid w:val="00E92AA6"/>
    <w:rsid w:val="00E92BE1"/>
    <w:rsid w:val="00E92CB7"/>
    <w:rsid w:val="00E92D17"/>
    <w:rsid w:val="00E92DE3"/>
    <w:rsid w:val="00E92F63"/>
    <w:rsid w:val="00E92FAA"/>
    <w:rsid w:val="00E92FD5"/>
    <w:rsid w:val="00E930B1"/>
    <w:rsid w:val="00E93274"/>
    <w:rsid w:val="00E93320"/>
    <w:rsid w:val="00E9344A"/>
    <w:rsid w:val="00E934EF"/>
    <w:rsid w:val="00E935F7"/>
    <w:rsid w:val="00E936E2"/>
    <w:rsid w:val="00E93750"/>
    <w:rsid w:val="00E938E3"/>
    <w:rsid w:val="00E9395F"/>
    <w:rsid w:val="00E93A77"/>
    <w:rsid w:val="00E93B32"/>
    <w:rsid w:val="00E93C36"/>
    <w:rsid w:val="00E93CF8"/>
    <w:rsid w:val="00E93DAE"/>
    <w:rsid w:val="00E93EA9"/>
    <w:rsid w:val="00E93EEA"/>
    <w:rsid w:val="00E93F26"/>
    <w:rsid w:val="00E93FD2"/>
    <w:rsid w:val="00E94199"/>
    <w:rsid w:val="00E9452F"/>
    <w:rsid w:val="00E946C9"/>
    <w:rsid w:val="00E947EE"/>
    <w:rsid w:val="00E94884"/>
    <w:rsid w:val="00E94A2D"/>
    <w:rsid w:val="00E94AD3"/>
    <w:rsid w:val="00E94BFE"/>
    <w:rsid w:val="00E94CB8"/>
    <w:rsid w:val="00E94ECC"/>
    <w:rsid w:val="00E9500F"/>
    <w:rsid w:val="00E95223"/>
    <w:rsid w:val="00E952A5"/>
    <w:rsid w:val="00E953E5"/>
    <w:rsid w:val="00E95436"/>
    <w:rsid w:val="00E954D9"/>
    <w:rsid w:val="00E95687"/>
    <w:rsid w:val="00E957E0"/>
    <w:rsid w:val="00E95923"/>
    <w:rsid w:val="00E9597E"/>
    <w:rsid w:val="00E95AC0"/>
    <w:rsid w:val="00E95AEE"/>
    <w:rsid w:val="00E95AF1"/>
    <w:rsid w:val="00E95B0C"/>
    <w:rsid w:val="00E95C0A"/>
    <w:rsid w:val="00E95CEE"/>
    <w:rsid w:val="00E95CEF"/>
    <w:rsid w:val="00E95DB4"/>
    <w:rsid w:val="00E95F32"/>
    <w:rsid w:val="00E96078"/>
    <w:rsid w:val="00E9613F"/>
    <w:rsid w:val="00E9616F"/>
    <w:rsid w:val="00E96226"/>
    <w:rsid w:val="00E9630B"/>
    <w:rsid w:val="00E964E0"/>
    <w:rsid w:val="00E965E1"/>
    <w:rsid w:val="00E96616"/>
    <w:rsid w:val="00E966EC"/>
    <w:rsid w:val="00E96706"/>
    <w:rsid w:val="00E9696F"/>
    <w:rsid w:val="00E96999"/>
    <w:rsid w:val="00E96AEB"/>
    <w:rsid w:val="00E96AF3"/>
    <w:rsid w:val="00E96C37"/>
    <w:rsid w:val="00E96CA4"/>
    <w:rsid w:val="00E96D92"/>
    <w:rsid w:val="00E96E0A"/>
    <w:rsid w:val="00E96E91"/>
    <w:rsid w:val="00E96F68"/>
    <w:rsid w:val="00E96F9B"/>
    <w:rsid w:val="00E96FA8"/>
    <w:rsid w:val="00E96FD5"/>
    <w:rsid w:val="00E97115"/>
    <w:rsid w:val="00E9717F"/>
    <w:rsid w:val="00E97486"/>
    <w:rsid w:val="00E974F5"/>
    <w:rsid w:val="00E9756D"/>
    <w:rsid w:val="00E9760A"/>
    <w:rsid w:val="00E9768C"/>
    <w:rsid w:val="00E976ED"/>
    <w:rsid w:val="00E9770B"/>
    <w:rsid w:val="00E97738"/>
    <w:rsid w:val="00E97A24"/>
    <w:rsid w:val="00E97B40"/>
    <w:rsid w:val="00E97C6A"/>
    <w:rsid w:val="00E97DD9"/>
    <w:rsid w:val="00EA0016"/>
    <w:rsid w:val="00EA003F"/>
    <w:rsid w:val="00EA0078"/>
    <w:rsid w:val="00EA0140"/>
    <w:rsid w:val="00EA01A1"/>
    <w:rsid w:val="00EA01AF"/>
    <w:rsid w:val="00EA0291"/>
    <w:rsid w:val="00EA02B0"/>
    <w:rsid w:val="00EA035F"/>
    <w:rsid w:val="00EA0486"/>
    <w:rsid w:val="00EA04E2"/>
    <w:rsid w:val="00EA057B"/>
    <w:rsid w:val="00EA05E1"/>
    <w:rsid w:val="00EA0621"/>
    <w:rsid w:val="00EA06E6"/>
    <w:rsid w:val="00EA0730"/>
    <w:rsid w:val="00EA0753"/>
    <w:rsid w:val="00EA0835"/>
    <w:rsid w:val="00EA085E"/>
    <w:rsid w:val="00EA0871"/>
    <w:rsid w:val="00EA0958"/>
    <w:rsid w:val="00EA0B35"/>
    <w:rsid w:val="00EA0B5D"/>
    <w:rsid w:val="00EA0CEB"/>
    <w:rsid w:val="00EA0D75"/>
    <w:rsid w:val="00EA0DA2"/>
    <w:rsid w:val="00EA0DC2"/>
    <w:rsid w:val="00EA0E33"/>
    <w:rsid w:val="00EA0F45"/>
    <w:rsid w:val="00EA0FF5"/>
    <w:rsid w:val="00EA1087"/>
    <w:rsid w:val="00EA122A"/>
    <w:rsid w:val="00EA1389"/>
    <w:rsid w:val="00EA145C"/>
    <w:rsid w:val="00EA1477"/>
    <w:rsid w:val="00EA1481"/>
    <w:rsid w:val="00EA1489"/>
    <w:rsid w:val="00EA158E"/>
    <w:rsid w:val="00EA15B0"/>
    <w:rsid w:val="00EA1654"/>
    <w:rsid w:val="00EA167C"/>
    <w:rsid w:val="00EA17C5"/>
    <w:rsid w:val="00EA1814"/>
    <w:rsid w:val="00EA18A6"/>
    <w:rsid w:val="00EA1B7F"/>
    <w:rsid w:val="00EA1C26"/>
    <w:rsid w:val="00EA1C61"/>
    <w:rsid w:val="00EA1DBB"/>
    <w:rsid w:val="00EA1E83"/>
    <w:rsid w:val="00EA1E86"/>
    <w:rsid w:val="00EA213F"/>
    <w:rsid w:val="00EA2186"/>
    <w:rsid w:val="00EA2287"/>
    <w:rsid w:val="00EA2665"/>
    <w:rsid w:val="00EA2749"/>
    <w:rsid w:val="00EA277C"/>
    <w:rsid w:val="00EA285E"/>
    <w:rsid w:val="00EA28D4"/>
    <w:rsid w:val="00EA2B2E"/>
    <w:rsid w:val="00EA2D14"/>
    <w:rsid w:val="00EA2D49"/>
    <w:rsid w:val="00EA2DA3"/>
    <w:rsid w:val="00EA2EC2"/>
    <w:rsid w:val="00EA2EEB"/>
    <w:rsid w:val="00EA2EED"/>
    <w:rsid w:val="00EA2F6B"/>
    <w:rsid w:val="00EA3036"/>
    <w:rsid w:val="00EA3037"/>
    <w:rsid w:val="00EA30A1"/>
    <w:rsid w:val="00EA30D1"/>
    <w:rsid w:val="00EA32CE"/>
    <w:rsid w:val="00EA3431"/>
    <w:rsid w:val="00EA36C8"/>
    <w:rsid w:val="00EA36DA"/>
    <w:rsid w:val="00EA3789"/>
    <w:rsid w:val="00EA3878"/>
    <w:rsid w:val="00EA3A9B"/>
    <w:rsid w:val="00EA3B02"/>
    <w:rsid w:val="00EA3B1E"/>
    <w:rsid w:val="00EA3BD0"/>
    <w:rsid w:val="00EA3BEF"/>
    <w:rsid w:val="00EA3C05"/>
    <w:rsid w:val="00EA3C58"/>
    <w:rsid w:val="00EA3C86"/>
    <w:rsid w:val="00EA3CFE"/>
    <w:rsid w:val="00EA3E9F"/>
    <w:rsid w:val="00EA3F60"/>
    <w:rsid w:val="00EA3FC5"/>
    <w:rsid w:val="00EA4097"/>
    <w:rsid w:val="00EA40EC"/>
    <w:rsid w:val="00EA4134"/>
    <w:rsid w:val="00EA416C"/>
    <w:rsid w:val="00EA423A"/>
    <w:rsid w:val="00EA43A8"/>
    <w:rsid w:val="00EA4410"/>
    <w:rsid w:val="00EA4460"/>
    <w:rsid w:val="00EA4484"/>
    <w:rsid w:val="00EA44FA"/>
    <w:rsid w:val="00EA4524"/>
    <w:rsid w:val="00EA453E"/>
    <w:rsid w:val="00EA489B"/>
    <w:rsid w:val="00EA498E"/>
    <w:rsid w:val="00EA4CC8"/>
    <w:rsid w:val="00EA4CE7"/>
    <w:rsid w:val="00EA4DB6"/>
    <w:rsid w:val="00EA4DE5"/>
    <w:rsid w:val="00EA4E9B"/>
    <w:rsid w:val="00EA4F14"/>
    <w:rsid w:val="00EA50F5"/>
    <w:rsid w:val="00EA520D"/>
    <w:rsid w:val="00EA52BD"/>
    <w:rsid w:val="00EA52E4"/>
    <w:rsid w:val="00EA5434"/>
    <w:rsid w:val="00EA5504"/>
    <w:rsid w:val="00EA552F"/>
    <w:rsid w:val="00EA55B9"/>
    <w:rsid w:val="00EA5622"/>
    <w:rsid w:val="00EA56AB"/>
    <w:rsid w:val="00EA582E"/>
    <w:rsid w:val="00EA5835"/>
    <w:rsid w:val="00EA5865"/>
    <w:rsid w:val="00EA5894"/>
    <w:rsid w:val="00EA590C"/>
    <w:rsid w:val="00EA59B8"/>
    <w:rsid w:val="00EA5A44"/>
    <w:rsid w:val="00EA5B4F"/>
    <w:rsid w:val="00EA5B66"/>
    <w:rsid w:val="00EA5BC3"/>
    <w:rsid w:val="00EA5C50"/>
    <w:rsid w:val="00EA5CEB"/>
    <w:rsid w:val="00EA5DE4"/>
    <w:rsid w:val="00EA5F3C"/>
    <w:rsid w:val="00EA603D"/>
    <w:rsid w:val="00EA60D3"/>
    <w:rsid w:val="00EA60ED"/>
    <w:rsid w:val="00EA6261"/>
    <w:rsid w:val="00EA64A5"/>
    <w:rsid w:val="00EA650E"/>
    <w:rsid w:val="00EA6640"/>
    <w:rsid w:val="00EA6669"/>
    <w:rsid w:val="00EA6798"/>
    <w:rsid w:val="00EA688D"/>
    <w:rsid w:val="00EA68DF"/>
    <w:rsid w:val="00EA6981"/>
    <w:rsid w:val="00EA69A4"/>
    <w:rsid w:val="00EA69E9"/>
    <w:rsid w:val="00EA6A1F"/>
    <w:rsid w:val="00EA6B4A"/>
    <w:rsid w:val="00EA6B5F"/>
    <w:rsid w:val="00EA6B64"/>
    <w:rsid w:val="00EA6BD1"/>
    <w:rsid w:val="00EA6C3C"/>
    <w:rsid w:val="00EA6CD4"/>
    <w:rsid w:val="00EA6DD6"/>
    <w:rsid w:val="00EA6FD5"/>
    <w:rsid w:val="00EA7021"/>
    <w:rsid w:val="00EA710B"/>
    <w:rsid w:val="00EA722B"/>
    <w:rsid w:val="00EA72E4"/>
    <w:rsid w:val="00EA73AA"/>
    <w:rsid w:val="00EA7492"/>
    <w:rsid w:val="00EA7498"/>
    <w:rsid w:val="00EA7522"/>
    <w:rsid w:val="00EA752A"/>
    <w:rsid w:val="00EA762D"/>
    <w:rsid w:val="00EA7691"/>
    <w:rsid w:val="00EA76B9"/>
    <w:rsid w:val="00EA7829"/>
    <w:rsid w:val="00EA783F"/>
    <w:rsid w:val="00EA7884"/>
    <w:rsid w:val="00EA78F5"/>
    <w:rsid w:val="00EA79A3"/>
    <w:rsid w:val="00EA7A4A"/>
    <w:rsid w:val="00EA7A8F"/>
    <w:rsid w:val="00EA7B1D"/>
    <w:rsid w:val="00EA7D2B"/>
    <w:rsid w:val="00EA7E21"/>
    <w:rsid w:val="00EA7E5D"/>
    <w:rsid w:val="00EA7E9F"/>
    <w:rsid w:val="00EA7F6E"/>
    <w:rsid w:val="00EA7FBD"/>
    <w:rsid w:val="00EB0508"/>
    <w:rsid w:val="00EB0528"/>
    <w:rsid w:val="00EB0741"/>
    <w:rsid w:val="00EB0797"/>
    <w:rsid w:val="00EB08C0"/>
    <w:rsid w:val="00EB09DB"/>
    <w:rsid w:val="00EB0A3F"/>
    <w:rsid w:val="00EB0A47"/>
    <w:rsid w:val="00EB0AB6"/>
    <w:rsid w:val="00EB0B8B"/>
    <w:rsid w:val="00EB0CA1"/>
    <w:rsid w:val="00EB0D1A"/>
    <w:rsid w:val="00EB0FAD"/>
    <w:rsid w:val="00EB1206"/>
    <w:rsid w:val="00EB152F"/>
    <w:rsid w:val="00EB1538"/>
    <w:rsid w:val="00EB15FE"/>
    <w:rsid w:val="00EB1853"/>
    <w:rsid w:val="00EB186A"/>
    <w:rsid w:val="00EB1909"/>
    <w:rsid w:val="00EB1A3A"/>
    <w:rsid w:val="00EB1A6A"/>
    <w:rsid w:val="00EB1A73"/>
    <w:rsid w:val="00EB1A85"/>
    <w:rsid w:val="00EB1C8B"/>
    <w:rsid w:val="00EB1CA9"/>
    <w:rsid w:val="00EB1CBF"/>
    <w:rsid w:val="00EB1D2A"/>
    <w:rsid w:val="00EB1D77"/>
    <w:rsid w:val="00EB1DC7"/>
    <w:rsid w:val="00EB1F38"/>
    <w:rsid w:val="00EB1F74"/>
    <w:rsid w:val="00EB1F9B"/>
    <w:rsid w:val="00EB1FBB"/>
    <w:rsid w:val="00EB1FBD"/>
    <w:rsid w:val="00EB1FDC"/>
    <w:rsid w:val="00EB20DC"/>
    <w:rsid w:val="00EB2225"/>
    <w:rsid w:val="00EB223F"/>
    <w:rsid w:val="00EB23C2"/>
    <w:rsid w:val="00EB2487"/>
    <w:rsid w:val="00EB24A0"/>
    <w:rsid w:val="00EB2579"/>
    <w:rsid w:val="00EB25D4"/>
    <w:rsid w:val="00EB264D"/>
    <w:rsid w:val="00EB266A"/>
    <w:rsid w:val="00EB2672"/>
    <w:rsid w:val="00EB26B1"/>
    <w:rsid w:val="00EB26B4"/>
    <w:rsid w:val="00EB2810"/>
    <w:rsid w:val="00EB296F"/>
    <w:rsid w:val="00EB2A4B"/>
    <w:rsid w:val="00EB2AA3"/>
    <w:rsid w:val="00EB2C5A"/>
    <w:rsid w:val="00EB2D6D"/>
    <w:rsid w:val="00EB2D82"/>
    <w:rsid w:val="00EB2DF1"/>
    <w:rsid w:val="00EB3002"/>
    <w:rsid w:val="00EB300B"/>
    <w:rsid w:val="00EB3085"/>
    <w:rsid w:val="00EB3190"/>
    <w:rsid w:val="00EB31DF"/>
    <w:rsid w:val="00EB32C2"/>
    <w:rsid w:val="00EB3322"/>
    <w:rsid w:val="00EB33D9"/>
    <w:rsid w:val="00EB3426"/>
    <w:rsid w:val="00EB3470"/>
    <w:rsid w:val="00EB34D0"/>
    <w:rsid w:val="00EB35EE"/>
    <w:rsid w:val="00EB3664"/>
    <w:rsid w:val="00EB3686"/>
    <w:rsid w:val="00EB3806"/>
    <w:rsid w:val="00EB382C"/>
    <w:rsid w:val="00EB385C"/>
    <w:rsid w:val="00EB399A"/>
    <w:rsid w:val="00EB3AC0"/>
    <w:rsid w:val="00EB3B7D"/>
    <w:rsid w:val="00EB3B8C"/>
    <w:rsid w:val="00EB3CED"/>
    <w:rsid w:val="00EB3DB0"/>
    <w:rsid w:val="00EB3EAF"/>
    <w:rsid w:val="00EB3EB6"/>
    <w:rsid w:val="00EB3F34"/>
    <w:rsid w:val="00EB3F52"/>
    <w:rsid w:val="00EB3F5F"/>
    <w:rsid w:val="00EB3FF6"/>
    <w:rsid w:val="00EB4022"/>
    <w:rsid w:val="00EB4133"/>
    <w:rsid w:val="00EB421C"/>
    <w:rsid w:val="00EB42E5"/>
    <w:rsid w:val="00EB4304"/>
    <w:rsid w:val="00EB4337"/>
    <w:rsid w:val="00EB4340"/>
    <w:rsid w:val="00EB4478"/>
    <w:rsid w:val="00EB44E4"/>
    <w:rsid w:val="00EB454F"/>
    <w:rsid w:val="00EB4798"/>
    <w:rsid w:val="00EB48A5"/>
    <w:rsid w:val="00EB4972"/>
    <w:rsid w:val="00EB49C1"/>
    <w:rsid w:val="00EB4B7A"/>
    <w:rsid w:val="00EB4BD1"/>
    <w:rsid w:val="00EB4C8F"/>
    <w:rsid w:val="00EB4CA2"/>
    <w:rsid w:val="00EB4D46"/>
    <w:rsid w:val="00EB4E4A"/>
    <w:rsid w:val="00EB4F4A"/>
    <w:rsid w:val="00EB4FBC"/>
    <w:rsid w:val="00EB5194"/>
    <w:rsid w:val="00EB5213"/>
    <w:rsid w:val="00EB533D"/>
    <w:rsid w:val="00EB5369"/>
    <w:rsid w:val="00EB5371"/>
    <w:rsid w:val="00EB546A"/>
    <w:rsid w:val="00EB55A2"/>
    <w:rsid w:val="00EB57AE"/>
    <w:rsid w:val="00EB57FC"/>
    <w:rsid w:val="00EB58B4"/>
    <w:rsid w:val="00EB58D4"/>
    <w:rsid w:val="00EB58FD"/>
    <w:rsid w:val="00EB5AC0"/>
    <w:rsid w:val="00EB5B9D"/>
    <w:rsid w:val="00EB5C72"/>
    <w:rsid w:val="00EB5E2A"/>
    <w:rsid w:val="00EB5E39"/>
    <w:rsid w:val="00EB5ED6"/>
    <w:rsid w:val="00EB5ED7"/>
    <w:rsid w:val="00EB6070"/>
    <w:rsid w:val="00EB620C"/>
    <w:rsid w:val="00EB6247"/>
    <w:rsid w:val="00EB631E"/>
    <w:rsid w:val="00EB6327"/>
    <w:rsid w:val="00EB644D"/>
    <w:rsid w:val="00EB6481"/>
    <w:rsid w:val="00EB6482"/>
    <w:rsid w:val="00EB64BC"/>
    <w:rsid w:val="00EB64D1"/>
    <w:rsid w:val="00EB650C"/>
    <w:rsid w:val="00EB6514"/>
    <w:rsid w:val="00EB6597"/>
    <w:rsid w:val="00EB66B0"/>
    <w:rsid w:val="00EB66CD"/>
    <w:rsid w:val="00EB6762"/>
    <w:rsid w:val="00EB6799"/>
    <w:rsid w:val="00EB67C2"/>
    <w:rsid w:val="00EB685D"/>
    <w:rsid w:val="00EB68E5"/>
    <w:rsid w:val="00EB697A"/>
    <w:rsid w:val="00EB6984"/>
    <w:rsid w:val="00EB69A3"/>
    <w:rsid w:val="00EB6ACE"/>
    <w:rsid w:val="00EB6ADA"/>
    <w:rsid w:val="00EB6AED"/>
    <w:rsid w:val="00EB6B8D"/>
    <w:rsid w:val="00EB6CEF"/>
    <w:rsid w:val="00EB6D60"/>
    <w:rsid w:val="00EB6E5B"/>
    <w:rsid w:val="00EB6EE3"/>
    <w:rsid w:val="00EB6FEF"/>
    <w:rsid w:val="00EB7140"/>
    <w:rsid w:val="00EB7148"/>
    <w:rsid w:val="00EB71A1"/>
    <w:rsid w:val="00EB71DC"/>
    <w:rsid w:val="00EB7210"/>
    <w:rsid w:val="00EB7349"/>
    <w:rsid w:val="00EB740D"/>
    <w:rsid w:val="00EB7434"/>
    <w:rsid w:val="00EB746B"/>
    <w:rsid w:val="00EB76DF"/>
    <w:rsid w:val="00EB772E"/>
    <w:rsid w:val="00EB77CB"/>
    <w:rsid w:val="00EB7A6A"/>
    <w:rsid w:val="00EB7AC1"/>
    <w:rsid w:val="00EB7AC3"/>
    <w:rsid w:val="00EB7B40"/>
    <w:rsid w:val="00EB7BB7"/>
    <w:rsid w:val="00EB7CEB"/>
    <w:rsid w:val="00EB7D08"/>
    <w:rsid w:val="00EB7D17"/>
    <w:rsid w:val="00EB7D70"/>
    <w:rsid w:val="00EB7DF6"/>
    <w:rsid w:val="00EB7FFE"/>
    <w:rsid w:val="00EC0047"/>
    <w:rsid w:val="00EC0050"/>
    <w:rsid w:val="00EC015B"/>
    <w:rsid w:val="00EC0163"/>
    <w:rsid w:val="00EC01B4"/>
    <w:rsid w:val="00EC0293"/>
    <w:rsid w:val="00EC049E"/>
    <w:rsid w:val="00EC0600"/>
    <w:rsid w:val="00EC0699"/>
    <w:rsid w:val="00EC0701"/>
    <w:rsid w:val="00EC0741"/>
    <w:rsid w:val="00EC0AD5"/>
    <w:rsid w:val="00EC0B1B"/>
    <w:rsid w:val="00EC0B27"/>
    <w:rsid w:val="00EC0B2D"/>
    <w:rsid w:val="00EC0BCB"/>
    <w:rsid w:val="00EC0CA1"/>
    <w:rsid w:val="00EC0E02"/>
    <w:rsid w:val="00EC0E31"/>
    <w:rsid w:val="00EC0E85"/>
    <w:rsid w:val="00EC0F33"/>
    <w:rsid w:val="00EC0F82"/>
    <w:rsid w:val="00EC10C4"/>
    <w:rsid w:val="00EC134B"/>
    <w:rsid w:val="00EC1412"/>
    <w:rsid w:val="00EC158F"/>
    <w:rsid w:val="00EC15A7"/>
    <w:rsid w:val="00EC1866"/>
    <w:rsid w:val="00EC1A45"/>
    <w:rsid w:val="00EC1AB8"/>
    <w:rsid w:val="00EC1D87"/>
    <w:rsid w:val="00EC1DE7"/>
    <w:rsid w:val="00EC1FFA"/>
    <w:rsid w:val="00EC2079"/>
    <w:rsid w:val="00EC2114"/>
    <w:rsid w:val="00EC21B0"/>
    <w:rsid w:val="00EC234A"/>
    <w:rsid w:val="00EC2415"/>
    <w:rsid w:val="00EC2430"/>
    <w:rsid w:val="00EC245B"/>
    <w:rsid w:val="00EC24F4"/>
    <w:rsid w:val="00EC2549"/>
    <w:rsid w:val="00EC277C"/>
    <w:rsid w:val="00EC2943"/>
    <w:rsid w:val="00EC29E6"/>
    <w:rsid w:val="00EC2B16"/>
    <w:rsid w:val="00EC2E96"/>
    <w:rsid w:val="00EC2F06"/>
    <w:rsid w:val="00EC2F0B"/>
    <w:rsid w:val="00EC30BE"/>
    <w:rsid w:val="00EC3143"/>
    <w:rsid w:val="00EC31D8"/>
    <w:rsid w:val="00EC31EF"/>
    <w:rsid w:val="00EC32AE"/>
    <w:rsid w:val="00EC348C"/>
    <w:rsid w:val="00EC3493"/>
    <w:rsid w:val="00EC34B8"/>
    <w:rsid w:val="00EC34D3"/>
    <w:rsid w:val="00EC3610"/>
    <w:rsid w:val="00EC3845"/>
    <w:rsid w:val="00EC3A6A"/>
    <w:rsid w:val="00EC3B08"/>
    <w:rsid w:val="00EC3B2E"/>
    <w:rsid w:val="00EC3B61"/>
    <w:rsid w:val="00EC3B6A"/>
    <w:rsid w:val="00EC3BEC"/>
    <w:rsid w:val="00EC3BED"/>
    <w:rsid w:val="00EC3CFD"/>
    <w:rsid w:val="00EC3DF2"/>
    <w:rsid w:val="00EC3F58"/>
    <w:rsid w:val="00EC3FD5"/>
    <w:rsid w:val="00EC40B8"/>
    <w:rsid w:val="00EC432A"/>
    <w:rsid w:val="00EC4352"/>
    <w:rsid w:val="00EC44D9"/>
    <w:rsid w:val="00EC450C"/>
    <w:rsid w:val="00EC4525"/>
    <w:rsid w:val="00EC46A8"/>
    <w:rsid w:val="00EC46C1"/>
    <w:rsid w:val="00EC4751"/>
    <w:rsid w:val="00EC47E9"/>
    <w:rsid w:val="00EC481E"/>
    <w:rsid w:val="00EC4854"/>
    <w:rsid w:val="00EC4867"/>
    <w:rsid w:val="00EC4BE0"/>
    <w:rsid w:val="00EC4EE0"/>
    <w:rsid w:val="00EC4EED"/>
    <w:rsid w:val="00EC5096"/>
    <w:rsid w:val="00EC511F"/>
    <w:rsid w:val="00EC5139"/>
    <w:rsid w:val="00EC51A2"/>
    <w:rsid w:val="00EC523D"/>
    <w:rsid w:val="00EC5321"/>
    <w:rsid w:val="00EC5360"/>
    <w:rsid w:val="00EC54BD"/>
    <w:rsid w:val="00EC54EC"/>
    <w:rsid w:val="00EC55DD"/>
    <w:rsid w:val="00EC55DF"/>
    <w:rsid w:val="00EC5690"/>
    <w:rsid w:val="00EC5772"/>
    <w:rsid w:val="00EC57E7"/>
    <w:rsid w:val="00EC5964"/>
    <w:rsid w:val="00EC5A1E"/>
    <w:rsid w:val="00EC5A72"/>
    <w:rsid w:val="00EC5B8D"/>
    <w:rsid w:val="00EC5BDE"/>
    <w:rsid w:val="00EC5C84"/>
    <w:rsid w:val="00EC5D7A"/>
    <w:rsid w:val="00EC5F2C"/>
    <w:rsid w:val="00EC6040"/>
    <w:rsid w:val="00EC608B"/>
    <w:rsid w:val="00EC60A5"/>
    <w:rsid w:val="00EC60B5"/>
    <w:rsid w:val="00EC61DF"/>
    <w:rsid w:val="00EC632B"/>
    <w:rsid w:val="00EC64DC"/>
    <w:rsid w:val="00EC6534"/>
    <w:rsid w:val="00EC673A"/>
    <w:rsid w:val="00EC6807"/>
    <w:rsid w:val="00EC689B"/>
    <w:rsid w:val="00EC68D4"/>
    <w:rsid w:val="00EC6A12"/>
    <w:rsid w:val="00EC6A2E"/>
    <w:rsid w:val="00EC6A42"/>
    <w:rsid w:val="00EC6A46"/>
    <w:rsid w:val="00EC6BA6"/>
    <w:rsid w:val="00EC6C01"/>
    <w:rsid w:val="00EC6C4E"/>
    <w:rsid w:val="00EC6C91"/>
    <w:rsid w:val="00EC6CA3"/>
    <w:rsid w:val="00EC6D54"/>
    <w:rsid w:val="00EC6D59"/>
    <w:rsid w:val="00EC6DE1"/>
    <w:rsid w:val="00EC6F22"/>
    <w:rsid w:val="00EC715A"/>
    <w:rsid w:val="00EC71D1"/>
    <w:rsid w:val="00EC7250"/>
    <w:rsid w:val="00EC7287"/>
    <w:rsid w:val="00EC7396"/>
    <w:rsid w:val="00EC73A5"/>
    <w:rsid w:val="00EC751C"/>
    <w:rsid w:val="00EC753C"/>
    <w:rsid w:val="00EC759B"/>
    <w:rsid w:val="00EC77A1"/>
    <w:rsid w:val="00EC77A8"/>
    <w:rsid w:val="00EC78BF"/>
    <w:rsid w:val="00EC7990"/>
    <w:rsid w:val="00EC79A9"/>
    <w:rsid w:val="00EC79CA"/>
    <w:rsid w:val="00EC7A2F"/>
    <w:rsid w:val="00EC7A65"/>
    <w:rsid w:val="00EC7B99"/>
    <w:rsid w:val="00EC7D25"/>
    <w:rsid w:val="00EC7E09"/>
    <w:rsid w:val="00ED0272"/>
    <w:rsid w:val="00ED02E6"/>
    <w:rsid w:val="00ED046A"/>
    <w:rsid w:val="00ED0537"/>
    <w:rsid w:val="00ED0630"/>
    <w:rsid w:val="00ED0934"/>
    <w:rsid w:val="00ED0945"/>
    <w:rsid w:val="00ED0A43"/>
    <w:rsid w:val="00ED0BC4"/>
    <w:rsid w:val="00ED0C4F"/>
    <w:rsid w:val="00ED0C5B"/>
    <w:rsid w:val="00ED0CC1"/>
    <w:rsid w:val="00ED0D02"/>
    <w:rsid w:val="00ED0D40"/>
    <w:rsid w:val="00ED0DD9"/>
    <w:rsid w:val="00ED0E12"/>
    <w:rsid w:val="00ED0EBA"/>
    <w:rsid w:val="00ED1012"/>
    <w:rsid w:val="00ED10F4"/>
    <w:rsid w:val="00ED12BE"/>
    <w:rsid w:val="00ED13AA"/>
    <w:rsid w:val="00ED159E"/>
    <w:rsid w:val="00ED15DB"/>
    <w:rsid w:val="00ED15E1"/>
    <w:rsid w:val="00ED1825"/>
    <w:rsid w:val="00ED1968"/>
    <w:rsid w:val="00ED1AC9"/>
    <w:rsid w:val="00ED1BBA"/>
    <w:rsid w:val="00ED1CD7"/>
    <w:rsid w:val="00ED1D82"/>
    <w:rsid w:val="00ED1D91"/>
    <w:rsid w:val="00ED1E82"/>
    <w:rsid w:val="00ED1F55"/>
    <w:rsid w:val="00ED1F63"/>
    <w:rsid w:val="00ED203E"/>
    <w:rsid w:val="00ED2137"/>
    <w:rsid w:val="00ED2160"/>
    <w:rsid w:val="00ED219F"/>
    <w:rsid w:val="00ED220D"/>
    <w:rsid w:val="00ED2393"/>
    <w:rsid w:val="00ED2577"/>
    <w:rsid w:val="00ED266B"/>
    <w:rsid w:val="00ED282A"/>
    <w:rsid w:val="00ED286E"/>
    <w:rsid w:val="00ED289A"/>
    <w:rsid w:val="00ED296D"/>
    <w:rsid w:val="00ED2A65"/>
    <w:rsid w:val="00ED2A90"/>
    <w:rsid w:val="00ED2B38"/>
    <w:rsid w:val="00ED2C17"/>
    <w:rsid w:val="00ED2D12"/>
    <w:rsid w:val="00ED2DA2"/>
    <w:rsid w:val="00ED2F99"/>
    <w:rsid w:val="00ED3074"/>
    <w:rsid w:val="00ED3091"/>
    <w:rsid w:val="00ED309D"/>
    <w:rsid w:val="00ED30DC"/>
    <w:rsid w:val="00ED31B8"/>
    <w:rsid w:val="00ED3340"/>
    <w:rsid w:val="00ED33A4"/>
    <w:rsid w:val="00ED33C8"/>
    <w:rsid w:val="00ED33CD"/>
    <w:rsid w:val="00ED33D7"/>
    <w:rsid w:val="00ED3440"/>
    <w:rsid w:val="00ED3482"/>
    <w:rsid w:val="00ED34F5"/>
    <w:rsid w:val="00ED34FA"/>
    <w:rsid w:val="00ED36ED"/>
    <w:rsid w:val="00ED38ED"/>
    <w:rsid w:val="00ED39A7"/>
    <w:rsid w:val="00ED3A03"/>
    <w:rsid w:val="00ED3A86"/>
    <w:rsid w:val="00ED3B22"/>
    <w:rsid w:val="00ED3C68"/>
    <w:rsid w:val="00ED3CDD"/>
    <w:rsid w:val="00ED3CF4"/>
    <w:rsid w:val="00ED3D34"/>
    <w:rsid w:val="00ED3D7B"/>
    <w:rsid w:val="00ED3DF2"/>
    <w:rsid w:val="00ED3F70"/>
    <w:rsid w:val="00ED3F84"/>
    <w:rsid w:val="00ED401D"/>
    <w:rsid w:val="00ED41EC"/>
    <w:rsid w:val="00ED4225"/>
    <w:rsid w:val="00ED4254"/>
    <w:rsid w:val="00ED4282"/>
    <w:rsid w:val="00ED42E7"/>
    <w:rsid w:val="00ED4411"/>
    <w:rsid w:val="00ED4671"/>
    <w:rsid w:val="00ED46BD"/>
    <w:rsid w:val="00ED46C2"/>
    <w:rsid w:val="00ED47CE"/>
    <w:rsid w:val="00ED4894"/>
    <w:rsid w:val="00ED48A8"/>
    <w:rsid w:val="00ED4A8E"/>
    <w:rsid w:val="00ED4C81"/>
    <w:rsid w:val="00ED4C93"/>
    <w:rsid w:val="00ED4CAA"/>
    <w:rsid w:val="00ED4D08"/>
    <w:rsid w:val="00ED4D24"/>
    <w:rsid w:val="00ED4F69"/>
    <w:rsid w:val="00ED4FAB"/>
    <w:rsid w:val="00ED4FC7"/>
    <w:rsid w:val="00ED4FF2"/>
    <w:rsid w:val="00ED508D"/>
    <w:rsid w:val="00ED5184"/>
    <w:rsid w:val="00ED551E"/>
    <w:rsid w:val="00ED5527"/>
    <w:rsid w:val="00ED5530"/>
    <w:rsid w:val="00ED56AD"/>
    <w:rsid w:val="00ED56EC"/>
    <w:rsid w:val="00ED57DE"/>
    <w:rsid w:val="00ED5963"/>
    <w:rsid w:val="00ED5AAF"/>
    <w:rsid w:val="00ED5AD9"/>
    <w:rsid w:val="00ED5B34"/>
    <w:rsid w:val="00ED5B73"/>
    <w:rsid w:val="00ED5D92"/>
    <w:rsid w:val="00ED6006"/>
    <w:rsid w:val="00ED61B3"/>
    <w:rsid w:val="00ED6387"/>
    <w:rsid w:val="00ED63CC"/>
    <w:rsid w:val="00ED6485"/>
    <w:rsid w:val="00ED64A3"/>
    <w:rsid w:val="00ED65F8"/>
    <w:rsid w:val="00ED66B4"/>
    <w:rsid w:val="00ED694F"/>
    <w:rsid w:val="00ED6954"/>
    <w:rsid w:val="00ED6986"/>
    <w:rsid w:val="00ED698E"/>
    <w:rsid w:val="00ED69C8"/>
    <w:rsid w:val="00ED69E4"/>
    <w:rsid w:val="00ED6AF9"/>
    <w:rsid w:val="00ED6D5C"/>
    <w:rsid w:val="00ED6F54"/>
    <w:rsid w:val="00ED7073"/>
    <w:rsid w:val="00ED7343"/>
    <w:rsid w:val="00ED7422"/>
    <w:rsid w:val="00ED7434"/>
    <w:rsid w:val="00ED74E0"/>
    <w:rsid w:val="00ED769B"/>
    <w:rsid w:val="00ED78BA"/>
    <w:rsid w:val="00ED7961"/>
    <w:rsid w:val="00ED79BE"/>
    <w:rsid w:val="00ED7A32"/>
    <w:rsid w:val="00ED7C1B"/>
    <w:rsid w:val="00ED7D52"/>
    <w:rsid w:val="00ED7D78"/>
    <w:rsid w:val="00ED7E12"/>
    <w:rsid w:val="00ED7EB5"/>
    <w:rsid w:val="00ED7F0B"/>
    <w:rsid w:val="00ED7FAE"/>
    <w:rsid w:val="00EE005B"/>
    <w:rsid w:val="00EE0157"/>
    <w:rsid w:val="00EE0171"/>
    <w:rsid w:val="00EE0282"/>
    <w:rsid w:val="00EE0449"/>
    <w:rsid w:val="00EE04DF"/>
    <w:rsid w:val="00EE051D"/>
    <w:rsid w:val="00EE06B9"/>
    <w:rsid w:val="00EE06CF"/>
    <w:rsid w:val="00EE06FD"/>
    <w:rsid w:val="00EE0746"/>
    <w:rsid w:val="00EE078E"/>
    <w:rsid w:val="00EE07B9"/>
    <w:rsid w:val="00EE0868"/>
    <w:rsid w:val="00EE0887"/>
    <w:rsid w:val="00EE0932"/>
    <w:rsid w:val="00EE0A35"/>
    <w:rsid w:val="00EE0B7F"/>
    <w:rsid w:val="00EE0D06"/>
    <w:rsid w:val="00EE0D3C"/>
    <w:rsid w:val="00EE0D57"/>
    <w:rsid w:val="00EE0DD4"/>
    <w:rsid w:val="00EE0DF5"/>
    <w:rsid w:val="00EE0E70"/>
    <w:rsid w:val="00EE114F"/>
    <w:rsid w:val="00EE1186"/>
    <w:rsid w:val="00EE1395"/>
    <w:rsid w:val="00EE13F5"/>
    <w:rsid w:val="00EE150B"/>
    <w:rsid w:val="00EE1746"/>
    <w:rsid w:val="00EE17A7"/>
    <w:rsid w:val="00EE1941"/>
    <w:rsid w:val="00EE1E25"/>
    <w:rsid w:val="00EE1E7C"/>
    <w:rsid w:val="00EE1FAA"/>
    <w:rsid w:val="00EE1FB9"/>
    <w:rsid w:val="00EE20DC"/>
    <w:rsid w:val="00EE2141"/>
    <w:rsid w:val="00EE227F"/>
    <w:rsid w:val="00EE24ED"/>
    <w:rsid w:val="00EE24F6"/>
    <w:rsid w:val="00EE2524"/>
    <w:rsid w:val="00EE272E"/>
    <w:rsid w:val="00EE2816"/>
    <w:rsid w:val="00EE2829"/>
    <w:rsid w:val="00EE28E7"/>
    <w:rsid w:val="00EE2946"/>
    <w:rsid w:val="00EE29E0"/>
    <w:rsid w:val="00EE2D22"/>
    <w:rsid w:val="00EE2DB1"/>
    <w:rsid w:val="00EE2E99"/>
    <w:rsid w:val="00EE2F3E"/>
    <w:rsid w:val="00EE303C"/>
    <w:rsid w:val="00EE30FE"/>
    <w:rsid w:val="00EE317F"/>
    <w:rsid w:val="00EE325C"/>
    <w:rsid w:val="00EE3329"/>
    <w:rsid w:val="00EE3361"/>
    <w:rsid w:val="00EE33FF"/>
    <w:rsid w:val="00EE3443"/>
    <w:rsid w:val="00EE3457"/>
    <w:rsid w:val="00EE3486"/>
    <w:rsid w:val="00EE3619"/>
    <w:rsid w:val="00EE3652"/>
    <w:rsid w:val="00EE36B4"/>
    <w:rsid w:val="00EE371D"/>
    <w:rsid w:val="00EE37A0"/>
    <w:rsid w:val="00EE387F"/>
    <w:rsid w:val="00EE3904"/>
    <w:rsid w:val="00EE3A3D"/>
    <w:rsid w:val="00EE3A74"/>
    <w:rsid w:val="00EE3AC9"/>
    <w:rsid w:val="00EE3B5C"/>
    <w:rsid w:val="00EE3BC3"/>
    <w:rsid w:val="00EE3D14"/>
    <w:rsid w:val="00EE3E54"/>
    <w:rsid w:val="00EE3FD0"/>
    <w:rsid w:val="00EE4044"/>
    <w:rsid w:val="00EE4064"/>
    <w:rsid w:val="00EE4095"/>
    <w:rsid w:val="00EE427E"/>
    <w:rsid w:val="00EE4527"/>
    <w:rsid w:val="00EE453F"/>
    <w:rsid w:val="00EE457A"/>
    <w:rsid w:val="00EE45AB"/>
    <w:rsid w:val="00EE4649"/>
    <w:rsid w:val="00EE4728"/>
    <w:rsid w:val="00EE487D"/>
    <w:rsid w:val="00EE491A"/>
    <w:rsid w:val="00EE4AB5"/>
    <w:rsid w:val="00EE4B84"/>
    <w:rsid w:val="00EE4C46"/>
    <w:rsid w:val="00EE4C6A"/>
    <w:rsid w:val="00EE50A6"/>
    <w:rsid w:val="00EE514A"/>
    <w:rsid w:val="00EE522A"/>
    <w:rsid w:val="00EE5284"/>
    <w:rsid w:val="00EE52A7"/>
    <w:rsid w:val="00EE52B4"/>
    <w:rsid w:val="00EE52D6"/>
    <w:rsid w:val="00EE52FE"/>
    <w:rsid w:val="00EE53C2"/>
    <w:rsid w:val="00EE55C7"/>
    <w:rsid w:val="00EE55CF"/>
    <w:rsid w:val="00EE5689"/>
    <w:rsid w:val="00EE56CD"/>
    <w:rsid w:val="00EE56F6"/>
    <w:rsid w:val="00EE5ABF"/>
    <w:rsid w:val="00EE5C6D"/>
    <w:rsid w:val="00EE5CF0"/>
    <w:rsid w:val="00EE5D22"/>
    <w:rsid w:val="00EE5D2C"/>
    <w:rsid w:val="00EE5E1C"/>
    <w:rsid w:val="00EE60D5"/>
    <w:rsid w:val="00EE638D"/>
    <w:rsid w:val="00EE639F"/>
    <w:rsid w:val="00EE6509"/>
    <w:rsid w:val="00EE6539"/>
    <w:rsid w:val="00EE66A5"/>
    <w:rsid w:val="00EE66DF"/>
    <w:rsid w:val="00EE68B1"/>
    <w:rsid w:val="00EE68B2"/>
    <w:rsid w:val="00EE691E"/>
    <w:rsid w:val="00EE69D5"/>
    <w:rsid w:val="00EE6A52"/>
    <w:rsid w:val="00EE6AC3"/>
    <w:rsid w:val="00EE6AFA"/>
    <w:rsid w:val="00EE6B2D"/>
    <w:rsid w:val="00EE6E08"/>
    <w:rsid w:val="00EE6E0D"/>
    <w:rsid w:val="00EE6F5C"/>
    <w:rsid w:val="00EE710C"/>
    <w:rsid w:val="00EE71B5"/>
    <w:rsid w:val="00EE71CE"/>
    <w:rsid w:val="00EE7375"/>
    <w:rsid w:val="00EE7410"/>
    <w:rsid w:val="00EE777E"/>
    <w:rsid w:val="00EE7889"/>
    <w:rsid w:val="00EE7ABA"/>
    <w:rsid w:val="00EE7B85"/>
    <w:rsid w:val="00EE7CF9"/>
    <w:rsid w:val="00EE7E31"/>
    <w:rsid w:val="00EE7E88"/>
    <w:rsid w:val="00EE7ECC"/>
    <w:rsid w:val="00EE7EF2"/>
    <w:rsid w:val="00EE7FB6"/>
    <w:rsid w:val="00EF03B5"/>
    <w:rsid w:val="00EF049C"/>
    <w:rsid w:val="00EF056A"/>
    <w:rsid w:val="00EF0A1E"/>
    <w:rsid w:val="00EF0A72"/>
    <w:rsid w:val="00EF0B1E"/>
    <w:rsid w:val="00EF0C09"/>
    <w:rsid w:val="00EF0C4F"/>
    <w:rsid w:val="00EF0C85"/>
    <w:rsid w:val="00EF0D0C"/>
    <w:rsid w:val="00EF0D23"/>
    <w:rsid w:val="00EF0E9C"/>
    <w:rsid w:val="00EF0FA1"/>
    <w:rsid w:val="00EF1053"/>
    <w:rsid w:val="00EF10A7"/>
    <w:rsid w:val="00EF10E5"/>
    <w:rsid w:val="00EF12EF"/>
    <w:rsid w:val="00EF132F"/>
    <w:rsid w:val="00EF13FC"/>
    <w:rsid w:val="00EF1489"/>
    <w:rsid w:val="00EF15B2"/>
    <w:rsid w:val="00EF1608"/>
    <w:rsid w:val="00EF16CA"/>
    <w:rsid w:val="00EF17E4"/>
    <w:rsid w:val="00EF18A4"/>
    <w:rsid w:val="00EF1A21"/>
    <w:rsid w:val="00EF1A3C"/>
    <w:rsid w:val="00EF1AB4"/>
    <w:rsid w:val="00EF1B7E"/>
    <w:rsid w:val="00EF1BAE"/>
    <w:rsid w:val="00EF1BE4"/>
    <w:rsid w:val="00EF1C36"/>
    <w:rsid w:val="00EF1C6A"/>
    <w:rsid w:val="00EF1CA8"/>
    <w:rsid w:val="00EF1DC4"/>
    <w:rsid w:val="00EF2103"/>
    <w:rsid w:val="00EF2148"/>
    <w:rsid w:val="00EF2300"/>
    <w:rsid w:val="00EF230D"/>
    <w:rsid w:val="00EF23CC"/>
    <w:rsid w:val="00EF2454"/>
    <w:rsid w:val="00EF2560"/>
    <w:rsid w:val="00EF2572"/>
    <w:rsid w:val="00EF2686"/>
    <w:rsid w:val="00EF2758"/>
    <w:rsid w:val="00EF2836"/>
    <w:rsid w:val="00EF2857"/>
    <w:rsid w:val="00EF28F5"/>
    <w:rsid w:val="00EF291F"/>
    <w:rsid w:val="00EF299A"/>
    <w:rsid w:val="00EF29E8"/>
    <w:rsid w:val="00EF2B41"/>
    <w:rsid w:val="00EF2BBB"/>
    <w:rsid w:val="00EF2BCD"/>
    <w:rsid w:val="00EF2BE6"/>
    <w:rsid w:val="00EF2C3F"/>
    <w:rsid w:val="00EF2D57"/>
    <w:rsid w:val="00EF2E66"/>
    <w:rsid w:val="00EF2EAD"/>
    <w:rsid w:val="00EF2F5A"/>
    <w:rsid w:val="00EF306C"/>
    <w:rsid w:val="00EF30F0"/>
    <w:rsid w:val="00EF3131"/>
    <w:rsid w:val="00EF3171"/>
    <w:rsid w:val="00EF3192"/>
    <w:rsid w:val="00EF31CA"/>
    <w:rsid w:val="00EF3337"/>
    <w:rsid w:val="00EF338C"/>
    <w:rsid w:val="00EF33AC"/>
    <w:rsid w:val="00EF34AE"/>
    <w:rsid w:val="00EF3514"/>
    <w:rsid w:val="00EF3517"/>
    <w:rsid w:val="00EF3561"/>
    <w:rsid w:val="00EF35F5"/>
    <w:rsid w:val="00EF3733"/>
    <w:rsid w:val="00EF3940"/>
    <w:rsid w:val="00EF39BF"/>
    <w:rsid w:val="00EF3A8C"/>
    <w:rsid w:val="00EF3C67"/>
    <w:rsid w:val="00EF3CA9"/>
    <w:rsid w:val="00EF3CC8"/>
    <w:rsid w:val="00EF3D34"/>
    <w:rsid w:val="00EF3D3A"/>
    <w:rsid w:val="00EF3D4C"/>
    <w:rsid w:val="00EF3E1E"/>
    <w:rsid w:val="00EF3EFC"/>
    <w:rsid w:val="00EF3EFE"/>
    <w:rsid w:val="00EF3F25"/>
    <w:rsid w:val="00EF3F2A"/>
    <w:rsid w:val="00EF3FEA"/>
    <w:rsid w:val="00EF4064"/>
    <w:rsid w:val="00EF406D"/>
    <w:rsid w:val="00EF4213"/>
    <w:rsid w:val="00EF4319"/>
    <w:rsid w:val="00EF43F7"/>
    <w:rsid w:val="00EF461A"/>
    <w:rsid w:val="00EF4736"/>
    <w:rsid w:val="00EF4799"/>
    <w:rsid w:val="00EF47F8"/>
    <w:rsid w:val="00EF4944"/>
    <w:rsid w:val="00EF496D"/>
    <w:rsid w:val="00EF4A1E"/>
    <w:rsid w:val="00EF4A50"/>
    <w:rsid w:val="00EF4A8E"/>
    <w:rsid w:val="00EF4B04"/>
    <w:rsid w:val="00EF4B13"/>
    <w:rsid w:val="00EF4BF9"/>
    <w:rsid w:val="00EF4C03"/>
    <w:rsid w:val="00EF4C2C"/>
    <w:rsid w:val="00EF4C8A"/>
    <w:rsid w:val="00EF4CDF"/>
    <w:rsid w:val="00EF4E02"/>
    <w:rsid w:val="00EF4E26"/>
    <w:rsid w:val="00EF4E96"/>
    <w:rsid w:val="00EF4F88"/>
    <w:rsid w:val="00EF506C"/>
    <w:rsid w:val="00EF521A"/>
    <w:rsid w:val="00EF5226"/>
    <w:rsid w:val="00EF5228"/>
    <w:rsid w:val="00EF5254"/>
    <w:rsid w:val="00EF5275"/>
    <w:rsid w:val="00EF579B"/>
    <w:rsid w:val="00EF582B"/>
    <w:rsid w:val="00EF58F5"/>
    <w:rsid w:val="00EF5A7E"/>
    <w:rsid w:val="00EF5B66"/>
    <w:rsid w:val="00EF5CA8"/>
    <w:rsid w:val="00EF5CDA"/>
    <w:rsid w:val="00EF5CF6"/>
    <w:rsid w:val="00EF5D27"/>
    <w:rsid w:val="00EF5D37"/>
    <w:rsid w:val="00EF5E07"/>
    <w:rsid w:val="00EF5E42"/>
    <w:rsid w:val="00EF5E8E"/>
    <w:rsid w:val="00EF60BC"/>
    <w:rsid w:val="00EF6198"/>
    <w:rsid w:val="00EF62D8"/>
    <w:rsid w:val="00EF62FF"/>
    <w:rsid w:val="00EF6366"/>
    <w:rsid w:val="00EF6507"/>
    <w:rsid w:val="00EF6616"/>
    <w:rsid w:val="00EF680B"/>
    <w:rsid w:val="00EF682E"/>
    <w:rsid w:val="00EF6A5C"/>
    <w:rsid w:val="00EF6BD6"/>
    <w:rsid w:val="00EF6BD9"/>
    <w:rsid w:val="00EF6C07"/>
    <w:rsid w:val="00EF6D1C"/>
    <w:rsid w:val="00EF6D43"/>
    <w:rsid w:val="00EF6D52"/>
    <w:rsid w:val="00EF6DA6"/>
    <w:rsid w:val="00EF6DF5"/>
    <w:rsid w:val="00EF6E4B"/>
    <w:rsid w:val="00EF6E8F"/>
    <w:rsid w:val="00EF7072"/>
    <w:rsid w:val="00EF707E"/>
    <w:rsid w:val="00EF70EB"/>
    <w:rsid w:val="00EF71C6"/>
    <w:rsid w:val="00EF7692"/>
    <w:rsid w:val="00EF7765"/>
    <w:rsid w:val="00EF7980"/>
    <w:rsid w:val="00EF7A5D"/>
    <w:rsid w:val="00EF7A6D"/>
    <w:rsid w:val="00EF7AEF"/>
    <w:rsid w:val="00EF7B2B"/>
    <w:rsid w:val="00EF7B44"/>
    <w:rsid w:val="00EF7B9C"/>
    <w:rsid w:val="00EF7BD0"/>
    <w:rsid w:val="00EF7BD1"/>
    <w:rsid w:val="00EF7BE8"/>
    <w:rsid w:val="00EF7CC0"/>
    <w:rsid w:val="00EF7D77"/>
    <w:rsid w:val="00EF7E63"/>
    <w:rsid w:val="00EF7E84"/>
    <w:rsid w:val="00EF7F0C"/>
    <w:rsid w:val="00EF7F5B"/>
    <w:rsid w:val="00F00004"/>
    <w:rsid w:val="00F001FC"/>
    <w:rsid w:val="00F002F1"/>
    <w:rsid w:val="00F00339"/>
    <w:rsid w:val="00F00397"/>
    <w:rsid w:val="00F00457"/>
    <w:rsid w:val="00F004D0"/>
    <w:rsid w:val="00F00514"/>
    <w:rsid w:val="00F005BC"/>
    <w:rsid w:val="00F006EA"/>
    <w:rsid w:val="00F0072F"/>
    <w:rsid w:val="00F0077D"/>
    <w:rsid w:val="00F007E1"/>
    <w:rsid w:val="00F0085D"/>
    <w:rsid w:val="00F0087A"/>
    <w:rsid w:val="00F00886"/>
    <w:rsid w:val="00F0096C"/>
    <w:rsid w:val="00F009CE"/>
    <w:rsid w:val="00F00BDB"/>
    <w:rsid w:val="00F00C20"/>
    <w:rsid w:val="00F00C77"/>
    <w:rsid w:val="00F00D4E"/>
    <w:rsid w:val="00F00D6F"/>
    <w:rsid w:val="00F00D98"/>
    <w:rsid w:val="00F00DE9"/>
    <w:rsid w:val="00F00E15"/>
    <w:rsid w:val="00F00EC2"/>
    <w:rsid w:val="00F01015"/>
    <w:rsid w:val="00F010A4"/>
    <w:rsid w:val="00F01138"/>
    <w:rsid w:val="00F01340"/>
    <w:rsid w:val="00F01442"/>
    <w:rsid w:val="00F01498"/>
    <w:rsid w:val="00F0149C"/>
    <w:rsid w:val="00F01520"/>
    <w:rsid w:val="00F0159B"/>
    <w:rsid w:val="00F015D6"/>
    <w:rsid w:val="00F0178E"/>
    <w:rsid w:val="00F018A3"/>
    <w:rsid w:val="00F018BC"/>
    <w:rsid w:val="00F01A31"/>
    <w:rsid w:val="00F01AC4"/>
    <w:rsid w:val="00F01B02"/>
    <w:rsid w:val="00F01C12"/>
    <w:rsid w:val="00F01E49"/>
    <w:rsid w:val="00F01EE1"/>
    <w:rsid w:val="00F01F13"/>
    <w:rsid w:val="00F01F23"/>
    <w:rsid w:val="00F01F8D"/>
    <w:rsid w:val="00F0204A"/>
    <w:rsid w:val="00F0208E"/>
    <w:rsid w:val="00F02119"/>
    <w:rsid w:val="00F02329"/>
    <w:rsid w:val="00F02357"/>
    <w:rsid w:val="00F02419"/>
    <w:rsid w:val="00F02474"/>
    <w:rsid w:val="00F02668"/>
    <w:rsid w:val="00F0269B"/>
    <w:rsid w:val="00F027A8"/>
    <w:rsid w:val="00F027D4"/>
    <w:rsid w:val="00F0283A"/>
    <w:rsid w:val="00F02B2D"/>
    <w:rsid w:val="00F02D3B"/>
    <w:rsid w:val="00F02D4D"/>
    <w:rsid w:val="00F02D6C"/>
    <w:rsid w:val="00F02D6E"/>
    <w:rsid w:val="00F02E90"/>
    <w:rsid w:val="00F02EB3"/>
    <w:rsid w:val="00F02F25"/>
    <w:rsid w:val="00F030AB"/>
    <w:rsid w:val="00F0317D"/>
    <w:rsid w:val="00F03221"/>
    <w:rsid w:val="00F0332F"/>
    <w:rsid w:val="00F03337"/>
    <w:rsid w:val="00F0344E"/>
    <w:rsid w:val="00F03525"/>
    <w:rsid w:val="00F038D6"/>
    <w:rsid w:val="00F03943"/>
    <w:rsid w:val="00F03C38"/>
    <w:rsid w:val="00F03CC4"/>
    <w:rsid w:val="00F03F61"/>
    <w:rsid w:val="00F03F65"/>
    <w:rsid w:val="00F03FEF"/>
    <w:rsid w:val="00F040AB"/>
    <w:rsid w:val="00F040C7"/>
    <w:rsid w:val="00F042C4"/>
    <w:rsid w:val="00F042D5"/>
    <w:rsid w:val="00F04341"/>
    <w:rsid w:val="00F043DC"/>
    <w:rsid w:val="00F04475"/>
    <w:rsid w:val="00F044C3"/>
    <w:rsid w:val="00F04874"/>
    <w:rsid w:val="00F04A07"/>
    <w:rsid w:val="00F04AE5"/>
    <w:rsid w:val="00F04BBD"/>
    <w:rsid w:val="00F04C23"/>
    <w:rsid w:val="00F04C63"/>
    <w:rsid w:val="00F04EC0"/>
    <w:rsid w:val="00F0519C"/>
    <w:rsid w:val="00F0522A"/>
    <w:rsid w:val="00F0537F"/>
    <w:rsid w:val="00F054C7"/>
    <w:rsid w:val="00F054D9"/>
    <w:rsid w:val="00F0561E"/>
    <w:rsid w:val="00F056A2"/>
    <w:rsid w:val="00F0582C"/>
    <w:rsid w:val="00F058EC"/>
    <w:rsid w:val="00F05967"/>
    <w:rsid w:val="00F05983"/>
    <w:rsid w:val="00F05989"/>
    <w:rsid w:val="00F05BDE"/>
    <w:rsid w:val="00F05BEC"/>
    <w:rsid w:val="00F05E0F"/>
    <w:rsid w:val="00F05E32"/>
    <w:rsid w:val="00F05EC6"/>
    <w:rsid w:val="00F05F0E"/>
    <w:rsid w:val="00F05F39"/>
    <w:rsid w:val="00F06278"/>
    <w:rsid w:val="00F06310"/>
    <w:rsid w:val="00F063AD"/>
    <w:rsid w:val="00F064AC"/>
    <w:rsid w:val="00F065B0"/>
    <w:rsid w:val="00F066B7"/>
    <w:rsid w:val="00F0671E"/>
    <w:rsid w:val="00F067F8"/>
    <w:rsid w:val="00F0686F"/>
    <w:rsid w:val="00F068E1"/>
    <w:rsid w:val="00F068EE"/>
    <w:rsid w:val="00F06905"/>
    <w:rsid w:val="00F06A14"/>
    <w:rsid w:val="00F06C06"/>
    <w:rsid w:val="00F06D76"/>
    <w:rsid w:val="00F06DF0"/>
    <w:rsid w:val="00F06F25"/>
    <w:rsid w:val="00F06F3F"/>
    <w:rsid w:val="00F06F50"/>
    <w:rsid w:val="00F06F6A"/>
    <w:rsid w:val="00F06F98"/>
    <w:rsid w:val="00F070CA"/>
    <w:rsid w:val="00F070DC"/>
    <w:rsid w:val="00F073BA"/>
    <w:rsid w:val="00F07406"/>
    <w:rsid w:val="00F074BD"/>
    <w:rsid w:val="00F075EF"/>
    <w:rsid w:val="00F07AE0"/>
    <w:rsid w:val="00F07B4C"/>
    <w:rsid w:val="00F07BCB"/>
    <w:rsid w:val="00F07C48"/>
    <w:rsid w:val="00F07C54"/>
    <w:rsid w:val="00F07D64"/>
    <w:rsid w:val="00F07E11"/>
    <w:rsid w:val="00F07E64"/>
    <w:rsid w:val="00F07EDB"/>
    <w:rsid w:val="00F1000A"/>
    <w:rsid w:val="00F100DC"/>
    <w:rsid w:val="00F10210"/>
    <w:rsid w:val="00F10218"/>
    <w:rsid w:val="00F10265"/>
    <w:rsid w:val="00F102DA"/>
    <w:rsid w:val="00F10469"/>
    <w:rsid w:val="00F10554"/>
    <w:rsid w:val="00F1068B"/>
    <w:rsid w:val="00F10786"/>
    <w:rsid w:val="00F1079D"/>
    <w:rsid w:val="00F10829"/>
    <w:rsid w:val="00F109D3"/>
    <w:rsid w:val="00F109F2"/>
    <w:rsid w:val="00F10A10"/>
    <w:rsid w:val="00F10AC2"/>
    <w:rsid w:val="00F10AFE"/>
    <w:rsid w:val="00F10B2D"/>
    <w:rsid w:val="00F10B7C"/>
    <w:rsid w:val="00F10B87"/>
    <w:rsid w:val="00F10C71"/>
    <w:rsid w:val="00F10D5F"/>
    <w:rsid w:val="00F10F2C"/>
    <w:rsid w:val="00F10F59"/>
    <w:rsid w:val="00F111B9"/>
    <w:rsid w:val="00F112B5"/>
    <w:rsid w:val="00F11365"/>
    <w:rsid w:val="00F11401"/>
    <w:rsid w:val="00F114E6"/>
    <w:rsid w:val="00F11521"/>
    <w:rsid w:val="00F115E7"/>
    <w:rsid w:val="00F11621"/>
    <w:rsid w:val="00F11655"/>
    <w:rsid w:val="00F116E7"/>
    <w:rsid w:val="00F11725"/>
    <w:rsid w:val="00F11728"/>
    <w:rsid w:val="00F11917"/>
    <w:rsid w:val="00F11952"/>
    <w:rsid w:val="00F11A00"/>
    <w:rsid w:val="00F11A68"/>
    <w:rsid w:val="00F11C69"/>
    <w:rsid w:val="00F11D17"/>
    <w:rsid w:val="00F11D32"/>
    <w:rsid w:val="00F11D6F"/>
    <w:rsid w:val="00F11D78"/>
    <w:rsid w:val="00F11E7A"/>
    <w:rsid w:val="00F11F14"/>
    <w:rsid w:val="00F11F43"/>
    <w:rsid w:val="00F12239"/>
    <w:rsid w:val="00F122E9"/>
    <w:rsid w:val="00F12321"/>
    <w:rsid w:val="00F123AC"/>
    <w:rsid w:val="00F1240E"/>
    <w:rsid w:val="00F12502"/>
    <w:rsid w:val="00F1254C"/>
    <w:rsid w:val="00F12565"/>
    <w:rsid w:val="00F12671"/>
    <w:rsid w:val="00F12684"/>
    <w:rsid w:val="00F12781"/>
    <w:rsid w:val="00F1283F"/>
    <w:rsid w:val="00F128DC"/>
    <w:rsid w:val="00F129A8"/>
    <w:rsid w:val="00F12A1E"/>
    <w:rsid w:val="00F12AB7"/>
    <w:rsid w:val="00F12B5A"/>
    <w:rsid w:val="00F12B5B"/>
    <w:rsid w:val="00F12B6A"/>
    <w:rsid w:val="00F12C0D"/>
    <w:rsid w:val="00F12CC0"/>
    <w:rsid w:val="00F12CD1"/>
    <w:rsid w:val="00F12CD9"/>
    <w:rsid w:val="00F12DCE"/>
    <w:rsid w:val="00F12E06"/>
    <w:rsid w:val="00F13161"/>
    <w:rsid w:val="00F1317B"/>
    <w:rsid w:val="00F131C2"/>
    <w:rsid w:val="00F131D0"/>
    <w:rsid w:val="00F13259"/>
    <w:rsid w:val="00F13345"/>
    <w:rsid w:val="00F13346"/>
    <w:rsid w:val="00F133F5"/>
    <w:rsid w:val="00F134D9"/>
    <w:rsid w:val="00F134DE"/>
    <w:rsid w:val="00F13532"/>
    <w:rsid w:val="00F13618"/>
    <w:rsid w:val="00F13708"/>
    <w:rsid w:val="00F13780"/>
    <w:rsid w:val="00F137C2"/>
    <w:rsid w:val="00F1388B"/>
    <w:rsid w:val="00F138D2"/>
    <w:rsid w:val="00F138D9"/>
    <w:rsid w:val="00F138EB"/>
    <w:rsid w:val="00F13910"/>
    <w:rsid w:val="00F13992"/>
    <w:rsid w:val="00F13AA7"/>
    <w:rsid w:val="00F13AD6"/>
    <w:rsid w:val="00F13B9C"/>
    <w:rsid w:val="00F13D7B"/>
    <w:rsid w:val="00F13E4A"/>
    <w:rsid w:val="00F13E5C"/>
    <w:rsid w:val="00F13FB8"/>
    <w:rsid w:val="00F14008"/>
    <w:rsid w:val="00F1407E"/>
    <w:rsid w:val="00F14333"/>
    <w:rsid w:val="00F1441F"/>
    <w:rsid w:val="00F14583"/>
    <w:rsid w:val="00F146B5"/>
    <w:rsid w:val="00F146BE"/>
    <w:rsid w:val="00F148D6"/>
    <w:rsid w:val="00F14906"/>
    <w:rsid w:val="00F14912"/>
    <w:rsid w:val="00F14AEE"/>
    <w:rsid w:val="00F14DB5"/>
    <w:rsid w:val="00F15020"/>
    <w:rsid w:val="00F150A6"/>
    <w:rsid w:val="00F15166"/>
    <w:rsid w:val="00F15193"/>
    <w:rsid w:val="00F151AB"/>
    <w:rsid w:val="00F1528C"/>
    <w:rsid w:val="00F152F5"/>
    <w:rsid w:val="00F15328"/>
    <w:rsid w:val="00F1533A"/>
    <w:rsid w:val="00F1536F"/>
    <w:rsid w:val="00F1543F"/>
    <w:rsid w:val="00F15463"/>
    <w:rsid w:val="00F15467"/>
    <w:rsid w:val="00F154E6"/>
    <w:rsid w:val="00F1556A"/>
    <w:rsid w:val="00F1569A"/>
    <w:rsid w:val="00F1596D"/>
    <w:rsid w:val="00F15A87"/>
    <w:rsid w:val="00F15B3C"/>
    <w:rsid w:val="00F15C16"/>
    <w:rsid w:val="00F15C66"/>
    <w:rsid w:val="00F15CF2"/>
    <w:rsid w:val="00F15D2D"/>
    <w:rsid w:val="00F15D4B"/>
    <w:rsid w:val="00F15D56"/>
    <w:rsid w:val="00F15DAB"/>
    <w:rsid w:val="00F15DF0"/>
    <w:rsid w:val="00F15DFE"/>
    <w:rsid w:val="00F15E88"/>
    <w:rsid w:val="00F15FE9"/>
    <w:rsid w:val="00F16019"/>
    <w:rsid w:val="00F161ED"/>
    <w:rsid w:val="00F16563"/>
    <w:rsid w:val="00F16632"/>
    <w:rsid w:val="00F16790"/>
    <w:rsid w:val="00F16879"/>
    <w:rsid w:val="00F16953"/>
    <w:rsid w:val="00F16B0C"/>
    <w:rsid w:val="00F16BCE"/>
    <w:rsid w:val="00F16DEA"/>
    <w:rsid w:val="00F16F12"/>
    <w:rsid w:val="00F1709E"/>
    <w:rsid w:val="00F1716A"/>
    <w:rsid w:val="00F17172"/>
    <w:rsid w:val="00F171C2"/>
    <w:rsid w:val="00F1738E"/>
    <w:rsid w:val="00F174E4"/>
    <w:rsid w:val="00F1756F"/>
    <w:rsid w:val="00F17644"/>
    <w:rsid w:val="00F17671"/>
    <w:rsid w:val="00F176B2"/>
    <w:rsid w:val="00F17768"/>
    <w:rsid w:val="00F177F6"/>
    <w:rsid w:val="00F1781D"/>
    <w:rsid w:val="00F17933"/>
    <w:rsid w:val="00F1797D"/>
    <w:rsid w:val="00F1798D"/>
    <w:rsid w:val="00F17B27"/>
    <w:rsid w:val="00F17B4E"/>
    <w:rsid w:val="00F17C98"/>
    <w:rsid w:val="00F17CDF"/>
    <w:rsid w:val="00F17E8A"/>
    <w:rsid w:val="00F17FA3"/>
    <w:rsid w:val="00F200E8"/>
    <w:rsid w:val="00F201EE"/>
    <w:rsid w:val="00F2022D"/>
    <w:rsid w:val="00F20245"/>
    <w:rsid w:val="00F20543"/>
    <w:rsid w:val="00F205EE"/>
    <w:rsid w:val="00F20665"/>
    <w:rsid w:val="00F20686"/>
    <w:rsid w:val="00F20756"/>
    <w:rsid w:val="00F20864"/>
    <w:rsid w:val="00F208C9"/>
    <w:rsid w:val="00F2091C"/>
    <w:rsid w:val="00F20BE4"/>
    <w:rsid w:val="00F20D57"/>
    <w:rsid w:val="00F20DF3"/>
    <w:rsid w:val="00F20EF7"/>
    <w:rsid w:val="00F20F19"/>
    <w:rsid w:val="00F20F8A"/>
    <w:rsid w:val="00F210AE"/>
    <w:rsid w:val="00F2112F"/>
    <w:rsid w:val="00F214D4"/>
    <w:rsid w:val="00F216A5"/>
    <w:rsid w:val="00F21733"/>
    <w:rsid w:val="00F21831"/>
    <w:rsid w:val="00F219BF"/>
    <w:rsid w:val="00F21D68"/>
    <w:rsid w:val="00F21F6B"/>
    <w:rsid w:val="00F2238A"/>
    <w:rsid w:val="00F223A2"/>
    <w:rsid w:val="00F2240D"/>
    <w:rsid w:val="00F224A7"/>
    <w:rsid w:val="00F22566"/>
    <w:rsid w:val="00F22576"/>
    <w:rsid w:val="00F22639"/>
    <w:rsid w:val="00F22648"/>
    <w:rsid w:val="00F2265C"/>
    <w:rsid w:val="00F22695"/>
    <w:rsid w:val="00F2283B"/>
    <w:rsid w:val="00F22903"/>
    <w:rsid w:val="00F22A69"/>
    <w:rsid w:val="00F22ACB"/>
    <w:rsid w:val="00F22B26"/>
    <w:rsid w:val="00F22C4D"/>
    <w:rsid w:val="00F22C6B"/>
    <w:rsid w:val="00F22CB8"/>
    <w:rsid w:val="00F22CF9"/>
    <w:rsid w:val="00F22D17"/>
    <w:rsid w:val="00F22EB1"/>
    <w:rsid w:val="00F22F20"/>
    <w:rsid w:val="00F2314E"/>
    <w:rsid w:val="00F23261"/>
    <w:rsid w:val="00F232B2"/>
    <w:rsid w:val="00F23310"/>
    <w:rsid w:val="00F233E6"/>
    <w:rsid w:val="00F2340A"/>
    <w:rsid w:val="00F235A6"/>
    <w:rsid w:val="00F236BF"/>
    <w:rsid w:val="00F23750"/>
    <w:rsid w:val="00F237E2"/>
    <w:rsid w:val="00F23836"/>
    <w:rsid w:val="00F23873"/>
    <w:rsid w:val="00F238F5"/>
    <w:rsid w:val="00F2393B"/>
    <w:rsid w:val="00F23A12"/>
    <w:rsid w:val="00F23A7F"/>
    <w:rsid w:val="00F23B36"/>
    <w:rsid w:val="00F23D15"/>
    <w:rsid w:val="00F23D66"/>
    <w:rsid w:val="00F23E18"/>
    <w:rsid w:val="00F23F3A"/>
    <w:rsid w:val="00F23F56"/>
    <w:rsid w:val="00F24029"/>
    <w:rsid w:val="00F242C6"/>
    <w:rsid w:val="00F24418"/>
    <w:rsid w:val="00F24431"/>
    <w:rsid w:val="00F24469"/>
    <w:rsid w:val="00F24546"/>
    <w:rsid w:val="00F24D41"/>
    <w:rsid w:val="00F24E72"/>
    <w:rsid w:val="00F24FCF"/>
    <w:rsid w:val="00F250D7"/>
    <w:rsid w:val="00F25126"/>
    <w:rsid w:val="00F25171"/>
    <w:rsid w:val="00F2520D"/>
    <w:rsid w:val="00F252E6"/>
    <w:rsid w:val="00F2531B"/>
    <w:rsid w:val="00F25441"/>
    <w:rsid w:val="00F25478"/>
    <w:rsid w:val="00F2556E"/>
    <w:rsid w:val="00F257A5"/>
    <w:rsid w:val="00F258E8"/>
    <w:rsid w:val="00F25A7B"/>
    <w:rsid w:val="00F25A94"/>
    <w:rsid w:val="00F25AD0"/>
    <w:rsid w:val="00F25B0B"/>
    <w:rsid w:val="00F25C60"/>
    <w:rsid w:val="00F25E5A"/>
    <w:rsid w:val="00F26047"/>
    <w:rsid w:val="00F260EC"/>
    <w:rsid w:val="00F26140"/>
    <w:rsid w:val="00F2615C"/>
    <w:rsid w:val="00F263E6"/>
    <w:rsid w:val="00F26425"/>
    <w:rsid w:val="00F265FA"/>
    <w:rsid w:val="00F2660A"/>
    <w:rsid w:val="00F26632"/>
    <w:rsid w:val="00F267A5"/>
    <w:rsid w:val="00F26806"/>
    <w:rsid w:val="00F269CB"/>
    <w:rsid w:val="00F26A61"/>
    <w:rsid w:val="00F26A7F"/>
    <w:rsid w:val="00F26AD9"/>
    <w:rsid w:val="00F26BB4"/>
    <w:rsid w:val="00F26C13"/>
    <w:rsid w:val="00F26D05"/>
    <w:rsid w:val="00F26E9A"/>
    <w:rsid w:val="00F26EBE"/>
    <w:rsid w:val="00F26FD2"/>
    <w:rsid w:val="00F270A2"/>
    <w:rsid w:val="00F27161"/>
    <w:rsid w:val="00F272E5"/>
    <w:rsid w:val="00F27337"/>
    <w:rsid w:val="00F27494"/>
    <w:rsid w:val="00F274FD"/>
    <w:rsid w:val="00F27575"/>
    <w:rsid w:val="00F27601"/>
    <w:rsid w:val="00F277BE"/>
    <w:rsid w:val="00F27993"/>
    <w:rsid w:val="00F27AE6"/>
    <w:rsid w:val="00F27B01"/>
    <w:rsid w:val="00F27B1B"/>
    <w:rsid w:val="00F27CDA"/>
    <w:rsid w:val="00F27D9C"/>
    <w:rsid w:val="00F27DA7"/>
    <w:rsid w:val="00F27DE5"/>
    <w:rsid w:val="00F27EC3"/>
    <w:rsid w:val="00F27F68"/>
    <w:rsid w:val="00F3026C"/>
    <w:rsid w:val="00F30309"/>
    <w:rsid w:val="00F303A9"/>
    <w:rsid w:val="00F303D4"/>
    <w:rsid w:val="00F30420"/>
    <w:rsid w:val="00F3069D"/>
    <w:rsid w:val="00F30711"/>
    <w:rsid w:val="00F307CB"/>
    <w:rsid w:val="00F30933"/>
    <w:rsid w:val="00F30967"/>
    <w:rsid w:val="00F3097A"/>
    <w:rsid w:val="00F30A15"/>
    <w:rsid w:val="00F30D3F"/>
    <w:rsid w:val="00F30D7A"/>
    <w:rsid w:val="00F30DDB"/>
    <w:rsid w:val="00F30EE7"/>
    <w:rsid w:val="00F30EFC"/>
    <w:rsid w:val="00F31012"/>
    <w:rsid w:val="00F31036"/>
    <w:rsid w:val="00F3105B"/>
    <w:rsid w:val="00F310D7"/>
    <w:rsid w:val="00F3113C"/>
    <w:rsid w:val="00F31156"/>
    <w:rsid w:val="00F311A5"/>
    <w:rsid w:val="00F311EE"/>
    <w:rsid w:val="00F3133C"/>
    <w:rsid w:val="00F313A9"/>
    <w:rsid w:val="00F31401"/>
    <w:rsid w:val="00F3151E"/>
    <w:rsid w:val="00F31550"/>
    <w:rsid w:val="00F31577"/>
    <w:rsid w:val="00F31702"/>
    <w:rsid w:val="00F31704"/>
    <w:rsid w:val="00F318B7"/>
    <w:rsid w:val="00F31924"/>
    <w:rsid w:val="00F31A75"/>
    <w:rsid w:val="00F31AC3"/>
    <w:rsid w:val="00F31ACF"/>
    <w:rsid w:val="00F31CE6"/>
    <w:rsid w:val="00F31D93"/>
    <w:rsid w:val="00F31E1C"/>
    <w:rsid w:val="00F31F16"/>
    <w:rsid w:val="00F31F70"/>
    <w:rsid w:val="00F31FFE"/>
    <w:rsid w:val="00F3202D"/>
    <w:rsid w:val="00F32184"/>
    <w:rsid w:val="00F32196"/>
    <w:rsid w:val="00F321BE"/>
    <w:rsid w:val="00F3255D"/>
    <w:rsid w:val="00F325BD"/>
    <w:rsid w:val="00F32922"/>
    <w:rsid w:val="00F3297C"/>
    <w:rsid w:val="00F32A6D"/>
    <w:rsid w:val="00F33086"/>
    <w:rsid w:val="00F331B0"/>
    <w:rsid w:val="00F331D6"/>
    <w:rsid w:val="00F33314"/>
    <w:rsid w:val="00F33378"/>
    <w:rsid w:val="00F3345A"/>
    <w:rsid w:val="00F3349C"/>
    <w:rsid w:val="00F33706"/>
    <w:rsid w:val="00F339FE"/>
    <w:rsid w:val="00F33AAA"/>
    <w:rsid w:val="00F33D95"/>
    <w:rsid w:val="00F33DD9"/>
    <w:rsid w:val="00F33E30"/>
    <w:rsid w:val="00F33E72"/>
    <w:rsid w:val="00F33EE4"/>
    <w:rsid w:val="00F33EEB"/>
    <w:rsid w:val="00F33F36"/>
    <w:rsid w:val="00F33F85"/>
    <w:rsid w:val="00F34464"/>
    <w:rsid w:val="00F34561"/>
    <w:rsid w:val="00F34585"/>
    <w:rsid w:val="00F34665"/>
    <w:rsid w:val="00F346E0"/>
    <w:rsid w:val="00F3477D"/>
    <w:rsid w:val="00F348EE"/>
    <w:rsid w:val="00F3493F"/>
    <w:rsid w:val="00F34B2E"/>
    <w:rsid w:val="00F34B96"/>
    <w:rsid w:val="00F34BCF"/>
    <w:rsid w:val="00F34D6F"/>
    <w:rsid w:val="00F34DFB"/>
    <w:rsid w:val="00F34FDF"/>
    <w:rsid w:val="00F35018"/>
    <w:rsid w:val="00F35188"/>
    <w:rsid w:val="00F351A6"/>
    <w:rsid w:val="00F351C5"/>
    <w:rsid w:val="00F351D9"/>
    <w:rsid w:val="00F3527E"/>
    <w:rsid w:val="00F35314"/>
    <w:rsid w:val="00F35317"/>
    <w:rsid w:val="00F3561C"/>
    <w:rsid w:val="00F35739"/>
    <w:rsid w:val="00F357D1"/>
    <w:rsid w:val="00F35861"/>
    <w:rsid w:val="00F358C9"/>
    <w:rsid w:val="00F35A9C"/>
    <w:rsid w:val="00F35CC1"/>
    <w:rsid w:val="00F35D87"/>
    <w:rsid w:val="00F35F59"/>
    <w:rsid w:val="00F35FA9"/>
    <w:rsid w:val="00F35FB7"/>
    <w:rsid w:val="00F362DE"/>
    <w:rsid w:val="00F3640C"/>
    <w:rsid w:val="00F36564"/>
    <w:rsid w:val="00F36591"/>
    <w:rsid w:val="00F367B3"/>
    <w:rsid w:val="00F36859"/>
    <w:rsid w:val="00F36A7A"/>
    <w:rsid w:val="00F36B2D"/>
    <w:rsid w:val="00F36D76"/>
    <w:rsid w:val="00F36DAB"/>
    <w:rsid w:val="00F36E24"/>
    <w:rsid w:val="00F36EAA"/>
    <w:rsid w:val="00F3700B"/>
    <w:rsid w:val="00F3703C"/>
    <w:rsid w:val="00F3741C"/>
    <w:rsid w:val="00F3743A"/>
    <w:rsid w:val="00F3751C"/>
    <w:rsid w:val="00F376A3"/>
    <w:rsid w:val="00F376D5"/>
    <w:rsid w:val="00F378C3"/>
    <w:rsid w:val="00F37ADB"/>
    <w:rsid w:val="00F37BE8"/>
    <w:rsid w:val="00F37C13"/>
    <w:rsid w:val="00F37CF9"/>
    <w:rsid w:val="00F37E69"/>
    <w:rsid w:val="00F40017"/>
    <w:rsid w:val="00F40152"/>
    <w:rsid w:val="00F4027D"/>
    <w:rsid w:val="00F4034A"/>
    <w:rsid w:val="00F40429"/>
    <w:rsid w:val="00F40443"/>
    <w:rsid w:val="00F404F5"/>
    <w:rsid w:val="00F40585"/>
    <w:rsid w:val="00F4060D"/>
    <w:rsid w:val="00F40629"/>
    <w:rsid w:val="00F40677"/>
    <w:rsid w:val="00F40789"/>
    <w:rsid w:val="00F4082C"/>
    <w:rsid w:val="00F409A1"/>
    <w:rsid w:val="00F40B6D"/>
    <w:rsid w:val="00F40BDE"/>
    <w:rsid w:val="00F40BF5"/>
    <w:rsid w:val="00F40C97"/>
    <w:rsid w:val="00F40E1D"/>
    <w:rsid w:val="00F40E32"/>
    <w:rsid w:val="00F40E62"/>
    <w:rsid w:val="00F40E8D"/>
    <w:rsid w:val="00F40ECF"/>
    <w:rsid w:val="00F40F8F"/>
    <w:rsid w:val="00F40FF6"/>
    <w:rsid w:val="00F411BD"/>
    <w:rsid w:val="00F411C7"/>
    <w:rsid w:val="00F41225"/>
    <w:rsid w:val="00F412E8"/>
    <w:rsid w:val="00F41580"/>
    <w:rsid w:val="00F4172E"/>
    <w:rsid w:val="00F417B0"/>
    <w:rsid w:val="00F4199B"/>
    <w:rsid w:val="00F41B81"/>
    <w:rsid w:val="00F41FCD"/>
    <w:rsid w:val="00F42076"/>
    <w:rsid w:val="00F42095"/>
    <w:rsid w:val="00F4213A"/>
    <w:rsid w:val="00F42327"/>
    <w:rsid w:val="00F4234B"/>
    <w:rsid w:val="00F424C9"/>
    <w:rsid w:val="00F424CF"/>
    <w:rsid w:val="00F4251B"/>
    <w:rsid w:val="00F426BC"/>
    <w:rsid w:val="00F426DC"/>
    <w:rsid w:val="00F4284B"/>
    <w:rsid w:val="00F42940"/>
    <w:rsid w:val="00F42C7B"/>
    <w:rsid w:val="00F42C86"/>
    <w:rsid w:val="00F42D35"/>
    <w:rsid w:val="00F42D56"/>
    <w:rsid w:val="00F42D87"/>
    <w:rsid w:val="00F42DCB"/>
    <w:rsid w:val="00F42E06"/>
    <w:rsid w:val="00F43007"/>
    <w:rsid w:val="00F431A7"/>
    <w:rsid w:val="00F432D8"/>
    <w:rsid w:val="00F43303"/>
    <w:rsid w:val="00F433CB"/>
    <w:rsid w:val="00F433E4"/>
    <w:rsid w:val="00F4340E"/>
    <w:rsid w:val="00F4341B"/>
    <w:rsid w:val="00F43467"/>
    <w:rsid w:val="00F434AA"/>
    <w:rsid w:val="00F435F4"/>
    <w:rsid w:val="00F43693"/>
    <w:rsid w:val="00F43794"/>
    <w:rsid w:val="00F4379F"/>
    <w:rsid w:val="00F43906"/>
    <w:rsid w:val="00F43C03"/>
    <w:rsid w:val="00F43CB8"/>
    <w:rsid w:val="00F43E74"/>
    <w:rsid w:val="00F43FB9"/>
    <w:rsid w:val="00F43FE6"/>
    <w:rsid w:val="00F440C1"/>
    <w:rsid w:val="00F4414B"/>
    <w:rsid w:val="00F44225"/>
    <w:rsid w:val="00F44499"/>
    <w:rsid w:val="00F4463F"/>
    <w:rsid w:val="00F446A0"/>
    <w:rsid w:val="00F4472C"/>
    <w:rsid w:val="00F44A9E"/>
    <w:rsid w:val="00F44B97"/>
    <w:rsid w:val="00F44BF6"/>
    <w:rsid w:val="00F44C30"/>
    <w:rsid w:val="00F44CFC"/>
    <w:rsid w:val="00F44DB5"/>
    <w:rsid w:val="00F44DB8"/>
    <w:rsid w:val="00F44F8B"/>
    <w:rsid w:val="00F45111"/>
    <w:rsid w:val="00F4513F"/>
    <w:rsid w:val="00F45315"/>
    <w:rsid w:val="00F453C3"/>
    <w:rsid w:val="00F4541A"/>
    <w:rsid w:val="00F4546D"/>
    <w:rsid w:val="00F454D5"/>
    <w:rsid w:val="00F4563C"/>
    <w:rsid w:val="00F456C5"/>
    <w:rsid w:val="00F45744"/>
    <w:rsid w:val="00F4581B"/>
    <w:rsid w:val="00F45A3C"/>
    <w:rsid w:val="00F45AD3"/>
    <w:rsid w:val="00F45B24"/>
    <w:rsid w:val="00F45BB4"/>
    <w:rsid w:val="00F45C02"/>
    <w:rsid w:val="00F46177"/>
    <w:rsid w:val="00F46179"/>
    <w:rsid w:val="00F462F4"/>
    <w:rsid w:val="00F46473"/>
    <w:rsid w:val="00F46559"/>
    <w:rsid w:val="00F465D4"/>
    <w:rsid w:val="00F465F3"/>
    <w:rsid w:val="00F4675D"/>
    <w:rsid w:val="00F468A1"/>
    <w:rsid w:val="00F468E4"/>
    <w:rsid w:val="00F4690A"/>
    <w:rsid w:val="00F46BFC"/>
    <w:rsid w:val="00F46D42"/>
    <w:rsid w:val="00F46DAE"/>
    <w:rsid w:val="00F46E6E"/>
    <w:rsid w:val="00F46EA4"/>
    <w:rsid w:val="00F46ECC"/>
    <w:rsid w:val="00F46EFF"/>
    <w:rsid w:val="00F46F2A"/>
    <w:rsid w:val="00F47157"/>
    <w:rsid w:val="00F47230"/>
    <w:rsid w:val="00F472B0"/>
    <w:rsid w:val="00F4753F"/>
    <w:rsid w:val="00F47551"/>
    <w:rsid w:val="00F476E3"/>
    <w:rsid w:val="00F477FB"/>
    <w:rsid w:val="00F4798A"/>
    <w:rsid w:val="00F47991"/>
    <w:rsid w:val="00F47A4C"/>
    <w:rsid w:val="00F47B84"/>
    <w:rsid w:val="00F47B98"/>
    <w:rsid w:val="00F47C3F"/>
    <w:rsid w:val="00F47C66"/>
    <w:rsid w:val="00F47F8B"/>
    <w:rsid w:val="00F50366"/>
    <w:rsid w:val="00F503EF"/>
    <w:rsid w:val="00F5046C"/>
    <w:rsid w:val="00F50478"/>
    <w:rsid w:val="00F50619"/>
    <w:rsid w:val="00F50634"/>
    <w:rsid w:val="00F506D4"/>
    <w:rsid w:val="00F50714"/>
    <w:rsid w:val="00F507BB"/>
    <w:rsid w:val="00F5086A"/>
    <w:rsid w:val="00F508B1"/>
    <w:rsid w:val="00F50961"/>
    <w:rsid w:val="00F509B9"/>
    <w:rsid w:val="00F50C1D"/>
    <w:rsid w:val="00F50ECF"/>
    <w:rsid w:val="00F50F15"/>
    <w:rsid w:val="00F50F2A"/>
    <w:rsid w:val="00F50FAF"/>
    <w:rsid w:val="00F50FB6"/>
    <w:rsid w:val="00F5106D"/>
    <w:rsid w:val="00F5109B"/>
    <w:rsid w:val="00F511B1"/>
    <w:rsid w:val="00F5122E"/>
    <w:rsid w:val="00F51236"/>
    <w:rsid w:val="00F5133C"/>
    <w:rsid w:val="00F513C8"/>
    <w:rsid w:val="00F5147A"/>
    <w:rsid w:val="00F514CC"/>
    <w:rsid w:val="00F51625"/>
    <w:rsid w:val="00F51819"/>
    <w:rsid w:val="00F518C9"/>
    <w:rsid w:val="00F51C4A"/>
    <w:rsid w:val="00F51D78"/>
    <w:rsid w:val="00F51DA2"/>
    <w:rsid w:val="00F51EB8"/>
    <w:rsid w:val="00F51F93"/>
    <w:rsid w:val="00F52095"/>
    <w:rsid w:val="00F5211C"/>
    <w:rsid w:val="00F52288"/>
    <w:rsid w:val="00F52347"/>
    <w:rsid w:val="00F52463"/>
    <w:rsid w:val="00F524DE"/>
    <w:rsid w:val="00F5260A"/>
    <w:rsid w:val="00F52668"/>
    <w:rsid w:val="00F526B5"/>
    <w:rsid w:val="00F526BB"/>
    <w:rsid w:val="00F52764"/>
    <w:rsid w:val="00F52776"/>
    <w:rsid w:val="00F527EE"/>
    <w:rsid w:val="00F52818"/>
    <w:rsid w:val="00F52820"/>
    <w:rsid w:val="00F52836"/>
    <w:rsid w:val="00F52B0B"/>
    <w:rsid w:val="00F52B29"/>
    <w:rsid w:val="00F52B4F"/>
    <w:rsid w:val="00F52BA1"/>
    <w:rsid w:val="00F52D1B"/>
    <w:rsid w:val="00F52D73"/>
    <w:rsid w:val="00F52DB9"/>
    <w:rsid w:val="00F52EF7"/>
    <w:rsid w:val="00F52F0C"/>
    <w:rsid w:val="00F52F11"/>
    <w:rsid w:val="00F52F29"/>
    <w:rsid w:val="00F52FF5"/>
    <w:rsid w:val="00F53023"/>
    <w:rsid w:val="00F5328B"/>
    <w:rsid w:val="00F532A2"/>
    <w:rsid w:val="00F533BE"/>
    <w:rsid w:val="00F533DA"/>
    <w:rsid w:val="00F5342E"/>
    <w:rsid w:val="00F535A2"/>
    <w:rsid w:val="00F535C1"/>
    <w:rsid w:val="00F535E6"/>
    <w:rsid w:val="00F53B17"/>
    <w:rsid w:val="00F53BF9"/>
    <w:rsid w:val="00F53CF5"/>
    <w:rsid w:val="00F53FE3"/>
    <w:rsid w:val="00F540DC"/>
    <w:rsid w:val="00F5419C"/>
    <w:rsid w:val="00F541E7"/>
    <w:rsid w:val="00F54275"/>
    <w:rsid w:val="00F542B2"/>
    <w:rsid w:val="00F545F3"/>
    <w:rsid w:val="00F5462F"/>
    <w:rsid w:val="00F5476B"/>
    <w:rsid w:val="00F5478C"/>
    <w:rsid w:val="00F547AC"/>
    <w:rsid w:val="00F547E4"/>
    <w:rsid w:val="00F547ED"/>
    <w:rsid w:val="00F54890"/>
    <w:rsid w:val="00F549AD"/>
    <w:rsid w:val="00F54A42"/>
    <w:rsid w:val="00F54AFF"/>
    <w:rsid w:val="00F54B1C"/>
    <w:rsid w:val="00F54B51"/>
    <w:rsid w:val="00F54C2B"/>
    <w:rsid w:val="00F54C36"/>
    <w:rsid w:val="00F54CE0"/>
    <w:rsid w:val="00F550A0"/>
    <w:rsid w:val="00F551FC"/>
    <w:rsid w:val="00F55465"/>
    <w:rsid w:val="00F5555B"/>
    <w:rsid w:val="00F555F1"/>
    <w:rsid w:val="00F557C7"/>
    <w:rsid w:val="00F557F4"/>
    <w:rsid w:val="00F55879"/>
    <w:rsid w:val="00F5587F"/>
    <w:rsid w:val="00F55933"/>
    <w:rsid w:val="00F5594A"/>
    <w:rsid w:val="00F5598A"/>
    <w:rsid w:val="00F55A5C"/>
    <w:rsid w:val="00F55ADD"/>
    <w:rsid w:val="00F55BE7"/>
    <w:rsid w:val="00F55C5C"/>
    <w:rsid w:val="00F55C6C"/>
    <w:rsid w:val="00F55CBE"/>
    <w:rsid w:val="00F55CC8"/>
    <w:rsid w:val="00F55CFA"/>
    <w:rsid w:val="00F55D5C"/>
    <w:rsid w:val="00F55EAE"/>
    <w:rsid w:val="00F55FBA"/>
    <w:rsid w:val="00F56056"/>
    <w:rsid w:val="00F5616A"/>
    <w:rsid w:val="00F56292"/>
    <w:rsid w:val="00F562AB"/>
    <w:rsid w:val="00F562C9"/>
    <w:rsid w:val="00F56300"/>
    <w:rsid w:val="00F56335"/>
    <w:rsid w:val="00F56366"/>
    <w:rsid w:val="00F563AC"/>
    <w:rsid w:val="00F564EE"/>
    <w:rsid w:val="00F5660D"/>
    <w:rsid w:val="00F56782"/>
    <w:rsid w:val="00F567EE"/>
    <w:rsid w:val="00F568A3"/>
    <w:rsid w:val="00F56A26"/>
    <w:rsid w:val="00F56A2C"/>
    <w:rsid w:val="00F56B55"/>
    <w:rsid w:val="00F56B58"/>
    <w:rsid w:val="00F56C31"/>
    <w:rsid w:val="00F56D6F"/>
    <w:rsid w:val="00F56DD3"/>
    <w:rsid w:val="00F56EA9"/>
    <w:rsid w:val="00F56F07"/>
    <w:rsid w:val="00F57072"/>
    <w:rsid w:val="00F570CE"/>
    <w:rsid w:val="00F57167"/>
    <w:rsid w:val="00F57334"/>
    <w:rsid w:val="00F57413"/>
    <w:rsid w:val="00F5744D"/>
    <w:rsid w:val="00F57663"/>
    <w:rsid w:val="00F57694"/>
    <w:rsid w:val="00F57852"/>
    <w:rsid w:val="00F57881"/>
    <w:rsid w:val="00F5790B"/>
    <w:rsid w:val="00F57997"/>
    <w:rsid w:val="00F57A80"/>
    <w:rsid w:val="00F57B35"/>
    <w:rsid w:val="00F57B6F"/>
    <w:rsid w:val="00F57C2D"/>
    <w:rsid w:val="00F57DAC"/>
    <w:rsid w:val="00F57F35"/>
    <w:rsid w:val="00F57F89"/>
    <w:rsid w:val="00F6008E"/>
    <w:rsid w:val="00F6018B"/>
    <w:rsid w:val="00F602B5"/>
    <w:rsid w:val="00F60427"/>
    <w:rsid w:val="00F6048B"/>
    <w:rsid w:val="00F604BE"/>
    <w:rsid w:val="00F6060A"/>
    <w:rsid w:val="00F60654"/>
    <w:rsid w:val="00F608CF"/>
    <w:rsid w:val="00F608FD"/>
    <w:rsid w:val="00F6095D"/>
    <w:rsid w:val="00F609C1"/>
    <w:rsid w:val="00F60A9E"/>
    <w:rsid w:val="00F60B27"/>
    <w:rsid w:val="00F60BCF"/>
    <w:rsid w:val="00F60C21"/>
    <w:rsid w:val="00F60C80"/>
    <w:rsid w:val="00F60DE9"/>
    <w:rsid w:val="00F60EA1"/>
    <w:rsid w:val="00F61022"/>
    <w:rsid w:val="00F61061"/>
    <w:rsid w:val="00F610D3"/>
    <w:rsid w:val="00F61262"/>
    <w:rsid w:val="00F61322"/>
    <w:rsid w:val="00F6139F"/>
    <w:rsid w:val="00F61452"/>
    <w:rsid w:val="00F614E8"/>
    <w:rsid w:val="00F61639"/>
    <w:rsid w:val="00F616A8"/>
    <w:rsid w:val="00F6175D"/>
    <w:rsid w:val="00F6181F"/>
    <w:rsid w:val="00F61824"/>
    <w:rsid w:val="00F61897"/>
    <w:rsid w:val="00F61915"/>
    <w:rsid w:val="00F6191F"/>
    <w:rsid w:val="00F619D4"/>
    <w:rsid w:val="00F61B44"/>
    <w:rsid w:val="00F61BDB"/>
    <w:rsid w:val="00F6208B"/>
    <w:rsid w:val="00F6223D"/>
    <w:rsid w:val="00F622F6"/>
    <w:rsid w:val="00F62393"/>
    <w:rsid w:val="00F624A4"/>
    <w:rsid w:val="00F62512"/>
    <w:rsid w:val="00F625B7"/>
    <w:rsid w:val="00F626E8"/>
    <w:rsid w:val="00F62710"/>
    <w:rsid w:val="00F62781"/>
    <w:rsid w:val="00F62A19"/>
    <w:rsid w:val="00F62A59"/>
    <w:rsid w:val="00F62AFE"/>
    <w:rsid w:val="00F62BDE"/>
    <w:rsid w:val="00F62DB2"/>
    <w:rsid w:val="00F62E82"/>
    <w:rsid w:val="00F63007"/>
    <w:rsid w:val="00F630A5"/>
    <w:rsid w:val="00F632B4"/>
    <w:rsid w:val="00F63329"/>
    <w:rsid w:val="00F63443"/>
    <w:rsid w:val="00F63444"/>
    <w:rsid w:val="00F63511"/>
    <w:rsid w:val="00F63553"/>
    <w:rsid w:val="00F635AE"/>
    <w:rsid w:val="00F6365F"/>
    <w:rsid w:val="00F636DB"/>
    <w:rsid w:val="00F63837"/>
    <w:rsid w:val="00F63A0D"/>
    <w:rsid w:val="00F63A61"/>
    <w:rsid w:val="00F63B5A"/>
    <w:rsid w:val="00F63B67"/>
    <w:rsid w:val="00F63C8D"/>
    <w:rsid w:val="00F63DB5"/>
    <w:rsid w:val="00F63ED3"/>
    <w:rsid w:val="00F63FE7"/>
    <w:rsid w:val="00F64121"/>
    <w:rsid w:val="00F6416F"/>
    <w:rsid w:val="00F64179"/>
    <w:rsid w:val="00F642A8"/>
    <w:rsid w:val="00F64411"/>
    <w:rsid w:val="00F6474A"/>
    <w:rsid w:val="00F647FE"/>
    <w:rsid w:val="00F648A2"/>
    <w:rsid w:val="00F648DA"/>
    <w:rsid w:val="00F648E8"/>
    <w:rsid w:val="00F64BC2"/>
    <w:rsid w:val="00F64D71"/>
    <w:rsid w:val="00F64DCC"/>
    <w:rsid w:val="00F64E9F"/>
    <w:rsid w:val="00F6507D"/>
    <w:rsid w:val="00F650FF"/>
    <w:rsid w:val="00F6511E"/>
    <w:rsid w:val="00F653A3"/>
    <w:rsid w:val="00F653C4"/>
    <w:rsid w:val="00F653E5"/>
    <w:rsid w:val="00F65413"/>
    <w:rsid w:val="00F65537"/>
    <w:rsid w:val="00F65647"/>
    <w:rsid w:val="00F65807"/>
    <w:rsid w:val="00F65864"/>
    <w:rsid w:val="00F6591A"/>
    <w:rsid w:val="00F65947"/>
    <w:rsid w:val="00F659D4"/>
    <w:rsid w:val="00F65AB8"/>
    <w:rsid w:val="00F65AD2"/>
    <w:rsid w:val="00F65B58"/>
    <w:rsid w:val="00F65BBE"/>
    <w:rsid w:val="00F65D83"/>
    <w:rsid w:val="00F65FCB"/>
    <w:rsid w:val="00F65FDB"/>
    <w:rsid w:val="00F65FF2"/>
    <w:rsid w:val="00F66108"/>
    <w:rsid w:val="00F661F0"/>
    <w:rsid w:val="00F662D5"/>
    <w:rsid w:val="00F66327"/>
    <w:rsid w:val="00F66473"/>
    <w:rsid w:val="00F6647B"/>
    <w:rsid w:val="00F664AE"/>
    <w:rsid w:val="00F664D4"/>
    <w:rsid w:val="00F665CB"/>
    <w:rsid w:val="00F66621"/>
    <w:rsid w:val="00F667AF"/>
    <w:rsid w:val="00F668CE"/>
    <w:rsid w:val="00F6698D"/>
    <w:rsid w:val="00F669B9"/>
    <w:rsid w:val="00F66B6B"/>
    <w:rsid w:val="00F66B75"/>
    <w:rsid w:val="00F66BE2"/>
    <w:rsid w:val="00F66BF0"/>
    <w:rsid w:val="00F66D00"/>
    <w:rsid w:val="00F66D8A"/>
    <w:rsid w:val="00F66E82"/>
    <w:rsid w:val="00F66FA6"/>
    <w:rsid w:val="00F6707B"/>
    <w:rsid w:val="00F67179"/>
    <w:rsid w:val="00F67202"/>
    <w:rsid w:val="00F6720B"/>
    <w:rsid w:val="00F67232"/>
    <w:rsid w:val="00F672A7"/>
    <w:rsid w:val="00F67357"/>
    <w:rsid w:val="00F674E8"/>
    <w:rsid w:val="00F67553"/>
    <w:rsid w:val="00F6757B"/>
    <w:rsid w:val="00F67595"/>
    <w:rsid w:val="00F6773F"/>
    <w:rsid w:val="00F67853"/>
    <w:rsid w:val="00F678E6"/>
    <w:rsid w:val="00F67976"/>
    <w:rsid w:val="00F679F2"/>
    <w:rsid w:val="00F67A0A"/>
    <w:rsid w:val="00F67A1F"/>
    <w:rsid w:val="00F67BCD"/>
    <w:rsid w:val="00F67CCB"/>
    <w:rsid w:val="00F67D1A"/>
    <w:rsid w:val="00F67EC4"/>
    <w:rsid w:val="00F67FDE"/>
    <w:rsid w:val="00F67FED"/>
    <w:rsid w:val="00F70101"/>
    <w:rsid w:val="00F70194"/>
    <w:rsid w:val="00F7033A"/>
    <w:rsid w:val="00F703B9"/>
    <w:rsid w:val="00F703FC"/>
    <w:rsid w:val="00F70418"/>
    <w:rsid w:val="00F7048F"/>
    <w:rsid w:val="00F7058A"/>
    <w:rsid w:val="00F70656"/>
    <w:rsid w:val="00F706C4"/>
    <w:rsid w:val="00F70779"/>
    <w:rsid w:val="00F70810"/>
    <w:rsid w:val="00F70828"/>
    <w:rsid w:val="00F70924"/>
    <w:rsid w:val="00F70958"/>
    <w:rsid w:val="00F70980"/>
    <w:rsid w:val="00F709B6"/>
    <w:rsid w:val="00F709C0"/>
    <w:rsid w:val="00F70B15"/>
    <w:rsid w:val="00F70B82"/>
    <w:rsid w:val="00F70C4D"/>
    <w:rsid w:val="00F70D02"/>
    <w:rsid w:val="00F70D7D"/>
    <w:rsid w:val="00F70F47"/>
    <w:rsid w:val="00F7100C"/>
    <w:rsid w:val="00F7105F"/>
    <w:rsid w:val="00F710B0"/>
    <w:rsid w:val="00F71197"/>
    <w:rsid w:val="00F71334"/>
    <w:rsid w:val="00F713A4"/>
    <w:rsid w:val="00F7152B"/>
    <w:rsid w:val="00F715B2"/>
    <w:rsid w:val="00F716ED"/>
    <w:rsid w:val="00F717AE"/>
    <w:rsid w:val="00F717DD"/>
    <w:rsid w:val="00F718A2"/>
    <w:rsid w:val="00F719A8"/>
    <w:rsid w:val="00F719EA"/>
    <w:rsid w:val="00F71A17"/>
    <w:rsid w:val="00F71A73"/>
    <w:rsid w:val="00F71B8D"/>
    <w:rsid w:val="00F71BA4"/>
    <w:rsid w:val="00F71CB6"/>
    <w:rsid w:val="00F71D5A"/>
    <w:rsid w:val="00F71DC1"/>
    <w:rsid w:val="00F71E4A"/>
    <w:rsid w:val="00F71F9F"/>
    <w:rsid w:val="00F7216F"/>
    <w:rsid w:val="00F721A9"/>
    <w:rsid w:val="00F72374"/>
    <w:rsid w:val="00F72507"/>
    <w:rsid w:val="00F72693"/>
    <w:rsid w:val="00F7277A"/>
    <w:rsid w:val="00F72812"/>
    <w:rsid w:val="00F72944"/>
    <w:rsid w:val="00F729FC"/>
    <w:rsid w:val="00F72A90"/>
    <w:rsid w:val="00F72B05"/>
    <w:rsid w:val="00F72BA7"/>
    <w:rsid w:val="00F72C0C"/>
    <w:rsid w:val="00F72E3E"/>
    <w:rsid w:val="00F72F50"/>
    <w:rsid w:val="00F72F68"/>
    <w:rsid w:val="00F72F7B"/>
    <w:rsid w:val="00F73070"/>
    <w:rsid w:val="00F730DC"/>
    <w:rsid w:val="00F73118"/>
    <w:rsid w:val="00F73149"/>
    <w:rsid w:val="00F73352"/>
    <w:rsid w:val="00F7342C"/>
    <w:rsid w:val="00F735E3"/>
    <w:rsid w:val="00F73662"/>
    <w:rsid w:val="00F7379B"/>
    <w:rsid w:val="00F7379D"/>
    <w:rsid w:val="00F7379E"/>
    <w:rsid w:val="00F737EB"/>
    <w:rsid w:val="00F738FA"/>
    <w:rsid w:val="00F73B86"/>
    <w:rsid w:val="00F73BEA"/>
    <w:rsid w:val="00F73C0E"/>
    <w:rsid w:val="00F73DC4"/>
    <w:rsid w:val="00F73FE0"/>
    <w:rsid w:val="00F74000"/>
    <w:rsid w:val="00F74019"/>
    <w:rsid w:val="00F742D7"/>
    <w:rsid w:val="00F74347"/>
    <w:rsid w:val="00F7436F"/>
    <w:rsid w:val="00F7444C"/>
    <w:rsid w:val="00F744FD"/>
    <w:rsid w:val="00F746FC"/>
    <w:rsid w:val="00F747C7"/>
    <w:rsid w:val="00F7480B"/>
    <w:rsid w:val="00F74813"/>
    <w:rsid w:val="00F748C0"/>
    <w:rsid w:val="00F7496A"/>
    <w:rsid w:val="00F74AA0"/>
    <w:rsid w:val="00F74C61"/>
    <w:rsid w:val="00F74C8A"/>
    <w:rsid w:val="00F74D2D"/>
    <w:rsid w:val="00F74DAC"/>
    <w:rsid w:val="00F74DFF"/>
    <w:rsid w:val="00F75088"/>
    <w:rsid w:val="00F751AB"/>
    <w:rsid w:val="00F7521C"/>
    <w:rsid w:val="00F753C0"/>
    <w:rsid w:val="00F753D4"/>
    <w:rsid w:val="00F7543C"/>
    <w:rsid w:val="00F75473"/>
    <w:rsid w:val="00F75673"/>
    <w:rsid w:val="00F7571C"/>
    <w:rsid w:val="00F75750"/>
    <w:rsid w:val="00F7577D"/>
    <w:rsid w:val="00F7578B"/>
    <w:rsid w:val="00F757E6"/>
    <w:rsid w:val="00F758D8"/>
    <w:rsid w:val="00F75923"/>
    <w:rsid w:val="00F759A9"/>
    <w:rsid w:val="00F75D39"/>
    <w:rsid w:val="00F75D56"/>
    <w:rsid w:val="00F75E65"/>
    <w:rsid w:val="00F75E7C"/>
    <w:rsid w:val="00F75FC4"/>
    <w:rsid w:val="00F76189"/>
    <w:rsid w:val="00F76267"/>
    <w:rsid w:val="00F76312"/>
    <w:rsid w:val="00F76348"/>
    <w:rsid w:val="00F76351"/>
    <w:rsid w:val="00F765D6"/>
    <w:rsid w:val="00F766B8"/>
    <w:rsid w:val="00F766E1"/>
    <w:rsid w:val="00F7682D"/>
    <w:rsid w:val="00F768A5"/>
    <w:rsid w:val="00F76916"/>
    <w:rsid w:val="00F7696F"/>
    <w:rsid w:val="00F76A8D"/>
    <w:rsid w:val="00F76BF1"/>
    <w:rsid w:val="00F76C5D"/>
    <w:rsid w:val="00F76CD2"/>
    <w:rsid w:val="00F76EFB"/>
    <w:rsid w:val="00F76FCC"/>
    <w:rsid w:val="00F770C5"/>
    <w:rsid w:val="00F770CD"/>
    <w:rsid w:val="00F770E1"/>
    <w:rsid w:val="00F770E7"/>
    <w:rsid w:val="00F770EA"/>
    <w:rsid w:val="00F7728A"/>
    <w:rsid w:val="00F77449"/>
    <w:rsid w:val="00F77761"/>
    <w:rsid w:val="00F777FD"/>
    <w:rsid w:val="00F7789B"/>
    <w:rsid w:val="00F778BA"/>
    <w:rsid w:val="00F778BE"/>
    <w:rsid w:val="00F778CD"/>
    <w:rsid w:val="00F77900"/>
    <w:rsid w:val="00F7794A"/>
    <w:rsid w:val="00F77951"/>
    <w:rsid w:val="00F7795D"/>
    <w:rsid w:val="00F77A03"/>
    <w:rsid w:val="00F77A5D"/>
    <w:rsid w:val="00F77A6D"/>
    <w:rsid w:val="00F77B1F"/>
    <w:rsid w:val="00F77C54"/>
    <w:rsid w:val="00F77CC3"/>
    <w:rsid w:val="00F8000D"/>
    <w:rsid w:val="00F80072"/>
    <w:rsid w:val="00F80133"/>
    <w:rsid w:val="00F8016B"/>
    <w:rsid w:val="00F80257"/>
    <w:rsid w:val="00F8035C"/>
    <w:rsid w:val="00F80455"/>
    <w:rsid w:val="00F80558"/>
    <w:rsid w:val="00F80801"/>
    <w:rsid w:val="00F808AE"/>
    <w:rsid w:val="00F8096E"/>
    <w:rsid w:val="00F80A64"/>
    <w:rsid w:val="00F80A72"/>
    <w:rsid w:val="00F80B27"/>
    <w:rsid w:val="00F80BD9"/>
    <w:rsid w:val="00F80BEE"/>
    <w:rsid w:val="00F80C19"/>
    <w:rsid w:val="00F80C3C"/>
    <w:rsid w:val="00F80E75"/>
    <w:rsid w:val="00F80EE8"/>
    <w:rsid w:val="00F80F49"/>
    <w:rsid w:val="00F80F57"/>
    <w:rsid w:val="00F80F59"/>
    <w:rsid w:val="00F8118D"/>
    <w:rsid w:val="00F812DE"/>
    <w:rsid w:val="00F81601"/>
    <w:rsid w:val="00F8192A"/>
    <w:rsid w:val="00F819DA"/>
    <w:rsid w:val="00F81C0C"/>
    <w:rsid w:val="00F81D8D"/>
    <w:rsid w:val="00F81E78"/>
    <w:rsid w:val="00F81E89"/>
    <w:rsid w:val="00F82102"/>
    <w:rsid w:val="00F821A6"/>
    <w:rsid w:val="00F821AA"/>
    <w:rsid w:val="00F821F1"/>
    <w:rsid w:val="00F8226C"/>
    <w:rsid w:val="00F822FD"/>
    <w:rsid w:val="00F8232D"/>
    <w:rsid w:val="00F823CE"/>
    <w:rsid w:val="00F825B1"/>
    <w:rsid w:val="00F82610"/>
    <w:rsid w:val="00F8293A"/>
    <w:rsid w:val="00F82AE2"/>
    <w:rsid w:val="00F82B01"/>
    <w:rsid w:val="00F82D37"/>
    <w:rsid w:val="00F82E3A"/>
    <w:rsid w:val="00F82FDC"/>
    <w:rsid w:val="00F8314F"/>
    <w:rsid w:val="00F83252"/>
    <w:rsid w:val="00F83253"/>
    <w:rsid w:val="00F83411"/>
    <w:rsid w:val="00F834D2"/>
    <w:rsid w:val="00F834EC"/>
    <w:rsid w:val="00F83585"/>
    <w:rsid w:val="00F837C0"/>
    <w:rsid w:val="00F83858"/>
    <w:rsid w:val="00F838A2"/>
    <w:rsid w:val="00F83AE0"/>
    <w:rsid w:val="00F83B30"/>
    <w:rsid w:val="00F83CB4"/>
    <w:rsid w:val="00F83EFA"/>
    <w:rsid w:val="00F83F34"/>
    <w:rsid w:val="00F83F73"/>
    <w:rsid w:val="00F83FD5"/>
    <w:rsid w:val="00F84002"/>
    <w:rsid w:val="00F84074"/>
    <w:rsid w:val="00F842A3"/>
    <w:rsid w:val="00F842BB"/>
    <w:rsid w:val="00F8442A"/>
    <w:rsid w:val="00F84459"/>
    <w:rsid w:val="00F844A2"/>
    <w:rsid w:val="00F8472A"/>
    <w:rsid w:val="00F8479F"/>
    <w:rsid w:val="00F84933"/>
    <w:rsid w:val="00F849E4"/>
    <w:rsid w:val="00F84ADC"/>
    <w:rsid w:val="00F84B3D"/>
    <w:rsid w:val="00F84C98"/>
    <w:rsid w:val="00F84DC0"/>
    <w:rsid w:val="00F84E5D"/>
    <w:rsid w:val="00F84EF9"/>
    <w:rsid w:val="00F84F40"/>
    <w:rsid w:val="00F84F81"/>
    <w:rsid w:val="00F84FD4"/>
    <w:rsid w:val="00F85036"/>
    <w:rsid w:val="00F85109"/>
    <w:rsid w:val="00F8516E"/>
    <w:rsid w:val="00F85223"/>
    <w:rsid w:val="00F85367"/>
    <w:rsid w:val="00F85411"/>
    <w:rsid w:val="00F85472"/>
    <w:rsid w:val="00F85814"/>
    <w:rsid w:val="00F8581B"/>
    <w:rsid w:val="00F858D6"/>
    <w:rsid w:val="00F85A81"/>
    <w:rsid w:val="00F85B80"/>
    <w:rsid w:val="00F85CCA"/>
    <w:rsid w:val="00F85DEB"/>
    <w:rsid w:val="00F85EFC"/>
    <w:rsid w:val="00F86164"/>
    <w:rsid w:val="00F862F4"/>
    <w:rsid w:val="00F86363"/>
    <w:rsid w:val="00F863E6"/>
    <w:rsid w:val="00F865CA"/>
    <w:rsid w:val="00F86601"/>
    <w:rsid w:val="00F86743"/>
    <w:rsid w:val="00F86769"/>
    <w:rsid w:val="00F869AA"/>
    <w:rsid w:val="00F86A44"/>
    <w:rsid w:val="00F86C88"/>
    <w:rsid w:val="00F86C96"/>
    <w:rsid w:val="00F86CF3"/>
    <w:rsid w:val="00F86E0B"/>
    <w:rsid w:val="00F86F91"/>
    <w:rsid w:val="00F86F9A"/>
    <w:rsid w:val="00F871C8"/>
    <w:rsid w:val="00F87257"/>
    <w:rsid w:val="00F872A5"/>
    <w:rsid w:val="00F872E7"/>
    <w:rsid w:val="00F8737E"/>
    <w:rsid w:val="00F87385"/>
    <w:rsid w:val="00F87407"/>
    <w:rsid w:val="00F87484"/>
    <w:rsid w:val="00F8748A"/>
    <w:rsid w:val="00F87539"/>
    <w:rsid w:val="00F875B7"/>
    <w:rsid w:val="00F8762B"/>
    <w:rsid w:val="00F87641"/>
    <w:rsid w:val="00F87649"/>
    <w:rsid w:val="00F8764A"/>
    <w:rsid w:val="00F8766E"/>
    <w:rsid w:val="00F87802"/>
    <w:rsid w:val="00F878D9"/>
    <w:rsid w:val="00F879F6"/>
    <w:rsid w:val="00F87A60"/>
    <w:rsid w:val="00F87AFD"/>
    <w:rsid w:val="00F87B17"/>
    <w:rsid w:val="00F87C91"/>
    <w:rsid w:val="00F87D24"/>
    <w:rsid w:val="00F87E1A"/>
    <w:rsid w:val="00F87EBD"/>
    <w:rsid w:val="00F906ED"/>
    <w:rsid w:val="00F906F1"/>
    <w:rsid w:val="00F9072F"/>
    <w:rsid w:val="00F908A4"/>
    <w:rsid w:val="00F9090C"/>
    <w:rsid w:val="00F9096C"/>
    <w:rsid w:val="00F909E8"/>
    <w:rsid w:val="00F90AC9"/>
    <w:rsid w:val="00F90D7C"/>
    <w:rsid w:val="00F90E62"/>
    <w:rsid w:val="00F90E7B"/>
    <w:rsid w:val="00F90EEF"/>
    <w:rsid w:val="00F90F71"/>
    <w:rsid w:val="00F90F79"/>
    <w:rsid w:val="00F911BF"/>
    <w:rsid w:val="00F91280"/>
    <w:rsid w:val="00F913E0"/>
    <w:rsid w:val="00F914E8"/>
    <w:rsid w:val="00F9164D"/>
    <w:rsid w:val="00F91664"/>
    <w:rsid w:val="00F91746"/>
    <w:rsid w:val="00F9177C"/>
    <w:rsid w:val="00F917CB"/>
    <w:rsid w:val="00F918AC"/>
    <w:rsid w:val="00F91925"/>
    <w:rsid w:val="00F919A7"/>
    <w:rsid w:val="00F91A6E"/>
    <w:rsid w:val="00F91B7A"/>
    <w:rsid w:val="00F91BA0"/>
    <w:rsid w:val="00F91BA6"/>
    <w:rsid w:val="00F91C30"/>
    <w:rsid w:val="00F91CD0"/>
    <w:rsid w:val="00F91CF0"/>
    <w:rsid w:val="00F91D09"/>
    <w:rsid w:val="00F92251"/>
    <w:rsid w:val="00F9243E"/>
    <w:rsid w:val="00F92508"/>
    <w:rsid w:val="00F9253F"/>
    <w:rsid w:val="00F9277C"/>
    <w:rsid w:val="00F928AC"/>
    <w:rsid w:val="00F9296C"/>
    <w:rsid w:val="00F92A7F"/>
    <w:rsid w:val="00F92B16"/>
    <w:rsid w:val="00F92C06"/>
    <w:rsid w:val="00F92C2E"/>
    <w:rsid w:val="00F92CB3"/>
    <w:rsid w:val="00F9314B"/>
    <w:rsid w:val="00F93206"/>
    <w:rsid w:val="00F93255"/>
    <w:rsid w:val="00F932C9"/>
    <w:rsid w:val="00F932EE"/>
    <w:rsid w:val="00F933D5"/>
    <w:rsid w:val="00F93550"/>
    <w:rsid w:val="00F9371E"/>
    <w:rsid w:val="00F93777"/>
    <w:rsid w:val="00F938BF"/>
    <w:rsid w:val="00F93B7E"/>
    <w:rsid w:val="00F93C1C"/>
    <w:rsid w:val="00F93E5B"/>
    <w:rsid w:val="00F93ECD"/>
    <w:rsid w:val="00F94103"/>
    <w:rsid w:val="00F94213"/>
    <w:rsid w:val="00F94263"/>
    <w:rsid w:val="00F942A4"/>
    <w:rsid w:val="00F942E6"/>
    <w:rsid w:val="00F94354"/>
    <w:rsid w:val="00F94410"/>
    <w:rsid w:val="00F94634"/>
    <w:rsid w:val="00F94725"/>
    <w:rsid w:val="00F94740"/>
    <w:rsid w:val="00F9492B"/>
    <w:rsid w:val="00F94A1C"/>
    <w:rsid w:val="00F94BC4"/>
    <w:rsid w:val="00F94C96"/>
    <w:rsid w:val="00F94CAF"/>
    <w:rsid w:val="00F94CF6"/>
    <w:rsid w:val="00F94D0B"/>
    <w:rsid w:val="00F94D29"/>
    <w:rsid w:val="00F94E07"/>
    <w:rsid w:val="00F94E23"/>
    <w:rsid w:val="00F94F00"/>
    <w:rsid w:val="00F950AF"/>
    <w:rsid w:val="00F9525B"/>
    <w:rsid w:val="00F953FF"/>
    <w:rsid w:val="00F9541A"/>
    <w:rsid w:val="00F9543F"/>
    <w:rsid w:val="00F95521"/>
    <w:rsid w:val="00F95692"/>
    <w:rsid w:val="00F95709"/>
    <w:rsid w:val="00F957B6"/>
    <w:rsid w:val="00F9587E"/>
    <w:rsid w:val="00F958CB"/>
    <w:rsid w:val="00F958E3"/>
    <w:rsid w:val="00F9597F"/>
    <w:rsid w:val="00F95AE5"/>
    <w:rsid w:val="00F95C21"/>
    <w:rsid w:val="00F95C7E"/>
    <w:rsid w:val="00F95D3A"/>
    <w:rsid w:val="00F95D7C"/>
    <w:rsid w:val="00F95D84"/>
    <w:rsid w:val="00F95EB3"/>
    <w:rsid w:val="00F95F14"/>
    <w:rsid w:val="00F95F73"/>
    <w:rsid w:val="00F95FEA"/>
    <w:rsid w:val="00F96154"/>
    <w:rsid w:val="00F961FC"/>
    <w:rsid w:val="00F9641A"/>
    <w:rsid w:val="00F9643B"/>
    <w:rsid w:val="00F965ED"/>
    <w:rsid w:val="00F966C0"/>
    <w:rsid w:val="00F966D2"/>
    <w:rsid w:val="00F96A86"/>
    <w:rsid w:val="00F96AE2"/>
    <w:rsid w:val="00F96C69"/>
    <w:rsid w:val="00F96CB6"/>
    <w:rsid w:val="00F97153"/>
    <w:rsid w:val="00F97273"/>
    <w:rsid w:val="00F97291"/>
    <w:rsid w:val="00F973D5"/>
    <w:rsid w:val="00F973FB"/>
    <w:rsid w:val="00F9746C"/>
    <w:rsid w:val="00F97472"/>
    <w:rsid w:val="00F976BE"/>
    <w:rsid w:val="00F9771D"/>
    <w:rsid w:val="00F978E0"/>
    <w:rsid w:val="00F978F0"/>
    <w:rsid w:val="00F97918"/>
    <w:rsid w:val="00F979F2"/>
    <w:rsid w:val="00F97A3F"/>
    <w:rsid w:val="00F97A9C"/>
    <w:rsid w:val="00F97B30"/>
    <w:rsid w:val="00F97B8B"/>
    <w:rsid w:val="00F97C74"/>
    <w:rsid w:val="00F97C79"/>
    <w:rsid w:val="00F97C83"/>
    <w:rsid w:val="00F97E53"/>
    <w:rsid w:val="00F97E69"/>
    <w:rsid w:val="00F97E84"/>
    <w:rsid w:val="00F97ED9"/>
    <w:rsid w:val="00F97EF9"/>
    <w:rsid w:val="00FA0002"/>
    <w:rsid w:val="00FA0022"/>
    <w:rsid w:val="00FA0094"/>
    <w:rsid w:val="00FA01C1"/>
    <w:rsid w:val="00FA02E2"/>
    <w:rsid w:val="00FA02F5"/>
    <w:rsid w:val="00FA033B"/>
    <w:rsid w:val="00FA0413"/>
    <w:rsid w:val="00FA0488"/>
    <w:rsid w:val="00FA04E8"/>
    <w:rsid w:val="00FA055A"/>
    <w:rsid w:val="00FA0572"/>
    <w:rsid w:val="00FA06E4"/>
    <w:rsid w:val="00FA0755"/>
    <w:rsid w:val="00FA07C4"/>
    <w:rsid w:val="00FA07F0"/>
    <w:rsid w:val="00FA0920"/>
    <w:rsid w:val="00FA0A38"/>
    <w:rsid w:val="00FA0BEB"/>
    <w:rsid w:val="00FA0DF1"/>
    <w:rsid w:val="00FA0DF4"/>
    <w:rsid w:val="00FA0F1A"/>
    <w:rsid w:val="00FA10D9"/>
    <w:rsid w:val="00FA11B2"/>
    <w:rsid w:val="00FA121E"/>
    <w:rsid w:val="00FA1258"/>
    <w:rsid w:val="00FA126F"/>
    <w:rsid w:val="00FA1372"/>
    <w:rsid w:val="00FA13E4"/>
    <w:rsid w:val="00FA1487"/>
    <w:rsid w:val="00FA1655"/>
    <w:rsid w:val="00FA16DE"/>
    <w:rsid w:val="00FA17A6"/>
    <w:rsid w:val="00FA1807"/>
    <w:rsid w:val="00FA1836"/>
    <w:rsid w:val="00FA19A6"/>
    <w:rsid w:val="00FA19DE"/>
    <w:rsid w:val="00FA1ADB"/>
    <w:rsid w:val="00FA1AE5"/>
    <w:rsid w:val="00FA1C0F"/>
    <w:rsid w:val="00FA1C3F"/>
    <w:rsid w:val="00FA1EF4"/>
    <w:rsid w:val="00FA203C"/>
    <w:rsid w:val="00FA2091"/>
    <w:rsid w:val="00FA2280"/>
    <w:rsid w:val="00FA2287"/>
    <w:rsid w:val="00FA230F"/>
    <w:rsid w:val="00FA2448"/>
    <w:rsid w:val="00FA2510"/>
    <w:rsid w:val="00FA253E"/>
    <w:rsid w:val="00FA25AD"/>
    <w:rsid w:val="00FA27DD"/>
    <w:rsid w:val="00FA27EA"/>
    <w:rsid w:val="00FA286E"/>
    <w:rsid w:val="00FA2902"/>
    <w:rsid w:val="00FA2936"/>
    <w:rsid w:val="00FA2976"/>
    <w:rsid w:val="00FA2CB3"/>
    <w:rsid w:val="00FA2DE3"/>
    <w:rsid w:val="00FA2F45"/>
    <w:rsid w:val="00FA3047"/>
    <w:rsid w:val="00FA3108"/>
    <w:rsid w:val="00FA31A2"/>
    <w:rsid w:val="00FA3508"/>
    <w:rsid w:val="00FA36ED"/>
    <w:rsid w:val="00FA3995"/>
    <w:rsid w:val="00FA3C74"/>
    <w:rsid w:val="00FA3C76"/>
    <w:rsid w:val="00FA3D63"/>
    <w:rsid w:val="00FA3F26"/>
    <w:rsid w:val="00FA3F30"/>
    <w:rsid w:val="00FA4024"/>
    <w:rsid w:val="00FA40FC"/>
    <w:rsid w:val="00FA4193"/>
    <w:rsid w:val="00FA4298"/>
    <w:rsid w:val="00FA429F"/>
    <w:rsid w:val="00FA42A9"/>
    <w:rsid w:val="00FA438E"/>
    <w:rsid w:val="00FA43FD"/>
    <w:rsid w:val="00FA4508"/>
    <w:rsid w:val="00FA4613"/>
    <w:rsid w:val="00FA4640"/>
    <w:rsid w:val="00FA48A7"/>
    <w:rsid w:val="00FA4AB6"/>
    <w:rsid w:val="00FA4B05"/>
    <w:rsid w:val="00FA4B4C"/>
    <w:rsid w:val="00FA4B92"/>
    <w:rsid w:val="00FA4BC8"/>
    <w:rsid w:val="00FA4C5D"/>
    <w:rsid w:val="00FA4FAA"/>
    <w:rsid w:val="00FA5043"/>
    <w:rsid w:val="00FA5050"/>
    <w:rsid w:val="00FA5089"/>
    <w:rsid w:val="00FA513F"/>
    <w:rsid w:val="00FA5179"/>
    <w:rsid w:val="00FA52CF"/>
    <w:rsid w:val="00FA5337"/>
    <w:rsid w:val="00FA5368"/>
    <w:rsid w:val="00FA545A"/>
    <w:rsid w:val="00FA54B7"/>
    <w:rsid w:val="00FA54BF"/>
    <w:rsid w:val="00FA553E"/>
    <w:rsid w:val="00FA5571"/>
    <w:rsid w:val="00FA57C7"/>
    <w:rsid w:val="00FA58CF"/>
    <w:rsid w:val="00FA59B0"/>
    <w:rsid w:val="00FA59EC"/>
    <w:rsid w:val="00FA5A71"/>
    <w:rsid w:val="00FA5AB1"/>
    <w:rsid w:val="00FA5BBD"/>
    <w:rsid w:val="00FA5C1F"/>
    <w:rsid w:val="00FA5CF5"/>
    <w:rsid w:val="00FA5D6F"/>
    <w:rsid w:val="00FA5F25"/>
    <w:rsid w:val="00FA5F27"/>
    <w:rsid w:val="00FA5FFE"/>
    <w:rsid w:val="00FA6014"/>
    <w:rsid w:val="00FA606B"/>
    <w:rsid w:val="00FA6132"/>
    <w:rsid w:val="00FA6168"/>
    <w:rsid w:val="00FA6181"/>
    <w:rsid w:val="00FA6324"/>
    <w:rsid w:val="00FA63FF"/>
    <w:rsid w:val="00FA6546"/>
    <w:rsid w:val="00FA660A"/>
    <w:rsid w:val="00FA6A6A"/>
    <w:rsid w:val="00FA6B2D"/>
    <w:rsid w:val="00FA6BAB"/>
    <w:rsid w:val="00FA6EB8"/>
    <w:rsid w:val="00FA70B1"/>
    <w:rsid w:val="00FA718E"/>
    <w:rsid w:val="00FA727E"/>
    <w:rsid w:val="00FA7346"/>
    <w:rsid w:val="00FA7389"/>
    <w:rsid w:val="00FA73C0"/>
    <w:rsid w:val="00FA73D6"/>
    <w:rsid w:val="00FA7480"/>
    <w:rsid w:val="00FA774F"/>
    <w:rsid w:val="00FA77F4"/>
    <w:rsid w:val="00FA77FD"/>
    <w:rsid w:val="00FA7828"/>
    <w:rsid w:val="00FA7886"/>
    <w:rsid w:val="00FA7930"/>
    <w:rsid w:val="00FA7973"/>
    <w:rsid w:val="00FA797C"/>
    <w:rsid w:val="00FA79CE"/>
    <w:rsid w:val="00FA7A1F"/>
    <w:rsid w:val="00FA7AB9"/>
    <w:rsid w:val="00FA7B25"/>
    <w:rsid w:val="00FA7B71"/>
    <w:rsid w:val="00FA7BB9"/>
    <w:rsid w:val="00FA7C75"/>
    <w:rsid w:val="00FA7CE6"/>
    <w:rsid w:val="00FA7D31"/>
    <w:rsid w:val="00FA7DCA"/>
    <w:rsid w:val="00FA7E46"/>
    <w:rsid w:val="00FA7E67"/>
    <w:rsid w:val="00FA7E7C"/>
    <w:rsid w:val="00FA7F3C"/>
    <w:rsid w:val="00FB0066"/>
    <w:rsid w:val="00FB02D1"/>
    <w:rsid w:val="00FB030D"/>
    <w:rsid w:val="00FB03A9"/>
    <w:rsid w:val="00FB0470"/>
    <w:rsid w:val="00FB0649"/>
    <w:rsid w:val="00FB0815"/>
    <w:rsid w:val="00FB08F5"/>
    <w:rsid w:val="00FB0A7D"/>
    <w:rsid w:val="00FB0B14"/>
    <w:rsid w:val="00FB0C04"/>
    <w:rsid w:val="00FB0C81"/>
    <w:rsid w:val="00FB0CB3"/>
    <w:rsid w:val="00FB0D1F"/>
    <w:rsid w:val="00FB0DA3"/>
    <w:rsid w:val="00FB0E14"/>
    <w:rsid w:val="00FB0FAE"/>
    <w:rsid w:val="00FB103F"/>
    <w:rsid w:val="00FB1072"/>
    <w:rsid w:val="00FB11A4"/>
    <w:rsid w:val="00FB11FD"/>
    <w:rsid w:val="00FB121D"/>
    <w:rsid w:val="00FB123D"/>
    <w:rsid w:val="00FB1273"/>
    <w:rsid w:val="00FB12D9"/>
    <w:rsid w:val="00FB12F1"/>
    <w:rsid w:val="00FB1312"/>
    <w:rsid w:val="00FB145D"/>
    <w:rsid w:val="00FB146F"/>
    <w:rsid w:val="00FB14C9"/>
    <w:rsid w:val="00FB15F2"/>
    <w:rsid w:val="00FB164F"/>
    <w:rsid w:val="00FB1847"/>
    <w:rsid w:val="00FB187B"/>
    <w:rsid w:val="00FB19B4"/>
    <w:rsid w:val="00FB1A08"/>
    <w:rsid w:val="00FB1C0D"/>
    <w:rsid w:val="00FB1C3F"/>
    <w:rsid w:val="00FB1D06"/>
    <w:rsid w:val="00FB1DE1"/>
    <w:rsid w:val="00FB1ED3"/>
    <w:rsid w:val="00FB1FB7"/>
    <w:rsid w:val="00FB2051"/>
    <w:rsid w:val="00FB2312"/>
    <w:rsid w:val="00FB24D7"/>
    <w:rsid w:val="00FB2676"/>
    <w:rsid w:val="00FB28D5"/>
    <w:rsid w:val="00FB2914"/>
    <w:rsid w:val="00FB297E"/>
    <w:rsid w:val="00FB2A4A"/>
    <w:rsid w:val="00FB2A6A"/>
    <w:rsid w:val="00FB2B5C"/>
    <w:rsid w:val="00FB2C55"/>
    <w:rsid w:val="00FB2C58"/>
    <w:rsid w:val="00FB2CD8"/>
    <w:rsid w:val="00FB2E78"/>
    <w:rsid w:val="00FB2E7C"/>
    <w:rsid w:val="00FB2EA6"/>
    <w:rsid w:val="00FB3068"/>
    <w:rsid w:val="00FB307F"/>
    <w:rsid w:val="00FB31B2"/>
    <w:rsid w:val="00FB31F5"/>
    <w:rsid w:val="00FB322C"/>
    <w:rsid w:val="00FB34CE"/>
    <w:rsid w:val="00FB3500"/>
    <w:rsid w:val="00FB353F"/>
    <w:rsid w:val="00FB3576"/>
    <w:rsid w:val="00FB35AC"/>
    <w:rsid w:val="00FB35C3"/>
    <w:rsid w:val="00FB37FB"/>
    <w:rsid w:val="00FB382A"/>
    <w:rsid w:val="00FB3923"/>
    <w:rsid w:val="00FB3AE2"/>
    <w:rsid w:val="00FB3B46"/>
    <w:rsid w:val="00FB3CF4"/>
    <w:rsid w:val="00FB3CFA"/>
    <w:rsid w:val="00FB3D27"/>
    <w:rsid w:val="00FB3DA4"/>
    <w:rsid w:val="00FB3DAE"/>
    <w:rsid w:val="00FB3EBF"/>
    <w:rsid w:val="00FB3EE6"/>
    <w:rsid w:val="00FB40C1"/>
    <w:rsid w:val="00FB44D6"/>
    <w:rsid w:val="00FB4627"/>
    <w:rsid w:val="00FB46C7"/>
    <w:rsid w:val="00FB46E3"/>
    <w:rsid w:val="00FB48ED"/>
    <w:rsid w:val="00FB4AE2"/>
    <w:rsid w:val="00FB4C51"/>
    <w:rsid w:val="00FB4CAA"/>
    <w:rsid w:val="00FB4D59"/>
    <w:rsid w:val="00FB4D7C"/>
    <w:rsid w:val="00FB4F6E"/>
    <w:rsid w:val="00FB4FF0"/>
    <w:rsid w:val="00FB5241"/>
    <w:rsid w:val="00FB550C"/>
    <w:rsid w:val="00FB55C5"/>
    <w:rsid w:val="00FB5637"/>
    <w:rsid w:val="00FB5700"/>
    <w:rsid w:val="00FB5958"/>
    <w:rsid w:val="00FB5960"/>
    <w:rsid w:val="00FB5AB6"/>
    <w:rsid w:val="00FB5AD5"/>
    <w:rsid w:val="00FB5B98"/>
    <w:rsid w:val="00FB5C51"/>
    <w:rsid w:val="00FB5DDD"/>
    <w:rsid w:val="00FB5FBF"/>
    <w:rsid w:val="00FB5FDF"/>
    <w:rsid w:val="00FB602A"/>
    <w:rsid w:val="00FB60DB"/>
    <w:rsid w:val="00FB628B"/>
    <w:rsid w:val="00FB62D6"/>
    <w:rsid w:val="00FB62D8"/>
    <w:rsid w:val="00FB634E"/>
    <w:rsid w:val="00FB63D6"/>
    <w:rsid w:val="00FB63E4"/>
    <w:rsid w:val="00FB64DE"/>
    <w:rsid w:val="00FB65AE"/>
    <w:rsid w:val="00FB6745"/>
    <w:rsid w:val="00FB689D"/>
    <w:rsid w:val="00FB68FC"/>
    <w:rsid w:val="00FB6A52"/>
    <w:rsid w:val="00FB6AEC"/>
    <w:rsid w:val="00FB6C97"/>
    <w:rsid w:val="00FB6CDF"/>
    <w:rsid w:val="00FB6D58"/>
    <w:rsid w:val="00FB6DB0"/>
    <w:rsid w:val="00FB6E7D"/>
    <w:rsid w:val="00FB7003"/>
    <w:rsid w:val="00FB7016"/>
    <w:rsid w:val="00FB7122"/>
    <w:rsid w:val="00FB71C5"/>
    <w:rsid w:val="00FB71FE"/>
    <w:rsid w:val="00FB726B"/>
    <w:rsid w:val="00FB74BE"/>
    <w:rsid w:val="00FB74F6"/>
    <w:rsid w:val="00FB7539"/>
    <w:rsid w:val="00FB759D"/>
    <w:rsid w:val="00FB770F"/>
    <w:rsid w:val="00FB7717"/>
    <w:rsid w:val="00FB77DD"/>
    <w:rsid w:val="00FB790D"/>
    <w:rsid w:val="00FB7990"/>
    <w:rsid w:val="00FB7A15"/>
    <w:rsid w:val="00FB7A61"/>
    <w:rsid w:val="00FB7AE6"/>
    <w:rsid w:val="00FB7BB8"/>
    <w:rsid w:val="00FB7DA0"/>
    <w:rsid w:val="00FB7DCD"/>
    <w:rsid w:val="00FB7FDC"/>
    <w:rsid w:val="00FC0082"/>
    <w:rsid w:val="00FC00E5"/>
    <w:rsid w:val="00FC00F2"/>
    <w:rsid w:val="00FC020D"/>
    <w:rsid w:val="00FC0210"/>
    <w:rsid w:val="00FC050F"/>
    <w:rsid w:val="00FC057D"/>
    <w:rsid w:val="00FC05C7"/>
    <w:rsid w:val="00FC06CF"/>
    <w:rsid w:val="00FC0804"/>
    <w:rsid w:val="00FC0A49"/>
    <w:rsid w:val="00FC0A52"/>
    <w:rsid w:val="00FC0B01"/>
    <w:rsid w:val="00FC0CEA"/>
    <w:rsid w:val="00FC0D4B"/>
    <w:rsid w:val="00FC0EB1"/>
    <w:rsid w:val="00FC0ED9"/>
    <w:rsid w:val="00FC0EFD"/>
    <w:rsid w:val="00FC0F13"/>
    <w:rsid w:val="00FC0F3C"/>
    <w:rsid w:val="00FC0F6C"/>
    <w:rsid w:val="00FC10C6"/>
    <w:rsid w:val="00FC11FA"/>
    <w:rsid w:val="00FC127F"/>
    <w:rsid w:val="00FC128A"/>
    <w:rsid w:val="00FC1318"/>
    <w:rsid w:val="00FC1495"/>
    <w:rsid w:val="00FC1572"/>
    <w:rsid w:val="00FC15F9"/>
    <w:rsid w:val="00FC175A"/>
    <w:rsid w:val="00FC190B"/>
    <w:rsid w:val="00FC199A"/>
    <w:rsid w:val="00FC1A53"/>
    <w:rsid w:val="00FC1CB0"/>
    <w:rsid w:val="00FC1D7D"/>
    <w:rsid w:val="00FC1E2E"/>
    <w:rsid w:val="00FC1F16"/>
    <w:rsid w:val="00FC1F58"/>
    <w:rsid w:val="00FC202F"/>
    <w:rsid w:val="00FC214E"/>
    <w:rsid w:val="00FC22D1"/>
    <w:rsid w:val="00FC23A4"/>
    <w:rsid w:val="00FC2493"/>
    <w:rsid w:val="00FC25EA"/>
    <w:rsid w:val="00FC263C"/>
    <w:rsid w:val="00FC2879"/>
    <w:rsid w:val="00FC2938"/>
    <w:rsid w:val="00FC29E0"/>
    <w:rsid w:val="00FC2A70"/>
    <w:rsid w:val="00FC2AE8"/>
    <w:rsid w:val="00FC2BD4"/>
    <w:rsid w:val="00FC2C5D"/>
    <w:rsid w:val="00FC2DA4"/>
    <w:rsid w:val="00FC2E73"/>
    <w:rsid w:val="00FC2EE5"/>
    <w:rsid w:val="00FC30B1"/>
    <w:rsid w:val="00FC30ED"/>
    <w:rsid w:val="00FC3328"/>
    <w:rsid w:val="00FC3346"/>
    <w:rsid w:val="00FC33AD"/>
    <w:rsid w:val="00FC33D5"/>
    <w:rsid w:val="00FC33DB"/>
    <w:rsid w:val="00FC34D2"/>
    <w:rsid w:val="00FC37D8"/>
    <w:rsid w:val="00FC397F"/>
    <w:rsid w:val="00FC3989"/>
    <w:rsid w:val="00FC3B0D"/>
    <w:rsid w:val="00FC3B85"/>
    <w:rsid w:val="00FC3B8C"/>
    <w:rsid w:val="00FC3C84"/>
    <w:rsid w:val="00FC3DB6"/>
    <w:rsid w:val="00FC3E84"/>
    <w:rsid w:val="00FC3F3F"/>
    <w:rsid w:val="00FC3FE3"/>
    <w:rsid w:val="00FC4373"/>
    <w:rsid w:val="00FC439E"/>
    <w:rsid w:val="00FC46EB"/>
    <w:rsid w:val="00FC4725"/>
    <w:rsid w:val="00FC47DD"/>
    <w:rsid w:val="00FC487C"/>
    <w:rsid w:val="00FC487D"/>
    <w:rsid w:val="00FC497E"/>
    <w:rsid w:val="00FC49F3"/>
    <w:rsid w:val="00FC4BD1"/>
    <w:rsid w:val="00FC4C02"/>
    <w:rsid w:val="00FC4D11"/>
    <w:rsid w:val="00FC4DB7"/>
    <w:rsid w:val="00FC4DE3"/>
    <w:rsid w:val="00FC4E00"/>
    <w:rsid w:val="00FC4E28"/>
    <w:rsid w:val="00FC4E2C"/>
    <w:rsid w:val="00FC4E3B"/>
    <w:rsid w:val="00FC512C"/>
    <w:rsid w:val="00FC51AA"/>
    <w:rsid w:val="00FC51F8"/>
    <w:rsid w:val="00FC52F9"/>
    <w:rsid w:val="00FC5389"/>
    <w:rsid w:val="00FC54D9"/>
    <w:rsid w:val="00FC56E9"/>
    <w:rsid w:val="00FC571F"/>
    <w:rsid w:val="00FC5AFF"/>
    <w:rsid w:val="00FC5B9D"/>
    <w:rsid w:val="00FC5B9F"/>
    <w:rsid w:val="00FC5CD7"/>
    <w:rsid w:val="00FC5E8A"/>
    <w:rsid w:val="00FC5F87"/>
    <w:rsid w:val="00FC5FBF"/>
    <w:rsid w:val="00FC6010"/>
    <w:rsid w:val="00FC6205"/>
    <w:rsid w:val="00FC6250"/>
    <w:rsid w:val="00FC630C"/>
    <w:rsid w:val="00FC630D"/>
    <w:rsid w:val="00FC639A"/>
    <w:rsid w:val="00FC645B"/>
    <w:rsid w:val="00FC6487"/>
    <w:rsid w:val="00FC651B"/>
    <w:rsid w:val="00FC66AF"/>
    <w:rsid w:val="00FC6735"/>
    <w:rsid w:val="00FC6751"/>
    <w:rsid w:val="00FC6840"/>
    <w:rsid w:val="00FC68D8"/>
    <w:rsid w:val="00FC6975"/>
    <w:rsid w:val="00FC6A4C"/>
    <w:rsid w:val="00FC6A57"/>
    <w:rsid w:val="00FC6C1B"/>
    <w:rsid w:val="00FC6C7F"/>
    <w:rsid w:val="00FC6CF9"/>
    <w:rsid w:val="00FC6E16"/>
    <w:rsid w:val="00FC6E8B"/>
    <w:rsid w:val="00FC6FFA"/>
    <w:rsid w:val="00FC7371"/>
    <w:rsid w:val="00FC7504"/>
    <w:rsid w:val="00FC775E"/>
    <w:rsid w:val="00FC7821"/>
    <w:rsid w:val="00FC78B9"/>
    <w:rsid w:val="00FC799D"/>
    <w:rsid w:val="00FC7A0D"/>
    <w:rsid w:val="00FC7C1F"/>
    <w:rsid w:val="00FC7D2A"/>
    <w:rsid w:val="00FC7D7E"/>
    <w:rsid w:val="00FC7FB2"/>
    <w:rsid w:val="00FD0154"/>
    <w:rsid w:val="00FD01F0"/>
    <w:rsid w:val="00FD0309"/>
    <w:rsid w:val="00FD0395"/>
    <w:rsid w:val="00FD03F7"/>
    <w:rsid w:val="00FD0490"/>
    <w:rsid w:val="00FD07E5"/>
    <w:rsid w:val="00FD08D2"/>
    <w:rsid w:val="00FD08F0"/>
    <w:rsid w:val="00FD098F"/>
    <w:rsid w:val="00FD0A14"/>
    <w:rsid w:val="00FD0A32"/>
    <w:rsid w:val="00FD0AC0"/>
    <w:rsid w:val="00FD0B4D"/>
    <w:rsid w:val="00FD0BAD"/>
    <w:rsid w:val="00FD0D5E"/>
    <w:rsid w:val="00FD0D9E"/>
    <w:rsid w:val="00FD0E91"/>
    <w:rsid w:val="00FD0EC1"/>
    <w:rsid w:val="00FD0F38"/>
    <w:rsid w:val="00FD0FD1"/>
    <w:rsid w:val="00FD10F9"/>
    <w:rsid w:val="00FD1391"/>
    <w:rsid w:val="00FD1416"/>
    <w:rsid w:val="00FD146F"/>
    <w:rsid w:val="00FD147A"/>
    <w:rsid w:val="00FD15B3"/>
    <w:rsid w:val="00FD15DF"/>
    <w:rsid w:val="00FD16CF"/>
    <w:rsid w:val="00FD16F4"/>
    <w:rsid w:val="00FD16F5"/>
    <w:rsid w:val="00FD183A"/>
    <w:rsid w:val="00FD19A3"/>
    <w:rsid w:val="00FD1A72"/>
    <w:rsid w:val="00FD1B1D"/>
    <w:rsid w:val="00FD1B98"/>
    <w:rsid w:val="00FD1D1B"/>
    <w:rsid w:val="00FD1D27"/>
    <w:rsid w:val="00FD1D79"/>
    <w:rsid w:val="00FD1DDA"/>
    <w:rsid w:val="00FD1DEB"/>
    <w:rsid w:val="00FD1F75"/>
    <w:rsid w:val="00FD2050"/>
    <w:rsid w:val="00FD21A2"/>
    <w:rsid w:val="00FD220C"/>
    <w:rsid w:val="00FD22B5"/>
    <w:rsid w:val="00FD2421"/>
    <w:rsid w:val="00FD2440"/>
    <w:rsid w:val="00FD2457"/>
    <w:rsid w:val="00FD24DC"/>
    <w:rsid w:val="00FD2530"/>
    <w:rsid w:val="00FD2587"/>
    <w:rsid w:val="00FD265A"/>
    <w:rsid w:val="00FD2858"/>
    <w:rsid w:val="00FD2972"/>
    <w:rsid w:val="00FD2B96"/>
    <w:rsid w:val="00FD2CBF"/>
    <w:rsid w:val="00FD2DC3"/>
    <w:rsid w:val="00FD2E61"/>
    <w:rsid w:val="00FD2F1F"/>
    <w:rsid w:val="00FD30FE"/>
    <w:rsid w:val="00FD334E"/>
    <w:rsid w:val="00FD3385"/>
    <w:rsid w:val="00FD3447"/>
    <w:rsid w:val="00FD3540"/>
    <w:rsid w:val="00FD3546"/>
    <w:rsid w:val="00FD3578"/>
    <w:rsid w:val="00FD358C"/>
    <w:rsid w:val="00FD390D"/>
    <w:rsid w:val="00FD396D"/>
    <w:rsid w:val="00FD39B2"/>
    <w:rsid w:val="00FD3C25"/>
    <w:rsid w:val="00FD3CA2"/>
    <w:rsid w:val="00FD3CAB"/>
    <w:rsid w:val="00FD3CDB"/>
    <w:rsid w:val="00FD3DBE"/>
    <w:rsid w:val="00FD3DE4"/>
    <w:rsid w:val="00FD4067"/>
    <w:rsid w:val="00FD4156"/>
    <w:rsid w:val="00FD417D"/>
    <w:rsid w:val="00FD4246"/>
    <w:rsid w:val="00FD4257"/>
    <w:rsid w:val="00FD42BD"/>
    <w:rsid w:val="00FD42EE"/>
    <w:rsid w:val="00FD4323"/>
    <w:rsid w:val="00FD4325"/>
    <w:rsid w:val="00FD435D"/>
    <w:rsid w:val="00FD4394"/>
    <w:rsid w:val="00FD4460"/>
    <w:rsid w:val="00FD44CB"/>
    <w:rsid w:val="00FD4657"/>
    <w:rsid w:val="00FD46DB"/>
    <w:rsid w:val="00FD4738"/>
    <w:rsid w:val="00FD47A0"/>
    <w:rsid w:val="00FD47D5"/>
    <w:rsid w:val="00FD4B34"/>
    <w:rsid w:val="00FD4C84"/>
    <w:rsid w:val="00FD4E1D"/>
    <w:rsid w:val="00FD4EF1"/>
    <w:rsid w:val="00FD4EF9"/>
    <w:rsid w:val="00FD5097"/>
    <w:rsid w:val="00FD51D5"/>
    <w:rsid w:val="00FD52CA"/>
    <w:rsid w:val="00FD55DE"/>
    <w:rsid w:val="00FD5616"/>
    <w:rsid w:val="00FD5678"/>
    <w:rsid w:val="00FD5752"/>
    <w:rsid w:val="00FD5843"/>
    <w:rsid w:val="00FD5891"/>
    <w:rsid w:val="00FD59F0"/>
    <w:rsid w:val="00FD5A0D"/>
    <w:rsid w:val="00FD5B1C"/>
    <w:rsid w:val="00FD5C1B"/>
    <w:rsid w:val="00FD5C26"/>
    <w:rsid w:val="00FD5C32"/>
    <w:rsid w:val="00FD5C46"/>
    <w:rsid w:val="00FD5D54"/>
    <w:rsid w:val="00FD5D98"/>
    <w:rsid w:val="00FD5E6A"/>
    <w:rsid w:val="00FD600A"/>
    <w:rsid w:val="00FD600D"/>
    <w:rsid w:val="00FD60A3"/>
    <w:rsid w:val="00FD6105"/>
    <w:rsid w:val="00FD6174"/>
    <w:rsid w:val="00FD61A3"/>
    <w:rsid w:val="00FD6308"/>
    <w:rsid w:val="00FD6370"/>
    <w:rsid w:val="00FD63D5"/>
    <w:rsid w:val="00FD645F"/>
    <w:rsid w:val="00FD646D"/>
    <w:rsid w:val="00FD65F1"/>
    <w:rsid w:val="00FD66F7"/>
    <w:rsid w:val="00FD6737"/>
    <w:rsid w:val="00FD67A9"/>
    <w:rsid w:val="00FD67DD"/>
    <w:rsid w:val="00FD6800"/>
    <w:rsid w:val="00FD68B2"/>
    <w:rsid w:val="00FD68BE"/>
    <w:rsid w:val="00FD6B09"/>
    <w:rsid w:val="00FD6B29"/>
    <w:rsid w:val="00FD6C27"/>
    <w:rsid w:val="00FD6C3C"/>
    <w:rsid w:val="00FD6CC2"/>
    <w:rsid w:val="00FD6E37"/>
    <w:rsid w:val="00FD6E44"/>
    <w:rsid w:val="00FD6EAD"/>
    <w:rsid w:val="00FD6FF2"/>
    <w:rsid w:val="00FD7028"/>
    <w:rsid w:val="00FD7029"/>
    <w:rsid w:val="00FD7036"/>
    <w:rsid w:val="00FD70D1"/>
    <w:rsid w:val="00FD70D8"/>
    <w:rsid w:val="00FD713D"/>
    <w:rsid w:val="00FD7444"/>
    <w:rsid w:val="00FD74CB"/>
    <w:rsid w:val="00FD756C"/>
    <w:rsid w:val="00FD7580"/>
    <w:rsid w:val="00FD7589"/>
    <w:rsid w:val="00FD762A"/>
    <w:rsid w:val="00FD77B1"/>
    <w:rsid w:val="00FD7858"/>
    <w:rsid w:val="00FD78C0"/>
    <w:rsid w:val="00FD7A80"/>
    <w:rsid w:val="00FD7B90"/>
    <w:rsid w:val="00FD7B9B"/>
    <w:rsid w:val="00FD7D0B"/>
    <w:rsid w:val="00FD7D33"/>
    <w:rsid w:val="00FD7EE1"/>
    <w:rsid w:val="00FD7EE9"/>
    <w:rsid w:val="00FD7F3A"/>
    <w:rsid w:val="00FE024B"/>
    <w:rsid w:val="00FE027B"/>
    <w:rsid w:val="00FE02C0"/>
    <w:rsid w:val="00FE0335"/>
    <w:rsid w:val="00FE0360"/>
    <w:rsid w:val="00FE038C"/>
    <w:rsid w:val="00FE0650"/>
    <w:rsid w:val="00FE0661"/>
    <w:rsid w:val="00FE0673"/>
    <w:rsid w:val="00FE0696"/>
    <w:rsid w:val="00FE06D1"/>
    <w:rsid w:val="00FE07B4"/>
    <w:rsid w:val="00FE0BD0"/>
    <w:rsid w:val="00FE0C3C"/>
    <w:rsid w:val="00FE0DF2"/>
    <w:rsid w:val="00FE0E77"/>
    <w:rsid w:val="00FE0FEC"/>
    <w:rsid w:val="00FE1044"/>
    <w:rsid w:val="00FE10DA"/>
    <w:rsid w:val="00FE139E"/>
    <w:rsid w:val="00FE13ED"/>
    <w:rsid w:val="00FE1466"/>
    <w:rsid w:val="00FE150A"/>
    <w:rsid w:val="00FE1518"/>
    <w:rsid w:val="00FE154B"/>
    <w:rsid w:val="00FE1723"/>
    <w:rsid w:val="00FE1915"/>
    <w:rsid w:val="00FE1936"/>
    <w:rsid w:val="00FE1B11"/>
    <w:rsid w:val="00FE1B35"/>
    <w:rsid w:val="00FE1B77"/>
    <w:rsid w:val="00FE1C95"/>
    <w:rsid w:val="00FE1D0C"/>
    <w:rsid w:val="00FE1E29"/>
    <w:rsid w:val="00FE1E34"/>
    <w:rsid w:val="00FE1EFB"/>
    <w:rsid w:val="00FE20F8"/>
    <w:rsid w:val="00FE2113"/>
    <w:rsid w:val="00FE2365"/>
    <w:rsid w:val="00FE25B5"/>
    <w:rsid w:val="00FE2696"/>
    <w:rsid w:val="00FE273F"/>
    <w:rsid w:val="00FE286A"/>
    <w:rsid w:val="00FE2873"/>
    <w:rsid w:val="00FE28EA"/>
    <w:rsid w:val="00FE2922"/>
    <w:rsid w:val="00FE299B"/>
    <w:rsid w:val="00FE2AA8"/>
    <w:rsid w:val="00FE2F1A"/>
    <w:rsid w:val="00FE2FB4"/>
    <w:rsid w:val="00FE2FE0"/>
    <w:rsid w:val="00FE308B"/>
    <w:rsid w:val="00FE327A"/>
    <w:rsid w:val="00FE33B7"/>
    <w:rsid w:val="00FE347D"/>
    <w:rsid w:val="00FE34D6"/>
    <w:rsid w:val="00FE3575"/>
    <w:rsid w:val="00FE3590"/>
    <w:rsid w:val="00FE3703"/>
    <w:rsid w:val="00FE37FD"/>
    <w:rsid w:val="00FE38BF"/>
    <w:rsid w:val="00FE38EB"/>
    <w:rsid w:val="00FE392A"/>
    <w:rsid w:val="00FE3A74"/>
    <w:rsid w:val="00FE3AA6"/>
    <w:rsid w:val="00FE3D13"/>
    <w:rsid w:val="00FE3D22"/>
    <w:rsid w:val="00FE3D43"/>
    <w:rsid w:val="00FE3DFD"/>
    <w:rsid w:val="00FE3EDC"/>
    <w:rsid w:val="00FE3F11"/>
    <w:rsid w:val="00FE3FD2"/>
    <w:rsid w:val="00FE3FF4"/>
    <w:rsid w:val="00FE40F0"/>
    <w:rsid w:val="00FE40FD"/>
    <w:rsid w:val="00FE45D5"/>
    <w:rsid w:val="00FE46DA"/>
    <w:rsid w:val="00FE48A3"/>
    <w:rsid w:val="00FE490A"/>
    <w:rsid w:val="00FE496A"/>
    <w:rsid w:val="00FE4BD3"/>
    <w:rsid w:val="00FE4C8A"/>
    <w:rsid w:val="00FE4D03"/>
    <w:rsid w:val="00FE4E7C"/>
    <w:rsid w:val="00FE4EDE"/>
    <w:rsid w:val="00FE51B6"/>
    <w:rsid w:val="00FE53C3"/>
    <w:rsid w:val="00FE540B"/>
    <w:rsid w:val="00FE548A"/>
    <w:rsid w:val="00FE5803"/>
    <w:rsid w:val="00FE5838"/>
    <w:rsid w:val="00FE58EE"/>
    <w:rsid w:val="00FE59D0"/>
    <w:rsid w:val="00FE5AB2"/>
    <w:rsid w:val="00FE5B6F"/>
    <w:rsid w:val="00FE5CE1"/>
    <w:rsid w:val="00FE5D9A"/>
    <w:rsid w:val="00FE5DB8"/>
    <w:rsid w:val="00FE5EEE"/>
    <w:rsid w:val="00FE5EEF"/>
    <w:rsid w:val="00FE6008"/>
    <w:rsid w:val="00FE6098"/>
    <w:rsid w:val="00FE625E"/>
    <w:rsid w:val="00FE62E7"/>
    <w:rsid w:val="00FE62ED"/>
    <w:rsid w:val="00FE6462"/>
    <w:rsid w:val="00FE6590"/>
    <w:rsid w:val="00FE6621"/>
    <w:rsid w:val="00FE682D"/>
    <w:rsid w:val="00FE6870"/>
    <w:rsid w:val="00FE68BC"/>
    <w:rsid w:val="00FE68CA"/>
    <w:rsid w:val="00FE6900"/>
    <w:rsid w:val="00FE6974"/>
    <w:rsid w:val="00FE69DD"/>
    <w:rsid w:val="00FE6AA6"/>
    <w:rsid w:val="00FE6BAA"/>
    <w:rsid w:val="00FE6F31"/>
    <w:rsid w:val="00FE7023"/>
    <w:rsid w:val="00FE74E5"/>
    <w:rsid w:val="00FE74E7"/>
    <w:rsid w:val="00FE75E2"/>
    <w:rsid w:val="00FE775F"/>
    <w:rsid w:val="00FE78BA"/>
    <w:rsid w:val="00FE7938"/>
    <w:rsid w:val="00FE7A41"/>
    <w:rsid w:val="00FE7A70"/>
    <w:rsid w:val="00FE7AA5"/>
    <w:rsid w:val="00FE7B11"/>
    <w:rsid w:val="00FE7C36"/>
    <w:rsid w:val="00FE7D29"/>
    <w:rsid w:val="00FE7E0C"/>
    <w:rsid w:val="00FE7E30"/>
    <w:rsid w:val="00FE7EC9"/>
    <w:rsid w:val="00FE7ED8"/>
    <w:rsid w:val="00FE7EE3"/>
    <w:rsid w:val="00FF0165"/>
    <w:rsid w:val="00FF02FD"/>
    <w:rsid w:val="00FF0320"/>
    <w:rsid w:val="00FF0541"/>
    <w:rsid w:val="00FF05B2"/>
    <w:rsid w:val="00FF0671"/>
    <w:rsid w:val="00FF0695"/>
    <w:rsid w:val="00FF0715"/>
    <w:rsid w:val="00FF0885"/>
    <w:rsid w:val="00FF095E"/>
    <w:rsid w:val="00FF0962"/>
    <w:rsid w:val="00FF0C13"/>
    <w:rsid w:val="00FF119A"/>
    <w:rsid w:val="00FF134F"/>
    <w:rsid w:val="00FF13A1"/>
    <w:rsid w:val="00FF13D0"/>
    <w:rsid w:val="00FF16AD"/>
    <w:rsid w:val="00FF170D"/>
    <w:rsid w:val="00FF1788"/>
    <w:rsid w:val="00FF1799"/>
    <w:rsid w:val="00FF17D4"/>
    <w:rsid w:val="00FF17EC"/>
    <w:rsid w:val="00FF17EF"/>
    <w:rsid w:val="00FF1849"/>
    <w:rsid w:val="00FF18D9"/>
    <w:rsid w:val="00FF199C"/>
    <w:rsid w:val="00FF1A0C"/>
    <w:rsid w:val="00FF1A44"/>
    <w:rsid w:val="00FF1AE3"/>
    <w:rsid w:val="00FF1AF2"/>
    <w:rsid w:val="00FF1B5E"/>
    <w:rsid w:val="00FF1BE0"/>
    <w:rsid w:val="00FF1BE8"/>
    <w:rsid w:val="00FF1C79"/>
    <w:rsid w:val="00FF2044"/>
    <w:rsid w:val="00FF214B"/>
    <w:rsid w:val="00FF226F"/>
    <w:rsid w:val="00FF2379"/>
    <w:rsid w:val="00FF23D0"/>
    <w:rsid w:val="00FF24C4"/>
    <w:rsid w:val="00FF25D2"/>
    <w:rsid w:val="00FF28F0"/>
    <w:rsid w:val="00FF2A58"/>
    <w:rsid w:val="00FF2B6E"/>
    <w:rsid w:val="00FF2BCF"/>
    <w:rsid w:val="00FF2D25"/>
    <w:rsid w:val="00FF2E22"/>
    <w:rsid w:val="00FF2E27"/>
    <w:rsid w:val="00FF2E8B"/>
    <w:rsid w:val="00FF2ED4"/>
    <w:rsid w:val="00FF2FD8"/>
    <w:rsid w:val="00FF30CC"/>
    <w:rsid w:val="00FF31A8"/>
    <w:rsid w:val="00FF32C1"/>
    <w:rsid w:val="00FF3858"/>
    <w:rsid w:val="00FF3888"/>
    <w:rsid w:val="00FF38A2"/>
    <w:rsid w:val="00FF38BC"/>
    <w:rsid w:val="00FF38BE"/>
    <w:rsid w:val="00FF3975"/>
    <w:rsid w:val="00FF3A20"/>
    <w:rsid w:val="00FF3CE5"/>
    <w:rsid w:val="00FF3D11"/>
    <w:rsid w:val="00FF3F61"/>
    <w:rsid w:val="00FF3FA2"/>
    <w:rsid w:val="00FF3FAA"/>
    <w:rsid w:val="00FF4011"/>
    <w:rsid w:val="00FF4018"/>
    <w:rsid w:val="00FF402D"/>
    <w:rsid w:val="00FF40C0"/>
    <w:rsid w:val="00FF40DB"/>
    <w:rsid w:val="00FF41FB"/>
    <w:rsid w:val="00FF4248"/>
    <w:rsid w:val="00FF424E"/>
    <w:rsid w:val="00FF4257"/>
    <w:rsid w:val="00FF43E0"/>
    <w:rsid w:val="00FF4454"/>
    <w:rsid w:val="00FF4616"/>
    <w:rsid w:val="00FF4696"/>
    <w:rsid w:val="00FF4710"/>
    <w:rsid w:val="00FF4850"/>
    <w:rsid w:val="00FF4937"/>
    <w:rsid w:val="00FF49E3"/>
    <w:rsid w:val="00FF4AEC"/>
    <w:rsid w:val="00FF4D91"/>
    <w:rsid w:val="00FF4E1D"/>
    <w:rsid w:val="00FF54FC"/>
    <w:rsid w:val="00FF58FD"/>
    <w:rsid w:val="00FF5911"/>
    <w:rsid w:val="00FF5A24"/>
    <w:rsid w:val="00FF5AC6"/>
    <w:rsid w:val="00FF5B85"/>
    <w:rsid w:val="00FF5C5D"/>
    <w:rsid w:val="00FF5CE9"/>
    <w:rsid w:val="00FF5DC0"/>
    <w:rsid w:val="00FF5DFF"/>
    <w:rsid w:val="00FF5E28"/>
    <w:rsid w:val="00FF5F10"/>
    <w:rsid w:val="00FF6276"/>
    <w:rsid w:val="00FF630E"/>
    <w:rsid w:val="00FF6479"/>
    <w:rsid w:val="00FF6627"/>
    <w:rsid w:val="00FF6928"/>
    <w:rsid w:val="00FF6988"/>
    <w:rsid w:val="00FF69E1"/>
    <w:rsid w:val="00FF6A9F"/>
    <w:rsid w:val="00FF6AA4"/>
    <w:rsid w:val="00FF6ACC"/>
    <w:rsid w:val="00FF6B66"/>
    <w:rsid w:val="00FF6D1F"/>
    <w:rsid w:val="00FF6D38"/>
    <w:rsid w:val="00FF6E4E"/>
    <w:rsid w:val="00FF6E74"/>
    <w:rsid w:val="00FF6EAD"/>
    <w:rsid w:val="00FF6FD8"/>
    <w:rsid w:val="00FF6FF4"/>
    <w:rsid w:val="00FF706D"/>
    <w:rsid w:val="00FF7110"/>
    <w:rsid w:val="00FF7238"/>
    <w:rsid w:val="00FF7244"/>
    <w:rsid w:val="00FF74BB"/>
    <w:rsid w:val="00FF7557"/>
    <w:rsid w:val="00FF7609"/>
    <w:rsid w:val="00FF76AD"/>
    <w:rsid w:val="00FF7737"/>
    <w:rsid w:val="00FF773B"/>
    <w:rsid w:val="00FF7851"/>
    <w:rsid w:val="00FF7958"/>
    <w:rsid w:val="00FF7A69"/>
    <w:rsid w:val="00FF7B9F"/>
    <w:rsid w:val="00FF7BCC"/>
    <w:rsid w:val="00FF7CAF"/>
    <w:rsid w:val="00FF7E6E"/>
    <w:rsid w:val="00FF7E7E"/>
    <w:rsid w:val="1164B356"/>
    <w:rsid w:val="146746DA"/>
    <w:rsid w:val="1BDBAECB"/>
    <w:rsid w:val="2CF25D40"/>
    <w:rsid w:val="3543E151"/>
    <w:rsid w:val="35485744"/>
    <w:rsid w:val="3FE738B7"/>
    <w:rsid w:val="64EE59FB"/>
    <w:rsid w:val="699F8B07"/>
    <w:rsid w:val="73FCEBE2"/>
    <w:rsid w:val="79650448"/>
    <w:rsid w:val="7AC704FE"/>
    <w:rsid w:val="7B603A3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B547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39" w:unhideWhenUsed="1" w:qFormat="1"/>
    <w:lsdException w:name="toc 3" w:semiHidden="1" w:uiPriority="39"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D31"/>
    <w:pPr>
      <w:spacing w:before="240" w:after="240" w:line="240" w:lineRule="exact"/>
    </w:pPr>
    <w:rPr>
      <w:rFonts w:ascii="Book Antiqua" w:eastAsia="Times New Roman" w:hAnsi="Book Antiqua" w:cs="Times New Roman"/>
      <w:sz w:val="19"/>
      <w:szCs w:val="20"/>
      <w:lang w:eastAsia="en-AU"/>
    </w:rPr>
  </w:style>
  <w:style w:type="paragraph" w:styleId="Heading1">
    <w:name w:val="heading 1"/>
    <w:basedOn w:val="HeadingBase"/>
    <w:next w:val="Normal"/>
    <w:link w:val="Heading1Char"/>
    <w:qFormat/>
    <w:rsid w:val="00D03D31"/>
    <w:pPr>
      <w:spacing w:after="240"/>
      <w:outlineLvl w:val="0"/>
    </w:pPr>
    <w:rPr>
      <w:rFonts w:ascii="Arial Bold" w:hAnsi="Arial Bold"/>
      <w:b/>
      <w:kern w:val="34"/>
      <w:sz w:val="36"/>
    </w:rPr>
  </w:style>
  <w:style w:type="paragraph" w:styleId="Heading2">
    <w:name w:val="heading 2"/>
    <w:basedOn w:val="HeadingBase"/>
    <w:next w:val="Normal"/>
    <w:link w:val="Heading2Char"/>
    <w:qFormat/>
    <w:rsid w:val="00D03D31"/>
    <w:pPr>
      <w:spacing w:before="240" w:after="240"/>
      <w:outlineLvl w:val="1"/>
    </w:pPr>
    <w:rPr>
      <w:rFonts w:ascii="Arial Bold" w:hAnsi="Arial Bold"/>
      <w:b/>
      <w:sz w:val="26"/>
    </w:rPr>
  </w:style>
  <w:style w:type="paragraph" w:styleId="Heading3">
    <w:name w:val="heading 3"/>
    <w:basedOn w:val="HeadingBase"/>
    <w:next w:val="Normal"/>
    <w:link w:val="Heading3Char"/>
    <w:qFormat/>
    <w:rsid w:val="00D03D31"/>
    <w:pPr>
      <w:spacing w:before="120" w:after="120"/>
      <w:outlineLvl w:val="2"/>
    </w:pPr>
    <w:rPr>
      <w:rFonts w:ascii="Arial Bold" w:hAnsi="Arial Bold"/>
      <w:b/>
      <w:sz w:val="22"/>
    </w:rPr>
  </w:style>
  <w:style w:type="paragraph" w:styleId="Heading4">
    <w:name w:val="heading 4"/>
    <w:basedOn w:val="HeadingBase"/>
    <w:next w:val="Normal"/>
    <w:link w:val="Heading4Char"/>
    <w:qFormat/>
    <w:rsid w:val="00D03D31"/>
    <w:pPr>
      <w:spacing w:after="120"/>
      <w:outlineLvl w:val="3"/>
    </w:pPr>
    <w:rPr>
      <w:rFonts w:ascii="Arial Bold" w:hAnsi="Arial Bold"/>
      <w:b/>
      <w:sz w:val="20"/>
    </w:rPr>
  </w:style>
  <w:style w:type="paragraph" w:styleId="Heading5">
    <w:name w:val="heading 5"/>
    <w:basedOn w:val="HeadingBase"/>
    <w:next w:val="Normal"/>
    <w:link w:val="Heading5Char"/>
    <w:qFormat/>
    <w:rsid w:val="00D03D31"/>
    <w:pPr>
      <w:spacing w:after="120"/>
      <w:outlineLvl w:val="4"/>
    </w:pPr>
    <w:rPr>
      <w:bCs/>
      <w:i/>
      <w:iCs/>
      <w:sz w:val="20"/>
      <w:szCs w:val="26"/>
    </w:rPr>
  </w:style>
  <w:style w:type="paragraph" w:styleId="Heading6">
    <w:name w:val="heading 6"/>
    <w:basedOn w:val="HeadingBase"/>
    <w:next w:val="Normal"/>
    <w:link w:val="Heading6Char"/>
    <w:rsid w:val="00D03D31"/>
    <w:pPr>
      <w:spacing w:after="120"/>
      <w:outlineLvl w:val="5"/>
    </w:pPr>
    <w:rPr>
      <w:bCs/>
      <w:sz w:val="20"/>
      <w:szCs w:val="22"/>
    </w:rPr>
  </w:style>
  <w:style w:type="paragraph" w:styleId="Heading7">
    <w:name w:val="heading 7"/>
    <w:basedOn w:val="HeadingBase"/>
    <w:next w:val="Normal"/>
    <w:link w:val="Heading7Char"/>
    <w:rsid w:val="00D03D31"/>
    <w:pPr>
      <w:spacing w:before="120"/>
      <w:outlineLvl w:val="6"/>
    </w:pPr>
    <w:rPr>
      <w:sz w:val="20"/>
      <w:szCs w:val="24"/>
    </w:rPr>
  </w:style>
  <w:style w:type="paragraph" w:styleId="Heading8">
    <w:name w:val="heading 8"/>
    <w:basedOn w:val="HeadingBase"/>
    <w:next w:val="Normal"/>
    <w:link w:val="Heading8Char"/>
    <w:rsid w:val="00D03D31"/>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D03D31"/>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D03D31"/>
    <w:pPr>
      <w:tabs>
        <w:tab w:val="center" w:pos="4153"/>
        <w:tab w:val="right" w:pos="8306"/>
      </w:tabs>
    </w:pPr>
  </w:style>
  <w:style w:type="character" w:customStyle="1" w:styleId="HeaderChar">
    <w:name w:val="Header Char"/>
    <w:basedOn w:val="DefaultParagraphFont"/>
    <w:link w:val="Header"/>
    <w:rsid w:val="00D03D31"/>
    <w:rPr>
      <w:rFonts w:ascii="Arial" w:eastAsia="Times New Roman" w:hAnsi="Arial" w:cs="Times New Roman"/>
      <w:color w:val="002A54" w:themeColor="text2"/>
      <w:position w:val="-1"/>
      <w:sz w:val="18"/>
      <w:szCs w:val="20"/>
      <w:lang w:eastAsia="en-AU"/>
    </w:rPr>
  </w:style>
  <w:style w:type="paragraph" w:styleId="Footer">
    <w:name w:val="footer"/>
    <w:basedOn w:val="FooterBase"/>
    <w:link w:val="FooterChar"/>
    <w:rsid w:val="00D03D31"/>
    <w:pPr>
      <w:tabs>
        <w:tab w:val="center" w:pos="4153"/>
        <w:tab w:val="right" w:pos="8306"/>
      </w:tabs>
    </w:pPr>
  </w:style>
  <w:style w:type="character" w:customStyle="1" w:styleId="FooterChar">
    <w:name w:val="Footer Char"/>
    <w:basedOn w:val="DefaultParagraphFont"/>
    <w:link w:val="Footer"/>
    <w:rsid w:val="00D03D31"/>
    <w:rPr>
      <w:rFonts w:ascii="Arial" w:eastAsia="Times New Roman" w:hAnsi="Arial" w:cs="Times New Roman"/>
      <w:color w:val="002A54" w:themeColor="text2"/>
      <w:sz w:val="20"/>
      <w:szCs w:val="20"/>
      <w:lang w:eastAsia="en-AU"/>
    </w:rPr>
  </w:style>
  <w:style w:type="paragraph" w:customStyle="1" w:styleId="SecurityClassificationHeader">
    <w:name w:val="Security Classification Header"/>
    <w:link w:val="SecurityClassificationHeaderChar"/>
    <w:rsid w:val="00D03D31"/>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HeaderChar">
    <w:name w:val="Security Classification Header Char"/>
    <w:basedOn w:val="HeaderChar"/>
    <w:link w:val="SecurityClassificationHeader"/>
    <w:rsid w:val="00D03D31"/>
    <w:rPr>
      <w:rFonts w:ascii="Calibri" w:eastAsia="Times New Roman" w:hAnsi="Calibri" w:cs="Calibri"/>
      <w:b/>
      <w:caps/>
      <w:color w:val="002A54" w:themeColor="text2"/>
      <w:position w:val="-1"/>
      <w:sz w:val="24"/>
      <w:szCs w:val="20"/>
      <w:lang w:eastAsia="en-AU"/>
    </w:rPr>
  </w:style>
  <w:style w:type="paragraph" w:customStyle="1" w:styleId="SecurityClassificationFooter">
    <w:name w:val="Security Classification Footer"/>
    <w:link w:val="SecurityClassificationFooterChar"/>
    <w:rsid w:val="00D03D31"/>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FooterChar">
    <w:name w:val="Security Classification Footer Char"/>
    <w:basedOn w:val="HeaderChar"/>
    <w:link w:val="SecurityClassificationFooter"/>
    <w:rsid w:val="00D03D31"/>
    <w:rPr>
      <w:rFonts w:ascii="Calibri" w:eastAsia="Times New Roman" w:hAnsi="Calibri" w:cs="Calibri"/>
      <w:b/>
      <w:caps/>
      <w:color w:val="002A54" w:themeColor="text2"/>
      <w:position w:val="-1"/>
      <w:sz w:val="24"/>
      <w:szCs w:val="20"/>
      <w:lang w:eastAsia="en-AU"/>
    </w:rPr>
  </w:style>
  <w:style w:type="paragraph" w:customStyle="1" w:styleId="DLMSecurityHeader">
    <w:name w:val="DLM Security Header"/>
    <w:link w:val="DLMSecurityHeaderChar"/>
    <w:rsid w:val="00D03D31"/>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DLMSecurityHeaderChar">
    <w:name w:val="DLM Security Header Char"/>
    <w:basedOn w:val="HeaderChar"/>
    <w:link w:val="DLMSecurityHeader"/>
    <w:rsid w:val="00D03D31"/>
    <w:rPr>
      <w:rFonts w:ascii="Calibri" w:eastAsia="Times New Roman" w:hAnsi="Calibri" w:cs="Calibri"/>
      <w:b/>
      <w:caps/>
      <w:color w:val="002A54" w:themeColor="text2"/>
      <w:position w:val="-1"/>
      <w:sz w:val="24"/>
      <w:szCs w:val="20"/>
      <w:lang w:eastAsia="en-AU"/>
    </w:rPr>
  </w:style>
  <w:style w:type="paragraph" w:customStyle="1" w:styleId="DLMSecurityFooter">
    <w:name w:val="DLM Security Footer"/>
    <w:link w:val="DLMSecurityFooterChar"/>
    <w:rsid w:val="00D03D31"/>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DLMSecurityFooterChar">
    <w:name w:val="DLM Security Footer Char"/>
    <w:basedOn w:val="HeaderChar"/>
    <w:link w:val="DLMSecurityFooter"/>
    <w:rsid w:val="00D03D31"/>
    <w:rPr>
      <w:rFonts w:ascii="Calibri" w:eastAsia="Times New Roman" w:hAnsi="Calibri" w:cs="Calibri"/>
      <w:b/>
      <w:caps/>
      <w:color w:val="002A54" w:themeColor="text2"/>
      <w:position w:val="-1"/>
      <w:sz w:val="24"/>
      <w:szCs w:val="20"/>
      <w:lang w:eastAsia="en-AU"/>
    </w:rPr>
  </w:style>
  <w:style w:type="paragraph" w:customStyle="1" w:styleId="Classification">
    <w:name w:val="Classification"/>
    <w:basedOn w:val="HeadingBase"/>
    <w:rsid w:val="00D03D31"/>
    <w:pPr>
      <w:jc w:val="center"/>
    </w:pPr>
    <w:rPr>
      <w:rFonts w:ascii="Arial Bold" w:hAnsi="Arial Bold"/>
      <w:b/>
      <w:caps/>
      <w:sz w:val="22"/>
    </w:rPr>
  </w:style>
  <w:style w:type="paragraph" w:customStyle="1" w:styleId="FileProperties">
    <w:name w:val="File Properties"/>
    <w:basedOn w:val="Normal"/>
    <w:rsid w:val="00D03D31"/>
    <w:pPr>
      <w:spacing w:before="0"/>
    </w:pPr>
    <w:rPr>
      <w:i/>
    </w:rPr>
  </w:style>
  <w:style w:type="paragraph" w:customStyle="1" w:styleId="AlphaParagraph">
    <w:name w:val="Alpha Paragraph"/>
    <w:basedOn w:val="Normal"/>
    <w:rsid w:val="00D03D31"/>
    <w:pPr>
      <w:numPr>
        <w:numId w:val="1"/>
      </w:numPr>
      <w:tabs>
        <w:tab w:val="clear" w:pos="567"/>
        <w:tab w:val="num" w:pos="360"/>
      </w:tabs>
      <w:ind w:left="0" w:firstLine="0"/>
    </w:pPr>
  </w:style>
  <w:style w:type="paragraph" w:customStyle="1" w:styleId="HeadingBase">
    <w:name w:val="Heading Base"/>
    <w:rsid w:val="00D03D31"/>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D03D31"/>
    <w:rPr>
      <w:bCs/>
      <w:color w:val="002A54" w:themeColor="text2"/>
      <w:szCs w:val="52"/>
    </w:rPr>
  </w:style>
  <w:style w:type="paragraph" w:customStyle="1" w:styleId="BoxText">
    <w:name w:val="Box Text"/>
    <w:basedOn w:val="Normal"/>
    <w:link w:val="BoxTextChar"/>
    <w:qFormat/>
    <w:rsid w:val="00D03D31"/>
    <w:pPr>
      <w:spacing w:before="120" w:after="120" w:line="240" w:lineRule="auto"/>
    </w:pPr>
  </w:style>
  <w:style w:type="paragraph" w:customStyle="1" w:styleId="BoxBullet">
    <w:name w:val="Box Bullet"/>
    <w:basedOn w:val="BoxText"/>
    <w:rsid w:val="00D03D31"/>
    <w:pPr>
      <w:numPr>
        <w:numId w:val="2"/>
      </w:numPr>
    </w:pPr>
  </w:style>
  <w:style w:type="paragraph" w:customStyle="1" w:styleId="BoxHeading">
    <w:name w:val="Box Heading"/>
    <w:basedOn w:val="HeadingBase"/>
    <w:next w:val="BoxText"/>
    <w:rsid w:val="00D03D31"/>
    <w:pPr>
      <w:spacing w:before="120" w:after="120"/>
    </w:pPr>
    <w:rPr>
      <w:b/>
      <w:sz w:val="20"/>
    </w:rPr>
  </w:style>
  <w:style w:type="character" w:customStyle="1" w:styleId="Heading6Char">
    <w:name w:val="Heading 6 Char"/>
    <w:basedOn w:val="DefaultParagraphFont"/>
    <w:link w:val="Heading6"/>
    <w:rsid w:val="00D03D31"/>
    <w:rPr>
      <w:rFonts w:ascii="Arial" w:eastAsia="Times New Roman" w:hAnsi="Arial" w:cs="Times New Roman"/>
      <w:bCs/>
      <w:sz w:val="20"/>
      <w:lang w:eastAsia="en-AU"/>
    </w:rPr>
  </w:style>
  <w:style w:type="paragraph" w:customStyle="1" w:styleId="Bullet">
    <w:name w:val="Bullet"/>
    <w:basedOn w:val="Normal"/>
    <w:link w:val="BulletChar"/>
    <w:qFormat/>
    <w:rsid w:val="00D03D31"/>
    <w:pPr>
      <w:numPr>
        <w:numId w:val="7"/>
      </w:numPr>
      <w:spacing w:after="160"/>
      <w:ind w:left="284" w:hanging="284"/>
    </w:pPr>
  </w:style>
  <w:style w:type="paragraph" w:styleId="Caption">
    <w:name w:val="caption"/>
    <w:basedOn w:val="Normal"/>
    <w:next w:val="Normal"/>
    <w:rsid w:val="00D03D31"/>
    <w:rPr>
      <w:b/>
      <w:bCs/>
    </w:rPr>
  </w:style>
  <w:style w:type="paragraph" w:customStyle="1" w:styleId="ChartandTableFootnote">
    <w:name w:val="Chart and Table Footnote"/>
    <w:basedOn w:val="HeadingBase"/>
    <w:next w:val="Normal"/>
    <w:link w:val="ChartandTableFootnoteChar"/>
    <w:rsid w:val="00D03D31"/>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link w:val="ChartandTableFootnoteAlphaChar"/>
    <w:rsid w:val="00D03D31"/>
    <w:pPr>
      <w:keepNext w:val="0"/>
      <w:numPr>
        <w:numId w:val="20"/>
      </w:numPr>
      <w:spacing w:before="30"/>
    </w:pPr>
    <w:rPr>
      <w:color w:val="000000"/>
      <w:sz w:val="16"/>
    </w:rPr>
  </w:style>
  <w:style w:type="paragraph" w:customStyle="1" w:styleId="ChartandTableFootnoteSmall">
    <w:name w:val="Chart and Table Footnote Small"/>
    <w:basedOn w:val="HeadingBase"/>
    <w:next w:val="Normal"/>
    <w:rsid w:val="00D03D31"/>
    <w:pPr>
      <w:keepNext w:val="0"/>
      <w:tabs>
        <w:tab w:val="left" w:pos="284"/>
      </w:tabs>
      <w:jc w:val="both"/>
    </w:pPr>
    <w:rPr>
      <w:color w:val="000000"/>
      <w:sz w:val="15"/>
    </w:rPr>
  </w:style>
  <w:style w:type="paragraph" w:customStyle="1" w:styleId="ChartGraphic">
    <w:name w:val="Chart Graphic"/>
    <w:basedOn w:val="HeadingBase"/>
    <w:link w:val="ChartGraphicChar"/>
    <w:rsid w:val="00D03D31"/>
    <w:rPr>
      <w:sz w:val="20"/>
    </w:rPr>
  </w:style>
  <w:style w:type="paragraph" w:customStyle="1" w:styleId="TableLine">
    <w:name w:val="Table Line"/>
    <w:basedOn w:val="Normal"/>
    <w:next w:val="Normal"/>
    <w:autoRedefine/>
    <w:rsid w:val="001C5877"/>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D03D31"/>
    <w:pPr>
      <w:spacing w:after="60"/>
    </w:pPr>
    <w:rPr>
      <w:sz w:val="19"/>
    </w:rPr>
  </w:style>
  <w:style w:type="character" w:styleId="CommentReference">
    <w:name w:val="annotation reference"/>
    <w:basedOn w:val="DefaultParagraphFont"/>
    <w:rsid w:val="00D03D31"/>
    <w:rPr>
      <w:sz w:val="16"/>
      <w:szCs w:val="16"/>
    </w:rPr>
  </w:style>
  <w:style w:type="paragraph" w:styleId="CommentText">
    <w:name w:val="annotation text"/>
    <w:basedOn w:val="Normal"/>
    <w:link w:val="CommentTextChar"/>
    <w:rsid w:val="00D03D31"/>
  </w:style>
  <w:style w:type="character" w:customStyle="1" w:styleId="CommentTextChar">
    <w:name w:val="Comment Text Char"/>
    <w:basedOn w:val="DefaultParagraphFont"/>
    <w:link w:val="CommentText"/>
    <w:rsid w:val="00D03D31"/>
    <w:rPr>
      <w:rFonts w:ascii="Book Antiqua" w:eastAsia="Times New Roman" w:hAnsi="Book Antiqua" w:cs="Times New Roman"/>
      <w:sz w:val="19"/>
      <w:szCs w:val="20"/>
      <w:lang w:eastAsia="en-AU"/>
    </w:rPr>
  </w:style>
  <w:style w:type="paragraph" w:styleId="CommentSubject">
    <w:name w:val="annotation subject"/>
    <w:basedOn w:val="CommentText"/>
    <w:next w:val="CommentText"/>
    <w:link w:val="CommentSubjectChar"/>
    <w:semiHidden/>
    <w:rsid w:val="00D03D31"/>
    <w:rPr>
      <w:b/>
      <w:bCs/>
    </w:rPr>
  </w:style>
  <w:style w:type="character" w:customStyle="1" w:styleId="CommentSubjectChar">
    <w:name w:val="Comment Subject Char"/>
    <w:basedOn w:val="CommentTextChar"/>
    <w:link w:val="CommentSubject"/>
    <w:semiHidden/>
    <w:rsid w:val="00D03D31"/>
    <w:rPr>
      <w:rFonts w:ascii="Book Antiqua" w:eastAsia="Times New Roman" w:hAnsi="Book Antiqua" w:cs="Times New Roman"/>
      <w:b/>
      <w:bCs/>
      <w:sz w:val="19"/>
      <w:szCs w:val="20"/>
      <w:lang w:eastAsia="en-AU"/>
    </w:rPr>
  </w:style>
  <w:style w:type="paragraph" w:customStyle="1" w:styleId="ContentsHeading">
    <w:name w:val="Contents Heading"/>
    <w:basedOn w:val="Heading1"/>
    <w:next w:val="Normal"/>
    <w:rsid w:val="00D03D31"/>
    <w:pPr>
      <w:spacing w:after="720"/>
      <w:outlineLvl w:val="9"/>
    </w:pPr>
  </w:style>
  <w:style w:type="character" w:styleId="Strong">
    <w:name w:val="Strong"/>
    <w:basedOn w:val="DefaultParagraphFont"/>
    <w:uiPriority w:val="22"/>
    <w:qFormat/>
    <w:rsid w:val="00D03D31"/>
    <w:rPr>
      <w:b/>
      <w:bCs/>
      <w:color w:val="auto"/>
    </w:rPr>
  </w:style>
  <w:style w:type="paragraph" w:customStyle="1" w:styleId="Dash">
    <w:name w:val="Dash"/>
    <w:basedOn w:val="Normal"/>
    <w:link w:val="DashChar"/>
    <w:qFormat/>
    <w:rsid w:val="00D03D31"/>
    <w:pPr>
      <w:numPr>
        <w:ilvl w:val="1"/>
        <w:numId w:val="7"/>
      </w:numPr>
      <w:tabs>
        <w:tab w:val="left" w:pos="567"/>
      </w:tabs>
    </w:pPr>
  </w:style>
  <w:style w:type="paragraph" w:styleId="DocumentMap">
    <w:name w:val="Document Map"/>
    <w:basedOn w:val="Normal"/>
    <w:link w:val="DocumentMapChar"/>
    <w:semiHidden/>
    <w:rsid w:val="00D03D31"/>
    <w:pPr>
      <w:shd w:val="clear" w:color="auto" w:fill="000080"/>
    </w:pPr>
    <w:rPr>
      <w:rFonts w:ascii="Tahoma" w:hAnsi="Tahoma" w:cs="Tahoma"/>
    </w:rPr>
  </w:style>
  <w:style w:type="character" w:customStyle="1" w:styleId="DocumentMapChar">
    <w:name w:val="Document Map Char"/>
    <w:basedOn w:val="DefaultParagraphFont"/>
    <w:link w:val="DocumentMap"/>
    <w:semiHidden/>
    <w:rsid w:val="00D03D31"/>
    <w:rPr>
      <w:rFonts w:ascii="Tahoma" w:eastAsia="Times New Roman" w:hAnsi="Tahoma" w:cs="Tahoma"/>
      <w:sz w:val="19"/>
      <w:szCs w:val="20"/>
      <w:shd w:val="clear" w:color="auto" w:fill="000080"/>
      <w:lang w:eastAsia="en-AU"/>
    </w:rPr>
  </w:style>
  <w:style w:type="paragraph" w:customStyle="1" w:styleId="DoubleDot">
    <w:name w:val="Double Dot"/>
    <w:basedOn w:val="Normal"/>
    <w:link w:val="DoubleDotChar"/>
    <w:rsid w:val="00D03D31"/>
    <w:pPr>
      <w:numPr>
        <w:ilvl w:val="2"/>
        <w:numId w:val="7"/>
      </w:numPr>
      <w:tabs>
        <w:tab w:val="clear" w:pos="850"/>
        <w:tab w:val="num" w:pos="360"/>
        <w:tab w:val="left" w:pos="851"/>
      </w:tabs>
    </w:pPr>
  </w:style>
  <w:style w:type="paragraph" w:customStyle="1" w:styleId="FigureHeading">
    <w:name w:val="Figure Heading"/>
    <w:basedOn w:val="HeadingBase"/>
    <w:next w:val="ChartGraphic"/>
    <w:rsid w:val="00D03D31"/>
    <w:pPr>
      <w:spacing w:before="120" w:after="20"/>
    </w:pPr>
    <w:rPr>
      <w:b/>
      <w:sz w:val="20"/>
    </w:rPr>
  </w:style>
  <w:style w:type="paragraph" w:customStyle="1" w:styleId="FooterBase">
    <w:name w:val="Footer Base"/>
    <w:rsid w:val="00D03D31"/>
    <w:pPr>
      <w:spacing w:after="0" w:line="240" w:lineRule="auto"/>
      <w:jc w:val="center"/>
    </w:pPr>
    <w:rPr>
      <w:rFonts w:ascii="Arial" w:eastAsia="Times New Roman" w:hAnsi="Arial" w:cs="Times New Roman"/>
      <w:color w:val="002A54" w:themeColor="text2"/>
      <w:sz w:val="20"/>
      <w:szCs w:val="20"/>
      <w:lang w:eastAsia="en-AU"/>
    </w:rPr>
  </w:style>
  <w:style w:type="paragraph" w:customStyle="1" w:styleId="FooterEven">
    <w:name w:val="Footer Even"/>
    <w:basedOn w:val="Footer"/>
    <w:rsid w:val="00D03D31"/>
    <w:pPr>
      <w:pBdr>
        <w:top w:val="single" w:sz="4" w:space="10" w:color="002A54" w:themeColor="text2"/>
      </w:pBdr>
      <w:jc w:val="left"/>
    </w:pPr>
    <w:rPr>
      <w:sz w:val="18"/>
    </w:rPr>
  </w:style>
  <w:style w:type="paragraph" w:customStyle="1" w:styleId="FooterOdd">
    <w:name w:val="Footer Odd"/>
    <w:basedOn w:val="Footer"/>
    <w:qFormat/>
    <w:rsid w:val="00D03D31"/>
    <w:pPr>
      <w:pBdr>
        <w:top w:val="single" w:sz="4" w:space="10" w:color="002A54" w:themeColor="text2"/>
      </w:pBdr>
      <w:jc w:val="right"/>
    </w:pPr>
    <w:rPr>
      <w:sz w:val="18"/>
    </w:rPr>
  </w:style>
  <w:style w:type="character" w:styleId="FootnoteReference">
    <w:name w:val="footnote reference"/>
    <w:basedOn w:val="DefaultParagraphFont"/>
    <w:rsid w:val="00D03D31"/>
    <w:rPr>
      <w:vertAlign w:val="superscript"/>
    </w:rPr>
  </w:style>
  <w:style w:type="paragraph" w:styleId="FootnoteText">
    <w:name w:val="footnote text"/>
    <w:basedOn w:val="Normal"/>
    <w:link w:val="FootnoteTextChar"/>
    <w:rsid w:val="00D03D31"/>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D03D31"/>
    <w:rPr>
      <w:rFonts w:ascii="Book Antiqua" w:eastAsia="Times New Roman" w:hAnsi="Book Antiqua" w:cs="Times New Roman"/>
      <w:sz w:val="18"/>
      <w:szCs w:val="20"/>
      <w:lang w:eastAsia="en-AU"/>
    </w:rPr>
  </w:style>
  <w:style w:type="character" w:customStyle="1" w:styleId="FramedHeader">
    <w:name w:val="Framed Header"/>
    <w:basedOn w:val="DefaultParagraphFont"/>
    <w:rsid w:val="00D03D31"/>
    <w:rPr>
      <w:rFonts w:ascii="Book Antiqua" w:hAnsi="Book Antiqua"/>
      <w:i/>
      <w:dstrike w:val="0"/>
      <w:color w:val="auto"/>
      <w:sz w:val="20"/>
      <w:vertAlign w:val="baseline"/>
    </w:rPr>
  </w:style>
  <w:style w:type="paragraph" w:customStyle="1" w:styleId="HeaderBase">
    <w:name w:val="Header Base"/>
    <w:rsid w:val="00D03D31"/>
    <w:pPr>
      <w:spacing w:after="0" w:line="240" w:lineRule="auto"/>
    </w:pPr>
    <w:rPr>
      <w:rFonts w:ascii="Arial" w:eastAsia="Times New Roman" w:hAnsi="Arial" w:cs="Times New Roman"/>
      <w:color w:val="002A54" w:themeColor="text2"/>
      <w:position w:val="-1"/>
      <w:sz w:val="18"/>
      <w:szCs w:val="20"/>
      <w:lang w:eastAsia="en-AU"/>
    </w:rPr>
  </w:style>
  <w:style w:type="paragraph" w:customStyle="1" w:styleId="HeaderEven">
    <w:name w:val="Header Even"/>
    <w:basedOn w:val="HeaderBase"/>
    <w:rsid w:val="00D03D31"/>
  </w:style>
  <w:style w:type="paragraph" w:customStyle="1" w:styleId="HeaderOdd">
    <w:name w:val="Header Odd"/>
    <w:basedOn w:val="HeaderBase"/>
    <w:rsid w:val="00D03D31"/>
    <w:pPr>
      <w:jc w:val="right"/>
    </w:pPr>
  </w:style>
  <w:style w:type="character" w:customStyle="1" w:styleId="Heading1Char">
    <w:name w:val="Heading 1 Char"/>
    <w:basedOn w:val="DefaultParagraphFont"/>
    <w:link w:val="Heading1"/>
    <w:rsid w:val="00D03D31"/>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D03D31"/>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D03D31"/>
    <w:rPr>
      <w:rFonts w:ascii="Arial Bold" w:eastAsia="Times New Roman" w:hAnsi="Arial Bold" w:cs="Times New Roman"/>
      <w:b/>
      <w:szCs w:val="20"/>
      <w:lang w:eastAsia="en-AU"/>
    </w:rPr>
  </w:style>
  <w:style w:type="paragraph" w:customStyle="1" w:styleId="Heading3noTOC">
    <w:name w:val="Heading 3 no TOC"/>
    <w:basedOn w:val="Heading3"/>
    <w:rsid w:val="00D03D31"/>
  </w:style>
  <w:style w:type="character" w:customStyle="1" w:styleId="Heading4Char">
    <w:name w:val="Heading 4 Char"/>
    <w:basedOn w:val="DefaultParagraphFont"/>
    <w:link w:val="Heading4"/>
    <w:rsid w:val="00D03D31"/>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D03D31"/>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D03D31"/>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D03D31"/>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D03D31"/>
    <w:rPr>
      <w:rFonts w:ascii="Times New Roman" w:hAnsi="Times New Roman"/>
      <w:vanish/>
      <w:sz w:val="16"/>
    </w:rPr>
  </w:style>
  <w:style w:type="character" w:styleId="Hyperlink">
    <w:name w:val="Hyperlink"/>
    <w:basedOn w:val="DefaultParagraphFont"/>
    <w:uiPriority w:val="99"/>
    <w:unhideWhenUsed/>
    <w:rsid w:val="00D03D31"/>
    <w:rPr>
      <w:color w:val="auto"/>
      <w:u w:val="single"/>
    </w:rPr>
  </w:style>
  <w:style w:type="paragraph" w:styleId="Index4">
    <w:name w:val="index 4"/>
    <w:basedOn w:val="Normal"/>
    <w:next w:val="Normal"/>
    <w:autoRedefine/>
    <w:semiHidden/>
    <w:rsid w:val="00D03D31"/>
    <w:pPr>
      <w:ind w:left="800" w:hanging="200"/>
    </w:pPr>
  </w:style>
  <w:style w:type="paragraph" w:styleId="Index5">
    <w:name w:val="index 5"/>
    <w:basedOn w:val="Normal"/>
    <w:next w:val="Normal"/>
    <w:autoRedefine/>
    <w:semiHidden/>
    <w:rsid w:val="00D03D31"/>
    <w:pPr>
      <w:ind w:left="1000" w:hanging="200"/>
    </w:pPr>
  </w:style>
  <w:style w:type="paragraph" w:styleId="Index6">
    <w:name w:val="index 6"/>
    <w:basedOn w:val="Normal"/>
    <w:next w:val="Normal"/>
    <w:autoRedefine/>
    <w:semiHidden/>
    <w:rsid w:val="00D03D31"/>
    <w:pPr>
      <w:ind w:left="1200" w:hanging="200"/>
    </w:pPr>
  </w:style>
  <w:style w:type="paragraph" w:styleId="Index7">
    <w:name w:val="index 7"/>
    <w:basedOn w:val="Normal"/>
    <w:next w:val="Normal"/>
    <w:autoRedefine/>
    <w:semiHidden/>
    <w:rsid w:val="00D03D31"/>
    <w:pPr>
      <w:ind w:left="1400" w:hanging="200"/>
    </w:pPr>
  </w:style>
  <w:style w:type="paragraph" w:styleId="Index8">
    <w:name w:val="index 8"/>
    <w:basedOn w:val="Normal"/>
    <w:next w:val="Normal"/>
    <w:autoRedefine/>
    <w:semiHidden/>
    <w:rsid w:val="00D03D31"/>
    <w:pPr>
      <w:ind w:left="1600" w:hanging="200"/>
    </w:pPr>
  </w:style>
  <w:style w:type="paragraph" w:styleId="Index9">
    <w:name w:val="index 9"/>
    <w:basedOn w:val="Normal"/>
    <w:next w:val="Normal"/>
    <w:autoRedefine/>
    <w:semiHidden/>
    <w:rsid w:val="00D03D31"/>
    <w:pPr>
      <w:ind w:left="1800" w:hanging="200"/>
    </w:pPr>
  </w:style>
  <w:style w:type="paragraph" w:styleId="MacroText">
    <w:name w:val="macro"/>
    <w:link w:val="MacroTextChar"/>
    <w:unhideWhenUsed/>
    <w:rsid w:val="00D03D31"/>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D03D31"/>
    <w:rPr>
      <w:rFonts w:ascii="Courier New" w:eastAsia="Times New Roman" w:hAnsi="Courier New" w:cs="Courier New"/>
      <w:sz w:val="20"/>
      <w:szCs w:val="20"/>
      <w:lang w:eastAsia="en-AU"/>
    </w:rPr>
  </w:style>
  <w:style w:type="paragraph" w:styleId="NormalIndent">
    <w:name w:val="Normal Indent"/>
    <w:basedOn w:val="Normal"/>
    <w:rsid w:val="00D03D31"/>
    <w:pPr>
      <w:ind w:left="567"/>
    </w:pPr>
  </w:style>
  <w:style w:type="paragraph" w:customStyle="1" w:styleId="NoteTableHeading">
    <w:name w:val="Note Table Heading"/>
    <w:basedOn w:val="HeadingBase"/>
    <w:next w:val="Normal"/>
    <w:rsid w:val="00D03D31"/>
    <w:pPr>
      <w:spacing w:before="240"/>
      <w:outlineLvl w:val="2"/>
    </w:pPr>
    <w:rPr>
      <w:b/>
      <w:sz w:val="20"/>
    </w:rPr>
  </w:style>
  <w:style w:type="paragraph" w:customStyle="1" w:styleId="OverviewParagraph">
    <w:name w:val="Overview Paragraph"/>
    <w:basedOn w:val="Normal"/>
    <w:rsid w:val="00D03D31"/>
    <w:pPr>
      <w:spacing w:before="120" w:after="120" w:line="240" w:lineRule="auto"/>
    </w:pPr>
  </w:style>
  <w:style w:type="character" w:styleId="PageNumber">
    <w:name w:val="page number"/>
    <w:basedOn w:val="DefaultParagraphFont"/>
    <w:rsid w:val="00D03D31"/>
    <w:rPr>
      <w:rFonts w:ascii="Arial" w:hAnsi="Arial" w:cs="Arial"/>
    </w:rPr>
  </w:style>
  <w:style w:type="paragraph" w:customStyle="1" w:styleId="SingleParagraph">
    <w:name w:val="Single Paragraph"/>
    <w:basedOn w:val="Normal"/>
    <w:rsid w:val="00D03D31"/>
    <w:pPr>
      <w:spacing w:before="0" w:after="0"/>
    </w:pPr>
  </w:style>
  <w:style w:type="paragraph" w:customStyle="1" w:styleId="Source">
    <w:name w:val="Source"/>
    <w:basedOn w:val="Normal"/>
    <w:rsid w:val="00D03D31"/>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D03D31"/>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D03D31"/>
    <w:pPr>
      <w:jc w:val="center"/>
    </w:pPr>
  </w:style>
  <w:style w:type="paragraph" w:customStyle="1" w:styleId="TableColumnHeadingLeft">
    <w:name w:val="Table Column Heading Left"/>
    <w:basedOn w:val="TableColumnHeadingBase"/>
    <w:next w:val="Normal"/>
    <w:rsid w:val="00D03D31"/>
  </w:style>
  <w:style w:type="paragraph" w:customStyle="1" w:styleId="TableColumnHeadingRight">
    <w:name w:val="Table Column Heading Right"/>
    <w:basedOn w:val="TableColumnHeadingBase"/>
    <w:next w:val="Normal"/>
    <w:rsid w:val="00D03D31"/>
    <w:pPr>
      <w:jc w:val="right"/>
    </w:pPr>
  </w:style>
  <w:style w:type="paragraph" w:customStyle="1" w:styleId="TableGraphic">
    <w:name w:val="Table Graphic"/>
    <w:basedOn w:val="Normal"/>
    <w:next w:val="Normal"/>
    <w:rsid w:val="00D03D31"/>
    <w:pPr>
      <w:spacing w:after="0" w:line="240" w:lineRule="auto"/>
      <w:ind w:right="-113"/>
    </w:pPr>
  </w:style>
  <w:style w:type="table" w:styleId="TableGrid">
    <w:name w:val="Table Grid"/>
    <w:basedOn w:val="TableNormal"/>
    <w:rsid w:val="00D03D31"/>
    <w:pPr>
      <w:spacing w:after="240" w:line="260" w:lineRule="exact"/>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D03D31"/>
    <w:pPr>
      <w:spacing w:before="120" w:after="20"/>
    </w:pPr>
    <w:rPr>
      <w:b/>
      <w:sz w:val="20"/>
    </w:rPr>
  </w:style>
  <w:style w:type="paragraph" w:customStyle="1" w:styleId="TableHeadingcontinued">
    <w:name w:val="Table Heading continued"/>
    <w:basedOn w:val="HeadingBase"/>
    <w:next w:val="TableGraphic"/>
    <w:rsid w:val="00D03D31"/>
    <w:pPr>
      <w:spacing w:before="120" w:after="20"/>
    </w:pPr>
    <w:rPr>
      <w:rFonts w:ascii="Arial Bold" w:hAnsi="Arial Bold"/>
      <w:b/>
      <w:sz w:val="20"/>
    </w:rPr>
  </w:style>
  <w:style w:type="paragraph" w:styleId="TableofFigures">
    <w:name w:val="table of figures"/>
    <w:basedOn w:val="Normal"/>
    <w:next w:val="Normal"/>
    <w:rsid w:val="00D03D31"/>
  </w:style>
  <w:style w:type="paragraph" w:customStyle="1" w:styleId="TableTextBase">
    <w:name w:val="Table Text Base"/>
    <w:basedOn w:val="Normal"/>
    <w:rsid w:val="00D03D31"/>
    <w:pPr>
      <w:spacing w:before="20" w:after="20" w:line="240" w:lineRule="auto"/>
    </w:pPr>
    <w:rPr>
      <w:rFonts w:ascii="Arial" w:hAnsi="Arial"/>
      <w:sz w:val="16"/>
    </w:rPr>
  </w:style>
  <w:style w:type="paragraph" w:customStyle="1" w:styleId="TableTextCentred">
    <w:name w:val="Table Text Centred"/>
    <w:basedOn w:val="TableTextBase"/>
    <w:rsid w:val="00D03D31"/>
    <w:pPr>
      <w:jc w:val="center"/>
    </w:pPr>
  </w:style>
  <w:style w:type="paragraph" w:customStyle="1" w:styleId="TableTextIndented">
    <w:name w:val="Table Text Indented"/>
    <w:basedOn w:val="TableTextBase"/>
    <w:rsid w:val="00D03D31"/>
    <w:pPr>
      <w:ind w:left="284"/>
    </w:pPr>
  </w:style>
  <w:style w:type="paragraph" w:customStyle="1" w:styleId="TableTextLeft">
    <w:name w:val="Table Text Left"/>
    <w:basedOn w:val="TableTextBase"/>
    <w:rsid w:val="00D03D31"/>
  </w:style>
  <w:style w:type="paragraph" w:customStyle="1" w:styleId="TableTextRight">
    <w:name w:val="Table Text Right"/>
    <w:basedOn w:val="TableTextBase"/>
    <w:rsid w:val="00D03D31"/>
    <w:pPr>
      <w:jc w:val="right"/>
    </w:pPr>
  </w:style>
  <w:style w:type="paragraph" w:styleId="TOAHeading">
    <w:name w:val="toa heading"/>
    <w:basedOn w:val="Normal"/>
    <w:next w:val="Normal"/>
    <w:rsid w:val="00D03D31"/>
    <w:pPr>
      <w:spacing w:before="120"/>
    </w:pPr>
    <w:rPr>
      <w:rFonts w:ascii="Arial" w:hAnsi="Arial" w:cs="Arial"/>
      <w:b/>
      <w:bCs/>
      <w:sz w:val="24"/>
      <w:szCs w:val="24"/>
    </w:rPr>
  </w:style>
  <w:style w:type="paragraph" w:styleId="TOC1">
    <w:name w:val="toc 1"/>
    <w:basedOn w:val="HeaderBase"/>
    <w:next w:val="Normal"/>
    <w:uiPriority w:val="2"/>
    <w:rsid w:val="00D03D31"/>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39"/>
    <w:qFormat/>
    <w:rsid w:val="00D03D31"/>
    <w:pPr>
      <w:keepNext w:val="0"/>
      <w:tabs>
        <w:tab w:val="left" w:pos="992"/>
        <w:tab w:val="right" w:leader="dot" w:pos="7700"/>
      </w:tabs>
      <w:spacing w:before="60" w:after="60"/>
      <w:ind w:right="851"/>
    </w:pPr>
    <w:rPr>
      <w:sz w:val="18"/>
    </w:rPr>
  </w:style>
  <w:style w:type="paragraph" w:styleId="TOC3">
    <w:name w:val="toc 3"/>
    <w:basedOn w:val="Normal"/>
    <w:next w:val="Normal"/>
    <w:uiPriority w:val="39"/>
    <w:unhideWhenUsed/>
    <w:rsid w:val="00D03D31"/>
    <w:pPr>
      <w:tabs>
        <w:tab w:val="left" w:pos="992"/>
        <w:tab w:val="right" w:leader="dot" w:pos="7700"/>
      </w:tabs>
      <w:spacing w:before="60" w:after="60" w:line="240" w:lineRule="auto"/>
      <w:ind w:left="284" w:right="851"/>
    </w:pPr>
    <w:rPr>
      <w:rFonts w:ascii="Arial" w:hAnsi="Arial"/>
      <w:sz w:val="18"/>
      <w:lang w:val="en-US"/>
    </w:rPr>
  </w:style>
  <w:style w:type="paragraph" w:styleId="TOC4">
    <w:name w:val="toc 4"/>
    <w:basedOn w:val="HeadingBase"/>
    <w:next w:val="Normal"/>
    <w:uiPriority w:val="2"/>
    <w:unhideWhenUsed/>
    <w:rsid w:val="00D03D31"/>
    <w:pPr>
      <w:tabs>
        <w:tab w:val="right" w:leader="dot" w:pos="7700"/>
      </w:tabs>
      <w:spacing w:before="40"/>
      <w:ind w:right="851"/>
    </w:pPr>
    <w:rPr>
      <w:sz w:val="20"/>
    </w:rPr>
  </w:style>
  <w:style w:type="paragraph" w:styleId="TOC5">
    <w:name w:val="toc 5"/>
    <w:basedOn w:val="Normal"/>
    <w:next w:val="Normal"/>
    <w:autoRedefine/>
    <w:uiPriority w:val="2"/>
    <w:semiHidden/>
    <w:rsid w:val="00D03D31"/>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D03D31"/>
    <w:pPr>
      <w:tabs>
        <w:tab w:val="left" w:pos="851"/>
      </w:tabs>
      <w:ind w:left="851" w:hanging="851"/>
    </w:pPr>
    <w:rPr>
      <w:color w:val="000000"/>
    </w:rPr>
  </w:style>
  <w:style w:type="paragraph" w:styleId="TOC7">
    <w:name w:val="toc 7"/>
    <w:basedOn w:val="Normal"/>
    <w:next w:val="Normal"/>
    <w:autoRedefine/>
    <w:uiPriority w:val="2"/>
    <w:semiHidden/>
    <w:rsid w:val="00D03D31"/>
    <w:pPr>
      <w:ind w:left="1200"/>
    </w:pPr>
  </w:style>
  <w:style w:type="paragraph" w:styleId="TOC8">
    <w:name w:val="toc 8"/>
    <w:basedOn w:val="Normal"/>
    <w:next w:val="Normal"/>
    <w:autoRedefine/>
    <w:uiPriority w:val="2"/>
    <w:semiHidden/>
    <w:rsid w:val="00D03D31"/>
    <w:pPr>
      <w:ind w:left="1400"/>
    </w:pPr>
  </w:style>
  <w:style w:type="paragraph" w:styleId="TOC9">
    <w:name w:val="toc 9"/>
    <w:basedOn w:val="Normal"/>
    <w:next w:val="Normal"/>
    <w:autoRedefine/>
    <w:uiPriority w:val="2"/>
    <w:semiHidden/>
    <w:rsid w:val="00D03D31"/>
    <w:pPr>
      <w:ind w:left="1600"/>
    </w:pPr>
  </w:style>
  <w:style w:type="paragraph" w:customStyle="1" w:styleId="TPHeading1">
    <w:name w:val="TP Heading 1"/>
    <w:basedOn w:val="HeadingBase"/>
    <w:semiHidden/>
    <w:rsid w:val="00D03D31"/>
    <w:pPr>
      <w:spacing w:before="60" w:after="60"/>
      <w:ind w:left="1134"/>
    </w:pPr>
    <w:rPr>
      <w:rFonts w:ascii="Arial Bold" w:hAnsi="Arial Bold"/>
      <w:b/>
      <w:caps/>
      <w:spacing w:val="-10"/>
      <w:sz w:val="28"/>
    </w:rPr>
  </w:style>
  <w:style w:type="paragraph" w:customStyle="1" w:styleId="TPHeading2">
    <w:name w:val="TP Heading 2"/>
    <w:basedOn w:val="HeadingBase"/>
    <w:semiHidden/>
    <w:rsid w:val="00D03D31"/>
    <w:pPr>
      <w:ind w:left="1134"/>
    </w:pPr>
    <w:rPr>
      <w:caps/>
      <w:spacing w:val="-10"/>
      <w:sz w:val="28"/>
    </w:rPr>
  </w:style>
  <w:style w:type="paragraph" w:customStyle="1" w:styleId="TPHeading3">
    <w:name w:val="TP Heading 3"/>
    <w:basedOn w:val="HeadingBase"/>
    <w:semiHidden/>
    <w:rsid w:val="00D03D31"/>
    <w:pPr>
      <w:ind w:left="1134"/>
    </w:pPr>
    <w:rPr>
      <w:caps/>
      <w:spacing w:val="-10"/>
    </w:rPr>
  </w:style>
  <w:style w:type="paragraph" w:customStyle="1" w:styleId="TPHeading3bold">
    <w:name w:val="TP Heading 3 bold"/>
    <w:basedOn w:val="TPHeading3"/>
    <w:semiHidden/>
    <w:rsid w:val="00D03D31"/>
    <w:rPr>
      <w:rFonts w:cs="Arial"/>
      <w:b/>
      <w:sz w:val="22"/>
      <w:szCs w:val="22"/>
    </w:rPr>
  </w:style>
  <w:style w:type="paragraph" w:customStyle="1" w:styleId="TPHEADING3boldspace">
    <w:name w:val="TP HEADING 3 bold space"/>
    <w:basedOn w:val="TPHeading3bold"/>
    <w:semiHidden/>
    <w:rsid w:val="00D03D31"/>
    <w:pPr>
      <w:spacing w:after="120"/>
    </w:pPr>
  </w:style>
  <w:style w:type="paragraph" w:customStyle="1" w:styleId="TPHEADING3space">
    <w:name w:val="TP HEADING 3 space"/>
    <w:basedOn w:val="TPHeading3"/>
    <w:semiHidden/>
    <w:rsid w:val="00D03D31"/>
    <w:pPr>
      <w:spacing w:before="120" w:after="120"/>
    </w:pPr>
    <w:rPr>
      <w:rFonts w:cs="Arial"/>
      <w:sz w:val="22"/>
      <w:szCs w:val="22"/>
    </w:rPr>
  </w:style>
  <w:style w:type="paragraph" w:customStyle="1" w:styleId="TPHeading4">
    <w:name w:val="TP Heading 4"/>
    <w:basedOn w:val="TPHeading3"/>
    <w:semiHidden/>
    <w:rsid w:val="00D03D31"/>
    <w:rPr>
      <w:sz w:val="20"/>
    </w:rPr>
  </w:style>
  <w:style w:type="paragraph" w:customStyle="1" w:styleId="TPHEADING4space">
    <w:name w:val="TP HEADING 4 space"/>
    <w:basedOn w:val="TPHEADING3space"/>
    <w:semiHidden/>
    <w:rsid w:val="00D03D31"/>
  </w:style>
  <w:style w:type="paragraph" w:customStyle="1" w:styleId="ChartLine">
    <w:name w:val="Chart Line"/>
    <w:basedOn w:val="Normal"/>
    <w:autoRedefine/>
    <w:qFormat/>
    <w:rsid w:val="00D03D31"/>
    <w:pPr>
      <w:pBdr>
        <w:bottom w:val="single" w:sz="4" w:space="2" w:color="626A77" w:themeColor="background2" w:themeShade="E6"/>
      </w:pBdr>
      <w:spacing w:before="0" w:line="240" w:lineRule="auto"/>
    </w:pPr>
    <w:rPr>
      <w:noProof/>
      <w:sz w:val="4"/>
      <w:szCs w:val="4"/>
    </w:rPr>
  </w:style>
  <w:style w:type="paragraph" w:customStyle="1" w:styleId="ChartMainHeading">
    <w:name w:val="Chart Main Heading"/>
    <w:basedOn w:val="Normal"/>
    <w:next w:val="ChartGraphic"/>
    <w:rsid w:val="00D03D31"/>
    <w:pPr>
      <w:keepNext/>
      <w:spacing w:before="120" w:after="20" w:line="240" w:lineRule="auto"/>
    </w:pPr>
    <w:rPr>
      <w:rFonts w:asciiTheme="majorHAnsi" w:hAnsiTheme="majorHAnsi"/>
      <w:b/>
      <w:sz w:val="20"/>
    </w:rPr>
  </w:style>
  <w:style w:type="character" w:customStyle="1" w:styleId="BoxHeading-Continued">
    <w:name w:val="Box Heading - Continued"/>
    <w:uiPriority w:val="1"/>
    <w:qFormat/>
    <w:rsid w:val="00D03D31"/>
    <w:rPr>
      <w:sz w:val="16"/>
    </w:rPr>
  </w:style>
  <w:style w:type="paragraph" w:customStyle="1" w:styleId="Box-continuedon">
    <w:name w:val="Box - continued on"/>
    <w:basedOn w:val="Normal"/>
    <w:qFormat/>
    <w:rsid w:val="00D03D31"/>
    <w:pPr>
      <w:jc w:val="right"/>
    </w:pPr>
    <w:rPr>
      <w:rFonts w:asciiTheme="majorHAnsi" w:hAnsiTheme="majorHAnsi" w:cstheme="majorHAnsi"/>
      <w:i/>
      <w:iCs/>
      <w:sz w:val="18"/>
      <w:szCs w:val="24"/>
    </w:rPr>
  </w:style>
  <w:style w:type="paragraph" w:customStyle="1" w:styleId="BoxHeading2">
    <w:name w:val="Box Heading 2"/>
    <w:basedOn w:val="BoxHeading"/>
    <w:autoRedefine/>
    <w:rsid w:val="00D03D31"/>
    <w:pPr>
      <w:spacing w:after="0"/>
    </w:pPr>
    <w:rPr>
      <w:b w:val="0"/>
      <w:bCs/>
      <w:szCs w:val="14"/>
    </w:rPr>
  </w:style>
  <w:style w:type="character" w:customStyle="1" w:styleId="Heading9Char">
    <w:name w:val="Heading 9 Char"/>
    <w:basedOn w:val="DefaultParagraphFont"/>
    <w:link w:val="Heading9"/>
    <w:uiPriority w:val="9"/>
    <w:rsid w:val="00D03D31"/>
    <w:rPr>
      <w:rFonts w:ascii="Cambria" w:eastAsia="Times New Roman" w:hAnsi="Cambria" w:cs="Times New Roman"/>
      <w:lang w:eastAsia="en-AU"/>
    </w:rPr>
  </w:style>
  <w:style w:type="paragraph" w:customStyle="1" w:styleId="GhostLine">
    <w:name w:val="Ghost Line"/>
    <w:basedOn w:val="NoSpacing"/>
    <w:qFormat/>
    <w:rsid w:val="00D03D31"/>
    <w:pPr>
      <w:jc w:val="both"/>
    </w:pPr>
    <w:rPr>
      <w:rFonts w:ascii="Book Antiqua" w:hAnsi="Book Antiqua"/>
      <w:sz w:val="2"/>
    </w:rPr>
  </w:style>
  <w:style w:type="paragraph" w:styleId="NoSpacing">
    <w:name w:val="No Spacing"/>
    <w:uiPriority w:val="1"/>
    <w:qFormat/>
    <w:rsid w:val="00D03D31"/>
    <w:pPr>
      <w:spacing w:after="0" w:line="240" w:lineRule="auto"/>
    </w:pPr>
    <w:rPr>
      <w:rFonts w:eastAsia="Times New Roman" w:cs="Times New Roman"/>
      <w:sz w:val="19"/>
      <w:szCs w:val="20"/>
      <w:lang w:eastAsia="en-AU"/>
    </w:rPr>
  </w:style>
  <w:style w:type="character" w:customStyle="1" w:styleId="BoxTextChar">
    <w:name w:val="Box Text Char"/>
    <w:basedOn w:val="DefaultParagraphFont"/>
    <w:link w:val="BoxText"/>
    <w:rsid w:val="00D03D31"/>
    <w:rPr>
      <w:rFonts w:ascii="Book Antiqua" w:eastAsia="Times New Roman" w:hAnsi="Book Antiqua" w:cs="Times New Roman"/>
      <w:sz w:val="19"/>
      <w:szCs w:val="20"/>
      <w:lang w:eastAsia="en-AU"/>
    </w:rPr>
  </w:style>
  <w:style w:type="character" w:customStyle="1" w:styleId="A5">
    <w:name w:val="A5"/>
    <w:uiPriority w:val="99"/>
    <w:rsid w:val="00D03D31"/>
    <w:rPr>
      <w:rFonts w:cs="Swiss 721 BT"/>
      <w:color w:val="000000"/>
      <w:sz w:val="20"/>
      <w:szCs w:val="20"/>
    </w:rPr>
  </w:style>
  <w:style w:type="paragraph" w:customStyle="1" w:styleId="CreativeCommonsNormal">
    <w:name w:val="Creative Commons Normal"/>
    <w:basedOn w:val="Normal"/>
    <w:qFormat/>
    <w:rsid w:val="00D03D31"/>
    <w:pPr>
      <w:spacing w:before="120" w:after="80"/>
    </w:pPr>
  </w:style>
  <w:style w:type="paragraph" w:customStyle="1" w:styleId="CreativeCommonsH1">
    <w:name w:val="Creative Commons H1"/>
    <w:basedOn w:val="Normal"/>
    <w:qFormat/>
    <w:rsid w:val="00D03D31"/>
    <w:pPr>
      <w:spacing w:before="160" w:after="120"/>
    </w:pPr>
    <w:rPr>
      <w:b/>
      <w:bCs/>
    </w:rPr>
  </w:style>
  <w:style w:type="paragraph" w:customStyle="1" w:styleId="CreativeCommonsIndented">
    <w:name w:val="Creative Commons Indented"/>
    <w:basedOn w:val="CreativeCommonsNormal"/>
    <w:qFormat/>
    <w:rsid w:val="00D03D31"/>
    <w:pPr>
      <w:ind w:left="567"/>
    </w:pPr>
  </w:style>
  <w:style w:type="paragraph" w:customStyle="1" w:styleId="OutlineNumbered1">
    <w:name w:val="Outline Numbered 1"/>
    <w:basedOn w:val="Normal"/>
    <w:link w:val="OutlineNumbered1Char"/>
    <w:qFormat/>
    <w:rsid w:val="00D03D31"/>
    <w:pPr>
      <w:numPr>
        <w:numId w:val="22"/>
      </w:numPr>
    </w:pPr>
  </w:style>
  <w:style w:type="character" w:customStyle="1" w:styleId="OutlineNumbered1Char">
    <w:name w:val="Outline Numbered 1 Char"/>
    <w:basedOn w:val="DefaultParagraphFont"/>
    <w:link w:val="OutlineNumbered1"/>
    <w:rsid w:val="00D03D31"/>
    <w:rPr>
      <w:rFonts w:ascii="Book Antiqua" w:eastAsia="Times New Roman" w:hAnsi="Book Antiqua" w:cs="Times New Roman"/>
      <w:sz w:val="19"/>
      <w:szCs w:val="20"/>
      <w:lang w:eastAsia="en-AU"/>
    </w:rPr>
  </w:style>
  <w:style w:type="paragraph" w:customStyle="1" w:styleId="OutlineNumbered2">
    <w:name w:val="Outline Numbered 2"/>
    <w:basedOn w:val="Normal"/>
    <w:link w:val="OutlineNumbered2Char"/>
    <w:qFormat/>
    <w:rsid w:val="00D03D31"/>
    <w:pPr>
      <w:numPr>
        <w:ilvl w:val="1"/>
        <w:numId w:val="21"/>
      </w:numPr>
    </w:pPr>
  </w:style>
  <w:style w:type="paragraph" w:customStyle="1" w:styleId="OutlineNumbered3">
    <w:name w:val="Outline Numbered 3"/>
    <w:basedOn w:val="Normal"/>
    <w:link w:val="OutlineNumbered3Char"/>
    <w:qFormat/>
    <w:rsid w:val="00D03D31"/>
    <w:pPr>
      <w:numPr>
        <w:ilvl w:val="2"/>
        <w:numId w:val="21"/>
      </w:numPr>
    </w:pPr>
  </w:style>
  <w:style w:type="character" w:styleId="Emphasis">
    <w:name w:val="Emphasis"/>
    <w:basedOn w:val="DefaultParagraphFont"/>
    <w:uiPriority w:val="20"/>
    <w:qFormat/>
    <w:rsid w:val="00D03D31"/>
    <w:rPr>
      <w:i/>
      <w:iCs/>
    </w:rPr>
  </w:style>
  <w:style w:type="paragraph" w:customStyle="1" w:styleId="Prelims-PaperNametitlepage">
    <w:name w:val="Prelims - Paper Name (title page)"/>
    <w:basedOn w:val="Normal"/>
    <w:qFormat/>
    <w:rsid w:val="00D03D31"/>
    <w:pPr>
      <w:keepNext/>
      <w:spacing w:before="1880" w:after="0" w:line="240" w:lineRule="auto"/>
    </w:pPr>
    <w:rPr>
      <w:rFonts w:asciiTheme="majorHAnsi" w:hAnsiTheme="majorHAnsi" w:cstheme="majorHAnsi"/>
      <w:b/>
      <w:bCs/>
      <w:sz w:val="28"/>
      <w:szCs w:val="28"/>
    </w:rPr>
  </w:style>
  <w:style w:type="paragraph" w:customStyle="1" w:styleId="Prelims-PaperNotitlepage">
    <w:name w:val="Prelims - Paper No. (title page)"/>
    <w:basedOn w:val="Normal"/>
    <w:qFormat/>
    <w:rsid w:val="00D03D31"/>
    <w:pPr>
      <w:keepNext/>
      <w:spacing w:before="0" w:after="4100" w:line="240" w:lineRule="auto"/>
    </w:pPr>
    <w:rPr>
      <w:rFonts w:asciiTheme="majorHAnsi" w:hAnsiTheme="majorHAnsi" w:cstheme="majorHAnsi"/>
      <w:sz w:val="28"/>
      <w:szCs w:val="28"/>
    </w:rPr>
  </w:style>
  <w:style w:type="paragraph" w:customStyle="1" w:styleId="Prelims-Normaltitlepage">
    <w:name w:val="Prelims - Normal (title page)"/>
    <w:basedOn w:val="Normal"/>
    <w:qFormat/>
    <w:rsid w:val="00D03D31"/>
    <w:pPr>
      <w:keepNext/>
      <w:spacing w:before="120" w:after="120" w:line="240" w:lineRule="auto"/>
    </w:pPr>
    <w:rPr>
      <w:rFonts w:asciiTheme="majorHAnsi" w:hAnsiTheme="majorHAnsi" w:cs="Arial"/>
      <w:sz w:val="20"/>
    </w:rPr>
  </w:style>
  <w:style w:type="character" w:customStyle="1" w:styleId="BulletChar">
    <w:name w:val="Bullet Char"/>
    <w:aliases w:val="Body Char,Bullet + line Char,Bullets Char,Dot pt Char,L C,L Char,List Paragraph1 Char,List Paragraph11 Char,List Paragraph2 Char,Number Char,Recommendation Char,b + line Char,b + line Char Char,b Char,b Char Char,b1 Char,level 1 Char,L"/>
    <w:link w:val="Bullet"/>
    <w:qFormat/>
    <w:rsid w:val="007B7BDD"/>
    <w:rPr>
      <w:rFonts w:ascii="Book Antiqua" w:eastAsia="Times New Roman" w:hAnsi="Book Antiqua" w:cs="Times New Roman"/>
      <w:sz w:val="19"/>
      <w:szCs w:val="20"/>
      <w:lang w:eastAsia="en-AU"/>
    </w:rPr>
  </w:style>
  <w:style w:type="character" w:customStyle="1" w:styleId="ChartGraphicChar">
    <w:name w:val="Chart Graphic Char"/>
    <w:basedOn w:val="DefaultParagraphFont"/>
    <w:link w:val="ChartGraphic"/>
    <w:locked/>
    <w:rsid w:val="007B7BDD"/>
    <w:rPr>
      <w:rFonts w:ascii="Arial" w:eastAsia="Times New Roman" w:hAnsi="Arial" w:cs="Times New Roman"/>
      <w:sz w:val="20"/>
      <w:szCs w:val="20"/>
      <w:lang w:eastAsia="en-AU"/>
    </w:rPr>
  </w:style>
  <w:style w:type="character" w:customStyle="1" w:styleId="ChartandTableFootnoteChar">
    <w:name w:val="Chart and Table Footnote Char"/>
    <w:basedOn w:val="DefaultParagraphFont"/>
    <w:link w:val="ChartandTableFootnote"/>
    <w:locked/>
    <w:rsid w:val="007B7BDD"/>
    <w:rPr>
      <w:rFonts w:ascii="Arial" w:eastAsia="Times New Roman" w:hAnsi="Arial" w:cs="Times New Roman"/>
      <w:color w:val="000000"/>
      <w:sz w:val="16"/>
      <w:szCs w:val="20"/>
      <w:lang w:eastAsia="en-AU"/>
    </w:rPr>
  </w:style>
  <w:style w:type="character" w:customStyle="1" w:styleId="ChartandTableFootnoteAlphaChar">
    <w:name w:val="Chart and Table Footnote Alpha Char"/>
    <w:link w:val="ChartandTableFootnoteAlpha"/>
    <w:locked/>
    <w:rsid w:val="00196033"/>
    <w:rPr>
      <w:rFonts w:ascii="Arial" w:eastAsia="Times New Roman" w:hAnsi="Arial" w:cs="Times New Roman"/>
      <w:color w:val="000000"/>
      <w:sz w:val="16"/>
      <w:szCs w:val="20"/>
      <w:lang w:eastAsia="en-AU"/>
    </w:rPr>
  </w:style>
  <w:style w:type="character" w:customStyle="1" w:styleId="DashChar">
    <w:name w:val="Dash Char"/>
    <w:basedOn w:val="DefaultParagraphFont"/>
    <w:link w:val="Dash"/>
    <w:rsid w:val="00293BC1"/>
    <w:rPr>
      <w:rFonts w:ascii="Book Antiqua" w:eastAsia="Times New Roman" w:hAnsi="Book Antiqua" w:cs="Times New Roman"/>
      <w:sz w:val="19"/>
      <w:szCs w:val="20"/>
      <w:lang w:eastAsia="en-AU"/>
    </w:rPr>
  </w:style>
  <w:style w:type="character" w:styleId="FollowedHyperlink">
    <w:name w:val="FollowedHyperlink"/>
    <w:basedOn w:val="DefaultParagraphFont"/>
    <w:uiPriority w:val="99"/>
    <w:semiHidden/>
    <w:unhideWhenUsed/>
    <w:rsid w:val="00293BC1"/>
    <w:rPr>
      <w:color w:val="E61E26" w:themeColor="followedHyperlink"/>
      <w:u w:val="single"/>
    </w:rPr>
  </w:style>
  <w:style w:type="paragraph" w:styleId="Revision">
    <w:name w:val="Revision"/>
    <w:hidden/>
    <w:uiPriority w:val="99"/>
    <w:semiHidden/>
    <w:rsid w:val="00293BC1"/>
    <w:pPr>
      <w:spacing w:after="0" w:line="240" w:lineRule="auto"/>
    </w:pPr>
    <w:rPr>
      <w:rFonts w:ascii="Book Antiqua" w:eastAsia="Times New Roman" w:hAnsi="Book Antiqua" w:cs="Times New Roman"/>
      <w:sz w:val="20"/>
      <w:szCs w:val="20"/>
      <w:lang w:eastAsia="en-AU"/>
    </w:rPr>
  </w:style>
  <w:style w:type="character" w:customStyle="1" w:styleId="DoubleDotChar">
    <w:name w:val="Double Dot Char"/>
    <w:basedOn w:val="DefaultParagraphFont"/>
    <w:link w:val="DoubleDot"/>
    <w:rsid w:val="00293BC1"/>
    <w:rPr>
      <w:rFonts w:ascii="Book Antiqua" w:eastAsia="Times New Roman" w:hAnsi="Book Antiqua" w:cs="Times New Roman"/>
      <w:sz w:val="19"/>
      <w:szCs w:val="20"/>
      <w:lang w:eastAsia="en-AU"/>
    </w:rPr>
  </w:style>
  <w:style w:type="character" w:customStyle="1" w:styleId="OutlineNumbered2Char">
    <w:name w:val="Outline Numbered 2 Char"/>
    <w:basedOn w:val="DefaultParagraphFont"/>
    <w:link w:val="OutlineNumbered2"/>
    <w:rsid w:val="00293BC1"/>
    <w:rPr>
      <w:rFonts w:ascii="Book Antiqua" w:eastAsia="Times New Roman" w:hAnsi="Book Antiqua" w:cs="Times New Roman"/>
      <w:sz w:val="19"/>
      <w:szCs w:val="20"/>
      <w:lang w:eastAsia="en-AU"/>
    </w:rPr>
  </w:style>
  <w:style w:type="character" w:customStyle="1" w:styleId="OutlineNumbered3Char">
    <w:name w:val="Outline Numbered 3 Char"/>
    <w:basedOn w:val="DefaultParagraphFont"/>
    <w:link w:val="OutlineNumbered3"/>
    <w:rsid w:val="00293BC1"/>
    <w:rPr>
      <w:rFonts w:ascii="Book Antiqua" w:eastAsia="Times New Roman" w:hAnsi="Book Antiqua" w:cs="Times New Roman"/>
      <w:sz w:val="19"/>
      <w:szCs w:val="20"/>
      <w:lang w:eastAsia="en-AU"/>
    </w:rPr>
  </w:style>
  <w:style w:type="character" w:styleId="UnresolvedMention">
    <w:name w:val="Unresolved Mention"/>
    <w:basedOn w:val="DefaultParagraphFont"/>
    <w:uiPriority w:val="99"/>
    <w:semiHidden/>
    <w:unhideWhenUsed/>
    <w:rsid w:val="00293BC1"/>
    <w:rPr>
      <w:color w:val="605E5C"/>
      <w:shd w:val="clear" w:color="auto" w:fill="E1DFDD"/>
    </w:rPr>
  </w:style>
  <w:style w:type="character" w:styleId="Mention">
    <w:name w:val="Mention"/>
    <w:basedOn w:val="DefaultParagraphFont"/>
    <w:uiPriority w:val="99"/>
    <w:unhideWhenUsed/>
    <w:rsid w:val="00293BC1"/>
    <w:rPr>
      <w:color w:val="2B579A"/>
      <w:shd w:val="clear" w:color="auto" w:fill="E1DFDD"/>
    </w:rPr>
  </w:style>
  <w:style w:type="paragraph" w:styleId="ListParagraph">
    <w:name w:val="List Paragraph"/>
    <w:basedOn w:val="Normal"/>
    <w:uiPriority w:val="34"/>
    <w:qFormat/>
    <w:rsid w:val="00293BC1"/>
    <w:pPr>
      <w:ind w:left="720"/>
      <w:contextualSpacing/>
    </w:pPr>
  </w:style>
  <w:style w:type="paragraph" w:styleId="NormalWeb">
    <w:name w:val="Normal (Web)"/>
    <w:basedOn w:val="Normal"/>
    <w:uiPriority w:val="99"/>
    <w:semiHidden/>
    <w:unhideWhenUsed/>
    <w:rsid w:val="00293BC1"/>
    <w:rPr>
      <w:rFonts w:ascii="Times New Roman" w:hAnsi="Times New Roman"/>
      <w:sz w:val="24"/>
      <w:szCs w:val="24"/>
    </w:rPr>
  </w:style>
  <w:style w:type="paragraph" w:customStyle="1" w:styleId="pf0">
    <w:name w:val="pf0"/>
    <w:basedOn w:val="Normal"/>
    <w:rsid w:val="00293BC1"/>
    <w:pPr>
      <w:spacing w:before="100" w:beforeAutospacing="1" w:after="100" w:afterAutospacing="1" w:line="240" w:lineRule="auto"/>
      <w:ind w:left="300"/>
    </w:pPr>
    <w:rPr>
      <w:rFonts w:ascii="Times New Roman" w:hAnsi="Times New Roman"/>
      <w:sz w:val="24"/>
      <w:szCs w:val="24"/>
    </w:rPr>
  </w:style>
  <w:style w:type="paragraph" w:customStyle="1" w:styleId="pf1">
    <w:name w:val="pf1"/>
    <w:basedOn w:val="Normal"/>
    <w:rsid w:val="00293BC1"/>
    <w:pPr>
      <w:spacing w:before="100" w:beforeAutospacing="1" w:after="100" w:afterAutospacing="1" w:line="240" w:lineRule="auto"/>
      <w:ind w:left="1020"/>
    </w:pPr>
    <w:rPr>
      <w:rFonts w:ascii="Times New Roman" w:hAnsi="Times New Roman"/>
      <w:sz w:val="24"/>
      <w:szCs w:val="24"/>
    </w:rPr>
  </w:style>
  <w:style w:type="character" w:customStyle="1" w:styleId="cf01">
    <w:name w:val="cf01"/>
    <w:basedOn w:val="DefaultParagraphFont"/>
    <w:rsid w:val="00554BE7"/>
    <w:rPr>
      <w:rFonts w:ascii="Segoe UI" w:hAnsi="Segoe UI" w:cs="Segoe UI" w:hint="default"/>
      <w:b/>
      <w:bCs/>
      <w:color w:val="FF0000"/>
      <w:sz w:val="18"/>
      <w:szCs w:val="18"/>
    </w:rPr>
  </w:style>
  <w:style w:type="character" w:customStyle="1" w:styleId="cf21">
    <w:name w:val="cf21"/>
    <w:basedOn w:val="DefaultParagraphFont"/>
    <w:rsid w:val="00554BE7"/>
    <w:rPr>
      <w:rFonts w:ascii="Segoe UI" w:hAnsi="Segoe UI" w:cs="Segoe UI" w:hint="default"/>
      <w:b/>
      <w:bCs/>
      <w:sz w:val="18"/>
      <w:szCs w:val="18"/>
    </w:rPr>
  </w:style>
  <w:style w:type="character" w:customStyle="1" w:styleId="cf11">
    <w:name w:val="cf11"/>
    <w:basedOn w:val="DefaultParagraphFont"/>
    <w:rsid w:val="00554BE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8822">
      <w:bodyDiv w:val="1"/>
      <w:marLeft w:val="0"/>
      <w:marRight w:val="0"/>
      <w:marTop w:val="0"/>
      <w:marBottom w:val="0"/>
      <w:divBdr>
        <w:top w:val="none" w:sz="0" w:space="0" w:color="auto"/>
        <w:left w:val="none" w:sz="0" w:space="0" w:color="auto"/>
        <w:bottom w:val="none" w:sz="0" w:space="0" w:color="auto"/>
        <w:right w:val="none" w:sz="0" w:space="0" w:color="auto"/>
      </w:divBdr>
    </w:div>
    <w:div w:id="100104593">
      <w:bodyDiv w:val="1"/>
      <w:marLeft w:val="0"/>
      <w:marRight w:val="0"/>
      <w:marTop w:val="0"/>
      <w:marBottom w:val="0"/>
      <w:divBdr>
        <w:top w:val="none" w:sz="0" w:space="0" w:color="auto"/>
        <w:left w:val="none" w:sz="0" w:space="0" w:color="auto"/>
        <w:bottom w:val="none" w:sz="0" w:space="0" w:color="auto"/>
        <w:right w:val="none" w:sz="0" w:space="0" w:color="auto"/>
      </w:divBdr>
    </w:div>
    <w:div w:id="155651227">
      <w:bodyDiv w:val="1"/>
      <w:marLeft w:val="0"/>
      <w:marRight w:val="0"/>
      <w:marTop w:val="0"/>
      <w:marBottom w:val="0"/>
      <w:divBdr>
        <w:top w:val="none" w:sz="0" w:space="0" w:color="auto"/>
        <w:left w:val="none" w:sz="0" w:space="0" w:color="auto"/>
        <w:bottom w:val="none" w:sz="0" w:space="0" w:color="auto"/>
        <w:right w:val="none" w:sz="0" w:space="0" w:color="auto"/>
      </w:divBdr>
    </w:div>
    <w:div w:id="169102660">
      <w:bodyDiv w:val="1"/>
      <w:marLeft w:val="0"/>
      <w:marRight w:val="0"/>
      <w:marTop w:val="0"/>
      <w:marBottom w:val="0"/>
      <w:divBdr>
        <w:top w:val="none" w:sz="0" w:space="0" w:color="auto"/>
        <w:left w:val="none" w:sz="0" w:space="0" w:color="auto"/>
        <w:bottom w:val="none" w:sz="0" w:space="0" w:color="auto"/>
        <w:right w:val="none" w:sz="0" w:space="0" w:color="auto"/>
      </w:divBdr>
    </w:div>
    <w:div w:id="246697167">
      <w:bodyDiv w:val="1"/>
      <w:marLeft w:val="0"/>
      <w:marRight w:val="0"/>
      <w:marTop w:val="0"/>
      <w:marBottom w:val="0"/>
      <w:divBdr>
        <w:top w:val="none" w:sz="0" w:space="0" w:color="auto"/>
        <w:left w:val="none" w:sz="0" w:space="0" w:color="auto"/>
        <w:bottom w:val="none" w:sz="0" w:space="0" w:color="auto"/>
        <w:right w:val="none" w:sz="0" w:space="0" w:color="auto"/>
      </w:divBdr>
    </w:div>
    <w:div w:id="304896768">
      <w:bodyDiv w:val="1"/>
      <w:marLeft w:val="0"/>
      <w:marRight w:val="0"/>
      <w:marTop w:val="0"/>
      <w:marBottom w:val="0"/>
      <w:divBdr>
        <w:top w:val="none" w:sz="0" w:space="0" w:color="auto"/>
        <w:left w:val="none" w:sz="0" w:space="0" w:color="auto"/>
        <w:bottom w:val="none" w:sz="0" w:space="0" w:color="auto"/>
        <w:right w:val="none" w:sz="0" w:space="0" w:color="auto"/>
      </w:divBdr>
    </w:div>
    <w:div w:id="312373913">
      <w:bodyDiv w:val="1"/>
      <w:marLeft w:val="0"/>
      <w:marRight w:val="0"/>
      <w:marTop w:val="0"/>
      <w:marBottom w:val="0"/>
      <w:divBdr>
        <w:top w:val="none" w:sz="0" w:space="0" w:color="auto"/>
        <w:left w:val="none" w:sz="0" w:space="0" w:color="auto"/>
        <w:bottom w:val="none" w:sz="0" w:space="0" w:color="auto"/>
        <w:right w:val="none" w:sz="0" w:space="0" w:color="auto"/>
      </w:divBdr>
    </w:div>
    <w:div w:id="322972805">
      <w:bodyDiv w:val="1"/>
      <w:marLeft w:val="0"/>
      <w:marRight w:val="0"/>
      <w:marTop w:val="0"/>
      <w:marBottom w:val="0"/>
      <w:divBdr>
        <w:top w:val="none" w:sz="0" w:space="0" w:color="auto"/>
        <w:left w:val="none" w:sz="0" w:space="0" w:color="auto"/>
        <w:bottom w:val="none" w:sz="0" w:space="0" w:color="auto"/>
        <w:right w:val="none" w:sz="0" w:space="0" w:color="auto"/>
      </w:divBdr>
    </w:div>
    <w:div w:id="344786731">
      <w:bodyDiv w:val="1"/>
      <w:marLeft w:val="0"/>
      <w:marRight w:val="0"/>
      <w:marTop w:val="0"/>
      <w:marBottom w:val="0"/>
      <w:divBdr>
        <w:top w:val="none" w:sz="0" w:space="0" w:color="auto"/>
        <w:left w:val="none" w:sz="0" w:space="0" w:color="auto"/>
        <w:bottom w:val="none" w:sz="0" w:space="0" w:color="auto"/>
        <w:right w:val="none" w:sz="0" w:space="0" w:color="auto"/>
      </w:divBdr>
    </w:div>
    <w:div w:id="368116145">
      <w:bodyDiv w:val="1"/>
      <w:marLeft w:val="0"/>
      <w:marRight w:val="0"/>
      <w:marTop w:val="0"/>
      <w:marBottom w:val="0"/>
      <w:divBdr>
        <w:top w:val="none" w:sz="0" w:space="0" w:color="auto"/>
        <w:left w:val="none" w:sz="0" w:space="0" w:color="auto"/>
        <w:bottom w:val="none" w:sz="0" w:space="0" w:color="auto"/>
        <w:right w:val="none" w:sz="0" w:space="0" w:color="auto"/>
      </w:divBdr>
    </w:div>
    <w:div w:id="374617901">
      <w:bodyDiv w:val="1"/>
      <w:marLeft w:val="0"/>
      <w:marRight w:val="0"/>
      <w:marTop w:val="0"/>
      <w:marBottom w:val="0"/>
      <w:divBdr>
        <w:top w:val="none" w:sz="0" w:space="0" w:color="auto"/>
        <w:left w:val="none" w:sz="0" w:space="0" w:color="auto"/>
        <w:bottom w:val="none" w:sz="0" w:space="0" w:color="auto"/>
        <w:right w:val="none" w:sz="0" w:space="0" w:color="auto"/>
      </w:divBdr>
    </w:div>
    <w:div w:id="402916559">
      <w:bodyDiv w:val="1"/>
      <w:marLeft w:val="0"/>
      <w:marRight w:val="0"/>
      <w:marTop w:val="0"/>
      <w:marBottom w:val="0"/>
      <w:divBdr>
        <w:top w:val="none" w:sz="0" w:space="0" w:color="auto"/>
        <w:left w:val="none" w:sz="0" w:space="0" w:color="auto"/>
        <w:bottom w:val="none" w:sz="0" w:space="0" w:color="auto"/>
        <w:right w:val="none" w:sz="0" w:space="0" w:color="auto"/>
      </w:divBdr>
    </w:div>
    <w:div w:id="405687762">
      <w:bodyDiv w:val="1"/>
      <w:marLeft w:val="0"/>
      <w:marRight w:val="0"/>
      <w:marTop w:val="0"/>
      <w:marBottom w:val="0"/>
      <w:divBdr>
        <w:top w:val="none" w:sz="0" w:space="0" w:color="auto"/>
        <w:left w:val="none" w:sz="0" w:space="0" w:color="auto"/>
        <w:bottom w:val="none" w:sz="0" w:space="0" w:color="auto"/>
        <w:right w:val="none" w:sz="0" w:space="0" w:color="auto"/>
      </w:divBdr>
    </w:div>
    <w:div w:id="446239052">
      <w:bodyDiv w:val="1"/>
      <w:marLeft w:val="0"/>
      <w:marRight w:val="0"/>
      <w:marTop w:val="0"/>
      <w:marBottom w:val="0"/>
      <w:divBdr>
        <w:top w:val="none" w:sz="0" w:space="0" w:color="auto"/>
        <w:left w:val="none" w:sz="0" w:space="0" w:color="auto"/>
        <w:bottom w:val="none" w:sz="0" w:space="0" w:color="auto"/>
        <w:right w:val="none" w:sz="0" w:space="0" w:color="auto"/>
      </w:divBdr>
    </w:div>
    <w:div w:id="464740857">
      <w:bodyDiv w:val="1"/>
      <w:marLeft w:val="0"/>
      <w:marRight w:val="0"/>
      <w:marTop w:val="0"/>
      <w:marBottom w:val="0"/>
      <w:divBdr>
        <w:top w:val="none" w:sz="0" w:space="0" w:color="auto"/>
        <w:left w:val="none" w:sz="0" w:space="0" w:color="auto"/>
        <w:bottom w:val="none" w:sz="0" w:space="0" w:color="auto"/>
        <w:right w:val="none" w:sz="0" w:space="0" w:color="auto"/>
      </w:divBdr>
    </w:div>
    <w:div w:id="478114849">
      <w:bodyDiv w:val="1"/>
      <w:marLeft w:val="0"/>
      <w:marRight w:val="0"/>
      <w:marTop w:val="0"/>
      <w:marBottom w:val="0"/>
      <w:divBdr>
        <w:top w:val="none" w:sz="0" w:space="0" w:color="auto"/>
        <w:left w:val="none" w:sz="0" w:space="0" w:color="auto"/>
        <w:bottom w:val="none" w:sz="0" w:space="0" w:color="auto"/>
        <w:right w:val="none" w:sz="0" w:space="0" w:color="auto"/>
      </w:divBdr>
    </w:div>
    <w:div w:id="545263648">
      <w:bodyDiv w:val="1"/>
      <w:marLeft w:val="0"/>
      <w:marRight w:val="0"/>
      <w:marTop w:val="0"/>
      <w:marBottom w:val="0"/>
      <w:divBdr>
        <w:top w:val="none" w:sz="0" w:space="0" w:color="auto"/>
        <w:left w:val="none" w:sz="0" w:space="0" w:color="auto"/>
        <w:bottom w:val="none" w:sz="0" w:space="0" w:color="auto"/>
        <w:right w:val="none" w:sz="0" w:space="0" w:color="auto"/>
      </w:divBdr>
    </w:div>
    <w:div w:id="582565980">
      <w:bodyDiv w:val="1"/>
      <w:marLeft w:val="0"/>
      <w:marRight w:val="0"/>
      <w:marTop w:val="0"/>
      <w:marBottom w:val="0"/>
      <w:divBdr>
        <w:top w:val="none" w:sz="0" w:space="0" w:color="auto"/>
        <w:left w:val="none" w:sz="0" w:space="0" w:color="auto"/>
        <w:bottom w:val="none" w:sz="0" w:space="0" w:color="auto"/>
        <w:right w:val="none" w:sz="0" w:space="0" w:color="auto"/>
      </w:divBdr>
    </w:div>
    <w:div w:id="724137778">
      <w:bodyDiv w:val="1"/>
      <w:marLeft w:val="0"/>
      <w:marRight w:val="0"/>
      <w:marTop w:val="0"/>
      <w:marBottom w:val="0"/>
      <w:divBdr>
        <w:top w:val="none" w:sz="0" w:space="0" w:color="auto"/>
        <w:left w:val="none" w:sz="0" w:space="0" w:color="auto"/>
        <w:bottom w:val="none" w:sz="0" w:space="0" w:color="auto"/>
        <w:right w:val="none" w:sz="0" w:space="0" w:color="auto"/>
      </w:divBdr>
    </w:div>
    <w:div w:id="768158840">
      <w:bodyDiv w:val="1"/>
      <w:marLeft w:val="0"/>
      <w:marRight w:val="0"/>
      <w:marTop w:val="0"/>
      <w:marBottom w:val="0"/>
      <w:divBdr>
        <w:top w:val="none" w:sz="0" w:space="0" w:color="auto"/>
        <w:left w:val="none" w:sz="0" w:space="0" w:color="auto"/>
        <w:bottom w:val="none" w:sz="0" w:space="0" w:color="auto"/>
        <w:right w:val="none" w:sz="0" w:space="0" w:color="auto"/>
      </w:divBdr>
    </w:div>
    <w:div w:id="795414298">
      <w:bodyDiv w:val="1"/>
      <w:marLeft w:val="0"/>
      <w:marRight w:val="0"/>
      <w:marTop w:val="0"/>
      <w:marBottom w:val="0"/>
      <w:divBdr>
        <w:top w:val="none" w:sz="0" w:space="0" w:color="auto"/>
        <w:left w:val="none" w:sz="0" w:space="0" w:color="auto"/>
        <w:bottom w:val="none" w:sz="0" w:space="0" w:color="auto"/>
        <w:right w:val="none" w:sz="0" w:space="0" w:color="auto"/>
      </w:divBdr>
    </w:div>
    <w:div w:id="847138409">
      <w:bodyDiv w:val="1"/>
      <w:marLeft w:val="0"/>
      <w:marRight w:val="0"/>
      <w:marTop w:val="0"/>
      <w:marBottom w:val="0"/>
      <w:divBdr>
        <w:top w:val="none" w:sz="0" w:space="0" w:color="auto"/>
        <w:left w:val="none" w:sz="0" w:space="0" w:color="auto"/>
        <w:bottom w:val="none" w:sz="0" w:space="0" w:color="auto"/>
        <w:right w:val="none" w:sz="0" w:space="0" w:color="auto"/>
      </w:divBdr>
    </w:div>
    <w:div w:id="909922463">
      <w:bodyDiv w:val="1"/>
      <w:marLeft w:val="0"/>
      <w:marRight w:val="0"/>
      <w:marTop w:val="0"/>
      <w:marBottom w:val="0"/>
      <w:divBdr>
        <w:top w:val="none" w:sz="0" w:space="0" w:color="auto"/>
        <w:left w:val="none" w:sz="0" w:space="0" w:color="auto"/>
        <w:bottom w:val="none" w:sz="0" w:space="0" w:color="auto"/>
        <w:right w:val="none" w:sz="0" w:space="0" w:color="auto"/>
      </w:divBdr>
    </w:div>
    <w:div w:id="975135940">
      <w:bodyDiv w:val="1"/>
      <w:marLeft w:val="0"/>
      <w:marRight w:val="0"/>
      <w:marTop w:val="0"/>
      <w:marBottom w:val="0"/>
      <w:divBdr>
        <w:top w:val="none" w:sz="0" w:space="0" w:color="auto"/>
        <w:left w:val="none" w:sz="0" w:space="0" w:color="auto"/>
        <w:bottom w:val="none" w:sz="0" w:space="0" w:color="auto"/>
        <w:right w:val="none" w:sz="0" w:space="0" w:color="auto"/>
      </w:divBdr>
    </w:div>
    <w:div w:id="988559389">
      <w:bodyDiv w:val="1"/>
      <w:marLeft w:val="0"/>
      <w:marRight w:val="0"/>
      <w:marTop w:val="0"/>
      <w:marBottom w:val="0"/>
      <w:divBdr>
        <w:top w:val="none" w:sz="0" w:space="0" w:color="auto"/>
        <w:left w:val="none" w:sz="0" w:space="0" w:color="auto"/>
        <w:bottom w:val="none" w:sz="0" w:space="0" w:color="auto"/>
        <w:right w:val="none" w:sz="0" w:space="0" w:color="auto"/>
      </w:divBdr>
    </w:div>
    <w:div w:id="1054088199">
      <w:bodyDiv w:val="1"/>
      <w:marLeft w:val="0"/>
      <w:marRight w:val="0"/>
      <w:marTop w:val="0"/>
      <w:marBottom w:val="0"/>
      <w:divBdr>
        <w:top w:val="none" w:sz="0" w:space="0" w:color="auto"/>
        <w:left w:val="none" w:sz="0" w:space="0" w:color="auto"/>
        <w:bottom w:val="none" w:sz="0" w:space="0" w:color="auto"/>
        <w:right w:val="none" w:sz="0" w:space="0" w:color="auto"/>
      </w:divBdr>
    </w:div>
    <w:div w:id="1070882368">
      <w:bodyDiv w:val="1"/>
      <w:marLeft w:val="0"/>
      <w:marRight w:val="0"/>
      <w:marTop w:val="0"/>
      <w:marBottom w:val="0"/>
      <w:divBdr>
        <w:top w:val="none" w:sz="0" w:space="0" w:color="auto"/>
        <w:left w:val="none" w:sz="0" w:space="0" w:color="auto"/>
        <w:bottom w:val="none" w:sz="0" w:space="0" w:color="auto"/>
        <w:right w:val="none" w:sz="0" w:space="0" w:color="auto"/>
      </w:divBdr>
    </w:div>
    <w:div w:id="1081488509">
      <w:bodyDiv w:val="1"/>
      <w:marLeft w:val="0"/>
      <w:marRight w:val="0"/>
      <w:marTop w:val="0"/>
      <w:marBottom w:val="0"/>
      <w:divBdr>
        <w:top w:val="none" w:sz="0" w:space="0" w:color="auto"/>
        <w:left w:val="none" w:sz="0" w:space="0" w:color="auto"/>
        <w:bottom w:val="none" w:sz="0" w:space="0" w:color="auto"/>
        <w:right w:val="none" w:sz="0" w:space="0" w:color="auto"/>
      </w:divBdr>
    </w:div>
    <w:div w:id="1113209413">
      <w:bodyDiv w:val="1"/>
      <w:marLeft w:val="0"/>
      <w:marRight w:val="0"/>
      <w:marTop w:val="0"/>
      <w:marBottom w:val="0"/>
      <w:divBdr>
        <w:top w:val="none" w:sz="0" w:space="0" w:color="auto"/>
        <w:left w:val="none" w:sz="0" w:space="0" w:color="auto"/>
        <w:bottom w:val="none" w:sz="0" w:space="0" w:color="auto"/>
        <w:right w:val="none" w:sz="0" w:space="0" w:color="auto"/>
      </w:divBdr>
    </w:div>
    <w:div w:id="1139684940">
      <w:bodyDiv w:val="1"/>
      <w:marLeft w:val="0"/>
      <w:marRight w:val="0"/>
      <w:marTop w:val="0"/>
      <w:marBottom w:val="0"/>
      <w:divBdr>
        <w:top w:val="none" w:sz="0" w:space="0" w:color="auto"/>
        <w:left w:val="none" w:sz="0" w:space="0" w:color="auto"/>
        <w:bottom w:val="none" w:sz="0" w:space="0" w:color="auto"/>
        <w:right w:val="none" w:sz="0" w:space="0" w:color="auto"/>
      </w:divBdr>
    </w:div>
    <w:div w:id="1224873246">
      <w:bodyDiv w:val="1"/>
      <w:marLeft w:val="0"/>
      <w:marRight w:val="0"/>
      <w:marTop w:val="0"/>
      <w:marBottom w:val="0"/>
      <w:divBdr>
        <w:top w:val="none" w:sz="0" w:space="0" w:color="auto"/>
        <w:left w:val="none" w:sz="0" w:space="0" w:color="auto"/>
        <w:bottom w:val="none" w:sz="0" w:space="0" w:color="auto"/>
        <w:right w:val="none" w:sz="0" w:space="0" w:color="auto"/>
      </w:divBdr>
    </w:div>
    <w:div w:id="1232157727">
      <w:bodyDiv w:val="1"/>
      <w:marLeft w:val="0"/>
      <w:marRight w:val="0"/>
      <w:marTop w:val="0"/>
      <w:marBottom w:val="0"/>
      <w:divBdr>
        <w:top w:val="none" w:sz="0" w:space="0" w:color="auto"/>
        <w:left w:val="none" w:sz="0" w:space="0" w:color="auto"/>
        <w:bottom w:val="none" w:sz="0" w:space="0" w:color="auto"/>
        <w:right w:val="none" w:sz="0" w:space="0" w:color="auto"/>
      </w:divBdr>
    </w:div>
    <w:div w:id="1430391048">
      <w:bodyDiv w:val="1"/>
      <w:marLeft w:val="0"/>
      <w:marRight w:val="0"/>
      <w:marTop w:val="0"/>
      <w:marBottom w:val="0"/>
      <w:divBdr>
        <w:top w:val="none" w:sz="0" w:space="0" w:color="auto"/>
        <w:left w:val="none" w:sz="0" w:space="0" w:color="auto"/>
        <w:bottom w:val="none" w:sz="0" w:space="0" w:color="auto"/>
        <w:right w:val="none" w:sz="0" w:space="0" w:color="auto"/>
      </w:divBdr>
    </w:div>
    <w:div w:id="1432704743">
      <w:bodyDiv w:val="1"/>
      <w:marLeft w:val="0"/>
      <w:marRight w:val="0"/>
      <w:marTop w:val="0"/>
      <w:marBottom w:val="0"/>
      <w:divBdr>
        <w:top w:val="none" w:sz="0" w:space="0" w:color="auto"/>
        <w:left w:val="none" w:sz="0" w:space="0" w:color="auto"/>
        <w:bottom w:val="none" w:sz="0" w:space="0" w:color="auto"/>
        <w:right w:val="none" w:sz="0" w:space="0" w:color="auto"/>
      </w:divBdr>
    </w:div>
    <w:div w:id="1482381352">
      <w:bodyDiv w:val="1"/>
      <w:marLeft w:val="0"/>
      <w:marRight w:val="0"/>
      <w:marTop w:val="0"/>
      <w:marBottom w:val="0"/>
      <w:divBdr>
        <w:top w:val="none" w:sz="0" w:space="0" w:color="auto"/>
        <w:left w:val="none" w:sz="0" w:space="0" w:color="auto"/>
        <w:bottom w:val="none" w:sz="0" w:space="0" w:color="auto"/>
        <w:right w:val="none" w:sz="0" w:space="0" w:color="auto"/>
      </w:divBdr>
    </w:div>
    <w:div w:id="1489058404">
      <w:bodyDiv w:val="1"/>
      <w:marLeft w:val="0"/>
      <w:marRight w:val="0"/>
      <w:marTop w:val="0"/>
      <w:marBottom w:val="0"/>
      <w:divBdr>
        <w:top w:val="none" w:sz="0" w:space="0" w:color="auto"/>
        <w:left w:val="none" w:sz="0" w:space="0" w:color="auto"/>
        <w:bottom w:val="none" w:sz="0" w:space="0" w:color="auto"/>
        <w:right w:val="none" w:sz="0" w:space="0" w:color="auto"/>
      </w:divBdr>
    </w:div>
    <w:div w:id="1529174288">
      <w:bodyDiv w:val="1"/>
      <w:marLeft w:val="0"/>
      <w:marRight w:val="0"/>
      <w:marTop w:val="0"/>
      <w:marBottom w:val="0"/>
      <w:divBdr>
        <w:top w:val="none" w:sz="0" w:space="0" w:color="auto"/>
        <w:left w:val="none" w:sz="0" w:space="0" w:color="auto"/>
        <w:bottom w:val="none" w:sz="0" w:space="0" w:color="auto"/>
        <w:right w:val="none" w:sz="0" w:space="0" w:color="auto"/>
      </w:divBdr>
    </w:div>
    <w:div w:id="1531257694">
      <w:bodyDiv w:val="1"/>
      <w:marLeft w:val="0"/>
      <w:marRight w:val="0"/>
      <w:marTop w:val="0"/>
      <w:marBottom w:val="0"/>
      <w:divBdr>
        <w:top w:val="none" w:sz="0" w:space="0" w:color="auto"/>
        <w:left w:val="none" w:sz="0" w:space="0" w:color="auto"/>
        <w:bottom w:val="none" w:sz="0" w:space="0" w:color="auto"/>
        <w:right w:val="none" w:sz="0" w:space="0" w:color="auto"/>
      </w:divBdr>
    </w:div>
    <w:div w:id="1590432084">
      <w:bodyDiv w:val="1"/>
      <w:marLeft w:val="0"/>
      <w:marRight w:val="0"/>
      <w:marTop w:val="0"/>
      <w:marBottom w:val="0"/>
      <w:divBdr>
        <w:top w:val="none" w:sz="0" w:space="0" w:color="auto"/>
        <w:left w:val="none" w:sz="0" w:space="0" w:color="auto"/>
        <w:bottom w:val="none" w:sz="0" w:space="0" w:color="auto"/>
        <w:right w:val="none" w:sz="0" w:space="0" w:color="auto"/>
      </w:divBdr>
    </w:div>
    <w:div w:id="1592815845">
      <w:bodyDiv w:val="1"/>
      <w:marLeft w:val="0"/>
      <w:marRight w:val="0"/>
      <w:marTop w:val="0"/>
      <w:marBottom w:val="0"/>
      <w:divBdr>
        <w:top w:val="none" w:sz="0" w:space="0" w:color="auto"/>
        <w:left w:val="none" w:sz="0" w:space="0" w:color="auto"/>
        <w:bottom w:val="none" w:sz="0" w:space="0" w:color="auto"/>
        <w:right w:val="none" w:sz="0" w:space="0" w:color="auto"/>
      </w:divBdr>
    </w:div>
    <w:div w:id="1595506079">
      <w:bodyDiv w:val="1"/>
      <w:marLeft w:val="0"/>
      <w:marRight w:val="0"/>
      <w:marTop w:val="0"/>
      <w:marBottom w:val="0"/>
      <w:divBdr>
        <w:top w:val="none" w:sz="0" w:space="0" w:color="auto"/>
        <w:left w:val="none" w:sz="0" w:space="0" w:color="auto"/>
        <w:bottom w:val="none" w:sz="0" w:space="0" w:color="auto"/>
        <w:right w:val="none" w:sz="0" w:space="0" w:color="auto"/>
      </w:divBdr>
    </w:div>
    <w:div w:id="1712029517">
      <w:bodyDiv w:val="1"/>
      <w:marLeft w:val="0"/>
      <w:marRight w:val="0"/>
      <w:marTop w:val="0"/>
      <w:marBottom w:val="0"/>
      <w:divBdr>
        <w:top w:val="none" w:sz="0" w:space="0" w:color="auto"/>
        <w:left w:val="none" w:sz="0" w:space="0" w:color="auto"/>
        <w:bottom w:val="none" w:sz="0" w:space="0" w:color="auto"/>
        <w:right w:val="none" w:sz="0" w:space="0" w:color="auto"/>
      </w:divBdr>
    </w:div>
    <w:div w:id="1746537864">
      <w:bodyDiv w:val="1"/>
      <w:marLeft w:val="0"/>
      <w:marRight w:val="0"/>
      <w:marTop w:val="0"/>
      <w:marBottom w:val="0"/>
      <w:divBdr>
        <w:top w:val="none" w:sz="0" w:space="0" w:color="auto"/>
        <w:left w:val="none" w:sz="0" w:space="0" w:color="auto"/>
        <w:bottom w:val="none" w:sz="0" w:space="0" w:color="auto"/>
        <w:right w:val="none" w:sz="0" w:space="0" w:color="auto"/>
      </w:divBdr>
    </w:div>
    <w:div w:id="1748723800">
      <w:bodyDiv w:val="1"/>
      <w:marLeft w:val="0"/>
      <w:marRight w:val="0"/>
      <w:marTop w:val="0"/>
      <w:marBottom w:val="0"/>
      <w:divBdr>
        <w:top w:val="none" w:sz="0" w:space="0" w:color="auto"/>
        <w:left w:val="none" w:sz="0" w:space="0" w:color="auto"/>
        <w:bottom w:val="none" w:sz="0" w:space="0" w:color="auto"/>
        <w:right w:val="none" w:sz="0" w:space="0" w:color="auto"/>
      </w:divBdr>
    </w:div>
    <w:div w:id="1756782890">
      <w:bodyDiv w:val="1"/>
      <w:marLeft w:val="0"/>
      <w:marRight w:val="0"/>
      <w:marTop w:val="0"/>
      <w:marBottom w:val="0"/>
      <w:divBdr>
        <w:top w:val="none" w:sz="0" w:space="0" w:color="auto"/>
        <w:left w:val="none" w:sz="0" w:space="0" w:color="auto"/>
        <w:bottom w:val="none" w:sz="0" w:space="0" w:color="auto"/>
        <w:right w:val="none" w:sz="0" w:space="0" w:color="auto"/>
      </w:divBdr>
    </w:div>
    <w:div w:id="1784377138">
      <w:bodyDiv w:val="1"/>
      <w:marLeft w:val="0"/>
      <w:marRight w:val="0"/>
      <w:marTop w:val="0"/>
      <w:marBottom w:val="0"/>
      <w:divBdr>
        <w:top w:val="none" w:sz="0" w:space="0" w:color="auto"/>
        <w:left w:val="none" w:sz="0" w:space="0" w:color="auto"/>
        <w:bottom w:val="none" w:sz="0" w:space="0" w:color="auto"/>
        <w:right w:val="none" w:sz="0" w:space="0" w:color="auto"/>
      </w:divBdr>
    </w:div>
    <w:div w:id="1790782730">
      <w:bodyDiv w:val="1"/>
      <w:marLeft w:val="0"/>
      <w:marRight w:val="0"/>
      <w:marTop w:val="0"/>
      <w:marBottom w:val="0"/>
      <w:divBdr>
        <w:top w:val="none" w:sz="0" w:space="0" w:color="auto"/>
        <w:left w:val="none" w:sz="0" w:space="0" w:color="auto"/>
        <w:bottom w:val="none" w:sz="0" w:space="0" w:color="auto"/>
        <w:right w:val="none" w:sz="0" w:space="0" w:color="auto"/>
      </w:divBdr>
    </w:div>
    <w:div w:id="1872450632">
      <w:bodyDiv w:val="1"/>
      <w:marLeft w:val="0"/>
      <w:marRight w:val="0"/>
      <w:marTop w:val="0"/>
      <w:marBottom w:val="0"/>
      <w:divBdr>
        <w:top w:val="none" w:sz="0" w:space="0" w:color="auto"/>
        <w:left w:val="none" w:sz="0" w:space="0" w:color="auto"/>
        <w:bottom w:val="none" w:sz="0" w:space="0" w:color="auto"/>
        <w:right w:val="none" w:sz="0" w:space="0" w:color="auto"/>
      </w:divBdr>
    </w:div>
    <w:div w:id="1969162370">
      <w:bodyDiv w:val="1"/>
      <w:marLeft w:val="0"/>
      <w:marRight w:val="0"/>
      <w:marTop w:val="0"/>
      <w:marBottom w:val="0"/>
      <w:divBdr>
        <w:top w:val="none" w:sz="0" w:space="0" w:color="auto"/>
        <w:left w:val="none" w:sz="0" w:space="0" w:color="auto"/>
        <w:bottom w:val="none" w:sz="0" w:space="0" w:color="auto"/>
        <w:right w:val="none" w:sz="0" w:space="0" w:color="auto"/>
      </w:divBdr>
    </w:div>
    <w:div w:id="2005743168">
      <w:bodyDiv w:val="1"/>
      <w:marLeft w:val="0"/>
      <w:marRight w:val="0"/>
      <w:marTop w:val="0"/>
      <w:marBottom w:val="0"/>
      <w:divBdr>
        <w:top w:val="none" w:sz="0" w:space="0" w:color="auto"/>
        <w:left w:val="none" w:sz="0" w:space="0" w:color="auto"/>
        <w:bottom w:val="none" w:sz="0" w:space="0" w:color="auto"/>
        <w:right w:val="none" w:sz="0" w:space="0" w:color="auto"/>
      </w:divBdr>
    </w:div>
    <w:div w:id="2046904923">
      <w:bodyDiv w:val="1"/>
      <w:marLeft w:val="0"/>
      <w:marRight w:val="0"/>
      <w:marTop w:val="0"/>
      <w:marBottom w:val="0"/>
      <w:divBdr>
        <w:top w:val="none" w:sz="0" w:space="0" w:color="auto"/>
        <w:left w:val="none" w:sz="0" w:space="0" w:color="auto"/>
        <w:bottom w:val="none" w:sz="0" w:space="0" w:color="auto"/>
        <w:right w:val="none" w:sz="0" w:space="0" w:color="auto"/>
      </w:divBdr>
    </w:div>
    <w:div w:id="2052336925">
      <w:bodyDiv w:val="1"/>
      <w:marLeft w:val="0"/>
      <w:marRight w:val="0"/>
      <w:marTop w:val="0"/>
      <w:marBottom w:val="0"/>
      <w:divBdr>
        <w:top w:val="none" w:sz="0" w:space="0" w:color="auto"/>
        <w:left w:val="none" w:sz="0" w:space="0" w:color="auto"/>
        <w:bottom w:val="none" w:sz="0" w:space="0" w:color="auto"/>
        <w:right w:val="none" w:sz="0" w:space="0" w:color="auto"/>
      </w:divBdr>
    </w:div>
    <w:div w:id="206367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image" Target="media/image13.sv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svg"/><Relationship Id="rId42" Type="http://schemas.openxmlformats.org/officeDocument/2006/relationships/image" Target="media/image29.svg"/><Relationship Id="rId47" Type="http://schemas.openxmlformats.org/officeDocument/2006/relationships/header" Target="header7.xml"/><Relationship Id="rId50" Type="http://schemas.openxmlformats.org/officeDocument/2006/relationships/header" Target="header10.xml"/><Relationship Id="rId55"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image" Target="media/image16.png"/><Relationship Id="rId11" Type="http://schemas.openxmlformats.org/officeDocument/2006/relationships/header" Target="header3.xml"/><Relationship Id="rId24" Type="http://schemas.openxmlformats.org/officeDocument/2006/relationships/image" Target="media/image11.svg"/><Relationship Id="rId32" Type="http://schemas.openxmlformats.org/officeDocument/2006/relationships/image" Target="media/image19.svg"/><Relationship Id="rId37" Type="http://schemas.openxmlformats.org/officeDocument/2006/relationships/image" Target="media/image24.png"/><Relationship Id="rId40" Type="http://schemas.openxmlformats.org/officeDocument/2006/relationships/image" Target="media/image27.svg"/><Relationship Id="rId45" Type="http://schemas.openxmlformats.org/officeDocument/2006/relationships/image" Target="media/image32.png"/><Relationship Id="rId53" Type="http://schemas.openxmlformats.org/officeDocument/2006/relationships/footer" Target="footer9.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svg"/><Relationship Id="rId52"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9.svg"/><Relationship Id="rId27" Type="http://schemas.openxmlformats.org/officeDocument/2006/relationships/image" Target="media/image14.png"/><Relationship Id="rId30" Type="http://schemas.openxmlformats.org/officeDocument/2006/relationships/image" Target="media/image17.sv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eader" Target="header8.xml"/><Relationship Id="rId8" Type="http://schemas.openxmlformats.org/officeDocument/2006/relationships/header" Target="header2.xml"/><Relationship Id="rId51" Type="http://schemas.openxmlformats.org/officeDocument/2006/relationships/footer" Target="footer7.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svg"/><Relationship Id="rId46" Type="http://schemas.openxmlformats.org/officeDocument/2006/relationships/image" Target="media/image33.svg"/><Relationship Id="rId20" Type="http://schemas.openxmlformats.org/officeDocument/2006/relationships/image" Target="media/image7.sv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image" Target="media/image15.svg"/><Relationship Id="rId36" Type="http://schemas.openxmlformats.org/officeDocument/2006/relationships/image" Target="media/image23.svg"/><Relationship Id="rId49"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002A5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13780</Words>
  <Characters>78550</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Budget Paper No. 1</vt:lpstr>
    </vt:vector>
  </TitlesOfParts>
  <Company/>
  <LinksUpToDate>false</LinksUpToDate>
  <CharactersWithSpaces>92146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3: Fiscal Strategy and Outlook</dc:subject>
  <dc:creator>Australian Government</dc:creator>
  <cp:keywords/>
  <dc:description/>
  <cp:lastModifiedBy/>
  <cp:revision>1</cp:revision>
  <dcterms:created xsi:type="dcterms:W3CDTF">2026-05-11T05:04:00Z</dcterms:created>
  <dcterms:modified xsi:type="dcterms:W3CDTF">2026-05-11T05:04:00Z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932d64-9ab1-4d9b-81d2-a3a8b82dd47d_Enabled">
    <vt:lpwstr>true</vt:lpwstr>
  </property>
  <property fmtid="{D5CDD505-2E9C-101B-9397-08002B2CF9AE}" pid="3" name="MSIP_Label_4f932d64-9ab1-4d9b-81d2-a3a8b82dd47d_SetDate">
    <vt:lpwstr>2026-05-11T05:04:38Z</vt:lpwstr>
  </property>
  <property fmtid="{D5CDD505-2E9C-101B-9397-08002B2CF9AE}" pid="4" name="MSIP_Label_4f932d64-9ab1-4d9b-81d2-a3a8b82dd47d_Method">
    <vt:lpwstr>Privileged</vt:lpwstr>
  </property>
  <property fmtid="{D5CDD505-2E9C-101B-9397-08002B2CF9AE}" pid="5" name="MSIP_Label_4f932d64-9ab1-4d9b-81d2-a3a8b82dd47d_Name">
    <vt:lpwstr>OFFICIAL No Visual Marking</vt:lpwstr>
  </property>
  <property fmtid="{D5CDD505-2E9C-101B-9397-08002B2CF9AE}" pid="6" name="MSIP_Label_4f932d64-9ab1-4d9b-81d2-a3a8b82dd47d_SiteId">
    <vt:lpwstr>214f1646-2021-47cc-8397-e3d3a7ba7d9d</vt:lpwstr>
  </property>
  <property fmtid="{D5CDD505-2E9C-101B-9397-08002B2CF9AE}" pid="7" name="MSIP_Label_4f932d64-9ab1-4d9b-81d2-a3a8b82dd47d_ActionId">
    <vt:lpwstr>0e827df3-bbfd-413f-9539-816190832f4d</vt:lpwstr>
  </property>
  <property fmtid="{D5CDD505-2E9C-101B-9397-08002B2CF9AE}" pid="8" name="MSIP_Label_4f932d64-9ab1-4d9b-81d2-a3a8b82dd47d_ContentBits">
    <vt:lpwstr>0</vt:lpwstr>
  </property>
  <property fmtid="{D5CDD505-2E9C-101B-9397-08002B2CF9AE}" pid="9" name="MSIP_Label_4f932d64-9ab1-4d9b-81d2-a3a8b82dd47d_Tag">
    <vt:lpwstr>10, 0, 1, 1</vt:lpwstr>
  </property>
</Properties>
</file>