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ECA50" w14:textId="1C1EC670" w:rsidR="00B83E14" w:rsidRDefault="00B83E14" w:rsidP="00B83E14">
      <w:pPr>
        <w:pStyle w:val="Heading1-Statement"/>
      </w:pPr>
      <w:r w:rsidRPr="00CE091F">
        <w:t xml:space="preserve">Statement </w:t>
      </w:r>
      <w:r>
        <w:t>8</w:t>
      </w:r>
      <w:r w:rsidRPr="00CE091F">
        <w:t>:</w:t>
      </w:r>
      <w:r w:rsidRPr="00CE091F">
        <w:rPr>
          <w:rStyle w:val="Strong"/>
        </w:rPr>
        <w:t xml:space="preserve"> </w:t>
      </w:r>
      <w:r w:rsidRPr="00CE091F" w:rsidDel="006167A2">
        <w:rPr>
          <w:rStyle w:val="Strong"/>
        </w:rPr>
        <w:br/>
      </w:r>
      <w:r w:rsidRPr="00CE091F">
        <w:t xml:space="preserve">Forecasting </w:t>
      </w:r>
      <w:r w:rsidRPr="001B4567">
        <w:t>Performance</w:t>
      </w:r>
      <w:r w:rsidRPr="00CE091F">
        <w:t xml:space="preserve"> and</w:t>
      </w:r>
      <w:r w:rsidR="0061556B">
        <w:t> </w:t>
      </w:r>
      <w:r w:rsidRPr="0061556B">
        <w:t>Sensitivity</w:t>
      </w:r>
      <w:r w:rsidR="0061556B">
        <w:t> </w:t>
      </w:r>
      <w:r w:rsidRPr="0061556B">
        <w:t>Analysis</w:t>
      </w:r>
    </w:p>
    <w:p w14:paraId="066453CE" w14:textId="79522716" w:rsidR="00B83E14" w:rsidRPr="00FD66CA" w:rsidRDefault="00B83E14" w:rsidP="00B83E14">
      <w:pPr>
        <w:rPr>
          <w:b/>
        </w:rPr>
      </w:pPr>
      <w:r w:rsidRPr="00FD66CA">
        <w:t xml:space="preserve">Economic and fiscal forecasts and projections in the Budget are underpinned by a range of assumptions and judgements based on the best available information at the time of preparation. In practice, economic and fiscal circumstances can evolve in ways that differ from expectations. </w:t>
      </w:r>
    </w:p>
    <w:p w14:paraId="51EFB929" w14:textId="77777777" w:rsidR="00B83E14" w:rsidRPr="00FD66CA" w:rsidRDefault="00B83E14" w:rsidP="00B83E14">
      <w:r w:rsidRPr="00FD66CA">
        <w:t xml:space="preserve">This </w:t>
      </w:r>
      <w:r w:rsidRPr="00FD66CA" w:rsidDel="002E6AE1">
        <w:t xml:space="preserve">statement </w:t>
      </w:r>
      <w:r w:rsidRPr="00FD66CA">
        <w:t xml:space="preserve">assesses: </w:t>
      </w:r>
    </w:p>
    <w:p w14:paraId="749F43FD" w14:textId="77777777" w:rsidR="00B83E14" w:rsidRPr="00FD66CA" w:rsidRDefault="00B83E14" w:rsidP="00CB3B92">
      <w:pPr>
        <w:pStyle w:val="OutlineNumbered1"/>
      </w:pPr>
      <w:r w:rsidRPr="00FD66CA">
        <w:t>The performance of past forecasts based on the variance between forecasts and actuals.</w:t>
      </w:r>
    </w:p>
    <w:p w14:paraId="1D0048E8" w14:textId="77777777" w:rsidR="00B83E14" w:rsidRPr="00FD66CA" w:rsidRDefault="00B83E14" w:rsidP="00CB3B92">
      <w:pPr>
        <w:pStyle w:val="OutlineNumbered1"/>
      </w:pPr>
      <w:r w:rsidRPr="00FD66CA">
        <w:t xml:space="preserve">The uncertainty around current forecasts using confidence interval analysis. </w:t>
      </w:r>
    </w:p>
    <w:p w14:paraId="2EF9B9D5" w14:textId="77777777" w:rsidR="00B83E14" w:rsidRPr="00FD66CA" w:rsidRDefault="00B83E14" w:rsidP="00CB3B92">
      <w:pPr>
        <w:pStyle w:val="OutlineNumbered1"/>
      </w:pPr>
      <w:r w:rsidRPr="00FD66CA">
        <w:t xml:space="preserve">The sensitivity of current forecasts to changes in key assumptions: </w:t>
      </w:r>
    </w:p>
    <w:p w14:paraId="3D5AFA25" w14:textId="3D58206D" w:rsidR="00B83E14" w:rsidRPr="00FD66CA" w:rsidRDefault="00CD4EFF" w:rsidP="00CB3B92">
      <w:pPr>
        <w:pStyle w:val="Dash"/>
        <w:tabs>
          <w:tab w:val="clear" w:pos="567"/>
        </w:tabs>
        <w:ind w:left="709"/>
      </w:pPr>
      <w:r w:rsidRPr="00FD66CA">
        <w:t>Oil</w:t>
      </w:r>
      <w:r w:rsidR="00B83E14" w:rsidRPr="00FD66CA">
        <w:t xml:space="preserve"> prices</w:t>
      </w:r>
    </w:p>
    <w:p w14:paraId="663B2825" w14:textId="77777777" w:rsidR="00B83E14" w:rsidRPr="00FD66CA" w:rsidRDefault="00B83E14" w:rsidP="00CB3B92">
      <w:pPr>
        <w:pStyle w:val="Dash"/>
        <w:tabs>
          <w:tab w:val="clear" w:pos="567"/>
        </w:tabs>
        <w:ind w:left="709"/>
        <w:rPr>
          <w:i/>
          <w:iCs/>
        </w:rPr>
      </w:pPr>
      <w:r w:rsidRPr="00FD66CA">
        <w:t>Yields on Australian Government Securities.</w:t>
      </w:r>
      <w:r w:rsidRPr="00FD66CA">
        <w:rPr>
          <w:i/>
        </w:rPr>
        <w:t xml:space="preserve"> </w:t>
      </w:r>
    </w:p>
    <w:p w14:paraId="067FF0F5" w14:textId="79D372C8" w:rsidR="00B83E14" w:rsidRPr="00FD66CA" w:rsidRDefault="00B83E14" w:rsidP="00B83E14">
      <w:r w:rsidRPr="00FD66CA">
        <w:t>The fiscal impact of key developments and Australia</w:t>
      </w:r>
      <w:r w:rsidR="00CB3B92" w:rsidRPr="00FD66CA">
        <w:t>’</w:t>
      </w:r>
      <w:r w:rsidRPr="00FD66CA">
        <w:t xml:space="preserve">s climate change outlook are considered in </w:t>
      </w:r>
      <w:r w:rsidRPr="00FD66CA">
        <w:rPr>
          <w:rStyle w:val="Emphasis"/>
        </w:rPr>
        <w:t>Budget Statement 3: Fiscal Strategy and Outlook.</w:t>
      </w:r>
    </w:p>
    <w:p w14:paraId="754B8E7D" w14:textId="72F4C0EA" w:rsidR="00CB3B92" w:rsidRPr="003847A0" w:rsidRDefault="00B83E14" w:rsidP="003847A0">
      <w:r w:rsidRPr="00FD66CA">
        <w:t>Forecasts are based on assumptions and judgements. Forecast accuracy depends on whether assumptions and judgements prove to be correct, and the reliability of the modelled economic and fiscal relationships.</w:t>
      </w:r>
      <w:r w:rsidRPr="00CE091F">
        <w:rPr>
          <w:i/>
        </w:rPr>
        <w:t xml:space="preserve"> </w:t>
      </w:r>
      <w:r w:rsidR="00CB3B92" w:rsidRPr="003847A0">
        <w:br w:type="page"/>
      </w:r>
    </w:p>
    <w:p w14:paraId="7521C074" w14:textId="77777777" w:rsidR="00CB3B92" w:rsidRDefault="00CB3B92">
      <w:pPr>
        <w:spacing w:before="0" w:after="160" w:line="259" w:lineRule="auto"/>
        <w:rPr>
          <w:i/>
        </w:rPr>
      </w:pPr>
    </w:p>
    <w:p w14:paraId="291191BF" w14:textId="77777777" w:rsidR="00CB3B92" w:rsidRDefault="00CB3B92" w:rsidP="00B83E14">
      <w:pPr>
        <w:rPr>
          <w:i/>
        </w:rPr>
        <w:sectPr w:rsidR="00CB3B92" w:rsidSect="00B76C68">
          <w:headerReference w:type="even" r:id="rId7"/>
          <w:headerReference w:type="first" r:id="rId8"/>
          <w:footerReference w:type="first" r:id="rId9"/>
          <w:footnotePr>
            <w:numStart w:val="2"/>
          </w:footnotePr>
          <w:pgSz w:w="11906" w:h="16838" w:code="9"/>
          <w:pgMar w:top="2835" w:right="2098" w:bottom="2466" w:left="2098" w:header="1814" w:footer="1814" w:gutter="0"/>
          <w:pgNumType w:start="267"/>
          <w:cols w:space="708"/>
          <w:titlePg/>
          <w:docGrid w:linePitch="360"/>
        </w:sectPr>
      </w:pPr>
    </w:p>
    <w:p w14:paraId="78A23E78" w14:textId="57ED2AAA" w:rsidR="00A5353D" w:rsidRPr="00CE091F" w:rsidRDefault="00A5353D" w:rsidP="0067768F">
      <w:pPr>
        <w:pStyle w:val="ContentsHeading"/>
      </w:pPr>
      <w:r w:rsidRPr="00CE091F">
        <w:lastRenderedPageBreak/>
        <w:t xml:space="preserve">Statement </w:t>
      </w:r>
      <w:r w:rsidR="00CB3B92">
        <w:t xml:space="preserve">8 </w:t>
      </w:r>
      <w:r w:rsidRPr="00CE091F">
        <w:t>contents</w:t>
      </w:r>
    </w:p>
    <w:p w14:paraId="1A300F58" w14:textId="5E7AAA5B" w:rsidR="001E69AD" w:rsidRDefault="00CB3B92">
      <w:pPr>
        <w:pStyle w:val="TOC2"/>
        <w:rPr>
          <w:rFonts w:asciiTheme="minorHAnsi" w:eastAsiaTheme="minorEastAsia" w:hAnsiTheme="minorHAnsi" w:cstheme="minorBidi"/>
          <w:noProof/>
          <w:kern w:val="2"/>
          <w:sz w:val="24"/>
          <w:szCs w:val="24"/>
          <w14:ligatures w14:val="standardContextual"/>
        </w:rPr>
      </w:pPr>
      <w:r>
        <w:rPr>
          <w:rFonts w:ascii="Arial Bold" w:hAnsi="Arial Bold"/>
          <w:position w:val="-1"/>
          <w:sz w:val="20"/>
        </w:rPr>
        <w:fldChar w:fldCharType="begin"/>
      </w:r>
      <w:r>
        <w:rPr>
          <w:rFonts w:ascii="Arial Bold" w:hAnsi="Arial Bold"/>
          <w:position w:val="-1"/>
          <w:sz w:val="20"/>
        </w:rPr>
        <w:instrText xml:space="preserve"> TOC \o "2-2" \h \z \t "Heading 3,3,Heading 3 no TOC,3" </w:instrText>
      </w:r>
      <w:r>
        <w:rPr>
          <w:rFonts w:ascii="Arial Bold" w:hAnsi="Arial Bold"/>
          <w:position w:val="-1"/>
          <w:sz w:val="20"/>
        </w:rPr>
        <w:fldChar w:fldCharType="separate"/>
      </w:r>
      <w:hyperlink w:anchor="_Toc228976192" w:history="1">
        <w:r w:rsidR="001E69AD" w:rsidRPr="001D7DD5">
          <w:rPr>
            <w:rStyle w:val="Hyperlink"/>
            <w:noProof/>
          </w:rPr>
          <w:t>Assessing past forecasting performance</w:t>
        </w:r>
        <w:r w:rsidR="001E69AD">
          <w:rPr>
            <w:noProof/>
            <w:webHidden/>
          </w:rPr>
          <w:tab/>
        </w:r>
        <w:r w:rsidR="001E69AD">
          <w:rPr>
            <w:noProof/>
            <w:webHidden/>
          </w:rPr>
          <w:fldChar w:fldCharType="begin"/>
        </w:r>
        <w:r w:rsidR="001E69AD">
          <w:rPr>
            <w:noProof/>
            <w:webHidden/>
          </w:rPr>
          <w:instrText xml:space="preserve"> PAGEREF _Toc228976192 \h </w:instrText>
        </w:r>
        <w:r w:rsidR="001E69AD">
          <w:rPr>
            <w:noProof/>
            <w:webHidden/>
          </w:rPr>
        </w:r>
        <w:r w:rsidR="001E69AD">
          <w:rPr>
            <w:noProof/>
            <w:webHidden/>
          </w:rPr>
          <w:fldChar w:fldCharType="separate"/>
        </w:r>
        <w:r w:rsidR="00367E49">
          <w:rPr>
            <w:noProof/>
            <w:webHidden/>
          </w:rPr>
          <w:t>271</w:t>
        </w:r>
        <w:r w:rsidR="001E69AD">
          <w:rPr>
            <w:noProof/>
            <w:webHidden/>
          </w:rPr>
          <w:fldChar w:fldCharType="end"/>
        </w:r>
      </w:hyperlink>
    </w:p>
    <w:p w14:paraId="40C95865" w14:textId="5BFDE4E6" w:rsidR="001E69AD" w:rsidRDefault="001E69AD">
      <w:pPr>
        <w:pStyle w:val="TOC3"/>
        <w:rPr>
          <w:rFonts w:asciiTheme="minorHAnsi" w:eastAsiaTheme="minorEastAsia" w:hAnsiTheme="minorHAnsi" w:cstheme="minorBidi"/>
          <w:noProof/>
          <w:kern w:val="2"/>
          <w:sz w:val="24"/>
          <w:szCs w:val="24"/>
          <w:lang w:val="en-AU"/>
          <w14:ligatures w14:val="standardContextual"/>
        </w:rPr>
      </w:pPr>
      <w:hyperlink w:anchor="_Toc228976193" w:history="1">
        <w:r w:rsidRPr="001D7DD5">
          <w:rPr>
            <w:rStyle w:val="Hyperlink"/>
            <w:noProof/>
          </w:rPr>
          <w:t>Economic forecasting performance</w:t>
        </w:r>
        <w:r>
          <w:rPr>
            <w:noProof/>
            <w:webHidden/>
          </w:rPr>
          <w:tab/>
        </w:r>
        <w:r>
          <w:rPr>
            <w:noProof/>
            <w:webHidden/>
          </w:rPr>
          <w:fldChar w:fldCharType="begin"/>
        </w:r>
        <w:r>
          <w:rPr>
            <w:noProof/>
            <w:webHidden/>
          </w:rPr>
          <w:instrText xml:space="preserve"> PAGEREF _Toc228976193 \h </w:instrText>
        </w:r>
        <w:r>
          <w:rPr>
            <w:noProof/>
            <w:webHidden/>
          </w:rPr>
        </w:r>
        <w:r>
          <w:rPr>
            <w:noProof/>
            <w:webHidden/>
          </w:rPr>
          <w:fldChar w:fldCharType="separate"/>
        </w:r>
        <w:r w:rsidR="00367E49">
          <w:rPr>
            <w:noProof/>
            <w:webHidden/>
          </w:rPr>
          <w:t>272</w:t>
        </w:r>
        <w:r>
          <w:rPr>
            <w:noProof/>
            <w:webHidden/>
          </w:rPr>
          <w:fldChar w:fldCharType="end"/>
        </w:r>
      </w:hyperlink>
    </w:p>
    <w:p w14:paraId="0750E1BA" w14:textId="4A2957EA" w:rsidR="001E69AD" w:rsidRDefault="001E69AD">
      <w:pPr>
        <w:pStyle w:val="TOC3"/>
        <w:rPr>
          <w:rFonts w:asciiTheme="minorHAnsi" w:eastAsiaTheme="minorEastAsia" w:hAnsiTheme="minorHAnsi" w:cstheme="minorBidi"/>
          <w:noProof/>
          <w:kern w:val="2"/>
          <w:sz w:val="24"/>
          <w:szCs w:val="24"/>
          <w:lang w:val="en-AU"/>
          <w14:ligatures w14:val="standardContextual"/>
        </w:rPr>
      </w:pPr>
      <w:hyperlink w:anchor="_Toc228976194" w:history="1">
        <w:r w:rsidRPr="001D7DD5">
          <w:rPr>
            <w:rStyle w:val="Hyperlink"/>
            <w:noProof/>
          </w:rPr>
          <w:t>Fiscal forecasting performance</w:t>
        </w:r>
        <w:r>
          <w:rPr>
            <w:noProof/>
            <w:webHidden/>
          </w:rPr>
          <w:tab/>
        </w:r>
        <w:r>
          <w:rPr>
            <w:noProof/>
            <w:webHidden/>
          </w:rPr>
          <w:fldChar w:fldCharType="begin"/>
        </w:r>
        <w:r>
          <w:rPr>
            <w:noProof/>
            <w:webHidden/>
          </w:rPr>
          <w:instrText xml:space="preserve"> PAGEREF _Toc228976194 \h </w:instrText>
        </w:r>
        <w:r>
          <w:rPr>
            <w:noProof/>
            <w:webHidden/>
          </w:rPr>
        </w:r>
        <w:r>
          <w:rPr>
            <w:noProof/>
            <w:webHidden/>
          </w:rPr>
          <w:fldChar w:fldCharType="separate"/>
        </w:r>
        <w:r w:rsidR="00367E49">
          <w:rPr>
            <w:noProof/>
            <w:webHidden/>
          </w:rPr>
          <w:t>273</w:t>
        </w:r>
        <w:r>
          <w:rPr>
            <w:noProof/>
            <w:webHidden/>
          </w:rPr>
          <w:fldChar w:fldCharType="end"/>
        </w:r>
      </w:hyperlink>
    </w:p>
    <w:p w14:paraId="44F0578A" w14:textId="3FF373A9" w:rsidR="001E69AD" w:rsidRDefault="001E69AD">
      <w:pPr>
        <w:pStyle w:val="TOC2"/>
        <w:rPr>
          <w:rFonts w:asciiTheme="minorHAnsi" w:eastAsiaTheme="minorEastAsia" w:hAnsiTheme="minorHAnsi" w:cstheme="minorBidi"/>
          <w:noProof/>
          <w:kern w:val="2"/>
          <w:sz w:val="24"/>
          <w:szCs w:val="24"/>
          <w14:ligatures w14:val="standardContextual"/>
        </w:rPr>
      </w:pPr>
      <w:hyperlink w:anchor="_Toc228976195" w:history="1">
        <w:r w:rsidRPr="001D7DD5">
          <w:rPr>
            <w:rStyle w:val="Hyperlink"/>
            <w:noProof/>
          </w:rPr>
          <w:t>Assessing forecast uncertainty – confidence interval analysis</w:t>
        </w:r>
        <w:r>
          <w:rPr>
            <w:noProof/>
            <w:webHidden/>
          </w:rPr>
          <w:tab/>
        </w:r>
        <w:r>
          <w:rPr>
            <w:noProof/>
            <w:webHidden/>
          </w:rPr>
          <w:fldChar w:fldCharType="begin"/>
        </w:r>
        <w:r>
          <w:rPr>
            <w:noProof/>
            <w:webHidden/>
          </w:rPr>
          <w:instrText xml:space="preserve"> PAGEREF _Toc228976195 \h </w:instrText>
        </w:r>
        <w:r>
          <w:rPr>
            <w:noProof/>
            <w:webHidden/>
          </w:rPr>
        </w:r>
        <w:r>
          <w:rPr>
            <w:noProof/>
            <w:webHidden/>
          </w:rPr>
          <w:fldChar w:fldCharType="separate"/>
        </w:r>
        <w:r w:rsidR="00367E49">
          <w:rPr>
            <w:noProof/>
            <w:webHidden/>
          </w:rPr>
          <w:t>278</w:t>
        </w:r>
        <w:r>
          <w:rPr>
            <w:noProof/>
            <w:webHidden/>
          </w:rPr>
          <w:fldChar w:fldCharType="end"/>
        </w:r>
      </w:hyperlink>
    </w:p>
    <w:p w14:paraId="535B2119" w14:textId="622CEDC7" w:rsidR="001E69AD" w:rsidRDefault="001E69AD">
      <w:pPr>
        <w:pStyle w:val="TOC3"/>
        <w:rPr>
          <w:rFonts w:asciiTheme="minorHAnsi" w:eastAsiaTheme="minorEastAsia" w:hAnsiTheme="minorHAnsi" w:cstheme="minorBidi"/>
          <w:noProof/>
          <w:kern w:val="2"/>
          <w:sz w:val="24"/>
          <w:szCs w:val="24"/>
          <w:lang w:val="en-AU"/>
          <w14:ligatures w14:val="standardContextual"/>
        </w:rPr>
      </w:pPr>
      <w:hyperlink w:anchor="_Toc228976196" w:history="1">
        <w:r w:rsidRPr="001D7DD5">
          <w:rPr>
            <w:rStyle w:val="Hyperlink"/>
            <w:noProof/>
          </w:rPr>
          <w:t>Economic uncertainty based on historical forecast errors</w:t>
        </w:r>
        <w:r>
          <w:rPr>
            <w:noProof/>
            <w:webHidden/>
          </w:rPr>
          <w:tab/>
        </w:r>
        <w:r>
          <w:rPr>
            <w:noProof/>
            <w:webHidden/>
          </w:rPr>
          <w:fldChar w:fldCharType="begin"/>
        </w:r>
        <w:r>
          <w:rPr>
            <w:noProof/>
            <w:webHidden/>
          </w:rPr>
          <w:instrText xml:space="preserve"> PAGEREF _Toc228976196 \h </w:instrText>
        </w:r>
        <w:r>
          <w:rPr>
            <w:noProof/>
            <w:webHidden/>
          </w:rPr>
        </w:r>
        <w:r>
          <w:rPr>
            <w:noProof/>
            <w:webHidden/>
          </w:rPr>
          <w:fldChar w:fldCharType="separate"/>
        </w:r>
        <w:r w:rsidR="00367E49">
          <w:rPr>
            <w:noProof/>
            <w:webHidden/>
          </w:rPr>
          <w:t>278</w:t>
        </w:r>
        <w:r>
          <w:rPr>
            <w:noProof/>
            <w:webHidden/>
          </w:rPr>
          <w:fldChar w:fldCharType="end"/>
        </w:r>
      </w:hyperlink>
    </w:p>
    <w:p w14:paraId="6A119F5C" w14:textId="63E0696F" w:rsidR="001E69AD" w:rsidRDefault="001E69AD">
      <w:pPr>
        <w:pStyle w:val="TOC3"/>
        <w:rPr>
          <w:rFonts w:asciiTheme="minorHAnsi" w:eastAsiaTheme="minorEastAsia" w:hAnsiTheme="minorHAnsi" w:cstheme="minorBidi"/>
          <w:noProof/>
          <w:kern w:val="2"/>
          <w:sz w:val="24"/>
          <w:szCs w:val="24"/>
          <w:lang w:val="en-AU"/>
          <w14:ligatures w14:val="standardContextual"/>
        </w:rPr>
      </w:pPr>
      <w:hyperlink w:anchor="_Toc228976197" w:history="1">
        <w:r w:rsidRPr="001D7DD5">
          <w:rPr>
            <w:rStyle w:val="Hyperlink"/>
            <w:noProof/>
          </w:rPr>
          <w:t>Fiscal uncertainty based on historical forecast errors</w:t>
        </w:r>
        <w:r>
          <w:rPr>
            <w:noProof/>
            <w:webHidden/>
          </w:rPr>
          <w:tab/>
        </w:r>
        <w:r>
          <w:rPr>
            <w:noProof/>
            <w:webHidden/>
          </w:rPr>
          <w:fldChar w:fldCharType="begin"/>
        </w:r>
        <w:r>
          <w:rPr>
            <w:noProof/>
            <w:webHidden/>
          </w:rPr>
          <w:instrText xml:space="preserve"> PAGEREF _Toc228976197 \h </w:instrText>
        </w:r>
        <w:r>
          <w:rPr>
            <w:noProof/>
            <w:webHidden/>
          </w:rPr>
        </w:r>
        <w:r>
          <w:rPr>
            <w:noProof/>
            <w:webHidden/>
          </w:rPr>
          <w:fldChar w:fldCharType="separate"/>
        </w:r>
        <w:r w:rsidR="00367E49">
          <w:rPr>
            <w:noProof/>
            <w:webHidden/>
          </w:rPr>
          <w:t>280</w:t>
        </w:r>
        <w:r>
          <w:rPr>
            <w:noProof/>
            <w:webHidden/>
          </w:rPr>
          <w:fldChar w:fldCharType="end"/>
        </w:r>
      </w:hyperlink>
    </w:p>
    <w:p w14:paraId="411B801D" w14:textId="471C0095" w:rsidR="001E69AD" w:rsidRDefault="001E69AD">
      <w:pPr>
        <w:pStyle w:val="TOC2"/>
        <w:rPr>
          <w:rFonts w:asciiTheme="minorHAnsi" w:eastAsiaTheme="minorEastAsia" w:hAnsiTheme="minorHAnsi" w:cstheme="minorBidi"/>
          <w:noProof/>
          <w:kern w:val="2"/>
          <w:sz w:val="24"/>
          <w:szCs w:val="24"/>
          <w14:ligatures w14:val="standardContextual"/>
        </w:rPr>
      </w:pPr>
      <w:hyperlink w:anchor="_Toc228976198" w:history="1">
        <w:r w:rsidRPr="001D7DD5">
          <w:rPr>
            <w:rStyle w:val="Hyperlink"/>
            <w:noProof/>
          </w:rPr>
          <w:t>Assessing current forecasts through sensitivity analysis</w:t>
        </w:r>
        <w:r>
          <w:rPr>
            <w:noProof/>
            <w:webHidden/>
          </w:rPr>
          <w:tab/>
        </w:r>
        <w:r>
          <w:rPr>
            <w:noProof/>
            <w:webHidden/>
          </w:rPr>
          <w:fldChar w:fldCharType="begin"/>
        </w:r>
        <w:r>
          <w:rPr>
            <w:noProof/>
            <w:webHidden/>
          </w:rPr>
          <w:instrText xml:space="preserve"> PAGEREF _Toc228976198 \h </w:instrText>
        </w:r>
        <w:r>
          <w:rPr>
            <w:noProof/>
            <w:webHidden/>
          </w:rPr>
        </w:r>
        <w:r>
          <w:rPr>
            <w:noProof/>
            <w:webHidden/>
          </w:rPr>
          <w:fldChar w:fldCharType="separate"/>
        </w:r>
        <w:r w:rsidR="00367E49">
          <w:rPr>
            <w:noProof/>
            <w:webHidden/>
          </w:rPr>
          <w:t>283</w:t>
        </w:r>
        <w:r>
          <w:rPr>
            <w:noProof/>
            <w:webHidden/>
          </w:rPr>
          <w:fldChar w:fldCharType="end"/>
        </w:r>
      </w:hyperlink>
    </w:p>
    <w:p w14:paraId="570E9D65" w14:textId="3041992A" w:rsidR="001E69AD" w:rsidRDefault="001E69AD">
      <w:pPr>
        <w:pStyle w:val="TOC3"/>
        <w:rPr>
          <w:rFonts w:asciiTheme="minorHAnsi" w:eastAsiaTheme="minorEastAsia" w:hAnsiTheme="minorHAnsi" w:cstheme="minorBidi"/>
          <w:noProof/>
          <w:kern w:val="2"/>
          <w:sz w:val="24"/>
          <w:szCs w:val="24"/>
          <w:lang w:val="en-AU"/>
          <w14:ligatures w14:val="standardContextual"/>
        </w:rPr>
      </w:pPr>
      <w:hyperlink w:anchor="_Toc228976199" w:history="1">
        <w:r w:rsidRPr="001D7DD5">
          <w:rPr>
            <w:rStyle w:val="Hyperlink"/>
            <w:noProof/>
          </w:rPr>
          <w:t>Movements in oil prices</w:t>
        </w:r>
        <w:r>
          <w:rPr>
            <w:noProof/>
            <w:webHidden/>
          </w:rPr>
          <w:tab/>
        </w:r>
        <w:r>
          <w:rPr>
            <w:noProof/>
            <w:webHidden/>
          </w:rPr>
          <w:fldChar w:fldCharType="begin"/>
        </w:r>
        <w:r>
          <w:rPr>
            <w:noProof/>
            <w:webHidden/>
          </w:rPr>
          <w:instrText xml:space="preserve"> PAGEREF _Toc228976199 \h </w:instrText>
        </w:r>
        <w:r>
          <w:rPr>
            <w:noProof/>
            <w:webHidden/>
          </w:rPr>
        </w:r>
        <w:r>
          <w:rPr>
            <w:noProof/>
            <w:webHidden/>
          </w:rPr>
          <w:fldChar w:fldCharType="separate"/>
        </w:r>
        <w:r w:rsidR="00367E49">
          <w:rPr>
            <w:noProof/>
            <w:webHidden/>
          </w:rPr>
          <w:t>283</w:t>
        </w:r>
        <w:r>
          <w:rPr>
            <w:noProof/>
            <w:webHidden/>
          </w:rPr>
          <w:fldChar w:fldCharType="end"/>
        </w:r>
      </w:hyperlink>
    </w:p>
    <w:p w14:paraId="66B902C2" w14:textId="3EE83A8D" w:rsidR="001E69AD" w:rsidRDefault="001E69AD">
      <w:pPr>
        <w:pStyle w:val="TOC3"/>
        <w:rPr>
          <w:rFonts w:asciiTheme="minorHAnsi" w:eastAsiaTheme="minorEastAsia" w:hAnsiTheme="minorHAnsi" w:cstheme="minorBidi"/>
          <w:noProof/>
          <w:kern w:val="2"/>
          <w:sz w:val="24"/>
          <w:szCs w:val="24"/>
          <w:lang w:val="en-AU"/>
          <w14:ligatures w14:val="standardContextual"/>
        </w:rPr>
      </w:pPr>
      <w:hyperlink w:anchor="_Toc228976200" w:history="1">
        <w:r w:rsidRPr="001D7DD5">
          <w:rPr>
            <w:rStyle w:val="Hyperlink"/>
            <w:noProof/>
          </w:rPr>
          <w:t>Movements in yields</w:t>
        </w:r>
        <w:r>
          <w:rPr>
            <w:noProof/>
            <w:webHidden/>
          </w:rPr>
          <w:tab/>
        </w:r>
        <w:r>
          <w:rPr>
            <w:noProof/>
            <w:webHidden/>
          </w:rPr>
          <w:fldChar w:fldCharType="begin"/>
        </w:r>
        <w:r>
          <w:rPr>
            <w:noProof/>
            <w:webHidden/>
          </w:rPr>
          <w:instrText xml:space="preserve"> PAGEREF _Toc228976200 \h </w:instrText>
        </w:r>
        <w:r>
          <w:rPr>
            <w:noProof/>
            <w:webHidden/>
          </w:rPr>
        </w:r>
        <w:r>
          <w:rPr>
            <w:noProof/>
            <w:webHidden/>
          </w:rPr>
          <w:fldChar w:fldCharType="separate"/>
        </w:r>
        <w:r w:rsidR="00367E49">
          <w:rPr>
            <w:noProof/>
            <w:webHidden/>
          </w:rPr>
          <w:t>285</w:t>
        </w:r>
        <w:r>
          <w:rPr>
            <w:noProof/>
            <w:webHidden/>
          </w:rPr>
          <w:fldChar w:fldCharType="end"/>
        </w:r>
      </w:hyperlink>
    </w:p>
    <w:p w14:paraId="172188EA" w14:textId="76361F11" w:rsidR="00B83E14" w:rsidRPr="00B83E14" w:rsidRDefault="00CB3B92" w:rsidP="00A5353D">
      <w:pPr>
        <w:sectPr w:rsidR="00B83E14" w:rsidRPr="00B83E14" w:rsidSect="00086CAB">
          <w:headerReference w:type="first" r:id="rId10"/>
          <w:footerReference w:type="first" r:id="rId11"/>
          <w:footnotePr>
            <w:numStart w:val="2"/>
          </w:footnotePr>
          <w:type w:val="oddPage"/>
          <w:pgSz w:w="11906" w:h="16838" w:code="9"/>
          <w:pgMar w:top="2835" w:right="2098" w:bottom="2466" w:left="2098" w:header="1814" w:footer="1814" w:gutter="0"/>
          <w:cols w:space="708"/>
          <w:titlePg/>
          <w:docGrid w:linePitch="360"/>
        </w:sectPr>
      </w:pPr>
      <w:r>
        <w:rPr>
          <w:rFonts w:ascii="Arial Bold" w:hAnsi="Arial Bold"/>
          <w:position w:val="-1"/>
          <w:sz w:val="20"/>
        </w:rPr>
        <w:fldChar w:fldCharType="end"/>
      </w:r>
    </w:p>
    <w:p w14:paraId="7C8E2BA8" w14:textId="4E711BF1" w:rsidR="00B83E14" w:rsidRPr="00FD66CA" w:rsidRDefault="00B83E14" w:rsidP="00B83E14">
      <w:pPr>
        <w:pStyle w:val="Heading1"/>
      </w:pPr>
      <w:r w:rsidRPr="00FD66CA">
        <w:lastRenderedPageBreak/>
        <w:t>Statement 8: Forecasting Performance and</w:t>
      </w:r>
      <w:r w:rsidR="00CB3B92" w:rsidRPr="00FD66CA">
        <w:t> </w:t>
      </w:r>
      <w:r w:rsidRPr="00FD66CA">
        <w:t>Sensitivity Analysis</w:t>
      </w:r>
    </w:p>
    <w:p w14:paraId="752DC423" w14:textId="77777777" w:rsidR="00B83E14" w:rsidRPr="00FD66CA" w:rsidRDefault="00B83E14" w:rsidP="00B83E14">
      <w:pPr>
        <w:pStyle w:val="Heading2"/>
      </w:pPr>
      <w:bookmarkStart w:id="0" w:name="_Toc193529544"/>
      <w:bookmarkStart w:id="1" w:name="_Toc223445957"/>
      <w:bookmarkStart w:id="2" w:name="_Toc228976192"/>
      <w:r w:rsidRPr="00FD66CA">
        <w:t>Assessing past forecasting performance</w:t>
      </w:r>
      <w:bookmarkEnd w:id="0"/>
      <w:bookmarkEnd w:id="1"/>
      <w:bookmarkEnd w:id="2"/>
    </w:p>
    <w:p w14:paraId="77CA7982" w14:textId="0A5F1052" w:rsidR="00B83E14" w:rsidRPr="00FD66CA" w:rsidRDefault="00B83E14" w:rsidP="00B83E14">
      <w:r w:rsidRPr="00FD66CA">
        <w:t>This section assesses the variance between historical forecasts and outcomes (forecast errors) for real and nominal GDP, tax receipts, non</w:t>
      </w:r>
      <w:r w:rsidR="00CB3B92" w:rsidRPr="00FD66CA">
        <w:noBreakHyphen/>
      </w:r>
      <w:r w:rsidRPr="00FD66CA">
        <w:t xml:space="preserve">tax receipts, payments and the underlying cash balance. </w:t>
      </w:r>
    </w:p>
    <w:p w14:paraId="2DA467BD" w14:textId="3F45F198" w:rsidR="00B83E14" w:rsidRPr="00CE091F" w:rsidRDefault="00B83E14" w:rsidP="00B83E14">
      <w:r w:rsidRPr="00FD66CA">
        <w:t>Forecasts are prepared using a range of techniques:</w:t>
      </w:r>
      <w:r w:rsidRPr="00FD66CA">
        <w:rPr>
          <w:i/>
        </w:rPr>
        <w:t xml:space="preserve"> </w:t>
      </w:r>
      <w:r w:rsidRPr="00CE091F">
        <w:t xml:space="preserve"> </w:t>
      </w:r>
    </w:p>
    <w:p w14:paraId="172C8CB6" w14:textId="1A6567A5" w:rsidR="00B83E14" w:rsidRPr="008541FB" w:rsidRDefault="00B83E14" w:rsidP="00B83E14">
      <w:pPr>
        <w:pStyle w:val="Bullet"/>
        <w:numPr>
          <w:ilvl w:val="0"/>
          <w:numId w:val="3"/>
        </w:numPr>
        <w:tabs>
          <w:tab w:val="clear" w:pos="283"/>
          <w:tab w:val="num" w:pos="850"/>
        </w:tabs>
        <w:ind w:left="284" w:hanging="284"/>
      </w:pPr>
      <w:r w:rsidRPr="00FD66CA">
        <w:t>Macroeconomic forecasts are prepared consistent with a national accounting framework using econometric models, analysis and professional judgement.</w:t>
      </w:r>
      <w:r w:rsidR="00896455" w:rsidRPr="00132FF7">
        <w:t xml:space="preserve"> </w:t>
      </w:r>
    </w:p>
    <w:p w14:paraId="231EEDCC" w14:textId="4CFC686A" w:rsidR="00B83E14" w:rsidRPr="008541FB" w:rsidRDefault="00B83E14" w:rsidP="00B83E14">
      <w:pPr>
        <w:pStyle w:val="Bullet"/>
        <w:numPr>
          <w:ilvl w:val="0"/>
          <w:numId w:val="3"/>
        </w:numPr>
        <w:tabs>
          <w:tab w:val="clear" w:pos="283"/>
          <w:tab w:val="num" w:pos="850"/>
        </w:tabs>
        <w:ind w:left="284" w:hanging="284"/>
      </w:pPr>
      <w:r w:rsidRPr="00FD66CA">
        <w:t xml:space="preserve">Tax receipts forecasts are generally prepared using a </w:t>
      </w:r>
      <w:r w:rsidR="00CB3B92" w:rsidRPr="00FD66CA">
        <w:t>‘</w:t>
      </w:r>
      <w:r w:rsidRPr="00FD66CA">
        <w:t>base plus growth</w:t>
      </w:r>
      <w:r w:rsidR="00CB3B92" w:rsidRPr="00FD66CA">
        <w:t>’</w:t>
      </w:r>
      <w:r w:rsidRPr="00FD66CA">
        <w:t xml:space="preserve"> methodology. The last outcome for each head of revenue is the base to which growth rates are applied, using appropriate economic parameters. Forecasts are then updated to include costings of new policy.</w:t>
      </w:r>
    </w:p>
    <w:p w14:paraId="23FB13E7" w14:textId="69C0398D" w:rsidR="00B83E14" w:rsidRPr="00CB3B92" w:rsidRDefault="00B83E14" w:rsidP="00D6663D">
      <w:pPr>
        <w:pStyle w:val="Bullet"/>
        <w:numPr>
          <w:ilvl w:val="0"/>
          <w:numId w:val="3"/>
        </w:numPr>
        <w:tabs>
          <w:tab w:val="clear" w:pos="283"/>
          <w:tab w:val="num" w:pos="850"/>
        </w:tabs>
        <w:spacing w:before="0" w:line="259" w:lineRule="auto"/>
        <w:ind w:left="284" w:hanging="284"/>
      </w:pPr>
      <w:r w:rsidRPr="00FD66CA">
        <w:t xml:space="preserve">Payments forecasts are generally prepared through analysis of payment program data, costings for new policies and historical trends in programs, in consultation with relevant agencies. </w:t>
      </w:r>
      <w:r w:rsidRPr="00CB3B92">
        <w:br w:type="page"/>
      </w:r>
    </w:p>
    <w:p w14:paraId="7237590F" w14:textId="0424F098" w:rsidR="00B83E14" w:rsidRPr="00FD66CA" w:rsidRDefault="00B83E14" w:rsidP="00B83E14">
      <w:pPr>
        <w:pStyle w:val="Heading3"/>
      </w:pPr>
      <w:bookmarkStart w:id="3" w:name="_Toc166243154"/>
      <w:bookmarkStart w:id="4" w:name="_Toc223445958"/>
      <w:bookmarkStart w:id="5" w:name="_Toc228976193"/>
      <w:r w:rsidRPr="00FD66CA">
        <w:lastRenderedPageBreak/>
        <w:t>Economic forecasting performance</w:t>
      </w:r>
      <w:bookmarkEnd w:id="3"/>
      <w:bookmarkEnd w:id="4"/>
      <w:bookmarkEnd w:id="5"/>
    </w:p>
    <w:p w14:paraId="506093FA" w14:textId="551E8E6A" w:rsidR="00B83E14" w:rsidRPr="00FD66CA" w:rsidRDefault="00B83E14" w:rsidP="00B83E14">
      <w:r w:rsidRPr="00FD66CA">
        <w:t>Real GDP forecasts incorporate technical assumptions for exchange rates, interest rates and commodity prices. The forecasts are informed by a macroeconomic model and incorporate long</w:t>
      </w:r>
      <w:r w:rsidR="00CB3B92" w:rsidRPr="00FD66CA">
        <w:noBreakHyphen/>
      </w:r>
      <w:r w:rsidRPr="00FD66CA">
        <w:t>term trend assumptions, and judgements about how domestic and international developments might affect Australia</w:t>
      </w:r>
      <w:r w:rsidR="00CB3B92" w:rsidRPr="00FD66CA">
        <w:t>’</w:t>
      </w:r>
      <w:r w:rsidRPr="00FD66CA">
        <w:t>s economy.</w:t>
      </w:r>
    </w:p>
    <w:p w14:paraId="75FF46F6" w14:textId="5A1656AC" w:rsidR="00C6387E" w:rsidRPr="00FD66CA" w:rsidRDefault="00C6387E" w:rsidP="00B83E14">
      <w:pPr>
        <w:rPr>
          <w:rFonts w:eastAsiaTheme="minorEastAsia"/>
        </w:rPr>
      </w:pPr>
      <w:r w:rsidRPr="00FD66CA">
        <w:t xml:space="preserve">Real GDP </w:t>
      </w:r>
      <w:r w:rsidR="005465F5" w:rsidRPr="00FD66CA">
        <w:t>gr</w:t>
      </w:r>
      <w:r w:rsidR="00484FC7" w:rsidRPr="00FD66CA">
        <w:t>ew</w:t>
      </w:r>
      <w:r w:rsidRPr="00FD66CA">
        <w:t xml:space="preserve"> </w:t>
      </w:r>
      <w:r w:rsidR="00901AA0" w:rsidRPr="00FD66CA">
        <w:t>1.</w:t>
      </w:r>
      <w:r w:rsidR="005465F5" w:rsidRPr="00FD66CA">
        <w:t>3</w:t>
      </w:r>
      <w:r w:rsidR="00CB3B92" w:rsidRPr="00FD66CA">
        <w:t> per cent</w:t>
      </w:r>
      <w:r w:rsidRPr="00FD66CA">
        <w:t xml:space="preserve"> in 2024</w:t>
      </w:r>
      <w:r w:rsidR="003E1779" w:rsidRPr="00FD66CA">
        <w:t>–</w:t>
      </w:r>
      <w:r w:rsidRPr="00FD66CA">
        <w:t>25, which is</w:t>
      </w:r>
      <w:r w:rsidR="000C6C7F" w:rsidRPr="00FD66CA">
        <w:t xml:space="preserve"> </w:t>
      </w:r>
      <w:r w:rsidR="005371A0" w:rsidRPr="00FD66CA">
        <w:t>weaker than the growth forecast</w:t>
      </w:r>
      <w:r w:rsidR="000C6C7F" w:rsidRPr="00FD66CA">
        <w:t xml:space="preserve"> </w:t>
      </w:r>
      <w:r w:rsidRPr="00FD66CA">
        <w:t>at the 2024</w:t>
      </w:r>
      <w:r w:rsidR="003E1779" w:rsidRPr="00FD66CA">
        <w:t>–</w:t>
      </w:r>
      <w:r w:rsidRPr="00FD66CA">
        <w:t>25 Budget (Chart 8.1).</w:t>
      </w:r>
      <w:r w:rsidR="00BE36D2" w:rsidRPr="00FD66CA">
        <w:t xml:space="preserve"> </w:t>
      </w:r>
      <w:r w:rsidR="005A1C21" w:rsidRPr="00FD66CA">
        <w:t xml:space="preserve">A key driver </w:t>
      </w:r>
      <w:r w:rsidR="00BE36D2" w:rsidRPr="00FD66CA">
        <w:t>was</w:t>
      </w:r>
      <w:r w:rsidR="00E87B92" w:rsidRPr="00FD66CA">
        <w:t xml:space="preserve"> </w:t>
      </w:r>
      <w:r w:rsidR="00BE36D2" w:rsidRPr="00FD66CA">
        <w:t xml:space="preserve">weaker than expected growth in </w:t>
      </w:r>
      <w:r w:rsidR="005A1C21" w:rsidRPr="00FD66CA">
        <w:t>household consumption</w:t>
      </w:r>
      <w:r w:rsidR="00FE6F52" w:rsidRPr="00FD66CA">
        <w:t xml:space="preserve">, partially offset by stronger than expected growth in </w:t>
      </w:r>
      <w:r w:rsidR="00366866" w:rsidRPr="00FD66CA">
        <w:t>public final demand</w:t>
      </w:r>
      <w:r w:rsidR="00FE6F52" w:rsidRPr="00FD66CA">
        <w:t>.</w:t>
      </w:r>
    </w:p>
    <w:p w14:paraId="0A8D95B9" w14:textId="523F9768" w:rsidR="00B83E14" w:rsidRPr="00FD66CA" w:rsidRDefault="00B83E14" w:rsidP="00140F39">
      <w:pPr>
        <w:pStyle w:val="ChartHeading"/>
      </w:pPr>
      <w:r w:rsidRPr="00FD66CA">
        <w:t xml:space="preserve">Chart </w:t>
      </w:r>
      <w:r w:rsidR="00B805E3" w:rsidRPr="00FD66CA">
        <w:t>8</w:t>
      </w:r>
      <w:r w:rsidRPr="00FD66CA">
        <w:t>.1: Comparison of forecasts and outcomes for real GDP growth</w:t>
      </w:r>
    </w:p>
    <w:p w14:paraId="74B59CD1" w14:textId="06AB762B" w:rsidR="00B83E14" w:rsidRPr="00FD66CA" w:rsidRDefault="00104185" w:rsidP="00B83E14">
      <w:pPr>
        <w:pStyle w:val="ChartGraphic"/>
      </w:pPr>
      <w:bookmarkStart w:id="6" w:name="_1803983688"/>
      <w:bookmarkEnd w:id="6"/>
      <w:r w:rsidRPr="00FD66CA">
        <w:rPr>
          <w:noProof/>
        </w:rPr>
        <w:drawing>
          <wp:inline distT="0" distB="0" distL="0" distR="0" wp14:anchorId="40039C53" wp14:editId="38041B34">
            <wp:extent cx="4679480" cy="2520000"/>
            <wp:effectExtent l="0" t="0" r="0" b="0"/>
            <wp:docPr id="2115647398" name="Graphic 1" descr="This chart shows Budget year forecasts for real GDP growth and the latest published outcomes for the period 2004-05 to 2024-25. The outcome for real GDP in 2024-25 of 1.3 per cent was lower than the forecast of 2 per c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647398" name="Graphic 1" descr="This chart shows Budget year forecasts for real GDP growth and the latest published outcomes for the period 2004-05 to 2024-25. The outcome for real GDP in 2024-25 of 1.3 per cent was lower than the forecast of 2 per cent."/>
                    <pic:cNvPicPr/>
                  </pic:nvPicPr>
                  <pic:blipFill>
                    <a:blip r:embed="rId12">
                      <a:extLst>
                        <a:ext uri="{96DAC541-7B7A-43D3-8B79-37D633B846F1}">
                          <asvg:svgBlip xmlns:asvg="http://schemas.microsoft.com/office/drawing/2016/SVG/main" r:embed="rId13"/>
                        </a:ext>
                      </a:extLst>
                    </a:blip>
                    <a:stretch>
                      <a:fillRect/>
                    </a:stretch>
                  </pic:blipFill>
                  <pic:spPr>
                    <a:xfrm>
                      <a:off x="0" y="0"/>
                      <a:ext cx="4679480" cy="2520000"/>
                    </a:xfrm>
                    <a:prstGeom prst="rect">
                      <a:avLst/>
                    </a:prstGeom>
                  </pic:spPr>
                </pic:pic>
              </a:graphicData>
            </a:graphic>
          </wp:inline>
        </w:drawing>
      </w:r>
    </w:p>
    <w:p w14:paraId="764DEA1F" w14:textId="5885E959" w:rsidR="00B83E14" w:rsidRPr="00FD66CA" w:rsidRDefault="00B83E14" w:rsidP="00B83E14">
      <w:pPr>
        <w:pStyle w:val="ChartandTableFootnote"/>
        <w:rPr>
          <w:color w:val="auto"/>
          <w:spacing w:val="-1"/>
        </w:rPr>
      </w:pPr>
      <w:r w:rsidRPr="00FD66CA">
        <w:rPr>
          <w:color w:val="auto"/>
          <w:spacing w:val="-1"/>
        </w:rPr>
        <w:t xml:space="preserve">Note: </w:t>
      </w:r>
      <w:r w:rsidRPr="00FD66CA">
        <w:rPr>
          <w:color w:val="auto"/>
          <w:spacing w:val="-1"/>
        </w:rPr>
        <w:tab/>
      </w:r>
      <w:r w:rsidR="00E51C41" w:rsidRPr="00FD66CA">
        <w:rPr>
          <w:color w:val="auto"/>
          <w:spacing w:val="-1"/>
        </w:rPr>
        <w:t>Outcome is as published in the December quarter 2025 National Accounts. Forecast is that published in the Budget for that year. For 202</w:t>
      </w:r>
      <w:r w:rsidR="002B6046" w:rsidRPr="00FD66CA">
        <w:rPr>
          <w:color w:val="auto"/>
          <w:spacing w:val="-1"/>
        </w:rPr>
        <w:t>2</w:t>
      </w:r>
      <w:r w:rsidR="00E51C41" w:rsidRPr="00FD66CA">
        <w:rPr>
          <w:color w:val="auto"/>
          <w:spacing w:val="-1"/>
        </w:rPr>
        <w:t>–2</w:t>
      </w:r>
      <w:r w:rsidR="002B6046" w:rsidRPr="00FD66CA">
        <w:rPr>
          <w:color w:val="auto"/>
          <w:spacing w:val="-1"/>
        </w:rPr>
        <w:t>3</w:t>
      </w:r>
      <w:r w:rsidR="00E51C41" w:rsidRPr="00FD66CA">
        <w:rPr>
          <w:color w:val="auto"/>
          <w:spacing w:val="-1"/>
        </w:rPr>
        <w:t>, the forecast is from the March</w:t>
      </w:r>
      <w:r w:rsidR="00CB3B92" w:rsidRPr="00FD66CA">
        <w:rPr>
          <w:color w:val="auto"/>
          <w:spacing w:val="-1"/>
        </w:rPr>
        <w:t> </w:t>
      </w:r>
      <w:r w:rsidR="00E51C41" w:rsidRPr="00FD66CA">
        <w:rPr>
          <w:color w:val="auto"/>
          <w:spacing w:val="-1"/>
        </w:rPr>
        <w:t>202</w:t>
      </w:r>
      <w:r w:rsidR="002B6046" w:rsidRPr="00FD66CA">
        <w:rPr>
          <w:color w:val="auto"/>
          <w:spacing w:val="-1"/>
        </w:rPr>
        <w:t>2</w:t>
      </w:r>
      <w:r w:rsidR="00CB3B92" w:rsidRPr="00FD66CA">
        <w:rPr>
          <w:color w:val="auto"/>
          <w:spacing w:val="-1"/>
        </w:rPr>
        <w:t>‍</w:t>
      </w:r>
      <w:r w:rsidR="00E51C41" w:rsidRPr="00FD66CA">
        <w:rPr>
          <w:color w:val="auto"/>
          <w:spacing w:val="-1"/>
        </w:rPr>
        <w:t>–</w:t>
      </w:r>
      <w:r w:rsidR="00CB3B92" w:rsidRPr="00FD66CA">
        <w:rPr>
          <w:color w:val="auto"/>
          <w:spacing w:val="-1"/>
        </w:rPr>
        <w:t>‍</w:t>
      </w:r>
      <w:r w:rsidR="00E51C41" w:rsidRPr="00FD66CA">
        <w:rPr>
          <w:color w:val="auto"/>
          <w:spacing w:val="-1"/>
        </w:rPr>
        <w:t>2</w:t>
      </w:r>
      <w:r w:rsidR="002B6046" w:rsidRPr="00FD66CA">
        <w:rPr>
          <w:color w:val="auto"/>
          <w:spacing w:val="-1"/>
        </w:rPr>
        <w:t>3</w:t>
      </w:r>
      <w:r w:rsidR="00CB3B92" w:rsidRPr="00FD66CA">
        <w:rPr>
          <w:color w:val="auto"/>
          <w:spacing w:val="-1"/>
        </w:rPr>
        <w:t> </w:t>
      </w:r>
      <w:r w:rsidR="00E51C41" w:rsidRPr="00FD66CA">
        <w:rPr>
          <w:color w:val="auto"/>
          <w:spacing w:val="-1"/>
        </w:rPr>
        <w:t>Budget.</w:t>
      </w:r>
    </w:p>
    <w:p w14:paraId="261B8C31" w14:textId="3D3D8DFF" w:rsidR="00B83E14" w:rsidRPr="00FD66CA" w:rsidRDefault="00B83E14" w:rsidP="00B83E14">
      <w:pPr>
        <w:pStyle w:val="ChartandTableFootnote"/>
        <w:rPr>
          <w:color w:val="auto"/>
        </w:rPr>
      </w:pPr>
      <w:bookmarkStart w:id="7" w:name="_1776777374"/>
      <w:bookmarkEnd w:id="7"/>
      <w:r w:rsidRPr="00FD66CA">
        <w:rPr>
          <w:color w:val="auto"/>
        </w:rPr>
        <w:t xml:space="preserve">Source: </w:t>
      </w:r>
      <w:r w:rsidRPr="00FD66CA">
        <w:rPr>
          <w:color w:val="auto"/>
        </w:rPr>
        <w:tab/>
      </w:r>
      <w:r w:rsidR="00E51C41" w:rsidRPr="00FD66CA">
        <w:rPr>
          <w:color w:val="auto"/>
        </w:rPr>
        <w:t>ABS Australian National Accounts: National Income, Expenditure and Product and Budget papers.</w:t>
      </w:r>
      <w:r w:rsidRPr="00FD66CA">
        <w:rPr>
          <w:color w:val="auto"/>
        </w:rPr>
        <w:t xml:space="preserve"> </w:t>
      </w:r>
    </w:p>
    <w:p w14:paraId="09DE010E" w14:textId="77777777" w:rsidR="00B83E14" w:rsidRPr="00FD66CA" w:rsidRDefault="00B83E14" w:rsidP="00B83E14">
      <w:pPr>
        <w:pStyle w:val="ChartLine"/>
      </w:pPr>
    </w:p>
    <w:p w14:paraId="24DB33FB" w14:textId="11D808E2" w:rsidR="00B83E14" w:rsidRPr="00FD66CA" w:rsidRDefault="00B83E14" w:rsidP="00B83E14">
      <w:r w:rsidRPr="00FD66CA">
        <w:t>Price movements underpinning nominal GDP forecasts create greater uncertainty compared with real GDP forecasts. Price uncertainty relates to domestic prices and wages, exchange rates, prices of imported goods, and world prices for Australia</w:t>
      </w:r>
      <w:r w:rsidR="00CB3B92" w:rsidRPr="00FD66CA">
        <w:t>’</w:t>
      </w:r>
      <w:r w:rsidRPr="00FD66CA">
        <w:t xml:space="preserve">s exports including commodities. Since the early 2000s, nominal GDP forecast errors have largely reflected volatility in global commodity prices. </w:t>
      </w:r>
      <w:r w:rsidR="005834E3" w:rsidRPr="00FD66CA">
        <w:t xml:space="preserve">These prices have exhibited </w:t>
      </w:r>
      <w:r w:rsidRPr="00FD66CA">
        <w:t>higher</w:t>
      </w:r>
      <w:r w:rsidR="00CB3B92" w:rsidRPr="00FD66CA">
        <w:noBreakHyphen/>
      </w:r>
      <w:r w:rsidRPr="00FD66CA">
        <w:t>than</w:t>
      </w:r>
      <w:r w:rsidR="00CB3B92" w:rsidRPr="00FD66CA">
        <w:noBreakHyphen/>
      </w:r>
      <w:r w:rsidRPr="00FD66CA">
        <w:t xml:space="preserve">usual volatility in </w:t>
      </w:r>
      <w:r w:rsidR="005834E3" w:rsidRPr="00FD66CA">
        <w:t>recent years</w:t>
      </w:r>
      <w:r w:rsidRPr="00FD66CA">
        <w:t xml:space="preserve">, </w:t>
      </w:r>
      <w:r w:rsidR="00F75FD3" w:rsidRPr="00FD66CA">
        <w:t xml:space="preserve">and </w:t>
      </w:r>
      <w:r w:rsidR="001B1DD3" w:rsidRPr="00FD66CA">
        <w:t>have</w:t>
      </w:r>
      <w:r w:rsidRPr="00FD66CA">
        <w:t xml:space="preserve"> generally remained above assumed conservative anchor prices for an extended period</w:t>
      </w:r>
      <w:r w:rsidR="00C92D2E" w:rsidRPr="00FD66CA">
        <w:t>. This is</w:t>
      </w:r>
      <w:r w:rsidRPr="00FD66CA">
        <w:t xml:space="preserve"> partly due to the </w:t>
      </w:r>
      <w:r w:rsidR="00490504" w:rsidRPr="00FD66CA">
        <w:t>conflict</w:t>
      </w:r>
      <w:r w:rsidRPr="00FD66CA">
        <w:t xml:space="preserve"> in the Middle East and Ukraine.</w:t>
      </w:r>
      <w:r w:rsidR="00490504" w:rsidRPr="00FD66CA">
        <w:t xml:space="preserve"> </w:t>
      </w:r>
    </w:p>
    <w:p w14:paraId="0865D903" w14:textId="49441384" w:rsidR="00B83E14" w:rsidRPr="00FD66CA" w:rsidRDefault="000A4A56" w:rsidP="00474800">
      <w:r w:rsidRPr="00FD66CA">
        <w:t xml:space="preserve">Nominal GDP </w:t>
      </w:r>
      <w:r w:rsidR="00CD7995" w:rsidRPr="00FD66CA">
        <w:t>grew by</w:t>
      </w:r>
      <w:r w:rsidR="00EE3834" w:rsidRPr="00FD66CA">
        <w:t xml:space="preserve"> 3.6</w:t>
      </w:r>
      <w:r w:rsidR="00CB3B92" w:rsidRPr="00FD66CA">
        <w:t> per cent</w:t>
      </w:r>
      <w:r w:rsidR="00EE3834" w:rsidRPr="00FD66CA">
        <w:t xml:space="preserve"> </w:t>
      </w:r>
      <w:r w:rsidRPr="00FD66CA">
        <w:t xml:space="preserve">in 2024–25 rather than </w:t>
      </w:r>
      <w:r w:rsidR="00446DDB" w:rsidRPr="00FD66CA">
        <w:t>2¾</w:t>
      </w:r>
      <w:r w:rsidR="00CB3B92" w:rsidRPr="00FD66CA">
        <w:t> per cent</w:t>
      </w:r>
      <w:r w:rsidRPr="00FD66CA">
        <w:t xml:space="preserve"> forecast at the 2024–</w:t>
      </w:r>
      <w:r w:rsidR="00A14C09" w:rsidRPr="00FD66CA">
        <w:rPr>
          <w:rFonts w:ascii="Times New Roman" w:hAnsi="Times New Roman"/>
        </w:rPr>
        <w:t>‍</w:t>
      </w:r>
      <w:r w:rsidRPr="00FD66CA">
        <w:t xml:space="preserve">25 Budget (Chart 8.2). </w:t>
      </w:r>
      <w:r w:rsidR="00BD5C84" w:rsidRPr="00FD66CA">
        <w:t xml:space="preserve">While real GDP growth was lower than </w:t>
      </w:r>
      <w:proofErr w:type="gramStart"/>
      <w:r w:rsidR="00BD5C84" w:rsidRPr="00FD66CA">
        <w:t>expected,</w:t>
      </w:r>
      <w:proofErr w:type="gramEnd"/>
      <w:r w:rsidR="00BD5C84" w:rsidRPr="00FD66CA">
        <w:t xml:space="preserve"> prices across the economy were higher than expected</w:t>
      </w:r>
      <w:r w:rsidRPr="00FD66CA">
        <w:t>.</w:t>
      </w:r>
    </w:p>
    <w:p w14:paraId="5CB4D0B2" w14:textId="2EB1363D" w:rsidR="0066692B" w:rsidRPr="00FD66CA" w:rsidRDefault="00B83E14" w:rsidP="00C6387E">
      <w:pPr>
        <w:pStyle w:val="ChartHeading"/>
      </w:pPr>
      <w:r w:rsidRPr="00FD66CA">
        <w:lastRenderedPageBreak/>
        <w:t xml:space="preserve">Chart </w:t>
      </w:r>
      <w:r w:rsidR="00B805E3" w:rsidRPr="00FD66CA">
        <w:t>8</w:t>
      </w:r>
      <w:r w:rsidRPr="00FD66CA">
        <w:t xml:space="preserve">.2: Comparison of forecasts and outcomes for nominal GDP growth </w:t>
      </w:r>
      <w:bookmarkStart w:id="8" w:name="_1803886684"/>
      <w:bookmarkStart w:id="9" w:name="_1803983690"/>
      <w:bookmarkEnd w:id="8"/>
      <w:bookmarkEnd w:id="9"/>
    </w:p>
    <w:p w14:paraId="784F1D8C" w14:textId="4DC746FA" w:rsidR="00B83E14" w:rsidRPr="00FD66CA" w:rsidRDefault="00104185" w:rsidP="00CB3B92">
      <w:pPr>
        <w:pStyle w:val="ChartGraphic"/>
      </w:pPr>
      <w:r w:rsidRPr="00FD66CA">
        <w:rPr>
          <w:noProof/>
        </w:rPr>
        <w:drawing>
          <wp:inline distT="0" distB="0" distL="0" distR="0" wp14:anchorId="1FF39541" wp14:editId="6E5B3875">
            <wp:extent cx="4680000" cy="2530599"/>
            <wp:effectExtent l="0" t="0" r="0" b="0"/>
            <wp:docPr id="229408432" name="Graphic 2" descr="This chart shows the Budget year forecasts for nominal GDP growth and the Final Budget Outcome from 2004-05 to 2024-25. The outcome for nominal GDP in 2024-25 of 3.6 per cent was higher than the forecast of 2 3/4 per c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408432" name="Graphic 2" descr="This chart shows the Budget year forecasts for nominal GDP growth and the Final Budget Outcome from 2004-05 to 2024-25. The outcome for nominal GDP in 2024-25 of 3.6 per cent was higher than the forecast of 2 3/4 per cent."/>
                    <pic:cNvPicPr/>
                  </pic:nvPicPr>
                  <pic:blipFill>
                    <a:blip r:embed="rId14">
                      <a:extLst>
                        <a:ext uri="{96DAC541-7B7A-43D3-8B79-37D633B846F1}">
                          <asvg:svgBlip xmlns:asvg="http://schemas.microsoft.com/office/drawing/2016/SVG/main" r:embed="rId15"/>
                        </a:ext>
                      </a:extLst>
                    </a:blip>
                    <a:stretch>
                      <a:fillRect/>
                    </a:stretch>
                  </pic:blipFill>
                  <pic:spPr>
                    <a:xfrm>
                      <a:off x="0" y="0"/>
                      <a:ext cx="4680000" cy="2530599"/>
                    </a:xfrm>
                    <a:prstGeom prst="rect">
                      <a:avLst/>
                    </a:prstGeom>
                  </pic:spPr>
                </pic:pic>
              </a:graphicData>
            </a:graphic>
          </wp:inline>
        </w:drawing>
      </w:r>
    </w:p>
    <w:p w14:paraId="0E2D8351" w14:textId="2C719E71" w:rsidR="00B83E14" w:rsidRPr="00FD66CA" w:rsidRDefault="00B83E14" w:rsidP="00CB3B92">
      <w:pPr>
        <w:pStyle w:val="ChartandTableFootnote"/>
        <w:rPr>
          <w:spacing w:val="-1"/>
        </w:rPr>
      </w:pPr>
      <w:r w:rsidRPr="00FD66CA">
        <w:rPr>
          <w:spacing w:val="-1"/>
        </w:rPr>
        <w:t xml:space="preserve">Note: </w:t>
      </w:r>
      <w:r w:rsidRPr="00FD66CA">
        <w:rPr>
          <w:spacing w:val="-1"/>
        </w:rPr>
        <w:tab/>
      </w:r>
      <w:r w:rsidR="009D7909" w:rsidRPr="00FD66CA">
        <w:rPr>
          <w:spacing w:val="-1"/>
        </w:rPr>
        <w:t>Outcome is as published in the December quarter 2025 National Accounts. Forecast is that published in the Budget for that year. For 2022–23, the forecast is from the March</w:t>
      </w:r>
      <w:r w:rsidR="00CB3B92" w:rsidRPr="00FD66CA">
        <w:rPr>
          <w:spacing w:val="-1"/>
        </w:rPr>
        <w:t> </w:t>
      </w:r>
      <w:r w:rsidR="009D7909" w:rsidRPr="00FD66CA">
        <w:rPr>
          <w:spacing w:val="-1"/>
        </w:rPr>
        <w:t>2022</w:t>
      </w:r>
      <w:r w:rsidR="00CB3B92" w:rsidRPr="00FD66CA">
        <w:rPr>
          <w:spacing w:val="-1"/>
        </w:rPr>
        <w:t>‍</w:t>
      </w:r>
      <w:r w:rsidR="009D7909" w:rsidRPr="00FD66CA">
        <w:rPr>
          <w:spacing w:val="-1"/>
        </w:rPr>
        <w:t>–</w:t>
      </w:r>
      <w:r w:rsidR="00CB3B92" w:rsidRPr="00FD66CA">
        <w:rPr>
          <w:spacing w:val="-1"/>
        </w:rPr>
        <w:t>‍</w:t>
      </w:r>
      <w:r w:rsidR="009D7909" w:rsidRPr="00FD66CA">
        <w:rPr>
          <w:spacing w:val="-1"/>
        </w:rPr>
        <w:t>23</w:t>
      </w:r>
      <w:r w:rsidR="00CB3B92" w:rsidRPr="00FD66CA">
        <w:rPr>
          <w:spacing w:val="-1"/>
        </w:rPr>
        <w:t> </w:t>
      </w:r>
      <w:r w:rsidR="009D7909" w:rsidRPr="00FD66CA">
        <w:rPr>
          <w:spacing w:val="-1"/>
        </w:rPr>
        <w:t>Budget.</w:t>
      </w:r>
    </w:p>
    <w:p w14:paraId="03136CDB" w14:textId="422B41B4" w:rsidR="00B83E14" w:rsidRPr="00132FF7" w:rsidRDefault="00B83E14" w:rsidP="00B83E14">
      <w:pPr>
        <w:pStyle w:val="ChartandTableFootnote"/>
        <w:rPr>
          <w:color w:val="auto"/>
        </w:rPr>
      </w:pPr>
      <w:r w:rsidRPr="00FD66CA">
        <w:rPr>
          <w:color w:val="auto"/>
        </w:rPr>
        <w:t xml:space="preserve">Source: </w:t>
      </w:r>
      <w:r w:rsidRPr="00FD66CA">
        <w:rPr>
          <w:color w:val="auto"/>
        </w:rPr>
        <w:tab/>
      </w:r>
      <w:r w:rsidR="009D7909" w:rsidRPr="00FD66CA">
        <w:rPr>
          <w:color w:val="auto"/>
        </w:rPr>
        <w:t>ABS Australian National Accounts: National Income, Expenditure and Product and Budget papers.</w:t>
      </w:r>
    </w:p>
    <w:p w14:paraId="1B43CA67" w14:textId="3D15B09B" w:rsidR="00B83E14" w:rsidRPr="00534D18" w:rsidRDefault="00B83E14" w:rsidP="00B83E14">
      <w:pPr>
        <w:pStyle w:val="ChartLine"/>
        <w:rPr>
          <w:color w:val="FF0000"/>
        </w:rPr>
      </w:pPr>
    </w:p>
    <w:p w14:paraId="12B897C8" w14:textId="2139AFB0" w:rsidR="00B83E14" w:rsidRPr="00FD66CA" w:rsidRDefault="00B83E14" w:rsidP="00CB3B92">
      <w:pPr>
        <w:pStyle w:val="Heading3"/>
      </w:pPr>
      <w:bookmarkStart w:id="10" w:name="_1709800536"/>
      <w:bookmarkStart w:id="11" w:name="_Toc116037824"/>
      <w:bookmarkStart w:id="12" w:name="_Toc116037697"/>
      <w:bookmarkStart w:id="13" w:name="_Toc116040759"/>
      <w:bookmarkStart w:id="14" w:name="_Toc223445959"/>
      <w:bookmarkStart w:id="15" w:name="_Toc228976194"/>
      <w:bookmarkEnd w:id="10"/>
      <w:r w:rsidRPr="00FD66CA">
        <w:t>Fiscal forecasting performance</w:t>
      </w:r>
      <w:bookmarkEnd w:id="11"/>
      <w:bookmarkEnd w:id="12"/>
      <w:bookmarkEnd w:id="13"/>
      <w:bookmarkEnd w:id="14"/>
      <w:bookmarkEnd w:id="15"/>
      <w:r w:rsidRPr="00FD66CA">
        <w:t xml:space="preserve"> </w:t>
      </w:r>
    </w:p>
    <w:p w14:paraId="4EA38D47" w14:textId="0389A513" w:rsidR="00B83E14" w:rsidRPr="00FD66CA" w:rsidRDefault="00B83E14" w:rsidP="00CB3B92">
      <w:r w:rsidRPr="00FD66CA">
        <w:t xml:space="preserve">Fiscal forecast errors are driven by economic and demographic forecast errors, along with unanticipated changes in demand for government programs. Government policies announced after the Budget can also affect fiscal forecast errors. Further information on Budget outcomes can be found in the </w:t>
      </w:r>
      <w:r w:rsidR="00510614" w:rsidRPr="00FD66CA">
        <w:rPr>
          <w:rStyle w:val="Emphasis"/>
        </w:rPr>
        <w:t>2024–25</w:t>
      </w:r>
      <w:r w:rsidRPr="00FD66CA">
        <w:rPr>
          <w:rStyle w:val="Emphasis"/>
        </w:rPr>
        <w:t> Final Budget Outcome.</w:t>
      </w:r>
    </w:p>
    <w:p w14:paraId="736FAA6A" w14:textId="77777777" w:rsidR="00B83E14" w:rsidRPr="00FD66CA" w:rsidRDefault="00B83E14" w:rsidP="00B83E14">
      <w:pPr>
        <w:pStyle w:val="Heading4"/>
      </w:pPr>
      <w:r w:rsidRPr="00FD66CA">
        <w:t>Total receipts</w:t>
      </w:r>
    </w:p>
    <w:p w14:paraId="1DE9AB9B" w14:textId="3C827BE2" w:rsidR="00B83E14" w:rsidRPr="00FD66CA" w:rsidRDefault="00B83E14" w:rsidP="00CB3B92">
      <w:r w:rsidRPr="00FD66CA">
        <w:t>Total receipts are comprised of tax and non</w:t>
      </w:r>
      <w:r w:rsidR="00CB3B92" w:rsidRPr="00FD66CA">
        <w:noBreakHyphen/>
      </w:r>
      <w:r w:rsidRPr="00FD66CA">
        <w:t xml:space="preserve">tax receipts (for example, dividends from investment funds). Tax receipts account for </w:t>
      </w:r>
      <w:r w:rsidR="0060560A" w:rsidRPr="00FD66CA">
        <w:t>around</w:t>
      </w:r>
      <w:r w:rsidRPr="00FD66CA">
        <w:t xml:space="preserve"> 90</w:t>
      </w:r>
      <w:r w:rsidR="00CB3B92" w:rsidRPr="00FD66CA">
        <w:t> per cent</w:t>
      </w:r>
      <w:r w:rsidRPr="00FD66CA">
        <w:t xml:space="preserve"> of total receipts and are therefore </w:t>
      </w:r>
      <w:r w:rsidRPr="00FD66CA" w:rsidDel="00882DFF">
        <w:t>the</w:t>
      </w:r>
      <w:r w:rsidRPr="00FD66CA">
        <w:t xml:space="preserve"> main driver of forecasting performance. </w:t>
      </w:r>
    </w:p>
    <w:p w14:paraId="28691FF8" w14:textId="792BD28F" w:rsidR="00B83E14" w:rsidRPr="008541FB" w:rsidRDefault="00B83E14" w:rsidP="00CB3B92">
      <w:r w:rsidRPr="00FD66CA" w:rsidDel="00B30353">
        <w:t>T</w:t>
      </w:r>
      <w:r w:rsidRPr="00FD66CA">
        <w:t xml:space="preserve">otal receipts grew </w:t>
      </w:r>
      <w:r w:rsidR="00C4112D" w:rsidRPr="00FD66CA">
        <w:t>4.1</w:t>
      </w:r>
      <w:r w:rsidR="00CB3B92" w:rsidRPr="00FD66CA">
        <w:t> per cent</w:t>
      </w:r>
      <w:r w:rsidRPr="00FD66CA">
        <w:t xml:space="preserve"> in 202</w:t>
      </w:r>
      <w:r w:rsidR="00CB0765" w:rsidRPr="00FD66CA">
        <w:t>4</w:t>
      </w:r>
      <w:r w:rsidRPr="00FD66CA">
        <w:t>–2</w:t>
      </w:r>
      <w:r w:rsidR="00CB0765" w:rsidRPr="00FD66CA">
        <w:t>5</w:t>
      </w:r>
      <w:r w:rsidRPr="00FD66CA">
        <w:t xml:space="preserve"> rather than </w:t>
      </w:r>
      <w:r w:rsidR="0037390A" w:rsidRPr="00FD66CA">
        <w:t>0</w:t>
      </w:r>
      <w:r w:rsidR="00CB0765" w:rsidRPr="00FD66CA">
        <w:t>.</w:t>
      </w:r>
      <w:r w:rsidR="0037390A" w:rsidRPr="00FD66CA">
        <w:t>9</w:t>
      </w:r>
      <w:r w:rsidR="00CB3B92" w:rsidRPr="00FD66CA">
        <w:t> per cent</w:t>
      </w:r>
      <w:r w:rsidRPr="00FD66CA">
        <w:t xml:space="preserve"> forecast at the 202</w:t>
      </w:r>
      <w:r w:rsidR="00CB0765" w:rsidRPr="00FD66CA">
        <w:t>4</w:t>
      </w:r>
      <w:r w:rsidRPr="00FD66CA">
        <w:t>–</w:t>
      </w:r>
      <w:r w:rsidR="003704EB" w:rsidRPr="00FD66CA">
        <w:rPr>
          <w:rFonts w:ascii="Times New Roman" w:hAnsi="Times New Roman"/>
        </w:rPr>
        <w:t>‍</w:t>
      </w:r>
      <w:r w:rsidR="004911AB" w:rsidRPr="00FD66CA">
        <w:t>25</w:t>
      </w:r>
      <w:r w:rsidRPr="00FD66CA">
        <w:t> Budget. Total receipts were $</w:t>
      </w:r>
      <w:r w:rsidR="00C6004D" w:rsidRPr="00FD66CA">
        <w:t>18</w:t>
      </w:r>
      <w:r w:rsidR="00CB0765" w:rsidRPr="00FD66CA">
        <w:t>.</w:t>
      </w:r>
      <w:r w:rsidR="00C6004D" w:rsidRPr="00FD66CA">
        <w:t>5</w:t>
      </w:r>
      <w:r w:rsidR="00CB3B92" w:rsidRPr="00FD66CA">
        <w:t> billion</w:t>
      </w:r>
      <w:r w:rsidRPr="00FD66CA">
        <w:t xml:space="preserve"> higher than forecast.</w:t>
      </w:r>
      <w:r w:rsidR="004B6AB2" w:rsidRPr="00FD66CA">
        <w:t xml:space="preserve"> </w:t>
      </w:r>
    </w:p>
    <w:p w14:paraId="63FC2B95" w14:textId="594CFA51" w:rsidR="00B83E14" w:rsidRPr="00FD66CA" w:rsidRDefault="00B83E14" w:rsidP="00CB3B92">
      <w:pPr>
        <w:pStyle w:val="Heading4"/>
      </w:pPr>
      <w:r w:rsidRPr="00FD66CA">
        <w:t>Tax receipts</w:t>
      </w:r>
    </w:p>
    <w:p w14:paraId="5C20DFB3" w14:textId="4080B653" w:rsidR="00B83E14" w:rsidRPr="00FD66CA" w:rsidRDefault="00B83E14" w:rsidP="00CB3B92">
      <w:r w:rsidRPr="00FD66CA">
        <w:t xml:space="preserve">Tax receipts grew </w:t>
      </w:r>
      <w:r w:rsidR="00184796" w:rsidRPr="00FD66CA">
        <w:t>3</w:t>
      </w:r>
      <w:r w:rsidR="006A4F11" w:rsidRPr="00FD66CA">
        <w:t>.</w:t>
      </w:r>
      <w:r w:rsidR="00184796" w:rsidRPr="00FD66CA">
        <w:t>9</w:t>
      </w:r>
      <w:r w:rsidR="00CB3B92" w:rsidRPr="00FD66CA">
        <w:t> per cent</w:t>
      </w:r>
      <w:r w:rsidRPr="00FD66CA">
        <w:t xml:space="preserve"> in </w:t>
      </w:r>
      <w:r w:rsidR="00510614" w:rsidRPr="00FD66CA">
        <w:t>2024–25</w:t>
      </w:r>
      <w:r w:rsidRPr="00FD66CA">
        <w:t xml:space="preserve"> rather than </w:t>
      </w:r>
      <w:r w:rsidR="00184796" w:rsidRPr="00FD66CA">
        <w:t>0</w:t>
      </w:r>
      <w:r w:rsidR="00BB710C" w:rsidRPr="00FD66CA">
        <w:t>.</w:t>
      </w:r>
      <w:r w:rsidR="00184796" w:rsidRPr="00FD66CA">
        <w:t>6</w:t>
      </w:r>
      <w:r w:rsidR="00CB3B92" w:rsidRPr="00FD66CA">
        <w:t> per cent</w:t>
      </w:r>
      <w:r w:rsidRPr="00FD66CA">
        <w:t xml:space="preserve"> forecast at the </w:t>
      </w:r>
      <w:r w:rsidR="00510614" w:rsidRPr="00FD66CA">
        <w:t>2024–</w:t>
      </w:r>
      <w:r w:rsidR="003704EB" w:rsidRPr="00FD66CA">
        <w:rPr>
          <w:rFonts w:ascii="Times New Roman" w:hAnsi="Times New Roman"/>
        </w:rPr>
        <w:t>‍</w:t>
      </w:r>
      <w:r w:rsidR="003704EB" w:rsidRPr="00FD66CA">
        <w:t>25</w:t>
      </w:r>
      <w:r w:rsidRPr="00FD66CA">
        <w:t> Budget (Chart </w:t>
      </w:r>
      <w:r w:rsidR="00B805E3" w:rsidRPr="00FD66CA">
        <w:t>8</w:t>
      </w:r>
      <w:r w:rsidRPr="00FD66CA">
        <w:t>.3). Tax receipts were $</w:t>
      </w:r>
      <w:r w:rsidR="00F13BCF" w:rsidRPr="00FD66CA">
        <w:t>15</w:t>
      </w:r>
      <w:r w:rsidR="00BB710C" w:rsidRPr="00FD66CA">
        <w:t>.</w:t>
      </w:r>
      <w:r w:rsidR="00AA18D3" w:rsidRPr="00FD66CA">
        <w:t>3</w:t>
      </w:r>
      <w:r w:rsidR="00CB3B92" w:rsidRPr="00FD66CA">
        <w:t> billion</w:t>
      </w:r>
      <w:r w:rsidRPr="00FD66CA">
        <w:t xml:space="preserve"> higher than forecast.</w:t>
      </w:r>
      <w:r w:rsidRPr="00FD66CA">
        <w:rPr>
          <w:b/>
        </w:rPr>
        <w:t xml:space="preserve"> </w:t>
      </w:r>
      <w:r w:rsidRPr="00FD66CA">
        <w:t>This outcome reflected</w:t>
      </w:r>
      <w:r w:rsidRPr="00FD66CA" w:rsidDel="0064002E">
        <w:t xml:space="preserve"> </w:t>
      </w:r>
      <w:r w:rsidRPr="00FD66CA">
        <w:t>higher</w:t>
      </w:r>
      <w:r w:rsidR="00CB3B92" w:rsidRPr="00FD66CA">
        <w:noBreakHyphen/>
      </w:r>
      <w:r w:rsidRPr="00FD66CA">
        <w:t>than</w:t>
      </w:r>
      <w:r w:rsidR="00CB3B92" w:rsidRPr="00FD66CA">
        <w:noBreakHyphen/>
      </w:r>
      <w:r w:rsidRPr="00FD66CA">
        <w:t xml:space="preserve">expected </w:t>
      </w:r>
      <w:r w:rsidR="00DA73AC" w:rsidRPr="00FD66CA">
        <w:t>personal income</w:t>
      </w:r>
      <w:r w:rsidR="007A7060" w:rsidRPr="00FD66CA">
        <w:t xml:space="preserve"> tax, s</w:t>
      </w:r>
      <w:r w:rsidR="00DA73AC" w:rsidRPr="00FD66CA">
        <w:t>uperannuation fund taxes</w:t>
      </w:r>
      <w:r w:rsidR="007A7060" w:rsidRPr="00FD66CA">
        <w:t xml:space="preserve"> and GST</w:t>
      </w:r>
      <w:r w:rsidR="00BF7C7A" w:rsidRPr="00FD66CA">
        <w:t xml:space="preserve">, </w:t>
      </w:r>
      <w:r w:rsidR="00BF043D" w:rsidRPr="00FD66CA">
        <w:t>due to</w:t>
      </w:r>
      <w:r w:rsidR="00BF7C7A" w:rsidRPr="00FD66CA">
        <w:t xml:space="preserve"> </w:t>
      </w:r>
      <w:r w:rsidR="00AE12D0" w:rsidRPr="00FD66CA">
        <w:t>higher</w:t>
      </w:r>
      <w:r w:rsidR="00CB3B92" w:rsidRPr="00FD66CA">
        <w:noBreakHyphen/>
      </w:r>
      <w:r w:rsidR="00AE12D0" w:rsidRPr="00FD66CA">
        <w:t>than</w:t>
      </w:r>
      <w:r w:rsidR="00CB3B92" w:rsidRPr="00FD66CA">
        <w:noBreakHyphen/>
      </w:r>
      <w:r w:rsidR="00AE12D0" w:rsidRPr="00FD66CA">
        <w:t xml:space="preserve">expected nominal </w:t>
      </w:r>
      <w:r w:rsidR="00BF7C7A" w:rsidRPr="00FD66CA">
        <w:t>wages and consumption.</w:t>
      </w:r>
      <w:r w:rsidR="0007158D" w:rsidRPr="00FD66CA">
        <w:t xml:space="preserve"> </w:t>
      </w:r>
      <w:r w:rsidR="002764B7" w:rsidRPr="00FD66CA">
        <w:t>The forecast</w:t>
      </w:r>
      <w:r w:rsidR="002B0E46" w:rsidRPr="00FD66CA">
        <w:t xml:space="preserve"> error</w:t>
      </w:r>
      <w:r w:rsidR="002A7620" w:rsidRPr="00FD66CA">
        <w:t xml:space="preserve"> for</w:t>
      </w:r>
      <w:r w:rsidR="008F3A99" w:rsidRPr="00FD66CA">
        <w:t xml:space="preserve"> superannuation fund taxes</w:t>
      </w:r>
      <w:r w:rsidR="00DB0418" w:rsidRPr="00FD66CA">
        <w:t xml:space="preserve">, which </w:t>
      </w:r>
      <w:r w:rsidR="002764B7" w:rsidRPr="00FD66CA">
        <w:t>is</w:t>
      </w:r>
      <w:r w:rsidR="00DB0418" w:rsidRPr="00FD66CA">
        <w:t xml:space="preserve"> typically more volatile,</w:t>
      </w:r>
      <w:r w:rsidR="008F3A99" w:rsidRPr="00FD66CA">
        <w:t xml:space="preserve"> also reflected higher</w:t>
      </w:r>
      <w:r w:rsidR="00CB3B92" w:rsidRPr="00FD66CA">
        <w:noBreakHyphen/>
      </w:r>
      <w:r w:rsidR="008F3A99" w:rsidRPr="00FD66CA">
        <w:t>th</w:t>
      </w:r>
      <w:r w:rsidR="00056D2F" w:rsidRPr="00FD66CA">
        <w:t>a</w:t>
      </w:r>
      <w:r w:rsidR="008F3A99" w:rsidRPr="00FD66CA">
        <w:t>n</w:t>
      </w:r>
      <w:r w:rsidR="00CB3B92" w:rsidRPr="00FD66CA">
        <w:noBreakHyphen/>
      </w:r>
      <w:r w:rsidR="008F3A99" w:rsidRPr="00FD66CA">
        <w:t>expected</w:t>
      </w:r>
      <w:r w:rsidR="0007158D" w:rsidRPr="00FD66CA">
        <w:t xml:space="preserve"> </w:t>
      </w:r>
      <w:r w:rsidR="00D01567" w:rsidRPr="00FD66CA">
        <w:t>capital gains</w:t>
      </w:r>
      <w:r w:rsidR="008E53C2" w:rsidRPr="00FD66CA">
        <w:t>.</w:t>
      </w:r>
      <w:r w:rsidR="0007158D" w:rsidRPr="00FD66CA">
        <w:t xml:space="preserve"> </w:t>
      </w:r>
      <w:r w:rsidR="006F25F6" w:rsidRPr="00FD66CA">
        <w:t>The</w:t>
      </w:r>
      <w:r w:rsidR="00D9732E" w:rsidRPr="00FD66CA">
        <w:t>s</w:t>
      </w:r>
      <w:r w:rsidR="006F25F6" w:rsidRPr="00FD66CA">
        <w:t>e stronger outcomes</w:t>
      </w:r>
      <w:r w:rsidR="0007158D" w:rsidRPr="00FD66CA">
        <w:t xml:space="preserve"> w</w:t>
      </w:r>
      <w:r w:rsidR="00440CD9" w:rsidRPr="00FD66CA">
        <w:t>ere</w:t>
      </w:r>
      <w:r w:rsidRPr="00FD66CA">
        <w:t xml:space="preserve"> partially offset by weaker</w:t>
      </w:r>
      <w:r w:rsidR="00CB3B92" w:rsidRPr="00FD66CA">
        <w:noBreakHyphen/>
      </w:r>
      <w:r w:rsidRPr="00FD66CA">
        <w:t>than</w:t>
      </w:r>
      <w:r w:rsidR="00CB3B92" w:rsidRPr="00FD66CA">
        <w:noBreakHyphen/>
      </w:r>
      <w:r w:rsidRPr="00FD66CA">
        <w:t xml:space="preserve">expected excise and customs duty </w:t>
      </w:r>
      <w:r w:rsidR="004A67E0" w:rsidRPr="00FD66CA">
        <w:t>receipts</w:t>
      </w:r>
      <w:r w:rsidR="00265E6D" w:rsidRPr="00FD66CA">
        <w:t xml:space="preserve">, </w:t>
      </w:r>
      <w:r w:rsidR="00420073" w:rsidRPr="00FD66CA">
        <w:t>primarily reflecting weakness in tobacco excise collections.</w:t>
      </w:r>
    </w:p>
    <w:p w14:paraId="7432B76E" w14:textId="60A9D9D2" w:rsidR="00B83E14" w:rsidRPr="00FD66CA" w:rsidRDefault="00B83E14" w:rsidP="00427FD2">
      <w:pPr>
        <w:pStyle w:val="ChartHeading"/>
      </w:pPr>
      <w:r w:rsidRPr="00FD66CA">
        <w:lastRenderedPageBreak/>
        <w:t xml:space="preserve">Chart </w:t>
      </w:r>
      <w:r w:rsidR="00B805E3" w:rsidRPr="00FD66CA">
        <w:t>8</w:t>
      </w:r>
      <w:r w:rsidRPr="00FD66CA">
        <w:t>.3: Comparison of forecasts and outcomes for tax receipts growth</w:t>
      </w:r>
    </w:p>
    <w:p w14:paraId="58B3FC42" w14:textId="2B0C4B1F" w:rsidR="00B83E14" w:rsidRPr="00FD66CA" w:rsidRDefault="00261E68" w:rsidP="00B83E14">
      <w:pPr>
        <w:pStyle w:val="ChartGraphic"/>
      </w:pPr>
      <w:bookmarkStart w:id="16" w:name="_1802180839"/>
      <w:bookmarkStart w:id="17" w:name="_1803203700"/>
      <w:bookmarkStart w:id="18" w:name="_1803717659"/>
      <w:bookmarkStart w:id="19" w:name="_1803798177"/>
      <w:bookmarkStart w:id="20" w:name="_1803983692"/>
      <w:bookmarkEnd w:id="16"/>
      <w:bookmarkEnd w:id="17"/>
      <w:bookmarkEnd w:id="18"/>
      <w:bookmarkEnd w:id="19"/>
      <w:bookmarkEnd w:id="20"/>
      <w:r w:rsidRPr="00FD66CA">
        <w:rPr>
          <w:noProof/>
        </w:rPr>
        <w:drawing>
          <wp:inline distT="0" distB="0" distL="0" distR="0" wp14:anchorId="7CF20DB6" wp14:editId="7ACCC635">
            <wp:extent cx="4680000" cy="2527564"/>
            <wp:effectExtent l="0" t="0" r="0" b="6350"/>
            <wp:docPr id="1984168743" name="Graphic 1" descr="This chart shows the Budget year forecasts for tax receipts growth and the Final Budget Outcome (FBO) from 2004-05 to 2024-25. Throughout this period, forecasts have both under and overestimated actual growth in tax receipts. For 2024-25, the 2024-25 Budget forecast tax receipts to increase by 0.6 per cent compared to 2023-24. From the 2024-25 FBO, tax receipts grew by 3.9 per cent in 2024-25. The difference between these two figures represent the forecast error for 2024-2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168743" name="Graphic 1" descr="This chart shows the Budget year forecasts for tax receipts growth and the Final Budget Outcome (FBO) from 2004-05 to 2024-25. Throughout this period, forecasts have both under and overestimated actual growth in tax receipts. For 2024-25, the 2024-25 Budget forecast tax receipts to increase by 0.6 per cent compared to 2023-24. From the 2024-25 FBO, tax receipts grew by 3.9 per cent in 2024-25. The difference between these two figures represent the forecast error for 2024-25. "/>
                    <pic:cNvPicPr/>
                  </pic:nvPicPr>
                  <pic:blipFill>
                    <a:blip r:embed="rId16">
                      <a:extLst>
                        <a:ext uri="{96DAC541-7B7A-43D3-8B79-37D633B846F1}">
                          <asvg:svgBlip xmlns:asvg="http://schemas.microsoft.com/office/drawing/2016/SVG/main" r:embed="rId17"/>
                        </a:ext>
                      </a:extLst>
                    </a:blip>
                    <a:stretch>
                      <a:fillRect/>
                    </a:stretch>
                  </pic:blipFill>
                  <pic:spPr>
                    <a:xfrm>
                      <a:off x="0" y="0"/>
                      <a:ext cx="4680000" cy="2527564"/>
                    </a:xfrm>
                    <a:prstGeom prst="rect">
                      <a:avLst/>
                    </a:prstGeom>
                  </pic:spPr>
                </pic:pic>
              </a:graphicData>
            </a:graphic>
          </wp:inline>
        </w:drawing>
      </w:r>
    </w:p>
    <w:p w14:paraId="0BE14F37" w14:textId="6690A004" w:rsidR="00B83E14" w:rsidRPr="00FD66CA" w:rsidRDefault="00B83E14" w:rsidP="00B83E14">
      <w:pPr>
        <w:pStyle w:val="ChartandTableFootnote"/>
        <w:rPr>
          <w:color w:val="auto"/>
        </w:rPr>
      </w:pPr>
      <w:r w:rsidRPr="00FD66CA">
        <w:rPr>
          <w:color w:val="auto"/>
        </w:rPr>
        <w:t xml:space="preserve">Source: </w:t>
      </w:r>
      <w:r w:rsidRPr="00FD66CA">
        <w:rPr>
          <w:color w:val="auto"/>
        </w:rPr>
        <w:tab/>
      </w:r>
      <w:r w:rsidR="00ED1485" w:rsidRPr="00FD66CA">
        <w:rPr>
          <w:color w:val="auto"/>
        </w:rPr>
        <w:t>Budget papers and Treasury.</w:t>
      </w:r>
    </w:p>
    <w:p w14:paraId="5DA89F49" w14:textId="77777777" w:rsidR="00B83E14" w:rsidRPr="00FD66CA" w:rsidRDefault="00B83E14" w:rsidP="00B83E14">
      <w:pPr>
        <w:pStyle w:val="ChartLine"/>
      </w:pPr>
    </w:p>
    <w:p w14:paraId="2F086235" w14:textId="77777777" w:rsidR="007A36DE" w:rsidRDefault="00C46E34" w:rsidP="007A36DE">
      <w:r w:rsidRPr="00FD66CA">
        <w:t xml:space="preserve">As shown in Chart 8.4, </w:t>
      </w:r>
      <w:r w:rsidR="002F005F" w:rsidRPr="00FD66CA">
        <w:t xml:space="preserve">tax receipts forecast errors are correlated with </w:t>
      </w:r>
      <w:r w:rsidR="007C468F" w:rsidRPr="00FD66CA">
        <w:t xml:space="preserve">nominal GDP </w:t>
      </w:r>
      <w:r w:rsidR="00D60077" w:rsidRPr="00FD66CA">
        <w:t>forecast errors.</w:t>
      </w:r>
      <w:r w:rsidR="00330CEC" w:rsidRPr="00FD66CA">
        <w:t xml:space="preserve"> </w:t>
      </w:r>
      <w:r w:rsidR="009431D8" w:rsidRPr="00FD66CA">
        <w:t xml:space="preserve">Tax receipts forecast errors </w:t>
      </w:r>
      <w:r w:rsidR="005D490A" w:rsidRPr="00FD66CA">
        <w:t>typically</w:t>
      </w:r>
      <w:r w:rsidR="009431D8" w:rsidRPr="00FD66CA">
        <w:t xml:space="preserve"> exceed nominal GDP forecast errors</w:t>
      </w:r>
      <w:r w:rsidR="007C468F" w:rsidRPr="00FD66CA">
        <w:t xml:space="preserve"> as </w:t>
      </w:r>
      <w:r w:rsidR="00B1640F" w:rsidRPr="00FD66CA">
        <w:t xml:space="preserve">marginal </w:t>
      </w:r>
      <w:r w:rsidR="006C5751" w:rsidRPr="00FD66CA">
        <w:t xml:space="preserve">tax rates </w:t>
      </w:r>
      <w:r w:rsidR="009515B7" w:rsidRPr="00FD66CA">
        <w:t>are</w:t>
      </w:r>
      <w:r w:rsidR="0077593B" w:rsidRPr="00FD66CA">
        <w:t xml:space="preserve"> </w:t>
      </w:r>
      <w:r w:rsidR="006C5751" w:rsidRPr="00FD66CA">
        <w:t>greater than average tax rates</w:t>
      </w:r>
      <w:r w:rsidR="00C428D8" w:rsidRPr="00FD66CA">
        <w:t>.</w:t>
      </w:r>
    </w:p>
    <w:p w14:paraId="23F88349" w14:textId="17B5A85B" w:rsidR="00B83E14" w:rsidRPr="00FD66CA" w:rsidRDefault="00B83E14" w:rsidP="007A36DE">
      <w:pPr>
        <w:pStyle w:val="ChartHeading"/>
      </w:pPr>
      <w:r w:rsidRPr="00FD66CA">
        <w:t xml:space="preserve">Chart </w:t>
      </w:r>
      <w:r w:rsidR="00B805E3" w:rsidRPr="00FD66CA">
        <w:t>8</w:t>
      </w:r>
      <w:r w:rsidRPr="00FD66CA">
        <w:t>.4: Forecast errors for nominal non</w:t>
      </w:r>
      <w:r w:rsidR="00CB3B92" w:rsidRPr="00FD66CA">
        <w:noBreakHyphen/>
      </w:r>
      <w:r w:rsidRPr="00FD66CA">
        <w:t>farm GDP and tax receipts growth</w:t>
      </w:r>
      <w:r w:rsidRPr="00FD66CA">
        <w:rPr>
          <w:vertAlign w:val="superscript"/>
        </w:rPr>
        <w:t>(a)</w:t>
      </w:r>
    </w:p>
    <w:p w14:paraId="0FD13BE6" w14:textId="42C055A5" w:rsidR="00B83E14" w:rsidRPr="00FD66CA" w:rsidRDefault="00D034EA" w:rsidP="00B83E14">
      <w:pPr>
        <w:pStyle w:val="ChartGraphic"/>
      </w:pPr>
      <w:bookmarkStart w:id="21" w:name="_1803983694"/>
      <w:bookmarkEnd w:id="21"/>
      <w:r w:rsidRPr="00FD66CA">
        <w:rPr>
          <w:noProof/>
        </w:rPr>
        <w:drawing>
          <wp:inline distT="0" distB="0" distL="0" distR="0" wp14:anchorId="67A26B56" wp14:editId="11BF946B">
            <wp:extent cx="4665994" cy="2520000"/>
            <wp:effectExtent l="0" t="0" r="1270" b="0"/>
            <wp:docPr id="382919524" name="Graphic 1" descr="This chart plots the Budget forecast errors on nominal non-farm GDP growth and on tax receipts growth (excluding capital gains tax) from 2005-06 to 2024-25. There is a strong positive correlation between the two errors, indicating tax receipts forecasts are heavily dependent on forecasts of the nominal economy. In 2024-25, the forecast error on tax receipts growth was around 2.4 percentage points, while the forecast error on nominal non-farm GDP growth was around 0.8 percentage poin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919524" name="Graphic 1" descr="This chart plots the Budget forecast errors on nominal non-farm GDP growth and on tax receipts growth (excluding capital gains tax) from 2005-06 to 2024-25. There is a strong positive correlation between the two errors, indicating tax receipts forecasts are heavily dependent on forecasts of the nominal economy. In 2024-25, the forecast error on tax receipts growth was around 2.4 percentage points, while the forecast error on nominal non-farm GDP growth was around 0.8 percentage points. "/>
                    <pic:cNvPicPr/>
                  </pic:nvPicPr>
                  <pic:blipFill>
                    <a:blip r:embed="rId18">
                      <a:extLst>
                        <a:ext uri="{96DAC541-7B7A-43D3-8B79-37D633B846F1}">
                          <asvg:svgBlip xmlns:asvg="http://schemas.microsoft.com/office/drawing/2016/SVG/main" r:embed="rId19"/>
                        </a:ext>
                      </a:extLst>
                    </a:blip>
                    <a:stretch>
                      <a:fillRect/>
                    </a:stretch>
                  </pic:blipFill>
                  <pic:spPr>
                    <a:xfrm>
                      <a:off x="0" y="0"/>
                      <a:ext cx="4665994" cy="2520000"/>
                    </a:xfrm>
                    <a:prstGeom prst="rect">
                      <a:avLst/>
                    </a:prstGeom>
                  </pic:spPr>
                </pic:pic>
              </a:graphicData>
            </a:graphic>
          </wp:inline>
        </w:drawing>
      </w:r>
    </w:p>
    <w:p w14:paraId="68F398C1" w14:textId="77777777" w:rsidR="00B83E14" w:rsidRPr="00FD66CA" w:rsidRDefault="00B83E14" w:rsidP="00B83E14">
      <w:pPr>
        <w:pStyle w:val="ChartandTableFootnoteAlpha"/>
        <w:rPr>
          <w:color w:val="auto"/>
        </w:rPr>
      </w:pPr>
      <w:r w:rsidRPr="00FD66CA">
        <w:rPr>
          <w:color w:val="auto"/>
        </w:rPr>
        <w:t xml:space="preserve">Excludes capital gains tax. </w:t>
      </w:r>
    </w:p>
    <w:p w14:paraId="25E9FC5B" w14:textId="50467F30" w:rsidR="00B83E14" w:rsidRPr="00132FF7" w:rsidRDefault="00B83E14" w:rsidP="00B83E14">
      <w:pPr>
        <w:pStyle w:val="ChartandTableFootnote"/>
        <w:rPr>
          <w:color w:val="auto"/>
        </w:rPr>
      </w:pPr>
      <w:r w:rsidRPr="00FD66CA">
        <w:rPr>
          <w:color w:val="auto"/>
        </w:rPr>
        <w:t xml:space="preserve">Source: </w:t>
      </w:r>
      <w:r w:rsidRPr="00FD66CA">
        <w:rPr>
          <w:color w:val="auto"/>
        </w:rPr>
        <w:tab/>
      </w:r>
      <w:r w:rsidR="00A03C35" w:rsidRPr="00FD66CA">
        <w:rPr>
          <w:color w:val="auto"/>
        </w:rPr>
        <w:t>ABS Australian National Accounts: National Income, Expenditure and Product; and Treasury.</w:t>
      </w:r>
      <w:r w:rsidRPr="00132FF7">
        <w:rPr>
          <w:color w:val="auto"/>
        </w:rPr>
        <w:t xml:space="preserve"> </w:t>
      </w:r>
      <w:bookmarkStart w:id="22" w:name="_1709800579"/>
      <w:bookmarkStart w:id="23" w:name="_1709800642"/>
      <w:bookmarkEnd w:id="22"/>
      <w:bookmarkEnd w:id="23"/>
    </w:p>
    <w:p w14:paraId="571B5D03" w14:textId="0CB36597" w:rsidR="00B83E14" w:rsidRPr="006E10BB" w:rsidRDefault="00B83E14" w:rsidP="00B83E14">
      <w:pPr>
        <w:pStyle w:val="ChartLine"/>
        <w:rPr>
          <w:color w:val="auto"/>
        </w:rPr>
      </w:pPr>
    </w:p>
    <w:p w14:paraId="4FCC2A4F" w14:textId="12ACDD53" w:rsidR="00B83E14" w:rsidRPr="00FD66CA" w:rsidRDefault="00B83E14" w:rsidP="00B83E14">
      <w:pPr>
        <w:pStyle w:val="Heading4"/>
      </w:pPr>
      <w:r w:rsidRPr="00FD66CA">
        <w:lastRenderedPageBreak/>
        <w:t>Non</w:t>
      </w:r>
      <w:r w:rsidR="00CB3B92" w:rsidRPr="00FD66CA">
        <w:noBreakHyphen/>
      </w:r>
      <w:r w:rsidRPr="00FD66CA">
        <w:t>tax receipts</w:t>
      </w:r>
    </w:p>
    <w:p w14:paraId="7D15E99C" w14:textId="18627B8F" w:rsidR="00263D9B" w:rsidRPr="00FD66CA" w:rsidRDefault="00263D9B" w:rsidP="00263D9B">
      <w:r w:rsidRPr="00FD66CA">
        <w:t>Forecast variances in non</w:t>
      </w:r>
      <w:r w:rsidR="006E10BB" w:rsidRPr="00FD66CA">
        <w:noBreakHyphen/>
      </w:r>
      <w:r w:rsidRPr="00FD66CA">
        <w:t>tax receipts are generally driven by financial market volatility, which impacts investment earnings and resource royalties.</w:t>
      </w:r>
    </w:p>
    <w:p w14:paraId="56A4FD00" w14:textId="0AA006CB" w:rsidR="00B83E14" w:rsidRPr="00FD66CA" w:rsidRDefault="0038037B" w:rsidP="00AD7AE0">
      <w:r w:rsidRPr="00FD66CA">
        <w:t>Non</w:t>
      </w:r>
      <w:r w:rsidR="00CB3B92" w:rsidRPr="00FD66CA">
        <w:noBreakHyphen/>
      </w:r>
      <w:r w:rsidRPr="00FD66CA">
        <w:t>tax receipts grew 7.1</w:t>
      </w:r>
      <w:r w:rsidR="00CB3B92" w:rsidRPr="00FD66CA">
        <w:t> per cent</w:t>
      </w:r>
      <w:r w:rsidRPr="00FD66CA">
        <w:t xml:space="preserve"> in 2024–25 rather than 4.4</w:t>
      </w:r>
      <w:r w:rsidR="00CB3B92" w:rsidRPr="00FD66CA">
        <w:t> per cent</w:t>
      </w:r>
      <w:r w:rsidRPr="00FD66CA">
        <w:t xml:space="preserve"> forecast</w:t>
      </w:r>
      <w:r w:rsidR="00CB3B92" w:rsidRPr="00FD66CA">
        <w:t> </w:t>
      </w:r>
      <w:r w:rsidRPr="00FD66CA">
        <w:t>at the 2024–</w:t>
      </w:r>
      <w:r w:rsidR="003331DB" w:rsidRPr="00FD66CA">
        <w:rPr>
          <w:rFonts w:ascii="Times New Roman" w:hAnsi="Times New Roman"/>
        </w:rPr>
        <w:t>‍</w:t>
      </w:r>
      <w:r w:rsidRPr="00FD66CA">
        <w:t>25</w:t>
      </w:r>
      <w:r w:rsidR="00A14C09" w:rsidRPr="00FD66CA">
        <w:t> </w:t>
      </w:r>
      <w:r w:rsidRPr="00FD66CA">
        <w:t>Budget (Chart 8.5). Non</w:t>
      </w:r>
      <w:r w:rsidR="00CB3B92" w:rsidRPr="00FD66CA">
        <w:noBreakHyphen/>
      </w:r>
      <w:r w:rsidRPr="00FD66CA">
        <w:t>tax receipts were $3.2</w:t>
      </w:r>
      <w:r w:rsidR="00CB3B92" w:rsidRPr="00FD66CA">
        <w:t> billion</w:t>
      </w:r>
      <w:r w:rsidRPr="00FD66CA">
        <w:t xml:space="preserve"> higher than</w:t>
      </w:r>
      <w:r w:rsidR="00CB3B92" w:rsidRPr="00FD66CA">
        <w:t> </w:t>
      </w:r>
      <w:r w:rsidRPr="00FD66CA">
        <w:t>forecast. This reflected higher</w:t>
      </w:r>
      <w:r w:rsidR="00CB3B92" w:rsidRPr="00FD66CA">
        <w:noBreakHyphen/>
      </w:r>
      <w:r w:rsidRPr="00FD66CA">
        <w:t>than</w:t>
      </w:r>
      <w:r w:rsidR="00CB3B92" w:rsidRPr="00FD66CA">
        <w:noBreakHyphen/>
      </w:r>
      <w:r w:rsidRPr="00FD66CA">
        <w:t>expected interest earnings related to Commonwealth Debt Management and higher earnings from the Future Fund and other Australian</w:t>
      </w:r>
      <w:r w:rsidR="00CB3B92" w:rsidRPr="00FD66CA">
        <w:t> </w:t>
      </w:r>
      <w:r w:rsidRPr="00FD66CA">
        <w:t>Government Investment Funds.</w:t>
      </w:r>
    </w:p>
    <w:p w14:paraId="128AD067" w14:textId="2D2F11A4" w:rsidR="00B83E14" w:rsidRPr="00FD66CA" w:rsidRDefault="00B83E14" w:rsidP="00B83E14">
      <w:pPr>
        <w:pStyle w:val="ChartHeading"/>
      </w:pPr>
      <w:r w:rsidRPr="00FD66CA">
        <w:t xml:space="preserve">Chart </w:t>
      </w:r>
      <w:r w:rsidR="00B805E3" w:rsidRPr="00FD66CA">
        <w:t>8</w:t>
      </w:r>
      <w:r w:rsidRPr="00FD66CA">
        <w:t>.5: Comparison of forecasts and outcomes for non</w:t>
      </w:r>
      <w:r w:rsidR="00CB3B92" w:rsidRPr="00FD66CA">
        <w:noBreakHyphen/>
      </w:r>
      <w:r w:rsidRPr="00FD66CA">
        <w:t>tax receipts growth</w:t>
      </w:r>
    </w:p>
    <w:p w14:paraId="7269CC5E" w14:textId="13B90ED0" w:rsidR="00B83E14" w:rsidRPr="00FD66CA" w:rsidRDefault="002404E6" w:rsidP="00B83E14">
      <w:pPr>
        <w:pStyle w:val="ChartGraphic"/>
      </w:pPr>
      <w:bookmarkStart w:id="24" w:name="_1802180841"/>
      <w:bookmarkStart w:id="25" w:name="_1803203702"/>
      <w:bookmarkStart w:id="26" w:name="_1803717661"/>
      <w:bookmarkStart w:id="27" w:name="_1803798179"/>
      <w:bookmarkStart w:id="28" w:name="_1803983696"/>
      <w:bookmarkEnd w:id="24"/>
      <w:bookmarkEnd w:id="25"/>
      <w:bookmarkEnd w:id="26"/>
      <w:bookmarkEnd w:id="27"/>
      <w:bookmarkEnd w:id="28"/>
      <w:r w:rsidRPr="00FD66CA">
        <w:rPr>
          <w:noProof/>
        </w:rPr>
        <w:drawing>
          <wp:inline distT="0" distB="0" distL="0" distR="0" wp14:anchorId="3A8F05B8" wp14:editId="3F1D8959">
            <wp:extent cx="4716000" cy="2540890"/>
            <wp:effectExtent l="0" t="0" r="0" b="0"/>
            <wp:docPr id="508078370" name="Graphic 2" descr="This chart shows the Budget year forecasts for annual non-tax receipts growth and the Final Budget Outcome (FBO) from 2004-05 to 2024-25. Over time, growth in non-tax receipts has been volatile, with growth varying between negative 14 per cent and positive 27 per cent. Forecast growth has not well approximated final outcomes. The 2024-25 Final Budget Outcome (FBO) showed that non-tax receipts increased by 7.1 per cent, compared to the forecast increase of 4.4 per c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078370" name="Graphic 2" descr="This chart shows the Budget year forecasts for annual non-tax receipts growth and the Final Budget Outcome (FBO) from 2004-05 to 2024-25. Over time, growth in non-tax receipts has been volatile, with growth varying between negative 14 per cent and positive 27 per cent. Forecast growth has not well approximated final outcomes. The 2024-25 Final Budget Outcome (FBO) showed that non-tax receipts increased by 7.1 per cent, compared to the forecast increase of 4.4 per cent."/>
                    <pic:cNvPicPr/>
                  </pic:nvPicPr>
                  <pic:blipFill>
                    <a:blip r:embed="rId20">
                      <a:extLst>
                        <a:ext uri="{96DAC541-7B7A-43D3-8B79-37D633B846F1}">
                          <asvg:svgBlip xmlns:asvg="http://schemas.microsoft.com/office/drawing/2016/SVG/main" r:embed="rId21"/>
                        </a:ext>
                      </a:extLst>
                    </a:blip>
                    <a:stretch>
                      <a:fillRect/>
                    </a:stretch>
                  </pic:blipFill>
                  <pic:spPr>
                    <a:xfrm>
                      <a:off x="0" y="0"/>
                      <a:ext cx="4716000" cy="2540890"/>
                    </a:xfrm>
                    <a:prstGeom prst="rect">
                      <a:avLst/>
                    </a:prstGeom>
                  </pic:spPr>
                </pic:pic>
              </a:graphicData>
            </a:graphic>
          </wp:inline>
        </w:drawing>
      </w:r>
    </w:p>
    <w:p w14:paraId="5FD220E4" w14:textId="77777777" w:rsidR="00B83E14" w:rsidRPr="00FD66CA" w:rsidRDefault="00B83E14" w:rsidP="00B83E14">
      <w:pPr>
        <w:pStyle w:val="ChartandTableFootnote"/>
        <w:rPr>
          <w:color w:val="auto"/>
        </w:rPr>
      </w:pPr>
      <w:r w:rsidRPr="00FD66CA">
        <w:rPr>
          <w:color w:val="auto"/>
        </w:rPr>
        <w:t xml:space="preserve">Source: </w:t>
      </w:r>
      <w:r w:rsidRPr="00FD66CA">
        <w:rPr>
          <w:color w:val="auto"/>
        </w:rPr>
        <w:tab/>
        <w:t xml:space="preserve">Budget papers and Treasury. </w:t>
      </w:r>
    </w:p>
    <w:p w14:paraId="1B44B6A7" w14:textId="77777777" w:rsidR="00B83E14" w:rsidRPr="00FD66CA" w:rsidRDefault="00B83E14" w:rsidP="00B83E14">
      <w:pPr>
        <w:pStyle w:val="ChartLine"/>
      </w:pPr>
    </w:p>
    <w:p w14:paraId="361FE6C1" w14:textId="748C81D0" w:rsidR="00B83E14" w:rsidRPr="00FD66CA" w:rsidRDefault="00B83E14" w:rsidP="00B83E14">
      <w:pPr>
        <w:pStyle w:val="Heading4"/>
      </w:pPr>
      <w:r w:rsidRPr="00FD66CA">
        <w:t>Payments</w:t>
      </w:r>
    </w:p>
    <w:p w14:paraId="00E45BE6" w14:textId="6E11704A" w:rsidR="00B83E14" w:rsidRPr="00FD66CA" w:rsidRDefault="00B44A7C" w:rsidP="00B83E14">
      <w:r w:rsidRPr="00FD66CA">
        <w:t>Payments forecasting performance is affected by growth in indexation factors (for example, CPI growth) and demand for government programs. Demand</w:t>
      </w:r>
      <w:r w:rsidR="00CB3B92" w:rsidRPr="00FD66CA">
        <w:noBreakHyphen/>
      </w:r>
      <w:r w:rsidRPr="00FD66CA">
        <w:t>driven programs, such as payments to individuals for social welfare, form the bulk of Australian Government expenditure and vary with economic conditions.</w:t>
      </w:r>
    </w:p>
    <w:p w14:paraId="53A63B9A" w14:textId="15527DD8" w:rsidR="00B83E14" w:rsidRPr="00FD66CA" w:rsidRDefault="005D7150" w:rsidP="00B83E14">
      <w:r w:rsidRPr="00FD66CA">
        <w:t>Payments grew 8.0</w:t>
      </w:r>
      <w:r w:rsidR="00CB3B92" w:rsidRPr="00FD66CA">
        <w:t> per cent</w:t>
      </w:r>
      <w:r w:rsidRPr="00FD66CA">
        <w:t xml:space="preserve"> in 2024–25 rather than 6.4</w:t>
      </w:r>
      <w:r w:rsidR="00CB3B92" w:rsidRPr="00FD66CA">
        <w:t> per cent</w:t>
      </w:r>
      <w:r w:rsidRPr="00FD66CA">
        <w:t xml:space="preserve"> forecast at the 2024–</w:t>
      </w:r>
      <w:r w:rsidR="00A14C09" w:rsidRPr="00FD66CA">
        <w:rPr>
          <w:rFonts w:ascii="Times New Roman" w:hAnsi="Times New Roman"/>
        </w:rPr>
        <w:t>‍</w:t>
      </w:r>
      <w:r w:rsidRPr="00FD66CA">
        <w:t>25</w:t>
      </w:r>
      <w:r w:rsidR="00A14C09" w:rsidRPr="00FD66CA">
        <w:t> </w:t>
      </w:r>
      <w:r w:rsidRPr="00FD66CA">
        <w:t>Budget (Chart 8.6). Payments were $0.2</w:t>
      </w:r>
      <w:r w:rsidR="00CB3B92" w:rsidRPr="00FD66CA">
        <w:t> billion</w:t>
      </w:r>
      <w:r w:rsidRPr="00FD66CA">
        <w:t xml:space="preserve"> higher than forecast. This outcome reflected increases in payments to veterans related to the Military Rehabilitation Compensation Acts and for the Disability Support Pension.</w:t>
      </w:r>
    </w:p>
    <w:p w14:paraId="2B4973DD" w14:textId="0A61D15E" w:rsidR="00B83E14" w:rsidRPr="00FD66CA" w:rsidRDefault="00B83E14" w:rsidP="00B83E14">
      <w:pPr>
        <w:pStyle w:val="ChartHeading"/>
      </w:pPr>
      <w:bookmarkStart w:id="29" w:name="_Toc116037825"/>
      <w:r w:rsidRPr="00FD66CA">
        <w:lastRenderedPageBreak/>
        <w:t xml:space="preserve">Chart </w:t>
      </w:r>
      <w:r w:rsidR="00B805E3" w:rsidRPr="00FD66CA">
        <w:t>8</w:t>
      </w:r>
      <w:r w:rsidRPr="00FD66CA">
        <w:t>.6: Comparison of forecasts and outcomes for payments growth</w:t>
      </w:r>
      <w:bookmarkEnd w:id="29"/>
      <w:r w:rsidRPr="00FD66CA">
        <w:t xml:space="preserve"> </w:t>
      </w:r>
    </w:p>
    <w:p w14:paraId="3BEEC053" w14:textId="62E7999F" w:rsidR="00B83E14" w:rsidRPr="00FD66CA" w:rsidRDefault="00090F45" w:rsidP="00B83E14">
      <w:pPr>
        <w:pStyle w:val="ChartGraphic"/>
      </w:pPr>
      <w:bookmarkStart w:id="30" w:name="_1802180843"/>
      <w:bookmarkStart w:id="31" w:name="_1803203704"/>
      <w:bookmarkStart w:id="32" w:name="_1803717663"/>
      <w:bookmarkStart w:id="33" w:name="_1803798181"/>
      <w:bookmarkStart w:id="34" w:name="_1803983698"/>
      <w:bookmarkEnd w:id="30"/>
      <w:bookmarkEnd w:id="31"/>
      <w:bookmarkEnd w:id="32"/>
      <w:bookmarkEnd w:id="33"/>
      <w:bookmarkEnd w:id="34"/>
      <w:r w:rsidRPr="00FD66CA">
        <w:rPr>
          <w:noProof/>
        </w:rPr>
        <w:drawing>
          <wp:inline distT="0" distB="0" distL="0" distR="0" wp14:anchorId="253B718A" wp14:editId="7D8223ED">
            <wp:extent cx="4716000" cy="2540890"/>
            <wp:effectExtent l="0" t="0" r="8890" b="0"/>
            <wp:docPr id="1519484814" name="Graphic 3" descr="This chart shows the Budget year forecasts for annual payments growth and the Final Budget Outcome from 2004-05 to 2024-25. Payments growth has historically been relatively stable between 5 and 7 per cent a year, except for 2008-09 where a 16.3 per cent increase in growth was seen, 2012-13 where a 1 per cent decrease in growth was seen and the 2019-2021 period where an average growth of 17 per cent was seen across the 2 years. Outside these periods, forecast growth has well approximated final outcomes. For the latest published result in 2024-25, payments growth was 8.0 per cent compared to the forecast of 6.4 per c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484814" name="Graphic 3" descr="This chart shows the Budget year forecasts for annual payments growth and the Final Budget Outcome from 2004-05 to 2024-25. Payments growth has historically been relatively stable between 5 and 7 per cent a year, except for 2008-09 where a 16.3 per cent increase in growth was seen, 2012-13 where a 1 per cent decrease in growth was seen and the 2019-2021 period where an average growth of 17 per cent was seen across the 2 years. Outside these periods, forecast growth has well approximated final outcomes. For the latest published result in 2024-25, payments growth was 8.0 per cent compared to the forecast of 6.4 per cent."/>
                    <pic:cNvPicPr/>
                  </pic:nvPicPr>
                  <pic:blipFill>
                    <a:blip r:embed="rId22">
                      <a:extLst>
                        <a:ext uri="{96DAC541-7B7A-43D3-8B79-37D633B846F1}">
                          <asvg:svgBlip xmlns:asvg="http://schemas.microsoft.com/office/drawing/2016/SVG/main" r:embed="rId23"/>
                        </a:ext>
                      </a:extLst>
                    </a:blip>
                    <a:stretch>
                      <a:fillRect/>
                    </a:stretch>
                  </pic:blipFill>
                  <pic:spPr>
                    <a:xfrm>
                      <a:off x="0" y="0"/>
                      <a:ext cx="4716000" cy="2540890"/>
                    </a:xfrm>
                    <a:prstGeom prst="rect">
                      <a:avLst/>
                    </a:prstGeom>
                  </pic:spPr>
                </pic:pic>
              </a:graphicData>
            </a:graphic>
          </wp:inline>
        </w:drawing>
      </w:r>
    </w:p>
    <w:p w14:paraId="5154FE3A" w14:textId="77777777" w:rsidR="00B83E14" w:rsidRPr="00132FF7" w:rsidRDefault="00B83E14" w:rsidP="00B83E14">
      <w:pPr>
        <w:pStyle w:val="ChartandTableFootnote"/>
        <w:rPr>
          <w:color w:val="auto"/>
        </w:rPr>
      </w:pPr>
      <w:r w:rsidRPr="00FD66CA">
        <w:rPr>
          <w:color w:val="auto"/>
        </w:rPr>
        <w:t xml:space="preserve">Source: </w:t>
      </w:r>
      <w:r w:rsidRPr="00FD66CA">
        <w:rPr>
          <w:color w:val="auto"/>
        </w:rPr>
        <w:tab/>
        <w:t>Budget papers and Treasury.</w:t>
      </w:r>
      <w:r w:rsidRPr="00132FF7">
        <w:rPr>
          <w:color w:val="auto"/>
        </w:rPr>
        <w:t xml:space="preserve"> </w:t>
      </w:r>
    </w:p>
    <w:p w14:paraId="44A9DB40" w14:textId="1EB4A1B8" w:rsidR="00B83E14" w:rsidRPr="00534D18" w:rsidRDefault="00B83E14" w:rsidP="00B83E14">
      <w:pPr>
        <w:pStyle w:val="ChartLine"/>
        <w:rPr>
          <w:color w:val="FF0000"/>
        </w:rPr>
      </w:pPr>
    </w:p>
    <w:p w14:paraId="434CFA78" w14:textId="45B3D30E" w:rsidR="00B83E14" w:rsidRPr="00FD66CA" w:rsidRDefault="00B83E14" w:rsidP="00CB3B92">
      <w:pPr>
        <w:pStyle w:val="Heading4"/>
      </w:pPr>
      <w:r w:rsidRPr="00FD66CA">
        <w:t>Underlying cash balance</w:t>
      </w:r>
    </w:p>
    <w:p w14:paraId="7B31ADB9" w14:textId="77777777" w:rsidR="00B83E14" w:rsidRPr="00FD66CA" w:rsidRDefault="00B83E14" w:rsidP="00B83E14">
      <w:pPr>
        <w:rPr>
          <w:szCs w:val="19"/>
        </w:rPr>
      </w:pPr>
      <w:r w:rsidRPr="00FD66CA">
        <w:rPr>
          <w:szCs w:val="19"/>
        </w:rPr>
        <w:t>Underlying cash balance forecasting performance is driven by the forecast errors of total receipts and payments.</w:t>
      </w:r>
    </w:p>
    <w:p w14:paraId="3BE29422" w14:textId="28CC83A0" w:rsidR="00B83E14" w:rsidRPr="00FD66CA" w:rsidRDefault="00B83E14" w:rsidP="00B83E14">
      <w:r w:rsidRPr="00FD66CA">
        <w:t xml:space="preserve">The underlying cash </w:t>
      </w:r>
      <w:r w:rsidR="002B1538" w:rsidRPr="00FD66CA">
        <w:t>balance</w:t>
      </w:r>
      <w:r w:rsidRPr="00FD66CA">
        <w:t xml:space="preserve"> was </w:t>
      </w:r>
      <w:r w:rsidR="00F15458" w:rsidRPr="00FD66CA">
        <w:t xml:space="preserve">a deficit of </w:t>
      </w:r>
      <w:r w:rsidR="00507AF1" w:rsidRPr="00FD66CA">
        <w:t>0.4</w:t>
      </w:r>
      <w:r w:rsidR="00CB3B92" w:rsidRPr="00FD66CA">
        <w:t> per cent</w:t>
      </w:r>
      <w:r w:rsidRPr="00FD66CA">
        <w:t xml:space="preserve"> of GDP in </w:t>
      </w:r>
      <w:r w:rsidR="00510614" w:rsidRPr="00FD66CA">
        <w:t>2024–25</w:t>
      </w:r>
      <w:r w:rsidRPr="00FD66CA">
        <w:t xml:space="preserve"> rather than the</w:t>
      </w:r>
      <w:r w:rsidR="00CB3B92" w:rsidRPr="00FD66CA">
        <w:t> </w:t>
      </w:r>
      <w:r w:rsidRPr="00FD66CA">
        <w:t>forecast deficit</w:t>
      </w:r>
      <w:r w:rsidR="00790080" w:rsidRPr="00FD66CA">
        <w:t xml:space="preserve"> </w:t>
      </w:r>
      <w:r w:rsidRPr="00FD66CA">
        <w:t xml:space="preserve">of </w:t>
      </w:r>
      <w:r w:rsidR="00507AF1" w:rsidRPr="00FD66CA">
        <w:t>1</w:t>
      </w:r>
      <w:r w:rsidR="00790080" w:rsidRPr="00FD66CA">
        <w:t>.</w:t>
      </w:r>
      <w:r w:rsidR="00507AF1" w:rsidRPr="00FD66CA">
        <w:t>0</w:t>
      </w:r>
      <w:r w:rsidR="00CB3B92" w:rsidRPr="00FD66CA">
        <w:t> per cent</w:t>
      </w:r>
      <w:r w:rsidRPr="00FD66CA">
        <w:t xml:space="preserve"> of GDP </w:t>
      </w:r>
      <w:r w:rsidR="00561E93" w:rsidRPr="00FD66CA">
        <w:t>at the 2024–25 Budget</w:t>
      </w:r>
      <w:r w:rsidRPr="00FD66CA">
        <w:t xml:space="preserve"> </w:t>
      </w:r>
      <w:r w:rsidRPr="00FD66CA">
        <w:rPr>
          <w:szCs w:val="19"/>
        </w:rPr>
        <w:t>(Chart </w:t>
      </w:r>
      <w:r w:rsidR="00B805E3" w:rsidRPr="00FD66CA">
        <w:rPr>
          <w:szCs w:val="19"/>
        </w:rPr>
        <w:t>8</w:t>
      </w:r>
      <w:r w:rsidRPr="00FD66CA">
        <w:rPr>
          <w:szCs w:val="19"/>
        </w:rPr>
        <w:t>.7)</w:t>
      </w:r>
      <w:r w:rsidRPr="00FD66CA">
        <w:t>. The underlying cash balance was $</w:t>
      </w:r>
      <w:r w:rsidR="004F1B74" w:rsidRPr="00FD66CA">
        <w:t>18.3</w:t>
      </w:r>
      <w:r w:rsidR="00CB3B92" w:rsidRPr="00FD66CA">
        <w:t> billion</w:t>
      </w:r>
      <w:r w:rsidRPr="00FD66CA">
        <w:t xml:space="preserve"> higher than forecast. The better</w:t>
      </w:r>
      <w:r w:rsidR="00CB3B92" w:rsidRPr="00FD66CA">
        <w:noBreakHyphen/>
      </w:r>
      <w:r w:rsidRPr="00FD66CA">
        <w:t xml:space="preserve">than expected underlying cash balance outcome in </w:t>
      </w:r>
      <w:r w:rsidR="00510614" w:rsidRPr="00FD66CA">
        <w:t>2024–25</w:t>
      </w:r>
      <w:r w:rsidRPr="00FD66CA">
        <w:t xml:space="preserve"> largely reflected higher</w:t>
      </w:r>
      <w:r w:rsidR="00CB3B92" w:rsidRPr="00FD66CA">
        <w:noBreakHyphen/>
      </w:r>
      <w:r w:rsidRPr="00FD66CA">
        <w:t>than</w:t>
      </w:r>
      <w:r w:rsidR="00CB3B92" w:rsidRPr="00FD66CA">
        <w:noBreakHyphen/>
      </w:r>
      <w:r w:rsidRPr="00FD66CA">
        <w:t>expected receipts ($</w:t>
      </w:r>
      <w:r w:rsidR="006E5BA3" w:rsidRPr="00FD66CA">
        <w:t>18.5</w:t>
      </w:r>
      <w:r w:rsidR="00CB3B92" w:rsidRPr="00FD66CA">
        <w:t> billion</w:t>
      </w:r>
      <w:r w:rsidRPr="00FD66CA">
        <w:t>)</w:t>
      </w:r>
      <w:r w:rsidR="00F51238" w:rsidRPr="00FD66CA">
        <w:t>, partially offset by</w:t>
      </w:r>
      <w:r w:rsidRPr="00FD66CA">
        <w:t xml:space="preserve"> </w:t>
      </w:r>
      <w:r w:rsidR="00760869" w:rsidRPr="00FD66CA">
        <w:t>higher</w:t>
      </w:r>
      <w:r w:rsidR="00CB3B92" w:rsidRPr="00FD66CA">
        <w:noBreakHyphen/>
      </w:r>
      <w:r w:rsidRPr="00FD66CA">
        <w:t>than</w:t>
      </w:r>
      <w:r w:rsidR="00CB3B92" w:rsidRPr="00FD66CA">
        <w:noBreakHyphen/>
      </w:r>
      <w:r w:rsidRPr="00FD66CA">
        <w:t>expected payments ($</w:t>
      </w:r>
      <w:r w:rsidR="009F0C4C" w:rsidRPr="00FD66CA">
        <w:t>0.2</w:t>
      </w:r>
      <w:r w:rsidR="00CB3B92" w:rsidRPr="00FD66CA">
        <w:t> billion</w:t>
      </w:r>
      <w:r w:rsidRPr="00FD66CA">
        <w:t>).</w:t>
      </w:r>
    </w:p>
    <w:p w14:paraId="7E59B4FD" w14:textId="01C15929" w:rsidR="00B83E14" w:rsidRPr="00FD66CA" w:rsidRDefault="00B83E14" w:rsidP="00B83E14">
      <w:pPr>
        <w:pStyle w:val="ChartHeading"/>
      </w:pPr>
      <w:bookmarkStart w:id="35" w:name="_Toc116037826"/>
      <w:r w:rsidRPr="00FD66CA">
        <w:lastRenderedPageBreak/>
        <w:t xml:space="preserve">Chart </w:t>
      </w:r>
      <w:r w:rsidR="00B805E3" w:rsidRPr="00FD66CA">
        <w:t>8</w:t>
      </w:r>
      <w:r w:rsidRPr="00FD66CA">
        <w:t>.7: Comparison of forecasts and outcomes for underlying cash balance</w:t>
      </w:r>
      <w:bookmarkEnd w:id="35"/>
      <w:r w:rsidRPr="00FD66CA">
        <w:t xml:space="preserve"> </w:t>
      </w:r>
    </w:p>
    <w:p w14:paraId="5281498B" w14:textId="3DD69869" w:rsidR="00B83E14" w:rsidRPr="00FD66CA" w:rsidRDefault="004D035E" w:rsidP="00B83E14">
      <w:pPr>
        <w:pStyle w:val="ChartGraphic"/>
      </w:pPr>
      <w:bookmarkStart w:id="36" w:name="_1802180845"/>
      <w:bookmarkStart w:id="37" w:name="_1803203706"/>
      <w:bookmarkStart w:id="38" w:name="_1803717665"/>
      <w:bookmarkStart w:id="39" w:name="_1803798183"/>
      <w:bookmarkStart w:id="40" w:name="_1803983701"/>
      <w:bookmarkEnd w:id="36"/>
      <w:bookmarkEnd w:id="37"/>
      <w:bookmarkEnd w:id="38"/>
      <w:bookmarkEnd w:id="39"/>
      <w:bookmarkEnd w:id="40"/>
      <w:r w:rsidRPr="00FD66CA">
        <w:rPr>
          <w:noProof/>
        </w:rPr>
        <w:drawing>
          <wp:inline distT="0" distB="0" distL="0" distR="0" wp14:anchorId="32AC30AE" wp14:editId="081F8E42">
            <wp:extent cx="4716000" cy="2540890"/>
            <wp:effectExtent l="0" t="0" r="0" b="0"/>
            <wp:docPr id="1828815624" name="Graphic 5" descr="This chart shows the Budget year forecasts for the underlying cash balance and the Final Budget Outcome (FBO) from 2004-05 to 2024-25. Throughout this period forecasts have both under and overestimated the underlying cash balance. In particular, forecasts overestimated the underlying cash balance at the onset of the Global Financial Crisis in 2008-09 and the COVID-19 pandemic in 2019-20, and underestimated the underlying cash balance in later years of the COVID-19 pandemic and its recovery from 2020-21 to 2022-23. For the latest published result in 2024-25, the underlying cash balance was a deficit of 0.4 per cent of GDP compared to a forecasted deficit of 1.0 per cent of GD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815624" name="Graphic 5" descr="This chart shows the Budget year forecasts for the underlying cash balance and the Final Budget Outcome (FBO) from 2004-05 to 2024-25. Throughout this period forecasts have both under and overestimated the underlying cash balance. In particular, forecasts overestimated the underlying cash balance at the onset of the Global Financial Crisis in 2008-09 and the COVID-19 pandemic in 2019-20, and underestimated the underlying cash balance in later years of the COVID-19 pandemic and its recovery from 2020-21 to 2022-23. For the latest published result in 2024-25, the underlying cash balance was a deficit of 0.4 per cent of GDP compared to a forecasted deficit of 1.0 per cent of GDP."/>
                    <pic:cNvPicPr/>
                  </pic:nvPicPr>
                  <pic:blipFill>
                    <a:blip r:embed="rId24">
                      <a:extLst>
                        <a:ext uri="{96DAC541-7B7A-43D3-8B79-37D633B846F1}">
                          <asvg:svgBlip xmlns:asvg="http://schemas.microsoft.com/office/drawing/2016/SVG/main" r:embed="rId25"/>
                        </a:ext>
                      </a:extLst>
                    </a:blip>
                    <a:stretch>
                      <a:fillRect/>
                    </a:stretch>
                  </pic:blipFill>
                  <pic:spPr>
                    <a:xfrm>
                      <a:off x="0" y="0"/>
                      <a:ext cx="4716000" cy="2540890"/>
                    </a:xfrm>
                    <a:prstGeom prst="rect">
                      <a:avLst/>
                    </a:prstGeom>
                  </pic:spPr>
                </pic:pic>
              </a:graphicData>
            </a:graphic>
          </wp:inline>
        </w:drawing>
      </w:r>
    </w:p>
    <w:p w14:paraId="44EF283F" w14:textId="77777777" w:rsidR="00B83E14" w:rsidRPr="00132FF7" w:rsidRDefault="00B83E14" w:rsidP="00B83E14">
      <w:pPr>
        <w:pStyle w:val="ChartandTableFootnote"/>
        <w:rPr>
          <w:color w:val="auto"/>
        </w:rPr>
      </w:pPr>
      <w:r w:rsidRPr="00FD66CA">
        <w:rPr>
          <w:color w:val="auto"/>
        </w:rPr>
        <w:t xml:space="preserve">Source: </w:t>
      </w:r>
      <w:r w:rsidRPr="00FD66CA">
        <w:rPr>
          <w:color w:val="auto"/>
        </w:rPr>
        <w:tab/>
        <w:t>Budget papers and Treasury.</w:t>
      </w:r>
      <w:r w:rsidRPr="00132FF7">
        <w:rPr>
          <w:color w:val="auto"/>
        </w:rPr>
        <w:t xml:space="preserve"> </w:t>
      </w:r>
    </w:p>
    <w:p w14:paraId="25E7CF0E" w14:textId="77777777" w:rsidR="00B83E14" w:rsidRPr="00132FF7" w:rsidRDefault="00B83E14" w:rsidP="00B83E14">
      <w:pPr>
        <w:pStyle w:val="ChartLine"/>
      </w:pPr>
    </w:p>
    <w:p w14:paraId="48FF2194" w14:textId="1C961023" w:rsidR="00B83E14" w:rsidRPr="00FD66CA" w:rsidRDefault="00B83E14" w:rsidP="00B83E14">
      <w:r w:rsidRPr="00FD66CA">
        <w:t>In the past two decades, outside major downturns, the underlying cash balance forecast error largely reflected forecast errors of total receipts (Chart </w:t>
      </w:r>
      <w:r w:rsidR="00B805E3" w:rsidRPr="00FD66CA">
        <w:t>8</w:t>
      </w:r>
      <w:r w:rsidRPr="00FD66CA">
        <w:t xml:space="preserve">.8). </w:t>
      </w:r>
      <w:bookmarkStart w:id="41" w:name="_Toc99026273"/>
      <w:bookmarkStart w:id="42" w:name="_Toc116037828"/>
      <w:bookmarkStart w:id="43" w:name="_Toc116037698"/>
      <w:bookmarkStart w:id="44" w:name="_Toc116040760"/>
    </w:p>
    <w:p w14:paraId="7EB80E44" w14:textId="2F56EC9D" w:rsidR="00B83E14" w:rsidRPr="00FD66CA" w:rsidRDefault="00B83E14" w:rsidP="00B83E14">
      <w:r w:rsidRPr="00FD66CA">
        <w:t xml:space="preserve">Large forecast errors for payments in 2008–09 and 2019–20 reflected unexpected </w:t>
      </w:r>
      <w:r w:rsidR="003A236C" w:rsidRPr="00FD66CA">
        <w:t>g</w:t>
      </w:r>
      <w:r w:rsidRPr="00FD66CA">
        <w:t>overnment payment assistance during the Global Financial Crisis and COVID</w:t>
      </w:r>
      <w:r w:rsidR="006E10BB" w:rsidRPr="00FD66CA">
        <w:noBreakHyphen/>
      </w:r>
      <w:r w:rsidRPr="00FD66CA">
        <w:t>19</w:t>
      </w:r>
      <w:r w:rsidR="001E192A" w:rsidRPr="00FD66CA">
        <w:t xml:space="preserve"> pandemic</w:t>
      </w:r>
      <w:r w:rsidRPr="00FD66CA">
        <w:t xml:space="preserve">. Overestimates of receipts tend to coincide with underestimates of payments during economic shocks, magnifying underlying cash balance forecast errors. </w:t>
      </w:r>
    </w:p>
    <w:p w14:paraId="76084F4B" w14:textId="3B85B6AF" w:rsidR="00B83E14" w:rsidRPr="00FD66CA" w:rsidRDefault="00B83E14" w:rsidP="00B83E14">
      <w:pPr>
        <w:pStyle w:val="ChartHeading"/>
        <w:rPr>
          <w:rFonts w:eastAsiaTheme="minorHAnsi"/>
        </w:rPr>
      </w:pPr>
      <w:bookmarkStart w:id="45" w:name="_Toc116037827"/>
      <w:r w:rsidRPr="00FD66CA">
        <w:rPr>
          <w:rFonts w:eastAsiaTheme="minorHAnsi"/>
        </w:rPr>
        <w:t xml:space="preserve">Chart </w:t>
      </w:r>
      <w:r w:rsidR="00B805E3" w:rsidRPr="00FD66CA">
        <w:rPr>
          <w:rFonts w:eastAsiaTheme="minorHAnsi"/>
        </w:rPr>
        <w:t>8</w:t>
      </w:r>
      <w:r w:rsidRPr="00FD66CA">
        <w:rPr>
          <w:rFonts w:eastAsiaTheme="minorHAnsi"/>
        </w:rPr>
        <w:t>.8: Total</w:t>
      </w:r>
      <w:r w:rsidRPr="00FD66CA" w:rsidDel="00E044E3">
        <w:rPr>
          <w:rFonts w:eastAsiaTheme="minorHAnsi"/>
        </w:rPr>
        <w:t xml:space="preserve"> r</w:t>
      </w:r>
      <w:r w:rsidRPr="00FD66CA">
        <w:rPr>
          <w:rFonts w:eastAsiaTheme="minorHAnsi"/>
        </w:rPr>
        <w:t>eceipts, payments, and underlying cash balance forecast error</w:t>
      </w:r>
      <w:bookmarkEnd w:id="45"/>
      <w:r w:rsidRPr="00FD66CA">
        <w:rPr>
          <w:rFonts w:eastAsiaTheme="minorHAnsi"/>
        </w:rPr>
        <w:t>s</w:t>
      </w:r>
    </w:p>
    <w:p w14:paraId="4E1ACA7F" w14:textId="77777777" w:rsidR="00CB3B92" w:rsidRPr="00FD66CA" w:rsidRDefault="00AE40FA" w:rsidP="00CB3B92">
      <w:pPr>
        <w:pStyle w:val="ChartGraphic"/>
      </w:pPr>
      <w:bookmarkStart w:id="46" w:name="_1744535406"/>
      <w:bookmarkStart w:id="47" w:name="_1802180847"/>
      <w:bookmarkStart w:id="48" w:name="_1803203708"/>
      <w:bookmarkStart w:id="49" w:name="_1803717667"/>
      <w:bookmarkStart w:id="50" w:name="_1803798185"/>
      <w:bookmarkStart w:id="51" w:name="_1803983703"/>
      <w:bookmarkEnd w:id="46"/>
      <w:bookmarkEnd w:id="47"/>
      <w:bookmarkEnd w:id="48"/>
      <w:bookmarkEnd w:id="49"/>
      <w:bookmarkEnd w:id="50"/>
      <w:bookmarkEnd w:id="51"/>
      <w:r w:rsidRPr="00FD66CA">
        <w:rPr>
          <w:noProof/>
        </w:rPr>
        <w:drawing>
          <wp:inline distT="0" distB="0" distL="0" distR="0" wp14:anchorId="3631D5B6" wp14:editId="73B328F2">
            <wp:extent cx="4716000" cy="2540890"/>
            <wp:effectExtent l="0" t="0" r="0" b="0"/>
            <wp:docPr id="1470601862" name="Graphic 8" descr="This chart shows the contribution of forecast errors in total receipts and payments to the forecast errors of the underlying cash balance over the period 2004-05 to 2024-25. Outside major downturns, forecast errors for the underlying cash balance largely reflect forecast errors in total receipts. However there are large forecast errors for payments in 2008-09 during the Global Financial Crisis and 2019-20 during the onset of the COVID-19 pandemic. Overestimates in receipts tend to coincide with underestimates in payments during these shocks, which increases underlying cash balance forecast errors. Since 2019-20, forecast errors for receipts have made the largest contribution to forecast errors in the underlying cash balanc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01862" name="Graphic 8" descr="This chart shows the contribution of forecast errors in total receipts and payments to the forecast errors of the underlying cash balance over the period 2004-05 to 2024-25. Outside major downturns, forecast errors for the underlying cash balance largely reflect forecast errors in total receipts. However there are large forecast errors for payments in 2008-09 during the Global Financial Crisis and 2019-20 during the onset of the COVID-19 pandemic. Overestimates in receipts tend to coincide with underestimates in payments during these shocks, which increases underlying cash balance forecast errors. Since 2019-20, forecast errors for receipts have made the largest contribution to forecast errors in the underlying cash balance. "/>
                    <pic:cNvPicPr/>
                  </pic:nvPicPr>
                  <pic:blipFill>
                    <a:blip r:embed="rId26">
                      <a:extLst>
                        <a:ext uri="{96DAC541-7B7A-43D3-8B79-37D633B846F1}">
                          <asvg:svgBlip xmlns:asvg="http://schemas.microsoft.com/office/drawing/2016/SVG/main" r:embed="rId27"/>
                        </a:ext>
                      </a:extLst>
                    </a:blip>
                    <a:stretch>
                      <a:fillRect/>
                    </a:stretch>
                  </pic:blipFill>
                  <pic:spPr>
                    <a:xfrm>
                      <a:off x="0" y="0"/>
                      <a:ext cx="4716000" cy="2540890"/>
                    </a:xfrm>
                    <a:prstGeom prst="rect">
                      <a:avLst/>
                    </a:prstGeom>
                  </pic:spPr>
                </pic:pic>
              </a:graphicData>
            </a:graphic>
          </wp:inline>
        </w:drawing>
      </w:r>
    </w:p>
    <w:p w14:paraId="4C96B4BB" w14:textId="172D737A" w:rsidR="00B83E14" w:rsidRDefault="00B83E14" w:rsidP="00B83E14">
      <w:pPr>
        <w:pStyle w:val="ChartandTableFootnote"/>
        <w:rPr>
          <w:color w:val="auto"/>
        </w:rPr>
      </w:pPr>
      <w:r w:rsidRPr="00FD66CA">
        <w:rPr>
          <w:color w:val="auto"/>
        </w:rPr>
        <w:t xml:space="preserve">Source: </w:t>
      </w:r>
      <w:r w:rsidRPr="00FD66CA">
        <w:rPr>
          <w:color w:val="auto"/>
        </w:rPr>
        <w:tab/>
        <w:t>Budget papers and Treasury.</w:t>
      </w:r>
      <w:r w:rsidRPr="00CE091F">
        <w:rPr>
          <w:color w:val="auto"/>
        </w:rPr>
        <w:t xml:space="preserve"> </w:t>
      </w:r>
    </w:p>
    <w:p w14:paraId="218BE63F" w14:textId="77777777" w:rsidR="00CB3B92" w:rsidRPr="00B761B8" w:rsidRDefault="00CB3B92" w:rsidP="00CB3B92">
      <w:pPr>
        <w:pStyle w:val="ChartLine"/>
      </w:pPr>
    </w:p>
    <w:p w14:paraId="4CA03E9A" w14:textId="449EB25D" w:rsidR="00B83E14" w:rsidRPr="00FD66CA" w:rsidRDefault="00B83E14" w:rsidP="00B83E14">
      <w:pPr>
        <w:pStyle w:val="Heading2"/>
      </w:pPr>
      <w:bookmarkStart w:id="52" w:name="_Toc223445960"/>
      <w:bookmarkStart w:id="53" w:name="_Toc228976195"/>
      <w:r w:rsidRPr="00FD66CA">
        <w:lastRenderedPageBreak/>
        <w:t>Assessing forecast uncertainty – confidence interval analysis</w:t>
      </w:r>
      <w:bookmarkEnd w:id="41"/>
      <w:bookmarkEnd w:id="42"/>
      <w:bookmarkEnd w:id="43"/>
      <w:bookmarkEnd w:id="44"/>
      <w:bookmarkEnd w:id="52"/>
      <w:bookmarkEnd w:id="53"/>
    </w:p>
    <w:p w14:paraId="3A8E7D87" w14:textId="6F87E69A" w:rsidR="00B83E14" w:rsidRPr="00FD66CA" w:rsidRDefault="00B83E14" w:rsidP="00B83E14">
      <w:pPr>
        <w:keepNext/>
        <w:keepLines/>
      </w:pPr>
      <w:r w:rsidRPr="00FD66CA">
        <w:t>Confidence intervals illustrate the uncertainty around current forecasts based on the historical distribution of forecast errors. Confidence interval analysis assumes that future forecast errors are consistent with the distribution of past forecast errors.</w:t>
      </w:r>
      <w:r w:rsidRPr="00FD66CA">
        <w:rPr>
          <w:vertAlign w:val="superscript"/>
        </w:rPr>
        <w:footnoteReference w:id="2"/>
      </w:r>
      <w:r w:rsidRPr="00FD66CA">
        <w:t xml:space="preserve"> Based on past forecasting performance, there is a 70 and 90</w:t>
      </w:r>
      <w:r w:rsidR="00CB3B92" w:rsidRPr="00FD66CA">
        <w:t> per cent</w:t>
      </w:r>
      <w:r w:rsidRPr="00FD66CA">
        <w:t xml:space="preserve"> probability that the actual outcome will lie within the 70 and 90</w:t>
      </w:r>
      <w:r w:rsidR="00CB3B92" w:rsidRPr="00FD66CA">
        <w:t> per cent</w:t>
      </w:r>
      <w:r w:rsidRPr="00FD66CA">
        <w:t xml:space="preserve"> confidence interval bands.</w:t>
      </w:r>
    </w:p>
    <w:p w14:paraId="2B0B40DB" w14:textId="6BA02D5C" w:rsidR="006E10BB" w:rsidRDefault="00B83E14" w:rsidP="00CB3B92">
      <w:r w:rsidRPr="00FD66CA">
        <w:t xml:space="preserve">Future forecast errors may not have the same distribution as historical forecast errors. </w:t>
      </w:r>
      <w:r w:rsidRPr="00FD66CA" w:rsidDel="00F644F5">
        <w:t xml:space="preserve">The large forecast errors </w:t>
      </w:r>
      <w:r w:rsidRPr="00FD66CA">
        <w:t>in </w:t>
      </w:r>
      <w:r w:rsidRPr="00FD66CA" w:rsidDel="00F644F5">
        <w:t>2019</w:t>
      </w:r>
      <w:r w:rsidRPr="00FD66CA">
        <w:t>–</w:t>
      </w:r>
      <w:r w:rsidRPr="00FD66CA" w:rsidDel="00F644F5">
        <w:t>20</w:t>
      </w:r>
      <w:r w:rsidRPr="00FD66CA">
        <w:t xml:space="preserve"> and 2020–21,</w:t>
      </w:r>
      <w:r w:rsidRPr="00FD66CA" w:rsidDel="00F644F5">
        <w:t xml:space="preserve"> </w:t>
      </w:r>
      <w:r w:rsidRPr="00FD66CA">
        <w:t xml:space="preserve">related </w:t>
      </w:r>
      <w:r w:rsidRPr="00FD66CA" w:rsidDel="00F644F5">
        <w:t xml:space="preserve">to </w:t>
      </w:r>
      <w:r w:rsidRPr="00FD66CA">
        <w:t>the</w:t>
      </w:r>
      <w:r w:rsidRPr="00FD66CA" w:rsidDel="00F644F5">
        <w:t xml:space="preserve"> </w:t>
      </w:r>
      <w:r w:rsidRPr="00FD66CA">
        <w:t>COVID</w:t>
      </w:r>
      <w:r w:rsidR="006E10BB" w:rsidRPr="00FD66CA">
        <w:noBreakHyphen/>
      </w:r>
      <w:r w:rsidRPr="00FD66CA">
        <w:t>19 pandemic,</w:t>
      </w:r>
      <w:r w:rsidRPr="00FD66CA" w:rsidDel="00F644F5">
        <w:t xml:space="preserve"> are </w:t>
      </w:r>
      <w:r w:rsidRPr="00FD66CA">
        <w:t>an example of events not previously captured in the historical error sample. Large disruptive events are difficult to predict and could occur again.</w:t>
      </w:r>
    </w:p>
    <w:p w14:paraId="4CD640E3" w14:textId="22CD9A21" w:rsidR="00B83E14" w:rsidRPr="00FD66CA" w:rsidRDefault="00B83E14" w:rsidP="00B83E14">
      <w:pPr>
        <w:pStyle w:val="Heading3"/>
      </w:pPr>
      <w:bookmarkStart w:id="54" w:name="_Toc99026274"/>
      <w:bookmarkStart w:id="55" w:name="_Toc116037829"/>
      <w:bookmarkStart w:id="56" w:name="_Toc116037699"/>
      <w:bookmarkStart w:id="57" w:name="_Toc116040761"/>
      <w:bookmarkStart w:id="58" w:name="_Toc223445961"/>
      <w:bookmarkStart w:id="59" w:name="_Toc228976196"/>
      <w:r w:rsidRPr="00FD66CA">
        <w:t>Economic uncertainty based on historical forecast errors</w:t>
      </w:r>
      <w:bookmarkEnd w:id="54"/>
      <w:bookmarkEnd w:id="55"/>
      <w:bookmarkEnd w:id="56"/>
      <w:bookmarkEnd w:id="57"/>
      <w:bookmarkEnd w:id="58"/>
      <w:bookmarkEnd w:id="59"/>
    </w:p>
    <w:p w14:paraId="528412C4" w14:textId="44541F41" w:rsidR="00B83E14" w:rsidRPr="00FD66CA" w:rsidRDefault="00B83E14" w:rsidP="008F1E82">
      <w:pPr>
        <w:spacing w:before="0" w:after="0" w:line="240" w:lineRule="auto"/>
        <w:rPr>
          <w:rFonts w:ascii="Arial" w:hAnsi="Arial" w:cs="Arial"/>
          <w:sz w:val="20"/>
        </w:rPr>
      </w:pPr>
      <w:r w:rsidRPr="00FD66CA">
        <w:t>Average annualised growth in real GDP in the three years to 202</w:t>
      </w:r>
      <w:r w:rsidR="00510614" w:rsidRPr="00FD66CA">
        <w:t>7</w:t>
      </w:r>
      <w:r w:rsidRPr="00FD66CA">
        <w:t>–2</w:t>
      </w:r>
      <w:r w:rsidR="00510614" w:rsidRPr="00FD66CA">
        <w:t>8</w:t>
      </w:r>
      <w:r w:rsidRPr="00FD66CA">
        <w:t xml:space="preserve"> is expected to be around </w:t>
      </w:r>
      <w:r w:rsidR="001E5A12" w:rsidRPr="00FD66CA">
        <w:t>2</w:t>
      </w:r>
      <w:r w:rsidR="00CB3B92" w:rsidRPr="00FD66CA">
        <w:t> per cent</w:t>
      </w:r>
      <w:r w:rsidRPr="00FD66CA">
        <w:t>. The 70</w:t>
      </w:r>
      <w:r w:rsidR="00CB3B92" w:rsidRPr="00FD66CA">
        <w:t> per cent</w:t>
      </w:r>
      <w:r w:rsidRPr="00FD66CA">
        <w:t xml:space="preserve"> confidence interval ranges from </w:t>
      </w:r>
      <w:r w:rsidR="006E6C8C" w:rsidRPr="00FD66CA">
        <w:t>1½</w:t>
      </w:r>
      <w:r w:rsidR="00CB3B92" w:rsidRPr="00FD66CA">
        <w:t> per cent</w:t>
      </w:r>
      <w:r w:rsidRPr="00FD66CA">
        <w:t xml:space="preserve"> to </w:t>
      </w:r>
      <w:r w:rsidR="006E6C8C" w:rsidRPr="00FD66CA">
        <w:t>2½</w:t>
      </w:r>
      <w:r w:rsidR="00CB3B92" w:rsidRPr="00FD66CA">
        <w:t> per cent</w:t>
      </w:r>
      <w:r w:rsidRPr="00FD66CA">
        <w:t>. The 90</w:t>
      </w:r>
      <w:r w:rsidR="00CB3B92" w:rsidRPr="00FD66CA">
        <w:t> per cent</w:t>
      </w:r>
      <w:r w:rsidRPr="00FD66CA">
        <w:t xml:space="preserve"> confidence interval ranges from </w:t>
      </w:r>
      <w:r w:rsidR="006E6C8C" w:rsidRPr="00FD66CA">
        <w:t>1</w:t>
      </w:r>
      <w:r w:rsidR="00CB3B92" w:rsidRPr="00FD66CA">
        <w:t> per cent</w:t>
      </w:r>
      <w:r w:rsidRPr="00FD66CA">
        <w:t xml:space="preserve"> to </w:t>
      </w:r>
      <w:r w:rsidR="006E6C8C" w:rsidRPr="00FD66CA">
        <w:t>3</w:t>
      </w:r>
      <w:r w:rsidR="003F5CC1" w:rsidRPr="00FD66CA">
        <w:t xml:space="preserve"> </w:t>
      </w:r>
      <w:r w:rsidR="00CB3B92" w:rsidRPr="00FD66CA">
        <w:t>per cent</w:t>
      </w:r>
      <w:r w:rsidRPr="00FD66CA">
        <w:t xml:space="preserve"> (Chart </w:t>
      </w:r>
      <w:r w:rsidR="00B805E3" w:rsidRPr="00FD66CA">
        <w:t>8</w:t>
      </w:r>
      <w:r w:rsidRPr="00FD66CA">
        <w:t>.9).</w:t>
      </w:r>
    </w:p>
    <w:p w14:paraId="2FD0BBED" w14:textId="32A65400" w:rsidR="00B83E14" w:rsidRPr="00FD66CA" w:rsidRDefault="00B83E14" w:rsidP="004241F3">
      <w:pPr>
        <w:pStyle w:val="ChartHeading"/>
      </w:pPr>
      <w:r w:rsidRPr="00FD66CA">
        <w:t xml:space="preserve">Chart </w:t>
      </w:r>
      <w:r w:rsidR="00B805E3" w:rsidRPr="00FD66CA">
        <w:t>8</w:t>
      </w:r>
      <w:r w:rsidRPr="00FD66CA">
        <w:t>.9: Confidence intervals around real GDP growth rate forecasts</w:t>
      </w:r>
    </w:p>
    <w:p w14:paraId="75C63AF3" w14:textId="2C94D874" w:rsidR="00B83E14" w:rsidRPr="00FD66CA" w:rsidRDefault="00F35CB1" w:rsidP="00B83E14">
      <w:pPr>
        <w:pStyle w:val="ChartGraphic"/>
      </w:pPr>
      <w:r w:rsidRPr="00FD66CA">
        <w:rPr>
          <w:noProof/>
        </w:rPr>
        <w:drawing>
          <wp:inline distT="0" distB="0" distL="0" distR="0" wp14:anchorId="07E5A942" wp14:editId="58978FBD">
            <wp:extent cx="4584521" cy="2520000"/>
            <wp:effectExtent l="0" t="0" r="0" b="0"/>
            <wp:docPr id="1417389082" name="Graphic 9" descr="This chart shows confidence intervals around the Budget forecast for average annualised real GDP growth.&#10;&#10;The Budget forecast for average annualised real GDP growth in the three years to 2027-28 is expected to be around 2 per cent, with the 70 per cent confidence interval ranging from 1 1/2 to 2 1/2 per cent, and the 90 per cent confidence interval ranging from 1 to 3 per c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389082" name="Graphic 9" descr="This chart shows confidence intervals around the Budget forecast for average annualised real GDP growth.&#10;&#10;The Budget forecast for average annualised real GDP growth in the three years to 2027-28 is expected to be around 2 per cent, with the 70 per cent confidence interval ranging from 1 1/2 to 2 1/2 per cent, and the 90 per cent confidence interval ranging from 1 to 3 per cent."/>
                    <pic:cNvPicPr/>
                  </pic:nvPicPr>
                  <pic:blipFill>
                    <a:blip r:embed="rId28">
                      <a:extLst>
                        <a:ext uri="{96DAC541-7B7A-43D3-8B79-37D633B846F1}">
                          <asvg:svgBlip xmlns:asvg="http://schemas.microsoft.com/office/drawing/2016/SVG/main" r:embed="rId29"/>
                        </a:ext>
                      </a:extLst>
                    </a:blip>
                    <a:stretch>
                      <a:fillRect/>
                    </a:stretch>
                  </pic:blipFill>
                  <pic:spPr>
                    <a:xfrm>
                      <a:off x="0" y="0"/>
                      <a:ext cx="4584521" cy="2520000"/>
                    </a:xfrm>
                    <a:prstGeom prst="rect">
                      <a:avLst/>
                    </a:prstGeom>
                  </pic:spPr>
                </pic:pic>
              </a:graphicData>
            </a:graphic>
          </wp:inline>
        </w:drawing>
      </w:r>
    </w:p>
    <w:p w14:paraId="50D083E6" w14:textId="2C57572F" w:rsidR="00B83E14" w:rsidRPr="00FD66CA" w:rsidRDefault="00B83E14" w:rsidP="00B83E14">
      <w:pPr>
        <w:pStyle w:val="ChartandTableFootnote"/>
        <w:rPr>
          <w:color w:val="auto"/>
        </w:rPr>
      </w:pPr>
      <w:r w:rsidRPr="00FD66CA">
        <w:rPr>
          <w:color w:val="auto"/>
        </w:rPr>
        <w:t xml:space="preserve">Note: </w:t>
      </w:r>
      <w:r w:rsidRPr="00FD66CA">
        <w:rPr>
          <w:color w:val="auto"/>
        </w:rPr>
        <w:tab/>
      </w:r>
      <w:r w:rsidR="0010152D" w:rsidRPr="00FD66CA">
        <w:rPr>
          <w:color w:val="auto"/>
        </w:rPr>
        <w:t>The line shows the outcomes and the 2026–27 Budget forecasts. Annual growth rates are reported for the outcomes. Average annualised growth rates from 2024–25 are reported for 2025–26 onwards. (f) are forecasts. Confidence intervals are based on the root mean squared errors (RMSEs) of Budget forecasts from 1998–99 onwards, with outcomes based on December quarter 2025 National Accounts data.</w:t>
      </w:r>
    </w:p>
    <w:p w14:paraId="6A60DFB3" w14:textId="3B8A2403" w:rsidR="00B83E14" w:rsidRPr="00FD66CA" w:rsidRDefault="00B83E14" w:rsidP="00B83E14">
      <w:pPr>
        <w:pStyle w:val="ChartandTableFootnote"/>
        <w:rPr>
          <w:color w:val="auto"/>
        </w:rPr>
      </w:pPr>
      <w:r w:rsidRPr="00FD66CA">
        <w:rPr>
          <w:color w:val="auto"/>
        </w:rPr>
        <w:t>Source:</w:t>
      </w:r>
      <w:r w:rsidRPr="00FD66CA">
        <w:rPr>
          <w:color w:val="auto"/>
        </w:rPr>
        <w:tab/>
        <w:t>ABS Australian National Accounts: National Income, Expenditure and Product and Treasury.</w:t>
      </w:r>
    </w:p>
    <w:p w14:paraId="2172CB5E" w14:textId="77777777" w:rsidR="00B83E14" w:rsidRPr="00FD66CA" w:rsidRDefault="00B83E14" w:rsidP="00B83E14">
      <w:pPr>
        <w:pStyle w:val="ChartLine"/>
      </w:pPr>
    </w:p>
    <w:p w14:paraId="684B560D" w14:textId="2C738A5D" w:rsidR="00B83E14" w:rsidRPr="00FD66CA" w:rsidRDefault="00B83E14" w:rsidP="00B83E14">
      <w:r w:rsidRPr="00FD66CA">
        <w:lastRenderedPageBreak/>
        <w:t>The confidence intervals around the nominal GDP forecasts are wider than those around the real GDP forecasts, reflecting the additional uncertainty around domestic prices and commodity prices. Average annualised growth in nominal GDP in the three years to 202</w:t>
      </w:r>
      <w:r w:rsidR="00432246" w:rsidRPr="00FD66CA">
        <w:t>7</w:t>
      </w:r>
      <w:r w:rsidR="00CB3B92" w:rsidRPr="00FD66CA">
        <w:rPr>
          <w:rFonts w:ascii="Times New Roman" w:hAnsi="Times New Roman"/>
        </w:rPr>
        <w:t>‍</w:t>
      </w:r>
      <w:r w:rsidRPr="00FD66CA">
        <w:rPr>
          <w:rFonts w:ascii="Times New Roman" w:hAnsi="Times New Roman"/>
        </w:rPr>
        <w:t>–</w:t>
      </w:r>
      <w:r w:rsidR="00CB3B92" w:rsidRPr="00FD66CA">
        <w:rPr>
          <w:rFonts w:ascii="Times New Roman" w:hAnsi="Times New Roman"/>
        </w:rPr>
        <w:t>‍</w:t>
      </w:r>
      <w:r w:rsidRPr="00FD66CA">
        <w:t>2</w:t>
      </w:r>
      <w:r w:rsidR="00432246" w:rsidRPr="00FD66CA">
        <w:t>8</w:t>
      </w:r>
      <w:r w:rsidRPr="00FD66CA">
        <w:t xml:space="preserve"> is expected to be around </w:t>
      </w:r>
      <w:r w:rsidR="00245D77" w:rsidRPr="00FD66CA">
        <w:t>4¾</w:t>
      </w:r>
      <w:r w:rsidR="00CB3B92" w:rsidRPr="00FD66CA">
        <w:t> per cent</w:t>
      </w:r>
      <w:r w:rsidRPr="00FD66CA">
        <w:t>, with the 70</w:t>
      </w:r>
      <w:r w:rsidR="00CB3B92" w:rsidRPr="00FD66CA">
        <w:t> per cent</w:t>
      </w:r>
      <w:r w:rsidRPr="00FD66CA">
        <w:t xml:space="preserve"> confidence interval ranging from </w:t>
      </w:r>
      <w:r w:rsidR="008F5632" w:rsidRPr="00FD66CA">
        <w:t>2</w:t>
      </w:r>
      <w:r w:rsidR="001D30DB" w:rsidRPr="00FD66CA">
        <w:t>½</w:t>
      </w:r>
      <w:r w:rsidR="00CB3B92" w:rsidRPr="00FD66CA">
        <w:t> per cent</w:t>
      </w:r>
      <w:r w:rsidRPr="00FD66CA">
        <w:t xml:space="preserve"> to </w:t>
      </w:r>
      <w:r w:rsidR="008F5632" w:rsidRPr="00FD66CA">
        <w:t>7</w:t>
      </w:r>
      <w:r w:rsidR="00CB3B92" w:rsidRPr="00FD66CA">
        <w:t> per cent</w:t>
      </w:r>
      <w:r w:rsidRPr="00FD66CA">
        <w:t>. The 90</w:t>
      </w:r>
      <w:r w:rsidR="00CB3B92" w:rsidRPr="00FD66CA">
        <w:t> per cent</w:t>
      </w:r>
      <w:r w:rsidRPr="00FD66CA">
        <w:t xml:space="preserve"> confidence interval ranges from </w:t>
      </w:r>
      <w:r w:rsidR="008F5632" w:rsidRPr="00FD66CA">
        <w:t>1</w:t>
      </w:r>
      <w:r w:rsidR="00CB3B92" w:rsidRPr="00FD66CA">
        <w:t> per cent</w:t>
      </w:r>
      <w:r w:rsidR="00A6098E" w:rsidRPr="00FD66CA">
        <w:t xml:space="preserve"> </w:t>
      </w:r>
      <w:r w:rsidRPr="00FD66CA">
        <w:t xml:space="preserve">to </w:t>
      </w:r>
      <w:r w:rsidR="00DA440F" w:rsidRPr="00FD66CA">
        <w:t>8½</w:t>
      </w:r>
      <w:r w:rsidR="00CB3B92" w:rsidRPr="00FD66CA">
        <w:t> per cent</w:t>
      </w:r>
      <w:r w:rsidRPr="00FD66CA">
        <w:t xml:space="preserve"> (Chart </w:t>
      </w:r>
      <w:r w:rsidR="00B805E3" w:rsidRPr="00FD66CA">
        <w:t>8</w:t>
      </w:r>
      <w:r w:rsidRPr="00FD66CA">
        <w:t>.10).</w:t>
      </w:r>
    </w:p>
    <w:p w14:paraId="2D31155A" w14:textId="0E1F5057" w:rsidR="00B83E14" w:rsidRPr="00FD66CA" w:rsidRDefault="00B83E14" w:rsidP="00B83E14">
      <w:pPr>
        <w:pStyle w:val="ChartHeading"/>
      </w:pPr>
      <w:r w:rsidRPr="00FD66CA">
        <w:t xml:space="preserve">Chart </w:t>
      </w:r>
      <w:r w:rsidR="00B805E3" w:rsidRPr="00FD66CA">
        <w:t>8</w:t>
      </w:r>
      <w:r w:rsidRPr="00FD66CA">
        <w:t xml:space="preserve">.10: Confidence intervals around nominal GDP growth rate forecasts </w:t>
      </w:r>
    </w:p>
    <w:p w14:paraId="64ADCA87" w14:textId="371A9B35" w:rsidR="00CB3B92" w:rsidRPr="00FD66CA" w:rsidRDefault="003C7579" w:rsidP="00FC061A">
      <w:pPr>
        <w:pStyle w:val="ChartGraphic"/>
      </w:pPr>
      <w:r w:rsidRPr="00FD66CA">
        <w:rPr>
          <w:noProof/>
        </w:rPr>
        <w:drawing>
          <wp:inline distT="0" distB="0" distL="0" distR="0" wp14:anchorId="23C320EB" wp14:editId="315E3445">
            <wp:extent cx="4546969" cy="2520000"/>
            <wp:effectExtent l="0" t="0" r="0" b="0"/>
            <wp:docPr id="978694816" name="Graphic 7" descr="This chart shows the confidence intervals around the Budget forecast for average annualised nominal GDP growth. The Budget forecast for average annualised nominal GDP growth in the three years to 2027-28 is expected to be around 4 3/4 per cent, with the 70 per cent confidence interval ranging from 2 1/2 per cent  to 7 per cent, and the 90 per cent confidence interval ranging from 1 per cent to 8 1/2 per c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694816" name="Graphic 7" descr="This chart shows the confidence intervals around the Budget forecast for average annualised nominal GDP growth. The Budget forecast for average annualised nominal GDP growth in the three years to 2027-28 is expected to be around 4 3/4 per cent, with the 70 per cent confidence interval ranging from 2 1/2 per cent  to 7 per cent, and the 90 per cent confidence interval ranging from 1 per cent to 8 1/2 per cent."/>
                    <pic:cNvPicPr/>
                  </pic:nvPicPr>
                  <pic:blipFill>
                    <a:blip r:embed="rId30">
                      <a:extLst>
                        <a:ext uri="{96DAC541-7B7A-43D3-8B79-37D633B846F1}">
                          <asvg:svgBlip xmlns:asvg="http://schemas.microsoft.com/office/drawing/2016/SVG/main" r:embed="rId31"/>
                        </a:ext>
                      </a:extLst>
                    </a:blip>
                    <a:stretch>
                      <a:fillRect/>
                    </a:stretch>
                  </pic:blipFill>
                  <pic:spPr>
                    <a:xfrm>
                      <a:off x="0" y="0"/>
                      <a:ext cx="4546969" cy="2520000"/>
                    </a:xfrm>
                    <a:prstGeom prst="rect">
                      <a:avLst/>
                    </a:prstGeom>
                  </pic:spPr>
                </pic:pic>
              </a:graphicData>
            </a:graphic>
          </wp:inline>
        </w:drawing>
      </w:r>
    </w:p>
    <w:p w14:paraId="3F2DB831" w14:textId="35D2752C" w:rsidR="00B83E14" w:rsidRPr="00FD66CA" w:rsidRDefault="00B83E14" w:rsidP="00B83E14">
      <w:pPr>
        <w:pStyle w:val="ChartandTableFootnote"/>
        <w:rPr>
          <w:color w:val="auto"/>
        </w:rPr>
      </w:pPr>
      <w:r w:rsidRPr="00FD66CA">
        <w:rPr>
          <w:color w:val="auto"/>
        </w:rPr>
        <w:t xml:space="preserve">Note: </w:t>
      </w:r>
      <w:r w:rsidRPr="00FD66CA">
        <w:rPr>
          <w:color w:val="auto"/>
        </w:rPr>
        <w:tab/>
      </w:r>
      <w:r w:rsidR="00947A76" w:rsidRPr="00FD66CA">
        <w:rPr>
          <w:color w:val="auto"/>
        </w:rPr>
        <w:t>The line shows the outcomes and the 2026–27 Budget forecasts. Annual growth rates are reported for the outcomes. Average annualised growth rates from 2024–25 are reported for 2025–26 onwards. Confidence intervals are based on the root mean squared errors (RMSEs) of Budget forecasts from 1998–99 onwards and are a statistical assessment that does not take account of any change in circumstance in the economic outlook. (f) are forecasts.</w:t>
      </w:r>
      <w:r w:rsidRPr="00FD66CA">
        <w:rPr>
          <w:color w:val="auto"/>
        </w:rPr>
        <w:t xml:space="preserve"> </w:t>
      </w:r>
    </w:p>
    <w:p w14:paraId="58000D9C" w14:textId="3D945D2F" w:rsidR="00B83E14" w:rsidRPr="00FD66CA" w:rsidRDefault="00B83E14" w:rsidP="00B83E14">
      <w:pPr>
        <w:pStyle w:val="ChartandTableFootnote"/>
        <w:rPr>
          <w:color w:val="auto"/>
        </w:rPr>
      </w:pPr>
      <w:r w:rsidRPr="00FD66CA">
        <w:rPr>
          <w:color w:val="auto"/>
        </w:rPr>
        <w:t xml:space="preserve">Source: </w:t>
      </w:r>
      <w:r w:rsidRPr="00FD66CA">
        <w:rPr>
          <w:color w:val="auto"/>
        </w:rPr>
        <w:tab/>
        <w:t xml:space="preserve">ABS Australian National Accounts: National Income, Expenditure and Product and Treasury. </w:t>
      </w:r>
    </w:p>
    <w:p w14:paraId="15170366" w14:textId="454C7FBF" w:rsidR="00B83E14" w:rsidRPr="008541FB" w:rsidRDefault="00B83E14" w:rsidP="00B83E14">
      <w:pPr>
        <w:pStyle w:val="ChartLine"/>
      </w:pPr>
    </w:p>
    <w:p w14:paraId="2EEA1ED9" w14:textId="34EB28C4" w:rsidR="00B83E14" w:rsidRPr="008541FB" w:rsidRDefault="00B83E14" w:rsidP="00B83E14">
      <w:bookmarkStart w:id="60" w:name="_Toc449783849"/>
      <w:bookmarkStart w:id="61" w:name="_Toc3880938"/>
      <w:bookmarkStart w:id="62" w:name="_Toc3881104"/>
      <w:bookmarkStart w:id="63" w:name="_Toc3881281"/>
      <w:bookmarkStart w:id="64" w:name="_Toc52642838"/>
      <w:bookmarkStart w:id="65" w:name="_Toc99026275"/>
      <w:bookmarkStart w:id="66" w:name="_Toc116037830"/>
      <w:bookmarkStart w:id="67" w:name="_Toc116037700"/>
      <w:bookmarkStart w:id="68" w:name="_Toc116040762"/>
      <w:r w:rsidRPr="008541FB">
        <w:br w:type="page"/>
      </w:r>
    </w:p>
    <w:p w14:paraId="66AE268C" w14:textId="0A504AA6" w:rsidR="00B83E14" w:rsidRPr="00FD66CA" w:rsidRDefault="00B83E14" w:rsidP="00B83E14">
      <w:pPr>
        <w:pStyle w:val="Heading3"/>
      </w:pPr>
      <w:bookmarkStart w:id="69" w:name="_Toc223445962"/>
      <w:bookmarkStart w:id="70" w:name="_Toc228976197"/>
      <w:r w:rsidRPr="00FD66CA">
        <w:lastRenderedPageBreak/>
        <w:t xml:space="preserve">Fiscal </w:t>
      </w:r>
      <w:bookmarkEnd w:id="60"/>
      <w:bookmarkEnd w:id="61"/>
      <w:bookmarkEnd w:id="62"/>
      <w:bookmarkEnd w:id="63"/>
      <w:bookmarkEnd w:id="64"/>
      <w:r w:rsidRPr="00FD66CA">
        <w:t>uncertainty based on historical forecast errors</w:t>
      </w:r>
      <w:bookmarkEnd w:id="65"/>
      <w:bookmarkEnd w:id="66"/>
      <w:bookmarkEnd w:id="67"/>
      <w:bookmarkEnd w:id="68"/>
      <w:bookmarkEnd w:id="69"/>
      <w:bookmarkEnd w:id="70"/>
    </w:p>
    <w:p w14:paraId="4209C025" w14:textId="04CE245C" w:rsidR="00B83E14" w:rsidRPr="00FD66CA" w:rsidRDefault="00B83E14" w:rsidP="00B83E14">
      <w:r w:rsidRPr="00FD66CA">
        <w:t xml:space="preserve">Fiscal estimates are based on economic and demographic forecasts as well as estimates </w:t>
      </w:r>
      <w:r w:rsidRPr="00FD66CA" w:rsidDel="00102053">
        <w:t xml:space="preserve">of </w:t>
      </w:r>
      <w:r w:rsidRPr="00FD66CA">
        <w:t xml:space="preserve">spending and revenue measures. </w:t>
      </w:r>
    </w:p>
    <w:p w14:paraId="0B1D2BE1" w14:textId="77777777" w:rsidR="00B83E14" w:rsidRPr="00FD66CA" w:rsidRDefault="00B83E14" w:rsidP="00B83E14">
      <w:pPr>
        <w:rPr>
          <w:rFonts w:eastAsiaTheme="minorHAnsi"/>
        </w:rPr>
      </w:pPr>
      <w:r w:rsidRPr="00FD66CA">
        <w:t xml:space="preserve">Historical variations caused by subsequent policy decisions not known at the time of forecast are excluded because these decisions do not reflect forecasting errors based on available information at the time of preparation. Payment estimates do not exclude the public debt interest associated with these subsequent policy decisions because this cannot be separately identified. </w:t>
      </w:r>
    </w:p>
    <w:p w14:paraId="79290172" w14:textId="325D080F" w:rsidR="00B83E14" w:rsidRPr="00FD66CA" w:rsidRDefault="00B83E14" w:rsidP="00B83E14">
      <w:pPr>
        <w:pStyle w:val="Heading4"/>
        <w:keepNext w:val="0"/>
      </w:pPr>
      <w:r w:rsidRPr="00FD66CA">
        <w:t>Total receipts</w:t>
      </w:r>
    </w:p>
    <w:p w14:paraId="352960C9" w14:textId="4364C1FA" w:rsidR="00B83E14" w:rsidRPr="00FD66CA" w:rsidRDefault="00B83E14" w:rsidP="00B83E14">
      <w:r w:rsidRPr="00FD66CA">
        <w:t>Total receipts (including GST)</w:t>
      </w:r>
      <w:r w:rsidRPr="00FD66CA">
        <w:rPr>
          <w:rStyle w:val="FootnoteReference"/>
        </w:rPr>
        <w:t xml:space="preserve"> </w:t>
      </w:r>
      <w:r w:rsidRPr="00FD66CA">
        <w:t>are expected to be around</w:t>
      </w:r>
      <w:r w:rsidRPr="00FD66CA" w:rsidDel="00001CB0">
        <w:t xml:space="preserve"> </w:t>
      </w:r>
      <w:r w:rsidR="00BE330B" w:rsidRPr="00FD66CA">
        <w:t>25.8</w:t>
      </w:r>
      <w:r w:rsidR="00CB3B92" w:rsidRPr="00FD66CA">
        <w:t> per cent</w:t>
      </w:r>
      <w:r w:rsidRPr="00FD66CA">
        <w:t xml:space="preserve"> of GDP in 202</w:t>
      </w:r>
      <w:r w:rsidR="00432246" w:rsidRPr="00FD66CA">
        <w:t>6</w:t>
      </w:r>
      <w:r w:rsidR="00CB3B92" w:rsidRPr="00FD66CA">
        <w:rPr>
          <w:rFonts w:ascii="Times New Roman" w:hAnsi="Times New Roman"/>
        </w:rPr>
        <w:t>‍</w:t>
      </w:r>
      <w:r w:rsidRPr="00FD66CA">
        <w:t>–</w:t>
      </w:r>
      <w:r w:rsidR="00CB3B92" w:rsidRPr="00FD66CA">
        <w:rPr>
          <w:rFonts w:ascii="Times New Roman" w:hAnsi="Times New Roman"/>
        </w:rPr>
        <w:t>‍</w:t>
      </w:r>
      <w:r w:rsidRPr="00FD66CA">
        <w:t>2</w:t>
      </w:r>
      <w:r w:rsidR="00432246" w:rsidRPr="00FD66CA">
        <w:t>7</w:t>
      </w:r>
      <w:r w:rsidRPr="00FD66CA">
        <w:t>, with the 70</w:t>
      </w:r>
      <w:r w:rsidR="00CB3B92" w:rsidRPr="00FD66CA">
        <w:t> per cent</w:t>
      </w:r>
      <w:r w:rsidRPr="00FD66CA">
        <w:t xml:space="preserve"> confidence interval ranging from </w:t>
      </w:r>
      <w:r w:rsidR="00336681" w:rsidRPr="00FD66CA">
        <w:t>2</w:t>
      </w:r>
      <w:r w:rsidR="00AF4A6C" w:rsidRPr="00FD66CA">
        <w:t>4</w:t>
      </w:r>
      <w:r w:rsidR="00336681" w:rsidRPr="00FD66CA">
        <w:t>.3</w:t>
      </w:r>
      <w:r w:rsidR="00CB3B92" w:rsidRPr="00FD66CA">
        <w:t> per cent</w:t>
      </w:r>
      <w:r w:rsidRPr="00FD66CA">
        <w:t xml:space="preserve"> to </w:t>
      </w:r>
      <w:r w:rsidR="00296BC4" w:rsidRPr="00FD66CA">
        <w:t>2</w:t>
      </w:r>
      <w:r w:rsidR="00F90060" w:rsidRPr="00FD66CA">
        <w:t>7</w:t>
      </w:r>
      <w:r w:rsidR="00296BC4" w:rsidRPr="00FD66CA">
        <w:t>.</w:t>
      </w:r>
      <w:r w:rsidR="00F90060" w:rsidRPr="00FD66CA">
        <w:t>3</w:t>
      </w:r>
      <w:r w:rsidR="00CB3B92" w:rsidRPr="00FD66CA">
        <w:t> per cent</w:t>
      </w:r>
      <w:r w:rsidRPr="00FD66CA">
        <w:t xml:space="preserve"> of</w:t>
      </w:r>
      <w:r w:rsidR="00CB3B92" w:rsidRPr="00FD66CA">
        <w:t> </w:t>
      </w:r>
      <w:r w:rsidRPr="00FD66CA">
        <w:t>GDP. The 90</w:t>
      </w:r>
      <w:r w:rsidR="00CB3B92" w:rsidRPr="00FD66CA">
        <w:t> per cent</w:t>
      </w:r>
      <w:r w:rsidRPr="00FD66CA">
        <w:t xml:space="preserve"> confidence interval ranges from </w:t>
      </w:r>
      <w:r w:rsidR="003B1DC0" w:rsidRPr="00FD66CA">
        <w:t>2</w:t>
      </w:r>
      <w:r w:rsidR="00AF4A6C" w:rsidRPr="00FD66CA">
        <w:t>3</w:t>
      </w:r>
      <w:r w:rsidR="003B1DC0" w:rsidRPr="00FD66CA">
        <w:t>.</w:t>
      </w:r>
      <w:r w:rsidR="00AF4A6C" w:rsidRPr="00FD66CA">
        <w:t>4</w:t>
      </w:r>
      <w:r w:rsidR="00CB3B92" w:rsidRPr="00FD66CA">
        <w:t> per cent</w:t>
      </w:r>
      <w:r w:rsidRPr="00FD66CA">
        <w:t xml:space="preserve"> to</w:t>
      </w:r>
      <w:r w:rsidR="00432246" w:rsidRPr="00FD66CA">
        <w:t xml:space="preserve"> </w:t>
      </w:r>
      <w:r w:rsidR="00E03980" w:rsidRPr="00FD66CA">
        <w:t>2</w:t>
      </w:r>
      <w:r w:rsidR="00B80528" w:rsidRPr="00FD66CA">
        <w:t>8</w:t>
      </w:r>
      <w:r w:rsidR="00E03980" w:rsidRPr="00FD66CA">
        <w:t>.2</w:t>
      </w:r>
      <w:r w:rsidR="00CB3B92" w:rsidRPr="00FD66CA">
        <w:t> per cent</w:t>
      </w:r>
      <w:r w:rsidRPr="00FD66CA">
        <w:t xml:space="preserve"> in</w:t>
      </w:r>
      <w:r w:rsidR="00CB3B92" w:rsidRPr="00FD66CA">
        <w:t> </w:t>
      </w:r>
      <w:r w:rsidRPr="00FD66CA">
        <w:t>202</w:t>
      </w:r>
      <w:r w:rsidR="00432246" w:rsidRPr="00FD66CA">
        <w:t>6</w:t>
      </w:r>
      <w:r w:rsidR="00CB3B92" w:rsidRPr="00FD66CA">
        <w:rPr>
          <w:rFonts w:ascii="Times New Roman" w:hAnsi="Times New Roman"/>
        </w:rPr>
        <w:t>‍</w:t>
      </w:r>
      <w:r w:rsidRPr="00FD66CA">
        <w:t>–</w:t>
      </w:r>
      <w:r w:rsidR="00CB3B92" w:rsidRPr="00FD66CA">
        <w:rPr>
          <w:rFonts w:ascii="Times New Roman" w:hAnsi="Times New Roman"/>
        </w:rPr>
        <w:t>‍</w:t>
      </w:r>
      <w:r w:rsidRPr="00FD66CA">
        <w:t>2</w:t>
      </w:r>
      <w:r w:rsidR="00432246" w:rsidRPr="00FD66CA">
        <w:t>7</w:t>
      </w:r>
      <w:r w:rsidRPr="00FD66CA">
        <w:t>. The</w:t>
      </w:r>
      <w:r w:rsidRPr="00FD66CA" w:rsidDel="00A00AE8">
        <w:t xml:space="preserve"> </w:t>
      </w:r>
      <w:r w:rsidRPr="00FD66CA">
        <w:t>uncertainty around receipts forecasts increases with time (Chart </w:t>
      </w:r>
      <w:r w:rsidR="00B805E3" w:rsidRPr="00FD66CA">
        <w:t>8</w:t>
      </w:r>
      <w:r w:rsidRPr="00FD66CA">
        <w:t xml:space="preserve">.11). </w:t>
      </w:r>
    </w:p>
    <w:p w14:paraId="0F72C7EE" w14:textId="5FF6D08E" w:rsidR="00B83E14" w:rsidRPr="00FD66CA" w:rsidRDefault="00B83E14" w:rsidP="00B83E14">
      <w:pPr>
        <w:pStyle w:val="ChartHeading"/>
        <w:rPr>
          <w:vertAlign w:val="superscript"/>
        </w:rPr>
      </w:pPr>
      <w:r w:rsidRPr="00FD66CA">
        <w:t xml:space="preserve">Chart </w:t>
      </w:r>
      <w:r w:rsidR="00B805E3" w:rsidRPr="00FD66CA">
        <w:t>8</w:t>
      </w:r>
      <w:r w:rsidRPr="00FD66CA">
        <w:t>.11: Confidence intervals around total receipts forecasts</w:t>
      </w:r>
      <w:r w:rsidRPr="00FD66CA">
        <w:rPr>
          <w:vertAlign w:val="superscript"/>
        </w:rPr>
        <w:t>(a)</w:t>
      </w:r>
    </w:p>
    <w:p w14:paraId="416C9ED2" w14:textId="57AE061C" w:rsidR="00B83E14" w:rsidRPr="00FD66CA" w:rsidRDefault="007153E4" w:rsidP="00B83E14">
      <w:pPr>
        <w:pStyle w:val="ChartGraphic"/>
      </w:pPr>
      <w:bookmarkStart w:id="71" w:name="_1709801136"/>
      <w:bookmarkStart w:id="72" w:name="_1803824866"/>
      <w:bookmarkStart w:id="73" w:name="_1803983709"/>
      <w:bookmarkEnd w:id="71"/>
      <w:bookmarkEnd w:id="72"/>
      <w:bookmarkEnd w:id="73"/>
      <w:r w:rsidRPr="00FD66CA">
        <w:rPr>
          <w:noProof/>
        </w:rPr>
        <w:drawing>
          <wp:inline distT="0" distB="0" distL="0" distR="0" wp14:anchorId="4A2D3F8E" wp14:editId="14842444">
            <wp:extent cx="4722703" cy="2520000"/>
            <wp:effectExtent l="0" t="0" r="0" b="0"/>
            <wp:docPr id="1086524845" name="Graphic 6" descr="This chart shows the confidence intervals around the Budget forecast for total receipts as a percentage of GDP. Total receipts (including GST) are expected to be 25.8 per cent in 2026–27. The width of 70 per cent confidence interval grows from 0.8 percentage points in 2025–26 to 4.7 percentage points in 2027–28. The width of the 90 per cent confidence interval grows from 1.2 percentage points in 2025–26 to 7.5 percentage points in 2027–28.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524845" name="Graphic 6" descr="This chart shows the confidence intervals around the Budget forecast for total receipts as a percentage of GDP. Total receipts (including GST) are expected to be 25.8 per cent in 2026–27. The width of 70 per cent confidence interval grows from 0.8 percentage points in 2025–26 to 4.7 percentage points in 2027–28. The width of the 90 per cent confidence interval grows from 1.2 percentage points in 2025–26 to 7.5 percentage points in 2027–28. "/>
                    <pic:cNvPicPr/>
                  </pic:nvPicPr>
                  <pic:blipFill>
                    <a:blip r:embed="rId32">
                      <a:extLst>
                        <a:ext uri="{96DAC541-7B7A-43D3-8B79-37D633B846F1}">
                          <asvg:svgBlip xmlns:asvg="http://schemas.microsoft.com/office/drawing/2016/SVG/main" r:embed="rId33"/>
                        </a:ext>
                      </a:extLst>
                    </a:blip>
                    <a:stretch>
                      <a:fillRect/>
                    </a:stretch>
                  </pic:blipFill>
                  <pic:spPr>
                    <a:xfrm>
                      <a:off x="0" y="0"/>
                      <a:ext cx="4722703" cy="2520000"/>
                    </a:xfrm>
                    <a:prstGeom prst="rect">
                      <a:avLst/>
                    </a:prstGeom>
                  </pic:spPr>
                </pic:pic>
              </a:graphicData>
            </a:graphic>
          </wp:inline>
        </w:drawing>
      </w:r>
    </w:p>
    <w:p w14:paraId="17A422DA" w14:textId="26305FFD" w:rsidR="00CB3B92" w:rsidRPr="00FD66CA" w:rsidRDefault="00B83E14" w:rsidP="00CB3B92">
      <w:pPr>
        <w:pStyle w:val="ChartandTableFootnoteAlpha"/>
        <w:numPr>
          <w:ilvl w:val="0"/>
          <w:numId w:val="19"/>
        </w:numPr>
      </w:pPr>
      <w:r w:rsidRPr="00FD66CA">
        <w:t>Includes Future Fund earnings from 2020–21 onwards.</w:t>
      </w:r>
    </w:p>
    <w:p w14:paraId="00CC8A13" w14:textId="3693225E" w:rsidR="00B83E14" w:rsidRPr="00FD66CA" w:rsidRDefault="00B83E14" w:rsidP="00B83E14">
      <w:pPr>
        <w:pStyle w:val="ChartandTableFootnote"/>
        <w:ind w:right="57"/>
        <w:rPr>
          <w:color w:val="auto"/>
        </w:rPr>
      </w:pPr>
      <w:r w:rsidRPr="00FD66CA">
        <w:rPr>
          <w:color w:val="auto"/>
        </w:rPr>
        <w:t xml:space="preserve">Note: </w:t>
      </w:r>
      <w:r w:rsidRPr="00FD66CA">
        <w:rPr>
          <w:color w:val="auto"/>
        </w:rPr>
        <w:tab/>
      </w:r>
      <w:r w:rsidR="006B45EE" w:rsidRPr="00FD66CA">
        <w:rPr>
          <w:color w:val="auto"/>
        </w:rPr>
        <w:t>The central line shows outcomes and the 2026–27 Budget forecasts. Confidence intervals use Root Mean Square Errors (RMSE) for Budget forecasts from the 1999–2000 Budget onwards. (f) are forecasts.</w:t>
      </w:r>
      <w:r w:rsidRPr="00FD66CA">
        <w:rPr>
          <w:color w:val="auto"/>
        </w:rPr>
        <w:t xml:space="preserve"> </w:t>
      </w:r>
    </w:p>
    <w:p w14:paraId="41D9BD10" w14:textId="77777777" w:rsidR="00B83E14" w:rsidRPr="00FD66CA" w:rsidRDefault="00B83E14" w:rsidP="00B83E14">
      <w:pPr>
        <w:pStyle w:val="ChartandTableFootnote"/>
        <w:rPr>
          <w:color w:val="auto"/>
        </w:rPr>
      </w:pPr>
      <w:r w:rsidRPr="00FD66CA">
        <w:rPr>
          <w:color w:val="auto"/>
        </w:rPr>
        <w:t xml:space="preserve">Source: </w:t>
      </w:r>
      <w:r w:rsidRPr="00FD66CA">
        <w:rPr>
          <w:color w:val="auto"/>
        </w:rPr>
        <w:tab/>
        <w:t xml:space="preserve">Budget papers and Treasury. </w:t>
      </w:r>
    </w:p>
    <w:p w14:paraId="5936F790" w14:textId="77777777" w:rsidR="00B83E14" w:rsidRPr="00FD66CA" w:rsidRDefault="00B83E14" w:rsidP="00B83E14">
      <w:pPr>
        <w:pStyle w:val="ChartLine"/>
      </w:pPr>
    </w:p>
    <w:p w14:paraId="2CC43212" w14:textId="77777777" w:rsidR="00B83E14" w:rsidRPr="00FD66CA" w:rsidRDefault="00B83E14" w:rsidP="00CB3B92">
      <w:bookmarkStart w:id="74" w:name="_Toc448910754"/>
      <w:bookmarkStart w:id="75" w:name="_Toc52369754"/>
      <w:r w:rsidRPr="00FD66CA">
        <w:br w:type="page"/>
      </w:r>
    </w:p>
    <w:p w14:paraId="7DC19F72" w14:textId="77777777" w:rsidR="00B83E14" w:rsidRPr="00FD66CA" w:rsidRDefault="00B83E14" w:rsidP="00B83E14">
      <w:pPr>
        <w:pStyle w:val="Heading4"/>
      </w:pPr>
      <w:r w:rsidRPr="00FD66CA">
        <w:lastRenderedPageBreak/>
        <w:t>Payments</w:t>
      </w:r>
      <w:bookmarkEnd w:id="74"/>
      <w:bookmarkEnd w:id="75"/>
    </w:p>
    <w:p w14:paraId="080EE07D" w14:textId="4CC0EF2B" w:rsidR="00B83E14" w:rsidRPr="00FD66CA" w:rsidRDefault="00B83E14" w:rsidP="00B83E14">
      <w:pPr>
        <w:widowControl w:val="0"/>
      </w:pPr>
      <w:r w:rsidRPr="00FD66CA">
        <w:t>The confidence interval for payments is narrower than receipts because there is greater certainty around payments forecasts. Payments (including GST) are expected to be around</w:t>
      </w:r>
      <w:r w:rsidR="00894D61" w:rsidRPr="00FD66CA">
        <w:t xml:space="preserve"> </w:t>
      </w:r>
      <w:r w:rsidR="00CD1EB1" w:rsidRPr="00FD66CA">
        <w:t>26.8</w:t>
      </w:r>
      <w:r w:rsidR="00CB3B92" w:rsidRPr="00FD66CA">
        <w:t> per cent</w:t>
      </w:r>
      <w:r w:rsidRPr="00FD66CA">
        <w:t xml:space="preserve"> of GDP in 202</w:t>
      </w:r>
      <w:r w:rsidR="00894D61" w:rsidRPr="00FD66CA">
        <w:t>6</w:t>
      </w:r>
      <w:r w:rsidR="00CB3B92" w:rsidRPr="00FD66CA">
        <w:rPr>
          <w:rFonts w:ascii="Times New Roman" w:hAnsi="Times New Roman"/>
        </w:rPr>
        <w:t>‍</w:t>
      </w:r>
      <w:r w:rsidRPr="00FD66CA">
        <w:t>–</w:t>
      </w:r>
      <w:r w:rsidR="00CB3B92" w:rsidRPr="00FD66CA">
        <w:rPr>
          <w:rFonts w:ascii="Times New Roman" w:hAnsi="Times New Roman"/>
        </w:rPr>
        <w:t>‍</w:t>
      </w:r>
      <w:r w:rsidRPr="00FD66CA">
        <w:t>2</w:t>
      </w:r>
      <w:r w:rsidR="00894D61" w:rsidRPr="00FD66CA">
        <w:t>7</w:t>
      </w:r>
      <w:r w:rsidRPr="00FD66CA">
        <w:t>, with the 70</w:t>
      </w:r>
      <w:r w:rsidR="00CB3B92" w:rsidRPr="00FD66CA">
        <w:t> per cent</w:t>
      </w:r>
      <w:r w:rsidRPr="00FD66CA">
        <w:t xml:space="preserve"> confidence interval ranging from</w:t>
      </w:r>
      <w:r w:rsidR="00894D61" w:rsidRPr="00FD66CA">
        <w:t xml:space="preserve"> </w:t>
      </w:r>
      <w:r w:rsidR="00B0254D" w:rsidRPr="00FD66CA">
        <w:t>26.3</w:t>
      </w:r>
      <w:r w:rsidR="00CB3B92" w:rsidRPr="00FD66CA">
        <w:t> per cent</w:t>
      </w:r>
      <w:r w:rsidRPr="00FD66CA">
        <w:t xml:space="preserve"> to </w:t>
      </w:r>
      <w:r w:rsidR="007851D9" w:rsidRPr="00FD66CA">
        <w:t>27.3</w:t>
      </w:r>
      <w:r w:rsidR="00CB3B92" w:rsidRPr="00FD66CA">
        <w:t> per cent</w:t>
      </w:r>
      <w:r w:rsidRPr="00FD66CA">
        <w:t xml:space="preserve"> of GDP. The 90</w:t>
      </w:r>
      <w:r w:rsidR="00CB3B92" w:rsidRPr="00FD66CA">
        <w:t> per cent</w:t>
      </w:r>
      <w:r w:rsidRPr="00FD66CA">
        <w:t xml:space="preserve"> confidence interval ranges from</w:t>
      </w:r>
      <w:r w:rsidR="00894D61" w:rsidRPr="00FD66CA">
        <w:t xml:space="preserve"> </w:t>
      </w:r>
      <w:r w:rsidR="00271353" w:rsidRPr="00FD66CA">
        <w:t>26.0</w:t>
      </w:r>
      <w:r w:rsidR="00CB3B92" w:rsidRPr="00FD66CA">
        <w:t> per cent</w:t>
      </w:r>
      <w:r w:rsidRPr="00FD66CA">
        <w:t xml:space="preserve"> to</w:t>
      </w:r>
      <w:r w:rsidR="00894D61" w:rsidRPr="00FD66CA">
        <w:t xml:space="preserve"> </w:t>
      </w:r>
      <w:r w:rsidR="00271353" w:rsidRPr="00FD66CA">
        <w:t>27.6</w:t>
      </w:r>
      <w:r w:rsidR="00CB3B92" w:rsidRPr="00FD66CA">
        <w:t> per cent</w:t>
      </w:r>
      <w:r w:rsidRPr="00FD66CA">
        <w:t xml:space="preserve"> in 202</w:t>
      </w:r>
      <w:r w:rsidR="00894D61" w:rsidRPr="00FD66CA">
        <w:t>6</w:t>
      </w:r>
      <w:r w:rsidR="00CB3B92" w:rsidRPr="00FD66CA">
        <w:rPr>
          <w:rFonts w:ascii="Times New Roman" w:hAnsi="Times New Roman"/>
        </w:rPr>
        <w:t>‍</w:t>
      </w:r>
      <w:r w:rsidRPr="00FD66CA">
        <w:t>–</w:t>
      </w:r>
      <w:r w:rsidR="00CB3B92" w:rsidRPr="00FD66CA">
        <w:rPr>
          <w:rFonts w:ascii="Times New Roman" w:hAnsi="Times New Roman"/>
        </w:rPr>
        <w:t>‍</w:t>
      </w:r>
      <w:r w:rsidRPr="00FD66CA">
        <w:t>2</w:t>
      </w:r>
      <w:r w:rsidR="00894D61" w:rsidRPr="00FD66CA">
        <w:t>7</w:t>
      </w:r>
      <w:r w:rsidRPr="00FD66CA">
        <w:t xml:space="preserve"> (Chart </w:t>
      </w:r>
      <w:r w:rsidR="00B805E3" w:rsidRPr="00FD66CA">
        <w:t>8</w:t>
      </w:r>
      <w:r w:rsidRPr="00FD66CA">
        <w:t>.12).</w:t>
      </w:r>
    </w:p>
    <w:p w14:paraId="3DC6C97E" w14:textId="2377474D" w:rsidR="00B83E14" w:rsidRPr="00FD66CA" w:rsidRDefault="00B83E14" w:rsidP="00B83E14">
      <w:pPr>
        <w:pStyle w:val="ChartHeading"/>
        <w:rPr>
          <w:vertAlign w:val="superscript"/>
        </w:rPr>
      </w:pPr>
      <w:r w:rsidRPr="00FD66CA">
        <w:t xml:space="preserve">Chart </w:t>
      </w:r>
      <w:r w:rsidR="00B805E3" w:rsidRPr="00FD66CA">
        <w:t>8</w:t>
      </w:r>
      <w:r w:rsidRPr="00FD66CA">
        <w:t>.12: Confidence intervals around payments forecasts</w:t>
      </w:r>
      <w:r w:rsidRPr="00FD66CA">
        <w:rPr>
          <w:vertAlign w:val="superscript"/>
        </w:rPr>
        <w:t>(a)</w:t>
      </w:r>
    </w:p>
    <w:p w14:paraId="0E2CB574" w14:textId="46812455" w:rsidR="00B83E14" w:rsidRPr="00FD66CA" w:rsidRDefault="00305EB4" w:rsidP="00B83E14">
      <w:pPr>
        <w:pStyle w:val="ChartGraphic"/>
      </w:pPr>
      <w:bookmarkStart w:id="76" w:name="_1803983711"/>
      <w:bookmarkEnd w:id="76"/>
      <w:r w:rsidRPr="00FD66CA">
        <w:rPr>
          <w:noProof/>
        </w:rPr>
        <w:drawing>
          <wp:inline distT="0" distB="0" distL="0" distR="0" wp14:anchorId="635B9BF5" wp14:editId="4A94FB1E">
            <wp:extent cx="4719262" cy="2520000"/>
            <wp:effectExtent l="0" t="0" r="0" b="0"/>
            <wp:docPr id="1736100594" name="Graphic 5" descr="This chart shows confidence intervals around the Budget forecast for payments as a percentage of GDP. Payments (including GST) are expected to be 26.8 per cent in 2026–27. The 70 per cent confidence interval grows in width from 0.6 percentage points in 2025–26 to 1.1 percentage points in 2027–28. The 90 per cent confidence interval grows in width from 1.0 percentage points in 2025–26 to 1.8 percentage points in 2027–28.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100594" name="Graphic 5" descr="This chart shows confidence intervals around the Budget forecast for payments as a percentage of GDP. Payments (including GST) are expected to be 26.8 per cent in 2026–27. The 70 per cent confidence interval grows in width from 0.6 percentage points in 2025–26 to 1.1 percentage points in 2027–28. The 90 per cent confidence interval grows in width from 1.0 percentage points in 2025–26 to 1.8 percentage points in 2027–28. "/>
                    <pic:cNvPicPr/>
                  </pic:nvPicPr>
                  <pic:blipFill>
                    <a:blip r:embed="rId34">
                      <a:extLst>
                        <a:ext uri="{96DAC541-7B7A-43D3-8B79-37D633B846F1}">
                          <asvg:svgBlip xmlns:asvg="http://schemas.microsoft.com/office/drawing/2016/SVG/main" r:embed="rId35"/>
                        </a:ext>
                      </a:extLst>
                    </a:blip>
                    <a:stretch>
                      <a:fillRect/>
                    </a:stretch>
                  </pic:blipFill>
                  <pic:spPr>
                    <a:xfrm>
                      <a:off x="0" y="0"/>
                      <a:ext cx="4719262" cy="2520000"/>
                    </a:xfrm>
                    <a:prstGeom prst="rect">
                      <a:avLst/>
                    </a:prstGeom>
                  </pic:spPr>
                </pic:pic>
              </a:graphicData>
            </a:graphic>
          </wp:inline>
        </w:drawing>
      </w:r>
    </w:p>
    <w:p w14:paraId="6439CBFA" w14:textId="77777777" w:rsidR="00B83E14" w:rsidRPr="00FD66CA" w:rsidRDefault="00B83E14" w:rsidP="00CB3B92">
      <w:pPr>
        <w:pStyle w:val="ChartandTableFootnoteAlpha"/>
        <w:numPr>
          <w:ilvl w:val="0"/>
          <w:numId w:val="25"/>
        </w:numPr>
        <w:rPr>
          <w:color w:val="auto"/>
        </w:rPr>
      </w:pPr>
      <w:r w:rsidRPr="00FD66CA">
        <w:rPr>
          <w:color w:val="auto"/>
        </w:rPr>
        <w:t>Includes GST payments.</w:t>
      </w:r>
    </w:p>
    <w:p w14:paraId="18530F70" w14:textId="09E19AB1" w:rsidR="00B83E14" w:rsidRPr="00FD66CA" w:rsidRDefault="00B83E14" w:rsidP="00B83E14">
      <w:pPr>
        <w:pStyle w:val="ChartandTableFootnote"/>
        <w:ind w:right="57"/>
        <w:rPr>
          <w:color w:val="auto"/>
        </w:rPr>
      </w:pPr>
      <w:r w:rsidRPr="00FD66CA">
        <w:rPr>
          <w:color w:val="auto"/>
        </w:rPr>
        <w:t xml:space="preserve">Note: </w:t>
      </w:r>
      <w:r w:rsidRPr="00FD66CA">
        <w:rPr>
          <w:color w:val="auto"/>
        </w:rPr>
        <w:tab/>
      </w:r>
      <w:r w:rsidR="00726FDF" w:rsidRPr="00FD66CA">
        <w:rPr>
          <w:color w:val="auto"/>
        </w:rPr>
        <w:t>The central line shows outcomes and the 2026–27 Budget forecasts. Confidence intervals use Root Mean Square Errors (RMSE) for Budget forecasts from the 1999–2000 Budget onwards. (f) are forecasts.</w:t>
      </w:r>
    </w:p>
    <w:p w14:paraId="4583F874" w14:textId="77777777" w:rsidR="00B83E14" w:rsidRPr="00FD66CA" w:rsidRDefault="00B83E14" w:rsidP="00B83E14">
      <w:pPr>
        <w:pStyle w:val="ChartandTableFootnote"/>
        <w:rPr>
          <w:color w:val="auto"/>
        </w:rPr>
      </w:pPr>
      <w:r w:rsidRPr="00FD66CA">
        <w:rPr>
          <w:color w:val="auto"/>
        </w:rPr>
        <w:t xml:space="preserve">Source: </w:t>
      </w:r>
      <w:r w:rsidRPr="00FD66CA">
        <w:rPr>
          <w:color w:val="auto"/>
        </w:rPr>
        <w:tab/>
        <w:t xml:space="preserve">Budget papers and Treasury. </w:t>
      </w:r>
    </w:p>
    <w:p w14:paraId="72DF5FE4" w14:textId="77777777" w:rsidR="00B83E14" w:rsidRPr="00FD66CA" w:rsidRDefault="00B83E14" w:rsidP="00B83E14">
      <w:pPr>
        <w:pStyle w:val="ChartLine"/>
      </w:pPr>
    </w:p>
    <w:p w14:paraId="7E6EA14A" w14:textId="328FB03F" w:rsidR="00B83E14" w:rsidRPr="00FD66CA" w:rsidRDefault="00B83E14" w:rsidP="00CB3B92">
      <w:bookmarkStart w:id="77" w:name="_Toc52369755"/>
      <w:r w:rsidRPr="00FD66CA">
        <w:br w:type="page"/>
      </w:r>
    </w:p>
    <w:p w14:paraId="752E90A3" w14:textId="77777777" w:rsidR="00B83E14" w:rsidRPr="00FD66CA" w:rsidRDefault="00B83E14" w:rsidP="00B83E14">
      <w:pPr>
        <w:pStyle w:val="Heading4"/>
      </w:pPr>
      <w:r w:rsidRPr="00FD66CA">
        <w:lastRenderedPageBreak/>
        <w:t>Underlying cash balance</w:t>
      </w:r>
      <w:bookmarkEnd w:id="77"/>
    </w:p>
    <w:p w14:paraId="166FA7B1" w14:textId="3D840F06" w:rsidR="00B83E14" w:rsidRPr="00FD66CA" w:rsidRDefault="00B83E14" w:rsidP="00B83E14">
      <w:pPr>
        <w:ind w:right="113"/>
      </w:pPr>
      <w:r w:rsidRPr="00FD66CA">
        <w:t>The underlying cash deficit in 202</w:t>
      </w:r>
      <w:r w:rsidR="00184A7A" w:rsidRPr="00FD66CA">
        <w:t>6</w:t>
      </w:r>
      <w:r w:rsidR="00CB3B92" w:rsidRPr="00FD66CA">
        <w:rPr>
          <w:rFonts w:ascii="Times New Roman" w:hAnsi="Times New Roman"/>
        </w:rPr>
        <w:t>‍</w:t>
      </w:r>
      <w:r w:rsidRPr="00FD66CA">
        <w:t>–</w:t>
      </w:r>
      <w:r w:rsidR="00CB3B92" w:rsidRPr="00FD66CA">
        <w:rPr>
          <w:rFonts w:ascii="Times New Roman" w:hAnsi="Times New Roman"/>
        </w:rPr>
        <w:t>‍</w:t>
      </w:r>
      <w:r w:rsidRPr="00FD66CA">
        <w:t>2</w:t>
      </w:r>
      <w:r w:rsidR="00184A7A" w:rsidRPr="00FD66CA">
        <w:t>7</w:t>
      </w:r>
      <w:r w:rsidRPr="00FD66CA">
        <w:t xml:space="preserve"> is expected to be</w:t>
      </w:r>
      <w:r w:rsidRPr="00FD66CA" w:rsidDel="00160B1E">
        <w:t xml:space="preserve"> </w:t>
      </w:r>
      <w:r w:rsidR="00247403" w:rsidRPr="00FD66CA">
        <w:t>1</w:t>
      </w:r>
      <w:r w:rsidR="00184A7A" w:rsidRPr="00FD66CA">
        <w:t>.</w:t>
      </w:r>
      <w:r w:rsidR="00247403" w:rsidRPr="00FD66CA">
        <w:t>0</w:t>
      </w:r>
      <w:r w:rsidR="00CB3B92" w:rsidRPr="00FD66CA">
        <w:t> per cent</w:t>
      </w:r>
      <w:r w:rsidRPr="00FD66CA">
        <w:t xml:space="preserve"> of GDP, with the 70</w:t>
      </w:r>
      <w:r w:rsidR="00CB3B92" w:rsidRPr="00FD66CA">
        <w:t> per cent</w:t>
      </w:r>
      <w:r w:rsidRPr="00FD66CA">
        <w:t xml:space="preserve"> confidence interval ranging from a deficit of</w:t>
      </w:r>
      <w:r w:rsidR="00184A7A" w:rsidRPr="00FD66CA">
        <w:t xml:space="preserve"> </w:t>
      </w:r>
      <w:r w:rsidR="00FD4D25" w:rsidRPr="00FD66CA">
        <w:t>2</w:t>
      </w:r>
      <w:r w:rsidR="00184A7A" w:rsidRPr="00FD66CA">
        <w:t>.</w:t>
      </w:r>
      <w:r w:rsidR="00FD4D25" w:rsidRPr="00FD66CA">
        <w:t>8</w:t>
      </w:r>
      <w:r w:rsidR="00CB3B92" w:rsidRPr="00FD66CA">
        <w:t> per cent</w:t>
      </w:r>
      <w:r w:rsidRPr="00FD66CA">
        <w:t xml:space="preserve"> to a surplus</w:t>
      </w:r>
      <w:r w:rsidR="00184A7A" w:rsidRPr="00FD66CA">
        <w:t xml:space="preserve"> </w:t>
      </w:r>
      <w:r w:rsidRPr="00FD66CA">
        <w:t xml:space="preserve">of </w:t>
      </w:r>
      <w:r w:rsidR="008357D3" w:rsidRPr="00FD66CA">
        <w:t>0</w:t>
      </w:r>
      <w:r w:rsidR="00184A7A" w:rsidRPr="00FD66CA">
        <w:t>.</w:t>
      </w:r>
      <w:r w:rsidR="008357D3" w:rsidRPr="00FD66CA">
        <w:t>8</w:t>
      </w:r>
      <w:r w:rsidR="00CB3B92" w:rsidRPr="00FD66CA">
        <w:t> per cent</w:t>
      </w:r>
      <w:r w:rsidRPr="00FD66CA">
        <w:t xml:space="preserve"> of GDP. The 90</w:t>
      </w:r>
      <w:r w:rsidR="00CB3B92" w:rsidRPr="00FD66CA">
        <w:t> per cent</w:t>
      </w:r>
      <w:r w:rsidRPr="00FD66CA">
        <w:t xml:space="preserve"> confidence interval ranges from a deficit</w:t>
      </w:r>
      <w:r w:rsidR="00184A7A" w:rsidRPr="00FD66CA">
        <w:t xml:space="preserve"> </w:t>
      </w:r>
      <w:r w:rsidRPr="00FD66CA">
        <w:t xml:space="preserve">of </w:t>
      </w:r>
      <w:r w:rsidR="00BB526D" w:rsidRPr="00FD66CA">
        <w:t>3</w:t>
      </w:r>
      <w:r w:rsidR="00184A7A" w:rsidRPr="00FD66CA">
        <w:t>.</w:t>
      </w:r>
      <w:r w:rsidR="00F65E32" w:rsidRPr="00FD66CA">
        <w:t>8</w:t>
      </w:r>
      <w:r w:rsidR="00CB3B92" w:rsidRPr="00FD66CA">
        <w:t> per cent</w:t>
      </w:r>
      <w:r w:rsidRPr="00FD66CA">
        <w:t xml:space="preserve"> to a surplus of</w:t>
      </w:r>
      <w:r w:rsidRPr="00FD66CA" w:rsidDel="00C21438">
        <w:t xml:space="preserve"> </w:t>
      </w:r>
      <w:r w:rsidR="00FC4B32" w:rsidRPr="00FD66CA">
        <w:t>1</w:t>
      </w:r>
      <w:r w:rsidR="00184A7A" w:rsidRPr="00FD66CA">
        <w:t>.</w:t>
      </w:r>
      <w:r w:rsidR="00FC4B32" w:rsidRPr="00FD66CA">
        <w:t>8</w:t>
      </w:r>
      <w:r w:rsidR="00CB3B92" w:rsidRPr="00FD66CA">
        <w:t> per cent</w:t>
      </w:r>
      <w:r w:rsidRPr="00FD66CA">
        <w:t xml:space="preserve"> in 202</w:t>
      </w:r>
      <w:r w:rsidR="00184A7A" w:rsidRPr="00FD66CA">
        <w:t>6</w:t>
      </w:r>
      <w:r w:rsidR="00CB3B92" w:rsidRPr="00FD66CA">
        <w:rPr>
          <w:rFonts w:ascii="Times New Roman" w:hAnsi="Times New Roman"/>
        </w:rPr>
        <w:t>‍</w:t>
      </w:r>
      <w:r w:rsidRPr="00FD66CA">
        <w:t>–</w:t>
      </w:r>
      <w:r w:rsidR="00CB3B92" w:rsidRPr="00FD66CA">
        <w:rPr>
          <w:rFonts w:ascii="Times New Roman" w:hAnsi="Times New Roman"/>
        </w:rPr>
        <w:t>‍</w:t>
      </w:r>
      <w:r w:rsidRPr="00FD66CA">
        <w:t>2</w:t>
      </w:r>
      <w:r w:rsidR="00184A7A" w:rsidRPr="00FD66CA">
        <w:t>7</w:t>
      </w:r>
      <w:r w:rsidRPr="00FD66CA">
        <w:t xml:space="preserve">. </w:t>
      </w:r>
    </w:p>
    <w:p w14:paraId="5480E91F" w14:textId="7275771D" w:rsidR="00B83E14" w:rsidRPr="00FD66CA" w:rsidRDefault="00B83E14" w:rsidP="00B83E14">
      <w:pPr>
        <w:ind w:right="113"/>
      </w:pPr>
      <w:r w:rsidRPr="00FD66CA">
        <w:t>The uncertainty around underlying cash balance forecasts reflects forecast errors in receipts and payments which increase further out in time (Chart </w:t>
      </w:r>
      <w:r w:rsidR="00B805E3" w:rsidRPr="00FD66CA">
        <w:t>8</w:t>
      </w:r>
      <w:r w:rsidRPr="00FD66CA">
        <w:t>.</w:t>
      </w:r>
      <w:r w:rsidRPr="00FD66CA" w:rsidDel="00B448DB">
        <w:t>1</w:t>
      </w:r>
      <w:r w:rsidRPr="00FD66CA">
        <w:t xml:space="preserve">3). </w:t>
      </w:r>
    </w:p>
    <w:p w14:paraId="707C3076" w14:textId="5F123FA7" w:rsidR="00B83E14" w:rsidRPr="00FD66CA" w:rsidRDefault="00B83E14" w:rsidP="00B83E14">
      <w:pPr>
        <w:pStyle w:val="ChartHeading"/>
      </w:pPr>
      <w:r w:rsidRPr="00FD66CA">
        <w:t xml:space="preserve">Chart </w:t>
      </w:r>
      <w:r w:rsidR="00B805E3" w:rsidRPr="00FD66CA">
        <w:t>8</w:t>
      </w:r>
      <w:r w:rsidRPr="00FD66CA">
        <w:t>.</w:t>
      </w:r>
      <w:r w:rsidRPr="00FD66CA" w:rsidDel="00B448DB">
        <w:t>1</w:t>
      </w:r>
      <w:r w:rsidRPr="00FD66CA">
        <w:t>3: Confidence intervals around the underlying cash balance forecasts</w:t>
      </w:r>
    </w:p>
    <w:p w14:paraId="675C15C7" w14:textId="52A17874" w:rsidR="00B83E14" w:rsidRPr="00FD66CA" w:rsidRDefault="00926846" w:rsidP="00B83E14">
      <w:pPr>
        <w:pStyle w:val="ChartGraphic"/>
      </w:pPr>
      <w:r w:rsidRPr="00FD66CA">
        <w:rPr>
          <w:noProof/>
        </w:rPr>
        <w:drawing>
          <wp:inline distT="0" distB="0" distL="0" distR="0" wp14:anchorId="1796D0E9" wp14:editId="171802D1">
            <wp:extent cx="4682863" cy="2520000"/>
            <wp:effectExtent l="0" t="0" r="0" b="0"/>
            <wp:docPr id="1404243917" name="Graphic 4" descr="This chart shows confidence intervals around the Budget forecast for the underlying cash balance as a percentage of GDP. The underlying cash balance is expected to be in a deficit of 1.0 per cent of GDP in 2026–27. The width of 70 per cent confidence interval grows from 1.2 percentage points in 2025–26 to 4.8 percentage points in 2027–28. The width of the 90 per cent confidence interval grows from 1.9 percentage points in 2025–26 to 7.7 percentage points in 2027–28.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43917" name="Graphic 4" descr="This chart shows confidence intervals around the Budget forecast for the underlying cash balance as a percentage of GDP. The underlying cash balance is expected to be in a deficit of 1.0 per cent of GDP in 2026–27. The width of 70 per cent confidence interval grows from 1.2 percentage points in 2025–26 to 4.8 percentage points in 2027–28. The width of the 90 per cent confidence interval grows from 1.9 percentage points in 2025–26 to 7.7 percentage points in 2027–28. "/>
                    <pic:cNvPicPr/>
                  </pic:nvPicPr>
                  <pic:blipFill>
                    <a:blip r:embed="rId36">
                      <a:extLst>
                        <a:ext uri="{96DAC541-7B7A-43D3-8B79-37D633B846F1}">
                          <asvg:svgBlip xmlns:asvg="http://schemas.microsoft.com/office/drawing/2016/SVG/main" r:embed="rId37"/>
                        </a:ext>
                      </a:extLst>
                    </a:blip>
                    <a:stretch>
                      <a:fillRect/>
                    </a:stretch>
                  </pic:blipFill>
                  <pic:spPr>
                    <a:xfrm>
                      <a:off x="0" y="0"/>
                      <a:ext cx="4682863" cy="2520000"/>
                    </a:xfrm>
                    <a:prstGeom prst="rect">
                      <a:avLst/>
                    </a:prstGeom>
                  </pic:spPr>
                </pic:pic>
              </a:graphicData>
            </a:graphic>
          </wp:inline>
        </w:drawing>
      </w:r>
    </w:p>
    <w:p w14:paraId="52BC5752" w14:textId="05EF3EDC" w:rsidR="00B83E14" w:rsidRPr="00FD66CA" w:rsidRDefault="00B83E14" w:rsidP="00B83E14">
      <w:pPr>
        <w:pStyle w:val="ChartandTableFootnote"/>
        <w:ind w:right="57"/>
        <w:rPr>
          <w:color w:val="auto"/>
        </w:rPr>
      </w:pPr>
      <w:r w:rsidRPr="00FD66CA">
        <w:rPr>
          <w:color w:val="auto"/>
        </w:rPr>
        <w:t xml:space="preserve">Note: </w:t>
      </w:r>
      <w:r w:rsidRPr="00FD66CA">
        <w:rPr>
          <w:color w:val="auto"/>
        </w:rPr>
        <w:tab/>
      </w:r>
      <w:r w:rsidR="00045474" w:rsidRPr="00FD66CA">
        <w:rPr>
          <w:color w:val="auto"/>
        </w:rPr>
        <w:t>The central line shows outcomes and the 2026–27 Budget forecasts. Confidence intervals use Root Mean Square Errors (RMSE) for Budget forecasts from the 1999–2000 Budget onwards. (f) are forecasts.</w:t>
      </w:r>
      <w:r w:rsidRPr="00FD66CA">
        <w:rPr>
          <w:color w:val="auto"/>
        </w:rPr>
        <w:t xml:space="preserve"> </w:t>
      </w:r>
    </w:p>
    <w:p w14:paraId="1E6ED170" w14:textId="77777777" w:rsidR="00B83E14" w:rsidRPr="00FD66CA" w:rsidRDefault="00B83E14" w:rsidP="00B83E14">
      <w:pPr>
        <w:pStyle w:val="ChartandTableFootnote"/>
        <w:ind w:left="0" w:firstLine="0"/>
        <w:rPr>
          <w:color w:val="auto"/>
        </w:rPr>
      </w:pPr>
      <w:r w:rsidRPr="00FD66CA">
        <w:rPr>
          <w:color w:val="auto"/>
        </w:rPr>
        <w:t xml:space="preserve">Source: </w:t>
      </w:r>
      <w:r w:rsidRPr="00FD66CA">
        <w:rPr>
          <w:color w:val="auto"/>
        </w:rPr>
        <w:tab/>
        <w:t xml:space="preserve">Budget papers and Treasury. </w:t>
      </w:r>
      <w:bookmarkStart w:id="78" w:name="_Toc449783850"/>
      <w:bookmarkStart w:id="79" w:name="_Toc3880939"/>
      <w:bookmarkStart w:id="80" w:name="_Toc3881105"/>
      <w:bookmarkStart w:id="81" w:name="_Toc3881282"/>
      <w:bookmarkStart w:id="82" w:name="_Toc52642839"/>
      <w:bookmarkStart w:id="83" w:name="_Toc99026276"/>
      <w:bookmarkStart w:id="84" w:name="_Toc116037831"/>
      <w:bookmarkStart w:id="85" w:name="_Toc116037701"/>
      <w:bookmarkStart w:id="86" w:name="_Toc116040763"/>
    </w:p>
    <w:p w14:paraId="1C6577B4" w14:textId="77777777" w:rsidR="00B83E14" w:rsidRPr="00FD66CA" w:rsidRDefault="00B83E14" w:rsidP="00B83E14">
      <w:pPr>
        <w:pStyle w:val="ChartLine"/>
      </w:pPr>
    </w:p>
    <w:p w14:paraId="7BADE8D6" w14:textId="77777777" w:rsidR="00B83E14" w:rsidRPr="00FD66CA" w:rsidRDefault="00B83E14" w:rsidP="00CB3B92">
      <w:r w:rsidRPr="00FD66CA">
        <w:br w:type="page"/>
      </w:r>
    </w:p>
    <w:p w14:paraId="59CA5FA3" w14:textId="77777777" w:rsidR="00B83E14" w:rsidRPr="00FD66CA" w:rsidRDefault="00B83E14" w:rsidP="00B83E14">
      <w:pPr>
        <w:pStyle w:val="Heading2"/>
        <w:spacing w:before="480"/>
      </w:pPr>
      <w:bookmarkStart w:id="87" w:name="_Toc223445963"/>
      <w:bookmarkStart w:id="88" w:name="_Toc228976198"/>
      <w:r w:rsidRPr="00FD66CA">
        <w:lastRenderedPageBreak/>
        <w:t>Assessing current forecasts through sensitivity analysis</w:t>
      </w:r>
      <w:bookmarkEnd w:id="78"/>
      <w:bookmarkEnd w:id="79"/>
      <w:bookmarkEnd w:id="80"/>
      <w:bookmarkEnd w:id="81"/>
      <w:bookmarkEnd w:id="82"/>
      <w:bookmarkEnd w:id="83"/>
      <w:bookmarkEnd w:id="84"/>
      <w:bookmarkEnd w:id="85"/>
      <w:bookmarkEnd w:id="86"/>
      <w:bookmarkEnd w:id="87"/>
      <w:bookmarkEnd w:id="88"/>
    </w:p>
    <w:p w14:paraId="43C3E0D5" w14:textId="18B9CCF0" w:rsidR="00B83E14" w:rsidRPr="00FD66CA" w:rsidRDefault="00B83E14" w:rsidP="00B83E14">
      <w:r w:rsidRPr="00FD66CA">
        <w:t>Sensitivity analysis allows for an assessment of the impact of key assumptions. The following sensitivity analyses are considered due to their variability and importance for the Budget:</w:t>
      </w:r>
      <w:r w:rsidR="00B50470" w:rsidRPr="00FD66CA">
        <w:rPr>
          <w:rStyle w:val="FootnoteReference"/>
        </w:rPr>
        <w:footnoteReference w:id="3"/>
      </w:r>
      <w:r w:rsidRPr="00FD66CA">
        <w:t xml:space="preserve"> </w:t>
      </w:r>
    </w:p>
    <w:p w14:paraId="4C952571" w14:textId="28D2ABBC" w:rsidR="00B83E14" w:rsidRPr="00FD66CA" w:rsidRDefault="00B83E14" w:rsidP="00B83E14">
      <w:pPr>
        <w:pStyle w:val="Bullet"/>
        <w:numPr>
          <w:ilvl w:val="0"/>
          <w:numId w:val="3"/>
        </w:numPr>
        <w:tabs>
          <w:tab w:val="clear" w:pos="283"/>
          <w:tab w:val="num" w:pos="850"/>
        </w:tabs>
        <w:ind w:left="284" w:hanging="284"/>
      </w:pPr>
      <w:r w:rsidRPr="00FD66CA">
        <w:t xml:space="preserve">Higher </w:t>
      </w:r>
      <w:r w:rsidR="00CD4EFF" w:rsidRPr="00FD66CA">
        <w:t>oil</w:t>
      </w:r>
      <w:r w:rsidRPr="00FD66CA">
        <w:t xml:space="preserve"> prices</w:t>
      </w:r>
      <w:r w:rsidR="006E1303" w:rsidRPr="00FD66CA">
        <w:t xml:space="preserve"> in the </w:t>
      </w:r>
      <w:r w:rsidR="00BA400A" w:rsidRPr="00FD66CA">
        <w:t>estimates period</w:t>
      </w:r>
      <w:r w:rsidRPr="00FD66CA">
        <w:t>.</w:t>
      </w:r>
    </w:p>
    <w:p w14:paraId="10CA46A1" w14:textId="0EFDB236" w:rsidR="00B83E14" w:rsidRPr="00FD66CA" w:rsidRDefault="00B83E14" w:rsidP="00B83E14">
      <w:pPr>
        <w:pStyle w:val="Bullet"/>
        <w:numPr>
          <w:ilvl w:val="0"/>
          <w:numId w:val="3"/>
        </w:numPr>
        <w:tabs>
          <w:tab w:val="clear" w:pos="283"/>
          <w:tab w:val="num" w:pos="850"/>
        </w:tabs>
        <w:ind w:left="284" w:hanging="284"/>
      </w:pPr>
      <w:r w:rsidRPr="00FD66CA">
        <w:t>Higher and lower yields over the</w:t>
      </w:r>
      <w:r w:rsidR="000C5310" w:rsidRPr="00FD66CA">
        <w:t xml:space="preserve"> projection perio</w:t>
      </w:r>
      <w:r w:rsidR="00F84C0E">
        <w:t>d.</w:t>
      </w:r>
    </w:p>
    <w:p w14:paraId="3B045B84" w14:textId="60A08D0E" w:rsidR="00B83E14" w:rsidRPr="008541FB" w:rsidRDefault="00B83E14" w:rsidP="00B83E14">
      <w:r w:rsidRPr="00FD66CA">
        <w:t xml:space="preserve">For illustrative purposes, the upper and lower sensitivities are broadly symmetric, even where not equally probable. </w:t>
      </w:r>
    </w:p>
    <w:p w14:paraId="3137A64E" w14:textId="3A6F7321" w:rsidR="00B83E14" w:rsidRPr="00FD66CA" w:rsidRDefault="00B83E14" w:rsidP="00B83E14">
      <w:pPr>
        <w:pStyle w:val="Heading3"/>
        <w:keepLines/>
      </w:pPr>
      <w:bookmarkStart w:id="89" w:name="_Toc99026277"/>
      <w:bookmarkStart w:id="90" w:name="_Toc116037832"/>
      <w:bookmarkStart w:id="91" w:name="_Toc116037702"/>
      <w:bookmarkStart w:id="92" w:name="_Toc116040764"/>
      <w:bookmarkStart w:id="93" w:name="_Toc223445964"/>
      <w:bookmarkStart w:id="94" w:name="_Toc228976199"/>
      <w:r w:rsidRPr="00FD66CA">
        <w:t xml:space="preserve">Movements in </w:t>
      </w:r>
      <w:r w:rsidR="00CD4EFF" w:rsidRPr="00FD66CA">
        <w:t>oil</w:t>
      </w:r>
      <w:r w:rsidRPr="00FD66CA">
        <w:t xml:space="preserve"> price</w:t>
      </w:r>
      <w:bookmarkEnd w:id="89"/>
      <w:bookmarkEnd w:id="90"/>
      <w:bookmarkEnd w:id="91"/>
      <w:bookmarkEnd w:id="92"/>
      <w:r w:rsidRPr="00FD66CA">
        <w:t>s</w:t>
      </w:r>
      <w:bookmarkEnd w:id="93"/>
      <w:bookmarkEnd w:id="94"/>
    </w:p>
    <w:p w14:paraId="03E75915" w14:textId="47B8BC9B" w:rsidR="001453D6" w:rsidRPr="00FD66CA" w:rsidRDefault="001453D6" w:rsidP="008B62BA">
      <w:bookmarkStart w:id="95" w:name="_Toc133235096"/>
      <w:r w:rsidRPr="00FD66CA">
        <w:t xml:space="preserve">Crude oil prices directly influence the price of fuel products such as petrol, diesel and jet fuel </w:t>
      </w:r>
      <w:r w:rsidR="00D13F48" w:rsidRPr="00FD66CA">
        <w:t xml:space="preserve">that </w:t>
      </w:r>
      <w:r w:rsidRPr="00FD66CA">
        <w:t xml:space="preserve">are used by Australian consumers and businesses (see </w:t>
      </w:r>
      <w:r w:rsidRPr="00FD66CA">
        <w:rPr>
          <w:i/>
          <w:iCs/>
        </w:rPr>
        <w:t xml:space="preserve">Statement 2: Economic Outlook; Box </w:t>
      </w:r>
      <w:r w:rsidR="00E260DA" w:rsidRPr="00FD66CA">
        <w:rPr>
          <w:i/>
          <w:iCs/>
        </w:rPr>
        <w:t>2</w:t>
      </w:r>
      <w:r w:rsidRPr="00FD66CA">
        <w:rPr>
          <w:i/>
          <w:iCs/>
        </w:rPr>
        <w:t>.</w:t>
      </w:r>
      <w:r w:rsidR="00E260DA" w:rsidRPr="00FD66CA">
        <w:rPr>
          <w:i/>
          <w:iCs/>
        </w:rPr>
        <w:t>1</w:t>
      </w:r>
      <w:r w:rsidRPr="00FD66CA">
        <w:rPr>
          <w:i/>
          <w:iCs/>
        </w:rPr>
        <w:t xml:space="preserve"> Price impacts from the conflict in the Middle East</w:t>
      </w:r>
      <w:r w:rsidRPr="00FD66CA">
        <w:t xml:space="preserve">). Crude oil is also a key input into many products across the economy including plastics and fabrics. Elevated oil prices therefore pose upside risks to domestic inflation and downside risks to activity (see also </w:t>
      </w:r>
      <w:r w:rsidRPr="00FD66CA">
        <w:rPr>
          <w:i/>
          <w:iCs/>
        </w:rPr>
        <w:t xml:space="preserve">Statement 2: Economic Outlook; Box </w:t>
      </w:r>
      <w:r w:rsidR="0089407C" w:rsidRPr="00FD66CA">
        <w:rPr>
          <w:i/>
          <w:iCs/>
        </w:rPr>
        <w:t>2</w:t>
      </w:r>
      <w:r w:rsidRPr="00FD66CA">
        <w:rPr>
          <w:i/>
          <w:iCs/>
        </w:rPr>
        <w:t>.</w:t>
      </w:r>
      <w:r w:rsidR="0089407C" w:rsidRPr="00FD66CA">
        <w:rPr>
          <w:i/>
          <w:iCs/>
        </w:rPr>
        <w:t>2</w:t>
      </w:r>
      <w:r w:rsidRPr="00FD66CA">
        <w:rPr>
          <w:i/>
          <w:iCs/>
        </w:rPr>
        <w:t xml:space="preserve"> Risks of a more severe Middle East conflict</w:t>
      </w:r>
      <w:r w:rsidRPr="00FD66CA">
        <w:t>).</w:t>
      </w:r>
    </w:p>
    <w:p w14:paraId="5D51276F" w14:textId="667E6496" w:rsidR="001453D6" w:rsidRPr="00FD66CA" w:rsidRDefault="001453D6" w:rsidP="008B62BA">
      <w:r w:rsidRPr="00FD66CA">
        <w:t xml:space="preserve">The Budget forecasts assume the tapis oil price averages around US$100 per barrel across the June quarter 2026 before gradually declining to </w:t>
      </w:r>
      <w:r w:rsidR="00FA0F48" w:rsidRPr="00FD66CA">
        <w:t xml:space="preserve">average around </w:t>
      </w:r>
      <w:r w:rsidRPr="00FD66CA">
        <w:t xml:space="preserve">US$80 per barrel by the end of the June quarter of 2027. Table </w:t>
      </w:r>
      <w:r w:rsidR="001B64C8" w:rsidRPr="00FD66CA">
        <w:t>8</w:t>
      </w:r>
      <w:r w:rsidRPr="00FD66CA">
        <w:t>.</w:t>
      </w:r>
      <w:r w:rsidR="001B64C8" w:rsidRPr="00FD66CA">
        <w:t>1</w:t>
      </w:r>
      <w:r w:rsidRPr="00FD66CA">
        <w:t xml:space="preserve"> demonstrates the impact of the oil price remaining elevated at the June quarter 2026 price for one additional quarter before following a similar trajectory as in the forecasts, returning to the Budget assumption by the end of the September quarter 2027. </w:t>
      </w:r>
      <w:r w:rsidR="002F47A7" w:rsidRPr="00FD66CA">
        <w:t>In keeping with the practice for sensitivity analyses, other assumptions, including for other commodity prices, are unchanged</w:t>
      </w:r>
      <w:r w:rsidRPr="00FD66CA">
        <w:t>.</w:t>
      </w:r>
    </w:p>
    <w:p w14:paraId="2F97B981" w14:textId="77777777" w:rsidR="009210F9" w:rsidRPr="00FD66CA" w:rsidRDefault="009210F9" w:rsidP="00A14C09">
      <w:pPr>
        <w:pStyle w:val="TableHeading"/>
      </w:pPr>
      <w:r w:rsidRPr="00FD66CA">
        <w:t>Table 8.1: Impact of oil prices remaining elevated for one additional quarter</w:t>
      </w:r>
    </w:p>
    <w:tbl>
      <w:tblPr>
        <w:tblW w:w="5000" w:type="pct"/>
        <w:tblLayout w:type="fixed"/>
        <w:tblCellMar>
          <w:left w:w="0" w:type="dxa"/>
          <w:right w:w="28" w:type="dxa"/>
        </w:tblCellMar>
        <w:tblLook w:val="0620" w:firstRow="1" w:lastRow="0" w:firstColumn="0" w:lastColumn="0" w:noHBand="1" w:noVBand="1"/>
      </w:tblPr>
      <w:tblGrid>
        <w:gridCol w:w="4023"/>
        <w:gridCol w:w="1229"/>
        <w:gridCol w:w="1229"/>
        <w:gridCol w:w="1229"/>
      </w:tblGrid>
      <w:tr w:rsidR="008661B8" w14:paraId="62FA2155" w14:textId="77777777" w:rsidTr="00F368EA">
        <w:trPr>
          <w:trHeight w:hRule="exact" w:val="225"/>
        </w:trPr>
        <w:tc>
          <w:tcPr>
            <w:tcW w:w="2608" w:type="pct"/>
            <w:tcBorders>
              <w:top w:val="single" w:sz="4" w:space="0" w:color="293F5B"/>
              <w:left w:val="nil"/>
              <w:bottom w:val="nil"/>
              <w:right w:val="nil"/>
            </w:tcBorders>
            <w:noWrap/>
            <w:vAlign w:val="center"/>
            <w:hideMark/>
          </w:tcPr>
          <w:p w14:paraId="0B02895E" w14:textId="77777777" w:rsidR="008661B8" w:rsidRDefault="008661B8" w:rsidP="008661B8">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797" w:type="pct"/>
            <w:tcBorders>
              <w:top w:val="single" w:sz="4" w:space="0" w:color="293F5B"/>
              <w:left w:val="nil"/>
              <w:bottom w:val="nil"/>
              <w:right w:val="nil"/>
            </w:tcBorders>
            <w:shd w:val="clear" w:color="000000" w:fill="E6F2FF"/>
            <w:noWrap/>
            <w:vAlign w:val="center"/>
            <w:hideMark/>
          </w:tcPr>
          <w:p w14:paraId="7B5C8781" w14:textId="77777777" w:rsidR="008661B8" w:rsidRDefault="008661B8" w:rsidP="00FC061A">
            <w:pPr>
              <w:spacing w:before="0" w:after="0" w:line="240" w:lineRule="auto"/>
              <w:jc w:val="center"/>
              <w:rPr>
                <w:rFonts w:ascii="Arial" w:hAnsi="Arial" w:cs="Arial"/>
                <w:b/>
                <w:bCs/>
                <w:color w:val="000000"/>
                <w:sz w:val="16"/>
                <w:szCs w:val="16"/>
              </w:rPr>
            </w:pPr>
            <w:r>
              <w:rPr>
                <w:rFonts w:ascii="Arial" w:hAnsi="Arial" w:cs="Arial"/>
                <w:b/>
                <w:bCs/>
                <w:color w:val="000000"/>
                <w:sz w:val="16"/>
                <w:szCs w:val="16"/>
              </w:rPr>
              <w:t>2025-26</w:t>
            </w:r>
          </w:p>
        </w:tc>
        <w:tc>
          <w:tcPr>
            <w:tcW w:w="797" w:type="pct"/>
            <w:tcBorders>
              <w:top w:val="single" w:sz="4" w:space="0" w:color="293F5B"/>
              <w:left w:val="nil"/>
              <w:bottom w:val="nil"/>
              <w:right w:val="nil"/>
            </w:tcBorders>
            <w:shd w:val="clear" w:color="000000" w:fill="E6F2FF"/>
            <w:noWrap/>
            <w:vAlign w:val="center"/>
            <w:hideMark/>
          </w:tcPr>
          <w:p w14:paraId="27C74E16" w14:textId="77777777" w:rsidR="008661B8" w:rsidRDefault="008661B8" w:rsidP="00FC061A">
            <w:pPr>
              <w:spacing w:before="0" w:after="0" w:line="240" w:lineRule="auto"/>
              <w:jc w:val="center"/>
              <w:rPr>
                <w:rFonts w:ascii="Arial" w:hAnsi="Arial" w:cs="Arial"/>
                <w:b/>
                <w:bCs/>
                <w:color w:val="000000"/>
                <w:sz w:val="16"/>
                <w:szCs w:val="16"/>
              </w:rPr>
            </w:pPr>
            <w:r>
              <w:rPr>
                <w:rFonts w:ascii="Arial" w:hAnsi="Arial" w:cs="Arial"/>
                <w:b/>
                <w:bCs/>
                <w:color w:val="000000"/>
                <w:sz w:val="16"/>
                <w:szCs w:val="16"/>
              </w:rPr>
              <w:t>2026-27</w:t>
            </w:r>
          </w:p>
        </w:tc>
        <w:tc>
          <w:tcPr>
            <w:tcW w:w="797" w:type="pct"/>
            <w:tcBorders>
              <w:top w:val="single" w:sz="4" w:space="0" w:color="293F5B"/>
              <w:left w:val="nil"/>
              <w:bottom w:val="nil"/>
              <w:right w:val="nil"/>
            </w:tcBorders>
            <w:shd w:val="clear" w:color="000000" w:fill="E6F2FF"/>
            <w:noWrap/>
            <w:vAlign w:val="center"/>
            <w:hideMark/>
          </w:tcPr>
          <w:p w14:paraId="240B5CF6" w14:textId="77777777" w:rsidR="008661B8" w:rsidRDefault="008661B8" w:rsidP="00FC061A">
            <w:pPr>
              <w:spacing w:before="0" w:after="0" w:line="240" w:lineRule="auto"/>
              <w:jc w:val="center"/>
              <w:rPr>
                <w:rFonts w:ascii="Arial" w:hAnsi="Arial" w:cs="Arial"/>
                <w:b/>
                <w:bCs/>
                <w:color w:val="000000"/>
                <w:sz w:val="16"/>
                <w:szCs w:val="16"/>
              </w:rPr>
            </w:pPr>
            <w:r>
              <w:rPr>
                <w:rFonts w:ascii="Arial" w:hAnsi="Arial" w:cs="Arial"/>
                <w:b/>
                <w:bCs/>
                <w:color w:val="000000"/>
                <w:sz w:val="16"/>
                <w:szCs w:val="16"/>
              </w:rPr>
              <w:t>2027-28</w:t>
            </w:r>
          </w:p>
        </w:tc>
      </w:tr>
      <w:tr w:rsidR="008661B8" w14:paraId="01D2F06A" w14:textId="77777777" w:rsidTr="00F368EA">
        <w:trPr>
          <w:trHeight w:hRule="exact" w:val="225"/>
        </w:trPr>
        <w:tc>
          <w:tcPr>
            <w:tcW w:w="2608" w:type="pct"/>
            <w:tcBorders>
              <w:top w:val="nil"/>
              <w:left w:val="nil"/>
              <w:bottom w:val="nil"/>
              <w:right w:val="nil"/>
            </w:tcBorders>
            <w:noWrap/>
            <w:vAlign w:val="center"/>
            <w:hideMark/>
          </w:tcPr>
          <w:p w14:paraId="30DD9D29" w14:textId="77777777" w:rsidR="008661B8" w:rsidRDefault="008661B8" w:rsidP="00FC061A">
            <w:pPr>
              <w:spacing w:before="0" w:after="0" w:line="240" w:lineRule="auto"/>
              <w:rPr>
                <w:rFonts w:ascii="Arial" w:hAnsi="Arial" w:cs="Arial"/>
                <w:color w:val="000000"/>
                <w:sz w:val="16"/>
                <w:szCs w:val="16"/>
              </w:rPr>
            </w:pPr>
            <w:r>
              <w:rPr>
                <w:rFonts w:ascii="Arial" w:hAnsi="Arial" w:cs="Arial"/>
                <w:color w:val="000000"/>
                <w:sz w:val="16"/>
                <w:szCs w:val="16"/>
              </w:rPr>
              <w:t>Deviation in headline inflation (ppt)</w:t>
            </w:r>
            <w:r>
              <w:rPr>
                <w:rFonts w:ascii="Arial" w:hAnsi="Arial" w:cs="Arial"/>
                <w:color w:val="000000"/>
                <w:sz w:val="16"/>
                <w:szCs w:val="16"/>
                <w:vertAlign w:val="superscript"/>
              </w:rPr>
              <w:t>(a)</w:t>
            </w:r>
          </w:p>
        </w:tc>
        <w:tc>
          <w:tcPr>
            <w:tcW w:w="797" w:type="pct"/>
            <w:tcBorders>
              <w:top w:val="single" w:sz="4" w:space="0" w:color="auto"/>
              <w:left w:val="nil"/>
              <w:bottom w:val="nil"/>
              <w:right w:val="nil"/>
            </w:tcBorders>
            <w:shd w:val="clear" w:color="000000" w:fill="E6F2FF"/>
            <w:noWrap/>
            <w:vAlign w:val="center"/>
            <w:hideMark/>
          </w:tcPr>
          <w:p w14:paraId="40E2FB39" w14:textId="77777777" w:rsidR="008661B8" w:rsidRDefault="008661B8" w:rsidP="00FC061A">
            <w:pPr>
              <w:spacing w:before="0" w:after="0" w:line="240" w:lineRule="auto"/>
              <w:jc w:val="center"/>
              <w:rPr>
                <w:rFonts w:ascii="Arial" w:hAnsi="Arial" w:cs="Arial"/>
                <w:color w:val="000000"/>
                <w:sz w:val="16"/>
                <w:szCs w:val="16"/>
              </w:rPr>
            </w:pPr>
            <w:r>
              <w:rPr>
                <w:rFonts w:ascii="Arial" w:hAnsi="Arial" w:cs="Arial"/>
                <w:color w:val="000000"/>
                <w:sz w:val="16"/>
                <w:szCs w:val="16"/>
              </w:rPr>
              <w:t>0.0</w:t>
            </w:r>
          </w:p>
        </w:tc>
        <w:tc>
          <w:tcPr>
            <w:tcW w:w="797" w:type="pct"/>
            <w:tcBorders>
              <w:top w:val="single" w:sz="4" w:space="0" w:color="auto"/>
              <w:left w:val="nil"/>
              <w:bottom w:val="nil"/>
              <w:right w:val="nil"/>
            </w:tcBorders>
            <w:shd w:val="clear" w:color="000000" w:fill="E6F2FF"/>
            <w:noWrap/>
            <w:vAlign w:val="center"/>
            <w:hideMark/>
          </w:tcPr>
          <w:p w14:paraId="5ECC7E91" w14:textId="77777777" w:rsidR="008661B8" w:rsidRDefault="008661B8" w:rsidP="00FC061A">
            <w:pPr>
              <w:spacing w:before="0" w:after="0" w:line="240" w:lineRule="auto"/>
              <w:jc w:val="center"/>
              <w:rPr>
                <w:rFonts w:ascii="Arial" w:hAnsi="Arial" w:cs="Arial"/>
                <w:color w:val="000000"/>
                <w:sz w:val="16"/>
                <w:szCs w:val="16"/>
              </w:rPr>
            </w:pPr>
            <w:r>
              <w:rPr>
                <w:rFonts w:ascii="Arial" w:hAnsi="Arial" w:cs="Arial"/>
                <w:color w:val="000000"/>
                <w:sz w:val="16"/>
                <w:szCs w:val="16"/>
              </w:rPr>
              <w:t>0.3</w:t>
            </w:r>
          </w:p>
        </w:tc>
        <w:tc>
          <w:tcPr>
            <w:tcW w:w="797" w:type="pct"/>
            <w:tcBorders>
              <w:top w:val="single" w:sz="4" w:space="0" w:color="auto"/>
              <w:left w:val="nil"/>
              <w:bottom w:val="nil"/>
              <w:right w:val="nil"/>
            </w:tcBorders>
            <w:shd w:val="clear" w:color="000000" w:fill="E6F2FF"/>
            <w:noWrap/>
            <w:vAlign w:val="center"/>
            <w:hideMark/>
          </w:tcPr>
          <w:p w14:paraId="662057BE" w14:textId="77777777" w:rsidR="008661B8" w:rsidRDefault="008661B8" w:rsidP="00FC061A">
            <w:pPr>
              <w:spacing w:before="0" w:after="0" w:line="240" w:lineRule="auto"/>
              <w:jc w:val="center"/>
              <w:rPr>
                <w:rFonts w:ascii="Arial" w:hAnsi="Arial" w:cs="Arial"/>
                <w:color w:val="000000"/>
                <w:sz w:val="16"/>
                <w:szCs w:val="16"/>
              </w:rPr>
            </w:pPr>
            <w:r>
              <w:rPr>
                <w:rFonts w:ascii="Arial" w:hAnsi="Arial" w:cs="Arial"/>
                <w:color w:val="000000"/>
                <w:sz w:val="16"/>
                <w:szCs w:val="16"/>
              </w:rPr>
              <w:t>-0.3</w:t>
            </w:r>
          </w:p>
        </w:tc>
      </w:tr>
      <w:tr w:rsidR="008661B8" w14:paraId="198F35BB" w14:textId="77777777" w:rsidTr="00F368EA">
        <w:trPr>
          <w:trHeight w:hRule="exact" w:val="225"/>
        </w:trPr>
        <w:tc>
          <w:tcPr>
            <w:tcW w:w="2608" w:type="pct"/>
            <w:tcBorders>
              <w:top w:val="nil"/>
              <w:left w:val="nil"/>
              <w:bottom w:val="single" w:sz="4" w:space="0" w:color="293F5B"/>
              <w:right w:val="nil"/>
            </w:tcBorders>
            <w:noWrap/>
            <w:vAlign w:val="center"/>
            <w:hideMark/>
          </w:tcPr>
          <w:p w14:paraId="145DC490" w14:textId="77777777" w:rsidR="008661B8" w:rsidRDefault="008661B8" w:rsidP="00FC061A">
            <w:pPr>
              <w:spacing w:before="0" w:after="0" w:line="240" w:lineRule="auto"/>
              <w:rPr>
                <w:rFonts w:ascii="Arial" w:hAnsi="Arial" w:cs="Arial"/>
                <w:color w:val="000000"/>
                <w:sz w:val="16"/>
                <w:szCs w:val="16"/>
              </w:rPr>
            </w:pPr>
            <w:r>
              <w:rPr>
                <w:rFonts w:ascii="Arial" w:hAnsi="Arial" w:cs="Arial"/>
                <w:color w:val="000000"/>
                <w:sz w:val="16"/>
                <w:szCs w:val="16"/>
              </w:rPr>
              <w:t>Deviation in the level of nominal GDP ($b)</w:t>
            </w:r>
          </w:p>
        </w:tc>
        <w:tc>
          <w:tcPr>
            <w:tcW w:w="797" w:type="pct"/>
            <w:tcBorders>
              <w:top w:val="nil"/>
              <w:left w:val="nil"/>
              <w:bottom w:val="single" w:sz="4" w:space="0" w:color="293F5B"/>
              <w:right w:val="nil"/>
            </w:tcBorders>
            <w:shd w:val="clear" w:color="000000" w:fill="E6F2FF"/>
            <w:noWrap/>
            <w:vAlign w:val="center"/>
            <w:hideMark/>
          </w:tcPr>
          <w:p w14:paraId="6C4A88AD" w14:textId="77777777" w:rsidR="008661B8" w:rsidRDefault="008661B8" w:rsidP="00FC061A">
            <w:pPr>
              <w:spacing w:before="0" w:after="0" w:line="240" w:lineRule="auto"/>
              <w:jc w:val="center"/>
              <w:rPr>
                <w:rFonts w:ascii="Arial" w:hAnsi="Arial" w:cs="Arial"/>
                <w:color w:val="000000"/>
                <w:sz w:val="16"/>
                <w:szCs w:val="16"/>
              </w:rPr>
            </w:pPr>
            <w:r>
              <w:rPr>
                <w:rFonts w:ascii="Arial" w:hAnsi="Arial" w:cs="Arial"/>
                <w:color w:val="000000"/>
                <w:sz w:val="16"/>
                <w:szCs w:val="16"/>
              </w:rPr>
              <w:t>0.0</w:t>
            </w:r>
          </w:p>
        </w:tc>
        <w:tc>
          <w:tcPr>
            <w:tcW w:w="797" w:type="pct"/>
            <w:tcBorders>
              <w:top w:val="nil"/>
              <w:left w:val="nil"/>
              <w:bottom w:val="single" w:sz="4" w:space="0" w:color="293F5B"/>
              <w:right w:val="nil"/>
            </w:tcBorders>
            <w:shd w:val="clear" w:color="000000" w:fill="E6F2FF"/>
            <w:noWrap/>
            <w:vAlign w:val="center"/>
            <w:hideMark/>
          </w:tcPr>
          <w:p w14:paraId="026A46D1" w14:textId="77777777" w:rsidR="008661B8" w:rsidRDefault="008661B8" w:rsidP="00FC061A">
            <w:pPr>
              <w:spacing w:before="0" w:after="0" w:line="240" w:lineRule="auto"/>
              <w:jc w:val="center"/>
              <w:rPr>
                <w:rFonts w:ascii="Arial" w:hAnsi="Arial" w:cs="Arial"/>
                <w:color w:val="000000"/>
                <w:sz w:val="16"/>
                <w:szCs w:val="16"/>
              </w:rPr>
            </w:pPr>
            <w:r>
              <w:rPr>
                <w:rFonts w:ascii="Arial" w:hAnsi="Arial" w:cs="Arial"/>
                <w:color w:val="000000"/>
                <w:sz w:val="16"/>
                <w:szCs w:val="16"/>
              </w:rPr>
              <w:t>-1.0</w:t>
            </w:r>
          </w:p>
        </w:tc>
        <w:tc>
          <w:tcPr>
            <w:tcW w:w="797" w:type="pct"/>
            <w:tcBorders>
              <w:top w:val="nil"/>
              <w:left w:val="nil"/>
              <w:bottom w:val="single" w:sz="4" w:space="0" w:color="293F5B"/>
              <w:right w:val="nil"/>
            </w:tcBorders>
            <w:shd w:val="clear" w:color="000000" w:fill="E6F2FF"/>
            <w:noWrap/>
            <w:vAlign w:val="center"/>
            <w:hideMark/>
          </w:tcPr>
          <w:p w14:paraId="422B7E0B" w14:textId="77777777" w:rsidR="008661B8" w:rsidRDefault="008661B8" w:rsidP="00FC061A">
            <w:pPr>
              <w:spacing w:before="0" w:after="0" w:line="240" w:lineRule="auto"/>
              <w:jc w:val="center"/>
              <w:rPr>
                <w:rFonts w:ascii="Arial" w:hAnsi="Arial" w:cs="Arial"/>
                <w:color w:val="000000"/>
                <w:sz w:val="16"/>
                <w:szCs w:val="16"/>
              </w:rPr>
            </w:pPr>
            <w:r>
              <w:rPr>
                <w:rFonts w:ascii="Arial" w:hAnsi="Arial" w:cs="Arial"/>
                <w:color w:val="000000"/>
                <w:sz w:val="16"/>
                <w:szCs w:val="16"/>
              </w:rPr>
              <w:t>-0.2</w:t>
            </w:r>
          </w:p>
        </w:tc>
      </w:tr>
    </w:tbl>
    <w:p w14:paraId="7E8B0D08" w14:textId="46B88373" w:rsidR="009210F9" w:rsidRPr="00FD66CA" w:rsidRDefault="009210F9" w:rsidP="009210F9">
      <w:pPr>
        <w:pStyle w:val="ChartandTableFootnoteAlpha"/>
        <w:numPr>
          <w:ilvl w:val="0"/>
          <w:numId w:val="32"/>
        </w:numPr>
      </w:pPr>
      <w:r w:rsidRPr="00FD66CA">
        <w:t>Through-the-year growth to the June quarter.</w:t>
      </w:r>
    </w:p>
    <w:p w14:paraId="31C63FCB" w14:textId="77777777" w:rsidR="009210F9" w:rsidRPr="00FD66CA" w:rsidRDefault="009210F9" w:rsidP="009210F9">
      <w:pPr>
        <w:pStyle w:val="TableLine"/>
      </w:pPr>
    </w:p>
    <w:p w14:paraId="0631B99C" w14:textId="44F9B3B1" w:rsidR="006D6824" w:rsidRDefault="001453D6" w:rsidP="00FC061A">
      <w:pPr>
        <w:spacing w:before="0" w:after="160" w:line="259" w:lineRule="auto"/>
      </w:pPr>
      <w:r w:rsidRPr="00BD56AF">
        <w:t>The</w:t>
      </w:r>
      <w:r w:rsidRPr="00FD66CA">
        <w:t xml:space="preserve"> economic response to the elevated oil price is estimated using a macroeconomic model. The higher oil price reduces household disposable income and increases input costs for businesses. This leads to </w:t>
      </w:r>
      <w:r w:rsidR="00DA25A1" w:rsidRPr="00FD66CA">
        <w:t xml:space="preserve">an </w:t>
      </w:r>
      <w:r w:rsidRPr="00FD66CA">
        <w:t>increase in inflation which unwinds as the oil price returns to the Budget assumption.</w:t>
      </w:r>
    </w:p>
    <w:p w14:paraId="4035D4D0" w14:textId="2CB10C31" w:rsidR="00B83E14" w:rsidRPr="00CB3B92" w:rsidRDefault="005D64DF" w:rsidP="00F368EA">
      <w:pPr>
        <w:ind w:right="170"/>
      </w:pPr>
      <w:r w:rsidRPr="00FD66CA">
        <w:t xml:space="preserve">Fiscal impacts from this scenario </w:t>
      </w:r>
      <w:r w:rsidR="00294E37" w:rsidRPr="00FD66CA">
        <w:t>are</w:t>
      </w:r>
      <w:r w:rsidR="005178D0" w:rsidRPr="00FD66CA">
        <w:t xml:space="preserve"> </w:t>
      </w:r>
      <w:r w:rsidR="00842EBE" w:rsidRPr="00FD66CA">
        <w:t>uncertain</w:t>
      </w:r>
      <w:r w:rsidR="005178D0" w:rsidRPr="00FD66CA">
        <w:t xml:space="preserve"> </w:t>
      </w:r>
      <w:r w:rsidR="00412419" w:rsidRPr="00FD66CA">
        <w:t>as oil prices can affect a wide</w:t>
      </w:r>
      <w:r w:rsidR="00E450A9" w:rsidRPr="00FD66CA">
        <w:t xml:space="preserve"> range of payments</w:t>
      </w:r>
      <w:r w:rsidR="008C631B">
        <w:t xml:space="preserve"> </w:t>
      </w:r>
      <w:r w:rsidR="00E450A9" w:rsidRPr="00FD66CA">
        <w:t xml:space="preserve">and revenue </w:t>
      </w:r>
      <w:r w:rsidR="00412419" w:rsidRPr="00FD66CA">
        <w:t>items</w:t>
      </w:r>
      <w:r w:rsidR="00A42DF6" w:rsidRPr="00FD66CA">
        <w:t xml:space="preserve"> at different times</w:t>
      </w:r>
      <w:r w:rsidR="00F16FAE">
        <w:t>.</w:t>
      </w:r>
      <w:r w:rsidR="00F856FD" w:rsidRPr="007E3A75">
        <w:t xml:space="preserve"> </w:t>
      </w:r>
      <w:r w:rsidR="00EB3067" w:rsidRPr="00FD66CA">
        <w:t xml:space="preserve">However, with </w:t>
      </w:r>
      <w:r w:rsidR="00C67BA9" w:rsidRPr="00FD66CA">
        <w:t xml:space="preserve">other </w:t>
      </w:r>
      <w:r w:rsidR="00A42DF6" w:rsidRPr="00FD66CA">
        <w:t xml:space="preserve">commodities prices </w:t>
      </w:r>
      <w:r w:rsidR="001D3688" w:rsidRPr="00FD66CA">
        <w:lastRenderedPageBreak/>
        <w:t>unchanged in the sensitivity</w:t>
      </w:r>
      <w:r w:rsidR="00A42DF6">
        <w:t xml:space="preserve">, </w:t>
      </w:r>
      <w:r w:rsidR="00F856FD" w:rsidRPr="00FD66CA">
        <w:t xml:space="preserve">the </w:t>
      </w:r>
      <w:r w:rsidR="007A524F" w:rsidRPr="00FD66CA">
        <w:t xml:space="preserve">overall </w:t>
      </w:r>
      <w:r w:rsidR="00F856FD" w:rsidRPr="00FD66CA">
        <w:t xml:space="preserve">impact on the </w:t>
      </w:r>
      <w:r w:rsidR="00D00B64" w:rsidRPr="00FD66CA">
        <w:t>B</w:t>
      </w:r>
      <w:r w:rsidR="00F856FD" w:rsidRPr="00FD66CA">
        <w:t>u</w:t>
      </w:r>
      <w:r w:rsidR="00F84C0E">
        <w:t>dg</w:t>
      </w:r>
      <w:r w:rsidR="00F856FD" w:rsidRPr="00FD66CA">
        <w:t xml:space="preserve">et </w:t>
      </w:r>
      <w:r w:rsidR="00EB3067" w:rsidRPr="00FD66CA">
        <w:t xml:space="preserve">is likely to be </w:t>
      </w:r>
      <w:r w:rsidR="00294E37" w:rsidRPr="00FD66CA">
        <w:t>minimal.</w:t>
      </w:r>
      <w:r w:rsidR="00294E37">
        <w:t xml:space="preserve"> </w:t>
      </w:r>
      <w:r w:rsidR="0089061D" w:rsidRPr="00FD66CA">
        <w:t xml:space="preserve">While </w:t>
      </w:r>
      <w:r w:rsidR="00A63FF0" w:rsidRPr="00FD66CA">
        <w:t xml:space="preserve">revenue increases associated with CPI </w:t>
      </w:r>
      <w:r w:rsidR="001730A8" w:rsidRPr="00FD66CA">
        <w:t>may</w:t>
      </w:r>
      <w:r w:rsidR="008329EA">
        <w:t xml:space="preserve"> </w:t>
      </w:r>
      <w:r w:rsidR="001730A8" w:rsidRPr="00FD66CA">
        <w:t>offset</w:t>
      </w:r>
      <w:r w:rsidR="00F856FD" w:rsidRPr="00FD66CA" w:rsidDel="008329EA">
        <w:t xml:space="preserve"> </w:t>
      </w:r>
      <w:r w:rsidR="00A63FF0" w:rsidRPr="00FD66CA">
        <w:t>increases to payments</w:t>
      </w:r>
      <w:r w:rsidR="005331CC" w:rsidRPr="00FD66CA">
        <w:t xml:space="preserve"> </w:t>
      </w:r>
      <w:r w:rsidR="001A23D3" w:rsidRPr="00FD66CA">
        <w:t xml:space="preserve">from </w:t>
      </w:r>
      <w:r w:rsidR="008329EA" w:rsidRPr="00FD66CA">
        <w:t xml:space="preserve">indexation, </w:t>
      </w:r>
      <w:r w:rsidR="008036A6" w:rsidRPr="00FD66CA">
        <w:t xml:space="preserve">reduced economic activity </w:t>
      </w:r>
      <w:r w:rsidR="00232926" w:rsidRPr="00FD66CA">
        <w:t xml:space="preserve">flowing into lower nominal GDP would </w:t>
      </w:r>
      <w:r w:rsidR="00974A5C" w:rsidRPr="00FD66CA">
        <w:t>have a more negative impact on revenues than payments</w:t>
      </w:r>
      <w:r w:rsidR="00584A53">
        <w:t xml:space="preserve">. </w:t>
      </w:r>
      <w:r w:rsidR="005331CC" w:rsidRPr="00FD66CA">
        <w:t xml:space="preserve">For </w:t>
      </w:r>
      <w:r w:rsidR="00412419" w:rsidRPr="00FD66CA">
        <w:t>more information on</w:t>
      </w:r>
      <w:r w:rsidR="0074690B" w:rsidRPr="00FD66CA">
        <w:t xml:space="preserve"> the impact of oil price</w:t>
      </w:r>
      <w:r w:rsidR="000814DF" w:rsidRPr="00FD66CA">
        <w:t xml:space="preserve"> rises</w:t>
      </w:r>
      <w:r w:rsidR="0074690B" w:rsidRPr="00FD66CA">
        <w:t xml:space="preserve"> </w:t>
      </w:r>
      <w:r w:rsidR="00D92F9C" w:rsidRPr="00FD66CA">
        <w:t xml:space="preserve">and the Middle East conflict </w:t>
      </w:r>
      <w:r w:rsidR="0074690B" w:rsidRPr="00FD66CA">
        <w:t>on tax receipts</w:t>
      </w:r>
      <w:r w:rsidR="005331CC" w:rsidRPr="00FD66CA">
        <w:t xml:space="preserve">, see </w:t>
      </w:r>
      <w:r w:rsidR="005331CC" w:rsidRPr="00FD66CA">
        <w:rPr>
          <w:i/>
          <w:iCs/>
        </w:rPr>
        <w:t>Statement 5; Box 5.1 Impact of the Middle East conflict on the revenue outlook</w:t>
      </w:r>
      <w:r w:rsidR="005331CC" w:rsidRPr="00FD66CA">
        <w:t>.</w:t>
      </w:r>
      <w:r w:rsidR="00B83E14" w:rsidRPr="00CE091F">
        <w:br w:type="page"/>
      </w:r>
    </w:p>
    <w:p w14:paraId="6C31F3BF" w14:textId="6791C1E9" w:rsidR="00B83E14" w:rsidRPr="00CE091F" w:rsidRDefault="00B83E14" w:rsidP="00B83E14">
      <w:pPr>
        <w:pStyle w:val="Heading3"/>
      </w:pPr>
      <w:bookmarkStart w:id="96" w:name="_Toc223445965"/>
      <w:bookmarkStart w:id="97" w:name="_Toc228976200"/>
      <w:r w:rsidRPr="00CE091F">
        <w:lastRenderedPageBreak/>
        <w:t xml:space="preserve">Movements in </w:t>
      </w:r>
      <w:bookmarkEnd w:id="95"/>
      <w:r w:rsidRPr="00CE091F">
        <w:t>yields</w:t>
      </w:r>
      <w:bookmarkEnd w:id="96"/>
      <w:bookmarkEnd w:id="97"/>
    </w:p>
    <w:p w14:paraId="2251DDBC" w14:textId="14A79C43" w:rsidR="000118FC" w:rsidRPr="00FD66CA" w:rsidRDefault="000118FC" w:rsidP="00CB3B92">
      <w:pPr>
        <w:rPr>
          <w:b/>
        </w:rPr>
      </w:pPr>
      <w:r w:rsidRPr="00FD66CA">
        <w:t xml:space="preserve">The cost of Government borrowing reflects yields on Australian Government Securities and the level of debt. </w:t>
      </w:r>
    </w:p>
    <w:p w14:paraId="39B43D27" w14:textId="77777777" w:rsidR="000118FC" w:rsidRPr="00FD66CA" w:rsidRDefault="000118FC" w:rsidP="00CB3B92">
      <w:pPr>
        <w:rPr>
          <w:b/>
        </w:rPr>
      </w:pPr>
      <w:r w:rsidRPr="00FD66CA">
        <w:t>Given the uncertainty surrounding the global and domestic outlook for yields, Treasury makes the following technical assumptions:</w:t>
      </w:r>
    </w:p>
    <w:p w14:paraId="529AE26D" w14:textId="4594E1B4" w:rsidR="000118FC" w:rsidRPr="00FD66CA" w:rsidRDefault="000118FC" w:rsidP="000118FC">
      <w:pPr>
        <w:pStyle w:val="Bullet"/>
      </w:pPr>
      <w:r w:rsidRPr="00FD66CA">
        <w:t xml:space="preserve">Over the forward estimates, government bond yields are fixed at rates observed prior to the Budget update. </w:t>
      </w:r>
    </w:p>
    <w:p w14:paraId="1AED4099" w14:textId="4B24AC69" w:rsidR="000118FC" w:rsidRPr="00FD66CA" w:rsidRDefault="000118FC" w:rsidP="000118FC">
      <w:pPr>
        <w:pStyle w:val="Bullet"/>
      </w:pPr>
      <w:r w:rsidRPr="00FD66CA">
        <w:t>After the forward estimates, the 10</w:t>
      </w:r>
      <w:r w:rsidR="00CB3B92" w:rsidRPr="00FD66CA">
        <w:noBreakHyphen/>
      </w:r>
      <w:r w:rsidRPr="00FD66CA">
        <w:t>year bond yield converges linearly towards the long run nominal GDP growth rate over 15</w:t>
      </w:r>
      <w:r w:rsidR="00A14C09" w:rsidRPr="00FD66CA">
        <w:noBreakHyphen/>
      </w:r>
      <w:r w:rsidRPr="00FD66CA">
        <w:t>years. This is broadly consistent with the long run approaches of comparable advanced economies. Other tenor yields are assumed to maintain their historical relativity to the 10</w:t>
      </w:r>
      <w:r w:rsidR="00CB3B92" w:rsidRPr="00FD66CA">
        <w:noBreakHyphen/>
      </w:r>
      <w:r w:rsidRPr="00FD66CA">
        <w:t>year bond yield.</w:t>
      </w:r>
    </w:p>
    <w:p w14:paraId="71B34DD1" w14:textId="4AB3B599" w:rsidR="00C17D4F" w:rsidRPr="00FD66CA" w:rsidRDefault="000118FC" w:rsidP="00A873B1">
      <w:pPr>
        <w:rPr>
          <w:b/>
        </w:rPr>
      </w:pPr>
      <w:r w:rsidRPr="00FD66CA">
        <w:t>The higher yield sensitivity analysis assumes bond yields transition to 100</w:t>
      </w:r>
      <w:r w:rsidR="00CB3B92" w:rsidRPr="00FD66CA">
        <w:t> </w:t>
      </w:r>
      <w:r w:rsidRPr="00FD66CA">
        <w:t>basis</w:t>
      </w:r>
      <w:r w:rsidR="00CB3B92" w:rsidRPr="00FD66CA">
        <w:t> </w:t>
      </w:r>
      <w:r w:rsidRPr="00FD66CA">
        <w:t>points higher than baseline by 30</w:t>
      </w:r>
      <w:r w:rsidR="00CB3B92" w:rsidRPr="00FD66CA">
        <w:t> </w:t>
      </w:r>
      <w:r w:rsidRPr="00FD66CA">
        <w:t>June</w:t>
      </w:r>
      <w:r w:rsidR="00CB3B92" w:rsidRPr="00FD66CA">
        <w:t> </w:t>
      </w:r>
      <w:r w:rsidRPr="00FD66CA">
        <w:t>2027. Yields are then held constant over the remainder of the forward estimates to 202</w:t>
      </w:r>
      <w:r w:rsidR="00B445EA" w:rsidRPr="00FD66CA">
        <w:rPr>
          <w:bCs/>
        </w:rPr>
        <w:t>9</w:t>
      </w:r>
      <w:r w:rsidR="00CB3B92" w:rsidRPr="00FD66CA">
        <w:rPr>
          <w:rFonts w:ascii="Times New Roman" w:hAnsi="Times New Roman"/>
        </w:rPr>
        <w:t>‍</w:t>
      </w:r>
      <w:r w:rsidRPr="00FD66CA">
        <w:rPr>
          <w:bCs/>
        </w:rPr>
        <w:t>–</w:t>
      </w:r>
      <w:r w:rsidR="00CB3B92" w:rsidRPr="00FD66CA">
        <w:rPr>
          <w:rFonts w:ascii="Times New Roman" w:hAnsi="Times New Roman"/>
        </w:rPr>
        <w:t>‍</w:t>
      </w:r>
      <w:r w:rsidR="00B445EA" w:rsidRPr="00FD66CA">
        <w:rPr>
          <w:bCs/>
        </w:rPr>
        <w:t>30</w:t>
      </w:r>
      <w:r w:rsidRPr="00FD66CA">
        <w:rPr>
          <w:bCs/>
        </w:rPr>
        <w:t>, before linearly converging to the long run yield assumption of the nominal GDP growth rate over 15</w:t>
      </w:r>
      <w:r w:rsidR="00A14C09" w:rsidRPr="00FD66CA">
        <w:noBreakHyphen/>
      </w:r>
      <w:r w:rsidRPr="00FD66CA">
        <w:rPr>
          <w:bCs/>
        </w:rPr>
        <w:t>years (Chart</w:t>
      </w:r>
      <w:r w:rsidR="00CB3B92" w:rsidRPr="00FD66CA">
        <w:rPr>
          <w:bCs/>
        </w:rPr>
        <w:t> </w:t>
      </w:r>
      <w:r w:rsidR="00B445EA" w:rsidRPr="00FD66CA">
        <w:rPr>
          <w:bCs/>
        </w:rPr>
        <w:t>8.1</w:t>
      </w:r>
      <w:r w:rsidR="008B570D" w:rsidRPr="00FD66CA">
        <w:rPr>
          <w:bCs/>
        </w:rPr>
        <w:t>4</w:t>
      </w:r>
      <w:r w:rsidRPr="00FD66CA">
        <w:rPr>
          <w:bCs/>
        </w:rPr>
        <w:t>). The lower yield sensitivity analysis is symmetric. Other economic parameters are assumed to remain unchanged from baseline forecasts to isolate the direct impact on fiscal aggregates.</w:t>
      </w:r>
    </w:p>
    <w:p w14:paraId="1973159B" w14:textId="2D97F927" w:rsidR="00B83E14" w:rsidRPr="00FD66CA" w:rsidRDefault="00B83E14" w:rsidP="000118FC">
      <w:pPr>
        <w:pStyle w:val="ChartHeading"/>
      </w:pPr>
      <w:r w:rsidRPr="00FD66CA">
        <w:t xml:space="preserve">Chart </w:t>
      </w:r>
      <w:r w:rsidR="00B805E3" w:rsidRPr="00FD66CA">
        <w:t>8</w:t>
      </w:r>
      <w:r w:rsidRPr="00FD66CA">
        <w:t>.1</w:t>
      </w:r>
      <w:r w:rsidR="008B570D" w:rsidRPr="00FD66CA">
        <w:t>4</w:t>
      </w:r>
      <w:r w:rsidRPr="00FD66CA">
        <w:t>: Baseline and alternative movements in the 10</w:t>
      </w:r>
      <w:r w:rsidR="00CB3B92" w:rsidRPr="00FD66CA">
        <w:noBreakHyphen/>
      </w:r>
      <w:r w:rsidRPr="00FD66CA">
        <w:t xml:space="preserve">year bond yield </w:t>
      </w:r>
    </w:p>
    <w:p w14:paraId="6F108E08" w14:textId="67EEFFB7" w:rsidR="00B83E14" w:rsidRPr="00FD66CA" w:rsidRDefault="002C3F8F" w:rsidP="00297E79">
      <w:pPr>
        <w:pStyle w:val="ChartGraphic"/>
        <w:jc w:val="both"/>
      </w:pPr>
      <w:bookmarkStart w:id="98" w:name="_1803983715"/>
      <w:bookmarkEnd w:id="98"/>
      <w:r w:rsidRPr="00FD66CA">
        <w:rPr>
          <w:noProof/>
        </w:rPr>
        <w:drawing>
          <wp:inline distT="0" distB="0" distL="0" distR="0" wp14:anchorId="53DA30B4" wp14:editId="72465C9A">
            <wp:extent cx="4680000" cy="2521494"/>
            <wp:effectExtent l="0" t="0" r="0" b="0"/>
            <wp:docPr id="769096236" name="Graphic 1" descr="The baseline yield assumption is that the 10-year yield remains at around 4.9 per cent over the period till 30 June 2030. The higher yield assumption has the 10-year bond yield rising to 5.9 per cent by 30 June 2027. The lower yield assumption is falling to 3.9 per cent by 30 June 2027. In all scenarios, the 10-year yield is held constant over the period till 30 June 2030, before linearly converging towards the long run yield assumption of nominal GDP growth over 15 y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96236" name="Graphic 1" descr="The baseline yield assumption is that the 10-year yield remains at around 4.9 per cent over the period till 30 June 2030. The higher yield assumption has the 10-year bond yield rising to 5.9 per cent by 30 June 2027. The lower yield assumption is falling to 3.9 per cent by 30 June 2027. In all scenarios, the 10-year yield is held constant over the period till 30 June 2030, before linearly converging towards the long run yield assumption of nominal GDP growth over 15 years."/>
                    <pic:cNvPicPr/>
                  </pic:nvPicPr>
                  <pic:blipFill>
                    <a:blip r:embed="rId38">
                      <a:extLst>
                        <a:ext uri="{96DAC541-7B7A-43D3-8B79-37D633B846F1}">
                          <asvg:svgBlip xmlns:asvg="http://schemas.microsoft.com/office/drawing/2016/SVG/main" r:embed="rId39"/>
                        </a:ext>
                      </a:extLst>
                    </a:blip>
                    <a:stretch>
                      <a:fillRect/>
                    </a:stretch>
                  </pic:blipFill>
                  <pic:spPr>
                    <a:xfrm>
                      <a:off x="0" y="0"/>
                      <a:ext cx="4680000" cy="2521494"/>
                    </a:xfrm>
                    <a:prstGeom prst="rect">
                      <a:avLst/>
                    </a:prstGeom>
                  </pic:spPr>
                </pic:pic>
              </a:graphicData>
            </a:graphic>
          </wp:inline>
        </w:drawing>
      </w:r>
    </w:p>
    <w:p w14:paraId="6925C7FC" w14:textId="1509D7AE" w:rsidR="00B83E14" w:rsidRPr="00FD66CA" w:rsidRDefault="00B83E14" w:rsidP="00B83E14">
      <w:pPr>
        <w:pStyle w:val="ChartandTableFootnote"/>
      </w:pPr>
      <w:bookmarkStart w:id="99" w:name="_1727880749"/>
      <w:bookmarkStart w:id="100" w:name="_1727940191"/>
      <w:bookmarkStart w:id="101" w:name="_1727950797"/>
      <w:bookmarkEnd w:id="99"/>
      <w:bookmarkEnd w:id="100"/>
      <w:bookmarkEnd w:id="101"/>
      <w:r w:rsidRPr="00FD66CA">
        <w:t xml:space="preserve">Source: </w:t>
      </w:r>
      <w:r w:rsidRPr="00FD66CA">
        <w:tab/>
        <w:t>Treasury.</w:t>
      </w:r>
    </w:p>
    <w:p w14:paraId="5CBD18E0" w14:textId="487C0D7F" w:rsidR="007E2730" w:rsidRPr="000B6099" w:rsidRDefault="000B6099" w:rsidP="009210F9">
      <w:pPr>
        <w:pStyle w:val="ChartandTableFootnote"/>
        <w:rPr>
          <w:rFonts w:asciiTheme="majorHAnsi" w:hAnsiTheme="majorHAnsi" w:cstheme="majorHAnsi"/>
          <w:szCs w:val="16"/>
        </w:rPr>
      </w:pPr>
      <w:r w:rsidRPr="00FD66CA">
        <w:rPr>
          <w:rFonts w:asciiTheme="majorHAnsi" w:hAnsiTheme="majorHAnsi" w:cstheme="majorHAnsi"/>
          <w:szCs w:val="16"/>
        </w:rPr>
        <w:t xml:space="preserve">Note: </w:t>
      </w:r>
      <w:r w:rsidRPr="00FD66CA">
        <w:rPr>
          <w:rFonts w:asciiTheme="majorHAnsi" w:hAnsiTheme="majorHAnsi" w:cstheme="majorHAnsi"/>
          <w:szCs w:val="16"/>
        </w:rPr>
        <w:tab/>
        <w:t xml:space="preserve">Actual yields as at the end of each calendar month up to </w:t>
      </w:r>
      <w:r w:rsidR="005D792B">
        <w:rPr>
          <w:rFonts w:asciiTheme="majorHAnsi" w:hAnsiTheme="majorHAnsi" w:cstheme="majorHAnsi"/>
          <w:szCs w:val="16"/>
        </w:rPr>
        <w:t>March</w:t>
      </w:r>
      <w:r w:rsidR="00CB3B92">
        <w:rPr>
          <w:rFonts w:asciiTheme="majorHAnsi" w:hAnsiTheme="majorHAnsi" w:cstheme="majorHAnsi"/>
          <w:szCs w:val="16"/>
        </w:rPr>
        <w:t> </w:t>
      </w:r>
      <w:r w:rsidRPr="000B6099">
        <w:rPr>
          <w:rFonts w:asciiTheme="majorHAnsi" w:hAnsiTheme="majorHAnsi" w:cstheme="majorHAnsi"/>
          <w:szCs w:val="16"/>
        </w:rPr>
        <w:t>202</w:t>
      </w:r>
      <w:r>
        <w:rPr>
          <w:rFonts w:asciiTheme="majorHAnsi" w:hAnsiTheme="majorHAnsi" w:cstheme="majorHAnsi"/>
          <w:szCs w:val="16"/>
        </w:rPr>
        <w:t>6</w:t>
      </w:r>
      <w:r w:rsidRPr="000B6099">
        <w:rPr>
          <w:rFonts w:asciiTheme="majorHAnsi" w:hAnsiTheme="majorHAnsi" w:cstheme="majorHAnsi"/>
          <w:szCs w:val="16"/>
        </w:rPr>
        <w:t>.</w:t>
      </w:r>
    </w:p>
    <w:p w14:paraId="6975EAC8" w14:textId="77777777" w:rsidR="00B83E14" w:rsidRPr="00FD66CA" w:rsidRDefault="00B83E14" w:rsidP="00B83E14">
      <w:pPr>
        <w:pStyle w:val="ChartLine"/>
      </w:pPr>
    </w:p>
    <w:p w14:paraId="417481CA" w14:textId="77777777" w:rsidR="009210F9" w:rsidRPr="00FD66CA" w:rsidRDefault="009210F9">
      <w:pPr>
        <w:spacing w:before="0" w:after="160" w:line="259" w:lineRule="auto"/>
      </w:pPr>
      <w:bookmarkStart w:id="102" w:name="_1700568839"/>
      <w:bookmarkStart w:id="103" w:name="_1700573370"/>
      <w:bookmarkStart w:id="104" w:name="_1700647015"/>
      <w:bookmarkStart w:id="105" w:name="_1700646965"/>
      <w:bookmarkStart w:id="106" w:name="_1707640144"/>
      <w:bookmarkStart w:id="107" w:name="_1707746801"/>
      <w:bookmarkStart w:id="108" w:name="_1707825457"/>
      <w:bookmarkStart w:id="109" w:name="_1709480198"/>
      <w:bookmarkEnd w:id="102"/>
      <w:bookmarkEnd w:id="103"/>
      <w:bookmarkEnd w:id="104"/>
      <w:bookmarkEnd w:id="105"/>
      <w:bookmarkEnd w:id="106"/>
      <w:bookmarkEnd w:id="107"/>
      <w:bookmarkEnd w:id="108"/>
      <w:bookmarkEnd w:id="109"/>
      <w:r w:rsidRPr="00FD66CA">
        <w:br w:type="page"/>
      </w:r>
    </w:p>
    <w:p w14:paraId="2854947F" w14:textId="6BB60897" w:rsidR="005F7C40" w:rsidRPr="00FD66CA" w:rsidRDefault="005F7C40" w:rsidP="005F7C40">
      <w:r w:rsidRPr="00FD66CA">
        <w:lastRenderedPageBreak/>
        <w:t>Higher yields increase public debt interest payments and receipts earned on investments. As government interest bearing liabilities usually exceed interest bearing assets, higher yields lead to a deterioration in the underlying cash balance. Lower yields have the reverse effect, improving the underlying cash balance.</w:t>
      </w:r>
    </w:p>
    <w:p w14:paraId="4FD199B0" w14:textId="198D2369" w:rsidR="005F7C40" w:rsidRPr="00FD66CA" w:rsidRDefault="005F7C40" w:rsidP="005F7C40">
      <w:r w:rsidRPr="00FD66CA">
        <w:t>The higher yield assumption results in a deterioration to the underlying cash balance of</w:t>
      </w:r>
      <w:r w:rsidR="00CB3B92" w:rsidRPr="00FD66CA">
        <w:t> </w:t>
      </w:r>
      <w:r w:rsidR="000969C5" w:rsidRPr="00FD66CA">
        <w:t>0.3</w:t>
      </w:r>
      <w:r w:rsidR="00CB3B92" w:rsidRPr="00FD66CA">
        <w:t> </w:t>
      </w:r>
      <w:r w:rsidRPr="00FD66CA">
        <w:t>percentage</w:t>
      </w:r>
      <w:r w:rsidR="00CB3B92" w:rsidRPr="00FD66CA">
        <w:t> </w:t>
      </w:r>
      <w:r w:rsidRPr="00FD66CA">
        <w:t>points of GDP by 2036</w:t>
      </w:r>
      <w:r w:rsidR="003E1779" w:rsidRPr="00FD66CA">
        <w:t>–</w:t>
      </w:r>
      <w:r w:rsidRPr="00FD66CA">
        <w:t xml:space="preserve">37 and increases gross debt by </w:t>
      </w:r>
      <w:r w:rsidR="004D29BD" w:rsidRPr="00FD66CA">
        <w:t>1.9</w:t>
      </w:r>
      <w:r w:rsidR="00CB3B92" w:rsidRPr="00FD66CA">
        <w:t> </w:t>
      </w:r>
      <w:r w:rsidRPr="00FD66CA">
        <w:t>percentage</w:t>
      </w:r>
      <w:r w:rsidR="00CB3B92" w:rsidRPr="00FD66CA">
        <w:t> </w:t>
      </w:r>
      <w:r w:rsidRPr="00FD66CA">
        <w:t xml:space="preserve">points of GDP </w:t>
      </w:r>
      <w:proofErr w:type="gramStart"/>
      <w:r w:rsidRPr="00FD66CA">
        <w:t>at</w:t>
      </w:r>
      <w:proofErr w:type="gramEnd"/>
      <w:r w:rsidRPr="00FD66CA">
        <w:t xml:space="preserve"> 30</w:t>
      </w:r>
      <w:r w:rsidR="00CB3B92" w:rsidRPr="00FD66CA">
        <w:t> </w:t>
      </w:r>
      <w:r w:rsidRPr="00FD66CA">
        <w:t>June</w:t>
      </w:r>
      <w:r w:rsidR="00CB3B92" w:rsidRPr="00FD66CA">
        <w:t> </w:t>
      </w:r>
      <w:r w:rsidRPr="00FD66CA">
        <w:t>2037 (Chart 8.1</w:t>
      </w:r>
      <w:r w:rsidR="008B570D" w:rsidRPr="00FD66CA">
        <w:t>5</w:t>
      </w:r>
      <w:r w:rsidRPr="00FD66CA">
        <w:t>).</w:t>
      </w:r>
    </w:p>
    <w:p w14:paraId="1A2B241A" w14:textId="02C66BCB" w:rsidR="00B83E14" w:rsidRPr="00FD66CA" w:rsidRDefault="005F7C40" w:rsidP="005F7C40">
      <w:r w:rsidRPr="00FD66CA">
        <w:t xml:space="preserve">The lower yield assumption results in an improvement to the underlying cash balance of </w:t>
      </w:r>
      <w:r w:rsidR="00726530" w:rsidRPr="00FD66CA">
        <w:t>0.3</w:t>
      </w:r>
      <w:r w:rsidR="00CB3B92" w:rsidRPr="00FD66CA">
        <w:t> </w:t>
      </w:r>
      <w:r w:rsidRPr="00FD66CA">
        <w:t>percentage</w:t>
      </w:r>
      <w:r w:rsidR="00CB3B92" w:rsidRPr="00FD66CA">
        <w:t> </w:t>
      </w:r>
      <w:r w:rsidRPr="00FD66CA">
        <w:t>points of GDP by 203</w:t>
      </w:r>
      <w:r w:rsidR="00D476D7" w:rsidRPr="00FD66CA">
        <w:t>6</w:t>
      </w:r>
      <w:r w:rsidRPr="00FD66CA">
        <w:t>–3</w:t>
      </w:r>
      <w:r w:rsidR="00D476D7" w:rsidRPr="00FD66CA">
        <w:t>7</w:t>
      </w:r>
      <w:r w:rsidRPr="00FD66CA">
        <w:t xml:space="preserve">. Under the lower yield assumption, cumulative improvements to the underlying cash balance reduce gross debt by </w:t>
      </w:r>
      <w:r w:rsidR="00C44A8D" w:rsidRPr="00FD66CA">
        <w:t>1.8</w:t>
      </w:r>
      <w:r w:rsidR="00CB3B92" w:rsidRPr="00FD66CA">
        <w:t> </w:t>
      </w:r>
      <w:r w:rsidRPr="00FD66CA">
        <w:t>percentage</w:t>
      </w:r>
      <w:r w:rsidR="00CB3B92" w:rsidRPr="00FD66CA">
        <w:t> </w:t>
      </w:r>
      <w:r w:rsidRPr="00FD66CA">
        <w:t xml:space="preserve">points of GDP </w:t>
      </w:r>
      <w:proofErr w:type="gramStart"/>
      <w:r w:rsidRPr="00FD66CA">
        <w:t>at</w:t>
      </w:r>
      <w:proofErr w:type="gramEnd"/>
      <w:r w:rsidRPr="00FD66CA">
        <w:t xml:space="preserve"> 30</w:t>
      </w:r>
      <w:r w:rsidR="00CB3B92" w:rsidRPr="00FD66CA">
        <w:t> June </w:t>
      </w:r>
      <w:r w:rsidRPr="00FD66CA">
        <w:t>203</w:t>
      </w:r>
      <w:r w:rsidR="00D476D7" w:rsidRPr="00FD66CA">
        <w:t>7</w:t>
      </w:r>
      <w:r w:rsidRPr="00FD66CA">
        <w:t>.</w:t>
      </w:r>
    </w:p>
    <w:p w14:paraId="0414A834" w14:textId="73129706" w:rsidR="00B83E14" w:rsidRPr="00FD66CA" w:rsidRDefault="00B83E14" w:rsidP="00B83E14">
      <w:pPr>
        <w:pStyle w:val="ChartHeading"/>
        <w:rPr>
          <w:rFonts w:eastAsiaTheme="minorHAnsi"/>
        </w:rPr>
      </w:pPr>
      <w:r w:rsidRPr="00FD66CA">
        <w:t xml:space="preserve">Chart </w:t>
      </w:r>
      <w:r w:rsidR="00B805E3" w:rsidRPr="00FD66CA">
        <w:t>8</w:t>
      </w:r>
      <w:r w:rsidRPr="00FD66CA">
        <w:t>.1</w:t>
      </w:r>
      <w:r w:rsidR="008B570D" w:rsidRPr="00FD66CA">
        <w:t>5</w:t>
      </w:r>
      <w:r w:rsidRPr="00FD66CA">
        <w:t>: Gross debt</w:t>
      </w:r>
      <w:r w:rsidR="004D0D95" w:rsidRPr="00FD66CA">
        <w:t>, impact of alternative yield assumptions</w:t>
      </w:r>
    </w:p>
    <w:p w14:paraId="2785938E" w14:textId="65CA21D2" w:rsidR="00B83E14" w:rsidRPr="00FD66CA" w:rsidRDefault="001B18A4" w:rsidP="00B83E14">
      <w:pPr>
        <w:pStyle w:val="ChartGraphic"/>
        <w:rPr>
          <w:rFonts w:eastAsiaTheme="minorHAnsi"/>
        </w:rPr>
      </w:pPr>
      <w:bookmarkStart w:id="110" w:name="_1803983717"/>
      <w:bookmarkEnd w:id="110"/>
      <w:r w:rsidRPr="00FD66CA">
        <w:rPr>
          <w:rFonts w:eastAsiaTheme="minorHAnsi"/>
          <w:noProof/>
        </w:rPr>
        <w:drawing>
          <wp:inline distT="0" distB="0" distL="0" distR="0" wp14:anchorId="7D165B9F" wp14:editId="29852F98">
            <wp:extent cx="4679480" cy="2520000"/>
            <wp:effectExtent l="0" t="0" r="0" b="0"/>
            <wp:docPr id="1266785926" name="Graphic 1" descr="The chart compares gross debt as a share of GDP from 2026-27 to 2036-37 under the baseline, higher yield and lower yield assumptions. Under the baseline, gross debt-to-GDP peaks at 35.8 per cent in 2028-29, and falls to 27.2 per cent in 2036-37. Under the lower yield assumption it peaks at 35.2 in 2028-29 and falls to 25.3 per cent in 2036-37. Under the higher yield assumption it peaks at 36.4 in 2028-29 and falls to 29.1 per cent in 203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785926" name="Graphic 1" descr="The chart compares gross debt as a share of GDP from 2026-27 to 2036-37 under the baseline, higher yield and lower yield assumptions. Under the baseline, gross debt-to-GDP peaks at 35.8 per cent in 2028-29, and falls to 27.2 per cent in 2036-37. Under the lower yield assumption it peaks at 35.2 in 2028-29 and falls to 25.3 per cent in 2036-37. Under the higher yield assumption it peaks at 36.4 in 2028-29 and falls to 29.1 per cent in 2036-37."/>
                    <pic:cNvPicPr/>
                  </pic:nvPicPr>
                  <pic:blipFill>
                    <a:blip r:embed="rId40">
                      <a:extLst>
                        <a:ext uri="{96DAC541-7B7A-43D3-8B79-37D633B846F1}">
                          <asvg:svgBlip xmlns:asvg="http://schemas.microsoft.com/office/drawing/2016/SVG/main" r:embed="rId41"/>
                        </a:ext>
                      </a:extLst>
                    </a:blip>
                    <a:stretch>
                      <a:fillRect/>
                    </a:stretch>
                  </pic:blipFill>
                  <pic:spPr>
                    <a:xfrm>
                      <a:off x="0" y="0"/>
                      <a:ext cx="4679480" cy="2520000"/>
                    </a:xfrm>
                    <a:prstGeom prst="rect">
                      <a:avLst/>
                    </a:prstGeom>
                  </pic:spPr>
                </pic:pic>
              </a:graphicData>
            </a:graphic>
          </wp:inline>
        </w:drawing>
      </w:r>
    </w:p>
    <w:p w14:paraId="4A7A7F0F" w14:textId="6C67DCE2" w:rsidR="00B83E14" w:rsidRPr="00CE091F" w:rsidRDefault="00B83E14" w:rsidP="00B83E14">
      <w:pPr>
        <w:pStyle w:val="ChartandTableFootnote"/>
        <w:ind w:left="0" w:firstLine="0"/>
        <w:rPr>
          <w:color w:val="auto"/>
        </w:rPr>
      </w:pPr>
      <w:r w:rsidRPr="00FD66CA">
        <w:rPr>
          <w:color w:val="auto"/>
        </w:rPr>
        <w:t xml:space="preserve">Source: </w:t>
      </w:r>
      <w:r w:rsidRPr="00FD66CA">
        <w:rPr>
          <w:color w:val="auto"/>
        </w:rPr>
        <w:tab/>
        <w:t>Australian Office of Financial Management and Treasury.</w:t>
      </w:r>
    </w:p>
    <w:p w14:paraId="58693F6F" w14:textId="77777777" w:rsidR="00B83E14" w:rsidRPr="00476C6B" w:rsidRDefault="00B83E14" w:rsidP="00B83E14">
      <w:pPr>
        <w:pStyle w:val="ChartLine"/>
      </w:pPr>
    </w:p>
    <w:p w14:paraId="2EC111BC" w14:textId="77777777" w:rsidR="006D4B27" w:rsidRPr="00CB3B92" w:rsidRDefault="006D4B27" w:rsidP="00CB3B92"/>
    <w:sectPr w:rsidR="006D4B27" w:rsidRPr="00CB3B92" w:rsidSect="006A0967">
      <w:headerReference w:type="even" r:id="rId42"/>
      <w:headerReference w:type="default" r:id="rId43"/>
      <w:footerReference w:type="even" r:id="rId44"/>
      <w:footerReference w:type="default" r:id="rId45"/>
      <w:type w:val="oddPage"/>
      <w:pgSz w:w="11906" w:h="16838" w:code="9"/>
      <w:pgMar w:top="2835" w:right="2098" w:bottom="2466" w:left="2098" w:header="1814" w:footer="181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480CA" w14:textId="77777777" w:rsidR="002E3E9E" w:rsidRDefault="002E3E9E" w:rsidP="00E40261">
      <w:pPr>
        <w:spacing w:after="0" w:line="240" w:lineRule="auto"/>
      </w:pPr>
      <w:r>
        <w:separator/>
      </w:r>
    </w:p>
  </w:endnote>
  <w:endnote w:type="continuationSeparator" w:id="0">
    <w:p w14:paraId="54CC597C" w14:textId="77777777" w:rsidR="002E3E9E" w:rsidRDefault="002E3E9E" w:rsidP="00E40261">
      <w:pPr>
        <w:spacing w:after="0" w:line="240" w:lineRule="auto"/>
      </w:pPr>
      <w:r>
        <w:continuationSeparator/>
      </w:r>
    </w:p>
  </w:endnote>
  <w:endnote w:type="continuationNotice" w:id="1">
    <w:p w14:paraId="7C08AB1F" w14:textId="77777777" w:rsidR="002E3E9E" w:rsidRDefault="002E3E9E">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Bold">
    <w:panose1 w:val="020B07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wiss 721 BT">
    <w:altName w:val="Swiss 721 BT"/>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50866" w14:textId="76B22A38" w:rsidR="00CB3B92" w:rsidRDefault="00367E49" w:rsidP="00CB3B92">
    <w:pPr>
      <w:pStyle w:val="FooterOdd"/>
    </w:pPr>
    <w:fldSimple w:instr="SUBJECT   \* MERGEFORMAT">
      <w:r>
        <w:t>Statement 8: Forecasting Performance and Sensitivity Analysis</w:t>
      </w:r>
    </w:fldSimple>
    <w:r w:rsidR="00CB3B92" w:rsidRPr="00081542">
      <w:t> | </w:t>
    </w:r>
    <w:r w:rsidR="00CB3B92" w:rsidRPr="00B3705D">
      <w:rPr>
        <w:b/>
        <w:bCs/>
      </w:rPr>
      <w:t xml:space="preserve">Page </w:t>
    </w:r>
    <w:r w:rsidR="00CB3B92" w:rsidRPr="00B3705D">
      <w:rPr>
        <w:b/>
        <w:bCs/>
      </w:rPr>
      <w:fldChar w:fldCharType="begin"/>
    </w:r>
    <w:r w:rsidR="00CB3B92" w:rsidRPr="00B3705D">
      <w:rPr>
        <w:b/>
        <w:bCs/>
      </w:rPr>
      <w:instrText xml:space="preserve"> PAGE  \* Arabic  \* MERGEFORMAT </w:instrText>
    </w:r>
    <w:r w:rsidR="00CB3B92" w:rsidRPr="00B3705D">
      <w:rPr>
        <w:b/>
        <w:bCs/>
      </w:rPr>
      <w:fldChar w:fldCharType="separate"/>
    </w:r>
    <w:r w:rsidR="00CB3B92">
      <w:rPr>
        <w:b/>
        <w:bCs/>
      </w:rPr>
      <w:t>1</w:t>
    </w:r>
    <w:r w:rsidR="00CB3B92" w:rsidRPr="00B3705D">
      <w:rPr>
        <w:b/>
        <w:b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1D83F" w14:textId="305C1255" w:rsidR="008963F6" w:rsidRDefault="00367E49">
    <w:pPr>
      <w:pStyle w:val="FooterOdd"/>
    </w:pPr>
    <w:fldSimple w:instr="SUBJECT   \* MERGEFORMAT">
      <w:r>
        <w:t>Statement 8: Forecasting Performance and Sensitivity Analysis</w:t>
      </w:r>
    </w:fldSimple>
    <w:r w:rsidR="0058131A" w:rsidRPr="00081542">
      <w:t> | </w:t>
    </w:r>
    <w:r w:rsidR="00666CA3">
      <w:rPr>
        <w:b/>
        <w:bCs/>
      </w:rPr>
      <w:t>P</w:t>
    </w:r>
    <w:r w:rsidR="008963F6" w:rsidRPr="00B3705D">
      <w:rPr>
        <w:b/>
        <w:bCs/>
      </w:rPr>
      <w:t xml:space="preserve">age </w:t>
    </w:r>
    <w:r w:rsidR="008963F6" w:rsidRPr="00B3705D">
      <w:rPr>
        <w:b/>
        <w:bCs/>
      </w:rPr>
      <w:fldChar w:fldCharType="begin"/>
    </w:r>
    <w:r w:rsidR="008963F6" w:rsidRPr="00B3705D">
      <w:rPr>
        <w:b/>
        <w:bCs/>
      </w:rPr>
      <w:instrText xml:space="preserve"> PAGE  \* Arabic  \* MERGEFORMAT </w:instrText>
    </w:r>
    <w:r w:rsidR="008963F6" w:rsidRPr="00B3705D">
      <w:rPr>
        <w:b/>
        <w:bCs/>
      </w:rPr>
      <w:fldChar w:fldCharType="separate"/>
    </w:r>
    <w:r w:rsidR="008963F6">
      <w:rPr>
        <w:b/>
        <w:bCs/>
      </w:rPr>
      <w:t>1</w:t>
    </w:r>
    <w:r w:rsidR="008963F6" w:rsidRPr="00B3705D">
      <w:rPr>
        <w:b/>
        <w:bC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80EBC" w14:textId="31350620" w:rsidR="00996641" w:rsidRPr="00522D74" w:rsidRDefault="00996641" w:rsidP="000C54AB">
    <w:pPr>
      <w:pStyle w:val="FooterEven"/>
    </w:pPr>
    <w:r w:rsidRPr="00B3705D">
      <w:rPr>
        <w:b/>
      </w:rPr>
      <w:t xml:space="preserve">Page </w:t>
    </w:r>
    <w:r w:rsidRPr="00B3705D">
      <w:rPr>
        <w:b/>
        <w:bCs/>
      </w:rPr>
      <w:fldChar w:fldCharType="begin"/>
    </w:r>
    <w:r w:rsidRPr="00B3705D">
      <w:rPr>
        <w:b/>
      </w:rPr>
      <w:instrText xml:space="preserve"> PAGE  \* Arabic  \* MERGEFORMAT </w:instrText>
    </w:r>
    <w:r w:rsidRPr="00B3705D">
      <w:rPr>
        <w:b/>
        <w:bCs/>
      </w:rPr>
      <w:fldChar w:fldCharType="separate"/>
    </w:r>
    <w:r>
      <w:rPr>
        <w:b/>
        <w:bCs/>
      </w:rPr>
      <w:t>6</w:t>
    </w:r>
    <w:r w:rsidRPr="00B3705D">
      <w:rPr>
        <w:b/>
        <w:bCs/>
      </w:rPr>
      <w:fldChar w:fldCharType="end"/>
    </w:r>
    <w:r w:rsidRPr="00081542">
      <w:t> | </w:t>
    </w:r>
    <w:fldSimple w:instr=" SUBJECT   \* MERGEFORMAT ">
      <w:r w:rsidR="00367E49">
        <w:t>Statement 8: Forecasting Performance and Sensitivity Analysis</w:t>
      </w:r>
    </w:fldSimple>
    <w:r>
      <w:rPr>
        <w:noProof/>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72ABF" w14:textId="4E88CB42" w:rsidR="00996641" w:rsidRDefault="00367E49" w:rsidP="009F3CAB">
    <w:pPr>
      <w:pStyle w:val="FooterOdd"/>
    </w:pPr>
    <w:fldSimple w:instr=" SUBJECT   \* MERGEFORMAT ">
      <w:r>
        <w:t>Statement 8: Forecasting Performance and Sensitivity Analysis</w:t>
      </w:r>
    </w:fldSimple>
    <w:r w:rsidR="0060189B" w:rsidRPr="00081542">
      <w:t> | </w:t>
    </w:r>
    <w:r w:rsidR="0055765F">
      <w:rPr>
        <w:b/>
        <w:bCs/>
      </w:rPr>
      <w:t>P</w:t>
    </w:r>
    <w:r w:rsidR="00996641" w:rsidRPr="00B3705D">
      <w:rPr>
        <w:b/>
        <w:bCs/>
      </w:rPr>
      <w:t xml:space="preserve">age </w:t>
    </w:r>
    <w:r w:rsidR="00996641" w:rsidRPr="00B3705D">
      <w:rPr>
        <w:b/>
        <w:bCs/>
      </w:rPr>
      <w:fldChar w:fldCharType="begin"/>
    </w:r>
    <w:r w:rsidR="00996641" w:rsidRPr="00B3705D">
      <w:rPr>
        <w:b/>
        <w:bCs/>
      </w:rPr>
      <w:instrText xml:space="preserve"> PAGE  \* Arabic  \* MERGEFORMAT </w:instrText>
    </w:r>
    <w:r w:rsidR="00996641" w:rsidRPr="00B3705D">
      <w:rPr>
        <w:b/>
        <w:bCs/>
      </w:rPr>
      <w:fldChar w:fldCharType="separate"/>
    </w:r>
    <w:r w:rsidR="00996641">
      <w:rPr>
        <w:b/>
        <w:bCs/>
      </w:rPr>
      <w:t>1</w:t>
    </w:r>
    <w:r w:rsidR="00996641" w:rsidRPr="00B3705D">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F4A30" w14:textId="77777777" w:rsidR="002E3E9E" w:rsidRPr="003C1CA4" w:rsidRDefault="002E3E9E" w:rsidP="00EB6597">
      <w:pPr>
        <w:spacing w:after="0" w:line="240" w:lineRule="auto"/>
        <w:ind w:right="8277"/>
        <w:rPr>
          <w:rFonts w:asciiTheme="majorHAnsi" w:hAnsiTheme="majorHAnsi"/>
          <w:color w:val="E1E3E6" w:themeColor="background2" w:themeTint="33"/>
        </w:rPr>
      </w:pPr>
      <w:r w:rsidRPr="003C1CA4">
        <w:rPr>
          <w:rFonts w:asciiTheme="majorHAnsi" w:hAnsiTheme="majorHAnsi"/>
          <w:color w:val="E1E3E6" w:themeColor="background2" w:themeTint="33"/>
        </w:rPr>
        <w:t>—</w:t>
      </w:r>
    </w:p>
  </w:footnote>
  <w:footnote w:type="continuationSeparator" w:id="0">
    <w:p w14:paraId="792B0CCC" w14:textId="77777777" w:rsidR="002E3E9E" w:rsidRDefault="002E3E9E" w:rsidP="00E40261">
      <w:pPr>
        <w:spacing w:after="0" w:line="240" w:lineRule="auto"/>
      </w:pPr>
      <w:r>
        <w:continuationSeparator/>
      </w:r>
    </w:p>
  </w:footnote>
  <w:footnote w:type="continuationNotice" w:id="1">
    <w:p w14:paraId="50A19083" w14:textId="77777777" w:rsidR="002E3E9E" w:rsidRDefault="002E3E9E">
      <w:pPr>
        <w:spacing w:before="0" w:after="0" w:line="240" w:lineRule="auto"/>
      </w:pPr>
    </w:p>
  </w:footnote>
  <w:footnote w:id="2">
    <w:p w14:paraId="58B36F1F" w14:textId="5A0E22C0" w:rsidR="00B83E14" w:rsidRPr="009678A6" w:rsidRDefault="00B83E14" w:rsidP="00B83E14">
      <w:pPr>
        <w:pStyle w:val="FootnoteText"/>
      </w:pPr>
      <w:r w:rsidRPr="00DC2F8D">
        <w:footnoteRef/>
      </w:r>
      <w:r w:rsidRPr="009678A6">
        <w:t xml:space="preserve"> </w:t>
      </w:r>
      <w:r w:rsidRPr="005B7229">
        <w:tab/>
        <w:t xml:space="preserve">See Treasury Working Paper: </w:t>
      </w:r>
      <w:r w:rsidRPr="005B7229">
        <w:rPr>
          <w:rStyle w:val="Emphasis"/>
        </w:rPr>
        <w:t>Estimates of uncertainty around budget forecasts (2013).</w:t>
      </w:r>
      <w:r w:rsidRPr="005B7229">
        <w:rPr>
          <w:i/>
        </w:rPr>
        <w:t xml:space="preserve"> </w:t>
      </w:r>
    </w:p>
  </w:footnote>
  <w:footnote w:id="3">
    <w:p w14:paraId="2AF7E144" w14:textId="2E5D4654" w:rsidR="00B50470" w:rsidRDefault="006E10BB">
      <w:pPr>
        <w:pStyle w:val="FootnoteText"/>
      </w:pPr>
      <w:r w:rsidRPr="006E10BB">
        <w:rPr>
          <w:rStyle w:val="FootnoteReference"/>
          <w:vertAlign w:val="baseline"/>
        </w:rPr>
        <w:footnoteRef/>
      </w:r>
      <w:r w:rsidR="009210F9">
        <w:tab/>
      </w:r>
      <w:r w:rsidR="00B50470" w:rsidRPr="00FD66CA">
        <w:t xml:space="preserve">This year a sensitivity analysis of iron ore prices has not been included. The impact of changes in iron ore prices will be broadly similar to </w:t>
      </w:r>
      <w:r w:rsidR="00B717C0" w:rsidRPr="00FD66CA">
        <w:t>those published</w:t>
      </w:r>
      <w:r w:rsidR="00B50470" w:rsidRPr="00FD66CA">
        <w:t xml:space="preserve"> in </w:t>
      </w:r>
      <w:r w:rsidR="00B717C0" w:rsidRPr="00FD66CA">
        <w:t xml:space="preserve">the </w:t>
      </w:r>
      <w:r w:rsidR="00B717C0" w:rsidRPr="00FD66CA">
        <w:rPr>
          <w:i/>
        </w:rPr>
        <w:t>2025</w:t>
      </w:r>
      <w:r w:rsidR="008C648C" w:rsidRPr="00FD66CA">
        <w:rPr>
          <w:i/>
        </w:rPr>
        <w:t>–26 MYEFO</w:t>
      </w:r>
      <w:r w:rsidR="00B50470" w:rsidRPr="003618DF">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85003" w14:textId="5554008B" w:rsidR="00CB3B92" w:rsidRDefault="00A349EE">
    <w:pPr>
      <w:pStyle w:val="Header"/>
    </w:pPr>
    <w:r>
      <w:rPr>
        <w:noProof/>
        <w:sz w:val="2"/>
        <w:szCs w:val="2"/>
      </w:rPr>
      <w:drawing>
        <wp:anchor distT="0" distB="0" distL="114300" distR="114300" simplePos="0" relativeHeight="251658241" behindDoc="1" locked="0" layoutInCell="1" allowOverlap="1" wp14:anchorId="7E57C89A" wp14:editId="06EB3CDF">
          <wp:simplePos x="0" y="0"/>
          <wp:positionH relativeFrom="page">
            <wp:align>center</wp:align>
          </wp:positionH>
          <wp:positionV relativeFrom="page">
            <wp:align>center</wp:align>
          </wp:positionV>
          <wp:extent cx="7560000" cy="10692000"/>
          <wp:effectExtent l="0" t="0" r="3175" b="0"/>
          <wp:wrapNone/>
          <wp:docPr id="1714867570"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20107" name="Picture 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flipH="1">
                    <a:off x="0" y="0"/>
                    <a:ext cx="7560000" cy="10692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2BA7B" w14:textId="71FE23B4" w:rsidR="00CB3B92" w:rsidRDefault="00A349EE">
    <w:pPr>
      <w:pStyle w:val="Header"/>
    </w:pPr>
    <w:r>
      <w:rPr>
        <w:noProof/>
        <w:sz w:val="2"/>
        <w:szCs w:val="2"/>
      </w:rPr>
      <w:drawing>
        <wp:anchor distT="0" distB="0" distL="114300" distR="114300" simplePos="0" relativeHeight="251658242" behindDoc="1" locked="0" layoutInCell="1" allowOverlap="1" wp14:anchorId="5298773D" wp14:editId="6D464D7E">
          <wp:simplePos x="0" y="0"/>
          <wp:positionH relativeFrom="page">
            <wp:align>center</wp:align>
          </wp:positionH>
          <wp:positionV relativeFrom="page">
            <wp:align>center</wp:align>
          </wp:positionV>
          <wp:extent cx="7560000" cy="10692000"/>
          <wp:effectExtent l="0" t="0" r="3175" b="0"/>
          <wp:wrapNone/>
          <wp:docPr id="902475339"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042935" name="Picture 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560000" cy="10692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949E1" w14:textId="0C5E5881" w:rsidR="00FF7743" w:rsidRPr="005B2F30" w:rsidRDefault="000A4219">
    <w:pPr>
      <w:rPr>
        <w:sz w:val="2"/>
        <w:szCs w:val="2"/>
      </w:rPr>
    </w:pPr>
    <w:r>
      <w:rPr>
        <w:noProof/>
        <w:sz w:val="32"/>
        <w:szCs w:val="32"/>
      </w:rPr>
      <w:drawing>
        <wp:anchor distT="0" distB="0" distL="114300" distR="114300" simplePos="0" relativeHeight="251659269" behindDoc="1" locked="0" layoutInCell="1" allowOverlap="1" wp14:anchorId="1A75F673" wp14:editId="2F7284AE">
          <wp:simplePos x="0" y="0"/>
          <wp:positionH relativeFrom="page">
            <wp:align>center</wp:align>
          </wp:positionH>
          <wp:positionV relativeFrom="page">
            <wp:align>center</wp:align>
          </wp:positionV>
          <wp:extent cx="7560000" cy="10692000"/>
          <wp:effectExtent l="0" t="0" r="3175" b="0"/>
          <wp:wrapNone/>
          <wp:docPr id="1032991940"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991940"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560000" cy="10692000"/>
                  </a:xfrm>
                  <a:prstGeom prst="rect">
                    <a:avLst/>
                  </a:prstGeom>
                </pic:spPr>
              </pic:pic>
            </a:graphicData>
          </a:graphic>
          <wp14:sizeRelH relativeFrom="page">
            <wp14:pctWidth>0</wp14:pctWidth>
          </wp14:sizeRelH>
          <wp14:sizeRelV relativeFrom="page">
            <wp14:pctHeight>0</wp14:pctHeight>
          </wp14:sizeRelV>
        </wp:anchor>
      </w:drawing>
    </w:r>
    <w:r w:rsidR="00FF7743" w:rsidRPr="00692105">
      <w:rPr>
        <w:noProof/>
        <w:sz w:val="32"/>
        <w:szCs w:val="32"/>
      </w:rPr>
      <mc:AlternateContent>
        <mc:Choice Requires="wps">
          <w:drawing>
            <wp:anchor distT="0" distB="0" distL="114300" distR="114300" simplePos="0" relativeHeight="251658240" behindDoc="0" locked="0" layoutInCell="1" allowOverlap="1" wp14:anchorId="262D840E" wp14:editId="2B36806C">
              <wp:simplePos x="0" y="0"/>
              <wp:positionH relativeFrom="column">
                <wp:posOffset>7560945</wp:posOffset>
              </wp:positionH>
              <wp:positionV relativeFrom="margin">
                <wp:align>bottom</wp:align>
              </wp:positionV>
              <wp:extent cx="399600" cy="4896000"/>
              <wp:effectExtent l="0" t="0" r="635" b="0"/>
              <wp:wrapNone/>
              <wp:docPr id="384309691" name="Text Box 6" descr="Landscape Odd Head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600" cy="4896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450E6E" w14:textId="70E836E5" w:rsidR="00FF7743" w:rsidRPr="00137C7E" w:rsidRDefault="00367E49" w:rsidP="001D33D6">
                          <w:pPr>
                            <w:pStyle w:val="HeaderOdd"/>
                          </w:pPr>
                          <w:fldSimple w:instr="TITLE   \* MERGEFORMAT">
                            <w:r>
                              <w:t>Budget Paper No. 1</w:t>
                            </w:r>
                          </w:fldSimple>
                          <w:r w:rsidR="00FF7743">
                            <w:t xml:space="preserve">  |  </w:t>
                          </w:r>
                        </w:p>
                      </w:txbxContent>
                    </wps:txbx>
                    <wps:bodyPr rot="0" vert="vert" wrap="square" lIns="0" tIns="0" rIns="0" bIns="720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2D840E" id="_x0000_t202" coordsize="21600,21600" o:spt="202" path="m,l,21600r21600,l21600,xe">
              <v:stroke joinstyle="miter"/>
              <v:path gradientshapeok="t" o:connecttype="rect"/>
            </v:shapetype>
            <v:shape id="Text Box 6" o:spid="_x0000_s1026" type="#_x0000_t202" alt="Landscape Odd Header" style="position:absolute;margin-left:595.35pt;margin-top:0;width:31.45pt;height:385.5pt;z-index:251658240;visibility:visible;mso-wrap-style:square;mso-width-percent:0;mso-height-percent:0;mso-wrap-distance-left:9pt;mso-wrap-distance-top:0;mso-wrap-distance-right:9pt;mso-wrap-distance-bottom:0;mso-position-horizontal:absolute;mso-position-horizontal-relative:text;mso-position-vertical:bottom;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" stroked="f">
              <v:textbox style="layout-flow:vertical" inset="0,0,0,.2mm">
                <w:txbxContent>
                  <w:p w14:paraId="05450E6E" w14:textId="70E836E5" w:rsidR="00FF7743" w:rsidRPr="00137C7E" w:rsidRDefault="00367E49" w:rsidP="001D33D6">
                    <w:pPr>
                      <w:pStyle w:val="HeaderOdd"/>
                    </w:pPr>
                    <w:fldSimple w:instr="TITLE   \* MERGEFORMAT">
                      <w:r>
                        <w:t>Budget Paper No. 1</w:t>
                      </w:r>
                    </w:fldSimple>
                    <w:r w:rsidR="00FF7743">
                      <w:t xml:space="preserve">  |  </w:t>
                    </w:r>
                  </w:p>
                </w:txbxContent>
              </v:textbox>
              <w10:wrap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797"/>
    </w:tblGrid>
    <w:tr w:rsidR="00996641" w:rsidRPr="00CB3B92" w14:paraId="7EA7F949" w14:textId="77777777">
      <w:trPr>
        <w:trHeight w:hRule="exact" w:val="340"/>
      </w:trPr>
      <w:tc>
        <w:tcPr>
          <w:tcW w:w="7797" w:type="dxa"/>
        </w:tcPr>
        <w:p w14:paraId="1DEF4147" w14:textId="1B3E5334" w:rsidR="00996641" w:rsidRPr="00CB3B92" w:rsidRDefault="00DE2801" w:rsidP="00AA2450">
          <w:pPr>
            <w:pStyle w:val="HeaderEven"/>
          </w:pPr>
          <w:r w:rsidRPr="00CB3B92">
            <w:rPr>
              <w:noProof/>
              <w:position w:val="-8"/>
            </w:rPr>
            <w:drawing>
              <wp:inline distT="0" distB="0" distL="0" distR="0" wp14:anchorId="680D1819" wp14:editId="64EB12D0">
                <wp:extent cx="860400" cy="198000"/>
                <wp:effectExtent l="0" t="0" r="0" b="0"/>
                <wp:docPr id="1824404955"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111901" name="Picture 2">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60400" cy="198000"/>
                        </a:xfrm>
                        <a:prstGeom prst="rect">
                          <a:avLst/>
                        </a:prstGeom>
                      </pic:spPr>
                    </pic:pic>
                  </a:graphicData>
                </a:graphic>
              </wp:inline>
            </w:drawing>
          </w:r>
          <w:r w:rsidR="00996641" w:rsidRPr="00CB3B92">
            <w:t> | </w:t>
          </w:r>
          <w:fldSimple w:instr=" TITLE   \* MERGEFORMAT ">
            <w:r w:rsidR="00367E49">
              <w:t>Budget Paper No. 1</w:t>
            </w:r>
          </w:fldSimple>
        </w:p>
      </w:tc>
    </w:tr>
  </w:tbl>
  <w:p w14:paraId="7425C667" w14:textId="3BA9ACA4" w:rsidR="00996641" w:rsidRPr="00AA2450" w:rsidRDefault="00A349EE" w:rsidP="00AA2450">
    <w:pPr>
      <w:pStyle w:val="GhostLine"/>
    </w:pPr>
    <w:r w:rsidRPr="00CB3B92">
      <w:rPr>
        <w:noProof/>
        <w:szCs w:val="2"/>
      </w:rPr>
      <w:drawing>
        <wp:anchor distT="0" distB="0" distL="114300" distR="114300" simplePos="0" relativeHeight="251658244" behindDoc="1" locked="0" layoutInCell="1" allowOverlap="1" wp14:anchorId="12925B6B" wp14:editId="5BDA6895">
          <wp:simplePos x="0" y="0"/>
          <wp:positionH relativeFrom="page">
            <wp:align>center</wp:align>
          </wp:positionH>
          <wp:positionV relativeFrom="page">
            <wp:align>center</wp:align>
          </wp:positionV>
          <wp:extent cx="7560000" cy="10692000"/>
          <wp:effectExtent l="0" t="0" r="3175" b="0"/>
          <wp:wrapNone/>
          <wp:docPr id="1681550624"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550624" name="Picture 2">
                    <a:extLst>
                      <a:ext uri="{C183D7F6-B498-43B3-948B-1728B52AA6E4}">
                        <adec:decorative xmlns:adec="http://schemas.microsoft.com/office/drawing/2017/decorative" val="1"/>
                      </a:ext>
                    </a:extLst>
                  </pic:cNvPr>
                  <pic:cNvPicPr/>
                </pic:nvPicPr>
                <pic:blipFill>
                  <a:blip r:embed="rId2">
                    <a:extLst>
                      <a:ext uri="{28A0092B-C50C-407E-A947-70E740481C1C}">
                        <a14:useLocalDpi xmlns:a14="http://schemas.microsoft.com/office/drawing/2010/main" val="0"/>
                      </a:ext>
                    </a:extLst>
                  </a:blip>
                  <a:stretch>
                    <a:fillRect/>
                  </a:stretch>
                </pic:blipFill>
                <pic:spPr>
                  <a:xfrm flipH="1">
                    <a:off x="0" y="0"/>
                    <a:ext cx="7560000" cy="10692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797"/>
    </w:tblGrid>
    <w:tr w:rsidR="00996641" w:rsidRPr="00CB3B92" w14:paraId="219CF493" w14:textId="77777777">
      <w:trPr>
        <w:trHeight w:hRule="exact" w:val="340"/>
      </w:trPr>
      <w:tc>
        <w:tcPr>
          <w:tcW w:w="7797" w:type="dxa"/>
          <w:tcMar>
            <w:left w:w="108" w:type="dxa"/>
            <w:right w:w="108" w:type="dxa"/>
          </w:tcMar>
        </w:tcPr>
        <w:p w14:paraId="783197E4" w14:textId="54E085FF" w:rsidR="00996641" w:rsidRPr="00CB3B92" w:rsidRDefault="00367E49" w:rsidP="00AA2450">
          <w:pPr>
            <w:pStyle w:val="HeaderOdd"/>
          </w:pPr>
          <w:fldSimple w:instr=" TITLE   \* MERGEFORMAT ">
            <w:r>
              <w:t>Budget Paper No. 1</w:t>
            </w:r>
          </w:fldSimple>
          <w:r w:rsidR="00996641" w:rsidRPr="00CB3B92">
            <w:t> | </w:t>
          </w:r>
          <w:r w:rsidR="00996641" w:rsidRPr="00CB3B92">
            <w:rPr>
              <w:noProof/>
              <w:position w:val="-8"/>
              <w:vertAlign w:val="subscript"/>
            </w:rPr>
            <w:drawing>
              <wp:inline distT="0" distB="0" distL="0" distR="0" wp14:anchorId="5C28665A" wp14:editId="76E14963">
                <wp:extent cx="860400" cy="198000"/>
                <wp:effectExtent l="0" t="0" r="0" b="0"/>
                <wp:docPr id="145245308"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45308" name="Picture 1">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60400" cy="198000"/>
                        </a:xfrm>
                        <a:prstGeom prst="rect">
                          <a:avLst/>
                        </a:prstGeom>
                      </pic:spPr>
                    </pic:pic>
                  </a:graphicData>
                </a:graphic>
              </wp:inline>
            </w:drawing>
          </w:r>
        </w:p>
      </w:tc>
    </w:tr>
  </w:tbl>
  <w:p w14:paraId="1D5F70DD" w14:textId="5B395497" w:rsidR="00996641" w:rsidRPr="00AA2450" w:rsidRDefault="006E10BB" w:rsidP="00AA2450">
    <w:pPr>
      <w:pStyle w:val="GhostLine"/>
    </w:pPr>
    <w:r>
      <w:rPr>
        <w:noProof/>
        <w:szCs w:val="2"/>
      </w:rPr>
      <w:drawing>
        <wp:anchor distT="0" distB="0" distL="114300" distR="114300" simplePos="0" relativeHeight="251658245" behindDoc="1" locked="0" layoutInCell="1" allowOverlap="1" wp14:anchorId="132D5FB0" wp14:editId="63EC25EF">
          <wp:simplePos x="0" y="0"/>
          <wp:positionH relativeFrom="page">
            <wp:align>center</wp:align>
          </wp:positionH>
          <wp:positionV relativeFrom="page">
            <wp:align>center</wp:align>
          </wp:positionV>
          <wp:extent cx="7560000" cy="10692000"/>
          <wp:effectExtent l="0" t="0" r="3175" b="0"/>
          <wp:wrapNone/>
          <wp:docPr id="566350030"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50030" name="Picture 2">
                    <a:extLst>
                      <a:ext uri="{C183D7F6-B498-43B3-948B-1728B52AA6E4}">
                        <adec:decorative xmlns:adec="http://schemas.microsoft.com/office/drawing/2017/decorative" val="1"/>
                      </a:ext>
                    </a:extLst>
                  </pic:cNvPr>
                  <pic:cNvPicPr/>
                </pic:nvPicPr>
                <pic:blipFill>
                  <a:blip r:embed="rId2">
                    <a:extLst>
                      <a:ext uri="{28A0092B-C50C-407E-A947-70E740481C1C}">
                        <a14:useLocalDpi xmlns:a14="http://schemas.microsoft.com/office/drawing/2010/main" val="0"/>
                      </a:ext>
                    </a:extLst>
                  </a:blip>
                  <a:stretch>
                    <a:fillRect/>
                  </a:stretch>
                </pic:blipFill>
                <pic:spPr>
                  <a:xfrm>
                    <a:off x="0" y="0"/>
                    <a:ext cx="7560000" cy="10692000"/>
                  </a:xfrm>
                  <a:prstGeom prst="rect">
                    <a:avLst/>
                  </a:prstGeom>
                </pic:spPr>
              </pic:pic>
            </a:graphicData>
          </a:graphic>
          <wp14:sizeRelH relativeFrom="margin">
            <wp14:pctWidth>0</wp14:pctWidth>
          </wp14:sizeRelH>
          <wp14:sizeRelV relativeFrom="margin">
            <wp14:pctHeight>0</wp14:pctHeight>
          </wp14:sizeRelV>
        </wp:anchor>
      </w:drawing>
    </w:r>
  </w:p>
  <w:p w14:paraId="7179905F" w14:textId="77777777" w:rsidR="00996641" w:rsidRPr="00AA2450" w:rsidRDefault="00996641" w:rsidP="00AA2450">
    <w:pPr>
      <w:pStyle w:val="GhostLi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BA4A87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E4E7DC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6BC0EA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074B4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F821A4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860DD3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4F2C7B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F4A2E1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316B0D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47C752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C42909"/>
    <w:multiLevelType w:val="multilevel"/>
    <w:tmpl w:val="9828D65A"/>
    <w:lvl w:ilvl="0">
      <w:start w:val="1"/>
      <w:numFmt w:val="bullet"/>
      <w:lvlRestart w:val="0"/>
      <w:pStyle w:val="Bullet"/>
      <w:lvlText w:val="•"/>
      <w:lvlJc w:val="left"/>
      <w:pPr>
        <w:tabs>
          <w:tab w:val="num" w:pos="283"/>
        </w:tabs>
        <w:ind w:left="283" w:hanging="283"/>
      </w:pPr>
      <w:rPr>
        <w:rFonts w:ascii="Times New Roman" w:hAnsi="Times New Roman" w:cs="Times New Roman"/>
        <w:b w:val="0"/>
        <w:i w:val="0"/>
      </w:rPr>
    </w:lvl>
    <w:lvl w:ilvl="1">
      <w:start w:val="1"/>
      <w:numFmt w:val="bullet"/>
      <w:pStyle w:val="Dash"/>
      <w:lvlText w:val="–"/>
      <w:lvlJc w:val="left"/>
      <w:pPr>
        <w:tabs>
          <w:tab w:val="num" w:pos="567"/>
        </w:tabs>
        <w:ind w:left="567" w:hanging="284"/>
      </w:pPr>
      <w:rPr>
        <w:rFonts w:ascii="Times New Roman" w:hAnsi="Times New Roman" w:cs="Times New Roman"/>
        <w:b w:val="0"/>
        <w:i w:val="0"/>
      </w:rPr>
    </w:lvl>
    <w:lvl w:ilvl="2">
      <w:start w:val="1"/>
      <w:numFmt w:val="bullet"/>
      <w:pStyle w:val="DoubleDot"/>
      <w:lvlText w:val=":"/>
      <w:lvlJc w:val="left"/>
      <w:pPr>
        <w:tabs>
          <w:tab w:val="num" w:pos="850"/>
        </w:tabs>
        <w:ind w:left="850" w:hanging="283"/>
      </w:pPr>
      <w:rPr>
        <w:rFonts w:ascii="Times New Roman" w:hAnsi="Times New Roman" w:cs="Times New Roman"/>
        <w:b w:val="0"/>
        <w:i w:val="0"/>
      </w:rPr>
    </w:lvl>
    <w:lvl w:ilvl="3">
      <w:start w:val="1"/>
      <w:numFmt w:val="decimal"/>
      <w:lvlText w:val="(%4)"/>
      <w:lvlJc w:val="left"/>
      <w:pPr>
        <w:tabs>
          <w:tab w:val="num" w:pos="1440"/>
        </w:tabs>
        <w:ind w:left="1440" w:hanging="360"/>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160"/>
        </w:tabs>
        <w:ind w:left="2160" w:hanging="360"/>
      </w:pPr>
      <w:rPr>
        <w:b w:val="0"/>
        <w:i w:val="0"/>
      </w:rPr>
    </w:lvl>
    <w:lvl w:ilvl="6">
      <w:start w:val="1"/>
      <w:numFmt w:val="decimal"/>
      <w:lvlText w:val="%7."/>
      <w:lvlJc w:val="left"/>
      <w:pPr>
        <w:tabs>
          <w:tab w:val="num" w:pos="2520"/>
        </w:tabs>
        <w:ind w:left="2520" w:hanging="360"/>
      </w:pPr>
      <w:rPr>
        <w:b w:val="0"/>
        <w:i w:val="0"/>
      </w:rPr>
    </w:lvl>
    <w:lvl w:ilvl="7">
      <w:start w:val="1"/>
      <w:numFmt w:val="lowerLetter"/>
      <w:lvlText w:val="%8."/>
      <w:lvlJc w:val="left"/>
      <w:pPr>
        <w:tabs>
          <w:tab w:val="num" w:pos="2880"/>
        </w:tabs>
        <w:ind w:left="2880" w:hanging="360"/>
      </w:pPr>
      <w:rPr>
        <w:b w:val="0"/>
        <w:i w:val="0"/>
      </w:rPr>
    </w:lvl>
    <w:lvl w:ilvl="8">
      <w:start w:val="1"/>
      <w:numFmt w:val="lowerRoman"/>
      <w:lvlText w:val="%9."/>
      <w:lvlJc w:val="left"/>
      <w:pPr>
        <w:tabs>
          <w:tab w:val="num" w:pos="3240"/>
        </w:tabs>
        <w:ind w:left="3240" w:hanging="360"/>
      </w:pPr>
      <w:rPr>
        <w:b w:val="0"/>
        <w:i w:val="0"/>
      </w:rPr>
    </w:lvl>
  </w:abstractNum>
  <w:abstractNum w:abstractNumId="11" w15:restartNumberingAfterBreak="0">
    <w:nsid w:val="10757CBC"/>
    <w:multiLevelType w:val="singleLevel"/>
    <w:tmpl w:val="103C53FC"/>
    <w:name w:val="Box Bullet List"/>
    <w:lvl w:ilvl="0">
      <w:start w:val="1"/>
      <w:numFmt w:val="bullet"/>
      <w:lvlRestart w:val="0"/>
      <w:pStyle w:val="BoxBullet"/>
      <w:lvlText w:val="•"/>
      <w:lvlJc w:val="left"/>
      <w:pPr>
        <w:tabs>
          <w:tab w:val="num" w:pos="283"/>
        </w:tabs>
        <w:ind w:left="283" w:hanging="283"/>
      </w:pPr>
      <w:rPr>
        <w:rFonts w:ascii="Times New Roman" w:hAnsi="Times New Roman" w:cs="Times New Roman"/>
        <w:b w:val="0"/>
        <w:i w:val="0"/>
      </w:rPr>
    </w:lvl>
  </w:abstractNum>
  <w:abstractNum w:abstractNumId="12" w15:restartNumberingAfterBreak="0">
    <w:nsid w:val="1647577F"/>
    <w:multiLevelType w:val="multilevel"/>
    <w:tmpl w:val="E8664D92"/>
    <w:lvl w:ilvl="0">
      <w:start w:val="1"/>
      <w:numFmt w:val="lowerLetter"/>
      <w:pStyle w:val="ChartandTableFootnoteAlpha"/>
      <w:lvlText w:val="%1)"/>
      <w:lvlJc w:val="left"/>
      <w:pPr>
        <w:ind w:left="284" w:hanging="284"/>
      </w:pPr>
      <w:rPr>
        <w:rFonts w:hint="default"/>
        <w:b w:val="0"/>
        <w:i w:val="0"/>
        <w:color w:val="000000"/>
        <w:sz w:val="16"/>
      </w:rPr>
    </w:lvl>
    <w:lvl w:ilvl="1">
      <w:start w:val="1"/>
      <w:numFmt w:val="lowerLetter"/>
      <w:lvlText w:val="%2)"/>
      <w:lvlJc w:val="left"/>
      <w:pPr>
        <w:ind w:left="568" w:hanging="284"/>
      </w:pPr>
      <w:rPr>
        <w:rFonts w:hint="default"/>
      </w:rPr>
    </w:lvl>
    <w:lvl w:ilvl="2">
      <w:start w:val="1"/>
      <w:numFmt w:val="lowerRoman"/>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13" w15:restartNumberingAfterBreak="0">
    <w:nsid w:val="31BE74E7"/>
    <w:multiLevelType w:val="hybridMultilevel"/>
    <w:tmpl w:val="49F82026"/>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43FB49B7"/>
    <w:multiLevelType w:val="singleLevel"/>
    <w:tmpl w:val="9EDE5682"/>
    <w:name w:val="Alpha Paragraph"/>
    <w:lvl w:ilvl="0">
      <w:start w:val="1"/>
      <w:numFmt w:val="lowerLetter"/>
      <w:lvlRestart w:val="0"/>
      <w:pStyle w:val="AlphaParagraph"/>
      <w:lvlText w:val="(%1)"/>
      <w:lvlJc w:val="left"/>
      <w:pPr>
        <w:tabs>
          <w:tab w:val="num" w:pos="567"/>
        </w:tabs>
        <w:ind w:left="567" w:hanging="567"/>
      </w:pPr>
      <w:rPr>
        <w:b w:val="0"/>
        <w:i w:val="0"/>
        <w:color w:val="000000"/>
      </w:rPr>
    </w:lvl>
  </w:abstractNum>
  <w:abstractNum w:abstractNumId="15" w15:restartNumberingAfterBreak="0">
    <w:nsid w:val="5D914CDB"/>
    <w:multiLevelType w:val="hybridMultilevel"/>
    <w:tmpl w:val="4F4A2B2A"/>
    <w:lvl w:ilvl="0" w:tplc="95B6E22A">
      <w:start w:val="1"/>
      <w:numFmt w:val="decimal"/>
      <w:pStyle w:val="Bullet-numbered"/>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5FAA4416"/>
    <w:multiLevelType w:val="multilevel"/>
    <w:tmpl w:val="D2300CFC"/>
    <w:lvl w:ilvl="0">
      <w:start w:val="1"/>
      <w:numFmt w:val="decimal"/>
      <w:pStyle w:val="OutlineNumbered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8EA3959"/>
    <w:multiLevelType w:val="multilevel"/>
    <w:tmpl w:val="BA54A7CC"/>
    <w:lvl w:ilvl="0">
      <w:start w:val="1"/>
      <w:numFmt w:val="lowerLetter"/>
      <w:lvlRestart w:val="0"/>
      <w:lvlText w:val="(%1)"/>
      <w:lvlJc w:val="left"/>
      <w:pPr>
        <w:tabs>
          <w:tab w:val="num" w:pos="284"/>
        </w:tabs>
        <w:ind w:left="284" w:hanging="284"/>
      </w:pPr>
      <w:rPr>
        <w:rFonts w:cs="Times New Roman"/>
        <w:b w:val="0"/>
        <w:bCs w:val="0"/>
        <w:i w:val="0"/>
        <w:iCs w:val="0"/>
        <w:caps w:val="0"/>
        <w:smallCaps w:val="0"/>
        <w:strike w:val="0"/>
        <w:dstrike w:val="0"/>
        <w:noProof w:val="0"/>
        <w:vanish w:val="0"/>
        <w:spacing w:val="0"/>
        <w:kern w:val="0"/>
        <w:position w:val="0"/>
        <w:u w:val="none"/>
        <w:vertAlign w:val="baseline"/>
        <w:em w:val="none"/>
      </w:rPr>
    </w:lvl>
    <w:lvl w:ilvl="1">
      <w:start w:val="1"/>
      <w:numFmt w:val="decimal"/>
      <w:lvlText w:val="%2"/>
      <w:lvlJc w:val="left"/>
      <w:pPr>
        <w:tabs>
          <w:tab w:val="num" w:pos="1134"/>
        </w:tabs>
        <w:ind w:left="1134" w:hanging="567"/>
      </w:pPr>
      <w:rPr>
        <w:b w:val="0"/>
        <w:i w:val="0"/>
        <w:color w:val="000000"/>
      </w:rPr>
    </w:lvl>
    <w:lvl w:ilvl="2">
      <w:start w:val="1"/>
      <w:numFmt w:val="decimal"/>
      <w:lvlText w:val="%3"/>
      <w:lvlJc w:val="left"/>
      <w:pPr>
        <w:tabs>
          <w:tab w:val="num" w:pos="1701"/>
        </w:tabs>
        <w:ind w:left="1701" w:hanging="567"/>
      </w:pPr>
      <w:rPr>
        <w:b w:val="0"/>
        <w:i w:val="0"/>
        <w:color w:val="000000"/>
      </w:rPr>
    </w:lvl>
    <w:lvl w:ilvl="3">
      <w:start w:val="1"/>
      <w:numFmt w:val="decimal"/>
      <w:lvlText w:val="%4"/>
      <w:lvlJc w:val="left"/>
      <w:pPr>
        <w:tabs>
          <w:tab w:val="num" w:pos="2268"/>
        </w:tabs>
        <w:ind w:left="2268" w:hanging="567"/>
      </w:pPr>
      <w:rPr>
        <w:b w:val="0"/>
        <w:i w:val="0"/>
        <w:color w:val="000000"/>
      </w:rPr>
    </w:lvl>
    <w:lvl w:ilvl="4">
      <w:start w:val="1"/>
      <w:numFmt w:val="decimal"/>
      <w:lvlText w:val="%5"/>
      <w:lvlJc w:val="left"/>
      <w:pPr>
        <w:tabs>
          <w:tab w:val="num" w:pos="2835"/>
        </w:tabs>
        <w:ind w:left="2835" w:hanging="567"/>
      </w:pPr>
      <w:rPr>
        <w:b w:val="0"/>
        <w:i w:val="0"/>
        <w:color w:val="000000"/>
      </w:rPr>
    </w:lvl>
    <w:lvl w:ilvl="5">
      <w:start w:val="1"/>
      <w:numFmt w:val="decimal"/>
      <w:lvlText w:val="%6"/>
      <w:lvlJc w:val="left"/>
      <w:pPr>
        <w:tabs>
          <w:tab w:val="num" w:pos="3402"/>
        </w:tabs>
        <w:ind w:left="3402" w:hanging="567"/>
      </w:pPr>
      <w:rPr>
        <w:b w:val="0"/>
        <w:i w:val="0"/>
        <w:color w:val="000000"/>
      </w:rPr>
    </w:lvl>
    <w:lvl w:ilvl="6">
      <w:start w:val="1"/>
      <w:numFmt w:val="decimal"/>
      <w:lvlText w:val="%7"/>
      <w:lvlJc w:val="left"/>
      <w:pPr>
        <w:tabs>
          <w:tab w:val="num" w:pos="3969"/>
        </w:tabs>
        <w:ind w:left="3969" w:hanging="567"/>
      </w:pPr>
      <w:rPr>
        <w:b w:val="0"/>
        <w:i w:val="0"/>
        <w:color w:val="000000"/>
      </w:rPr>
    </w:lvl>
    <w:lvl w:ilvl="7">
      <w:start w:val="1"/>
      <w:numFmt w:val="decimal"/>
      <w:lvlText w:val="%8"/>
      <w:lvlJc w:val="left"/>
      <w:pPr>
        <w:tabs>
          <w:tab w:val="num" w:pos="4536"/>
        </w:tabs>
        <w:ind w:left="4536" w:hanging="567"/>
      </w:pPr>
      <w:rPr>
        <w:b w:val="0"/>
        <w:i w:val="0"/>
        <w:color w:val="000000"/>
      </w:rPr>
    </w:lvl>
    <w:lvl w:ilvl="8">
      <w:start w:val="1"/>
      <w:numFmt w:val="decimal"/>
      <w:lvlText w:val="%9"/>
      <w:lvlJc w:val="left"/>
      <w:pPr>
        <w:tabs>
          <w:tab w:val="num" w:pos="5103"/>
        </w:tabs>
        <w:ind w:left="5103" w:hanging="567"/>
      </w:pPr>
      <w:rPr>
        <w:b w:val="0"/>
        <w:i w:val="0"/>
        <w:color w:val="000000"/>
      </w:rPr>
    </w:lvl>
  </w:abstractNum>
  <w:abstractNum w:abstractNumId="18" w15:restartNumberingAfterBreak="0">
    <w:nsid w:val="74553C6C"/>
    <w:multiLevelType w:val="multilevel"/>
    <w:tmpl w:val="EF5ADE80"/>
    <w:name w:val="StandardNumberedList"/>
    <w:lvl w:ilvl="0">
      <w:start w:val="1"/>
      <w:numFmt w:val="decimal"/>
      <w:lvlText w:val="%1."/>
      <w:lvlJc w:val="left"/>
      <w:pPr>
        <w:tabs>
          <w:tab w:val="num" w:pos="449"/>
        </w:tabs>
        <w:ind w:left="449" w:hanging="449"/>
      </w:pPr>
    </w:lvl>
    <w:lvl w:ilvl="1">
      <w:start w:val="1"/>
      <w:numFmt w:val="decimal"/>
      <w:pStyle w:val="OutlineNumbered2"/>
      <w:lvlText w:val="%1.%2."/>
      <w:lvlJc w:val="left"/>
      <w:pPr>
        <w:tabs>
          <w:tab w:val="num" w:pos="898"/>
        </w:tabs>
        <w:ind w:left="898" w:hanging="449"/>
      </w:pPr>
    </w:lvl>
    <w:lvl w:ilvl="2">
      <w:start w:val="1"/>
      <w:numFmt w:val="decimal"/>
      <w:pStyle w:val="OutlineNumbered3"/>
      <w:lvlText w:val="%1.%2.%3."/>
      <w:lvlJc w:val="left"/>
      <w:pPr>
        <w:tabs>
          <w:tab w:val="num" w:pos="1347"/>
        </w:tabs>
        <w:ind w:left="1347" w:hanging="449"/>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403410866">
    <w:abstractNumId w:val="14"/>
  </w:num>
  <w:num w:numId="2" w16cid:durableId="70975900">
    <w:abstractNumId w:val="11"/>
  </w:num>
  <w:num w:numId="3" w16cid:durableId="1903564601">
    <w:abstractNumId w:val="10"/>
  </w:num>
  <w:num w:numId="4" w16cid:durableId="778522229">
    <w:abstractNumId w:val="12"/>
  </w:num>
  <w:num w:numId="5" w16cid:durableId="308556280">
    <w:abstractNumId w:val="17"/>
  </w:num>
  <w:num w:numId="6" w16cid:durableId="772752326">
    <w:abstractNumId w:val="10"/>
  </w:num>
  <w:num w:numId="7" w16cid:durableId="541596858">
    <w:abstractNumId w:val="10"/>
  </w:num>
  <w:num w:numId="8" w16cid:durableId="322590933">
    <w:abstractNumId w:val="9"/>
  </w:num>
  <w:num w:numId="9" w16cid:durableId="1723669811">
    <w:abstractNumId w:val="7"/>
  </w:num>
  <w:num w:numId="10" w16cid:durableId="235865475">
    <w:abstractNumId w:val="6"/>
  </w:num>
  <w:num w:numId="11" w16cid:durableId="1066297075">
    <w:abstractNumId w:val="5"/>
  </w:num>
  <w:num w:numId="12" w16cid:durableId="10422456">
    <w:abstractNumId w:val="4"/>
  </w:num>
  <w:num w:numId="13" w16cid:durableId="4594083">
    <w:abstractNumId w:val="8"/>
  </w:num>
  <w:num w:numId="14" w16cid:durableId="961616114">
    <w:abstractNumId w:val="3"/>
  </w:num>
  <w:num w:numId="15" w16cid:durableId="760225057">
    <w:abstractNumId w:val="2"/>
  </w:num>
  <w:num w:numId="16" w16cid:durableId="1531915683">
    <w:abstractNumId w:val="1"/>
  </w:num>
  <w:num w:numId="17" w16cid:durableId="288900107">
    <w:abstractNumId w:val="0"/>
  </w:num>
  <w:num w:numId="18" w16cid:durableId="131681990">
    <w:abstractNumId w:val="12"/>
  </w:num>
  <w:num w:numId="19" w16cid:durableId="52116295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84413565">
    <w:abstractNumId w:val="12"/>
  </w:num>
  <w:num w:numId="21" w16cid:durableId="1057239319">
    <w:abstractNumId w:val="18"/>
  </w:num>
  <w:num w:numId="22" w16cid:durableId="1518692781">
    <w:abstractNumId w:val="16"/>
  </w:num>
  <w:num w:numId="23" w16cid:durableId="1605185036">
    <w:abstractNumId w:val="15"/>
  </w:num>
  <w:num w:numId="24" w16cid:durableId="1046221758">
    <w:abstractNumId w:val="12"/>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24931649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22720487">
    <w:abstractNumId w:val="12"/>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793749377">
    <w:abstractNumId w:val="12"/>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98819228">
    <w:abstractNumId w:val="12"/>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083019362">
    <w:abstractNumId w:val="12"/>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79579530">
    <w:abstractNumId w:val="13"/>
  </w:num>
  <w:num w:numId="31" w16cid:durableId="97787942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29775518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isplayBackgroundShape/>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characterSpacingControl w:val="doNotCompress"/>
  <w:hdrShapeDefaults>
    <o:shapedefaults v:ext="edit" spidmax="2050"/>
  </w:hdrShapeDefaults>
  <w:footnotePr>
    <w:numStart w:val="2"/>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ecurityClassificationInHeader" w:val="False"/>
  </w:docVars>
  <w:rsids>
    <w:rsidRoot w:val="0063221A"/>
    <w:rsid w:val="0000005F"/>
    <w:rsid w:val="000004EA"/>
    <w:rsid w:val="00001219"/>
    <w:rsid w:val="00002504"/>
    <w:rsid w:val="0000259F"/>
    <w:rsid w:val="0000348A"/>
    <w:rsid w:val="00003F41"/>
    <w:rsid w:val="00004966"/>
    <w:rsid w:val="00005747"/>
    <w:rsid w:val="00005A4F"/>
    <w:rsid w:val="00007FFC"/>
    <w:rsid w:val="00010839"/>
    <w:rsid w:val="000118FC"/>
    <w:rsid w:val="00011DBB"/>
    <w:rsid w:val="00012C19"/>
    <w:rsid w:val="00012D39"/>
    <w:rsid w:val="00012D4D"/>
    <w:rsid w:val="000132FC"/>
    <w:rsid w:val="00013EA8"/>
    <w:rsid w:val="00013FF2"/>
    <w:rsid w:val="0001500F"/>
    <w:rsid w:val="00017AE6"/>
    <w:rsid w:val="00020629"/>
    <w:rsid w:val="000207E7"/>
    <w:rsid w:val="00021C7E"/>
    <w:rsid w:val="00023C1F"/>
    <w:rsid w:val="00024BA4"/>
    <w:rsid w:val="000259C8"/>
    <w:rsid w:val="00026518"/>
    <w:rsid w:val="00026669"/>
    <w:rsid w:val="000272CD"/>
    <w:rsid w:val="00027686"/>
    <w:rsid w:val="00027AB9"/>
    <w:rsid w:val="0003033C"/>
    <w:rsid w:val="000308A5"/>
    <w:rsid w:val="000310AE"/>
    <w:rsid w:val="00032065"/>
    <w:rsid w:val="00032AB6"/>
    <w:rsid w:val="00032E4D"/>
    <w:rsid w:val="00033159"/>
    <w:rsid w:val="000332E9"/>
    <w:rsid w:val="0003419B"/>
    <w:rsid w:val="00035D8D"/>
    <w:rsid w:val="000361CC"/>
    <w:rsid w:val="0003725D"/>
    <w:rsid w:val="000375A4"/>
    <w:rsid w:val="00037609"/>
    <w:rsid w:val="0004126A"/>
    <w:rsid w:val="000412DD"/>
    <w:rsid w:val="00041CE1"/>
    <w:rsid w:val="000424EC"/>
    <w:rsid w:val="000427C6"/>
    <w:rsid w:val="00043CD0"/>
    <w:rsid w:val="0004457D"/>
    <w:rsid w:val="00045474"/>
    <w:rsid w:val="000462AD"/>
    <w:rsid w:val="0004630E"/>
    <w:rsid w:val="0004666E"/>
    <w:rsid w:val="00047CA1"/>
    <w:rsid w:val="00047E59"/>
    <w:rsid w:val="00051E82"/>
    <w:rsid w:val="00052773"/>
    <w:rsid w:val="00052965"/>
    <w:rsid w:val="00052A26"/>
    <w:rsid w:val="00053917"/>
    <w:rsid w:val="00053CB3"/>
    <w:rsid w:val="00053F04"/>
    <w:rsid w:val="000546EB"/>
    <w:rsid w:val="000555AF"/>
    <w:rsid w:val="00055B64"/>
    <w:rsid w:val="00056D2F"/>
    <w:rsid w:val="0005729E"/>
    <w:rsid w:val="000572D7"/>
    <w:rsid w:val="000611BC"/>
    <w:rsid w:val="00061480"/>
    <w:rsid w:val="00061DF1"/>
    <w:rsid w:val="00062060"/>
    <w:rsid w:val="000622DA"/>
    <w:rsid w:val="0006240F"/>
    <w:rsid w:val="00062553"/>
    <w:rsid w:val="000635BE"/>
    <w:rsid w:val="000637FF"/>
    <w:rsid w:val="00064356"/>
    <w:rsid w:val="00065215"/>
    <w:rsid w:val="00065353"/>
    <w:rsid w:val="000653ED"/>
    <w:rsid w:val="0006603A"/>
    <w:rsid w:val="0006664F"/>
    <w:rsid w:val="00067D35"/>
    <w:rsid w:val="0007056A"/>
    <w:rsid w:val="00070638"/>
    <w:rsid w:val="0007158D"/>
    <w:rsid w:val="00071608"/>
    <w:rsid w:val="00071D88"/>
    <w:rsid w:val="00072D6A"/>
    <w:rsid w:val="00073866"/>
    <w:rsid w:val="00075701"/>
    <w:rsid w:val="0007571E"/>
    <w:rsid w:val="00077878"/>
    <w:rsid w:val="00080B61"/>
    <w:rsid w:val="000814DF"/>
    <w:rsid w:val="00081542"/>
    <w:rsid w:val="0008195E"/>
    <w:rsid w:val="00081E9A"/>
    <w:rsid w:val="00082AC5"/>
    <w:rsid w:val="00082BF4"/>
    <w:rsid w:val="00082CE9"/>
    <w:rsid w:val="00082FDC"/>
    <w:rsid w:val="0008399A"/>
    <w:rsid w:val="0008406A"/>
    <w:rsid w:val="00084867"/>
    <w:rsid w:val="00084C2F"/>
    <w:rsid w:val="0008597F"/>
    <w:rsid w:val="00086667"/>
    <w:rsid w:val="00086AA3"/>
    <w:rsid w:val="00086B27"/>
    <w:rsid w:val="00086BE0"/>
    <w:rsid w:val="00086CAB"/>
    <w:rsid w:val="0008716E"/>
    <w:rsid w:val="00090721"/>
    <w:rsid w:val="00090B98"/>
    <w:rsid w:val="00090F45"/>
    <w:rsid w:val="00091BE0"/>
    <w:rsid w:val="00091C40"/>
    <w:rsid w:val="00092BDB"/>
    <w:rsid w:val="00093492"/>
    <w:rsid w:val="00093905"/>
    <w:rsid w:val="00093E21"/>
    <w:rsid w:val="000940C2"/>
    <w:rsid w:val="00094207"/>
    <w:rsid w:val="00094462"/>
    <w:rsid w:val="00094D02"/>
    <w:rsid w:val="000954D8"/>
    <w:rsid w:val="000969C5"/>
    <w:rsid w:val="00096C7E"/>
    <w:rsid w:val="00097194"/>
    <w:rsid w:val="00097FC9"/>
    <w:rsid w:val="000A07C8"/>
    <w:rsid w:val="000A0E97"/>
    <w:rsid w:val="000A12F3"/>
    <w:rsid w:val="000A159B"/>
    <w:rsid w:val="000A1778"/>
    <w:rsid w:val="000A2586"/>
    <w:rsid w:val="000A3083"/>
    <w:rsid w:val="000A3C83"/>
    <w:rsid w:val="000A3EDC"/>
    <w:rsid w:val="000A4219"/>
    <w:rsid w:val="000A4760"/>
    <w:rsid w:val="000A4A56"/>
    <w:rsid w:val="000A4DAD"/>
    <w:rsid w:val="000A6600"/>
    <w:rsid w:val="000A6B3E"/>
    <w:rsid w:val="000A7574"/>
    <w:rsid w:val="000A7A88"/>
    <w:rsid w:val="000B0F12"/>
    <w:rsid w:val="000B122C"/>
    <w:rsid w:val="000B24A2"/>
    <w:rsid w:val="000B3027"/>
    <w:rsid w:val="000B32CB"/>
    <w:rsid w:val="000B38A8"/>
    <w:rsid w:val="000B3D71"/>
    <w:rsid w:val="000B5B61"/>
    <w:rsid w:val="000B6099"/>
    <w:rsid w:val="000B632B"/>
    <w:rsid w:val="000B6C07"/>
    <w:rsid w:val="000C1169"/>
    <w:rsid w:val="000C1ED7"/>
    <w:rsid w:val="000C2251"/>
    <w:rsid w:val="000C25CF"/>
    <w:rsid w:val="000C27FB"/>
    <w:rsid w:val="000C2A12"/>
    <w:rsid w:val="000C2AB4"/>
    <w:rsid w:val="000C3B68"/>
    <w:rsid w:val="000C5310"/>
    <w:rsid w:val="000C54AB"/>
    <w:rsid w:val="000C55F1"/>
    <w:rsid w:val="000C6527"/>
    <w:rsid w:val="000C6874"/>
    <w:rsid w:val="000C6C1C"/>
    <w:rsid w:val="000C6C7F"/>
    <w:rsid w:val="000C71E3"/>
    <w:rsid w:val="000C7F63"/>
    <w:rsid w:val="000D001B"/>
    <w:rsid w:val="000D0BDB"/>
    <w:rsid w:val="000D19EC"/>
    <w:rsid w:val="000D2007"/>
    <w:rsid w:val="000D2A85"/>
    <w:rsid w:val="000D44D5"/>
    <w:rsid w:val="000D489A"/>
    <w:rsid w:val="000D4B8B"/>
    <w:rsid w:val="000D5867"/>
    <w:rsid w:val="000D6AD2"/>
    <w:rsid w:val="000D724F"/>
    <w:rsid w:val="000D7762"/>
    <w:rsid w:val="000D7839"/>
    <w:rsid w:val="000D78F4"/>
    <w:rsid w:val="000E0840"/>
    <w:rsid w:val="000E105B"/>
    <w:rsid w:val="000E1490"/>
    <w:rsid w:val="000E149B"/>
    <w:rsid w:val="000E36E0"/>
    <w:rsid w:val="000E54BF"/>
    <w:rsid w:val="000E5C44"/>
    <w:rsid w:val="000E6AD6"/>
    <w:rsid w:val="000E717F"/>
    <w:rsid w:val="000F09D6"/>
    <w:rsid w:val="000F0E31"/>
    <w:rsid w:val="000F23E9"/>
    <w:rsid w:val="000F2804"/>
    <w:rsid w:val="000F3B2A"/>
    <w:rsid w:val="000F4D70"/>
    <w:rsid w:val="000F509E"/>
    <w:rsid w:val="000F7917"/>
    <w:rsid w:val="000F7B23"/>
    <w:rsid w:val="001002F4"/>
    <w:rsid w:val="00100E3B"/>
    <w:rsid w:val="0010152D"/>
    <w:rsid w:val="001018FE"/>
    <w:rsid w:val="00103F65"/>
    <w:rsid w:val="00104185"/>
    <w:rsid w:val="00104470"/>
    <w:rsid w:val="001051B9"/>
    <w:rsid w:val="0010574E"/>
    <w:rsid w:val="00105D2A"/>
    <w:rsid w:val="00105E62"/>
    <w:rsid w:val="0010660C"/>
    <w:rsid w:val="00107080"/>
    <w:rsid w:val="001079BA"/>
    <w:rsid w:val="00107FE6"/>
    <w:rsid w:val="001103EB"/>
    <w:rsid w:val="0011175D"/>
    <w:rsid w:val="00111F50"/>
    <w:rsid w:val="001126D7"/>
    <w:rsid w:val="0011388C"/>
    <w:rsid w:val="00114588"/>
    <w:rsid w:val="001145B0"/>
    <w:rsid w:val="00114DFC"/>
    <w:rsid w:val="001165A8"/>
    <w:rsid w:val="00116976"/>
    <w:rsid w:val="00117B5F"/>
    <w:rsid w:val="00117D07"/>
    <w:rsid w:val="00117F7C"/>
    <w:rsid w:val="00117FE0"/>
    <w:rsid w:val="0012015E"/>
    <w:rsid w:val="00120D59"/>
    <w:rsid w:val="00123BA3"/>
    <w:rsid w:val="00123CB6"/>
    <w:rsid w:val="00125C3C"/>
    <w:rsid w:val="00130645"/>
    <w:rsid w:val="0013219E"/>
    <w:rsid w:val="0013223F"/>
    <w:rsid w:val="001324B5"/>
    <w:rsid w:val="001326AB"/>
    <w:rsid w:val="00132FF7"/>
    <w:rsid w:val="001347FA"/>
    <w:rsid w:val="00134D19"/>
    <w:rsid w:val="00135B6A"/>
    <w:rsid w:val="00135EB0"/>
    <w:rsid w:val="00135F83"/>
    <w:rsid w:val="0013747F"/>
    <w:rsid w:val="0014073A"/>
    <w:rsid w:val="00140F39"/>
    <w:rsid w:val="00141927"/>
    <w:rsid w:val="001419F9"/>
    <w:rsid w:val="00141A90"/>
    <w:rsid w:val="0014237D"/>
    <w:rsid w:val="00142C83"/>
    <w:rsid w:val="0014387F"/>
    <w:rsid w:val="0014388D"/>
    <w:rsid w:val="00143B62"/>
    <w:rsid w:val="0014486D"/>
    <w:rsid w:val="001453D6"/>
    <w:rsid w:val="00145A6E"/>
    <w:rsid w:val="001463E2"/>
    <w:rsid w:val="001467FB"/>
    <w:rsid w:val="001471A9"/>
    <w:rsid w:val="001472CA"/>
    <w:rsid w:val="00147706"/>
    <w:rsid w:val="00150172"/>
    <w:rsid w:val="00150255"/>
    <w:rsid w:val="001503EC"/>
    <w:rsid w:val="00150A26"/>
    <w:rsid w:val="001514C5"/>
    <w:rsid w:val="0015175B"/>
    <w:rsid w:val="00151B17"/>
    <w:rsid w:val="0015241F"/>
    <w:rsid w:val="0015273E"/>
    <w:rsid w:val="0015309E"/>
    <w:rsid w:val="001536E2"/>
    <w:rsid w:val="00154318"/>
    <w:rsid w:val="00154456"/>
    <w:rsid w:val="00154BBE"/>
    <w:rsid w:val="00155767"/>
    <w:rsid w:val="00155BF1"/>
    <w:rsid w:val="00160928"/>
    <w:rsid w:val="001615F0"/>
    <w:rsid w:val="001643A8"/>
    <w:rsid w:val="001659D9"/>
    <w:rsid w:val="00165A8D"/>
    <w:rsid w:val="00166240"/>
    <w:rsid w:val="00167538"/>
    <w:rsid w:val="00167DCA"/>
    <w:rsid w:val="00167EC6"/>
    <w:rsid w:val="001724D8"/>
    <w:rsid w:val="00172CFE"/>
    <w:rsid w:val="0017302C"/>
    <w:rsid w:val="001730A8"/>
    <w:rsid w:val="001740BA"/>
    <w:rsid w:val="00174978"/>
    <w:rsid w:val="00175509"/>
    <w:rsid w:val="0017599E"/>
    <w:rsid w:val="0017613B"/>
    <w:rsid w:val="0017638C"/>
    <w:rsid w:val="00176B4C"/>
    <w:rsid w:val="00176EC0"/>
    <w:rsid w:val="00180B24"/>
    <w:rsid w:val="00180D78"/>
    <w:rsid w:val="00180DF8"/>
    <w:rsid w:val="00181C11"/>
    <w:rsid w:val="00183454"/>
    <w:rsid w:val="00184796"/>
    <w:rsid w:val="00184A7A"/>
    <w:rsid w:val="00185C14"/>
    <w:rsid w:val="00186A27"/>
    <w:rsid w:val="00187F4F"/>
    <w:rsid w:val="00190667"/>
    <w:rsid w:val="00190E60"/>
    <w:rsid w:val="0019115B"/>
    <w:rsid w:val="00191691"/>
    <w:rsid w:val="00192732"/>
    <w:rsid w:val="0019288B"/>
    <w:rsid w:val="00195090"/>
    <w:rsid w:val="001950AB"/>
    <w:rsid w:val="00195559"/>
    <w:rsid w:val="00196366"/>
    <w:rsid w:val="001970E6"/>
    <w:rsid w:val="001A23D3"/>
    <w:rsid w:val="001A246D"/>
    <w:rsid w:val="001A34BD"/>
    <w:rsid w:val="001A40FB"/>
    <w:rsid w:val="001A4B27"/>
    <w:rsid w:val="001A5A92"/>
    <w:rsid w:val="001A6036"/>
    <w:rsid w:val="001A7075"/>
    <w:rsid w:val="001A7712"/>
    <w:rsid w:val="001A7797"/>
    <w:rsid w:val="001A7B3C"/>
    <w:rsid w:val="001B0D84"/>
    <w:rsid w:val="001B18A4"/>
    <w:rsid w:val="001B1C5B"/>
    <w:rsid w:val="001B1DD3"/>
    <w:rsid w:val="001B1F02"/>
    <w:rsid w:val="001B1F5F"/>
    <w:rsid w:val="001B3722"/>
    <w:rsid w:val="001B37C0"/>
    <w:rsid w:val="001B3DCA"/>
    <w:rsid w:val="001B4B30"/>
    <w:rsid w:val="001B5BE3"/>
    <w:rsid w:val="001B64C8"/>
    <w:rsid w:val="001B7232"/>
    <w:rsid w:val="001B7F9C"/>
    <w:rsid w:val="001C0618"/>
    <w:rsid w:val="001C0E93"/>
    <w:rsid w:val="001C13C5"/>
    <w:rsid w:val="001C146C"/>
    <w:rsid w:val="001C19E4"/>
    <w:rsid w:val="001C2209"/>
    <w:rsid w:val="001C29BA"/>
    <w:rsid w:val="001C309F"/>
    <w:rsid w:val="001C3AEB"/>
    <w:rsid w:val="001C3B4C"/>
    <w:rsid w:val="001C4011"/>
    <w:rsid w:val="001C4637"/>
    <w:rsid w:val="001C468A"/>
    <w:rsid w:val="001C4940"/>
    <w:rsid w:val="001C5E21"/>
    <w:rsid w:val="001C6250"/>
    <w:rsid w:val="001C6313"/>
    <w:rsid w:val="001C6747"/>
    <w:rsid w:val="001C6750"/>
    <w:rsid w:val="001C6E8A"/>
    <w:rsid w:val="001C763E"/>
    <w:rsid w:val="001C77C8"/>
    <w:rsid w:val="001D2586"/>
    <w:rsid w:val="001D30DB"/>
    <w:rsid w:val="001D33D6"/>
    <w:rsid w:val="001D365B"/>
    <w:rsid w:val="001D3688"/>
    <w:rsid w:val="001D4552"/>
    <w:rsid w:val="001D7137"/>
    <w:rsid w:val="001D750B"/>
    <w:rsid w:val="001E05BA"/>
    <w:rsid w:val="001E12BA"/>
    <w:rsid w:val="001E18C1"/>
    <w:rsid w:val="001E192A"/>
    <w:rsid w:val="001E277F"/>
    <w:rsid w:val="001E3464"/>
    <w:rsid w:val="001E430E"/>
    <w:rsid w:val="001E44CD"/>
    <w:rsid w:val="001E5712"/>
    <w:rsid w:val="001E592F"/>
    <w:rsid w:val="001E5A12"/>
    <w:rsid w:val="001E6148"/>
    <w:rsid w:val="001E69AD"/>
    <w:rsid w:val="001E6FD3"/>
    <w:rsid w:val="001E70A7"/>
    <w:rsid w:val="001E7D77"/>
    <w:rsid w:val="001E7D8A"/>
    <w:rsid w:val="001F04C9"/>
    <w:rsid w:val="001F08E1"/>
    <w:rsid w:val="001F0BF9"/>
    <w:rsid w:val="001F11A2"/>
    <w:rsid w:val="001F38DF"/>
    <w:rsid w:val="001F3C79"/>
    <w:rsid w:val="001F4FEA"/>
    <w:rsid w:val="001F5653"/>
    <w:rsid w:val="001F595A"/>
    <w:rsid w:val="001F6070"/>
    <w:rsid w:val="00201FDF"/>
    <w:rsid w:val="002025B0"/>
    <w:rsid w:val="00202942"/>
    <w:rsid w:val="00203288"/>
    <w:rsid w:val="002043EE"/>
    <w:rsid w:val="0020465B"/>
    <w:rsid w:val="00204781"/>
    <w:rsid w:val="00204C06"/>
    <w:rsid w:val="00205E52"/>
    <w:rsid w:val="00205EF2"/>
    <w:rsid w:val="00206A05"/>
    <w:rsid w:val="0020736B"/>
    <w:rsid w:val="0021417C"/>
    <w:rsid w:val="002146EE"/>
    <w:rsid w:val="00214945"/>
    <w:rsid w:val="0021678E"/>
    <w:rsid w:val="00217B44"/>
    <w:rsid w:val="00220BA9"/>
    <w:rsid w:val="00222287"/>
    <w:rsid w:val="00222A86"/>
    <w:rsid w:val="00223A8F"/>
    <w:rsid w:val="00223A9C"/>
    <w:rsid w:val="00225331"/>
    <w:rsid w:val="002259B1"/>
    <w:rsid w:val="00225E73"/>
    <w:rsid w:val="00226B10"/>
    <w:rsid w:val="0022729E"/>
    <w:rsid w:val="00227CD4"/>
    <w:rsid w:val="00232926"/>
    <w:rsid w:val="0023474F"/>
    <w:rsid w:val="00235117"/>
    <w:rsid w:val="00235E6B"/>
    <w:rsid w:val="00236EB8"/>
    <w:rsid w:val="002378BA"/>
    <w:rsid w:val="00237F04"/>
    <w:rsid w:val="002404E6"/>
    <w:rsid w:val="002418B6"/>
    <w:rsid w:val="00241DAF"/>
    <w:rsid w:val="00242462"/>
    <w:rsid w:val="00242479"/>
    <w:rsid w:val="00242F58"/>
    <w:rsid w:val="002444B1"/>
    <w:rsid w:val="002449BC"/>
    <w:rsid w:val="0024521A"/>
    <w:rsid w:val="00245B1E"/>
    <w:rsid w:val="00245D77"/>
    <w:rsid w:val="00246203"/>
    <w:rsid w:val="002465FF"/>
    <w:rsid w:val="00246839"/>
    <w:rsid w:val="00247403"/>
    <w:rsid w:val="0024771D"/>
    <w:rsid w:val="00247F2C"/>
    <w:rsid w:val="00250208"/>
    <w:rsid w:val="00250648"/>
    <w:rsid w:val="00250CA0"/>
    <w:rsid w:val="00251610"/>
    <w:rsid w:val="00251902"/>
    <w:rsid w:val="00251EBD"/>
    <w:rsid w:val="00252336"/>
    <w:rsid w:val="002525C3"/>
    <w:rsid w:val="00253921"/>
    <w:rsid w:val="00253BA7"/>
    <w:rsid w:val="002548F1"/>
    <w:rsid w:val="00255A4F"/>
    <w:rsid w:val="00255EBB"/>
    <w:rsid w:val="002618AC"/>
    <w:rsid w:val="00261E68"/>
    <w:rsid w:val="00263364"/>
    <w:rsid w:val="002637BC"/>
    <w:rsid w:val="00263D9B"/>
    <w:rsid w:val="00264C8B"/>
    <w:rsid w:val="00265E6D"/>
    <w:rsid w:val="00265FAE"/>
    <w:rsid w:val="00266041"/>
    <w:rsid w:val="002660A5"/>
    <w:rsid w:val="002661BF"/>
    <w:rsid w:val="002662D3"/>
    <w:rsid w:val="00267200"/>
    <w:rsid w:val="002700F5"/>
    <w:rsid w:val="002709D2"/>
    <w:rsid w:val="00270C4C"/>
    <w:rsid w:val="00270D51"/>
    <w:rsid w:val="00271353"/>
    <w:rsid w:val="002714AB"/>
    <w:rsid w:val="0027337A"/>
    <w:rsid w:val="00274F5B"/>
    <w:rsid w:val="0027640E"/>
    <w:rsid w:val="002764B7"/>
    <w:rsid w:val="0027EB5C"/>
    <w:rsid w:val="00280378"/>
    <w:rsid w:val="00281202"/>
    <w:rsid w:val="00281716"/>
    <w:rsid w:val="00281E04"/>
    <w:rsid w:val="002833C0"/>
    <w:rsid w:val="00283F20"/>
    <w:rsid w:val="002844FE"/>
    <w:rsid w:val="00285A56"/>
    <w:rsid w:val="00285EF2"/>
    <w:rsid w:val="00286647"/>
    <w:rsid w:val="0028786F"/>
    <w:rsid w:val="00290603"/>
    <w:rsid w:val="0029090E"/>
    <w:rsid w:val="00290C36"/>
    <w:rsid w:val="00292128"/>
    <w:rsid w:val="002922E1"/>
    <w:rsid w:val="00292413"/>
    <w:rsid w:val="002933B7"/>
    <w:rsid w:val="00293467"/>
    <w:rsid w:val="0029350E"/>
    <w:rsid w:val="00294E37"/>
    <w:rsid w:val="00295B26"/>
    <w:rsid w:val="0029605B"/>
    <w:rsid w:val="0029619B"/>
    <w:rsid w:val="00296383"/>
    <w:rsid w:val="00296BC4"/>
    <w:rsid w:val="0029761E"/>
    <w:rsid w:val="002977BF"/>
    <w:rsid w:val="00297E79"/>
    <w:rsid w:val="002A04B1"/>
    <w:rsid w:val="002A07E5"/>
    <w:rsid w:val="002A142A"/>
    <w:rsid w:val="002A17BF"/>
    <w:rsid w:val="002A20A2"/>
    <w:rsid w:val="002A2EF0"/>
    <w:rsid w:val="002A355D"/>
    <w:rsid w:val="002A3C6B"/>
    <w:rsid w:val="002A4CDF"/>
    <w:rsid w:val="002A552C"/>
    <w:rsid w:val="002A6A16"/>
    <w:rsid w:val="002A71E3"/>
    <w:rsid w:val="002A7620"/>
    <w:rsid w:val="002A7E1B"/>
    <w:rsid w:val="002A7FD7"/>
    <w:rsid w:val="002B0283"/>
    <w:rsid w:val="002B03C5"/>
    <w:rsid w:val="002B0C07"/>
    <w:rsid w:val="002B0C61"/>
    <w:rsid w:val="002B0E46"/>
    <w:rsid w:val="002B116D"/>
    <w:rsid w:val="002B1538"/>
    <w:rsid w:val="002B17D1"/>
    <w:rsid w:val="002B1B65"/>
    <w:rsid w:val="002B1D18"/>
    <w:rsid w:val="002B2C26"/>
    <w:rsid w:val="002B48F1"/>
    <w:rsid w:val="002B50E6"/>
    <w:rsid w:val="002B5B50"/>
    <w:rsid w:val="002B5C59"/>
    <w:rsid w:val="002B6046"/>
    <w:rsid w:val="002B6106"/>
    <w:rsid w:val="002B6779"/>
    <w:rsid w:val="002B67BD"/>
    <w:rsid w:val="002B73D7"/>
    <w:rsid w:val="002B792E"/>
    <w:rsid w:val="002B7A2E"/>
    <w:rsid w:val="002C1A8D"/>
    <w:rsid w:val="002C2097"/>
    <w:rsid w:val="002C2A21"/>
    <w:rsid w:val="002C2AE0"/>
    <w:rsid w:val="002C2B31"/>
    <w:rsid w:val="002C3C4D"/>
    <w:rsid w:val="002C3DEB"/>
    <w:rsid w:val="002C3F8F"/>
    <w:rsid w:val="002C596C"/>
    <w:rsid w:val="002C5B47"/>
    <w:rsid w:val="002C5C84"/>
    <w:rsid w:val="002C62C0"/>
    <w:rsid w:val="002C68E6"/>
    <w:rsid w:val="002C6A17"/>
    <w:rsid w:val="002D075D"/>
    <w:rsid w:val="002D23F9"/>
    <w:rsid w:val="002D3101"/>
    <w:rsid w:val="002D3A86"/>
    <w:rsid w:val="002D3D8C"/>
    <w:rsid w:val="002D50C3"/>
    <w:rsid w:val="002D59F8"/>
    <w:rsid w:val="002D6F3E"/>
    <w:rsid w:val="002D7191"/>
    <w:rsid w:val="002D789E"/>
    <w:rsid w:val="002D7C9C"/>
    <w:rsid w:val="002E0D83"/>
    <w:rsid w:val="002E10D6"/>
    <w:rsid w:val="002E15FD"/>
    <w:rsid w:val="002E2542"/>
    <w:rsid w:val="002E33D6"/>
    <w:rsid w:val="002E3E9E"/>
    <w:rsid w:val="002E5134"/>
    <w:rsid w:val="002E5624"/>
    <w:rsid w:val="002E5D07"/>
    <w:rsid w:val="002E5DC9"/>
    <w:rsid w:val="002E638A"/>
    <w:rsid w:val="002E6AC4"/>
    <w:rsid w:val="002E6FCC"/>
    <w:rsid w:val="002E756D"/>
    <w:rsid w:val="002E7B71"/>
    <w:rsid w:val="002F005F"/>
    <w:rsid w:val="002F142A"/>
    <w:rsid w:val="002F2067"/>
    <w:rsid w:val="002F2ADA"/>
    <w:rsid w:val="002F3A5E"/>
    <w:rsid w:val="002F40F3"/>
    <w:rsid w:val="002F47A7"/>
    <w:rsid w:val="002F4CE2"/>
    <w:rsid w:val="002F54E5"/>
    <w:rsid w:val="002F68DC"/>
    <w:rsid w:val="002F6AE2"/>
    <w:rsid w:val="003011D7"/>
    <w:rsid w:val="00302218"/>
    <w:rsid w:val="003022D4"/>
    <w:rsid w:val="00303FFC"/>
    <w:rsid w:val="00304565"/>
    <w:rsid w:val="00304A59"/>
    <w:rsid w:val="00305105"/>
    <w:rsid w:val="00305EB4"/>
    <w:rsid w:val="0031008D"/>
    <w:rsid w:val="00310410"/>
    <w:rsid w:val="00310A0C"/>
    <w:rsid w:val="00311961"/>
    <w:rsid w:val="00311B16"/>
    <w:rsid w:val="00314D53"/>
    <w:rsid w:val="0031578F"/>
    <w:rsid w:val="00315958"/>
    <w:rsid w:val="003230B9"/>
    <w:rsid w:val="00323B07"/>
    <w:rsid w:val="00324E56"/>
    <w:rsid w:val="00324F6A"/>
    <w:rsid w:val="00325531"/>
    <w:rsid w:val="003271D0"/>
    <w:rsid w:val="003303B0"/>
    <w:rsid w:val="00330CEC"/>
    <w:rsid w:val="0033150B"/>
    <w:rsid w:val="00331687"/>
    <w:rsid w:val="00331A38"/>
    <w:rsid w:val="003324EC"/>
    <w:rsid w:val="003327B6"/>
    <w:rsid w:val="003331DB"/>
    <w:rsid w:val="00333A5D"/>
    <w:rsid w:val="00333FCF"/>
    <w:rsid w:val="0033537E"/>
    <w:rsid w:val="003353DC"/>
    <w:rsid w:val="00335B40"/>
    <w:rsid w:val="00336681"/>
    <w:rsid w:val="00336EAC"/>
    <w:rsid w:val="003413B2"/>
    <w:rsid w:val="003421CD"/>
    <w:rsid w:val="003422E9"/>
    <w:rsid w:val="00343F77"/>
    <w:rsid w:val="003451F5"/>
    <w:rsid w:val="0034583F"/>
    <w:rsid w:val="00346488"/>
    <w:rsid w:val="00346BCD"/>
    <w:rsid w:val="003478ED"/>
    <w:rsid w:val="0035010D"/>
    <w:rsid w:val="003506C0"/>
    <w:rsid w:val="003508B1"/>
    <w:rsid w:val="00350CA6"/>
    <w:rsid w:val="00351124"/>
    <w:rsid w:val="003519F3"/>
    <w:rsid w:val="00352079"/>
    <w:rsid w:val="0035252A"/>
    <w:rsid w:val="00352DF4"/>
    <w:rsid w:val="00355547"/>
    <w:rsid w:val="00356005"/>
    <w:rsid w:val="0035637C"/>
    <w:rsid w:val="0035692F"/>
    <w:rsid w:val="0035786E"/>
    <w:rsid w:val="00357985"/>
    <w:rsid w:val="00357BEC"/>
    <w:rsid w:val="00360498"/>
    <w:rsid w:val="00360947"/>
    <w:rsid w:val="003618DF"/>
    <w:rsid w:val="00361D01"/>
    <w:rsid w:val="0036256B"/>
    <w:rsid w:val="0036310A"/>
    <w:rsid w:val="00366866"/>
    <w:rsid w:val="00366FAA"/>
    <w:rsid w:val="003678B6"/>
    <w:rsid w:val="00367E49"/>
    <w:rsid w:val="00367E4C"/>
    <w:rsid w:val="003704EB"/>
    <w:rsid w:val="00370FEF"/>
    <w:rsid w:val="0037186A"/>
    <w:rsid w:val="0037390A"/>
    <w:rsid w:val="00373B43"/>
    <w:rsid w:val="00373C6D"/>
    <w:rsid w:val="00373D7A"/>
    <w:rsid w:val="003756A0"/>
    <w:rsid w:val="00375951"/>
    <w:rsid w:val="00376330"/>
    <w:rsid w:val="00377927"/>
    <w:rsid w:val="0038037B"/>
    <w:rsid w:val="00380B15"/>
    <w:rsid w:val="00380C7D"/>
    <w:rsid w:val="003816FD"/>
    <w:rsid w:val="003818B6"/>
    <w:rsid w:val="00381D29"/>
    <w:rsid w:val="00382C39"/>
    <w:rsid w:val="00382E3D"/>
    <w:rsid w:val="00383101"/>
    <w:rsid w:val="003834BB"/>
    <w:rsid w:val="003847A0"/>
    <w:rsid w:val="00384B21"/>
    <w:rsid w:val="00386C2A"/>
    <w:rsid w:val="00386F43"/>
    <w:rsid w:val="00387C16"/>
    <w:rsid w:val="003905CC"/>
    <w:rsid w:val="0039074F"/>
    <w:rsid w:val="00390F5E"/>
    <w:rsid w:val="003911C3"/>
    <w:rsid w:val="0039154D"/>
    <w:rsid w:val="00393AF6"/>
    <w:rsid w:val="00393FB5"/>
    <w:rsid w:val="00393FCE"/>
    <w:rsid w:val="003950E4"/>
    <w:rsid w:val="00395F7F"/>
    <w:rsid w:val="0039602C"/>
    <w:rsid w:val="003A05C2"/>
    <w:rsid w:val="003A08A3"/>
    <w:rsid w:val="003A099F"/>
    <w:rsid w:val="003A17F7"/>
    <w:rsid w:val="003A236C"/>
    <w:rsid w:val="003A3AC2"/>
    <w:rsid w:val="003A4402"/>
    <w:rsid w:val="003A57C9"/>
    <w:rsid w:val="003A6AF8"/>
    <w:rsid w:val="003A6BD5"/>
    <w:rsid w:val="003A6DA0"/>
    <w:rsid w:val="003A76AB"/>
    <w:rsid w:val="003B0632"/>
    <w:rsid w:val="003B0760"/>
    <w:rsid w:val="003B1DC0"/>
    <w:rsid w:val="003B296E"/>
    <w:rsid w:val="003B3670"/>
    <w:rsid w:val="003B3C9D"/>
    <w:rsid w:val="003B58C5"/>
    <w:rsid w:val="003B61E9"/>
    <w:rsid w:val="003B7648"/>
    <w:rsid w:val="003C0977"/>
    <w:rsid w:val="003C1580"/>
    <w:rsid w:val="003C1CA4"/>
    <w:rsid w:val="003C3492"/>
    <w:rsid w:val="003C4593"/>
    <w:rsid w:val="003C52C6"/>
    <w:rsid w:val="003C69C0"/>
    <w:rsid w:val="003C7579"/>
    <w:rsid w:val="003D26DF"/>
    <w:rsid w:val="003D2B04"/>
    <w:rsid w:val="003D73FC"/>
    <w:rsid w:val="003D7611"/>
    <w:rsid w:val="003D7809"/>
    <w:rsid w:val="003D7F6B"/>
    <w:rsid w:val="003E0C55"/>
    <w:rsid w:val="003E146A"/>
    <w:rsid w:val="003E1779"/>
    <w:rsid w:val="003E2EC2"/>
    <w:rsid w:val="003E349D"/>
    <w:rsid w:val="003E5256"/>
    <w:rsid w:val="003E56F0"/>
    <w:rsid w:val="003E59B0"/>
    <w:rsid w:val="003E5FAD"/>
    <w:rsid w:val="003E632B"/>
    <w:rsid w:val="003E6C17"/>
    <w:rsid w:val="003E7FFE"/>
    <w:rsid w:val="003F0753"/>
    <w:rsid w:val="003F1C8F"/>
    <w:rsid w:val="003F3044"/>
    <w:rsid w:val="003F3C89"/>
    <w:rsid w:val="003F3E10"/>
    <w:rsid w:val="003F4141"/>
    <w:rsid w:val="003F42F4"/>
    <w:rsid w:val="003F50ED"/>
    <w:rsid w:val="003F5CC1"/>
    <w:rsid w:val="003F7C45"/>
    <w:rsid w:val="004004AA"/>
    <w:rsid w:val="004004B9"/>
    <w:rsid w:val="004011C1"/>
    <w:rsid w:val="004017B8"/>
    <w:rsid w:val="00402C32"/>
    <w:rsid w:val="004033AD"/>
    <w:rsid w:val="0040556E"/>
    <w:rsid w:val="004056C2"/>
    <w:rsid w:val="00405917"/>
    <w:rsid w:val="00405EAF"/>
    <w:rsid w:val="004066E2"/>
    <w:rsid w:val="00407B4B"/>
    <w:rsid w:val="0041093E"/>
    <w:rsid w:val="00410AC2"/>
    <w:rsid w:val="00410CBD"/>
    <w:rsid w:val="00412219"/>
    <w:rsid w:val="00412419"/>
    <w:rsid w:val="0041299A"/>
    <w:rsid w:val="00412F54"/>
    <w:rsid w:val="004131B1"/>
    <w:rsid w:val="00414A4F"/>
    <w:rsid w:val="00414ADC"/>
    <w:rsid w:val="00414D61"/>
    <w:rsid w:val="00414F04"/>
    <w:rsid w:val="00415166"/>
    <w:rsid w:val="00415E59"/>
    <w:rsid w:val="00415ED9"/>
    <w:rsid w:val="00416005"/>
    <w:rsid w:val="00416A2A"/>
    <w:rsid w:val="00417996"/>
    <w:rsid w:val="00417FE1"/>
    <w:rsid w:val="00420073"/>
    <w:rsid w:val="00421DEF"/>
    <w:rsid w:val="00421FC3"/>
    <w:rsid w:val="00422077"/>
    <w:rsid w:val="004220F8"/>
    <w:rsid w:val="00422204"/>
    <w:rsid w:val="004222AA"/>
    <w:rsid w:val="00422AE8"/>
    <w:rsid w:val="00422D4A"/>
    <w:rsid w:val="004233DE"/>
    <w:rsid w:val="004241F3"/>
    <w:rsid w:val="0042429D"/>
    <w:rsid w:val="0042488C"/>
    <w:rsid w:val="0042491E"/>
    <w:rsid w:val="00425D9E"/>
    <w:rsid w:val="0042602F"/>
    <w:rsid w:val="00427FD2"/>
    <w:rsid w:val="00430D04"/>
    <w:rsid w:val="00432246"/>
    <w:rsid w:val="004327CE"/>
    <w:rsid w:val="00432D9D"/>
    <w:rsid w:val="004339D2"/>
    <w:rsid w:val="00433C38"/>
    <w:rsid w:val="00433F61"/>
    <w:rsid w:val="004344DF"/>
    <w:rsid w:val="00435574"/>
    <w:rsid w:val="00436E58"/>
    <w:rsid w:val="00437BD1"/>
    <w:rsid w:val="00440520"/>
    <w:rsid w:val="00440B82"/>
    <w:rsid w:val="00440CD9"/>
    <w:rsid w:val="0044194E"/>
    <w:rsid w:val="0044449E"/>
    <w:rsid w:val="00446184"/>
    <w:rsid w:val="00446A87"/>
    <w:rsid w:val="00446DDB"/>
    <w:rsid w:val="004479B6"/>
    <w:rsid w:val="00447E2C"/>
    <w:rsid w:val="004516E8"/>
    <w:rsid w:val="004518BD"/>
    <w:rsid w:val="00451BDC"/>
    <w:rsid w:val="00451E4B"/>
    <w:rsid w:val="00453254"/>
    <w:rsid w:val="00453FFB"/>
    <w:rsid w:val="004548F2"/>
    <w:rsid w:val="00454D7A"/>
    <w:rsid w:val="00455D2A"/>
    <w:rsid w:val="004563FD"/>
    <w:rsid w:val="00456B0B"/>
    <w:rsid w:val="004574DC"/>
    <w:rsid w:val="004579D8"/>
    <w:rsid w:val="0046179D"/>
    <w:rsid w:val="00461881"/>
    <w:rsid w:val="00461C44"/>
    <w:rsid w:val="00461EB2"/>
    <w:rsid w:val="00462A98"/>
    <w:rsid w:val="0046337B"/>
    <w:rsid w:val="0046391C"/>
    <w:rsid w:val="00463B8C"/>
    <w:rsid w:val="00463E07"/>
    <w:rsid w:val="00463ECF"/>
    <w:rsid w:val="00464396"/>
    <w:rsid w:val="00465285"/>
    <w:rsid w:val="00466B54"/>
    <w:rsid w:val="00466D1D"/>
    <w:rsid w:val="00466F98"/>
    <w:rsid w:val="00467618"/>
    <w:rsid w:val="0047039A"/>
    <w:rsid w:val="00470724"/>
    <w:rsid w:val="00471204"/>
    <w:rsid w:val="004725C2"/>
    <w:rsid w:val="00472784"/>
    <w:rsid w:val="00472AE9"/>
    <w:rsid w:val="00474125"/>
    <w:rsid w:val="00474800"/>
    <w:rsid w:val="00475657"/>
    <w:rsid w:val="004769DE"/>
    <w:rsid w:val="00477033"/>
    <w:rsid w:val="00477882"/>
    <w:rsid w:val="00477928"/>
    <w:rsid w:val="00480DB9"/>
    <w:rsid w:val="00481BB6"/>
    <w:rsid w:val="004827CB"/>
    <w:rsid w:val="00482C37"/>
    <w:rsid w:val="004835A2"/>
    <w:rsid w:val="00483CD5"/>
    <w:rsid w:val="00483EB8"/>
    <w:rsid w:val="00484C03"/>
    <w:rsid w:val="00484FC7"/>
    <w:rsid w:val="0048563A"/>
    <w:rsid w:val="00486576"/>
    <w:rsid w:val="004872CC"/>
    <w:rsid w:val="00487321"/>
    <w:rsid w:val="004879BA"/>
    <w:rsid w:val="00490504"/>
    <w:rsid w:val="004911AB"/>
    <w:rsid w:val="00491559"/>
    <w:rsid w:val="004915F1"/>
    <w:rsid w:val="00492105"/>
    <w:rsid w:val="00494B46"/>
    <w:rsid w:val="004957CA"/>
    <w:rsid w:val="00495B32"/>
    <w:rsid w:val="0049674B"/>
    <w:rsid w:val="00496B27"/>
    <w:rsid w:val="00497269"/>
    <w:rsid w:val="0049773D"/>
    <w:rsid w:val="004A0223"/>
    <w:rsid w:val="004A031A"/>
    <w:rsid w:val="004A044A"/>
    <w:rsid w:val="004A0849"/>
    <w:rsid w:val="004A1121"/>
    <w:rsid w:val="004A14A3"/>
    <w:rsid w:val="004A1DE5"/>
    <w:rsid w:val="004A3E5C"/>
    <w:rsid w:val="004A3E8B"/>
    <w:rsid w:val="004A44D0"/>
    <w:rsid w:val="004A4CFC"/>
    <w:rsid w:val="004A53AE"/>
    <w:rsid w:val="004A5B48"/>
    <w:rsid w:val="004A5FDD"/>
    <w:rsid w:val="004A63E5"/>
    <w:rsid w:val="004A67E0"/>
    <w:rsid w:val="004A7A69"/>
    <w:rsid w:val="004B0314"/>
    <w:rsid w:val="004B06BE"/>
    <w:rsid w:val="004B265E"/>
    <w:rsid w:val="004B2C0B"/>
    <w:rsid w:val="004B2C80"/>
    <w:rsid w:val="004B2DE9"/>
    <w:rsid w:val="004B516B"/>
    <w:rsid w:val="004B5F9C"/>
    <w:rsid w:val="004B6AB2"/>
    <w:rsid w:val="004B73A9"/>
    <w:rsid w:val="004C0281"/>
    <w:rsid w:val="004C0CB0"/>
    <w:rsid w:val="004C0E48"/>
    <w:rsid w:val="004C1CAE"/>
    <w:rsid w:val="004C3F27"/>
    <w:rsid w:val="004C40C8"/>
    <w:rsid w:val="004C44FE"/>
    <w:rsid w:val="004C4776"/>
    <w:rsid w:val="004C4C5A"/>
    <w:rsid w:val="004C516C"/>
    <w:rsid w:val="004C629B"/>
    <w:rsid w:val="004C6900"/>
    <w:rsid w:val="004C72AF"/>
    <w:rsid w:val="004C7819"/>
    <w:rsid w:val="004D035E"/>
    <w:rsid w:val="004D0D95"/>
    <w:rsid w:val="004D15C1"/>
    <w:rsid w:val="004D21E0"/>
    <w:rsid w:val="004D29BD"/>
    <w:rsid w:val="004D56D1"/>
    <w:rsid w:val="004D64FC"/>
    <w:rsid w:val="004D6EF8"/>
    <w:rsid w:val="004E1FBF"/>
    <w:rsid w:val="004E2502"/>
    <w:rsid w:val="004E2668"/>
    <w:rsid w:val="004E3308"/>
    <w:rsid w:val="004E4B73"/>
    <w:rsid w:val="004E4DB2"/>
    <w:rsid w:val="004E63A7"/>
    <w:rsid w:val="004E66F3"/>
    <w:rsid w:val="004F0A3C"/>
    <w:rsid w:val="004F0AC7"/>
    <w:rsid w:val="004F0CAB"/>
    <w:rsid w:val="004F1B74"/>
    <w:rsid w:val="004F22BE"/>
    <w:rsid w:val="004F22C0"/>
    <w:rsid w:val="004F27FA"/>
    <w:rsid w:val="004F2E2B"/>
    <w:rsid w:val="004F36E4"/>
    <w:rsid w:val="004F3762"/>
    <w:rsid w:val="004F3FD9"/>
    <w:rsid w:val="004F4901"/>
    <w:rsid w:val="004F4EC0"/>
    <w:rsid w:val="004F52E0"/>
    <w:rsid w:val="004F5B8C"/>
    <w:rsid w:val="004F60DD"/>
    <w:rsid w:val="004F74BC"/>
    <w:rsid w:val="00500B64"/>
    <w:rsid w:val="00500E43"/>
    <w:rsid w:val="00501D67"/>
    <w:rsid w:val="0050257E"/>
    <w:rsid w:val="005029A1"/>
    <w:rsid w:val="0050542E"/>
    <w:rsid w:val="005058B8"/>
    <w:rsid w:val="00506B9C"/>
    <w:rsid w:val="005070F8"/>
    <w:rsid w:val="00507358"/>
    <w:rsid w:val="0050782E"/>
    <w:rsid w:val="00507AF1"/>
    <w:rsid w:val="00510614"/>
    <w:rsid w:val="00510657"/>
    <w:rsid w:val="005106D3"/>
    <w:rsid w:val="005112FF"/>
    <w:rsid w:val="0051358D"/>
    <w:rsid w:val="00513F54"/>
    <w:rsid w:val="00513FCE"/>
    <w:rsid w:val="0051467D"/>
    <w:rsid w:val="0051474B"/>
    <w:rsid w:val="005151D9"/>
    <w:rsid w:val="00515402"/>
    <w:rsid w:val="0051623A"/>
    <w:rsid w:val="00516AEB"/>
    <w:rsid w:val="00516F09"/>
    <w:rsid w:val="00517164"/>
    <w:rsid w:val="005178C3"/>
    <w:rsid w:val="005178D0"/>
    <w:rsid w:val="0051796D"/>
    <w:rsid w:val="005218C4"/>
    <w:rsid w:val="00522A0B"/>
    <w:rsid w:val="00522D74"/>
    <w:rsid w:val="00523C2D"/>
    <w:rsid w:val="00523C65"/>
    <w:rsid w:val="00524D2B"/>
    <w:rsid w:val="0052508F"/>
    <w:rsid w:val="0052555B"/>
    <w:rsid w:val="0052749D"/>
    <w:rsid w:val="00527FB2"/>
    <w:rsid w:val="00530555"/>
    <w:rsid w:val="005307A1"/>
    <w:rsid w:val="00531BB0"/>
    <w:rsid w:val="00532237"/>
    <w:rsid w:val="00532243"/>
    <w:rsid w:val="00532259"/>
    <w:rsid w:val="005326FE"/>
    <w:rsid w:val="005329B1"/>
    <w:rsid w:val="005331CC"/>
    <w:rsid w:val="005334AC"/>
    <w:rsid w:val="00534290"/>
    <w:rsid w:val="00534538"/>
    <w:rsid w:val="00534D18"/>
    <w:rsid w:val="005371A0"/>
    <w:rsid w:val="005379FA"/>
    <w:rsid w:val="00540ADB"/>
    <w:rsid w:val="0054117C"/>
    <w:rsid w:val="00542460"/>
    <w:rsid w:val="00542514"/>
    <w:rsid w:val="00542880"/>
    <w:rsid w:val="005431C3"/>
    <w:rsid w:val="00543424"/>
    <w:rsid w:val="005435C8"/>
    <w:rsid w:val="00543DEE"/>
    <w:rsid w:val="00544381"/>
    <w:rsid w:val="005447A0"/>
    <w:rsid w:val="005465F5"/>
    <w:rsid w:val="0054720D"/>
    <w:rsid w:val="005476BD"/>
    <w:rsid w:val="00547C95"/>
    <w:rsid w:val="00550F11"/>
    <w:rsid w:val="00551E91"/>
    <w:rsid w:val="005527A7"/>
    <w:rsid w:val="005542CE"/>
    <w:rsid w:val="00554865"/>
    <w:rsid w:val="00555110"/>
    <w:rsid w:val="005555FF"/>
    <w:rsid w:val="005559B7"/>
    <w:rsid w:val="005563B4"/>
    <w:rsid w:val="0055765F"/>
    <w:rsid w:val="00557806"/>
    <w:rsid w:val="00560026"/>
    <w:rsid w:val="00560349"/>
    <w:rsid w:val="00560F8C"/>
    <w:rsid w:val="005618E2"/>
    <w:rsid w:val="00561E93"/>
    <w:rsid w:val="005624E3"/>
    <w:rsid w:val="00562501"/>
    <w:rsid w:val="00562EDC"/>
    <w:rsid w:val="005642C7"/>
    <w:rsid w:val="00564454"/>
    <w:rsid w:val="00565111"/>
    <w:rsid w:val="00565F25"/>
    <w:rsid w:val="00566A71"/>
    <w:rsid w:val="005671A3"/>
    <w:rsid w:val="00570843"/>
    <w:rsid w:val="00570882"/>
    <w:rsid w:val="00572218"/>
    <w:rsid w:val="00572661"/>
    <w:rsid w:val="00572D16"/>
    <w:rsid w:val="00573390"/>
    <w:rsid w:val="00573E2D"/>
    <w:rsid w:val="00573EB2"/>
    <w:rsid w:val="00574178"/>
    <w:rsid w:val="00576706"/>
    <w:rsid w:val="00577180"/>
    <w:rsid w:val="00580067"/>
    <w:rsid w:val="005800FA"/>
    <w:rsid w:val="00580546"/>
    <w:rsid w:val="0058131A"/>
    <w:rsid w:val="00582953"/>
    <w:rsid w:val="005834E3"/>
    <w:rsid w:val="005849DF"/>
    <w:rsid w:val="00584A53"/>
    <w:rsid w:val="00584A76"/>
    <w:rsid w:val="00585B2A"/>
    <w:rsid w:val="00586BD7"/>
    <w:rsid w:val="005877F8"/>
    <w:rsid w:val="005900EB"/>
    <w:rsid w:val="00591407"/>
    <w:rsid w:val="005918D7"/>
    <w:rsid w:val="0059262C"/>
    <w:rsid w:val="00594BA7"/>
    <w:rsid w:val="00596E82"/>
    <w:rsid w:val="005A0200"/>
    <w:rsid w:val="005A0288"/>
    <w:rsid w:val="005A0A5F"/>
    <w:rsid w:val="005A16CE"/>
    <w:rsid w:val="005A1748"/>
    <w:rsid w:val="005A1C21"/>
    <w:rsid w:val="005A1C24"/>
    <w:rsid w:val="005A1E80"/>
    <w:rsid w:val="005A22BD"/>
    <w:rsid w:val="005A24D5"/>
    <w:rsid w:val="005A2A2C"/>
    <w:rsid w:val="005A2B87"/>
    <w:rsid w:val="005A33E7"/>
    <w:rsid w:val="005A383B"/>
    <w:rsid w:val="005A3B18"/>
    <w:rsid w:val="005A43A4"/>
    <w:rsid w:val="005A5228"/>
    <w:rsid w:val="005A6437"/>
    <w:rsid w:val="005A6C0A"/>
    <w:rsid w:val="005A6F5F"/>
    <w:rsid w:val="005B10C1"/>
    <w:rsid w:val="005B2F30"/>
    <w:rsid w:val="005B3010"/>
    <w:rsid w:val="005B31DF"/>
    <w:rsid w:val="005B332C"/>
    <w:rsid w:val="005B37CD"/>
    <w:rsid w:val="005B41D2"/>
    <w:rsid w:val="005B547B"/>
    <w:rsid w:val="005B657F"/>
    <w:rsid w:val="005B6854"/>
    <w:rsid w:val="005B690A"/>
    <w:rsid w:val="005B7229"/>
    <w:rsid w:val="005B77B9"/>
    <w:rsid w:val="005B7EE4"/>
    <w:rsid w:val="005C033E"/>
    <w:rsid w:val="005C03F6"/>
    <w:rsid w:val="005C06CC"/>
    <w:rsid w:val="005C1016"/>
    <w:rsid w:val="005C14F7"/>
    <w:rsid w:val="005C59C5"/>
    <w:rsid w:val="005C6144"/>
    <w:rsid w:val="005C66E2"/>
    <w:rsid w:val="005C7A15"/>
    <w:rsid w:val="005D03D3"/>
    <w:rsid w:val="005D0568"/>
    <w:rsid w:val="005D0CB4"/>
    <w:rsid w:val="005D0DE4"/>
    <w:rsid w:val="005D1642"/>
    <w:rsid w:val="005D17EE"/>
    <w:rsid w:val="005D1FEC"/>
    <w:rsid w:val="005D2322"/>
    <w:rsid w:val="005D23CB"/>
    <w:rsid w:val="005D2E18"/>
    <w:rsid w:val="005D334D"/>
    <w:rsid w:val="005D3430"/>
    <w:rsid w:val="005D428C"/>
    <w:rsid w:val="005D490A"/>
    <w:rsid w:val="005D49E6"/>
    <w:rsid w:val="005D64DF"/>
    <w:rsid w:val="005D6924"/>
    <w:rsid w:val="005D6ADA"/>
    <w:rsid w:val="005D6E38"/>
    <w:rsid w:val="005D7150"/>
    <w:rsid w:val="005D73D9"/>
    <w:rsid w:val="005D7867"/>
    <w:rsid w:val="005D792B"/>
    <w:rsid w:val="005D7984"/>
    <w:rsid w:val="005D7C95"/>
    <w:rsid w:val="005D7EF4"/>
    <w:rsid w:val="005E08F8"/>
    <w:rsid w:val="005E0A80"/>
    <w:rsid w:val="005E0BC4"/>
    <w:rsid w:val="005E23F6"/>
    <w:rsid w:val="005E2D80"/>
    <w:rsid w:val="005E3013"/>
    <w:rsid w:val="005E36CC"/>
    <w:rsid w:val="005E44A2"/>
    <w:rsid w:val="005E4E5E"/>
    <w:rsid w:val="005E4F85"/>
    <w:rsid w:val="005E5816"/>
    <w:rsid w:val="005E5C58"/>
    <w:rsid w:val="005E6CE7"/>
    <w:rsid w:val="005E792C"/>
    <w:rsid w:val="005E7A0D"/>
    <w:rsid w:val="005E7CE9"/>
    <w:rsid w:val="005F0777"/>
    <w:rsid w:val="005F15C8"/>
    <w:rsid w:val="005F1D02"/>
    <w:rsid w:val="005F1FC1"/>
    <w:rsid w:val="005F2154"/>
    <w:rsid w:val="005F2281"/>
    <w:rsid w:val="005F2706"/>
    <w:rsid w:val="005F2A2F"/>
    <w:rsid w:val="005F2A30"/>
    <w:rsid w:val="005F2A8D"/>
    <w:rsid w:val="005F335E"/>
    <w:rsid w:val="005F36DD"/>
    <w:rsid w:val="005F38E7"/>
    <w:rsid w:val="005F3A1E"/>
    <w:rsid w:val="005F3F7A"/>
    <w:rsid w:val="005F3F95"/>
    <w:rsid w:val="005F4ADB"/>
    <w:rsid w:val="005F4C93"/>
    <w:rsid w:val="005F6455"/>
    <w:rsid w:val="005F6DA9"/>
    <w:rsid w:val="005F74EF"/>
    <w:rsid w:val="005F7A22"/>
    <w:rsid w:val="005F7C40"/>
    <w:rsid w:val="00600C67"/>
    <w:rsid w:val="00600E64"/>
    <w:rsid w:val="006013D8"/>
    <w:rsid w:val="006014ED"/>
    <w:rsid w:val="0060189B"/>
    <w:rsid w:val="00601FB5"/>
    <w:rsid w:val="00602291"/>
    <w:rsid w:val="0060259B"/>
    <w:rsid w:val="0060305C"/>
    <w:rsid w:val="0060385A"/>
    <w:rsid w:val="00603E0C"/>
    <w:rsid w:val="0060560A"/>
    <w:rsid w:val="006076D5"/>
    <w:rsid w:val="00607739"/>
    <w:rsid w:val="00610AA7"/>
    <w:rsid w:val="00612111"/>
    <w:rsid w:val="0061284E"/>
    <w:rsid w:val="00614554"/>
    <w:rsid w:val="00614FC4"/>
    <w:rsid w:val="0061556B"/>
    <w:rsid w:val="00615624"/>
    <w:rsid w:val="00616687"/>
    <w:rsid w:val="00616C5F"/>
    <w:rsid w:val="0061778A"/>
    <w:rsid w:val="006177C5"/>
    <w:rsid w:val="00621175"/>
    <w:rsid w:val="006219FD"/>
    <w:rsid w:val="0062204B"/>
    <w:rsid w:val="00622CDB"/>
    <w:rsid w:val="0062434C"/>
    <w:rsid w:val="00625584"/>
    <w:rsid w:val="00625D3E"/>
    <w:rsid w:val="00626C93"/>
    <w:rsid w:val="006273EE"/>
    <w:rsid w:val="006277FF"/>
    <w:rsid w:val="00630E4E"/>
    <w:rsid w:val="00631CB6"/>
    <w:rsid w:val="0063221A"/>
    <w:rsid w:val="006334C0"/>
    <w:rsid w:val="00634F38"/>
    <w:rsid w:val="00635456"/>
    <w:rsid w:val="00635889"/>
    <w:rsid w:val="00636393"/>
    <w:rsid w:val="006365D5"/>
    <w:rsid w:val="0063716D"/>
    <w:rsid w:val="00637B0D"/>
    <w:rsid w:val="006406DE"/>
    <w:rsid w:val="00640D1F"/>
    <w:rsid w:val="00640D84"/>
    <w:rsid w:val="00641349"/>
    <w:rsid w:val="0064146A"/>
    <w:rsid w:val="00642152"/>
    <w:rsid w:val="006429D0"/>
    <w:rsid w:val="0064332F"/>
    <w:rsid w:val="00644327"/>
    <w:rsid w:val="006445CA"/>
    <w:rsid w:val="00645243"/>
    <w:rsid w:val="006465C5"/>
    <w:rsid w:val="00646A27"/>
    <w:rsid w:val="00650DA1"/>
    <w:rsid w:val="006515DC"/>
    <w:rsid w:val="00651C0A"/>
    <w:rsid w:val="00653509"/>
    <w:rsid w:val="00653855"/>
    <w:rsid w:val="00653C1B"/>
    <w:rsid w:val="00653D2B"/>
    <w:rsid w:val="00653D42"/>
    <w:rsid w:val="00653FBE"/>
    <w:rsid w:val="00654B16"/>
    <w:rsid w:val="00655125"/>
    <w:rsid w:val="006553B6"/>
    <w:rsid w:val="006568AA"/>
    <w:rsid w:val="00656DFC"/>
    <w:rsid w:val="00660AA1"/>
    <w:rsid w:val="00660D5C"/>
    <w:rsid w:val="00661762"/>
    <w:rsid w:val="00663107"/>
    <w:rsid w:val="00663EB2"/>
    <w:rsid w:val="00664F1B"/>
    <w:rsid w:val="00665104"/>
    <w:rsid w:val="00665A43"/>
    <w:rsid w:val="00666559"/>
    <w:rsid w:val="0066692B"/>
    <w:rsid w:val="00666939"/>
    <w:rsid w:val="00666CA3"/>
    <w:rsid w:val="00666D0F"/>
    <w:rsid w:val="0066778F"/>
    <w:rsid w:val="006679AD"/>
    <w:rsid w:val="00667A84"/>
    <w:rsid w:val="00667F76"/>
    <w:rsid w:val="0067168E"/>
    <w:rsid w:val="00671C41"/>
    <w:rsid w:val="006730DD"/>
    <w:rsid w:val="006746D3"/>
    <w:rsid w:val="00674DBA"/>
    <w:rsid w:val="0067583F"/>
    <w:rsid w:val="0067768F"/>
    <w:rsid w:val="00677EBB"/>
    <w:rsid w:val="00680768"/>
    <w:rsid w:val="00681B6A"/>
    <w:rsid w:val="00681F4B"/>
    <w:rsid w:val="0068277D"/>
    <w:rsid w:val="00682D05"/>
    <w:rsid w:val="00683224"/>
    <w:rsid w:val="00683388"/>
    <w:rsid w:val="006849B7"/>
    <w:rsid w:val="006854ED"/>
    <w:rsid w:val="006855E5"/>
    <w:rsid w:val="006859CA"/>
    <w:rsid w:val="00686741"/>
    <w:rsid w:val="00687C1A"/>
    <w:rsid w:val="00687F84"/>
    <w:rsid w:val="00690606"/>
    <w:rsid w:val="00690B60"/>
    <w:rsid w:val="00690D62"/>
    <w:rsid w:val="00691396"/>
    <w:rsid w:val="00692105"/>
    <w:rsid w:val="00692641"/>
    <w:rsid w:val="006927FB"/>
    <w:rsid w:val="00692BED"/>
    <w:rsid w:val="00692C5A"/>
    <w:rsid w:val="006931A4"/>
    <w:rsid w:val="00694EE7"/>
    <w:rsid w:val="00695B69"/>
    <w:rsid w:val="0069606B"/>
    <w:rsid w:val="0069742D"/>
    <w:rsid w:val="006979AB"/>
    <w:rsid w:val="00697BD9"/>
    <w:rsid w:val="00697E1E"/>
    <w:rsid w:val="00697FCE"/>
    <w:rsid w:val="006A0967"/>
    <w:rsid w:val="006A1ADC"/>
    <w:rsid w:val="006A2F69"/>
    <w:rsid w:val="006A3116"/>
    <w:rsid w:val="006A41CE"/>
    <w:rsid w:val="006A4755"/>
    <w:rsid w:val="006A4F11"/>
    <w:rsid w:val="006A59CA"/>
    <w:rsid w:val="006A7738"/>
    <w:rsid w:val="006B0674"/>
    <w:rsid w:val="006B1B17"/>
    <w:rsid w:val="006B1DF2"/>
    <w:rsid w:val="006B3DB7"/>
    <w:rsid w:val="006B45EE"/>
    <w:rsid w:val="006B50AC"/>
    <w:rsid w:val="006B5507"/>
    <w:rsid w:val="006B592A"/>
    <w:rsid w:val="006B60E2"/>
    <w:rsid w:val="006B6AD5"/>
    <w:rsid w:val="006B6D1A"/>
    <w:rsid w:val="006B71D0"/>
    <w:rsid w:val="006C0958"/>
    <w:rsid w:val="006C1494"/>
    <w:rsid w:val="006C1746"/>
    <w:rsid w:val="006C1ED4"/>
    <w:rsid w:val="006C2372"/>
    <w:rsid w:val="006C311A"/>
    <w:rsid w:val="006C31D8"/>
    <w:rsid w:val="006C3527"/>
    <w:rsid w:val="006C3E1F"/>
    <w:rsid w:val="006C4809"/>
    <w:rsid w:val="006C4A90"/>
    <w:rsid w:val="006C4BA7"/>
    <w:rsid w:val="006C5674"/>
    <w:rsid w:val="006C5751"/>
    <w:rsid w:val="006C6831"/>
    <w:rsid w:val="006C7121"/>
    <w:rsid w:val="006C75E8"/>
    <w:rsid w:val="006C7692"/>
    <w:rsid w:val="006C7779"/>
    <w:rsid w:val="006C7C25"/>
    <w:rsid w:val="006D04C1"/>
    <w:rsid w:val="006D0BDD"/>
    <w:rsid w:val="006D1583"/>
    <w:rsid w:val="006D2345"/>
    <w:rsid w:val="006D3B7E"/>
    <w:rsid w:val="006D4A4D"/>
    <w:rsid w:val="006D4B27"/>
    <w:rsid w:val="006D4D47"/>
    <w:rsid w:val="006D6824"/>
    <w:rsid w:val="006D7837"/>
    <w:rsid w:val="006D7D4C"/>
    <w:rsid w:val="006E0028"/>
    <w:rsid w:val="006E10BB"/>
    <w:rsid w:val="006E1303"/>
    <w:rsid w:val="006E1E09"/>
    <w:rsid w:val="006E2190"/>
    <w:rsid w:val="006E250F"/>
    <w:rsid w:val="006E2BF2"/>
    <w:rsid w:val="006E32F6"/>
    <w:rsid w:val="006E3689"/>
    <w:rsid w:val="006E578D"/>
    <w:rsid w:val="006E5BA3"/>
    <w:rsid w:val="006E6AC9"/>
    <w:rsid w:val="006E6C8C"/>
    <w:rsid w:val="006E78FE"/>
    <w:rsid w:val="006E7AF1"/>
    <w:rsid w:val="006E7E45"/>
    <w:rsid w:val="006E7F46"/>
    <w:rsid w:val="006F0972"/>
    <w:rsid w:val="006F1964"/>
    <w:rsid w:val="006F2322"/>
    <w:rsid w:val="006F25F6"/>
    <w:rsid w:val="006F29E8"/>
    <w:rsid w:val="006F3AA2"/>
    <w:rsid w:val="006F3D50"/>
    <w:rsid w:val="006F46B6"/>
    <w:rsid w:val="006F5DDD"/>
    <w:rsid w:val="006F67B3"/>
    <w:rsid w:val="006F7647"/>
    <w:rsid w:val="006F7F92"/>
    <w:rsid w:val="006F7FA6"/>
    <w:rsid w:val="00700088"/>
    <w:rsid w:val="00700D29"/>
    <w:rsid w:val="00702304"/>
    <w:rsid w:val="00702663"/>
    <w:rsid w:val="007038CC"/>
    <w:rsid w:val="00703D43"/>
    <w:rsid w:val="0070451E"/>
    <w:rsid w:val="007047F4"/>
    <w:rsid w:val="00704C60"/>
    <w:rsid w:val="00706C9F"/>
    <w:rsid w:val="00706F09"/>
    <w:rsid w:val="00707E88"/>
    <w:rsid w:val="00710A3A"/>
    <w:rsid w:val="00711798"/>
    <w:rsid w:val="00712546"/>
    <w:rsid w:val="00712963"/>
    <w:rsid w:val="007132EA"/>
    <w:rsid w:val="00713C94"/>
    <w:rsid w:val="007153E4"/>
    <w:rsid w:val="007159E5"/>
    <w:rsid w:val="0071727D"/>
    <w:rsid w:val="00717845"/>
    <w:rsid w:val="0072071D"/>
    <w:rsid w:val="00722795"/>
    <w:rsid w:val="00722936"/>
    <w:rsid w:val="00722EAC"/>
    <w:rsid w:val="007233D3"/>
    <w:rsid w:val="0072449F"/>
    <w:rsid w:val="00724ADD"/>
    <w:rsid w:val="00725038"/>
    <w:rsid w:val="00725D9B"/>
    <w:rsid w:val="00725F75"/>
    <w:rsid w:val="00726530"/>
    <w:rsid w:val="00726FDF"/>
    <w:rsid w:val="00727769"/>
    <w:rsid w:val="0073072B"/>
    <w:rsid w:val="00734F59"/>
    <w:rsid w:val="007358BC"/>
    <w:rsid w:val="00736C71"/>
    <w:rsid w:val="00737001"/>
    <w:rsid w:val="0073715C"/>
    <w:rsid w:val="0073765F"/>
    <w:rsid w:val="00740398"/>
    <w:rsid w:val="007404A5"/>
    <w:rsid w:val="007406B5"/>
    <w:rsid w:val="00740C62"/>
    <w:rsid w:val="0074351B"/>
    <w:rsid w:val="0074527D"/>
    <w:rsid w:val="007463B6"/>
    <w:rsid w:val="0074690B"/>
    <w:rsid w:val="0074786F"/>
    <w:rsid w:val="00750702"/>
    <w:rsid w:val="00751246"/>
    <w:rsid w:val="00751A51"/>
    <w:rsid w:val="00751C22"/>
    <w:rsid w:val="00751FA0"/>
    <w:rsid w:val="0075244F"/>
    <w:rsid w:val="00754CF2"/>
    <w:rsid w:val="00755F34"/>
    <w:rsid w:val="007561E3"/>
    <w:rsid w:val="00756DEA"/>
    <w:rsid w:val="007577B1"/>
    <w:rsid w:val="007603E5"/>
    <w:rsid w:val="00760869"/>
    <w:rsid w:val="00760AB5"/>
    <w:rsid w:val="00761ADE"/>
    <w:rsid w:val="00762D11"/>
    <w:rsid w:val="007657F0"/>
    <w:rsid w:val="00766304"/>
    <w:rsid w:val="007676C7"/>
    <w:rsid w:val="007701D0"/>
    <w:rsid w:val="007703C7"/>
    <w:rsid w:val="0077070C"/>
    <w:rsid w:val="007708A3"/>
    <w:rsid w:val="00771B95"/>
    <w:rsid w:val="00771EE0"/>
    <w:rsid w:val="00771F25"/>
    <w:rsid w:val="00773BA5"/>
    <w:rsid w:val="00774BFF"/>
    <w:rsid w:val="0077593B"/>
    <w:rsid w:val="0077612D"/>
    <w:rsid w:val="00777998"/>
    <w:rsid w:val="00780389"/>
    <w:rsid w:val="007812B8"/>
    <w:rsid w:val="00781B3C"/>
    <w:rsid w:val="00782489"/>
    <w:rsid w:val="007832D5"/>
    <w:rsid w:val="00783AEA"/>
    <w:rsid w:val="00784AFF"/>
    <w:rsid w:val="007851D5"/>
    <w:rsid w:val="007851D9"/>
    <w:rsid w:val="00785311"/>
    <w:rsid w:val="0078553F"/>
    <w:rsid w:val="0078677E"/>
    <w:rsid w:val="007869F9"/>
    <w:rsid w:val="00787DEE"/>
    <w:rsid w:val="00790080"/>
    <w:rsid w:val="00790398"/>
    <w:rsid w:val="007906F9"/>
    <w:rsid w:val="00790DEC"/>
    <w:rsid w:val="00791100"/>
    <w:rsid w:val="00791275"/>
    <w:rsid w:val="007913DD"/>
    <w:rsid w:val="00791ABE"/>
    <w:rsid w:val="007922C0"/>
    <w:rsid w:val="00792DE9"/>
    <w:rsid w:val="00792F0C"/>
    <w:rsid w:val="00794E6A"/>
    <w:rsid w:val="0079703D"/>
    <w:rsid w:val="007A34B6"/>
    <w:rsid w:val="007A36DE"/>
    <w:rsid w:val="007A3C1F"/>
    <w:rsid w:val="007A3C7F"/>
    <w:rsid w:val="007A524F"/>
    <w:rsid w:val="007A67A4"/>
    <w:rsid w:val="007A6856"/>
    <w:rsid w:val="007A6886"/>
    <w:rsid w:val="007A7060"/>
    <w:rsid w:val="007A752C"/>
    <w:rsid w:val="007A7A83"/>
    <w:rsid w:val="007B0801"/>
    <w:rsid w:val="007B0CCA"/>
    <w:rsid w:val="007B1651"/>
    <w:rsid w:val="007B1764"/>
    <w:rsid w:val="007B26F4"/>
    <w:rsid w:val="007B2BDB"/>
    <w:rsid w:val="007B2EBA"/>
    <w:rsid w:val="007B5464"/>
    <w:rsid w:val="007B5C68"/>
    <w:rsid w:val="007B5D4F"/>
    <w:rsid w:val="007C02A4"/>
    <w:rsid w:val="007C0372"/>
    <w:rsid w:val="007C2F9E"/>
    <w:rsid w:val="007C34E6"/>
    <w:rsid w:val="007C3AD2"/>
    <w:rsid w:val="007C468F"/>
    <w:rsid w:val="007C5027"/>
    <w:rsid w:val="007C54B8"/>
    <w:rsid w:val="007C57ED"/>
    <w:rsid w:val="007C748E"/>
    <w:rsid w:val="007C7B73"/>
    <w:rsid w:val="007C7C20"/>
    <w:rsid w:val="007D0DA0"/>
    <w:rsid w:val="007D2A61"/>
    <w:rsid w:val="007D3295"/>
    <w:rsid w:val="007D3A60"/>
    <w:rsid w:val="007D4286"/>
    <w:rsid w:val="007D4716"/>
    <w:rsid w:val="007D4D34"/>
    <w:rsid w:val="007D4DA2"/>
    <w:rsid w:val="007D5AEF"/>
    <w:rsid w:val="007D755E"/>
    <w:rsid w:val="007E2730"/>
    <w:rsid w:val="007E2CAC"/>
    <w:rsid w:val="007E3427"/>
    <w:rsid w:val="007E35E4"/>
    <w:rsid w:val="007E3A75"/>
    <w:rsid w:val="007F1271"/>
    <w:rsid w:val="007F1502"/>
    <w:rsid w:val="007F1633"/>
    <w:rsid w:val="007F17A0"/>
    <w:rsid w:val="007F2905"/>
    <w:rsid w:val="007F3543"/>
    <w:rsid w:val="007F4F4A"/>
    <w:rsid w:val="007F71DD"/>
    <w:rsid w:val="007F737A"/>
    <w:rsid w:val="00800E33"/>
    <w:rsid w:val="00800F9C"/>
    <w:rsid w:val="008036A6"/>
    <w:rsid w:val="00805C5A"/>
    <w:rsid w:val="00806123"/>
    <w:rsid w:val="008066AF"/>
    <w:rsid w:val="00806DEA"/>
    <w:rsid w:val="0080797E"/>
    <w:rsid w:val="00810283"/>
    <w:rsid w:val="00811874"/>
    <w:rsid w:val="008120AC"/>
    <w:rsid w:val="00812492"/>
    <w:rsid w:val="00813C4A"/>
    <w:rsid w:val="00815488"/>
    <w:rsid w:val="00815BDF"/>
    <w:rsid w:val="00815F5A"/>
    <w:rsid w:val="008161A9"/>
    <w:rsid w:val="008168D1"/>
    <w:rsid w:val="00817324"/>
    <w:rsid w:val="00817AA7"/>
    <w:rsid w:val="00817BAA"/>
    <w:rsid w:val="0082100A"/>
    <w:rsid w:val="008210C2"/>
    <w:rsid w:val="008217DE"/>
    <w:rsid w:val="0082219C"/>
    <w:rsid w:val="0082357E"/>
    <w:rsid w:val="00823D38"/>
    <w:rsid w:val="008240F1"/>
    <w:rsid w:val="0082475A"/>
    <w:rsid w:val="00824C37"/>
    <w:rsid w:val="00824E07"/>
    <w:rsid w:val="008253FB"/>
    <w:rsid w:val="0082551A"/>
    <w:rsid w:val="0082649D"/>
    <w:rsid w:val="00827038"/>
    <w:rsid w:val="00830AD6"/>
    <w:rsid w:val="00830FC3"/>
    <w:rsid w:val="008314A0"/>
    <w:rsid w:val="00832163"/>
    <w:rsid w:val="008326AC"/>
    <w:rsid w:val="008329EA"/>
    <w:rsid w:val="008336E1"/>
    <w:rsid w:val="0083414E"/>
    <w:rsid w:val="008348A8"/>
    <w:rsid w:val="00834FC6"/>
    <w:rsid w:val="008357BD"/>
    <w:rsid w:val="008357D3"/>
    <w:rsid w:val="00835F84"/>
    <w:rsid w:val="008366CE"/>
    <w:rsid w:val="00837D99"/>
    <w:rsid w:val="00837F53"/>
    <w:rsid w:val="008402CD"/>
    <w:rsid w:val="00842302"/>
    <w:rsid w:val="00842726"/>
    <w:rsid w:val="00842BFE"/>
    <w:rsid w:val="00842D28"/>
    <w:rsid w:val="00842EBE"/>
    <w:rsid w:val="00843E8A"/>
    <w:rsid w:val="00843F1B"/>
    <w:rsid w:val="008444DE"/>
    <w:rsid w:val="0085036F"/>
    <w:rsid w:val="0085142A"/>
    <w:rsid w:val="00851952"/>
    <w:rsid w:val="00854337"/>
    <w:rsid w:val="00855464"/>
    <w:rsid w:val="008554A9"/>
    <w:rsid w:val="00855EEF"/>
    <w:rsid w:val="00856C62"/>
    <w:rsid w:val="00856E5C"/>
    <w:rsid w:val="00857D14"/>
    <w:rsid w:val="00860536"/>
    <w:rsid w:val="008612A2"/>
    <w:rsid w:val="00862F6E"/>
    <w:rsid w:val="00863136"/>
    <w:rsid w:val="00863678"/>
    <w:rsid w:val="008645FA"/>
    <w:rsid w:val="00864A8E"/>
    <w:rsid w:val="00864ED4"/>
    <w:rsid w:val="008661B8"/>
    <w:rsid w:val="008674FD"/>
    <w:rsid w:val="0087230F"/>
    <w:rsid w:val="008734CC"/>
    <w:rsid w:val="00873C62"/>
    <w:rsid w:val="00873F3D"/>
    <w:rsid w:val="008744B3"/>
    <w:rsid w:val="008749DC"/>
    <w:rsid w:val="008754AC"/>
    <w:rsid w:val="008773D0"/>
    <w:rsid w:val="00877684"/>
    <w:rsid w:val="0087791D"/>
    <w:rsid w:val="00880538"/>
    <w:rsid w:val="0088096C"/>
    <w:rsid w:val="00881984"/>
    <w:rsid w:val="00881D59"/>
    <w:rsid w:val="00883827"/>
    <w:rsid w:val="00884D5B"/>
    <w:rsid w:val="00885620"/>
    <w:rsid w:val="00885792"/>
    <w:rsid w:val="00885D2F"/>
    <w:rsid w:val="00886C48"/>
    <w:rsid w:val="0089001A"/>
    <w:rsid w:val="0089061D"/>
    <w:rsid w:val="00890DC4"/>
    <w:rsid w:val="00891DCC"/>
    <w:rsid w:val="008923B7"/>
    <w:rsid w:val="0089407C"/>
    <w:rsid w:val="00894D61"/>
    <w:rsid w:val="00895C6A"/>
    <w:rsid w:val="00895CBC"/>
    <w:rsid w:val="00895DD4"/>
    <w:rsid w:val="008963F6"/>
    <w:rsid w:val="00896455"/>
    <w:rsid w:val="00896B50"/>
    <w:rsid w:val="00897516"/>
    <w:rsid w:val="008A149A"/>
    <w:rsid w:val="008A164C"/>
    <w:rsid w:val="008A187B"/>
    <w:rsid w:val="008A27DB"/>
    <w:rsid w:val="008A28F6"/>
    <w:rsid w:val="008A2E63"/>
    <w:rsid w:val="008A48B9"/>
    <w:rsid w:val="008A6395"/>
    <w:rsid w:val="008A7A3E"/>
    <w:rsid w:val="008B1223"/>
    <w:rsid w:val="008B304A"/>
    <w:rsid w:val="008B4809"/>
    <w:rsid w:val="008B570D"/>
    <w:rsid w:val="008B5BF3"/>
    <w:rsid w:val="008B6217"/>
    <w:rsid w:val="008B62BA"/>
    <w:rsid w:val="008B63AD"/>
    <w:rsid w:val="008B6C66"/>
    <w:rsid w:val="008C1BF4"/>
    <w:rsid w:val="008C20F6"/>
    <w:rsid w:val="008C23E4"/>
    <w:rsid w:val="008C2AAD"/>
    <w:rsid w:val="008C3FC4"/>
    <w:rsid w:val="008C50E7"/>
    <w:rsid w:val="008C56E1"/>
    <w:rsid w:val="008C6089"/>
    <w:rsid w:val="008C631B"/>
    <w:rsid w:val="008C648C"/>
    <w:rsid w:val="008C703C"/>
    <w:rsid w:val="008C79D3"/>
    <w:rsid w:val="008C7C5C"/>
    <w:rsid w:val="008D11DF"/>
    <w:rsid w:val="008D1525"/>
    <w:rsid w:val="008D1C8B"/>
    <w:rsid w:val="008D27D8"/>
    <w:rsid w:val="008D3A40"/>
    <w:rsid w:val="008D3CA1"/>
    <w:rsid w:val="008D3EF8"/>
    <w:rsid w:val="008D3F8A"/>
    <w:rsid w:val="008D437C"/>
    <w:rsid w:val="008D45DE"/>
    <w:rsid w:val="008D497E"/>
    <w:rsid w:val="008D57FE"/>
    <w:rsid w:val="008D600F"/>
    <w:rsid w:val="008D64EC"/>
    <w:rsid w:val="008D6EC3"/>
    <w:rsid w:val="008D71E5"/>
    <w:rsid w:val="008D7F29"/>
    <w:rsid w:val="008E0726"/>
    <w:rsid w:val="008E19CE"/>
    <w:rsid w:val="008E1C0B"/>
    <w:rsid w:val="008E2076"/>
    <w:rsid w:val="008E4967"/>
    <w:rsid w:val="008E51D7"/>
    <w:rsid w:val="008E53C2"/>
    <w:rsid w:val="008E5C96"/>
    <w:rsid w:val="008E6BB2"/>
    <w:rsid w:val="008E7225"/>
    <w:rsid w:val="008F0E03"/>
    <w:rsid w:val="008F1E82"/>
    <w:rsid w:val="008F3A99"/>
    <w:rsid w:val="008F4EAC"/>
    <w:rsid w:val="008F55F8"/>
    <w:rsid w:val="008F5632"/>
    <w:rsid w:val="008F5758"/>
    <w:rsid w:val="008F5D1F"/>
    <w:rsid w:val="008F6901"/>
    <w:rsid w:val="008F709A"/>
    <w:rsid w:val="008F762F"/>
    <w:rsid w:val="008F789F"/>
    <w:rsid w:val="00900562"/>
    <w:rsid w:val="00900C84"/>
    <w:rsid w:val="0090152E"/>
    <w:rsid w:val="00901AA0"/>
    <w:rsid w:val="00901C1E"/>
    <w:rsid w:val="00902277"/>
    <w:rsid w:val="00902FE7"/>
    <w:rsid w:val="0090335C"/>
    <w:rsid w:val="00903702"/>
    <w:rsid w:val="00904F65"/>
    <w:rsid w:val="009051B0"/>
    <w:rsid w:val="009053C9"/>
    <w:rsid w:val="009056CA"/>
    <w:rsid w:val="00906235"/>
    <w:rsid w:val="009062E9"/>
    <w:rsid w:val="0090700F"/>
    <w:rsid w:val="00910B0E"/>
    <w:rsid w:val="009139B8"/>
    <w:rsid w:val="00915559"/>
    <w:rsid w:val="00916ABB"/>
    <w:rsid w:val="00916D2E"/>
    <w:rsid w:val="009210F9"/>
    <w:rsid w:val="009214E0"/>
    <w:rsid w:val="00921938"/>
    <w:rsid w:val="00922A2E"/>
    <w:rsid w:val="009231E0"/>
    <w:rsid w:val="00925897"/>
    <w:rsid w:val="00925A4D"/>
    <w:rsid w:val="00925E09"/>
    <w:rsid w:val="00926846"/>
    <w:rsid w:val="009276EF"/>
    <w:rsid w:val="00930756"/>
    <w:rsid w:val="00930967"/>
    <w:rsid w:val="00930E24"/>
    <w:rsid w:val="009314E2"/>
    <w:rsid w:val="00931681"/>
    <w:rsid w:val="0093363A"/>
    <w:rsid w:val="009345C5"/>
    <w:rsid w:val="00935A5D"/>
    <w:rsid w:val="00936D08"/>
    <w:rsid w:val="00936F63"/>
    <w:rsid w:val="00937C60"/>
    <w:rsid w:val="009401CC"/>
    <w:rsid w:val="009414C6"/>
    <w:rsid w:val="00942582"/>
    <w:rsid w:val="00942F19"/>
    <w:rsid w:val="009431D8"/>
    <w:rsid w:val="0094345F"/>
    <w:rsid w:val="009438F4"/>
    <w:rsid w:val="00943C8B"/>
    <w:rsid w:val="009443C1"/>
    <w:rsid w:val="009452BE"/>
    <w:rsid w:val="00945C29"/>
    <w:rsid w:val="009462E9"/>
    <w:rsid w:val="009466F1"/>
    <w:rsid w:val="00947A3F"/>
    <w:rsid w:val="00947A76"/>
    <w:rsid w:val="00947DE3"/>
    <w:rsid w:val="00950A2A"/>
    <w:rsid w:val="009515B7"/>
    <w:rsid w:val="0095269D"/>
    <w:rsid w:val="009526DA"/>
    <w:rsid w:val="0095335F"/>
    <w:rsid w:val="0095369F"/>
    <w:rsid w:val="00953C2A"/>
    <w:rsid w:val="00953C59"/>
    <w:rsid w:val="00955E36"/>
    <w:rsid w:val="00955F2C"/>
    <w:rsid w:val="00956947"/>
    <w:rsid w:val="00956C4E"/>
    <w:rsid w:val="0095714C"/>
    <w:rsid w:val="00957469"/>
    <w:rsid w:val="00957659"/>
    <w:rsid w:val="00957763"/>
    <w:rsid w:val="00957855"/>
    <w:rsid w:val="0095785B"/>
    <w:rsid w:val="0096147F"/>
    <w:rsid w:val="009622D5"/>
    <w:rsid w:val="009624DD"/>
    <w:rsid w:val="00964DFD"/>
    <w:rsid w:val="00965A1D"/>
    <w:rsid w:val="00965E91"/>
    <w:rsid w:val="00966C29"/>
    <w:rsid w:val="009678C0"/>
    <w:rsid w:val="0097064A"/>
    <w:rsid w:val="00970CA2"/>
    <w:rsid w:val="00970CD9"/>
    <w:rsid w:val="0097192B"/>
    <w:rsid w:val="00971C3E"/>
    <w:rsid w:val="00971C3F"/>
    <w:rsid w:val="009724EE"/>
    <w:rsid w:val="00972A9D"/>
    <w:rsid w:val="0097300E"/>
    <w:rsid w:val="00973A95"/>
    <w:rsid w:val="00974A5C"/>
    <w:rsid w:val="00977F74"/>
    <w:rsid w:val="009804F5"/>
    <w:rsid w:val="0098132B"/>
    <w:rsid w:val="00981E05"/>
    <w:rsid w:val="00981EF7"/>
    <w:rsid w:val="00982E02"/>
    <w:rsid w:val="0098518E"/>
    <w:rsid w:val="009854A9"/>
    <w:rsid w:val="0098629D"/>
    <w:rsid w:val="00987AF0"/>
    <w:rsid w:val="00990584"/>
    <w:rsid w:val="009906FF"/>
    <w:rsid w:val="00990C65"/>
    <w:rsid w:val="009910CB"/>
    <w:rsid w:val="00991D8F"/>
    <w:rsid w:val="00992F6B"/>
    <w:rsid w:val="009933A5"/>
    <w:rsid w:val="00994AD8"/>
    <w:rsid w:val="00994D95"/>
    <w:rsid w:val="009958B2"/>
    <w:rsid w:val="009960BA"/>
    <w:rsid w:val="009962D2"/>
    <w:rsid w:val="00996641"/>
    <w:rsid w:val="009969CB"/>
    <w:rsid w:val="00996A6C"/>
    <w:rsid w:val="00997029"/>
    <w:rsid w:val="009A11B4"/>
    <w:rsid w:val="009A22DE"/>
    <w:rsid w:val="009A268A"/>
    <w:rsid w:val="009A454A"/>
    <w:rsid w:val="009A4755"/>
    <w:rsid w:val="009A5500"/>
    <w:rsid w:val="009A553C"/>
    <w:rsid w:val="009A5EEC"/>
    <w:rsid w:val="009A66C8"/>
    <w:rsid w:val="009A6954"/>
    <w:rsid w:val="009A7DCC"/>
    <w:rsid w:val="009B00D9"/>
    <w:rsid w:val="009B02B1"/>
    <w:rsid w:val="009B02C7"/>
    <w:rsid w:val="009B0616"/>
    <w:rsid w:val="009B0BA5"/>
    <w:rsid w:val="009B286F"/>
    <w:rsid w:val="009B2CFA"/>
    <w:rsid w:val="009B3365"/>
    <w:rsid w:val="009B5D53"/>
    <w:rsid w:val="009B71DA"/>
    <w:rsid w:val="009B7766"/>
    <w:rsid w:val="009C0C45"/>
    <w:rsid w:val="009C1CAE"/>
    <w:rsid w:val="009C37E9"/>
    <w:rsid w:val="009C3A40"/>
    <w:rsid w:val="009C4905"/>
    <w:rsid w:val="009C50D5"/>
    <w:rsid w:val="009C5499"/>
    <w:rsid w:val="009C57E7"/>
    <w:rsid w:val="009C5BB9"/>
    <w:rsid w:val="009C66FF"/>
    <w:rsid w:val="009C7AEE"/>
    <w:rsid w:val="009D0E25"/>
    <w:rsid w:val="009D11BE"/>
    <w:rsid w:val="009D1A63"/>
    <w:rsid w:val="009D20B6"/>
    <w:rsid w:val="009D2916"/>
    <w:rsid w:val="009D2AF4"/>
    <w:rsid w:val="009D40BB"/>
    <w:rsid w:val="009D44CF"/>
    <w:rsid w:val="009D4ACD"/>
    <w:rsid w:val="009D4E33"/>
    <w:rsid w:val="009D658C"/>
    <w:rsid w:val="009D6BCC"/>
    <w:rsid w:val="009D7110"/>
    <w:rsid w:val="009D7662"/>
    <w:rsid w:val="009D7909"/>
    <w:rsid w:val="009D7B07"/>
    <w:rsid w:val="009E1A51"/>
    <w:rsid w:val="009E1BC9"/>
    <w:rsid w:val="009E39A1"/>
    <w:rsid w:val="009E467E"/>
    <w:rsid w:val="009E4AC3"/>
    <w:rsid w:val="009E4BF4"/>
    <w:rsid w:val="009E51B8"/>
    <w:rsid w:val="009E5677"/>
    <w:rsid w:val="009E70A6"/>
    <w:rsid w:val="009E766A"/>
    <w:rsid w:val="009E7A75"/>
    <w:rsid w:val="009F00F2"/>
    <w:rsid w:val="009F02B3"/>
    <w:rsid w:val="009F0C34"/>
    <w:rsid w:val="009F0C4C"/>
    <w:rsid w:val="009F3CAB"/>
    <w:rsid w:val="009F409C"/>
    <w:rsid w:val="009F4769"/>
    <w:rsid w:val="009F4833"/>
    <w:rsid w:val="009F4D67"/>
    <w:rsid w:val="009F5532"/>
    <w:rsid w:val="009F6705"/>
    <w:rsid w:val="009F7387"/>
    <w:rsid w:val="00A00A64"/>
    <w:rsid w:val="00A00CEB"/>
    <w:rsid w:val="00A0162D"/>
    <w:rsid w:val="00A02117"/>
    <w:rsid w:val="00A037EE"/>
    <w:rsid w:val="00A03C35"/>
    <w:rsid w:val="00A041F3"/>
    <w:rsid w:val="00A04475"/>
    <w:rsid w:val="00A0645A"/>
    <w:rsid w:val="00A0646A"/>
    <w:rsid w:val="00A078F5"/>
    <w:rsid w:val="00A1003F"/>
    <w:rsid w:val="00A100B9"/>
    <w:rsid w:val="00A11F5D"/>
    <w:rsid w:val="00A126DD"/>
    <w:rsid w:val="00A12E0B"/>
    <w:rsid w:val="00A13E5B"/>
    <w:rsid w:val="00A14302"/>
    <w:rsid w:val="00A14379"/>
    <w:rsid w:val="00A14AC2"/>
    <w:rsid w:val="00A14B40"/>
    <w:rsid w:val="00A14C09"/>
    <w:rsid w:val="00A151CE"/>
    <w:rsid w:val="00A15B68"/>
    <w:rsid w:val="00A15C4D"/>
    <w:rsid w:val="00A1789B"/>
    <w:rsid w:val="00A20A0C"/>
    <w:rsid w:val="00A22C05"/>
    <w:rsid w:val="00A23909"/>
    <w:rsid w:val="00A24942"/>
    <w:rsid w:val="00A24D28"/>
    <w:rsid w:val="00A25407"/>
    <w:rsid w:val="00A26245"/>
    <w:rsid w:val="00A267BA"/>
    <w:rsid w:val="00A268AC"/>
    <w:rsid w:val="00A27383"/>
    <w:rsid w:val="00A27919"/>
    <w:rsid w:val="00A279AD"/>
    <w:rsid w:val="00A27A59"/>
    <w:rsid w:val="00A313F4"/>
    <w:rsid w:val="00A32555"/>
    <w:rsid w:val="00A32BBC"/>
    <w:rsid w:val="00A349EE"/>
    <w:rsid w:val="00A36880"/>
    <w:rsid w:val="00A37FFD"/>
    <w:rsid w:val="00A40100"/>
    <w:rsid w:val="00A40A63"/>
    <w:rsid w:val="00A41191"/>
    <w:rsid w:val="00A41DBE"/>
    <w:rsid w:val="00A41F21"/>
    <w:rsid w:val="00A42224"/>
    <w:rsid w:val="00A42DF6"/>
    <w:rsid w:val="00A44F3B"/>
    <w:rsid w:val="00A44FE9"/>
    <w:rsid w:val="00A45A77"/>
    <w:rsid w:val="00A46426"/>
    <w:rsid w:val="00A467B5"/>
    <w:rsid w:val="00A467B9"/>
    <w:rsid w:val="00A46E2D"/>
    <w:rsid w:val="00A46EE9"/>
    <w:rsid w:val="00A47D87"/>
    <w:rsid w:val="00A5002A"/>
    <w:rsid w:val="00A51B6F"/>
    <w:rsid w:val="00A52AFA"/>
    <w:rsid w:val="00A5353D"/>
    <w:rsid w:val="00A54A0A"/>
    <w:rsid w:val="00A55406"/>
    <w:rsid w:val="00A5751B"/>
    <w:rsid w:val="00A5770A"/>
    <w:rsid w:val="00A607E3"/>
    <w:rsid w:val="00A6098E"/>
    <w:rsid w:val="00A60F33"/>
    <w:rsid w:val="00A63CE1"/>
    <w:rsid w:val="00A63FF0"/>
    <w:rsid w:val="00A65B24"/>
    <w:rsid w:val="00A66411"/>
    <w:rsid w:val="00A66BB3"/>
    <w:rsid w:val="00A67C40"/>
    <w:rsid w:val="00A7044B"/>
    <w:rsid w:val="00A72141"/>
    <w:rsid w:val="00A74AA5"/>
    <w:rsid w:val="00A755E6"/>
    <w:rsid w:val="00A759DB"/>
    <w:rsid w:val="00A75FD8"/>
    <w:rsid w:val="00A7645B"/>
    <w:rsid w:val="00A779A5"/>
    <w:rsid w:val="00A80329"/>
    <w:rsid w:val="00A813C7"/>
    <w:rsid w:val="00A819BF"/>
    <w:rsid w:val="00A826E9"/>
    <w:rsid w:val="00A833D6"/>
    <w:rsid w:val="00A84150"/>
    <w:rsid w:val="00A8447B"/>
    <w:rsid w:val="00A85137"/>
    <w:rsid w:val="00A85153"/>
    <w:rsid w:val="00A85845"/>
    <w:rsid w:val="00A85D2C"/>
    <w:rsid w:val="00A86F20"/>
    <w:rsid w:val="00A86F61"/>
    <w:rsid w:val="00A87063"/>
    <w:rsid w:val="00A873B1"/>
    <w:rsid w:val="00A9192B"/>
    <w:rsid w:val="00A92BC6"/>
    <w:rsid w:val="00A93682"/>
    <w:rsid w:val="00A93820"/>
    <w:rsid w:val="00A951E9"/>
    <w:rsid w:val="00A95E62"/>
    <w:rsid w:val="00A97BDA"/>
    <w:rsid w:val="00AA0898"/>
    <w:rsid w:val="00AA148B"/>
    <w:rsid w:val="00AA18D3"/>
    <w:rsid w:val="00AA1A38"/>
    <w:rsid w:val="00AA2450"/>
    <w:rsid w:val="00AA26C5"/>
    <w:rsid w:val="00AA3858"/>
    <w:rsid w:val="00AA3996"/>
    <w:rsid w:val="00AA5243"/>
    <w:rsid w:val="00AA5439"/>
    <w:rsid w:val="00AA5764"/>
    <w:rsid w:val="00AA71F1"/>
    <w:rsid w:val="00AA7678"/>
    <w:rsid w:val="00AB06E3"/>
    <w:rsid w:val="00AB075D"/>
    <w:rsid w:val="00AB0D2A"/>
    <w:rsid w:val="00AB1329"/>
    <w:rsid w:val="00AB1933"/>
    <w:rsid w:val="00AB1A3B"/>
    <w:rsid w:val="00AB1C0E"/>
    <w:rsid w:val="00AB20AD"/>
    <w:rsid w:val="00AB21FA"/>
    <w:rsid w:val="00AB2DF6"/>
    <w:rsid w:val="00AB34BA"/>
    <w:rsid w:val="00AB381B"/>
    <w:rsid w:val="00AB39BA"/>
    <w:rsid w:val="00AB4053"/>
    <w:rsid w:val="00AB4E1C"/>
    <w:rsid w:val="00AB560E"/>
    <w:rsid w:val="00AB57C8"/>
    <w:rsid w:val="00AB5936"/>
    <w:rsid w:val="00AB5E51"/>
    <w:rsid w:val="00AB62CA"/>
    <w:rsid w:val="00AB63E5"/>
    <w:rsid w:val="00AB6E13"/>
    <w:rsid w:val="00AC080A"/>
    <w:rsid w:val="00AC0B06"/>
    <w:rsid w:val="00AC16FE"/>
    <w:rsid w:val="00AC1AE8"/>
    <w:rsid w:val="00AC2C4C"/>
    <w:rsid w:val="00AC2FED"/>
    <w:rsid w:val="00AC31AF"/>
    <w:rsid w:val="00AC3A89"/>
    <w:rsid w:val="00AC4DF5"/>
    <w:rsid w:val="00AC55CC"/>
    <w:rsid w:val="00AC5CA8"/>
    <w:rsid w:val="00AC5CCD"/>
    <w:rsid w:val="00AC5E52"/>
    <w:rsid w:val="00AC65E8"/>
    <w:rsid w:val="00AC67F7"/>
    <w:rsid w:val="00AC76DD"/>
    <w:rsid w:val="00AC7BE6"/>
    <w:rsid w:val="00AD016A"/>
    <w:rsid w:val="00AD1ECD"/>
    <w:rsid w:val="00AD2585"/>
    <w:rsid w:val="00AD2DD9"/>
    <w:rsid w:val="00AD2F15"/>
    <w:rsid w:val="00AD31FA"/>
    <w:rsid w:val="00AD353F"/>
    <w:rsid w:val="00AD37BB"/>
    <w:rsid w:val="00AD508D"/>
    <w:rsid w:val="00AD68DA"/>
    <w:rsid w:val="00AD6FF7"/>
    <w:rsid w:val="00AD7AE0"/>
    <w:rsid w:val="00AD7BFC"/>
    <w:rsid w:val="00AE007B"/>
    <w:rsid w:val="00AE04CA"/>
    <w:rsid w:val="00AE0D35"/>
    <w:rsid w:val="00AE12D0"/>
    <w:rsid w:val="00AE14A3"/>
    <w:rsid w:val="00AE1626"/>
    <w:rsid w:val="00AE3B1F"/>
    <w:rsid w:val="00AE3E97"/>
    <w:rsid w:val="00AE40FA"/>
    <w:rsid w:val="00AE48CA"/>
    <w:rsid w:val="00AE5CBD"/>
    <w:rsid w:val="00AE7222"/>
    <w:rsid w:val="00AF03DE"/>
    <w:rsid w:val="00AF21A5"/>
    <w:rsid w:val="00AF37BA"/>
    <w:rsid w:val="00AF41A7"/>
    <w:rsid w:val="00AF4A6C"/>
    <w:rsid w:val="00AF5CAE"/>
    <w:rsid w:val="00AF6D8D"/>
    <w:rsid w:val="00B00445"/>
    <w:rsid w:val="00B008DE"/>
    <w:rsid w:val="00B01301"/>
    <w:rsid w:val="00B01822"/>
    <w:rsid w:val="00B0243A"/>
    <w:rsid w:val="00B02470"/>
    <w:rsid w:val="00B0254D"/>
    <w:rsid w:val="00B02C18"/>
    <w:rsid w:val="00B02E84"/>
    <w:rsid w:val="00B034B5"/>
    <w:rsid w:val="00B035E5"/>
    <w:rsid w:val="00B04C2B"/>
    <w:rsid w:val="00B051A6"/>
    <w:rsid w:val="00B0545B"/>
    <w:rsid w:val="00B05A49"/>
    <w:rsid w:val="00B06E2A"/>
    <w:rsid w:val="00B079A4"/>
    <w:rsid w:val="00B07DFA"/>
    <w:rsid w:val="00B07E2D"/>
    <w:rsid w:val="00B10A38"/>
    <w:rsid w:val="00B121BB"/>
    <w:rsid w:val="00B1264F"/>
    <w:rsid w:val="00B1278C"/>
    <w:rsid w:val="00B12C45"/>
    <w:rsid w:val="00B13797"/>
    <w:rsid w:val="00B141AB"/>
    <w:rsid w:val="00B149E2"/>
    <w:rsid w:val="00B14A2A"/>
    <w:rsid w:val="00B15A33"/>
    <w:rsid w:val="00B1640F"/>
    <w:rsid w:val="00B16D00"/>
    <w:rsid w:val="00B20896"/>
    <w:rsid w:val="00B21A26"/>
    <w:rsid w:val="00B21BE1"/>
    <w:rsid w:val="00B21F33"/>
    <w:rsid w:val="00B22A6F"/>
    <w:rsid w:val="00B23BBF"/>
    <w:rsid w:val="00B23C4B"/>
    <w:rsid w:val="00B242D5"/>
    <w:rsid w:val="00B25087"/>
    <w:rsid w:val="00B259C7"/>
    <w:rsid w:val="00B268B5"/>
    <w:rsid w:val="00B26C0C"/>
    <w:rsid w:val="00B27024"/>
    <w:rsid w:val="00B27C09"/>
    <w:rsid w:val="00B302F0"/>
    <w:rsid w:val="00B32457"/>
    <w:rsid w:val="00B32681"/>
    <w:rsid w:val="00B33746"/>
    <w:rsid w:val="00B34360"/>
    <w:rsid w:val="00B34399"/>
    <w:rsid w:val="00B357D1"/>
    <w:rsid w:val="00B358AB"/>
    <w:rsid w:val="00B35C43"/>
    <w:rsid w:val="00B361F6"/>
    <w:rsid w:val="00B364FA"/>
    <w:rsid w:val="00B36B6D"/>
    <w:rsid w:val="00B36EBC"/>
    <w:rsid w:val="00B376E7"/>
    <w:rsid w:val="00B40914"/>
    <w:rsid w:val="00B422F2"/>
    <w:rsid w:val="00B4321E"/>
    <w:rsid w:val="00B445EA"/>
    <w:rsid w:val="00B4471D"/>
    <w:rsid w:val="00B44A7C"/>
    <w:rsid w:val="00B45298"/>
    <w:rsid w:val="00B453C5"/>
    <w:rsid w:val="00B46BB3"/>
    <w:rsid w:val="00B500BE"/>
    <w:rsid w:val="00B50470"/>
    <w:rsid w:val="00B526C7"/>
    <w:rsid w:val="00B53755"/>
    <w:rsid w:val="00B53C98"/>
    <w:rsid w:val="00B54012"/>
    <w:rsid w:val="00B54774"/>
    <w:rsid w:val="00B54FB7"/>
    <w:rsid w:val="00B5723A"/>
    <w:rsid w:val="00B5777F"/>
    <w:rsid w:val="00B5780A"/>
    <w:rsid w:val="00B6074F"/>
    <w:rsid w:val="00B60DA3"/>
    <w:rsid w:val="00B620FC"/>
    <w:rsid w:val="00B6246C"/>
    <w:rsid w:val="00B62ED2"/>
    <w:rsid w:val="00B633EC"/>
    <w:rsid w:val="00B644B8"/>
    <w:rsid w:val="00B64A19"/>
    <w:rsid w:val="00B650EB"/>
    <w:rsid w:val="00B661EE"/>
    <w:rsid w:val="00B6628B"/>
    <w:rsid w:val="00B66668"/>
    <w:rsid w:val="00B66AE3"/>
    <w:rsid w:val="00B678CE"/>
    <w:rsid w:val="00B7067E"/>
    <w:rsid w:val="00B717C0"/>
    <w:rsid w:val="00B71AA3"/>
    <w:rsid w:val="00B72829"/>
    <w:rsid w:val="00B742E3"/>
    <w:rsid w:val="00B75569"/>
    <w:rsid w:val="00B75873"/>
    <w:rsid w:val="00B75BFF"/>
    <w:rsid w:val="00B75E1B"/>
    <w:rsid w:val="00B75E42"/>
    <w:rsid w:val="00B76770"/>
    <w:rsid w:val="00B76C68"/>
    <w:rsid w:val="00B773A4"/>
    <w:rsid w:val="00B80447"/>
    <w:rsid w:val="00B80528"/>
    <w:rsid w:val="00B805E3"/>
    <w:rsid w:val="00B80DEC"/>
    <w:rsid w:val="00B8168D"/>
    <w:rsid w:val="00B81A36"/>
    <w:rsid w:val="00B822E5"/>
    <w:rsid w:val="00B828AA"/>
    <w:rsid w:val="00B837C9"/>
    <w:rsid w:val="00B83E14"/>
    <w:rsid w:val="00B84AB7"/>
    <w:rsid w:val="00B86B6F"/>
    <w:rsid w:val="00B87D85"/>
    <w:rsid w:val="00B90E8C"/>
    <w:rsid w:val="00B91779"/>
    <w:rsid w:val="00B91AED"/>
    <w:rsid w:val="00B92850"/>
    <w:rsid w:val="00B93883"/>
    <w:rsid w:val="00B93D61"/>
    <w:rsid w:val="00B93F7A"/>
    <w:rsid w:val="00B948A8"/>
    <w:rsid w:val="00B95A76"/>
    <w:rsid w:val="00B95DB9"/>
    <w:rsid w:val="00B96A23"/>
    <w:rsid w:val="00B96A30"/>
    <w:rsid w:val="00BA1CD2"/>
    <w:rsid w:val="00BA1FE7"/>
    <w:rsid w:val="00BA2FC8"/>
    <w:rsid w:val="00BA3565"/>
    <w:rsid w:val="00BA39D0"/>
    <w:rsid w:val="00BA400A"/>
    <w:rsid w:val="00BA5685"/>
    <w:rsid w:val="00BA6626"/>
    <w:rsid w:val="00BA6957"/>
    <w:rsid w:val="00BA7246"/>
    <w:rsid w:val="00BA762B"/>
    <w:rsid w:val="00BA7ED0"/>
    <w:rsid w:val="00BB037C"/>
    <w:rsid w:val="00BB207D"/>
    <w:rsid w:val="00BB2AD7"/>
    <w:rsid w:val="00BB3253"/>
    <w:rsid w:val="00BB3338"/>
    <w:rsid w:val="00BB45A7"/>
    <w:rsid w:val="00BB4965"/>
    <w:rsid w:val="00BB4B3A"/>
    <w:rsid w:val="00BB526D"/>
    <w:rsid w:val="00BB52EC"/>
    <w:rsid w:val="00BB6D43"/>
    <w:rsid w:val="00BB710C"/>
    <w:rsid w:val="00BB7250"/>
    <w:rsid w:val="00BC0C6F"/>
    <w:rsid w:val="00BC14E4"/>
    <w:rsid w:val="00BC176E"/>
    <w:rsid w:val="00BC2569"/>
    <w:rsid w:val="00BC4E72"/>
    <w:rsid w:val="00BC5FEF"/>
    <w:rsid w:val="00BC63E1"/>
    <w:rsid w:val="00BC676D"/>
    <w:rsid w:val="00BC7C9E"/>
    <w:rsid w:val="00BD1239"/>
    <w:rsid w:val="00BD1A47"/>
    <w:rsid w:val="00BD2F9A"/>
    <w:rsid w:val="00BD32AB"/>
    <w:rsid w:val="00BD39D3"/>
    <w:rsid w:val="00BD3EAB"/>
    <w:rsid w:val="00BD467E"/>
    <w:rsid w:val="00BD56AF"/>
    <w:rsid w:val="00BD5AC4"/>
    <w:rsid w:val="00BD5C84"/>
    <w:rsid w:val="00BD7525"/>
    <w:rsid w:val="00BD769A"/>
    <w:rsid w:val="00BE1188"/>
    <w:rsid w:val="00BE1DBF"/>
    <w:rsid w:val="00BE2420"/>
    <w:rsid w:val="00BE2847"/>
    <w:rsid w:val="00BE330B"/>
    <w:rsid w:val="00BE36D2"/>
    <w:rsid w:val="00BE4A47"/>
    <w:rsid w:val="00BE60C8"/>
    <w:rsid w:val="00BE6546"/>
    <w:rsid w:val="00BE6AE3"/>
    <w:rsid w:val="00BE712B"/>
    <w:rsid w:val="00BF043D"/>
    <w:rsid w:val="00BF153F"/>
    <w:rsid w:val="00BF1DF4"/>
    <w:rsid w:val="00BF1E5B"/>
    <w:rsid w:val="00BF221F"/>
    <w:rsid w:val="00BF2656"/>
    <w:rsid w:val="00BF2F65"/>
    <w:rsid w:val="00BF3A1E"/>
    <w:rsid w:val="00BF42E6"/>
    <w:rsid w:val="00BF4D35"/>
    <w:rsid w:val="00BF5E88"/>
    <w:rsid w:val="00BF5F1F"/>
    <w:rsid w:val="00BF65C5"/>
    <w:rsid w:val="00BF7C7A"/>
    <w:rsid w:val="00BF7CC5"/>
    <w:rsid w:val="00BF7EB8"/>
    <w:rsid w:val="00C015B0"/>
    <w:rsid w:val="00C01DB9"/>
    <w:rsid w:val="00C01DD9"/>
    <w:rsid w:val="00C0350F"/>
    <w:rsid w:val="00C041F2"/>
    <w:rsid w:val="00C04AA3"/>
    <w:rsid w:val="00C04CEC"/>
    <w:rsid w:val="00C05AE1"/>
    <w:rsid w:val="00C060D7"/>
    <w:rsid w:val="00C062E3"/>
    <w:rsid w:val="00C06485"/>
    <w:rsid w:val="00C1023D"/>
    <w:rsid w:val="00C10F4A"/>
    <w:rsid w:val="00C12D0D"/>
    <w:rsid w:val="00C12EF5"/>
    <w:rsid w:val="00C1398D"/>
    <w:rsid w:val="00C144C9"/>
    <w:rsid w:val="00C17D4F"/>
    <w:rsid w:val="00C17F31"/>
    <w:rsid w:val="00C21110"/>
    <w:rsid w:val="00C21D19"/>
    <w:rsid w:val="00C2333D"/>
    <w:rsid w:val="00C23C92"/>
    <w:rsid w:val="00C24B18"/>
    <w:rsid w:val="00C25009"/>
    <w:rsid w:val="00C2542E"/>
    <w:rsid w:val="00C256C6"/>
    <w:rsid w:val="00C26BA2"/>
    <w:rsid w:val="00C27B42"/>
    <w:rsid w:val="00C27F62"/>
    <w:rsid w:val="00C30431"/>
    <w:rsid w:val="00C30597"/>
    <w:rsid w:val="00C318C7"/>
    <w:rsid w:val="00C31BB6"/>
    <w:rsid w:val="00C325B6"/>
    <w:rsid w:val="00C32689"/>
    <w:rsid w:val="00C33129"/>
    <w:rsid w:val="00C35194"/>
    <w:rsid w:val="00C364F4"/>
    <w:rsid w:val="00C37051"/>
    <w:rsid w:val="00C372C4"/>
    <w:rsid w:val="00C378C6"/>
    <w:rsid w:val="00C4112D"/>
    <w:rsid w:val="00C428D8"/>
    <w:rsid w:val="00C4293F"/>
    <w:rsid w:val="00C43374"/>
    <w:rsid w:val="00C44195"/>
    <w:rsid w:val="00C442BA"/>
    <w:rsid w:val="00C4453A"/>
    <w:rsid w:val="00C44A8D"/>
    <w:rsid w:val="00C451D8"/>
    <w:rsid w:val="00C45279"/>
    <w:rsid w:val="00C461BE"/>
    <w:rsid w:val="00C46463"/>
    <w:rsid w:val="00C46E26"/>
    <w:rsid w:val="00C46E34"/>
    <w:rsid w:val="00C50840"/>
    <w:rsid w:val="00C50B56"/>
    <w:rsid w:val="00C51419"/>
    <w:rsid w:val="00C52BCD"/>
    <w:rsid w:val="00C52F13"/>
    <w:rsid w:val="00C53C37"/>
    <w:rsid w:val="00C53D2E"/>
    <w:rsid w:val="00C55288"/>
    <w:rsid w:val="00C55B1C"/>
    <w:rsid w:val="00C564DE"/>
    <w:rsid w:val="00C566B8"/>
    <w:rsid w:val="00C5688C"/>
    <w:rsid w:val="00C56A01"/>
    <w:rsid w:val="00C6004D"/>
    <w:rsid w:val="00C601D0"/>
    <w:rsid w:val="00C62F4E"/>
    <w:rsid w:val="00C6387E"/>
    <w:rsid w:val="00C64AB7"/>
    <w:rsid w:val="00C64CC1"/>
    <w:rsid w:val="00C64F45"/>
    <w:rsid w:val="00C653E3"/>
    <w:rsid w:val="00C6556A"/>
    <w:rsid w:val="00C66083"/>
    <w:rsid w:val="00C662AE"/>
    <w:rsid w:val="00C66D03"/>
    <w:rsid w:val="00C67BA9"/>
    <w:rsid w:val="00C70B36"/>
    <w:rsid w:val="00C70BE5"/>
    <w:rsid w:val="00C7447C"/>
    <w:rsid w:val="00C75ABC"/>
    <w:rsid w:val="00C767CD"/>
    <w:rsid w:val="00C77E8D"/>
    <w:rsid w:val="00C80952"/>
    <w:rsid w:val="00C810BF"/>
    <w:rsid w:val="00C825E6"/>
    <w:rsid w:val="00C87859"/>
    <w:rsid w:val="00C87E97"/>
    <w:rsid w:val="00C9029D"/>
    <w:rsid w:val="00C9105C"/>
    <w:rsid w:val="00C919D8"/>
    <w:rsid w:val="00C91EC5"/>
    <w:rsid w:val="00C92568"/>
    <w:rsid w:val="00C92BEB"/>
    <w:rsid w:val="00C92D2E"/>
    <w:rsid w:val="00C93095"/>
    <w:rsid w:val="00C93398"/>
    <w:rsid w:val="00C9389A"/>
    <w:rsid w:val="00C94AB7"/>
    <w:rsid w:val="00C952A6"/>
    <w:rsid w:val="00C95EFA"/>
    <w:rsid w:val="00C95FC4"/>
    <w:rsid w:val="00C96C70"/>
    <w:rsid w:val="00C97360"/>
    <w:rsid w:val="00C974B6"/>
    <w:rsid w:val="00CA031F"/>
    <w:rsid w:val="00CA0557"/>
    <w:rsid w:val="00CA2667"/>
    <w:rsid w:val="00CA38A6"/>
    <w:rsid w:val="00CA5B72"/>
    <w:rsid w:val="00CB0435"/>
    <w:rsid w:val="00CB0765"/>
    <w:rsid w:val="00CB1197"/>
    <w:rsid w:val="00CB26EE"/>
    <w:rsid w:val="00CB34AC"/>
    <w:rsid w:val="00CB3B92"/>
    <w:rsid w:val="00CB4A6E"/>
    <w:rsid w:val="00CB4FC2"/>
    <w:rsid w:val="00CB5AB2"/>
    <w:rsid w:val="00CB6F2B"/>
    <w:rsid w:val="00CC035D"/>
    <w:rsid w:val="00CC0A97"/>
    <w:rsid w:val="00CC0BD9"/>
    <w:rsid w:val="00CC0D1D"/>
    <w:rsid w:val="00CC104A"/>
    <w:rsid w:val="00CC1050"/>
    <w:rsid w:val="00CC112A"/>
    <w:rsid w:val="00CC1377"/>
    <w:rsid w:val="00CC1419"/>
    <w:rsid w:val="00CC3D33"/>
    <w:rsid w:val="00CC43DC"/>
    <w:rsid w:val="00CC4405"/>
    <w:rsid w:val="00CC4C91"/>
    <w:rsid w:val="00CC53A0"/>
    <w:rsid w:val="00CC5A12"/>
    <w:rsid w:val="00CC6004"/>
    <w:rsid w:val="00CC6AC0"/>
    <w:rsid w:val="00CC6BDD"/>
    <w:rsid w:val="00CC6CE5"/>
    <w:rsid w:val="00CD00FF"/>
    <w:rsid w:val="00CD017B"/>
    <w:rsid w:val="00CD0226"/>
    <w:rsid w:val="00CD1EB1"/>
    <w:rsid w:val="00CD2198"/>
    <w:rsid w:val="00CD2906"/>
    <w:rsid w:val="00CD3304"/>
    <w:rsid w:val="00CD4EFF"/>
    <w:rsid w:val="00CD64A4"/>
    <w:rsid w:val="00CD6CBD"/>
    <w:rsid w:val="00CD730E"/>
    <w:rsid w:val="00CD761C"/>
    <w:rsid w:val="00CD7995"/>
    <w:rsid w:val="00CD7B29"/>
    <w:rsid w:val="00CD7BB5"/>
    <w:rsid w:val="00CE1491"/>
    <w:rsid w:val="00CE2115"/>
    <w:rsid w:val="00CE43C0"/>
    <w:rsid w:val="00CE4D8D"/>
    <w:rsid w:val="00CE57B2"/>
    <w:rsid w:val="00CE648D"/>
    <w:rsid w:val="00CE6A81"/>
    <w:rsid w:val="00CE6CCC"/>
    <w:rsid w:val="00CE7BED"/>
    <w:rsid w:val="00CE7C7C"/>
    <w:rsid w:val="00CE7EE0"/>
    <w:rsid w:val="00CF1024"/>
    <w:rsid w:val="00CF1E8A"/>
    <w:rsid w:val="00CF2635"/>
    <w:rsid w:val="00CF27C2"/>
    <w:rsid w:val="00CF2874"/>
    <w:rsid w:val="00CF2C11"/>
    <w:rsid w:val="00CF40FF"/>
    <w:rsid w:val="00CF465F"/>
    <w:rsid w:val="00CF49E9"/>
    <w:rsid w:val="00CF4D04"/>
    <w:rsid w:val="00CF5A3A"/>
    <w:rsid w:val="00CF6112"/>
    <w:rsid w:val="00CF6A07"/>
    <w:rsid w:val="00CF6F26"/>
    <w:rsid w:val="00CF7783"/>
    <w:rsid w:val="00D00B64"/>
    <w:rsid w:val="00D00F8F"/>
    <w:rsid w:val="00D01567"/>
    <w:rsid w:val="00D02A43"/>
    <w:rsid w:val="00D02B1E"/>
    <w:rsid w:val="00D034EA"/>
    <w:rsid w:val="00D0569D"/>
    <w:rsid w:val="00D056B4"/>
    <w:rsid w:val="00D076F8"/>
    <w:rsid w:val="00D07B95"/>
    <w:rsid w:val="00D109B3"/>
    <w:rsid w:val="00D113B6"/>
    <w:rsid w:val="00D114DB"/>
    <w:rsid w:val="00D11D79"/>
    <w:rsid w:val="00D13BF9"/>
    <w:rsid w:val="00D13F48"/>
    <w:rsid w:val="00D142A0"/>
    <w:rsid w:val="00D146F0"/>
    <w:rsid w:val="00D14E7A"/>
    <w:rsid w:val="00D1656D"/>
    <w:rsid w:val="00D1685E"/>
    <w:rsid w:val="00D17B93"/>
    <w:rsid w:val="00D20014"/>
    <w:rsid w:val="00D203A3"/>
    <w:rsid w:val="00D22A42"/>
    <w:rsid w:val="00D266F7"/>
    <w:rsid w:val="00D26C8F"/>
    <w:rsid w:val="00D26D9C"/>
    <w:rsid w:val="00D27078"/>
    <w:rsid w:val="00D270F4"/>
    <w:rsid w:val="00D2781F"/>
    <w:rsid w:val="00D27C81"/>
    <w:rsid w:val="00D27E5D"/>
    <w:rsid w:val="00D27F46"/>
    <w:rsid w:val="00D3008B"/>
    <w:rsid w:val="00D3056C"/>
    <w:rsid w:val="00D30BAB"/>
    <w:rsid w:val="00D30EC2"/>
    <w:rsid w:val="00D334DE"/>
    <w:rsid w:val="00D36809"/>
    <w:rsid w:val="00D36EF0"/>
    <w:rsid w:val="00D36F53"/>
    <w:rsid w:val="00D402FC"/>
    <w:rsid w:val="00D422CE"/>
    <w:rsid w:val="00D4337C"/>
    <w:rsid w:val="00D435D0"/>
    <w:rsid w:val="00D4429A"/>
    <w:rsid w:val="00D445BE"/>
    <w:rsid w:val="00D4497D"/>
    <w:rsid w:val="00D44B4A"/>
    <w:rsid w:val="00D46907"/>
    <w:rsid w:val="00D476D7"/>
    <w:rsid w:val="00D47C6E"/>
    <w:rsid w:val="00D50B63"/>
    <w:rsid w:val="00D51587"/>
    <w:rsid w:val="00D537EC"/>
    <w:rsid w:val="00D53FA6"/>
    <w:rsid w:val="00D5458C"/>
    <w:rsid w:val="00D5569F"/>
    <w:rsid w:val="00D55870"/>
    <w:rsid w:val="00D55882"/>
    <w:rsid w:val="00D55887"/>
    <w:rsid w:val="00D569D3"/>
    <w:rsid w:val="00D56B3D"/>
    <w:rsid w:val="00D577D0"/>
    <w:rsid w:val="00D60077"/>
    <w:rsid w:val="00D60E2F"/>
    <w:rsid w:val="00D61112"/>
    <w:rsid w:val="00D617B4"/>
    <w:rsid w:val="00D62928"/>
    <w:rsid w:val="00D629C9"/>
    <w:rsid w:val="00D63896"/>
    <w:rsid w:val="00D64E21"/>
    <w:rsid w:val="00D65E38"/>
    <w:rsid w:val="00D67505"/>
    <w:rsid w:val="00D717C0"/>
    <w:rsid w:val="00D71C16"/>
    <w:rsid w:val="00D71F4E"/>
    <w:rsid w:val="00D7359E"/>
    <w:rsid w:val="00D73612"/>
    <w:rsid w:val="00D74AA6"/>
    <w:rsid w:val="00D752CE"/>
    <w:rsid w:val="00D75DEB"/>
    <w:rsid w:val="00D76EBD"/>
    <w:rsid w:val="00D76FE6"/>
    <w:rsid w:val="00D77395"/>
    <w:rsid w:val="00D77F08"/>
    <w:rsid w:val="00D81475"/>
    <w:rsid w:val="00D81A31"/>
    <w:rsid w:val="00D824DF"/>
    <w:rsid w:val="00D82A2B"/>
    <w:rsid w:val="00D82B0F"/>
    <w:rsid w:val="00D82C2D"/>
    <w:rsid w:val="00D83EDF"/>
    <w:rsid w:val="00D8456E"/>
    <w:rsid w:val="00D85BAC"/>
    <w:rsid w:val="00D85D7C"/>
    <w:rsid w:val="00D86186"/>
    <w:rsid w:val="00D863E0"/>
    <w:rsid w:val="00D87B1D"/>
    <w:rsid w:val="00D90408"/>
    <w:rsid w:val="00D90F81"/>
    <w:rsid w:val="00D913D1"/>
    <w:rsid w:val="00D91671"/>
    <w:rsid w:val="00D91A50"/>
    <w:rsid w:val="00D9231E"/>
    <w:rsid w:val="00D92401"/>
    <w:rsid w:val="00D92F9C"/>
    <w:rsid w:val="00D930A3"/>
    <w:rsid w:val="00D930F8"/>
    <w:rsid w:val="00D93796"/>
    <w:rsid w:val="00D93E71"/>
    <w:rsid w:val="00D9406D"/>
    <w:rsid w:val="00D9417A"/>
    <w:rsid w:val="00D94568"/>
    <w:rsid w:val="00D94CC5"/>
    <w:rsid w:val="00D94FAC"/>
    <w:rsid w:val="00D95CA8"/>
    <w:rsid w:val="00D9667B"/>
    <w:rsid w:val="00D9732E"/>
    <w:rsid w:val="00DA02A2"/>
    <w:rsid w:val="00DA14F3"/>
    <w:rsid w:val="00DA1A8D"/>
    <w:rsid w:val="00DA1DFB"/>
    <w:rsid w:val="00DA2223"/>
    <w:rsid w:val="00DA25A1"/>
    <w:rsid w:val="00DA42A3"/>
    <w:rsid w:val="00DA440F"/>
    <w:rsid w:val="00DA58C6"/>
    <w:rsid w:val="00DA61F5"/>
    <w:rsid w:val="00DA67D6"/>
    <w:rsid w:val="00DA67E4"/>
    <w:rsid w:val="00DA6F1F"/>
    <w:rsid w:val="00DA73AC"/>
    <w:rsid w:val="00DB03B4"/>
    <w:rsid w:val="00DB0418"/>
    <w:rsid w:val="00DB0772"/>
    <w:rsid w:val="00DB07BE"/>
    <w:rsid w:val="00DB135C"/>
    <w:rsid w:val="00DB2392"/>
    <w:rsid w:val="00DB25E7"/>
    <w:rsid w:val="00DB2DE1"/>
    <w:rsid w:val="00DB3111"/>
    <w:rsid w:val="00DB399F"/>
    <w:rsid w:val="00DB46FC"/>
    <w:rsid w:val="00DB4711"/>
    <w:rsid w:val="00DB513A"/>
    <w:rsid w:val="00DB62A7"/>
    <w:rsid w:val="00DB6645"/>
    <w:rsid w:val="00DB687E"/>
    <w:rsid w:val="00DB7D8B"/>
    <w:rsid w:val="00DC0BAD"/>
    <w:rsid w:val="00DC24BF"/>
    <w:rsid w:val="00DC38B3"/>
    <w:rsid w:val="00DC3FB9"/>
    <w:rsid w:val="00DC48E6"/>
    <w:rsid w:val="00DC4924"/>
    <w:rsid w:val="00DC4A0E"/>
    <w:rsid w:val="00DC504F"/>
    <w:rsid w:val="00DC5159"/>
    <w:rsid w:val="00DC5DE4"/>
    <w:rsid w:val="00DC6AEE"/>
    <w:rsid w:val="00DC7674"/>
    <w:rsid w:val="00DD0779"/>
    <w:rsid w:val="00DD1550"/>
    <w:rsid w:val="00DD1996"/>
    <w:rsid w:val="00DD29BC"/>
    <w:rsid w:val="00DD29D5"/>
    <w:rsid w:val="00DD29DB"/>
    <w:rsid w:val="00DD2B65"/>
    <w:rsid w:val="00DD32C0"/>
    <w:rsid w:val="00DD3807"/>
    <w:rsid w:val="00DD545D"/>
    <w:rsid w:val="00DD55C0"/>
    <w:rsid w:val="00DD5658"/>
    <w:rsid w:val="00DD5834"/>
    <w:rsid w:val="00DD5B82"/>
    <w:rsid w:val="00DD60EF"/>
    <w:rsid w:val="00DD63FD"/>
    <w:rsid w:val="00DD7184"/>
    <w:rsid w:val="00DD7194"/>
    <w:rsid w:val="00DE2801"/>
    <w:rsid w:val="00DE2822"/>
    <w:rsid w:val="00DE3312"/>
    <w:rsid w:val="00DE3775"/>
    <w:rsid w:val="00DE3F3C"/>
    <w:rsid w:val="00DE504B"/>
    <w:rsid w:val="00DE560F"/>
    <w:rsid w:val="00DE59F4"/>
    <w:rsid w:val="00DE644E"/>
    <w:rsid w:val="00DE69BE"/>
    <w:rsid w:val="00DE69CF"/>
    <w:rsid w:val="00DE71D2"/>
    <w:rsid w:val="00DF1F3A"/>
    <w:rsid w:val="00DF2522"/>
    <w:rsid w:val="00DF3734"/>
    <w:rsid w:val="00DF37EA"/>
    <w:rsid w:val="00DF3854"/>
    <w:rsid w:val="00DF5A91"/>
    <w:rsid w:val="00DF5C39"/>
    <w:rsid w:val="00DF6370"/>
    <w:rsid w:val="00DF7703"/>
    <w:rsid w:val="00DF7DFC"/>
    <w:rsid w:val="00E00F12"/>
    <w:rsid w:val="00E02469"/>
    <w:rsid w:val="00E031F8"/>
    <w:rsid w:val="00E0387F"/>
    <w:rsid w:val="00E03980"/>
    <w:rsid w:val="00E04977"/>
    <w:rsid w:val="00E056A9"/>
    <w:rsid w:val="00E05B18"/>
    <w:rsid w:val="00E05D02"/>
    <w:rsid w:val="00E05D55"/>
    <w:rsid w:val="00E05EA2"/>
    <w:rsid w:val="00E0684E"/>
    <w:rsid w:val="00E104B6"/>
    <w:rsid w:val="00E106EC"/>
    <w:rsid w:val="00E10EEE"/>
    <w:rsid w:val="00E11A91"/>
    <w:rsid w:val="00E11FAE"/>
    <w:rsid w:val="00E121D0"/>
    <w:rsid w:val="00E13299"/>
    <w:rsid w:val="00E134B0"/>
    <w:rsid w:val="00E1359E"/>
    <w:rsid w:val="00E150D2"/>
    <w:rsid w:val="00E159E0"/>
    <w:rsid w:val="00E16386"/>
    <w:rsid w:val="00E16396"/>
    <w:rsid w:val="00E16562"/>
    <w:rsid w:val="00E172ED"/>
    <w:rsid w:val="00E1736A"/>
    <w:rsid w:val="00E17759"/>
    <w:rsid w:val="00E17CBF"/>
    <w:rsid w:val="00E204B0"/>
    <w:rsid w:val="00E2092B"/>
    <w:rsid w:val="00E2169E"/>
    <w:rsid w:val="00E21AEF"/>
    <w:rsid w:val="00E21C3B"/>
    <w:rsid w:val="00E21F7A"/>
    <w:rsid w:val="00E22337"/>
    <w:rsid w:val="00E23145"/>
    <w:rsid w:val="00E23E57"/>
    <w:rsid w:val="00E24377"/>
    <w:rsid w:val="00E260DA"/>
    <w:rsid w:val="00E26B7A"/>
    <w:rsid w:val="00E30E4C"/>
    <w:rsid w:val="00E3101F"/>
    <w:rsid w:val="00E322FC"/>
    <w:rsid w:val="00E32F71"/>
    <w:rsid w:val="00E3369F"/>
    <w:rsid w:val="00E343B9"/>
    <w:rsid w:val="00E345AC"/>
    <w:rsid w:val="00E34882"/>
    <w:rsid w:val="00E353B6"/>
    <w:rsid w:val="00E3579C"/>
    <w:rsid w:val="00E37B41"/>
    <w:rsid w:val="00E40261"/>
    <w:rsid w:val="00E404C5"/>
    <w:rsid w:val="00E40EF6"/>
    <w:rsid w:val="00E41332"/>
    <w:rsid w:val="00E417AE"/>
    <w:rsid w:val="00E4195C"/>
    <w:rsid w:val="00E41C6E"/>
    <w:rsid w:val="00E430F5"/>
    <w:rsid w:val="00E43302"/>
    <w:rsid w:val="00E4363A"/>
    <w:rsid w:val="00E43B3A"/>
    <w:rsid w:val="00E43DC4"/>
    <w:rsid w:val="00E4423C"/>
    <w:rsid w:val="00E450A9"/>
    <w:rsid w:val="00E45133"/>
    <w:rsid w:val="00E466DB"/>
    <w:rsid w:val="00E4685E"/>
    <w:rsid w:val="00E4729D"/>
    <w:rsid w:val="00E47746"/>
    <w:rsid w:val="00E50B14"/>
    <w:rsid w:val="00E50F5C"/>
    <w:rsid w:val="00E51C41"/>
    <w:rsid w:val="00E53DA1"/>
    <w:rsid w:val="00E54A31"/>
    <w:rsid w:val="00E54BC0"/>
    <w:rsid w:val="00E557CB"/>
    <w:rsid w:val="00E563FC"/>
    <w:rsid w:val="00E568CB"/>
    <w:rsid w:val="00E56EA3"/>
    <w:rsid w:val="00E57A03"/>
    <w:rsid w:val="00E57E14"/>
    <w:rsid w:val="00E60F93"/>
    <w:rsid w:val="00E62C4F"/>
    <w:rsid w:val="00E66821"/>
    <w:rsid w:val="00E67784"/>
    <w:rsid w:val="00E678D2"/>
    <w:rsid w:val="00E67DF6"/>
    <w:rsid w:val="00E70282"/>
    <w:rsid w:val="00E71045"/>
    <w:rsid w:val="00E710EE"/>
    <w:rsid w:val="00E72DB3"/>
    <w:rsid w:val="00E730B7"/>
    <w:rsid w:val="00E7527C"/>
    <w:rsid w:val="00E80130"/>
    <w:rsid w:val="00E80210"/>
    <w:rsid w:val="00E80783"/>
    <w:rsid w:val="00E80B09"/>
    <w:rsid w:val="00E813C8"/>
    <w:rsid w:val="00E81868"/>
    <w:rsid w:val="00E82CDD"/>
    <w:rsid w:val="00E84C6F"/>
    <w:rsid w:val="00E85029"/>
    <w:rsid w:val="00E85D58"/>
    <w:rsid w:val="00E87164"/>
    <w:rsid w:val="00E87B92"/>
    <w:rsid w:val="00E90350"/>
    <w:rsid w:val="00E912C5"/>
    <w:rsid w:val="00E91F8A"/>
    <w:rsid w:val="00E92387"/>
    <w:rsid w:val="00E93CE2"/>
    <w:rsid w:val="00E93DAE"/>
    <w:rsid w:val="00E9613A"/>
    <w:rsid w:val="00E96538"/>
    <w:rsid w:val="00E96681"/>
    <w:rsid w:val="00E96DFE"/>
    <w:rsid w:val="00E976C2"/>
    <w:rsid w:val="00EA207B"/>
    <w:rsid w:val="00EA3166"/>
    <w:rsid w:val="00EA3B1E"/>
    <w:rsid w:val="00EA422B"/>
    <w:rsid w:val="00EA52E4"/>
    <w:rsid w:val="00EA5D92"/>
    <w:rsid w:val="00EA61F1"/>
    <w:rsid w:val="00EA6261"/>
    <w:rsid w:val="00EA6B9B"/>
    <w:rsid w:val="00EA77D9"/>
    <w:rsid w:val="00EB0A60"/>
    <w:rsid w:val="00EB14E1"/>
    <w:rsid w:val="00EB1EE7"/>
    <w:rsid w:val="00EB2487"/>
    <w:rsid w:val="00EB3067"/>
    <w:rsid w:val="00EB39E9"/>
    <w:rsid w:val="00EB46F3"/>
    <w:rsid w:val="00EB5334"/>
    <w:rsid w:val="00EB5BF3"/>
    <w:rsid w:val="00EB6597"/>
    <w:rsid w:val="00EB7A5D"/>
    <w:rsid w:val="00EC1047"/>
    <w:rsid w:val="00EC1191"/>
    <w:rsid w:val="00EC1AD2"/>
    <w:rsid w:val="00EC3A35"/>
    <w:rsid w:val="00EC3F92"/>
    <w:rsid w:val="00EC48A4"/>
    <w:rsid w:val="00EC52EB"/>
    <w:rsid w:val="00EC5A1D"/>
    <w:rsid w:val="00EC66FA"/>
    <w:rsid w:val="00EC72DF"/>
    <w:rsid w:val="00EC75D5"/>
    <w:rsid w:val="00EC7C1A"/>
    <w:rsid w:val="00ED0BC4"/>
    <w:rsid w:val="00ED1485"/>
    <w:rsid w:val="00ED25E8"/>
    <w:rsid w:val="00ED2E57"/>
    <w:rsid w:val="00ED2F0C"/>
    <w:rsid w:val="00ED339D"/>
    <w:rsid w:val="00ED38EE"/>
    <w:rsid w:val="00ED473D"/>
    <w:rsid w:val="00ED4A92"/>
    <w:rsid w:val="00ED4BDA"/>
    <w:rsid w:val="00ED51EF"/>
    <w:rsid w:val="00EE0113"/>
    <w:rsid w:val="00EE0D40"/>
    <w:rsid w:val="00EE0E09"/>
    <w:rsid w:val="00EE3834"/>
    <w:rsid w:val="00EE3B5A"/>
    <w:rsid w:val="00EE4527"/>
    <w:rsid w:val="00EE5964"/>
    <w:rsid w:val="00EE5C4C"/>
    <w:rsid w:val="00EE745E"/>
    <w:rsid w:val="00EE7990"/>
    <w:rsid w:val="00EF04F6"/>
    <w:rsid w:val="00EF1B7E"/>
    <w:rsid w:val="00EF23CC"/>
    <w:rsid w:val="00EF338C"/>
    <w:rsid w:val="00EF3CCF"/>
    <w:rsid w:val="00EF499A"/>
    <w:rsid w:val="00EF4C8A"/>
    <w:rsid w:val="00EF4D1D"/>
    <w:rsid w:val="00EF4D9F"/>
    <w:rsid w:val="00EF52DB"/>
    <w:rsid w:val="00EF564D"/>
    <w:rsid w:val="00EF5C5B"/>
    <w:rsid w:val="00EF609D"/>
    <w:rsid w:val="00EF7E67"/>
    <w:rsid w:val="00F0078E"/>
    <w:rsid w:val="00F00B18"/>
    <w:rsid w:val="00F00D9A"/>
    <w:rsid w:val="00F02F3E"/>
    <w:rsid w:val="00F04708"/>
    <w:rsid w:val="00F04BE8"/>
    <w:rsid w:val="00F05893"/>
    <w:rsid w:val="00F06624"/>
    <w:rsid w:val="00F07CCC"/>
    <w:rsid w:val="00F10330"/>
    <w:rsid w:val="00F11365"/>
    <w:rsid w:val="00F1199C"/>
    <w:rsid w:val="00F11ACF"/>
    <w:rsid w:val="00F12947"/>
    <w:rsid w:val="00F13BCF"/>
    <w:rsid w:val="00F15458"/>
    <w:rsid w:val="00F15872"/>
    <w:rsid w:val="00F16FAE"/>
    <w:rsid w:val="00F17802"/>
    <w:rsid w:val="00F17F12"/>
    <w:rsid w:val="00F2035F"/>
    <w:rsid w:val="00F20C0C"/>
    <w:rsid w:val="00F20C31"/>
    <w:rsid w:val="00F2119C"/>
    <w:rsid w:val="00F214DA"/>
    <w:rsid w:val="00F21C28"/>
    <w:rsid w:val="00F21DE8"/>
    <w:rsid w:val="00F22278"/>
    <w:rsid w:val="00F2272A"/>
    <w:rsid w:val="00F22903"/>
    <w:rsid w:val="00F22D48"/>
    <w:rsid w:val="00F23A42"/>
    <w:rsid w:val="00F2449E"/>
    <w:rsid w:val="00F251F0"/>
    <w:rsid w:val="00F25EE4"/>
    <w:rsid w:val="00F26B25"/>
    <w:rsid w:val="00F26ED6"/>
    <w:rsid w:val="00F27ECD"/>
    <w:rsid w:val="00F31721"/>
    <w:rsid w:val="00F31924"/>
    <w:rsid w:val="00F32066"/>
    <w:rsid w:val="00F32EBF"/>
    <w:rsid w:val="00F335A1"/>
    <w:rsid w:val="00F34E2F"/>
    <w:rsid w:val="00F35CB1"/>
    <w:rsid w:val="00F362DE"/>
    <w:rsid w:val="00F368EA"/>
    <w:rsid w:val="00F36CD7"/>
    <w:rsid w:val="00F3743A"/>
    <w:rsid w:val="00F409C1"/>
    <w:rsid w:val="00F411D4"/>
    <w:rsid w:val="00F41C80"/>
    <w:rsid w:val="00F42609"/>
    <w:rsid w:val="00F4553D"/>
    <w:rsid w:val="00F456DC"/>
    <w:rsid w:val="00F45949"/>
    <w:rsid w:val="00F4698F"/>
    <w:rsid w:val="00F46C07"/>
    <w:rsid w:val="00F47000"/>
    <w:rsid w:val="00F47CDD"/>
    <w:rsid w:val="00F5042D"/>
    <w:rsid w:val="00F5057D"/>
    <w:rsid w:val="00F51238"/>
    <w:rsid w:val="00F513B4"/>
    <w:rsid w:val="00F51DA2"/>
    <w:rsid w:val="00F51F93"/>
    <w:rsid w:val="00F52577"/>
    <w:rsid w:val="00F5303F"/>
    <w:rsid w:val="00F5321A"/>
    <w:rsid w:val="00F53F00"/>
    <w:rsid w:val="00F54347"/>
    <w:rsid w:val="00F54490"/>
    <w:rsid w:val="00F563AC"/>
    <w:rsid w:val="00F56AE8"/>
    <w:rsid w:val="00F56B00"/>
    <w:rsid w:val="00F56DF7"/>
    <w:rsid w:val="00F605E2"/>
    <w:rsid w:val="00F60EA1"/>
    <w:rsid w:val="00F61072"/>
    <w:rsid w:val="00F62E5E"/>
    <w:rsid w:val="00F643A4"/>
    <w:rsid w:val="00F651FC"/>
    <w:rsid w:val="00F659B9"/>
    <w:rsid w:val="00F65E32"/>
    <w:rsid w:val="00F665CB"/>
    <w:rsid w:val="00F70839"/>
    <w:rsid w:val="00F724DF"/>
    <w:rsid w:val="00F726E5"/>
    <w:rsid w:val="00F728DE"/>
    <w:rsid w:val="00F728F9"/>
    <w:rsid w:val="00F72AF2"/>
    <w:rsid w:val="00F72AF4"/>
    <w:rsid w:val="00F73053"/>
    <w:rsid w:val="00F73BFB"/>
    <w:rsid w:val="00F745F1"/>
    <w:rsid w:val="00F756EE"/>
    <w:rsid w:val="00F75FD3"/>
    <w:rsid w:val="00F8096E"/>
    <w:rsid w:val="00F831D5"/>
    <w:rsid w:val="00F846EC"/>
    <w:rsid w:val="00F84C0E"/>
    <w:rsid w:val="00F84F40"/>
    <w:rsid w:val="00F850E9"/>
    <w:rsid w:val="00F85472"/>
    <w:rsid w:val="00F856FD"/>
    <w:rsid w:val="00F85BD1"/>
    <w:rsid w:val="00F87B5A"/>
    <w:rsid w:val="00F90060"/>
    <w:rsid w:val="00F90FFE"/>
    <w:rsid w:val="00F91549"/>
    <w:rsid w:val="00F92261"/>
    <w:rsid w:val="00F92C30"/>
    <w:rsid w:val="00F9340D"/>
    <w:rsid w:val="00F942F3"/>
    <w:rsid w:val="00F9430E"/>
    <w:rsid w:val="00F94E17"/>
    <w:rsid w:val="00F95FEA"/>
    <w:rsid w:val="00FA0784"/>
    <w:rsid w:val="00FA0B67"/>
    <w:rsid w:val="00FA0C18"/>
    <w:rsid w:val="00FA0F48"/>
    <w:rsid w:val="00FA2044"/>
    <w:rsid w:val="00FA2BD7"/>
    <w:rsid w:val="00FA33C4"/>
    <w:rsid w:val="00FA42E8"/>
    <w:rsid w:val="00FA58CF"/>
    <w:rsid w:val="00FA5D18"/>
    <w:rsid w:val="00FA7D31"/>
    <w:rsid w:val="00FB0205"/>
    <w:rsid w:val="00FB1E20"/>
    <w:rsid w:val="00FB221C"/>
    <w:rsid w:val="00FB24A9"/>
    <w:rsid w:val="00FB2BEF"/>
    <w:rsid w:val="00FB45C7"/>
    <w:rsid w:val="00FB5260"/>
    <w:rsid w:val="00FB5DDD"/>
    <w:rsid w:val="00FB5F17"/>
    <w:rsid w:val="00FB612E"/>
    <w:rsid w:val="00FB62DD"/>
    <w:rsid w:val="00FB7023"/>
    <w:rsid w:val="00FC061A"/>
    <w:rsid w:val="00FC0D5F"/>
    <w:rsid w:val="00FC0F6C"/>
    <w:rsid w:val="00FC1831"/>
    <w:rsid w:val="00FC1ACD"/>
    <w:rsid w:val="00FC2FDB"/>
    <w:rsid w:val="00FC3EAC"/>
    <w:rsid w:val="00FC41E8"/>
    <w:rsid w:val="00FC4300"/>
    <w:rsid w:val="00FC4A1C"/>
    <w:rsid w:val="00FC4B32"/>
    <w:rsid w:val="00FC52A2"/>
    <w:rsid w:val="00FC52FF"/>
    <w:rsid w:val="00FC663E"/>
    <w:rsid w:val="00FC6F67"/>
    <w:rsid w:val="00FC7371"/>
    <w:rsid w:val="00FC7D89"/>
    <w:rsid w:val="00FD03B6"/>
    <w:rsid w:val="00FD11A2"/>
    <w:rsid w:val="00FD1442"/>
    <w:rsid w:val="00FD224E"/>
    <w:rsid w:val="00FD2476"/>
    <w:rsid w:val="00FD3A10"/>
    <w:rsid w:val="00FD3B2D"/>
    <w:rsid w:val="00FD3F81"/>
    <w:rsid w:val="00FD4D25"/>
    <w:rsid w:val="00FD4EB5"/>
    <w:rsid w:val="00FD4F19"/>
    <w:rsid w:val="00FD4FFF"/>
    <w:rsid w:val="00FD56BA"/>
    <w:rsid w:val="00FD57FB"/>
    <w:rsid w:val="00FD66CA"/>
    <w:rsid w:val="00FD6855"/>
    <w:rsid w:val="00FD7382"/>
    <w:rsid w:val="00FE0AC7"/>
    <w:rsid w:val="00FE107F"/>
    <w:rsid w:val="00FE157D"/>
    <w:rsid w:val="00FE2ABD"/>
    <w:rsid w:val="00FE32F0"/>
    <w:rsid w:val="00FE3DCB"/>
    <w:rsid w:val="00FE48A3"/>
    <w:rsid w:val="00FE6083"/>
    <w:rsid w:val="00FE656B"/>
    <w:rsid w:val="00FE6A09"/>
    <w:rsid w:val="00FE6F52"/>
    <w:rsid w:val="00FE7A27"/>
    <w:rsid w:val="00FF10B0"/>
    <w:rsid w:val="00FF149C"/>
    <w:rsid w:val="00FF1B52"/>
    <w:rsid w:val="00FF1FCB"/>
    <w:rsid w:val="00FF26A6"/>
    <w:rsid w:val="00FF32F0"/>
    <w:rsid w:val="00FF7743"/>
    <w:rsid w:val="00FF7D08"/>
    <w:rsid w:val="06B89AED"/>
    <w:rsid w:val="104D8F25"/>
    <w:rsid w:val="3357A043"/>
    <w:rsid w:val="671A0A5F"/>
    <w:rsid w:val="67A697C2"/>
    <w:rsid w:val="750231D9"/>
    <w:rsid w:val="7959F554"/>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7002F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2" w:unhideWhenUsed="1"/>
    <w:lsdException w:name="toc 2" w:semiHidden="1" w:uiPriority="39" w:unhideWhenUsed="1" w:qFormat="1"/>
    <w:lsdException w:name="toc 3" w:semiHidden="1" w:uiPriority="39" w:unhideWhenUsed="1"/>
    <w:lsdException w:name="toc 4" w:semiHidden="1" w:uiPriority="2" w:unhideWhenUsed="1"/>
    <w:lsdException w:name="toc 5" w:semiHidden="1" w:uiPriority="2" w:unhideWhenUsed="1"/>
    <w:lsdException w:name="toc 6" w:semiHidden="1" w:uiPriority="2" w:unhideWhenUsed="1"/>
    <w:lsdException w:name="toc 7" w:semiHidden="1" w:uiPriority="2" w:unhideWhenUsed="1"/>
    <w:lsdException w:name="toc 8" w:semiHidden="1" w:uiPriority="2" w:unhideWhenUsed="1"/>
    <w:lsdException w:name="toc 9" w:semiHidden="1" w:uiPriority="2"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556B"/>
    <w:pPr>
      <w:spacing w:before="240" w:after="240" w:line="240" w:lineRule="exact"/>
    </w:pPr>
    <w:rPr>
      <w:rFonts w:ascii="Book Antiqua" w:eastAsia="Times New Roman" w:hAnsi="Book Antiqua" w:cs="Times New Roman"/>
      <w:sz w:val="19"/>
      <w:szCs w:val="20"/>
      <w:lang w:eastAsia="en-AU"/>
    </w:rPr>
  </w:style>
  <w:style w:type="paragraph" w:styleId="Heading1">
    <w:name w:val="heading 1"/>
    <w:basedOn w:val="HeadingBase"/>
    <w:next w:val="Normal"/>
    <w:link w:val="Heading1Char"/>
    <w:qFormat/>
    <w:rsid w:val="0061556B"/>
    <w:pPr>
      <w:spacing w:after="240"/>
      <w:outlineLvl w:val="0"/>
    </w:pPr>
    <w:rPr>
      <w:rFonts w:ascii="Arial Bold" w:hAnsi="Arial Bold"/>
      <w:b/>
      <w:kern w:val="34"/>
      <w:sz w:val="36"/>
    </w:rPr>
  </w:style>
  <w:style w:type="paragraph" w:styleId="Heading2">
    <w:name w:val="heading 2"/>
    <w:basedOn w:val="HeadingBase"/>
    <w:next w:val="Normal"/>
    <w:link w:val="Heading2Char"/>
    <w:qFormat/>
    <w:rsid w:val="0061556B"/>
    <w:pPr>
      <w:spacing w:before="240" w:after="240"/>
      <w:outlineLvl w:val="1"/>
    </w:pPr>
    <w:rPr>
      <w:rFonts w:ascii="Arial Bold" w:hAnsi="Arial Bold"/>
      <w:b/>
      <w:sz w:val="26"/>
    </w:rPr>
  </w:style>
  <w:style w:type="paragraph" w:styleId="Heading3">
    <w:name w:val="heading 3"/>
    <w:basedOn w:val="HeadingBase"/>
    <w:next w:val="Normal"/>
    <w:link w:val="Heading3Char"/>
    <w:qFormat/>
    <w:rsid w:val="0061556B"/>
    <w:pPr>
      <w:spacing w:before="120" w:after="120"/>
      <w:outlineLvl w:val="2"/>
    </w:pPr>
    <w:rPr>
      <w:rFonts w:ascii="Arial Bold" w:hAnsi="Arial Bold"/>
      <w:b/>
      <w:sz w:val="22"/>
    </w:rPr>
  </w:style>
  <w:style w:type="paragraph" w:styleId="Heading4">
    <w:name w:val="heading 4"/>
    <w:basedOn w:val="HeadingBase"/>
    <w:next w:val="Normal"/>
    <w:link w:val="Heading4Char"/>
    <w:qFormat/>
    <w:rsid w:val="0061556B"/>
    <w:pPr>
      <w:spacing w:after="120"/>
      <w:outlineLvl w:val="3"/>
    </w:pPr>
    <w:rPr>
      <w:rFonts w:ascii="Arial Bold" w:hAnsi="Arial Bold"/>
      <w:b/>
      <w:sz w:val="20"/>
    </w:rPr>
  </w:style>
  <w:style w:type="paragraph" w:styleId="Heading5">
    <w:name w:val="heading 5"/>
    <w:basedOn w:val="HeadingBase"/>
    <w:next w:val="Normal"/>
    <w:link w:val="Heading5Char"/>
    <w:qFormat/>
    <w:rsid w:val="0061556B"/>
    <w:pPr>
      <w:spacing w:after="120"/>
      <w:outlineLvl w:val="4"/>
    </w:pPr>
    <w:rPr>
      <w:bCs/>
      <w:i/>
      <w:iCs/>
      <w:sz w:val="20"/>
      <w:szCs w:val="26"/>
    </w:rPr>
  </w:style>
  <w:style w:type="paragraph" w:styleId="Heading6">
    <w:name w:val="heading 6"/>
    <w:basedOn w:val="HeadingBase"/>
    <w:next w:val="Normal"/>
    <w:link w:val="Heading6Char"/>
    <w:rsid w:val="0061556B"/>
    <w:pPr>
      <w:spacing w:after="120"/>
      <w:outlineLvl w:val="5"/>
    </w:pPr>
    <w:rPr>
      <w:bCs/>
      <w:sz w:val="20"/>
      <w:szCs w:val="22"/>
    </w:rPr>
  </w:style>
  <w:style w:type="paragraph" w:styleId="Heading7">
    <w:name w:val="heading 7"/>
    <w:basedOn w:val="HeadingBase"/>
    <w:next w:val="Normal"/>
    <w:link w:val="Heading7Char"/>
    <w:rsid w:val="0061556B"/>
    <w:pPr>
      <w:spacing w:before="120"/>
      <w:outlineLvl w:val="6"/>
    </w:pPr>
    <w:rPr>
      <w:sz w:val="20"/>
      <w:szCs w:val="24"/>
    </w:rPr>
  </w:style>
  <w:style w:type="paragraph" w:styleId="Heading8">
    <w:name w:val="heading 8"/>
    <w:basedOn w:val="HeadingBase"/>
    <w:next w:val="Normal"/>
    <w:link w:val="Heading8Char"/>
    <w:rsid w:val="0061556B"/>
    <w:pPr>
      <w:spacing w:before="240" w:after="60"/>
      <w:outlineLvl w:val="7"/>
    </w:pPr>
    <w:rPr>
      <w:rFonts w:ascii="Times New Roman" w:hAnsi="Times New Roman"/>
      <w:i/>
      <w:iCs/>
      <w:sz w:val="16"/>
      <w:szCs w:val="24"/>
    </w:rPr>
  </w:style>
  <w:style w:type="paragraph" w:styleId="Heading9">
    <w:name w:val="heading 9"/>
    <w:basedOn w:val="Normal"/>
    <w:next w:val="Normal"/>
    <w:link w:val="Heading9Char"/>
    <w:uiPriority w:val="9"/>
    <w:unhideWhenUsed/>
    <w:rsid w:val="0061556B"/>
    <w:pPr>
      <w:spacing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HeaderBase"/>
    <w:link w:val="HeaderChar"/>
    <w:rsid w:val="0061556B"/>
    <w:pPr>
      <w:tabs>
        <w:tab w:val="center" w:pos="4153"/>
        <w:tab w:val="right" w:pos="8306"/>
      </w:tabs>
    </w:pPr>
  </w:style>
  <w:style w:type="character" w:customStyle="1" w:styleId="HeaderChar">
    <w:name w:val="Header Char"/>
    <w:basedOn w:val="DefaultParagraphFont"/>
    <w:link w:val="Header"/>
    <w:rsid w:val="0061556B"/>
    <w:rPr>
      <w:rFonts w:ascii="Arial" w:eastAsia="Times New Roman" w:hAnsi="Arial" w:cs="Times New Roman"/>
      <w:color w:val="002A54" w:themeColor="text2"/>
      <w:position w:val="-1"/>
      <w:sz w:val="18"/>
      <w:szCs w:val="20"/>
      <w:lang w:eastAsia="en-AU"/>
    </w:rPr>
  </w:style>
  <w:style w:type="paragraph" w:styleId="Footer">
    <w:name w:val="footer"/>
    <w:basedOn w:val="FooterBase"/>
    <w:link w:val="FooterChar"/>
    <w:rsid w:val="0061556B"/>
    <w:pPr>
      <w:tabs>
        <w:tab w:val="center" w:pos="4153"/>
        <w:tab w:val="right" w:pos="8306"/>
      </w:tabs>
    </w:pPr>
  </w:style>
  <w:style w:type="character" w:customStyle="1" w:styleId="FooterChar">
    <w:name w:val="Footer Char"/>
    <w:basedOn w:val="DefaultParagraphFont"/>
    <w:link w:val="Footer"/>
    <w:rsid w:val="0061556B"/>
    <w:rPr>
      <w:rFonts w:ascii="Arial" w:eastAsia="Times New Roman" w:hAnsi="Arial" w:cs="Times New Roman"/>
      <w:color w:val="002A54" w:themeColor="text2"/>
      <w:sz w:val="20"/>
      <w:szCs w:val="20"/>
      <w:lang w:eastAsia="en-AU"/>
    </w:rPr>
  </w:style>
  <w:style w:type="paragraph" w:customStyle="1" w:styleId="SecurityClassificationHeader">
    <w:name w:val="Security Classification Header"/>
    <w:link w:val="SecurityClassificationHeaderChar"/>
    <w:rsid w:val="0061556B"/>
    <w:pPr>
      <w:spacing w:before="240" w:after="60"/>
      <w:jc w:val="center"/>
    </w:pPr>
    <w:rPr>
      <w:rFonts w:ascii="Calibri" w:eastAsia="Times New Roman" w:hAnsi="Calibri" w:cs="Calibri"/>
      <w:b/>
      <w:caps/>
      <w:color w:val="002A54" w:themeColor="text2"/>
      <w:position w:val="-1"/>
      <w:sz w:val="24"/>
      <w:szCs w:val="20"/>
      <w:lang w:eastAsia="en-AU"/>
    </w:rPr>
  </w:style>
  <w:style w:type="character" w:customStyle="1" w:styleId="SecurityClassificationHeaderChar">
    <w:name w:val="Security Classification Header Char"/>
    <w:basedOn w:val="HeaderChar"/>
    <w:link w:val="SecurityClassificationHeader"/>
    <w:rsid w:val="0061556B"/>
    <w:rPr>
      <w:rFonts w:ascii="Calibri" w:eastAsia="Times New Roman" w:hAnsi="Calibri" w:cs="Calibri"/>
      <w:b/>
      <w:caps/>
      <w:color w:val="002A54" w:themeColor="text2"/>
      <w:position w:val="-1"/>
      <w:sz w:val="24"/>
      <w:szCs w:val="20"/>
      <w:lang w:eastAsia="en-AU"/>
    </w:rPr>
  </w:style>
  <w:style w:type="paragraph" w:customStyle="1" w:styleId="SecurityClassificationFooter">
    <w:name w:val="Security Classification Footer"/>
    <w:link w:val="SecurityClassificationFooterChar"/>
    <w:rsid w:val="0061556B"/>
    <w:pPr>
      <w:spacing w:before="60" w:after="240"/>
      <w:jc w:val="center"/>
    </w:pPr>
    <w:rPr>
      <w:rFonts w:ascii="Calibri" w:eastAsia="Times New Roman" w:hAnsi="Calibri" w:cs="Calibri"/>
      <w:b/>
      <w:caps/>
      <w:color w:val="002A54" w:themeColor="text2"/>
      <w:position w:val="-1"/>
      <w:sz w:val="24"/>
      <w:szCs w:val="20"/>
      <w:lang w:eastAsia="en-AU"/>
    </w:rPr>
  </w:style>
  <w:style w:type="character" w:customStyle="1" w:styleId="SecurityClassificationFooterChar">
    <w:name w:val="Security Classification Footer Char"/>
    <w:basedOn w:val="HeaderChar"/>
    <w:link w:val="SecurityClassificationFooter"/>
    <w:rsid w:val="0061556B"/>
    <w:rPr>
      <w:rFonts w:ascii="Calibri" w:eastAsia="Times New Roman" w:hAnsi="Calibri" w:cs="Calibri"/>
      <w:b/>
      <w:caps/>
      <w:color w:val="002A54" w:themeColor="text2"/>
      <w:position w:val="-1"/>
      <w:sz w:val="24"/>
      <w:szCs w:val="20"/>
      <w:lang w:eastAsia="en-AU"/>
    </w:rPr>
  </w:style>
  <w:style w:type="paragraph" w:customStyle="1" w:styleId="DLMSecurityHeader">
    <w:name w:val="DLM Security Header"/>
    <w:link w:val="DLMSecurityHeaderChar"/>
    <w:rsid w:val="0061556B"/>
    <w:pPr>
      <w:spacing w:before="60" w:after="240"/>
      <w:jc w:val="center"/>
    </w:pPr>
    <w:rPr>
      <w:rFonts w:ascii="Calibri" w:eastAsia="Times New Roman" w:hAnsi="Calibri" w:cs="Calibri"/>
      <w:b/>
      <w:caps/>
      <w:color w:val="002A54" w:themeColor="text2"/>
      <w:position w:val="-1"/>
      <w:sz w:val="24"/>
      <w:szCs w:val="20"/>
      <w:lang w:eastAsia="en-AU"/>
    </w:rPr>
  </w:style>
  <w:style w:type="character" w:customStyle="1" w:styleId="DLMSecurityHeaderChar">
    <w:name w:val="DLM Security Header Char"/>
    <w:basedOn w:val="HeaderChar"/>
    <w:link w:val="DLMSecurityHeader"/>
    <w:rsid w:val="0061556B"/>
    <w:rPr>
      <w:rFonts w:ascii="Calibri" w:eastAsia="Times New Roman" w:hAnsi="Calibri" w:cs="Calibri"/>
      <w:b/>
      <w:caps/>
      <w:color w:val="002A54" w:themeColor="text2"/>
      <w:position w:val="-1"/>
      <w:sz w:val="24"/>
      <w:szCs w:val="20"/>
      <w:lang w:eastAsia="en-AU"/>
    </w:rPr>
  </w:style>
  <w:style w:type="paragraph" w:customStyle="1" w:styleId="DLMSecurityFooter">
    <w:name w:val="DLM Security Footer"/>
    <w:link w:val="DLMSecurityFooterChar"/>
    <w:rsid w:val="0061556B"/>
    <w:pPr>
      <w:spacing w:before="240" w:after="60"/>
      <w:jc w:val="center"/>
    </w:pPr>
    <w:rPr>
      <w:rFonts w:ascii="Calibri" w:eastAsia="Times New Roman" w:hAnsi="Calibri" w:cs="Calibri"/>
      <w:b/>
      <w:caps/>
      <w:color w:val="002A54" w:themeColor="text2"/>
      <w:position w:val="-1"/>
      <w:sz w:val="24"/>
      <w:szCs w:val="20"/>
      <w:lang w:eastAsia="en-AU"/>
    </w:rPr>
  </w:style>
  <w:style w:type="character" w:customStyle="1" w:styleId="DLMSecurityFooterChar">
    <w:name w:val="DLM Security Footer Char"/>
    <w:basedOn w:val="HeaderChar"/>
    <w:link w:val="DLMSecurityFooter"/>
    <w:rsid w:val="0061556B"/>
    <w:rPr>
      <w:rFonts w:ascii="Calibri" w:eastAsia="Times New Roman" w:hAnsi="Calibri" w:cs="Calibri"/>
      <w:b/>
      <w:caps/>
      <w:color w:val="002A54" w:themeColor="text2"/>
      <w:position w:val="-1"/>
      <w:sz w:val="24"/>
      <w:szCs w:val="20"/>
      <w:lang w:eastAsia="en-AU"/>
    </w:rPr>
  </w:style>
  <w:style w:type="paragraph" w:customStyle="1" w:styleId="Classification">
    <w:name w:val="Classification"/>
    <w:basedOn w:val="HeadingBase"/>
    <w:rsid w:val="0061556B"/>
    <w:pPr>
      <w:jc w:val="center"/>
    </w:pPr>
    <w:rPr>
      <w:rFonts w:ascii="Arial Bold" w:hAnsi="Arial Bold"/>
      <w:b/>
      <w:caps/>
      <w:sz w:val="22"/>
    </w:rPr>
  </w:style>
  <w:style w:type="paragraph" w:customStyle="1" w:styleId="FileProperties">
    <w:name w:val="File Properties"/>
    <w:basedOn w:val="Normal"/>
    <w:rsid w:val="0061556B"/>
    <w:pPr>
      <w:spacing w:before="0"/>
    </w:pPr>
    <w:rPr>
      <w:i/>
    </w:rPr>
  </w:style>
  <w:style w:type="paragraph" w:customStyle="1" w:styleId="AlphaParagraph">
    <w:name w:val="Alpha Paragraph"/>
    <w:basedOn w:val="Normal"/>
    <w:rsid w:val="0061556B"/>
    <w:pPr>
      <w:numPr>
        <w:numId w:val="1"/>
      </w:numPr>
      <w:tabs>
        <w:tab w:val="clear" w:pos="567"/>
        <w:tab w:val="num" w:pos="360"/>
      </w:tabs>
      <w:ind w:left="0" w:firstLine="0"/>
    </w:pPr>
  </w:style>
  <w:style w:type="paragraph" w:customStyle="1" w:styleId="HeadingBase">
    <w:name w:val="Heading Base"/>
    <w:rsid w:val="0061556B"/>
    <w:pPr>
      <w:keepNext/>
      <w:spacing w:after="0" w:line="240" w:lineRule="auto"/>
    </w:pPr>
    <w:rPr>
      <w:rFonts w:ascii="Arial" w:eastAsia="Times New Roman" w:hAnsi="Arial" w:cs="Times New Roman"/>
      <w:sz w:val="24"/>
      <w:szCs w:val="20"/>
      <w:lang w:eastAsia="en-AU"/>
    </w:rPr>
  </w:style>
  <w:style w:type="paragraph" w:customStyle="1" w:styleId="Heading1-Statement">
    <w:name w:val="Heading 1 - Statement"/>
    <w:basedOn w:val="Heading1"/>
    <w:next w:val="Normal"/>
    <w:autoRedefine/>
    <w:qFormat/>
    <w:rsid w:val="0061556B"/>
    <w:rPr>
      <w:bCs/>
      <w:color w:val="002A54" w:themeColor="text2"/>
      <w:szCs w:val="52"/>
    </w:rPr>
  </w:style>
  <w:style w:type="paragraph" w:customStyle="1" w:styleId="BoxText">
    <w:name w:val="Box Text"/>
    <w:basedOn w:val="Normal"/>
    <w:link w:val="BoxTextChar"/>
    <w:qFormat/>
    <w:rsid w:val="0061556B"/>
    <w:pPr>
      <w:spacing w:before="120" w:after="120" w:line="240" w:lineRule="auto"/>
    </w:pPr>
  </w:style>
  <w:style w:type="paragraph" w:customStyle="1" w:styleId="BoxBullet">
    <w:name w:val="Box Bullet"/>
    <w:basedOn w:val="BoxText"/>
    <w:rsid w:val="0061556B"/>
    <w:pPr>
      <w:numPr>
        <w:numId w:val="2"/>
      </w:numPr>
    </w:pPr>
  </w:style>
  <w:style w:type="paragraph" w:customStyle="1" w:styleId="BoxHeading">
    <w:name w:val="Box Heading"/>
    <w:basedOn w:val="HeadingBase"/>
    <w:next w:val="BoxText"/>
    <w:rsid w:val="0061556B"/>
    <w:pPr>
      <w:spacing w:before="120" w:after="120"/>
    </w:pPr>
    <w:rPr>
      <w:b/>
      <w:sz w:val="20"/>
    </w:rPr>
  </w:style>
  <w:style w:type="character" w:customStyle="1" w:styleId="Heading6Char">
    <w:name w:val="Heading 6 Char"/>
    <w:basedOn w:val="DefaultParagraphFont"/>
    <w:link w:val="Heading6"/>
    <w:rsid w:val="0061556B"/>
    <w:rPr>
      <w:rFonts w:ascii="Arial" w:eastAsia="Times New Roman" w:hAnsi="Arial" w:cs="Times New Roman"/>
      <w:bCs/>
      <w:sz w:val="20"/>
      <w:lang w:eastAsia="en-AU"/>
    </w:rPr>
  </w:style>
  <w:style w:type="paragraph" w:customStyle="1" w:styleId="Bullet">
    <w:name w:val="Bullet"/>
    <w:basedOn w:val="Normal"/>
    <w:link w:val="BulletChar"/>
    <w:qFormat/>
    <w:rsid w:val="0061556B"/>
    <w:pPr>
      <w:numPr>
        <w:numId w:val="7"/>
      </w:numPr>
      <w:spacing w:after="160"/>
      <w:ind w:left="284" w:hanging="284"/>
    </w:pPr>
  </w:style>
  <w:style w:type="paragraph" w:styleId="Caption">
    <w:name w:val="caption"/>
    <w:basedOn w:val="Normal"/>
    <w:next w:val="Normal"/>
    <w:rsid w:val="0061556B"/>
    <w:rPr>
      <w:b/>
      <w:bCs/>
    </w:rPr>
  </w:style>
  <w:style w:type="paragraph" w:customStyle="1" w:styleId="ChartandTableFootnote">
    <w:name w:val="Chart and Table Footnote"/>
    <w:basedOn w:val="HeadingBase"/>
    <w:next w:val="Normal"/>
    <w:rsid w:val="0061556B"/>
    <w:pPr>
      <w:keepNext w:val="0"/>
      <w:tabs>
        <w:tab w:val="left" w:pos="709"/>
      </w:tabs>
      <w:spacing w:before="30"/>
      <w:ind w:left="709" w:hanging="709"/>
    </w:pPr>
    <w:rPr>
      <w:color w:val="000000"/>
      <w:sz w:val="16"/>
    </w:rPr>
  </w:style>
  <w:style w:type="paragraph" w:customStyle="1" w:styleId="ChartandTableFootnoteAlpha">
    <w:name w:val="Chart and Table Footnote Alpha"/>
    <w:basedOn w:val="HeadingBase"/>
    <w:next w:val="Normal"/>
    <w:rsid w:val="0061556B"/>
    <w:pPr>
      <w:keepNext w:val="0"/>
      <w:numPr>
        <w:numId w:val="20"/>
      </w:numPr>
      <w:spacing w:before="30"/>
    </w:pPr>
    <w:rPr>
      <w:color w:val="000000"/>
      <w:sz w:val="16"/>
    </w:rPr>
  </w:style>
  <w:style w:type="paragraph" w:customStyle="1" w:styleId="ChartandTableFootnoteSmall">
    <w:name w:val="Chart and Table Footnote Small"/>
    <w:basedOn w:val="HeadingBase"/>
    <w:next w:val="Normal"/>
    <w:rsid w:val="0061556B"/>
    <w:pPr>
      <w:keepNext w:val="0"/>
      <w:tabs>
        <w:tab w:val="left" w:pos="284"/>
      </w:tabs>
      <w:jc w:val="both"/>
    </w:pPr>
    <w:rPr>
      <w:color w:val="000000"/>
      <w:sz w:val="15"/>
    </w:rPr>
  </w:style>
  <w:style w:type="paragraph" w:customStyle="1" w:styleId="ChartGraphic">
    <w:name w:val="Chart Graphic"/>
    <w:basedOn w:val="HeadingBase"/>
    <w:rsid w:val="0061556B"/>
    <w:rPr>
      <w:sz w:val="20"/>
    </w:rPr>
  </w:style>
  <w:style w:type="paragraph" w:customStyle="1" w:styleId="TableLine">
    <w:name w:val="Table Line"/>
    <w:basedOn w:val="Normal"/>
    <w:next w:val="Normal"/>
    <w:autoRedefine/>
    <w:rsid w:val="0061556B"/>
    <w:pPr>
      <w:pBdr>
        <w:bottom w:val="single" w:sz="4" w:space="2" w:color="626A77" w:themeColor="background2" w:themeShade="E6"/>
      </w:pBdr>
      <w:spacing w:before="0" w:line="240" w:lineRule="auto"/>
    </w:pPr>
    <w:rPr>
      <w:noProof/>
      <w:sz w:val="4"/>
      <w:szCs w:val="4"/>
    </w:rPr>
  </w:style>
  <w:style w:type="paragraph" w:customStyle="1" w:styleId="ChartSecondHeading">
    <w:name w:val="Chart Second Heading"/>
    <w:basedOn w:val="HeadingBase"/>
    <w:next w:val="ChartGraphic"/>
    <w:rsid w:val="0061556B"/>
    <w:pPr>
      <w:spacing w:after="60"/>
    </w:pPr>
    <w:rPr>
      <w:sz w:val="19"/>
    </w:rPr>
  </w:style>
  <w:style w:type="character" w:styleId="CommentReference">
    <w:name w:val="annotation reference"/>
    <w:basedOn w:val="DefaultParagraphFont"/>
    <w:rsid w:val="0061556B"/>
    <w:rPr>
      <w:sz w:val="16"/>
      <w:szCs w:val="16"/>
    </w:rPr>
  </w:style>
  <w:style w:type="paragraph" w:styleId="CommentText">
    <w:name w:val="annotation text"/>
    <w:basedOn w:val="Normal"/>
    <w:link w:val="CommentTextChar"/>
    <w:rsid w:val="0061556B"/>
  </w:style>
  <w:style w:type="character" w:customStyle="1" w:styleId="CommentTextChar">
    <w:name w:val="Comment Text Char"/>
    <w:basedOn w:val="DefaultParagraphFont"/>
    <w:link w:val="CommentText"/>
    <w:rsid w:val="0061556B"/>
    <w:rPr>
      <w:rFonts w:ascii="Book Antiqua" w:eastAsia="Times New Roman" w:hAnsi="Book Antiqua" w:cs="Times New Roman"/>
      <w:sz w:val="19"/>
      <w:szCs w:val="20"/>
      <w:lang w:eastAsia="en-AU"/>
    </w:rPr>
  </w:style>
  <w:style w:type="paragraph" w:styleId="CommentSubject">
    <w:name w:val="annotation subject"/>
    <w:basedOn w:val="CommentText"/>
    <w:next w:val="CommentText"/>
    <w:link w:val="CommentSubjectChar"/>
    <w:semiHidden/>
    <w:rsid w:val="0061556B"/>
    <w:rPr>
      <w:b/>
      <w:bCs/>
    </w:rPr>
  </w:style>
  <w:style w:type="character" w:customStyle="1" w:styleId="CommentSubjectChar">
    <w:name w:val="Comment Subject Char"/>
    <w:basedOn w:val="CommentTextChar"/>
    <w:link w:val="CommentSubject"/>
    <w:semiHidden/>
    <w:rsid w:val="0061556B"/>
    <w:rPr>
      <w:rFonts w:ascii="Book Antiqua" w:eastAsia="Times New Roman" w:hAnsi="Book Antiqua" w:cs="Times New Roman"/>
      <w:b/>
      <w:bCs/>
      <w:sz w:val="19"/>
      <w:szCs w:val="20"/>
      <w:lang w:eastAsia="en-AU"/>
    </w:rPr>
  </w:style>
  <w:style w:type="paragraph" w:customStyle="1" w:styleId="ContentsHeading">
    <w:name w:val="Contents Heading"/>
    <w:basedOn w:val="Heading1"/>
    <w:next w:val="Normal"/>
    <w:rsid w:val="0067768F"/>
    <w:pPr>
      <w:spacing w:after="720"/>
    </w:pPr>
  </w:style>
  <w:style w:type="character" w:styleId="Strong">
    <w:name w:val="Strong"/>
    <w:basedOn w:val="DefaultParagraphFont"/>
    <w:uiPriority w:val="22"/>
    <w:qFormat/>
    <w:rsid w:val="0061556B"/>
    <w:rPr>
      <w:b/>
      <w:bCs/>
      <w:color w:val="auto"/>
    </w:rPr>
  </w:style>
  <w:style w:type="paragraph" w:customStyle="1" w:styleId="Dash">
    <w:name w:val="Dash"/>
    <w:basedOn w:val="Normal"/>
    <w:qFormat/>
    <w:rsid w:val="0061556B"/>
    <w:pPr>
      <w:numPr>
        <w:ilvl w:val="1"/>
        <w:numId w:val="7"/>
      </w:numPr>
      <w:tabs>
        <w:tab w:val="left" w:pos="567"/>
      </w:tabs>
    </w:pPr>
  </w:style>
  <w:style w:type="paragraph" w:styleId="DocumentMap">
    <w:name w:val="Document Map"/>
    <w:basedOn w:val="Normal"/>
    <w:link w:val="DocumentMapChar"/>
    <w:semiHidden/>
    <w:rsid w:val="0061556B"/>
    <w:pPr>
      <w:shd w:val="clear" w:color="auto" w:fill="000080"/>
    </w:pPr>
    <w:rPr>
      <w:rFonts w:ascii="Tahoma" w:hAnsi="Tahoma" w:cs="Tahoma"/>
    </w:rPr>
  </w:style>
  <w:style w:type="character" w:customStyle="1" w:styleId="DocumentMapChar">
    <w:name w:val="Document Map Char"/>
    <w:basedOn w:val="DefaultParagraphFont"/>
    <w:link w:val="DocumentMap"/>
    <w:semiHidden/>
    <w:rsid w:val="0061556B"/>
    <w:rPr>
      <w:rFonts w:ascii="Tahoma" w:eastAsia="Times New Roman" w:hAnsi="Tahoma" w:cs="Tahoma"/>
      <w:sz w:val="19"/>
      <w:szCs w:val="20"/>
      <w:shd w:val="clear" w:color="auto" w:fill="000080"/>
      <w:lang w:eastAsia="en-AU"/>
    </w:rPr>
  </w:style>
  <w:style w:type="paragraph" w:customStyle="1" w:styleId="DoubleDot">
    <w:name w:val="Double Dot"/>
    <w:basedOn w:val="Normal"/>
    <w:qFormat/>
    <w:rsid w:val="0061556B"/>
    <w:pPr>
      <w:numPr>
        <w:ilvl w:val="2"/>
        <w:numId w:val="7"/>
      </w:numPr>
      <w:tabs>
        <w:tab w:val="clear" w:pos="850"/>
        <w:tab w:val="num" w:pos="360"/>
        <w:tab w:val="left" w:pos="851"/>
      </w:tabs>
    </w:pPr>
  </w:style>
  <w:style w:type="paragraph" w:customStyle="1" w:styleId="FigureHeading">
    <w:name w:val="Figure Heading"/>
    <w:basedOn w:val="HeadingBase"/>
    <w:next w:val="ChartGraphic"/>
    <w:rsid w:val="0061556B"/>
    <w:pPr>
      <w:spacing w:before="120" w:after="20"/>
    </w:pPr>
    <w:rPr>
      <w:b/>
      <w:sz w:val="20"/>
    </w:rPr>
  </w:style>
  <w:style w:type="paragraph" w:customStyle="1" w:styleId="FooterBase">
    <w:name w:val="Footer Base"/>
    <w:rsid w:val="0061556B"/>
    <w:pPr>
      <w:spacing w:after="0" w:line="240" w:lineRule="auto"/>
      <w:jc w:val="center"/>
    </w:pPr>
    <w:rPr>
      <w:rFonts w:ascii="Arial" w:eastAsia="Times New Roman" w:hAnsi="Arial" w:cs="Times New Roman"/>
      <w:color w:val="002A54" w:themeColor="text2"/>
      <w:sz w:val="20"/>
      <w:szCs w:val="20"/>
      <w:lang w:eastAsia="en-AU"/>
    </w:rPr>
  </w:style>
  <w:style w:type="paragraph" w:customStyle="1" w:styleId="FooterEven">
    <w:name w:val="Footer Even"/>
    <w:basedOn w:val="Footer"/>
    <w:rsid w:val="0061556B"/>
    <w:pPr>
      <w:pBdr>
        <w:top w:val="single" w:sz="4" w:space="10" w:color="002A54" w:themeColor="text2"/>
      </w:pBdr>
      <w:jc w:val="left"/>
    </w:pPr>
    <w:rPr>
      <w:sz w:val="18"/>
    </w:rPr>
  </w:style>
  <w:style w:type="paragraph" w:customStyle="1" w:styleId="FooterOdd">
    <w:name w:val="Footer Odd"/>
    <w:basedOn w:val="Footer"/>
    <w:qFormat/>
    <w:rsid w:val="0061556B"/>
    <w:pPr>
      <w:pBdr>
        <w:top w:val="single" w:sz="4" w:space="10" w:color="002A54" w:themeColor="text2"/>
      </w:pBdr>
      <w:jc w:val="right"/>
    </w:pPr>
    <w:rPr>
      <w:sz w:val="18"/>
    </w:rPr>
  </w:style>
  <w:style w:type="character" w:styleId="FootnoteReference">
    <w:name w:val="footnote reference"/>
    <w:basedOn w:val="DefaultParagraphFont"/>
    <w:rsid w:val="0061556B"/>
    <w:rPr>
      <w:vertAlign w:val="superscript"/>
    </w:rPr>
  </w:style>
  <w:style w:type="paragraph" w:styleId="FootnoteText">
    <w:name w:val="footnote text"/>
    <w:basedOn w:val="Normal"/>
    <w:link w:val="FootnoteTextChar"/>
    <w:rsid w:val="0061556B"/>
    <w:pPr>
      <w:tabs>
        <w:tab w:val="left" w:pos="284"/>
      </w:tabs>
      <w:spacing w:before="80" w:after="0" w:line="240" w:lineRule="auto"/>
      <w:ind w:left="284" w:hanging="284"/>
      <w:contextualSpacing/>
    </w:pPr>
    <w:rPr>
      <w:sz w:val="18"/>
    </w:rPr>
  </w:style>
  <w:style w:type="character" w:customStyle="1" w:styleId="FootnoteTextChar">
    <w:name w:val="Footnote Text Char"/>
    <w:basedOn w:val="DefaultParagraphFont"/>
    <w:link w:val="FootnoteText"/>
    <w:rsid w:val="0061556B"/>
    <w:rPr>
      <w:rFonts w:ascii="Book Antiqua" w:eastAsia="Times New Roman" w:hAnsi="Book Antiqua" w:cs="Times New Roman"/>
      <w:sz w:val="18"/>
      <w:szCs w:val="20"/>
      <w:lang w:eastAsia="en-AU"/>
    </w:rPr>
  </w:style>
  <w:style w:type="character" w:customStyle="1" w:styleId="FramedHeader">
    <w:name w:val="Framed Header"/>
    <w:basedOn w:val="DefaultParagraphFont"/>
    <w:rsid w:val="0061556B"/>
    <w:rPr>
      <w:rFonts w:ascii="Book Antiqua" w:hAnsi="Book Antiqua"/>
      <w:i/>
      <w:dstrike w:val="0"/>
      <w:color w:val="auto"/>
      <w:sz w:val="20"/>
      <w:vertAlign w:val="baseline"/>
    </w:rPr>
  </w:style>
  <w:style w:type="paragraph" w:customStyle="1" w:styleId="HeaderBase">
    <w:name w:val="Header Base"/>
    <w:rsid w:val="0061556B"/>
    <w:pPr>
      <w:spacing w:after="0" w:line="240" w:lineRule="auto"/>
    </w:pPr>
    <w:rPr>
      <w:rFonts w:ascii="Arial" w:eastAsia="Times New Roman" w:hAnsi="Arial" w:cs="Times New Roman"/>
      <w:color w:val="002A54" w:themeColor="text2"/>
      <w:position w:val="-1"/>
      <w:sz w:val="18"/>
      <w:szCs w:val="20"/>
      <w:lang w:eastAsia="en-AU"/>
    </w:rPr>
  </w:style>
  <w:style w:type="paragraph" w:customStyle="1" w:styleId="HeaderEven">
    <w:name w:val="Header Even"/>
    <w:basedOn w:val="HeaderBase"/>
    <w:rsid w:val="0061556B"/>
  </w:style>
  <w:style w:type="paragraph" w:customStyle="1" w:styleId="HeaderOdd">
    <w:name w:val="Header Odd"/>
    <w:basedOn w:val="HeaderBase"/>
    <w:rsid w:val="0061556B"/>
    <w:pPr>
      <w:jc w:val="right"/>
    </w:pPr>
  </w:style>
  <w:style w:type="character" w:customStyle="1" w:styleId="Heading1Char">
    <w:name w:val="Heading 1 Char"/>
    <w:basedOn w:val="DefaultParagraphFont"/>
    <w:link w:val="Heading1"/>
    <w:rsid w:val="0061556B"/>
    <w:rPr>
      <w:rFonts w:ascii="Arial Bold" w:eastAsia="Times New Roman" w:hAnsi="Arial Bold" w:cs="Times New Roman"/>
      <w:b/>
      <w:kern w:val="34"/>
      <w:sz w:val="36"/>
      <w:szCs w:val="20"/>
      <w:lang w:eastAsia="en-AU"/>
    </w:rPr>
  </w:style>
  <w:style w:type="character" w:customStyle="1" w:styleId="Heading2Char">
    <w:name w:val="Heading 2 Char"/>
    <w:basedOn w:val="DefaultParagraphFont"/>
    <w:link w:val="Heading2"/>
    <w:rsid w:val="0061556B"/>
    <w:rPr>
      <w:rFonts w:ascii="Arial Bold" w:eastAsia="Times New Roman" w:hAnsi="Arial Bold" w:cs="Times New Roman"/>
      <w:b/>
      <w:sz w:val="26"/>
      <w:szCs w:val="20"/>
      <w:lang w:eastAsia="en-AU"/>
    </w:rPr>
  </w:style>
  <w:style w:type="character" w:customStyle="1" w:styleId="Heading3Char">
    <w:name w:val="Heading 3 Char"/>
    <w:basedOn w:val="DefaultParagraphFont"/>
    <w:link w:val="Heading3"/>
    <w:rsid w:val="0061556B"/>
    <w:rPr>
      <w:rFonts w:ascii="Arial Bold" w:eastAsia="Times New Roman" w:hAnsi="Arial Bold" w:cs="Times New Roman"/>
      <w:b/>
      <w:szCs w:val="20"/>
      <w:lang w:eastAsia="en-AU"/>
    </w:rPr>
  </w:style>
  <w:style w:type="paragraph" w:customStyle="1" w:styleId="Heading3noTOC">
    <w:name w:val="Heading 3 no TOC"/>
    <w:basedOn w:val="Heading3"/>
    <w:rsid w:val="0061556B"/>
  </w:style>
  <w:style w:type="character" w:customStyle="1" w:styleId="Heading4Char">
    <w:name w:val="Heading 4 Char"/>
    <w:basedOn w:val="DefaultParagraphFont"/>
    <w:link w:val="Heading4"/>
    <w:rsid w:val="0061556B"/>
    <w:rPr>
      <w:rFonts w:ascii="Arial Bold" w:eastAsia="Times New Roman" w:hAnsi="Arial Bold" w:cs="Times New Roman"/>
      <w:b/>
      <w:sz w:val="20"/>
      <w:szCs w:val="20"/>
      <w:lang w:eastAsia="en-AU"/>
    </w:rPr>
  </w:style>
  <w:style w:type="character" w:customStyle="1" w:styleId="Heading5Char">
    <w:name w:val="Heading 5 Char"/>
    <w:basedOn w:val="DefaultParagraphFont"/>
    <w:link w:val="Heading5"/>
    <w:rsid w:val="0061556B"/>
    <w:rPr>
      <w:rFonts w:ascii="Arial" w:eastAsia="Times New Roman" w:hAnsi="Arial" w:cs="Times New Roman"/>
      <w:bCs/>
      <w:i/>
      <w:iCs/>
      <w:sz w:val="20"/>
      <w:szCs w:val="26"/>
      <w:lang w:eastAsia="en-AU"/>
    </w:rPr>
  </w:style>
  <w:style w:type="character" w:customStyle="1" w:styleId="Heading7Char">
    <w:name w:val="Heading 7 Char"/>
    <w:basedOn w:val="DefaultParagraphFont"/>
    <w:link w:val="Heading7"/>
    <w:rsid w:val="0061556B"/>
    <w:rPr>
      <w:rFonts w:ascii="Arial" w:eastAsia="Times New Roman" w:hAnsi="Arial" w:cs="Times New Roman"/>
      <w:sz w:val="20"/>
      <w:szCs w:val="24"/>
      <w:lang w:eastAsia="en-AU"/>
    </w:rPr>
  </w:style>
  <w:style w:type="character" w:customStyle="1" w:styleId="Heading8Char">
    <w:name w:val="Heading 8 Char"/>
    <w:basedOn w:val="DefaultParagraphFont"/>
    <w:link w:val="Heading8"/>
    <w:rsid w:val="0061556B"/>
    <w:rPr>
      <w:rFonts w:ascii="Times New Roman" w:eastAsia="Times New Roman" w:hAnsi="Times New Roman" w:cs="Times New Roman"/>
      <w:i/>
      <w:iCs/>
      <w:sz w:val="16"/>
      <w:szCs w:val="24"/>
      <w:lang w:eastAsia="en-AU"/>
    </w:rPr>
  </w:style>
  <w:style w:type="character" w:customStyle="1" w:styleId="HiddenSequenceCode">
    <w:name w:val="Hidden Sequence Code"/>
    <w:basedOn w:val="DefaultParagraphFont"/>
    <w:rsid w:val="0061556B"/>
    <w:rPr>
      <w:rFonts w:ascii="Times New Roman" w:hAnsi="Times New Roman"/>
      <w:vanish/>
      <w:sz w:val="16"/>
    </w:rPr>
  </w:style>
  <w:style w:type="character" w:styleId="Hyperlink">
    <w:name w:val="Hyperlink"/>
    <w:basedOn w:val="DefaultParagraphFont"/>
    <w:uiPriority w:val="99"/>
    <w:unhideWhenUsed/>
    <w:rsid w:val="0061556B"/>
    <w:rPr>
      <w:color w:val="auto"/>
      <w:u w:val="single"/>
    </w:rPr>
  </w:style>
  <w:style w:type="paragraph" w:styleId="Index4">
    <w:name w:val="index 4"/>
    <w:basedOn w:val="Normal"/>
    <w:next w:val="Normal"/>
    <w:autoRedefine/>
    <w:semiHidden/>
    <w:rsid w:val="0061556B"/>
    <w:pPr>
      <w:ind w:left="800" w:hanging="200"/>
    </w:pPr>
  </w:style>
  <w:style w:type="paragraph" w:styleId="Index5">
    <w:name w:val="index 5"/>
    <w:basedOn w:val="Normal"/>
    <w:next w:val="Normal"/>
    <w:autoRedefine/>
    <w:semiHidden/>
    <w:rsid w:val="0061556B"/>
    <w:pPr>
      <w:ind w:left="1000" w:hanging="200"/>
    </w:pPr>
  </w:style>
  <w:style w:type="paragraph" w:styleId="Index6">
    <w:name w:val="index 6"/>
    <w:basedOn w:val="Normal"/>
    <w:next w:val="Normal"/>
    <w:autoRedefine/>
    <w:semiHidden/>
    <w:rsid w:val="0061556B"/>
    <w:pPr>
      <w:ind w:left="1200" w:hanging="200"/>
    </w:pPr>
  </w:style>
  <w:style w:type="paragraph" w:styleId="Index7">
    <w:name w:val="index 7"/>
    <w:basedOn w:val="Normal"/>
    <w:next w:val="Normal"/>
    <w:autoRedefine/>
    <w:semiHidden/>
    <w:rsid w:val="0061556B"/>
    <w:pPr>
      <w:ind w:left="1400" w:hanging="200"/>
    </w:pPr>
  </w:style>
  <w:style w:type="paragraph" w:styleId="Index8">
    <w:name w:val="index 8"/>
    <w:basedOn w:val="Normal"/>
    <w:next w:val="Normal"/>
    <w:autoRedefine/>
    <w:semiHidden/>
    <w:rsid w:val="0061556B"/>
    <w:pPr>
      <w:ind w:left="1600" w:hanging="200"/>
    </w:pPr>
  </w:style>
  <w:style w:type="paragraph" w:styleId="Index9">
    <w:name w:val="index 9"/>
    <w:basedOn w:val="Normal"/>
    <w:next w:val="Normal"/>
    <w:autoRedefine/>
    <w:semiHidden/>
    <w:rsid w:val="0061556B"/>
    <w:pPr>
      <w:ind w:left="1800" w:hanging="200"/>
    </w:pPr>
  </w:style>
  <w:style w:type="paragraph" w:styleId="MacroText">
    <w:name w:val="macro"/>
    <w:link w:val="MacroTextChar"/>
    <w:unhideWhenUsed/>
    <w:rsid w:val="0061556B"/>
    <w:pPr>
      <w:tabs>
        <w:tab w:val="left" w:pos="480"/>
        <w:tab w:val="left" w:pos="960"/>
        <w:tab w:val="left" w:pos="1440"/>
        <w:tab w:val="left" w:pos="1920"/>
        <w:tab w:val="left" w:pos="2400"/>
        <w:tab w:val="left" w:pos="2880"/>
        <w:tab w:val="left" w:pos="3360"/>
        <w:tab w:val="left" w:pos="3840"/>
        <w:tab w:val="left" w:pos="4320"/>
      </w:tabs>
      <w:spacing w:after="240" w:line="260" w:lineRule="exact"/>
      <w:jc w:val="both"/>
    </w:pPr>
    <w:rPr>
      <w:rFonts w:ascii="Courier New" w:eastAsia="Times New Roman" w:hAnsi="Courier New" w:cs="Courier New"/>
      <w:sz w:val="20"/>
      <w:szCs w:val="20"/>
      <w:lang w:eastAsia="en-AU"/>
    </w:rPr>
  </w:style>
  <w:style w:type="character" w:customStyle="1" w:styleId="MacroTextChar">
    <w:name w:val="Macro Text Char"/>
    <w:basedOn w:val="DefaultParagraphFont"/>
    <w:link w:val="MacroText"/>
    <w:rsid w:val="0061556B"/>
    <w:rPr>
      <w:rFonts w:ascii="Courier New" w:eastAsia="Times New Roman" w:hAnsi="Courier New" w:cs="Courier New"/>
      <w:sz w:val="20"/>
      <w:szCs w:val="20"/>
      <w:lang w:eastAsia="en-AU"/>
    </w:rPr>
  </w:style>
  <w:style w:type="paragraph" w:styleId="NormalIndent">
    <w:name w:val="Normal Indent"/>
    <w:basedOn w:val="Normal"/>
    <w:rsid w:val="0061556B"/>
    <w:pPr>
      <w:ind w:left="567"/>
    </w:pPr>
  </w:style>
  <w:style w:type="paragraph" w:customStyle="1" w:styleId="NoteTableHeading">
    <w:name w:val="Note Table Heading"/>
    <w:basedOn w:val="HeadingBase"/>
    <w:next w:val="Normal"/>
    <w:rsid w:val="0061556B"/>
    <w:pPr>
      <w:spacing w:before="240"/>
      <w:outlineLvl w:val="2"/>
    </w:pPr>
    <w:rPr>
      <w:b/>
      <w:sz w:val="20"/>
    </w:rPr>
  </w:style>
  <w:style w:type="paragraph" w:customStyle="1" w:styleId="OverviewParagraph">
    <w:name w:val="Overview Paragraph"/>
    <w:basedOn w:val="Normal"/>
    <w:rsid w:val="0061556B"/>
    <w:pPr>
      <w:spacing w:before="120" w:after="120" w:line="240" w:lineRule="auto"/>
    </w:pPr>
  </w:style>
  <w:style w:type="character" w:styleId="PageNumber">
    <w:name w:val="page number"/>
    <w:basedOn w:val="DefaultParagraphFont"/>
    <w:rsid w:val="0061556B"/>
    <w:rPr>
      <w:rFonts w:ascii="Arial" w:hAnsi="Arial" w:cs="Arial"/>
    </w:rPr>
  </w:style>
  <w:style w:type="paragraph" w:customStyle="1" w:styleId="SingleParagraph">
    <w:name w:val="Single Paragraph"/>
    <w:basedOn w:val="Normal"/>
    <w:rsid w:val="0061556B"/>
    <w:pPr>
      <w:spacing w:before="0" w:after="0"/>
    </w:pPr>
  </w:style>
  <w:style w:type="paragraph" w:customStyle="1" w:styleId="Source">
    <w:name w:val="Source"/>
    <w:basedOn w:val="Normal"/>
    <w:rsid w:val="0061556B"/>
    <w:pPr>
      <w:tabs>
        <w:tab w:val="left" w:pos="709"/>
      </w:tabs>
      <w:spacing w:before="30" w:line="240" w:lineRule="auto"/>
      <w:ind w:left="709" w:hanging="709"/>
    </w:pPr>
    <w:rPr>
      <w:rFonts w:ascii="Arial" w:hAnsi="Arial"/>
      <w:sz w:val="16"/>
    </w:rPr>
  </w:style>
  <w:style w:type="paragraph" w:customStyle="1" w:styleId="TableColumnHeadingBase">
    <w:name w:val="Table Column Heading Base"/>
    <w:basedOn w:val="Normal"/>
    <w:rsid w:val="0061556B"/>
    <w:pPr>
      <w:spacing w:before="40" w:after="40" w:line="240" w:lineRule="auto"/>
    </w:pPr>
    <w:rPr>
      <w:rFonts w:ascii="Arial Bold" w:hAnsi="Arial Bold"/>
      <w:b/>
      <w:sz w:val="16"/>
    </w:rPr>
  </w:style>
  <w:style w:type="paragraph" w:customStyle="1" w:styleId="TableColumnHeadingCentred">
    <w:name w:val="Table Column Heading Centred"/>
    <w:basedOn w:val="TableColumnHeadingBase"/>
    <w:next w:val="Normal"/>
    <w:rsid w:val="0061556B"/>
    <w:pPr>
      <w:jc w:val="center"/>
    </w:pPr>
  </w:style>
  <w:style w:type="paragraph" w:customStyle="1" w:styleId="TableColumnHeadingLeft">
    <w:name w:val="Table Column Heading Left"/>
    <w:basedOn w:val="TableColumnHeadingBase"/>
    <w:next w:val="Normal"/>
    <w:rsid w:val="0061556B"/>
  </w:style>
  <w:style w:type="paragraph" w:customStyle="1" w:styleId="TableColumnHeadingRight">
    <w:name w:val="Table Column Heading Right"/>
    <w:basedOn w:val="TableColumnHeadingBase"/>
    <w:next w:val="Normal"/>
    <w:rsid w:val="0061556B"/>
    <w:pPr>
      <w:jc w:val="right"/>
    </w:pPr>
  </w:style>
  <w:style w:type="paragraph" w:customStyle="1" w:styleId="TableGraphic">
    <w:name w:val="Table Graphic"/>
    <w:basedOn w:val="Normal"/>
    <w:next w:val="Normal"/>
    <w:rsid w:val="0061556B"/>
    <w:pPr>
      <w:spacing w:after="0" w:line="240" w:lineRule="auto"/>
      <w:ind w:right="-113"/>
    </w:pPr>
  </w:style>
  <w:style w:type="table" w:styleId="TableGrid">
    <w:name w:val="Table Grid"/>
    <w:basedOn w:val="TableNormal"/>
    <w:rsid w:val="0061556B"/>
    <w:pPr>
      <w:spacing w:after="240" w:line="260" w:lineRule="exact"/>
    </w:pPr>
    <w:rPr>
      <w:rFonts w:ascii="Arial" w:eastAsia="Times New Roman" w:hAnsi="Arial"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HeadingBase"/>
    <w:next w:val="TableGraphic"/>
    <w:qFormat/>
    <w:rsid w:val="0061556B"/>
    <w:pPr>
      <w:spacing w:before="120" w:after="20"/>
    </w:pPr>
    <w:rPr>
      <w:b/>
      <w:sz w:val="20"/>
    </w:rPr>
  </w:style>
  <w:style w:type="paragraph" w:customStyle="1" w:styleId="TableHeadingcontinued">
    <w:name w:val="Table Heading continued"/>
    <w:basedOn w:val="HeadingBase"/>
    <w:next w:val="TableGraphic"/>
    <w:rsid w:val="0061556B"/>
    <w:pPr>
      <w:spacing w:before="120" w:after="20"/>
    </w:pPr>
    <w:rPr>
      <w:rFonts w:ascii="Arial Bold" w:hAnsi="Arial Bold"/>
      <w:b/>
      <w:sz w:val="20"/>
    </w:rPr>
  </w:style>
  <w:style w:type="paragraph" w:styleId="TableofFigures">
    <w:name w:val="table of figures"/>
    <w:basedOn w:val="Normal"/>
    <w:next w:val="Normal"/>
    <w:rsid w:val="0061556B"/>
  </w:style>
  <w:style w:type="paragraph" w:customStyle="1" w:styleId="TableTextBase">
    <w:name w:val="Table Text Base"/>
    <w:basedOn w:val="Normal"/>
    <w:rsid w:val="0061556B"/>
    <w:pPr>
      <w:spacing w:before="20" w:after="20" w:line="240" w:lineRule="auto"/>
    </w:pPr>
    <w:rPr>
      <w:rFonts w:ascii="Arial" w:hAnsi="Arial"/>
      <w:sz w:val="16"/>
    </w:rPr>
  </w:style>
  <w:style w:type="paragraph" w:customStyle="1" w:styleId="TableTextCentred">
    <w:name w:val="Table Text Centred"/>
    <w:basedOn w:val="TableTextBase"/>
    <w:rsid w:val="0061556B"/>
    <w:pPr>
      <w:jc w:val="center"/>
    </w:pPr>
  </w:style>
  <w:style w:type="paragraph" w:customStyle="1" w:styleId="TableTextIndented">
    <w:name w:val="Table Text Indented"/>
    <w:basedOn w:val="TableTextBase"/>
    <w:rsid w:val="0061556B"/>
    <w:pPr>
      <w:ind w:left="284"/>
    </w:pPr>
  </w:style>
  <w:style w:type="paragraph" w:customStyle="1" w:styleId="TableTextLeft">
    <w:name w:val="Table Text Left"/>
    <w:basedOn w:val="TableTextBase"/>
    <w:rsid w:val="0061556B"/>
  </w:style>
  <w:style w:type="paragraph" w:customStyle="1" w:styleId="TableTextRight">
    <w:name w:val="Table Text Right"/>
    <w:basedOn w:val="TableTextBase"/>
    <w:rsid w:val="0061556B"/>
    <w:pPr>
      <w:jc w:val="right"/>
    </w:pPr>
  </w:style>
  <w:style w:type="paragraph" w:styleId="TOAHeading">
    <w:name w:val="toa heading"/>
    <w:basedOn w:val="Normal"/>
    <w:next w:val="Normal"/>
    <w:rsid w:val="0061556B"/>
    <w:pPr>
      <w:spacing w:before="120"/>
    </w:pPr>
    <w:rPr>
      <w:rFonts w:ascii="Arial" w:hAnsi="Arial" w:cs="Arial"/>
      <w:b/>
      <w:bCs/>
      <w:sz w:val="24"/>
      <w:szCs w:val="24"/>
    </w:rPr>
  </w:style>
  <w:style w:type="paragraph" w:styleId="TOC1">
    <w:name w:val="toc 1"/>
    <w:basedOn w:val="HeaderBase"/>
    <w:next w:val="Normal"/>
    <w:uiPriority w:val="2"/>
    <w:rsid w:val="0061556B"/>
    <w:pPr>
      <w:keepNext/>
      <w:tabs>
        <w:tab w:val="right" w:leader="dot" w:pos="7700"/>
      </w:tabs>
      <w:spacing w:before="240"/>
      <w:ind w:right="851"/>
    </w:pPr>
    <w:rPr>
      <w:rFonts w:ascii="Arial Bold" w:hAnsi="Arial Bold"/>
      <w:b/>
      <w:color w:val="auto"/>
      <w:sz w:val="20"/>
    </w:rPr>
  </w:style>
  <w:style w:type="paragraph" w:styleId="TOC2">
    <w:name w:val="toc 2"/>
    <w:basedOn w:val="HeadingBase"/>
    <w:next w:val="Normal"/>
    <w:uiPriority w:val="39"/>
    <w:qFormat/>
    <w:rsid w:val="0061556B"/>
    <w:pPr>
      <w:keepNext w:val="0"/>
      <w:tabs>
        <w:tab w:val="left" w:pos="992"/>
        <w:tab w:val="right" w:leader="dot" w:pos="7700"/>
      </w:tabs>
      <w:spacing w:before="60" w:after="60"/>
      <w:ind w:right="851"/>
    </w:pPr>
    <w:rPr>
      <w:sz w:val="18"/>
    </w:rPr>
  </w:style>
  <w:style w:type="paragraph" w:styleId="TOC3">
    <w:name w:val="toc 3"/>
    <w:basedOn w:val="Normal"/>
    <w:next w:val="Normal"/>
    <w:uiPriority w:val="39"/>
    <w:unhideWhenUsed/>
    <w:rsid w:val="0061556B"/>
    <w:pPr>
      <w:tabs>
        <w:tab w:val="left" w:pos="992"/>
        <w:tab w:val="right" w:leader="dot" w:pos="7700"/>
      </w:tabs>
      <w:spacing w:before="60" w:after="60" w:line="240" w:lineRule="auto"/>
      <w:ind w:left="284" w:right="851"/>
    </w:pPr>
    <w:rPr>
      <w:rFonts w:ascii="Arial" w:hAnsi="Arial"/>
      <w:sz w:val="18"/>
      <w:lang w:val="en-US"/>
    </w:rPr>
  </w:style>
  <w:style w:type="paragraph" w:styleId="TOC4">
    <w:name w:val="toc 4"/>
    <w:basedOn w:val="HeadingBase"/>
    <w:next w:val="Normal"/>
    <w:uiPriority w:val="2"/>
    <w:unhideWhenUsed/>
    <w:rsid w:val="0061556B"/>
    <w:pPr>
      <w:tabs>
        <w:tab w:val="right" w:leader="dot" w:pos="7700"/>
      </w:tabs>
      <w:spacing w:before="40"/>
      <w:ind w:right="851"/>
    </w:pPr>
    <w:rPr>
      <w:sz w:val="20"/>
    </w:rPr>
  </w:style>
  <w:style w:type="paragraph" w:styleId="TOC5">
    <w:name w:val="toc 5"/>
    <w:basedOn w:val="Normal"/>
    <w:next w:val="Normal"/>
    <w:autoRedefine/>
    <w:uiPriority w:val="2"/>
    <w:semiHidden/>
    <w:rsid w:val="0061556B"/>
    <w:pPr>
      <w:tabs>
        <w:tab w:val="left" w:pos="851"/>
        <w:tab w:val="right" w:leader="dot" w:pos="7700"/>
      </w:tabs>
      <w:ind w:left="896" w:hanging="896"/>
    </w:pPr>
    <w:rPr>
      <w:rFonts w:ascii="Arial" w:hAnsi="Arial"/>
      <w:noProof/>
      <w:color w:val="002B54"/>
    </w:rPr>
  </w:style>
  <w:style w:type="paragraph" w:styleId="TOC6">
    <w:name w:val="toc 6"/>
    <w:basedOn w:val="TOC4"/>
    <w:next w:val="Normal"/>
    <w:uiPriority w:val="2"/>
    <w:semiHidden/>
    <w:rsid w:val="0061556B"/>
    <w:pPr>
      <w:tabs>
        <w:tab w:val="left" w:pos="851"/>
      </w:tabs>
      <w:ind w:left="851" w:hanging="851"/>
    </w:pPr>
    <w:rPr>
      <w:color w:val="000000"/>
    </w:rPr>
  </w:style>
  <w:style w:type="paragraph" w:styleId="TOC7">
    <w:name w:val="toc 7"/>
    <w:basedOn w:val="Normal"/>
    <w:next w:val="Normal"/>
    <w:autoRedefine/>
    <w:uiPriority w:val="2"/>
    <w:semiHidden/>
    <w:rsid w:val="0061556B"/>
    <w:pPr>
      <w:ind w:left="1200"/>
    </w:pPr>
  </w:style>
  <w:style w:type="paragraph" w:styleId="TOC8">
    <w:name w:val="toc 8"/>
    <w:basedOn w:val="Normal"/>
    <w:next w:val="Normal"/>
    <w:autoRedefine/>
    <w:uiPriority w:val="2"/>
    <w:semiHidden/>
    <w:rsid w:val="0061556B"/>
    <w:pPr>
      <w:ind w:left="1400"/>
    </w:pPr>
  </w:style>
  <w:style w:type="paragraph" w:styleId="TOC9">
    <w:name w:val="toc 9"/>
    <w:basedOn w:val="Normal"/>
    <w:next w:val="Normal"/>
    <w:autoRedefine/>
    <w:uiPriority w:val="2"/>
    <w:semiHidden/>
    <w:rsid w:val="0061556B"/>
    <w:pPr>
      <w:ind w:left="1600"/>
    </w:pPr>
  </w:style>
  <w:style w:type="paragraph" w:customStyle="1" w:styleId="TPHeading1">
    <w:name w:val="TP Heading 1"/>
    <w:basedOn w:val="HeadingBase"/>
    <w:semiHidden/>
    <w:rsid w:val="0061556B"/>
    <w:pPr>
      <w:spacing w:before="60" w:after="60"/>
      <w:ind w:left="1134"/>
    </w:pPr>
    <w:rPr>
      <w:rFonts w:ascii="Arial Bold" w:hAnsi="Arial Bold"/>
      <w:b/>
      <w:caps/>
      <w:spacing w:val="-10"/>
      <w:sz w:val="28"/>
    </w:rPr>
  </w:style>
  <w:style w:type="paragraph" w:customStyle="1" w:styleId="TPHeading2">
    <w:name w:val="TP Heading 2"/>
    <w:basedOn w:val="HeadingBase"/>
    <w:semiHidden/>
    <w:rsid w:val="0061556B"/>
    <w:pPr>
      <w:ind w:left="1134"/>
    </w:pPr>
    <w:rPr>
      <w:caps/>
      <w:spacing w:val="-10"/>
      <w:sz w:val="28"/>
    </w:rPr>
  </w:style>
  <w:style w:type="paragraph" w:customStyle="1" w:styleId="TPHeading3">
    <w:name w:val="TP Heading 3"/>
    <w:basedOn w:val="HeadingBase"/>
    <w:semiHidden/>
    <w:rsid w:val="0061556B"/>
    <w:pPr>
      <w:ind w:left="1134"/>
    </w:pPr>
    <w:rPr>
      <w:caps/>
      <w:spacing w:val="-10"/>
    </w:rPr>
  </w:style>
  <w:style w:type="paragraph" w:customStyle="1" w:styleId="TPHeading3bold">
    <w:name w:val="TP Heading 3 bold"/>
    <w:basedOn w:val="TPHeading3"/>
    <w:semiHidden/>
    <w:rsid w:val="0061556B"/>
    <w:rPr>
      <w:rFonts w:cs="Arial"/>
      <w:b/>
      <w:sz w:val="22"/>
      <w:szCs w:val="22"/>
    </w:rPr>
  </w:style>
  <w:style w:type="paragraph" w:customStyle="1" w:styleId="TPHEADING3boldspace">
    <w:name w:val="TP HEADING 3 bold space"/>
    <w:basedOn w:val="TPHeading3bold"/>
    <w:semiHidden/>
    <w:rsid w:val="0061556B"/>
    <w:pPr>
      <w:spacing w:after="120"/>
    </w:pPr>
  </w:style>
  <w:style w:type="paragraph" w:customStyle="1" w:styleId="TPHEADING3space">
    <w:name w:val="TP HEADING 3 space"/>
    <w:basedOn w:val="TPHeading3"/>
    <w:semiHidden/>
    <w:rsid w:val="0061556B"/>
    <w:pPr>
      <w:spacing w:before="120" w:after="120"/>
    </w:pPr>
    <w:rPr>
      <w:rFonts w:cs="Arial"/>
      <w:sz w:val="22"/>
      <w:szCs w:val="22"/>
    </w:rPr>
  </w:style>
  <w:style w:type="paragraph" w:customStyle="1" w:styleId="TPHeading4">
    <w:name w:val="TP Heading 4"/>
    <w:basedOn w:val="TPHeading3"/>
    <w:semiHidden/>
    <w:rsid w:val="0061556B"/>
    <w:rPr>
      <w:sz w:val="20"/>
    </w:rPr>
  </w:style>
  <w:style w:type="paragraph" w:customStyle="1" w:styleId="TPHEADING4space">
    <w:name w:val="TP HEADING 4 space"/>
    <w:basedOn w:val="TPHEADING3space"/>
    <w:semiHidden/>
    <w:rsid w:val="0061556B"/>
  </w:style>
  <w:style w:type="paragraph" w:customStyle="1" w:styleId="ChartLine">
    <w:name w:val="Chart Line"/>
    <w:basedOn w:val="Normal"/>
    <w:autoRedefine/>
    <w:qFormat/>
    <w:rsid w:val="006E10BB"/>
    <w:pPr>
      <w:pBdr>
        <w:bottom w:val="single" w:sz="4" w:space="2" w:color="626A77" w:themeColor="background2" w:themeShade="E6"/>
      </w:pBdr>
      <w:spacing w:before="0" w:line="240" w:lineRule="auto"/>
    </w:pPr>
    <w:rPr>
      <w:noProof/>
      <w:color w:val="626A77"/>
      <w:sz w:val="4"/>
      <w:szCs w:val="4"/>
    </w:rPr>
  </w:style>
  <w:style w:type="paragraph" w:customStyle="1" w:styleId="ChartMainHeading">
    <w:name w:val="Chart Main Heading"/>
    <w:basedOn w:val="Normal"/>
    <w:next w:val="ChartGraphic"/>
    <w:rsid w:val="0061556B"/>
    <w:pPr>
      <w:keepNext/>
      <w:spacing w:before="120" w:after="20" w:line="240" w:lineRule="auto"/>
    </w:pPr>
    <w:rPr>
      <w:rFonts w:asciiTheme="majorHAnsi" w:hAnsiTheme="majorHAnsi"/>
      <w:b/>
      <w:sz w:val="20"/>
    </w:rPr>
  </w:style>
  <w:style w:type="character" w:customStyle="1" w:styleId="BoxHeading-Continued">
    <w:name w:val="Box Heading - Continued"/>
    <w:uiPriority w:val="1"/>
    <w:qFormat/>
    <w:rsid w:val="0061556B"/>
    <w:rPr>
      <w:sz w:val="16"/>
    </w:rPr>
  </w:style>
  <w:style w:type="paragraph" w:customStyle="1" w:styleId="Box-continuedon">
    <w:name w:val="Box - continued on"/>
    <w:basedOn w:val="Normal"/>
    <w:qFormat/>
    <w:rsid w:val="0061556B"/>
    <w:pPr>
      <w:jc w:val="right"/>
    </w:pPr>
    <w:rPr>
      <w:rFonts w:asciiTheme="majorHAnsi" w:hAnsiTheme="majorHAnsi" w:cstheme="majorHAnsi"/>
      <w:i/>
      <w:iCs/>
      <w:sz w:val="18"/>
      <w:szCs w:val="24"/>
    </w:rPr>
  </w:style>
  <w:style w:type="paragraph" w:customStyle="1" w:styleId="BoxHeading2">
    <w:name w:val="Box Heading 2"/>
    <w:basedOn w:val="BoxHeading"/>
    <w:autoRedefine/>
    <w:rsid w:val="0061556B"/>
    <w:pPr>
      <w:spacing w:after="0"/>
    </w:pPr>
    <w:rPr>
      <w:b w:val="0"/>
      <w:bCs/>
      <w:szCs w:val="14"/>
    </w:rPr>
  </w:style>
  <w:style w:type="character" w:customStyle="1" w:styleId="Heading9Char">
    <w:name w:val="Heading 9 Char"/>
    <w:basedOn w:val="DefaultParagraphFont"/>
    <w:link w:val="Heading9"/>
    <w:uiPriority w:val="9"/>
    <w:rsid w:val="0061556B"/>
    <w:rPr>
      <w:rFonts w:ascii="Cambria" w:eastAsia="Times New Roman" w:hAnsi="Cambria" w:cs="Times New Roman"/>
      <w:lang w:eastAsia="en-AU"/>
    </w:rPr>
  </w:style>
  <w:style w:type="paragraph" w:customStyle="1" w:styleId="GhostLine">
    <w:name w:val="Ghost Line"/>
    <w:basedOn w:val="NoSpacing"/>
    <w:qFormat/>
    <w:rsid w:val="0061556B"/>
    <w:pPr>
      <w:jc w:val="both"/>
    </w:pPr>
    <w:rPr>
      <w:rFonts w:ascii="Book Antiqua" w:hAnsi="Book Antiqua"/>
      <w:sz w:val="2"/>
    </w:rPr>
  </w:style>
  <w:style w:type="paragraph" w:styleId="NoSpacing">
    <w:name w:val="No Spacing"/>
    <w:uiPriority w:val="1"/>
    <w:qFormat/>
    <w:rsid w:val="0061556B"/>
    <w:pPr>
      <w:spacing w:after="0" w:line="240" w:lineRule="auto"/>
    </w:pPr>
    <w:rPr>
      <w:rFonts w:eastAsia="Times New Roman" w:cs="Times New Roman"/>
      <w:sz w:val="19"/>
      <w:szCs w:val="20"/>
      <w:lang w:eastAsia="en-AU"/>
    </w:rPr>
  </w:style>
  <w:style w:type="character" w:customStyle="1" w:styleId="BoxTextChar">
    <w:name w:val="Box Text Char"/>
    <w:basedOn w:val="DefaultParagraphFont"/>
    <w:link w:val="BoxText"/>
    <w:rsid w:val="0061556B"/>
    <w:rPr>
      <w:rFonts w:ascii="Book Antiqua" w:eastAsia="Times New Roman" w:hAnsi="Book Antiqua" w:cs="Times New Roman"/>
      <w:sz w:val="19"/>
      <w:szCs w:val="20"/>
      <w:lang w:eastAsia="en-AU"/>
    </w:rPr>
  </w:style>
  <w:style w:type="character" w:customStyle="1" w:styleId="A5">
    <w:name w:val="A5"/>
    <w:uiPriority w:val="99"/>
    <w:rsid w:val="0061556B"/>
    <w:rPr>
      <w:rFonts w:cs="Swiss 721 BT"/>
      <w:color w:val="000000"/>
      <w:sz w:val="20"/>
      <w:szCs w:val="20"/>
    </w:rPr>
  </w:style>
  <w:style w:type="paragraph" w:customStyle="1" w:styleId="CreativeCommonsNormal">
    <w:name w:val="Creative Commons Normal"/>
    <w:basedOn w:val="Normal"/>
    <w:qFormat/>
    <w:rsid w:val="0061556B"/>
    <w:pPr>
      <w:spacing w:before="120" w:after="80"/>
    </w:pPr>
  </w:style>
  <w:style w:type="paragraph" w:customStyle="1" w:styleId="CreativeCommonsH1">
    <w:name w:val="Creative Commons H1"/>
    <w:basedOn w:val="Normal"/>
    <w:qFormat/>
    <w:rsid w:val="0061556B"/>
    <w:pPr>
      <w:spacing w:before="160" w:after="120"/>
    </w:pPr>
    <w:rPr>
      <w:b/>
      <w:bCs/>
    </w:rPr>
  </w:style>
  <w:style w:type="paragraph" w:customStyle="1" w:styleId="CreativeCommonsIndented">
    <w:name w:val="Creative Commons Indented"/>
    <w:basedOn w:val="CreativeCommonsNormal"/>
    <w:qFormat/>
    <w:rsid w:val="0061556B"/>
    <w:pPr>
      <w:ind w:left="567"/>
    </w:pPr>
  </w:style>
  <w:style w:type="paragraph" w:customStyle="1" w:styleId="OutlineNumbered1">
    <w:name w:val="Outline Numbered 1"/>
    <w:basedOn w:val="Normal"/>
    <w:link w:val="OutlineNumbered1Char"/>
    <w:qFormat/>
    <w:rsid w:val="0061556B"/>
    <w:pPr>
      <w:numPr>
        <w:numId w:val="22"/>
      </w:numPr>
    </w:pPr>
  </w:style>
  <w:style w:type="character" w:customStyle="1" w:styleId="OutlineNumbered1Char">
    <w:name w:val="Outline Numbered 1 Char"/>
    <w:basedOn w:val="DefaultParagraphFont"/>
    <w:link w:val="OutlineNumbered1"/>
    <w:rsid w:val="0061556B"/>
    <w:rPr>
      <w:rFonts w:ascii="Book Antiqua" w:eastAsia="Times New Roman" w:hAnsi="Book Antiqua" w:cs="Times New Roman"/>
      <w:sz w:val="19"/>
      <w:szCs w:val="20"/>
      <w:lang w:eastAsia="en-AU"/>
    </w:rPr>
  </w:style>
  <w:style w:type="paragraph" w:customStyle="1" w:styleId="OutlineNumbered2">
    <w:name w:val="Outline Numbered 2"/>
    <w:basedOn w:val="Normal"/>
    <w:qFormat/>
    <w:rsid w:val="0061556B"/>
    <w:pPr>
      <w:numPr>
        <w:ilvl w:val="1"/>
        <w:numId w:val="21"/>
      </w:numPr>
    </w:pPr>
  </w:style>
  <w:style w:type="paragraph" w:customStyle="1" w:styleId="OutlineNumbered3">
    <w:name w:val="Outline Numbered 3"/>
    <w:basedOn w:val="Normal"/>
    <w:qFormat/>
    <w:rsid w:val="0061556B"/>
    <w:pPr>
      <w:numPr>
        <w:ilvl w:val="2"/>
        <w:numId w:val="21"/>
      </w:numPr>
    </w:pPr>
  </w:style>
  <w:style w:type="character" w:styleId="Emphasis">
    <w:name w:val="Emphasis"/>
    <w:basedOn w:val="DefaultParagraphFont"/>
    <w:uiPriority w:val="20"/>
    <w:qFormat/>
    <w:rsid w:val="0061556B"/>
    <w:rPr>
      <w:i/>
      <w:iCs/>
    </w:rPr>
  </w:style>
  <w:style w:type="paragraph" w:customStyle="1" w:styleId="Prelims-PaperNametitlepage">
    <w:name w:val="Prelims - Paper Name (title page)"/>
    <w:basedOn w:val="Normal"/>
    <w:qFormat/>
    <w:rsid w:val="0061556B"/>
    <w:pPr>
      <w:keepNext/>
      <w:spacing w:before="1880" w:after="0" w:line="240" w:lineRule="auto"/>
    </w:pPr>
    <w:rPr>
      <w:rFonts w:asciiTheme="majorHAnsi" w:hAnsiTheme="majorHAnsi" w:cstheme="majorHAnsi"/>
      <w:b/>
      <w:bCs/>
      <w:sz w:val="28"/>
      <w:szCs w:val="28"/>
    </w:rPr>
  </w:style>
  <w:style w:type="paragraph" w:customStyle="1" w:styleId="Prelims-PaperNotitlepage">
    <w:name w:val="Prelims - Paper No. (title page)"/>
    <w:basedOn w:val="Normal"/>
    <w:qFormat/>
    <w:rsid w:val="0061556B"/>
    <w:pPr>
      <w:keepNext/>
      <w:spacing w:before="0" w:after="4100" w:line="240" w:lineRule="auto"/>
    </w:pPr>
    <w:rPr>
      <w:rFonts w:asciiTheme="majorHAnsi" w:hAnsiTheme="majorHAnsi" w:cstheme="majorHAnsi"/>
      <w:sz w:val="28"/>
      <w:szCs w:val="28"/>
    </w:rPr>
  </w:style>
  <w:style w:type="paragraph" w:customStyle="1" w:styleId="Prelims-Normaltitlepage">
    <w:name w:val="Prelims - Normal (title page)"/>
    <w:basedOn w:val="Normal"/>
    <w:qFormat/>
    <w:rsid w:val="0061556B"/>
    <w:pPr>
      <w:keepNext/>
      <w:spacing w:before="120" w:after="120" w:line="240" w:lineRule="auto"/>
    </w:pPr>
    <w:rPr>
      <w:rFonts w:asciiTheme="majorHAnsi" w:hAnsiTheme="majorHAnsi" w:cs="Arial"/>
      <w:sz w:val="20"/>
    </w:rPr>
  </w:style>
  <w:style w:type="paragraph" w:customStyle="1" w:styleId="Bullet-numbered">
    <w:name w:val="Bullet - numbered"/>
    <w:basedOn w:val="Bullet"/>
    <w:qFormat/>
    <w:rsid w:val="00B83E14"/>
    <w:pPr>
      <w:numPr>
        <w:numId w:val="23"/>
      </w:numPr>
      <w:ind w:left="284" w:hanging="284"/>
    </w:pPr>
  </w:style>
  <w:style w:type="paragraph" w:customStyle="1" w:styleId="ChartHeading">
    <w:name w:val="Chart Heading"/>
    <w:basedOn w:val="HeadingBase"/>
    <w:next w:val="ChartGraphic"/>
    <w:qFormat/>
    <w:rsid w:val="00B83E14"/>
    <w:pPr>
      <w:spacing w:before="120" w:after="20"/>
    </w:pPr>
    <w:rPr>
      <w:b/>
      <w:sz w:val="20"/>
    </w:rPr>
  </w:style>
  <w:style w:type="character" w:customStyle="1" w:styleId="BulletChar">
    <w:name w:val="Bullet Char"/>
    <w:aliases w:val="Body Char,Bullet + line Char,Bullets Char,L Char,List Paragraph Char,List Paragraph1 Char,List Paragraph11 Char,List Paragraph2 Char,Number Char,Recommendation Char,b + line Char,b + line Char Char,b Char,b Char Char,b1 Char,level 1 Char,L C"/>
    <w:basedOn w:val="DefaultParagraphFont"/>
    <w:link w:val="Bullet"/>
    <w:qFormat/>
    <w:rsid w:val="00B83E14"/>
    <w:rPr>
      <w:rFonts w:ascii="Book Antiqua" w:eastAsia="Times New Roman" w:hAnsi="Book Antiqua" w:cs="Times New Roman"/>
      <w:sz w:val="19"/>
      <w:szCs w:val="20"/>
      <w:lang w:eastAsia="en-AU"/>
    </w:rPr>
  </w:style>
  <w:style w:type="paragraph" w:styleId="TOCHeading">
    <w:name w:val="TOC Heading"/>
    <w:basedOn w:val="Heading1"/>
    <w:next w:val="Normal"/>
    <w:uiPriority w:val="39"/>
    <w:unhideWhenUsed/>
    <w:qFormat/>
    <w:rsid w:val="001F3C79"/>
    <w:pPr>
      <w:keepLines/>
      <w:spacing w:before="240" w:after="0" w:line="259" w:lineRule="auto"/>
      <w:outlineLvl w:val="9"/>
    </w:pPr>
    <w:rPr>
      <w:rFonts w:asciiTheme="majorHAnsi" w:eastAsiaTheme="majorEastAsia" w:hAnsiTheme="majorHAnsi" w:cstheme="majorBidi"/>
      <w:b w:val="0"/>
      <w:color w:val="024A91" w:themeColor="accent1" w:themeShade="BF"/>
      <w:kern w:val="0"/>
      <w:sz w:val="32"/>
      <w:szCs w:val="32"/>
      <w:lang w:val="en-US" w:eastAsia="en-US"/>
    </w:rPr>
  </w:style>
  <w:style w:type="paragraph" w:styleId="Revision">
    <w:name w:val="Revision"/>
    <w:hidden/>
    <w:uiPriority w:val="99"/>
    <w:semiHidden/>
    <w:rsid w:val="003A099F"/>
    <w:pPr>
      <w:spacing w:after="0" w:line="240" w:lineRule="auto"/>
    </w:pPr>
    <w:rPr>
      <w:rFonts w:ascii="Book Antiqua" w:eastAsia="Times New Roman" w:hAnsi="Book Antiqua" w:cs="Times New Roman"/>
      <w:sz w:val="19"/>
      <w:szCs w:val="20"/>
      <w:lang w:eastAsia="en-AU"/>
    </w:rPr>
  </w:style>
  <w:style w:type="character" w:styleId="UnresolvedMention">
    <w:name w:val="Unresolved Mention"/>
    <w:basedOn w:val="DefaultParagraphFont"/>
    <w:uiPriority w:val="99"/>
    <w:semiHidden/>
    <w:unhideWhenUsed/>
    <w:rsid w:val="006177C5"/>
    <w:rPr>
      <w:color w:val="605E5C"/>
      <w:shd w:val="clear" w:color="auto" w:fill="E1DFDD"/>
    </w:rPr>
  </w:style>
  <w:style w:type="character" w:styleId="Mention">
    <w:name w:val="Mention"/>
    <w:basedOn w:val="DefaultParagraphFont"/>
    <w:uiPriority w:val="99"/>
    <w:unhideWhenUsed/>
    <w:rsid w:val="003A17F7"/>
    <w:rPr>
      <w:color w:val="2B579A"/>
      <w:shd w:val="clear" w:color="auto" w:fill="E1DFDD"/>
    </w:rPr>
  </w:style>
  <w:style w:type="paragraph" w:styleId="NormalWeb">
    <w:name w:val="Normal (Web)"/>
    <w:basedOn w:val="Normal"/>
    <w:uiPriority w:val="99"/>
    <w:semiHidden/>
    <w:unhideWhenUsed/>
    <w:rsid w:val="00CB3B92"/>
    <w:rPr>
      <w:rFonts w:ascii="Times New Roman" w:hAnsi="Times New Roman"/>
      <w:sz w:val="24"/>
      <w:szCs w:val="24"/>
    </w:rPr>
  </w:style>
  <w:style w:type="paragraph" w:styleId="ListParagraph">
    <w:name w:val="List Paragraph"/>
    <w:basedOn w:val="Normal"/>
    <w:uiPriority w:val="34"/>
    <w:qFormat/>
    <w:rsid w:val="00640D1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158632">
      <w:bodyDiv w:val="1"/>
      <w:marLeft w:val="0"/>
      <w:marRight w:val="0"/>
      <w:marTop w:val="0"/>
      <w:marBottom w:val="0"/>
      <w:divBdr>
        <w:top w:val="none" w:sz="0" w:space="0" w:color="auto"/>
        <w:left w:val="none" w:sz="0" w:space="0" w:color="auto"/>
        <w:bottom w:val="none" w:sz="0" w:space="0" w:color="auto"/>
        <w:right w:val="none" w:sz="0" w:space="0" w:color="auto"/>
      </w:divBdr>
    </w:div>
    <w:div w:id="139462559">
      <w:bodyDiv w:val="1"/>
      <w:marLeft w:val="0"/>
      <w:marRight w:val="0"/>
      <w:marTop w:val="0"/>
      <w:marBottom w:val="0"/>
      <w:divBdr>
        <w:top w:val="none" w:sz="0" w:space="0" w:color="auto"/>
        <w:left w:val="none" w:sz="0" w:space="0" w:color="auto"/>
        <w:bottom w:val="none" w:sz="0" w:space="0" w:color="auto"/>
        <w:right w:val="none" w:sz="0" w:space="0" w:color="auto"/>
      </w:divBdr>
    </w:div>
    <w:div w:id="225654609">
      <w:bodyDiv w:val="1"/>
      <w:marLeft w:val="0"/>
      <w:marRight w:val="0"/>
      <w:marTop w:val="0"/>
      <w:marBottom w:val="0"/>
      <w:divBdr>
        <w:top w:val="none" w:sz="0" w:space="0" w:color="auto"/>
        <w:left w:val="none" w:sz="0" w:space="0" w:color="auto"/>
        <w:bottom w:val="none" w:sz="0" w:space="0" w:color="auto"/>
        <w:right w:val="none" w:sz="0" w:space="0" w:color="auto"/>
      </w:divBdr>
      <w:divsChild>
        <w:div w:id="18549658">
          <w:marLeft w:val="0"/>
          <w:marRight w:val="0"/>
          <w:marTop w:val="0"/>
          <w:marBottom w:val="0"/>
          <w:divBdr>
            <w:top w:val="none" w:sz="0" w:space="0" w:color="auto"/>
            <w:left w:val="none" w:sz="0" w:space="0" w:color="auto"/>
            <w:bottom w:val="none" w:sz="0" w:space="0" w:color="auto"/>
            <w:right w:val="none" w:sz="0" w:space="0" w:color="auto"/>
          </w:divBdr>
        </w:div>
      </w:divsChild>
    </w:div>
    <w:div w:id="546258675">
      <w:bodyDiv w:val="1"/>
      <w:marLeft w:val="0"/>
      <w:marRight w:val="0"/>
      <w:marTop w:val="0"/>
      <w:marBottom w:val="0"/>
      <w:divBdr>
        <w:top w:val="none" w:sz="0" w:space="0" w:color="auto"/>
        <w:left w:val="none" w:sz="0" w:space="0" w:color="auto"/>
        <w:bottom w:val="none" w:sz="0" w:space="0" w:color="auto"/>
        <w:right w:val="none" w:sz="0" w:space="0" w:color="auto"/>
      </w:divBdr>
    </w:div>
    <w:div w:id="655646674">
      <w:bodyDiv w:val="1"/>
      <w:marLeft w:val="0"/>
      <w:marRight w:val="0"/>
      <w:marTop w:val="0"/>
      <w:marBottom w:val="0"/>
      <w:divBdr>
        <w:top w:val="none" w:sz="0" w:space="0" w:color="auto"/>
        <w:left w:val="none" w:sz="0" w:space="0" w:color="auto"/>
        <w:bottom w:val="none" w:sz="0" w:space="0" w:color="auto"/>
        <w:right w:val="none" w:sz="0" w:space="0" w:color="auto"/>
      </w:divBdr>
      <w:divsChild>
        <w:div w:id="1712413650">
          <w:marLeft w:val="0"/>
          <w:marRight w:val="0"/>
          <w:marTop w:val="0"/>
          <w:marBottom w:val="0"/>
          <w:divBdr>
            <w:top w:val="none" w:sz="0" w:space="0" w:color="auto"/>
            <w:left w:val="none" w:sz="0" w:space="0" w:color="auto"/>
            <w:bottom w:val="none" w:sz="0" w:space="0" w:color="auto"/>
            <w:right w:val="none" w:sz="0" w:space="0" w:color="auto"/>
          </w:divBdr>
        </w:div>
      </w:divsChild>
    </w:div>
    <w:div w:id="724137778">
      <w:bodyDiv w:val="1"/>
      <w:marLeft w:val="0"/>
      <w:marRight w:val="0"/>
      <w:marTop w:val="0"/>
      <w:marBottom w:val="0"/>
      <w:divBdr>
        <w:top w:val="none" w:sz="0" w:space="0" w:color="auto"/>
        <w:left w:val="none" w:sz="0" w:space="0" w:color="auto"/>
        <w:bottom w:val="none" w:sz="0" w:space="0" w:color="auto"/>
        <w:right w:val="none" w:sz="0" w:space="0" w:color="auto"/>
      </w:divBdr>
    </w:div>
    <w:div w:id="812676914">
      <w:bodyDiv w:val="1"/>
      <w:marLeft w:val="0"/>
      <w:marRight w:val="0"/>
      <w:marTop w:val="0"/>
      <w:marBottom w:val="0"/>
      <w:divBdr>
        <w:top w:val="none" w:sz="0" w:space="0" w:color="auto"/>
        <w:left w:val="none" w:sz="0" w:space="0" w:color="auto"/>
        <w:bottom w:val="none" w:sz="0" w:space="0" w:color="auto"/>
        <w:right w:val="none" w:sz="0" w:space="0" w:color="auto"/>
      </w:divBdr>
    </w:div>
    <w:div w:id="1093428513">
      <w:bodyDiv w:val="1"/>
      <w:marLeft w:val="0"/>
      <w:marRight w:val="0"/>
      <w:marTop w:val="0"/>
      <w:marBottom w:val="0"/>
      <w:divBdr>
        <w:top w:val="none" w:sz="0" w:space="0" w:color="auto"/>
        <w:left w:val="none" w:sz="0" w:space="0" w:color="auto"/>
        <w:bottom w:val="none" w:sz="0" w:space="0" w:color="auto"/>
        <w:right w:val="none" w:sz="0" w:space="0" w:color="auto"/>
      </w:divBdr>
      <w:divsChild>
        <w:div w:id="1414351559">
          <w:marLeft w:val="0"/>
          <w:marRight w:val="0"/>
          <w:marTop w:val="0"/>
          <w:marBottom w:val="0"/>
          <w:divBdr>
            <w:top w:val="none" w:sz="0" w:space="0" w:color="auto"/>
            <w:left w:val="none" w:sz="0" w:space="0" w:color="auto"/>
            <w:bottom w:val="none" w:sz="0" w:space="0" w:color="auto"/>
            <w:right w:val="none" w:sz="0" w:space="0" w:color="auto"/>
          </w:divBdr>
        </w:div>
      </w:divsChild>
    </w:div>
    <w:div w:id="1185090937">
      <w:bodyDiv w:val="1"/>
      <w:marLeft w:val="0"/>
      <w:marRight w:val="0"/>
      <w:marTop w:val="0"/>
      <w:marBottom w:val="0"/>
      <w:divBdr>
        <w:top w:val="none" w:sz="0" w:space="0" w:color="auto"/>
        <w:left w:val="none" w:sz="0" w:space="0" w:color="auto"/>
        <w:bottom w:val="none" w:sz="0" w:space="0" w:color="auto"/>
        <w:right w:val="none" w:sz="0" w:space="0" w:color="auto"/>
      </w:divBdr>
    </w:div>
    <w:div w:id="1206596497">
      <w:bodyDiv w:val="1"/>
      <w:marLeft w:val="0"/>
      <w:marRight w:val="0"/>
      <w:marTop w:val="0"/>
      <w:marBottom w:val="0"/>
      <w:divBdr>
        <w:top w:val="none" w:sz="0" w:space="0" w:color="auto"/>
        <w:left w:val="none" w:sz="0" w:space="0" w:color="auto"/>
        <w:bottom w:val="none" w:sz="0" w:space="0" w:color="auto"/>
        <w:right w:val="none" w:sz="0" w:space="0" w:color="auto"/>
      </w:divBdr>
    </w:div>
    <w:div w:id="1262177874">
      <w:bodyDiv w:val="1"/>
      <w:marLeft w:val="0"/>
      <w:marRight w:val="0"/>
      <w:marTop w:val="0"/>
      <w:marBottom w:val="0"/>
      <w:divBdr>
        <w:top w:val="none" w:sz="0" w:space="0" w:color="auto"/>
        <w:left w:val="none" w:sz="0" w:space="0" w:color="auto"/>
        <w:bottom w:val="none" w:sz="0" w:space="0" w:color="auto"/>
        <w:right w:val="none" w:sz="0" w:space="0" w:color="auto"/>
      </w:divBdr>
    </w:div>
    <w:div w:id="1350137249">
      <w:bodyDiv w:val="1"/>
      <w:marLeft w:val="0"/>
      <w:marRight w:val="0"/>
      <w:marTop w:val="0"/>
      <w:marBottom w:val="0"/>
      <w:divBdr>
        <w:top w:val="none" w:sz="0" w:space="0" w:color="auto"/>
        <w:left w:val="none" w:sz="0" w:space="0" w:color="auto"/>
        <w:bottom w:val="none" w:sz="0" w:space="0" w:color="auto"/>
        <w:right w:val="none" w:sz="0" w:space="0" w:color="auto"/>
      </w:divBdr>
    </w:div>
    <w:div w:id="1450511775">
      <w:bodyDiv w:val="1"/>
      <w:marLeft w:val="0"/>
      <w:marRight w:val="0"/>
      <w:marTop w:val="0"/>
      <w:marBottom w:val="0"/>
      <w:divBdr>
        <w:top w:val="none" w:sz="0" w:space="0" w:color="auto"/>
        <w:left w:val="none" w:sz="0" w:space="0" w:color="auto"/>
        <w:bottom w:val="none" w:sz="0" w:space="0" w:color="auto"/>
        <w:right w:val="none" w:sz="0" w:space="0" w:color="auto"/>
      </w:divBdr>
    </w:div>
    <w:div w:id="1529293517">
      <w:bodyDiv w:val="1"/>
      <w:marLeft w:val="0"/>
      <w:marRight w:val="0"/>
      <w:marTop w:val="0"/>
      <w:marBottom w:val="0"/>
      <w:divBdr>
        <w:top w:val="none" w:sz="0" w:space="0" w:color="auto"/>
        <w:left w:val="none" w:sz="0" w:space="0" w:color="auto"/>
        <w:bottom w:val="none" w:sz="0" w:space="0" w:color="auto"/>
        <w:right w:val="none" w:sz="0" w:space="0" w:color="auto"/>
      </w:divBdr>
    </w:div>
    <w:div w:id="1530292821">
      <w:bodyDiv w:val="1"/>
      <w:marLeft w:val="0"/>
      <w:marRight w:val="0"/>
      <w:marTop w:val="0"/>
      <w:marBottom w:val="0"/>
      <w:divBdr>
        <w:top w:val="none" w:sz="0" w:space="0" w:color="auto"/>
        <w:left w:val="none" w:sz="0" w:space="0" w:color="auto"/>
        <w:bottom w:val="none" w:sz="0" w:space="0" w:color="auto"/>
        <w:right w:val="none" w:sz="0" w:space="0" w:color="auto"/>
      </w:divBdr>
      <w:divsChild>
        <w:div w:id="749280273">
          <w:marLeft w:val="0"/>
          <w:marRight w:val="0"/>
          <w:marTop w:val="0"/>
          <w:marBottom w:val="0"/>
          <w:divBdr>
            <w:top w:val="none" w:sz="0" w:space="0" w:color="auto"/>
            <w:left w:val="none" w:sz="0" w:space="0" w:color="auto"/>
            <w:bottom w:val="none" w:sz="0" w:space="0" w:color="auto"/>
            <w:right w:val="none" w:sz="0" w:space="0" w:color="auto"/>
          </w:divBdr>
        </w:div>
      </w:divsChild>
    </w:div>
    <w:div w:id="1558083429">
      <w:bodyDiv w:val="1"/>
      <w:marLeft w:val="0"/>
      <w:marRight w:val="0"/>
      <w:marTop w:val="0"/>
      <w:marBottom w:val="0"/>
      <w:divBdr>
        <w:top w:val="none" w:sz="0" w:space="0" w:color="auto"/>
        <w:left w:val="none" w:sz="0" w:space="0" w:color="auto"/>
        <w:bottom w:val="none" w:sz="0" w:space="0" w:color="auto"/>
        <w:right w:val="none" w:sz="0" w:space="0" w:color="auto"/>
      </w:divBdr>
    </w:div>
    <w:div w:id="1647396179">
      <w:bodyDiv w:val="1"/>
      <w:marLeft w:val="0"/>
      <w:marRight w:val="0"/>
      <w:marTop w:val="0"/>
      <w:marBottom w:val="0"/>
      <w:divBdr>
        <w:top w:val="none" w:sz="0" w:space="0" w:color="auto"/>
        <w:left w:val="none" w:sz="0" w:space="0" w:color="auto"/>
        <w:bottom w:val="none" w:sz="0" w:space="0" w:color="auto"/>
        <w:right w:val="none" w:sz="0" w:space="0" w:color="auto"/>
      </w:divBdr>
    </w:div>
    <w:div w:id="1822844887">
      <w:bodyDiv w:val="1"/>
      <w:marLeft w:val="0"/>
      <w:marRight w:val="0"/>
      <w:marTop w:val="0"/>
      <w:marBottom w:val="0"/>
      <w:divBdr>
        <w:top w:val="none" w:sz="0" w:space="0" w:color="auto"/>
        <w:left w:val="none" w:sz="0" w:space="0" w:color="auto"/>
        <w:bottom w:val="none" w:sz="0" w:space="0" w:color="auto"/>
        <w:right w:val="none" w:sz="0" w:space="0" w:color="auto"/>
      </w:divBdr>
    </w:div>
    <w:div w:id="1847356457">
      <w:bodyDiv w:val="1"/>
      <w:marLeft w:val="0"/>
      <w:marRight w:val="0"/>
      <w:marTop w:val="0"/>
      <w:marBottom w:val="0"/>
      <w:divBdr>
        <w:top w:val="none" w:sz="0" w:space="0" w:color="auto"/>
        <w:left w:val="none" w:sz="0" w:space="0" w:color="auto"/>
        <w:bottom w:val="none" w:sz="0" w:space="0" w:color="auto"/>
        <w:right w:val="none" w:sz="0" w:space="0" w:color="auto"/>
      </w:divBdr>
    </w:div>
    <w:div w:id="1861771708">
      <w:bodyDiv w:val="1"/>
      <w:marLeft w:val="0"/>
      <w:marRight w:val="0"/>
      <w:marTop w:val="0"/>
      <w:marBottom w:val="0"/>
      <w:divBdr>
        <w:top w:val="none" w:sz="0" w:space="0" w:color="auto"/>
        <w:left w:val="none" w:sz="0" w:space="0" w:color="auto"/>
        <w:bottom w:val="none" w:sz="0" w:space="0" w:color="auto"/>
        <w:right w:val="none" w:sz="0" w:space="0" w:color="auto"/>
      </w:divBdr>
    </w:div>
    <w:div w:id="2056585749">
      <w:bodyDiv w:val="1"/>
      <w:marLeft w:val="0"/>
      <w:marRight w:val="0"/>
      <w:marTop w:val="0"/>
      <w:marBottom w:val="0"/>
      <w:divBdr>
        <w:top w:val="none" w:sz="0" w:space="0" w:color="auto"/>
        <w:left w:val="none" w:sz="0" w:space="0" w:color="auto"/>
        <w:bottom w:val="none" w:sz="0" w:space="0" w:color="auto"/>
        <w:right w:val="none" w:sz="0" w:space="0" w:color="auto"/>
      </w:divBdr>
    </w:div>
    <w:div w:id="2072995142">
      <w:bodyDiv w:val="1"/>
      <w:marLeft w:val="0"/>
      <w:marRight w:val="0"/>
      <w:marTop w:val="0"/>
      <w:marBottom w:val="0"/>
      <w:divBdr>
        <w:top w:val="none" w:sz="0" w:space="0" w:color="auto"/>
        <w:left w:val="none" w:sz="0" w:space="0" w:color="auto"/>
        <w:bottom w:val="none" w:sz="0" w:space="0" w:color="auto"/>
        <w:right w:val="none" w:sz="0" w:space="0" w:color="auto"/>
      </w:divBdr>
      <w:divsChild>
        <w:div w:id="18327457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sv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svg"/><Relationship Id="rId21" Type="http://schemas.openxmlformats.org/officeDocument/2006/relationships/image" Target="media/image12.svg"/><Relationship Id="rId34" Type="http://schemas.openxmlformats.org/officeDocument/2006/relationships/image" Target="media/image25.png"/><Relationship Id="rId42" Type="http://schemas.openxmlformats.org/officeDocument/2006/relationships/header" Target="header4.xml"/><Relationship Id="rId47" Type="http://schemas.openxmlformats.org/officeDocument/2006/relationships/theme" Target="theme/theme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20.sv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svg"/><Relationship Id="rId40" Type="http://schemas.openxmlformats.org/officeDocument/2006/relationships/image" Target="media/image31.png"/><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6.svg"/><Relationship Id="rId23" Type="http://schemas.openxmlformats.org/officeDocument/2006/relationships/image" Target="media/image14.sv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header" Target="header3.xml"/><Relationship Id="rId19" Type="http://schemas.openxmlformats.org/officeDocument/2006/relationships/image" Target="media/image10.svg"/><Relationship Id="rId31" Type="http://schemas.openxmlformats.org/officeDocument/2006/relationships/image" Target="media/image22.svg"/><Relationship Id="rId44"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svg"/><Relationship Id="rId30" Type="http://schemas.openxmlformats.org/officeDocument/2006/relationships/image" Target="media/image21.png"/><Relationship Id="rId35" Type="http://schemas.openxmlformats.org/officeDocument/2006/relationships/image" Target="media/image26.svg"/><Relationship Id="rId43" Type="http://schemas.openxmlformats.org/officeDocument/2006/relationships/header" Target="header5.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svg"/><Relationship Id="rId25" Type="http://schemas.openxmlformats.org/officeDocument/2006/relationships/image" Target="media/image16.svg"/><Relationship Id="rId33" Type="http://schemas.openxmlformats.org/officeDocument/2006/relationships/image" Target="media/image24.svg"/><Relationship Id="rId38" Type="http://schemas.openxmlformats.org/officeDocument/2006/relationships/image" Target="media/image29.png"/><Relationship Id="rId4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sv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3.pn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3.png"/></Relationships>
</file>

<file path=word/theme/theme1.xml><?xml version="1.0" encoding="utf-8"?>
<a:theme xmlns:a="http://schemas.openxmlformats.org/drawingml/2006/main" name="Office Theme">
  <a:themeElements>
    <a:clrScheme name="Budget">
      <a:dk1>
        <a:sysClr val="windowText" lastClr="000000"/>
      </a:dk1>
      <a:lt1>
        <a:sysClr val="window" lastClr="FFFFFF"/>
      </a:lt1>
      <a:dk2>
        <a:srgbClr val="002A54"/>
      </a:dk2>
      <a:lt2>
        <a:srgbClr val="6D7684"/>
      </a:lt2>
      <a:accent1>
        <a:srgbClr val="0364C3"/>
      </a:accent1>
      <a:accent2>
        <a:srgbClr val="BE5154"/>
      </a:accent2>
      <a:accent3>
        <a:srgbClr val="844D9E"/>
      </a:accent3>
      <a:accent4>
        <a:srgbClr val="00818F"/>
      </a:accent4>
      <a:accent5>
        <a:srgbClr val="213657"/>
      </a:accent5>
      <a:accent6>
        <a:srgbClr val="02843D"/>
      </a:accent6>
      <a:hlink>
        <a:srgbClr val="3A6FAF"/>
      </a:hlink>
      <a:folHlink>
        <a:srgbClr val="E61E26"/>
      </a:folHlink>
    </a:clrScheme>
    <a:fontScheme name="Budget">
      <a:majorFont>
        <a:latin typeface="Arial"/>
        <a:ea typeface=""/>
        <a:cs typeface=""/>
      </a:majorFont>
      <a:minorFont>
        <a:latin typeface="Book Antiqu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3086</Words>
  <Characters>17596</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Budget Paper No. 1</vt:lpstr>
    </vt:vector>
  </TitlesOfParts>
  <Company/>
  <LinksUpToDate>false</LinksUpToDate>
  <CharactersWithSpaces>20641</CharactersWithSpaces>
  <SharedDoc>false</SharedDoc>
  <HLinks>
    <vt:vector size="54" baseType="variant">
      <vt:variant>
        <vt:i4>1703999</vt:i4>
      </vt:variant>
      <vt:variant>
        <vt:i4>66</vt:i4>
      </vt:variant>
      <vt:variant>
        <vt:i4>0</vt:i4>
      </vt:variant>
      <vt:variant>
        <vt:i4>5</vt:i4>
      </vt:variant>
      <vt:variant>
        <vt:lpwstr/>
      </vt:variant>
      <vt:variant>
        <vt:lpwstr>_Toc228976200</vt:lpwstr>
      </vt:variant>
      <vt:variant>
        <vt:i4>1245244</vt:i4>
      </vt:variant>
      <vt:variant>
        <vt:i4>60</vt:i4>
      </vt:variant>
      <vt:variant>
        <vt:i4>0</vt:i4>
      </vt:variant>
      <vt:variant>
        <vt:i4>5</vt:i4>
      </vt:variant>
      <vt:variant>
        <vt:lpwstr/>
      </vt:variant>
      <vt:variant>
        <vt:lpwstr>_Toc228976199</vt:lpwstr>
      </vt:variant>
      <vt:variant>
        <vt:i4>1245244</vt:i4>
      </vt:variant>
      <vt:variant>
        <vt:i4>54</vt:i4>
      </vt:variant>
      <vt:variant>
        <vt:i4>0</vt:i4>
      </vt:variant>
      <vt:variant>
        <vt:i4>5</vt:i4>
      </vt:variant>
      <vt:variant>
        <vt:lpwstr/>
      </vt:variant>
      <vt:variant>
        <vt:lpwstr>_Toc228976198</vt:lpwstr>
      </vt:variant>
      <vt:variant>
        <vt:i4>1245244</vt:i4>
      </vt:variant>
      <vt:variant>
        <vt:i4>48</vt:i4>
      </vt:variant>
      <vt:variant>
        <vt:i4>0</vt:i4>
      </vt:variant>
      <vt:variant>
        <vt:i4>5</vt:i4>
      </vt:variant>
      <vt:variant>
        <vt:lpwstr/>
      </vt:variant>
      <vt:variant>
        <vt:lpwstr>_Toc228976197</vt:lpwstr>
      </vt:variant>
      <vt:variant>
        <vt:i4>1245244</vt:i4>
      </vt:variant>
      <vt:variant>
        <vt:i4>42</vt:i4>
      </vt:variant>
      <vt:variant>
        <vt:i4>0</vt:i4>
      </vt:variant>
      <vt:variant>
        <vt:i4>5</vt:i4>
      </vt:variant>
      <vt:variant>
        <vt:lpwstr/>
      </vt:variant>
      <vt:variant>
        <vt:lpwstr>_Toc228976196</vt:lpwstr>
      </vt:variant>
      <vt:variant>
        <vt:i4>1245244</vt:i4>
      </vt:variant>
      <vt:variant>
        <vt:i4>36</vt:i4>
      </vt:variant>
      <vt:variant>
        <vt:i4>0</vt:i4>
      </vt:variant>
      <vt:variant>
        <vt:i4>5</vt:i4>
      </vt:variant>
      <vt:variant>
        <vt:lpwstr/>
      </vt:variant>
      <vt:variant>
        <vt:lpwstr>_Toc228976195</vt:lpwstr>
      </vt:variant>
      <vt:variant>
        <vt:i4>1245244</vt:i4>
      </vt:variant>
      <vt:variant>
        <vt:i4>30</vt:i4>
      </vt:variant>
      <vt:variant>
        <vt:i4>0</vt:i4>
      </vt:variant>
      <vt:variant>
        <vt:i4>5</vt:i4>
      </vt:variant>
      <vt:variant>
        <vt:lpwstr/>
      </vt:variant>
      <vt:variant>
        <vt:lpwstr>_Toc228976194</vt:lpwstr>
      </vt:variant>
      <vt:variant>
        <vt:i4>1245244</vt:i4>
      </vt:variant>
      <vt:variant>
        <vt:i4>24</vt:i4>
      </vt:variant>
      <vt:variant>
        <vt:i4>0</vt:i4>
      </vt:variant>
      <vt:variant>
        <vt:i4>5</vt:i4>
      </vt:variant>
      <vt:variant>
        <vt:lpwstr/>
      </vt:variant>
      <vt:variant>
        <vt:lpwstr>_Toc228976193</vt:lpwstr>
      </vt:variant>
      <vt:variant>
        <vt:i4>1245244</vt:i4>
      </vt:variant>
      <vt:variant>
        <vt:i4>18</vt:i4>
      </vt:variant>
      <vt:variant>
        <vt:i4>0</vt:i4>
      </vt:variant>
      <vt:variant>
        <vt:i4>5</vt:i4>
      </vt:variant>
      <vt:variant>
        <vt:lpwstr/>
      </vt:variant>
      <vt:variant>
        <vt:lpwstr>_Toc228976192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Budget Paper No. 1</dc:title>
  <dc:subject>Statement 8: Forecasting Performance and Sensitivity Analysis</dc:subject>
  <dc:creator>Australian Government</dc:creator>
  <cp:keywords/>
  <cp:lastModifiedBy/>
  <cp:revision>1</cp:revision>
  <dcterms:created xsi:type="dcterms:W3CDTF">2026-05-11T05:11:00Z</dcterms:created>
  <dcterms:modified xsi:type="dcterms:W3CDTF">2026-05-11T05:11:00Z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f932d64-9ab1-4d9b-81d2-a3a8b82dd47d_Enabled">
    <vt:lpwstr>true</vt:lpwstr>
  </property>
  <property fmtid="{D5CDD505-2E9C-101B-9397-08002B2CF9AE}" pid="3" name="MSIP_Label_4f932d64-9ab1-4d9b-81d2-a3a8b82dd47d_SetDate">
    <vt:lpwstr>2026-05-11T05:11:39Z</vt:lpwstr>
  </property>
  <property fmtid="{D5CDD505-2E9C-101B-9397-08002B2CF9AE}" pid="4" name="MSIP_Label_4f932d64-9ab1-4d9b-81d2-a3a8b82dd47d_Method">
    <vt:lpwstr>Privileged</vt:lpwstr>
  </property>
  <property fmtid="{D5CDD505-2E9C-101B-9397-08002B2CF9AE}" pid="5" name="MSIP_Label_4f932d64-9ab1-4d9b-81d2-a3a8b82dd47d_Name">
    <vt:lpwstr>OFFICIAL No Visual Marking</vt:lpwstr>
  </property>
  <property fmtid="{D5CDD505-2E9C-101B-9397-08002B2CF9AE}" pid="6" name="MSIP_Label_4f932d64-9ab1-4d9b-81d2-a3a8b82dd47d_SiteId">
    <vt:lpwstr>214f1646-2021-47cc-8397-e3d3a7ba7d9d</vt:lpwstr>
  </property>
  <property fmtid="{D5CDD505-2E9C-101B-9397-08002B2CF9AE}" pid="7" name="MSIP_Label_4f932d64-9ab1-4d9b-81d2-a3a8b82dd47d_ActionId">
    <vt:lpwstr>67f0f33d-1c64-45af-8d38-29f13b2d32b8</vt:lpwstr>
  </property>
  <property fmtid="{D5CDD505-2E9C-101B-9397-08002B2CF9AE}" pid="8" name="MSIP_Label_4f932d64-9ab1-4d9b-81d2-a3a8b82dd47d_ContentBits">
    <vt:lpwstr>0</vt:lpwstr>
  </property>
  <property fmtid="{D5CDD505-2E9C-101B-9397-08002B2CF9AE}" pid="9" name="MSIP_Label_4f932d64-9ab1-4d9b-81d2-a3a8b82dd47d_Tag">
    <vt:lpwstr>10, 0, 1, 1</vt:lpwstr>
  </property>
</Properties>
</file>